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1F" w:rsidRDefault="001A1C1F">
      <w:bookmarkStart w:id="0" w:name="_GoBack"/>
      <w:bookmarkEnd w:id="0"/>
    </w:p>
    <w:p w:rsidR="00F14137" w:rsidRDefault="00F14137"/>
    <w:p w:rsidR="00F14137" w:rsidRDefault="00F14137"/>
    <w:p w:rsidR="00F14137" w:rsidRDefault="00F14137"/>
    <w:p w:rsidR="00F14137" w:rsidRDefault="00F14137"/>
    <w:p w:rsidR="00F14137" w:rsidRDefault="00F14137"/>
    <w:p w:rsidR="00F14137" w:rsidRDefault="00F14137"/>
    <w:p w:rsidR="00F14137" w:rsidRDefault="00F14137"/>
    <w:p w:rsidR="00F14137" w:rsidRDefault="00F14137"/>
    <w:p w:rsidR="001A1C1F" w:rsidRPr="001A1C1F" w:rsidRDefault="001A1C1F" w:rsidP="001A1C1F">
      <w:pPr>
        <w:rPr>
          <w:szCs w:val="24"/>
        </w:rPr>
      </w:pPr>
    </w:p>
    <w:p w:rsidR="001A1C1F" w:rsidRPr="001A1C1F" w:rsidRDefault="001A1C1F" w:rsidP="00003D09">
      <w:pPr>
        <w:pStyle w:val="Heading1"/>
        <w:spacing w:before="0" w:beforeAutospacing="0" w:after="0" w:afterAutospacing="0"/>
        <w:jc w:val="center"/>
        <w:rPr>
          <w:bCs w:val="0"/>
          <w:sz w:val="24"/>
          <w:szCs w:val="24"/>
        </w:rPr>
      </w:pPr>
      <w:r w:rsidRPr="001A1C1F">
        <w:rPr>
          <w:bCs w:val="0"/>
          <w:sz w:val="24"/>
          <w:szCs w:val="24"/>
        </w:rPr>
        <w:t xml:space="preserve">KENNETH H. RYESKY, ESQ., </w:t>
      </w:r>
      <w:r w:rsidR="00003D09">
        <w:rPr>
          <w:bCs w:val="0"/>
          <w:sz w:val="24"/>
          <w:szCs w:val="24"/>
        </w:rPr>
        <w:t>COMMENTARY SUBMISSION</w:t>
      </w:r>
      <w:r w:rsidRPr="001A1C1F">
        <w:rPr>
          <w:bCs w:val="0"/>
          <w:sz w:val="24"/>
          <w:szCs w:val="24"/>
        </w:rPr>
        <w:t xml:space="preserve">, AUSTRALIAN TREASURY CONSULTATION PAPER FOR REVIEW OF TAX AND CORPORATE WHISTLEBLOWER PROTECTIONS IN AUSTRALIA (20 DECEMBER 2016) </w:t>
      </w:r>
    </w:p>
    <w:p w:rsidR="001A1C1F" w:rsidRDefault="001A1C1F" w:rsidP="001A1C1F">
      <w:pPr>
        <w:jc w:val="center"/>
        <w:rPr>
          <w:szCs w:val="24"/>
        </w:rPr>
      </w:pPr>
    </w:p>
    <w:p w:rsidR="00F14137" w:rsidRDefault="00F14137" w:rsidP="001A1C1F">
      <w:pPr>
        <w:jc w:val="center"/>
        <w:rPr>
          <w:szCs w:val="24"/>
        </w:rPr>
      </w:pPr>
    </w:p>
    <w:p w:rsidR="00F14137" w:rsidRDefault="00F14137" w:rsidP="001A1C1F">
      <w:pPr>
        <w:jc w:val="center"/>
        <w:rPr>
          <w:szCs w:val="24"/>
        </w:rPr>
      </w:pPr>
    </w:p>
    <w:p w:rsidR="00F14137" w:rsidRDefault="00F14137" w:rsidP="001A1C1F">
      <w:pPr>
        <w:jc w:val="center"/>
        <w:rPr>
          <w:szCs w:val="24"/>
        </w:rPr>
      </w:pPr>
    </w:p>
    <w:p w:rsidR="00F14137" w:rsidRDefault="00F14137" w:rsidP="001A1C1F">
      <w:pPr>
        <w:jc w:val="center"/>
        <w:rPr>
          <w:szCs w:val="24"/>
        </w:rPr>
      </w:pPr>
    </w:p>
    <w:p w:rsidR="00F14137" w:rsidRPr="001A1C1F" w:rsidRDefault="00F14137" w:rsidP="001A1C1F">
      <w:pPr>
        <w:jc w:val="center"/>
        <w:rPr>
          <w:szCs w:val="24"/>
        </w:rPr>
      </w:pPr>
    </w:p>
    <w:p w:rsidR="001A1C1F" w:rsidRPr="001A1C1F" w:rsidRDefault="001A1C1F" w:rsidP="001A1C1F">
      <w:pPr>
        <w:rPr>
          <w:szCs w:val="24"/>
        </w:rPr>
      </w:pPr>
    </w:p>
    <w:p w:rsidR="001A1C1F" w:rsidRPr="001A1C1F" w:rsidRDefault="001A1C1F" w:rsidP="001A1C1F">
      <w:pPr>
        <w:rPr>
          <w:szCs w:val="24"/>
        </w:rPr>
      </w:pPr>
      <w:r w:rsidRPr="001A1C1F">
        <w:rPr>
          <w:b/>
          <w:szCs w:val="24"/>
        </w:rPr>
        <w:t>I.  INTRODUCTION</w:t>
      </w:r>
      <w:r w:rsidRPr="001A1C1F">
        <w:rPr>
          <w:szCs w:val="24"/>
        </w:rPr>
        <w:t>:</w:t>
      </w:r>
    </w:p>
    <w:p w:rsidR="001A1C1F" w:rsidRPr="001A1C1F" w:rsidRDefault="001A1C1F" w:rsidP="001A1C1F">
      <w:pPr>
        <w:rPr>
          <w:szCs w:val="24"/>
        </w:rPr>
      </w:pPr>
    </w:p>
    <w:p w:rsidR="001A1C1F" w:rsidRPr="003B19D7" w:rsidRDefault="001A1C1F" w:rsidP="003B19D7">
      <w:pPr>
        <w:pStyle w:val="Heading1"/>
        <w:spacing w:before="0" w:beforeAutospacing="0" w:after="0" w:afterAutospacing="0"/>
        <w:rPr>
          <w:b w:val="0"/>
          <w:bCs w:val="0"/>
          <w:sz w:val="24"/>
          <w:szCs w:val="24"/>
        </w:rPr>
      </w:pPr>
      <w:r w:rsidRPr="001A1C1F">
        <w:rPr>
          <w:b w:val="0"/>
          <w:bCs w:val="0"/>
          <w:sz w:val="24"/>
          <w:szCs w:val="24"/>
        </w:rPr>
        <w:tab/>
        <w:t>The Australian Government Treasur</w:t>
      </w:r>
      <w:r w:rsidRPr="003B19D7">
        <w:rPr>
          <w:b w:val="0"/>
          <w:bCs w:val="0"/>
          <w:sz w:val="24"/>
          <w:szCs w:val="24"/>
        </w:rPr>
        <w:t>y has posted a public Consultation entitled "Review of tax and corporate whistleblower protections in Australia."</w:t>
      </w:r>
      <w:r w:rsidRPr="003B19D7">
        <w:rPr>
          <w:rStyle w:val="Hyperlink"/>
          <w:b w:val="0"/>
          <w:bCs w:val="0"/>
          <w:color w:val="auto"/>
          <w:sz w:val="24"/>
          <w:szCs w:val="24"/>
          <w:u w:val="none"/>
        </w:rPr>
        <w:t xml:space="preserve"> </w:t>
      </w:r>
      <w:r w:rsidRPr="003B19D7">
        <w:rPr>
          <w:rStyle w:val="FootnoteReference"/>
          <w:b w:val="0"/>
          <w:bCs w:val="0"/>
          <w:sz w:val="24"/>
          <w:szCs w:val="24"/>
        </w:rPr>
        <w:footnoteReference w:id="1"/>
      </w:r>
      <w:r w:rsidR="00A21CE2" w:rsidRPr="003B19D7">
        <w:rPr>
          <w:rStyle w:val="Hyperlink"/>
          <w:b w:val="0"/>
          <w:bCs w:val="0"/>
          <w:color w:val="auto"/>
          <w:sz w:val="24"/>
          <w:szCs w:val="24"/>
          <w:u w:val="none"/>
        </w:rPr>
        <w:t xml:space="preserve"> </w:t>
      </w:r>
      <w:r w:rsidR="003B19D7" w:rsidRPr="003B19D7">
        <w:rPr>
          <w:rStyle w:val="Hyperlink"/>
          <w:b w:val="0"/>
          <w:bCs w:val="0"/>
          <w:color w:val="auto"/>
          <w:sz w:val="24"/>
          <w:szCs w:val="24"/>
          <w:u w:val="none"/>
        </w:rPr>
        <w:t xml:space="preserve">The Consultation specifically invites public comments. </w:t>
      </w:r>
      <w:r w:rsidR="00A21CE2" w:rsidRPr="003B19D7">
        <w:rPr>
          <w:rStyle w:val="Hyperlink"/>
          <w:b w:val="0"/>
          <w:bCs w:val="0"/>
          <w:color w:val="auto"/>
          <w:sz w:val="24"/>
          <w:szCs w:val="24"/>
          <w:u w:val="none"/>
        </w:rPr>
        <w:t xml:space="preserve"> </w:t>
      </w:r>
      <w:r w:rsidR="003B19D7" w:rsidRPr="003B19D7">
        <w:rPr>
          <w:rStyle w:val="Hyperlink"/>
          <w:b w:val="0"/>
          <w:bCs w:val="0"/>
          <w:color w:val="auto"/>
          <w:sz w:val="24"/>
          <w:szCs w:val="24"/>
          <w:u w:val="none"/>
        </w:rPr>
        <w:t xml:space="preserve">This Commentary is </w:t>
      </w:r>
      <w:r w:rsidRPr="003B19D7">
        <w:rPr>
          <w:b w:val="0"/>
          <w:bCs w:val="0"/>
          <w:sz w:val="24"/>
          <w:szCs w:val="24"/>
        </w:rPr>
        <w:t>accordingly submitted.</w:t>
      </w:r>
    </w:p>
    <w:p w:rsidR="001A1C1F" w:rsidRPr="003B19D7" w:rsidRDefault="001A1C1F" w:rsidP="001A1C1F">
      <w:pPr>
        <w:rPr>
          <w:szCs w:val="24"/>
        </w:rPr>
      </w:pPr>
    </w:p>
    <w:p w:rsidR="001A1C1F" w:rsidRPr="003B19D7" w:rsidRDefault="001A1C1F" w:rsidP="001A1C1F">
      <w:pPr>
        <w:rPr>
          <w:szCs w:val="24"/>
        </w:rPr>
      </w:pPr>
    </w:p>
    <w:p w:rsidR="001A1C1F" w:rsidRPr="000E19F1" w:rsidRDefault="001A1C1F" w:rsidP="00C204E8">
      <w:pPr>
        <w:rPr>
          <w:b/>
          <w:bCs/>
          <w:szCs w:val="24"/>
        </w:rPr>
      </w:pPr>
      <w:r w:rsidRPr="000E19F1">
        <w:rPr>
          <w:b/>
          <w:bCs/>
          <w:szCs w:val="24"/>
        </w:rPr>
        <w:t>II.  COMMENTATOR'S BACKGROUND</w:t>
      </w:r>
      <w:r w:rsidR="00C204E8">
        <w:rPr>
          <w:b/>
          <w:bCs/>
          <w:szCs w:val="24"/>
        </w:rPr>
        <w:t xml:space="preserve"> </w:t>
      </w:r>
      <w:r w:rsidR="000E19F1">
        <w:rPr>
          <w:b/>
          <w:bCs/>
          <w:szCs w:val="24"/>
        </w:rPr>
        <w:t>AND OTHER PRELIMINARIES</w:t>
      </w:r>
      <w:r w:rsidRPr="000E19F1">
        <w:rPr>
          <w:b/>
          <w:bCs/>
          <w:szCs w:val="24"/>
        </w:rPr>
        <w:t>:</w:t>
      </w:r>
    </w:p>
    <w:p w:rsidR="001A1C1F" w:rsidRPr="003B19D7" w:rsidRDefault="001A1C1F" w:rsidP="001A1C1F">
      <w:pPr>
        <w:rPr>
          <w:szCs w:val="24"/>
        </w:rPr>
      </w:pPr>
    </w:p>
    <w:p w:rsidR="00E11ADC" w:rsidRDefault="001A1C1F" w:rsidP="00747F1B">
      <w:pPr>
        <w:autoSpaceDE w:val="0"/>
        <w:autoSpaceDN w:val="0"/>
        <w:adjustRightInd w:val="0"/>
        <w:rPr>
          <w:szCs w:val="24"/>
        </w:rPr>
      </w:pPr>
      <w:r w:rsidRPr="003B19D7">
        <w:rPr>
          <w:szCs w:val="24"/>
        </w:rPr>
        <w:tab/>
      </w:r>
      <w:r w:rsidRPr="003B19D7">
        <w:rPr>
          <w:szCs w:val="24"/>
          <w:u w:val="single"/>
        </w:rPr>
        <w:t>Background</w:t>
      </w:r>
      <w:r w:rsidRPr="003B19D7">
        <w:rPr>
          <w:szCs w:val="24"/>
        </w:rPr>
        <w:t>:  The Commentator, Kenneth H. Ryesky, Esq. is a</w:t>
      </w:r>
      <w:r w:rsidR="009F5985" w:rsidRPr="003B19D7">
        <w:rPr>
          <w:szCs w:val="24"/>
        </w:rPr>
        <w:t xml:space="preserve">dmitted to </w:t>
      </w:r>
      <w:r w:rsidR="000D0D5B">
        <w:rPr>
          <w:szCs w:val="24"/>
        </w:rPr>
        <w:t xml:space="preserve">the bars of the </w:t>
      </w:r>
      <w:r w:rsidR="003B19D7">
        <w:rPr>
          <w:szCs w:val="24"/>
        </w:rPr>
        <w:t xml:space="preserve">American </w:t>
      </w:r>
      <w:r w:rsidR="000D0D5B">
        <w:rPr>
          <w:szCs w:val="24"/>
        </w:rPr>
        <w:t>c</w:t>
      </w:r>
      <w:r w:rsidR="003B19D7">
        <w:rPr>
          <w:szCs w:val="24"/>
        </w:rPr>
        <w:t>ourts</w:t>
      </w:r>
      <w:r w:rsidRPr="003B19D7">
        <w:rPr>
          <w:szCs w:val="24"/>
        </w:rPr>
        <w:t xml:space="preserve"> </w:t>
      </w:r>
      <w:r w:rsidR="000D0D5B">
        <w:rPr>
          <w:szCs w:val="24"/>
        </w:rPr>
        <w:t xml:space="preserve">in the States </w:t>
      </w:r>
      <w:r w:rsidR="002809BB">
        <w:rPr>
          <w:szCs w:val="24"/>
        </w:rPr>
        <w:t>of</w:t>
      </w:r>
      <w:r w:rsidR="009F5985" w:rsidRPr="003B19D7">
        <w:rPr>
          <w:szCs w:val="24"/>
        </w:rPr>
        <w:t xml:space="preserve"> </w:t>
      </w:r>
      <w:r w:rsidRPr="003B19D7">
        <w:rPr>
          <w:szCs w:val="24"/>
        </w:rPr>
        <w:t>New York, New Jersey</w:t>
      </w:r>
      <w:r w:rsidR="009F5985" w:rsidRPr="003B19D7">
        <w:rPr>
          <w:szCs w:val="24"/>
        </w:rPr>
        <w:t>,</w:t>
      </w:r>
      <w:r w:rsidRPr="003B19D7">
        <w:rPr>
          <w:szCs w:val="24"/>
        </w:rPr>
        <w:t xml:space="preserve"> and Pennsylvania, and</w:t>
      </w:r>
      <w:r w:rsidR="009F5985" w:rsidRPr="003B19D7">
        <w:rPr>
          <w:szCs w:val="24"/>
        </w:rPr>
        <w:t xml:space="preserve"> </w:t>
      </w:r>
      <w:r w:rsidR="003B19D7">
        <w:rPr>
          <w:szCs w:val="24"/>
        </w:rPr>
        <w:t xml:space="preserve">also </w:t>
      </w:r>
      <w:r w:rsidR="00FF5D3F">
        <w:rPr>
          <w:szCs w:val="24"/>
        </w:rPr>
        <w:t xml:space="preserve">to practice </w:t>
      </w:r>
      <w:r w:rsidR="009F5985" w:rsidRPr="003B19D7">
        <w:rPr>
          <w:szCs w:val="24"/>
        </w:rPr>
        <w:t>before the United States Supreme Court.  He is currently a Senior Advisor with Ernst &amp; Young (Kost, Forer, Gabbay &amp; Kasierer) in Tel Aviv</w:t>
      </w:r>
      <w:r w:rsidR="000D0D5B">
        <w:rPr>
          <w:szCs w:val="24"/>
        </w:rPr>
        <w:t>, Israel</w:t>
      </w:r>
      <w:r w:rsidR="009F5985" w:rsidRPr="003B19D7">
        <w:rPr>
          <w:szCs w:val="24"/>
        </w:rPr>
        <w:t xml:space="preserve">.  </w:t>
      </w:r>
      <w:r w:rsidR="00747F1B">
        <w:rPr>
          <w:szCs w:val="24"/>
        </w:rPr>
        <w:t>Before joining Ernst &amp; Young, he was</w:t>
      </w:r>
      <w:r w:rsidR="00FF5D3F">
        <w:rPr>
          <w:szCs w:val="24"/>
        </w:rPr>
        <w:t xml:space="preserve"> </w:t>
      </w:r>
      <w:r w:rsidR="009F5985" w:rsidRPr="003B19D7">
        <w:rPr>
          <w:szCs w:val="24"/>
        </w:rPr>
        <w:t xml:space="preserve">a solo practitioner attorney in New York, and </w:t>
      </w:r>
      <w:r w:rsidR="00504C28">
        <w:rPr>
          <w:szCs w:val="24"/>
        </w:rPr>
        <w:t>for more than 20 years was</w:t>
      </w:r>
      <w:r w:rsidR="009F5985" w:rsidRPr="003B19D7">
        <w:rPr>
          <w:szCs w:val="24"/>
        </w:rPr>
        <w:t xml:space="preserve"> </w:t>
      </w:r>
      <w:r w:rsidRPr="003B19D7">
        <w:rPr>
          <w:szCs w:val="24"/>
        </w:rPr>
        <w:t>an Adjunct Assistant Professor, Department of Accounting and Information Systems, Quee</w:t>
      </w:r>
      <w:r w:rsidRPr="001A1C1F">
        <w:rPr>
          <w:szCs w:val="24"/>
        </w:rPr>
        <w:t>ns College of the City University of New York</w:t>
      </w:r>
      <w:r w:rsidR="00747F1B">
        <w:rPr>
          <w:szCs w:val="24"/>
        </w:rPr>
        <w:t>, where he taught undergraduate and graduate courses in Taxation and Business Law</w:t>
      </w:r>
      <w:r w:rsidRPr="001A1C1F">
        <w:rPr>
          <w:szCs w:val="24"/>
        </w:rPr>
        <w:t xml:space="preserve">.  He has also taught courses in Business Law, and in Taxation, at </w:t>
      </w:r>
      <w:r w:rsidR="006F0640">
        <w:rPr>
          <w:szCs w:val="24"/>
          <w:lang w:bidi="he-IL"/>
        </w:rPr>
        <w:t xml:space="preserve">the </w:t>
      </w:r>
      <w:r w:rsidRPr="001A1C1F">
        <w:rPr>
          <w:szCs w:val="24"/>
        </w:rPr>
        <w:t xml:space="preserve">Sy Syms School of Business, Yeshiva University.  </w:t>
      </w:r>
    </w:p>
    <w:p w:rsidR="00E11ADC" w:rsidRDefault="00E11ADC" w:rsidP="006E30D9">
      <w:pPr>
        <w:autoSpaceDE w:val="0"/>
        <w:autoSpaceDN w:val="0"/>
        <w:adjustRightInd w:val="0"/>
        <w:rPr>
          <w:szCs w:val="24"/>
        </w:rPr>
      </w:pPr>
    </w:p>
    <w:p w:rsidR="001A1C1F" w:rsidRDefault="00E11ADC" w:rsidP="00723D61">
      <w:pPr>
        <w:autoSpaceDE w:val="0"/>
        <w:autoSpaceDN w:val="0"/>
        <w:adjustRightInd w:val="0"/>
        <w:rPr>
          <w:rFonts w:eastAsiaTheme="minorHAnsi"/>
          <w:szCs w:val="24"/>
          <w:lang w:bidi="he-IL"/>
        </w:rPr>
      </w:pPr>
      <w:r>
        <w:rPr>
          <w:szCs w:val="24"/>
        </w:rPr>
        <w:tab/>
      </w:r>
      <w:r w:rsidR="001A1C1F" w:rsidRPr="001A1C1F">
        <w:rPr>
          <w:szCs w:val="24"/>
        </w:rPr>
        <w:t>Prior to entering into the private practice of law, Mr. Ryesky served as an Attorney with the</w:t>
      </w:r>
      <w:r w:rsidR="009F5985">
        <w:rPr>
          <w:szCs w:val="24"/>
        </w:rPr>
        <w:t xml:space="preserve"> United States</w:t>
      </w:r>
      <w:r w:rsidR="001A1C1F" w:rsidRPr="001A1C1F">
        <w:rPr>
          <w:szCs w:val="24"/>
        </w:rPr>
        <w:t xml:space="preserve"> Internal Revenue Service ("IRS"</w:t>
      </w:r>
      <w:r w:rsidR="00723D61">
        <w:rPr>
          <w:szCs w:val="24"/>
        </w:rPr>
        <w:t>);</w:t>
      </w:r>
      <w:r w:rsidR="009F5985" w:rsidRPr="009F5985">
        <w:rPr>
          <w:rStyle w:val="FootnoteReference"/>
          <w:szCs w:val="24"/>
        </w:rPr>
        <w:footnoteReference w:id="2"/>
      </w:r>
      <w:r w:rsidR="006E30D9">
        <w:rPr>
          <w:szCs w:val="24"/>
        </w:rPr>
        <w:t xml:space="preserve"> before serving with the IRS he </w:t>
      </w:r>
      <w:r w:rsidR="002D6093">
        <w:rPr>
          <w:szCs w:val="24"/>
        </w:rPr>
        <w:t>was</w:t>
      </w:r>
      <w:r w:rsidR="006E30D9">
        <w:rPr>
          <w:szCs w:val="24"/>
        </w:rPr>
        <w:t xml:space="preserve"> a </w:t>
      </w:r>
      <w:r w:rsidR="006E30D9">
        <w:rPr>
          <w:szCs w:val="24"/>
        </w:rPr>
        <w:lastRenderedPageBreak/>
        <w:t>Contracting Officer and</w:t>
      </w:r>
      <w:r w:rsidR="002D6093">
        <w:rPr>
          <w:szCs w:val="24"/>
        </w:rPr>
        <w:t xml:space="preserve"> an</w:t>
      </w:r>
      <w:r w:rsidR="006E30D9">
        <w:rPr>
          <w:szCs w:val="24"/>
        </w:rPr>
        <w:t xml:space="preserve"> Analyst with the U.S. Department of Defense (DoD)</w:t>
      </w:r>
      <w:r w:rsidR="001A1C1F" w:rsidRPr="001A1C1F">
        <w:rPr>
          <w:szCs w:val="24"/>
        </w:rPr>
        <w:t xml:space="preserve">. </w:t>
      </w:r>
      <w:r w:rsidR="006E30D9">
        <w:rPr>
          <w:rFonts w:eastAsiaTheme="minorHAnsi"/>
          <w:szCs w:val="24"/>
          <w:lang w:bidi="he-IL"/>
        </w:rPr>
        <w:t>In addition to his law deg</w:t>
      </w:r>
      <w:r w:rsidR="001E3224">
        <w:rPr>
          <w:rFonts w:eastAsiaTheme="minorHAnsi"/>
          <w:szCs w:val="24"/>
          <w:lang w:bidi="he-IL"/>
        </w:rPr>
        <w:t>ree (JD, Temple University</w:t>
      </w:r>
      <w:r w:rsidR="006E30D9">
        <w:rPr>
          <w:rFonts w:eastAsiaTheme="minorHAnsi"/>
          <w:szCs w:val="24"/>
          <w:lang w:bidi="he-IL"/>
        </w:rPr>
        <w:t xml:space="preserve">), Mr. Ryesky holds a BBA </w:t>
      </w:r>
      <w:r w:rsidR="001E3224">
        <w:rPr>
          <w:rFonts w:eastAsiaTheme="minorHAnsi"/>
          <w:szCs w:val="24"/>
          <w:lang w:bidi="he-IL"/>
        </w:rPr>
        <w:t>degree (Temple University</w:t>
      </w:r>
      <w:r w:rsidR="006E30D9">
        <w:rPr>
          <w:rFonts w:eastAsiaTheme="minorHAnsi"/>
          <w:szCs w:val="24"/>
          <w:lang w:bidi="he-IL"/>
        </w:rPr>
        <w:t>), a MBA d</w:t>
      </w:r>
      <w:r w:rsidR="001E3224">
        <w:rPr>
          <w:rFonts w:eastAsiaTheme="minorHAnsi"/>
          <w:szCs w:val="24"/>
          <w:lang w:bidi="he-IL"/>
        </w:rPr>
        <w:t>egree (La Salle University</w:t>
      </w:r>
      <w:r w:rsidR="006E30D9">
        <w:rPr>
          <w:rFonts w:eastAsiaTheme="minorHAnsi"/>
          <w:szCs w:val="24"/>
          <w:lang w:bidi="he-IL"/>
        </w:rPr>
        <w:t>) and a MLS d</w:t>
      </w:r>
      <w:r w:rsidR="001E3224">
        <w:rPr>
          <w:rFonts w:eastAsiaTheme="minorHAnsi"/>
          <w:szCs w:val="24"/>
          <w:lang w:bidi="he-IL"/>
        </w:rPr>
        <w:t>egree (Queens College CUNY</w:t>
      </w:r>
      <w:r w:rsidR="006E30D9">
        <w:rPr>
          <w:rFonts w:eastAsiaTheme="minorHAnsi"/>
          <w:szCs w:val="24"/>
          <w:lang w:bidi="he-IL"/>
        </w:rPr>
        <w:t>).</w:t>
      </w:r>
      <w:r w:rsidR="00EF24F0">
        <w:rPr>
          <w:rFonts w:eastAsiaTheme="minorHAnsi"/>
          <w:szCs w:val="24"/>
          <w:lang w:bidi="he-IL"/>
        </w:rPr>
        <w:t xml:space="preserve">  He has authored several scholarly articles on taxation-related subjects, some of which have been cited in court decisions.</w:t>
      </w:r>
    </w:p>
    <w:p w:rsidR="00E11ADC" w:rsidRDefault="00E11ADC" w:rsidP="006E30D9">
      <w:pPr>
        <w:autoSpaceDE w:val="0"/>
        <w:autoSpaceDN w:val="0"/>
        <w:adjustRightInd w:val="0"/>
        <w:rPr>
          <w:rFonts w:eastAsiaTheme="minorHAnsi"/>
          <w:szCs w:val="24"/>
          <w:lang w:bidi="he-IL"/>
        </w:rPr>
      </w:pPr>
    </w:p>
    <w:p w:rsidR="00E11ADC" w:rsidRDefault="00E11ADC" w:rsidP="00B27C01">
      <w:pPr>
        <w:autoSpaceDE w:val="0"/>
        <w:autoSpaceDN w:val="0"/>
        <w:adjustRightInd w:val="0"/>
        <w:rPr>
          <w:rFonts w:eastAsiaTheme="minorHAnsi"/>
          <w:szCs w:val="24"/>
          <w:lang w:bidi="he-IL"/>
        </w:rPr>
      </w:pPr>
      <w:r>
        <w:rPr>
          <w:rFonts w:eastAsiaTheme="minorHAnsi"/>
          <w:szCs w:val="24"/>
          <w:lang w:bidi="he-IL"/>
        </w:rPr>
        <w:tab/>
      </w:r>
      <w:r w:rsidR="00B27C01">
        <w:rPr>
          <w:rFonts w:eastAsiaTheme="minorHAnsi"/>
          <w:szCs w:val="24"/>
          <w:lang w:bidi="he-IL"/>
        </w:rPr>
        <w:t xml:space="preserve">During his career, the </w:t>
      </w:r>
      <w:r>
        <w:rPr>
          <w:rFonts w:eastAsiaTheme="minorHAnsi"/>
          <w:szCs w:val="24"/>
          <w:lang w:bidi="he-IL"/>
        </w:rPr>
        <w:t>Commentator has had cognizance over whistleblower cases with the Department of Defense, the IRS, and in his private solo law practice.</w:t>
      </w:r>
    </w:p>
    <w:p w:rsidR="006E30D9" w:rsidRPr="00FF341F" w:rsidRDefault="006E30D9" w:rsidP="006E30D9">
      <w:pPr>
        <w:autoSpaceDE w:val="0"/>
        <w:autoSpaceDN w:val="0"/>
        <w:adjustRightInd w:val="0"/>
      </w:pPr>
    </w:p>
    <w:p w:rsidR="001A1C1F" w:rsidRPr="00FF341F" w:rsidRDefault="001A1C1F" w:rsidP="00A21CE2">
      <w:r w:rsidRPr="00FF341F">
        <w:tab/>
      </w:r>
      <w:r w:rsidRPr="00B00173">
        <w:rPr>
          <w:u w:val="single"/>
        </w:rPr>
        <w:t>Contact information</w:t>
      </w:r>
      <w:r w:rsidRPr="00FF341F">
        <w:t xml:space="preserve">:  Kenneth H. Ryesky, Esq., </w:t>
      </w:r>
      <w:r w:rsidR="006E30D9">
        <w:t xml:space="preserve">International Tax Services Group, U.S. Tax Desk, </w:t>
      </w:r>
      <w:r w:rsidR="006E30D9">
        <w:rPr>
          <w:szCs w:val="24"/>
        </w:rPr>
        <w:t xml:space="preserve">Ernst &amp; Young (Kost, Forer, Gabbay &amp; Kasierer), Tel Aviv, Israel;  </w:t>
      </w:r>
      <w:r w:rsidR="00A21CE2">
        <w:rPr>
          <w:szCs w:val="24"/>
        </w:rPr>
        <w:t>E</w:t>
      </w:r>
      <w:r w:rsidR="006E30D9">
        <w:rPr>
          <w:szCs w:val="24"/>
        </w:rPr>
        <w:t>-mail:  kenneth.ryesky@il.ey.com (professional); kenneth.ryesky@gmail.com (personal).</w:t>
      </w:r>
    </w:p>
    <w:p w:rsidR="00822EDD" w:rsidRDefault="00822EDD" w:rsidP="001A1C1F"/>
    <w:p w:rsidR="00822EDD" w:rsidRDefault="00822EDD" w:rsidP="00C071A8">
      <w:r>
        <w:tab/>
      </w:r>
      <w:r>
        <w:rPr>
          <w:u w:val="single"/>
        </w:rPr>
        <w:t>Citation Conventions:</w:t>
      </w:r>
      <w:r>
        <w:t xml:space="preserve">  The contents of this Commentary will deal mostly if not exclusively with United States law, reflecting the Commentator's direct experiences (until quite recently).  Accordingly, </w:t>
      </w:r>
      <w:r w:rsidR="0010284E">
        <w:t>c</w:t>
      </w:r>
      <w:r>
        <w:t>itation conventions used by the American taxation bar and bench will be utilized as follows:</w:t>
      </w:r>
    </w:p>
    <w:p w:rsidR="00822EDD" w:rsidRDefault="00822EDD" w:rsidP="00822EDD"/>
    <w:p w:rsidR="00822EDD" w:rsidRPr="00366E28" w:rsidRDefault="00822EDD" w:rsidP="00E9706E">
      <w:pPr>
        <w:tabs>
          <w:tab w:val="left" w:pos="-720"/>
        </w:tabs>
        <w:suppressAutoHyphens/>
        <w:rPr>
          <w:szCs w:val="24"/>
        </w:rPr>
      </w:pPr>
      <w:r>
        <w:tab/>
      </w:r>
      <w:r w:rsidRPr="00C6768B">
        <w:rPr>
          <w:rStyle w:val="verdana"/>
        </w:rPr>
        <w:t>The Internal Revenue Code codification is at Title 26 of the United States Code. The common accepted convention among tax practitioners and courts to cite the Internal Revenue Code as "I.R.C." instead of "26 U.S.C." will be utilized in this article.</w:t>
      </w:r>
      <w:r w:rsidR="009C54CE" w:rsidRPr="009C54CE">
        <w:rPr>
          <w:rStyle w:val="FootnoteReference"/>
          <w:szCs w:val="24"/>
        </w:rPr>
        <w:t xml:space="preserve"> </w:t>
      </w:r>
      <w:r w:rsidR="009C54CE" w:rsidRPr="003B19D7">
        <w:rPr>
          <w:rStyle w:val="FootnoteReference"/>
          <w:szCs w:val="24"/>
        </w:rPr>
        <w:footnoteReference w:id="3"/>
      </w:r>
      <w:r w:rsidR="009C54CE" w:rsidRPr="003B19D7">
        <w:rPr>
          <w:rStyle w:val="Hyperlink"/>
          <w:color w:val="auto"/>
          <w:szCs w:val="24"/>
          <w:u w:val="none"/>
        </w:rPr>
        <w:t xml:space="preserve"> </w:t>
      </w:r>
      <w:r w:rsidRPr="00C6768B">
        <w:rPr>
          <w:rStyle w:val="verdana"/>
        </w:rPr>
        <w:t xml:space="preserve"> By analogous convention, regulations issued by the Treasury Department pursuant to the Internal Revenue Code will be cited as "</w:t>
      </w:r>
      <w:r w:rsidRPr="00822EDD">
        <w:rPr>
          <w:rStyle w:val="verdana"/>
        </w:rPr>
        <w:t>Treas. Reg</w:t>
      </w:r>
      <w:r w:rsidRPr="00C6768B">
        <w:rPr>
          <w:rStyle w:val="verdana"/>
        </w:rPr>
        <w:t>." instead of "26 C.F.R."</w:t>
      </w:r>
      <w:r w:rsidR="009C54CE" w:rsidRPr="009C54CE">
        <w:rPr>
          <w:rStyle w:val="FootnoteReference"/>
          <w:szCs w:val="24"/>
        </w:rPr>
        <w:t xml:space="preserve"> </w:t>
      </w:r>
      <w:r w:rsidR="009C54CE" w:rsidRPr="003B19D7">
        <w:rPr>
          <w:rStyle w:val="FootnoteReference"/>
          <w:szCs w:val="24"/>
        </w:rPr>
        <w:footnoteReference w:id="4"/>
      </w:r>
      <w:r w:rsidR="009C54CE" w:rsidRPr="003B19D7">
        <w:rPr>
          <w:rStyle w:val="Hyperlink"/>
          <w:color w:val="auto"/>
          <w:szCs w:val="24"/>
          <w:u w:val="none"/>
        </w:rPr>
        <w:t xml:space="preserve"> </w:t>
      </w:r>
      <w:r w:rsidRPr="00C6768B">
        <w:rPr>
          <w:rStyle w:val="verdana"/>
        </w:rPr>
        <w:t xml:space="preserve"> </w:t>
      </w:r>
      <w:r w:rsidR="00E9706E">
        <w:rPr>
          <w:rStyle w:val="verdana"/>
        </w:rPr>
        <w:t>The Internal Revenue Manual, an internal promulgation by the IRS, will be cited as "I.R.M."</w:t>
      </w:r>
    </w:p>
    <w:p w:rsidR="000E19F1" w:rsidRDefault="000E19F1" w:rsidP="001A1C1F">
      <w:pPr>
        <w:rPr>
          <w:lang w:bidi="he-IL"/>
        </w:rPr>
      </w:pPr>
    </w:p>
    <w:p w:rsidR="00A21CE2" w:rsidRDefault="000E19F1" w:rsidP="00C204E8">
      <w:pPr>
        <w:rPr>
          <w:rtl/>
          <w:lang w:bidi="he-IL"/>
        </w:rPr>
      </w:pPr>
      <w:r>
        <w:tab/>
      </w:r>
      <w:r w:rsidR="003F2408" w:rsidRPr="003F2408">
        <w:rPr>
          <w:u w:val="single"/>
        </w:rPr>
        <w:t xml:space="preserve">Commentary </w:t>
      </w:r>
      <w:r>
        <w:rPr>
          <w:u w:val="single"/>
        </w:rPr>
        <w:t>Disclosure</w:t>
      </w:r>
      <w:r w:rsidR="00D31C40">
        <w:rPr>
          <w:u w:val="single"/>
        </w:rPr>
        <w:t xml:space="preserve"> &amp; Attribution</w:t>
      </w:r>
      <w:r>
        <w:rPr>
          <w:u w:val="single"/>
        </w:rPr>
        <w:t>:</w:t>
      </w:r>
      <w:r>
        <w:t xml:space="preserve">  The Commentator consents to the release</w:t>
      </w:r>
      <w:r w:rsidR="00614A45">
        <w:t xml:space="preserve"> </w:t>
      </w:r>
      <w:r>
        <w:t xml:space="preserve">of this Commentary in its entirety, including the Commentator's personal identifying and contact information, to all </w:t>
      </w:r>
      <w:r w:rsidR="00614A45">
        <w:t xml:space="preserve">relevant </w:t>
      </w:r>
      <w:r>
        <w:t xml:space="preserve">Australian governmental officials and indeed, to the news media and to the public. </w:t>
      </w:r>
      <w:r w:rsidR="00723D61">
        <w:t>Consent is also given for</w:t>
      </w:r>
      <w:r w:rsidR="00EE77FD">
        <w:t xml:space="preserve"> quotation and/or </w:t>
      </w:r>
      <w:r w:rsidR="00723D61">
        <w:t xml:space="preserve"> republication of this Commentary in whole </w:t>
      </w:r>
      <w:r w:rsidR="00C204E8">
        <w:t>or</w:t>
      </w:r>
      <w:r w:rsidR="00723D61">
        <w:t xml:space="preserve"> in part; s</w:t>
      </w:r>
      <w:r>
        <w:t>uch consent</w:t>
      </w:r>
      <w:r w:rsidR="00614A45">
        <w:t xml:space="preserve"> </w:t>
      </w:r>
      <w:r w:rsidR="00723D61">
        <w:t>being</w:t>
      </w:r>
      <w:r w:rsidR="00614A45">
        <w:t xml:space="preserve"> conditioned upon proper attribution </w:t>
      </w:r>
      <w:r w:rsidR="00723D61">
        <w:t>of this Commentary to</w:t>
      </w:r>
      <w:r w:rsidR="00614A45">
        <w:t xml:space="preserve"> the Commentator</w:t>
      </w:r>
      <w:r w:rsidR="00FB751C">
        <w:t xml:space="preserve"> (which includes the correct spelling of the Commentator's name)</w:t>
      </w:r>
      <w:r w:rsidR="00723D61">
        <w:t>.</w:t>
      </w:r>
    </w:p>
    <w:p w:rsidR="00121C13" w:rsidRPr="00FF341F" w:rsidRDefault="00121C13" w:rsidP="00121C13"/>
    <w:p w:rsidR="00121C13" w:rsidRDefault="00121C13" w:rsidP="00121C13">
      <w:r w:rsidRPr="00FF341F">
        <w:lastRenderedPageBreak/>
        <w:tab/>
      </w:r>
      <w:r w:rsidRPr="00B00173">
        <w:rPr>
          <w:u w:val="single"/>
        </w:rPr>
        <w:t>Disclaimer</w:t>
      </w:r>
      <w:r w:rsidRPr="00FF341F">
        <w:t xml:space="preserve">:  This Commentary reflects the Commentator's personal views, is not written or submitted on behalf of </w:t>
      </w:r>
      <w:r w:rsidRPr="00B00173">
        <w:t>any other person or entity, and does not necessarily represent the official position of any person, entity, organization or institution with which the Commentator is or has been associated</w:t>
      </w:r>
      <w:r w:rsidRPr="00FF341F">
        <w:t>, employed</w:t>
      </w:r>
      <w:r w:rsidR="001E3403">
        <w:t>,</w:t>
      </w:r>
      <w:r w:rsidRPr="00FF341F">
        <w:t xml:space="preserve"> or retained.</w:t>
      </w:r>
    </w:p>
    <w:p w:rsidR="00A21CE2" w:rsidRDefault="00A21CE2" w:rsidP="001A1C1F"/>
    <w:p w:rsidR="00F14137" w:rsidRDefault="00F14137" w:rsidP="001A1C1F"/>
    <w:p w:rsidR="00F14137" w:rsidRDefault="00F14137" w:rsidP="001A1C1F"/>
    <w:p w:rsidR="00F14137" w:rsidRDefault="00F14137" w:rsidP="001A1C1F"/>
    <w:p w:rsidR="00F14137" w:rsidRDefault="00F14137" w:rsidP="001A1C1F"/>
    <w:p w:rsidR="001A1C1F" w:rsidRPr="00A21CE2" w:rsidRDefault="001A1C1F" w:rsidP="001A1C1F">
      <w:pPr>
        <w:rPr>
          <w:szCs w:val="24"/>
        </w:rPr>
      </w:pPr>
    </w:p>
    <w:p w:rsidR="008917F2" w:rsidRPr="00A21CE2" w:rsidRDefault="00A21CE2" w:rsidP="001A1C1F">
      <w:pPr>
        <w:tabs>
          <w:tab w:val="left" w:pos="1215"/>
        </w:tabs>
        <w:rPr>
          <w:bCs/>
          <w:szCs w:val="24"/>
        </w:rPr>
      </w:pPr>
      <w:r w:rsidRPr="00A21CE2">
        <w:rPr>
          <w:b/>
          <w:szCs w:val="24"/>
        </w:rPr>
        <w:t>III.  COMMENTS ON RELEVANT QUESTIONS OF THE CONSULTATION:</w:t>
      </w:r>
    </w:p>
    <w:p w:rsidR="00A21CE2" w:rsidRPr="00A21CE2" w:rsidRDefault="00A21CE2" w:rsidP="001A1C1F">
      <w:pPr>
        <w:tabs>
          <w:tab w:val="left" w:pos="1215"/>
        </w:tabs>
        <w:rPr>
          <w:bCs/>
          <w:szCs w:val="24"/>
        </w:rPr>
      </w:pPr>
    </w:p>
    <w:p w:rsidR="00A21CE2" w:rsidRDefault="00A21CE2" w:rsidP="004F016D">
      <w:pPr>
        <w:tabs>
          <w:tab w:val="left" w:pos="1215"/>
        </w:tabs>
        <w:rPr>
          <w:szCs w:val="24"/>
        </w:rPr>
      </w:pPr>
      <w:r w:rsidRPr="00A21CE2">
        <w:rPr>
          <w:bCs/>
          <w:szCs w:val="24"/>
        </w:rPr>
        <w:tab/>
        <w:t>The Consultation poses various questions, and specifically provides that "[m]</w:t>
      </w:r>
      <w:r w:rsidRPr="00A21CE2">
        <w:rPr>
          <w:szCs w:val="24"/>
        </w:rPr>
        <w:t>embers of the public are invited to address any matter raised in this paper and should not feel obliged to address each and every question."</w:t>
      </w:r>
      <w:r>
        <w:rPr>
          <w:szCs w:val="24"/>
        </w:rPr>
        <w:t xml:space="preserve">  </w:t>
      </w:r>
      <w:r w:rsidR="004F016D">
        <w:rPr>
          <w:szCs w:val="24"/>
        </w:rPr>
        <w:t>The questions to which the Commentator sees fit to respond will now be addressed seriatim:</w:t>
      </w:r>
    </w:p>
    <w:p w:rsidR="004F016D" w:rsidRDefault="004F016D" w:rsidP="004F016D">
      <w:pPr>
        <w:tabs>
          <w:tab w:val="left" w:pos="1215"/>
        </w:tabs>
        <w:rPr>
          <w:szCs w:val="24"/>
        </w:rPr>
      </w:pPr>
    </w:p>
    <w:p w:rsidR="004F016D" w:rsidRDefault="004F016D" w:rsidP="00E96C4B">
      <w:pPr>
        <w:tabs>
          <w:tab w:val="left" w:pos="1215"/>
        </w:tabs>
        <w:rPr>
          <w:szCs w:val="24"/>
        </w:rPr>
      </w:pPr>
      <w:r>
        <w:rPr>
          <w:szCs w:val="24"/>
        </w:rPr>
        <w:tab/>
      </w:r>
      <w:r>
        <w:rPr>
          <w:b/>
          <w:bCs/>
          <w:szCs w:val="24"/>
        </w:rPr>
        <w:t>Questions 1 - 3:</w:t>
      </w:r>
      <w:r>
        <w:rPr>
          <w:szCs w:val="24"/>
        </w:rPr>
        <w:t xml:space="preserve">  Persons other than officers and employees often have knowledge of serious violations of the </w:t>
      </w:r>
      <w:r w:rsidR="00F01ECB">
        <w:rPr>
          <w:szCs w:val="24"/>
        </w:rPr>
        <w:t xml:space="preserve">tax </w:t>
      </w:r>
      <w:r>
        <w:rPr>
          <w:szCs w:val="24"/>
        </w:rPr>
        <w:t xml:space="preserve">law </w:t>
      </w:r>
      <w:r w:rsidR="00F01ECB">
        <w:rPr>
          <w:szCs w:val="24"/>
        </w:rPr>
        <w:t>(and/or the securities regulation or bankruptcy statutes)</w:t>
      </w:r>
      <w:r>
        <w:rPr>
          <w:szCs w:val="24"/>
        </w:rPr>
        <w:t>.  Former employees,</w:t>
      </w:r>
      <w:r w:rsidR="00A45D9D" w:rsidRPr="009F5985">
        <w:rPr>
          <w:rStyle w:val="FootnoteReference"/>
          <w:szCs w:val="24"/>
        </w:rPr>
        <w:footnoteReference w:id="5"/>
      </w:r>
      <w:r>
        <w:rPr>
          <w:szCs w:val="24"/>
        </w:rPr>
        <w:t xml:space="preserve"> former (and soon-to-be former) spouses,</w:t>
      </w:r>
      <w:r w:rsidR="00C30BC3" w:rsidRPr="00C30BC3">
        <w:rPr>
          <w:rStyle w:val="FootnoteReference"/>
          <w:szCs w:val="24"/>
        </w:rPr>
        <w:t xml:space="preserve"> </w:t>
      </w:r>
      <w:r w:rsidR="00C30BC3" w:rsidRPr="009F5985">
        <w:rPr>
          <w:rStyle w:val="FootnoteReference"/>
          <w:szCs w:val="24"/>
        </w:rPr>
        <w:footnoteReference w:id="6"/>
      </w:r>
      <w:r>
        <w:rPr>
          <w:szCs w:val="24"/>
        </w:rPr>
        <w:t xml:space="preserve"> jilted ex-paramours</w:t>
      </w:r>
      <w:r w:rsidR="005A79FB">
        <w:rPr>
          <w:szCs w:val="24"/>
        </w:rPr>
        <w:t>,</w:t>
      </w:r>
      <w:r w:rsidR="00D14B98" w:rsidRPr="009F5985">
        <w:rPr>
          <w:rStyle w:val="FootnoteReference"/>
          <w:szCs w:val="24"/>
        </w:rPr>
        <w:footnoteReference w:id="7"/>
      </w:r>
      <w:r w:rsidR="00DE1E23">
        <w:rPr>
          <w:szCs w:val="24"/>
        </w:rPr>
        <w:t xml:space="preserve"> and parties to prospective </w:t>
      </w:r>
      <w:r w:rsidR="00D060EE">
        <w:rPr>
          <w:szCs w:val="24"/>
        </w:rPr>
        <w:t xml:space="preserve">business transactions gone sour, </w:t>
      </w:r>
      <w:r w:rsidR="00DE1E23" w:rsidRPr="009F5985">
        <w:rPr>
          <w:rStyle w:val="FootnoteReference"/>
          <w:szCs w:val="24"/>
        </w:rPr>
        <w:footnoteReference w:id="8"/>
      </w:r>
      <w:r w:rsidR="005A79FB">
        <w:rPr>
          <w:szCs w:val="24"/>
        </w:rPr>
        <w:t xml:space="preserve"> motivated by concerns of patriotism, remuneration, and retribution (not necessarily in </w:t>
      </w:r>
      <w:r w:rsidR="00D060EE">
        <w:rPr>
          <w:szCs w:val="24"/>
        </w:rPr>
        <w:t>such</w:t>
      </w:r>
      <w:r w:rsidR="005A79FB">
        <w:rPr>
          <w:szCs w:val="24"/>
        </w:rPr>
        <w:t xml:space="preserve"> alphabetical order of preference) can be valuable sources of information regarding tax crimes and other attacks upon the integrity of the public fisc.</w:t>
      </w:r>
      <w:r w:rsidR="00F272AD">
        <w:rPr>
          <w:szCs w:val="24"/>
        </w:rPr>
        <w:t xml:space="preserve">  Such persons do not always fit squarely into commonly-assumed stereotype</w:t>
      </w:r>
      <w:r w:rsidR="00E96C4B">
        <w:rPr>
          <w:szCs w:val="24"/>
        </w:rPr>
        <w:t>s</w:t>
      </w:r>
      <w:r w:rsidR="00F272AD">
        <w:rPr>
          <w:szCs w:val="24"/>
        </w:rPr>
        <w:t xml:space="preserve"> of a person likely to be an informant.</w:t>
      </w:r>
      <w:r w:rsidR="00F272AD" w:rsidRPr="00F272AD">
        <w:rPr>
          <w:rStyle w:val="FootnoteReference"/>
          <w:szCs w:val="24"/>
        </w:rPr>
        <w:t xml:space="preserve"> </w:t>
      </w:r>
      <w:r w:rsidR="0062789B" w:rsidRPr="009F5985">
        <w:rPr>
          <w:rStyle w:val="FootnoteReference"/>
          <w:szCs w:val="24"/>
        </w:rPr>
        <w:footnoteReference w:id="9"/>
      </w:r>
    </w:p>
    <w:p w:rsidR="00721D33" w:rsidRDefault="00721D33" w:rsidP="00F01ECB">
      <w:pPr>
        <w:tabs>
          <w:tab w:val="left" w:pos="1215"/>
        </w:tabs>
        <w:rPr>
          <w:szCs w:val="24"/>
        </w:rPr>
      </w:pPr>
    </w:p>
    <w:p w:rsidR="00721D33" w:rsidRDefault="00721D33" w:rsidP="00F01ECB">
      <w:pPr>
        <w:tabs>
          <w:tab w:val="left" w:pos="1215"/>
        </w:tabs>
        <w:rPr>
          <w:szCs w:val="24"/>
        </w:rPr>
      </w:pPr>
    </w:p>
    <w:p w:rsidR="00721D33" w:rsidRDefault="00721D33" w:rsidP="002A25D6">
      <w:pPr>
        <w:tabs>
          <w:tab w:val="left" w:pos="1215"/>
        </w:tabs>
        <w:rPr>
          <w:szCs w:val="24"/>
        </w:rPr>
      </w:pPr>
      <w:r>
        <w:rPr>
          <w:szCs w:val="24"/>
        </w:rPr>
        <w:tab/>
      </w:r>
      <w:r>
        <w:rPr>
          <w:b/>
          <w:bCs/>
          <w:szCs w:val="24"/>
        </w:rPr>
        <w:t xml:space="preserve">Questions 4 - 5: </w:t>
      </w:r>
      <w:r>
        <w:rPr>
          <w:szCs w:val="24"/>
        </w:rPr>
        <w:t xml:space="preserve">  </w:t>
      </w:r>
      <w:r w:rsidR="009D1DD5">
        <w:rPr>
          <w:szCs w:val="24"/>
        </w:rPr>
        <w:t>Because fraud in taxation and other fiscal areas is consistently evolving, the government (whether US or Australian</w:t>
      </w:r>
      <w:r w:rsidR="00381B22">
        <w:rPr>
          <w:szCs w:val="24"/>
        </w:rPr>
        <w:t xml:space="preserve"> or otherwise</w:t>
      </w:r>
      <w:r w:rsidR="009D1DD5">
        <w:rPr>
          <w:szCs w:val="24"/>
        </w:rPr>
        <w:t>) needs to stay ahead of (or at least not fall too far behind) the fraudsters.</w:t>
      </w:r>
      <w:r w:rsidR="009D1DD5" w:rsidRPr="009D1DD5">
        <w:rPr>
          <w:rStyle w:val="FootnoteReference"/>
          <w:szCs w:val="24"/>
        </w:rPr>
        <w:t xml:space="preserve"> </w:t>
      </w:r>
      <w:r w:rsidR="009D1DD5" w:rsidRPr="009F5985">
        <w:rPr>
          <w:rStyle w:val="FootnoteReference"/>
          <w:szCs w:val="24"/>
        </w:rPr>
        <w:footnoteReference w:id="10"/>
      </w:r>
      <w:r w:rsidR="00110B64">
        <w:rPr>
          <w:szCs w:val="24"/>
        </w:rPr>
        <w:t xml:space="preserve">  Limiting the disclosure areas does not serve such an end.  There does, however, need to be a requirement that the disclosure be made on "reasonable grounds" or some other objective measure, else </w:t>
      </w:r>
      <w:r w:rsidR="002A25D6">
        <w:rPr>
          <w:szCs w:val="24"/>
        </w:rPr>
        <w:t xml:space="preserve">a whistleblower having a personal axe to grind might </w:t>
      </w:r>
      <w:r w:rsidR="00FF0B4A">
        <w:rPr>
          <w:szCs w:val="24"/>
        </w:rPr>
        <w:t xml:space="preserve">needlessly </w:t>
      </w:r>
      <w:r w:rsidR="002A25D6">
        <w:rPr>
          <w:szCs w:val="24"/>
        </w:rPr>
        <w:t>tie up the taxpayer, the various governmental agencies, and the courts</w:t>
      </w:r>
      <w:r w:rsidR="00110B64">
        <w:rPr>
          <w:szCs w:val="24"/>
        </w:rPr>
        <w:t xml:space="preserve"> </w:t>
      </w:r>
      <w:r w:rsidR="002A25D6">
        <w:rPr>
          <w:szCs w:val="24"/>
        </w:rPr>
        <w:t>in costly litigation.</w:t>
      </w:r>
    </w:p>
    <w:p w:rsidR="00F410E5" w:rsidRDefault="00F410E5" w:rsidP="002A25D6">
      <w:pPr>
        <w:tabs>
          <w:tab w:val="left" w:pos="1215"/>
        </w:tabs>
        <w:rPr>
          <w:szCs w:val="24"/>
        </w:rPr>
      </w:pPr>
    </w:p>
    <w:p w:rsidR="00F410E5" w:rsidRPr="00721D33" w:rsidRDefault="00F410E5" w:rsidP="002A25D6">
      <w:pPr>
        <w:tabs>
          <w:tab w:val="left" w:pos="1215"/>
        </w:tabs>
        <w:rPr>
          <w:szCs w:val="24"/>
        </w:rPr>
      </w:pPr>
      <w:r>
        <w:rPr>
          <w:szCs w:val="24"/>
        </w:rPr>
        <w:tab/>
        <w:t>There is also the matter of whether and to what extent the whistleblower has clean hands in the matter.</w:t>
      </w:r>
      <w:r w:rsidRPr="00F410E5">
        <w:rPr>
          <w:rStyle w:val="FootnoteReference"/>
          <w:szCs w:val="24"/>
        </w:rPr>
        <w:t xml:space="preserve"> </w:t>
      </w:r>
      <w:r w:rsidRPr="009F5985">
        <w:rPr>
          <w:rStyle w:val="FootnoteReference"/>
          <w:szCs w:val="24"/>
        </w:rPr>
        <w:footnoteReference w:id="11"/>
      </w:r>
    </w:p>
    <w:p w:rsidR="00721D33" w:rsidRDefault="00721D33" w:rsidP="00F01ECB">
      <w:pPr>
        <w:tabs>
          <w:tab w:val="left" w:pos="1215"/>
        </w:tabs>
        <w:rPr>
          <w:szCs w:val="24"/>
        </w:rPr>
      </w:pPr>
    </w:p>
    <w:p w:rsidR="00721D33" w:rsidRDefault="00721D33" w:rsidP="00F01ECB">
      <w:pPr>
        <w:tabs>
          <w:tab w:val="left" w:pos="1215"/>
        </w:tabs>
        <w:rPr>
          <w:szCs w:val="24"/>
        </w:rPr>
      </w:pPr>
    </w:p>
    <w:p w:rsidR="007629A5" w:rsidRDefault="009F6FB7" w:rsidP="006C0189">
      <w:pPr>
        <w:tabs>
          <w:tab w:val="left" w:pos="1215"/>
        </w:tabs>
        <w:rPr>
          <w:szCs w:val="24"/>
        </w:rPr>
      </w:pPr>
      <w:r>
        <w:rPr>
          <w:szCs w:val="24"/>
        </w:rPr>
        <w:tab/>
      </w:r>
      <w:r>
        <w:rPr>
          <w:b/>
          <w:bCs/>
          <w:szCs w:val="24"/>
        </w:rPr>
        <w:t>Questions 6 - 8:</w:t>
      </w:r>
      <w:r>
        <w:rPr>
          <w:szCs w:val="24"/>
        </w:rPr>
        <w:t xml:space="preserve">  </w:t>
      </w:r>
      <w:r w:rsidR="007629A5">
        <w:rPr>
          <w:szCs w:val="24"/>
        </w:rPr>
        <w:t>Imprimis, IRS employees and employees of</w:t>
      </w:r>
      <w:r w:rsidR="00322B15">
        <w:rPr>
          <w:szCs w:val="24"/>
        </w:rPr>
        <w:t xml:space="preserve"> U.S.</w:t>
      </w:r>
      <w:r w:rsidR="007629A5">
        <w:rPr>
          <w:szCs w:val="24"/>
        </w:rPr>
        <w:t xml:space="preserve"> state taxation authorities enjoy anonymity under the appropriate circumstances.</w:t>
      </w:r>
      <w:r w:rsidR="007629A5" w:rsidRPr="009F5985">
        <w:rPr>
          <w:rStyle w:val="FootnoteReference"/>
          <w:szCs w:val="24"/>
        </w:rPr>
        <w:footnoteReference w:id="12"/>
      </w:r>
      <w:r w:rsidR="0098188B">
        <w:rPr>
          <w:szCs w:val="24"/>
        </w:rPr>
        <w:t xml:space="preserve">  The Internal Revenue Restructuring &amp; Reform Act of 1998 contained a provision specifically permitting IRS employees, upon showing of good cause and</w:t>
      </w:r>
      <w:r w:rsidR="00CB06E1">
        <w:rPr>
          <w:szCs w:val="24"/>
        </w:rPr>
        <w:t xml:space="preserve"> with supervisory approval,</w:t>
      </w:r>
      <w:r w:rsidR="0098188B">
        <w:rPr>
          <w:szCs w:val="24"/>
        </w:rPr>
        <w:t xml:space="preserve"> to use pseudonyms in the conduct of their duties.</w:t>
      </w:r>
      <w:r w:rsidR="00CB06E1" w:rsidRPr="00CB06E1">
        <w:rPr>
          <w:rStyle w:val="FootnoteReference"/>
          <w:szCs w:val="24"/>
        </w:rPr>
        <w:t xml:space="preserve"> </w:t>
      </w:r>
      <w:r w:rsidR="00E9706E" w:rsidRPr="009F5985">
        <w:rPr>
          <w:rStyle w:val="FootnoteReference"/>
          <w:szCs w:val="24"/>
        </w:rPr>
        <w:footnoteReference w:id="13"/>
      </w:r>
      <w:r w:rsidR="00E9706E">
        <w:rPr>
          <w:szCs w:val="24"/>
        </w:rPr>
        <w:t xml:space="preserve"> </w:t>
      </w:r>
      <w:r w:rsidR="0098188B">
        <w:rPr>
          <w:szCs w:val="24"/>
        </w:rPr>
        <w:t xml:space="preserve"> </w:t>
      </w:r>
      <w:r w:rsidR="007629A5">
        <w:rPr>
          <w:szCs w:val="24"/>
        </w:rPr>
        <w:t xml:space="preserve"> </w:t>
      </w:r>
      <w:r w:rsidR="0098188B">
        <w:rPr>
          <w:szCs w:val="24"/>
        </w:rPr>
        <w:t xml:space="preserve">The IRS has </w:t>
      </w:r>
      <w:r w:rsidR="00587FAB">
        <w:rPr>
          <w:szCs w:val="24"/>
        </w:rPr>
        <w:t>regulations to facilitate this,</w:t>
      </w:r>
      <w:r w:rsidR="00587FAB" w:rsidRPr="00587FAB">
        <w:rPr>
          <w:rStyle w:val="FootnoteReference"/>
          <w:szCs w:val="24"/>
        </w:rPr>
        <w:t xml:space="preserve"> </w:t>
      </w:r>
      <w:r w:rsidR="00587FAB" w:rsidRPr="009F5985">
        <w:rPr>
          <w:rStyle w:val="FootnoteReference"/>
          <w:szCs w:val="24"/>
        </w:rPr>
        <w:footnoteReference w:id="14"/>
      </w:r>
      <w:r w:rsidR="00587FAB">
        <w:rPr>
          <w:szCs w:val="24"/>
        </w:rPr>
        <w:t xml:space="preserve">  and </w:t>
      </w:r>
      <w:r w:rsidR="007629A5">
        <w:rPr>
          <w:szCs w:val="24"/>
        </w:rPr>
        <w:t xml:space="preserve">IRS employees who testify </w:t>
      </w:r>
      <w:r w:rsidR="00587FAB">
        <w:rPr>
          <w:szCs w:val="24"/>
        </w:rPr>
        <w:t xml:space="preserve">in </w:t>
      </w:r>
      <w:r w:rsidR="007629A5">
        <w:rPr>
          <w:szCs w:val="24"/>
        </w:rPr>
        <w:t xml:space="preserve">pseudonymously in court </w:t>
      </w:r>
      <w:r w:rsidR="00587FAB">
        <w:rPr>
          <w:szCs w:val="24"/>
        </w:rPr>
        <w:t xml:space="preserve">under such provisions </w:t>
      </w:r>
      <w:r w:rsidR="006C0189">
        <w:rPr>
          <w:szCs w:val="24"/>
        </w:rPr>
        <w:t>are advised to</w:t>
      </w:r>
      <w:r w:rsidR="007629A5">
        <w:rPr>
          <w:szCs w:val="24"/>
        </w:rPr>
        <w:t xml:space="preserve"> disclose </w:t>
      </w:r>
      <w:r w:rsidR="002B1F9B">
        <w:rPr>
          <w:szCs w:val="24"/>
        </w:rPr>
        <w:t>that fact</w:t>
      </w:r>
      <w:r w:rsidR="006C0189">
        <w:rPr>
          <w:szCs w:val="24"/>
        </w:rPr>
        <w:t xml:space="preserve"> up front</w:t>
      </w:r>
      <w:r w:rsidR="002B1F9B">
        <w:rPr>
          <w:szCs w:val="24"/>
        </w:rPr>
        <w:t>.</w:t>
      </w:r>
      <w:r w:rsidR="00C312D3" w:rsidRPr="00C312D3">
        <w:rPr>
          <w:rStyle w:val="FootnoteReference"/>
          <w:szCs w:val="24"/>
        </w:rPr>
        <w:t xml:space="preserve"> </w:t>
      </w:r>
      <w:r w:rsidR="00C312D3" w:rsidRPr="009F5985">
        <w:rPr>
          <w:rStyle w:val="FootnoteReference"/>
          <w:szCs w:val="24"/>
        </w:rPr>
        <w:footnoteReference w:id="15"/>
      </w:r>
      <w:r w:rsidR="002B1F9B">
        <w:rPr>
          <w:szCs w:val="24"/>
        </w:rPr>
        <w:t xml:space="preserve"> The </w:t>
      </w:r>
      <w:r w:rsidR="008F732B">
        <w:rPr>
          <w:szCs w:val="24"/>
        </w:rPr>
        <w:t xml:space="preserve">U.S. </w:t>
      </w:r>
      <w:r w:rsidR="002B1F9B">
        <w:rPr>
          <w:szCs w:val="24"/>
        </w:rPr>
        <w:t>Tax Court has sealed its records when the taxpayer or the taxpayer's family would likely face danger if the taxpayer's identity were to be disclosed.</w:t>
      </w:r>
      <w:r w:rsidR="00D43B23">
        <w:rPr>
          <w:szCs w:val="24"/>
        </w:rPr>
        <w:t xml:space="preserve"> </w:t>
      </w:r>
      <w:r w:rsidR="007629A5" w:rsidRPr="009F5985">
        <w:rPr>
          <w:rStyle w:val="FootnoteReference"/>
          <w:szCs w:val="24"/>
        </w:rPr>
        <w:footnoteReference w:id="16"/>
      </w:r>
      <w:r w:rsidR="008F732B">
        <w:rPr>
          <w:szCs w:val="24"/>
        </w:rPr>
        <w:t xml:space="preserve">  Indeed, the Tax Court has special provisions for whistleblower cases.</w:t>
      </w:r>
      <w:r w:rsidR="008F732B" w:rsidRPr="008F732B">
        <w:rPr>
          <w:rStyle w:val="FootnoteReference"/>
          <w:szCs w:val="24"/>
        </w:rPr>
        <w:t xml:space="preserve"> </w:t>
      </w:r>
      <w:r w:rsidR="008F732B" w:rsidRPr="009F5985">
        <w:rPr>
          <w:rStyle w:val="FootnoteReference"/>
          <w:szCs w:val="24"/>
        </w:rPr>
        <w:footnoteReference w:id="17"/>
      </w:r>
      <w:r w:rsidR="00C312D3">
        <w:rPr>
          <w:szCs w:val="24"/>
        </w:rPr>
        <w:t xml:space="preserve">  </w:t>
      </w:r>
      <w:r w:rsidR="00513D93">
        <w:rPr>
          <w:szCs w:val="24"/>
        </w:rPr>
        <w:t>U.S. Federal agencies are required to have policies to protect personally identifiable information, and to respond to security breaches.</w:t>
      </w:r>
      <w:r w:rsidR="00513D93" w:rsidRPr="00513D93">
        <w:rPr>
          <w:rStyle w:val="FootnoteReference"/>
          <w:szCs w:val="24"/>
        </w:rPr>
        <w:t xml:space="preserve"> </w:t>
      </w:r>
      <w:r w:rsidR="00513D93" w:rsidRPr="009F5985">
        <w:rPr>
          <w:rStyle w:val="FootnoteReference"/>
          <w:szCs w:val="24"/>
        </w:rPr>
        <w:footnoteReference w:id="18"/>
      </w:r>
    </w:p>
    <w:p w:rsidR="0005783D" w:rsidRDefault="0005783D" w:rsidP="006C0189">
      <w:pPr>
        <w:tabs>
          <w:tab w:val="left" w:pos="1215"/>
        </w:tabs>
        <w:rPr>
          <w:szCs w:val="24"/>
        </w:rPr>
      </w:pPr>
    </w:p>
    <w:p w:rsidR="0005783D" w:rsidRDefault="0005783D" w:rsidP="001912B6">
      <w:pPr>
        <w:tabs>
          <w:tab w:val="left" w:pos="1215"/>
        </w:tabs>
        <w:rPr>
          <w:szCs w:val="24"/>
        </w:rPr>
      </w:pPr>
      <w:r>
        <w:rPr>
          <w:szCs w:val="24"/>
        </w:rPr>
        <w:tab/>
        <w:t xml:space="preserve">There is no "one size fits all" </w:t>
      </w:r>
      <w:r w:rsidR="001912B6">
        <w:rPr>
          <w:szCs w:val="24"/>
        </w:rPr>
        <w:t>specification</w:t>
      </w:r>
      <w:r>
        <w:rPr>
          <w:szCs w:val="24"/>
        </w:rPr>
        <w:t xml:space="preserve"> for maintaining confidentiality, but there does need to be a process whereby the likely damage from disclosure is weighed against the value of transparency.  Certain showings might give rise to a presumption of entitlement to confidentiality (e.g., actual threats to relator or family members,</w:t>
      </w:r>
      <w:r w:rsidR="00AF1115" w:rsidRPr="009F5985">
        <w:rPr>
          <w:rStyle w:val="FootnoteReference"/>
          <w:szCs w:val="24"/>
        </w:rPr>
        <w:footnoteReference w:id="19"/>
      </w:r>
      <w:r w:rsidR="00AF1115">
        <w:rPr>
          <w:szCs w:val="24"/>
        </w:rPr>
        <w:t xml:space="preserve"> retiree's risk of loss of pension), while other situations might warrant in camera inspection by a judge or other </w:t>
      </w:r>
      <w:r w:rsidR="00390A98">
        <w:rPr>
          <w:szCs w:val="24"/>
        </w:rPr>
        <w:t>disinterested</w:t>
      </w:r>
      <w:r w:rsidR="00AF1115">
        <w:rPr>
          <w:szCs w:val="24"/>
        </w:rPr>
        <w:t xml:space="preserve"> official.</w:t>
      </w:r>
      <w:r w:rsidR="00AF1115" w:rsidRPr="00AF1115">
        <w:rPr>
          <w:rStyle w:val="FootnoteReference"/>
          <w:szCs w:val="24"/>
        </w:rPr>
        <w:t xml:space="preserve"> </w:t>
      </w:r>
      <w:r w:rsidR="00AF1115" w:rsidRPr="009F5985">
        <w:rPr>
          <w:rStyle w:val="FootnoteReference"/>
          <w:szCs w:val="24"/>
        </w:rPr>
        <w:footnoteReference w:id="20"/>
      </w:r>
    </w:p>
    <w:p w:rsidR="00CB06E1" w:rsidRDefault="00CB06E1" w:rsidP="004A15D1">
      <w:pPr>
        <w:tabs>
          <w:tab w:val="left" w:pos="1215"/>
        </w:tabs>
        <w:rPr>
          <w:szCs w:val="24"/>
        </w:rPr>
      </w:pPr>
    </w:p>
    <w:p w:rsidR="004418A4" w:rsidRDefault="004418A4" w:rsidP="004A15D1">
      <w:pPr>
        <w:tabs>
          <w:tab w:val="left" w:pos="1215"/>
        </w:tabs>
        <w:rPr>
          <w:szCs w:val="24"/>
        </w:rPr>
      </w:pPr>
    </w:p>
    <w:p w:rsidR="004418A4" w:rsidRDefault="004418A4" w:rsidP="004A15D1">
      <w:pPr>
        <w:tabs>
          <w:tab w:val="left" w:pos="1215"/>
        </w:tabs>
        <w:rPr>
          <w:szCs w:val="24"/>
        </w:rPr>
      </w:pPr>
      <w:r>
        <w:rPr>
          <w:b/>
          <w:bCs/>
          <w:szCs w:val="24"/>
        </w:rPr>
        <w:t xml:space="preserve">Questions </w:t>
      </w:r>
      <w:r w:rsidR="00E778F1">
        <w:rPr>
          <w:b/>
          <w:bCs/>
          <w:szCs w:val="24"/>
        </w:rPr>
        <w:t>9 - 14</w:t>
      </w:r>
      <w:r>
        <w:rPr>
          <w:b/>
          <w:bCs/>
          <w:szCs w:val="24"/>
        </w:rPr>
        <w:t>:</w:t>
      </w:r>
      <w:r>
        <w:rPr>
          <w:szCs w:val="24"/>
        </w:rPr>
        <w:t xml:space="preserve">  </w:t>
      </w:r>
      <w:r w:rsidR="004C75A9">
        <w:rPr>
          <w:szCs w:val="24"/>
        </w:rPr>
        <w:t xml:space="preserve">There is much to be said for "tiered disclosure" </w:t>
      </w:r>
      <w:r w:rsidR="00E74855">
        <w:rPr>
          <w:szCs w:val="24"/>
        </w:rPr>
        <w:t xml:space="preserve">(sometimes referred to as "up-the-ladder reporting). </w:t>
      </w:r>
      <w:r w:rsidR="00E74855" w:rsidRPr="009F5985">
        <w:rPr>
          <w:rStyle w:val="FootnoteReference"/>
          <w:szCs w:val="24"/>
        </w:rPr>
        <w:footnoteReference w:id="21"/>
      </w:r>
      <w:r w:rsidR="00E74855">
        <w:rPr>
          <w:szCs w:val="24"/>
        </w:rPr>
        <w:t xml:space="preserve"> </w:t>
      </w:r>
      <w:r w:rsidR="004A15D1">
        <w:rPr>
          <w:szCs w:val="24"/>
        </w:rPr>
        <w:t xml:space="preserve"> No business operates perfectly, and the larger the business, the greater the chance that some sort of tax discrepancy can or will occur.  Tiered disclosure</w:t>
      </w:r>
      <w:r w:rsidR="00E74855">
        <w:rPr>
          <w:szCs w:val="24"/>
        </w:rPr>
        <w:t xml:space="preserve"> gives the corporation the opportunity </w:t>
      </w:r>
      <w:r w:rsidR="004A15D1">
        <w:rPr>
          <w:szCs w:val="24"/>
        </w:rPr>
        <w:t xml:space="preserve">and incentive </w:t>
      </w:r>
      <w:r w:rsidR="00E74855">
        <w:rPr>
          <w:szCs w:val="24"/>
        </w:rPr>
        <w:t xml:space="preserve">to voluntarily correct its deviations on its own terms without undue governmental coercion, thereby efficiently facilitating economic activity.  Tiered disclosure also gives taxpayers incentive and opportunity to put into place systems to discourage such deviations from occurring in the first place. </w:t>
      </w:r>
    </w:p>
    <w:p w:rsidR="004A15D1" w:rsidRDefault="004A15D1" w:rsidP="004A15D1">
      <w:pPr>
        <w:tabs>
          <w:tab w:val="left" w:pos="1215"/>
        </w:tabs>
        <w:rPr>
          <w:szCs w:val="24"/>
        </w:rPr>
      </w:pPr>
    </w:p>
    <w:p w:rsidR="00463CAD" w:rsidRDefault="004A15D1" w:rsidP="00463CAD">
      <w:r>
        <w:rPr>
          <w:szCs w:val="24"/>
        </w:rPr>
        <w:tab/>
        <w:t xml:space="preserve">Where disclosures are made to third parties such as </w:t>
      </w:r>
      <w:r w:rsidR="00051DD7">
        <w:rPr>
          <w:szCs w:val="24"/>
        </w:rPr>
        <w:t xml:space="preserve">uninvolved governmental officials, </w:t>
      </w:r>
      <w:r>
        <w:rPr>
          <w:szCs w:val="24"/>
        </w:rPr>
        <w:t>the media</w:t>
      </w:r>
      <w:r w:rsidR="00051DD7">
        <w:rPr>
          <w:szCs w:val="24"/>
        </w:rPr>
        <w:t>,</w:t>
      </w:r>
      <w:r>
        <w:rPr>
          <w:szCs w:val="24"/>
        </w:rPr>
        <w:t xml:space="preserve"> or Wikileaks, the discloser should have the burden of explaining why he or she had no reasonable expectation that </w:t>
      </w:r>
      <w:r w:rsidR="002F1652">
        <w:rPr>
          <w:szCs w:val="24"/>
        </w:rPr>
        <w:t>such</w:t>
      </w:r>
      <w:r>
        <w:rPr>
          <w:szCs w:val="24"/>
        </w:rPr>
        <w:t xml:space="preserve"> deviation </w:t>
      </w:r>
      <w:r w:rsidR="002F1652">
        <w:rPr>
          <w:szCs w:val="24"/>
        </w:rPr>
        <w:t xml:space="preserve">from the "up the ladder" path </w:t>
      </w:r>
      <w:r>
        <w:rPr>
          <w:szCs w:val="24"/>
        </w:rPr>
        <w:t xml:space="preserve">would be </w:t>
      </w:r>
      <w:r w:rsidR="00051DD7">
        <w:rPr>
          <w:szCs w:val="24"/>
        </w:rPr>
        <w:t xml:space="preserve">adequately </w:t>
      </w:r>
      <w:r>
        <w:rPr>
          <w:szCs w:val="24"/>
        </w:rPr>
        <w:t>rectified through tiered disclosure.</w:t>
      </w:r>
      <w:r w:rsidR="00463CAD" w:rsidRPr="00463CAD">
        <w:rPr>
          <w:rStyle w:val="HeaderChar"/>
          <w:szCs w:val="24"/>
        </w:rPr>
        <w:t xml:space="preserve"> </w:t>
      </w:r>
      <w:r w:rsidR="00463CAD" w:rsidRPr="009F5985">
        <w:rPr>
          <w:rStyle w:val="FootnoteReference"/>
          <w:szCs w:val="24"/>
        </w:rPr>
        <w:footnoteReference w:id="22"/>
      </w:r>
    </w:p>
    <w:p w:rsidR="004A15D1" w:rsidRDefault="004A15D1" w:rsidP="002F1652">
      <w:pPr>
        <w:tabs>
          <w:tab w:val="left" w:pos="1215"/>
        </w:tabs>
        <w:rPr>
          <w:szCs w:val="24"/>
        </w:rPr>
      </w:pPr>
    </w:p>
    <w:p w:rsidR="002F1652" w:rsidRDefault="002F1652" w:rsidP="004A15D1">
      <w:pPr>
        <w:tabs>
          <w:tab w:val="left" w:pos="1215"/>
        </w:tabs>
        <w:rPr>
          <w:szCs w:val="24"/>
        </w:rPr>
      </w:pPr>
    </w:p>
    <w:p w:rsidR="00051DD7" w:rsidRDefault="00051DD7" w:rsidP="004A15D1">
      <w:pPr>
        <w:tabs>
          <w:tab w:val="left" w:pos="1215"/>
        </w:tabs>
        <w:rPr>
          <w:szCs w:val="24"/>
        </w:rPr>
      </w:pPr>
      <w:r>
        <w:rPr>
          <w:szCs w:val="24"/>
        </w:rPr>
        <w:tab/>
        <w:t xml:space="preserve">It is noted that from tax returns of an individual, let alone a corporation, much can be deduced about such person's or corporation's </w:t>
      </w:r>
      <w:r w:rsidR="00DA082D">
        <w:rPr>
          <w:szCs w:val="24"/>
        </w:rPr>
        <w:t>private affairs.</w:t>
      </w:r>
      <w:r w:rsidR="001C131E" w:rsidRPr="001C131E">
        <w:rPr>
          <w:rStyle w:val="FootnoteReference"/>
          <w:szCs w:val="24"/>
        </w:rPr>
        <w:t xml:space="preserve"> </w:t>
      </w:r>
      <w:r w:rsidR="001C131E" w:rsidRPr="009F5985">
        <w:rPr>
          <w:rStyle w:val="FootnoteReference"/>
          <w:szCs w:val="24"/>
        </w:rPr>
        <w:footnoteReference w:id="23"/>
      </w:r>
      <w:r w:rsidR="00DA082D">
        <w:rPr>
          <w:szCs w:val="24"/>
        </w:rPr>
        <w:t xml:space="preserve">  A broad scope of permissible disclosees in the first instance defeats the purpose of general tax return confidentiality.</w:t>
      </w:r>
    </w:p>
    <w:p w:rsidR="00051DD7" w:rsidRDefault="00051DD7" w:rsidP="004A15D1">
      <w:pPr>
        <w:tabs>
          <w:tab w:val="left" w:pos="1215"/>
        </w:tabs>
        <w:rPr>
          <w:szCs w:val="24"/>
        </w:rPr>
      </w:pPr>
      <w:r>
        <w:rPr>
          <w:szCs w:val="24"/>
        </w:rPr>
        <w:tab/>
      </w:r>
    </w:p>
    <w:p w:rsidR="004A15D1" w:rsidRDefault="004A15D1" w:rsidP="004A15D1">
      <w:pPr>
        <w:tabs>
          <w:tab w:val="left" w:pos="1215"/>
        </w:tabs>
        <w:rPr>
          <w:szCs w:val="24"/>
        </w:rPr>
      </w:pPr>
    </w:p>
    <w:p w:rsidR="004A15D1" w:rsidRDefault="00CA0BC5" w:rsidP="00CA0BC5">
      <w:pPr>
        <w:tabs>
          <w:tab w:val="left" w:pos="1215"/>
        </w:tabs>
        <w:rPr>
          <w:szCs w:val="24"/>
        </w:rPr>
      </w:pPr>
      <w:r>
        <w:rPr>
          <w:b/>
          <w:bCs/>
          <w:szCs w:val="24"/>
        </w:rPr>
        <w:t>Questions 15 - 19:</w:t>
      </w:r>
    </w:p>
    <w:p w:rsidR="00E74855" w:rsidRDefault="00E74855" w:rsidP="004A15D1">
      <w:pPr>
        <w:tabs>
          <w:tab w:val="left" w:pos="1215"/>
        </w:tabs>
        <w:rPr>
          <w:szCs w:val="24"/>
        </w:rPr>
      </w:pPr>
    </w:p>
    <w:p w:rsidR="00DA09D3" w:rsidRDefault="00DA09D3" w:rsidP="004A15D1">
      <w:pPr>
        <w:tabs>
          <w:tab w:val="left" w:pos="1215"/>
        </w:tabs>
        <w:rPr>
          <w:szCs w:val="24"/>
        </w:rPr>
      </w:pPr>
    </w:p>
    <w:p w:rsidR="00DA09D3" w:rsidRDefault="00DA09D3" w:rsidP="004A15D1">
      <w:pPr>
        <w:tabs>
          <w:tab w:val="left" w:pos="1215"/>
        </w:tabs>
        <w:rPr>
          <w:szCs w:val="24"/>
        </w:rPr>
      </w:pPr>
    </w:p>
    <w:p w:rsidR="00503006" w:rsidRDefault="00974331" w:rsidP="00C60493">
      <w:pPr>
        <w:tabs>
          <w:tab w:val="left" w:pos="1215"/>
        </w:tabs>
        <w:rPr>
          <w:szCs w:val="24"/>
        </w:rPr>
      </w:pPr>
      <w:r>
        <w:rPr>
          <w:szCs w:val="24"/>
        </w:rPr>
        <w:tab/>
        <w:t>The United States statute governing the release of taxpayer and tax return information is very wordy, even by the standards of the notoriously verbose Internal Revenue Code</w:t>
      </w:r>
      <w:r w:rsidR="00ED4C8A">
        <w:rPr>
          <w:szCs w:val="24"/>
        </w:rPr>
        <w:t>.</w:t>
      </w:r>
      <w:r w:rsidR="0005783D">
        <w:rPr>
          <w:szCs w:val="24"/>
        </w:rPr>
        <w:t xml:space="preserve"> </w:t>
      </w:r>
      <w:r w:rsidR="0005783D" w:rsidRPr="009F5985">
        <w:rPr>
          <w:rStyle w:val="FootnoteReference"/>
          <w:szCs w:val="24"/>
        </w:rPr>
        <w:footnoteReference w:id="24"/>
      </w:r>
      <w:r w:rsidR="0005783D">
        <w:rPr>
          <w:szCs w:val="24"/>
        </w:rPr>
        <w:t xml:space="preserve">   </w:t>
      </w:r>
      <w:r w:rsidR="00ED4C8A">
        <w:rPr>
          <w:szCs w:val="24"/>
        </w:rPr>
        <w:t xml:space="preserve">The scheme limits disclosure </w:t>
      </w:r>
      <w:r w:rsidR="00A64043">
        <w:rPr>
          <w:szCs w:val="24"/>
        </w:rPr>
        <w:t xml:space="preserve">by whistleblowers </w:t>
      </w:r>
      <w:r w:rsidR="00ED4C8A">
        <w:rPr>
          <w:szCs w:val="24"/>
        </w:rPr>
        <w:t xml:space="preserve">of tax return information made </w:t>
      </w:r>
      <w:r w:rsidR="00ED4C8A">
        <w:rPr>
          <w:i/>
          <w:iCs/>
          <w:szCs w:val="24"/>
        </w:rPr>
        <w:t>to</w:t>
      </w:r>
      <w:r w:rsidR="00ED4C8A">
        <w:rPr>
          <w:szCs w:val="24"/>
        </w:rPr>
        <w:t xml:space="preserve"> </w:t>
      </w:r>
      <w:r w:rsidR="00A64043">
        <w:rPr>
          <w:szCs w:val="24"/>
        </w:rPr>
        <w:t xml:space="preserve">them, </w:t>
      </w:r>
      <w:r w:rsidR="00A64043" w:rsidRPr="009F5985">
        <w:rPr>
          <w:rStyle w:val="FootnoteReference"/>
          <w:szCs w:val="24"/>
        </w:rPr>
        <w:footnoteReference w:id="25"/>
      </w:r>
      <w:r w:rsidR="00A64043">
        <w:rPr>
          <w:szCs w:val="24"/>
        </w:rPr>
        <w:t xml:space="preserve"> provides for criminal and civil sanctions against whistleblowers who violate such restrictions, </w:t>
      </w:r>
      <w:r w:rsidR="00A64043" w:rsidRPr="009F5985">
        <w:rPr>
          <w:rStyle w:val="FootnoteReference"/>
          <w:szCs w:val="24"/>
        </w:rPr>
        <w:footnoteReference w:id="26"/>
      </w:r>
      <w:r w:rsidR="00A64043">
        <w:rPr>
          <w:szCs w:val="24"/>
        </w:rPr>
        <w:t xml:space="preserve"> and imposes safeguards on the conditions under which disclosures are made to the whistleblower.</w:t>
      </w:r>
      <w:r w:rsidR="00A64043" w:rsidRPr="00A64043">
        <w:rPr>
          <w:rStyle w:val="FootnoteReference"/>
          <w:szCs w:val="24"/>
        </w:rPr>
        <w:t xml:space="preserve"> </w:t>
      </w:r>
      <w:r w:rsidR="00A64043" w:rsidRPr="009F5985">
        <w:rPr>
          <w:rStyle w:val="FootnoteReference"/>
          <w:szCs w:val="24"/>
        </w:rPr>
        <w:footnoteReference w:id="27"/>
      </w:r>
      <w:r w:rsidR="00222BCA">
        <w:rPr>
          <w:szCs w:val="24"/>
        </w:rPr>
        <w:t xml:space="preserve">  An analogous scheme needs to attend to a successful whistleblower program elsewhere, which should include the following types of provisions:</w:t>
      </w:r>
    </w:p>
    <w:p w:rsidR="00C60493" w:rsidRDefault="00C60493" w:rsidP="00C60493">
      <w:pPr>
        <w:tabs>
          <w:tab w:val="left" w:pos="1215"/>
        </w:tabs>
        <w:rPr>
          <w:szCs w:val="24"/>
        </w:rPr>
      </w:pPr>
    </w:p>
    <w:p w:rsidR="00C60493" w:rsidRDefault="00C60493" w:rsidP="00C60493">
      <w:pPr>
        <w:tabs>
          <w:tab w:val="left" w:pos="1215"/>
        </w:tabs>
        <w:rPr>
          <w:rFonts w:asciiTheme="majorBidi" w:hAnsiTheme="majorBidi" w:cstheme="majorBidi"/>
          <w:szCs w:val="24"/>
        </w:rPr>
      </w:pPr>
    </w:p>
    <w:p w:rsidR="00222BCA" w:rsidRPr="00317CCC" w:rsidRDefault="00C60493" w:rsidP="00503006">
      <w:pPr>
        <w:tabs>
          <w:tab w:val="left" w:pos="1215"/>
        </w:tabs>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r w:rsidR="00222BCA">
        <w:rPr>
          <w:szCs w:val="24"/>
        </w:rPr>
        <w:t>A.  "Up-the-Ladder" reporting</w:t>
      </w:r>
      <w:r w:rsidR="00317CCC">
        <w:rPr>
          <w:szCs w:val="24"/>
        </w:rPr>
        <w:t>:  In the first instance the whistleblower should take the matter to the lowest and least drastic level; if such level is outside of the company then the whistleblower should be able to explain why less drastic measures could not have reasonably been expected to be effective in bring</w:t>
      </w:r>
      <w:r w:rsidR="00317CCC" w:rsidRPr="00317CCC">
        <w:rPr>
          <w:rFonts w:asciiTheme="majorBidi" w:hAnsiTheme="majorBidi" w:cstheme="majorBidi"/>
          <w:szCs w:val="24"/>
        </w:rPr>
        <w:t>ing about a correction in past and/or future handling of the tax affairs.</w:t>
      </w:r>
    </w:p>
    <w:p w:rsidR="00317CCC" w:rsidRPr="00317CCC" w:rsidRDefault="00317CCC" w:rsidP="00503006">
      <w:pPr>
        <w:tabs>
          <w:tab w:val="left" w:pos="1215"/>
        </w:tabs>
        <w:rPr>
          <w:rFonts w:asciiTheme="majorBidi" w:hAnsiTheme="majorBidi" w:cstheme="majorBidi"/>
          <w:szCs w:val="24"/>
        </w:rPr>
      </w:pPr>
    </w:p>
    <w:p w:rsidR="00317CCC" w:rsidRDefault="00503006" w:rsidP="00503006">
      <w:pPr>
        <w:autoSpaceDE w:val="0"/>
        <w:autoSpaceDN w:val="0"/>
        <w:adjustRightInd w:val="0"/>
        <w:rPr>
          <w:rFonts w:asciiTheme="majorBidi" w:eastAsiaTheme="minorHAnsi" w:hAnsiTheme="majorBidi" w:cstheme="majorBidi"/>
          <w:szCs w:val="24"/>
          <w:lang w:bidi="he-IL"/>
        </w:rPr>
      </w:pPr>
      <w:r>
        <w:rPr>
          <w:rFonts w:asciiTheme="majorBidi" w:hAnsiTheme="majorBidi" w:cstheme="majorBidi"/>
          <w:szCs w:val="24"/>
        </w:rPr>
        <w:tab/>
      </w:r>
      <w:r>
        <w:rPr>
          <w:rFonts w:asciiTheme="majorBidi" w:hAnsiTheme="majorBidi" w:cstheme="majorBidi"/>
          <w:szCs w:val="24"/>
        </w:rPr>
        <w:tab/>
      </w:r>
      <w:r w:rsidR="00317CCC" w:rsidRPr="00317CCC">
        <w:rPr>
          <w:rFonts w:asciiTheme="majorBidi" w:hAnsiTheme="majorBidi" w:cstheme="majorBidi"/>
          <w:szCs w:val="24"/>
        </w:rPr>
        <w:t>B.  Protections against retaliation:  "</w:t>
      </w:r>
      <w:r w:rsidR="00317CCC" w:rsidRPr="00317CCC">
        <w:rPr>
          <w:rFonts w:asciiTheme="majorBidi" w:eastAsiaTheme="minorHAnsi" w:hAnsiTheme="majorBidi" w:cstheme="majorBidi"/>
          <w:szCs w:val="24"/>
          <w:lang w:bidi="he-IL"/>
        </w:rPr>
        <w:t>Providing whistleblowers with a zone of protection from economic or physical harm is imperative to the success of any whistleblower program</w:t>
      </w:r>
      <w:r w:rsidR="00317CCC">
        <w:rPr>
          <w:rFonts w:asciiTheme="majorBidi" w:eastAsiaTheme="minorHAnsi" w:hAnsiTheme="majorBidi" w:cstheme="majorBidi"/>
          <w:szCs w:val="24"/>
          <w:lang w:bidi="he-IL"/>
        </w:rPr>
        <w:t>.</w:t>
      </w:r>
      <w:r w:rsidR="00317CCC" w:rsidRPr="00317CCC">
        <w:rPr>
          <w:rFonts w:asciiTheme="majorBidi" w:eastAsiaTheme="minorHAnsi" w:hAnsiTheme="majorBidi" w:cstheme="majorBidi"/>
          <w:szCs w:val="24"/>
          <w:lang w:bidi="he-IL"/>
        </w:rPr>
        <w:t>"</w:t>
      </w:r>
      <w:r w:rsidR="00317CCC">
        <w:rPr>
          <w:rFonts w:asciiTheme="majorBidi" w:eastAsiaTheme="minorHAnsi" w:hAnsiTheme="majorBidi" w:cstheme="majorBidi"/>
          <w:szCs w:val="24"/>
          <w:lang w:bidi="he-IL"/>
        </w:rPr>
        <w:t xml:space="preserve"> </w:t>
      </w:r>
      <w:r w:rsidR="00317CCC" w:rsidRPr="009F5985">
        <w:rPr>
          <w:rStyle w:val="FootnoteReference"/>
          <w:szCs w:val="24"/>
        </w:rPr>
        <w:footnoteReference w:id="28"/>
      </w:r>
      <w:r w:rsidR="00C60493">
        <w:rPr>
          <w:rFonts w:asciiTheme="majorBidi" w:eastAsiaTheme="minorHAnsi" w:hAnsiTheme="majorBidi" w:cstheme="majorBidi"/>
          <w:szCs w:val="24"/>
          <w:lang w:bidi="he-IL"/>
        </w:rPr>
        <w:t xml:space="preserve">  </w:t>
      </w:r>
    </w:p>
    <w:p w:rsidR="00C60493" w:rsidRDefault="00C60493" w:rsidP="00503006">
      <w:pPr>
        <w:autoSpaceDE w:val="0"/>
        <w:autoSpaceDN w:val="0"/>
        <w:adjustRightInd w:val="0"/>
        <w:rPr>
          <w:rFonts w:asciiTheme="majorBidi" w:eastAsiaTheme="minorHAnsi" w:hAnsiTheme="majorBidi" w:cstheme="majorBidi"/>
          <w:szCs w:val="24"/>
          <w:lang w:bidi="he-IL"/>
        </w:rPr>
      </w:pPr>
    </w:p>
    <w:p w:rsidR="00C60493" w:rsidRDefault="00C60493" w:rsidP="00503006">
      <w:pPr>
        <w:autoSpaceDE w:val="0"/>
        <w:autoSpaceDN w:val="0"/>
        <w:adjustRightInd w:val="0"/>
        <w:rPr>
          <w:rFonts w:asciiTheme="majorBidi" w:eastAsiaTheme="minorHAnsi" w:hAnsiTheme="majorBidi" w:cstheme="majorBidi"/>
          <w:szCs w:val="24"/>
          <w:lang w:bidi="he-IL"/>
        </w:rPr>
      </w:pPr>
      <w:r>
        <w:rPr>
          <w:rFonts w:asciiTheme="majorBidi" w:eastAsiaTheme="minorHAnsi" w:hAnsiTheme="majorBidi" w:cstheme="majorBidi"/>
          <w:szCs w:val="24"/>
          <w:lang w:bidi="he-IL"/>
        </w:rPr>
        <w:tab/>
      </w:r>
      <w:r>
        <w:rPr>
          <w:rFonts w:asciiTheme="majorBidi" w:eastAsiaTheme="minorHAnsi" w:hAnsiTheme="majorBidi" w:cstheme="majorBidi"/>
          <w:szCs w:val="24"/>
          <w:lang w:bidi="he-IL"/>
        </w:rPr>
        <w:tab/>
        <w:t xml:space="preserve">C.  Where the nature of the information sought for disclosure is in question, selective in camera inspection by a judge or other disinterested official. </w:t>
      </w:r>
      <w:r w:rsidRPr="009F5985">
        <w:rPr>
          <w:rStyle w:val="FootnoteReference"/>
          <w:szCs w:val="24"/>
        </w:rPr>
        <w:footnoteReference w:id="29"/>
      </w:r>
    </w:p>
    <w:p w:rsidR="00C60493" w:rsidRDefault="00C60493" w:rsidP="00503006">
      <w:pPr>
        <w:autoSpaceDE w:val="0"/>
        <w:autoSpaceDN w:val="0"/>
        <w:adjustRightInd w:val="0"/>
        <w:rPr>
          <w:rFonts w:asciiTheme="majorBidi" w:eastAsiaTheme="minorHAnsi" w:hAnsiTheme="majorBidi" w:cstheme="majorBidi"/>
          <w:szCs w:val="24"/>
          <w:lang w:bidi="he-IL"/>
        </w:rPr>
      </w:pPr>
    </w:p>
    <w:p w:rsidR="00C60493" w:rsidRDefault="00C60493" w:rsidP="00503006">
      <w:pPr>
        <w:autoSpaceDE w:val="0"/>
        <w:autoSpaceDN w:val="0"/>
        <w:adjustRightInd w:val="0"/>
        <w:rPr>
          <w:rFonts w:asciiTheme="majorBidi" w:eastAsiaTheme="minorHAnsi" w:hAnsiTheme="majorBidi" w:cstheme="majorBidi"/>
          <w:szCs w:val="24"/>
          <w:lang w:bidi="he-IL"/>
        </w:rPr>
      </w:pPr>
      <w:r>
        <w:rPr>
          <w:rFonts w:asciiTheme="majorBidi" w:eastAsiaTheme="minorHAnsi" w:hAnsiTheme="majorBidi" w:cstheme="majorBidi"/>
          <w:szCs w:val="24"/>
          <w:lang w:bidi="he-IL"/>
        </w:rPr>
        <w:tab/>
      </w:r>
      <w:r>
        <w:rPr>
          <w:rFonts w:asciiTheme="majorBidi" w:eastAsiaTheme="minorHAnsi" w:hAnsiTheme="majorBidi" w:cstheme="majorBidi"/>
          <w:szCs w:val="24"/>
          <w:lang w:bidi="he-IL"/>
        </w:rPr>
        <w:tab/>
        <w:t>D.  Restrictions upon secondary disclosure by the whistleblower or others.</w:t>
      </w:r>
    </w:p>
    <w:p w:rsidR="00503006" w:rsidRDefault="00503006" w:rsidP="00503006">
      <w:pPr>
        <w:autoSpaceDE w:val="0"/>
        <w:autoSpaceDN w:val="0"/>
        <w:adjustRightInd w:val="0"/>
        <w:rPr>
          <w:rFonts w:asciiTheme="majorBidi" w:eastAsiaTheme="minorHAnsi" w:hAnsiTheme="majorBidi" w:cstheme="majorBidi"/>
          <w:szCs w:val="24"/>
          <w:lang w:bidi="he-IL"/>
        </w:rPr>
      </w:pPr>
    </w:p>
    <w:p w:rsidR="00503006" w:rsidRDefault="00503006" w:rsidP="00503006">
      <w:pPr>
        <w:autoSpaceDE w:val="0"/>
        <w:autoSpaceDN w:val="0"/>
        <w:adjustRightInd w:val="0"/>
        <w:rPr>
          <w:rFonts w:asciiTheme="majorBidi" w:hAnsiTheme="majorBidi" w:cstheme="majorBidi"/>
          <w:szCs w:val="24"/>
        </w:rPr>
      </w:pPr>
    </w:p>
    <w:p w:rsidR="00E103A3" w:rsidRDefault="00E103A3" w:rsidP="00503006">
      <w:pPr>
        <w:autoSpaceDE w:val="0"/>
        <w:autoSpaceDN w:val="0"/>
        <w:adjustRightInd w:val="0"/>
        <w:rPr>
          <w:rFonts w:asciiTheme="majorBidi" w:hAnsiTheme="majorBidi" w:cstheme="majorBidi"/>
          <w:szCs w:val="24"/>
        </w:rPr>
      </w:pPr>
    </w:p>
    <w:p w:rsidR="00E103A3" w:rsidRDefault="00E103A3" w:rsidP="00503006">
      <w:pPr>
        <w:autoSpaceDE w:val="0"/>
        <w:autoSpaceDN w:val="0"/>
        <w:adjustRightInd w:val="0"/>
        <w:rPr>
          <w:rFonts w:asciiTheme="majorBidi" w:hAnsiTheme="majorBidi" w:cstheme="majorBidi"/>
          <w:szCs w:val="24"/>
        </w:rPr>
      </w:pPr>
      <w:r>
        <w:rPr>
          <w:rFonts w:asciiTheme="majorBidi" w:hAnsiTheme="majorBidi" w:cstheme="majorBidi"/>
          <w:b/>
          <w:bCs/>
          <w:szCs w:val="24"/>
        </w:rPr>
        <w:t>Question 20:</w:t>
      </w:r>
    </w:p>
    <w:p w:rsidR="00E103A3" w:rsidRDefault="00E103A3" w:rsidP="00503006">
      <w:pPr>
        <w:autoSpaceDE w:val="0"/>
        <w:autoSpaceDN w:val="0"/>
        <w:adjustRightInd w:val="0"/>
        <w:rPr>
          <w:rFonts w:asciiTheme="majorBidi" w:hAnsiTheme="majorBidi" w:cstheme="majorBidi"/>
          <w:szCs w:val="24"/>
        </w:rPr>
      </w:pPr>
    </w:p>
    <w:p w:rsidR="00E103A3" w:rsidRPr="00E103A3" w:rsidRDefault="00E103A3" w:rsidP="00503006">
      <w:pPr>
        <w:autoSpaceDE w:val="0"/>
        <w:autoSpaceDN w:val="0"/>
        <w:adjustRightInd w:val="0"/>
        <w:rPr>
          <w:rFonts w:asciiTheme="majorBidi" w:hAnsiTheme="majorBidi" w:cstheme="majorBidi"/>
          <w:szCs w:val="24"/>
        </w:rPr>
      </w:pPr>
      <w:r>
        <w:rPr>
          <w:rFonts w:asciiTheme="majorBidi" w:hAnsiTheme="majorBidi" w:cstheme="majorBidi"/>
          <w:szCs w:val="24"/>
        </w:rPr>
        <w:tab/>
        <w:t>{Discussed above.}</w:t>
      </w:r>
      <w:r w:rsidRPr="00E103A3">
        <w:rPr>
          <w:rStyle w:val="FootnoteReference"/>
          <w:szCs w:val="24"/>
        </w:rPr>
        <w:t xml:space="preserve"> </w:t>
      </w:r>
      <w:r w:rsidRPr="009F5985">
        <w:rPr>
          <w:rStyle w:val="FootnoteReference"/>
          <w:szCs w:val="24"/>
        </w:rPr>
        <w:footnoteReference w:id="30"/>
      </w:r>
      <w:r>
        <w:rPr>
          <w:rFonts w:asciiTheme="majorBidi" w:eastAsiaTheme="minorHAnsi" w:hAnsiTheme="majorBidi" w:cstheme="majorBidi"/>
          <w:szCs w:val="24"/>
          <w:lang w:bidi="he-IL"/>
        </w:rPr>
        <w:t xml:space="preserve">  </w:t>
      </w:r>
    </w:p>
    <w:p w:rsidR="006C2F39" w:rsidRDefault="006C2F39" w:rsidP="00503006">
      <w:pPr>
        <w:tabs>
          <w:tab w:val="left" w:pos="1215"/>
        </w:tabs>
        <w:rPr>
          <w:szCs w:val="24"/>
        </w:rPr>
      </w:pPr>
    </w:p>
    <w:p w:rsidR="00E33624" w:rsidRDefault="00E33624" w:rsidP="00B22BC7">
      <w:pPr>
        <w:autoSpaceDE w:val="0"/>
        <w:autoSpaceDN w:val="0"/>
        <w:adjustRightInd w:val="0"/>
        <w:rPr>
          <w:rFonts w:asciiTheme="majorBidi" w:hAnsiTheme="majorBidi" w:cstheme="majorBidi"/>
          <w:szCs w:val="24"/>
        </w:rPr>
      </w:pPr>
      <w:r>
        <w:rPr>
          <w:rFonts w:asciiTheme="majorBidi" w:hAnsiTheme="majorBidi" w:cstheme="majorBidi"/>
          <w:b/>
          <w:bCs/>
          <w:szCs w:val="24"/>
        </w:rPr>
        <w:t>Questions 21 - 2</w:t>
      </w:r>
      <w:r w:rsidR="00B22BC7">
        <w:rPr>
          <w:rFonts w:asciiTheme="majorBidi" w:hAnsiTheme="majorBidi" w:cstheme="majorBidi"/>
          <w:b/>
          <w:bCs/>
          <w:szCs w:val="24"/>
        </w:rPr>
        <w:t>8</w:t>
      </w:r>
      <w:r>
        <w:rPr>
          <w:rFonts w:asciiTheme="majorBidi" w:hAnsiTheme="majorBidi" w:cstheme="majorBidi"/>
          <w:b/>
          <w:bCs/>
          <w:szCs w:val="24"/>
        </w:rPr>
        <w:t>:</w:t>
      </w:r>
    </w:p>
    <w:p w:rsidR="00E33624" w:rsidRDefault="0005783D" w:rsidP="00A64043">
      <w:pPr>
        <w:tabs>
          <w:tab w:val="left" w:pos="1215"/>
        </w:tabs>
        <w:rPr>
          <w:szCs w:val="24"/>
        </w:rPr>
      </w:pPr>
      <w:r>
        <w:rPr>
          <w:szCs w:val="24"/>
        </w:rPr>
        <w:t xml:space="preserve">       </w:t>
      </w:r>
    </w:p>
    <w:p w:rsidR="00E33624" w:rsidRDefault="002E15C6" w:rsidP="007645DA">
      <w:pPr>
        <w:tabs>
          <w:tab w:val="left" w:pos="1215"/>
        </w:tabs>
        <w:rPr>
          <w:szCs w:val="24"/>
        </w:rPr>
      </w:pPr>
      <w:r>
        <w:rPr>
          <w:szCs w:val="24"/>
        </w:rPr>
        <w:tab/>
        <w:t xml:space="preserve">The model from the U.S. False Claims Act </w:t>
      </w:r>
      <w:r w:rsidRPr="009F5985">
        <w:rPr>
          <w:rStyle w:val="FootnoteReference"/>
          <w:szCs w:val="24"/>
        </w:rPr>
        <w:footnoteReference w:id="31"/>
      </w:r>
      <w:r>
        <w:rPr>
          <w:szCs w:val="24"/>
        </w:rPr>
        <w:t xml:space="preserve"> is instructive:  The whistleblower reports the alleged violation, and the governmental authorities make a decision as to whether or not to </w:t>
      </w:r>
      <w:r w:rsidR="007645DA">
        <w:rPr>
          <w:szCs w:val="24"/>
        </w:rPr>
        <w:t>under</w:t>
      </w:r>
      <w:r>
        <w:rPr>
          <w:szCs w:val="24"/>
        </w:rPr>
        <w:t>take the prosecution of the case themselves:</w:t>
      </w:r>
    </w:p>
    <w:p w:rsidR="002E15C6" w:rsidRDefault="002E15C6" w:rsidP="002E15C6">
      <w:pPr>
        <w:tabs>
          <w:tab w:val="left" w:pos="1215"/>
        </w:tabs>
        <w:rPr>
          <w:szCs w:val="24"/>
        </w:rPr>
      </w:pPr>
    </w:p>
    <w:p w:rsidR="002E15C6" w:rsidRDefault="002E15C6" w:rsidP="00FA4032">
      <w:pPr>
        <w:tabs>
          <w:tab w:val="left" w:pos="1215"/>
        </w:tabs>
        <w:rPr>
          <w:szCs w:val="24"/>
        </w:rPr>
      </w:pPr>
      <w:r>
        <w:rPr>
          <w:szCs w:val="24"/>
        </w:rPr>
        <w:tab/>
        <w:t xml:space="preserve">--  If </w:t>
      </w:r>
      <w:r w:rsidR="00FA4032">
        <w:rPr>
          <w:szCs w:val="24"/>
        </w:rPr>
        <w:t>the government takes the case</w:t>
      </w:r>
      <w:r>
        <w:rPr>
          <w:szCs w:val="24"/>
        </w:rPr>
        <w:t>, then the whistleblower sits by the sidelines as the case proceeds.</w:t>
      </w:r>
    </w:p>
    <w:p w:rsidR="002E15C6" w:rsidRDefault="002E15C6" w:rsidP="002E15C6">
      <w:pPr>
        <w:tabs>
          <w:tab w:val="left" w:pos="1215"/>
        </w:tabs>
        <w:rPr>
          <w:szCs w:val="24"/>
        </w:rPr>
      </w:pPr>
    </w:p>
    <w:p w:rsidR="002E15C6" w:rsidRDefault="002E15C6" w:rsidP="002E15C6">
      <w:pPr>
        <w:tabs>
          <w:tab w:val="left" w:pos="1215"/>
        </w:tabs>
        <w:rPr>
          <w:szCs w:val="24"/>
        </w:rPr>
      </w:pPr>
      <w:r>
        <w:rPr>
          <w:szCs w:val="24"/>
        </w:rPr>
        <w:tab/>
        <w:t>-- If not, then the whistleblower may further prosecute the case with his or her own efforts/resources.</w:t>
      </w:r>
    </w:p>
    <w:p w:rsidR="002E15C6" w:rsidRDefault="002E15C6" w:rsidP="002E15C6">
      <w:pPr>
        <w:tabs>
          <w:tab w:val="left" w:pos="1215"/>
        </w:tabs>
        <w:rPr>
          <w:szCs w:val="24"/>
        </w:rPr>
      </w:pPr>
    </w:p>
    <w:p w:rsidR="002E15C6" w:rsidRDefault="002E15C6" w:rsidP="002E15C6">
      <w:pPr>
        <w:tabs>
          <w:tab w:val="left" w:pos="-90"/>
        </w:tabs>
        <w:rPr>
          <w:szCs w:val="24"/>
        </w:rPr>
      </w:pPr>
      <w:r>
        <w:rPr>
          <w:szCs w:val="24"/>
        </w:rPr>
        <w:tab/>
      </w:r>
      <w:r>
        <w:rPr>
          <w:szCs w:val="24"/>
        </w:rPr>
        <w:tab/>
        <w:t>The whistleblower should be required to cooperate in the prosecution.  Funding should come from the proceeds recovered.  The False Claims Act sets that funding as a percentage, within a range, of monies recovered.</w:t>
      </w:r>
    </w:p>
    <w:p w:rsidR="008F1595" w:rsidRDefault="008F1595" w:rsidP="002E15C6">
      <w:pPr>
        <w:tabs>
          <w:tab w:val="left" w:pos="-90"/>
        </w:tabs>
        <w:rPr>
          <w:szCs w:val="24"/>
        </w:rPr>
      </w:pPr>
    </w:p>
    <w:p w:rsidR="008F1595" w:rsidRDefault="008F1595" w:rsidP="007C3987">
      <w:pPr>
        <w:tabs>
          <w:tab w:val="left" w:pos="-90"/>
        </w:tabs>
        <w:rPr>
          <w:szCs w:val="24"/>
        </w:rPr>
      </w:pPr>
      <w:r>
        <w:rPr>
          <w:szCs w:val="24"/>
        </w:rPr>
        <w:tab/>
      </w:r>
      <w:r>
        <w:rPr>
          <w:szCs w:val="24"/>
        </w:rPr>
        <w:tab/>
        <w:t xml:space="preserve">One downside of funding from the proceeds recovered is where the reward is contingent upon the amount recovered, in which case there may be disputes as to the amounts of unpaid taxes recovered and/or the calculus of such amount.  Resolving such disputes can create </w:t>
      </w:r>
      <w:r w:rsidR="00C0765B">
        <w:rPr>
          <w:szCs w:val="24"/>
        </w:rPr>
        <w:t xml:space="preserve">messy </w:t>
      </w:r>
      <w:r>
        <w:rPr>
          <w:szCs w:val="24"/>
        </w:rPr>
        <w:t xml:space="preserve">disputes </w:t>
      </w:r>
      <w:r w:rsidR="00DF3AA4">
        <w:rPr>
          <w:szCs w:val="24"/>
        </w:rPr>
        <w:t>as to just what information is necessary, and who is responsible for providing such information</w:t>
      </w:r>
      <w:r>
        <w:rPr>
          <w:szCs w:val="24"/>
        </w:rPr>
        <w:t>.</w:t>
      </w:r>
      <w:r w:rsidRPr="008F1595">
        <w:rPr>
          <w:rStyle w:val="FootnoteReference"/>
          <w:szCs w:val="24"/>
        </w:rPr>
        <w:t xml:space="preserve"> </w:t>
      </w:r>
      <w:r w:rsidRPr="009F5985">
        <w:rPr>
          <w:rStyle w:val="FootnoteReference"/>
          <w:szCs w:val="24"/>
        </w:rPr>
        <w:footnoteReference w:id="32"/>
      </w:r>
      <w:r w:rsidR="007C3987">
        <w:rPr>
          <w:szCs w:val="24"/>
        </w:rPr>
        <w:t xml:space="preserve">  In the United States, there are many who have expressed the hope that with the new Presidential administration will come a fresh look at the possibilities posed by an expanded calculus base for the amounts recovered.</w:t>
      </w:r>
      <w:r w:rsidR="007C3987" w:rsidRPr="007C3987">
        <w:rPr>
          <w:rStyle w:val="FootnoteReference"/>
          <w:szCs w:val="24"/>
        </w:rPr>
        <w:t xml:space="preserve"> </w:t>
      </w:r>
      <w:r w:rsidR="007C3987" w:rsidRPr="009F5985">
        <w:rPr>
          <w:rStyle w:val="FootnoteReference"/>
          <w:szCs w:val="24"/>
        </w:rPr>
        <w:footnoteReference w:id="33"/>
      </w:r>
    </w:p>
    <w:p w:rsidR="00B22BC7" w:rsidRDefault="00B22BC7" w:rsidP="002E15C6">
      <w:pPr>
        <w:tabs>
          <w:tab w:val="left" w:pos="1215"/>
        </w:tabs>
        <w:rPr>
          <w:szCs w:val="24"/>
        </w:rPr>
      </w:pPr>
    </w:p>
    <w:p w:rsidR="00B22BC7" w:rsidRDefault="00B22BC7" w:rsidP="002E15C6">
      <w:pPr>
        <w:tabs>
          <w:tab w:val="left" w:pos="1215"/>
        </w:tabs>
        <w:rPr>
          <w:szCs w:val="24"/>
        </w:rPr>
      </w:pPr>
    </w:p>
    <w:p w:rsidR="00B22BC7" w:rsidRDefault="00B22BC7" w:rsidP="00B22BC7">
      <w:pPr>
        <w:autoSpaceDE w:val="0"/>
        <w:autoSpaceDN w:val="0"/>
        <w:adjustRightInd w:val="0"/>
        <w:rPr>
          <w:rFonts w:asciiTheme="majorBidi" w:hAnsiTheme="majorBidi" w:cstheme="majorBidi"/>
          <w:b/>
          <w:bCs/>
          <w:szCs w:val="24"/>
        </w:rPr>
      </w:pPr>
      <w:r>
        <w:rPr>
          <w:rFonts w:asciiTheme="majorBidi" w:hAnsiTheme="majorBidi" w:cstheme="majorBidi"/>
          <w:b/>
          <w:bCs/>
          <w:szCs w:val="24"/>
        </w:rPr>
        <w:t>Questions 29 - 32:</w:t>
      </w:r>
    </w:p>
    <w:p w:rsidR="00102E34" w:rsidRDefault="00102E34" w:rsidP="00B22BC7">
      <w:pPr>
        <w:autoSpaceDE w:val="0"/>
        <w:autoSpaceDN w:val="0"/>
        <w:adjustRightInd w:val="0"/>
        <w:rPr>
          <w:rFonts w:asciiTheme="majorBidi" w:hAnsiTheme="majorBidi" w:cstheme="majorBidi"/>
          <w:b/>
          <w:bCs/>
          <w:szCs w:val="24"/>
        </w:rPr>
      </w:pPr>
    </w:p>
    <w:p w:rsidR="00102E34" w:rsidRDefault="00102E34" w:rsidP="00B22BC7">
      <w:pPr>
        <w:autoSpaceDE w:val="0"/>
        <w:autoSpaceDN w:val="0"/>
        <w:adjustRightInd w:val="0"/>
        <w:rPr>
          <w:rFonts w:asciiTheme="majorBidi" w:hAnsiTheme="majorBidi" w:cstheme="majorBidi"/>
          <w:szCs w:val="24"/>
        </w:rPr>
      </w:pPr>
      <w:r>
        <w:rPr>
          <w:rFonts w:asciiTheme="majorBidi" w:hAnsiTheme="majorBidi" w:cstheme="majorBidi"/>
          <w:b/>
          <w:bCs/>
          <w:szCs w:val="24"/>
        </w:rPr>
        <w:tab/>
      </w:r>
      <w:r>
        <w:rPr>
          <w:rFonts w:asciiTheme="majorBidi" w:hAnsiTheme="majorBidi" w:cstheme="majorBidi"/>
          <w:b/>
          <w:bCs/>
          <w:szCs w:val="24"/>
        </w:rPr>
        <w:tab/>
      </w:r>
      <w:r>
        <w:rPr>
          <w:rFonts w:asciiTheme="majorBidi" w:hAnsiTheme="majorBidi" w:cstheme="majorBidi"/>
          <w:szCs w:val="24"/>
        </w:rPr>
        <w:t xml:space="preserve">The regulatory burden that would be imposed by internal reporting systems cannot be ignored.  </w:t>
      </w:r>
    </w:p>
    <w:p w:rsidR="00DE1A75" w:rsidRDefault="00DE1A75" w:rsidP="00B22BC7">
      <w:pPr>
        <w:autoSpaceDE w:val="0"/>
        <w:autoSpaceDN w:val="0"/>
        <w:adjustRightInd w:val="0"/>
        <w:rPr>
          <w:rFonts w:asciiTheme="majorBidi" w:hAnsiTheme="majorBidi" w:cstheme="majorBidi"/>
          <w:szCs w:val="24"/>
        </w:rPr>
      </w:pPr>
    </w:p>
    <w:p w:rsidR="00DE1A75" w:rsidRDefault="00DE1A75" w:rsidP="00DE1A75">
      <w:pPr>
        <w:rPr>
          <w:rFonts w:asciiTheme="majorBidi" w:hAnsiTheme="majorBidi" w:cstheme="majorBidi"/>
        </w:rPr>
      </w:pPr>
      <w:r>
        <w:rPr>
          <w:rFonts w:asciiTheme="majorBidi" w:hAnsiTheme="majorBidi" w:cstheme="majorBidi"/>
          <w:szCs w:val="24"/>
        </w:rPr>
        <w:tab/>
      </w:r>
      <w:r>
        <w:rPr>
          <w:rFonts w:asciiTheme="majorBidi" w:hAnsiTheme="majorBidi" w:cstheme="majorBidi"/>
          <w:szCs w:val="24"/>
        </w:rPr>
        <w:tab/>
      </w:r>
      <w:r w:rsidRPr="00E76BD1">
        <w:rPr>
          <w:rFonts w:asciiTheme="majorBidi" w:hAnsiTheme="majorBidi" w:cstheme="majorBidi"/>
          <w:szCs w:val="24"/>
        </w:rPr>
        <w:t xml:space="preserve">Various </w:t>
      </w:r>
      <w:r>
        <w:rPr>
          <w:rFonts w:asciiTheme="majorBidi" w:hAnsiTheme="majorBidi" w:cstheme="majorBidi"/>
        </w:rPr>
        <w:t xml:space="preserve">legal and regulatory burdens have various thresholds before they take effect.  These thresholds can be in terms of minimum dollar amounts, including minimum court jurisdictional thresholds </w:t>
      </w:r>
      <w:r w:rsidRPr="009F5985">
        <w:rPr>
          <w:rStyle w:val="FootnoteReference"/>
          <w:szCs w:val="24"/>
        </w:rPr>
        <w:footnoteReference w:id="34"/>
      </w:r>
      <w:r>
        <w:rPr>
          <w:szCs w:val="24"/>
        </w:rPr>
        <w:t xml:space="preserve"> </w:t>
      </w:r>
      <w:r>
        <w:rPr>
          <w:rFonts w:asciiTheme="majorBidi" w:hAnsiTheme="majorBidi" w:cstheme="majorBidi"/>
        </w:rPr>
        <w:t>(or, for that matter, maximums,</w:t>
      </w:r>
      <w:r w:rsidRPr="009F5985">
        <w:rPr>
          <w:rStyle w:val="FootnoteReference"/>
          <w:szCs w:val="24"/>
        </w:rPr>
        <w:footnoteReference w:id="35"/>
      </w:r>
      <w:r>
        <w:t xml:space="preserve">), </w:t>
      </w:r>
      <w:r w:rsidR="00F551CF">
        <w:t xml:space="preserve">dollar values associated with securities sales or offerings, or even </w:t>
      </w:r>
      <w:r>
        <w:t xml:space="preserve">numbers of employees, </w:t>
      </w:r>
      <w:r w:rsidRPr="009F5985">
        <w:rPr>
          <w:rStyle w:val="FootnoteReference"/>
          <w:szCs w:val="24"/>
        </w:rPr>
        <w:footnoteReference w:id="36"/>
      </w:r>
      <w:r>
        <w:rPr>
          <w:szCs w:val="24"/>
        </w:rPr>
        <w:t xml:space="preserve">  </w:t>
      </w:r>
      <w:r w:rsidR="00147F2E">
        <w:rPr>
          <w:rFonts w:asciiTheme="majorBidi" w:hAnsiTheme="majorBidi" w:cstheme="majorBidi"/>
        </w:rPr>
        <w:t xml:space="preserve"> A </w:t>
      </w:r>
      <w:r w:rsidR="009761F7">
        <w:rPr>
          <w:rFonts w:asciiTheme="majorBidi" w:hAnsiTheme="majorBidi" w:cstheme="majorBidi"/>
        </w:rPr>
        <w:t xml:space="preserve">gradient </w:t>
      </w:r>
      <w:r w:rsidR="00147F2E">
        <w:rPr>
          <w:rFonts w:asciiTheme="majorBidi" w:hAnsiTheme="majorBidi" w:cstheme="majorBidi"/>
        </w:rPr>
        <w:t>threshold system, if properly implemented, can impose regulatory burdens in a manner commensurate with the taxpayer's ability to shoulder the burdens.</w:t>
      </w:r>
    </w:p>
    <w:p w:rsidR="00B00D05" w:rsidRDefault="00B00D05" w:rsidP="00DE1A75">
      <w:pPr>
        <w:rPr>
          <w:rFonts w:asciiTheme="majorBidi" w:hAnsiTheme="majorBidi" w:cstheme="majorBidi"/>
        </w:rPr>
      </w:pPr>
    </w:p>
    <w:p w:rsidR="00B00D05" w:rsidRDefault="00B00D05" w:rsidP="00211C51">
      <w:pPr>
        <w:rPr>
          <w:rFonts w:asciiTheme="majorBidi" w:hAnsiTheme="majorBidi" w:cstheme="majorBidi"/>
        </w:rPr>
      </w:pPr>
      <w:r>
        <w:rPr>
          <w:rFonts w:asciiTheme="majorBidi" w:hAnsiTheme="majorBidi" w:cstheme="majorBidi"/>
        </w:rPr>
        <w:tab/>
      </w:r>
      <w:r>
        <w:rPr>
          <w:rFonts w:asciiTheme="majorBidi" w:hAnsiTheme="majorBidi" w:cstheme="majorBidi"/>
        </w:rPr>
        <w:tab/>
        <w:t>The fact that a company has implemented an internal system that goes beyond the mandates of its size/dollar volume should weigh in its favor in the enforcement of the tax (or securities</w:t>
      </w:r>
      <w:r w:rsidR="00310DB8">
        <w:rPr>
          <w:rFonts w:asciiTheme="majorBidi" w:hAnsiTheme="majorBidi" w:cstheme="majorBidi"/>
        </w:rPr>
        <w:t xml:space="preserve"> </w:t>
      </w:r>
      <w:r w:rsidR="00310DB8" w:rsidRPr="009F5985">
        <w:rPr>
          <w:rStyle w:val="FootnoteReference"/>
          <w:szCs w:val="24"/>
        </w:rPr>
        <w:footnoteReference w:id="37"/>
      </w:r>
      <w:r>
        <w:rPr>
          <w:rFonts w:asciiTheme="majorBidi" w:hAnsiTheme="majorBidi" w:cstheme="majorBidi"/>
        </w:rPr>
        <w:t xml:space="preserve">) laws, particularly if the whistleblower failed to utilize the company's reasonable </w:t>
      </w:r>
      <w:r w:rsidR="00945A12">
        <w:rPr>
          <w:rFonts w:asciiTheme="majorBidi" w:hAnsiTheme="majorBidi" w:cstheme="majorBidi"/>
        </w:rPr>
        <w:t xml:space="preserve">"up the ladder reporting" </w:t>
      </w:r>
      <w:r>
        <w:rPr>
          <w:rFonts w:asciiTheme="majorBidi" w:hAnsiTheme="majorBidi" w:cstheme="majorBidi"/>
        </w:rPr>
        <w:t>alternatives.</w:t>
      </w:r>
      <w:r w:rsidR="00211C51">
        <w:rPr>
          <w:rFonts w:asciiTheme="majorBidi" w:hAnsiTheme="majorBidi" w:cstheme="majorBidi"/>
        </w:rPr>
        <w:t xml:space="preserve">  Conversely, a company should not benefit where a whistleblower who does report "up the ladder" is retaliated against, or the company has not established an adequate internal system</w:t>
      </w:r>
      <w:r w:rsidR="00F410E5">
        <w:rPr>
          <w:rFonts w:asciiTheme="majorBidi" w:hAnsiTheme="majorBidi" w:cstheme="majorBidi"/>
        </w:rPr>
        <w:t>.</w:t>
      </w:r>
      <w:r w:rsidR="00F410E5" w:rsidRPr="00F410E5">
        <w:rPr>
          <w:rStyle w:val="FootnoteReference"/>
          <w:szCs w:val="24"/>
        </w:rPr>
        <w:t xml:space="preserve"> </w:t>
      </w:r>
      <w:r w:rsidR="00F410E5" w:rsidRPr="00EB64BC">
        <w:rPr>
          <w:rStyle w:val="FootnoteReference"/>
          <w:szCs w:val="24"/>
        </w:rPr>
        <w:footnoteReference w:id="38"/>
      </w:r>
    </w:p>
    <w:p w:rsidR="00310DB8" w:rsidRDefault="00310DB8" w:rsidP="00B00D05">
      <w:pPr>
        <w:rPr>
          <w:rFonts w:asciiTheme="majorBidi" w:hAnsiTheme="majorBidi" w:cstheme="majorBidi"/>
        </w:rPr>
      </w:pPr>
    </w:p>
    <w:p w:rsidR="00310DB8" w:rsidRPr="00310DB8" w:rsidRDefault="00310DB8" w:rsidP="00EB64BC">
      <w:pPr>
        <w:rPr>
          <w:rFonts w:asciiTheme="majorBidi" w:hAnsiTheme="majorBidi" w:cstheme="majorBidi"/>
          <w:szCs w:val="24"/>
        </w:rPr>
      </w:pPr>
      <w:r>
        <w:rPr>
          <w:rFonts w:asciiTheme="majorBidi" w:hAnsiTheme="majorBidi" w:cstheme="majorBidi"/>
        </w:rPr>
        <w:tab/>
      </w:r>
      <w:r>
        <w:rPr>
          <w:rFonts w:asciiTheme="majorBidi" w:hAnsiTheme="majorBidi" w:cstheme="majorBidi"/>
        </w:rPr>
        <w:tab/>
        <w:t>There is much to recommend resolution of problems at the lowest practicable level of an organization;</w:t>
      </w:r>
      <w:r w:rsidRPr="00310DB8">
        <w:rPr>
          <w:rStyle w:val="FootnoteReference"/>
          <w:b/>
          <w:bCs/>
          <w:szCs w:val="24"/>
        </w:rPr>
        <w:t xml:space="preserve"> </w:t>
      </w:r>
      <w:r w:rsidRPr="00EB64BC">
        <w:rPr>
          <w:rStyle w:val="FootnoteReference"/>
          <w:szCs w:val="24"/>
        </w:rPr>
        <w:footnoteReference w:id="39"/>
      </w:r>
      <w:r w:rsidRPr="00EB64BC">
        <w:rPr>
          <w:szCs w:val="24"/>
        </w:rPr>
        <w:t xml:space="preserve"> </w:t>
      </w:r>
      <w:r w:rsidR="00EB64BC" w:rsidRPr="00EB64BC">
        <w:rPr>
          <w:szCs w:val="24"/>
        </w:rPr>
        <w:t xml:space="preserve">indeed, </w:t>
      </w:r>
      <w:r w:rsidRPr="00EB64BC">
        <w:rPr>
          <w:szCs w:val="24"/>
        </w:rPr>
        <w:t>t</w:t>
      </w:r>
      <w:r>
        <w:rPr>
          <w:szCs w:val="24"/>
        </w:rPr>
        <w:t xml:space="preserve">he principle was known and </w:t>
      </w:r>
      <w:r w:rsidR="00EB64BC">
        <w:rPr>
          <w:szCs w:val="24"/>
        </w:rPr>
        <w:t>practiced</w:t>
      </w:r>
      <w:r>
        <w:rPr>
          <w:szCs w:val="24"/>
        </w:rPr>
        <w:t xml:space="preserve"> in biblical times.</w:t>
      </w:r>
      <w:r w:rsidR="00EB64BC" w:rsidRPr="00EB64BC">
        <w:rPr>
          <w:rStyle w:val="FootnoteReference"/>
          <w:szCs w:val="24"/>
        </w:rPr>
        <w:t xml:space="preserve"> </w:t>
      </w:r>
      <w:r w:rsidR="00EB64BC" w:rsidRPr="00EB64BC">
        <w:rPr>
          <w:rStyle w:val="FootnoteReference"/>
          <w:szCs w:val="24"/>
        </w:rPr>
        <w:footnoteReference w:id="40"/>
      </w:r>
    </w:p>
    <w:p w:rsidR="00DE1A75" w:rsidRPr="00E76BD1" w:rsidRDefault="00DE1A75" w:rsidP="00DE1A75">
      <w:pPr>
        <w:rPr>
          <w:rFonts w:asciiTheme="majorBidi" w:hAnsiTheme="majorBidi" w:cstheme="majorBidi"/>
          <w:szCs w:val="24"/>
        </w:rPr>
      </w:pPr>
    </w:p>
    <w:p w:rsidR="00DE1A75" w:rsidRPr="00102E34" w:rsidRDefault="00DE1A75" w:rsidP="00B22BC7">
      <w:pPr>
        <w:autoSpaceDE w:val="0"/>
        <w:autoSpaceDN w:val="0"/>
        <w:adjustRightInd w:val="0"/>
        <w:rPr>
          <w:rFonts w:asciiTheme="majorBidi" w:hAnsiTheme="majorBidi" w:cstheme="majorBidi"/>
          <w:szCs w:val="24"/>
        </w:rPr>
      </w:pPr>
    </w:p>
    <w:p w:rsidR="00945A12" w:rsidRDefault="00945A12" w:rsidP="00945A12">
      <w:pPr>
        <w:autoSpaceDE w:val="0"/>
        <w:autoSpaceDN w:val="0"/>
        <w:adjustRightInd w:val="0"/>
        <w:rPr>
          <w:rFonts w:asciiTheme="majorBidi" w:hAnsiTheme="majorBidi" w:cstheme="majorBidi"/>
          <w:b/>
          <w:bCs/>
          <w:szCs w:val="24"/>
        </w:rPr>
      </w:pPr>
      <w:r>
        <w:rPr>
          <w:rFonts w:asciiTheme="majorBidi" w:hAnsiTheme="majorBidi" w:cstheme="majorBidi"/>
          <w:b/>
          <w:bCs/>
          <w:szCs w:val="24"/>
        </w:rPr>
        <w:t>Questions 33 - 34:</w:t>
      </w:r>
    </w:p>
    <w:p w:rsidR="00945A12" w:rsidRDefault="00945A12" w:rsidP="002E15C6">
      <w:pPr>
        <w:tabs>
          <w:tab w:val="left" w:pos="1215"/>
        </w:tabs>
        <w:rPr>
          <w:szCs w:val="24"/>
        </w:rPr>
      </w:pPr>
    </w:p>
    <w:p w:rsidR="00945A12" w:rsidRDefault="00EB64BC" w:rsidP="00EB64BC">
      <w:pPr>
        <w:tabs>
          <w:tab w:val="left" w:pos="1215"/>
        </w:tabs>
        <w:rPr>
          <w:szCs w:val="24"/>
        </w:rPr>
      </w:pPr>
      <w:r>
        <w:rPr>
          <w:szCs w:val="24"/>
        </w:rPr>
        <w:tab/>
        <w:t xml:space="preserve">Consistent with the concept of the preferential resolution of dysfunctions on lower levels, companies ought be given the opportunity to address breaches internally; if that fails to adequately remedy the breach, then the door can be opened for external authorities. </w:t>
      </w:r>
    </w:p>
    <w:p w:rsidR="002E15C6" w:rsidRDefault="002E15C6" w:rsidP="002E15C6">
      <w:pPr>
        <w:tabs>
          <w:tab w:val="left" w:pos="1215"/>
        </w:tabs>
        <w:rPr>
          <w:szCs w:val="24"/>
        </w:rPr>
      </w:pPr>
      <w:r>
        <w:rPr>
          <w:szCs w:val="24"/>
        </w:rPr>
        <w:tab/>
      </w:r>
      <w:r>
        <w:rPr>
          <w:szCs w:val="24"/>
        </w:rPr>
        <w:tab/>
      </w:r>
    </w:p>
    <w:p w:rsidR="002E15C6" w:rsidRDefault="002E15C6" w:rsidP="00A64043">
      <w:pPr>
        <w:tabs>
          <w:tab w:val="left" w:pos="1215"/>
        </w:tabs>
        <w:rPr>
          <w:szCs w:val="24"/>
        </w:rPr>
      </w:pPr>
    </w:p>
    <w:p w:rsidR="00DA3B2E" w:rsidRDefault="00DA3B2E" w:rsidP="00ED4C8A">
      <w:pPr>
        <w:tabs>
          <w:tab w:val="left" w:pos="1215"/>
        </w:tabs>
        <w:rPr>
          <w:szCs w:val="24"/>
        </w:rPr>
      </w:pPr>
    </w:p>
    <w:p w:rsidR="00587FAB" w:rsidRDefault="00DA3B2E" w:rsidP="00ED4C8A">
      <w:pPr>
        <w:tabs>
          <w:tab w:val="left" w:pos="1215"/>
        </w:tabs>
        <w:rPr>
          <w:szCs w:val="24"/>
        </w:rPr>
      </w:pPr>
      <w:r>
        <w:rPr>
          <w:rFonts w:asciiTheme="majorBidi" w:hAnsiTheme="majorBidi" w:cstheme="majorBidi"/>
          <w:b/>
          <w:bCs/>
          <w:szCs w:val="24"/>
        </w:rPr>
        <w:t>Question</w:t>
      </w:r>
      <w:r w:rsidR="00EC2163">
        <w:rPr>
          <w:rFonts w:asciiTheme="majorBidi" w:hAnsiTheme="majorBidi" w:cstheme="majorBidi"/>
          <w:b/>
          <w:bCs/>
          <w:szCs w:val="24"/>
        </w:rPr>
        <w:t>s</w:t>
      </w:r>
      <w:r>
        <w:rPr>
          <w:rFonts w:asciiTheme="majorBidi" w:hAnsiTheme="majorBidi" w:cstheme="majorBidi"/>
          <w:b/>
          <w:bCs/>
          <w:szCs w:val="24"/>
        </w:rPr>
        <w:t xml:space="preserve"> 35</w:t>
      </w:r>
      <w:r w:rsidR="00EC2163">
        <w:rPr>
          <w:rFonts w:asciiTheme="majorBidi" w:hAnsiTheme="majorBidi" w:cstheme="majorBidi"/>
          <w:b/>
          <w:bCs/>
          <w:szCs w:val="24"/>
        </w:rPr>
        <w:t xml:space="preserve"> - 36</w:t>
      </w:r>
      <w:r>
        <w:rPr>
          <w:rFonts w:asciiTheme="majorBidi" w:hAnsiTheme="majorBidi" w:cstheme="majorBidi"/>
          <w:b/>
          <w:bCs/>
          <w:szCs w:val="24"/>
        </w:rPr>
        <w:t>:</w:t>
      </w:r>
      <w:r w:rsidR="006C2F39">
        <w:rPr>
          <w:szCs w:val="24"/>
        </w:rPr>
        <w:t xml:space="preserve">  </w:t>
      </w:r>
    </w:p>
    <w:p w:rsidR="00DA3B2E" w:rsidRDefault="00DA3B2E" w:rsidP="00ED4C8A">
      <w:pPr>
        <w:tabs>
          <w:tab w:val="left" w:pos="1215"/>
        </w:tabs>
        <w:rPr>
          <w:szCs w:val="24"/>
        </w:rPr>
      </w:pPr>
    </w:p>
    <w:p w:rsidR="00B2070F" w:rsidRDefault="00C81B79" w:rsidP="00B2070F">
      <w:pPr>
        <w:autoSpaceDE w:val="0"/>
        <w:autoSpaceDN w:val="0"/>
        <w:adjustRightInd w:val="0"/>
        <w:rPr>
          <w:szCs w:val="24"/>
        </w:rPr>
      </w:pPr>
      <w:r>
        <w:rPr>
          <w:rFonts w:asciiTheme="majorBidi" w:hAnsiTheme="majorBidi" w:cstheme="majorBidi"/>
          <w:szCs w:val="24"/>
        </w:rPr>
        <w:tab/>
      </w:r>
      <w:r>
        <w:rPr>
          <w:rFonts w:asciiTheme="majorBidi" w:hAnsiTheme="majorBidi" w:cstheme="majorBidi"/>
          <w:szCs w:val="24"/>
        </w:rPr>
        <w:tab/>
      </w:r>
      <w:r w:rsidR="00B2070F" w:rsidRPr="00B2070F">
        <w:rPr>
          <w:rFonts w:asciiTheme="majorBidi" w:hAnsiTheme="majorBidi" w:cstheme="majorBidi"/>
          <w:szCs w:val="24"/>
        </w:rPr>
        <w:t xml:space="preserve">As observed by Ricardo, </w:t>
      </w:r>
      <w:r w:rsidR="00B2070F" w:rsidRPr="00B2070F">
        <w:rPr>
          <w:rFonts w:asciiTheme="majorBidi" w:eastAsiaTheme="minorHAnsi" w:hAnsiTheme="majorBidi" w:cstheme="majorBidi"/>
          <w:szCs w:val="24"/>
          <w:lang w:bidi="he-IL"/>
        </w:rPr>
        <w:t>("[Taxation] frequently operates very differently from the intention of the legislature by its indirect effects."</w:t>
      </w:r>
      <w:r w:rsidR="00B2070F">
        <w:rPr>
          <w:rFonts w:asciiTheme="majorBidi" w:eastAsiaTheme="minorHAnsi" w:hAnsiTheme="majorBidi" w:cstheme="majorBidi"/>
          <w:szCs w:val="24"/>
          <w:lang w:bidi="he-IL"/>
        </w:rPr>
        <w:t xml:space="preserve"> </w:t>
      </w:r>
      <w:r w:rsidR="00B2070F" w:rsidRPr="00EB64BC">
        <w:rPr>
          <w:rStyle w:val="FootnoteReference"/>
          <w:szCs w:val="24"/>
        </w:rPr>
        <w:footnoteReference w:id="41"/>
      </w:r>
      <w:r w:rsidR="00B2070F">
        <w:rPr>
          <w:szCs w:val="24"/>
        </w:rPr>
        <w:t xml:space="preserve"> </w:t>
      </w:r>
      <w:r w:rsidR="00B2070F">
        <w:rPr>
          <w:rFonts w:asciiTheme="majorBidi" w:eastAsiaTheme="minorHAnsi" w:hAnsiTheme="majorBidi" w:cstheme="majorBidi"/>
          <w:szCs w:val="24"/>
          <w:lang w:bidi="he-IL"/>
        </w:rPr>
        <w:t xml:space="preserve"> </w:t>
      </w:r>
      <w:r w:rsidR="00B2070F" w:rsidRPr="00B2070F">
        <w:rPr>
          <w:rFonts w:asciiTheme="majorBidi" w:eastAsiaTheme="minorHAnsi" w:hAnsiTheme="majorBidi" w:cstheme="majorBidi"/>
          <w:szCs w:val="24"/>
          <w:lang w:bidi="he-IL"/>
        </w:rPr>
        <w:t>Indeed, there</w:t>
      </w:r>
      <w:r w:rsidR="007B63C0" w:rsidRPr="00B2070F">
        <w:rPr>
          <w:rFonts w:asciiTheme="majorBidi" w:hAnsiTheme="majorBidi" w:cstheme="majorBidi"/>
          <w:szCs w:val="24"/>
        </w:rPr>
        <w:t xml:space="preserve"> are many areas and instances of conflicts between taxation law and other areas of the law.</w:t>
      </w:r>
      <w:r w:rsidR="001774B6" w:rsidRPr="00B2070F">
        <w:rPr>
          <w:rStyle w:val="FootnoteReference"/>
          <w:rFonts w:asciiTheme="majorBidi" w:hAnsiTheme="majorBidi" w:cstheme="majorBidi"/>
          <w:szCs w:val="24"/>
        </w:rPr>
        <w:footnoteReference w:id="42"/>
      </w:r>
      <w:r w:rsidR="001774B6" w:rsidRPr="00B2070F">
        <w:rPr>
          <w:rFonts w:asciiTheme="majorBidi" w:hAnsiTheme="majorBidi" w:cstheme="majorBidi"/>
          <w:szCs w:val="24"/>
        </w:rPr>
        <w:t xml:space="preserve">  </w:t>
      </w:r>
      <w:r w:rsidR="00475468">
        <w:rPr>
          <w:rFonts w:asciiTheme="majorBidi" w:hAnsiTheme="majorBidi" w:cstheme="majorBidi"/>
          <w:szCs w:val="24"/>
        </w:rPr>
        <w:t>When enacted in 1954, the U.S. Internal Revenue Code was intended, inter alia, to remove the restraints upon productive economic activity caused by such conflicts.</w:t>
      </w:r>
      <w:r w:rsidR="00475468" w:rsidRPr="00475468">
        <w:rPr>
          <w:rStyle w:val="FootnoteReference"/>
          <w:szCs w:val="24"/>
        </w:rPr>
        <w:t xml:space="preserve"> </w:t>
      </w:r>
      <w:r w:rsidR="00475468" w:rsidRPr="00EB64BC">
        <w:rPr>
          <w:rStyle w:val="FootnoteReference"/>
          <w:szCs w:val="24"/>
        </w:rPr>
        <w:footnoteReference w:id="43"/>
      </w:r>
      <w:r>
        <w:rPr>
          <w:szCs w:val="24"/>
        </w:rPr>
        <w:t xml:space="preserve">  </w:t>
      </w:r>
    </w:p>
    <w:p w:rsidR="00C81B79" w:rsidRDefault="00C81B79" w:rsidP="00B2070F">
      <w:pPr>
        <w:autoSpaceDE w:val="0"/>
        <w:autoSpaceDN w:val="0"/>
        <w:adjustRightInd w:val="0"/>
        <w:rPr>
          <w:szCs w:val="24"/>
        </w:rPr>
      </w:pPr>
    </w:p>
    <w:p w:rsidR="00C81B79" w:rsidRDefault="00C81B79" w:rsidP="00B2070F">
      <w:pPr>
        <w:autoSpaceDE w:val="0"/>
        <w:autoSpaceDN w:val="0"/>
        <w:adjustRightInd w:val="0"/>
        <w:rPr>
          <w:rFonts w:asciiTheme="majorBidi" w:hAnsiTheme="majorBidi" w:cstheme="majorBidi"/>
          <w:szCs w:val="24"/>
        </w:rPr>
      </w:pPr>
      <w:r>
        <w:rPr>
          <w:szCs w:val="24"/>
        </w:rPr>
        <w:tab/>
      </w:r>
      <w:r>
        <w:rPr>
          <w:szCs w:val="24"/>
        </w:rPr>
        <w:tab/>
        <w:t>Whichever regime is enacted regarding whistleblowers should be crafted with an eye t</w:t>
      </w:r>
      <w:r w:rsidRPr="00EA1BDB">
        <w:rPr>
          <w:szCs w:val="24"/>
        </w:rPr>
        <w:t>owards minimizing the conflicts between whistleblowers in a taxation context and those in othe</w:t>
      </w:r>
      <w:r>
        <w:rPr>
          <w:szCs w:val="24"/>
        </w:rPr>
        <w:t>r contexts.</w:t>
      </w:r>
    </w:p>
    <w:p w:rsidR="00475468" w:rsidRPr="00475468" w:rsidRDefault="00475468" w:rsidP="00B2070F">
      <w:pPr>
        <w:autoSpaceDE w:val="0"/>
        <w:autoSpaceDN w:val="0"/>
        <w:adjustRightInd w:val="0"/>
        <w:rPr>
          <w:rFonts w:asciiTheme="majorBidi" w:hAnsiTheme="majorBidi" w:cstheme="majorBidi"/>
          <w:sz w:val="22"/>
          <w:szCs w:val="22"/>
        </w:rPr>
      </w:pPr>
    </w:p>
    <w:p w:rsidR="00B2070F" w:rsidRDefault="00B2070F" w:rsidP="00B2070F">
      <w:pPr>
        <w:autoSpaceDE w:val="0"/>
        <w:autoSpaceDN w:val="0"/>
        <w:adjustRightInd w:val="0"/>
        <w:rPr>
          <w:rFonts w:asciiTheme="majorBidi" w:hAnsiTheme="majorBidi" w:cstheme="majorBidi"/>
          <w:sz w:val="22"/>
          <w:szCs w:val="22"/>
        </w:rPr>
      </w:pPr>
    </w:p>
    <w:p w:rsidR="00EA1BDB" w:rsidRPr="00475468" w:rsidRDefault="005151F5" w:rsidP="00B2070F">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ab/>
      </w:r>
      <w:r w:rsidR="00EA1BDB">
        <w:rPr>
          <w:rFonts w:asciiTheme="majorBidi" w:hAnsiTheme="majorBidi" w:cstheme="majorBidi"/>
          <w:sz w:val="22"/>
          <w:szCs w:val="22"/>
        </w:rPr>
        <w:t>One negative to self-reporting of current lapses is the fear of bringing previous lapses to the attention of the taxation authorities, and incurring consequences therefor.</w:t>
      </w:r>
      <w:r w:rsidR="00EA1BDB" w:rsidRPr="00EA1BDB">
        <w:rPr>
          <w:rStyle w:val="FootnoteReference"/>
          <w:szCs w:val="24"/>
        </w:rPr>
        <w:t xml:space="preserve"> </w:t>
      </w:r>
      <w:r w:rsidR="00EA1BDB" w:rsidRPr="00EB64BC">
        <w:rPr>
          <w:rStyle w:val="FootnoteReference"/>
          <w:szCs w:val="24"/>
        </w:rPr>
        <w:footnoteReference w:id="44"/>
      </w:r>
      <w:r w:rsidR="00EA1BDB" w:rsidRPr="00EB64BC">
        <w:rPr>
          <w:szCs w:val="24"/>
        </w:rPr>
        <w:t xml:space="preserve">  </w:t>
      </w:r>
    </w:p>
    <w:p w:rsidR="00B2070F" w:rsidRPr="00475468" w:rsidRDefault="00B2070F" w:rsidP="00B2070F">
      <w:pPr>
        <w:autoSpaceDE w:val="0"/>
        <w:autoSpaceDN w:val="0"/>
        <w:adjustRightInd w:val="0"/>
        <w:rPr>
          <w:rFonts w:asciiTheme="majorBidi" w:hAnsiTheme="majorBidi" w:cstheme="majorBidi"/>
          <w:sz w:val="22"/>
          <w:szCs w:val="22"/>
        </w:rPr>
      </w:pPr>
    </w:p>
    <w:p w:rsidR="00CA0BC5" w:rsidRDefault="00CA0BC5" w:rsidP="004A15D1">
      <w:pPr>
        <w:tabs>
          <w:tab w:val="left" w:pos="1215"/>
        </w:tabs>
        <w:rPr>
          <w:szCs w:val="24"/>
        </w:rPr>
      </w:pPr>
    </w:p>
    <w:p w:rsidR="00CA0BC5" w:rsidRDefault="00CA0BC5" w:rsidP="008F1595">
      <w:pPr>
        <w:tabs>
          <w:tab w:val="left" w:pos="1215"/>
        </w:tabs>
        <w:rPr>
          <w:szCs w:val="24"/>
        </w:rPr>
      </w:pPr>
      <w:r>
        <w:rPr>
          <w:b/>
          <w:bCs/>
          <w:szCs w:val="24"/>
        </w:rPr>
        <w:t>Question 37:</w:t>
      </w:r>
      <w:r>
        <w:rPr>
          <w:szCs w:val="24"/>
        </w:rPr>
        <w:t xml:space="preserve">  </w:t>
      </w:r>
      <w:r w:rsidR="008F1595">
        <w:rPr>
          <w:szCs w:val="24"/>
        </w:rPr>
        <w:t>Imprimis, a</w:t>
      </w:r>
      <w:r w:rsidR="00A75A60">
        <w:rPr>
          <w:szCs w:val="24"/>
        </w:rPr>
        <w:t>ll programs are susceptible to abuse in some way, shape, or form.  Given all of the positive whistleblower attributes discussed in this Submission (and implicitly touted in the Consultation), the potential harm from a malicious whistleblower cannot be overlooked.</w:t>
      </w:r>
      <w:r w:rsidR="00DC1BCD" w:rsidRPr="00DC1BCD">
        <w:rPr>
          <w:rStyle w:val="FootnoteReference"/>
          <w:szCs w:val="24"/>
        </w:rPr>
        <w:t xml:space="preserve"> </w:t>
      </w:r>
      <w:r w:rsidR="00DC1BCD" w:rsidRPr="009F5985">
        <w:rPr>
          <w:rStyle w:val="FootnoteReference"/>
          <w:szCs w:val="24"/>
        </w:rPr>
        <w:footnoteReference w:id="45"/>
      </w:r>
      <w:r w:rsidR="00A75A60">
        <w:rPr>
          <w:szCs w:val="24"/>
        </w:rPr>
        <w:t xml:space="preserve">  </w:t>
      </w:r>
      <w:r w:rsidR="004D241B">
        <w:rPr>
          <w:szCs w:val="24"/>
        </w:rPr>
        <w:t xml:space="preserve">In processing the whistleblower report, </w:t>
      </w:r>
      <w:r w:rsidR="00364D65">
        <w:rPr>
          <w:szCs w:val="24"/>
        </w:rPr>
        <w:t>t</w:t>
      </w:r>
      <w:r w:rsidR="004D241B">
        <w:rPr>
          <w:szCs w:val="24"/>
        </w:rPr>
        <w:t xml:space="preserve">here needs to be an evenhanded balance between the whistleblower and the taxpayer who is the subject of the whistleblowing. </w:t>
      </w:r>
      <w:r w:rsidR="004D241B" w:rsidRPr="009F5985">
        <w:rPr>
          <w:rStyle w:val="FootnoteReference"/>
          <w:szCs w:val="24"/>
        </w:rPr>
        <w:footnoteReference w:id="46"/>
      </w:r>
    </w:p>
    <w:p w:rsidR="00D31990" w:rsidRDefault="00D31990" w:rsidP="004D241B">
      <w:pPr>
        <w:tabs>
          <w:tab w:val="left" w:pos="1215"/>
        </w:tabs>
        <w:rPr>
          <w:szCs w:val="24"/>
        </w:rPr>
      </w:pPr>
    </w:p>
    <w:p w:rsidR="00D31990" w:rsidRDefault="00D31990" w:rsidP="00D31990">
      <w:r>
        <w:tab/>
      </w:r>
      <w:r>
        <w:tab/>
        <w:t>It has been suggested that a tax system that requires bilateral verification incorporate a means to inform the taxation authorities of discrepancies between identities and/or dollar amounts.  This can aid in combatting identity theft,</w:t>
      </w:r>
      <w:r w:rsidRPr="00EB64BC">
        <w:rPr>
          <w:rStyle w:val="FootnoteReference"/>
          <w:szCs w:val="24"/>
        </w:rPr>
        <w:footnoteReference w:id="47"/>
      </w:r>
      <w:r>
        <w:t xml:space="preserve"> and additionally, remove the whistleblower stigma from those who properly use such a system. </w:t>
      </w:r>
    </w:p>
    <w:p w:rsidR="00D31990" w:rsidRDefault="00D31990" w:rsidP="004D241B">
      <w:pPr>
        <w:tabs>
          <w:tab w:val="left" w:pos="1215"/>
        </w:tabs>
        <w:rPr>
          <w:szCs w:val="24"/>
        </w:rPr>
      </w:pPr>
    </w:p>
    <w:p w:rsidR="004D241B" w:rsidRDefault="004D241B" w:rsidP="004D241B">
      <w:pPr>
        <w:tabs>
          <w:tab w:val="left" w:pos="1215"/>
        </w:tabs>
        <w:rPr>
          <w:szCs w:val="24"/>
        </w:rPr>
      </w:pPr>
    </w:p>
    <w:p w:rsidR="00D5154C" w:rsidRDefault="00D5154C" w:rsidP="00081657">
      <w:pPr>
        <w:tabs>
          <w:tab w:val="left" w:pos="1215"/>
        </w:tabs>
        <w:rPr>
          <w:szCs w:val="24"/>
        </w:rPr>
      </w:pPr>
      <w:r>
        <w:rPr>
          <w:b/>
          <w:bCs/>
          <w:szCs w:val="24"/>
        </w:rPr>
        <w:t>Questions 38 - 57:</w:t>
      </w:r>
      <w:r>
        <w:rPr>
          <w:szCs w:val="24"/>
        </w:rPr>
        <w:t xml:space="preserve">  Whistleblowers who provide information in taxation matters need analogous protections to those who provide information regarding corporation law breaches.  While the corporation securities laws and taxation laws do not and cannot be one hundred percent analogous to one another, the</w:t>
      </w:r>
      <w:r w:rsidR="0059025A">
        <w:rPr>
          <w:szCs w:val="24"/>
        </w:rPr>
        <w:t xml:space="preserve"> corporation law</w:t>
      </w:r>
      <w:r>
        <w:rPr>
          <w:szCs w:val="24"/>
        </w:rPr>
        <w:t xml:space="preserve"> principle</w:t>
      </w:r>
      <w:r w:rsidR="00322B15">
        <w:rPr>
          <w:szCs w:val="24"/>
        </w:rPr>
        <w:t xml:space="preserve">s </w:t>
      </w:r>
      <w:r w:rsidR="00E204F0">
        <w:rPr>
          <w:szCs w:val="24"/>
        </w:rPr>
        <w:t xml:space="preserve">expounded upon in response to the </w:t>
      </w:r>
      <w:r w:rsidR="00081657">
        <w:rPr>
          <w:szCs w:val="24"/>
        </w:rPr>
        <w:t>precedin</w:t>
      </w:r>
      <w:r w:rsidR="00E204F0">
        <w:rPr>
          <w:szCs w:val="24"/>
        </w:rPr>
        <w:t xml:space="preserve">g questions </w:t>
      </w:r>
      <w:r w:rsidR="00322B15">
        <w:rPr>
          <w:szCs w:val="24"/>
        </w:rPr>
        <w:t>should be tailored</w:t>
      </w:r>
      <w:r w:rsidR="0059025A">
        <w:rPr>
          <w:szCs w:val="24"/>
        </w:rPr>
        <w:t xml:space="preserve"> to the extent practicable</w:t>
      </w:r>
      <w:r w:rsidR="00322B15">
        <w:rPr>
          <w:szCs w:val="24"/>
        </w:rPr>
        <w:t xml:space="preserve"> to the taxation </w:t>
      </w:r>
      <w:r>
        <w:rPr>
          <w:szCs w:val="24"/>
        </w:rPr>
        <w:t>situation</w:t>
      </w:r>
      <w:r w:rsidR="00322B15">
        <w:rPr>
          <w:szCs w:val="24"/>
        </w:rPr>
        <w:t xml:space="preserve"> to protect </w:t>
      </w:r>
      <w:r w:rsidR="00011DD4">
        <w:rPr>
          <w:szCs w:val="24"/>
        </w:rPr>
        <w:t xml:space="preserve">tax </w:t>
      </w:r>
      <w:r w:rsidR="00322B15">
        <w:rPr>
          <w:szCs w:val="24"/>
        </w:rPr>
        <w:t>whistleblowers</w:t>
      </w:r>
      <w:r w:rsidR="0059025A">
        <w:rPr>
          <w:szCs w:val="24"/>
        </w:rPr>
        <w:t>, and vice versa</w:t>
      </w:r>
      <w:r w:rsidR="00322B15">
        <w:rPr>
          <w:szCs w:val="24"/>
        </w:rPr>
        <w:t>.</w:t>
      </w:r>
    </w:p>
    <w:p w:rsidR="00322B15" w:rsidRDefault="00322B15" w:rsidP="00322B15">
      <w:pPr>
        <w:tabs>
          <w:tab w:val="left" w:pos="1215"/>
        </w:tabs>
        <w:rPr>
          <w:szCs w:val="24"/>
        </w:rPr>
      </w:pPr>
    </w:p>
    <w:p w:rsidR="00322B15" w:rsidRDefault="00322B15" w:rsidP="00322B15">
      <w:pPr>
        <w:tabs>
          <w:tab w:val="left" w:pos="1215"/>
        </w:tabs>
        <w:rPr>
          <w:szCs w:val="24"/>
        </w:rPr>
      </w:pPr>
    </w:p>
    <w:p w:rsidR="00322B15" w:rsidRDefault="00322B15" w:rsidP="00322B15">
      <w:pPr>
        <w:tabs>
          <w:tab w:val="left" w:pos="1215"/>
        </w:tabs>
        <w:rPr>
          <w:szCs w:val="24"/>
        </w:rPr>
      </w:pPr>
      <w:r>
        <w:rPr>
          <w:b/>
          <w:bCs/>
          <w:szCs w:val="24"/>
        </w:rPr>
        <w:t>I</w:t>
      </w:r>
      <w:r w:rsidR="00E204F0">
        <w:rPr>
          <w:b/>
          <w:bCs/>
          <w:szCs w:val="24"/>
        </w:rPr>
        <w:t>II.  CONCLUSION</w:t>
      </w:r>
      <w:r>
        <w:rPr>
          <w:b/>
          <w:bCs/>
          <w:szCs w:val="24"/>
        </w:rPr>
        <w:t>:</w:t>
      </w:r>
    </w:p>
    <w:p w:rsidR="00D87390" w:rsidRDefault="00D87390" w:rsidP="00182FC5">
      <w:pPr>
        <w:tabs>
          <w:tab w:val="left" w:pos="1215"/>
        </w:tabs>
        <w:rPr>
          <w:szCs w:val="24"/>
        </w:rPr>
      </w:pPr>
    </w:p>
    <w:p w:rsidR="00B515D7" w:rsidRDefault="00D87390" w:rsidP="00B515D7">
      <w:pPr>
        <w:tabs>
          <w:tab w:val="left" w:pos="1215"/>
        </w:tabs>
        <w:rPr>
          <w:szCs w:val="24"/>
        </w:rPr>
      </w:pPr>
      <w:r>
        <w:rPr>
          <w:szCs w:val="24"/>
        </w:rPr>
        <w:tab/>
        <w:t>There is much to be learned from t</w:t>
      </w:r>
      <w:r w:rsidR="00182FC5">
        <w:rPr>
          <w:szCs w:val="24"/>
        </w:rPr>
        <w:t xml:space="preserve">he </w:t>
      </w:r>
      <w:r>
        <w:rPr>
          <w:szCs w:val="24"/>
        </w:rPr>
        <w:t>notorious</w:t>
      </w:r>
      <w:r w:rsidR="00182FC5">
        <w:rPr>
          <w:szCs w:val="24"/>
        </w:rPr>
        <w:t xml:space="preserve"> matter of Bradley Birkenfeld,</w:t>
      </w:r>
      <w:r w:rsidRPr="00D87390">
        <w:rPr>
          <w:rStyle w:val="FootnoteReference"/>
          <w:szCs w:val="24"/>
        </w:rPr>
        <w:t xml:space="preserve"> </w:t>
      </w:r>
      <w:r>
        <w:rPr>
          <w:szCs w:val="24"/>
        </w:rPr>
        <w:t xml:space="preserve">who is </w:t>
      </w:r>
      <w:r w:rsidR="00182FC5">
        <w:rPr>
          <w:szCs w:val="24"/>
        </w:rPr>
        <w:t>arguably the greatest whistleblower in history</w:t>
      </w:r>
      <w:r w:rsidR="00785981">
        <w:rPr>
          <w:szCs w:val="24"/>
        </w:rPr>
        <w:t xml:space="preserve"> (at least from the tax collector's perspective)</w:t>
      </w:r>
      <w:r>
        <w:rPr>
          <w:szCs w:val="24"/>
        </w:rPr>
        <w:t>.</w:t>
      </w:r>
      <w:r w:rsidR="00A820E2" w:rsidRPr="00A820E2">
        <w:rPr>
          <w:rStyle w:val="FootnoteReference"/>
          <w:szCs w:val="24"/>
        </w:rPr>
        <w:t xml:space="preserve"> </w:t>
      </w:r>
      <w:r w:rsidR="00B515D7" w:rsidRPr="00EB64BC">
        <w:rPr>
          <w:rStyle w:val="FootnoteReference"/>
          <w:szCs w:val="24"/>
        </w:rPr>
        <w:footnoteReference w:id="48"/>
      </w:r>
      <w:r w:rsidR="00B515D7">
        <w:rPr>
          <w:szCs w:val="24"/>
        </w:rPr>
        <w:t xml:space="preserve"> The case has several positive and negative lessons on how to best encourage and manage </w:t>
      </w:r>
      <w:r w:rsidR="00EC56AB">
        <w:rPr>
          <w:szCs w:val="24"/>
        </w:rPr>
        <w:t xml:space="preserve">tax </w:t>
      </w:r>
      <w:r w:rsidR="00B515D7">
        <w:rPr>
          <w:szCs w:val="24"/>
        </w:rPr>
        <w:t xml:space="preserve">whistleblower programs. </w:t>
      </w:r>
      <w:r w:rsidR="00B515D7" w:rsidRPr="00EB64BC">
        <w:rPr>
          <w:rStyle w:val="FootnoteReference"/>
          <w:szCs w:val="24"/>
        </w:rPr>
        <w:footnoteReference w:id="49"/>
      </w:r>
      <w:r w:rsidR="00B515D7">
        <w:rPr>
          <w:szCs w:val="24"/>
        </w:rPr>
        <w:t xml:space="preserve"> These include (but are hardly limited to): </w:t>
      </w:r>
    </w:p>
    <w:p w:rsidR="00B515D7" w:rsidRDefault="00B515D7" w:rsidP="00B515D7">
      <w:pPr>
        <w:tabs>
          <w:tab w:val="left" w:pos="1215"/>
        </w:tabs>
        <w:rPr>
          <w:szCs w:val="24"/>
        </w:rPr>
      </w:pPr>
    </w:p>
    <w:p w:rsidR="00182FC5" w:rsidRDefault="00B515D7" w:rsidP="00B515D7">
      <w:pPr>
        <w:tabs>
          <w:tab w:val="left" w:pos="1215"/>
        </w:tabs>
        <w:rPr>
          <w:szCs w:val="24"/>
        </w:rPr>
      </w:pPr>
      <w:r>
        <w:rPr>
          <w:szCs w:val="24"/>
        </w:rPr>
        <w:tab/>
        <w:t xml:space="preserve">The value of </w:t>
      </w:r>
      <w:r w:rsidR="004404EC">
        <w:rPr>
          <w:szCs w:val="24"/>
        </w:rPr>
        <w:t xml:space="preserve">offering and </w:t>
      </w:r>
      <w:r>
        <w:rPr>
          <w:szCs w:val="24"/>
        </w:rPr>
        <w:t>paying bounties to whistleblowers;</w:t>
      </w:r>
    </w:p>
    <w:p w:rsidR="00B515D7" w:rsidRDefault="00B515D7" w:rsidP="00B515D7">
      <w:pPr>
        <w:tabs>
          <w:tab w:val="left" w:pos="1215"/>
        </w:tabs>
        <w:rPr>
          <w:szCs w:val="24"/>
        </w:rPr>
      </w:pPr>
    </w:p>
    <w:p w:rsidR="00B515D7" w:rsidRDefault="00B515D7" w:rsidP="00B515D7">
      <w:pPr>
        <w:tabs>
          <w:tab w:val="left" w:pos="1215"/>
        </w:tabs>
        <w:rPr>
          <w:szCs w:val="24"/>
        </w:rPr>
      </w:pPr>
      <w:r>
        <w:rPr>
          <w:szCs w:val="24"/>
        </w:rPr>
        <w:tab/>
        <w:t>Lack of coordination among government agencies (including the judiciary);</w:t>
      </w:r>
    </w:p>
    <w:p w:rsidR="00B515D7" w:rsidRDefault="00B515D7" w:rsidP="00B515D7">
      <w:pPr>
        <w:tabs>
          <w:tab w:val="left" w:pos="1215"/>
        </w:tabs>
        <w:rPr>
          <w:szCs w:val="24"/>
        </w:rPr>
      </w:pPr>
    </w:p>
    <w:p w:rsidR="00B515D7" w:rsidRDefault="00B515D7" w:rsidP="00B515D7">
      <w:pPr>
        <w:tabs>
          <w:tab w:val="left" w:pos="1215"/>
        </w:tabs>
        <w:rPr>
          <w:szCs w:val="24"/>
        </w:rPr>
      </w:pPr>
      <w:r>
        <w:rPr>
          <w:szCs w:val="24"/>
        </w:rPr>
        <w:tab/>
        <w:t>Overreach on the part of prosecutors;</w:t>
      </w:r>
    </w:p>
    <w:p w:rsidR="00B515D7" w:rsidRDefault="00B515D7" w:rsidP="00B515D7">
      <w:pPr>
        <w:tabs>
          <w:tab w:val="left" w:pos="1215"/>
        </w:tabs>
        <w:rPr>
          <w:szCs w:val="24"/>
        </w:rPr>
      </w:pPr>
    </w:p>
    <w:p w:rsidR="00B515D7" w:rsidRDefault="00B515D7" w:rsidP="00B515D7">
      <w:pPr>
        <w:tabs>
          <w:tab w:val="left" w:pos="1215"/>
        </w:tabs>
        <w:rPr>
          <w:szCs w:val="24"/>
        </w:rPr>
      </w:pPr>
      <w:r>
        <w:rPr>
          <w:szCs w:val="24"/>
        </w:rPr>
        <w:tab/>
        <w:t>International conflicts of laws regarding whistleblowing;</w:t>
      </w:r>
      <w:r w:rsidR="00DA7BC7">
        <w:rPr>
          <w:szCs w:val="24"/>
        </w:rPr>
        <w:t xml:space="preserve"> and</w:t>
      </w:r>
    </w:p>
    <w:p w:rsidR="00DA7BC7" w:rsidRDefault="00DA7BC7" w:rsidP="00B515D7">
      <w:pPr>
        <w:tabs>
          <w:tab w:val="left" w:pos="1215"/>
        </w:tabs>
        <w:rPr>
          <w:szCs w:val="24"/>
        </w:rPr>
      </w:pPr>
    </w:p>
    <w:p w:rsidR="00DA7BC7" w:rsidRDefault="00DA7BC7" w:rsidP="00B515D7">
      <w:pPr>
        <w:tabs>
          <w:tab w:val="left" w:pos="1215"/>
        </w:tabs>
        <w:rPr>
          <w:szCs w:val="24"/>
        </w:rPr>
      </w:pPr>
      <w:r>
        <w:rPr>
          <w:szCs w:val="24"/>
        </w:rPr>
        <w:tab/>
        <w:t>Legal malpractice issues in representing whistleblowers.</w:t>
      </w:r>
    </w:p>
    <w:p w:rsidR="00B515D7" w:rsidRDefault="00B515D7" w:rsidP="00B515D7">
      <w:pPr>
        <w:tabs>
          <w:tab w:val="left" w:pos="1215"/>
        </w:tabs>
        <w:rPr>
          <w:szCs w:val="24"/>
        </w:rPr>
      </w:pPr>
    </w:p>
    <w:p w:rsidR="00B515D7" w:rsidRDefault="00B515D7" w:rsidP="00B515D7">
      <w:pPr>
        <w:tabs>
          <w:tab w:val="left" w:pos="1215"/>
        </w:tabs>
        <w:rPr>
          <w:szCs w:val="24"/>
        </w:rPr>
      </w:pPr>
    </w:p>
    <w:p w:rsidR="00E45502" w:rsidRDefault="00A54385" w:rsidP="00A54385">
      <w:pPr>
        <w:tabs>
          <w:tab w:val="left" w:pos="1215"/>
        </w:tabs>
        <w:rPr>
          <w:szCs w:val="24"/>
        </w:rPr>
      </w:pPr>
      <w:r>
        <w:rPr>
          <w:szCs w:val="24"/>
        </w:rPr>
        <w:tab/>
        <w:t xml:space="preserve">The pros and cons of the Birkenfeld </w:t>
      </w:r>
      <w:r w:rsidR="00F50953">
        <w:rPr>
          <w:szCs w:val="24"/>
        </w:rPr>
        <w:t xml:space="preserve">/ UBS Bank </w:t>
      </w:r>
      <w:r>
        <w:rPr>
          <w:szCs w:val="24"/>
        </w:rPr>
        <w:t xml:space="preserve">case are </w:t>
      </w:r>
      <w:r w:rsidR="00DA7BC7">
        <w:rPr>
          <w:szCs w:val="24"/>
        </w:rPr>
        <w:t xml:space="preserve">accordingly </w:t>
      </w:r>
      <w:r>
        <w:rPr>
          <w:szCs w:val="24"/>
        </w:rPr>
        <w:t xml:space="preserve">quite instructive for crafting and administering a whistleblower program in </w:t>
      </w:r>
      <w:r w:rsidR="00E45502">
        <w:rPr>
          <w:szCs w:val="24"/>
        </w:rPr>
        <w:t>such a manner as to facilitate efficient commerce, economic development, and prosperity.</w:t>
      </w:r>
      <w:r w:rsidR="00175105">
        <w:rPr>
          <w:szCs w:val="24"/>
        </w:rPr>
        <w:t xml:space="preserve">  Repercussions from Birkenfeld's disclosures continue, even as this Commentary is being written.</w:t>
      </w:r>
    </w:p>
    <w:p w:rsidR="00EE75AB" w:rsidRPr="00322B15" w:rsidRDefault="00EE75AB" w:rsidP="00EE75AB">
      <w:pPr>
        <w:tabs>
          <w:tab w:val="left" w:pos="1215"/>
        </w:tabs>
        <w:rPr>
          <w:szCs w:val="24"/>
        </w:rPr>
      </w:pPr>
    </w:p>
    <w:p w:rsidR="00EE75AB" w:rsidRDefault="00EE75AB" w:rsidP="00973C4B">
      <w:pPr>
        <w:tabs>
          <w:tab w:val="left" w:pos="1215"/>
        </w:tabs>
        <w:rPr>
          <w:szCs w:val="24"/>
        </w:rPr>
      </w:pPr>
      <w:r>
        <w:rPr>
          <w:szCs w:val="24"/>
        </w:rPr>
        <w:tab/>
        <w:t xml:space="preserve">The basic legislation scheme depicted in the Consultation seems quite reasonable to this tax attorney whose direct knowledge was heretofore effectively limited to taxation in the United States (and, beginning very recently, taxation in Israel), it being understood that the Commentator </w:t>
      </w:r>
      <w:r w:rsidR="00973C4B">
        <w:rPr>
          <w:szCs w:val="24"/>
        </w:rPr>
        <w:t>would defer</w:t>
      </w:r>
      <w:r>
        <w:rPr>
          <w:szCs w:val="24"/>
        </w:rPr>
        <w:t xml:space="preserve"> to those having greater familiarity with the Australian </w:t>
      </w:r>
      <w:r w:rsidR="008A13BC">
        <w:rPr>
          <w:szCs w:val="24"/>
        </w:rPr>
        <w:t>situation</w:t>
      </w:r>
      <w:r>
        <w:rPr>
          <w:szCs w:val="24"/>
        </w:rPr>
        <w:t xml:space="preserve"> as far as crafting a legal scheme that is best compatible with the existing Australian legal system.</w:t>
      </w:r>
    </w:p>
    <w:p w:rsidR="00EE75AB" w:rsidRDefault="00EE75AB" w:rsidP="00EE75AB">
      <w:pPr>
        <w:tabs>
          <w:tab w:val="left" w:pos="1215"/>
        </w:tabs>
        <w:rPr>
          <w:szCs w:val="24"/>
        </w:rPr>
      </w:pPr>
    </w:p>
    <w:p w:rsidR="00EE75AB" w:rsidRPr="004E4CEF" w:rsidRDefault="00EE75AB" w:rsidP="00E14CA7">
      <w:pPr>
        <w:tabs>
          <w:tab w:val="left" w:pos="1215"/>
        </w:tabs>
        <w:rPr>
          <w:szCs w:val="24"/>
        </w:rPr>
      </w:pPr>
      <w:r>
        <w:rPr>
          <w:szCs w:val="24"/>
        </w:rPr>
        <w:tab/>
        <w:t xml:space="preserve">Once the legislation is enacted (if indeed any new legislation is enacted), there then will need to be a sensible implementation and administration of it, such that a good balance is struck between, on one hand, encouraging those with information to aid in the enforcement of the tax laws to </w:t>
      </w:r>
      <w:r w:rsidRPr="004E4CEF">
        <w:rPr>
          <w:szCs w:val="24"/>
        </w:rPr>
        <w:t xml:space="preserve">step forward; and, on the other hand, </w:t>
      </w:r>
      <w:r w:rsidR="00E14CA7" w:rsidRPr="004E4CEF">
        <w:rPr>
          <w:szCs w:val="24"/>
        </w:rPr>
        <w:t>accord</w:t>
      </w:r>
      <w:r w:rsidRPr="004E4CEF">
        <w:rPr>
          <w:szCs w:val="24"/>
        </w:rPr>
        <w:t xml:space="preserve">ing due process to the taxpayers. </w:t>
      </w:r>
    </w:p>
    <w:p w:rsidR="00E45502" w:rsidRPr="00F14137" w:rsidRDefault="00E45502" w:rsidP="00E45502">
      <w:pPr>
        <w:tabs>
          <w:tab w:val="left" w:pos="1215"/>
        </w:tabs>
        <w:rPr>
          <w:szCs w:val="24"/>
        </w:rPr>
      </w:pPr>
    </w:p>
    <w:p w:rsidR="00E45502" w:rsidRPr="00F14137" w:rsidRDefault="00E45502" w:rsidP="00E45502">
      <w:pPr>
        <w:tabs>
          <w:tab w:val="left" w:pos="1215"/>
        </w:tabs>
        <w:rPr>
          <w:szCs w:val="24"/>
        </w:rPr>
      </w:pPr>
    </w:p>
    <w:p w:rsidR="00E45502" w:rsidRPr="00F14137" w:rsidRDefault="004E4CEF" w:rsidP="00E45502">
      <w:pPr>
        <w:tabs>
          <w:tab w:val="left" w:pos="1215"/>
        </w:tabs>
        <w:rPr>
          <w:szCs w:val="24"/>
        </w:rPr>
      </w:pPr>
      <w:r w:rsidRPr="00F14137">
        <w:rPr>
          <w:szCs w:val="24"/>
        </w:rPr>
        <w:t>6 February 2017</w:t>
      </w:r>
    </w:p>
    <w:p w:rsidR="00E45502" w:rsidRDefault="00E45502" w:rsidP="00E45502">
      <w:pPr>
        <w:tabs>
          <w:tab w:val="left" w:pos="1215"/>
        </w:tabs>
        <w:rPr>
          <w:szCs w:val="24"/>
        </w:rPr>
      </w:pPr>
      <w:r w:rsidRPr="004E4CEF">
        <w:rPr>
          <w:szCs w:val="24"/>
        </w:rPr>
        <w:t>Respectfully sub</w:t>
      </w:r>
      <w:r>
        <w:rPr>
          <w:szCs w:val="24"/>
        </w:rPr>
        <w:t>mitted,</w:t>
      </w:r>
    </w:p>
    <w:p w:rsidR="00E45502" w:rsidRDefault="007201CA" w:rsidP="007201CA">
      <w:pPr>
        <w:tabs>
          <w:tab w:val="left" w:pos="1215"/>
        </w:tabs>
        <w:rPr>
          <w:szCs w:val="24"/>
        </w:rPr>
      </w:pPr>
      <w:r>
        <w:rPr>
          <w:noProof/>
          <w:szCs w:val="24"/>
          <w:lang w:val="en-AU" w:eastAsia="en-AU"/>
        </w:rPr>
        <w:drawing>
          <wp:inline distT="0" distB="0" distL="0" distR="0" wp14:anchorId="562A43DD" wp14:editId="2E7A6B86">
            <wp:extent cx="2342656" cy="1017917"/>
            <wp:effectExtent l="0" t="0" r="635" b="0"/>
            <wp:docPr id="1" name="Picture 1" descr="khr-signature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r-signaturesc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7485" cy="1020015"/>
                    </a:xfrm>
                    <a:prstGeom prst="rect">
                      <a:avLst/>
                    </a:prstGeom>
                    <a:noFill/>
                    <a:ln>
                      <a:noFill/>
                    </a:ln>
                  </pic:spPr>
                </pic:pic>
              </a:graphicData>
            </a:graphic>
          </wp:inline>
        </w:drawing>
      </w:r>
    </w:p>
    <w:p w:rsidR="00E45502" w:rsidRDefault="00E45502" w:rsidP="00E45502">
      <w:pPr>
        <w:tabs>
          <w:tab w:val="left" w:pos="1215"/>
        </w:tabs>
        <w:rPr>
          <w:szCs w:val="24"/>
        </w:rPr>
      </w:pPr>
      <w:r>
        <w:rPr>
          <w:szCs w:val="24"/>
        </w:rPr>
        <w:t>Kenneth H. Ryesky, Esq.</w:t>
      </w:r>
    </w:p>
    <w:p w:rsidR="00E45502" w:rsidRDefault="00E45502" w:rsidP="00E45502">
      <w:pPr>
        <w:tabs>
          <w:tab w:val="left" w:pos="1215"/>
        </w:tabs>
        <w:rPr>
          <w:szCs w:val="24"/>
        </w:rPr>
      </w:pPr>
    </w:p>
    <w:p w:rsidR="00E45502" w:rsidRPr="00D5154C" w:rsidRDefault="00E45502" w:rsidP="00E45502">
      <w:pPr>
        <w:tabs>
          <w:tab w:val="left" w:pos="1215"/>
        </w:tabs>
        <w:rPr>
          <w:szCs w:val="24"/>
        </w:rPr>
      </w:pPr>
    </w:p>
    <w:p w:rsidR="00D5154C" w:rsidRDefault="00D5154C" w:rsidP="004D241B">
      <w:pPr>
        <w:tabs>
          <w:tab w:val="left" w:pos="1215"/>
        </w:tabs>
        <w:rPr>
          <w:szCs w:val="24"/>
        </w:rPr>
      </w:pPr>
    </w:p>
    <w:sectPr w:rsidR="00D5154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C5" w:rsidRDefault="004942C5" w:rsidP="001A1C1F">
      <w:r>
        <w:separator/>
      </w:r>
    </w:p>
  </w:endnote>
  <w:endnote w:type="continuationSeparator" w:id="0">
    <w:p w:rsidR="004942C5" w:rsidRDefault="004942C5" w:rsidP="001A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C5" w:rsidRDefault="004942C5" w:rsidP="001A1C1F">
      <w:r>
        <w:separator/>
      </w:r>
    </w:p>
  </w:footnote>
  <w:footnote w:type="continuationSeparator" w:id="0">
    <w:p w:rsidR="004942C5" w:rsidRDefault="004942C5" w:rsidP="001A1C1F">
      <w:r>
        <w:continuationSeparator/>
      </w:r>
    </w:p>
  </w:footnote>
  <w:footnote w:id="1">
    <w:p w:rsidR="001A1C1F" w:rsidRPr="004B0832" w:rsidRDefault="001A1C1F" w:rsidP="009F5985">
      <w:pPr>
        <w:rPr>
          <w:sz w:val="22"/>
          <w:szCs w:val="22"/>
        </w:rPr>
      </w:pPr>
      <w:r w:rsidRPr="001156FF">
        <w:rPr>
          <w:rStyle w:val="FootnoteReference"/>
          <w:szCs w:val="24"/>
        </w:rPr>
        <w:footnoteRef/>
      </w:r>
      <w:r>
        <w:t xml:space="preserve"> </w:t>
      </w:r>
      <w:r w:rsidR="009F5985" w:rsidRPr="004B0832">
        <w:rPr>
          <w:sz w:val="22"/>
          <w:szCs w:val="22"/>
        </w:rPr>
        <w:t>Review of Tax and Corporate Whistleblower Protections in Australia, &lt;</w:t>
      </w:r>
      <w:hyperlink r:id="rId1" w:history="1">
        <w:r w:rsidR="009F5985" w:rsidRPr="004B0832">
          <w:rPr>
            <w:rStyle w:val="Hyperlink"/>
            <w:sz w:val="22"/>
            <w:szCs w:val="22"/>
          </w:rPr>
          <w:t>http://www.treasury.gov.au/ConsultationsandReviews/Consultations/2016/Review-of-whistleblower-protections</w:t>
        </w:r>
      </w:hyperlink>
      <w:r w:rsidR="00A21CE2">
        <w:rPr>
          <w:sz w:val="22"/>
          <w:szCs w:val="22"/>
        </w:rPr>
        <w:t>&gt;  ["</w:t>
      </w:r>
      <w:r w:rsidR="00A21CE2" w:rsidRPr="00A21CE2">
        <w:rPr>
          <w:i/>
          <w:iCs/>
          <w:sz w:val="22"/>
          <w:szCs w:val="22"/>
        </w:rPr>
        <w:t>Consultation</w:t>
      </w:r>
      <w:r w:rsidR="00A21CE2">
        <w:rPr>
          <w:sz w:val="22"/>
          <w:szCs w:val="22"/>
        </w:rPr>
        <w:t>"].</w:t>
      </w:r>
    </w:p>
    <w:p w:rsidR="009F5985" w:rsidRPr="009A6C29" w:rsidRDefault="009F5985" w:rsidP="009F5985">
      <w:pPr>
        <w:rPr>
          <w:sz w:val="22"/>
          <w:szCs w:val="22"/>
        </w:rPr>
      </w:pPr>
    </w:p>
  </w:footnote>
  <w:footnote w:id="2">
    <w:p w:rsidR="009F5985" w:rsidRDefault="009F5985" w:rsidP="003B19D7">
      <w:pPr>
        <w:rPr>
          <w:sz w:val="22"/>
          <w:szCs w:val="22"/>
        </w:rPr>
      </w:pPr>
      <w:r w:rsidRPr="001156FF">
        <w:rPr>
          <w:rStyle w:val="FootnoteReference"/>
          <w:szCs w:val="24"/>
        </w:rPr>
        <w:footnoteRef/>
      </w:r>
      <w:r>
        <w:t xml:space="preserve"> </w:t>
      </w:r>
      <w:r w:rsidRPr="004B0832">
        <w:rPr>
          <w:sz w:val="22"/>
          <w:szCs w:val="22"/>
        </w:rPr>
        <w:t xml:space="preserve">Though referred to in the Consultation as the </w:t>
      </w:r>
      <w:r w:rsidRPr="004B0832">
        <w:rPr>
          <w:b/>
          <w:bCs/>
          <w:i/>
          <w:iCs/>
          <w:sz w:val="22"/>
          <w:szCs w:val="22"/>
        </w:rPr>
        <w:t>Inland</w:t>
      </w:r>
      <w:r w:rsidRPr="004B0832">
        <w:rPr>
          <w:sz w:val="22"/>
          <w:szCs w:val="22"/>
        </w:rPr>
        <w:t xml:space="preserve"> Revenue Service</w:t>
      </w:r>
      <w:r w:rsidR="00A759B7">
        <w:rPr>
          <w:sz w:val="22"/>
          <w:szCs w:val="22"/>
        </w:rPr>
        <w:t xml:space="preserve"> (consistent with the New Zealand governmental agency and, until 2005, an analogous UK agency)</w:t>
      </w:r>
      <w:r w:rsidRPr="004B0832">
        <w:rPr>
          <w:sz w:val="22"/>
          <w:szCs w:val="22"/>
        </w:rPr>
        <w:t xml:space="preserve">, the correct name of that U.S. government agency is the </w:t>
      </w:r>
      <w:r w:rsidRPr="004B0832">
        <w:rPr>
          <w:b/>
          <w:bCs/>
          <w:i/>
          <w:iCs/>
          <w:sz w:val="22"/>
          <w:szCs w:val="22"/>
        </w:rPr>
        <w:t>Internal</w:t>
      </w:r>
      <w:r w:rsidRPr="004B0832">
        <w:rPr>
          <w:sz w:val="22"/>
          <w:szCs w:val="22"/>
        </w:rPr>
        <w:t xml:space="preserve"> Revenue Service.</w:t>
      </w:r>
      <w:r w:rsidR="000A6EDF" w:rsidRPr="004B0832">
        <w:rPr>
          <w:sz w:val="22"/>
          <w:szCs w:val="22"/>
        </w:rPr>
        <w:t xml:space="preserve">  This misnomer is rendered an irrelevant nullity</w:t>
      </w:r>
      <w:r w:rsidR="00E12D37" w:rsidRPr="004B0832">
        <w:rPr>
          <w:sz w:val="22"/>
          <w:szCs w:val="22"/>
        </w:rPr>
        <w:t xml:space="preserve"> because this Commentary will follow the convention used in the Consultation</w:t>
      </w:r>
      <w:r w:rsidR="00372288">
        <w:rPr>
          <w:sz w:val="22"/>
          <w:szCs w:val="22"/>
        </w:rPr>
        <w:t xml:space="preserve"> and elsewhere</w:t>
      </w:r>
      <w:r w:rsidR="00E12D37" w:rsidRPr="004B0832">
        <w:rPr>
          <w:sz w:val="22"/>
          <w:szCs w:val="22"/>
        </w:rPr>
        <w:t xml:space="preserve">, </w:t>
      </w:r>
      <w:r w:rsidR="00E12D37" w:rsidRPr="004B0832">
        <w:rPr>
          <w:i/>
          <w:iCs/>
          <w:sz w:val="22"/>
          <w:szCs w:val="22"/>
        </w:rPr>
        <w:t>viz.</w:t>
      </w:r>
      <w:r w:rsidR="00E12D37" w:rsidRPr="004B0832">
        <w:rPr>
          <w:sz w:val="22"/>
          <w:szCs w:val="22"/>
        </w:rPr>
        <w:t xml:space="preserve"> referencing the agency </w:t>
      </w:r>
      <w:r w:rsidR="000A6EDF" w:rsidRPr="004B0832">
        <w:rPr>
          <w:sz w:val="22"/>
          <w:szCs w:val="22"/>
        </w:rPr>
        <w:t>by its commonly if not universally used initials "I.R.S." (</w:t>
      </w:r>
      <w:r w:rsidR="00E12D37" w:rsidRPr="004B0832">
        <w:rPr>
          <w:sz w:val="22"/>
          <w:szCs w:val="22"/>
        </w:rPr>
        <w:t xml:space="preserve">specifically, </w:t>
      </w:r>
      <w:r w:rsidR="000A6EDF" w:rsidRPr="004B0832">
        <w:rPr>
          <w:sz w:val="22"/>
          <w:szCs w:val="22"/>
        </w:rPr>
        <w:t>"IRS" without the periods</w:t>
      </w:r>
      <w:r w:rsidR="003B19D7">
        <w:rPr>
          <w:sz w:val="22"/>
          <w:szCs w:val="22"/>
        </w:rPr>
        <w:t>, to accommodate</w:t>
      </w:r>
      <w:r w:rsidR="000A6EDF" w:rsidRPr="004B0832">
        <w:rPr>
          <w:sz w:val="22"/>
          <w:szCs w:val="22"/>
        </w:rPr>
        <w:t xml:space="preserve"> </w:t>
      </w:r>
      <w:r w:rsidR="00E12D37" w:rsidRPr="004B0832">
        <w:rPr>
          <w:sz w:val="22"/>
          <w:szCs w:val="22"/>
        </w:rPr>
        <w:t>keyboard</w:t>
      </w:r>
      <w:r w:rsidR="000A6EDF" w:rsidRPr="004B0832">
        <w:rPr>
          <w:sz w:val="22"/>
          <w:szCs w:val="22"/>
        </w:rPr>
        <w:t xml:space="preserve"> ergonomics).</w:t>
      </w:r>
    </w:p>
    <w:p w:rsidR="004B0832" w:rsidRPr="004B0832" w:rsidRDefault="004B0832" w:rsidP="00E12D37">
      <w:pPr>
        <w:rPr>
          <w:sz w:val="22"/>
          <w:szCs w:val="22"/>
        </w:rPr>
      </w:pPr>
    </w:p>
  </w:footnote>
  <w:footnote w:id="3">
    <w:p w:rsidR="009C54CE" w:rsidRDefault="009C54CE" w:rsidP="009C54CE">
      <w:pPr>
        <w:rPr>
          <w:rStyle w:val="verdana"/>
          <w:sz w:val="22"/>
          <w:szCs w:val="22"/>
        </w:rPr>
      </w:pPr>
      <w:r w:rsidRPr="001156FF">
        <w:rPr>
          <w:rStyle w:val="FootnoteReference"/>
          <w:szCs w:val="24"/>
        </w:rPr>
        <w:footnoteRef/>
      </w:r>
      <w:r w:rsidRPr="009C54CE">
        <w:rPr>
          <w:sz w:val="22"/>
          <w:szCs w:val="22"/>
        </w:rPr>
        <w:t xml:space="preserve"> </w:t>
      </w:r>
      <w:r w:rsidRPr="009C54CE">
        <w:rPr>
          <w:rStyle w:val="verdana"/>
          <w:i/>
          <w:iCs/>
          <w:sz w:val="22"/>
          <w:szCs w:val="22"/>
        </w:rPr>
        <w:t>See</w:t>
      </w:r>
      <w:r w:rsidRPr="009C54CE">
        <w:rPr>
          <w:rStyle w:val="verdana"/>
          <w:sz w:val="22"/>
          <w:szCs w:val="22"/>
        </w:rPr>
        <w:t xml:space="preserve"> Tuka v. Commissioner, 348 Fed. Appx. 819, n. 1 at 820 n.1 (3d Cir. 2009); United States v. Maclean, 227 F. </w:t>
      </w:r>
      <w:r>
        <w:rPr>
          <w:rStyle w:val="verdana"/>
          <w:sz w:val="22"/>
          <w:szCs w:val="22"/>
        </w:rPr>
        <w:t>App'x 844, 855 (11th Cir. 2007).</w:t>
      </w:r>
    </w:p>
    <w:p w:rsidR="009C54CE" w:rsidRPr="009C54CE" w:rsidRDefault="009C54CE" w:rsidP="009C54CE">
      <w:pPr>
        <w:rPr>
          <w:sz w:val="22"/>
          <w:szCs w:val="22"/>
        </w:rPr>
      </w:pPr>
    </w:p>
  </w:footnote>
  <w:footnote w:id="4">
    <w:p w:rsidR="009C54CE" w:rsidRPr="00366E28" w:rsidRDefault="009C54CE" w:rsidP="009C54CE">
      <w:pPr>
        <w:tabs>
          <w:tab w:val="left" w:pos="-720"/>
        </w:tabs>
        <w:suppressAutoHyphens/>
        <w:rPr>
          <w:szCs w:val="24"/>
        </w:rPr>
      </w:pPr>
      <w:r w:rsidRPr="001156FF">
        <w:rPr>
          <w:rStyle w:val="FootnoteReference"/>
          <w:szCs w:val="24"/>
        </w:rPr>
        <w:footnoteRef/>
      </w:r>
      <w:r w:rsidRPr="009C54CE">
        <w:rPr>
          <w:sz w:val="22"/>
          <w:szCs w:val="22"/>
        </w:rPr>
        <w:t xml:space="preserve"> </w:t>
      </w:r>
      <w:r w:rsidRPr="00822EDD">
        <w:rPr>
          <w:rStyle w:val="verdana"/>
          <w:i/>
          <w:iCs/>
        </w:rPr>
        <w:t>See, e.g</w:t>
      </w:r>
      <w:r w:rsidRPr="00C6768B">
        <w:rPr>
          <w:rStyle w:val="verdana"/>
        </w:rPr>
        <w:t>., Otto Candies, LLC v. United States, 288 F. Supp. 2d 730, n. 274 at 766 (E.D. La. 2003).</w:t>
      </w:r>
    </w:p>
    <w:p w:rsidR="009C54CE" w:rsidRPr="009C54CE" w:rsidRDefault="009C54CE" w:rsidP="009C54CE">
      <w:pPr>
        <w:rPr>
          <w:sz w:val="22"/>
          <w:szCs w:val="22"/>
        </w:rPr>
      </w:pPr>
    </w:p>
  </w:footnote>
  <w:footnote w:id="5">
    <w:p w:rsidR="009C54CE" w:rsidRDefault="00A45D9D" w:rsidP="00E55D47">
      <w:pPr>
        <w:rPr>
          <w:sz w:val="22"/>
          <w:szCs w:val="22"/>
        </w:rPr>
      </w:pPr>
      <w:r w:rsidRPr="001156FF">
        <w:rPr>
          <w:rStyle w:val="FootnoteReference"/>
          <w:szCs w:val="24"/>
        </w:rPr>
        <w:footnoteRef/>
      </w:r>
      <w:r>
        <w:t xml:space="preserve"> </w:t>
      </w:r>
      <w:r w:rsidRPr="00A45D9D">
        <w:rPr>
          <w:i/>
          <w:iCs/>
          <w:sz w:val="22"/>
          <w:szCs w:val="22"/>
        </w:rPr>
        <w:t>E.g.</w:t>
      </w:r>
      <w:r w:rsidRPr="00A45D9D">
        <w:rPr>
          <w:sz w:val="22"/>
          <w:szCs w:val="22"/>
        </w:rPr>
        <w:t xml:space="preserve">, </w:t>
      </w:r>
      <w:r w:rsidRPr="00A45D9D">
        <w:rPr>
          <w:spacing w:val="-2"/>
          <w:sz w:val="22"/>
          <w:szCs w:val="22"/>
        </w:rPr>
        <w:t xml:space="preserve">Campbell v. Commissioner, </w:t>
      </w:r>
      <w:r w:rsidRPr="00A45D9D">
        <w:rPr>
          <w:rStyle w:val="verdana"/>
          <w:sz w:val="22"/>
          <w:szCs w:val="22"/>
        </w:rPr>
        <w:t>658 F.3d 1255 (11th Cir. 201</w:t>
      </w:r>
      <w:r w:rsidRPr="007D488A">
        <w:rPr>
          <w:rStyle w:val="verdana"/>
          <w:sz w:val="22"/>
          <w:szCs w:val="22"/>
        </w:rPr>
        <w:t>1)</w:t>
      </w:r>
      <w:r w:rsidR="007D488A" w:rsidRPr="007D488A">
        <w:rPr>
          <w:rStyle w:val="verdana"/>
          <w:sz w:val="22"/>
          <w:szCs w:val="22"/>
        </w:rPr>
        <w:t xml:space="preserve">; </w:t>
      </w:r>
      <w:r w:rsidR="007D488A" w:rsidRPr="007D488A">
        <w:rPr>
          <w:sz w:val="22"/>
          <w:szCs w:val="22"/>
        </w:rPr>
        <w:t>Whistleblower 13412-12W v. Comm</w:t>
      </w:r>
      <w:r w:rsidR="007D488A">
        <w:rPr>
          <w:sz w:val="22"/>
          <w:szCs w:val="22"/>
        </w:rPr>
        <w:t>issione</w:t>
      </w:r>
      <w:r w:rsidR="007D488A" w:rsidRPr="007D488A">
        <w:rPr>
          <w:sz w:val="22"/>
          <w:szCs w:val="22"/>
        </w:rPr>
        <w:t>r , T.C. Memo 2014-93</w:t>
      </w:r>
      <w:r w:rsidR="007D488A">
        <w:rPr>
          <w:sz w:val="22"/>
          <w:szCs w:val="22"/>
        </w:rPr>
        <w:t xml:space="preserve"> (20 May 2014).</w:t>
      </w:r>
    </w:p>
    <w:p w:rsidR="0027294B" w:rsidRPr="0027294B" w:rsidRDefault="007D488A" w:rsidP="0027294B">
      <w:pPr>
        <w:rPr>
          <w:sz w:val="22"/>
          <w:szCs w:val="22"/>
        </w:rPr>
      </w:pPr>
      <w:r>
        <w:rPr>
          <w:sz w:val="22"/>
          <w:szCs w:val="22"/>
        </w:rPr>
        <w:tab/>
        <w:t xml:space="preserve">The </w:t>
      </w:r>
      <w:r w:rsidRPr="007D488A">
        <w:rPr>
          <w:sz w:val="22"/>
          <w:szCs w:val="22"/>
        </w:rPr>
        <w:t>Whistleblower 13412-12W</w:t>
      </w:r>
      <w:r>
        <w:rPr>
          <w:sz w:val="22"/>
          <w:szCs w:val="22"/>
        </w:rPr>
        <w:t xml:space="preserve"> case contested the IRS's refusal to pay a reward to the relator.  U.S. Tax Court Judge Diane Kroupa granted the relators motion to seal the court record to protect the identi</w:t>
      </w:r>
      <w:r w:rsidRPr="0027294B">
        <w:rPr>
          <w:sz w:val="22"/>
          <w:szCs w:val="22"/>
        </w:rPr>
        <w:t xml:space="preserve">ty of the relator pending further proceedings because the relator's former employer had the power to cut the relator's pension and similar benefits. </w:t>
      </w:r>
    </w:p>
    <w:p w:rsidR="0027294B" w:rsidRPr="009B14D2" w:rsidRDefault="0027294B" w:rsidP="0027294B">
      <w:pPr>
        <w:pStyle w:val="Heading1"/>
        <w:spacing w:before="0" w:beforeAutospacing="0" w:after="0" w:afterAutospacing="0"/>
        <w:rPr>
          <w:b w:val="0"/>
          <w:bCs w:val="0"/>
          <w:sz w:val="22"/>
          <w:szCs w:val="22"/>
        </w:rPr>
      </w:pPr>
      <w:r w:rsidRPr="0027294B">
        <w:rPr>
          <w:b w:val="0"/>
          <w:bCs w:val="0"/>
          <w:sz w:val="22"/>
          <w:szCs w:val="22"/>
        </w:rPr>
        <w:tab/>
      </w:r>
      <w:r w:rsidR="007D488A" w:rsidRPr="0027294B">
        <w:rPr>
          <w:b w:val="0"/>
          <w:bCs w:val="0"/>
          <w:sz w:val="22"/>
          <w:szCs w:val="22"/>
        </w:rPr>
        <w:t>Less than one month after deciding the case, Judge Kroupa inexplicably resigned from the bench; her motivation subsequently became clear with the indictment</w:t>
      </w:r>
      <w:r w:rsidR="004A52DA">
        <w:rPr>
          <w:b w:val="0"/>
          <w:bCs w:val="0"/>
          <w:sz w:val="22"/>
          <w:szCs w:val="22"/>
        </w:rPr>
        <w:t>s</w:t>
      </w:r>
      <w:r w:rsidR="007D488A" w:rsidRPr="0027294B">
        <w:rPr>
          <w:b w:val="0"/>
          <w:bCs w:val="0"/>
          <w:sz w:val="22"/>
          <w:szCs w:val="22"/>
        </w:rPr>
        <w:t xml:space="preserve"> </w:t>
      </w:r>
      <w:r w:rsidR="00E55D47">
        <w:rPr>
          <w:b w:val="0"/>
          <w:bCs w:val="0"/>
          <w:sz w:val="22"/>
          <w:szCs w:val="22"/>
        </w:rPr>
        <w:t xml:space="preserve">and subsequent guilty pleas </w:t>
      </w:r>
      <w:r w:rsidR="007D488A" w:rsidRPr="0027294B">
        <w:rPr>
          <w:b w:val="0"/>
          <w:bCs w:val="0"/>
          <w:sz w:val="22"/>
          <w:szCs w:val="22"/>
        </w:rPr>
        <w:t>of her and her husband on tax fraud charges</w:t>
      </w:r>
      <w:r w:rsidRPr="0027294B">
        <w:rPr>
          <w:b w:val="0"/>
          <w:bCs w:val="0"/>
          <w:sz w:val="22"/>
          <w:szCs w:val="22"/>
        </w:rPr>
        <w:t xml:space="preserve">, </w:t>
      </w:r>
      <w:r w:rsidRPr="00366E28">
        <w:rPr>
          <w:b w:val="0"/>
          <w:bCs w:val="0"/>
          <w:sz w:val="22"/>
          <w:szCs w:val="22"/>
        </w:rPr>
        <w:t>Department of Justice</w:t>
      </w:r>
      <w:r w:rsidRPr="0027294B">
        <w:rPr>
          <w:b w:val="0"/>
          <w:bCs w:val="0"/>
          <w:sz w:val="22"/>
          <w:szCs w:val="22"/>
        </w:rPr>
        <w:t xml:space="preserve">, </w:t>
      </w:r>
      <w:r w:rsidRPr="00366E28">
        <w:rPr>
          <w:b w:val="0"/>
          <w:bCs w:val="0"/>
          <w:i/>
          <w:iCs/>
          <w:sz w:val="22"/>
          <w:szCs w:val="22"/>
        </w:rPr>
        <w:t>U.S. Attorney’s Office</w:t>
      </w:r>
      <w:r w:rsidRPr="00F365D7">
        <w:rPr>
          <w:b w:val="0"/>
          <w:bCs w:val="0"/>
          <w:i/>
          <w:iCs/>
          <w:sz w:val="22"/>
          <w:szCs w:val="22"/>
        </w:rPr>
        <w:t xml:space="preserve">, </w:t>
      </w:r>
      <w:r w:rsidRPr="00366E28">
        <w:rPr>
          <w:b w:val="0"/>
          <w:bCs w:val="0"/>
          <w:i/>
          <w:iCs/>
          <w:sz w:val="22"/>
          <w:szCs w:val="22"/>
        </w:rPr>
        <w:t>District of Minnesota</w:t>
      </w:r>
      <w:r w:rsidRPr="0027294B">
        <w:rPr>
          <w:b w:val="0"/>
          <w:bCs w:val="0"/>
          <w:sz w:val="22"/>
          <w:szCs w:val="22"/>
        </w:rPr>
        <w:t>, Press Release, "Former United States T</w:t>
      </w:r>
      <w:r w:rsidRPr="009B14D2">
        <w:rPr>
          <w:b w:val="0"/>
          <w:bCs w:val="0"/>
          <w:sz w:val="22"/>
          <w:szCs w:val="22"/>
        </w:rPr>
        <w:t>ax Court Judge Pleads Guilty To Conspiring To Defraud The IRS Of $450,000 In Taxes" (21 October 2016)  &lt;</w:t>
      </w:r>
      <w:hyperlink r:id="rId2" w:history="1">
        <w:r w:rsidRPr="009B14D2">
          <w:rPr>
            <w:rStyle w:val="Hyperlink"/>
            <w:b w:val="0"/>
            <w:bCs w:val="0"/>
            <w:sz w:val="22"/>
            <w:szCs w:val="22"/>
          </w:rPr>
          <w:t>https://www.justice.gov/usao-mn/pr/former-united-states-tax-court-judge-pleads-guilty-conspiring-defraud-irs-450000-taxes</w:t>
        </w:r>
      </w:hyperlink>
      <w:r w:rsidRPr="009B14D2">
        <w:rPr>
          <w:b w:val="0"/>
          <w:bCs w:val="0"/>
          <w:sz w:val="22"/>
          <w:szCs w:val="22"/>
        </w:rPr>
        <w:t>&gt;.</w:t>
      </w:r>
    </w:p>
    <w:p w:rsidR="007D488A" w:rsidRPr="0027294B" w:rsidRDefault="0027294B" w:rsidP="00E55D47">
      <w:pPr>
        <w:pStyle w:val="Heading1"/>
        <w:spacing w:before="0" w:beforeAutospacing="0" w:after="0" w:afterAutospacing="0"/>
        <w:rPr>
          <w:b w:val="0"/>
          <w:bCs w:val="0"/>
          <w:sz w:val="22"/>
          <w:szCs w:val="22"/>
        </w:rPr>
      </w:pPr>
      <w:r w:rsidRPr="009B14D2">
        <w:rPr>
          <w:b w:val="0"/>
          <w:bCs w:val="0"/>
          <w:sz w:val="22"/>
          <w:szCs w:val="22"/>
        </w:rPr>
        <w:tab/>
        <w:t xml:space="preserve">Imponderable:  </w:t>
      </w:r>
      <w:r w:rsidR="009B14D2" w:rsidRPr="009B14D2">
        <w:rPr>
          <w:b w:val="0"/>
          <w:bCs w:val="0"/>
          <w:sz w:val="22"/>
          <w:szCs w:val="22"/>
        </w:rPr>
        <w:t xml:space="preserve">Judge Kroupa was obviously undergoing audit by the IRS at the time she handed down the Whistleblower 13412-12W decision.  Was </w:t>
      </w:r>
      <w:r w:rsidRPr="009B14D2">
        <w:rPr>
          <w:b w:val="0"/>
          <w:bCs w:val="0"/>
          <w:sz w:val="22"/>
          <w:szCs w:val="22"/>
        </w:rPr>
        <w:t>Her Honor goi</w:t>
      </w:r>
      <w:r w:rsidR="00E55D47">
        <w:rPr>
          <w:b w:val="0"/>
          <w:bCs w:val="0"/>
          <w:sz w:val="22"/>
          <w:szCs w:val="22"/>
        </w:rPr>
        <w:t xml:space="preserve">ng light on tax fraud relators </w:t>
      </w:r>
      <w:r>
        <w:rPr>
          <w:b w:val="0"/>
          <w:bCs w:val="0"/>
          <w:sz w:val="22"/>
          <w:szCs w:val="22"/>
        </w:rPr>
        <w:t>in hopes of lenity from the IRS and</w:t>
      </w:r>
      <w:r w:rsidR="00F365D7">
        <w:rPr>
          <w:b w:val="0"/>
          <w:bCs w:val="0"/>
          <w:sz w:val="22"/>
          <w:szCs w:val="22"/>
        </w:rPr>
        <w:t>/or</w:t>
      </w:r>
      <w:r>
        <w:rPr>
          <w:b w:val="0"/>
          <w:bCs w:val="0"/>
          <w:sz w:val="22"/>
          <w:szCs w:val="22"/>
        </w:rPr>
        <w:t xml:space="preserve"> the Justice Department?</w:t>
      </w:r>
    </w:p>
    <w:p w:rsidR="00A45D9D" w:rsidRPr="0027294B" w:rsidRDefault="00A45D9D" w:rsidP="00A45D9D">
      <w:pPr>
        <w:rPr>
          <w:sz w:val="22"/>
          <w:szCs w:val="22"/>
        </w:rPr>
      </w:pPr>
    </w:p>
  </w:footnote>
  <w:footnote w:id="6">
    <w:p w:rsidR="00C30BC3" w:rsidRPr="00DE1E23" w:rsidRDefault="00C30BC3" w:rsidP="00C30BC3">
      <w:pPr>
        <w:rPr>
          <w:rFonts w:asciiTheme="majorBidi" w:hAnsiTheme="majorBidi" w:cstheme="majorBidi"/>
          <w:sz w:val="22"/>
          <w:szCs w:val="22"/>
          <w:lang w:bidi="he-IL"/>
        </w:rPr>
      </w:pPr>
      <w:r w:rsidRPr="001156FF">
        <w:rPr>
          <w:rStyle w:val="FootnoteReference"/>
          <w:szCs w:val="24"/>
        </w:rPr>
        <w:footnoteRef/>
      </w:r>
      <w:r>
        <w:t xml:space="preserve"> </w:t>
      </w:r>
      <w:r w:rsidRPr="00DE1E23">
        <w:rPr>
          <w:rFonts w:asciiTheme="majorBidi" w:hAnsiTheme="majorBidi" w:cstheme="majorBidi"/>
          <w:i/>
          <w:iCs/>
          <w:sz w:val="22"/>
          <w:szCs w:val="22"/>
        </w:rPr>
        <w:t>E.g.</w:t>
      </w:r>
      <w:r w:rsidRPr="00DE1E23">
        <w:rPr>
          <w:rFonts w:asciiTheme="majorBidi" w:hAnsiTheme="majorBidi" w:cstheme="majorBidi"/>
          <w:sz w:val="22"/>
          <w:szCs w:val="22"/>
        </w:rPr>
        <w:t>,</w:t>
      </w:r>
      <w:r w:rsidR="00DE1E23" w:rsidRPr="00DE1E23">
        <w:rPr>
          <w:sz w:val="22"/>
          <w:szCs w:val="22"/>
        </w:rPr>
        <w:t xml:space="preserve"> United States v. Peters, 153 F.3d 445, 447 - 448 (7th Cir. 1998), </w:t>
      </w:r>
      <w:r w:rsidR="00DE1E23" w:rsidRPr="00DE1E23">
        <w:rPr>
          <w:i/>
          <w:iCs/>
          <w:sz w:val="22"/>
          <w:szCs w:val="22"/>
        </w:rPr>
        <w:t xml:space="preserve">cert. denied </w:t>
      </w:r>
      <w:r w:rsidR="00DE1E23" w:rsidRPr="00DE1E23">
        <w:rPr>
          <w:sz w:val="22"/>
          <w:szCs w:val="22"/>
        </w:rPr>
        <w:t xml:space="preserve">525 U.S. 1070 (1999); United States v. Lefkowitz, 618 F.2d 1313, 1318 (9th Cir. 1980), </w:t>
      </w:r>
      <w:r w:rsidR="00DE1E23" w:rsidRPr="00DE1E23">
        <w:rPr>
          <w:i/>
          <w:iCs/>
          <w:sz w:val="22"/>
          <w:szCs w:val="22"/>
        </w:rPr>
        <w:t>cert. denied</w:t>
      </w:r>
      <w:r w:rsidR="00DE1E23" w:rsidRPr="00DE1E23">
        <w:rPr>
          <w:sz w:val="22"/>
          <w:szCs w:val="22"/>
        </w:rPr>
        <w:t xml:space="preserve">, 449 U.S. 824 (1980); Taxacher v. Torbic, 2000 U.S. Dist. LEXIS 15193 (W.D. Pa. 2000), </w:t>
      </w:r>
      <w:r w:rsidR="00DE1E23" w:rsidRPr="00DE1E23">
        <w:rPr>
          <w:i/>
          <w:iCs/>
          <w:sz w:val="22"/>
          <w:szCs w:val="22"/>
        </w:rPr>
        <w:t xml:space="preserve">aff’d </w:t>
      </w:r>
      <w:r w:rsidR="00DE1E23" w:rsidRPr="00DE1E23">
        <w:rPr>
          <w:sz w:val="22"/>
          <w:szCs w:val="22"/>
        </w:rPr>
        <w:t xml:space="preserve">251 F.3d 154 (3d Cir. 2000); Turner v. Turner, 809 A.2d 18, 27 (Md. App. 2002).; </w:t>
      </w:r>
      <w:r w:rsidR="00DE1E23" w:rsidRPr="00DE1E23">
        <w:rPr>
          <w:i/>
          <w:iCs/>
          <w:sz w:val="22"/>
          <w:szCs w:val="22"/>
        </w:rPr>
        <w:t>see also</w:t>
      </w:r>
      <w:r w:rsidRPr="00DE1E23">
        <w:rPr>
          <w:rFonts w:asciiTheme="majorBidi" w:hAnsiTheme="majorBidi" w:cstheme="majorBidi"/>
          <w:sz w:val="22"/>
          <w:szCs w:val="22"/>
        </w:rPr>
        <w:t xml:space="preserve"> </w:t>
      </w:r>
      <w:r w:rsidRPr="00DE1E23">
        <w:rPr>
          <w:rFonts w:asciiTheme="majorBidi" w:hAnsiTheme="majorBidi" w:cstheme="majorBidi"/>
          <w:sz w:val="22"/>
          <w:szCs w:val="22"/>
          <w:lang w:bidi="he-IL"/>
        </w:rPr>
        <w:t xml:space="preserve">Kara Scannell, "Ex-Wife Gets Payment over Pequot Case," </w:t>
      </w:r>
      <w:r w:rsidRPr="00DE1E23">
        <w:rPr>
          <w:rFonts w:asciiTheme="majorBidi" w:hAnsiTheme="majorBidi" w:cstheme="majorBidi"/>
          <w:i/>
          <w:iCs/>
          <w:sz w:val="22"/>
          <w:szCs w:val="22"/>
          <w:lang w:bidi="he-IL"/>
        </w:rPr>
        <w:t>Wall Street Journal</w:t>
      </w:r>
      <w:r w:rsidRPr="00DE1E23">
        <w:rPr>
          <w:rFonts w:asciiTheme="majorBidi" w:hAnsiTheme="majorBidi" w:cstheme="majorBidi"/>
          <w:sz w:val="22"/>
          <w:szCs w:val="22"/>
          <w:lang w:bidi="he-IL"/>
        </w:rPr>
        <w:t>, July 24–25, 2010, p. B3</w:t>
      </w:r>
    </w:p>
    <w:p w:rsidR="00D14B98" w:rsidRPr="004B0832" w:rsidRDefault="00D14B98" w:rsidP="00C30BC3">
      <w:pPr>
        <w:rPr>
          <w:sz w:val="22"/>
          <w:szCs w:val="22"/>
        </w:rPr>
      </w:pPr>
    </w:p>
  </w:footnote>
  <w:footnote w:id="7">
    <w:p w:rsidR="00D14B98" w:rsidRPr="00D14B98" w:rsidRDefault="00D14B98" w:rsidP="00D14B98">
      <w:pPr>
        <w:tabs>
          <w:tab w:val="left" w:pos="-720"/>
        </w:tabs>
        <w:suppressAutoHyphens/>
        <w:rPr>
          <w:spacing w:val="-2"/>
          <w:sz w:val="22"/>
          <w:szCs w:val="22"/>
        </w:rPr>
      </w:pPr>
      <w:r w:rsidRPr="001156FF">
        <w:rPr>
          <w:rStyle w:val="FootnoteReference"/>
          <w:szCs w:val="24"/>
        </w:rPr>
        <w:footnoteRef/>
      </w:r>
      <w:r>
        <w:t xml:space="preserve"> </w:t>
      </w:r>
      <w:r>
        <w:rPr>
          <w:rFonts w:asciiTheme="majorBidi" w:hAnsiTheme="majorBidi" w:cstheme="majorBidi"/>
          <w:sz w:val="22"/>
          <w:szCs w:val="22"/>
        </w:rPr>
        <w:t xml:space="preserve"> </w:t>
      </w:r>
      <w:r w:rsidR="000E4B06" w:rsidRPr="000E4B06">
        <w:rPr>
          <w:rFonts w:asciiTheme="majorBidi" w:hAnsiTheme="majorBidi" w:cstheme="majorBidi"/>
          <w:i/>
          <w:iCs/>
          <w:sz w:val="22"/>
          <w:szCs w:val="22"/>
        </w:rPr>
        <w:t>E.g.</w:t>
      </w:r>
      <w:r w:rsidR="000E4B06" w:rsidRPr="000E4B06">
        <w:rPr>
          <w:rFonts w:asciiTheme="majorBidi" w:hAnsiTheme="majorBidi" w:cstheme="majorBidi"/>
          <w:sz w:val="22"/>
          <w:szCs w:val="22"/>
        </w:rPr>
        <w:t xml:space="preserve"> </w:t>
      </w:r>
      <w:r w:rsidR="000E4B06" w:rsidRPr="000E4B06">
        <w:rPr>
          <w:sz w:val="22"/>
          <w:szCs w:val="22"/>
        </w:rPr>
        <w:t xml:space="preserve">United States v. Heubusch, 295 F. Supp. 2d 240 (W.D.N.Y. 2003), </w:t>
      </w:r>
      <w:r w:rsidR="000E4B06" w:rsidRPr="000E4B06">
        <w:rPr>
          <w:i/>
          <w:iCs/>
          <w:sz w:val="22"/>
          <w:szCs w:val="22"/>
        </w:rPr>
        <w:t xml:space="preserve">vacated and remanded </w:t>
      </w:r>
      <w:r w:rsidR="000E4B06" w:rsidRPr="000E4B06">
        <w:rPr>
          <w:sz w:val="22"/>
          <w:szCs w:val="22"/>
        </w:rPr>
        <w:t xml:space="preserve">2005 U.S. App. LEXIS 2678 (2d Cir. 2005). </w:t>
      </w:r>
      <w:r w:rsidRPr="000E4B06">
        <w:rPr>
          <w:rFonts w:asciiTheme="majorBidi" w:hAnsiTheme="majorBidi" w:cstheme="majorBidi"/>
          <w:sz w:val="22"/>
          <w:szCs w:val="22"/>
        </w:rPr>
        <w:t>The Commentator had occasion to have cognizance over a matter in which a jilted ex-mistress gave the IRS some information regarding her former lover's tax defalcations.  Disclosure of particulars here would be highly inap</w:t>
      </w:r>
      <w:r w:rsidRPr="00D14B98">
        <w:rPr>
          <w:rFonts w:asciiTheme="majorBidi" w:hAnsiTheme="majorBidi" w:cstheme="majorBidi"/>
          <w:sz w:val="22"/>
          <w:szCs w:val="22"/>
        </w:rPr>
        <w:t>propriate</w:t>
      </w:r>
      <w:r>
        <w:rPr>
          <w:rFonts w:asciiTheme="majorBidi" w:hAnsiTheme="majorBidi" w:cstheme="majorBidi"/>
          <w:sz w:val="22"/>
          <w:szCs w:val="22"/>
        </w:rPr>
        <w:t xml:space="preserve"> (and most foolhardy)</w:t>
      </w:r>
      <w:r w:rsidRPr="00D14B98">
        <w:rPr>
          <w:rFonts w:asciiTheme="majorBidi" w:hAnsiTheme="majorBidi" w:cstheme="majorBidi"/>
          <w:sz w:val="22"/>
          <w:szCs w:val="22"/>
        </w:rPr>
        <w:t xml:space="preserve"> in light of the criminal sanctions prescribed under </w:t>
      </w:r>
      <w:r w:rsidRPr="00D14B98">
        <w:rPr>
          <w:rStyle w:val="verdana"/>
          <w:sz w:val="22"/>
          <w:szCs w:val="22"/>
        </w:rPr>
        <w:t>I.R.C. § 7213(a)(1)</w:t>
      </w:r>
      <w:r>
        <w:rPr>
          <w:spacing w:val="-2"/>
          <w:sz w:val="22"/>
          <w:szCs w:val="22"/>
        </w:rPr>
        <w:t>.</w:t>
      </w:r>
    </w:p>
    <w:p w:rsidR="00D14B98" w:rsidRPr="00D14B98" w:rsidRDefault="00D14B98" w:rsidP="00D14B98">
      <w:pPr>
        <w:rPr>
          <w:sz w:val="22"/>
          <w:szCs w:val="22"/>
        </w:rPr>
      </w:pPr>
    </w:p>
  </w:footnote>
  <w:footnote w:id="8">
    <w:p w:rsidR="00DE1E23" w:rsidRPr="00DE1E23" w:rsidRDefault="00DE1E23" w:rsidP="00DE1E23">
      <w:pPr>
        <w:pStyle w:val="Default"/>
        <w:spacing w:before="20"/>
        <w:jc w:val="both"/>
        <w:rPr>
          <w:rFonts w:asciiTheme="majorBidi" w:hAnsiTheme="majorBidi" w:cstheme="majorBidi"/>
          <w:color w:val="auto"/>
          <w:sz w:val="22"/>
          <w:szCs w:val="22"/>
        </w:rPr>
      </w:pPr>
      <w:r w:rsidRPr="001156FF">
        <w:rPr>
          <w:rStyle w:val="FootnoteReference"/>
        </w:rPr>
        <w:footnoteRef/>
      </w:r>
      <w:r w:rsidRPr="00DE1E23">
        <w:rPr>
          <w:rFonts w:asciiTheme="majorBidi" w:hAnsiTheme="majorBidi" w:cstheme="majorBidi"/>
          <w:color w:val="auto"/>
          <w:sz w:val="22"/>
          <w:szCs w:val="22"/>
        </w:rPr>
        <w:t xml:space="preserve">  </w:t>
      </w:r>
      <w:r w:rsidRPr="00DE1E23">
        <w:rPr>
          <w:rFonts w:asciiTheme="majorBidi" w:hAnsiTheme="majorBidi" w:cstheme="majorBidi"/>
          <w:i/>
          <w:iCs/>
          <w:color w:val="auto"/>
          <w:sz w:val="22"/>
          <w:szCs w:val="22"/>
        </w:rPr>
        <w:t>E.g.</w:t>
      </w:r>
      <w:r w:rsidRPr="00DE1E23">
        <w:rPr>
          <w:rFonts w:asciiTheme="majorBidi" w:hAnsiTheme="majorBidi" w:cstheme="majorBidi"/>
          <w:color w:val="auto"/>
          <w:sz w:val="22"/>
          <w:szCs w:val="22"/>
        </w:rPr>
        <w:t xml:space="preserve"> Trompeter v. Commissioner, T.C. Memo 1998-35, at *22, </w:t>
      </w:r>
      <w:r w:rsidRPr="00DE1E23">
        <w:rPr>
          <w:rFonts w:asciiTheme="majorBidi" w:hAnsiTheme="majorBidi" w:cstheme="majorBidi"/>
          <w:i/>
          <w:iCs/>
          <w:color w:val="auto"/>
          <w:sz w:val="22"/>
          <w:szCs w:val="22"/>
        </w:rPr>
        <w:t xml:space="preserve">supplemented </w:t>
      </w:r>
      <w:r w:rsidRPr="00DE1E23">
        <w:rPr>
          <w:rFonts w:asciiTheme="majorBidi" w:hAnsiTheme="majorBidi" w:cstheme="majorBidi"/>
          <w:color w:val="auto"/>
          <w:sz w:val="22"/>
          <w:szCs w:val="22"/>
        </w:rPr>
        <w:t xml:space="preserve">111 T.C. 57 (1998), </w:t>
      </w:r>
      <w:r w:rsidRPr="00DE1E23">
        <w:rPr>
          <w:rFonts w:asciiTheme="majorBidi" w:hAnsiTheme="majorBidi" w:cstheme="majorBidi"/>
          <w:i/>
          <w:iCs/>
          <w:color w:val="auto"/>
          <w:sz w:val="22"/>
          <w:szCs w:val="22"/>
        </w:rPr>
        <w:t xml:space="preserve">vacated and remanded </w:t>
      </w:r>
      <w:r w:rsidRPr="00DE1E23">
        <w:rPr>
          <w:rFonts w:asciiTheme="majorBidi" w:hAnsiTheme="majorBidi" w:cstheme="majorBidi"/>
          <w:color w:val="auto"/>
          <w:sz w:val="22"/>
          <w:szCs w:val="22"/>
        </w:rPr>
        <w:t xml:space="preserve">279 F.3d 767 (9th Cir. 2002), </w:t>
      </w:r>
      <w:r w:rsidRPr="00DE1E23">
        <w:rPr>
          <w:rFonts w:asciiTheme="majorBidi" w:hAnsiTheme="majorBidi" w:cstheme="majorBidi"/>
          <w:i/>
          <w:iCs/>
          <w:color w:val="auto"/>
          <w:sz w:val="22"/>
          <w:szCs w:val="22"/>
        </w:rPr>
        <w:t xml:space="preserve">decision on remand </w:t>
      </w:r>
      <w:r w:rsidRPr="00DE1E23">
        <w:rPr>
          <w:rFonts w:asciiTheme="majorBidi" w:hAnsiTheme="majorBidi" w:cstheme="majorBidi"/>
          <w:color w:val="auto"/>
          <w:sz w:val="22"/>
          <w:szCs w:val="22"/>
        </w:rPr>
        <w:t xml:space="preserve">T.C. Memo 2004-27. </w:t>
      </w:r>
    </w:p>
    <w:p w:rsidR="00DE1E23" w:rsidRPr="00DE1E23" w:rsidRDefault="00DE1E23" w:rsidP="00DE1E23">
      <w:pPr>
        <w:rPr>
          <w:rFonts w:asciiTheme="majorBidi" w:hAnsiTheme="majorBidi" w:cstheme="majorBidi"/>
          <w:sz w:val="22"/>
          <w:szCs w:val="22"/>
        </w:rPr>
      </w:pPr>
    </w:p>
  </w:footnote>
  <w:footnote w:id="9">
    <w:p w:rsidR="0062789B" w:rsidRPr="00F272AD" w:rsidRDefault="0062789B" w:rsidP="0062789B">
      <w:pPr>
        <w:rPr>
          <w:sz w:val="22"/>
          <w:szCs w:val="22"/>
        </w:rPr>
      </w:pPr>
      <w:r w:rsidRPr="001156FF">
        <w:rPr>
          <w:rStyle w:val="FootnoteReference"/>
        </w:rPr>
        <w:footnoteRef/>
      </w:r>
      <w:r>
        <w:t xml:space="preserve"> </w:t>
      </w:r>
      <w:r>
        <w:rPr>
          <w:rFonts w:asciiTheme="majorBidi" w:hAnsiTheme="majorBidi" w:cstheme="majorBidi"/>
          <w:sz w:val="22"/>
          <w:szCs w:val="22"/>
        </w:rPr>
        <w:t xml:space="preserve"> </w:t>
      </w:r>
      <w:r w:rsidRPr="00F272AD">
        <w:rPr>
          <w:rFonts w:asciiTheme="majorBidi" w:hAnsiTheme="majorBidi" w:cstheme="majorBidi"/>
          <w:i/>
          <w:iCs/>
          <w:sz w:val="22"/>
          <w:szCs w:val="22"/>
        </w:rPr>
        <w:t>See, e.g.</w:t>
      </w:r>
      <w:r w:rsidRPr="00F272AD">
        <w:rPr>
          <w:rFonts w:asciiTheme="majorBidi" w:hAnsiTheme="majorBidi" w:cstheme="majorBidi"/>
          <w:sz w:val="22"/>
          <w:szCs w:val="22"/>
        </w:rPr>
        <w:t xml:space="preserve">  </w:t>
      </w:r>
      <w:r w:rsidRPr="00F272AD">
        <w:rPr>
          <w:i/>
          <w:iCs/>
          <w:sz w:val="22"/>
          <w:szCs w:val="22"/>
        </w:rPr>
        <w:t xml:space="preserve">See, e.g. </w:t>
      </w:r>
      <w:r w:rsidRPr="00F272AD">
        <w:rPr>
          <w:sz w:val="22"/>
          <w:szCs w:val="22"/>
        </w:rPr>
        <w:t>Pleasant v. Lovell, 974 F.2d 1222 (10th Cir. 1992) (</w:t>
      </w:r>
      <w:r>
        <w:rPr>
          <w:sz w:val="22"/>
          <w:szCs w:val="22"/>
        </w:rPr>
        <w:t>"</w:t>
      </w:r>
      <w:r w:rsidRPr="00F272AD">
        <w:rPr>
          <w:sz w:val="22"/>
          <w:szCs w:val="22"/>
        </w:rPr>
        <w:t>Grandbouche</w:t>
      </w:r>
      <w:r>
        <w:rPr>
          <w:sz w:val="22"/>
          <w:szCs w:val="22"/>
        </w:rPr>
        <w:t xml:space="preserve">" </w:t>
      </w:r>
      <w:r w:rsidRPr="00F272AD">
        <w:rPr>
          <w:sz w:val="22"/>
          <w:szCs w:val="22"/>
        </w:rPr>
        <w:t>was the name of the person informed upon, and not the</w:t>
      </w:r>
      <w:r>
        <w:rPr>
          <w:sz w:val="22"/>
          <w:szCs w:val="22"/>
        </w:rPr>
        <w:t xml:space="preserve"> name of the informant</w:t>
      </w:r>
      <w:r w:rsidRPr="00F272AD">
        <w:rPr>
          <w:sz w:val="22"/>
          <w:szCs w:val="22"/>
        </w:rPr>
        <w:t xml:space="preserve">).  </w:t>
      </w:r>
    </w:p>
    <w:p w:rsidR="0062789B" w:rsidRPr="00F272AD" w:rsidRDefault="0062789B" w:rsidP="0062789B">
      <w:pPr>
        <w:pStyle w:val="Default"/>
        <w:rPr>
          <w:sz w:val="22"/>
          <w:szCs w:val="22"/>
        </w:rPr>
      </w:pPr>
    </w:p>
  </w:footnote>
  <w:footnote w:id="10">
    <w:p w:rsidR="009D1DD5" w:rsidRDefault="009D1DD5" w:rsidP="007629A5">
      <w:pPr>
        <w:rPr>
          <w:sz w:val="22"/>
          <w:szCs w:val="22"/>
        </w:rPr>
      </w:pPr>
      <w:r w:rsidRPr="001156FF">
        <w:rPr>
          <w:rStyle w:val="FootnoteReference"/>
        </w:rPr>
        <w:footnoteRef/>
      </w:r>
      <w:r>
        <w:t xml:space="preserve"> </w:t>
      </w:r>
      <w:r>
        <w:rPr>
          <w:rFonts w:asciiTheme="majorBidi" w:hAnsiTheme="majorBidi" w:cstheme="majorBidi"/>
          <w:sz w:val="22"/>
          <w:szCs w:val="22"/>
        </w:rPr>
        <w:t xml:space="preserve"> </w:t>
      </w:r>
      <w:r w:rsidR="0062789B" w:rsidRPr="000D4DA7">
        <w:rPr>
          <w:rFonts w:asciiTheme="majorBidi" w:hAnsiTheme="majorBidi" w:cstheme="majorBidi"/>
          <w:i/>
          <w:iCs/>
          <w:sz w:val="22"/>
          <w:szCs w:val="22"/>
        </w:rPr>
        <w:t>See, e.g.</w:t>
      </w:r>
      <w:r w:rsidR="0062789B" w:rsidRPr="000D4DA7">
        <w:rPr>
          <w:rFonts w:asciiTheme="majorBidi" w:hAnsiTheme="majorBidi" w:cstheme="majorBidi"/>
          <w:sz w:val="22"/>
          <w:szCs w:val="22"/>
        </w:rPr>
        <w:t xml:space="preserve"> Government Accountability Office, " Identity Theft and Tax Fraud: IRS Needs to Update Its Risk Assessment for the Taxpayer Protection Program" (GAO-16-508, May 2016) &lt;</w:t>
      </w:r>
      <w:hyperlink r:id="rId3" w:history="1">
        <w:r w:rsidR="0062789B" w:rsidRPr="000D4DA7">
          <w:rPr>
            <w:rStyle w:val="Hyperlink"/>
            <w:rFonts w:asciiTheme="majorBidi" w:hAnsiTheme="majorBidi" w:cstheme="majorBidi"/>
            <w:sz w:val="22"/>
            <w:szCs w:val="22"/>
          </w:rPr>
          <w:t>http://www.gao.gov/assets/680/677406.pdf</w:t>
        </w:r>
      </w:hyperlink>
      <w:r w:rsidR="0062789B" w:rsidRPr="000D4DA7">
        <w:rPr>
          <w:rFonts w:asciiTheme="majorBidi" w:hAnsiTheme="majorBidi" w:cstheme="majorBidi"/>
          <w:sz w:val="22"/>
          <w:szCs w:val="22"/>
        </w:rPr>
        <w:t xml:space="preserve"> &gt;;  </w:t>
      </w:r>
      <w:r w:rsidR="0062789B" w:rsidRPr="000D4DA7">
        <w:rPr>
          <w:kern w:val="36"/>
          <w:sz w:val="22"/>
          <w:szCs w:val="22"/>
          <w:lang w:bidi="he-IL"/>
        </w:rPr>
        <w:t>How New Identity Security Changes May Affect Taxpayers for 2016 (</w:t>
      </w:r>
      <w:r w:rsidR="0062789B" w:rsidRPr="000D4DA7">
        <w:rPr>
          <w:rFonts w:asciiTheme="majorBidi" w:hAnsiTheme="majorBidi" w:cstheme="majorBidi"/>
          <w:sz w:val="22"/>
          <w:szCs w:val="22"/>
        </w:rPr>
        <w:t xml:space="preserve">IRS Fact Sheet </w:t>
      </w:r>
      <w:r w:rsidR="0062789B" w:rsidRPr="000D4DA7">
        <w:rPr>
          <w:sz w:val="22"/>
          <w:szCs w:val="22"/>
          <w:lang w:bidi="he-IL"/>
        </w:rPr>
        <w:t>FS-2016-4, January 2016</w:t>
      </w:r>
      <w:r w:rsidR="0062789B" w:rsidRPr="000D4DA7">
        <w:rPr>
          <w:kern w:val="36"/>
          <w:sz w:val="22"/>
          <w:szCs w:val="22"/>
          <w:lang w:bidi="he-IL"/>
        </w:rPr>
        <w:t>) &lt;</w:t>
      </w:r>
      <w:hyperlink r:id="rId4" w:history="1">
        <w:r w:rsidR="0062789B" w:rsidRPr="000D4DA7">
          <w:rPr>
            <w:rStyle w:val="Hyperlink"/>
            <w:kern w:val="36"/>
            <w:sz w:val="22"/>
            <w:szCs w:val="22"/>
            <w:lang w:bidi="he-IL"/>
          </w:rPr>
          <w:t>https://www.irs.gov/uac/newsroom/how-new-identity-security-changes-may-affect-taxpayers-for-2016</w:t>
        </w:r>
      </w:hyperlink>
      <w:r w:rsidR="0062789B" w:rsidRPr="000D4DA7">
        <w:rPr>
          <w:kern w:val="36"/>
          <w:sz w:val="22"/>
          <w:szCs w:val="22"/>
          <w:lang w:bidi="he-IL"/>
        </w:rPr>
        <w:t>&gt; ("</w:t>
      </w:r>
      <w:r w:rsidR="0062789B" w:rsidRPr="000D4DA7">
        <w:rPr>
          <w:sz w:val="22"/>
          <w:szCs w:val="22"/>
        </w:rPr>
        <w:t>As the criminals evolve, so must we.").</w:t>
      </w:r>
    </w:p>
    <w:p w:rsidR="007629A5" w:rsidRPr="007629A5" w:rsidRDefault="007629A5" w:rsidP="007629A5">
      <w:pPr>
        <w:rPr>
          <w:sz w:val="22"/>
          <w:szCs w:val="22"/>
          <w:lang w:bidi="he-IL"/>
        </w:rPr>
      </w:pPr>
    </w:p>
  </w:footnote>
  <w:footnote w:id="11">
    <w:p w:rsidR="00F410E5" w:rsidRPr="00E6356C" w:rsidRDefault="00F410E5" w:rsidP="00853357">
      <w:pPr>
        <w:rPr>
          <w:sz w:val="22"/>
          <w:szCs w:val="22"/>
        </w:rPr>
      </w:pPr>
      <w:r w:rsidRPr="001156FF">
        <w:rPr>
          <w:rStyle w:val="FootnoteReference"/>
        </w:rPr>
        <w:footnoteRef/>
      </w:r>
      <w:r>
        <w:t xml:space="preserve"> </w:t>
      </w:r>
      <w:r>
        <w:rPr>
          <w:rFonts w:asciiTheme="majorBidi" w:hAnsiTheme="majorBidi" w:cstheme="majorBidi"/>
          <w:sz w:val="22"/>
          <w:szCs w:val="22"/>
        </w:rPr>
        <w:t xml:space="preserve"> </w:t>
      </w:r>
      <w:r>
        <w:rPr>
          <w:rFonts w:asciiTheme="majorBidi" w:hAnsiTheme="majorBidi" w:cstheme="majorBidi"/>
          <w:i/>
          <w:iCs/>
          <w:sz w:val="22"/>
          <w:szCs w:val="22"/>
        </w:rPr>
        <w:t>See</w:t>
      </w:r>
      <w:r w:rsidR="00E6356C">
        <w:rPr>
          <w:rFonts w:asciiTheme="majorBidi" w:hAnsiTheme="majorBidi" w:cstheme="majorBidi"/>
          <w:i/>
          <w:iCs/>
          <w:sz w:val="22"/>
          <w:szCs w:val="22"/>
        </w:rPr>
        <w:t xml:space="preserve"> </w:t>
      </w:r>
      <w:r w:rsidR="00853357">
        <w:rPr>
          <w:rFonts w:asciiTheme="majorBidi" w:hAnsiTheme="majorBidi" w:cstheme="majorBidi"/>
          <w:sz w:val="22"/>
          <w:szCs w:val="22"/>
        </w:rPr>
        <w:t>discussion</w:t>
      </w:r>
      <w:r w:rsidR="00E6356C">
        <w:rPr>
          <w:rFonts w:asciiTheme="majorBidi" w:hAnsiTheme="majorBidi" w:cstheme="majorBidi"/>
          <w:sz w:val="22"/>
          <w:szCs w:val="22"/>
        </w:rPr>
        <w:t xml:space="preserve"> </w:t>
      </w:r>
      <w:r w:rsidR="00E6356C">
        <w:rPr>
          <w:rFonts w:asciiTheme="majorBidi" w:hAnsiTheme="majorBidi" w:cstheme="majorBidi"/>
          <w:i/>
          <w:iCs/>
          <w:sz w:val="22"/>
          <w:szCs w:val="22"/>
        </w:rPr>
        <w:t xml:space="preserve">infra </w:t>
      </w:r>
      <w:r>
        <w:rPr>
          <w:rFonts w:asciiTheme="majorBidi" w:hAnsiTheme="majorBidi" w:cstheme="majorBidi"/>
          <w:sz w:val="22"/>
          <w:szCs w:val="22"/>
        </w:rPr>
        <w:t xml:space="preserve">on the </w:t>
      </w:r>
      <w:r w:rsidRPr="00E6356C">
        <w:rPr>
          <w:rFonts w:asciiTheme="majorBidi" w:hAnsiTheme="majorBidi" w:cstheme="majorBidi"/>
          <w:i/>
          <w:iCs/>
          <w:sz w:val="22"/>
          <w:szCs w:val="22"/>
        </w:rPr>
        <w:t>Rickman</w:t>
      </w:r>
      <w:r w:rsidR="00E6356C">
        <w:rPr>
          <w:rFonts w:asciiTheme="majorBidi" w:hAnsiTheme="majorBidi" w:cstheme="majorBidi"/>
          <w:sz w:val="22"/>
          <w:szCs w:val="22"/>
        </w:rPr>
        <w:t xml:space="preserve"> </w:t>
      </w:r>
      <w:r w:rsidR="00853357">
        <w:rPr>
          <w:rFonts w:asciiTheme="majorBidi" w:hAnsiTheme="majorBidi" w:cstheme="majorBidi"/>
          <w:sz w:val="22"/>
          <w:szCs w:val="22"/>
        </w:rPr>
        <w:t xml:space="preserve">and </w:t>
      </w:r>
      <w:r w:rsidR="00853357">
        <w:rPr>
          <w:rFonts w:asciiTheme="majorBidi" w:hAnsiTheme="majorBidi" w:cstheme="majorBidi"/>
          <w:i/>
          <w:iCs/>
          <w:sz w:val="22"/>
          <w:szCs w:val="22"/>
        </w:rPr>
        <w:t>Birkenfeld</w:t>
      </w:r>
      <w:r w:rsidR="00853357">
        <w:rPr>
          <w:rFonts w:asciiTheme="majorBidi" w:hAnsiTheme="majorBidi" w:cstheme="majorBidi"/>
          <w:sz w:val="22"/>
          <w:szCs w:val="22"/>
        </w:rPr>
        <w:t xml:space="preserve"> </w:t>
      </w:r>
      <w:r w:rsidR="00E6356C">
        <w:rPr>
          <w:rFonts w:asciiTheme="majorBidi" w:hAnsiTheme="majorBidi" w:cstheme="majorBidi"/>
          <w:sz w:val="22"/>
          <w:szCs w:val="22"/>
        </w:rPr>
        <w:t>case</w:t>
      </w:r>
      <w:r w:rsidR="00853357">
        <w:rPr>
          <w:rFonts w:asciiTheme="majorBidi" w:hAnsiTheme="majorBidi" w:cstheme="majorBidi"/>
          <w:sz w:val="22"/>
          <w:szCs w:val="22"/>
        </w:rPr>
        <w:t>s</w:t>
      </w:r>
      <w:r w:rsidR="00E6356C">
        <w:rPr>
          <w:rFonts w:asciiTheme="majorBidi" w:hAnsiTheme="majorBidi" w:cstheme="majorBidi"/>
          <w:sz w:val="22"/>
          <w:szCs w:val="22"/>
        </w:rPr>
        <w:t>.</w:t>
      </w:r>
    </w:p>
    <w:p w:rsidR="00F410E5" w:rsidRPr="007629A5" w:rsidRDefault="00F410E5" w:rsidP="00F410E5">
      <w:pPr>
        <w:rPr>
          <w:sz w:val="22"/>
          <w:szCs w:val="22"/>
          <w:lang w:bidi="he-IL"/>
        </w:rPr>
      </w:pPr>
    </w:p>
  </w:footnote>
  <w:footnote w:id="12">
    <w:p w:rsidR="007629A5" w:rsidRPr="007629A5" w:rsidRDefault="007629A5" w:rsidP="007629A5">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7629A5">
        <w:rPr>
          <w:rFonts w:asciiTheme="majorBidi" w:hAnsiTheme="majorBidi"/>
          <w:b w:val="0"/>
          <w:bCs w:val="0"/>
          <w:color w:val="auto"/>
          <w:sz w:val="22"/>
          <w:szCs w:val="22"/>
        </w:rPr>
        <w:t xml:space="preserve"> </w:t>
      </w:r>
      <w:r w:rsidRPr="007629A5">
        <w:rPr>
          <w:rFonts w:asciiTheme="majorBidi" w:hAnsiTheme="majorBidi"/>
          <w:b w:val="0"/>
          <w:bCs w:val="0"/>
          <w:i/>
          <w:iCs/>
          <w:color w:val="auto"/>
          <w:sz w:val="22"/>
          <w:szCs w:val="22"/>
        </w:rPr>
        <w:t>See, e.g.</w:t>
      </w:r>
      <w:r w:rsidRPr="007629A5">
        <w:rPr>
          <w:rFonts w:asciiTheme="majorBidi" w:hAnsiTheme="majorBidi"/>
          <w:b w:val="0"/>
          <w:bCs w:val="0"/>
          <w:color w:val="auto"/>
          <w:sz w:val="22"/>
          <w:szCs w:val="22"/>
        </w:rPr>
        <w:t xml:space="preserve"> </w:t>
      </w:r>
      <w:r w:rsidRPr="007629A5">
        <w:rPr>
          <w:rFonts w:asciiTheme="majorBidi" w:hAnsiTheme="majorBidi"/>
          <w:b w:val="0"/>
          <w:bCs w:val="0"/>
          <w:iCs/>
          <w:color w:val="auto"/>
          <w:sz w:val="22"/>
          <w:szCs w:val="22"/>
        </w:rPr>
        <w:t xml:space="preserve">Long v. Office of Personnel Management, </w:t>
      </w:r>
      <w:r w:rsidRPr="007629A5">
        <w:rPr>
          <w:rFonts w:asciiTheme="majorBidi" w:hAnsiTheme="majorBidi"/>
          <w:b w:val="0"/>
          <w:bCs w:val="0"/>
          <w:color w:val="auto"/>
          <w:sz w:val="22"/>
          <w:szCs w:val="22"/>
        </w:rPr>
        <w:t xml:space="preserve">N.Y.L.J., 10/5/2007, p. 34, col. 1, at 36, col. 1, </w:t>
      </w:r>
      <w:r w:rsidRPr="007629A5">
        <w:rPr>
          <w:rFonts w:asciiTheme="majorBidi" w:hAnsiTheme="majorBidi"/>
          <w:b w:val="0"/>
          <w:bCs w:val="0"/>
          <w:color w:val="auto"/>
          <w:sz w:val="22"/>
          <w:szCs w:val="22"/>
          <w:lang w:val="en"/>
        </w:rPr>
        <w:t xml:space="preserve">2007 U.S. Dist. LEXIS 72887 at *59 - *61 (N.D.N.Y., 2007), </w:t>
      </w:r>
      <w:r w:rsidRPr="007629A5">
        <w:rPr>
          <w:rFonts w:asciiTheme="majorBidi" w:hAnsiTheme="majorBidi"/>
          <w:b w:val="0"/>
          <w:bCs w:val="0"/>
          <w:i/>
          <w:iCs/>
          <w:color w:val="auto"/>
          <w:sz w:val="22"/>
          <w:szCs w:val="22"/>
          <w:lang w:val="en"/>
        </w:rPr>
        <w:t>aff'd on the issue</w:t>
      </w:r>
      <w:r w:rsidRPr="007629A5">
        <w:rPr>
          <w:rFonts w:asciiTheme="majorBidi" w:hAnsiTheme="majorBidi"/>
          <w:b w:val="0"/>
          <w:bCs w:val="0"/>
          <w:color w:val="auto"/>
          <w:sz w:val="22"/>
          <w:szCs w:val="22"/>
          <w:lang w:val="en"/>
        </w:rPr>
        <w:t xml:space="preserve"> </w:t>
      </w:r>
      <w:r w:rsidRPr="007629A5">
        <w:rPr>
          <w:rStyle w:val="verdana"/>
          <w:rFonts w:asciiTheme="majorBidi" w:hAnsiTheme="majorBidi"/>
          <w:b w:val="0"/>
          <w:bCs w:val="0"/>
          <w:color w:val="auto"/>
          <w:sz w:val="22"/>
          <w:szCs w:val="22"/>
        </w:rPr>
        <w:t>692 F.3d 185 (2d Cir. 2012)</w:t>
      </w:r>
      <w:r w:rsidRPr="007629A5">
        <w:rPr>
          <w:rFonts w:asciiTheme="majorBidi" w:hAnsiTheme="majorBidi"/>
          <w:b w:val="0"/>
          <w:bCs w:val="0"/>
          <w:color w:val="auto"/>
          <w:sz w:val="22"/>
          <w:szCs w:val="22"/>
          <w:lang w:val="en"/>
        </w:rPr>
        <w:t xml:space="preserve"> (</w:t>
      </w:r>
      <w:smartTag w:uri="urn:schemas-microsoft-com:office:smarttags" w:element="stockticker">
        <w:r w:rsidRPr="007629A5">
          <w:rPr>
            <w:rFonts w:asciiTheme="majorBidi" w:hAnsiTheme="majorBidi"/>
            <w:b w:val="0"/>
            <w:bCs w:val="0"/>
            <w:color w:val="auto"/>
            <w:sz w:val="22"/>
            <w:szCs w:val="22"/>
            <w:lang w:val="en"/>
          </w:rPr>
          <w:t>IRS</w:t>
        </w:r>
      </w:smartTag>
      <w:r w:rsidRPr="007629A5">
        <w:rPr>
          <w:rFonts w:asciiTheme="majorBidi" w:hAnsiTheme="majorBidi"/>
          <w:b w:val="0"/>
          <w:bCs w:val="0"/>
          <w:color w:val="auto"/>
          <w:sz w:val="22"/>
          <w:szCs w:val="22"/>
          <w:lang w:val="en"/>
        </w:rPr>
        <w:t xml:space="preserve"> not required to disclose identity of 666 </w:t>
      </w:r>
      <w:smartTag w:uri="urn:schemas-microsoft-com:office:smarttags" w:element="stockticker">
        <w:r w:rsidRPr="007629A5">
          <w:rPr>
            <w:rFonts w:asciiTheme="majorBidi" w:hAnsiTheme="majorBidi"/>
            <w:b w:val="0"/>
            <w:bCs w:val="0"/>
            <w:color w:val="auto"/>
            <w:sz w:val="22"/>
            <w:szCs w:val="22"/>
            <w:lang w:val="en"/>
          </w:rPr>
          <w:t>IRS</w:t>
        </w:r>
      </w:smartTag>
      <w:r w:rsidRPr="007629A5">
        <w:rPr>
          <w:rFonts w:asciiTheme="majorBidi" w:hAnsiTheme="majorBidi"/>
          <w:b w:val="0"/>
          <w:bCs w:val="0"/>
          <w:color w:val="auto"/>
          <w:sz w:val="22"/>
          <w:szCs w:val="22"/>
          <w:lang w:val="en"/>
        </w:rPr>
        <w:t xml:space="preserve"> employees who use pseudonyms.  Employees' privacy interest outweighs public interest in knowing identities.); </w:t>
      </w:r>
      <w:r w:rsidRPr="007629A5">
        <w:rPr>
          <w:rFonts w:asciiTheme="majorBidi" w:hAnsiTheme="majorBidi"/>
          <w:b w:val="0"/>
          <w:bCs w:val="0"/>
          <w:iCs/>
          <w:color w:val="auto"/>
          <w:sz w:val="22"/>
          <w:szCs w:val="22"/>
        </w:rPr>
        <w:t>Sparks v. Department of Revenue, 2</w:t>
      </w:r>
      <w:r w:rsidRPr="007629A5">
        <w:rPr>
          <w:rFonts w:asciiTheme="majorBidi" w:hAnsiTheme="majorBidi"/>
          <w:b w:val="0"/>
          <w:bCs w:val="0"/>
          <w:color w:val="auto"/>
          <w:sz w:val="22"/>
          <w:szCs w:val="22"/>
        </w:rPr>
        <w:t xml:space="preserve">007 Ore. Tax LEXIS 70 (Oregon Tax Ct., No. TC-MD 060821B, 2007) ("Auditor David # 3128 (no last name provided) represented the [Oregon Department of Revenue];" </w:t>
      </w:r>
      <w:r w:rsidRPr="007629A5">
        <w:rPr>
          <w:rFonts w:asciiTheme="majorBidi" w:hAnsiTheme="majorBidi"/>
          <w:b w:val="0"/>
          <w:bCs w:val="0"/>
          <w:i/>
          <w:iCs/>
          <w:color w:val="auto"/>
          <w:sz w:val="22"/>
          <w:szCs w:val="22"/>
        </w:rPr>
        <w:t>see also</w:t>
      </w:r>
      <w:r w:rsidRPr="007629A5">
        <w:rPr>
          <w:rFonts w:asciiTheme="majorBidi" w:hAnsiTheme="majorBidi"/>
          <w:b w:val="0"/>
          <w:bCs w:val="0"/>
          <w:color w:val="auto"/>
          <w:sz w:val="22"/>
          <w:szCs w:val="22"/>
        </w:rPr>
        <w:t xml:space="preserve"> 10.5.7</w:t>
      </w:r>
      <w:r>
        <w:rPr>
          <w:rFonts w:asciiTheme="majorBidi" w:hAnsiTheme="majorBidi"/>
          <w:b w:val="0"/>
          <w:bCs w:val="0"/>
          <w:color w:val="auto"/>
          <w:sz w:val="22"/>
          <w:szCs w:val="22"/>
        </w:rPr>
        <w:t>,</w:t>
      </w:r>
      <w:r w:rsidRPr="007629A5">
        <w:rPr>
          <w:rFonts w:asciiTheme="majorBidi" w:hAnsiTheme="majorBidi"/>
          <w:b w:val="0"/>
          <w:bCs w:val="0"/>
          <w:color w:val="auto"/>
          <w:sz w:val="22"/>
          <w:szCs w:val="22"/>
        </w:rPr>
        <w:t>  Use</w:t>
      </w:r>
      <w:r>
        <w:rPr>
          <w:rFonts w:asciiTheme="majorBidi" w:hAnsiTheme="majorBidi"/>
          <w:b w:val="0"/>
          <w:bCs w:val="0"/>
          <w:color w:val="auto"/>
          <w:sz w:val="22"/>
          <w:szCs w:val="22"/>
        </w:rPr>
        <w:t xml:space="preserve"> of Pseudonyms by IRS Employees.</w:t>
      </w:r>
    </w:p>
    <w:p w:rsidR="007629A5" w:rsidRPr="007629A5" w:rsidRDefault="007629A5" w:rsidP="007629A5">
      <w:pPr>
        <w:rPr>
          <w:rFonts w:asciiTheme="majorBidi" w:hAnsiTheme="majorBidi" w:cstheme="majorBidi"/>
          <w:sz w:val="22"/>
          <w:szCs w:val="22"/>
        </w:rPr>
      </w:pPr>
    </w:p>
  </w:footnote>
  <w:footnote w:id="13">
    <w:p w:rsidR="00E9706E" w:rsidRPr="00C91ADF" w:rsidRDefault="00E9706E" w:rsidP="00E9706E">
      <w:pPr>
        <w:tabs>
          <w:tab w:val="left" w:pos="1215"/>
        </w:tabs>
        <w:rPr>
          <w:sz w:val="22"/>
          <w:szCs w:val="22"/>
        </w:rPr>
      </w:pPr>
      <w:r w:rsidRPr="007629A5">
        <w:rPr>
          <w:rStyle w:val="FootnoteReference"/>
          <w:rFonts w:asciiTheme="majorBidi" w:hAnsiTheme="majorBidi" w:cstheme="majorBidi"/>
          <w:sz w:val="22"/>
          <w:szCs w:val="22"/>
        </w:rPr>
        <w:footnoteRef/>
      </w:r>
      <w:r w:rsidRPr="007629A5">
        <w:rPr>
          <w:rFonts w:asciiTheme="majorBidi" w:hAnsiTheme="majorBidi" w:cstheme="majorBidi"/>
          <w:sz w:val="22"/>
          <w:szCs w:val="22"/>
        </w:rPr>
        <w:t xml:space="preserve"> </w:t>
      </w:r>
      <w:r w:rsidRPr="00C91ADF">
        <w:rPr>
          <w:sz w:val="22"/>
          <w:szCs w:val="22"/>
        </w:rPr>
        <w:t>Public Law 105-206, § 3706, 112 Stat. 685, 778 (22 July 1998), 112 Stat. 685, 778 (uncodified in I.R.C. proper, enacted as a note to I.R.C. § 7804.</w:t>
      </w:r>
    </w:p>
    <w:p w:rsidR="00E9706E" w:rsidRPr="00C91ADF" w:rsidRDefault="00E9706E" w:rsidP="00E9706E">
      <w:pPr>
        <w:rPr>
          <w:sz w:val="22"/>
          <w:szCs w:val="22"/>
        </w:rPr>
      </w:pPr>
      <w:r w:rsidRPr="00C91ADF">
        <w:rPr>
          <w:sz w:val="22"/>
          <w:szCs w:val="22"/>
        </w:rPr>
        <w:tab/>
        <w:t xml:space="preserve">Uncodified statutory provisions have the full force of law, </w:t>
      </w:r>
      <w:r w:rsidRPr="00C91ADF">
        <w:rPr>
          <w:i/>
          <w:iCs/>
          <w:sz w:val="22"/>
          <w:szCs w:val="22"/>
        </w:rPr>
        <w:t>see, e.g.</w:t>
      </w:r>
      <w:r w:rsidRPr="00C91ADF">
        <w:rPr>
          <w:sz w:val="22"/>
          <w:szCs w:val="22"/>
        </w:rPr>
        <w:t xml:space="preserve"> Exxon-Mobil Corp. v. Commissioner, 689 F.3d 191, 194 (2d. Cir. 2012); In re Weaver, 542 F.3d 257, 259 (1st Cir. 2008).</w:t>
      </w:r>
    </w:p>
    <w:p w:rsidR="00E9706E" w:rsidRPr="00CB06E1" w:rsidRDefault="00E9706E" w:rsidP="00E9706E">
      <w:pPr>
        <w:rPr>
          <w:rFonts w:asciiTheme="majorBidi" w:hAnsiTheme="majorBidi" w:cstheme="majorBidi"/>
          <w:sz w:val="22"/>
          <w:szCs w:val="22"/>
        </w:rPr>
      </w:pPr>
    </w:p>
  </w:footnote>
  <w:footnote w:id="14">
    <w:p w:rsidR="00587FAB" w:rsidRPr="00587FAB" w:rsidRDefault="00587FAB" w:rsidP="00587FAB">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I.R.M. 10.5.7.</w:t>
      </w:r>
    </w:p>
    <w:p w:rsidR="00587FAB" w:rsidRPr="00587FAB" w:rsidRDefault="00587FAB" w:rsidP="00587FAB">
      <w:pPr>
        <w:rPr>
          <w:rFonts w:asciiTheme="majorBidi" w:hAnsiTheme="majorBidi" w:cstheme="majorBidi"/>
          <w:sz w:val="22"/>
          <w:szCs w:val="22"/>
        </w:rPr>
      </w:pPr>
    </w:p>
  </w:footnote>
  <w:footnote w:id="15">
    <w:p w:rsidR="00C312D3" w:rsidRPr="0005783D" w:rsidRDefault="00C312D3" w:rsidP="0005783D">
      <w:pPr>
        <w:tabs>
          <w:tab w:val="left" w:pos="1215"/>
        </w:tabs>
        <w:rPr>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6C0189">
        <w:rPr>
          <w:rFonts w:asciiTheme="majorBidi" w:hAnsiTheme="majorBidi"/>
          <w:sz w:val="22"/>
          <w:szCs w:val="22"/>
        </w:rPr>
        <w:t xml:space="preserve"> </w:t>
      </w:r>
      <w:r w:rsidRPr="006C0189">
        <w:rPr>
          <w:rStyle w:val="verdana"/>
          <w:sz w:val="22"/>
          <w:szCs w:val="22"/>
        </w:rPr>
        <w:t xml:space="preserve">IRS ECC 201303016, </w:t>
      </w:r>
      <w:r w:rsidRPr="006C0189">
        <w:rPr>
          <w:sz w:val="22"/>
          <w:szCs w:val="22"/>
          <w:lang w:bidi="he-IL"/>
        </w:rPr>
        <w:t xml:space="preserve">CCA_2012121712270550 (18 January 2013) </w:t>
      </w:r>
      <w:r w:rsidRPr="006C0189">
        <w:rPr>
          <w:rFonts w:asciiTheme="majorBidi" w:hAnsiTheme="majorBidi"/>
          <w:sz w:val="22"/>
          <w:szCs w:val="22"/>
        </w:rPr>
        <w:t xml:space="preserve"> &lt;</w:t>
      </w:r>
      <w:hyperlink r:id="rId5" w:history="1">
        <w:r w:rsidRPr="006C0189">
          <w:rPr>
            <w:rStyle w:val="Hyperlink"/>
            <w:rFonts w:asciiTheme="majorBidi" w:hAnsiTheme="majorBidi"/>
            <w:sz w:val="22"/>
            <w:szCs w:val="22"/>
          </w:rPr>
          <w:t>https://www.irs.gov/pub/irs-wd/1303016.pdf</w:t>
        </w:r>
      </w:hyperlink>
      <w:r w:rsidRPr="006C0189">
        <w:rPr>
          <w:rFonts w:asciiTheme="majorBidi" w:hAnsiTheme="majorBidi"/>
          <w:sz w:val="22"/>
          <w:szCs w:val="22"/>
        </w:rPr>
        <w:t>&gt;</w:t>
      </w:r>
    </w:p>
    <w:p w:rsidR="00C312D3" w:rsidRPr="00587FAB" w:rsidRDefault="00C312D3" w:rsidP="00C312D3">
      <w:pPr>
        <w:rPr>
          <w:rFonts w:asciiTheme="majorBidi" w:hAnsiTheme="majorBidi" w:cstheme="majorBidi"/>
          <w:sz w:val="22"/>
          <w:szCs w:val="22"/>
        </w:rPr>
      </w:pPr>
    </w:p>
  </w:footnote>
  <w:footnote w:id="16">
    <w:p w:rsidR="007629A5" w:rsidRPr="00D43B23" w:rsidRDefault="007629A5" w:rsidP="007629A5">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7629A5">
        <w:rPr>
          <w:rFonts w:asciiTheme="majorBidi" w:hAnsiTheme="majorBidi"/>
          <w:b w:val="0"/>
          <w:bCs w:val="0"/>
          <w:color w:val="auto"/>
          <w:sz w:val="22"/>
          <w:szCs w:val="22"/>
        </w:rPr>
        <w:t xml:space="preserve"> </w:t>
      </w:r>
      <w:r w:rsidR="002B1F9B" w:rsidRPr="002B1F9B">
        <w:rPr>
          <w:rFonts w:asciiTheme="majorBidi" w:hAnsiTheme="majorBidi"/>
          <w:b w:val="0"/>
          <w:bCs w:val="0"/>
          <w:i/>
          <w:iCs/>
          <w:color w:val="auto"/>
          <w:sz w:val="22"/>
          <w:szCs w:val="22"/>
        </w:rPr>
        <w:t>See, e.g.</w:t>
      </w:r>
      <w:r w:rsidR="002B1F9B" w:rsidRPr="002B1F9B">
        <w:rPr>
          <w:rFonts w:asciiTheme="majorBidi" w:hAnsiTheme="majorBidi"/>
          <w:b w:val="0"/>
          <w:bCs w:val="0"/>
          <w:color w:val="auto"/>
          <w:sz w:val="22"/>
          <w:szCs w:val="22"/>
        </w:rPr>
        <w:t>, Anonymous v. C</w:t>
      </w:r>
      <w:r w:rsidR="00D43B23">
        <w:rPr>
          <w:rFonts w:asciiTheme="majorBidi" w:hAnsiTheme="majorBidi"/>
          <w:b w:val="0"/>
          <w:bCs w:val="0"/>
          <w:color w:val="auto"/>
          <w:sz w:val="22"/>
          <w:szCs w:val="22"/>
        </w:rPr>
        <w:t xml:space="preserve">ommissioner, 127 T.C. 89 (2006); </w:t>
      </w:r>
      <w:r w:rsidR="00D43B23">
        <w:rPr>
          <w:rFonts w:asciiTheme="majorBidi" w:hAnsiTheme="majorBidi"/>
          <w:b w:val="0"/>
          <w:bCs w:val="0"/>
          <w:i/>
          <w:iCs/>
          <w:color w:val="auto"/>
          <w:sz w:val="22"/>
          <w:szCs w:val="22"/>
        </w:rPr>
        <w:t xml:space="preserve"> see also</w:t>
      </w:r>
      <w:r w:rsidR="00D43B23">
        <w:rPr>
          <w:rFonts w:asciiTheme="majorBidi" w:hAnsiTheme="majorBidi"/>
          <w:b w:val="0"/>
          <w:bCs w:val="0"/>
          <w:color w:val="auto"/>
          <w:sz w:val="22"/>
          <w:szCs w:val="22"/>
        </w:rPr>
        <w:t xml:space="preserve"> U.S. Tax Court, Rule 27.</w:t>
      </w:r>
    </w:p>
    <w:p w:rsidR="007629A5" w:rsidRPr="007629A5" w:rsidRDefault="007629A5" w:rsidP="007629A5">
      <w:pPr>
        <w:rPr>
          <w:rFonts w:asciiTheme="majorBidi" w:hAnsiTheme="majorBidi" w:cstheme="majorBidi"/>
          <w:sz w:val="22"/>
          <w:szCs w:val="22"/>
        </w:rPr>
      </w:pPr>
    </w:p>
  </w:footnote>
  <w:footnote w:id="17">
    <w:p w:rsidR="008F732B" w:rsidRPr="00D43B23" w:rsidRDefault="008F732B" w:rsidP="008F732B">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7629A5">
        <w:rPr>
          <w:rFonts w:asciiTheme="majorBidi" w:hAnsiTheme="majorBidi"/>
          <w:b w:val="0"/>
          <w:bCs w:val="0"/>
          <w:color w:val="auto"/>
          <w:sz w:val="22"/>
          <w:szCs w:val="22"/>
        </w:rPr>
        <w:t xml:space="preserve"> </w:t>
      </w:r>
      <w:r>
        <w:rPr>
          <w:rFonts w:asciiTheme="majorBidi" w:hAnsiTheme="majorBidi"/>
          <w:b w:val="0"/>
          <w:bCs w:val="0"/>
          <w:color w:val="auto"/>
          <w:sz w:val="22"/>
          <w:szCs w:val="22"/>
        </w:rPr>
        <w:t>U.S. Tax Court, Rules of Practice and Procedure, Title XXXIII.</w:t>
      </w:r>
    </w:p>
    <w:p w:rsidR="008F732B" w:rsidRPr="007629A5" w:rsidRDefault="008F732B" w:rsidP="008F732B">
      <w:pPr>
        <w:rPr>
          <w:rFonts w:asciiTheme="majorBidi" w:hAnsiTheme="majorBidi" w:cstheme="majorBidi"/>
          <w:sz w:val="22"/>
          <w:szCs w:val="22"/>
        </w:rPr>
      </w:pPr>
    </w:p>
  </w:footnote>
  <w:footnote w:id="18">
    <w:p w:rsidR="00513D93" w:rsidRPr="00463CAD" w:rsidRDefault="00513D93" w:rsidP="00463CAD">
      <w:pPr>
        <w:pStyle w:val="Default"/>
        <w:rPr>
          <w:rFonts w:asciiTheme="majorBidi" w:hAnsiTheme="majorBidi" w:cstheme="majorBidi"/>
          <w:sz w:val="22"/>
          <w:szCs w:val="22"/>
        </w:rPr>
      </w:pPr>
      <w:r w:rsidRPr="007629A5">
        <w:rPr>
          <w:rStyle w:val="FootnoteReference"/>
          <w:rFonts w:asciiTheme="majorBidi" w:hAnsiTheme="majorBidi"/>
          <w:color w:val="auto"/>
          <w:sz w:val="22"/>
          <w:szCs w:val="22"/>
        </w:rPr>
        <w:footnoteRef/>
      </w:r>
      <w:r w:rsidRPr="00C312D3">
        <w:rPr>
          <w:rFonts w:asciiTheme="majorBidi" w:hAnsiTheme="majorBidi" w:cstheme="majorBidi"/>
          <w:color w:val="auto"/>
          <w:sz w:val="22"/>
          <w:szCs w:val="22"/>
        </w:rPr>
        <w:t xml:space="preserve"> </w:t>
      </w:r>
      <w:r>
        <w:rPr>
          <w:rFonts w:asciiTheme="majorBidi" w:hAnsiTheme="majorBidi" w:cstheme="majorBidi"/>
          <w:i/>
          <w:iCs/>
          <w:color w:val="auto"/>
          <w:sz w:val="22"/>
          <w:szCs w:val="22"/>
        </w:rPr>
        <w:t>See, e.g.</w:t>
      </w:r>
      <w:r>
        <w:rPr>
          <w:rFonts w:asciiTheme="majorBidi" w:hAnsiTheme="majorBidi" w:cstheme="majorBidi"/>
          <w:color w:val="auto"/>
          <w:sz w:val="22"/>
          <w:szCs w:val="22"/>
        </w:rPr>
        <w:t xml:space="preserve"> </w:t>
      </w:r>
      <w:r w:rsidRPr="00C312D3">
        <w:rPr>
          <w:rFonts w:asciiTheme="majorBidi" w:hAnsiTheme="majorBidi" w:cstheme="majorBidi"/>
          <w:sz w:val="22"/>
          <w:szCs w:val="22"/>
        </w:rPr>
        <w:t>Executive Office of the President, "</w:t>
      </w:r>
      <w:r w:rsidRPr="00C312D3">
        <w:rPr>
          <w:rFonts w:asciiTheme="majorBidi" w:hAnsiTheme="majorBidi" w:cstheme="majorBidi"/>
          <w:color w:val="202020"/>
          <w:sz w:val="22"/>
          <w:szCs w:val="22"/>
        </w:rPr>
        <w:t>Preparing for and Responding to a Breach of</w:t>
      </w:r>
      <w:r>
        <w:rPr>
          <w:rFonts w:asciiTheme="majorBidi" w:hAnsiTheme="majorBidi" w:cstheme="majorBidi"/>
          <w:color w:val="202020"/>
          <w:sz w:val="22"/>
          <w:szCs w:val="22"/>
        </w:rPr>
        <w:t xml:space="preserve"> </w:t>
      </w:r>
      <w:r w:rsidRPr="00C312D3">
        <w:rPr>
          <w:rFonts w:asciiTheme="majorBidi" w:hAnsiTheme="majorBidi" w:cstheme="majorBidi"/>
          <w:color w:val="202020"/>
          <w:sz w:val="22"/>
          <w:szCs w:val="22"/>
        </w:rPr>
        <w:t xml:space="preserve">Personally Identifiable Information"  Memo M-17-12 (3 January 2017) </w:t>
      </w:r>
      <w:r w:rsidRPr="00C312D3">
        <w:rPr>
          <w:rFonts w:asciiTheme="majorBidi" w:hAnsiTheme="majorBidi" w:cstheme="majorBidi"/>
          <w:sz w:val="22"/>
          <w:szCs w:val="22"/>
        </w:rPr>
        <w:t>&lt;</w:t>
      </w:r>
      <w:hyperlink r:id="rId6" w:history="1">
        <w:r w:rsidRPr="00C312D3">
          <w:rPr>
            <w:rStyle w:val="Hyperlink"/>
            <w:rFonts w:asciiTheme="majorBidi" w:hAnsiTheme="majorBidi" w:cstheme="majorBidi"/>
            <w:sz w:val="22"/>
            <w:szCs w:val="22"/>
          </w:rPr>
          <w:t>https://www.whitehouse.gov/sites/default/files/omb/memoranda/2017/m-17-12.pdf</w:t>
        </w:r>
      </w:hyperlink>
      <w:r w:rsidRPr="00C312D3">
        <w:rPr>
          <w:rFonts w:asciiTheme="majorBidi" w:hAnsiTheme="majorBidi" w:cstheme="majorBidi"/>
          <w:color w:val="202020"/>
          <w:sz w:val="22"/>
          <w:szCs w:val="22"/>
        </w:rPr>
        <w:t>&gt;.</w:t>
      </w:r>
    </w:p>
    <w:p w:rsidR="00513D93" w:rsidRPr="00587FAB" w:rsidRDefault="00513D93" w:rsidP="00513D93">
      <w:pPr>
        <w:rPr>
          <w:rFonts w:asciiTheme="majorBidi" w:hAnsiTheme="majorBidi" w:cstheme="majorBidi"/>
          <w:sz w:val="22"/>
          <w:szCs w:val="22"/>
        </w:rPr>
      </w:pPr>
    </w:p>
  </w:footnote>
  <w:footnote w:id="19">
    <w:p w:rsidR="00AF1115" w:rsidRPr="00AF1115" w:rsidRDefault="00AF1115" w:rsidP="00AF1115">
      <w:pPr>
        <w:autoSpaceDE w:val="0"/>
        <w:autoSpaceDN w:val="0"/>
        <w:adjustRightInd w:val="0"/>
        <w:rPr>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AF1115">
        <w:rPr>
          <w:rFonts w:asciiTheme="majorBidi" w:hAnsiTheme="majorBidi"/>
          <w:i/>
          <w:iCs/>
          <w:sz w:val="22"/>
          <w:szCs w:val="22"/>
        </w:rPr>
        <w:t xml:space="preserve">E.g., </w:t>
      </w:r>
      <w:r w:rsidRPr="00AF1115">
        <w:rPr>
          <w:i/>
          <w:iCs/>
          <w:sz w:val="22"/>
          <w:szCs w:val="22"/>
        </w:rPr>
        <w:t>Anonymous v. Commissioner</w:t>
      </w:r>
      <w:r w:rsidRPr="00AF1115">
        <w:rPr>
          <w:sz w:val="22"/>
          <w:szCs w:val="22"/>
        </w:rPr>
        <w:t>, 127 T.C. 89 (2006) (Taxpayer had relatives in foreign countries who would be at risk of danger if taxpayer's financial information were known.  One relative had already been kidnapped.).</w:t>
      </w:r>
    </w:p>
    <w:p w:rsidR="00AF1115" w:rsidRPr="00587FAB" w:rsidRDefault="00AF1115" w:rsidP="00DA082D">
      <w:pPr>
        <w:rPr>
          <w:rFonts w:asciiTheme="majorBidi" w:hAnsiTheme="majorBidi" w:cstheme="majorBidi"/>
          <w:sz w:val="22"/>
          <w:szCs w:val="22"/>
        </w:rPr>
      </w:pPr>
    </w:p>
  </w:footnote>
  <w:footnote w:id="20">
    <w:p w:rsidR="00AF1115" w:rsidRPr="00AF1115" w:rsidRDefault="00AF1115" w:rsidP="00DA082D">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sidRPr="00AF1115">
        <w:rPr>
          <w:rFonts w:asciiTheme="majorBidi" w:hAnsiTheme="majorBidi"/>
          <w:b w:val="0"/>
          <w:bCs w:val="0"/>
          <w:i/>
          <w:iCs/>
          <w:color w:val="auto"/>
          <w:sz w:val="22"/>
          <w:szCs w:val="22"/>
        </w:rPr>
        <w:t xml:space="preserve">E.g., </w:t>
      </w:r>
      <w:r w:rsidRPr="00AF1115">
        <w:rPr>
          <w:rFonts w:asciiTheme="majorBidi" w:hAnsiTheme="majorBidi"/>
          <w:b w:val="0"/>
          <w:bCs w:val="0"/>
          <w:color w:val="auto"/>
          <w:sz w:val="22"/>
          <w:szCs w:val="22"/>
        </w:rPr>
        <w:t xml:space="preserve">Sands v. Murphy, </w:t>
      </w:r>
      <w:r w:rsidRPr="00AF1115">
        <w:rPr>
          <w:rStyle w:val="verdana"/>
          <w:rFonts w:asciiTheme="majorBidi" w:hAnsiTheme="majorBidi"/>
          <w:b w:val="0"/>
          <w:bCs w:val="0"/>
          <w:color w:val="auto"/>
          <w:sz w:val="22"/>
          <w:szCs w:val="22"/>
        </w:rPr>
        <w:t>633 F.2d 968 (1st Cir. 1980)</w:t>
      </w:r>
      <w:r>
        <w:rPr>
          <w:rStyle w:val="verdana"/>
          <w:rFonts w:asciiTheme="majorBidi" w:hAnsiTheme="majorBidi"/>
          <w:b w:val="0"/>
          <w:bCs w:val="0"/>
          <w:color w:val="auto"/>
          <w:sz w:val="22"/>
          <w:szCs w:val="22"/>
        </w:rPr>
        <w:t>.</w:t>
      </w:r>
    </w:p>
    <w:p w:rsidR="00AF1115" w:rsidRPr="00DA082D" w:rsidRDefault="00AF1115" w:rsidP="00DA082D">
      <w:pPr>
        <w:rPr>
          <w:rFonts w:asciiTheme="majorBidi" w:hAnsiTheme="majorBidi" w:cstheme="majorBidi"/>
          <w:sz w:val="22"/>
          <w:szCs w:val="22"/>
        </w:rPr>
      </w:pPr>
    </w:p>
  </w:footnote>
  <w:footnote w:id="21">
    <w:p w:rsidR="00E74855" w:rsidRPr="00DA082D" w:rsidRDefault="00E74855" w:rsidP="00DA082D">
      <w:pPr>
        <w:autoSpaceDE w:val="0"/>
        <w:autoSpaceDN w:val="0"/>
        <w:adjustRightInd w:val="0"/>
        <w:rPr>
          <w:color w:val="000000"/>
          <w:sz w:val="22"/>
          <w:szCs w:val="22"/>
          <w:lang w:bidi="he-IL"/>
        </w:rPr>
      </w:pPr>
      <w:r w:rsidRPr="00DA082D">
        <w:rPr>
          <w:rStyle w:val="FootnoteReference"/>
          <w:rFonts w:asciiTheme="majorBidi" w:hAnsiTheme="majorBidi"/>
          <w:sz w:val="22"/>
          <w:szCs w:val="22"/>
        </w:rPr>
        <w:footnoteRef/>
      </w:r>
      <w:r w:rsidRPr="00DA082D">
        <w:rPr>
          <w:rFonts w:asciiTheme="majorBidi" w:hAnsiTheme="majorBidi"/>
          <w:sz w:val="22"/>
          <w:szCs w:val="22"/>
        </w:rPr>
        <w:t xml:space="preserve"> </w:t>
      </w:r>
      <w:r w:rsidRPr="00DA082D">
        <w:rPr>
          <w:rFonts w:asciiTheme="majorBidi" w:hAnsiTheme="majorBidi"/>
          <w:i/>
          <w:iCs/>
          <w:sz w:val="22"/>
          <w:szCs w:val="22"/>
        </w:rPr>
        <w:t>E.g.</w:t>
      </w:r>
      <w:r w:rsidRPr="00DA082D">
        <w:rPr>
          <w:rFonts w:asciiTheme="majorBidi" w:hAnsiTheme="majorBidi"/>
          <w:sz w:val="22"/>
          <w:szCs w:val="22"/>
        </w:rPr>
        <w:t xml:space="preserve">, </w:t>
      </w:r>
      <w:r w:rsidRPr="00D904F6">
        <w:rPr>
          <w:color w:val="000000"/>
          <w:sz w:val="22"/>
          <w:szCs w:val="22"/>
          <w:lang w:bidi="he-IL"/>
        </w:rPr>
        <w:t xml:space="preserve">U.S. House of Representatives </w:t>
      </w:r>
      <w:r w:rsidRPr="00DA082D">
        <w:rPr>
          <w:color w:val="000000"/>
          <w:sz w:val="22"/>
          <w:szCs w:val="22"/>
          <w:lang w:bidi="he-IL"/>
        </w:rPr>
        <w:t xml:space="preserve">Committee on Financial Services, </w:t>
      </w:r>
      <w:r w:rsidRPr="00D904F6">
        <w:rPr>
          <w:color w:val="000000"/>
          <w:sz w:val="22"/>
          <w:szCs w:val="22"/>
          <w:lang w:bidi="he-IL"/>
        </w:rPr>
        <w:t xml:space="preserve">Hearing on </w:t>
      </w:r>
      <w:r w:rsidRPr="00DA082D">
        <w:rPr>
          <w:color w:val="000000"/>
          <w:sz w:val="22"/>
          <w:szCs w:val="22"/>
          <w:lang w:bidi="he-IL"/>
        </w:rPr>
        <w:t>"</w:t>
      </w:r>
      <w:r w:rsidRPr="00D904F6">
        <w:rPr>
          <w:color w:val="000000"/>
          <w:sz w:val="22"/>
          <w:szCs w:val="22"/>
          <w:lang w:bidi="he-IL"/>
        </w:rPr>
        <w:t>The Role of Attorneys in Corporate Governance</w:t>
      </w:r>
      <w:r w:rsidRPr="00DA082D">
        <w:rPr>
          <w:color w:val="000000"/>
          <w:sz w:val="22"/>
          <w:szCs w:val="22"/>
          <w:lang w:bidi="he-IL"/>
        </w:rPr>
        <w:t xml:space="preserve">," </w:t>
      </w:r>
      <w:r w:rsidRPr="00D904F6">
        <w:rPr>
          <w:color w:val="000000"/>
          <w:sz w:val="22"/>
          <w:szCs w:val="22"/>
          <w:lang w:bidi="he-IL"/>
        </w:rPr>
        <w:t>Written Testimony of Prof</w:t>
      </w:r>
      <w:r w:rsidRPr="00DA082D">
        <w:rPr>
          <w:color w:val="000000"/>
          <w:sz w:val="22"/>
          <w:szCs w:val="22"/>
          <w:lang w:bidi="he-IL"/>
        </w:rPr>
        <w:t>. Richard W. Painter (4 February 2004)  &lt;</w:t>
      </w:r>
      <w:hyperlink r:id="rId7" w:history="1">
        <w:r w:rsidRPr="00DA082D">
          <w:rPr>
            <w:rStyle w:val="Hyperlink"/>
            <w:sz w:val="22"/>
            <w:szCs w:val="22"/>
            <w:lang w:bidi="he-IL"/>
          </w:rPr>
          <w:t>http://financialservices.house.gov/media/pdf/020404rp.pdf</w:t>
        </w:r>
      </w:hyperlink>
      <w:r w:rsidRPr="00DA082D">
        <w:rPr>
          <w:color w:val="000000"/>
          <w:sz w:val="22"/>
          <w:szCs w:val="22"/>
          <w:lang w:bidi="he-IL"/>
        </w:rPr>
        <w:t>&gt;.</w:t>
      </w:r>
    </w:p>
    <w:p w:rsidR="00E74855" w:rsidRPr="00DA082D" w:rsidRDefault="00E74855" w:rsidP="00DA082D">
      <w:pPr>
        <w:rPr>
          <w:rFonts w:asciiTheme="majorBidi" w:hAnsiTheme="majorBidi" w:cstheme="majorBidi"/>
          <w:sz w:val="22"/>
          <w:szCs w:val="22"/>
        </w:rPr>
      </w:pPr>
    </w:p>
  </w:footnote>
  <w:footnote w:id="22">
    <w:p w:rsidR="00463CAD" w:rsidRPr="003E0527" w:rsidRDefault="00463CAD" w:rsidP="00463CAD">
      <w:pPr>
        <w:rPr>
          <w:sz w:val="22"/>
          <w:szCs w:val="22"/>
        </w:rPr>
      </w:pPr>
      <w:r w:rsidRPr="00DA082D">
        <w:rPr>
          <w:rStyle w:val="FootnoteReference"/>
          <w:rFonts w:asciiTheme="majorBidi" w:hAnsiTheme="majorBidi"/>
          <w:sz w:val="22"/>
          <w:szCs w:val="22"/>
        </w:rPr>
        <w:footnoteRef/>
      </w:r>
      <w:r w:rsidRPr="00DA082D">
        <w:rPr>
          <w:rFonts w:asciiTheme="majorBidi" w:hAnsiTheme="majorBidi"/>
          <w:sz w:val="22"/>
          <w:szCs w:val="22"/>
        </w:rPr>
        <w:t xml:space="preserve"> </w:t>
      </w:r>
      <w:r w:rsidRPr="00DA082D">
        <w:rPr>
          <w:rFonts w:asciiTheme="majorBidi" w:hAnsiTheme="majorBidi"/>
          <w:i/>
          <w:iCs/>
          <w:sz w:val="22"/>
          <w:szCs w:val="22"/>
        </w:rPr>
        <w:t>See</w:t>
      </w:r>
      <w:r>
        <w:rPr>
          <w:rFonts w:asciiTheme="majorBidi" w:hAnsiTheme="majorBidi"/>
          <w:b/>
          <w:bCs/>
          <w:i/>
          <w:iCs/>
          <w:sz w:val="22"/>
          <w:szCs w:val="22"/>
        </w:rPr>
        <w:t xml:space="preserve"> </w:t>
      </w:r>
      <w:r w:rsidRPr="003E0527">
        <w:rPr>
          <w:sz w:val="22"/>
          <w:szCs w:val="22"/>
        </w:rPr>
        <w:t>17 CFR §§ 205.3(b)(4) and (9)</w:t>
      </w:r>
      <w:r>
        <w:rPr>
          <w:sz w:val="22"/>
          <w:szCs w:val="22"/>
        </w:rPr>
        <w:t>.</w:t>
      </w:r>
    </w:p>
    <w:p w:rsidR="00463CAD" w:rsidRPr="00DA082D" w:rsidRDefault="00463CAD" w:rsidP="00463CAD">
      <w:pPr>
        <w:pStyle w:val="Heading1"/>
        <w:spacing w:before="0" w:beforeAutospacing="0" w:after="0" w:afterAutospacing="0"/>
        <w:rPr>
          <w:b w:val="0"/>
          <w:bCs w:val="0"/>
          <w:sz w:val="22"/>
          <w:szCs w:val="22"/>
        </w:rPr>
      </w:pPr>
    </w:p>
    <w:p w:rsidR="00463CAD" w:rsidRPr="00587FAB" w:rsidRDefault="00463CAD" w:rsidP="00463CAD">
      <w:pPr>
        <w:rPr>
          <w:rFonts w:asciiTheme="majorBidi" w:hAnsiTheme="majorBidi" w:cstheme="majorBidi"/>
          <w:sz w:val="22"/>
          <w:szCs w:val="22"/>
        </w:rPr>
      </w:pPr>
    </w:p>
  </w:footnote>
  <w:footnote w:id="23">
    <w:p w:rsidR="001C131E" w:rsidRPr="00DA082D" w:rsidRDefault="001C131E" w:rsidP="001C131E">
      <w:pPr>
        <w:pStyle w:val="Heading1"/>
        <w:spacing w:before="0" w:beforeAutospacing="0" w:after="0" w:afterAutospacing="0"/>
        <w:rPr>
          <w:b w:val="0"/>
          <w:bCs w:val="0"/>
          <w:sz w:val="22"/>
          <w:szCs w:val="22"/>
        </w:rPr>
      </w:pPr>
      <w:r w:rsidRPr="00DA082D">
        <w:rPr>
          <w:rStyle w:val="FootnoteReference"/>
          <w:rFonts w:asciiTheme="majorBidi" w:hAnsiTheme="majorBidi"/>
          <w:b w:val="0"/>
          <w:bCs w:val="0"/>
          <w:sz w:val="22"/>
          <w:szCs w:val="22"/>
        </w:rPr>
        <w:footnoteRef/>
      </w:r>
      <w:r w:rsidRPr="00DA082D">
        <w:rPr>
          <w:rFonts w:asciiTheme="majorBidi" w:hAnsiTheme="majorBidi"/>
          <w:b w:val="0"/>
          <w:bCs w:val="0"/>
          <w:sz w:val="22"/>
          <w:szCs w:val="22"/>
        </w:rPr>
        <w:t xml:space="preserve"> </w:t>
      </w:r>
      <w:r w:rsidRPr="00DA082D">
        <w:rPr>
          <w:rFonts w:asciiTheme="majorBidi" w:hAnsiTheme="majorBidi"/>
          <w:b w:val="0"/>
          <w:bCs w:val="0"/>
          <w:i/>
          <w:iCs/>
          <w:sz w:val="22"/>
          <w:szCs w:val="22"/>
        </w:rPr>
        <w:t>See, e.g.</w:t>
      </w:r>
      <w:r w:rsidRPr="00DA082D">
        <w:rPr>
          <w:rFonts w:asciiTheme="majorBidi" w:hAnsiTheme="majorBidi"/>
          <w:b w:val="0"/>
          <w:bCs w:val="0"/>
          <w:sz w:val="22"/>
          <w:szCs w:val="22"/>
        </w:rPr>
        <w:t xml:space="preserve"> </w:t>
      </w:r>
      <w:r>
        <w:rPr>
          <w:rFonts w:asciiTheme="majorBidi" w:hAnsiTheme="majorBidi"/>
          <w:b w:val="0"/>
          <w:bCs w:val="0"/>
          <w:sz w:val="22"/>
          <w:szCs w:val="22"/>
        </w:rPr>
        <w:t>Kenneth H. Ryesky, "</w:t>
      </w:r>
      <w:r w:rsidRPr="00DA082D">
        <w:rPr>
          <w:b w:val="0"/>
          <w:bCs w:val="0"/>
          <w:sz w:val="22"/>
          <w:szCs w:val="22"/>
        </w:rPr>
        <w:t xml:space="preserve">In </w:t>
      </w:r>
      <w:r>
        <w:rPr>
          <w:b w:val="0"/>
          <w:bCs w:val="0"/>
          <w:sz w:val="22"/>
          <w:szCs w:val="22"/>
        </w:rPr>
        <w:t>D</w:t>
      </w:r>
      <w:r w:rsidRPr="00DA082D">
        <w:rPr>
          <w:b w:val="0"/>
          <w:bCs w:val="0"/>
          <w:sz w:val="22"/>
          <w:szCs w:val="22"/>
        </w:rPr>
        <w:t>efense of Trump's</w:t>
      </w:r>
      <w:r>
        <w:rPr>
          <w:b w:val="0"/>
          <w:bCs w:val="0"/>
          <w:sz w:val="22"/>
          <w:szCs w:val="22"/>
        </w:rPr>
        <w:t xml:space="preserve"> N</w:t>
      </w:r>
      <w:r w:rsidRPr="00DA082D">
        <w:rPr>
          <w:b w:val="0"/>
          <w:bCs w:val="0"/>
          <w:sz w:val="22"/>
          <w:szCs w:val="22"/>
        </w:rPr>
        <w:t>ondisclosure of his Tax Returns</w:t>
      </w:r>
      <w:r>
        <w:rPr>
          <w:b w:val="0"/>
          <w:bCs w:val="0"/>
          <w:sz w:val="22"/>
          <w:szCs w:val="22"/>
        </w:rPr>
        <w:t xml:space="preserve">," </w:t>
      </w:r>
      <w:r>
        <w:rPr>
          <w:b w:val="0"/>
          <w:bCs w:val="0"/>
          <w:i/>
          <w:iCs/>
          <w:sz w:val="22"/>
          <w:szCs w:val="22"/>
        </w:rPr>
        <w:t>American Thinker</w:t>
      </w:r>
      <w:r>
        <w:rPr>
          <w:b w:val="0"/>
          <w:bCs w:val="0"/>
          <w:sz w:val="22"/>
          <w:szCs w:val="22"/>
        </w:rPr>
        <w:t xml:space="preserve"> &lt;</w:t>
      </w:r>
      <w:hyperlink r:id="rId8" w:history="1">
        <w:r w:rsidRPr="00DA082D">
          <w:rPr>
            <w:rStyle w:val="Hyperlink"/>
            <w:b w:val="0"/>
            <w:bCs w:val="0"/>
            <w:sz w:val="22"/>
            <w:szCs w:val="22"/>
          </w:rPr>
          <w:t>http://www.americanthinker.com/blog/2016/11/in_defense_of_trumps_nondisclosure_of_his_tax_returns.html</w:t>
        </w:r>
      </w:hyperlink>
      <w:r>
        <w:rPr>
          <w:b w:val="0"/>
          <w:bCs w:val="0"/>
          <w:sz w:val="22"/>
          <w:szCs w:val="22"/>
        </w:rPr>
        <w:t>&gt; (3 November 2016)</w:t>
      </w:r>
    </w:p>
    <w:p w:rsidR="001C131E" w:rsidRPr="00587FAB" w:rsidRDefault="001C131E" w:rsidP="001C131E">
      <w:pPr>
        <w:rPr>
          <w:rFonts w:asciiTheme="majorBidi" w:hAnsiTheme="majorBidi" w:cstheme="majorBidi"/>
          <w:sz w:val="22"/>
          <w:szCs w:val="22"/>
        </w:rPr>
      </w:pPr>
    </w:p>
  </w:footnote>
  <w:footnote w:id="24">
    <w:p w:rsidR="0005783D" w:rsidRPr="00587FAB" w:rsidRDefault="0005783D" w:rsidP="007B7705">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sidR="00974331">
        <w:rPr>
          <w:rFonts w:asciiTheme="majorBidi" w:hAnsiTheme="majorBidi"/>
          <w:b w:val="0"/>
          <w:bCs w:val="0"/>
          <w:color w:val="auto"/>
          <w:sz w:val="22"/>
          <w:szCs w:val="22"/>
        </w:rPr>
        <w:t xml:space="preserve">IRC §6103.  When copied onto A4 size paper in Times Roman 12-point font, the statute </w:t>
      </w:r>
      <w:r w:rsidR="007B7705">
        <w:rPr>
          <w:rFonts w:asciiTheme="majorBidi" w:hAnsiTheme="majorBidi"/>
          <w:b w:val="0"/>
          <w:bCs w:val="0"/>
          <w:color w:val="auto"/>
          <w:sz w:val="22"/>
          <w:szCs w:val="22"/>
        </w:rPr>
        <w:t>consume</w:t>
      </w:r>
      <w:r w:rsidR="00974331">
        <w:rPr>
          <w:rFonts w:asciiTheme="majorBidi" w:hAnsiTheme="majorBidi"/>
          <w:b w:val="0"/>
          <w:bCs w:val="0"/>
          <w:color w:val="auto"/>
          <w:sz w:val="22"/>
          <w:szCs w:val="22"/>
        </w:rPr>
        <w:t xml:space="preserve">s 40 </w:t>
      </w:r>
      <w:r w:rsidR="001A6F68">
        <w:rPr>
          <w:rFonts w:asciiTheme="majorBidi" w:hAnsiTheme="majorBidi"/>
          <w:b w:val="0"/>
          <w:bCs w:val="0"/>
          <w:color w:val="auto"/>
          <w:sz w:val="22"/>
          <w:szCs w:val="22"/>
        </w:rPr>
        <w:t xml:space="preserve">printed </w:t>
      </w:r>
      <w:r w:rsidR="00974331">
        <w:rPr>
          <w:rFonts w:asciiTheme="majorBidi" w:hAnsiTheme="majorBidi"/>
          <w:b w:val="0"/>
          <w:bCs w:val="0"/>
          <w:color w:val="auto"/>
          <w:sz w:val="22"/>
          <w:szCs w:val="22"/>
        </w:rPr>
        <w:t>pages.  The word count is approximately 20,000 words.</w:t>
      </w:r>
      <w:r w:rsidR="00824FEF">
        <w:rPr>
          <w:rFonts w:asciiTheme="majorBidi" w:hAnsiTheme="majorBidi"/>
          <w:b w:val="0"/>
          <w:bCs w:val="0"/>
          <w:color w:val="auto"/>
          <w:sz w:val="22"/>
          <w:szCs w:val="22"/>
        </w:rPr>
        <w:t xml:space="preserve">  The statute is implemented with numerous supporting Treasury Regulations, Revenue Rulings, and Executive Orders of varying degrees of verbosity.</w:t>
      </w:r>
    </w:p>
    <w:p w:rsidR="0005783D" w:rsidRPr="00587FAB" w:rsidRDefault="0005783D" w:rsidP="00DA082D">
      <w:pPr>
        <w:rPr>
          <w:rFonts w:asciiTheme="majorBidi" w:hAnsiTheme="majorBidi" w:cstheme="majorBidi"/>
          <w:sz w:val="22"/>
          <w:szCs w:val="22"/>
        </w:rPr>
      </w:pPr>
    </w:p>
  </w:footnote>
  <w:footnote w:id="25">
    <w:p w:rsidR="00A64043" w:rsidRPr="00ED4C8A" w:rsidRDefault="00A64043" w:rsidP="00A64043">
      <w:pPr>
        <w:tabs>
          <w:tab w:val="left" w:pos="1215"/>
        </w:tabs>
        <w:rPr>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ED4C8A">
        <w:rPr>
          <w:sz w:val="22"/>
          <w:szCs w:val="22"/>
        </w:rPr>
        <w:t xml:space="preserve">Treas. Reg. </w:t>
      </w:r>
      <w:r w:rsidRPr="00ED4C8A">
        <w:rPr>
          <w:rStyle w:val="verdana"/>
          <w:sz w:val="22"/>
          <w:szCs w:val="22"/>
        </w:rPr>
        <w:t>§ 301.6103(n)-2(</w:t>
      </w:r>
      <w:r>
        <w:rPr>
          <w:rStyle w:val="verdana"/>
          <w:sz w:val="22"/>
          <w:szCs w:val="22"/>
        </w:rPr>
        <w:t>b)</w:t>
      </w:r>
      <w:r w:rsidRPr="00ED4C8A">
        <w:rPr>
          <w:rStyle w:val="verdana"/>
          <w:sz w:val="22"/>
          <w:szCs w:val="22"/>
        </w:rPr>
        <w:t xml:space="preserve">(4). </w:t>
      </w:r>
    </w:p>
    <w:p w:rsidR="00A64043" w:rsidRPr="00ED4C8A" w:rsidRDefault="00A64043" w:rsidP="00A64043">
      <w:pPr>
        <w:rPr>
          <w:rFonts w:asciiTheme="majorBidi" w:hAnsiTheme="majorBidi" w:cstheme="majorBidi"/>
          <w:sz w:val="22"/>
          <w:szCs w:val="22"/>
        </w:rPr>
      </w:pPr>
    </w:p>
  </w:footnote>
  <w:footnote w:id="26">
    <w:p w:rsidR="00A64043" w:rsidRPr="00ED4C8A" w:rsidRDefault="00A64043" w:rsidP="00A64043">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ED4C8A">
        <w:rPr>
          <w:rFonts w:asciiTheme="majorBidi" w:hAnsiTheme="majorBidi"/>
          <w:b w:val="0"/>
          <w:bCs w:val="0"/>
          <w:color w:val="auto"/>
          <w:sz w:val="22"/>
          <w:szCs w:val="22"/>
        </w:rPr>
        <w:t xml:space="preserve"> </w:t>
      </w:r>
      <w:r w:rsidRPr="00ED4C8A">
        <w:rPr>
          <w:b w:val="0"/>
          <w:bCs w:val="0"/>
          <w:color w:val="auto"/>
          <w:sz w:val="22"/>
          <w:szCs w:val="22"/>
        </w:rPr>
        <w:t xml:space="preserve">Treas. Reg. </w:t>
      </w:r>
      <w:r w:rsidRPr="00ED4C8A">
        <w:rPr>
          <w:rStyle w:val="verdana"/>
          <w:b w:val="0"/>
          <w:bCs w:val="0"/>
          <w:color w:val="auto"/>
          <w:sz w:val="22"/>
          <w:szCs w:val="22"/>
        </w:rPr>
        <w:t>§ 301.6103(n)-2</w:t>
      </w:r>
      <w:r>
        <w:rPr>
          <w:rStyle w:val="verdana"/>
          <w:b w:val="0"/>
          <w:bCs w:val="0"/>
          <w:color w:val="auto"/>
          <w:sz w:val="22"/>
          <w:szCs w:val="22"/>
        </w:rPr>
        <w:t xml:space="preserve"> (c).</w:t>
      </w:r>
    </w:p>
    <w:p w:rsidR="00A64043" w:rsidRPr="00ED4C8A" w:rsidRDefault="00A64043" w:rsidP="00A64043">
      <w:pPr>
        <w:rPr>
          <w:rFonts w:asciiTheme="majorBidi" w:hAnsiTheme="majorBidi" w:cstheme="majorBidi"/>
          <w:sz w:val="22"/>
          <w:szCs w:val="22"/>
        </w:rPr>
      </w:pPr>
    </w:p>
  </w:footnote>
  <w:footnote w:id="27">
    <w:p w:rsidR="00A64043" w:rsidRPr="00ED4C8A" w:rsidRDefault="00A64043" w:rsidP="00A64043">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ED4C8A">
        <w:rPr>
          <w:rFonts w:asciiTheme="majorBidi" w:hAnsiTheme="majorBidi"/>
          <w:b w:val="0"/>
          <w:bCs w:val="0"/>
          <w:color w:val="auto"/>
          <w:sz w:val="22"/>
          <w:szCs w:val="22"/>
        </w:rPr>
        <w:t xml:space="preserve"> </w:t>
      </w:r>
      <w:r w:rsidRPr="00ED4C8A">
        <w:rPr>
          <w:b w:val="0"/>
          <w:bCs w:val="0"/>
          <w:color w:val="auto"/>
          <w:sz w:val="22"/>
          <w:szCs w:val="22"/>
        </w:rPr>
        <w:t xml:space="preserve">Treas. Reg. </w:t>
      </w:r>
      <w:r w:rsidRPr="00ED4C8A">
        <w:rPr>
          <w:rStyle w:val="verdana"/>
          <w:b w:val="0"/>
          <w:bCs w:val="0"/>
          <w:color w:val="auto"/>
          <w:sz w:val="22"/>
          <w:szCs w:val="22"/>
        </w:rPr>
        <w:t>§ 301.6103(n)-2</w:t>
      </w:r>
      <w:r>
        <w:rPr>
          <w:rStyle w:val="verdana"/>
          <w:b w:val="0"/>
          <w:bCs w:val="0"/>
          <w:color w:val="auto"/>
          <w:sz w:val="22"/>
          <w:szCs w:val="22"/>
        </w:rPr>
        <w:t xml:space="preserve"> (d).</w:t>
      </w:r>
    </w:p>
    <w:p w:rsidR="00A64043" w:rsidRPr="00ED4C8A" w:rsidRDefault="00A64043" w:rsidP="00A64043">
      <w:pPr>
        <w:rPr>
          <w:rFonts w:asciiTheme="majorBidi" w:hAnsiTheme="majorBidi" w:cstheme="majorBidi"/>
          <w:sz w:val="22"/>
          <w:szCs w:val="22"/>
        </w:rPr>
      </w:pPr>
    </w:p>
  </w:footnote>
  <w:footnote w:id="28">
    <w:p w:rsidR="00317CCC" w:rsidRPr="00144E7F" w:rsidRDefault="00317CCC" w:rsidP="00317CCC">
      <w:pPr>
        <w:tabs>
          <w:tab w:val="left" w:pos="1215"/>
        </w:tabs>
        <w:rPr>
          <w:rFonts w:asciiTheme="majorBidi" w:hAnsiTheme="majorBidi" w:cstheme="majorBidi"/>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144E7F">
        <w:rPr>
          <w:rFonts w:asciiTheme="majorBidi" w:hAnsiTheme="majorBidi" w:cstheme="majorBidi"/>
          <w:i/>
          <w:iCs/>
          <w:sz w:val="22"/>
          <w:szCs w:val="22"/>
        </w:rPr>
        <w:t>See, e.g.</w:t>
      </w:r>
      <w:r w:rsidRPr="00144E7F">
        <w:rPr>
          <w:rFonts w:asciiTheme="majorBidi" w:hAnsiTheme="majorBidi" w:cstheme="majorBidi"/>
          <w:sz w:val="22"/>
          <w:szCs w:val="22"/>
        </w:rPr>
        <w:t xml:space="preserve">, </w:t>
      </w:r>
      <w:r w:rsidRPr="00144E7F">
        <w:rPr>
          <w:rFonts w:asciiTheme="majorBidi" w:eastAsiaTheme="minorHAnsi" w:hAnsiTheme="majorBidi" w:cstheme="majorBidi"/>
          <w:sz w:val="22"/>
          <w:szCs w:val="22"/>
          <w:lang w:bidi="he-IL"/>
        </w:rPr>
        <w:t>IRS Whistleblower Program</w:t>
      </w:r>
      <w:r>
        <w:rPr>
          <w:rFonts w:asciiTheme="majorBidi" w:eastAsiaTheme="minorHAnsi" w:hAnsiTheme="majorBidi" w:cstheme="majorBidi"/>
          <w:sz w:val="22"/>
          <w:szCs w:val="22"/>
          <w:lang w:bidi="he-IL"/>
        </w:rPr>
        <w:t xml:space="preserve">,  </w:t>
      </w:r>
      <w:r w:rsidRPr="00144E7F">
        <w:rPr>
          <w:rFonts w:asciiTheme="majorBidi" w:eastAsiaTheme="minorHAnsi" w:hAnsiTheme="majorBidi" w:cstheme="majorBidi"/>
          <w:sz w:val="22"/>
          <w:szCs w:val="22"/>
          <w:lang w:bidi="he-IL"/>
        </w:rPr>
        <w:t>Fiscal Year 2016 Annual Report to the Congress</w:t>
      </w:r>
      <w:r>
        <w:rPr>
          <w:rFonts w:asciiTheme="majorBidi" w:eastAsiaTheme="minorHAnsi" w:hAnsiTheme="majorBidi" w:cstheme="majorBidi"/>
          <w:sz w:val="22"/>
          <w:szCs w:val="22"/>
          <w:lang w:bidi="he-IL"/>
        </w:rPr>
        <w:t>, p. 9 &lt;</w:t>
      </w:r>
      <w:hyperlink r:id="rId9" w:history="1">
        <w:r w:rsidRPr="00144E7F">
          <w:rPr>
            <w:rStyle w:val="Hyperlink"/>
            <w:rFonts w:asciiTheme="majorBidi" w:eastAsiaTheme="minorHAnsi" w:hAnsiTheme="majorBidi" w:cstheme="majorBidi"/>
            <w:sz w:val="22"/>
            <w:szCs w:val="22"/>
            <w:lang w:bidi="he-IL"/>
          </w:rPr>
          <w:t>https://www.irs.gov/pub/whistleblower/fy16_wo_annual_report_final.pdf</w:t>
        </w:r>
      </w:hyperlink>
      <w:r>
        <w:rPr>
          <w:rFonts w:asciiTheme="majorBidi" w:eastAsiaTheme="minorHAnsi" w:hAnsiTheme="majorBidi" w:cstheme="majorBidi"/>
          <w:sz w:val="22"/>
          <w:szCs w:val="22"/>
          <w:lang w:bidi="he-IL"/>
        </w:rPr>
        <w:t>&gt;.</w:t>
      </w:r>
    </w:p>
    <w:p w:rsidR="00317CCC" w:rsidRPr="00587FAB" w:rsidRDefault="00317CCC" w:rsidP="00317CCC">
      <w:pPr>
        <w:rPr>
          <w:rFonts w:asciiTheme="majorBidi" w:hAnsiTheme="majorBidi" w:cstheme="majorBidi"/>
          <w:sz w:val="22"/>
          <w:szCs w:val="22"/>
        </w:rPr>
      </w:pPr>
    </w:p>
  </w:footnote>
  <w:footnote w:id="29">
    <w:p w:rsidR="00C60493" w:rsidRPr="00AF1115" w:rsidRDefault="00C60493" w:rsidP="00C60493">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sidRPr="00AF1115">
        <w:rPr>
          <w:rFonts w:asciiTheme="majorBidi" w:hAnsiTheme="majorBidi"/>
          <w:b w:val="0"/>
          <w:bCs w:val="0"/>
          <w:i/>
          <w:iCs/>
          <w:color w:val="auto"/>
          <w:sz w:val="22"/>
          <w:szCs w:val="22"/>
        </w:rPr>
        <w:t xml:space="preserve">E.g., </w:t>
      </w:r>
      <w:r w:rsidRPr="00AF1115">
        <w:rPr>
          <w:rFonts w:asciiTheme="majorBidi" w:hAnsiTheme="majorBidi"/>
          <w:b w:val="0"/>
          <w:bCs w:val="0"/>
          <w:color w:val="auto"/>
          <w:sz w:val="22"/>
          <w:szCs w:val="22"/>
        </w:rPr>
        <w:t xml:space="preserve">Sands v. Murphy, </w:t>
      </w:r>
      <w:r w:rsidRPr="00AF1115">
        <w:rPr>
          <w:rStyle w:val="verdana"/>
          <w:rFonts w:asciiTheme="majorBidi" w:hAnsiTheme="majorBidi"/>
          <w:b w:val="0"/>
          <w:bCs w:val="0"/>
          <w:color w:val="auto"/>
          <w:sz w:val="22"/>
          <w:szCs w:val="22"/>
        </w:rPr>
        <w:t>633 F.2d 968 (1st Cir. 1980)</w:t>
      </w:r>
      <w:r>
        <w:rPr>
          <w:rStyle w:val="verdana"/>
          <w:rFonts w:asciiTheme="majorBidi" w:hAnsiTheme="majorBidi"/>
          <w:b w:val="0"/>
          <w:bCs w:val="0"/>
          <w:color w:val="auto"/>
          <w:sz w:val="22"/>
          <w:szCs w:val="22"/>
        </w:rPr>
        <w:t>.</w:t>
      </w:r>
    </w:p>
    <w:p w:rsidR="00C60493" w:rsidRPr="00DA082D" w:rsidRDefault="00C60493" w:rsidP="00C60493">
      <w:pPr>
        <w:rPr>
          <w:rFonts w:asciiTheme="majorBidi" w:hAnsiTheme="majorBidi" w:cstheme="majorBidi"/>
          <w:sz w:val="22"/>
          <w:szCs w:val="22"/>
        </w:rPr>
      </w:pPr>
    </w:p>
  </w:footnote>
  <w:footnote w:id="30">
    <w:p w:rsidR="00E103A3" w:rsidRPr="00144E7F" w:rsidRDefault="00E103A3" w:rsidP="00E103A3">
      <w:pPr>
        <w:tabs>
          <w:tab w:val="left" w:pos="1215"/>
        </w:tabs>
        <w:rPr>
          <w:rFonts w:asciiTheme="majorBidi" w:hAnsiTheme="majorBidi" w:cstheme="majorBidi"/>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144E7F">
        <w:rPr>
          <w:rFonts w:asciiTheme="majorBidi" w:hAnsiTheme="majorBidi" w:cstheme="majorBidi"/>
          <w:i/>
          <w:iCs/>
          <w:sz w:val="22"/>
          <w:szCs w:val="22"/>
        </w:rPr>
        <w:t>See, e.g.</w:t>
      </w:r>
      <w:r w:rsidRPr="00144E7F">
        <w:rPr>
          <w:rFonts w:asciiTheme="majorBidi" w:hAnsiTheme="majorBidi" w:cstheme="majorBidi"/>
          <w:sz w:val="22"/>
          <w:szCs w:val="22"/>
        </w:rPr>
        <w:t xml:space="preserve">, </w:t>
      </w:r>
      <w:r w:rsidRPr="00144E7F">
        <w:rPr>
          <w:rFonts w:asciiTheme="majorBidi" w:eastAsiaTheme="minorHAnsi" w:hAnsiTheme="majorBidi" w:cstheme="majorBidi"/>
          <w:sz w:val="22"/>
          <w:szCs w:val="22"/>
          <w:lang w:bidi="he-IL"/>
        </w:rPr>
        <w:t>IRS Whistleblower Program</w:t>
      </w:r>
      <w:r w:rsidR="008F1595">
        <w:rPr>
          <w:rFonts w:asciiTheme="majorBidi" w:eastAsiaTheme="minorHAnsi" w:hAnsiTheme="majorBidi" w:cstheme="majorBidi"/>
          <w:sz w:val="22"/>
          <w:szCs w:val="22"/>
          <w:lang w:bidi="he-IL"/>
        </w:rPr>
        <w:t xml:space="preserve">, </w:t>
      </w:r>
      <w:r w:rsidRPr="00144E7F">
        <w:rPr>
          <w:rFonts w:asciiTheme="majorBidi" w:eastAsiaTheme="minorHAnsi" w:hAnsiTheme="majorBidi" w:cstheme="majorBidi"/>
          <w:sz w:val="22"/>
          <w:szCs w:val="22"/>
          <w:lang w:bidi="he-IL"/>
        </w:rPr>
        <w:t>Fiscal Year 2016 Annual Report to the Congress</w:t>
      </w:r>
      <w:r>
        <w:rPr>
          <w:rFonts w:asciiTheme="majorBidi" w:eastAsiaTheme="minorHAnsi" w:hAnsiTheme="majorBidi" w:cstheme="majorBidi"/>
          <w:sz w:val="22"/>
          <w:szCs w:val="22"/>
          <w:lang w:bidi="he-IL"/>
        </w:rPr>
        <w:t>, p. 9 &lt;</w:t>
      </w:r>
      <w:hyperlink r:id="rId10" w:history="1">
        <w:r w:rsidRPr="00144E7F">
          <w:rPr>
            <w:rStyle w:val="Hyperlink"/>
            <w:rFonts w:asciiTheme="majorBidi" w:eastAsiaTheme="minorHAnsi" w:hAnsiTheme="majorBidi" w:cstheme="majorBidi"/>
            <w:sz w:val="22"/>
            <w:szCs w:val="22"/>
            <w:lang w:bidi="he-IL"/>
          </w:rPr>
          <w:t>https://www.irs.gov/pub/whistleblower/fy16_wo_annual_report_final.pdf</w:t>
        </w:r>
      </w:hyperlink>
      <w:r>
        <w:rPr>
          <w:rFonts w:asciiTheme="majorBidi" w:eastAsiaTheme="minorHAnsi" w:hAnsiTheme="majorBidi" w:cstheme="majorBidi"/>
          <w:sz w:val="22"/>
          <w:szCs w:val="22"/>
          <w:lang w:bidi="he-IL"/>
        </w:rPr>
        <w:t>&gt;.</w:t>
      </w:r>
    </w:p>
    <w:p w:rsidR="00E103A3" w:rsidRPr="00587FAB" w:rsidRDefault="00E103A3" w:rsidP="00E103A3">
      <w:pPr>
        <w:rPr>
          <w:rFonts w:asciiTheme="majorBidi" w:hAnsiTheme="majorBidi" w:cstheme="majorBidi"/>
          <w:sz w:val="22"/>
          <w:szCs w:val="22"/>
        </w:rPr>
      </w:pPr>
    </w:p>
  </w:footnote>
  <w:footnote w:id="31">
    <w:p w:rsidR="002E15C6" w:rsidRPr="002E15C6" w:rsidRDefault="002E15C6" w:rsidP="00F551CF">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2E15C6">
        <w:rPr>
          <w:rFonts w:asciiTheme="majorBidi" w:hAnsiTheme="majorBidi"/>
          <w:b w:val="0"/>
          <w:bCs w:val="0"/>
          <w:color w:val="auto"/>
          <w:sz w:val="22"/>
          <w:szCs w:val="22"/>
        </w:rPr>
        <w:t xml:space="preserve"> </w:t>
      </w:r>
      <w:r w:rsidRPr="002E15C6">
        <w:rPr>
          <w:rStyle w:val="tgc"/>
          <w:b w:val="0"/>
          <w:bCs w:val="0"/>
          <w:color w:val="auto"/>
          <w:sz w:val="22"/>
          <w:szCs w:val="22"/>
        </w:rPr>
        <w:t>31 U.S.C. §§ 3729–3733</w:t>
      </w:r>
      <w:r>
        <w:rPr>
          <w:rStyle w:val="tgc"/>
          <w:b w:val="0"/>
          <w:bCs w:val="0"/>
          <w:color w:val="auto"/>
          <w:sz w:val="22"/>
          <w:szCs w:val="22"/>
        </w:rPr>
        <w:t>.</w:t>
      </w:r>
    </w:p>
    <w:p w:rsidR="002E15C6" w:rsidRPr="002E15C6" w:rsidRDefault="002E15C6" w:rsidP="00F551CF">
      <w:pPr>
        <w:rPr>
          <w:rFonts w:asciiTheme="majorBidi" w:hAnsiTheme="majorBidi" w:cstheme="majorBidi"/>
          <w:sz w:val="22"/>
          <w:szCs w:val="22"/>
        </w:rPr>
      </w:pPr>
    </w:p>
  </w:footnote>
  <w:footnote w:id="32">
    <w:p w:rsidR="008F1595" w:rsidRPr="005D7F49" w:rsidRDefault="008F1595" w:rsidP="008F1595">
      <w:pPr>
        <w:rPr>
          <w:rFonts w:asciiTheme="majorBidi" w:hAnsiTheme="majorBidi" w:cstheme="majorBidi"/>
          <w:sz w:val="22"/>
          <w:szCs w:val="22"/>
        </w:rPr>
      </w:pPr>
      <w:r w:rsidRPr="007629A5">
        <w:rPr>
          <w:rStyle w:val="FootnoteReference"/>
          <w:rFonts w:asciiTheme="majorBidi" w:hAnsiTheme="majorBidi"/>
          <w:sz w:val="22"/>
          <w:szCs w:val="22"/>
        </w:rPr>
        <w:footnoteRef/>
      </w:r>
      <w:r w:rsidRPr="002E15C6">
        <w:rPr>
          <w:rFonts w:asciiTheme="majorBidi" w:hAnsiTheme="majorBidi"/>
          <w:sz w:val="22"/>
          <w:szCs w:val="22"/>
        </w:rPr>
        <w:t xml:space="preserve"> </w:t>
      </w:r>
      <w:r>
        <w:rPr>
          <w:rFonts w:asciiTheme="majorBidi" w:hAnsiTheme="majorBidi" w:cstheme="majorBidi"/>
          <w:i/>
          <w:iCs/>
          <w:sz w:val="22"/>
          <w:szCs w:val="22"/>
        </w:rPr>
        <w:t>See, e.g.</w:t>
      </w:r>
      <w:r>
        <w:rPr>
          <w:rFonts w:asciiTheme="majorBidi" w:hAnsiTheme="majorBidi" w:cstheme="majorBidi"/>
          <w:sz w:val="22"/>
          <w:szCs w:val="22"/>
        </w:rPr>
        <w:t xml:space="preserve"> </w:t>
      </w:r>
      <w:r w:rsidRPr="005D7F49">
        <w:rPr>
          <w:rFonts w:asciiTheme="majorBidi" w:hAnsiTheme="majorBidi" w:cstheme="majorBidi"/>
          <w:sz w:val="22"/>
          <w:szCs w:val="22"/>
        </w:rPr>
        <w:t xml:space="preserve">Insinga v. Commissioner, </w:t>
      </w:r>
      <w:r w:rsidRPr="005D7F49">
        <w:rPr>
          <w:rFonts w:asciiTheme="majorBidi" w:hAnsiTheme="majorBidi" w:cstheme="majorBidi"/>
          <w:sz w:val="22"/>
          <w:szCs w:val="22"/>
          <w:lang w:bidi="he-IL"/>
        </w:rPr>
        <w:t>Docket No. 9011-13W, Order (27 January 2017)</w:t>
      </w:r>
      <w:r>
        <w:rPr>
          <w:rFonts w:asciiTheme="majorBidi" w:hAnsiTheme="majorBidi" w:cstheme="majorBidi"/>
          <w:sz w:val="22"/>
          <w:szCs w:val="22"/>
          <w:lang w:bidi="he-IL"/>
        </w:rPr>
        <w:t xml:space="preserve"> &lt;</w:t>
      </w:r>
      <w:hyperlink r:id="rId11" w:tgtFrame="_blank" w:history="1">
        <w:r>
          <w:rPr>
            <w:rStyle w:val="Hyperlink"/>
          </w:rPr>
          <w:t>https://ustaxcourt.gov/UstcDockInq/DocumentViewer.aspx?IndexID=7034535</w:t>
        </w:r>
      </w:hyperlink>
      <w:r>
        <w:t>&gt;.</w:t>
      </w:r>
    </w:p>
    <w:p w:rsidR="008F1595" w:rsidRPr="002E15C6" w:rsidRDefault="008F1595" w:rsidP="008F1595">
      <w:pPr>
        <w:pStyle w:val="Heading3"/>
        <w:spacing w:before="0"/>
        <w:rPr>
          <w:rFonts w:asciiTheme="majorBidi" w:hAnsiTheme="majorBidi"/>
          <w:b w:val="0"/>
          <w:bCs w:val="0"/>
          <w:color w:val="auto"/>
          <w:sz w:val="22"/>
          <w:szCs w:val="22"/>
        </w:rPr>
      </w:pPr>
    </w:p>
    <w:p w:rsidR="008F1595" w:rsidRPr="002E15C6" w:rsidRDefault="008F1595" w:rsidP="008F1595">
      <w:pPr>
        <w:rPr>
          <w:rFonts w:asciiTheme="majorBidi" w:hAnsiTheme="majorBidi" w:cstheme="majorBidi"/>
          <w:sz w:val="22"/>
          <w:szCs w:val="22"/>
        </w:rPr>
      </w:pPr>
    </w:p>
  </w:footnote>
  <w:footnote w:id="33">
    <w:p w:rsidR="007C3987" w:rsidRPr="004E4CEF" w:rsidRDefault="007C3987" w:rsidP="004E4CEF">
      <w:pPr>
        <w:autoSpaceDE w:val="0"/>
        <w:autoSpaceDN w:val="0"/>
        <w:adjustRightInd w:val="0"/>
        <w:rPr>
          <w:sz w:val="20"/>
          <w:lang w:bidi="he-IL"/>
        </w:rPr>
      </w:pPr>
      <w:r w:rsidRPr="007629A5">
        <w:rPr>
          <w:rStyle w:val="FootnoteReference"/>
          <w:rFonts w:asciiTheme="majorBidi" w:hAnsiTheme="majorBidi"/>
          <w:sz w:val="22"/>
          <w:szCs w:val="22"/>
        </w:rPr>
        <w:footnoteRef/>
      </w:r>
      <w:r w:rsidRPr="004E4CEF">
        <w:rPr>
          <w:rFonts w:asciiTheme="majorBidi" w:hAnsiTheme="majorBidi"/>
          <w:sz w:val="22"/>
          <w:szCs w:val="22"/>
        </w:rPr>
        <w:t xml:space="preserve"> </w:t>
      </w:r>
      <w:r w:rsidRPr="004E4CEF">
        <w:rPr>
          <w:i/>
          <w:iCs/>
          <w:sz w:val="22"/>
          <w:szCs w:val="22"/>
          <w:lang w:bidi="he-IL"/>
        </w:rPr>
        <w:t>See, e.g.</w:t>
      </w:r>
      <w:r w:rsidRPr="004E4CEF">
        <w:rPr>
          <w:sz w:val="22"/>
          <w:szCs w:val="22"/>
          <w:lang w:bidi="he-IL"/>
        </w:rPr>
        <w:t xml:space="preserve"> Practitioners Hope Whistleblower Result Spurs IRS Attitude, 2017 TNT 21-6, Doc 2017-1600 (1 February 2017).</w:t>
      </w:r>
    </w:p>
    <w:p w:rsidR="007C3987" w:rsidRPr="00587FAB" w:rsidRDefault="007C3987" w:rsidP="007C3987">
      <w:pPr>
        <w:rPr>
          <w:rFonts w:asciiTheme="majorBidi" w:hAnsiTheme="majorBidi" w:cstheme="majorBidi"/>
          <w:sz w:val="22"/>
          <w:szCs w:val="22"/>
        </w:rPr>
      </w:pPr>
    </w:p>
  </w:footnote>
  <w:footnote w:id="34">
    <w:p w:rsidR="00DE1A75" w:rsidRPr="00281C40" w:rsidRDefault="00DE1A75" w:rsidP="00F551CF">
      <w:pPr>
        <w:pStyle w:val="Heading1"/>
        <w:spacing w:before="0" w:beforeAutospacing="0" w:after="0" w:afterAutospacing="0"/>
        <w:rPr>
          <w:rFonts w:asciiTheme="majorBidi" w:hAnsiTheme="majorBidi"/>
          <w:b w:val="0"/>
          <w:bCs w:val="0"/>
          <w:sz w:val="22"/>
          <w:szCs w:val="22"/>
        </w:rPr>
      </w:pPr>
      <w:r w:rsidRPr="007629A5">
        <w:rPr>
          <w:rStyle w:val="FootnoteReference"/>
          <w:rFonts w:asciiTheme="majorBidi" w:hAnsiTheme="majorBidi"/>
          <w:b w:val="0"/>
          <w:bCs w:val="0"/>
          <w:sz w:val="22"/>
          <w:szCs w:val="22"/>
        </w:rPr>
        <w:footnoteRef/>
      </w:r>
      <w:r w:rsidRPr="00587FAB">
        <w:rPr>
          <w:rFonts w:asciiTheme="majorBidi" w:hAnsiTheme="majorBidi"/>
          <w:b w:val="0"/>
          <w:bCs w:val="0"/>
          <w:sz w:val="22"/>
          <w:szCs w:val="22"/>
        </w:rPr>
        <w:t xml:space="preserve"> </w:t>
      </w:r>
      <w:r w:rsidRPr="00281C40">
        <w:rPr>
          <w:rFonts w:asciiTheme="majorBidi" w:hAnsiTheme="majorBidi"/>
          <w:b w:val="0"/>
          <w:bCs w:val="0"/>
          <w:sz w:val="22"/>
          <w:szCs w:val="22"/>
        </w:rPr>
        <w:t xml:space="preserve"> </w:t>
      </w:r>
      <w:r w:rsidRPr="00281C40">
        <w:rPr>
          <w:rFonts w:asciiTheme="majorBidi" w:hAnsiTheme="majorBidi"/>
          <w:b w:val="0"/>
          <w:bCs w:val="0"/>
          <w:i/>
          <w:iCs/>
          <w:sz w:val="22"/>
          <w:szCs w:val="22"/>
        </w:rPr>
        <w:t>E.g.</w:t>
      </w:r>
      <w:r w:rsidRPr="00281C40">
        <w:rPr>
          <w:rFonts w:asciiTheme="majorBidi" w:hAnsiTheme="majorBidi"/>
          <w:b w:val="0"/>
          <w:bCs w:val="0"/>
          <w:sz w:val="22"/>
          <w:szCs w:val="22"/>
        </w:rPr>
        <w:t xml:space="preserve"> </w:t>
      </w:r>
      <w:r w:rsidRPr="00281C40">
        <w:rPr>
          <w:rFonts w:asciiTheme="majorBidi" w:hAnsiTheme="majorBidi" w:cstheme="majorBidi"/>
          <w:b w:val="0"/>
          <w:bCs w:val="0"/>
          <w:sz w:val="22"/>
          <w:szCs w:val="22"/>
        </w:rPr>
        <w:t>28 U.S. Code § 1332(a)</w:t>
      </w:r>
      <w:r w:rsidRPr="00281C40">
        <w:rPr>
          <w:rFonts w:asciiTheme="majorBidi" w:hAnsiTheme="majorBidi"/>
          <w:b w:val="0"/>
          <w:bCs w:val="0"/>
          <w:sz w:val="22"/>
          <w:szCs w:val="22"/>
        </w:rPr>
        <w:t xml:space="preserve"> requires that the amount in controversy exceed $75,000 for a federal district court to have jurisdiction to entertain the case on the basis of diversity jurisdiction.</w:t>
      </w:r>
    </w:p>
    <w:p w:rsidR="00DE1A75" w:rsidRPr="00587FAB" w:rsidRDefault="00DE1A75" w:rsidP="00F551CF">
      <w:pPr>
        <w:rPr>
          <w:rFonts w:asciiTheme="majorBidi" w:hAnsiTheme="majorBidi" w:cstheme="majorBidi"/>
          <w:sz w:val="22"/>
          <w:szCs w:val="22"/>
        </w:rPr>
      </w:pPr>
    </w:p>
  </w:footnote>
  <w:footnote w:id="35">
    <w:p w:rsidR="00DE1A75" w:rsidRPr="00281C40" w:rsidRDefault="00DE1A75" w:rsidP="00F551CF">
      <w:pPr>
        <w:rPr>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281C40">
        <w:rPr>
          <w:rFonts w:asciiTheme="majorBidi" w:hAnsiTheme="majorBidi"/>
          <w:b/>
          <w:bCs/>
          <w:sz w:val="22"/>
          <w:szCs w:val="22"/>
        </w:rPr>
        <w:t xml:space="preserve"> </w:t>
      </w:r>
      <w:r w:rsidRPr="00281C40">
        <w:rPr>
          <w:sz w:val="22"/>
          <w:szCs w:val="22"/>
        </w:rPr>
        <w:t xml:space="preserve">IRC </w:t>
      </w:r>
      <w:r w:rsidRPr="00281C40">
        <w:rPr>
          <w:rFonts w:asciiTheme="majorBidi" w:hAnsiTheme="majorBidi" w:cstheme="majorBidi"/>
          <w:sz w:val="22"/>
          <w:szCs w:val="22"/>
        </w:rPr>
        <w:t>§ 7442 sets $50,000 as the upper limit for U.S. Tax Court Small Tax cases.</w:t>
      </w:r>
    </w:p>
    <w:p w:rsidR="00DE1A75" w:rsidRPr="00281C40" w:rsidRDefault="00DE1A75" w:rsidP="00F551CF">
      <w:pPr>
        <w:rPr>
          <w:rFonts w:asciiTheme="majorBidi" w:hAnsiTheme="majorBidi" w:cstheme="majorBidi"/>
          <w:sz w:val="22"/>
          <w:szCs w:val="22"/>
        </w:rPr>
      </w:pPr>
    </w:p>
  </w:footnote>
  <w:footnote w:id="36">
    <w:p w:rsidR="00DE1A75" w:rsidRPr="00281C40" w:rsidRDefault="00DE1A75" w:rsidP="00F551CF">
      <w:pPr>
        <w:rPr>
          <w:rFonts w:asciiTheme="majorBidi" w:hAnsiTheme="majorBidi" w:cstheme="majorBidi"/>
          <w:sz w:val="22"/>
          <w:szCs w:val="22"/>
        </w:rPr>
      </w:pPr>
      <w:r w:rsidRPr="007629A5">
        <w:rPr>
          <w:rStyle w:val="FootnoteReference"/>
          <w:rFonts w:asciiTheme="majorBidi" w:hAnsiTheme="majorBidi"/>
          <w:sz w:val="22"/>
          <w:szCs w:val="22"/>
        </w:rPr>
        <w:footnoteRef/>
      </w:r>
      <w:r w:rsidRPr="00587FAB">
        <w:rPr>
          <w:rFonts w:asciiTheme="majorBidi" w:hAnsiTheme="majorBidi"/>
          <w:sz w:val="22"/>
          <w:szCs w:val="22"/>
        </w:rPr>
        <w:t xml:space="preserve"> </w:t>
      </w:r>
      <w:r w:rsidRPr="00281C40">
        <w:rPr>
          <w:rFonts w:asciiTheme="majorBidi" w:hAnsiTheme="majorBidi"/>
          <w:b/>
          <w:bCs/>
          <w:sz w:val="22"/>
          <w:szCs w:val="22"/>
        </w:rPr>
        <w:t xml:space="preserve"> </w:t>
      </w:r>
      <w:r w:rsidRPr="00281C40">
        <w:rPr>
          <w:rFonts w:asciiTheme="majorBidi" w:hAnsiTheme="majorBidi" w:cstheme="majorBidi"/>
          <w:sz w:val="22"/>
          <w:szCs w:val="22"/>
        </w:rPr>
        <w:t>Worker Adjustment and Retraining Notification Act (WARN Act), 29 U.S.C. §§ 2101 - 2109</w:t>
      </w:r>
      <w:r>
        <w:rPr>
          <w:rFonts w:asciiTheme="majorBidi" w:hAnsiTheme="majorBidi" w:cstheme="majorBidi"/>
          <w:sz w:val="22"/>
          <w:szCs w:val="22"/>
        </w:rPr>
        <w:t>, requires (with certain exceptions) advance notice of plant closings to be given to employees when 100 or more employees will be affected).</w:t>
      </w:r>
      <w:r w:rsidRPr="00281C40">
        <w:rPr>
          <w:rFonts w:asciiTheme="majorBidi" w:hAnsiTheme="majorBidi" w:cstheme="majorBidi"/>
          <w:sz w:val="22"/>
          <w:szCs w:val="22"/>
        </w:rPr>
        <w:t xml:space="preserve"> </w:t>
      </w:r>
    </w:p>
    <w:p w:rsidR="00DE1A75" w:rsidRPr="00281C40" w:rsidRDefault="00DE1A75" w:rsidP="00F551CF">
      <w:pPr>
        <w:rPr>
          <w:rFonts w:asciiTheme="majorBidi" w:hAnsiTheme="majorBidi" w:cstheme="majorBidi"/>
          <w:sz w:val="22"/>
          <w:szCs w:val="22"/>
        </w:rPr>
      </w:pPr>
    </w:p>
  </w:footnote>
  <w:footnote w:id="37">
    <w:p w:rsidR="00310DB8" w:rsidRPr="00587FAB" w:rsidRDefault="00310DB8" w:rsidP="00310DB8">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Pr>
          <w:rFonts w:asciiTheme="majorBidi" w:hAnsiTheme="majorBidi"/>
          <w:b w:val="0"/>
          <w:bCs w:val="0"/>
          <w:color w:val="auto"/>
          <w:sz w:val="22"/>
          <w:szCs w:val="22"/>
        </w:rPr>
        <w:t xml:space="preserve"> 15 U.S.C. </w:t>
      </w:r>
      <w:r w:rsidRPr="00281C40">
        <w:rPr>
          <w:rFonts w:asciiTheme="majorBidi" w:hAnsiTheme="majorBidi"/>
          <w:b w:val="0"/>
          <w:bCs w:val="0"/>
          <w:color w:val="auto"/>
          <w:sz w:val="22"/>
          <w:szCs w:val="22"/>
        </w:rPr>
        <w:t>§</w:t>
      </w:r>
      <w:r>
        <w:rPr>
          <w:rFonts w:asciiTheme="majorBidi" w:hAnsiTheme="majorBidi"/>
          <w:b w:val="0"/>
          <w:bCs w:val="0"/>
          <w:color w:val="auto"/>
          <w:sz w:val="22"/>
          <w:szCs w:val="22"/>
        </w:rPr>
        <w:t xml:space="preserve"> 77d(a)(6).</w:t>
      </w:r>
    </w:p>
    <w:p w:rsidR="00310DB8" w:rsidRPr="00587FAB" w:rsidRDefault="00310DB8" w:rsidP="00310DB8">
      <w:pPr>
        <w:rPr>
          <w:rFonts w:asciiTheme="majorBidi" w:hAnsiTheme="majorBidi" w:cstheme="majorBidi"/>
          <w:sz w:val="22"/>
          <w:szCs w:val="22"/>
        </w:rPr>
      </w:pPr>
    </w:p>
  </w:footnote>
  <w:footnote w:id="38">
    <w:p w:rsidR="00F410E5" w:rsidRPr="00565FEA" w:rsidRDefault="00F410E5" w:rsidP="00995281">
      <w:pPr>
        <w:pStyle w:val="Heading2"/>
        <w:spacing w:before="0"/>
        <w:rPr>
          <w:rStyle w:val="verdana"/>
          <w:rFonts w:asciiTheme="majorBidi" w:hAnsiTheme="majorBidi"/>
          <w:b w:val="0"/>
          <w:bCs w:val="0"/>
          <w:color w:val="auto"/>
          <w:sz w:val="22"/>
          <w:szCs w:val="22"/>
        </w:rPr>
      </w:pPr>
      <w:r w:rsidRPr="00CA5F07">
        <w:rPr>
          <w:rStyle w:val="FootnoteReference"/>
          <w:rFonts w:asciiTheme="majorBidi" w:hAnsiTheme="majorBidi"/>
          <w:b w:val="0"/>
          <w:bCs w:val="0"/>
          <w:color w:val="auto"/>
          <w:sz w:val="22"/>
          <w:szCs w:val="22"/>
        </w:rPr>
        <w:footnoteRef/>
      </w:r>
      <w:r w:rsidRPr="00211C51">
        <w:rPr>
          <w:rFonts w:asciiTheme="majorBidi" w:hAnsiTheme="majorBidi"/>
          <w:b w:val="0"/>
          <w:bCs w:val="0"/>
          <w:color w:val="auto"/>
          <w:sz w:val="22"/>
          <w:szCs w:val="22"/>
        </w:rPr>
        <w:t xml:space="preserve"> </w:t>
      </w:r>
      <w:r w:rsidRPr="00995281">
        <w:rPr>
          <w:rFonts w:asciiTheme="majorBidi" w:hAnsiTheme="majorBidi"/>
          <w:b w:val="0"/>
          <w:bCs w:val="0"/>
          <w:i/>
          <w:iCs/>
          <w:color w:val="auto"/>
          <w:sz w:val="22"/>
          <w:szCs w:val="22"/>
        </w:rPr>
        <w:t>See, e.g.</w:t>
      </w:r>
      <w:r w:rsidRPr="00995281">
        <w:rPr>
          <w:rFonts w:asciiTheme="majorBidi" w:hAnsiTheme="majorBidi"/>
          <w:b w:val="0"/>
          <w:bCs w:val="0"/>
          <w:color w:val="auto"/>
          <w:sz w:val="22"/>
          <w:szCs w:val="22"/>
        </w:rPr>
        <w:t xml:space="preserve"> Rickman v. Primera Blue Cross, </w:t>
      </w:r>
      <w:r w:rsidRPr="00995281">
        <w:rPr>
          <w:rStyle w:val="verdana"/>
          <w:rFonts w:asciiTheme="majorBidi" w:hAnsiTheme="majorBidi"/>
          <w:b w:val="0"/>
          <w:bCs w:val="0"/>
          <w:color w:val="auto"/>
          <w:sz w:val="22"/>
          <w:szCs w:val="22"/>
        </w:rPr>
        <w:t>184 Wash.2d</w:t>
      </w:r>
      <w:r w:rsidRPr="00565FEA">
        <w:rPr>
          <w:rStyle w:val="verdana"/>
          <w:rFonts w:asciiTheme="majorBidi" w:hAnsiTheme="majorBidi"/>
          <w:b w:val="0"/>
          <w:bCs w:val="0"/>
          <w:color w:val="auto"/>
          <w:sz w:val="22"/>
          <w:szCs w:val="22"/>
        </w:rPr>
        <w:t xml:space="preserve"> 300, 358 P.3d 1153 (2015), </w:t>
      </w:r>
      <w:r w:rsidRPr="00565FEA">
        <w:rPr>
          <w:rStyle w:val="verdana"/>
          <w:rFonts w:asciiTheme="majorBidi" w:hAnsiTheme="majorBidi"/>
          <w:b w:val="0"/>
          <w:bCs w:val="0"/>
          <w:i/>
          <w:iCs/>
          <w:color w:val="auto"/>
          <w:sz w:val="22"/>
          <w:szCs w:val="22"/>
        </w:rPr>
        <w:t>reconsid. denied</w:t>
      </w:r>
      <w:r w:rsidRPr="00565FEA">
        <w:rPr>
          <w:rStyle w:val="verdana"/>
          <w:rFonts w:asciiTheme="majorBidi" w:hAnsiTheme="majorBidi"/>
          <w:b w:val="0"/>
          <w:bCs w:val="0"/>
          <w:color w:val="auto"/>
          <w:sz w:val="22"/>
          <w:szCs w:val="22"/>
        </w:rPr>
        <w:t xml:space="preserve"> 2015 Wash. LEXIS 1333 (Wash. 2015), </w:t>
      </w:r>
      <w:r w:rsidRPr="00565FEA">
        <w:rPr>
          <w:rStyle w:val="verdana"/>
          <w:rFonts w:asciiTheme="majorBidi" w:hAnsiTheme="majorBidi"/>
          <w:b w:val="0"/>
          <w:bCs w:val="0"/>
          <w:i/>
          <w:iCs/>
          <w:color w:val="auto"/>
          <w:sz w:val="22"/>
          <w:szCs w:val="22"/>
        </w:rPr>
        <w:t>rev'd and remanded on remand</w:t>
      </w:r>
      <w:r w:rsidRPr="00565FEA">
        <w:rPr>
          <w:rStyle w:val="verdana"/>
          <w:rFonts w:asciiTheme="majorBidi" w:hAnsiTheme="majorBidi"/>
          <w:b w:val="0"/>
          <w:bCs w:val="0"/>
          <w:color w:val="auto"/>
          <w:sz w:val="22"/>
          <w:szCs w:val="22"/>
        </w:rPr>
        <w:t xml:space="preserve">, 2016 Wash. App. LEXIS 1029, </w:t>
      </w:r>
      <w:r w:rsidR="00995281" w:rsidRPr="00565FEA">
        <w:rPr>
          <w:rStyle w:val="verdana"/>
          <w:rFonts w:asciiTheme="majorBidi" w:hAnsiTheme="majorBidi"/>
          <w:b w:val="0"/>
          <w:bCs w:val="0"/>
          <w:color w:val="auto"/>
          <w:sz w:val="22"/>
          <w:szCs w:val="22"/>
        </w:rPr>
        <w:t>and, as of this writing</w:t>
      </w:r>
      <w:r w:rsidR="00565FEA">
        <w:rPr>
          <w:rStyle w:val="verdana"/>
          <w:rFonts w:asciiTheme="majorBidi" w:hAnsiTheme="majorBidi"/>
          <w:b w:val="0"/>
          <w:bCs w:val="0"/>
          <w:color w:val="auto"/>
          <w:sz w:val="22"/>
          <w:szCs w:val="22"/>
        </w:rPr>
        <w:t>,</w:t>
      </w:r>
      <w:r w:rsidR="00995281" w:rsidRPr="00565FEA">
        <w:rPr>
          <w:rStyle w:val="verdana"/>
          <w:rFonts w:asciiTheme="majorBidi" w:hAnsiTheme="majorBidi"/>
          <w:b w:val="0"/>
          <w:bCs w:val="0"/>
          <w:color w:val="auto"/>
          <w:sz w:val="22"/>
          <w:szCs w:val="22"/>
        </w:rPr>
        <w:t xml:space="preserve"> </w:t>
      </w:r>
      <w:r w:rsidR="00565FEA">
        <w:rPr>
          <w:rStyle w:val="verdana"/>
          <w:rFonts w:asciiTheme="majorBidi" w:hAnsiTheme="majorBidi"/>
          <w:b w:val="0"/>
          <w:bCs w:val="0"/>
          <w:color w:val="auto"/>
          <w:sz w:val="22"/>
          <w:szCs w:val="22"/>
        </w:rPr>
        <w:t xml:space="preserve">is </w:t>
      </w:r>
      <w:r w:rsidRPr="00565FEA">
        <w:rPr>
          <w:rStyle w:val="verdana"/>
          <w:rFonts w:asciiTheme="majorBidi" w:hAnsiTheme="majorBidi"/>
          <w:b w:val="0"/>
          <w:bCs w:val="0"/>
          <w:color w:val="auto"/>
          <w:sz w:val="22"/>
          <w:szCs w:val="22"/>
        </w:rPr>
        <w:t>still in litigation</w:t>
      </w:r>
      <w:r w:rsidR="00995281" w:rsidRPr="00565FEA">
        <w:rPr>
          <w:rStyle w:val="verdana"/>
          <w:rFonts w:asciiTheme="majorBidi" w:hAnsiTheme="majorBidi"/>
          <w:b w:val="0"/>
          <w:bCs w:val="0"/>
          <w:color w:val="auto"/>
          <w:sz w:val="22"/>
          <w:szCs w:val="22"/>
        </w:rPr>
        <w:t xml:space="preserve"> and currently </w:t>
      </w:r>
      <w:r w:rsidRPr="00565FEA">
        <w:rPr>
          <w:rStyle w:val="verdana"/>
          <w:rFonts w:asciiTheme="majorBidi" w:hAnsiTheme="majorBidi"/>
          <w:b w:val="0"/>
          <w:bCs w:val="0"/>
          <w:color w:val="auto"/>
          <w:sz w:val="22"/>
          <w:szCs w:val="22"/>
        </w:rPr>
        <w:t xml:space="preserve">scheduled for jury trial </w:t>
      </w:r>
      <w:r w:rsidR="00995281" w:rsidRPr="00565FEA">
        <w:rPr>
          <w:rStyle w:val="verdana"/>
          <w:rFonts w:asciiTheme="majorBidi" w:hAnsiTheme="majorBidi"/>
          <w:b w:val="0"/>
          <w:bCs w:val="0"/>
          <w:color w:val="auto"/>
          <w:sz w:val="22"/>
          <w:szCs w:val="22"/>
        </w:rPr>
        <w:t xml:space="preserve">on </w:t>
      </w:r>
      <w:r w:rsidRPr="00565FEA">
        <w:rPr>
          <w:rStyle w:val="verdana"/>
          <w:rFonts w:asciiTheme="majorBidi" w:hAnsiTheme="majorBidi"/>
          <w:b w:val="0"/>
          <w:bCs w:val="0"/>
          <w:color w:val="auto"/>
          <w:sz w:val="22"/>
          <w:szCs w:val="22"/>
        </w:rPr>
        <w:t>15 May 2017,</w:t>
      </w:r>
      <w:r w:rsidR="00995281" w:rsidRPr="00565FEA">
        <w:rPr>
          <w:rStyle w:val="verdana"/>
          <w:rFonts w:asciiTheme="majorBidi" w:hAnsiTheme="majorBidi"/>
          <w:b w:val="0"/>
          <w:bCs w:val="0"/>
          <w:color w:val="auto"/>
          <w:sz w:val="22"/>
          <w:szCs w:val="22"/>
        </w:rPr>
        <w:t xml:space="preserve"> in the</w:t>
      </w:r>
      <w:r w:rsidRPr="00565FEA">
        <w:rPr>
          <w:rStyle w:val="verdana"/>
          <w:rFonts w:asciiTheme="majorBidi" w:hAnsiTheme="majorBidi"/>
          <w:b w:val="0"/>
          <w:bCs w:val="0"/>
          <w:color w:val="auto"/>
          <w:sz w:val="22"/>
          <w:szCs w:val="22"/>
        </w:rPr>
        <w:t xml:space="preserve"> Superior Court, Snohomish County, Washington</w:t>
      </w:r>
      <w:r w:rsidR="00995281" w:rsidRPr="00565FEA">
        <w:rPr>
          <w:rStyle w:val="verdana"/>
          <w:rFonts w:asciiTheme="majorBidi" w:hAnsiTheme="majorBidi"/>
          <w:b w:val="0"/>
          <w:bCs w:val="0"/>
          <w:color w:val="auto"/>
          <w:sz w:val="22"/>
          <w:szCs w:val="22"/>
        </w:rPr>
        <w:t xml:space="preserve"> State</w:t>
      </w:r>
      <w:r w:rsidR="00565FEA" w:rsidRPr="00565FEA">
        <w:rPr>
          <w:rStyle w:val="verdana"/>
          <w:rFonts w:asciiTheme="majorBidi" w:hAnsiTheme="majorBidi"/>
          <w:b w:val="0"/>
          <w:bCs w:val="0"/>
          <w:color w:val="auto"/>
          <w:sz w:val="22"/>
          <w:szCs w:val="22"/>
        </w:rPr>
        <w:t xml:space="preserve"> (Case No. </w:t>
      </w:r>
      <w:r w:rsidR="00565FEA" w:rsidRPr="00565FEA">
        <w:rPr>
          <w:rFonts w:asciiTheme="majorBidi" w:hAnsiTheme="majorBidi"/>
          <w:b w:val="0"/>
          <w:bCs w:val="0"/>
          <w:color w:val="auto"/>
          <w:sz w:val="22"/>
          <w:szCs w:val="22"/>
        </w:rPr>
        <w:t>10-2-10616-1)</w:t>
      </w:r>
      <w:r w:rsidRPr="00565FEA">
        <w:rPr>
          <w:rStyle w:val="verdana"/>
          <w:rFonts w:asciiTheme="majorBidi" w:hAnsiTheme="majorBidi"/>
          <w:b w:val="0"/>
          <w:bCs w:val="0"/>
          <w:color w:val="auto"/>
          <w:sz w:val="22"/>
          <w:szCs w:val="22"/>
        </w:rPr>
        <w:t>.</w:t>
      </w:r>
    </w:p>
    <w:p w:rsidR="00F410E5" w:rsidRPr="00995281" w:rsidRDefault="00F410E5" w:rsidP="00F410E5">
      <w:pPr>
        <w:rPr>
          <w:rFonts w:asciiTheme="majorBidi" w:hAnsiTheme="majorBidi" w:cstheme="majorBidi"/>
          <w:b/>
          <w:bCs/>
          <w:sz w:val="22"/>
          <w:szCs w:val="22"/>
        </w:rPr>
      </w:pPr>
      <w:r w:rsidRPr="00565FEA">
        <w:rPr>
          <w:rFonts w:asciiTheme="majorBidi" w:hAnsiTheme="majorBidi" w:cstheme="majorBidi"/>
          <w:sz w:val="22"/>
          <w:szCs w:val="22"/>
        </w:rPr>
        <w:tab/>
        <w:t xml:space="preserve">The </w:t>
      </w:r>
      <w:r w:rsidRPr="00565FEA">
        <w:rPr>
          <w:rFonts w:asciiTheme="majorBidi" w:hAnsiTheme="majorBidi" w:cstheme="majorBidi"/>
          <w:i/>
          <w:iCs/>
          <w:sz w:val="22"/>
          <w:szCs w:val="22"/>
        </w:rPr>
        <w:t>Rickman</w:t>
      </w:r>
      <w:r w:rsidRPr="00565FEA">
        <w:rPr>
          <w:rFonts w:asciiTheme="majorBidi" w:hAnsiTheme="majorBidi" w:cstheme="majorBidi"/>
          <w:sz w:val="22"/>
          <w:szCs w:val="22"/>
        </w:rPr>
        <w:t xml:space="preserve"> case is interesting inasmuch as Ericka Rickman, the whistleblower alleging wrongful termination, was herself the subject of an unidentified whistleblower's report that she had approved preferential employment treatment for her own son.  Prim</w:t>
      </w:r>
      <w:r w:rsidRPr="00995281">
        <w:rPr>
          <w:sz w:val="22"/>
          <w:szCs w:val="22"/>
        </w:rPr>
        <w:t>era Blue Cross, Rickman's former employer, is, of course, insisting that Rickman's termination was on account of that conflict of interest.  This question of fact is a matter for the jury to determine (unless the parties settle the case prior to the trial).</w:t>
      </w:r>
    </w:p>
    <w:p w:rsidR="00F410E5" w:rsidRPr="00995281" w:rsidRDefault="00F410E5" w:rsidP="00F410E5">
      <w:pPr>
        <w:rPr>
          <w:rFonts w:asciiTheme="majorBidi" w:hAnsiTheme="majorBidi" w:cstheme="majorBidi"/>
          <w:sz w:val="22"/>
          <w:szCs w:val="22"/>
        </w:rPr>
      </w:pPr>
    </w:p>
  </w:footnote>
  <w:footnote w:id="39">
    <w:p w:rsidR="00310DB8" w:rsidRPr="00310DB8" w:rsidRDefault="00310DB8" w:rsidP="00310DB8">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sidRPr="00310DB8">
        <w:rPr>
          <w:rFonts w:asciiTheme="majorBidi" w:hAnsiTheme="majorBidi"/>
          <w:b w:val="0"/>
          <w:bCs w:val="0"/>
          <w:color w:val="auto"/>
          <w:sz w:val="22"/>
          <w:szCs w:val="22"/>
        </w:rPr>
        <w:t xml:space="preserve">Carla Hengst, " </w:t>
      </w:r>
      <w:r w:rsidRPr="00310DB8">
        <w:rPr>
          <w:rStyle w:val="Title10"/>
          <w:rFonts w:asciiTheme="majorBidi" w:hAnsiTheme="majorBidi"/>
          <w:b w:val="0"/>
          <w:bCs w:val="0"/>
          <w:color w:val="auto"/>
          <w:sz w:val="22"/>
          <w:szCs w:val="22"/>
        </w:rPr>
        <w:t xml:space="preserve">Compliance-related investigations take on a unique complexion for home health professionals: performing an investigation at the lowest possible level helps maintain integrity," </w:t>
      </w:r>
      <w:r w:rsidRPr="00310DB8">
        <w:rPr>
          <w:rStyle w:val="citation-publication"/>
          <w:rFonts w:asciiTheme="majorBidi" w:hAnsiTheme="majorBidi"/>
          <w:b w:val="0"/>
          <w:bCs w:val="0"/>
          <w:color w:val="auto"/>
          <w:sz w:val="22"/>
          <w:szCs w:val="22"/>
        </w:rPr>
        <w:t xml:space="preserve">Journal of Health Care Compliance, vol. </w:t>
      </w:r>
      <w:r w:rsidRPr="00310DB8">
        <w:rPr>
          <w:rStyle w:val="pub-link"/>
          <w:rFonts w:asciiTheme="majorBidi" w:hAnsiTheme="majorBidi"/>
          <w:b w:val="0"/>
          <w:bCs w:val="0"/>
          <w:i/>
          <w:iCs/>
          <w:color w:val="auto"/>
          <w:sz w:val="22"/>
          <w:szCs w:val="22"/>
        </w:rPr>
        <w:t>.</w:t>
      </w:r>
      <w:r w:rsidRPr="00310DB8">
        <w:rPr>
          <w:rStyle w:val="definition"/>
          <w:rFonts w:asciiTheme="majorBidi" w:hAnsiTheme="majorBidi"/>
          <w:b w:val="0"/>
          <w:bCs w:val="0"/>
          <w:color w:val="auto"/>
          <w:sz w:val="22"/>
          <w:szCs w:val="22"/>
        </w:rPr>
        <w:t xml:space="preserve"> 8, no. 3 (May-June 2006), p53.</w:t>
      </w:r>
    </w:p>
    <w:p w:rsidR="00310DB8" w:rsidRPr="00310DB8" w:rsidRDefault="00310DB8" w:rsidP="00310DB8">
      <w:pPr>
        <w:rPr>
          <w:rFonts w:asciiTheme="majorBidi" w:hAnsiTheme="majorBidi" w:cstheme="majorBidi"/>
          <w:sz w:val="22"/>
          <w:szCs w:val="22"/>
        </w:rPr>
      </w:pPr>
    </w:p>
  </w:footnote>
  <w:footnote w:id="40">
    <w:p w:rsidR="00EB64BC" w:rsidRPr="00587FAB" w:rsidRDefault="00EB64BC" w:rsidP="00EB64BC">
      <w:pPr>
        <w:pStyle w:val="Heading3"/>
        <w:spacing w:before="0"/>
        <w:rPr>
          <w:rFonts w:asciiTheme="majorBidi" w:hAnsiTheme="majorBidi"/>
          <w:b w:val="0"/>
          <w:bCs w:val="0"/>
          <w:color w:val="auto"/>
          <w:sz w:val="22"/>
          <w:szCs w:val="22"/>
        </w:rPr>
      </w:pPr>
      <w:r w:rsidRPr="007629A5">
        <w:rPr>
          <w:rStyle w:val="FootnoteReference"/>
          <w:rFonts w:asciiTheme="majorBidi" w:hAnsiTheme="majorBidi"/>
          <w:b w:val="0"/>
          <w:bCs w:val="0"/>
          <w:color w:val="auto"/>
          <w:sz w:val="22"/>
          <w:szCs w:val="22"/>
        </w:rPr>
        <w:footnoteRef/>
      </w:r>
      <w:r w:rsidRPr="00587FAB">
        <w:rPr>
          <w:rFonts w:asciiTheme="majorBidi" w:hAnsiTheme="majorBidi"/>
          <w:b w:val="0"/>
          <w:bCs w:val="0"/>
          <w:color w:val="auto"/>
          <w:sz w:val="22"/>
          <w:szCs w:val="22"/>
        </w:rPr>
        <w:t xml:space="preserve"> </w:t>
      </w:r>
      <w:r>
        <w:rPr>
          <w:rFonts w:asciiTheme="majorBidi" w:hAnsiTheme="majorBidi"/>
          <w:b w:val="0"/>
          <w:bCs w:val="0"/>
          <w:color w:val="auto"/>
          <w:sz w:val="22"/>
          <w:szCs w:val="22"/>
        </w:rPr>
        <w:t>Ex. 18:13 - 24</w:t>
      </w:r>
    </w:p>
    <w:p w:rsidR="00EB64BC" w:rsidRPr="00587FAB" w:rsidRDefault="00EB64BC" w:rsidP="00EB64BC">
      <w:pPr>
        <w:rPr>
          <w:rFonts w:asciiTheme="majorBidi" w:hAnsiTheme="majorBidi" w:cstheme="majorBidi"/>
          <w:sz w:val="22"/>
          <w:szCs w:val="22"/>
        </w:rPr>
      </w:pPr>
    </w:p>
  </w:footnote>
  <w:footnote w:id="41">
    <w:p w:rsidR="00B2070F" w:rsidRPr="00B2070F" w:rsidRDefault="00B2070F" w:rsidP="00B2070F">
      <w:pPr>
        <w:autoSpaceDE w:val="0"/>
        <w:autoSpaceDN w:val="0"/>
        <w:adjustRightInd w:val="0"/>
        <w:rPr>
          <w:rFonts w:asciiTheme="majorBidi" w:eastAsiaTheme="minorHAnsi" w:hAnsiTheme="majorBidi" w:cstheme="majorBidi"/>
          <w:sz w:val="22"/>
          <w:szCs w:val="22"/>
          <w:lang w:bidi="he-IL"/>
        </w:rPr>
      </w:pPr>
      <w:r w:rsidRPr="00CA5F07">
        <w:rPr>
          <w:rStyle w:val="FootnoteReference"/>
          <w:rFonts w:asciiTheme="majorBidi" w:hAnsiTheme="majorBidi"/>
          <w:sz w:val="22"/>
          <w:szCs w:val="22"/>
        </w:rPr>
        <w:footnoteRef/>
      </w:r>
      <w:r w:rsidRPr="00CA5F07">
        <w:rPr>
          <w:rFonts w:asciiTheme="majorBidi" w:hAnsiTheme="majorBidi"/>
          <w:sz w:val="22"/>
          <w:szCs w:val="22"/>
        </w:rPr>
        <w:t xml:space="preserve"> </w:t>
      </w:r>
      <w:r w:rsidR="00A03992">
        <w:rPr>
          <w:rFonts w:asciiTheme="majorBidi" w:hAnsiTheme="majorBidi"/>
          <w:sz w:val="22"/>
          <w:szCs w:val="22"/>
        </w:rPr>
        <w:t xml:space="preserve"> </w:t>
      </w:r>
      <w:r w:rsidRPr="00B2070F">
        <w:rPr>
          <w:rFonts w:asciiTheme="majorBidi" w:eastAsiaTheme="minorHAnsi" w:hAnsiTheme="majorBidi" w:cstheme="majorBidi"/>
          <w:sz w:val="22"/>
          <w:szCs w:val="22"/>
          <w:lang w:bidi="he-IL"/>
        </w:rPr>
        <w:t xml:space="preserve">David Ricardo, </w:t>
      </w:r>
      <w:r w:rsidRPr="00B2070F">
        <w:rPr>
          <w:rFonts w:asciiTheme="majorBidi" w:eastAsiaTheme="minorHAnsi" w:hAnsiTheme="majorBidi" w:cstheme="majorBidi"/>
          <w:i/>
          <w:iCs/>
          <w:sz w:val="22"/>
          <w:szCs w:val="22"/>
          <w:lang w:bidi="he-IL"/>
        </w:rPr>
        <w:t>The Principles of Political Economy and Taxation</w:t>
      </w:r>
      <w:r w:rsidRPr="00B2070F">
        <w:rPr>
          <w:rFonts w:asciiTheme="majorBidi" w:eastAsiaTheme="minorHAnsi" w:hAnsiTheme="majorBidi" w:cstheme="majorBidi"/>
          <w:sz w:val="22"/>
          <w:szCs w:val="22"/>
          <w:lang w:bidi="he-IL"/>
        </w:rPr>
        <w:t>, ch. 16, 157 (Everyman’s</w:t>
      </w:r>
    </w:p>
    <w:p w:rsidR="00B2070F" w:rsidRPr="00B2070F" w:rsidRDefault="00B2070F" w:rsidP="00B2070F">
      <w:pPr>
        <w:pStyle w:val="Heading3"/>
        <w:spacing w:before="0"/>
        <w:rPr>
          <w:rFonts w:asciiTheme="majorBidi" w:hAnsiTheme="majorBidi"/>
          <w:b w:val="0"/>
          <w:bCs w:val="0"/>
          <w:color w:val="auto"/>
          <w:sz w:val="22"/>
          <w:szCs w:val="22"/>
        </w:rPr>
      </w:pPr>
      <w:r w:rsidRPr="00B2070F">
        <w:rPr>
          <w:rFonts w:asciiTheme="majorBidi" w:eastAsiaTheme="minorHAnsi" w:hAnsiTheme="majorBidi"/>
          <w:b w:val="0"/>
          <w:bCs w:val="0"/>
          <w:color w:val="auto"/>
          <w:sz w:val="22"/>
          <w:szCs w:val="22"/>
          <w:lang w:bidi="he-IL"/>
        </w:rPr>
        <w:t>Library, no. 590, J. M. Dent &amp; Sons, London, 1969) (orginally published 1817)</w:t>
      </w:r>
    </w:p>
    <w:p w:rsidR="00B2070F" w:rsidRPr="00B2070F" w:rsidRDefault="00B2070F" w:rsidP="00B2070F">
      <w:pPr>
        <w:rPr>
          <w:rFonts w:asciiTheme="majorBidi" w:hAnsiTheme="majorBidi" w:cstheme="majorBidi"/>
          <w:sz w:val="22"/>
          <w:szCs w:val="22"/>
        </w:rPr>
      </w:pPr>
    </w:p>
  </w:footnote>
  <w:footnote w:id="42">
    <w:p w:rsidR="001774B6" w:rsidRPr="00B2070F" w:rsidRDefault="001774B6" w:rsidP="00B2070F">
      <w:r w:rsidRPr="00CA5F07">
        <w:rPr>
          <w:rStyle w:val="FootnoteReference"/>
          <w:rFonts w:asciiTheme="majorBidi" w:hAnsiTheme="majorBidi"/>
          <w:sz w:val="22"/>
          <w:szCs w:val="22"/>
        </w:rPr>
        <w:footnoteRef/>
      </w:r>
      <w:r w:rsidRPr="007B63C0">
        <w:rPr>
          <w:rFonts w:asciiTheme="majorBidi" w:hAnsiTheme="majorBidi"/>
          <w:sz w:val="22"/>
          <w:szCs w:val="22"/>
        </w:rPr>
        <w:t xml:space="preserve"> </w:t>
      </w:r>
      <w:r w:rsidR="007B63C0" w:rsidRPr="007B63C0">
        <w:rPr>
          <w:rFonts w:asciiTheme="majorBidi" w:hAnsiTheme="majorBidi"/>
          <w:sz w:val="22"/>
          <w:szCs w:val="22"/>
        </w:rPr>
        <w:t xml:space="preserve"> </w:t>
      </w:r>
      <w:r w:rsidR="007B63C0" w:rsidRPr="007B63C0">
        <w:rPr>
          <w:rFonts w:asciiTheme="majorBidi" w:hAnsiTheme="majorBidi"/>
          <w:i/>
          <w:iCs/>
          <w:sz w:val="22"/>
          <w:szCs w:val="22"/>
        </w:rPr>
        <w:t>See, e.g.</w:t>
      </w:r>
      <w:r w:rsidR="007B63C0" w:rsidRPr="007B63C0">
        <w:rPr>
          <w:rFonts w:asciiTheme="majorBidi" w:hAnsiTheme="majorBidi"/>
          <w:sz w:val="22"/>
          <w:szCs w:val="22"/>
        </w:rPr>
        <w:t xml:space="preserve"> </w:t>
      </w:r>
      <w:r w:rsidR="007B63C0" w:rsidRPr="007B63C0">
        <w:t>Bank of New England Old Colony, NA v. Clark, 986 F.2d 600 (1st Cir. 1993)</w:t>
      </w:r>
      <w:r w:rsidR="007B63C0" w:rsidRPr="007B63C0">
        <w:rPr>
          <w:i/>
          <w:iCs/>
        </w:rPr>
        <w:t xml:space="preserve">; Hoye v. United </w:t>
      </w:r>
      <w:r w:rsidR="007B63C0" w:rsidRPr="007C3ECF">
        <w:rPr>
          <w:i/>
          <w:iCs/>
        </w:rPr>
        <w:t xml:space="preserve">States, </w:t>
      </w:r>
      <w:r w:rsidR="007B63C0" w:rsidRPr="009210AD">
        <w:t>109 F.Supp. 685</w:t>
      </w:r>
      <w:r w:rsidR="007B63C0">
        <w:t xml:space="preserve">, 686 (S.D.Cal.1953); </w:t>
      </w:r>
      <w:r w:rsidR="007B63C0" w:rsidRPr="007C3ECF">
        <w:t>New York State Department of Tax v. New York State Department of Law</w:t>
      </w:r>
      <w:r w:rsidR="007B63C0">
        <w:rPr>
          <w:i/>
          <w:iCs/>
        </w:rPr>
        <w:t>,</w:t>
      </w:r>
      <w:r w:rsidR="007B63C0">
        <w:t xml:space="preserve"> </w:t>
      </w:r>
      <w:r w:rsidR="007B63C0" w:rsidRPr="00DC5E38">
        <w:t>44 N.Y.2d 575</w:t>
      </w:r>
      <w:r w:rsidR="007B63C0">
        <w:t xml:space="preserve">, 406 N.Y.S.2d 747, 378 N.E.2d 110 (N.Y. 1978); Chester Upland School District v. Mathews, 705 A.2d 473 (Pa. Commonw. 1997); </w:t>
      </w:r>
    </w:p>
    <w:p w:rsidR="001774B6" w:rsidRPr="00CA5F07" w:rsidRDefault="001774B6" w:rsidP="001774B6">
      <w:pPr>
        <w:rPr>
          <w:rFonts w:asciiTheme="majorBidi" w:hAnsiTheme="majorBidi" w:cstheme="majorBidi"/>
          <w:sz w:val="22"/>
          <w:szCs w:val="22"/>
        </w:rPr>
      </w:pPr>
    </w:p>
  </w:footnote>
  <w:footnote w:id="43">
    <w:p w:rsidR="00475468" w:rsidRPr="00475468" w:rsidRDefault="00475468" w:rsidP="00475468">
      <w:pPr>
        <w:autoSpaceDE w:val="0"/>
        <w:autoSpaceDN w:val="0"/>
        <w:adjustRightInd w:val="0"/>
        <w:rPr>
          <w:rFonts w:asciiTheme="majorBidi" w:eastAsiaTheme="minorHAnsi" w:hAnsiTheme="majorBidi" w:cstheme="majorBidi"/>
          <w:sz w:val="22"/>
          <w:szCs w:val="22"/>
          <w:lang w:bidi="he-IL"/>
        </w:rPr>
      </w:pPr>
      <w:r w:rsidRPr="00CA5F07">
        <w:rPr>
          <w:rStyle w:val="FootnoteReference"/>
          <w:rFonts w:asciiTheme="majorBidi" w:hAnsiTheme="majorBidi"/>
          <w:sz w:val="22"/>
          <w:szCs w:val="22"/>
        </w:rPr>
        <w:footnoteRef/>
      </w:r>
      <w:r w:rsidRPr="00CA5F07">
        <w:rPr>
          <w:rFonts w:asciiTheme="majorBidi" w:hAnsiTheme="majorBidi"/>
          <w:sz w:val="22"/>
          <w:szCs w:val="22"/>
        </w:rPr>
        <w:t xml:space="preserve"> </w:t>
      </w:r>
      <w:r w:rsidRPr="00475468">
        <w:rPr>
          <w:rFonts w:asciiTheme="majorBidi" w:eastAsiaTheme="minorHAnsi" w:hAnsiTheme="majorBidi" w:cstheme="majorBidi"/>
          <w:sz w:val="22"/>
          <w:szCs w:val="22"/>
          <w:lang w:bidi="he-IL"/>
        </w:rPr>
        <w:t xml:space="preserve">H.R. Rpt. 83-1337, at 1-2(Mar. 9, 1954) (reprinted in 1954 U.S.C.C.A.N. 4017, 4025); Sen. Rpt. 83-1622, 1-2 (Apr. 5, 1954), </w:t>
      </w:r>
      <w:r w:rsidRPr="00475468">
        <w:rPr>
          <w:rFonts w:asciiTheme="majorBidi" w:eastAsiaTheme="minorHAnsi" w:hAnsiTheme="majorBidi" w:cstheme="majorBidi"/>
          <w:i/>
          <w:iCs/>
          <w:sz w:val="22"/>
          <w:szCs w:val="22"/>
          <w:lang w:bidi="he-IL"/>
        </w:rPr>
        <w:t xml:space="preserve">Sen. Fin. Comm. Report on Internal Revenue Code of 1954 </w:t>
      </w:r>
      <w:r w:rsidRPr="00475468">
        <w:rPr>
          <w:rFonts w:asciiTheme="majorBidi" w:eastAsiaTheme="minorHAnsi" w:hAnsiTheme="majorBidi" w:cstheme="majorBidi"/>
          <w:sz w:val="22"/>
          <w:szCs w:val="22"/>
          <w:lang w:bidi="he-IL"/>
        </w:rPr>
        <w:t>(1954) (reprinted in 1954 U.S.C.C.A.N. 4621, 4629). The introductory materials to the respective House and Senate documents were mostly verbatim to one another.</w:t>
      </w:r>
    </w:p>
    <w:p w:rsidR="00475468" w:rsidRPr="00475468" w:rsidRDefault="00475468" w:rsidP="00475468">
      <w:pPr>
        <w:autoSpaceDE w:val="0"/>
        <w:autoSpaceDN w:val="0"/>
        <w:adjustRightInd w:val="0"/>
        <w:rPr>
          <w:rFonts w:asciiTheme="majorBidi" w:hAnsiTheme="majorBidi" w:cstheme="majorBidi"/>
          <w:sz w:val="22"/>
          <w:szCs w:val="22"/>
        </w:rPr>
      </w:pPr>
      <w:r w:rsidRPr="00475468">
        <w:rPr>
          <w:rFonts w:asciiTheme="majorBidi" w:eastAsiaTheme="minorHAnsi" w:hAnsiTheme="majorBidi" w:cstheme="majorBidi"/>
          <w:sz w:val="22"/>
          <w:szCs w:val="22"/>
          <w:lang w:bidi="he-IL"/>
        </w:rPr>
        <w:tab/>
        <w:t>The Tax Reform Act of 1986, Pub. L. 99-514, 100 Stat. 2095 (1986), redesignated the Internal Revenue Code of 1954 as the Internal Revenue Code of 1986, retaining consistency in most of the section numbers and providing that except where inappropriate, official reference to one shall entail reference to the other. The 1986 Code was “not intended to change any substantive provision of the [1954 Code] not otherwise modified by [the Tax Reform Act of 1986],” H.R. Conf. Rep. No. 99-841at II-837 (reprinted in 1986 U.S.C.C.A.N. 4925).</w:t>
      </w:r>
    </w:p>
    <w:p w:rsidR="00475468" w:rsidRPr="00475468" w:rsidRDefault="00475468" w:rsidP="00475468">
      <w:pPr>
        <w:rPr>
          <w:rFonts w:asciiTheme="majorBidi" w:hAnsiTheme="majorBidi" w:cstheme="majorBidi"/>
          <w:sz w:val="22"/>
          <w:szCs w:val="22"/>
        </w:rPr>
      </w:pPr>
    </w:p>
  </w:footnote>
  <w:footnote w:id="44">
    <w:p w:rsidR="00EA1BDB" w:rsidRPr="00EA1BDB" w:rsidRDefault="00EA1BDB" w:rsidP="00EA1BDB">
      <w:pPr>
        <w:pStyle w:val="Heading2"/>
        <w:spacing w:before="0"/>
        <w:rPr>
          <w:rFonts w:asciiTheme="majorBidi" w:hAnsiTheme="majorBidi"/>
          <w:b w:val="0"/>
          <w:bCs w:val="0"/>
          <w:color w:val="auto"/>
          <w:sz w:val="22"/>
          <w:szCs w:val="22"/>
        </w:rPr>
      </w:pPr>
      <w:r w:rsidRPr="00CA5F07">
        <w:rPr>
          <w:rStyle w:val="FootnoteReference"/>
          <w:rFonts w:asciiTheme="majorBidi" w:hAnsiTheme="majorBidi"/>
          <w:b w:val="0"/>
          <w:bCs w:val="0"/>
          <w:color w:val="auto"/>
          <w:sz w:val="22"/>
          <w:szCs w:val="22"/>
        </w:rPr>
        <w:footnoteRef/>
      </w:r>
      <w:r w:rsidRPr="00EA1BDB">
        <w:rPr>
          <w:rFonts w:asciiTheme="majorBidi" w:hAnsiTheme="majorBidi"/>
          <w:b w:val="0"/>
          <w:bCs w:val="0"/>
          <w:color w:val="auto"/>
          <w:sz w:val="22"/>
          <w:szCs w:val="22"/>
        </w:rPr>
        <w:t xml:space="preserve">  </w:t>
      </w:r>
      <w:r w:rsidRPr="00EA1BDB">
        <w:rPr>
          <w:rStyle w:val="verdana"/>
          <w:rFonts w:asciiTheme="majorBidi" w:hAnsiTheme="majorBidi"/>
          <w:b w:val="0"/>
          <w:bCs w:val="0"/>
          <w:i/>
          <w:iCs/>
          <w:color w:val="auto"/>
          <w:sz w:val="22"/>
          <w:szCs w:val="22"/>
        </w:rPr>
        <w:t>In re</w:t>
      </w:r>
      <w:r w:rsidRPr="00EA1BDB">
        <w:rPr>
          <w:rStyle w:val="verdana"/>
          <w:rFonts w:asciiTheme="majorBidi" w:hAnsiTheme="majorBidi"/>
          <w:b w:val="0"/>
          <w:bCs w:val="0"/>
          <w:color w:val="auto"/>
          <w:sz w:val="22"/>
          <w:szCs w:val="22"/>
        </w:rPr>
        <w:t xml:space="preserve"> Stransky, </w:t>
      </w:r>
      <w:r w:rsidRPr="00EA1BDB">
        <w:rPr>
          <w:rFonts w:asciiTheme="majorBidi" w:hAnsiTheme="majorBidi"/>
          <w:b w:val="0"/>
          <w:bCs w:val="0"/>
          <w:color w:val="auto"/>
          <w:sz w:val="22"/>
          <w:szCs w:val="22"/>
        </w:rPr>
        <w:t xml:space="preserve">431 Mass. 678, 729 N.E.2d 1085 (Mass. 2000); </w:t>
      </w:r>
      <w:r w:rsidRPr="00EA1BDB">
        <w:rPr>
          <w:rStyle w:val="verdana"/>
          <w:rFonts w:asciiTheme="majorBidi" w:hAnsiTheme="majorBidi"/>
          <w:b w:val="0"/>
          <w:bCs w:val="0"/>
          <w:color w:val="auto"/>
          <w:sz w:val="22"/>
          <w:szCs w:val="22"/>
        </w:rPr>
        <w:t xml:space="preserve">Matter of Anonymous, </w:t>
      </w:r>
      <w:r w:rsidRPr="00EA1BDB">
        <w:rPr>
          <w:rFonts w:asciiTheme="majorBidi" w:hAnsiTheme="majorBidi"/>
          <w:b w:val="0"/>
          <w:bCs w:val="0"/>
          <w:color w:val="auto"/>
          <w:sz w:val="22"/>
          <w:szCs w:val="22"/>
        </w:rPr>
        <w:t>Defense Office of Hearings &amp; Appeals, Case No. 02-10280 (14 July 2004). &lt;</w:t>
      </w:r>
      <w:hyperlink r:id="rId12" w:history="1">
        <w:r w:rsidRPr="00EA1BDB">
          <w:rPr>
            <w:rStyle w:val="Hyperlink"/>
            <w:rFonts w:asciiTheme="majorBidi" w:hAnsiTheme="majorBidi"/>
            <w:b w:val="0"/>
            <w:bCs w:val="0"/>
            <w:sz w:val="22"/>
            <w:szCs w:val="22"/>
          </w:rPr>
          <w:t>http://www.dod.mil/dodgc/doha/industrial/02-10280.h1.html</w:t>
        </w:r>
      </w:hyperlink>
      <w:r w:rsidRPr="00EA1BDB">
        <w:rPr>
          <w:rFonts w:asciiTheme="majorBidi" w:hAnsiTheme="majorBidi"/>
          <w:b w:val="0"/>
          <w:bCs w:val="0"/>
          <w:color w:val="auto"/>
          <w:sz w:val="22"/>
          <w:szCs w:val="22"/>
        </w:rPr>
        <w:t>&gt;.</w:t>
      </w:r>
    </w:p>
    <w:p w:rsidR="00EA1BDB" w:rsidRPr="00EA1BDB" w:rsidRDefault="00EA1BDB" w:rsidP="00EA1BDB">
      <w:pPr>
        <w:rPr>
          <w:rFonts w:asciiTheme="majorBidi" w:hAnsiTheme="majorBidi" w:cstheme="majorBidi"/>
          <w:sz w:val="22"/>
          <w:szCs w:val="22"/>
        </w:rPr>
      </w:pPr>
    </w:p>
  </w:footnote>
  <w:footnote w:id="45">
    <w:p w:rsidR="00DC1BCD" w:rsidRPr="00182FC5" w:rsidRDefault="00DC1BCD" w:rsidP="00182FC5">
      <w:pPr>
        <w:rPr>
          <w:sz w:val="22"/>
          <w:szCs w:val="22"/>
        </w:rPr>
      </w:pPr>
      <w:r w:rsidRPr="00DA082D">
        <w:rPr>
          <w:rStyle w:val="FootnoteReference"/>
          <w:rFonts w:asciiTheme="majorBidi" w:hAnsiTheme="majorBidi"/>
          <w:sz w:val="22"/>
          <w:szCs w:val="22"/>
        </w:rPr>
        <w:footnoteRef/>
      </w:r>
      <w:r w:rsidRPr="00DA082D">
        <w:rPr>
          <w:rFonts w:asciiTheme="majorBidi" w:hAnsiTheme="majorBidi"/>
          <w:sz w:val="22"/>
          <w:szCs w:val="22"/>
        </w:rPr>
        <w:t xml:space="preserve"> </w:t>
      </w:r>
      <w:r w:rsidRPr="00DA082D">
        <w:rPr>
          <w:rFonts w:asciiTheme="majorBidi" w:hAnsiTheme="majorBidi"/>
          <w:i/>
          <w:iCs/>
          <w:sz w:val="22"/>
          <w:szCs w:val="22"/>
        </w:rPr>
        <w:t>See, e.g.</w:t>
      </w:r>
      <w:r w:rsidRPr="00DA082D">
        <w:rPr>
          <w:rFonts w:asciiTheme="majorBidi" w:hAnsiTheme="majorBidi"/>
          <w:sz w:val="22"/>
          <w:szCs w:val="22"/>
        </w:rPr>
        <w:t xml:space="preserve"> </w:t>
      </w:r>
      <w:r>
        <w:rPr>
          <w:rFonts w:asciiTheme="majorBidi" w:hAnsiTheme="majorBidi"/>
          <w:sz w:val="22"/>
          <w:szCs w:val="22"/>
        </w:rPr>
        <w:t xml:space="preserve">1 (U.S.) National Taxpayer Advocate, 2016 Annual Report to Congress, n. 17 at p. 278 and accompanying text; </w:t>
      </w:r>
      <w:r>
        <w:rPr>
          <w:rFonts w:asciiTheme="majorBidi" w:hAnsiTheme="majorBidi"/>
          <w:i/>
          <w:iCs/>
          <w:sz w:val="22"/>
          <w:szCs w:val="22"/>
        </w:rPr>
        <w:t>id.</w:t>
      </w:r>
      <w:r>
        <w:rPr>
          <w:rFonts w:asciiTheme="majorBidi" w:hAnsiTheme="majorBidi"/>
          <w:sz w:val="22"/>
          <w:szCs w:val="22"/>
        </w:rPr>
        <w:t>,  p. 304 &lt;</w:t>
      </w:r>
      <w:hyperlink r:id="rId13" w:history="1">
        <w:r w:rsidRPr="00A75A60">
          <w:rPr>
            <w:rStyle w:val="Hyperlink"/>
            <w:rFonts w:asciiTheme="majorBidi" w:hAnsiTheme="majorBidi"/>
            <w:sz w:val="22"/>
            <w:szCs w:val="22"/>
          </w:rPr>
          <w:t>https://taxpayeradvocate.irs.gov/Media/Default/Documents/2016-ARC/ARC16_Volume1.pdf</w:t>
        </w:r>
      </w:hyperlink>
      <w:r>
        <w:rPr>
          <w:rFonts w:asciiTheme="majorBidi" w:hAnsiTheme="majorBidi"/>
          <w:sz w:val="22"/>
          <w:szCs w:val="22"/>
        </w:rPr>
        <w:t>&gt;</w:t>
      </w:r>
      <w:r w:rsidR="000529DE">
        <w:rPr>
          <w:rFonts w:asciiTheme="majorBidi" w:hAnsiTheme="majorBidi"/>
          <w:b/>
          <w:bCs/>
          <w:sz w:val="22"/>
          <w:szCs w:val="22"/>
        </w:rPr>
        <w:t xml:space="preserve">; </w:t>
      </w:r>
      <w:r w:rsidR="000529DE" w:rsidRPr="00316F27">
        <w:rPr>
          <w:sz w:val="22"/>
          <w:szCs w:val="22"/>
        </w:rPr>
        <w:t>David Brunori,</w:t>
      </w:r>
      <w:r w:rsidR="000529DE" w:rsidRPr="00316F27">
        <w:rPr>
          <w:rStyle w:val="verdana"/>
          <w:sz w:val="22"/>
          <w:szCs w:val="22"/>
        </w:rPr>
        <w:t>"</w:t>
      </w:r>
      <w:r w:rsidR="000529DE" w:rsidRPr="00316F27">
        <w:rPr>
          <w:rStyle w:val="italic"/>
          <w:sz w:val="22"/>
          <w:szCs w:val="22"/>
        </w:rPr>
        <w:t>Qui Tam</w:t>
      </w:r>
      <w:r w:rsidR="000529DE" w:rsidRPr="00316F27">
        <w:rPr>
          <w:rStyle w:val="verdana"/>
          <w:sz w:val="22"/>
          <w:szCs w:val="22"/>
        </w:rPr>
        <w:t xml:space="preserve"> and a Nation of Rats," </w:t>
      </w:r>
      <w:r w:rsidR="000529DE" w:rsidRPr="00316F27">
        <w:rPr>
          <w:rStyle w:val="italic"/>
          <w:sz w:val="22"/>
          <w:szCs w:val="22"/>
        </w:rPr>
        <w:t>State Tax Notes</w:t>
      </w:r>
      <w:r w:rsidR="000529DE" w:rsidRPr="00316F27">
        <w:rPr>
          <w:rStyle w:val="verdana"/>
          <w:sz w:val="22"/>
          <w:szCs w:val="22"/>
        </w:rPr>
        <w:t>, 12 October 2015, p. 147 (Doc 2015-22237).</w:t>
      </w:r>
    </w:p>
    <w:p w:rsidR="00DC1BCD" w:rsidRPr="00587FAB" w:rsidRDefault="00DC1BCD" w:rsidP="00DC1BCD">
      <w:pPr>
        <w:rPr>
          <w:rFonts w:asciiTheme="majorBidi" w:hAnsiTheme="majorBidi" w:cstheme="majorBidi"/>
          <w:sz w:val="22"/>
          <w:szCs w:val="22"/>
        </w:rPr>
      </w:pPr>
    </w:p>
  </w:footnote>
  <w:footnote w:id="46">
    <w:p w:rsidR="00ED3971" w:rsidRPr="009E777F" w:rsidRDefault="004D241B" w:rsidP="009E777F">
      <w:pPr>
        <w:pStyle w:val="Heading1"/>
        <w:shd w:val="clear" w:color="auto" w:fill="FFFFFF" w:themeFill="background1"/>
        <w:spacing w:before="0" w:beforeAutospacing="0" w:after="0" w:afterAutospacing="0"/>
        <w:rPr>
          <w:b w:val="0"/>
          <w:bCs w:val="0"/>
          <w:sz w:val="22"/>
          <w:szCs w:val="22"/>
        </w:rPr>
      </w:pPr>
      <w:r w:rsidRPr="009E777F">
        <w:rPr>
          <w:rStyle w:val="FootnoteReference"/>
          <w:rFonts w:asciiTheme="majorBidi" w:hAnsiTheme="majorBidi"/>
          <w:b w:val="0"/>
          <w:bCs w:val="0"/>
          <w:sz w:val="22"/>
          <w:szCs w:val="22"/>
        </w:rPr>
        <w:footnoteRef/>
      </w:r>
      <w:r w:rsidRPr="009E777F">
        <w:rPr>
          <w:rFonts w:asciiTheme="majorBidi" w:hAnsiTheme="majorBidi"/>
          <w:b w:val="0"/>
          <w:bCs w:val="0"/>
          <w:sz w:val="22"/>
          <w:szCs w:val="22"/>
        </w:rPr>
        <w:t xml:space="preserve"> </w:t>
      </w:r>
      <w:r w:rsidR="00ED3971" w:rsidRPr="009E777F">
        <w:rPr>
          <w:rFonts w:asciiTheme="majorBidi" w:hAnsiTheme="majorBidi" w:cstheme="majorBidi"/>
          <w:b w:val="0"/>
          <w:bCs w:val="0"/>
          <w:i/>
          <w:iCs/>
          <w:sz w:val="22"/>
          <w:szCs w:val="22"/>
        </w:rPr>
        <w:t>See, e.g.</w:t>
      </w:r>
      <w:r w:rsidR="00ED3971" w:rsidRPr="009E777F">
        <w:rPr>
          <w:rFonts w:asciiTheme="majorBidi" w:hAnsiTheme="majorBidi" w:cstheme="majorBidi"/>
          <w:b w:val="0"/>
          <w:bCs w:val="0"/>
          <w:sz w:val="22"/>
          <w:szCs w:val="22"/>
        </w:rPr>
        <w:t xml:space="preserve">, </w:t>
      </w:r>
      <w:r w:rsidR="00ED3971" w:rsidRPr="009E777F">
        <w:rPr>
          <w:rFonts w:asciiTheme="majorBidi" w:eastAsiaTheme="minorHAnsi" w:hAnsiTheme="majorBidi" w:cstheme="majorBidi"/>
          <w:b w:val="0"/>
          <w:bCs w:val="0"/>
          <w:sz w:val="22"/>
          <w:szCs w:val="22"/>
        </w:rPr>
        <w:t>IRS Whistleblower Program,  Fiscal Year 2016 Annual Report to the Congress</w:t>
      </w:r>
      <w:r w:rsidR="00DA09D3" w:rsidRPr="009E777F">
        <w:rPr>
          <w:rFonts w:asciiTheme="majorBidi" w:eastAsiaTheme="minorHAnsi" w:hAnsiTheme="majorBidi" w:cstheme="majorBidi"/>
          <w:b w:val="0"/>
          <w:bCs w:val="0"/>
          <w:sz w:val="22"/>
          <w:szCs w:val="22"/>
        </w:rPr>
        <w:t>,</w:t>
      </w:r>
      <w:r w:rsidR="00ED3971" w:rsidRPr="009E777F">
        <w:rPr>
          <w:rFonts w:asciiTheme="majorBidi" w:eastAsiaTheme="minorHAnsi" w:hAnsiTheme="majorBidi" w:cstheme="majorBidi"/>
          <w:b w:val="0"/>
          <w:bCs w:val="0"/>
          <w:sz w:val="22"/>
          <w:szCs w:val="22"/>
        </w:rPr>
        <w:t xml:space="preserve"> &lt;</w:t>
      </w:r>
      <w:hyperlink r:id="rId14" w:history="1">
        <w:r w:rsidR="00ED3971" w:rsidRPr="009E777F">
          <w:rPr>
            <w:rStyle w:val="Hyperlink"/>
            <w:rFonts w:asciiTheme="majorBidi" w:eastAsiaTheme="minorHAnsi" w:hAnsiTheme="majorBidi" w:cstheme="majorBidi"/>
            <w:b w:val="0"/>
            <w:bCs w:val="0"/>
            <w:sz w:val="22"/>
            <w:szCs w:val="22"/>
          </w:rPr>
          <w:t>https://www.irs.gov/pub/whistleblower/fy16_wo_annual_report_final.pdf</w:t>
        </w:r>
      </w:hyperlink>
      <w:r w:rsidR="009E777F" w:rsidRPr="009E777F">
        <w:rPr>
          <w:rFonts w:asciiTheme="majorBidi" w:eastAsiaTheme="minorHAnsi" w:hAnsiTheme="majorBidi" w:cstheme="majorBidi"/>
          <w:b w:val="0"/>
          <w:bCs w:val="0"/>
          <w:sz w:val="22"/>
          <w:szCs w:val="22"/>
        </w:rPr>
        <w:t xml:space="preserve">&gt;; </w:t>
      </w:r>
      <w:r w:rsidR="009E777F" w:rsidRPr="009E777F">
        <w:rPr>
          <w:rFonts w:asciiTheme="majorBidi" w:eastAsiaTheme="minorHAnsi" w:hAnsiTheme="majorBidi" w:cstheme="majorBidi"/>
          <w:b w:val="0"/>
          <w:bCs w:val="0"/>
          <w:i/>
          <w:iCs/>
          <w:sz w:val="22"/>
          <w:szCs w:val="22"/>
        </w:rPr>
        <w:t>see also</w:t>
      </w:r>
      <w:r w:rsidR="009E777F" w:rsidRPr="009E777F">
        <w:rPr>
          <w:rFonts w:asciiTheme="majorBidi" w:eastAsiaTheme="minorHAnsi" w:hAnsiTheme="majorBidi" w:cstheme="majorBidi"/>
          <w:b w:val="0"/>
          <w:bCs w:val="0"/>
          <w:sz w:val="22"/>
          <w:szCs w:val="22"/>
        </w:rPr>
        <w:t xml:space="preserve"> </w:t>
      </w:r>
      <w:r w:rsidR="009E777F" w:rsidRPr="00D63256">
        <w:rPr>
          <w:b w:val="0"/>
          <w:bCs w:val="0"/>
          <w:sz w:val="22"/>
          <w:szCs w:val="22"/>
        </w:rPr>
        <w:t xml:space="preserve">Hillary Stout, "Taxpayer Rights' Legislation of '88 Gets Mixed Review," Wall Street Journal, 9 April 1990, p. A-14 </w:t>
      </w:r>
      <w:r w:rsidR="009E777F" w:rsidRPr="00D63256">
        <w:rPr>
          <w:rStyle w:val="titleauthoretc"/>
          <w:b w:val="0"/>
          <w:bCs w:val="0"/>
          <w:sz w:val="22"/>
          <w:szCs w:val="22"/>
        </w:rPr>
        <w:t>(</w:t>
      </w:r>
      <w:r w:rsidR="009E777F" w:rsidRPr="00D63256">
        <w:rPr>
          <w:b w:val="0"/>
          <w:bCs w:val="0"/>
          <w:sz w:val="22"/>
          <w:szCs w:val="22"/>
        </w:rPr>
        <w:t xml:space="preserve">Reporting that Senator David Pryor "cited claims by a California businessman that an </w:t>
      </w:r>
      <w:r w:rsidR="009E777F" w:rsidRPr="00D63256">
        <w:rPr>
          <w:rStyle w:val="hit"/>
          <w:b w:val="0"/>
          <w:bCs w:val="0"/>
          <w:color w:val="000000"/>
          <w:sz w:val="22"/>
          <w:szCs w:val="22"/>
        </w:rPr>
        <w:t>IRS</w:t>
      </w:r>
      <w:r w:rsidR="009E777F" w:rsidRPr="00D63256">
        <w:rPr>
          <w:b w:val="0"/>
          <w:bCs w:val="0"/>
          <w:sz w:val="22"/>
          <w:szCs w:val="22"/>
        </w:rPr>
        <w:t xml:space="preserve"> agent there encouraged a group of businessmen </w:t>
      </w:r>
      <w:r w:rsidR="009E777F" w:rsidRPr="00D63256">
        <w:rPr>
          <w:rStyle w:val="hit"/>
          <w:b w:val="0"/>
          <w:bCs w:val="0"/>
          <w:color w:val="000000"/>
          <w:sz w:val="22"/>
          <w:szCs w:val="22"/>
        </w:rPr>
        <w:t>to</w:t>
      </w:r>
      <w:r w:rsidR="009E777F" w:rsidRPr="00D63256">
        <w:rPr>
          <w:b w:val="0"/>
          <w:bCs w:val="0"/>
          <w:sz w:val="22"/>
          <w:szCs w:val="22"/>
        </w:rPr>
        <w:t xml:space="preserve"> '</w:t>
      </w:r>
      <w:r w:rsidR="009E777F" w:rsidRPr="00D63256">
        <w:rPr>
          <w:rStyle w:val="hit"/>
          <w:b w:val="0"/>
          <w:bCs w:val="0"/>
          <w:color w:val="000000"/>
          <w:sz w:val="22"/>
          <w:szCs w:val="22"/>
        </w:rPr>
        <w:t>snitch</w:t>
      </w:r>
      <w:r w:rsidR="009E777F" w:rsidRPr="00D63256">
        <w:rPr>
          <w:b w:val="0"/>
          <w:bCs w:val="0"/>
          <w:sz w:val="22"/>
          <w:szCs w:val="22"/>
        </w:rPr>
        <w:t xml:space="preserve">' on competitors who cheat. 'I don't want </w:t>
      </w:r>
      <w:r w:rsidR="009E777F" w:rsidRPr="00D63256">
        <w:rPr>
          <w:rStyle w:val="hit"/>
          <w:b w:val="0"/>
          <w:bCs w:val="0"/>
          <w:color w:val="000000"/>
          <w:sz w:val="22"/>
          <w:szCs w:val="22"/>
        </w:rPr>
        <w:t>to</w:t>
      </w:r>
      <w:r w:rsidR="009E777F" w:rsidRPr="00D63256">
        <w:rPr>
          <w:b w:val="0"/>
          <w:bCs w:val="0"/>
          <w:sz w:val="22"/>
          <w:szCs w:val="22"/>
        </w:rPr>
        <w:t xml:space="preserve"> ever see any program established in this country that creates an underground network of </w:t>
      </w:r>
      <w:r w:rsidR="009E777F" w:rsidRPr="00D63256">
        <w:rPr>
          <w:rStyle w:val="hit"/>
          <w:b w:val="0"/>
          <w:bCs w:val="0"/>
          <w:color w:val="000000"/>
          <w:sz w:val="22"/>
          <w:szCs w:val="22"/>
        </w:rPr>
        <w:t>IRS</w:t>
      </w:r>
      <w:r w:rsidR="009E777F" w:rsidRPr="00D63256">
        <w:rPr>
          <w:b w:val="0"/>
          <w:bCs w:val="0"/>
          <w:sz w:val="22"/>
          <w:szCs w:val="22"/>
        </w:rPr>
        <w:t xml:space="preserve"> spies that encourages neighbor </w:t>
      </w:r>
      <w:r w:rsidR="009E777F" w:rsidRPr="00D63256">
        <w:rPr>
          <w:rStyle w:val="hit"/>
          <w:b w:val="0"/>
          <w:bCs w:val="0"/>
          <w:color w:val="000000"/>
          <w:sz w:val="22"/>
          <w:szCs w:val="22"/>
        </w:rPr>
        <w:t>to</w:t>
      </w:r>
      <w:r w:rsidR="009E777F" w:rsidRPr="00D63256">
        <w:rPr>
          <w:b w:val="0"/>
          <w:bCs w:val="0"/>
          <w:sz w:val="22"/>
          <w:szCs w:val="22"/>
        </w:rPr>
        <w:t xml:space="preserve"> turn against neighbor</w:t>
      </w:r>
      <w:r w:rsidR="009E777F">
        <w:rPr>
          <w:b w:val="0"/>
          <w:bCs w:val="0"/>
          <w:sz w:val="22"/>
          <w:szCs w:val="22"/>
        </w:rPr>
        <w:t>.</w:t>
      </w:r>
      <w:r w:rsidR="009E777F" w:rsidRPr="00D63256">
        <w:rPr>
          <w:b w:val="0"/>
          <w:bCs w:val="0"/>
          <w:sz w:val="22"/>
          <w:szCs w:val="22"/>
        </w:rPr>
        <w:t>'"</w:t>
      </w:r>
    </w:p>
    <w:p w:rsidR="004D241B" w:rsidRPr="00587FAB" w:rsidRDefault="004D241B" w:rsidP="004D241B">
      <w:pPr>
        <w:rPr>
          <w:rFonts w:asciiTheme="majorBidi" w:hAnsiTheme="majorBidi" w:cstheme="majorBidi"/>
          <w:sz w:val="22"/>
          <w:szCs w:val="22"/>
        </w:rPr>
      </w:pPr>
    </w:p>
  </w:footnote>
  <w:footnote w:id="47">
    <w:p w:rsidR="00D31990" w:rsidRPr="00D87390" w:rsidRDefault="00D31990" w:rsidP="00D87390">
      <w:pPr>
        <w:pStyle w:val="Heading3"/>
        <w:spacing w:before="0"/>
        <w:rPr>
          <w:rFonts w:asciiTheme="majorBidi" w:hAnsiTheme="majorBidi"/>
          <w:b w:val="0"/>
          <w:bCs w:val="0"/>
          <w:i/>
          <w:iCs/>
          <w:color w:val="auto"/>
          <w:sz w:val="22"/>
          <w:szCs w:val="22"/>
        </w:rPr>
      </w:pPr>
      <w:r w:rsidRPr="007629A5">
        <w:rPr>
          <w:rStyle w:val="FootnoteReference"/>
          <w:rFonts w:asciiTheme="majorBidi" w:hAnsiTheme="majorBidi"/>
          <w:b w:val="0"/>
          <w:bCs w:val="0"/>
          <w:color w:val="auto"/>
          <w:sz w:val="22"/>
          <w:szCs w:val="22"/>
        </w:rPr>
        <w:footnoteRef/>
      </w:r>
      <w:r w:rsidRPr="00524BA5">
        <w:rPr>
          <w:rFonts w:asciiTheme="majorBidi" w:hAnsiTheme="majorBidi"/>
          <w:b w:val="0"/>
          <w:bCs w:val="0"/>
          <w:color w:val="auto"/>
          <w:sz w:val="22"/>
          <w:szCs w:val="22"/>
        </w:rPr>
        <w:t xml:space="preserve">  </w:t>
      </w:r>
      <w:r w:rsidRPr="00524BA5">
        <w:rPr>
          <w:rFonts w:asciiTheme="majorBidi" w:hAnsiTheme="majorBidi"/>
          <w:b w:val="0"/>
          <w:bCs w:val="0"/>
          <w:color w:val="auto"/>
          <w:sz w:val="22"/>
          <w:szCs w:val="22"/>
          <w:lang w:bidi="he-IL"/>
        </w:rPr>
        <w:t xml:space="preserve">Richard T. Ainsworth, Email Tax Scams: A Solution from Dubai, (2017 TNT 10-12, Doc 2016-23083), </w:t>
      </w:r>
      <w:r w:rsidRPr="00524BA5">
        <w:rPr>
          <w:rFonts w:asciiTheme="majorBidi" w:hAnsiTheme="majorBidi"/>
          <w:b w:val="0"/>
          <w:bCs w:val="0"/>
          <w:color w:val="auto"/>
          <w:sz w:val="22"/>
          <w:szCs w:val="22"/>
        </w:rPr>
        <w:t>154 Tax Notes 131 (2 January 2017)</w:t>
      </w:r>
      <w:r w:rsidR="00D87390">
        <w:rPr>
          <w:rFonts w:asciiTheme="majorBidi" w:hAnsiTheme="majorBidi"/>
          <w:b w:val="0"/>
          <w:bCs w:val="0"/>
          <w:color w:val="auto"/>
          <w:sz w:val="22"/>
          <w:szCs w:val="22"/>
        </w:rPr>
        <w:t>.</w:t>
      </w:r>
    </w:p>
    <w:p w:rsidR="00D31990" w:rsidRPr="00524BA5" w:rsidRDefault="00D31990" w:rsidP="00D31990">
      <w:pPr>
        <w:rPr>
          <w:rFonts w:asciiTheme="majorBidi" w:hAnsiTheme="majorBidi" w:cstheme="majorBidi"/>
          <w:sz w:val="22"/>
          <w:szCs w:val="22"/>
        </w:rPr>
      </w:pPr>
    </w:p>
  </w:footnote>
  <w:footnote w:id="48">
    <w:p w:rsidR="00B515D7" w:rsidRPr="005722A7" w:rsidRDefault="00B515D7" w:rsidP="00B515D7">
      <w:pPr>
        <w:rPr>
          <w:rStyle w:val="verdana"/>
          <w:sz w:val="22"/>
          <w:szCs w:val="22"/>
        </w:rPr>
      </w:pPr>
      <w:r w:rsidRPr="007629A5">
        <w:rPr>
          <w:rStyle w:val="FootnoteReference"/>
          <w:rFonts w:asciiTheme="majorBidi" w:hAnsiTheme="majorBidi"/>
          <w:sz w:val="22"/>
          <w:szCs w:val="22"/>
        </w:rPr>
        <w:footnoteRef/>
      </w:r>
      <w:r w:rsidRPr="00524BA5">
        <w:rPr>
          <w:rFonts w:asciiTheme="majorBidi" w:hAnsiTheme="majorBidi"/>
          <w:sz w:val="22"/>
          <w:szCs w:val="22"/>
        </w:rPr>
        <w:t xml:space="preserve">  </w:t>
      </w:r>
      <w:r w:rsidRPr="005722A7">
        <w:rPr>
          <w:rStyle w:val="verdana"/>
          <w:sz w:val="22"/>
          <w:szCs w:val="22"/>
        </w:rPr>
        <w:t> </w:t>
      </w:r>
      <w:r w:rsidRPr="005722A7">
        <w:rPr>
          <w:rStyle w:val="verdana"/>
          <w:i/>
          <w:iCs/>
          <w:sz w:val="22"/>
          <w:szCs w:val="22"/>
        </w:rPr>
        <w:t>See, e.g.</w:t>
      </w:r>
      <w:r w:rsidRPr="005722A7">
        <w:rPr>
          <w:rStyle w:val="verdana"/>
          <w:sz w:val="22"/>
          <w:szCs w:val="22"/>
        </w:rPr>
        <w:t xml:space="preserve">, Year in Review: The 2009 Person of the Year, 2010 TNT 1-3, Doc 2009-28454 (29 December 2009) ("Tax Analysts chooses former UBS banker Bradley </w:t>
      </w:r>
      <w:r w:rsidRPr="005722A7">
        <w:rPr>
          <w:rStyle w:val="hit"/>
          <w:sz w:val="22"/>
          <w:szCs w:val="22"/>
        </w:rPr>
        <w:t>Birkenfeld</w:t>
      </w:r>
      <w:r w:rsidRPr="005722A7">
        <w:rPr>
          <w:rStyle w:val="verdana"/>
          <w:sz w:val="22"/>
          <w:szCs w:val="22"/>
        </w:rPr>
        <w:t xml:space="preserve"> as its inaugural </w:t>
      </w:r>
      <w:r w:rsidRPr="005722A7">
        <w:rPr>
          <w:rStyle w:val="hit"/>
          <w:sz w:val="22"/>
          <w:szCs w:val="22"/>
        </w:rPr>
        <w:t>tax person of the year</w:t>
      </w:r>
      <w:r w:rsidRPr="005722A7">
        <w:rPr>
          <w:rStyle w:val="verdana"/>
          <w:sz w:val="22"/>
          <w:szCs w:val="22"/>
        </w:rPr>
        <w:t xml:space="preserve"> for 2009").</w:t>
      </w:r>
    </w:p>
    <w:p w:rsidR="00B515D7" w:rsidRPr="00524BA5" w:rsidRDefault="00B515D7" w:rsidP="00B515D7">
      <w:pPr>
        <w:rPr>
          <w:rFonts w:asciiTheme="majorBidi" w:hAnsiTheme="majorBidi"/>
          <w:sz w:val="22"/>
          <w:szCs w:val="22"/>
        </w:rPr>
      </w:pPr>
    </w:p>
  </w:footnote>
  <w:footnote w:id="49">
    <w:p w:rsidR="00B515D7" w:rsidRPr="00D87390" w:rsidRDefault="00B515D7" w:rsidP="00B515D7">
      <w:pPr>
        <w:rPr>
          <w:sz w:val="22"/>
          <w:szCs w:val="22"/>
        </w:rPr>
      </w:pPr>
      <w:r w:rsidRPr="007629A5">
        <w:rPr>
          <w:rStyle w:val="FootnoteReference"/>
          <w:rFonts w:asciiTheme="majorBidi" w:hAnsiTheme="majorBidi"/>
          <w:sz w:val="22"/>
          <w:szCs w:val="22"/>
        </w:rPr>
        <w:footnoteRef/>
      </w:r>
      <w:r w:rsidRPr="00524BA5">
        <w:rPr>
          <w:rFonts w:asciiTheme="majorBidi" w:hAnsiTheme="majorBidi"/>
          <w:sz w:val="22"/>
          <w:szCs w:val="22"/>
        </w:rPr>
        <w:t xml:space="preserve">  </w:t>
      </w:r>
      <w:r>
        <w:rPr>
          <w:rFonts w:asciiTheme="majorBidi" w:hAnsiTheme="majorBidi"/>
          <w:i/>
          <w:iCs/>
          <w:sz w:val="22"/>
          <w:szCs w:val="22"/>
        </w:rPr>
        <w:t>Cf, e,g,</w:t>
      </w:r>
      <w:r>
        <w:rPr>
          <w:rFonts w:asciiTheme="majorBidi" w:hAnsiTheme="majorBidi"/>
          <w:sz w:val="22"/>
          <w:szCs w:val="22"/>
        </w:rPr>
        <w:t xml:space="preserve"> </w:t>
      </w:r>
      <w:r w:rsidRPr="003425D0">
        <w:rPr>
          <w:rStyle w:val="verdana"/>
          <w:sz w:val="22"/>
          <w:szCs w:val="22"/>
        </w:rPr>
        <w:t xml:space="preserve">Jeremiah Coder, IRS Pays Birkenfeld $ 104 Million Whistleblower Award, (2012 TNT 177-1, Doc </w:t>
      </w:r>
      <w:r>
        <w:rPr>
          <w:rStyle w:val="verdana"/>
          <w:sz w:val="22"/>
          <w:szCs w:val="22"/>
        </w:rPr>
        <w:t xml:space="preserve">2012-18996) (11 September 2012) </w:t>
      </w:r>
      <w:r>
        <w:rPr>
          <w:rStyle w:val="verdana"/>
          <w:i/>
          <w:iCs/>
          <w:sz w:val="22"/>
          <w:szCs w:val="22"/>
        </w:rPr>
        <w:t>with, e.g.</w:t>
      </w:r>
      <w:r w:rsidRPr="00D87390">
        <w:rPr>
          <w:rStyle w:val="verdana"/>
          <w:sz w:val="22"/>
          <w:szCs w:val="22"/>
        </w:rPr>
        <w:t xml:space="preserve"> </w:t>
      </w:r>
      <w:r w:rsidRPr="001E4104">
        <w:rPr>
          <w:rStyle w:val="verdana"/>
          <w:sz w:val="22"/>
          <w:szCs w:val="22"/>
        </w:rPr>
        <w:t xml:space="preserve">Attorneys Ask Obama to </w:t>
      </w:r>
      <w:bookmarkStart w:id="1" w:name="ORIGHIT_1"/>
      <w:bookmarkStart w:id="2" w:name="HIT_1"/>
      <w:bookmarkEnd w:id="1"/>
      <w:bookmarkEnd w:id="2"/>
      <w:r w:rsidRPr="001E4104">
        <w:rPr>
          <w:rStyle w:val="hit"/>
          <w:sz w:val="22"/>
          <w:szCs w:val="22"/>
        </w:rPr>
        <w:t>Pardon</w:t>
      </w:r>
      <w:r w:rsidRPr="001E4104">
        <w:rPr>
          <w:rStyle w:val="verdana"/>
          <w:sz w:val="22"/>
          <w:szCs w:val="22"/>
        </w:rPr>
        <w:t xml:space="preserve"> UBS Whistleblower, 20 TNT 73-42, Doc 2010-8338 (15 April 2010).</w:t>
      </w:r>
    </w:p>
    <w:p w:rsidR="00B515D7" w:rsidRPr="00524BA5" w:rsidRDefault="00B515D7" w:rsidP="00B515D7">
      <w:pPr>
        <w:pStyle w:val="Heading3"/>
        <w:spacing w:before="0"/>
        <w:rPr>
          <w:rFonts w:asciiTheme="majorBidi" w:hAnsiTheme="majorBid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1F" w:rsidRDefault="001A1C1F" w:rsidP="001A1C1F">
    <w:pPr>
      <w:pStyle w:val="Header"/>
      <w:jc w:val="center"/>
    </w:pPr>
    <w:r w:rsidRPr="00350CFD">
      <w:rPr>
        <w:rFonts w:ascii="Arial" w:hAnsi="Arial" w:cs="Arial"/>
        <w:b/>
        <w:bCs/>
        <w:sz w:val="22"/>
        <w:szCs w:val="22"/>
      </w:rPr>
      <w:t xml:space="preserve">Kenneth H. Ryesky    </w:t>
    </w:r>
    <w:r>
      <w:rPr>
        <w:rFonts w:ascii="Arial" w:hAnsi="Arial" w:cs="Arial"/>
        <w:b/>
        <w:bCs/>
        <w:sz w:val="22"/>
        <w:szCs w:val="22"/>
      </w:rPr>
      <w:t xml:space="preserve">Australia Whistleblower Consultation Commentary     Page </w:t>
    </w:r>
    <w:r>
      <w:rPr>
        <w:rStyle w:val="PageNumber"/>
      </w:rPr>
      <w:fldChar w:fldCharType="begin"/>
    </w:r>
    <w:r>
      <w:rPr>
        <w:rStyle w:val="PageNumber"/>
      </w:rPr>
      <w:instrText xml:space="preserve"> PAGE </w:instrText>
    </w:r>
    <w:r>
      <w:rPr>
        <w:rStyle w:val="PageNumber"/>
      </w:rPr>
      <w:fldChar w:fldCharType="separate"/>
    </w:r>
    <w:r w:rsidR="00255A41">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1F"/>
    <w:rsid w:val="00000191"/>
    <w:rsid w:val="00000215"/>
    <w:rsid w:val="00000582"/>
    <w:rsid w:val="000009DB"/>
    <w:rsid w:val="00000BD4"/>
    <w:rsid w:val="00000C12"/>
    <w:rsid w:val="00001417"/>
    <w:rsid w:val="00001C77"/>
    <w:rsid w:val="00001EDA"/>
    <w:rsid w:val="0000264E"/>
    <w:rsid w:val="00002BC3"/>
    <w:rsid w:val="00002CE0"/>
    <w:rsid w:val="00002DE9"/>
    <w:rsid w:val="00002E2B"/>
    <w:rsid w:val="000032F2"/>
    <w:rsid w:val="00003458"/>
    <w:rsid w:val="00003D09"/>
    <w:rsid w:val="00003F6B"/>
    <w:rsid w:val="0000442A"/>
    <w:rsid w:val="00004453"/>
    <w:rsid w:val="00004956"/>
    <w:rsid w:val="00004EA0"/>
    <w:rsid w:val="0000573A"/>
    <w:rsid w:val="00005855"/>
    <w:rsid w:val="00005E34"/>
    <w:rsid w:val="00006D61"/>
    <w:rsid w:val="00006FFD"/>
    <w:rsid w:val="0000789E"/>
    <w:rsid w:val="00007C50"/>
    <w:rsid w:val="000105D9"/>
    <w:rsid w:val="00010E4B"/>
    <w:rsid w:val="00010EE0"/>
    <w:rsid w:val="00011009"/>
    <w:rsid w:val="00011099"/>
    <w:rsid w:val="000112D5"/>
    <w:rsid w:val="00011505"/>
    <w:rsid w:val="000117ED"/>
    <w:rsid w:val="00011A91"/>
    <w:rsid w:val="00011DD4"/>
    <w:rsid w:val="000121B6"/>
    <w:rsid w:val="00013072"/>
    <w:rsid w:val="0001335D"/>
    <w:rsid w:val="00013926"/>
    <w:rsid w:val="00013A15"/>
    <w:rsid w:val="00013C50"/>
    <w:rsid w:val="00014982"/>
    <w:rsid w:val="00014E7C"/>
    <w:rsid w:val="000152D8"/>
    <w:rsid w:val="000159AC"/>
    <w:rsid w:val="00016963"/>
    <w:rsid w:val="00017CDA"/>
    <w:rsid w:val="00017E09"/>
    <w:rsid w:val="00017F09"/>
    <w:rsid w:val="00020881"/>
    <w:rsid w:val="0002100C"/>
    <w:rsid w:val="00021645"/>
    <w:rsid w:val="000217D7"/>
    <w:rsid w:val="00021B55"/>
    <w:rsid w:val="00022080"/>
    <w:rsid w:val="00022364"/>
    <w:rsid w:val="00022891"/>
    <w:rsid w:val="0002342A"/>
    <w:rsid w:val="00023606"/>
    <w:rsid w:val="00023884"/>
    <w:rsid w:val="00023ED8"/>
    <w:rsid w:val="00024ACA"/>
    <w:rsid w:val="00024C93"/>
    <w:rsid w:val="000252A5"/>
    <w:rsid w:val="000256C4"/>
    <w:rsid w:val="00026A52"/>
    <w:rsid w:val="00027159"/>
    <w:rsid w:val="00027480"/>
    <w:rsid w:val="00027D8B"/>
    <w:rsid w:val="00030F7B"/>
    <w:rsid w:val="00030FA5"/>
    <w:rsid w:val="000312AA"/>
    <w:rsid w:val="000313E7"/>
    <w:rsid w:val="00031D88"/>
    <w:rsid w:val="000328D5"/>
    <w:rsid w:val="0003297C"/>
    <w:rsid w:val="00033046"/>
    <w:rsid w:val="00033369"/>
    <w:rsid w:val="000334E8"/>
    <w:rsid w:val="00033790"/>
    <w:rsid w:val="000339FE"/>
    <w:rsid w:val="00034050"/>
    <w:rsid w:val="000345A6"/>
    <w:rsid w:val="0003468A"/>
    <w:rsid w:val="00034802"/>
    <w:rsid w:val="00035205"/>
    <w:rsid w:val="000354B2"/>
    <w:rsid w:val="0003556D"/>
    <w:rsid w:val="00035BC9"/>
    <w:rsid w:val="0003689B"/>
    <w:rsid w:val="00036DE6"/>
    <w:rsid w:val="0003730A"/>
    <w:rsid w:val="000403CE"/>
    <w:rsid w:val="00040439"/>
    <w:rsid w:val="00040E4F"/>
    <w:rsid w:val="000413B3"/>
    <w:rsid w:val="000413F6"/>
    <w:rsid w:val="00041EBC"/>
    <w:rsid w:val="00041F92"/>
    <w:rsid w:val="0004217B"/>
    <w:rsid w:val="00042DAA"/>
    <w:rsid w:val="00043584"/>
    <w:rsid w:val="00043E30"/>
    <w:rsid w:val="00043EE3"/>
    <w:rsid w:val="00044039"/>
    <w:rsid w:val="0004421E"/>
    <w:rsid w:val="00044728"/>
    <w:rsid w:val="0004583A"/>
    <w:rsid w:val="000461C6"/>
    <w:rsid w:val="00046233"/>
    <w:rsid w:val="000467CD"/>
    <w:rsid w:val="00046932"/>
    <w:rsid w:val="000469FC"/>
    <w:rsid w:val="00046C30"/>
    <w:rsid w:val="00047294"/>
    <w:rsid w:val="0004753D"/>
    <w:rsid w:val="00047AE6"/>
    <w:rsid w:val="00047B37"/>
    <w:rsid w:val="00047E99"/>
    <w:rsid w:val="00050243"/>
    <w:rsid w:val="000514FA"/>
    <w:rsid w:val="000516FD"/>
    <w:rsid w:val="00051962"/>
    <w:rsid w:val="00051C67"/>
    <w:rsid w:val="00051DD7"/>
    <w:rsid w:val="00051E9E"/>
    <w:rsid w:val="000520AF"/>
    <w:rsid w:val="000525F8"/>
    <w:rsid w:val="000529DE"/>
    <w:rsid w:val="00052B01"/>
    <w:rsid w:val="0005303D"/>
    <w:rsid w:val="0005310D"/>
    <w:rsid w:val="0005419A"/>
    <w:rsid w:val="0005428F"/>
    <w:rsid w:val="000542DF"/>
    <w:rsid w:val="000559C9"/>
    <w:rsid w:val="00055E69"/>
    <w:rsid w:val="00056D97"/>
    <w:rsid w:val="00057520"/>
    <w:rsid w:val="0005773F"/>
    <w:rsid w:val="0005783D"/>
    <w:rsid w:val="00057BA9"/>
    <w:rsid w:val="00060F15"/>
    <w:rsid w:val="000613EC"/>
    <w:rsid w:val="000616C3"/>
    <w:rsid w:val="000617A4"/>
    <w:rsid w:val="000617F3"/>
    <w:rsid w:val="00061DAE"/>
    <w:rsid w:val="00061E7D"/>
    <w:rsid w:val="000624FE"/>
    <w:rsid w:val="00062584"/>
    <w:rsid w:val="00062B3A"/>
    <w:rsid w:val="000638DF"/>
    <w:rsid w:val="00063A65"/>
    <w:rsid w:val="00064BD9"/>
    <w:rsid w:val="00064FE2"/>
    <w:rsid w:val="000658D6"/>
    <w:rsid w:val="00065993"/>
    <w:rsid w:val="00065B89"/>
    <w:rsid w:val="00065CFF"/>
    <w:rsid w:val="00065F8D"/>
    <w:rsid w:val="00070790"/>
    <w:rsid w:val="00071A6F"/>
    <w:rsid w:val="00071D39"/>
    <w:rsid w:val="00071D41"/>
    <w:rsid w:val="00072A2F"/>
    <w:rsid w:val="00072D03"/>
    <w:rsid w:val="00072E81"/>
    <w:rsid w:val="000734D4"/>
    <w:rsid w:val="0007367E"/>
    <w:rsid w:val="00073AC5"/>
    <w:rsid w:val="00074670"/>
    <w:rsid w:val="00074A47"/>
    <w:rsid w:val="000753B9"/>
    <w:rsid w:val="00075D90"/>
    <w:rsid w:val="00076C56"/>
    <w:rsid w:val="00077798"/>
    <w:rsid w:val="00080922"/>
    <w:rsid w:val="00080E44"/>
    <w:rsid w:val="00081657"/>
    <w:rsid w:val="0008274C"/>
    <w:rsid w:val="00082AAB"/>
    <w:rsid w:val="00082E4C"/>
    <w:rsid w:val="000848F3"/>
    <w:rsid w:val="000851B0"/>
    <w:rsid w:val="0008545B"/>
    <w:rsid w:val="0008553E"/>
    <w:rsid w:val="00085993"/>
    <w:rsid w:val="00085B6D"/>
    <w:rsid w:val="00085BB1"/>
    <w:rsid w:val="0008674B"/>
    <w:rsid w:val="00086AFE"/>
    <w:rsid w:val="00086BED"/>
    <w:rsid w:val="00090D04"/>
    <w:rsid w:val="000920C2"/>
    <w:rsid w:val="00092E28"/>
    <w:rsid w:val="00092F99"/>
    <w:rsid w:val="000934C2"/>
    <w:rsid w:val="0009358C"/>
    <w:rsid w:val="00093C7F"/>
    <w:rsid w:val="000947F7"/>
    <w:rsid w:val="000949D3"/>
    <w:rsid w:val="00094CFD"/>
    <w:rsid w:val="00095869"/>
    <w:rsid w:val="00096079"/>
    <w:rsid w:val="000969E6"/>
    <w:rsid w:val="00096D04"/>
    <w:rsid w:val="000970E8"/>
    <w:rsid w:val="0009761C"/>
    <w:rsid w:val="000A0500"/>
    <w:rsid w:val="000A0544"/>
    <w:rsid w:val="000A0A0C"/>
    <w:rsid w:val="000A234A"/>
    <w:rsid w:val="000A241F"/>
    <w:rsid w:val="000A29EE"/>
    <w:rsid w:val="000A3216"/>
    <w:rsid w:val="000A3720"/>
    <w:rsid w:val="000A3A93"/>
    <w:rsid w:val="000A41B7"/>
    <w:rsid w:val="000A4520"/>
    <w:rsid w:val="000A4956"/>
    <w:rsid w:val="000A5F1E"/>
    <w:rsid w:val="000A6301"/>
    <w:rsid w:val="000A6A53"/>
    <w:rsid w:val="000A6EDF"/>
    <w:rsid w:val="000A70A6"/>
    <w:rsid w:val="000A73ED"/>
    <w:rsid w:val="000A788E"/>
    <w:rsid w:val="000A7B65"/>
    <w:rsid w:val="000B0DEF"/>
    <w:rsid w:val="000B1608"/>
    <w:rsid w:val="000B179B"/>
    <w:rsid w:val="000B2BE3"/>
    <w:rsid w:val="000B316F"/>
    <w:rsid w:val="000B3192"/>
    <w:rsid w:val="000B3847"/>
    <w:rsid w:val="000B3E4D"/>
    <w:rsid w:val="000B431D"/>
    <w:rsid w:val="000B43F7"/>
    <w:rsid w:val="000B4C36"/>
    <w:rsid w:val="000B50C7"/>
    <w:rsid w:val="000B513D"/>
    <w:rsid w:val="000B53DA"/>
    <w:rsid w:val="000B5971"/>
    <w:rsid w:val="000B5EBB"/>
    <w:rsid w:val="000B62AC"/>
    <w:rsid w:val="000B6B29"/>
    <w:rsid w:val="000B6D98"/>
    <w:rsid w:val="000B741A"/>
    <w:rsid w:val="000C13C3"/>
    <w:rsid w:val="000C146E"/>
    <w:rsid w:val="000C1F22"/>
    <w:rsid w:val="000C1FED"/>
    <w:rsid w:val="000C2106"/>
    <w:rsid w:val="000C25AF"/>
    <w:rsid w:val="000C26EA"/>
    <w:rsid w:val="000C2E3E"/>
    <w:rsid w:val="000C486A"/>
    <w:rsid w:val="000C4CEC"/>
    <w:rsid w:val="000C4D44"/>
    <w:rsid w:val="000C5CE6"/>
    <w:rsid w:val="000C62DF"/>
    <w:rsid w:val="000C6364"/>
    <w:rsid w:val="000C6454"/>
    <w:rsid w:val="000C6625"/>
    <w:rsid w:val="000C6A47"/>
    <w:rsid w:val="000C7EF2"/>
    <w:rsid w:val="000C7FD8"/>
    <w:rsid w:val="000D0566"/>
    <w:rsid w:val="000D0676"/>
    <w:rsid w:val="000D08D0"/>
    <w:rsid w:val="000D0932"/>
    <w:rsid w:val="000D0B77"/>
    <w:rsid w:val="000D0D5B"/>
    <w:rsid w:val="000D0F88"/>
    <w:rsid w:val="000D16A4"/>
    <w:rsid w:val="000D1962"/>
    <w:rsid w:val="000D199C"/>
    <w:rsid w:val="000D1D8E"/>
    <w:rsid w:val="000D21F4"/>
    <w:rsid w:val="000D254E"/>
    <w:rsid w:val="000D2741"/>
    <w:rsid w:val="000D36CE"/>
    <w:rsid w:val="000D4230"/>
    <w:rsid w:val="000D43BF"/>
    <w:rsid w:val="000D48A8"/>
    <w:rsid w:val="000D5B79"/>
    <w:rsid w:val="000D60DD"/>
    <w:rsid w:val="000D6580"/>
    <w:rsid w:val="000D67CF"/>
    <w:rsid w:val="000D6EC0"/>
    <w:rsid w:val="000D6EEF"/>
    <w:rsid w:val="000D7D41"/>
    <w:rsid w:val="000E03EC"/>
    <w:rsid w:val="000E0460"/>
    <w:rsid w:val="000E1674"/>
    <w:rsid w:val="000E19F1"/>
    <w:rsid w:val="000E2217"/>
    <w:rsid w:val="000E22FB"/>
    <w:rsid w:val="000E30C7"/>
    <w:rsid w:val="000E3766"/>
    <w:rsid w:val="000E392D"/>
    <w:rsid w:val="000E4B06"/>
    <w:rsid w:val="000E4C89"/>
    <w:rsid w:val="000E4DA6"/>
    <w:rsid w:val="000E50E1"/>
    <w:rsid w:val="000E5969"/>
    <w:rsid w:val="000E5A86"/>
    <w:rsid w:val="000E694F"/>
    <w:rsid w:val="000E69AB"/>
    <w:rsid w:val="000E6C5D"/>
    <w:rsid w:val="000E6DC2"/>
    <w:rsid w:val="000E76F4"/>
    <w:rsid w:val="000F01D5"/>
    <w:rsid w:val="000F031E"/>
    <w:rsid w:val="000F03C8"/>
    <w:rsid w:val="000F0628"/>
    <w:rsid w:val="000F077E"/>
    <w:rsid w:val="000F0CCE"/>
    <w:rsid w:val="000F1747"/>
    <w:rsid w:val="000F1A92"/>
    <w:rsid w:val="000F2442"/>
    <w:rsid w:val="000F284A"/>
    <w:rsid w:val="000F2D14"/>
    <w:rsid w:val="000F2E98"/>
    <w:rsid w:val="000F3260"/>
    <w:rsid w:val="000F3265"/>
    <w:rsid w:val="000F3807"/>
    <w:rsid w:val="000F3B06"/>
    <w:rsid w:val="000F3F3E"/>
    <w:rsid w:val="000F3F6B"/>
    <w:rsid w:val="000F494A"/>
    <w:rsid w:val="000F498F"/>
    <w:rsid w:val="000F5F73"/>
    <w:rsid w:val="000F736C"/>
    <w:rsid w:val="000F7434"/>
    <w:rsid w:val="000F7704"/>
    <w:rsid w:val="000F7BDF"/>
    <w:rsid w:val="001002EB"/>
    <w:rsid w:val="00100699"/>
    <w:rsid w:val="00100B67"/>
    <w:rsid w:val="00100B83"/>
    <w:rsid w:val="001015DA"/>
    <w:rsid w:val="00102202"/>
    <w:rsid w:val="001022E1"/>
    <w:rsid w:val="0010284E"/>
    <w:rsid w:val="00102AC5"/>
    <w:rsid w:val="00102E34"/>
    <w:rsid w:val="00103153"/>
    <w:rsid w:val="001032C4"/>
    <w:rsid w:val="001038C5"/>
    <w:rsid w:val="001041E8"/>
    <w:rsid w:val="00104442"/>
    <w:rsid w:val="00104D15"/>
    <w:rsid w:val="00105206"/>
    <w:rsid w:val="00105742"/>
    <w:rsid w:val="0010575B"/>
    <w:rsid w:val="00105AE8"/>
    <w:rsid w:val="00106212"/>
    <w:rsid w:val="001062B5"/>
    <w:rsid w:val="00106DF8"/>
    <w:rsid w:val="00107112"/>
    <w:rsid w:val="0010735C"/>
    <w:rsid w:val="0010753A"/>
    <w:rsid w:val="001075E4"/>
    <w:rsid w:val="00107966"/>
    <w:rsid w:val="00107E06"/>
    <w:rsid w:val="001107D1"/>
    <w:rsid w:val="00110B64"/>
    <w:rsid w:val="00111734"/>
    <w:rsid w:val="0011189B"/>
    <w:rsid w:val="00111B75"/>
    <w:rsid w:val="00111B8F"/>
    <w:rsid w:val="00111FCC"/>
    <w:rsid w:val="001124DD"/>
    <w:rsid w:val="001131B1"/>
    <w:rsid w:val="001137C3"/>
    <w:rsid w:val="001139EA"/>
    <w:rsid w:val="00113E45"/>
    <w:rsid w:val="00114858"/>
    <w:rsid w:val="00114B87"/>
    <w:rsid w:val="0011500B"/>
    <w:rsid w:val="00115077"/>
    <w:rsid w:val="001153A3"/>
    <w:rsid w:val="00115B2F"/>
    <w:rsid w:val="00115C96"/>
    <w:rsid w:val="00116072"/>
    <w:rsid w:val="0011626F"/>
    <w:rsid w:val="00116696"/>
    <w:rsid w:val="00116B07"/>
    <w:rsid w:val="0011719C"/>
    <w:rsid w:val="00120B10"/>
    <w:rsid w:val="00120D2C"/>
    <w:rsid w:val="001212D7"/>
    <w:rsid w:val="001219BF"/>
    <w:rsid w:val="00121B8A"/>
    <w:rsid w:val="00121C13"/>
    <w:rsid w:val="00122118"/>
    <w:rsid w:val="00122176"/>
    <w:rsid w:val="00122B66"/>
    <w:rsid w:val="00122C5E"/>
    <w:rsid w:val="00122E67"/>
    <w:rsid w:val="00123332"/>
    <w:rsid w:val="00123592"/>
    <w:rsid w:val="001236CD"/>
    <w:rsid w:val="001236F6"/>
    <w:rsid w:val="00124022"/>
    <w:rsid w:val="00124231"/>
    <w:rsid w:val="001264CE"/>
    <w:rsid w:val="001267D3"/>
    <w:rsid w:val="00126923"/>
    <w:rsid w:val="001271DD"/>
    <w:rsid w:val="0012753D"/>
    <w:rsid w:val="0012776F"/>
    <w:rsid w:val="00127FA6"/>
    <w:rsid w:val="0013054C"/>
    <w:rsid w:val="001307CF"/>
    <w:rsid w:val="00130D0A"/>
    <w:rsid w:val="00131E0F"/>
    <w:rsid w:val="00132335"/>
    <w:rsid w:val="00132BDF"/>
    <w:rsid w:val="00132CB0"/>
    <w:rsid w:val="00132E50"/>
    <w:rsid w:val="00133A4C"/>
    <w:rsid w:val="00133F79"/>
    <w:rsid w:val="00133F81"/>
    <w:rsid w:val="00135560"/>
    <w:rsid w:val="0013593F"/>
    <w:rsid w:val="00135B2F"/>
    <w:rsid w:val="001360A2"/>
    <w:rsid w:val="001363F8"/>
    <w:rsid w:val="00136423"/>
    <w:rsid w:val="001364A2"/>
    <w:rsid w:val="00136501"/>
    <w:rsid w:val="0013663C"/>
    <w:rsid w:val="00136916"/>
    <w:rsid w:val="00136E24"/>
    <w:rsid w:val="0014050A"/>
    <w:rsid w:val="0014066A"/>
    <w:rsid w:val="00141534"/>
    <w:rsid w:val="0014168E"/>
    <w:rsid w:val="001424AC"/>
    <w:rsid w:val="0014275A"/>
    <w:rsid w:val="001436BF"/>
    <w:rsid w:val="00144E7F"/>
    <w:rsid w:val="001451A8"/>
    <w:rsid w:val="00145E8B"/>
    <w:rsid w:val="00146D45"/>
    <w:rsid w:val="0014705A"/>
    <w:rsid w:val="00147BC2"/>
    <w:rsid w:val="00147E40"/>
    <w:rsid w:val="00147F2E"/>
    <w:rsid w:val="00147FD6"/>
    <w:rsid w:val="00150916"/>
    <w:rsid w:val="001509AB"/>
    <w:rsid w:val="00151389"/>
    <w:rsid w:val="00152E48"/>
    <w:rsid w:val="00153ABC"/>
    <w:rsid w:val="00153D84"/>
    <w:rsid w:val="00153F85"/>
    <w:rsid w:val="00154FB6"/>
    <w:rsid w:val="001558E2"/>
    <w:rsid w:val="00155D69"/>
    <w:rsid w:val="001567F8"/>
    <w:rsid w:val="00157D1A"/>
    <w:rsid w:val="00157E9C"/>
    <w:rsid w:val="00157EEC"/>
    <w:rsid w:val="00160481"/>
    <w:rsid w:val="00160499"/>
    <w:rsid w:val="00160954"/>
    <w:rsid w:val="00161134"/>
    <w:rsid w:val="00161355"/>
    <w:rsid w:val="001617D5"/>
    <w:rsid w:val="00161939"/>
    <w:rsid w:val="00161D91"/>
    <w:rsid w:val="00161ED4"/>
    <w:rsid w:val="001630DF"/>
    <w:rsid w:val="001635DB"/>
    <w:rsid w:val="001635F0"/>
    <w:rsid w:val="00163D9B"/>
    <w:rsid w:val="00164081"/>
    <w:rsid w:val="00164DEA"/>
    <w:rsid w:val="00164E96"/>
    <w:rsid w:val="00164FDC"/>
    <w:rsid w:val="001655B0"/>
    <w:rsid w:val="00166293"/>
    <w:rsid w:val="00166EBB"/>
    <w:rsid w:val="00167DDE"/>
    <w:rsid w:val="001701DE"/>
    <w:rsid w:val="00170F6F"/>
    <w:rsid w:val="00171A4E"/>
    <w:rsid w:val="00171AFE"/>
    <w:rsid w:val="0017203C"/>
    <w:rsid w:val="00172587"/>
    <w:rsid w:val="001731C7"/>
    <w:rsid w:val="00173338"/>
    <w:rsid w:val="001736ED"/>
    <w:rsid w:val="001738B6"/>
    <w:rsid w:val="0017481D"/>
    <w:rsid w:val="001749A6"/>
    <w:rsid w:val="00174C1C"/>
    <w:rsid w:val="00175105"/>
    <w:rsid w:val="00175732"/>
    <w:rsid w:val="001760D4"/>
    <w:rsid w:val="001774B6"/>
    <w:rsid w:val="00177502"/>
    <w:rsid w:val="0017772E"/>
    <w:rsid w:val="001803F7"/>
    <w:rsid w:val="0018090D"/>
    <w:rsid w:val="00180DC9"/>
    <w:rsid w:val="001811A5"/>
    <w:rsid w:val="0018122B"/>
    <w:rsid w:val="0018136E"/>
    <w:rsid w:val="0018180A"/>
    <w:rsid w:val="00181A44"/>
    <w:rsid w:val="001821CB"/>
    <w:rsid w:val="001828A8"/>
    <w:rsid w:val="00182D77"/>
    <w:rsid w:val="00182FC5"/>
    <w:rsid w:val="0018358B"/>
    <w:rsid w:val="001835EC"/>
    <w:rsid w:val="00183D79"/>
    <w:rsid w:val="00183F05"/>
    <w:rsid w:val="00184CD1"/>
    <w:rsid w:val="00184E24"/>
    <w:rsid w:val="00184E6A"/>
    <w:rsid w:val="001855CF"/>
    <w:rsid w:val="001858FB"/>
    <w:rsid w:val="00185999"/>
    <w:rsid w:val="00185B7C"/>
    <w:rsid w:val="00185C6B"/>
    <w:rsid w:val="00185D6F"/>
    <w:rsid w:val="00186632"/>
    <w:rsid w:val="00186AA1"/>
    <w:rsid w:val="00186CEA"/>
    <w:rsid w:val="00186DC6"/>
    <w:rsid w:val="00186E22"/>
    <w:rsid w:val="0018798A"/>
    <w:rsid w:val="00187B58"/>
    <w:rsid w:val="00187CD7"/>
    <w:rsid w:val="00190CD6"/>
    <w:rsid w:val="00190E8B"/>
    <w:rsid w:val="00190E8E"/>
    <w:rsid w:val="001912B6"/>
    <w:rsid w:val="00191380"/>
    <w:rsid w:val="001918C9"/>
    <w:rsid w:val="00192B19"/>
    <w:rsid w:val="00192C91"/>
    <w:rsid w:val="00192F2C"/>
    <w:rsid w:val="00193415"/>
    <w:rsid w:val="00193752"/>
    <w:rsid w:val="00193F26"/>
    <w:rsid w:val="001945CA"/>
    <w:rsid w:val="00195686"/>
    <w:rsid w:val="00195F3A"/>
    <w:rsid w:val="001966DB"/>
    <w:rsid w:val="00196E06"/>
    <w:rsid w:val="00196EF1"/>
    <w:rsid w:val="00197012"/>
    <w:rsid w:val="001970EA"/>
    <w:rsid w:val="00197791"/>
    <w:rsid w:val="00197C77"/>
    <w:rsid w:val="00197F44"/>
    <w:rsid w:val="001A09F7"/>
    <w:rsid w:val="001A0D3F"/>
    <w:rsid w:val="001A10B8"/>
    <w:rsid w:val="001A1132"/>
    <w:rsid w:val="001A130F"/>
    <w:rsid w:val="001A182C"/>
    <w:rsid w:val="001A1851"/>
    <w:rsid w:val="001A1C1F"/>
    <w:rsid w:val="001A2038"/>
    <w:rsid w:val="001A2176"/>
    <w:rsid w:val="001A2ABF"/>
    <w:rsid w:val="001A2D10"/>
    <w:rsid w:val="001A31EA"/>
    <w:rsid w:val="001A3710"/>
    <w:rsid w:val="001A3F65"/>
    <w:rsid w:val="001A3F68"/>
    <w:rsid w:val="001A4227"/>
    <w:rsid w:val="001A44A7"/>
    <w:rsid w:val="001A4AB5"/>
    <w:rsid w:val="001A4F41"/>
    <w:rsid w:val="001A556D"/>
    <w:rsid w:val="001A5710"/>
    <w:rsid w:val="001A5E95"/>
    <w:rsid w:val="001A6EB1"/>
    <w:rsid w:val="001A6F68"/>
    <w:rsid w:val="001A7524"/>
    <w:rsid w:val="001B0A28"/>
    <w:rsid w:val="001B0D33"/>
    <w:rsid w:val="001B1DA7"/>
    <w:rsid w:val="001B2270"/>
    <w:rsid w:val="001B2777"/>
    <w:rsid w:val="001B2AB6"/>
    <w:rsid w:val="001B2AF9"/>
    <w:rsid w:val="001B377B"/>
    <w:rsid w:val="001B3980"/>
    <w:rsid w:val="001B426E"/>
    <w:rsid w:val="001B45EA"/>
    <w:rsid w:val="001B4C86"/>
    <w:rsid w:val="001B50EA"/>
    <w:rsid w:val="001B5159"/>
    <w:rsid w:val="001B5877"/>
    <w:rsid w:val="001B599A"/>
    <w:rsid w:val="001B5ACC"/>
    <w:rsid w:val="001B69B2"/>
    <w:rsid w:val="001B72FB"/>
    <w:rsid w:val="001B74AB"/>
    <w:rsid w:val="001B79B7"/>
    <w:rsid w:val="001C04CE"/>
    <w:rsid w:val="001C063D"/>
    <w:rsid w:val="001C07B1"/>
    <w:rsid w:val="001C0ACA"/>
    <w:rsid w:val="001C0FB7"/>
    <w:rsid w:val="001C131E"/>
    <w:rsid w:val="001C14E4"/>
    <w:rsid w:val="001C17C7"/>
    <w:rsid w:val="001C184E"/>
    <w:rsid w:val="001C1DD6"/>
    <w:rsid w:val="001C1EB6"/>
    <w:rsid w:val="001C2071"/>
    <w:rsid w:val="001C332E"/>
    <w:rsid w:val="001C33FF"/>
    <w:rsid w:val="001C3929"/>
    <w:rsid w:val="001C577B"/>
    <w:rsid w:val="001C632F"/>
    <w:rsid w:val="001C63CE"/>
    <w:rsid w:val="001C6643"/>
    <w:rsid w:val="001C6D01"/>
    <w:rsid w:val="001C6DD8"/>
    <w:rsid w:val="001C7098"/>
    <w:rsid w:val="001C71EB"/>
    <w:rsid w:val="001C756E"/>
    <w:rsid w:val="001C7AEF"/>
    <w:rsid w:val="001D00F7"/>
    <w:rsid w:val="001D0242"/>
    <w:rsid w:val="001D063F"/>
    <w:rsid w:val="001D0930"/>
    <w:rsid w:val="001D0E0A"/>
    <w:rsid w:val="001D0E96"/>
    <w:rsid w:val="001D0FA0"/>
    <w:rsid w:val="001D213B"/>
    <w:rsid w:val="001D379D"/>
    <w:rsid w:val="001D3968"/>
    <w:rsid w:val="001D47AA"/>
    <w:rsid w:val="001D575C"/>
    <w:rsid w:val="001D5A7A"/>
    <w:rsid w:val="001D5C42"/>
    <w:rsid w:val="001D64D9"/>
    <w:rsid w:val="001D6A1D"/>
    <w:rsid w:val="001D6C86"/>
    <w:rsid w:val="001D70A9"/>
    <w:rsid w:val="001D70BE"/>
    <w:rsid w:val="001D7235"/>
    <w:rsid w:val="001D7EB6"/>
    <w:rsid w:val="001E100F"/>
    <w:rsid w:val="001E1072"/>
    <w:rsid w:val="001E14FB"/>
    <w:rsid w:val="001E1FF1"/>
    <w:rsid w:val="001E20F1"/>
    <w:rsid w:val="001E259B"/>
    <w:rsid w:val="001E2998"/>
    <w:rsid w:val="001E2BF7"/>
    <w:rsid w:val="001E31AB"/>
    <w:rsid w:val="001E3224"/>
    <w:rsid w:val="001E3403"/>
    <w:rsid w:val="001E3B83"/>
    <w:rsid w:val="001E3C36"/>
    <w:rsid w:val="001E40F8"/>
    <w:rsid w:val="001E4BCB"/>
    <w:rsid w:val="001E4BF0"/>
    <w:rsid w:val="001E50A8"/>
    <w:rsid w:val="001E61DA"/>
    <w:rsid w:val="001E6232"/>
    <w:rsid w:val="001E6415"/>
    <w:rsid w:val="001E65F5"/>
    <w:rsid w:val="001E6C99"/>
    <w:rsid w:val="001E6DBE"/>
    <w:rsid w:val="001E6EF1"/>
    <w:rsid w:val="001E7A09"/>
    <w:rsid w:val="001F13A2"/>
    <w:rsid w:val="001F16E6"/>
    <w:rsid w:val="001F189F"/>
    <w:rsid w:val="001F23A8"/>
    <w:rsid w:val="001F26CE"/>
    <w:rsid w:val="001F2DCC"/>
    <w:rsid w:val="001F2DE3"/>
    <w:rsid w:val="001F3CC8"/>
    <w:rsid w:val="001F4233"/>
    <w:rsid w:val="001F43E6"/>
    <w:rsid w:val="001F466F"/>
    <w:rsid w:val="001F4B74"/>
    <w:rsid w:val="001F4CEB"/>
    <w:rsid w:val="001F4F12"/>
    <w:rsid w:val="001F4FB2"/>
    <w:rsid w:val="001F51EA"/>
    <w:rsid w:val="001F560E"/>
    <w:rsid w:val="001F5AFF"/>
    <w:rsid w:val="001F6687"/>
    <w:rsid w:val="001F6F05"/>
    <w:rsid w:val="001F7159"/>
    <w:rsid w:val="001F7921"/>
    <w:rsid w:val="001F7C6A"/>
    <w:rsid w:val="00200167"/>
    <w:rsid w:val="00200226"/>
    <w:rsid w:val="0020046F"/>
    <w:rsid w:val="00200ED7"/>
    <w:rsid w:val="00201246"/>
    <w:rsid w:val="00201503"/>
    <w:rsid w:val="002016C5"/>
    <w:rsid w:val="00201B01"/>
    <w:rsid w:val="00201DBA"/>
    <w:rsid w:val="002022BF"/>
    <w:rsid w:val="00202BB9"/>
    <w:rsid w:val="00202D00"/>
    <w:rsid w:val="0020307D"/>
    <w:rsid w:val="00203154"/>
    <w:rsid w:val="00203312"/>
    <w:rsid w:val="00203D87"/>
    <w:rsid w:val="00203DCD"/>
    <w:rsid w:val="00204628"/>
    <w:rsid w:val="00204ED3"/>
    <w:rsid w:val="002061B6"/>
    <w:rsid w:val="002062A9"/>
    <w:rsid w:val="00206346"/>
    <w:rsid w:val="002070CC"/>
    <w:rsid w:val="0020746A"/>
    <w:rsid w:val="00207ADA"/>
    <w:rsid w:val="0021015A"/>
    <w:rsid w:val="002104EB"/>
    <w:rsid w:val="002107CA"/>
    <w:rsid w:val="00210F8C"/>
    <w:rsid w:val="00210F92"/>
    <w:rsid w:val="00211093"/>
    <w:rsid w:val="0021118E"/>
    <w:rsid w:val="00211C51"/>
    <w:rsid w:val="00211FA2"/>
    <w:rsid w:val="00212034"/>
    <w:rsid w:val="0021206F"/>
    <w:rsid w:val="00212613"/>
    <w:rsid w:val="00212A46"/>
    <w:rsid w:val="00212EDA"/>
    <w:rsid w:val="00213711"/>
    <w:rsid w:val="00213853"/>
    <w:rsid w:val="002141FF"/>
    <w:rsid w:val="002147C0"/>
    <w:rsid w:val="00215101"/>
    <w:rsid w:val="002153B0"/>
    <w:rsid w:val="00215AF9"/>
    <w:rsid w:val="00215AFD"/>
    <w:rsid w:val="002160CC"/>
    <w:rsid w:val="002165AA"/>
    <w:rsid w:val="0021755E"/>
    <w:rsid w:val="002176DE"/>
    <w:rsid w:val="002201EB"/>
    <w:rsid w:val="00220419"/>
    <w:rsid w:val="002211A3"/>
    <w:rsid w:val="0022127D"/>
    <w:rsid w:val="0022154A"/>
    <w:rsid w:val="00221ACA"/>
    <w:rsid w:val="002225D0"/>
    <w:rsid w:val="0022270E"/>
    <w:rsid w:val="00222BCA"/>
    <w:rsid w:val="00223014"/>
    <w:rsid w:val="00223440"/>
    <w:rsid w:val="002239C0"/>
    <w:rsid w:val="00223CAD"/>
    <w:rsid w:val="00223DE6"/>
    <w:rsid w:val="0022483E"/>
    <w:rsid w:val="00224C34"/>
    <w:rsid w:val="002251D0"/>
    <w:rsid w:val="002259ED"/>
    <w:rsid w:val="002268B7"/>
    <w:rsid w:val="00227E3A"/>
    <w:rsid w:val="00227EE0"/>
    <w:rsid w:val="00230734"/>
    <w:rsid w:val="00230C28"/>
    <w:rsid w:val="00231FB6"/>
    <w:rsid w:val="00232EC6"/>
    <w:rsid w:val="00232FB9"/>
    <w:rsid w:val="00233062"/>
    <w:rsid w:val="002336D8"/>
    <w:rsid w:val="002344D7"/>
    <w:rsid w:val="002346BC"/>
    <w:rsid w:val="002352D5"/>
    <w:rsid w:val="00235413"/>
    <w:rsid w:val="00235E29"/>
    <w:rsid w:val="00236A6D"/>
    <w:rsid w:val="00236AB9"/>
    <w:rsid w:val="00236B68"/>
    <w:rsid w:val="00236FE1"/>
    <w:rsid w:val="00237268"/>
    <w:rsid w:val="002378F8"/>
    <w:rsid w:val="00237B3E"/>
    <w:rsid w:val="00237B93"/>
    <w:rsid w:val="00240E19"/>
    <w:rsid w:val="00241F3C"/>
    <w:rsid w:val="0024219D"/>
    <w:rsid w:val="002427D7"/>
    <w:rsid w:val="00242B41"/>
    <w:rsid w:val="00243539"/>
    <w:rsid w:val="00243A4E"/>
    <w:rsid w:val="002441FE"/>
    <w:rsid w:val="0024476A"/>
    <w:rsid w:val="002447E5"/>
    <w:rsid w:val="002449E9"/>
    <w:rsid w:val="00244BF4"/>
    <w:rsid w:val="00245544"/>
    <w:rsid w:val="002456F2"/>
    <w:rsid w:val="002458A4"/>
    <w:rsid w:val="002459A4"/>
    <w:rsid w:val="00246337"/>
    <w:rsid w:val="00246669"/>
    <w:rsid w:val="00246FE7"/>
    <w:rsid w:val="0024766F"/>
    <w:rsid w:val="0024794E"/>
    <w:rsid w:val="002500BF"/>
    <w:rsid w:val="00250AF1"/>
    <w:rsid w:val="00250F1D"/>
    <w:rsid w:val="0025100E"/>
    <w:rsid w:val="0025319D"/>
    <w:rsid w:val="00253662"/>
    <w:rsid w:val="002539AE"/>
    <w:rsid w:val="00255A41"/>
    <w:rsid w:val="002562ED"/>
    <w:rsid w:val="00257065"/>
    <w:rsid w:val="00257104"/>
    <w:rsid w:val="00257274"/>
    <w:rsid w:val="00257361"/>
    <w:rsid w:val="00257509"/>
    <w:rsid w:val="0026034B"/>
    <w:rsid w:val="002603EC"/>
    <w:rsid w:val="0026047B"/>
    <w:rsid w:val="002607D7"/>
    <w:rsid w:val="00260D7D"/>
    <w:rsid w:val="00260F34"/>
    <w:rsid w:val="00261058"/>
    <w:rsid w:val="0026129D"/>
    <w:rsid w:val="00261DF7"/>
    <w:rsid w:val="00261FF7"/>
    <w:rsid w:val="00262351"/>
    <w:rsid w:val="002627F6"/>
    <w:rsid w:val="00262D22"/>
    <w:rsid w:val="0026332D"/>
    <w:rsid w:val="00263479"/>
    <w:rsid w:val="00263E41"/>
    <w:rsid w:val="00264357"/>
    <w:rsid w:val="002644B8"/>
    <w:rsid w:val="00264608"/>
    <w:rsid w:val="002656BE"/>
    <w:rsid w:val="002658BA"/>
    <w:rsid w:val="002662EE"/>
    <w:rsid w:val="0026653E"/>
    <w:rsid w:val="00266543"/>
    <w:rsid w:val="00266C9B"/>
    <w:rsid w:val="00266CA5"/>
    <w:rsid w:val="00266D89"/>
    <w:rsid w:val="002675BA"/>
    <w:rsid w:val="002701BF"/>
    <w:rsid w:val="002701DC"/>
    <w:rsid w:val="00270631"/>
    <w:rsid w:val="002709BD"/>
    <w:rsid w:val="002709D5"/>
    <w:rsid w:val="00270B86"/>
    <w:rsid w:val="002716AC"/>
    <w:rsid w:val="00271758"/>
    <w:rsid w:val="00271C84"/>
    <w:rsid w:val="0027294B"/>
    <w:rsid w:val="00272D40"/>
    <w:rsid w:val="00272E6D"/>
    <w:rsid w:val="00272FCD"/>
    <w:rsid w:val="002737DD"/>
    <w:rsid w:val="002744EC"/>
    <w:rsid w:val="00274CF3"/>
    <w:rsid w:val="0027548A"/>
    <w:rsid w:val="002759D5"/>
    <w:rsid w:val="00275B6B"/>
    <w:rsid w:val="00275F5D"/>
    <w:rsid w:val="002760DD"/>
    <w:rsid w:val="00276CC7"/>
    <w:rsid w:val="00276D1A"/>
    <w:rsid w:val="002773D7"/>
    <w:rsid w:val="002777E0"/>
    <w:rsid w:val="00277A37"/>
    <w:rsid w:val="00277B1D"/>
    <w:rsid w:val="002805FC"/>
    <w:rsid w:val="002809BB"/>
    <w:rsid w:val="00281410"/>
    <w:rsid w:val="00281DCB"/>
    <w:rsid w:val="00281E0D"/>
    <w:rsid w:val="00282143"/>
    <w:rsid w:val="00282437"/>
    <w:rsid w:val="0028279D"/>
    <w:rsid w:val="002829D6"/>
    <w:rsid w:val="00282C91"/>
    <w:rsid w:val="00282FB4"/>
    <w:rsid w:val="0028352F"/>
    <w:rsid w:val="002838FB"/>
    <w:rsid w:val="00283E8F"/>
    <w:rsid w:val="00284683"/>
    <w:rsid w:val="0028484B"/>
    <w:rsid w:val="00285F07"/>
    <w:rsid w:val="002865A2"/>
    <w:rsid w:val="00286A1F"/>
    <w:rsid w:val="00286E1C"/>
    <w:rsid w:val="002872C6"/>
    <w:rsid w:val="00287B9E"/>
    <w:rsid w:val="00290D67"/>
    <w:rsid w:val="0029108D"/>
    <w:rsid w:val="00291692"/>
    <w:rsid w:val="00292576"/>
    <w:rsid w:val="002928F2"/>
    <w:rsid w:val="00292CF6"/>
    <w:rsid w:val="0029319F"/>
    <w:rsid w:val="00293800"/>
    <w:rsid w:val="00293822"/>
    <w:rsid w:val="00293931"/>
    <w:rsid w:val="00293C3F"/>
    <w:rsid w:val="0029437A"/>
    <w:rsid w:val="00294665"/>
    <w:rsid w:val="00295ABF"/>
    <w:rsid w:val="00295E91"/>
    <w:rsid w:val="002961C0"/>
    <w:rsid w:val="00296637"/>
    <w:rsid w:val="00296BEB"/>
    <w:rsid w:val="00296CF0"/>
    <w:rsid w:val="00296FE6"/>
    <w:rsid w:val="00297BE3"/>
    <w:rsid w:val="002A010B"/>
    <w:rsid w:val="002A01C7"/>
    <w:rsid w:val="002A09B8"/>
    <w:rsid w:val="002A25D6"/>
    <w:rsid w:val="002A2CA6"/>
    <w:rsid w:val="002A3C63"/>
    <w:rsid w:val="002A3FEE"/>
    <w:rsid w:val="002A4164"/>
    <w:rsid w:val="002A483D"/>
    <w:rsid w:val="002A55D4"/>
    <w:rsid w:val="002A58C7"/>
    <w:rsid w:val="002A65F8"/>
    <w:rsid w:val="002A7714"/>
    <w:rsid w:val="002A782F"/>
    <w:rsid w:val="002A7884"/>
    <w:rsid w:val="002A79C9"/>
    <w:rsid w:val="002A7CA0"/>
    <w:rsid w:val="002B0521"/>
    <w:rsid w:val="002B0F13"/>
    <w:rsid w:val="002B1328"/>
    <w:rsid w:val="002B1E55"/>
    <w:rsid w:val="002B1F9B"/>
    <w:rsid w:val="002B2778"/>
    <w:rsid w:val="002B2A44"/>
    <w:rsid w:val="002B2C4C"/>
    <w:rsid w:val="002B34F2"/>
    <w:rsid w:val="002B43F1"/>
    <w:rsid w:val="002B4452"/>
    <w:rsid w:val="002B46A8"/>
    <w:rsid w:val="002B4731"/>
    <w:rsid w:val="002B5219"/>
    <w:rsid w:val="002B5757"/>
    <w:rsid w:val="002B5818"/>
    <w:rsid w:val="002B5970"/>
    <w:rsid w:val="002B672F"/>
    <w:rsid w:val="002B68C4"/>
    <w:rsid w:val="002B6E4B"/>
    <w:rsid w:val="002B7050"/>
    <w:rsid w:val="002B7571"/>
    <w:rsid w:val="002B768F"/>
    <w:rsid w:val="002B7F14"/>
    <w:rsid w:val="002C00CC"/>
    <w:rsid w:val="002C04E4"/>
    <w:rsid w:val="002C1C2E"/>
    <w:rsid w:val="002C1D4C"/>
    <w:rsid w:val="002C30A5"/>
    <w:rsid w:val="002C3F96"/>
    <w:rsid w:val="002C3FB3"/>
    <w:rsid w:val="002C41D4"/>
    <w:rsid w:val="002C4682"/>
    <w:rsid w:val="002C46D5"/>
    <w:rsid w:val="002C478C"/>
    <w:rsid w:val="002C55CD"/>
    <w:rsid w:val="002C5B89"/>
    <w:rsid w:val="002C6382"/>
    <w:rsid w:val="002C6688"/>
    <w:rsid w:val="002C6C33"/>
    <w:rsid w:val="002C6D91"/>
    <w:rsid w:val="002C76C3"/>
    <w:rsid w:val="002C7B8E"/>
    <w:rsid w:val="002C7F01"/>
    <w:rsid w:val="002D0040"/>
    <w:rsid w:val="002D08A4"/>
    <w:rsid w:val="002D0E33"/>
    <w:rsid w:val="002D1313"/>
    <w:rsid w:val="002D1348"/>
    <w:rsid w:val="002D1665"/>
    <w:rsid w:val="002D168B"/>
    <w:rsid w:val="002D1BD2"/>
    <w:rsid w:val="002D22F8"/>
    <w:rsid w:val="002D26B1"/>
    <w:rsid w:val="002D398A"/>
    <w:rsid w:val="002D3B42"/>
    <w:rsid w:val="002D3C97"/>
    <w:rsid w:val="002D4038"/>
    <w:rsid w:val="002D4336"/>
    <w:rsid w:val="002D4394"/>
    <w:rsid w:val="002D43D5"/>
    <w:rsid w:val="002D496C"/>
    <w:rsid w:val="002D540A"/>
    <w:rsid w:val="002D5620"/>
    <w:rsid w:val="002D58D5"/>
    <w:rsid w:val="002D5CF6"/>
    <w:rsid w:val="002D600E"/>
    <w:rsid w:val="002D6093"/>
    <w:rsid w:val="002D6C5F"/>
    <w:rsid w:val="002D775D"/>
    <w:rsid w:val="002D77E3"/>
    <w:rsid w:val="002D7C59"/>
    <w:rsid w:val="002E0D9F"/>
    <w:rsid w:val="002E114F"/>
    <w:rsid w:val="002E13DA"/>
    <w:rsid w:val="002E15C6"/>
    <w:rsid w:val="002E203B"/>
    <w:rsid w:val="002E329D"/>
    <w:rsid w:val="002E33FC"/>
    <w:rsid w:val="002E36B9"/>
    <w:rsid w:val="002E3CE8"/>
    <w:rsid w:val="002E595D"/>
    <w:rsid w:val="002E5E37"/>
    <w:rsid w:val="002E5FD0"/>
    <w:rsid w:val="002E637A"/>
    <w:rsid w:val="002E6618"/>
    <w:rsid w:val="002F0070"/>
    <w:rsid w:val="002F0C47"/>
    <w:rsid w:val="002F1652"/>
    <w:rsid w:val="002F16D3"/>
    <w:rsid w:val="002F179D"/>
    <w:rsid w:val="002F2252"/>
    <w:rsid w:val="002F2668"/>
    <w:rsid w:val="002F2911"/>
    <w:rsid w:val="002F2C4D"/>
    <w:rsid w:val="002F2D84"/>
    <w:rsid w:val="002F477F"/>
    <w:rsid w:val="002F49A8"/>
    <w:rsid w:val="002F5069"/>
    <w:rsid w:val="002F550B"/>
    <w:rsid w:val="002F5C4B"/>
    <w:rsid w:val="002F6DCE"/>
    <w:rsid w:val="002F774B"/>
    <w:rsid w:val="0030026F"/>
    <w:rsid w:val="0030042F"/>
    <w:rsid w:val="0030084B"/>
    <w:rsid w:val="00301176"/>
    <w:rsid w:val="003011BC"/>
    <w:rsid w:val="003013A7"/>
    <w:rsid w:val="003015AB"/>
    <w:rsid w:val="00301659"/>
    <w:rsid w:val="00301FF7"/>
    <w:rsid w:val="003024E6"/>
    <w:rsid w:val="00302B91"/>
    <w:rsid w:val="00302CD5"/>
    <w:rsid w:val="00302E01"/>
    <w:rsid w:val="00303061"/>
    <w:rsid w:val="00303AAD"/>
    <w:rsid w:val="00303D50"/>
    <w:rsid w:val="00304154"/>
    <w:rsid w:val="0030467E"/>
    <w:rsid w:val="00304852"/>
    <w:rsid w:val="003049A8"/>
    <w:rsid w:val="00304BC6"/>
    <w:rsid w:val="00304C77"/>
    <w:rsid w:val="00304CD9"/>
    <w:rsid w:val="00304E32"/>
    <w:rsid w:val="00305085"/>
    <w:rsid w:val="00305487"/>
    <w:rsid w:val="003056D7"/>
    <w:rsid w:val="003058F4"/>
    <w:rsid w:val="003068B9"/>
    <w:rsid w:val="00306BA5"/>
    <w:rsid w:val="00306D1D"/>
    <w:rsid w:val="00306E27"/>
    <w:rsid w:val="003072FE"/>
    <w:rsid w:val="00307B3B"/>
    <w:rsid w:val="0031019F"/>
    <w:rsid w:val="003105CC"/>
    <w:rsid w:val="00310811"/>
    <w:rsid w:val="003108AF"/>
    <w:rsid w:val="003108D1"/>
    <w:rsid w:val="003109BC"/>
    <w:rsid w:val="00310D3C"/>
    <w:rsid w:val="00310DB8"/>
    <w:rsid w:val="00310F8F"/>
    <w:rsid w:val="003120B3"/>
    <w:rsid w:val="00312FE9"/>
    <w:rsid w:val="003137E2"/>
    <w:rsid w:val="00314166"/>
    <w:rsid w:val="00314174"/>
    <w:rsid w:val="003146D9"/>
    <w:rsid w:val="00314B20"/>
    <w:rsid w:val="00314D1F"/>
    <w:rsid w:val="003152AA"/>
    <w:rsid w:val="00315B0B"/>
    <w:rsid w:val="00315E91"/>
    <w:rsid w:val="00316259"/>
    <w:rsid w:val="00316F06"/>
    <w:rsid w:val="00317320"/>
    <w:rsid w:val="0031734D"/>
    <w:rsid w:val="0031757B"/>
    <w:rsid w:val="00317CCC"/>
    <w:rsid w:val="003208D8"/>
    <w:rsid w:val="00320ECE"/>
    <w:rsid w:val="003215C2"/>
    <w:rsid w:val="003215E0"/>
    <w:rsid w:val="00321CCF"/>
    <w:rsid w:val="00321F0E"/>
    <w:rsid w:val="00322158"/>
    <w:rsid w:val="00322B15"/>
    <w:rsid w:val="0032305C"/>
    <w:rsid w:val="00323326"/>
    <w:rsid w:val="00323485"/>
    <w:rsid w:val="00323623"/>
    <w:rsid w:val="003240AF"/>
    <w:rsid w:val="00324748"/>
    <w:rsid w:val="00324A04"/>
    <w:rsid w:val="00324DD5"/>
    <w:rsid w:val="003252E5"/>
    <w:rsid w:val="00325602"/>
    <w:rsid w:val="00325797"/>
    <w:rsid w:val="00325B29"/>
    <w:rsid w:val="00325E3B"/>
    <w:rsid w:val="00325FFE"/>
    <w:rsid w:val="003304E2"/>
    <w:rsid w:val="0033097A"/>
    <w:rsid w:val="00330A31"/>
    <w:rsid w:val="00331486"/>
    <w:rsid w:val="00332AE5"/>
    <w:rsid w:val="00333597"/>
    <w:rsid w:val="00333728"/>
    <w:rsid w:val="00333BE5"/>
    <w:rsid w:val="00334121"/>
    <w:rsid w:val="0033516D"/>
    <w:rsid w:val="00335597"/>
    <w:rsid w:val="00335D11"/>
    <w:rsid w:val="0033650D"/>
    <w:rsid w:val="00337041"/>
    <w:rsid w:val="003376C8"/>
    <w:rsid w:val="003404A7"/>
    <w:rsid w:val="0034055C"/>
    <w:rsid w:val="00340B73"/>
    <w:rsid w:val="00340E47"/>
    <w:rsid w:val="0034108E"/>
    <w:rsid w:val="003415F3"/>
    <w:rsid w:val="00341714"/>
    <w:rsid w:val="00341CA9"/>
    <w:rsid w:val="00341E8A"/>
    <w:rsid w:val="00342082"/>
    <w:rsid w:val="003426ED"/>
    <w:rsid w:val="0034282D"/>
    <w:rsid w:val="0034294A"/>
    <w:rsid w:val="00342D9D"/>
    <w:rsid w:val="0034302A"/>
    <w:rsid w:val="003432B7"/>
    <w:rsid w:val="00343AD0"/>
    <w:rsid w:val="00343DFC"/>
    <w:rsid w:val="003441EB"/>
    <w:rsid w:val="00345151"/>
    <w:rsid w:val="0034517C"/>
    <w:rsid w:val="003452BB"/>
    <w:rsid w:val="0034549E"/>
    <w:rsid w:val="00345E19"/>
    <w:rsid w:val="003469E3"/>
    <w:rsid w:val="00347406"/>
    <w:rsid w:val="003474E5"/>
    <w:rsid w:val="003478C9"/>
    <w:rsid w:val="00347B6D"/>
    <w:rsid w:val="00347E52"/>
    <w:rsid w:val="00347F6D"/>
    <w:rsid w:val="00350910"/>
    <w:rsid w:val="003519FD"/>
    <w:rsid w:val="00351DD0"/>
    <w:rsid w:val="00352199"/>
    <w:rsid w:val="0035237F"/>
    <w:rsid w:val="0035288D"/>
    <w:rsid w:val="00352937"/>
    <w:rsid w:val="00352FC7"/>
    <w:rsid w:val="003553AB"/>
    <w:rsid w:val="00355C81"/>
    <w:rsid w:val="00355CD1"/>
    <w:rsid w:val="003560DD"/>
    <w:rsid w:val="003561FE"/>
    <w:rsid w:val="00356C49"/>
    <w:rsid w:val="00356D2A"/>
    <w:rsid w:val="00356EBC"/>
    <w:rsid w:val="00357375"/>
    <w:rsid w:val="0035749C"/>
    <w:rsid w:val="00357BA7"/>
    <w:rsid w:val="0036215A"/>
    <w:rsid w:val="003622C2"/>
    <w:rsid w:val="00362DFE"/>
    <w:rsid w:val="00362F13"/>
    <w:rsid w:val="003632CA"/>
    <w:rsid w:val="00363343"/>
    <w:rsid w:val="003635A7"/>
    <w:rsid w:val="003639C9"/>
    <w:rsid w:val="00363AF1"/>
    <w:rsid w:val="00363D32"/>
    <w:rsid w:val="00363D3D"/>
    <w:rsid w:val="00364464"/>
    <w:rsid w:val="0036456F"/>
    <w:rsid w:val="003647AF"/>
    <w:rsid w:val="0036481E"/>
    <w:rsid w:val="00364D65"/>
    <w:rsid w:val="00365316"/>
    <w:rsid w:val="0036557A"/>
    <w:rsid w:val="00365D05"/>
    <w:rsid w:val="00365D24"/>
    <w:rsid w:val="00365EEB"/>
    <w:rsid w:val="00366FDB"/>
    <w:rsid w:val="00367028"/>
    <w:rsid w:val="00367082"/>
    <w:rsid w:val="003679A8"/>
    <w:rsid w:val="00367DE2"/>
    <w:rsid w:val="00370190"/>
    <w:rsid w:val="0037037C"/>
    <w:rsid w:val="0037071A"/>
    <w:rsid w:val="00370985"/>
    <w:rsid w:val="003709AC"/>
    <w:rsid w:val="003711A0"/>
    <w:rsid w:val="003711C5"/>
    <w:rsid w:val="00371AC1"/>
    <w:rsid w:val="00371D11"/>
    <w:rsid w:val="00371F45"/>
    <w:rsid w:val="00372288"/>
    <w:rsid w:val="003728F0"/>
    <w:rsid w:val="00373855"/>
    <w:rsid w:val="003744C6"/>
    <w:rsid w:val="003758BF"/>
    <w:rsid w:val="00376D27"/>
    <w:rsid w:val="00376EC5"/>
    <w:rsid w:val="0037702C"/>
    <w:rsid w:val="003771E3"/>
    <w:rsid w:val="00377483"/>
    <w:rsid w:val="00377CEE"/>
    <w:rsid w:val="00377EEE"/>
    <w:rsid w:val="00381B22"/>
    <w:rsid w:val="0038236F"/>
    <w:rsid w:val="0038238D"/>
    <w:rsid w:val="00382929"/>
    <w:rsid w:val="00382C0E"/>
    <w:rsid w:val="00382E3B"/>
    <w:rsid w:val="0038306F"/>
    <w:rsid w:val="0038416C"/>
    <w:rsid w:val="00384C5D"/>
    <w:rsid w:val="00384C9C"/>
    <w:rsid w:val="00384CB0"/>
    <w:rsid w:val="003857A9"/>
    <w:rsid w:val="00385879"/>
    <w:rsid w:val="003859D6"/>
    <w:rsid w:val="00385C39"/>
    <w:rsid w:val="003869F0"/>
    <w:rsid w:val="00386A9F"/>
    <w:rsid w:val="00387F09"/>
    <w:rsid w:val="00387F8E"/>
    <w:rsid w:val="00390A98"/>
    <w:rsid w:val="00390B30"/>
    <w:rsid w:val="00390CB3"/>
    <w:rsid w:val="00390DD0"/>
    <w:rsid w:val="00391537"/>
    <w:rsid w:val="003925CE"/>
    <w:rsid w:val="00392A13"/>
    <w:rsid w:val="003937A3"/>
    <w:rsid w:val="003937FC"/>
    <w:rsid w:val="00394148"/>
    <w:rsid w:val="00394E47"/>
    <w:rsid w:val="00394F4F"/>
    <w:rsid w:val="003963D7"/>
    <w:rsid w:val="00396931"/>
    <w:rsid w:val="00396C7B"/>
    <w:rsid w:val="0039773B"/>
    <w:rsid w:val="00397899"/>
    <w:rsid w:val="003A0E7C"/>
    <w:rsid w:val="003A0F5B"/>
    <w:rsid w:val="003A1595"/>
    <w:rsid w:val="003A1DD5"/>
    <w:rsid w:val="003A1FE7"/>
    <w:rsid w:val="003A28DA"/>
    <w:rsid w:val="003A35A6"/>
    <w:rsid w:val="003A3F40"/>
    <w:rsid w:val="003A52C1"/>
    <w:rsid w:val="003A5558"/>
    <w:rsid w:val="003A6664"/>
    <w:rsid w:val="003A7335"/>
    <w:rsid w:val="003A7692"/>
    <w:rsid w:val="003B0620"/>
    <w:rsid w:val="003B13BA"/>
    <w:rsid w:val="003B19D7"/>
    <w:rsid w:val="003B22BE"/>
    <w:rsid w:val="003B2B8F"/>
    <w:rsid w:val="003B2CC6"/>
    <w:rsid w:val="003B32AC"/>
    <w:rsid w:val="003B356E"/>
    <w:rsid w:val="003B3977"/>
    <w:rsid w:val="003B3A48"/>
    <w:rsid w:val="003B4A68"/>
    <w:rsid w:val="003B4ADF"/>
    <w:rsid w:val="003B583F"/>
    <w:rsid w:val="003B5B1F"/>
    <w:rsid w:val="003B5D5A"/>
    <w:rsid w:val="003B6343"/>
    <w:rsid w:val="003B75F4"/>
    <w:rsid w:val="003B7D40"/>
    <w:rsid w:val="003B7DDE"/>
    <w:rsid w:val="003C0B28"/>
    <w:rsid w:val="003C0EAE"/>
    <w:rsid w:val="003C129F"/>
    <w:rsid w:val="003C12C1"/>
    <w:rsid w:val="003C1640"/>
    <w:rsid w:val="003C1899"/>
    <w:rsid w:val="003C1A49"/>
    <w:rsid w:val="003C292B"/>
    <w:rsid w:val="003C2ACB"/>
    <w:rsid w:val="003C2B36"/>
    <w:rsid w:val="003C3627"/>
    <w:rsid w:val="003C3E1E"/>
    <w:rsid w:val="003C4A44"/>
    <w:rsid w:val="003C5453"/>
    <w:rsid w:val="003C580E"/>
    <w:rsid w:val="003C5A21"/>
    <w:rsid w:val="003C5A9E"/>
    <w:rsid w:val="003C5AD1"/>
    <w:rsid w:val="003C5B3E"/>
    <w:rsid w:val="003C5C2E"/>
    <w:rsid w:val="003C5C8F"/>
    <w:rsid w:val="003C67B1"/>
    <w:rsid w:val="003C685C"/>
    <w:rsid w:val="003C6932"/>
    <w:rsid w:val="003C6DED"/>
    <w:rsid w:val="003C7001"/>
    <w:rsid w:val="003C72C1"/>
    <w:rsid w:val="003C7CB1"/>
    <w:rsid w:val="003D0160"/>
    <w:rsid w:val="003D09C2"/>
    <w:rsid w:val="003D0D38"/>
    <w:rsid w:val="003D0DAE"/>
    <w:rsid w:val="003D133F"/>
    <w:rsid w:val="003D1592"/>
    <w:rsid w:val="003D1866"/>
    <w:rsid w:val="003D1EFD"/>
    <w:rsid w:val="003D1F31"/>
    <w:rsid w:val="003D2447"/>
    <w:rsid w:val="003D2589"/>
    <w:rsid w:val="003D3C58"/>
    <w:rsid w:val="003D40B4"/>
    <w:rsid w:val="003D443B"/>
    <w:rsid w:val="003D4773"/>
    <w:rsid w:val="003D53B4"/>
    <w:rsid w:val="003D5768"/>
    <w:rsid w:val="003D587C"/>
    <w:rsid w:val="003D664E"/>
    <w:rsid w:val="003D73EA"/>
    <w:rsid w:val="003D78F4"/>
    <w:rsid w:val="003E00B7"/>
    <w:rsid w:val="003E0619"/>
    <w:rsid w:val="003E06ED"/>
    <w:rsid w:val="003E07ED"/>
    <w:rsid w:val="003E09AE"/>
    <w:rsid w:val="003E0A74"/>
    <w:rsid w:val="003E15EF"/>
    <w:rsid w:val="003E1730"/>
    <w:rsid w:val="003E1933"/>
    <w:rsid w:val="003E1965"/>
    <w:rsid w:val="003E1E33"/>
    <w:rsid w:val="003E1E7A"/>
    <w:rsid w:val="003E20EE"/>
    <w:rsid w:val="003E247B"/>
    <w:rsid w:val="003E2E5C"/>
    <w:rsid w:val="003E2F7F"/>
    <w:rsid w:val="003E3F0A"/>
    <w:rsid w:val="003E3F78"/>
    <w:rsid w:val="003E41FA"/>
    <w:rsid w:val="003E436D"/>
    <w:rsid w:val="003E44FD"/>
    <w:rsid w:val="003E5E80"/>
    <w:rsid w:val="003E61A4"/>
    <w:rsid w:val="003E6617"/>
    <w:rsid w:val="003E6FD1"/>
    <w:rsid w:val="003E765A"/>
    <w:rsid w:val="003F10B5"/>
    <w:rsid w:val="003F1451"/>
    <w:rsid w:val="003F18D2"/>
    <w:rsid w:val="003F1FA8"/>
    <w:rsid w:val="003F21AC"/>
    <w:rsid w:val="003F2408"/>
    <w:rsid w:val="003F32B1"/>
    <w:rsid w:val="003F416D"/>
    <w:rsid w:val="003F4FEC"/>
    <w:rsid w:val="003F578A"/>
    <w:rsid w:val="003F5C5B"/>
    <w:rsid w:val="003F6485"/>
    <w:rsid w:val="003F7017"/>
    <w:rsid w:val="003F7024"/>
    <w:rsid w:val="003F721E"/>
    <w:rsid w:val="003F7287"/>
    <w:rsid w:val="003F75DA"/>
    <w:rsid w:val="004001EB"/>
    <w:rsid w:val="004003AD"/>
    <w:rsid w:val="00400496"/>
    <w:rsid w:val="00400B7E"/>
    <w:rsid w:val="00400FDE"/>
    <w:rsid w:val="004013A6"/>
    <w:rsid w:val="00401B44"/>
    <w:rsid w:val="00402781"/>
    <w:rsid w:val="00402B97"/>
    <w:rsid w:val="00403072"/>
    <w:rsid w:val="00403472"/>
    <w:rsid w:val="004036C1"/>
    <w:rsid w:val="00403847"/>
    <w:rsid w:val="00403972"/>
    <w:rsid w:val="00403FC6"/>
    <w:rsid w:val="00404768"/>
    <w:rsid w:val="004047B9"/>
    <w:rsid w:val="00405EA8"/>
    <w:rsid w:val="0040640D"/>
    <w:rsid w:val="0040674C"/>
    <w:rsid w:val="004067CD"/>
    <w:rsid w:val="00407B13"/>
    <w:rsid w:val="00407D1D"/>
    <w:rsid w:val="00407FB8"/>
    <w:rsid w:val="00410056"/>
    <w:rsid w:val="004103CC"/>
    <w:rsid w:val="004105AE"/>
    <w:rsid w:val="004109E1"/>
    <w:rsid w:val="00411876"/>
    <w:rsid w:val="00411A9D"/>
    <w:rsid w:val="0041213B"/>
    <w:rsid w:val="0041350C"/>
    <w:rsid w:val="004135F6"/>
    <w:rsid w:val="00414C14"/>
    <w:rsid w:val="00414E19"/>
    <w:rsid w:val="004156DB"/>
    <w:rsid w:val="00415B39"/>
    <w:rsid w:val="00415BD9"/>
    <w:rsid w:val="00416ACE"/>
    <w:rsid w:val="004170B8"/>
    <w:rsid w:val="0041734F"/>
    <w:rsid w:val="0041747C"/>
    <w:rsid w:val="004178AD"/>
    <w:rsid w:val="004202DA"/>
    <w:rsid w:val="004215CD"/>
    <w:rsid w:val="0042195E"/>
    <w:rsid w:val="00421DF0"/>
    <w:rsid w:val="00421F4E"/>
    <w:rsid w:val="00422079"/>
    <w:rsid w:val="004223A4"/>
    <w:rsid w:val="00423119"/>
    <w:rsid w:val="0042355C"/>
    <w:rsid w:val="00423A30"/>
    <w:rsid w:val="0042499A"/>
    <w:rsid w:val="00424B3B"/>
    <w:rsid w:val="00424B7D"/>
    <w:rsid w:val="0042515C"/>
    <w:rsid w:val="004254A7"/>
    <w:rsid w:val="00426947"/>
    <w:rsid w:val="00426EFE"/>
    <w:rsid w:val="0042743A"/>
    <w:rsid w:val="00427BBB"/>
    <w:rsid w:val="00427D6D"/>
    <w:rsid w:val="00430C19"/>
    <w:rsid w:val="00430FA4"/>
    <w:rsid w:val="00431443"/>
    <w:rsid w:val="00431825"/>
    <w:rsid w:val="004318E9"/>
    <w:rsid w:val="00433350"/>
    <w:rsid w:val="004333A9"/>
    <w:rsid w:val="004334A8"/>
    <w:rsid w:val="00433702"/>
    <w:rsid w:val="00433706"/>
    <w:rsid w:val="00433DA1"/>
    <w:rsid w:val="0043419C"/>
    <w:rsid w:val="00434386"/>
    <w:rsid w:val="004348C2"/>
    <w:rsid w:val="00435C2D"/>
    <w:rsid w:val="00435D28"/>
    <w:rsid w:val="00435DE8"/>
    <w:rsid w:val="00436046"/>
    <w:rsid w:val="004369BF"/>
    <w:rsid w:val="00436D2D"/>
    <w:rsid w:val="004403B7"/>
    <w:rsid w:val="00440443"/>
    <w:rsid w:val="004404EC"/>
    <w:rsid w:val="00440B2A"/>
    <w:rsid w:val="00440BD3"/>
    <w:rsid w:val="004415A2"/>
    <w:rsid w:val="004418A4"/>
    <w:rsid w:val="00441A82"/>
    <w:rsid w:val="00441AED"/>
    <w:rsid w:val="00441E1E"/>
    <w:rsid w:val="004428A4"/>
    <w:rsid w:val="00442E63"/>
    <w:rsid w:val="0044380B"/>
    <w:rsid w:val="00443AB7"/>
    <w:rsid w:val="00444946"/>
    <w:rsid w:val="00444C5B"/>
    <w:rsid w:val="00444DB4"/>
    <w:rsid w:val="004452CE"/>
    <w:rsid w:val="00445521"/>
    <w:rsid w:val="00445579"/>
    <w:rsid w:val="004459C3"/>
    <w:rsid w:val="00445F04"/>
    <w:rsid w:val="004461AC"/>
    <w:rsid w:val="00446473"/>
    <w:rsid w:val="00446F7B"/>
    <w:rsid w:val="004471EC"/>
    <w:rsid w:val="00447D40"/>
    <w:rsid w:val="004504C2"/>
    <w:rsid w:val="0045111B"/>
    <w:rsid w:val="0045140B"/>
    <w:rsid w:val="004517D6"/>
    <w:rsid w:val="004521C7"/>
    <w:rsid w:val="004527B0"/>
    <w:rsid w:val="004527D9"/>
    <w:rsid w:val="00453284"/>
    <w:rsid w:val="004532B3"/>
    <w:rsid w:val="0045382C"/>
    <w:rsid w:val="00454806"/>
    <w:rsid w:val="0045482D"/>
    <w:rsid w:val="00454A83"/>
    <w:rsid w:val="00455012"/>
    <w:rsid w:val="00455075"/>
    <w:rsid w:val="00456157"/>
    <w:rsid w:val="004563CD"/>
    <w:rsid w:val="00457028"/>
    <w:rsid w:val="00457251"/>
    <w:rsid w:val="004573E2"/>
    <w:rsid w:val="00457B23"/>
    <w:rsid w:val="00457D40"/>
    <w:rsid w:val="004610AC"/>
    <w:rsid w:val="004612F9"/>
    <w:rsid w:val="004616C9"/>
    <w:rsid w:val="004617BA"/>
    <w:rsid w:val="00461D2D"/>
    <w:rsid w:val="004621AB"/>
    <w:rsid w:val="004624F8"/>
    <w:rsid w:val="0046258E"/>
    <w:rsid w:val="00462CE6"/>
    <w:rsid w:val="00462E31"/>
    <w:rsid w:val="00463CAD"/>
    <w:rsid w:val="00463E96"/>
    <w:rsid w:val="00463F44"/>
    <w:rsid w:val="00464316"/>
    <w:rsid w:val="0046493F"/>
    <w:rsid w:val="00464EFC"/>
    <w:rsid w:val="00465404"/>
    <w:rsid w:val="0046617D"/>
    <w:rsid w:val="00466231"/>
    <w:rsid w:val="004662A5"/>
    <w:rsid w:val="004664DD"/>
    <w:rsid w:val="00467197"/>
    <w:rsid w:val="00467254"/>
    <w:rsid w:val="00467651"/>
    <w:rsid w:val="00470023"/>
    <w:rsid w:val="004704EE"/>
    <w:rsid w:val="004713D6"/>
    <w:rsid w:val="00472095"/>
    <w:rsid w:val="00472172"/>
    <w:rsid w:val="0047258D"/>
    <w:rsid w:val="0047294F"/>
    <w:rsid w:val="00474D49"/>
    <w:rsid w:val="00474F76"/>
    <w:rsid w:val="0047507F"/>
    <w:rsid w:val="00475273"/>
    <w:rsid w:val="00475468"/>
    <w:rsid w:val="004754BE"/>
    <w:rsid w:val="00475AEB"/>
    <w:rsid w:val="004760DC"/>
    <w:rsid w:val="00476708"/>
    <w:rsid w:val="00476DC2"/>
    <w:rsid w:val="004773AE"/>
    <w:rsid w:val="00477C03"/>
    <w:rsid w:val="00477C4C"/>
    <w:rsid w:val="0048049D"/>
    <w:rsid w:val="00481A1E"/>
    <w:rsid w:val="004824BC"/>
    <w:rsid w:val="004828BE"/>
    <w:rsid w:val="00482BCF"/>
    <w:rsid w:val="00482D81"/>
    <w:rsid w:val="00482F69"/>
    <w:rsid w:val="00483604"/>
    <w:rsid w:val="004838E4"/>
    <w:rsid w:val="0048412D"/>
    <w:rsid w:val="00484560"/>
    <w:rsid w:val="00484752"/>
    <w:rsid w:val="00484F0C"/>
    <w:rsid w:val="0048538B"/>
    <w:rsid w:val="004854D0"/>
    <w:rsid w:val="00485502"/>
    <w:rsid w:val="0048564B"/>
    <w:rsid w:val="00485CB0"/>
    <w:rsid w:val="004862D6"/>
    <w:rsid w:val="00486348"/>
    <w:rsid w:val="004864A6"/>
    <w:rsid w:val="004867D6"/>
    <w:rsid w:val="00486AE2"/>
    <w:rsid w:val="00486D72"/>
    <w:rsid w:val="004872DA"/>
    <w:rsid w:val="004876AA"/>
    <w:rsid w:val="00487958"/>
    <w:rsid w:val="00487CCA"/>
    <w:rsid w:val="00487DE3"/>
    <w:rsid w:val="004902E5"/>
    <w:rsid w:val="00490689"/>
    <w:rsid w:val="00490C21"/>
    <w:rsid w:val="004915D0"/>
    <w:rsid w:val="0049185C"/>
    <w:rsid w:val="00491C00"/>
    <w:rsid w:val="00491E6E"/>
    <w:rsid w:val="0049258E"/>
    <w:rsid w:val="004926FC"/>
    <w:rsid w:val="00493F03"/>
    <w:rsid w:val="004942C5"/>
    <w:rsid w:val="00494941"/>
    <w:rsid w:val="00494984"/>
    <w:rsid w:val="00495AB5"/>
    <w:rsid w:val="00496408"/>
    <w:rsid w:val="00496570"/>
    <w:rsid w:val="004965B1"/>
    <w:rsid w:val="00496C07"/>
    <w:rsid w:val="00497480"/>
    <w:rsid w:val="00497588"/>
    <w:rsid w:val="004A07F6"/>
    <w:rsid w:val="004A0D5A"/>
    <w:rsid w:val="004A1436"/>
    <w:rsid w:val="004A1500"/>
    <w:rsid w:val="004A15D1"/>
    <w:rsid w:val="004A1760"/>
    <w:rsid w:val="004A1B0B"/>
    <w:rsid w:val="004A20AD"/>
    <w:rsid w:val="004A26B3"/>
    <w:rsid w:val="004A2DD9"/>
    <w:rsid w:val="004A36A0"/>
    <w:rsid w:val="004A37C5"/>
    <w:rsid w:val="004A3955"/>
    <w:rsid w:val="004A4183"/>
    <w:rsid w:val="004A428C"/>
    <w:rsid w:val="004A4C71"/>
    <w:rsid w:val="004A52DA"/>
    <w:rsid w:val="004A538F"/>
    <w:rsid w:val="004A555B"/>
    <w:rsid w:val="004A5B6D"/>
    <w:rsid w:val="004A5FBC"/>
    <w:rsid w:val="004A68E5"/>
    <w:rsid w:val="004A77B3"/>
    <w:rsid w:val="004A79C7"/>
    <w:rsid w:val="004A7BF2"/>
    <w:rsid w:val="004B02A1"/>
    <w:rsid w:val="004B0832"/>
    <w:rsid w:val="004B0B2B"/>
    <w:rsid w:val="004B0CA1"/>
    <w:rsid w:val="004B0D86"/>
    <w:rsid w:val="004B1CF4"/>
    <w:rsid w:val="004B21AB"/>
    <w:rsid w:val="004B27ED"/>
    <w:rsid w:val="004B3348"/>
    <w:rsid w:val="004B3747"/>
    <w:rsid w:val="004B3B55"/>
    <w:rsid w:val="004B3B75"/>
    <w:rsid w:val="004B3CAA"/>
    <w:rsid w:val="004B3DA7"/>
    <w:rsid w:val="004B3DB2"/>
    <w:rsid w:val="004B420F"/>
    <w:rsid w:val="004B48AE"/>
    <w:rsid w:val="004B4E51"/>
    <w:rsid w:val="004B58F1"/>
    <w:rsid w:val="004B5BEC"/>
    <w:rsid w:val="004B5DC3"/>
    <w:rsid w:val="004B66A1"/>
    <w:rsid w:val="004B7225"/>
    <w:rsid w:val="004B77AC"/>
    <w:rsid w:val="004B783E"/>
    <w:rsid w:val="004C03B9"/>
    <w:rsid w:val="004C0BFC"/>
    <w:rsid w:val="004C1BAF"/>
    <w:rsid w:val="004C29A2"/>
    <w:rsid w:val="004C3A4F"/>
    <w:rsid w:val="004C436E"/>
    <w:rsid w:val="004C45EA"/>
    <w:rsid w:val="004C5219"/>
    <w:rsid w:val="004C5272"/>
    <w:rsid w:val="004C5345"/>
    <w:rsid w:val="004C57EC"/>
    <w:rsid w:val="004C57F7"/>
    <w:rsid w:val="004C5906"/>
    <w:rsid w:val="004C5E0A"/>
    <w:rsid w:val="004C68B5"/>
    <w:rsid w:val="004C75A9"/>
    <w:rsid w:val="004C75ED"/>
    <w:rsid w:val="004D0507"/>
    <w:rsid w:val="004D0A53"/>
    <w:rsid w:val="004D0E2B"/>
    <w:rsid w:val="004D101F"/>
    <w:rsid w:val="004D10B1"/>
    <w:rsid w:val="004D1175"/>
    <w:rsid w:val="004D1E84"/>
    <w:rsid w:val="004D1FA9"/>
    <w:rsid w:val="004D210E"/>
    <w:rsid w:val="004D241B"/>
    <w:rsid w:val="004D2C77"/>
    <w:rsid w:val="004D2F87"/>
    <w:rsid w:val="004D2FEC"/>
    <w:rsid w:val="004D30FF"/>
    <w:rsid w:val="004D32EA"/>
    <w:rsid w:val="004D341D"/>
    <w:rsid w:val="004D381B"/>
    <w:rsid w:val="004D3FE1"/>
    <w:rsid w:val="004D4434"/>
    <w:rsid w:val="004D4454"/>
    <w:rsid w:val="004D44B5"/>
    <w:rsid w:val="004D49F4"/>
    <w:rsid w:val="004D5462"/>
    <w:rsid w:val="004D5796"/>
    <w:rsid w:val="004D58FE"/>
    <w:rsid w:val="004D5E58"/>
    <w:rsid w:val="004D5FD8"/>
    <w:rsid w:val="004D623D"/>
    <w:rsid w:val="004D7455"/>
    <w:rsid w:val="004D74F3"/>
    <w:rsid w:val="004E0129"/>
    <w:rsid w:val="004E03AE"/>
    <w:rsid w:val="004E06E1"/>
    <w:rsid w:val="004E0788"/>
    <w:rsid w:val="004E0D9B"/>
    <w:rsid w:val="004E0DFA"/>
    <w:rsid w:val="004E1922"/>
    <w:rsid w:val="004E1A21"/>
    <w:rsid w:val="004E2875"/>
    <w:rsid w:val="004E2B6C"/>
    <w:rsid w:val="004E2F96"/>
    <w:rsid w:val="004E3337"/>
    <w:rsid w:val="004E3DFA"/>
    <w:rsid w:val="004E3E8A"/>
    <w:rsid w:val="004E3FF5"/>
    <w:rsid w:val="004E4AC7"/>
    <w:rsid w:val="004E4C1F"/>
    <w:rsid w:val="004E4C7A"/>
    <w:rsid w:val="004E4CEF"/>
    <w:rsid w:val="004E555D"/>
    <w:rsid w:val="004E631D"/>
    <w:rsid w:val="004E640D"/>
    <w:rsid w:val="004E705C"/>
    <w:rsid w:val="004E7322"/>
    <w:rsid w:val="004E7549"/>
    <w:rsid w:val="004F016D"/>
    <w:rsid w:val="004F03B9"/>
    <w:rsid w:val="004F045A"/>
    <w:rsid w:val="004F0AD8"/>
    <w:rsid w:val="004F1078"/>
    <w:rsid w:val="004F1086"/>
    <w:rsid w:val="004F176B"/>
    <w:rsid w:val="004F1815"/>
    <w:rsid w:val="004F3A05"/>
    <w:rsid w:val="004F45B0"/>
    <w:rsid w:val="004F4629"/>
    <w:rsid w:val="004F49B6"/>
    <w:rsid w:val="004F504A"/>
    <w:rsid w:val="004F528D"/>
    <w:rsid w:val="004F549B"/>
    <w:rsid w:val="004F59F2"/>
    <w:rsid w:val="004F6DBA"/>
    <w:rsid w:val="004F77AE"/>
    <w:rsid w:val="004F77C4"/>
    <w:rsid w:val="004F78FE"/>
    <w:rsid w:val="004F7D18"/>
    <w:rsid w:val="005001C0"/>
    <w:rsid w:val="005012B2"/>
    <w:rsid w:val="00501B58"/>
    <w:rsid w:val="00501B90"/>
    <w:rsid w:val="00501EC2"/>
    <w:rsid w:val="00502622"/>
    <w:rsid w:val="00503006"/>
    <w:rsid w:val="00503296"/>
    <w:rsid w:val="005038AE"/>
    <w:rsid w:val="0050476C"/>
    <w:rsid w:val="00504BA4"/>
    <w:rsid w:val="00504C28"/>
    <w:rsid w:val="00505274"/>
    <w:rsid w:val="005055EF"/>
    <w:rsid w:val="00505718"/>
    <w:rsid w:val="005059C6"/>
    <w:rsid w:val="00505F0B"/>
    <w:rsid w:val="005069E0"/>
    <w:rsid w:val="005073D0"/>
    <w:rsid w:val="005077CE"/>
    <w:rsid w:val="00510DFD"/>
    <w:rsid w:val="00510E41"/>
    <w:rsid w:val="005112D5"/>
    <w:rsid w:val="0051132F"/>
    <w:rsid w:val="00511F3D"/>
    <w:rsid w:val="0051282C"/>
    <w:rsid w:val="0051306A"/>
    <w:rsid w:val="00513783"/>
    <w:rsid w:val="00513D93"/>
    <w:rsid w:val="00513E3D"/>
    <w:rsid w:val="00513F91"/>
    <w:rsid w:val="0051410D"/>
    <w:rsid w:val="00514528"/>
    <w:rsid w:val="00514837"/>
    <w:rsid w:val="005151D9"/>
    <w:rsid w:val="005151F5"/>
    <w:rsid w:val="00515815"/>
    <w:rsid w:val="0051597C"/>
    <w:rsid w:val="00515D14"/>
    <w:rsid w:val="0051764C"/>
    <w:rsid w:val="0051783A"/>
    <w:rsid w:val="00517E08"/>
    <w:rsid w:val="00520BDF"/>
    <w:rsid w:val="00520C14"/>
    <w:rsid w:val="0052100A"/>
    <w:rsid w:val="00521EFB"/>
    <w:rsid w:val="005220F9"/>
    <w:rsid w:val="00522106"/>
    <w:rsid w:val="00522401"/>
    <w:rsid w:val="00522422"/>
    <w:rsid w:val="0052251F"/>
    <w:rsid w:val="00522F3B"/>
    <w:rsid w:val="0052313A"/>
    <w:rsid w:val="0052366A"/>
    <w:rsid w:val="00523807"/>
    <w:rsid w:val="005242C3"/>
    <w:rsid w:val="00524669"/>
    <w:rsid w:val="00524B77"/>
    <w:rsid w:val="00524CBC"/>
    <w:rsid w:val="00525387"/>
    <w:rsid w:val="005254D0"/>
    <w:rsid w:val="0052569E"/>
    <w:rsid w:val="00525EA4"/>
    <w:rsid w:val="005262ED"/>
    <w:rsid w:val="00527676"/>
    <w:rsid w:val="00527859"/>
    <w:rsid w:val="00530091"/>
    <w:rsid w:val="0053066D"/>
    <w:rsid w:val="00530778"/>
    <w:rsid w:val="0053079C"/>
    <w:rsid w:val="00530A9B"/>
    <w:rsid w:val="00530AEC"/>
    <w:rsid w:val="00530BFA"/>
    <w:rsid w:val="00531185"/>
    <w:rsid w:val="00531194"/>
    <w:rsid w:val="005313C4"/>
    <w:rsid w:val="00531766"/>
    <w:rsid w:val="00531DB2"/>
    <w:rsid w:val="005323FC"/>
    <w:rsid w:val="00532B29"/>
    <w:rsid w:val="00534217"/>
    <w:rsid w:val="005342D7"/>
    <w:rsid w:val="00534560"/>
    <w:rsid w:val="005348A0"/>
    <w:rsid w:val="005348B9"/>
    <w:rsid w:val="00534FA4"/>
    <w:rsid w:val="005354A5"/>
    <w:rsid w:val="00535DE4"/>
    <w:rsid w:val="00535E6D"/>
    <w:rsid w:val="00536617"/>
    <w:rsid w:val="005371A9"/>
    <w:rsid w:val="00537E43"/>
    <w:rsid w:val="00540DE9"/>
    <w:rsid w:val="005414F6"/>
    <w:rsid w:val="00541BAB"/>
    <w:rsid w:val="00541E0D"/>
    <w:rsid w:val="005424A6"/>
    <w:rsid w:val="005429A5"/>
    <w:rsid w:val="005435F9"/>
    <w:rsid w:val="00543C95"/>
    <w:rsid w:val="005440CE"/>
    <w:rsid w:val="005441B7"/>
    <w:rsid w:val="00544689"/>
    <w:rsid w:val="00544843"/>
    <w:rsid w:val="0054496E"/>
    <w:rsid w:val="005450A7"/>
    <w:rsid w:val="00545A0C"/>
    <w:rsid w:val="005464EA"/>
    <w:rsid w:val="00546B88"/>
    <w:rsid w:val="00547023"/>
    <w:rsid w:val="00547786"/>
    <w:rsid w:val="00550848"/>
    <w:rsid w:val="00550A85"/>
    <w:rsid w:val="00550A8B"/>
    <w:rsid w:val="00550FEC"/>
    <w:rsid w:val="00551228"/>
    <w:rsid w:val="005519A2"/>
    <w:rsid w:val="005527F0"/>
    <w:rsid w:val="00552B70"/>
    <w:rsid w:val="00552DED"/>
    <w:rsid w:val="005533DB"/>
    <w:rsid w:val="00553B81"/>
    <w:rsid w:val="00554129"/>
    <w:rsid w:val="005542D7"/>
    <w:rsid w:val="005542DA"/>
    <w:rsid w:val="005543E5"/>
    <w:rsid w:val="005544CB"/>
    <w:rsid w:val="00554B1A"/>
    <w:rsid w:val="00555A1D"/>
    <w:rsid w:val="00555A7C"/>
    <w:rsid w:val="00555FB9"/>
    <w:rsid w:val="00556753"/>
    <w:rsid w:val="00556AF5"/>
    <w:rsid w:val="00556BFE"/>
    <w:rsid w:val="00556FA4"/>
    <w:rsid w:val="005577BF"/>
    <w:rsid w:val="00557CEF"/>
    <w:rsid w:val="00557DE9"/>
    <w:rsid w:val="00557F5F"/>
    <w:rsid w:val="005600C8"/>
    <w:rsid w:val="00560394"/>
    <w:rsid w:val="0056089C"/>
    <w:rsid w:val="00560C34"/>
    <w:rsid w:val="00561849"/>
    <w:rsid w:val="00562AA4"/>
    <w:rsid w:val="00563AC8"/>
    <w:rsid w:val="00565411"/>
    <w:rsid w:val="005655B4"/>
    <w:rsid w:val="00565A1F"/>
    <w:rsid w:val="00565FDB"/>
    <w:rsid w:val="00565FEA"/>
    <w:rsid w:val="005660F8"/>
    <w:rsid w:val="00566101"/>
    <w:rsid w:val="0056646C"/>
    <w:rsid w:val="00566525"/>
    <w:rsid w:val="00566827"/>
    <w:rsid w:val="005679B1"/>
    <w:rsid w:val="00567A81"/>
    <w:rsid w:val="00570900"/>
    <w:rsid w:val="00571720"/>
    <w:rsid w:val="00571FE8"/>
    <w:rsid w:val="0057272C"/>
    <w:rsid w:val="00572A3B"/>
    <w:rsid w:val="00572B10"/>
    <w:rsid w:val="00572B64"/>
    <w:rsid w:val="0057304D"/>
    <w:rsid w:val="00573C3E"/>
    <w:rsid w:val="00573C4E"/>
    <w:rsid w:val="00573EDC"/>
    <w:rsid w:val="005740BC"/>
    <w:rsid w:val="005740FD"/>
    <w:rsid w:val="00574748"/>
    <w:rsid w:val="00574DED"/>
    <w:rsid w:val="00576D36"/>
    <w:rsid w:val="00577025"/>
    <w:rsid w:val="00577282"/>
    <w:rsid w:val="0057745F"/>
    <w:rsid w:val="0057798D"/>
    <w:rsid w:val="005779CA"/>
    <w:rsid w:val="00577ACB"/>
    <w:rsid w:val="00577C50"/>
    <w:rsid w:val="00580124"/>
    <w:rsid w:val="00580575"/>
    <w:rsid w:val="005806B1"/>
    <w:rsid w:val="005811EC"/>
    <w:rsid w:val="005819C3"/>
    <w:rsid w:val="00581E26"/>
    <w:rsid w:val="00582054"/>
    <w:rsid w:val="005824B4"/>
    <w:rsid w:val="00582723"/>
    <w:rsid w:val="0058276A"/>
    <w:rsid w:val="00582B19"/>
    <w:rsid w:val="005839C5"/>
    <w:rsid w:val="00583C2E"/>
    <w:rsid w:val="00583E1B"/>
    <w:rsid w:val="00583F75"/>
    <w:rsid w:val="0058482F"/>
    <w:rsid w:val="0058561A"/>
    <w:rsid w:val="00585720"/>
    <w:rsid w:val="0058585D"/>
    <w:rsid w:val="0058592F"/>
    <w:rsid w:val="00585D94"/>
    <w:rsid w:val="00585DFE"/>
    <w:rsid w:val="00586048"/>
    <w:rsid w:val="0058656D"/>
    <w:rsid w:val="00586991"/>
    <w:rsid w:val="00586A4D"/>
    <w:rsid w:val="00587071"/>
    <w:rsid w:val="00587CCA"/>
    <w:rsid w:val="00587FAB"/>
    <w:rsid w:val="0059025A"/>
    <w:rsid w:val="00590611"/>
    <w:rsid w:val="00590E07"/>
    <w:rsid w:val="0059135E"/>
    <w:rsid w:val="00591F9C"/>
    <w:rsid w:val="00592214"/>
    <w:rsid w:val="00592420"/>
    <w:rsid w:val="00592947"/>
    <w:rsid w:val="00592D8E"/>
    <w:rsid w:val="005935AE"/>
    <w:rsid w:val="00593BDD"/>
    <w:rsid w:val="00593D30"/>
    <w:rsid w:val="0059410C"/>
    <w:rsid w:val="005944CD"/>
    <w:rsid w:val="00594A46"/>
    <w:rsid w:val="00594AD3"/>
    <w:rsid w:val="00594C6B"/>
    <w:rsid w:val="00594D71"/>
    <w:rsid w:val="005950BC"/>
    <w:rsid w:val="00595B70"/>
    <w:rsid w:val="00596A9A"/>
    <w:rsid w:val="00596FF2"/>
    <w:rsid w:val="005977F0"/>
    <w:rsid w:val="00597A43"/>
    <w:rsid w:val="00597A7A"/>
    <w:rsid w:val="00597BF9"/>
    <w:rsid w:val="00597E04"/>
    <w:rsid w:val="005A0478"/>
    <w:rsid w:val="005A0814"/>
    <w:rsid w:val="005A0BF0"/>
    <w:rsid w:val="005A10D5"/>
    <w:rsid w:val="005A1541"/>
    <w:rsid w:val="005A18C2"/>
    <w:rsid w:val="005A1A5C"/>
    <w:rsid w:val="005A2089"/>
    <w:rsid w:val="005A3AA6"/>
    <w:rsid w:val="005A3D8F"/>
    <w:rsid w:val="005A4AB6"/>
    <w:rsid w:val="005A4ABA"/>
    <w:rsid w:val="005A4D30"/>
    <w:rsid w:val="005A5028"/>
    <w:rsid w:val="005A55D7"/>
    <w:rsid w:val="005A6790"/>
    <w:rsid w:val="005A68F6"/>
    <w:rsid w:val="005A69D8"/>
    <w:rsid w:val="005A79FB"/>
    <w:rsid w:val="005A7D07"/>
    <w:rsid w:val="005B08B1"/>
    <w:rsid w:val="005B0B58"/>
    <w:rsid w:val="005B1733"/>
    <w:rsid w:val="005B1A76"/>
    <w:rsid w:val="005B20C1"/>
    <w:rsid w:val="005B2283"/>
    <w:rsid w:val="005B28C1"/>
    <w:rsid w:val="005B2B45"/>
    <w:rsid w:val="005B402E"/>
    <w:rsid w:val="005B43E6"/>
    <w:rsid w:val="005B4BA0"/>
    <w:rsid w:val="005B4E86"/>
    <w:rsid w:val="005B52D9"/>
    <w:rsid w:val="005B5B2B"/>
    <w:rsid w:val="005B63E5"/>
    <w:rsid w:val="005B6488"/>
    <w:rsid w:val="005B6C56"/>
    <w:rsid w:val="005B7101"/>
    <w:rsid w:val="005B71EF"/>
    <w:rsid w:val="005C0DDB"/>
    <w:rsid w:val="005C1264"/>
    <w:rsid w:val="005C223B"/>
    <w:rsid w:val="005C2EDD"/>
    <w:rsid w:val="005C3868"/>
    <w:rsid w:val="005C3D11"/>
    <w:rsid w:val="005C3E5C"/>
    <w:rsid w:val="005C468A"/>
    <w:rsid w:val="005C4E96"/>
    <w:rsid w:val="005C4EB8"/>
    <w:rsid w:val="005C50AB"/>
    <w:rsid w:val="005C6C56"/>
    <w:rsid w:val="005C71D7"/>
    <w:rsid w:val="005C72C3"/>
    <w:rsid w:val="005C75FA"/>
    <w:rsid w:val="005D0AC4"/>
    <w:rsid w:val="005D0DD0"/>
    <w:rsid w:val="005D1D9C"/>
    <w:rsid w:val="005D2A25"/>
    <w:rsid w:val="005D33E6"/>
    <w:rsid w:val="005D347A"/>
    <w:rsid w:val="005D34BB"/>
    <w:rsid w:val="005D407C"/>
    <w:rsid w:val="005D492F"/>
    <w:rsid w:val="005D4A25"/>
    <w:rsid w:val="005D4E9F"/>
    <w:rsid w:val="005D51F1"/>
    <w:rsid w:val="005D5489"/>
    <w:rsid w:val="005D5F17"/>
    <w:rsid w:val="005D6267"/>
    <w:rsid w:val="005D6583"/>
    <w:rsid w:val="005D6B01"/>
    <w:rsid w:val="005D6EEB"/>
    <w:rsid w:val="005D7312"/>
    <w:rsid w:val="005D7B9F"/>
    <w:rsid w:val="005E0027"/>
    <w:rsid w:val="005E00F5"/>
    <w:rsid w:val="005E1395"/>
    <w:rsid w:val="005E13AF"/>
    <w:rsid w:val="005E1957"/>
    <w:rsid w:val="005E19CE"/>
    <w:rsid w:val="005E1B6E"/>
    <w:rsid w:val="005E2B4A"/>
    <w:rsid w:val="005E326F"/>
    <w:rsid w:val="005E3286"/>
    <w:rsid w:val="005E341D"/>
    <w:rsid w:val="005E3498"/>
    <w:rsid w:val="005E3675"/>
    <w:rsid w:val="005E403B"/>
    <w:rsid w:val="005E4980"/>
    <w:rsid w:val="005E5043"/>
    <w:rsid w:val="005E512D"/>
    <w:rsid w:val="005E55FC"/>
    <w:rsid w:val="005E59E2"/>
    <w:rsid w:val="005E59EA"/>
    <w:rsid w:val="005E5BEE"/>
    <w:rsid w:val="005E6477"/>
    <w:rsid w:val="005E65A4"/>
    <w:rsid w:val="005E71F6"/>
    <w:rsid w:val="005E76A2"/>
    <w:rsid w:val="005E7829"/>
    <w:rsid w:val="005F04FA"/>
    <w:rsid w:val="005F0665"/>
    <w:rsid w:val="005F07CD"/>
    <w:rsid w:val="005F08A0"/>
    <w:rsid w:val="005F10C0"/>
    <w:rsid w:val="005F16F3"/>
    <w:rsid w:val="005F1A73"/>
    <w:rsid w:val="005F292F"/>
    <w:rsid w:val="005F30FD"/>
    <w:rsid w:val="005F33CB"/>
    <w:rsid w:val="005F33D0"/>
    <w:rsid w:val="005F3887"/>
    <w:rsid w:val="005F3A33"/>
    <w:rsid w:val="005F3CBC"/>
    <w:rsid w:val="005F44AB"/>
    <w:rsid w:val="005F4F06"/>
    <w:rsid w:val="005F4F2F"/>
    <w:rsid w:val="005F5206"/>
    <w:rsid w:val="005F5264"/>
    <w:rsid w:val="005F5436"/>
    <w:rsid w:val="005F5763"/>
    <w:rsid w:val="005F5AE0"/>
    <w:rsid w:val="005F5AED"/>
    <w:rsid w:val="005F611C"/>
    <w:rsid w:val="005F7372"/>
    <w:rsid w:val="005F73A7"/>
    <w:rsid w:val="005F7744"/>
    <w:rsid w:val="005F7915"/>
    <w:rsid w:val="005F7D6D"/>
    <w:rsid w:val="00600328"/>
    <w:rsid w:val="006005F4"/>
    <w:rsid w:val="006008D8"/>
    <w:rsid w:val="006009E9"/>
    <w:rsid w:val="0060234D"/>
    <w:rsid w:val="006025FA"/>
    <w:rsid w:val="006026C6"/>
    <w:rsid w:val="00602CAF"/>
    <w:rsid w:val="00603E29"/>
    <w:rsid w:val="006040F6"/>
    <w:rsid w:val="006047AA"/>
    <w:rsid w:val="00604ACD"/>
    <w:rsid w:val="006056E7"/>
    <w:rsid w:val="00605937"/>
    <w:rsid w:val="006065D8"/>
    <w:rsid w:val="006066F6"/>
    <w:rsid w:val="00606EEC"/>
    <w:rsid w:val="00607A1A"/>
    <w:rsid w:val="0061014C"/>
    <w:rsid w:val="00610395"/>
    <w:rsid w:val="006103C4"/>
    <w:rsid w:val="00611190"/>
    <w:rsid w:val="00612070"/>
    <w:rsid w:val="00613143"/>
    <w:rsid w:val="00613922"/>
    <w:rsid w:val="00614034"/>
    <w:rsid w:val="0061456D"/>
    <w:rsid w:val="00614574"/>
    <w:rsid w:val="00614A45"/>
    <w:rsid w:val="00614CDC"/>
    <w:rsid w:val="0061514E"/>
    <w:rsid w:val="0061554C"/>
    <w:rsid w:val="0061572E"/>
    <w:rsid w:val="00615850"/>
    <w:rsid w:val="00615BAD"/>
    <w:rsid w:val="0061604F"/>
    <w:rsid w:val="006162E8"/>
    <w:rsid w:val="00616408"/>
    <w:rsid w:val="006164E7"/>
    <w:rsid w:val="006165BE"/>
    <w:rsid w:val="00620832"/>
    <w:rsid w:val="0062231C"/>
    <w:rsid w:val="00622464"/>
    <w:rsid w:val="00622FC1"/>
    <w:rsid w:val="00623ED8"/>
    <w:rsid w:val="006249EB"/>
    <w:rsid w:val="00625F50"/>
    <w:rsid w:val="0062789B"/>
    <w:rsid w:val="00627D4C"/>
    <w:rsid w:val="00630959"/>
    <w:rsid w:val="00630B76"/>
    <w:rsid w:val="00630D95"/>
    <w:rsid w:val="0063126C"/>
    <w:rsid w:val="00631842"/>
    <w:rsid w:val="00632905"/>
    <w:rsid w:val="00633323"/>
    <w:rsid w:val="00633336"/>
    <w:rsid w:val="00633B95"/>
    <w:rsid w:val="00633BF3"/>
    <w:rsid w:val="006340C1"/>
    <w:rsid w:val="00634ACC"/>
    <w:rsid w:val="00635066"/>
    <w:rsid w:val="00635560"/>
    <w:rsid w:val="006357C3"/>
    <w:rsid w:val="00636C41"/>
    <w:rsid w:val="00636FAE"/>
    <w:rsid w:val="006370A6"/>
    <w:rsid w:val="00637CB7"/>
    <w:rsid w:val="006400C8"/>
    <w:rsid w:val="00640135"/>
    <w:rsid w:val="00640788"/>
    <w:rsid w:val="00640965"/>
    <w:rsid w:val="00640DC9"/>
    <w:rsid w:val="006410F1"/>
    <w:rsid w:val="0064122D"/>
    <w:rsid w:val="006414D3"/>
    <w:rsid w:val="00641CC2"/>
    <w:rsid w:val="00641E34"/>
    <w:rsid w:val="00641E8D"/>
    <w:rsid w:val="00641E8F"/>
    <w:rsid w:val="00641EDE"/>
    <w:rsid w:val="00641FDC"/>
    <w:rsid w:val="00642247"/>
    <w:rsid w:val="00642619"/>
    <w:rsid w:val="0064279E"/>
    <w:rsid w:val="0064343A"/>
    <w:rsid w:val="0064373B"/>
    <w:rsid w:val="00644627"/>
    <w:rsid w:val="0064462F"/>
    <w:rsid w:val="0064471B"/>
    <w:rsid w:val="00644943"/>
    <w:rsid w:val="00644EC9"/>
    <w:rsid w:val="006509E6"/>
    <w:rsid w:val="00650EF9"/>
    <w:rsid w:val="00650FA0"/>
    <w:rsid w:val="0065102F"/>
    <w:rsid w:val="006512B9"/>
    <w:rsid w:val="0065199C"/>
    <w:rsid w:val="00651A1D"/>
    <w:rsid w:val="006522B1"/>
    <w:rsid w:val="0065253A"/>
    <w:rsid w:val="00652988"/>
    <w:rsid w:val="00652DFA"/>
    <w:rsid w:val="00653C76"/>
    <w:rsid w:val="00653F3D"/>
    <w:rsid w:val="00654024"/>
    <w:rsid w:val="006542B5"/>
    <w:rsid w:val="0065447C"/>
    <w:rsid w:val="00654829"/>
    <w:rsid w:val="0065547E"/>
    <w:rsid w:val="00655E45"/>
    <w:rsid w:val="006565BB"/>
    <w:rsid w:val="0065663B"/>
    <w:rsid w:val="00656B62"/>
    <w:rsid w:val="00656E54"/>
    <w:rsid w:val="0065716A"/>
    <w:rsid w:val="006578C5"/>
    <w:rsid w:val="006578DF"/>
    <w:rsid w:val="00657E6D"/>
    <w:rsid w:val="0066045A"/>
    <w:rsid w:val="00660601"/>
    <w:rsid w:val="006607EA"/>
    <w:rsid w:val="00660A9A"/>
    <w:rsid w:val="0066129D"/>
    <w:rsid w:val="00661410"/>
    <w:rsid w:val="00661B4B"/>
    <w:rsid w:val="00661F7E"/>
    <w:rsid w:val="006621C4"/>
    <w:rsid w:val="00663AD4"/>
    <w:rsid w:val="006644E8"/>
    <w:rsid w:val="00664D37"/>
    <w:rsid w:val="00665068"/>
    <w:rsid w:val="006665C0"/>
    <w:rsid w:val="006672E9"/>
    <w:rsid w:val="0066735A"/>
    <w:rsid w:val="00667379"/>
    <w:rsid w:val="00670E0D"/>
    <w:rsid w:val="006716CC"/>
    <w:rsid w:val="006716CE"/>
    <w:rsid w:val="00671821"/>
    <w:rsid w:val="00671A42"/>
    <w:rsid w:val="00671A7E"/>
    <w:rsid w:val="0067283E"/>
    <w:rsid w:val="00672A1F"/>
    <w:rsid w:val="00672B39"/>
    <w:rsid w:val="00672C0C"/>
    <w:rsid w:val="00672D80"/>
    <w:rsid w:val="00673516"/>
    <w:rsid w:val="00673967"/>
    <w:rsid w:val="0067396C"/>
    <w:rsid w:val="00674D1E"/>
    <w:rsid w:val="006750C5"/>
    <w:rsid w:val="006752C8"/>
    <w:rsid w:val="006754F6"/>
    <w:rsid w:val="00675739"/>
    <w:rsid w:val="00675ADC"/>
    <w:rsid w:val="00676991"/>
    <w:rsid w:val="00676CA7"/>
    <w:rsid w:val="00676E82"/>
    <w:rsid w:val="006779F0"/>
    <w:rsid w:val="00677ACF"/>
    <w:rsid w:val="0068052A"/>
    <w:rsid w:val="006809B2"/>
    <w:rsid w:val="00680A68"/>
    <w:rsid w:val="0068141F"/>
    <w:rsid w:val="00681857"/>
    <w:rsid w:val="00681E0A"/>
    <w:rsid w:val="00682100"/>
    <w:rsid w:val="00682C8B"/>
    <w:rsid w:val="00682E77"/>
    <w:rsid w:val="006837EB"/>
    <w:rsid w:val="0068392A"/>
    <w:rsid w:val="00684621"/>
    <w:rsid w:val="0068472B"/>
    <w:rsid w:val="00685C0F"/>
    <w:rsid w:val="00686BA6"/>
    <w:rsid w:val="00686CEB"/>
    <w:rsid w:val="00686E40"/>
    <w:rsid w:val="0068720B"/>
    <w:rsid w:val="00687EAC"/>
    <w:rsid w:val="006900E2"/>
    <w:rsid w:val="00691916"/>
    <w:rsid w:val="00691D00"/>
    <w:rsid w:val="00692164"/>
    <w:rsid w:val="00692440"/>
    <w:rsid w:val="00692553"/>
    <w:rsid w:val="00692FB2"/>
    <w:rsid w:val="00693338"/>
    <w:rsid w:val="0069340E"/>
    <w:rsid w:val="00693D19"/>
    <w:rsid w:val="00694912"/>
    <w:rsid w:val="00694D71"/>
    <w:rsid w:val="006954C8"/>
    <w:rsid w:val="00695551"/>
    <w:rsid w:val="0069563A"/>
    <w:rsid w:val="00696427"/>
    <w:rsid w:val="00696E8F"/>
    <w:rsid w:val="00696FCB"/>
    <w:rsid w:val="00697414"/>
    <w:rsid w:val="0069741D"/>
    <w:rsid w:val="00697CE5"/>
    <w:rsid w:val="00697E55"/>
    <w:rsid w:val="00697EB5"/>
    <w:rsid w:val="006A0079"/>
    <w:rsid w:val="006A0308"/>
    <w:rsid w:val="006A0783"/>
    <w:rsid w:val="006A0E05"/>
    <w:rsid w:val="006A0E9C"/>
    <w:rsid w:val="006A1609"/>
    <w:rsid w:val="006A18C4"/>
    <w:rsid w:val="006A1D28"/>
    <w:rsid w:val="006A2338"/>
    <w:rsid w:val="006A25EB"/>
    <w:rsid w:val="006A2D4C"/>
    <w:rsid w:val="006A39AB"/>
    <w:rsid w:val="006A3C2E"/>
    <w:rsid w:val="006A4C24"/>
    <w:rsid w:val="006A5048"/>
    <w:rsid w:val="006A5837"/>
    <w:rsid w:val="006A58A2"/>
    <w:rsid w:val="006A5A24"/>
    <w:rsid w:val="006A5DF4"/>
    <w:rsid w:val="006A5E76"/>
    <w:rsid w:val="006A62AC"/>
    <w:rsid w:val="006A6BB8"/>
    <w:rsid w:val="006A6C76"/>
    <w:rsid w:val="006A6CB2"/>
    <w:rsid w:val="006A6DD4"/>
    <w:rsid w:val="006A6E01"/>
    <w:rsid w:val="006A7363"/>
    <w:rsid w:val="006A7CD7"/>
    <w:rsid w:val="006B04F1"/>
    <w:rsid w:val="006B076C"/>
    <w:rsid w:val="006B0DA1"/>
    <w:rsid w:val="006B130F"/>
    <w:rsid w:val="006B163D"/>
    <w:rsid w:val="006B1DF7"/>
    <w:rsid w:val="006B2535"/>
    <w:rsid w:val="006B263F"/>
    <w:rsid w:val="006B2D67"/>
    <w:rsid w:val="006B3041"/>
    <w:rsid w:val="006B368A"/>
    <w:rsid w:val="006B3AF5"/>
    <w:rsid w:val="006B4122"/>
    <w:rsid w:val="006B4271"/>
    <w:rsid w:val="006B4397"/>
    <w:rsid w:val="006B549B"/>
    <w:rsid w:val="006B61A9"/>
    <w:rsid w:val="006B6364"/>
    <w:rsid w:val="006B661B"/>
    <w:rsid w:val="006B6EE3"/>
    <w:rsid w:val="006B7939"/>
    <w:rsid w:val="006B7E27"/>
    <w:rsid w:val="006B7E4E"/>
    <w:rsid w:val="006B7F87"/>
    <w:rsid w:val="006C0189"/>
    <w:rsid w:val="006C0C0E"/>
    <w:rsid w:val="006C17CD"/>
    <w:rsid w:val="006C1913"/>
    <w:rsid w:val="006C1CCC"/>
    <w:rsid w:val="006C2457"/>
    <w:rsid w:val="006C2716"/>
    <w:rsid w:val="006C27F2"/>
    <w:rsid w:val="006C29AF"/>
    <w:rsid w:val="006C2B97"/>
    <w:rsid w:val="006C2F39"/>
    <w:rsid w:val="006C3DEE"/>
    <w:rsid w:val="006C3F7C"/>
    <w:rsid w:val="006C419B"/>
    <w:rsid w:val="006C426C"/>
    <w:rsid w:val="006C4FCF"/>
    <w:rsid w:val="006C597D"/>
    <w:rsid w:val="006C60F1"/>
    <w:rsid w:val="006C6A83"/>
    <w:rsid w:val="006C6CC4"/>
    <w:rsid w:val="006C7832"/>
    <w:rsid w:val="006C7AA2"/>
    <w:rsid w:val="006C7CFA"/>
    <w:rsid w:val="006D010E"/>
    <w:rsid w:val="006D03E9"/>
    <w:rsid w:val="006D1891"/>
    <w:rsid w:val="006D207A"/>
    <w:rsid w:val="006D22EF"/>
    <w:rsid w:val="006D254D"/>
    <w:rsid w:val="006D2D31"/>
    <w:rsid w:val="006D2F1F"/>
    <w:rsid w:val="006D342D"/>
    <w:rsid w:val="006D3D52"/>
    <w:rsid w:val="006D4049"/>
    <w:rsid w:val="006D4228"/>
    <w:rsid w:val="006D44A3"/>
    <w:rsid w:val="006D53E1"/>
    <w:rsid w:val="006D53EF"/>
    <w:rsid w:val="006D5DEB"/>
    <w:rsid w:val="006D5E08"/>
    <w:rsid w:val="006D5E76"/>
    <w:rsid w:val="006D5EF1"/>
    <w:rsid w:val="006D5F2B"/>
    <w:rsid w:val="006D69C9"/>
    <w:rsid w:val="006D6C9E"/>
    <w:rsid w:val="006D70C5"/>
    <w:rsid w:val="006D7B2E"/>
    <w:rsid w:val="006D7E9C"/>
    <w:rsid w:val="006E0B5A"/>
    <w:rsid w:val="006E1422"/>
    <w:rsid w:val="006E19C2"/>
    <w:rsid w:val="006E1AA0"/>
    <w:rsid w:val="006E1BE1"/>
    <w:rsid w:val="006E1F44"/>
    <w:rsid w:val="006E1FA6"/>
    <w:rsid w:val="006E24B8"/>
    <w:rsid w:val="006E26CC"/>
    <w:rsid w:val="006E2770"/>
    <w:rsid w:val="006E2F9A"/>
    <w:rsid w:val="006E30D9"/>
    <w:rsid w:val="006E33F0"/>
    <w:rsid w:val="006E4655"/>
    <w:rsid w:val="006E5AD4"/>
    <w:rsid w:val="006E5DCF"/>
    <w:rsid w:val="006E6423"/>
    <w:rsid w:val="006E6479"/>
    <w:rsid w:val="006E656C"/>
    <w:rsid w:val="006E6642"/>
    <w:rsid w:val="006E6659"/>
    <w:rsid w:val="006E7A0D"/>
    <w:rsid w:val="006E7BA9"/>
    <w:rsid w:val="006F05E3"/>
    <w:rsid w:val="006F0640"/>
    <w:rsid w:val="006F0A49"/>
    <w:rsid w:val="006F0BBF"/>
    <w:rsid w:val="006F1289"/>
    <w:rsid w:val="006F12C4"/>
    <w:rsid w:val="006F1A74"/>
    <w:rsid w:val="006F1AB1"/>
    <w:rsid w:val="006F1D01"/>
    <w:rsid w:val="006F1D96"/>
    <w:rsid w:val="006F2031"/>
    <w:rsid w:val="006F29C2"/>
    <w:rsid w:val="006F3220"/>
    <w:rsid w:val="006F3ED9"/>
    <w:rsid w:val="006F429A"/>
    <w:rsid w:val="006F42A2"/>
    <w:rsid w:val="006F4409"/>
    <w:rsid w:val="006F4877"/>
    <w:rsid w:val="006F4B4D"/>
    <w:rsid w:val="006F50CF"/>
    <w:rsid w:val="006F571C"/>
    <w:rsid w:val="006F574D"/>
    <w:rsid w:val="006F608B"/>
    <w:rsid w:val="006F6932"/>
    <w:rsid w:val="006F6945"/>
    <w:rsid w:val="006F6B4C"/>
    <w:rsid w:val="006F70C9"/>
    <w:rsid w:val="006F74DE"/>
    <w:rsid w:val="006F7F34"/>
    <w:rsid w:val="00701017"/>
    <w:rsid w:val="00701A65"/>
    <w:rsid w:val="007027AF"/>
    <w:rsid w:val="00702BAC"/>
    <w:rsid w:val="00702EDF"/>
    <w:rsid w:val="00702EFF"/>
    <w:rsid w:val="0070328F"/>
    <w:rsid w:val="0070371A"/>
    <w:rsid w:val="00703DC5"/>
    <w:rsid w:val="00704700"/>
    <w:rsid w:val="00704A17"/>
    <w:rsid w:val="00704C23"/>
    <w:rsid w:val="00704F1D"/>
    <w:rsid w:val="007050F2"/>
    <w:rsid w:val="007055EA"/>
    <w:rsid w:val="0070596C"/>
    <w:rsid w:val="00705A26"/>
    <w:rsid w:val="00705E92"/>
    <w:rsid w:val="007062EA"/>
    <w:rsid w:val="00707184"/>
    <w:rsid w:val="007075A3"/>
    <w:rsid w:val="00707705"/>
    <w:rsid w:val="00707E28"/>
    <w:rsid w:val="00707F52"/>
    <w:rsid w:val="007105A0"/>
    <w:rsid w:val="007106C7"/>
    <w:rsid w:val="00711693"/>
    <w:rsid w:val="007116D3"/>
    <w:rsid w:val="007119FA"/>
    <w:rsid w:val="00711C4F"/>
    <w:rsid w:val="00711F04"/>
    <w:rsid w:val="007121A7"/>
    <w:rsid w:val="00712428"/>
    <w:rsid w:val="00712F1D"/>
    <w:rsid w:val="00712FC5"/>
    <w:rsid w:val="007132D7"/>
    <w:rsid w:val="00713A4A"/>
    <w:rsid w:val="00713FCC"/>
    <w:rsid w:val="00714216"/>
    <w:rsid w:val="00714539"/>
    <w:rsid w:val="00714A68"/>
    <w:rsid w:val="00714D0F"/>
    <w:rsid w:val="00714F06"/>
    <w:rsid w:val="00715043"/>
    <w:rsid w:val="00715944"/>
    <w:rsid w:val="00715BB6"/>
    <w:rsid w:val="00715D70"/>
    <w:rsid w:val="007161F4"/>
    <w:rsid w:val="007167F6"/>
    <w:rsid w:val="007175E3"/>
    <w:rsid w:val="00720118"/>
    <w:rsid w:val="007201CA"/>
    <w:rsid w:val="007209E6"/>
    <w:rsid w:val="0072131C"/>
    <w:rsid w:val="007215C7"/>
    <w:rsid w:val="007217C2"/>
    <w:rsid w:val="00721985"/>
    <w:rsid w:val="00721B05"/>
    <w:rsid w:val="00721CE4"/>
    <w:rsid w:val="00721D33"/>
    <w:rsid w:val="00721E0F"/>
    <w:rsid w:val="0072277B"/>
    <w:rsid w:val="007229F5"/>
    <w:rsid w:val="00722A08"/>
    <w:rsid w:val="00722A3C"/>
    <w:rsid w:val="00722CD3"/>
    <w:rsid w:val="00722E41"/>
    <w:rsid w:val="007230CE"/>
    <w:rsid w:val="00723641"/>
    <w:rsid w:val="00723D61"/>
    <w:rsid w:val="007244FF"/>
    <w:rsid w:val="0072458F"/>
    <w:rsid w:val="00724666"/>
    <w:rsid w:val="007246FB"/>
    <w:rsid w:val="00724AD7"/>
    <w:rsid w:val="00724C4F"/>
    <w:rsid w:val="00725F12"/>
    <w:rsid w:val="00725FD1"/>
    <w:rsid w:val="0072606F"/>
    <w:rsid w:val="007261CF"/>
    <w:rsid w:val="007262B2"/>
    <w:rsid w:val="007263D2"/>
    <w:rsid w:val="00726731"/>
    <w:rsid w:val="00727523"/>
    <w:rsid w:val="007277C8"/>
    <w:rsid w:val="00727921"/>
    <w:rsid w:val="00727E9B"/>
    <w:rsid w:val="00727F6F"/>
    <w:rsid w:val="00730B33"/>
    <w:rsid w:val="00730B6B"/>
    <w:rsid w:val="00730E15"/>
    <w:rsid w:val="0073104E"/>
    <w:rsid w:val="0073149A"/>
    <w:rsid w:val="00732554"/>
    <w:rsid w:val="00732E99"/>
    <w:rsid w:val="00732F77"/>
    <w:rsid w:val="007341C0"/>
    <w:rsid w:val="00734229"/>
    <w:rsid w:val="0073475B"/>
    <w:rsid w:val="00734807"/>
    <w:rsid w:val="00734889"/>
    <w:rsid w:val="007348F2"/>
    <w:rsid w:val="00734C7B"/>
    <w:rsid w:val="0073571A"/>
    <w:rsid w:val="00735C88"/>
    <w:rsid w:val="00735F89"/>
    <w:rsid w:val="007364C6"/>
    <w:rsid w:val="0073677F"/>
    <w:rsid w:val="007367A0"/>
    <w:rsid w:val="00736B98"/>
    <w:rsid w:val="007372C1"/>
    <w:rsid w:val="00740556"/>
    <w:rsid w:val="00740EE1"/>
    <w:rsid w:val="00740FE5"/>
    <w:rsid w:val="00741C94"/>
    <w:rsid w:val="00742BB1"/>
    <w:rsid w:val="0074315C"/>
    <w:rsid w:val="0074381D"/>
    <w:rsid w:val="0074463C"/>
    <w:rsid w:val="00744746"/>
    <w:rsid w:val="00744C1E"/>
    <w:rsid w:val="00745303"/>
    <w:rsid w:val="007453B5"/>
    <w:rsid w:val="007463E8"/>
    <w:rsid w:val="00746539"/>
    <w:rsid w:val="007465C4"/>
    <w:rsid w:val="0074667D"/>
    <w:rsid w:val="00746975"/>
    <w:rsid w:val="007469A0"/>
    <w:rsid w:val="007469E5"/>
    <w:rsid w:val="00746A5C"/>
    <w:rsid w:val="00746CAD"/>
    <w:rsid w:val="00746F92"/>
    <w:rsid w:val="00747A1F"/>
    <w:rsid w:val="00747ACE"/>
    <w:rsid w:val="00747F1B"/>
    <w:rsid w:val="007509DF"/>
    <w:rsid w:val="00750C28"/>
    <w:rsid w:val="00750DEA"/>
    <w:rsid w:val="00751021"/>
    <w:rsid w:val="007513B4"/>
    <w:rsid w:val="00751A20"/>
    <w:rsid w:val="00751E4C"/>
    <w:rsid w:val="007527E0"/>
    <w:rsid w:val="00752C64"/>
    <w:rsid w:val="00753260"/>
    <w:rsid w:val="00753BC8"/>
    <w:rsid w:val="007546C1"/>
    <w:rsid w:val="00754B95"/>
    <w:rsid w:val="00754C70"/>
    <w:rsid w:val="007552CC"/>
    <w:rsid w:val="00755DF7"/>
    <w:rsid w:val="00756105"/>
    <w:rsid w:val="007564AE"/>
    <w:rsid w:val="0075678E"/>
    <w:rsid w:val="00756C4D"/>
    <w:rsid w:val="00756FE9"/>
    <w:rsid w:val="00757170"/>
    <w:rsid w:val="00757875"/>
    <w:rsid w:val="007602EB"/>
    <w:rsid w:val="00760336"/>
    <w:rsid w:val="00760673"/>
    <w:rsid w:val="0076073B"/>
    <w:rsid w:val="00761A67"/>
    <w:rsid w:val="00761E76"/>
    <w:rsid w:val="00761F20"/>
    <w:rsid w:val="007629A5"/>
    <w:rsid w:val="00762ABD"/>
    <w:rsid w:val="00762B9D"/>
    <w:rsid w:val="00763D73"/>
    <w:rsid w:val="00764285"/>
    <w:rsid w:val="007645C8"/>
    <w:rsid w:val="007645DA"/>
    <w:rsid w:val="00764EAD"/>
    <w:rsid w:val="00765028"/>
    <w:rsid w:val="0076584F"/>
    <w:rsid w:val="007658B4"/>
    <w:rsid w:val="00765BFF"/>
    <w:rsid w:val="00766568"/>
    <w:rsid w:val="00766ECF"/>
    <w:rsid w:val="00766F35"/>
    <w:rsid w:val="007671E2"/>
    <w:rsid w:val="0076722C"/>
    <w:rsid w:val="00767CBA"/>
    <w:rsid w:val="00770584"/>
    <w:rsid w:val="007706E3"/>
    <w:rsid w:val="00770B8F"/>
    <w:rsid w:val="00770BE4"/>
    <w:rsid w:val="007711FC"/>
    <w:rsid w:val="0077137D"/>
    <w:rsid w:val="00771A0A"/>
    <w:rsid w:val="0077215A"/>
    <w:rsid w:val="00772205"/>
    <w:rsid w:val="00772364"/>
    <w:rsid w:val="00772A57"/>
    <w:rsid w:val="00772F10"/>
    <w:rsid w:val="0077349C"/>
    <w:rsid w:val="007743FD"/>
    <w:rsid w:val="0077472B"/>
    <w:rsid w:val="00775021"/>
    <w:rsid w:val="007751E3"/>
    <w:rsid w:val="00775721"/>
    <w:rsid w:val="00775CC4"/>
    <w:rsid w:val="00776629"/>
    <w:rsid w:val="00777253"/>
    <w:rsid w:val="00777D93"/>
    <w:rsid w:val="00780047"/>
    <w:rsid w:val="00780371"/>
    <w:rsid w:val="00780611"/>
    <w:rsid w:val="00780650"/>
    <w:rsid w:val="007818A2"/>
    <w:rsid w:val="00781A86"/>
    <w:rsid w:val="00782424"/>
    <w:rsid w:val="007829C4"/>
    <w:rsid w:val="00783182"/>
    <w:rsid w:val="00783471"/>
    <w:rsid w:val="00783AA9"/>
    <w:rsid w:val="00784B90"/>
    <w:rsid w:val="00785716"/>
    <w:rsid w:val="00785981"/>
    <w:rsid w:val="00786843"/>
    <w:rsid w:val="00786F2D"/>
    <w:rsid w:val="0078737C"/>
    <w:rsid w:val="00787611"/>
    <w:rsid w:val="00787E8D"/>
    <w:rsid w:val="00790109"/>
    <w:rsid w:val="0079058C"/>
    <w:rsid w:val="00791061"/>
    <w:rsid w:val="0079286D"/>
    <w:rsid w:val="0079295D"/>
    <w:rsid w:val="00792BAD"/>
    <w:rsid w:val="0079308B"/>
    <w:rsid w:val="00793962"/>
    <w:rsid w:val="00793BDC"/>
    <w:rsid w:val="00793EE1"/>
    <w:rsid w:val="00794867"/>
    <w:rsid w:val="007949BB"/>
    <w:rsid w:val="00795168"/>
    <w:rsid w:val="00795432"/>
    <w:rsid w:val="0079562F"/>
    <w:rsid w:val="00795F4F"/>
    <w:rsid w:val="007967AB"/>
    <w:rsid w:val="00796A07"/>
    <w:rsid w:val="00796C08"/>
    <w:rsid w:val="007A09AA"/>
    <w:rsid w:val="007A1125"/>
    <w:rsid w:val="007A1DE6"/>
    <w:rsid w:val="007A1E98"/>
    <w:rsid w:val="007A2228"/>
    <w:rsid w:val="007A2AEE"/>
    <w:rsid w:val="007A2BB8"/>
    <w:rsid w:val="007A39A1"/>
    <w:rsid w:val="007A3DC3"/>
    <w:rsid w:val="007A3E2A"/>
    <w:rsid w:val="007A47DC"/>
    <w:rsid w:val="007A4A2A"/>
    <w:rsid w:val="007A4D6F"/>
    <w:rsid w:val="007A578C"/>
    <w:rsid w:val="007A5807"/>
    <w:rsid w:val="007A6492"/>
    <w:rsid w:val="007A64CD"/>
    <w:rsid w:val="007A66DC"/>
    <w:rsid w:val="007A67BC"/>
    <w:rsid w:val="007A6E6A"/>
    <w:rsid w:val="007A71AF"/>
    <w:rsid w:val="007A71EE"/>
    <w:rsid w:val="007A7919"/>
    <w:rsid w:val="007B00A5"/>
    <w:rsid w:val="007B038D"/>
    <w:rsid w:val="007B0507"/>
    <w:rsid w:val="007B06E0"/>
    <w:rsid w:val="007B1052"/>
    <w:rsid w:val="007B1A67"/>
    <w:rsid w:val="007B1F97"/>
    <w:rsid w:val="007B2556"/>
    <w:rsid w:val="007B2658"/>
    <w:rsid w:val="007B3825"/>
    <w:rsid w:val="007B388E"/>
    <w:rsid w:val="007B3A8B"/>
    <w:rsid w:val="007B3D06"/>
    <w:rsid w:val="007B54AF"/>
    <w:rsid w:val="007B5638"/>
    <w:rsid w:val="007B5ECF"/>
    <w:rsid w:val="007B63C0"/>
    <w:rsid w:val="007B6845"/>
    <w:rsid w:val="007B742B"/>
    <w:rsid w:val="007B7705"/>
    <w:rsid w:val="007B7C1A"/>
    <w:rsid w:val="007B7F0D"/>
    <w:rsid w:val="007C0920"/>
    <w:rsid w:val="007C0A10"/>
    <w:rsid w:val="007C0AAE"/>
    <w:rsid w:val="007C24C8"/>
    <w:rsid w:val="007C2CFB"/>
    <w:rsid w:val="007C2DA9"/>
    <w:rsid w:val="007C3619"/>
    <w:rsid w:val="007C3987"/>
    <w:rsid w:val="007C39D0"/>
    <w:rsid w:val="007C4644"/>
    <w:rsid w:val="007C485F"/>
    <w:rsid w:val="007C4DB5"/>
    <w:rsid w:val="007C4DD3"/>
    <w:rsid w:val="007C5023"/>
    <w:rsid w:val="007C64DB"/>
    <w:rsid w:val="007C6518"/>
    <w:rsid w:val="007C6583"/>
    <w:rsid w:val="007C670E"/>
    <w:rsid w:val="007C6CD3"/>
    <w:rsid w:val="007C6E0E"/>
    <w:rsid w:val="007C6EFD"/>
    <w:rsid w:val="007C7262"/>
    <w:rsid w:val="007C78B5"/>
    <w:rsid w:val="007D03C5"/>
    <w:rsid w:val="007D0462"/>
    <w:rsid w:val="007D0528"/>
    <w:rsid w:val="007D0D17"/>
    <w:rsid w:val="007D1B0C"/>
    <w:rsid w:val="007D1DFB"/>
    <w:rsid w:val="007D1ED9"/>
    <w:rsid w:val="007D21EE"/>
    <w:rsid w:val="007D2821"/>
    <w:rsid w:val="007D2AF1"/>
    <w:rsid w:val="007D2D6B"/>
    <w:rsid w:val="007D2D99"/>
    <w:rsid w:val="007D3473"/>
    <w:rsid w:val="007D36DD"/>
    <w:rsid w:val="007D3A8A"/>
    <w:rsid w:val="007D3C71"/>
    <w:rsid w:val="007D3E66"/>
    <w:rsid w:val="007D488A"/>
    <w:rsid w:val="007D4BA6"/>
    <w:rsid w:val="007D4EFF"/>
    <w:rsid w:val="007D50A6"/>
    <w:rsid w:val="007D5870"/>
    <w:rsid w:val="007D5D96"/>
    <w:rsid w:val="007D7BCF"/>
    <w:rsid w:val="007D7C39"/>
    <w:rsid w:val="007E026C"/>
    <w:rsid w:val="007E042C"/>
    <w:rsid w:val="007E0652"/>
    <w:rsid w:val="007E0C58"/>
    <w:rsid w:val="007E0F81"/>
    <w:rsid w:val="007E1230"/>
    <w:rsid w:val="007E17F5"/>
    <w:rsid w:val="007E2B1D"/>
    <w:rsid w:val="007E3822"/>
    <w:rsid w:val="007E3FB2"/>
    <w:rsid w:val="007E40AF"/>
    <w:rsid w:val="007E4B2A"/>
    <w:rsid w:val="007E525C"/>
    <w:rsid w:val="007E5360"/>
    <w:rsid w:val="007E5733"/>
    <w:rsid w:val="007E6204"/>
    <w:rsid w:val="007E67D7"/>
    <w:rsid w:val="007E6E5A"/>
    <w:rsid w:val="007E7114"/>
    <w:rsid w:val="007E740B"/>
    <w:rsid w:val="007E7924"/>
    <w:rsid w:val="007E7982"/>
    <w:rsid w:val="007E7F28"/>
    <w:rsid w:val="007F00BA"/>
    <w:rsid w:val="007F0887"/>
    <w:rsid w:val="007F0AA5"/>
    <w:rsid w:val="007F1240"/>
    <w:rsid w:val="007F14F7"/>
    <w:rsid w:val="007F2599"/>
    <w:rsid w:val="007F2CBB"/>
    <w:rsid w:val="007F3949"/>
    <w:rsid w:val="007F4643"/>
    <w:rsid w:val="007F509D"/>
    <w:rsid w:val="007F54F6"/>
    <w:rsid w:val="007F5AEF"/>
    <w:rsid w:val="007F5FFB"/>
    <w:rsid w:val="007F612A"/>
    <w:rsid w:val="007F6218"/>
    <w:rsid w:val="007F6434"/>
    <w:rsid w:val="008006C8"/>
    <w:rsid w:val="0080070D"/>
    <w:rsid w:val="00800808"/>
    <w:rsid w:val="00801496"/>
    <w:rsid w:val="0080159B"/>
    <w:rsid w:val="00801ECA"/>
    <w:rsid w:val="00801F4C"/>
    <w:rsid w:val="00802412"/>
    <w:rsid w:val="008025DB"/>
    <w:rsid w:val="00802B1A"/>
    <w:rsid w:val="00803B61"/>
    <w:rsid w:val="008040A3"/>
    <w:rsid w:val="0080434B"/>
    <w:rsid w:val="00804763"/>
    <w:rsid w:val="008047EF"/>
    <w:rsid w:val="008048E3"/>
    <w:rsid w:val="00804A4C"/>
    <w:rsid w:val="00805EE1"/>
    <w:rsid w:val="00806346"/>
    <w:rsid w:val="008068BC"/>
    <w:rsid w:val="00807B4D"/>
    <w:rsid w:val="008103B0"/>
    <w:rsid w:val="008107C0"/>
    <w:rsid w:val="00810F21"/>
    <w:rsid w:val="008111D0"/>
    <w:rsid w:val="00811586"/>
    <w:rsid w:val="0081201F"/>
    <w:rsid w:val="008122E2"/>
    <w:rsid w:val="008128FA"/>
    <w:rsid w:val="00812C4D"/>
    <w:rsid w:val="00812EB3"/>
    <w:rsid w:val="008133DF"/>
    <w:rsid w:val="0081460A"/>
    <w:rsid w:val="0081487C"/>
    <w:rsid w:val="00815306"/>
    <w:rsid w:val="00815CFB"/>
    <w:rsid w:val="00816DEC"/>
    <w:rsid w:val="008173F1"/>
    <w:rsid w:val="0081752B"/>
    <w:rsid w:val="00817723"/>
    <w:rsid w:val="00820220"/>
    <w:rsid w:val="00820D82"/>
    <w:rsid w:val="0082119C"/>
    <w:rsid w:val="008214BE"/>
    <w:rsid w:val="0082165D"/>
    <w:rsid w:val="008216A2"/>
    <w:rsid w:val="00821FA9"/>
    <w:rsid w:val="00822094"/>
    <w:rsid w:val="00822EDD"/>
    <w:rsid w:val="008232AD"/>
    <w:rsid w:val="008237ED"/>
    <w:rsid w:val="008239FF"/>
    <w:rsid w:val="00823B42"/>
    <w:rsid w:val="00823B98"/>
    <w:rsid w:val="00824B43"/>
    <w:rsid w:val="00824D8E"/>
    <w:rsid w:val="00824FA8"/>
    <w:rsid w:val="00824FEF"/>
    <w:rsid w:val="0082558E"/>
    <w:rsid w:val="00825A90"/>
    <w:rsid w:val="00826071"/>
    <w:rsid w:val="00826209"/>
    <w:rsid w:val="008265E1"/>
    <w:rsid w:val="00826C8B"/>
    <w:rsid w:val="00827CDA"/>
    <w:rsid w:val="00827E9B"/>
    <w:rsid w:val="00831321"/>
    <w:rsid w:val="0083170C"/>
    <w:rsid w:val="00831B5A"/>
    <w:rsid w:val="00832C8D"/>
    <w:rsid w:val="00832CF7"/>
    <w:rsid w:val="008331ED"/>
    <w:rsid w:val="0083339D"/>
    <w:rsid w:val="00833752"/>
    <w:rsid w:val="00833930"/>
    <w:rsid w:val="00834426"/>
    <w:rsid w:val="0083474A"/>
    <w:rsid w:val="00834CF5"/>
    <w:rsid w:val="00834DBF"/>
    <w:rsid w:val="00834E0B"/>
    <w:rsid w:val="0083522C"/>
    <w:rsid w:val="0083543B"/>
    <w:rsid w:val="00835501"/>
    <w:rsid w:val="0083555C"/>
    <w:rsid w:val="008359BA"/>
    <w:rsid w:val="008364CD"/>
    <w:rsid w:val="00836733"/>
    <w:rsid w:val="00836811"/>
    <w:rsid w:val="008369CB"/>
    <w:rsid w:val="00836B15"/>
    <w:rsid w:val="00836B88"/>
    <w:rsid w:val="00836C46"/>
    <w:rsid w:val="008378BF"/>
    <w:rsid w:val="008409BC"/>
    <w:rsid w:val="00840E5C"/>
    <w:rsid w:val="00842272"/>
    <w:rsid w:val="00842399"/>
    <w:rsid w:val="008423C0"/>
    <w:rsid w:val="0084245D"/>
    <w:rsid w:val="00842697"/>
    <w:rsid w:val="00842D22"/>
    <w:rsid w:val="00842D67"/>
    <w:rsid w:val="00842E2E"/>
    <w:rsid w:val="0084308D"/>
    <w:rsid w:val="008434F5"/>
    <w:rsid w:val="00843539"/>
    <w:rsid w:val="00843C29"/>
    <w:rsid w:val="0084443B"/>
    <w:rsid w:val="0084471F"/>
    <w:rsid w:val="00844AE8"/>
    <w:rsid w:val="00844D3A"/>
    <w:rsid w:val="00846252"/>
    <w:rsid w:val="00847073"/>
    <w:rsid w:val="00847156"/>
    <w:rsid w:val="008477A9"/>
    <w:rsid w:val="00847803"/>
    <w:rsid w:val="0084780E"/>
    <w:rsid w:val="00847886"/>
    <w:rsid w:val="00851E63"/>
    <w:rsid w:val="008524FF"/>
    <w:rsid w:val="008528BA"/>
    <w:rsid w:val="0085312F"/>
    <w:rsid w:val="00853357"/>
    <w:rsid w:val="00853B1B"/>
    <w:rsid w:val="00853C43"/>
    <w:rsid w:val="0085449B"/>
    <w:rsid w:val="00854ACE"/>
    <w:rsid w:val="00854E0D"/>
    <w:rsid w:val="00855BA7"/>
    <w:rsid w:val="00855F24"/>
    <w:rsid w:val="0085642B"/>
    <w:rsid w:val="00856666"/>
    <w:rsid w:val="00856BA3"/>
    <w:rsid w:val="00856E90"/>
    <w:rsid w:val="00856FC3"/>
    <w:rsid w:val="00857423"/>
    <w:rsid w:val="0085773E"/>
    <w:rsid w:val="00857A16"/>
    <w:rsid w:val="00857B08"/>
    <w:rsid w:val="00860069"/>
    <w:rsid w:val="00861361"/>
    <w:rsid w:val="008617F6"/>
    <w:rsid w:val="00861F09"/>
    <w:rsid w:val="008621FC"/>
    <w:rsid w:val="008629B3"/>
    <w:rsid w:val="008634D4"/>
    <w:rsid w:val="008640AC"/>
    <w:rsid w:val="0086491A"/>
    <w:rsid w:val="00864A54"/>
    <w:rsid w:val="00864ADC"/>
    <w:rsid w:val="00864B00"/>
    <w:rsid w:val="00864DEC"/>
    <w:rsid w:val="00865655"/>
    <w:rsid w:val="0086570A"/>
    <w:rsid w:val="00865D51"/>
    <w:rsid w:val="00866A4C"/>
    <w:rsid w:val="00866B7E"/>
    <w:rsid w:val="00866CEB"/>
    <w:rsid w:val="008674FA"/>
    <w:rsid w:val="00870316"/>
    <w:rsid w:val="00870541"/>
    <w:rsid w:val="00871326"/>
    <w:rsid w:val="00871368"/>
    <w:rsid w:val="00871782"/>
    <w:rsid w:val="00872484"/>
    <w:rsid w:val="00872BAA"/>
    <w:rsid w:val="00873628"/>
    <w:rsid w:val="0087381E"/>
    <w:rsid w:val="00873B97"/>
    <w:rsid w:val="00873EC0"/>
    <w:rsid w:val="00874166"/>
    <w:rsid w:val="00874343"/>
    <w:rsid w:val="00874684"/>
    <w:rsid w:val="008746D5"/>
    <w:rsid w:val="00874BC0"/>
    <w:rsid w:val="00874C3E"/>
    <w:rsid w:val="00874ECF"/>
    <w:rsid w:val="0087527D"/>
    <w:rsid w:val="00875655"/>
    <w:rsid w:val="008759B8"/>
    <w:rsid w:val="008764A4"/>
    <w:rsid w:val="00876775"/>
    <w:rsid w:val="00876B9B"/>
    <w:rsid w:val="008771CC"/>
    <w:rsid w:val="00880C9C"/>
    <w:rsid w:val="00882868"/>
    <w:rsid w:val="008830BE"/>
    <w:rsid w:val="00883646"/>
    <w:rsid w:val="008837D5"/>
    <w:rsid w:val="00883F25"/>
    <w:rsid w:val="00883FFD"/>
    <w:rsid w:val="00884296"/>
    <w:rsid w:val="008847EA"/>
    <w:rsid w:val="00884BCB"/>
    <w:rsid w:val="008852FF"/>
    <w:rsid w:val="00885B0C"/>
    <w:rsid w:val="00886053"/>
    <w:rsid w:val="00886096"/>
    <w:rsid w:val="008861AA"/>
    <w:rsid w:val="00887844"/>
    <w:rsid w:val="00887DFB"/>
    <w:rsid w:val="00887E96"/>
    <w:rsid w:val="0089052C"/>
    <w:rsid w:val="008908BD"/>
    <w:rsid w:val="00890AC9"/>
    <w:rsid w:val="00890ADD"/>
    <w:rsid w:val="0089132B"/>
    <w:rsid w:val="00891470"/>
    <w:rsid w:val="008917F2"/>
    <w:rsid w:val="0089220B"/>
    <w:rsid w:val="00892A49"/>
    <w:rsid w:val="008931FA"/>
    <w:rsid w:val="0089350E"/>
    <w:rsid w:val="00893544"/>
    <w:rsid w:val="00893D8E"/>
    <w:rsid w:val="00894C81"/>
    <w:rsid w:val="00894D72"/>
    <w:rsid w:val="00894DC8"/>
    <w:rsid w:val="00894E08"/>
    <w:rsid w:val="0089515C"/>
    <w:rsid w:val="00895539"/>
    <w:rsid w:val="00895A7D"/>
    <w:rsid w:val="00895EB0"/>
    <w:rsid w:val="008966CE"/>
    <w:rsid w:val="008973AB"/>
    <w:rsid w:val="008979D2"/>
    <w:rsid w:val="008A052F"/>
    <w:rsid w:val="008A05C0"/>
    <w:rsid w:val="008A073E"/>
    <w:rsid w:val="008A0744"/>
    <w:rsid w:val="008A08EE"/>
    <w:rsid w:val="008A0A5C"/>
    <w:rsid w:val="008A0AD7"/>
    <w:rsid w:val="008A13BC"/>
    <w:rsid w:val="008A14E6"/>
    <w:rsid w:val="008A14FA"/>
    <w:rsid w:val="008A1513"/>
    <w:rsid w:val="008A2334"/>
    <w:rsid w:val="008A294B"/>
    <w:rsid w:val="008A3010"/>
    <w:rsid w:val="008A3094"/>
    <w:rsid w:val="008A30BB"/>
    <w:rsid w:val="008A3158"/>
    <w:rsid w:val="008A3DB0"/>
    <w:rsid w:val="008A4703"/>
    <w:rsid w:val="008A4879"/>
    <w:rsid w:val="008A4959"/>
    <w:rsid w:val="008A5083"/>
    <w:rsid w:val="008A56E7"/>
    <w:rsid w:val="008A6077"/>
    <w:rsid w:val="008A61DA"/>
    <w:rsid w:val="008A61E0"/>
    <w:rsid w:val="008A6225"/>
    <w:rsid w:val="008A6345"/>
    <w:rsid w:val="008A6B36"/>
    <w:rsid w:val="008A6C08"/>
    <w:rsid w:val="008A6D09"/>
    <w:rsid w:val="008A7135"/>
    <w:rsid w:val="008A7DB3"/>
    <w:rsid w:val="008A7ED1"/>
    <w:rsid w:val="008B0458"/>
    <w:rsid w:val="008B04E7"/>
    <w:rsid w:val="008B0583"/>
    <w:rsid w:val="008B0AE3"/>
    <w:rsid w:val="008B17DB"/>
    <w:rsid w:val="008B1A61"/>
    <w:rsid w:val="008B1C30"/>
    <w:rsid w:val="008B209F"/>
    <w:rsid w:val="008B23F8"/>
    <w:rsid w:val="008B2CCF"/>
    <w:rsid w:val="008B38CC"/>
    <w:rsid w:val="008B397E"/>
    <w:rsid w:val="008B3A12"/>
    <w:rsid w:val="008B4062"/>
    <w:rsid w:val="008B42BD"/>
    <w:rsid w:val="008B4761"/>
    <w:rsid w:val="008B4EBC"/>
    <w:rsid w:val="008B4FB4"/>
    <w:rsid w:val="008B5A6D"/>
    <w:rsid w:val="008B5AB9"/>
    <w:rsid w:val="008B60BA"/>
    <w:rsid w:val="008B6356"/>
    <w:rsid w:val="008B6426"/>
    <w:rsid w:val="008B72A3"/>
    <w:rsid w:val="008B75EB"/>
    <w:rsid w:val="008B7637"/>
    <w:rsid w:val="008B7C0A"/>
    <w:rsid w:val="008B7FF1"/>
    <w:rsid w:val="008C01BC"/>
    <w:rsid w:val="008C03B3"/>
    <w:rsid w:val="008C09D7"/>
    <w:rsid w:val="008C1100"/>
    <w:rsid w:val="008C12D2"/>
    <w:rsid w:val="008C1BDD"/>
    <w:rsid w:val="008C1BFB"/>
    <w:rsid w:val="008C1E51"/>
    <w:rsid w:val="008C2004"/>
    <w:rsid w:val="008C2171"/>
    <w:rsid w:val="008C23D3"/>
    <w:rsid w:val="008C292B"/>
    <w:rsid w:val="008C296A"/>
    <w:rsid w:val="008C2AA4"/>
    <w:rsid w:val="008C2F9F"/>
    <w:rsid w:val="008C38BD"/>
    <w:rsid w:val="008C446E"/>
    <w:rsid w:val="008C4AE6"/>
    <w:rsid w:val="008C5229"/>
    <w:rsid w:val="008C5B59"/>
    <w:rsid w:val="008C62DC"/>
    <w:rsid w:val="008C6434"/>
    <w:rsid w:val="008C675E"/>
    <w:rsid w:val="008C6F3A"/>
    <w:rsid w:val="008C73E1"/>
    <w:rsid w:val="008C7873"/>
    <w:rsid w:val="008C7988"/>
    <w:rsid w:val="008D1A02"/>
    <w:rsid w:val="008D1CD5"/>
    <w:rsid w:val="008D1CFB"/>
    <w:rsid w:val="008D2B21"/>
    <w:rsid w:val="008D2EC5"/>
    <w:rsid w:val="008D344E"/>
    <w:rsid w:val="008D3F6C"/>
    <w:rsid w:val="008D4192"/>
    <w:rsid w:val="008D45DD"/>
    <w:rsid w:val="008D4756"/>
    <w:rsid w:val="008D4A13"/>
    <w:rsid w:val="008D4B95"/>
    <w:rsid w:val="008D5065"/>
    <w:rsid w:val="008D558E"/>
    <w:rsid w:val="008D5CC3"/>
    <w:rsid w:val="008D6246"/>
    <w:rsid w:val="008D6806"/>
    <w:rsid w:val="008D7485"/>
    <w:rsid w:val="008D7545"/>
    <w:rsid w:val="008D7CB2"/>
    <w:rsid w:val="008E0251"/>
    <w:rsid w:val="008E03F3"/>
    <w:rsid w:val="008E0EA7"/>
    <w:rsid w:val="008E20D8"/>
    <w:rsid w:val="008E2EC7"/>
    <w:rsid w:val="008E3ADA"/>
    <w:rsid w:val="008E3C5F"/>
    <w:rsid w:val="008E40FA"/>
    <w:rsid w:val="008E422E"/>
    <w:rsid w:val="008E453C"/>
    <w:rsid w:val="008E4A30"/>
    <w:rsid w:val="008E52EA"/>
    <w:rsid w:val="008E5373"/>
    <w:rsid w:val="008E5C09"/>
    <w:rsid w:val="008E6C87"/>
    <w:rsid w:val="008E7B60"/>
    <w:rsid w:val="008E7C41"/>
    <w:rsid w:val="008E7D18"/>
    <w:rsid w:val="008F02F6"/>
    <w:rsid w:val="008F1171"/>
    <w:rsid w:val="008F1396"/>
    <w:rsid w:val="008F14DE"/>
    <w:rsid w:val="008F1595"/>
    <w:rsid w:val="008F1DE5"/>
    <w:rsid w:val="008F257C"/>
    <w:rsid w:val="008F264E"/>
    <w:rsid w:val="008F2DEC"/>
    <w:rsid w:val="008F332D"/>
    <w:rsid w:val="008F3685"/>
    <w:rsid w:val="008F4405"/>
    <w:rsid w:val="008F4841"/>
    <w:rsid w:val="008F4AEA"/>
    <w:rsid w:val="008F60C9"/>
    <w:rsid w:val="008F6F4F"/>
    <w:rsid w:val="008F722B"/>
    <w:rsid w:val="008F732B"/>
    <w:rsid w:val="008F745C"/>
    <w:rsid w:val="008F7659"/>
    <w:rsid w:val="008F77E1"/>
    <w:rsid w:val="008F7C8B"/>
    <w:rsid w:val="008F7E8A"/>
    <w:rsid w:val="0090018B"/>
    <w:rsid w:val="00900739"/>
    <w:rsid w:val="009007E3"/>
    <w:rsid w:val="009014B1"/>
    <w:rsid w:val="00901593"/>
    <w:rsid w:val="00901C6B"/>
    <w:rsid w:val="00902D88"/>
    <w:rsid w:val="00903107"/>
    <w:rsid w:val="009031B6"/>
    <w:rsid w:val="00903355"/>
    <w:rsid w:val="00903930"/>
    <w:rsid w:val="00904859"/>
    <w:rsid w:val="00904E04"/>
    <w:rsid w:val="00905499"/>
    <w:rsid w:val="00905F60"/>
    <w:rsid w:val="00905F79"/>
    <w:rsid w:val="009062FC"/>
    <w:rsid w:val="00906352"/>
    <w:rsid w:val="00906440"/>
    <w:rsid w:val="00906465"/>
    <w:rsid w:val="009064F4"/>
    <w:rsid w:val="00907430"/>
    <w:rsid w:val="00907981"/>
    <w:rsid w:val="00907D40"/>
    <w:rsid w:val="0091009C"/>
    <w:rsid w:val="00910111"/>
    <w:rsid w:val="009118B4"/>
    <w:rsid w:val="00911B1F"/>
    <w:rsid w:val="00912D0A"/>
    <w:rsid w:val="00913084"/>
    <w:rsid w:val="009130F3"/>
    <w:rsid w:val="00914087"/>
    <w:rsid w:val="00914C4C"/>
    <w:rsid w:val="009151B7"/>
    <w:rsid w:val="009159A7"/>
    <w:rsid w:val="00915D24"/>
    <w:rsid w:val="009161B0"/>
    <w:rsid w:val="00916320"/>
    <w:rsid w:val="00916DC2"/>
    <w:rsid w:val="00917FE7"/>
    <w:rsid w:val="009200A0"/>
    <w:rsid w:val="00920CA4"/>
    <w:rsid w:val="00920CEC"/>
    <w:rsid w:val="00920E74"/>
    <w:rsid w:val="00921054"/>
    <w:rsid w:val="0092154D"/>
    <w:rsid w:val="009215A2"/>
    <w:rsid w:val="00922095"/>
    <w:rsid w:val="009222AE"/>
    <w:rsid w:val="00922631"/>
    <w:rsid w:val="0092266E"/>
    <w:rsid w:val="00922E71"/>
    <w:rsid w:val="00923245"/>
    <w:rsid w:val="0092355E"/>
    <w:rsid w:val="009242D0"/>
    <w:rsid w:val="00924736"/>
    <w:rsid w:val="009249FF"/>
    <w:rsid w:val="00924D86"/>
    <w:rsid w:val="00925074"/>
    <w:rsid w:val="00925ADA"/>
    <w:rsid w:val="00925C47"/>
    <w:rsid w:val="00925D2C"/>
    <w:rsid w:val="0092671E"/>
    <w:rsid w:val="00926941"/>
    <w:rsid w:val="00926B71"/>
    <w:rsid w:val="00927332"/>
    <w:rsid w:val="00927407"/>
    <w:rsid w:val="009278F7"/>
    <w:rsid w:val="00930174"/>
    <w:rsid w:val="00930A03"/>
    <w:rsid w:val="009311EE"/>
    <w:rsid w:val="0093127A"/>
    <w:rsid w:val="00931895"/>
    <w:rsid w:val="00931F01"/>
    <w:rsid w:val="009321E4"/>
    <w:rsid w:val="0093223B"/>
    <w:rsid w:val="00932CEE"/>
    <w:rsid w:val="009331CB"/>
    <w:rsid w:val="00933B49"/>
    <w:rsid w:val="009348BB"/>
    <w:rsid w:val="00934BC7"/>
    <w:rsid w:val="00934DDD"/>
    <w:rsid w:val="00934FF0"/>
    <w:rsid w:val="00935279"/>
    <w:rsid w:val="009352AE"/>
    <w:rsid w:val="009364F8"/>
    <w:rsid w:val="00936B74"/>
    <w:rsid w:val="00937090"/>
    <w:rsid w:val="009373D2"/>
    <w:rsid w:val="009376F4"/>
    <w:rsid w:val="00937879"/>
    <w:rsid w:val="00937D5E"/>
    <w:rsid w:val="00940890"/>
    <w:rsid w:val="00940AA8"/>
    <w:rsid w:val="0094129D"/>
    <w:rsid w:val="00941DC5"/>
    <w:rsid w:val="009420B9"/>
    <w:rsid w:val="009420FA"/>
    <w:rsid w:val="00942441"/>
    <w:rsid w:val="00942A41"/>
    <w:rsid w:val="00942F67"/>
    <w:rsid w:val="0094345C"/>
    <w:rsid w:val="0094390E"/>
    <w:rsid w:val="00943D7C"/>
    <w:rsid w:val="009443CE"/>
    <w:rsid w:val="009445E7"/>
    <w:rsid w:val="009447D7"/>
    <w:rsid w:val="00944DB1"/>
    <w:rsid w:val="009450D9"/>
    <w:rsid w:val="00945A12"/>
    <w:rsid w:val="0094655D"/>
    <w:rsid w:val="00946B8E"/>
    <w:rsid w:val="00946D08"/>
    <w:rsid w:val="00946D48"/>
    <w:rsid w:val="00947966"/>
    <w:rsid w:val="00947F4B"/>
    <w:rsid w:val="0095042F"/>
    <w:rsid w:val="00950591"/>
    <w:rsid w:val="00950ADB"/>
    <w:rsid w:val="009516A7"/>
    <w:rsid w:val="00951C26"/>
    <w:rsid w:val="00951D8E"/>
    <w:rsid w:val="00951F69"/>
    <w:rsid w:val="009529C1"/>
    <w:rsid w:val="00952CA5"/>
    <w:rsid w:val="009532AA"/>
    <w:rsid w:val="0095379E"/>
    <w:rsid w:val="00953A53"/>
    <w:rsid w:val="00953FBD"/>
    <w:rsid w:val="009548DC"/>
    <w:rsid w:val="00954ABF"/>
    <w:rsid w:val="00954CCD"/>
    <w:rsid w:val="00955543"/>
    <w:rsid w:val="0095591D"/>
    <w:rsid w:val="00955A6B"/>
    <w:rsid w:val="00955BB9"/>
    <w:rsid w:val="00955D91"/>
    <w:rsid w:val="00955EAC"/>
    <w:rsid w:val="00956580"/>
    <w:rsid w:val="009565E7"/>
    <w:rsid w:val="009574E0"/>
    <w:rsid w:val="0096034E"/>
    <w:rsid w:val="0096084F"/>
    <w:rsid w:val="009609C3"/>
    <w:rsid w:val="00960C7A"/>
    <w:rsid w:val="00960D7E"/>
    <w:rsid w:val="00961018"/>
    <w:rsid w:val="009620F1"/>
    <w:rsid w:val="0096226B"/>
    <w:rsid w:val="00962773"/>
    <w:rsid w:val="00962799"/>
    <w:rsid w:val="0096280E"/>
    <w:rsid w:val="00962DD4"/>
    <w:rsid w:val="009642F7"/>
    <w:rsid w:val="009646FB"/>
    <w:rsid w:val="00964ED3"/>
    <w:rsid w:val="00965583"/>
    <w:rsid w:val="0096694A"/>
    <w:rsid w:val="00966BBA"/>
    <w:rsid w:val="0096773D"/>
    <w:rsid w:val="0096784F"/>
    <w:rsid w:val="00967F03"/>
    <w:rsid w:val="00970366"/>
    <w:rsid w:val="00970EC3"/>
    <w:rsid w:val="0097151F"/>
    <w:rsid w:val="00971978"/>
    <w:rsid w:val="00971987"/>
    <w:rsid w:val="00971B10"/>
    <w:rsid w:val="009720B8"/>
    <w:rsid w:val="00972613"/>
    <w:rsid w:val="00972749"/>
    <w:rsid w:val="00973047"/>
    <w:rsid w:val="00973ADC"/>
    <w:rsid w:val="00973C4B"/>
    <w:rsid w:val="00973D55"/>
    <w:rsid w:val="00973FBE"/>
    <w:rsid w:val="00974331"/>
    <w:rsid w:val="00974CAE"/>
    <w:rsid w:val="00974E53"/>
    <w:rsid w:val="009755D4"/>
    <w:rsid w:val="00975FD8"/>
    <w:rsid w:val="009761F7"/>
    <w:rsid w:val="0097689E"/>
    <w:rsid w:val="0097751A"/>
    <w:rsid w:val="00977870"/>
    <w:rsid w:val="009778E7"/>
    <w:rsid w:val="0097791B"/>
    <w:rsid w:val="00977E3F"/>
    <w:rsid w:val="00980261"/>
    <w:rsid w:val="00980B89"/>
    <w:rsid w:val="0098188B"/>
    <w:rsid w:val="00982221"/>
    <w:rsid w:val="009823D5"/>
    <w:rsid w:val="0098247B"/>
    <w:rsid w:val="0098263A"/>
    <w:rsid w:val="00982BB8"/>
    <w:rsid w:val="009833D1"/>
    <w:rsid w:val="00983ACD"/>
    <w:rsid w:val="00984195"/>
    <w:rsid w:val="009846DB"/>
    <w:rsid w:val="00984FF5"/>
    <w:rsid w:val="00985367"/>
    <w:rsid w:val="00985747"/>
    <w:rsid w:val="00985D2F"/>
    <w:rsid w:val="00985E42"/>
    <w:rsid w:val="00986893"/>
    <w:rsid w:val="009868F2"/>
    <w:rsid w:val="00987062"/>
    <w:rsid w:val="0098754C"/>
    <w:rsid w:val="009875D1"/>
    <w:rsid w:val="00987C29"/>
    <w:rsid w:val="00987C54"/>
    <w:rsid w:val="00990088"/>
    <w:rsid w:val="009904DC"/>
    <w:rsid w:val="00990B95"/>
    <w:rsid w:val="00990D95"/>
    <w:rsid w:val="00990DD2"/>
    <w:rsid w:val="00991FD5"/>
    <w:rsid w:val="00992282"/>
    <w:rsid w:val="00992344"/>
    <w:rsid w:val="009926C9"/>
    <w:rsid w:val="00992871"/>
    <w:rsid w:val="00992B4A"/>
    <w:rsid w:val="00992D3A"/>
    <w:rsid w:val="00993792"/>
    <w:rsid w:val="00993C2F"/>
    <w:rsid w:val="00993E12"/>
    <w:rsid w:val="00994436"/>
    <w:rsid w:val="009945A1"/>
    <w:rsid w:val="00994A73"/>
    <w:rsid w:val="00995281"/>
    <w:rsid w:val="00995843"/>
    <w:rsid w:val="00995DE2"/>
    <w:rsid w:val="00996656"/>
    <w:rsid w:val="0099701C"/>
    <w:rsid w:val="0099711C"/>
    <w:rsid w:val="00997411"/>
    <w:rsid w:val="009977BC"/>
    <w:rsid w:val="009979CE"/>
    <w:rsid w:val="009A0F1C"/>
    <w:rsid w:val="009A0F32"/>
    <w:rsid w:val="009A1099"/>
    <w:rsid w:val="009A12B8"/>
    <w:rsid w:val="009A1479"/>
    <w:rsid w:val="009A1CB4"/>
    <w:rsid w:val="009A205A"/>
    <w:rsid w:val="009A20AC"/>
    <w:rsid w:val="009A32D5"/>
    <w:rsid w:val="009A3C64"/>
    <w:rsid w:val="009A51F2"/>
    <w:rsid w:val="009A552D"/>
    <w:rsid w:val="009A578E"/>
    <w:rsid w:val="009A5CBC"/>
    <w:rsid w:val="009A5CED"/>
    <w:rsid w:val="009A5EA1"/>
    <w:rsid w:val="009A6A76"/>
    <w:rsid w:val="009A767E"/>
    <w:rsid w:val="009A79F4"/>
    <w:rsid w:val="009A7BEB"/>
    <w:rsid w:val="009A7D6E"/>
    <w:rsid w:val="009B013E"/>
    <w:rsid w:val="009B0CF2"/>
    <w:rsid w:val="009B0FAD"/>
    <w:rsid w:val="009B114A"/>
    <w:rsid w:val="009B1374"/>
    <w:rsid w:val="009B14D2"/>
    <w:rsid w:val="009B218C"/>
    <w:rsid w:val="009B2B9E"/>
    <w:rsid w:val="009B2E31"/>
    <w:rsid w:val="009B3C04"/>
    <w:rsid w:val="009B3E8D"/>
    <w:rsid w:val="009B409B"/>
    <w:rsid w:val="009B4625"/>
    <w:rsid w:val="009B4BF2"/>
    <w:rsid w:val="009B4F01"/>
    <w:rsid w:val="009B5EB6"/>
    <w:rsid w:val="009B60C7"/>
    <w:rsid w:val="009B6589"/>
    <w:rsid w:val="009B67C7"/>
    <w:rsid w:val="009B6A63"/>
    <w:rsid w:val="009B7139"/>
    <w:rsid w:val="009B73BC"/>
    <w:rsid w:val="009B7EDC"/>
    <w:rsid w:val="009C09E8"/>
    <w:rsid w:val="009C0B8C"/>
    <w:rsid w:val="009C1944"/>
    <w:rsid w:val="009C209F"/>
    <w:rsid w:val="009C24EA"/>
    <w:rsid w:val="009C296A"/>
    <w:rsid w:val="009C2C16"/>
    <w:rsid w:val="009C36E4"/>
    <w:rsid w:val="009C43CE"/>
    <w:rsid w:val="009C4423"/>
    <w:rsid w:val="009C4EF0"/>
    <w:rsid w:val="009C54CE"/>
    <w:rsid w:val="009C5A0C"/>
    <w:rsid w:val="009C6040"/>
    <w:rsid w:val="009C6504"/>
    <w:rsid w:val="009C652A"/>
    <w:rsid w:val="009C7223"/>
    <w:rsid w:val="009C72B2"/>
    <w:rsid w:val="009C7366"/>
    <w:rsid w:val="009C79E5"/>
    <w:rsid w:val="009C7DB6"/>
    <w:rsid w:val="009D0B9A"/>
    <w:rsid w:val="009D1BBC"/>
    <w:rsid w:val="009D1DD5"/>
    <w:rsid w:val="009D2342"/>
    <w:rsid w:val="009D2CF9"/>
    <w:rsid w:val="009D37DB"/>
    <w:rsid w:val="009D39D0"/>
    <w:rsid w:val="009D3C75"/>
    <w:rsid w:val="009D4331"/>
    <w:rsid w:val="009D4E39"/>
    <w:rsid w:val="009D56F9"/>
    <w:rsid w:val="009D5764"/>
    <w:rsid w:val="009D6063"/>
    <w:rsid w:val="009D61E5"/>
    <w:rsid w:val="009D6640"/>
    <w:rsid w:val="009D7564"/>
    <w:rsid w:val="009D76B8"/>
    <w:rsid w:val="009E0EB7"/>
    <w:rsid w:val="009E1070"/>
    <w:rsid w:val="009E166E"/>
    <w:rsid w:val="009E1A07"/>
    <w:rsid w:val="009E1F74"/>
    <w:rsid w:val="009E2086"/>
    <w:rsid w:val="009E2101"/>
    <w:rsid w:val="009E28F2"/>
    <w:rsid w:val="009E3283"/>
    <w:rsid w:val="009E3832"/>
    <w:rsid w:val="009E38D0"/>
    <w:rsid w:val="009E420B"/>
    <w:rsid w:val="009E5455"/>
    <w:rsid w:val="009E576D"/>
    <w:rsid w:val="009E6077"/>
    <w:rsid w:val="009E652B"/>
    <w:rsid w:val="009E652D"/>
    <w:rsid w:val="009E7452"/>
    <w:rsid w:val="009E7530"/>
    <w:rsid w:val="009E76B2"/>
    <w:rsid w:val="009E777F"/>
    <w:rsid w:val="009E7A62"/>
    <w:rsid w:val="009E7B6D"/>
    <w:rsid w:val="009F00F3"/>
    <w:rsid w:val="009F06F3"/>
    <w:rsid w:val="009F0E9B"/>
    <w:rsid w:val="009F1FA8"/>
    <w:rsid w:val="009F2336"/>
    <w:rsid w:val="009F278C"/>
    <w:rsid w:val="009F27E0"/>
    <w:rsid w:val="009F28AE"/>
    <w:rsid w:val="009F2A63"/>
    <w:rsid w:val="009F32C7"/>
    <w:rsid w:val="009F347B"/>
    <w:rsid w:val="009F39FB"/>
    <w:rsid w:val="009F3B1A"/>
    <w:rsid w:val="009F3CD8"/>
    <w:rsid w:val="009F4253"/>
    <w:rsid w:val="009F46A2"/>
    <w:rsid w:val="009F4C5F"/>
    <w:rsid w:val="009F4D48"/>
    <w:rsid w:val="009F590A"/>
    <w:rsid w:val="009F5985"/>
    <w:rsid w:val="009F6611"/>
    <w:rsid w:val="009F6FB7"/>
    <w:rsid w:val="009F7395"/>
    <w:rsid w:val="009F7702"/>
    <w:rsid w:val="009F79CD"/>
    <w:rsid w:val="009F7B20"/>
    <w:rsid w:val="009F7C27"/>
    <w:rsid w:val="009F7EB8"/>
    <w:rsid w:val="00A000E6"/>
    <w:rsid w:val="00A00757"/>
    <w:rsid w:val="00A0194F"/>
    <w:rsid w:val="00A01B8B"/>
    <w:rsid w:val="00A0236C"/>
    <w:rsid w:val="00A02540"/>
    <w:rsid w:val="00A02544"/>
    <w:rsid w:val="00A02661"/>
    <w:rsid w:val="00A028D1"/>
    <w:rsid w:val="00A02E4B"/>
    <w:rsid w:val="00A03992"/>
    <w:rsid w:val="00A03BC4"/>
    <w:rsid w:val="00A0418D"/>
    <w:rsid w:val="00A04558"/>
    <w:rsid w:val="00A04619"/>
    <w:rsid w:val="00A047A4"/>
    <w:rsid w:val="00A04C71"/>
    <w:rsid w:val="00A04DEC"/>
    <w:rsid w:val="00A05087"/>
    <w:rsid w:val="00A05AA4"/>
    <w:rsid w:val="00A05CEA"/>
    <w:rsid w:val="00A05F4A"/>
    <w:rsid w:val="00A0605F"/>
    <w:rsid w:val="00A06573"/>
    <w:rsid w:val="00A068E2"/>
    <w:rsid w:val="00A06C07"/>
    <w:rsid w:val="00A070E5"/>
    <w:rsid w:val="00A07E65"/>
    <w:rsid w:val="00A10092"/>
    <w:rsid w:val="00A10390"/>
    <w:rsid w:val="00A10C53"/>
    <w:rsid w:val="00A10C7C"/>
    <w:rsid w:val="00A10D87"/>
    <w:rsid w:val="00A110CA"/>
    <w:rsid w:val="00A11639"/>
    <w:rsid w:val="00A12524"/>
    <w:rsid w:val="00A12606"/>
    <w:rsid w:val="00A12D98"/>
    <w:rsid w:val="00A1300A"/>
    <w:rsid w:val="00A1364A"/>
    <w:rsid w:val="00A136E5"/>
    <w:rsid w:val="00A1423B"/>
    <w:rsid w:val="00A14279"/>
    <w:rsid w:val="00A145E6"/>
    <w:rsid w:val="00A14821"/>
    <w:rsid w:val="00A14DF0"/>
    <w:rsid w:val="00A14F47"/>
    <w:rsid w:val="00A1566C"/>
    <w:rsid w:val="00A15F2A"/>
    <w:rsid w:val="00A164D9"/>
    <w:rsid w:val="00A16D1B"/>
    <w:rsid w:val="00A16EB4"/>
    <w:rsid w:val="00A202EA"/>
    <w:rsid w:val="00A20AA6"/>
    <w:rsid w:val="00A20B81"/>
    <w:rsid w:val="00A217E3"/>
    <w:rsid w:val="00A21AF1"/>
    <w:rsid w:val="00A21B3D"/>
    <w:rsid w:val="00A21BB3"/>
    <w:rsid w:val="00A21CE2"/>
    <w:rsid w:val="00A2202E"/>
    <w:rsid w:val="00A221C4"/>
    <w:rsid w:val="00A227B0"/>
    <w:rsid w:val="00A22C9A"/>
    <w:rsid w:val="00A23363"/>
    <w:rsid w:val="00A23428"/>
    <w:rsid w:val="00A234C4"/>
    <w:rsid w:val="00A237C5"/>
    <w:rsid w:val="00A2451A"/>
    <w:rsid w:val="00A24F11"/>
    <w:rsid w:val="00A25A76"/>
    <w:rsid w:val="00A25CB7"/>
    <w:rsid w:val="00A25CC1"/>
    <w:rsid w:val="00A25FE0"/>
    <w:rsid w:val="00A260E2"/>
    <w:rsid w:val="00A26478"/>
    <w:rsid w:val="00A26585"/>
    <w:rsid w:val="00A267C0"/>
    <w:rsid w:val="00A26B2D"/>
    <w:rsid w:val="00A26EC4"/>
    <w:rsid w:val="00A26EC8"/>
    <w:rsid w:val="00A26FC2"/>
    <w:rsid w:val="00A272B8"/>
    <w:rsid w:val="00A27910"/>
    <w:rsid w:val="00A27F8F"/>
    <w:rsid w:val="00A305F8"/>
    <w:rsid w:val="00A309E7"/>
    <w:rsid w:val="00A30F9D"/>
    <w:rsid w:val="00A3164C"/>
    <w:rsid w:val="00A31D24"/>
    <w:rsid w:val="00A32C15"/>
    <w:rsid w:val="00A330BF"/>
    <w:rsid w:val="00A331BC"/>
    <w:rsid w:val="00A331EF"/>
    <w:rsid w:val="00A33B7F"/>
    <w:rsid w:val="00A342BD"/>
    <w:rsid w:val="00A34A1B"/>
    <w:rsid w:val="00A34B7C"/>
    <w:rsid w:val="00A3610E"/>
    <w:rsid w:val="00A36BD5"/>
    <w:rsid w:val="00A37158"/>
    <w:rsid w:val="00A37221"/>
    <w:rsid w:val="00A40820"/>
    <w:rsid w:val="00A40839"/>
    <w:rsid w:val="00A412ED"/>
    <w:rsid w:val="00A414FE"/>
    <w:rsid w:val="00A422B0"/>
    <w:rsid w:val="00A427DB"/>
    <w:rsid w:val="00A42DD1"/>
    <w:rsid w:val="00A43052"/>
    <w:rsid w:val="00A4310E"/>
    <w:rsid w:val="00A43861"/>
    <w:rsid w:val="00A43B52"/>
    <w:rsid w:val="00A443FA"/>
    <w:rsid w:val="00A4446B"/>
    <w:rsid w:val="00A445B6"/>
    <w:rsid w:val="00A44A5D"/>
    <w:rsid w:val="00A44B8B"/>
    <w:rsid w:val="00A4585D"/>
    <w:rsid w:val="00A45D9D"/>
    <w:rsid w:val="00A4616E"/>
    <w:rsid w:val="00A46779"/>
    <w:rsid w:val="00A4691E"/>
    <w:rsid w:val="00A46AC6"/>
    <w:rsid w:val="00A4758C"/>
    <w:rsid w:val="00A478CF"/>
    <w:rsid w:val="00A504F0"/>
    <w:rsid w:val="00A5060D"/>
    <w:rsid w:val="00A5113C"/>
    <w:rsid w:val="00A51167"/>
    <w:rsid w:val="00A511BC"/>
    <w:rsid w:val="00A51908"/>
    <w:rsid w:val="00A520C7"/>
    <w:rsid w:val="00A524D6"/>
    <w:rsid w:val="00A52F0F"/>
    <w:rsid w:val="00A52FED"/>
    <w:rsid w:val="00A53027"/>
    <w:rsid w:val="00A5397C"/>
    <w:rsid w:val="00A54385"/>
    <w:rsid w:val="00A549E4"/>
    <w:rsid w:val="00A55053"/>
    <w:rsid w:val="00A5537A"/>
    <w:rsid w:val="00A5545A"/>
    <w:rsid w:val="00A5574E"/>
    <w:rsid w:val="00A56100"/>
    <w:rsid w:val="00A57B0B"/>
    <w:rsid w:val="00A57C12"/>
    <w:rsid w:val="00A60A93"/>
    <w:rsid w:val="00A60DFC"/>
    <w:rsid w:val="00A614F3"/>
    <w:rsid w:val="00A620F6"/>
    <w:rsid w:val="00A623EE"/>
    <w:rsid w:val="00A62D5A"/>
    <w:rsid w:val="00A637D9"/>
    <w:rsid w:val="00A639CB"/>
    <w:rsid w:val="00A64043"/>
    <w:rsid w:val="00A64968"/>
    <w:rsid w:val="00A64FBC"/>
    <w:rsid w:val="00A65640"/>
    <w:rsid w:val="00A66597"/>
    <w:rsid w:val="00A66C80"/>
    <w:rsid w:val="00A67084"/>
    <w:rsid w:val="00A7002E"/>
    <w:rsid w:val="00A708A2"/>
    <w:rsid w:val="00A70E44"/>
    <w:rsid w:val="00A71AA2"/>
    <w:rsid w:val="00A72393"/>
    <w:rsid w:val="00A726AD"/>
    <w:rsid w:val="00A727A9"/>
    <w:rsid w:val="00A7370E"/>
    <w:rsid w:val="00A73717"/>
    <w:rsid w:val="00A73C9A"/>
    <w:rsid w:val="00A7411A"/>
    <w:rsid w:val="00A74121"/>
    <w:rsid w:val="00A74A2C"/>
    <w:rsid w:val="00A759B7"/>
    <w:rsid w:val="00A75A60"/>
    <w:rsid w:val="00A75F58"/>
    <w:rsid w:val="00A761BF"/>
    <w:rsid w:val="00A764F9"/>
    <w:rsid w:val="00A765C4"/>
    <w:rsid w:val="00A76882"/>
    <w:rsid w:val="00A77888"/>
    <w:rsid w:val="00A77B38"/>
    <w:rsid w:val="00A77E7B"/>
    <w:rsid w:val="00A77F92"/>
    <w:rsid w:val="00A8035A"/>
    <w:rsid w:val="00A8054C"/>
    <w:rsid w:val="00A80550"/>
    <w:rsid w:val="00A8069A"/>
    <w:rsid w:val="00A80AB8"/>
    <w:rsid w:val="00A81690"/>
    <w:rsid w:val="00A817F3"/>
    <w:rsid w:val="00A81C48"/>
    <w:rsid w:val="00A81DA5"/>
    <w:rsid w:val="00A8207A"/>
    <w:rsid w:val="00A820B0"/>
    <w:rsid w:val="00A820E2"/>
    <w:rsid w:val="00A820F2"/>
    <w:rsid w:val="00A822C1"/>
    <w:rsid w:val="00A82746"/>
    <w:rsid w:val="00A82761"/>
    <w:rsid w:val="00A82A37"/>
    <w:rsid w:val="00A82B04"/>
    <w:rsid w:val="00A82C7A"/>
    <w:rsid w:val="00A82DF7"/>
    <w:rsid w:val="00A836A9"/>
    <w:rsid w:val="00A83817"/>
    <w:rsid w:val="00A83A4B"/>
    <w:rsid w:val="00A84649"/>
    <w:rsid w:val="00A84870"/>
    <w:rsid w:val="00A84F37"/>
    <w:rsid w:val="00A8527B"/>
    <w:rsid w:val="00A8534D"/>
    <w:rsid w:val="00A8557C"/>
    <w:rsid w:val="00A85C6B"/>
    <w:rsid w:val="00A866FF"/>
    <w:rsid w:val="00A86E90"/>
    <w:rsid w:val="00A876BE"/>
    <w:rsid w:val="00A87F48"/>
    <w:rsid w:val="00A9059D"/>
    <w:rsid w:val="00A91044"/>
    <w:rsid w:val="00A914CD"/>
    <w:rsid w:val="00A919A4"/>
    <w:rsid w:val="00A919E7"/>
    <w:rsid w:val="00A9234B"/>
    <w:rsid w:val="00A92DB0"/>
    <w:rsid w:val="00A93407"/>
    <w:rsid w:val="00A9347B"/>
    <w:rsid w:val="00A935A6"/>
    <w:rsid w:val="00A93B0F"/>
    <w:rsid w:val="00A93D30"/>
    <w:rsid w:val="00A94921"/>
    <w:rsid w:val="00A968E2"/>
    <w:rsid w:val="00A96AD1"/>
    <w:rsid w:val="00A96F00"/>
    <w:rsid w:val="00A971AB"/>
    <w:rsid w:val="00A9736A"/>
    <w:rsid w:val="00AA005D"/>
    <w:rsid w:val="00AA0401"/>
    <w:rsid w:val="00AA0663"/>
    <w:rsid w:val="00AA066E"/>
    <w:rsid w:val="00AA0ADA"/>
    <w:rsid w:val="00AA0DC9"/>
    <w:rsid w:val="00AA1269"/>
    <w:rsid w:val="00AA1786"/>
    <w:rsid w:val="00AA18F8"/>
    <w:rsid w:val="00AA1902"/>
    <w:rsid w:val="00AA23F0"/>
    <w:rsid w:val="00AA368A"/>
    <w:rsid w:val="00AA45EA"/>
    <w:rsid w:val="00AA4B7D"/>
    <w:rsid w:val="00AA4BF2"/>
    <w:rsid w:val="00AA4D78"/>
    <w:rsid w:val="00AA4DA5"/>
    <w:rsid w:val="00AA4F26"/>
    <w:rsid w:val="00AA5A9F"/>
    <w:rsid w:val="00AA5FF9"/>
    <w:rsid w:val="00AA60F2"/>
    <w:rsid w:val="00AA6140"/>
    <w:rsid w:val="00AA67C1"/>
    <w:rsid w:val="00AA79A1"/>
    <w:rsid w:val="00AA7C1F"/>
    <w:rsid w:val="00AB05B0"/>
    <w:rsid w:val="00AB08DB"/>
    <w:rsid w:val="00AB0B6E"/>
    <w:rsid w:val="00AB0E78"/>
    <w:rsid w:val="00AB0F6C"/>
    <w:rsid w:val="00AB186C"/>
    <w:rsid w:val="00AB1E93"/>
    <w:rsid w:val="00AB28C9"/>
    <w:rsid w:val="00AB2D3D"/>
    <w:rsid w:val="00AB3613"/>
    <w:rsid w:val="00AB41CC"/>
    <w:rsid w:val="00AB4575"/>
    <w:rsid w:val="00AB48B3"/>
    <w:rsid w:val="00AB5384"/>
    <w:rsid w:val="00AB5DC0"/>
    <w:rsid w:val="00AB66E0"/>
    <w:rsid w:val="00AB6A4D"/>
    <w:rsid w:val="00AB6FAD"/>
    <w:rsid w:val="00AB7153"/>
    <w:rsid w:val="00AB7D92"/>
    <w:rsid w:val="00AC0740"/>
    <w:rsid w:val="00AC0AE4"/>
    <w:rsid w:val="00AC0F34"/>
    <w:rsid w:val="00AC11B1"/>
    <w:rsid w:val="00AC1602"/>
    <w:rsid w:val="00AC2347"/>
    <w:rsid w:val="00AC239F"/>
    <w:rsid w:val="00AC26B0"/>
    <w:rsid w:val="00AC30FA"/>
    <w:rsid w:val="00AC334D"/>
    <w:rsid w:val="00AC371F"/>
    <w:rsid w:val="00AC3992"/>
    <w:rsid w:val="00AC3B3B"/>
    <w:rsid w:val="00AC3E55"/>
    <w:rsid w:val="00AC4277"/>
    <w:rsid w:val="00AC4518"/>
    <w:rsid w:val="00AC4C0D"/>
    <w:rsid w:val="00AC5A71"/>
    <w:rsid w:val="00AC5E56"/>
    <w:rsid w:val="00AC6286"/>
    <w:rsid w:val="00AC67A2"/>
    <w:rsid w:val="00AC6A34"/>
    <w:rsid w:val="00AC7348"/>
    <w:rsid w:val="00AD0132"/>
    <w:rsid w:val="00AD02C8"/>
    <w:rsid w:val="00AD02E3"/>
    <w:rsid w:val="00AD0423"/>
    <w:rsid w:val="00AD0876"/>
    <w:rsid w:val="00AD09B5"/>
    <w:rsid w:val="00AD0ECB"/>
    <w:rsid w:val="00AD1047"/>
    <w:rsid w:val="00AD15F7"/>
    <w:rsid w:val="00AD1626"/>
    <w:rsid w:val="00AD1BC7"/>
    <w:rsid w:val="00AD1F2A"/>
    <w:rsid w:val="00AD25D4"/>
    <w:rsid w:val="00AD28B8"/>
    <w:rsid w:val="00AD29AE"/>
    <w:rsid w:val="00AD29E7"/>
    <w:rsid w:val="00AD32CD"/>
    <w:rsid w:val="00AD38B3"/>
    <w:rsid w:val="00AD43B9"/>
    <w:rsid w:val="00AD4658"/>
    <w:rsid w:val="00AD48DF"/>
    <w:rsid w:val="00AD4E3E"/>
    <w:rsid w:val="00AD586E"/>
    <w:rsid w:val="00AD5A9B"/>
    <w:rsid w:val="00AD5BE5"/>
    <w:rsid w:val="00AD5D11"/>
    <w:rsid w:val="00AD6B6A"/>
    <w:rsid w:val="00AD7DD7"/>
    <w:rsid w:val="00AE005E"/>
    <w:rsid w:val="00AE08A4"/>
    <w:rsid w:val="00AE1AFB"/>
    <w:rsid w:val="00AE2113"/>
    <w:rsid w:val="00AE21C6"/>
    <w:rsid w:val="00AE26A4"/>
    <w:rsid w:val="00AE2947"/>
    <w:rsid w:val="00AE29B0"/>
    <w:rsid w:val="00AE2BD8"/>
    <w:rsid w:val="00AE2CE4"/>
    <w:rsid w:val="00AE2FA8"/>
    <w:rsid w:val="00AE2FC1"/>
    <w:rsid w:val="00AE3279"/>
    <w:rsid w:val="00AE3744"/>
    <w:rsid w:val="00AE3937"/>
    <w:rsid w:val="00AE3A20"/>
    <w:rsid w:val="00AE423F"/>
    <w:rsid w:val="00AE5768"/>
    <w:rsid w:val="00AE5955"/>
    <w:rsid w:val="00AE6508"/>
    <w:rsid w:val="00AE6E91"/>
    <w:rsid w:val="00AE7E0E"/>
    <w:rsid w:val="00AF0508"/>
    <w:rsid w:val="00AF075F"/>
    <w:rsid w:val="00AF0777"/>
    <w:rsid w:val="00AF08FD"/>
    <w:rsid w:val="00AF0CA1"/>
    <w:rsid w:val="00AF1115"/>
    <w:rsid w:val="00AF1787"/>
    <w:rsid w:val="00AF1938"/>
    <w:rsid w:val="00AF1A39"/>
    <w:rsid w:val="00AF1BDB"/>
    <w:rsid w:val="00AF23B7"/>
    <w:rsid w:val="00AF25FE"/>
    <w:rsid w:val="00AF2C0C"/>
    <w:rsid w:val="00AF2F7B"/>
    <w:rsid w:val="00AF30B5"/>
    <w:rsid w:val="00AF3335"/>
    <w:rsid w:val="00AF36C7"/>
    <w:rsid w:val="00AF3777"/>
    <w:rsid w:val="00AF3951"/>
    <w:rsid w:val="00AF39C7"/>
    <w:rsid w:val="00AF3D40"/>
    <w:rsid w:val="00AF3FB7"/>
    <w:rsid w:val="00AF40D9"/>
    <w:rsid w:val="00AF4211"/>
    <w:rsid w:val="00AF4379"/>
    <w:rsid w:val="00AF4FB0"/>
    <w:rsid w:val="00AF5DB0"/>
    <w:rsid w:val="00AF5FED"/>
    <w:rsid w:val="00AF6023"/>
    <w:rsid w:val="00AF608C"/>
    <w:rsid w:val="00AF625E"/>
    <w:rsid w:val="00AF62D5"/>
    <w:rsid w:val="00B001FF"/>
    <w:rsid w:val="00B00706"/>
    <w:rsid w:val="00B007E9"/>
    <w:rsid w:val="00B009BB"/>
    <w:rsid w:val="00B00D05"/>
    <w:rsid w:val="00B01708"/>
    <w:rsid w:val="00B01A0E"/>
    <w:rsid w:val="00B02840"/>
    <w:rsid w:val="00B03AE1"/>
    <w:rsid w:val="00B03F70"/>
    <w:rsid w:val="00B047A3"/>
    <w:rsid w:val="00B04902"/>
    <w:rsid w:val="00B04C07"/>
    <w:rsid w:val="00B0536A"/>
    <w:rsid w:val="00B054DD"/>
    <w:rsid w:val="00B05EC0"/>
    <w:rsid w:val="00B05EE3"/>
    <w:rsid w:val="00B0613B"/>
    <w:rsid w:val="00B06724"/>
    <w:rsid w:val="00B06780"/>
    <w:rsid w:val="00B06F1B"/>
    <w:rsid w:val="00B075C5"/>
    <w:rsid w:val="00B07AB0"/>
    <w:rsid w:val="00B1088A"/>
    <w:rsid w:val="00B10C2C"/>
    <w:rsid w:val="00B10E75"/>
    <w:rsid w:val="00B11244"/>
    <w:rsid w:val="00B11B4B"/>
    <w:rsid w:val="00B11BA1"/>
    <w:rsid w:val="00B12151"/>
    <w:rsid w:val="00B121CF"/>
    <w:rsid w:val="00B12370"/>
    <w:rsid w:val="00B12526"/>
    <w:rsid w:val="00B12993"/>
    <w:rsid w:val="00B12A46"/>
    <w:rsid w:val="00B12F43"/>
    <w:rsid w:val="00B13160"/>
    <w:rsid w:val="00B134FB"/>
    <w:rsid w:val="00B14340"/>
    <w:rsid w:val="00B14CBA"/>
    <w:rsid w:val="00B14F81"/>
    <w:rsid w:val="00B15C60"/>
    <w:rsid w:val="00B15DB0"/>
    <w:rsid w:val="00B15F5E"/>
    <w:rsid w:val="00B163E8"/>
    <w:rsid w:val="00B16940"/>
    <w:rsid w:val="00B17195"/>
    <w:rsid w:val="00B1755D"/>
    <w:rsid w:val="00B17C68"/>
    <w:rsid w:val="00B2070F"/>
    <w:rsid w:val="00B20A69"/>
    <w:rsid w:val="00B20D57"/>
    <w:rsid w:val="00B20F0F"/>
    <w:rsid w:val="00B212E6"/>
    <w:rsid w:val="00B2145C"/>
    <w:rsid w:val="00B21529"/>
    <w:rsid w:val="00B217DF"/>
    <w:rsid w:val="00B2247A"/>
    <w:rsid w:val="00B22773"/>
    <w:rsid w:val="00B22905"/>
    <w:rsid w:val="00B22BC7"/>
    <w:rsid w:val="00B22FA5"/>
    <w:rsid w:val="00B231C5"/>
    <w:rsid w:val="00B23C32"/>
    <w:rsid w:val="00B24873"/>
    <w:rsid w:val="00B254D5"/>
    <w:rsid w:val="00B2587C"/>
    <w:rsid w:val="00B25D7D"/>
    <w:rsid w:val="00B2611B"/>
    <w:rsid w:val="00B26238"/>
    <w:rsid w:val="00B265B4"/>
    <w:rsid w:val="00B267D3"/>
    <w:rsid w:val="00B27C01"/>
    <w:rsid w:val="00B304A4"/>
    <w:rsid w:val="00B308B6"/>
    <w:rsid w:val="00B30C38"/>
    <w:rsid w:val="00B30DF1"/>
    <w:rsid w:val="00B314D6"/>
    <w:rsid w:val="00B31718"/>
    <w:rsid w:val="00B31AAD"/>
    <w:rsid w:val="00B31F32"/>
    <w:rsid w:val="00B320C3"/>
    <w:rsid w:val="00B32384"/>
    <w:rsid w:val="00B327C1"/>
    <w:rsid w:val="00B336C3"/>
    <w:rsid w:val="00B33E46"/>
    <w:rsid w:val="00B34118"/>
    <w:rsid w:val="00B344A6"/>
    <w:rsid w:val="00B34909"/>
    <w:rsid w:val="00B3567F"/>
    <w:rsid w:val="00B3622C"/>
    <w:rsid w:val="00B3652B"/>
    <w:rsid w:val="00B3684E"/>
    <w:rsid w:val="00B36931"/>
    <w:rsid w:val="00B36CFC"/>
    <w:rsid w:val="00B36D36"/>
    <w:rsid w:val="00B36DEA"/>
    <w:rsid w:val="00B379E5"/>
    <w:rsid w:val="00B37E47"/>
    <w:rsid w:val="00B40044"/>
    <w:rsid w:val="00B402E2"/>
    <w:rsid w:val="00B405AC"/>
    <w:rsid w:val="00B40988"/>
    <w:rsid w:val="00B4134C"/>
    <w:rsid w:val="00B41788"/>
    <w:rsid w:val="00B41FA1"/>
    <w:rsid w:val="00B421A2"/>
    <w:rsid w:val="00B427E8"/>
    <w:rsid w:val="00B42C01"/>
    <w:rsid w:val="00B432E9"/>
    <w:rsid w:val="00B43361"/>
    <w:rsid w:val="00B4349B"/>
    <w:rsid w:val="00B438C1"/>
    <w:rsid w:val="00B43D9E"/>
    <w:rsid w:val="00B440F1"/>
    <w:rsid w:val="00B4421A"/>
    <w:rsid w:val="00B44B94"/>
    <w:rsid w:val="00B45967"/>
    <w:rsid w:val="00B459F8"/>
    <w:rsid w:val="00B45DD9"/>
    <w:rsid w:val="00B46210"/>
    <w:rsid w:val="00B4640F"/>
    <w:rsid w:val="00B472BC"/>
    <w:rsid w:val="00B50169"/>
    <w:rsid w:val="00B5043B"/>
    <w:rsid w:val="00B511F7"/>
    <w:rsid w:val="00B515D7"/>
    <w:rsid w:val="00B51F18"/>
    <w:rsid w:val="00B523FF"/>
    <w:rsid w:val="00B52783"/>
    <w:rsid w:val="00B527D7"/>
    <w:rsid w:val="00B52A51"/>
    <w:rsid w:val="00B5388B"/>
    <w:rsid w:val="00B53B66"/>
    <w:rsid w:val="00B53C45"/>
    <w:rsid w:val="00B53D1C"/>
    <w:rsid w:val="00B542FC"/>
    <w:rsid w:val="00B545FF"/>
    <w:rsid w:val="00B54BDF"/>
    <w:rsid w:val="00B54C1B"/>
    <w:rsid w:val="00B54CD9"/>
    <w:rsid w:val="00B558A6"/>
    <w:rsid w:val="00B560F4"/>
    <w:rsid w:val="00B5636E"/>
    <w:rsid w:val="00B56418"/>
    <w:rsid w:val="00B5670D"/>
    <w:rsid w:val="00B56723"/>
    <w:rsid w:val="00B56849"/>
    <w:rsid w:val="00B57178"/>
    <w:rsid w:val="00B57A2F"/>
    <w:rsid w:val="00B57CE7"/>
    <w:rsid w:val="00B6004C"/>
    <w:rsid w:val="00B6048D"/>
    <w:rsid w:val="00B61C70"/>
    <w:rsid w:val="00B61D19"/>
    <w:rsid w:val="00B62307"/>
    <w:rsid w:val="00B62E8A"/>
    <w:rsid w:val="00B631C3"/>
    <w:rsid w:val="00B63EAD"/>
    <w:rsid w:val="00B642E8"/>
    <w:rsid w:val="00B64C43"/>
    <w:rsid w:val="00B65AD8"/>
    <w:rsid w:val="00B6620D"/>
    <w:rsid w:val="00B663B9"/>
    <w:rsid w:val="00B67B9D"/>
    <w:rsid w:val="00B70104"/>
    <w:rsid w:val="00B7069F"/>
    <w:rsid w:val="00B70A0B"/>
    <w:rsid w:val="00B7210E"/>
    <w:rsid w:val="00B726E4"/>
    <w:rsid w:val="00B72FF3"/>
    <w:rsid w:val="00B73E3F"/>
    <w:rsid w:val="00B74757"/>
    <w:rsid w:val="00B75202"/>
    <w:rsid w:val="00B762E4"/>
    <w:rsid w:val="00B7728C"/>
    <w:rsid w:val="00B77E55"/>
    <w:rsid w:val="00B77EB9"/>
    <w:rsid w:val="00B803D2"/>
    <w:rsid w:val="00B8073A"/>
    <w:rsid w:val="00B80A1F"/>
    <w:rsid w:val="00B8143A"/>
    <w:rsid w:val="00B8158B"/>
    <w:rsid w:val="00B82016"/>
    <w:rsid w:val="00B82791"/>
    <w:rsid w:val="00B82922"/>
    <w:rsid w:val="00B83300"/>
    <w:rsid w:val="00B833F7"/>
    <w:rsid w:val="00B83456"/>
    <w:rsid w:val="00B8352C"/>
    <w:rsid w:val="00B83D38"/>
    <w:rsid w:val="00B85624"/>
    <w:rsid w:val="00B85A58"/>
    <w:rsid w:val="00B85A65"/>
    <w:rsid w:val="00B86478"/>
    <w:rsid w:val="00B86E2C"/>
    <w:rsid w:val="00B8781D"/>
    <w:rsid w:val="00B8785A"/>
    <w:rsid w:val="00B87B5E"/>
    <w:rsid w:val="00B90D2B"/>
    <w:rsid w:val="00B91081"/>
    <w:rsid w:val="00B91CEF"/>
    <w:rsid w:val="00B91EB9"/>
    <w:rsid w:val="00B92761"/>
    <w:rsid w:val="00B92812"/>
    <w:rsid w:val="00B92E70"/>
    <w:rsid w:val="00B92FAA"/>
    <w:rsid w:val="00B93A54"/>
    <w:rsid w:val="00B94081"/>
    <w:rsid w:val="00B940B5"/>
    <w:rsid w:val="00B9417E"/>
    <w:rsid w:val="00B94A62"/>
    <w:rsid w:val="00B950E4"/>
    <w:rsid w:val="00B96DD6"/>
    <w:rsid w:val="00B97F93"/>
    <w:rsid w:val="00BA0059"/>
    <w:rsid w:val="00BA02EE"/>
    <w:rsid w:val="00BA0582"/>
    <w:rsid w:val="00BA066F"/>
    <w:rsid w:val="00BA07AD"/>
    <w:rsid w:val="00BA2C2D"/>
    <w:rsid w:val="00BA48DB"/>
    <w:rsid w:val="00BA4AB6"/>
    <w:rsid w:val="00BA4F38"/>
    <w:rsid w:val="00BA5904"/>
    <w:rsid w:val="00BA6728"/>
    <w:rsid w:val="00BA6CC4"/>
    <w:rsid w:val="00BA710E"/>
    <w:rsid w:val="00BA7334"/>
    <w:rsid w:val="00BB0706"/>
    <w:rsid w:val="00BB0F90"/>
    <w:rsid w:val="00BB1832"/>
    <w:rsid w:val="00BB1BFE"/>
    <w:rsid w:val="00BB21C6"/>
    <w:rsid w:val="00BB2413"/>
    <w:rsid w:val="00BB296B"/>
    <w:rsid w:val="00BB3031"/>
    <w:rsid w:val="00BB3812"/>
    <w:rsid w:val="00BB43FA"/>
    <w:rsid w:val="00BB4AAE"/>
    <w:rsid w:val="00BB5168"/>
    <w:rsid w:val="00BB57D1"/>
    <w:rsid w:val="00BB5C56"/>
    <w:rsid w:val="00BB5D42"/>
    <w:rsid w:val="00BB6989"/>
    <w:rsid w:val="00BB7BC6"/>
    <w:rsid w:val="00BB7F83"/>
    <w:rsid w:val="00BC051E"/>
    <w:rsid w:val="00BC070D"/>
    <w:rsid w:val="00BC0DB4"/>
    <w:rsid w:val="00BC1052"/>
    <w:rsid w:val="00BC10B6"/>
    <w:rsid w:val="00BC1224"/>
    <w:rsid w:val="00BC1918"/>
    <w:rsid w:val="00BC1FB1"/>
    <w:rsid w:val="00BC21D1"/>
    <w:rsid w:val="00BC2E99"/>
    <w:rsid w:val="00BC30AF"/>
    <w:rsid w:val="00BC33FC"/>
    <w:rsid w:val="00BC38D5"/>
    <w:rsid w:val="00BC38F2"/>
    <w:rsid w:val="00BC4015"/>
    <w:rsid w:val="00BC4BCF"/>
    <w:rsid w:val="00BC6135"/>
    <w:rsid w:val="00BC63AB"/>
    <w:rsid w:val="00BC647E"/>
    <w:rsid w:val="00BC6A51"/>
    <w:rsid w:val="00BC78FA"/>
    <w:rsid w:val="00BC7A33"/>
    <w:rsid w:val="00BC7C88"/>
    <w:rsid w:val="00BC7DA5"/>
    <w:rsid w:val="00BC7F1D"/>
    <w:rsid w:val="00BD00E6"/>
    <w:rsid w:val="00BD033F"/>
    <w:rsid w:val="00BD0878"/>
    <w:rsid w:val="00BD0F33"/>
    <w:rsid w:val="00BD1754"/>
    <w:rsid w:val="00BD191D"/>
    <w:rsid w:val="00BD1E18"/>
    <w:rsid w:val="00BD216D"/>
    <w:rsid w:val="00BD26DC"/>
    <w:rsid w:val="00BD2735"/>
    <w:rsid w:val="00BD2875"/>
    <w:rsid w:val="00BD29BF"/>
    <w:rsid w:val="00BD498A"/>
    <w:rsid w:val="00BD537B"/>
    <w:rsid w:val="00BD576C"/>
    <w:rsid w:val="00BD5AA0"/>
    <w:rsid w:val="00BD5EE2"/>
    <w:rsid w:val="00BD6531"/>
    <w:rsid w:val="00BD703B"/>
    <w:rsid w:val="00BD7172"/>
    <w:rsid w:val="00BD7525"/>
    <w:rsid w:val="00BD7C9A"/>
    <w:rsid w:val="00BE0778"/>
    <w:rsid w:val="00BE0E46"/>
    <w:rsid w:val="00BE18EE"/>
    <w:rsid w:val="00BE199A"/>
    <w:rsid w:val="00BE31C2"/>
    <w:rsid w:val="00BE3CBA"/>
    <w:rsid w:val="00BE4666"/>
    <w:rsid w:val="00BE4B9C"/>
    <w:rsid w:val="00BE504A"/>
    <w:rsid w:val="00BE58C3"/>
    <w:rsid w:val="00BE6564"/>
    <w:rsid w:val="00BE694B"/>
    <w:rsid w:val="00BE6A65"/>
    <w:rsid w:val="00BE6EB2"/>
    <w:rsid w:val="00BE6F52"/>
    <w:rsid w:val="00BE7A15"/>
    <w:rsid w:val="00BF0C15"/>
    <w:rsid w:val="00BF27E3"/>
    <w:rsid w:val="00BF3167"/>
    <w:rsid w:val="00BF31BB"/>
    <w:rsid w:val="00BF35A2"/>
    <w:rsid w:val="00BF3A7D"/>
    <w:rsid w:val="00BF40EA"/>
    <w:rsid w:val="00BF495A"/>
    <w:rsid w:val="00BF51B5"/>
    <w:rsid w:val="00BF5246"/>
    <w:rsid w:val="00BF5313"/>
    <w:rsid w:val="00BF53EB"/>
    <w:rsid w:val="00BF56B2"/>
    <w:rsid w:val="00BF5733"/>
    <w:rsid w:val="00BF5F63"/>
    <w:rsid w:val="00BF61D7"/>
    <w:rsid w:val="00BF6453"/>
    <w:rsid w:val="00BF65A3"/>
    <w:rsid w:val="00BF68D6"/>
    <w:rsid w:val="00BF6B28"/>
    <w:rsid w:val="00BF6D0B"/>
    <w:rsid w:val="00BF70A7"/>
    <w:rsid w:val="00BF71FE"/>
    <w:rsid w:val="00BF785B"/>
    <w:rsid w:val="00BF78F4"/>
    <w:rsid w:val="00C00164"/>
    <w:rsid w:val="00C00369"/>
    <w:rsid w:val="00C006FF"/>
    <w:rsid w:val="00C01114"/>
    <w:rsid w:val="00C013CB"/>
    <w:rsid w:val="00C01BEE"/>
    <w:rsid w:val="00C02696"/>
    <w:rsid w:val="00C035FD"/>
    <w:rsid w:val="00C03AE5"/>
    <w:rsid w:val="00C03BDC"/>
    <w:rsid w:val="00C03D37"/>
    <w:rsid w:val="00C040C2"/>
    <w:rsid w:val="00C048EF"/>
    <w:rsid w:val="00C052AF"/>
    <w:rsid w:val="00C056AF"/>
    <w:rsid w:val="00C0608F"/>
    <w:rsid w:val="00C06101"/>
    <w:rsid w:val="00C064DC"/>
    <w:rsid w:val="00C06674"/>
    <w:rsid w:val="00C06978"/>
    <w:rsid w:val="00C06B9E"/>
    <w:rsid w:val="00C06BB4"/>
    <w:rsid w:val="00C06F72"/>
    <w:rsid w:val="00C071A8"/>
    <w:rsid w:val="00C07464"/>
    <w:rsid w:val="00C0765B"/>
    <w:rsid w:val="00C102CE"/>
    <w:rsid w:val="00C1036D"/>
    <w:rsid w:val="00C10B2C"/>
    <w:rsid w:val="00C10CA1"/>
    <w:rsid w:val="00C115E8"/>
    <w:rsid w:val="00C1170B"/>
    <w:rsid w:val="00C12225"/>
    <w:rsid w:val="00C1294D"/>
    <w:rsid w:val="00C13787"/>
    <w:rsid w:val="00C13A48"/>
    <w:rsid w:val="00C13CDD"/>
    <w:rsid w:val="00C148C1"/>
    <w:rsid w:val="00C14A80"/>
    <w:rsid w:val="00C15904"/>
    <w:rsid w:val="00C15D7B"/>
    <w:rsid w:val="00C16718"/>
    <w:rsid w:val="00C16FC2"/>
    <w:rsid w:val="00C176D6"/>
    <w:rsid w:val="00C17A79"/>
    <w:rsid w:val="00C200E6"/>
    <w:rsid w:val="00C2046F"/>
    <w:rsid w:val="00C204E8"/>
    <w:rsid w:val="00C20DDE"/>
    <w:rsid w:val="00C21501"/>
    <w:rsid w:val="00C217CA"/>
    <w:rsid w:val="00C219E3"/>
    <w:rsid w:val="00C224FE"/>
    <w:rsid w:val="00C22513"/>
    <w:rsid w:val="00C22F69"/>
    <w:rsid w:val="00C23457"/>
    <w:rsid w:val="00C23802"/>
    <w:rsid w:val="00C2399E"/>
    <w:rsid w:val="00C24546"/>
    <w:rsid w:val="00C24661"/>
    <w:rsid w:val="00C24DAC"/>
    <w:rsid w:val="00C24E01"/>
    <w:rsid w:val="00C251CF"/>
    <w:rsid w:val="00C254EB"/>
    <w:rsid w:val="00C257A1"/>
    <w:rsid w:val="00C259DB"/>
    <w:rsid w:val="00C263DA"/>
    <w:rsid w:val="00C26F33"/>
    <w:rsid w:val="00C27064"/>
    <w:rsid w:val="00C27827"/>
    <w:rsid w:val="00C27937"/>
    <w:rsid w:val="00C27BF5"/>
    <w:rsid w:val="00C27C86"/>
    <w:rsid w:val="00C30BC3"/>
    <w:rsid w:val="00C312D3"/>
    <w:rsid w:val="00C31493"/>
    <w:rsid w:val="00C31B73"/>
    <w:rsid w:val="00C31C7F"/>
    <w:rsid w:val="00C31DA3"/>
    <w:rsid w:val="00C31EEB"/>
    <w:rsid w:val="00C31FEC"/>
    <w:rsid w:val="00C325D9"/>
    <w:rsid w:val="00C3313E"/>
    <w:rsid w:val="00C33804"/>
    <w:rsid w:val="00C33862"/>
    <w:rsid w:val="00C339E4"/>
    <w:rsid w:val="00C33ACB"/>
    <w:rsid w:val="00C33FBA"/>
    <w:rsid w:val="00C346CC"/>
    <w:rsid w:val="00C34C21"/>
    <w:rsid w:val="00C356F7"/>
    <w:rsid w:val="00C36133"/>
    <w:rsid w:val="00C368F7"/>
    <w:rsid w:val="00C36E44"/>
    <w:rsid w:val="00C37487"/>
    <w:rsid w:val="00C3775D"/>
    <w:rsid w:val="00C404BC"/>
    <w:rsid w:val="00C4077D"/>
    <w:rsid w:val="00C40D3D"/>
    <w:rsid w:val="00C41439"/>
    <w:rsid w:val="00C4145E"/>
    <w:rsid w:val="00C419F3"/>
    <w:rsid w:val="00C41A27"/>
    <w:rsid w:val="00C41AD1"/>
    <w:rsid w:val="00C42250"/>
    <w:rsid w:val="00C42595"/>
    <w:rsid w:val="00C4378C"/>
    <w:rsid w:val="00C43B88"/>
    <w:rsid w:val="00C441B1"/>
    <w:rsid w:val="00C441DC"/>
    <w:rsid w:val="00C44830"/>
    <w:rsid w:val="00C45828"/>
    <w:rsid w:val="00C45933"/>
    <w:rsid w:val="00C45CAA"/>
    <w:rsid w:val="00C45E1A"/>
    <w:rsid w:val="00C46826"/>
    <w:rsid w:val="00C471F8"/>
    <w:rsid w:val="00C479EC"/>
    <w:rsid w:val="00C50023"/>
    <w:rsid w:val="00C500F0"/>
    <w:rsid w:val="00C50100"/>
    <w:rsid w:val="00C50993"/>
    <w:rsid w:val="00C50A0D"/>
    <w:rsid w:val="00C513E6"/>
    <w:rsid w:val="00C51DD8"/>
    <w:rsid w:val="00C53687"/>
    <w:rsid w:val="00C53801"/>
    <w:rsid w:val="00C53DB4"/>
    <w:rsid w:val="00C550F2"/>
    <w:rsid w:val="00C551EE"/>
    <w:rsid w:val="00C55342"/>
    <w:rsid w:val="00C554A2"/>
    <w:rsid w:val="00C55517"/>
    <w:rsid w:val="00C55E94"/>
    <w:rsid w:val="00C565C9"/>
    <w:rsid w:val="00C56C2D"/>
    <w:rsid w:val="00C56F80"/>
    <w:rsid w:val="00C577FC"/>
    <w:rsid w:val="00C60493"/>
    <w:rsid w:val="00C60C95"/>
    <w:rsid w:val="00C61150"/>
    <w:rsid w:val="00C614EF"/>
    <w:rsid w:val="00C61813"/>
    <w:rsid w:val="00C61CB7"/>
    <w:rsid w:val="00C61E21"/>
    <w:rsid w:val="00C61E69"/>
    <w:rsid w:val="00C6245E"/>
    <w:rsid w:val="00C627E4"/>
    <w:rsid w:val="00C62BA5"/>
    <w:rsid w:val="00C62D68"/>
    <w:rsid w:val="00C633C8"/>
    <w:rsid w:val="00C6377B"/>
    <w:rsid w:val="00C63B7E"/>
    <w:rsid w:val="00C63DEB"/>
    <w:rsid w:val="00C641E0"/>
    <w:rsid w:val="00C6517F"/>
    <w:rsid w:val="00C65FA7"/>
    <w:rsid w:val="00C66076"/>
    <w:rsid w:val="00C660D3"/>
    <w:rsid w:val="00C6611D"/>
    <w:rsid w:val="00C6644F"/>
    <w:rsid w:val="00C665CF"/>
    <w:rsid w:val="00C66C5A"/>
    <w:rsid w:val="00C679CB"/>
    <w:rsid w:val="00C679F0"/>
    <w:rsid w:val="00C70DE1"/>
    <w:rsid w:val="00C713FE"/>
    <w:rsid w:val="00C717A6"/>
    <w:rsid w:val="00C71D79"/>
    <w:rsid w:val="00C72013"/>
    <w:rsid w:val="00C72D20"/>
    <w:rsid w:val="00C73164"/>
    <w:rsid w:val="00C7320F"/>
    <w:rsid w:val="00C736A9"/>
    <w:rsid w:val="00C73708"/>
    <w:rsid w:val="00C74147"/>
    <w:rsid w:val="00C74DE5"/>
    <w:rsid w:val="00C75BEB"/>
    <w:rsid w:val="00C75DA8"/>
    <w:rsid w:val="00C7646B"/>
    <w:rsid w:val="00C7728B"/>
    <w:rsid w:val="00C773A9"/>
    <w:rsid w:val="00C777E7"/>
    <w:rsid w:val="00C777EF"/>
    <w:rsid w:val="00C80183"/>
    <w:rsid w:val="00C801A9"/>
    <w:rsid w:val="00C807F1"/>
    <w:rsid w:val="00C8126F"/>
    <w:rsid w:val="00C8168A"/>
    <w:rsid w:val="00C81951"/>
    <w:rsid w:val="00C81B79"/>
    <w:rsid w:val="00C81D27"/>
    <w:rsid w:val="00C820FF"/>
    <w:rsid w:val="00C82307"/>
    <w:rsid w:val="00C823FC"/>
    <w:rsid w:val="00C8248D"/>
    <w:rsid w:val="00C8275D"/>
    <w:rsid w:val="00C827A7"/>
    <w:rsid w:val="00C827DA"/>
    <w:rsid w:val="00C83196"/>
    <w:rsid w:val="00C835CD"/>
    <w:rsid w:val="00C8397C"/>
    <w:rsid w:val="00C83E91"/>
    <w:rsid w:val="00C8441C"/>
    <w:rsid w:val="00C8443B"/>
    <w:rsid w:val="00C847B6"/>
    <w:rsid w:val="00C8509B"/>
    <w:rsid w:val="00C864A8"/>
    <w:rsid w:val="00C865C5"/>
    <w:rsid w:val="00C86609"/>
    <w:rsid w:val="00C87016"/>
    <w:rsid w:val="00C871C0"/>
    <w:rsid w:val="00C876CF"/>
    <w:rsid w:val="00C87948"/>
    <w:rsid w:val="00C87976"/>
    <w:rsid w:val="00C90B92"/>
    <w:rsid w:val="00C91692"/>
    <w:rsid w:val="00C91ADF"/>
    <w:rsid w:val="00C91CDD"/>
    <w:rsid w:val="00C92273"/>
    <w:rsid w:val="00C92434"/>
    <w:rsid w:val="00C925A7"/>
    <w:rsid w:val="00C92631"/>
    <w:rsid w:val="00C937E6"/>
    <w:rsid w:val="00C93FDF"/>
    <w:rsid w:val="00C94F17"/>
    <w:rsid w:val="00C95496"/>
    <w:rsid w:val="00C954B9"/>
    <w:rsid w:val="00C95A70"/>
    <w:rsid w:val="00C95E3C"/>
    <w:rsid w:val="00C96931"/>
    <w:rsid w:val="00C96C76"/>
    <w:rsid w:val="00C9741B"/>
    <w:rsid w:val="00C9753B"/>
    <w:rsid w:val="00CA04D3"/>
    <w:rsid w:val="00CA0B3C"/>
    <w:rsid w:val="00CA0BC5"/>
    <w:rsid w:val="00CA0EDB"/>
    <w:rsid w:val="00CA1223"/>
    <w:rsid w:val="00CA1726"/>
    <w:rsid w:val="00CA1DB9"/>
    <w:rsid w:val="00CA27E0"/>
    <w:rsid w:val="00CA291F"/>
    <w:rsid w:val="00CA2D70"/>
    <w:rsid w:val="00CA2FDC"/>
    <w:rsid w:val="00CA3AE3"/>
    <w:rsid w:val="00CA3BA0"/>
    <w:rsid w:val="00CA3D0E"/>
    <w:rsid w:val="00CA4355"/>
    <w:rsid w:val="00CA45EC"/>
    <w:rsid w:val="00CA4D78"/>
    <w:rsid w:val="00CA4D90"/>
    <w:rsid w:val="00CA5962"/>
    <w:rsid w:val="00CA5F07"/>
    <w:rsid w:val="00CA730C"/>
    <w:rsid w:val="00CA7A00"/>
    <w:rsid w:val="00CA7BC4"/>
    <w:rsid w:val="00CA7F6E"/>
    <w:rsid w:val="00CB01B0"/>
    <w:rsid w:val="00CB02EB"/>
    <w:rsid w:val="00CB06E1"/>
    <w:rsid w:val="00CB0B3C"/>
    <w:rsid w:val="00CB1385"/>
    <w:rsid w:val="00CB18F8"/>
    <w:rsid w:val="00CB1A3D"/>
    <w:rsid w:val="00CB1A7F"/>
    <w:rsid w:val="00CB1B59"/>
    <w:rsid w:val="00CB2128"/>
    <w:rsid w:val="00CB275B"/>
    <w:rsid w:val="00CB2AA0"/>
    <w:rsid w:val="00CB2DFA"/>
    <w:rsid w:val="00CB3BA9"/>
    <w:rsid w:val="00CB4051"/>
    <w:rsid w:val="00CB5188"/>
    <w:rsid w:val="00CB54B1"/>
    <w:rsid w:val="00CB5730"/>
    <w:rsid w:val="00CB595F"/>
    <w:rsid w:val="00CB5ADE"/>
    <w:rsid w:val="00CB5E74"/>
    <w:rsid w:val="00CB631B"/>
    <w:rsid w:val="00CB66F0"/>
    <w:rsid w:val="00CB6710"/>
    <w:rsid w:val="00CB6A25"/>
    <w:rsid w:val="00CB7618"/>
    <w:rsid w:val="00CC00F6"/>
    <w:rsid w:val="00CC0113"/>
    <w:rsid w:val="00CC1A87"/>
    <w:rsid w:val="00CC284B"/>
    <w:rsid w:val="00CC2AB2"/>
    <w:rsid w:val="00CC2CE5"/>
    <w:rsid w:val="00CC2D7F"/>
    <w:rsid w:val="00CC2EA2"/>
    <w:rsid w:val="00CC2EC8"/>
    <w:rsid w:val="00CC30B5"/>
    <w:rsid w:val="00CC31B7"/>
    <w:rsid w:val="00CC44E7"/>
    <w:rsid w:val="00CC465C"/>
    <w:rsid w:val="00CC5BE2"/>
    <w:rsid w:val="00CC5C60"/>
    <w:rsid w:val="00CC67CA"/>
    <w:rsid w:val="00CC6C2C"/>
    <w:rsid w:val="00CC6D54"/>
    <w:rsid w:val="00CC7704"/>
    <w:rsid w:val="00CD0829"/>
    <w:rsid w:val="00CD2C61"/>
    <w:rsid w:val="00CD318D"/>
    <w:rsid w:val="00CD32DD"/>
    <w:rsid w:val="00CD33A9"/>
    <w:rsid w:val="00CD357F"/>
    <w:rsid w:val="00CD3C61"/>
    <w:rsid w:val="00CD3F70"/>
    <w:rsid w:val="00CD40A3"/>
    <w:rsid w:val="00CD4126"/>
    <w:rsid w:val="00CD4199"/>
    <w:rsid w:val="00CD5FCE"/>
    <w:rsid w:val="00CD6985"/>
    <w:rsid w:val="00CD7167"/>
    <w:rsid w:val="00CD7790"/>
    <w:rsid w:val="00CE0091"/>
    <w:rsid w:val="00CE02C7"/>
    <w:rsid w:val="00CE1055"/>
    <w:rsid w:val="00CE1222"/>
    <w:rsid w:val="00CE1534"/>
    <w:rsid w:val="00CE1EC0"/>
    <w:rsid w:val="00CE2122"/>
    <w:rsid w:val="00CE2870"/>
    <w:rsid w:val="00CE40AD"/>
    <w:rsid w:val="00CE4579"/>
    <w:rsid w:val="00CE4706"/>
    <w:rsid w:val="00CE4937"/>
    <w:rsid w:val="00CE4DA5"/>
    <w:rsid w:val="00CE4E89"/>
    <w:rsid w:val="00CE4FDE"/>
    <w:rsid w:val="00CE54C8"/>
    <w:rsid w:val="00CE6D8D"/>
    <w:rsid w:val="00CE7498"/>
    <w:rsid w:val="00CE7FD5"/>
    <w:rsid w:val="00CF001C"/>
    <w:rsid w:val="00CF012F"/>
    <w:rsid w:val="00CF021C"/>
    <w:rsid w:val="00CF03DB"/>
    <w:rsid w:val="00CF05B5"/>
    <w:rsid w:val="00CF0840"/>
    <w:rsid w:val="00CF0944"/>
    <w:rsid w:val="00CF0C49"/>
    <w:rsid w:val="00CF10BA"/>
    <w:rsid w:val="00CF18A0"/>
    <w:rsid w:val="00CF1C31"/>
    <w:rsid w:val="00CF1D05"/>
    <w:rsid w:val="00CF200C"/>
    <w:rsid w:val="00CF230C"/>
    <w:rsid w:val="00CF2571"/>
    <w:rsid w:val="00CF26A6"/>
    <w:rsid w:val="00CF2896"/>
    <w:rsid w:val="00CF3101"/>
    <w:rsid w:val="00CF3504"/>
    <w:rsid w:val="00CF3545"/>
    <w:rsid w:val="00CF4003"/>
    <w:rsid w:val="00CF4DCB"/>
    <w:rsid w:val="00CF5C10"/>
    <w:rsid w:val="00CF603E"/>
    <w:rsid w:val="00CF67D5"/>
    <w:rsid w:val="00CF71A6"/>
    <w:rsid w:val="00CF7289"/>
    <w:rsid w:val="00CF74E0"/>
    <w:rsid w:val="00CF750D"/>
    <w:rsid w:val="00D009CB"/>
    <w:rsid w:val="00D014BC"/>
    <w:rsid w:val="00D01FD8"/>
    <w:rsid w:val="00D02088"/>
    <w:rsid w:val="00D0278B"/>
    <w:rsid w:val="00D02A35"/>
    <w:rsid w:val="00D02B33"/>
    <w:rsid w:val="00D02ECB"/>
    <w:rsid w:val="00D03069"/>
    <w:rsid w:val="00D03766"/>
    <w:rsid w:val="00D03C47"/>
    <w:rsid w:val="00D03E2F"/>
    <w:rsid w:val="00D03ED0"/>
    <w:rsid w:val="00D0409E"/>
    <w:rsid w:val="00D045D8"/>
    <w:rsid w:val="00D04984"/>
    <w:rsid w:val="00D05AC6"/>
    <w:rsid w:val="00D05ADC"/>
    <w:rsid w:val="00D05DFB"/>
    <w:rsid w:val="00D05F9A"/>
    <w:rsid w:val="00D060EE"/>
    <w:rsid w:val="00D06276"/>
    <w:rsid w:val="00D06354"/>
    <w:rsid w:val="00D0668C"/>
    <w:rsid w:val="00D06E58"/>
    <w:rsid w:val="00D0788A"/>
    <w:rsid w:val="00D07F5D"/>
    <w:rsid w:val="00D10D33"/>
    <w:rsid w:val="00D10E24"/>
    <w:rsid w:val="00D10FC7"/>
    <w:rsid w:val="00D11280"/>
    <w:rsid w:val="00D113EA"/>
    <w:rsid w:val="00D115EC"/>
    <w:rsid w:val="00D12283"/>
    <w:rsid w:val="00D12310"/>
    <w:rsid w:val="00D12B57"/>
    <w:rsid w:val="00D13023"/>
    <w:rsid w:val="00D13C57"/>
    <w:rsid w:val="00D14014"/>
    <w:rsid w:val="00D14045"/>
    <w:rsid w:val="00D14522"/>
    <w:rsid w:val="00D14B98"/>
    <w:rsid w:val="00D14BF1"/>
    <w:rsid w:val="00D152B3"/>
    <w:rsid w:val="00D15ECC"/>
    <w:rsid w:val="00D1757B"/>
    <w:rsid w:val="00D17B3A"/>
    <w:rsid w:val="00D17C9A"/>
    <w:rsid w:val="00D207B7"/>
    <w:rsid w:val="00D20818"/>
    <w:rsid w:val="00D2081C"/>
    <w:rsid w:val="00D20D9F"/>
    <w:rsid w:val="00D21332"/>
    <w:rsid w:val="00D2164B"/>
    <w:rsid w:val="00D21D04"/>
    <w:rsid w:val="00D2243A"/>
    <w:rsid w:val="00D232E3"/>
    <w:rsid w:val="00D23415"/>
    <w:rsid w:val="00D23BE4"/>
    <w:rsid w:val="00D241E1"/>
    <w:rsid w:val="00D247BF"/>
    <w:rsid w:val="00D2487C"/>
    <w:rsid w:val="00D25106"/>
    <w:rsid w:val="00D256D4"/>
    <w:rsid w:val="00D2589D"/>
    <w:rsid w:val="00D25B5D"/>
    <w:rsid w:val="00D263AB"/>
    <w:rsid w:val="00D26834"/>
    <w:rsid w:val="00D26999"/>
    <w:rsid w:val="00D26A78"/>
    <w:rsid w:val="00D273B9"/>
    <w:rsid w:val="00D279FC"/>
    <w:rsid w:val="00D30915"/>
    <w:rsid w:val="00D30EB7"/>
    <w:rsid w:val="00D30EDE"/>
    <w:rsid w:val="00D31732"/>
    <w:rsid w:val="00D31990"/>
    <w:rsid w:val="00D31C40"/>
    <w:rsid w:val="00D3226A"/>
    <w:rsid w:val="00D32825"/>
    <w:rsid w:val="00D328CF"/>
    <w:rsid w:val="00D32B08"/>
    <w:rsid w:val="00D32FFE"/>
    <w:rsid w:val="00D333F5"/>
    <w:rsid w:val="00D3381E"/>
    <w:rsid w:val="00D33A3D"/>
    <w:rsid w:val="00D34239"/>
    <w:rsid w:val="00D34B9C"/>
    <w:rsid w:val="00D34D13"/>
    <w:rsid w:val="00D34E3C"/>
    <w:rsid w:val="00D35293"/>
    <w:rsid w:val="00D353C7"/>
    <w:rsid w:val="00D35882"/>
    <w:rsid w:val="00D35A91"/>
    <w:rsid w:val="00D363EB"/>
    <w:rsid w:val="00D36773"/>
    <w:rsid w:val="00D36C9E"/>
    <w:rsid w:val="00D36EF9"/>
    <w:rsid w:val="00D379FD"/>
    <w:rsid w:val="00D37A30"/>
    <w:rsid w:val="00D40051"/>
    <w:rsid w:val="00D416DB"/>
    <w:rsid w:val="00D41800"/>
    <w:rsid w:val="00D41D4E"/>
    <w:rsid w:val="00D43101"/>
    <w:rsid w:val="00D437FD"/>
    <w:rsid w:val="00D43B23"/>
    <w:rsid w:val="00D43F59"/>
    <w:rsid w:val="00D4469F"/>
    <w:rsid w:val="00D4507A"/>
    <w:rsid w:val="00D45300"/>
    <w:rsid w:val="00D45890"/>
    <w:rsid w:val="00D45B20"/>
    <w:rsid w:val="00D45F33"/>
    <w:rsid w:val="00D465A5"/>
    <w:rsid w:val="00D47211"/>
    <w:rsid w:val="00D47B60"/>
    <w:rsid w:val="00D47C7F"/>
    <w:rsid w:val="00D47F5A"/>
    <w:rsid w:val="00D50BDA"/>
    <w:rsid w:val="00D50E56"/>
    <w:rsid w:val="00D5154C"/>
    <w:rsid w:val="00D5270F"/>
    <w:rsid w:val="00D5322D"/>
    <w:rsid w:val="00D533AB"/>
    <w:rsid w:val="00D539A6"/>
    <w:rsid w:val="00D53D12"/>
    <w:rsid w:val="00D54099"/>
    <w:rsid w:val="00D54528"/>
    <w:rsid w:val="00D54759"/>
    <w:rsid w:val="00D547B4"/>
    <w:rsid w:val="00D547F5"/>
    <w:rsid w:val="00D54966"/>
    <w:rsid w:val="00D54E87"/>
    <w:rsid w:val="00D54F08"/>
    <w:rsid w:val="00D55E83"/>
    <w:rsid w:val="00D56082"/>
    <w:rsid w:val="00D565AC"/>
    <w:rsid w:val="00D57215"/>
    <w:rsid w:val="00D57691"/>
    <w:rsid w:val="00D57912"/>
    <w:rsid w:val="00D57A22"/>
    <w:rsid w:val="00D57BE2"/>
    <w:rsid w:val="00D60032"/>
    <w:rsid w:val="00D6018B"/>
    <w:rsid w:val="00D60CA4"/>
    <w:rsid w:val="00D614F7"/>
    <w:rsid w:val="00D616E3"/>
    <w:rsid w:val="00D62003"/>
    <w:rsid w:val="00D6218A"/>
    <w:rsid w:val="00D62384"/>
    <w:rsid w:val="00D624AE"/>
    <w:rsid w:val="00D62DB8"/>
    <w:rsid w:val="00D631DC"/>
    <w:rsid w:val="00D63222"/>
    <w:rsid w:val="00D63D8C"/>
    <w:rsid w:val="00D64275"/>
    <w:rsid w:val="00D64999"/>
    <w:rsid w:val="00D64DEB"/>
    <w:rsid w:val="00D653A7"/>
    <w:rsid w:val="00D655EF"/>
    <w:rsid w:val="00D65783"/>
    <w:rsid w:val="00D661DC"/>
    <w:rsid w:val="00D6658C"/>
    <w:rsid w:val="00D668B3"/>
    <w:rsid w:val="00D66F1C"/>
    <w:rsid w:val="00D67060"/>
    <w:rsid w:val="00D67EE2"/>
    <w:rsid w:val="00D70130"/>
    <w:rsid w:val="00D712E7"/>
    <w:rsid w:val="00D714AA"/>
    <w:rsid w:val="00D715E8"/>
    <w:rsid w:val="00D719BE"/>
    <w:rsid w:val="00D72493"/>
    <w:rsid w:val="00D72FD2"/>
    <w:rsid w:val="00D734DB"/>
    <w:rsid w:val="00D73542"/>
    <w:rsid w:val="00D735BF"/>
    <w:rsid w:val="00D736D3"/>
    <w:rsid w:val="00D74590"/>
    <w:rsid w:val="00D74FB3"/>
    <w:rsid w:val="00D761F9"/>
    <w:rsid w:val="00D769EF"/>
    <w:rsid w:val="00D76EDB"/>
    <w:rsid w:val="00D7750A"/>
    <w:rsid w:val="00D779D3"/>
    <w:rsid w:val="00D8002F"/>
    <w:rsid w:val="00D80873"/>
    <w:rsid w:val="00D80C34"/>
    <w:rsid w:val="00D8166C"/>
    <w:rsid w:val="00D816E7"/>
    <w:rsid w:val="00D81F64"/>
    <w:rsid w:val="00D8245E"/>
    <w:rsid w:val="00D8308B"/>
    <w:rsid w:val="00D833C5"/>
    <w:rsid w:val="00D83B3A"/>
    <w:rsid w:val="00D83EA7"/>
    <w:rsid w:val="00D846DD"/>
    <w:rsid w:val="00D8484B"/>
    <w:rsid w:val="00D8484D"/>
    <w:rsid w:val="00D850C4"/>
    <w:rsid w:val="00D854B6"/>
    <w:rsid w:val="00D85C51"/>
    <w:rsid w:val="00D867C4"/>
    <w:rsid w:val="00D86AB0"/>
    <w:rsid w:val="00D87345"/>
    <w:rsid w:val="00D87390"/>
    <w:rsid w:val="00D873C8"/>
    <w:rsid w:val="00D874A8"/>
    <w:rsid w:val="00D8756E"/>
    <w:rsid w:val="00D875B1"/>
    <w:rsid w:val="00D87608"/>
    <w:rsid w:val="00D87704"/>
    <w:rsid w:val="00D87D98"/>
    <w:rsid w:val="00D90974"/>
    <w:rsid w:val="00D90985"/>
    <w:rsid w:val="00D90B6D"/>
    <w:rsid w:val="00D90CB7"/>
    <w:rsid w:val="00D913FD"/>
    <w:rsid w:val="00D91459"/>
    <w:rsid w:val="00D9245A"/>
    <w:rsid w:val="00D92A32"/>
    <w:rsid w:val="00D92AA1"/>
    <w:rsid w:val="00D93BDA"/>
    <w:rsid w:val="00D93E05"/>
    <w:rsid w:val="00D93FA0"/>
    <w:rsid w:val="00D94D31"/>
    <w:rsid w:val="00D959EE"/>
    <w:rsid w:val="00D95BC5"/>
    <w:rsid w:val="00D95DE1"/>
    <w:rsid w:val="00D9604D"/>
    <w:rsid w:val="00D9648B"/>
    <w:rsid w:val="00D96CE9"/>
    <w:rsid w:val="00D9799D"/>
    <w:rsid w:val="00D97D50"/>
    <w:rsid w:val="00DA082D"/>
    <w:rsid w:val="00DA09D3"/>
    <w:rsid w:val="00DA1061"/>
    <w:rsid w:val="00DA10D4"/>
    <w:rsid w:val="00DA211D"/>
    <w:rsid w:val="00DA22AF"/>
    <w:rsid w:val="00DA22DA"/>
    <w:rsid w:val="00DA2713"/>
    <w:rsid w:val="00DA27A5"/>
    <w:rsid w:val="00DA29FB"/>
    <w:rsid w:val="00DA35BA"/>
    <w:rsid w:val="00DA3B2E"/>
    <w:rsid w:val="00DA3D19"/>
    <w:rsid w:val="00DA43C0"/>
    <w:rsid w:val="00DA59CA"/>
    <w:rsid w:val="00DA5A92"/>
    <w:rsid w:val="00DA5FB8"/>
    <w:rsid w:val="00DA6076"/>
    <w:rsid w:val="00DA73A4"/>
    <w:rsid w:val="00DA73CB"/>
    <w:rsid w:val="00DA78EC"/>
    <w:rsid w:val="00DA7B89"/>
    <w:rsid w:val="00DA7BC7"/>
    <w:rsid w:val="00DA7C92"/>
    <w:rsid w:val="00DA7F88"/>
    <w:rsid w:val="00DB0442"/>
    <w:rsid w:val="00DB08C3"/>
    <w:rsid w:val="00DB0CFA"/>
    <w:rsid w:val="00DB1267"/>
    <w:rsid w:val="00DB18FD"/>
    <w:rsid w:val="00DB1DDF"/>
    <w:rsid w:val="00DB2781"/>
    <w:rsid w:val="00DB2EB0"/>
    <w:rsid w:val="00DB45B1"/>
    <w:rsid w:val="00DB4879"/>
    <w:rsid w:val="00DB4ABC"/>
    <w:rsid w:val="00DB4C31"/>
    <w:rsid w:val="00DB5AEB"/>
    <w:rsid w:val="00DB5DB3"/>
    <w:rsid w:val="00DB63C4"/>
    <w:rsid w:val="00DB78D1"/>
    <w:rsid w:val="00DB79AA"/>
    <w:rsid w:val="00DC06D0"/>
    <w:rsid w:val="00DC081F"/>
    <w:rsid w:val="00DC0CC4"/>
    <w:rsid w:val="00DC0EEF"/>
    <w:rsid w:val="00DC169C"/>
    <w:rsid w:val="00DC1BCD"/>
    <w:rsid w:val="00DC1BD4"/>
    <w:rsid w:val="00DC2A49"/>
    <w:rsid w:val="00DC3870"/>
    <w:rsid w:val="00DC3BA1"/>
    <w:rsid w:val="00DC46D8"/>
    <w:rsid w:val="00DC4A6E"/>
    <w:rsid w:val="00DC4ED5"/>
    <w:rsid w:val="00DC5B3A"/>
    <w:rsid w:val="00DC5FC5"/>
    <w:rsid w:val="00DC639C"/>
    <w:rsid w:val="00DC65DF"/>
    <w:rsid w:val="00DC6869"/>
    <w:rsid w:val="00DC6D9C"/>
    <w:rsid w:val="00DC72F1"/>
    <w:rsid w:val="00DC74E2"/>
    <w:rsid w:val="00DC750D"/>
    <w:rsid w:val="00DC7A7D"/>
    <w:rsid w:val="00DC7C8B"/>
    <w:rsid w:val="00DD11AF"/>
    <w:rsid w:val="00DD18CA"/>
    <w:rsid w:val="00DD1A5F"/>
    <w:rsid w:val="00DD1C03"/>
    <w:rsid w:val="00DD2EC9"/>
    <w:rsid w:val="00DD2F12"/>
    <w:rsid w:val="00DD30EC"/>
    <w:rsid w:val="00DD3105"/>
    <w:rsid w:val="00DD3463"/>
    <w:rsid w:val="00DD4EBA"/>
    <w:rsid w:val="00DD5D91"/>
    <w:rsid w:val="00DD603D"/>
    <w:rsid w:val="00DD629F"/>
    <w:rsid w:val="00DD6FAE"/>
    <w:rsid w:val="00DD78DF"/>
    <w:rsid w:val="00DD7BED"/>
    <w:rsid w:val="00DE04E2"/>
    <w:rsid w:val="00DE0666"/>
    <w:rsid w:val="00DE0E47"/>
    <w:rsid w:val="00DE1002"/>
    <w:rsid w:val="00DE158D"/>
    <w:rsid w:val="00DE16B6"/>
    <w:rsid w:val="00DE1A75"/>
    <w:rsid w:val="00DE1DE1"/>
    <w:rsid w:val="00DE1E23"/>
    <w:rsid w:val="00DE23B0"/>
    <w:rsid w:val="00DE23D4"/>
    <w:rsid w:val="00DE25FB"/>
    <w:rsid w:val="00DE27EE"/>
    <w:rsid w:val="00DE2992"/>
    <w:rsid w:val="00DE3B25"/>
    <w:rsid w:val="00DE40B7"/>
    <w:rsid w:val="00DE4279"/>
    <w:rsid w:val="00DE4289"/>
    <w:rsid w:val="00DE457E"/>
    <w:rsid w:val="00DE477D"/>
    <w:rsid w:val="00DE48A9"/>
    <w:rsid w:val="00DE4D3C"/>
    <w:rsid w:val="00DE4DDC"/>
    <w:rsid w:val="00DE4F04"/>
    <w:rsid w:val="00DE560D"/>
    <w:rsid w:val="00DE6967"/>
    <w:rsid w:val="00DF0342"/>
    <w:rsid w:val="00DF0A02"/>
    <w:rsid w:val="00DF0A58"/>
    <w:rsid w:val="00DF10B3"/>
    <w:rsid w:val="00DF1B85"/>
    <w:rsid w:val="00DF1F37"/>
    <w:rsid w:val="00DF2590"/>
    <w:rsid w:val="00DF288A"/>
    <w:rsid w:val="00DF2B24"/>
    <w:rsid w:val="00DF33BB"/>
    <w:rsid w:val="00DF34D7"/>
    <w:rsid w:val="00DF3873"/>
    <w:rsid w:val="00DF3AA4"/>
    <w:rsid w:val="00DF3DAD"/>
    <w:rsid w:val="00DF48A7"/>
    <w:rsid w:val="00DF4B4E"/>
    <w:rsid w:val="00DF4FA1"/>
    <w:rsid w:val="00DF4FA2"/>
    <w:rsid w:val="00DF55FE"/>
    <w:rsid w:val="00DF660B"/>
    <w:rsid w:val="00DF6DF7"/>
    <w:rsid w:val="00DF73B8"/>
    <w:rsid w:val="00E0014E"/>
    <w:rsid w:val="00E001C2"/>
    <w:rsid w:val="00E00354"/>
    <w:rsid w:val="00E01293"/>
    <w:rsid w:val="00E0181A"/>
    <w:rsid w:val="00E01D6A"/>
    <w:rsid w:val="00E021C8"/>
    <w:rsid w:val="00E026CB"/>
    <w:rsid w:val="00E02CCB"/>
    <w:rsid w:val="00E02E00"/>
    <w:rsid w:val="00E02EA5"/>
    <w:rsid w:val="00E0304D"/>
    <w:rsid w:val="00E0309D"/>
    <w:rsid w:val="00E032FF"/>
    <w:rsid w:val="00E03713"/>
    <w:rsid w:val="00E0420A"/>
    <w:rsid w:val="00E0439D"/>
    <w:rsid w:val="00E048A6"/>
    <w:rsid w:val="00E05127"/>
    <w:rsid w:val="00E05CA7"/>
    <w:rsid w:val="00E05CC4"/>
    <w:rsid w:val="00E05CCD"/>
    <w:rsid w:val="00E05DDC"/>
    <w:rsid w:val="00E05F44"/>
    <w:rsid w:val="00E06328"/>
    <w:rsid w:val="00E06642"/>
    <w:rsid w:val="00E069F7"/>
    <w:rsid w:val="00E06CB9"/>
    <w:rsid w:val="00E06EC1"/>
    <w:rsid w:val="00E074D5"/>
    <w:rsid w:val="00E07C31"/>
    <w:rsid w:val="00E1002E"/>
    <w:rsid w:val="00E103A3"/>
    <w:rsid w:val="00E105DF"/>
    <w:rsid w:val="00E10730"/>
    <w:rsid w:val="00E10B2C"/>
    <w:rsid w:val="00E10C72"/>
    <w:rsid w:val="00E10E94"/>
    <w:rsid w:val="00E11ADC"/>
    <w:rsid w:val="00E11F98"/>
    <w:rsid w:val="00E12C25"/>
    <w:rsid w:val="00E12D37"/>
    <w:rsid w:val="00E1308F"/>
    <w:rsid w:val="00E138B9"/>
    <w:rsid w:val="00E13B44"/>
    <w:rsid w:val="00E142A6"/>
    <w:rsid w:val="00E145C2"/>
    <w:rsid w:val="00E146DD"/>
    <w:rsid w:val="00E148A4"/>
    <w:rsid w:val="00E14917"/>
    <w:rsid w:val="00E14A63"/>
    <w:rsid w:val="00E14CA7"/>
    <w:rsid w:val="00E153C9"/>
    <w:rsid w:val="00E15D7B"/>
    <w:rsid w:val="00E15EC9"/>
    <w:rsid w:val="00E16209"/>
    <w:rsid w:val="00E16E72"/>
    <w:rsid w:val="00E16F9A"/>
    <w:rsid w:val="00E175BC"/>
    <w:rsid w:val="00E178D3"/>
    <w:rsid w:val="00E17E78"/>
    <w:rsid w:val="00E17F90"/>
    <w:rsid w:val="00E204F0"/>
    <w:rsid w:val="00E20B02"/>
    <w:rsid w:val="00E21153"/>
    <w:rsid w:val="00E21321"/>
    <w:rsid w:val="00E217AE"/>
    <w:rsid w:val="00E21DED"/>
    <w:rsid w:val="00E21E80"/>
    <w:rsid w:val="00E227C8"/>
    <w:rsid w:val="00E22FE5"/>
    <w:rsid w:val="00E23097"/>
    <w:rsid w:val="00E23CA5"/>
    <w:rsid w:val="00E25C6E"/>
    <w:rsid w:val="00E25EA6"/>
    <w:rsid w:val="00E263B3"/>
    <w:rsid w:val="00E26B97"/>
    <w:rsid w:val="00E27036"/>
    <w:rsid w:val="00E271D5"/>
    <w:rsid w:val="00E27FF8"/>
    <w:rsid w:val="00E3039C"/>
    <w:rsid w:val="00E309DD"/>
    <w:rsid w:val="00E30EEF"/>
    <w:rsid w:val="00E30F31"/>
    <w:rsid w:val="00E313DC"/>
    <w:rsid w:val="00E31856"/>
    <w:rsid w:val="00E31B1A"/>
    <w:rsid w:val="00E31BD3"/>
    <w:rsid w:val="00E31ED0"/>
    <w:rsid w:val="00E3259F"/>
    <w:rsid w:val="00E33563"/>
    <w:rsid w:val="00E335B6"/>
    <w:rsid w:val="00E33624"/>
    <w:rsid w:val="00E33A6A"/>
    <w:rsid w:val="00E33BA4"/>
    <w:rsid w:val="00E33C08"/>
    <w:rsid w:val="00E340D1"/>
    <w:rsid w:val="00E349DD"/>
    <w:rsid w:val="00E34B3D"/>
    <w:rsid w:val="00E34BDF"/>
    <w:rsid w:val="00E354F3"/>
    <w:rsid w:val="00E35A38"/>
    <w:rsid w:val="00E35F44"/>
    <w:rsid w:val="00E36108"/>
    <w:rsid w:val="00E36EA9"/>
    <w:rsid w:val="00E3726C"/>
    <w:rsid w:val="00E3736F"/>
    <w:rsid w:val="00E37526"/>
    <w:rsid w:val="00E37724"/>
    <w:rsid w:val="00E37912"/>
    <w:rsid w:val="00E37F2A"/>
    <w:rsid w:val="00E405F2"/>
    <w:rsid w:val="00E40871"/>
    <w:rsid w:val="00E4099B"/>
    <w:rsid w:val="00E40D0B"/>
    <w:rsid w:val="00E41F84"/>
    <w:rsid w:val="00E43033"/>
    <w:rsid w:val="00E43148"/>
    <w:rsid w:val="00E43C39"/>
    <w:rsid w:val="00E43FEA"/>
    <w:rsid w:val="00E44104"/>
    <w:rsid w:val="00E44DC1"/>
    <w:rsid w:val="00E44E14"/>
    <w:rsid w:val="00E44FB7"/>
    <w:rsid w:val="00E45502"/>
    <w:rsid w:val="00E45907"/>
    <w:rsid w:val="00E46730"/>
    <w:rsid w:val="00E46CA6"/>
    <w:rsid w:val="00E47A99"/>
    <w:rsid w:val="00E47D57"/>
    <w:rsid w:val="00E47DEC"/>
    <w:rsid w:val="00E50158"/>
    <w:rsid w:val="00E5091A"/>
    <w:rsid w:val="00E5199E"/>
    <w:rsid w:val="00E51B04"/>
    <w:rsid w:val="00E51DD0"/>
    <w:rsid w:val="00E52A77"/>
    <w:rsid w:val="00E52B90"/>
    <w:rsid w:val="00E53062"/>
    <w:rsid w:val="00E535F3"/>
    <w:rsid w:val="00E53819"/>
    <w:rsid w:val="00E54586"/>
    <w:rsid w:val="00E545D1"/>
    <w:rsid w:val="00E55D47"/>
    <w:rsid w:val="00E55FC9"/>
    <w:rsid w:val="00E56F6D"/>
    <w:rsid w:val="00E57099"/>
    <w:rsid w:val="00E570B7"/>
    <w:rsid w:val="00E601F7"/>
    <w:rsid w:val="00E602E5"/>
    <w:rsid w:val="00E607CF"/>
    <w:rsid w:val="00E609B9"/>
    <w:rsid w:val="00E609BE"/>
    <w:rsid w:val="00E60C73"/>
    <w:rsid w:val="00E60E87"/>
    <w:rsid w:val="00E6101C"/>
    <w:rsid w:val="00E61874"/>
    <w:rsid w:val="00E625F9"/>
    <w:rsid w:val="00E6299B"/>
    <w:rsid w:val="00E629F9"/>
    <w:rsid w:val="00E6356C"/>
    <w:rsid w:val="00E63584"/>
    <w:rsid w:val="00E63653"/>
    <w:rsid w:val="00E641DE"/>
    <w:rsid w:val="00E64B5F"/>
    <w:rsid w:val="00E65F38"/>
    <w:rsid w:val="00E660BD"/>
    <w:rsid w:val="00E66527"/>
    <w:rsid w:val="00E6679C"/>
    <w:rsid w:val="00E66B26"/>
    <w:rsid w:val="00E672B1"/>
    <w:rsid w:val="00E6756B"/>
    <w:rsid w:val="00E67774"/>
    <w:rsid w:val="00E67E40"/>
    <w:rsid w:val="00E701EC"/>
    <w:rsid w:val="00E70234"/>
    <w:rsid w:val="00E70675"/>
    <w:rsid w:val="00E7070D"/>
    <w:rsid w:val="00E70ADB"/>
    <w:rsid w:val="00E71211"/>
    <w:rsid w:val="00E7183B"/>
    <w:rsid w:val="00E725E2"/>
    <w:rsid w:val="00E729A1"/>
    <w:rsid w:val="00E72E45"/>
    <w:rsid w:val="00E731A2"/>
    <w:rsid w:val="00E73BE6"/>
    <w:rsid w:val="00E742AE"/>
    <w:rsid w:val="00E74329"/>
    <w:rsid w:val="00E7454F"/>
    <w:rsid w:val="00E74669"/>
    <w:rsid w:val="00E74855"/>
    <w:rsid w:val="00E74B8F"/>
    <w:rsid w:val="00E74F9D"/>
    <w:rsid w:val="00E75B7B"/>
    <w:rsid w:val="00E7611A"/>
    <w:rsid w:val="00E7645E"/>
    <w:rsid w:val="00E764D2"/>
    <w:rsid w:val="00E7764B"/>
    <w:rsid w:val="00E778F1"/>
    <w:rsid w:val="00E77A98"/>
    <w:rsid w:val="00E80773"/>
    <w:rsid w:val="00E807A4"/>
    <w:rsid w:val="00E80826"/>
    <w:rsid w:val="00E8133F"/>
    <w:rsid w:val="00E81D42"/>
    <w:rsid w:val="00E826AD"/>
    <w:rsid w:val="00E82AC1"/>
    <w:rsid w:val="00E82D68"/>
    <w:rsid w:val="00E83955"/>
    <w:rsid w:val="00E84E3C"/>
    <w:rsid w:val="00E8544B"/>
    <w:rsid w:val="00E8706C"/>
    <w:rsid w:val="00E870A8"/>
    <w:rsid w:val="00E873EB"/>
    <w:rsid w:val="00E8766F"/>
    <w:rsid w:val="00E90734"/>
    <w:rsid w:val="00E909E4"/>
    <w:rsid w:val="00E90ECD"/>
    <w:rsid w:val="00E911ED"/>
    <w:rsid w:val="00E91D58"/>
    <w:rsid w:val="00E926D7"/>
    <w:rsid w:val="00E92BD9"/>
    <w:rsid w:val="00E92EE7"/>
    <w:rsid w:val="00E9379E"/>
    <w:rsid w:val="00E938CB"/>
    <w:rsid w:val="00E94472"/>
    <w:rsid w:val="00E94870"/>
    <w:rsid w:val="00E94D26"/>
    <w:rsid w:val="00E94EF9"/>
    <w:rsid w:val="00E95819"/>
    <w:rsid w:val="00E95DA1"/>
    <w:rsid w:val="00E96949"/>
    <w:rsid w:val="00E96C4B"/>
    <w:rsid w:val="00E9706E"/>
    <w:rsid w:val="00E97C12"/>
    <w:rsid w:val="00E97DB2"/>
    <w:rsid w:val="00EA0214"/>
    <w:rsid w:val="00EA0228"/>
    <w:rsid w:val="00EA03B5"/>
    <w:rsid w:val="00EA06E4"/>
    <w:rsid w:val="00EA0BB9"/>
    <w:rsid w:val="00EA1741"/>
    <w:rsid w:val="00EA1BDB"/>
    <w:rsid w:val="00EA3834"/>
    <w:rsid w:val="00EA4539"/>
    <w:rsid w:val="00EA474C"/>
    <w:rsid w:val="00EA4767"/>
    <w:rsid w:val="00EA4F18"/>
    <w:rsid w:val="00EA52B0"/>
    <w:rsid w:val="00EA54F7"/>
    <w:rsid w:val="00EA5513"/>
    <w:rsid w:val="00EA5969"/>
    <w:rsid w:val="00EA5B3D"/>
    <w:rsid w:val="00EA6360"/>
    <w:rsid w:val="00EA649C"/>
    <w:rsid w:val="00EA6967"/>
    <w:rsid w:val="00EA73CC"/>
    <w:rsid w:val="00EA7751"/>
    <w:rsid w:val="00EA7C30"/>
    <w:rsid w:val="00EA7DC6"/>
    <w:rsid w:val="00EA7ED6"/>
    <w:rsid w:val="00EB017C"/>
    <w:rsid w:val="00EB0209"/>
    <w:rsid w:val="00EB048A"/>
    <w:rsid w:val="00EB04CE"/>
    <w:rsid w:val="00EB07C7"/>
    <w:rsid w:val="00EB0934"/>
    <w:rsid w:val="00EB193A"/>
    <w:rsid w:val="00EB1E1A"/>
    <w:rsid w:val="00EB1E36"/>
    <w:rsid w:val="00EB34CD"/>
    <w:rsid w:val="00EB3C98"/>
    <w:rsid w:val="00EB4970"/>
    <w:rsid w:val="00EB4BB1"/>
    <w:rsid w:val="00EB4C1F"/>
    <w:rsid w:val="00EB5FAC"/>
    <w:rsid w:val="00EB64BC"/>
    <w:rsid w:val="00EB6A4A"/>
    <w:rsid w:val="00EB6EC0"/>
    <w:rsid w:val="00EB7085"/>
    <w:rsid w:val="00EB7DE7"/>
    <w:rsid w:val="00EB7F7D"/>
    <w:rsid w:val="00EC00A3"/>
    <w:rsid w:val="00EC03E8"/>
    <w:rsid w:val="00EC04B4"/>
    <w:rsid w:val="00EC0642"/>
    <w:rsid w:val="00EC0B33"/>
    <w:rsid w:val="00EC0DE7"/>
    <w:rsid w:val="00EC0E79"/>
    <w:rsid w:val="00EC113B"/>
    <w:rsid w:val="00EC2163"/>
    <w:rsid w:val="00EC2318"/>
    <w:rsid w:val="00EC250D"/>
    <w:rsid w:val="00EC254F"/>
    <w:rsid w:val="00EC2AFF"/>
    <w:rsid w:val="00EC2E58"/>
    <w:rsid w:val="00EC2ECA"/>
    <w:rsid w:val="00EC31D0"/>
    <w:rsid w:val="00EC33E5"/>
    <w:rsid w:val="00EC36D5"/>
    <w:rsid w:val="00EC3AF4"/>
    <w:rsid w:val="00EC3AFB"/>
    <w:rsid w:val="00EC3B5E"/>
    <w:rsid w:val="00EC3E66"/>
    <w:rsid w:val="00EC3FE2"/>
    <w:rsid w:val="00EC4000"/>
    <w:rsid w:val="00EC44FA"/>
    <w:rsid w:val="00EC4A1A"/>
    <w:rsid w:val="00EC529F"/>
    <w:rsid w:val="00EC56AB"/>
    <w:rsid w:val="00EC5B55"/>
    <w:rsid w:val="00EC5FDD"/>
    <w:rsid w:val="00EC6234"/>
    <w:rsid w:val="00EC6389"/>
    <w:rsid w:val="00EC67DC"/>
    <w:rsid w:val="00EC6CCC"/>
    <w:rsid w:val="00EC7388"/>
    <w:rsid w:val="00EC7AB3"/>
    <w:rsid w:val="00EC7DA7"/>
    <w:rsid w:val="00EC7FBD"/>
    <w:rsid w:val="00ED0523"/>
    <w:rsid w:val="00ED1394"/>
    <w:rsid w:val="00ED293B"/>
    <w:rsid w:val="00ED2DD3"/>
    <w:rsid w:val="00ED3680"/>
    <w:rsid w:val="00ED36D8"/>
    <w:rsid w:val="00ED3816"/>
    <w:rsid w:val="00ED3971"/>
    <w:rsid w:val="00ED39B4"/>
    <w:rsid w:val="00ED3AC5"/>
    <w:rsid w:val="00ED41A8"/>
    <w:rsid w:val="00ED4563"/>
    <w:rsid w:val="00ED4C8A"/>
    <w:rsid w:val="00ED571F"/>
    <w:rsid w:val="00ED5800"/>
    <w:rsid w:val="00ED5DA8"/>
    <w:rsid w:val="00ED624B"/>
    <w:rsid w:val="00ED7178"/>
    <w:rsid w:val="00ED7B60"/>
    <w:rsid w:val="00EE1B11"/>
    <w:rsid w:val="00EE2480"/>
    <w:rsid w:val="00EE25D1"/>
    <w:rsid w:val="00EE294A"/>
    <w:rsid w:val="00EE3083"/>
    <w:rsid w:val="00EE323B"/>
    <w:rsid w:val="00EE38DC"/>
    <w:rsid w:val="00EE4715"/>
    <w:rsid w:val="00EE4B52"/>
    <w:rsid w:val="00EE4CD6"/>
    <w:rsid w:val="00EE51DE"/>
    <w:rsid w:val="00EE5B14"/>
    <w:rsid w:val="00EE5D43"/>
    <w:rsid w:val="00EE64A5"/>
    <w:rsid w:val="00EE6AE4"/>
    <w:rsid w:val="00EE75AB"/>
    <w:rsid w:val="00EE77FD"/>
    <w:rsid w:val="00EE7F15"/>
    <w:rsid w:val="00EF0158"/>
    <w:rsid w:val="00EF016E"/>
    <w:rsid w:val="00EF0734"/>
    <w:rsid w:val="00EF0831"/>
    <w:rsid w:val="00EF0987"/>
    <w:rsid w:val="00EF0BAC"/>
    <w:rsid w:val="00EF0DA1"/>
    <w:rsid w:val="00EF15FB"/>
    <w:rsid w:val="00EF2214"/>
    <w:rsid w:val="00EF2315"/>
    <w:rsid w:val="00EF24F0"/>
    <w:rsid w:val="00EF2A07"/>
    <w:rsid w:val="00EF2F67"/>
    <w:rsid w:val="00EF35D5"/>
    <w:rsid w:val="00EF35DE"/>
    <w:rsid w:val="00EF3A10"/>
    <w:rsid w:val="00EF3C45"/>
    <w:rsid w:val="00EF3EBB"/>
    <w:rsid w:val="00EF46BF"/>
    <w:rsid w:val="00EF4767"/>
    <w:rsid w:val="00EF5F38"/>
    <w:rsid w:val="00EF627B"/>
    <w:rsid w:val="00EF76BB"/>
    <w:rsid w:val="00EF792C"/>
    <w:rsid w:val="00F0062D"/>
    <w:rsid w:val="00F0071E"/>
    <w:rsid w:val="00F011CE"/>
    <w:rsid w:val="00F01713"/>
    <w:rsid w:val="00F018DC"/>
    <w:rsid w:val="00F01A88"/>
    <w:rsid w:val="00F01AD3"/>
    <w:rsid w:val="00F01ECB"/>
    <w:rsid w:val="00F02135"/>
    <w:rsid w:val="00F0222E"/>
    <w:rsid w:val="00F022CA"/>
    <w:rsid w:val="00F022DB"/>
    <w:rsid w:val="00F0294A"/>
    <w:rsid w:val="00F030D4"/>
    <w:rsid w:val="00F03683"/>
    <w:rsid w:val="00F037B2"/>
    <w:rsid w:val="00F04066"/>
    <w:rsid w:val="00F0412D"/>
    <w:rsid w:val="00F05899"/>
    <w:rsid w:val="00F05B08"/>
    <w:rsid w:val="00F068BF"/>
    <w:rsid w:val="00F0698A"/>
    <w:rsid w:val="00F06A94"/>
    <w:rsid w:val="00F072FB"/>
    <w:rsid w:val="00F079FB"/>
    <w:rsid w:val="00F113B5"/>
    <w:rsid w:val="00F11987"/>
    <w:rsid w:val="00F11E78"/>
    <w:rsid w:val="00F124DE"/>
    <w:rsid w:val="00F126F9"/>
    <w:rsid w:val="00F12F23"/>
    <w:rsid w:val="00F14137"/>
    <w:rsid w:val="00F14474"/>
    <w:rsid w:val="00F145A3"/>
    <w:rsid w:val="00F15523"/>
    <w:rsid w:val="00F1652D"/>
    <w:rsid w:val="00F169AF"/>
    <w:rsid w:val="00F16E81"/>
    <w:rsid w:val="00F17089"/>
    <w:rsid w:val="00F1721A"/>
    <w:rsid w:val="00F17221"/>
    <w:rsid w:val="00F175B6"/>
    <w:rsid w:val="00F17BB1"/>
    <w:rsid w:val="00F17F04"/>
    <w:rsid w:val="00F2022D"/>
    <w:rsid w:val="00F20C4B"/>
    <w:rsid w:val="00F21FFC"/>
    <w:rsid w:val="00F224C5"/>
    <w:rsid w:val="00F22ABA"/>
    <w:rsid w:val="00F23AA2"/>
    <w:rsid w:val="00F2425B"/>
    <w:rsid w:val="00F24363"/>
    <w:rsid w:val="00F24447"/>
    <w:rsid w:val="00F246BF"/>
    <w:rsid w:val="00F2497A"/>
    <w:rsid w:val="00F25515"/>
    <w:rsid w:val="00F2593A"/>
    <w:rsid w:val="00F25C40"/>
    <w:rsid w:val="00F265B6"/>
    <w:rsid w:val="00F272AD"/>
    <w:rsid w:val="00F27A97"/>
    <w:rsid w:val="00F30782"/>
    <w:rsid w:val="00F30C79"/>
    <w:rsid w:val="00F312D9"/>
    <w:rsid w:val="00F31525"/>
    <w:rsid w:val="00F31651"/>
    <w:rsid w:val="00F316E5"/>
    <w:rsid w:val="00F3206B"/>
    <w:rsid w:val="00F3263B"/>
    <w:rsid w:val="00F3303C"/>
    <w:rsid w:val="00F332D9"/>
    <w:rsid w:val="00F3380C"/>
    <w:rsid w:val="00F33E17"/>
    <w:rsid w:val="00F34375"/>
    <w:rsid w:val="00F345AB"/>
    <w:rsid w:val="00F36107"/>
    <w:rsid w:val="00F36147"/>
    <w:rsid w:val="00F365D7"/>
    <w:rsid w:val="00F36B2A"/>
    <w:rsid w:val="00F371F7"/>
    <w:rsid w:val="00F37416"/>
    <w:rsid w:val="00F37D81"/>
    <w:rsid w:val="00F40044"/>
    <w:rsid w:val="00F4049C"/>
    <w:rsid w:val="00F406D2"/>
    <w:rsid w:val="00F40791"/>
    <w:rsid w:val="00F407E2"/>
    <w:rsid w:val="00F40D4C"/>
    <w:rsid w:val="00F410E5"/>
    <w:rsid w:val="00F41290"/>
    <w:rsid w:val="00F414FC"/>
    <w:rsid w:val="00F417C5"/>
    <w:rsid w:val="00F41DAE"/>
    <w:rsid w:val="00F4289D"/>
    <w:rsid w:val="00F4301B"/>
    <w:rsid w:val="00F440BD"/>
    <w:rsid w:val="00F44206"/>
    <w:rsid w:val="00F444DA"/>
    <w:rsid w:val="00F445D1"/>
    <w:rsid w:val="00F4467B"/>
    <w:rsid w:val="00F44B1F"/>
    <w:rsid w:val="00F45274"/>
    <w:rsid w:val="00F45412"/>
    <w:rsid w:val="00F46DC3"/>
    <w:rsid w:val="00F47731"/>
    <w:rsid w:val="00F47839"/>
    <w:rsid w:val="00F47A11"/>
    <w:rsid w:val="00F47D02"/>
    <w:rsid w:val="00F47F97"/>
    <w:rsid w:val="00F50953"/>
    <w:rsid w:val="00F50BDB"/>
    <w:rsid w:val="00F5124D"/>
    <w:rsid w:val="00F527DD"/>
    <w:rsid w:val="00F5298C"/>
    <w:rsid w:val="00F52F5E"/>
    <w:rsid w:val="00F53041"/>
    <w:rsid w:val="00F53BAF"/>
    <w:rsid w:val="00F53E37"/>
    <w:rsid w:val="00F54479"/>
    <w:rsid w:val="00F544A1"/>
    <w:rsid w:val="00F551A7"/>
    <w:rsid w:val="00F551CF"/>
    <w:rsid w:val="00F555A5"/>
    <w:rsid w:val="00F56914"/>
    <w:rsid w:val="00F56D90"/>
    <w:rsid w:val="00F57589"/>
    <w:rsid w:val="00F575E4"/>
    <w:rsid w:val="00F57C94"/>
    <w:rsid w:val="00F57D89"/>
    <w:rsid w:val="00F57E6A"/>
    <w:rsid w:val="00F57FEA"/>
    <w:rsid w:val="00F6004D"/>
    <w:rsid w:val="00F60658"/>
    <w:rsid w:val="00F60CD6"/>
    <w:rsid w:val="00F60FDB"/>
    <w:rsid w:val="00F61E2A"/>
    <w:rsid w:val="00F6247D"/>
    <w:rsid w:val="00F6261B"/>
    <w:rsid w:val="00F62803"/>
    <w:rsid w:val="00F62BA8"/>
    <w:rsid w:val="00F62CA0"/>
    <w:rsid w:val="00F62FFE"/>
    <w:rsid w:val="00F630DD"/>
    <w:rsid w:val="00F63B00"/>
    <w:rsid w:val="00F63E38"/>
    <w:rsid w:val="00F63F50"/>
    <w:rsid w:val="00F646C0"/>
    <w:rsid w:val="00F6569C"/>
    <w:rsid w:val="00F657C2"/>
    <w:rsid w:val="00F66AE6"/>
    <w:rsid w:val="00F66CB8"/>
    <w:rsid w:val="00F66D61"/>
    <w:rsid w:val="00F67416"/>
    <w:rsid w:val="00F67A7D"/>
    <w:rsid w:val="00F7163E"/>
    <w:rsid w:val="00F7277B"/>
    <w:rsid w:val="00F73353"/>
    <w:rsid w:val="00F73988"/>
    <w:rsid w:val="00F73CD6"/>
    <w:rsid w:val="00F741CC"/>
    <w:rsid w:val="00F748CD"/>
    <w:rsid w:val="00F74A1A"/>
    <w:rsid w:val="00F74B95"/>
    <w:rsid w:val="00F74C22"/>
    <w:rsid w:val="00F753D2"/>
    <w:rsid w:val="00F7551F"/>
    <w:rsid w:val="00F75B6C"/>
    <w:rsid w:val="00F75C54"/>
    <w:rsid w:val="00F761FE"/>
    <w:rsid w:val="00F76DF2"/>
    <w:rsid w:val="00F77037"/>
    <w:rsid w:val="00F77AF4"/>
    <w:rsid w:val="00F800CC"/>
    <w:rsid w:val="00F80254"/>
    <w:rsid w:val="00F80573"/>
    <w:rsid w:val="00F80A36"/>
    <w:rsid w:val="00F80D6E"/>
    <w:rsid w:val="00F814D9"/>
    <w:rsid w:val="00F81748"/>
    <w:rsid w:val="00F81E8F"/>
    <w:rsid w:val="00F8216C"/>
    <w:rsid w:val="00F8222E"/>
    <w:rsid w:val="00F82710"/>
    <w:rsid w:val="00F82781"/>
    <w:rsid w:val="00F82E9B"/>
    <w:rsid w:val="00F83409"/>
    <w:rsid w:val="00F8348A"/>
    <w:rsid w:val="00F83A7E"/>
    <w:rsid w:val="00F83EBB"/>
    <w:rsid w:val="00F83FB3"/>
    <w:rsid w:val="00F84580"/>
    <w:rsid w:val="00F8466E"/>
    <w:rsid w:val="00F85790"/>
    <w:rsid w:val="00F859D7"/>
    <w:rsid w:val="00F868AB"/>
    <w:rsid w:val="00F87327"/>
    <w:rsid w:val="00F87459"/>
    <w:rsid w:val="00F877CF"/>
    <w:rsid w:val="00F87D6D"/>
    <w:rsid w:val="00F87E04"/>
    <w:rsid w:val="00F902D3"/>
    <w:rsid w:val="00F9088D"/>
    <w:rsid w:val="00F90B0F"/>
    <w:rsid w:val="00F911C3"/>
    <w:rsid w:val="00F91B8C"/>
    <w:rsid w:val="00F91E27"/>
    <w:rsid w:val="00F92153"/>
    <w:rsid w:val="00F92850"/>
    <w:rsid w:val="00F928E8"/>
    <w:rsid w:val="00F92F2E"/>
    <w:rsid w:val="00F9327D"/>
    <w:rsid w:val="00F934AD"/>
    <w:rsid w:val="00F939D9"/>
    <w:rsid w:val="00F9417D"/>
    <w:rsid w:val="00F94F32"/>
    <w:rsid w:val="00F94F4F"/>
    <w:rsid w:val="00F9524F"/>
    <w:rsid w:val="00F9543B"/>
    <w:rsid w:val="00F95446"/>
    <w:rsid w:val="00F9598F"/>
    <w:rsid w:val="00F95A38"/>
    <w:rsid w:val="00F95D39"/>
    <w:rsid w:val="00F96AD1"/>
    <w:rsid w:val="00F97046"/>
    <w:rsid w:val="00F97257"/>
    <w:rsid w:val="00F975C6"/>
    <w:rsid w:val="00F97ABC"/>
    <w:rsid w:val="00F97DDF"/>
    <w:rsid w:val="00FA00F5"/>
    <w:rsid w:val="00FA0662"/>
    <w:rsid w:val="00FA0A31"/>
    <w:rsid w:val="00FA0C3E"/>
    <w:rsid w:val="00FA113A"/>
    <w:rsid w:val="00FA118D"/>
    <w:rsid w:val="00FA25E6"/>
    <w:rsid w:val="00FA2BB7"/>
    <w:rsid w:val="00FA2F71"/>
    <w:rsid w:val="00FA3029"/>
    <w:rsid w:val="00FA3851"/>
    <w:rsid w:val="00FA4032"/>
    <w:rsid w:val="00FA428A"/>
    <w:rsid w:val="00FA44AC"/>
    <w:rsid w:val="00FA4518"/>
    <w:rsid w:val="00FA5015"/>
    <w:rsid w:val="00FA54DD"/>
    <w:rsid w:val="00FA58A7"/>
    <w:rsid w:val="00FA6042"/>
    <w:rsid w:val="00FA7118"/>
    <w:rsid w:val="00FA7437"/>
    <w:rsid w:val="00FA756D"/>
    <w:rsid w:val="00FA7F24"/>
    <w:rsid w:val="00FB0135"/>
    <w:rsid w:val="00FB02CC"/>
    <w:rsid w:val="00FB034E"/>
    <w:rsid w:val="00FB05CA"/>
    <w:rsid w:val="00FB07B1"/>
    <w:rsid w:val="00FB0A00"/>
    <w:rsid w:val="00FB1473"/>
    <w:rsid w:val="00FB26E6"/>
    <w:rsid w:val="00FB2922"/>
    <w:rsid w:val="00FB29C0"/>
    <w:rsid w:val="00FB3A51"/>
    <w:rsid w:val="00FB497A"/>
    <w:rsid w:val="00FB4AE8"/>
    <w:rsid w:val="00FB5017"/>
    <w:rsid w:val="00FB5A0C"/>
    <w:rsid w:val="00FB6214"/>
    <w:rsid w:val="00FB62AE"/>
    <w:rsid w:val="00FB68DB"/>
    <w:rsid w:val="00FB751C"/>
    <w:rsid w:val="00FB7834"/>
    <w:rsid w:val="00FB7E53"/>
    <w:rsid w:val="00FC042C"/>
    <w:rsid w:val="00FC0A5F"/>
    <w:rsid w:val="00FC0E1B"/>
    <w:rsid w:val="00FC11FB"/>
    <w:rsid w:val="00FC1C4F"/>
    <w:rsid w:val="00FC214E"/>
    <w:rsid w:val="00FC25B7"/>
    <w:rsid w:val="00FC32FE"/>
    <w:rsid w:val="00FC3596"/>
    <w:rsid w:val="00FC3843"/>
    <w:rsid w:val="00FC3870"/>
    <w:rsid w:val="00FC3BA7"/>
    <w:rsid w:val="00FC434A"/>
    <w:rsid w:val="00FC4481"/>
    <w:rsid w:val="00FC52C6"/>
    <w:rsid w:val="00FC6114"/>
    <w:rsid w:val="00FC6406"/>
    <w:rsid w:val="00FC748C"/>
    <w:rsid w:val="00FD0273"/>
    <w:rsid w:val="00FD1239"/>
    <w:rsid w:val="00FD128A"/>
    <w:rsid w:val="00FD1FB4"/>
    <w:rsid w:val="00FD21E6"/>
    <w:rsid w:val="00FD2646"/>
    <w:rsid w:val="00FD2B92"/>
    <w:rsid w:val="00FD30CF"/>
    <w:rsid w:val="00FD364F"/>
    <w:rsid w:val="00FD366B"/>
    <w:rsid w:val="00FD37B3"/>
    <w:rsid w:val="00FD3A23"/>
    <w:rsid w:val="00FD3B7D"/>
    <w:rsid w:val="00FD403D"/>
    <w:rsid w:val="00FD4237"/>
    <w:rsid w:val="00FD4ACA"/>
    <w:rsid w:val="00FD4FF1"/>
    <w:rsid w:val="00FD640A"/>
    <w:rsid w:val="00FD65F4"/>
    <w:rsid w:val="00FD71E5"/>
    <w:rsid w:val="00FD77B6"/>
    <w:rsid w:val="00FD7998"/>
    <w:rsid w:val="00FE07AA"/>
    <w:rsid w:val="00FE0908"/>
    <w:rsid w:val="00FE0B1B"/>
    <w:rsid w:val="00FE0BCE"/>
    <w:rsid w:val="00FE0FAB"/>
    <w:rsid w:val="00FE140A"/>
    <w:rsid w:val="00FE1BE5"/>
    <w:rsid w:val="00FE1FF1"/>
    <w:rsid w:val="00FE2470"/>
    <w:rsid w:val="00FE2988"/>
    <w:rsid w:val="00FE2F03"/>
    <w:rsid w:val="00FE31D9"/>
    <w:rsid w:val="00FE387E"/>
    <w:rsid w:val="00FE3A25"/>
    <w:rsid w:val="00FE3D7A"/>
    <w:rsid w:val="00FE464B"/>
    <w:rsid w:val="00FE46AE"/>
    <w:rsid w:val="00FE4B6A"/>
    <w:rsid w:val="00FE5618"/>
    <w:rsid w:val="00FE56B4"/>
    <w:rsid w:val="00FE5C35"/>
    <w:rsid w:val="00FE5E3A"/>
    <w:rsid w:val="00FE62B2"/>
    <w:rsid w:val="00FE644E"/>
    <w:rsid w:val="00FE66C2"/>
    <w:rsid w:val="00FE6E4B"/>
    <w:rsid w:val="00FE7031"/>
    <w:rsid w:val="00FE76FD"/>
    <w:rsid w:val="00FE7A82"/>
    <w:rsid w:val="00FF0B4A"/>
    <w:rsid w:val="00FF0C76"/>
    <w:rsid w:val="00FF12F0"/>
    <w:rsid w:val="00FF1AEB"/>
    <w:rsid w:val="00FF1FF0"/>
    <w:rsid w:val="00FF22B6"/>
    <w:rsid w:val="00FF2B26"/>
    <w:rsid w:val="00FF32BE"/>
    <w:rsid w:val="00FF3AD6"/>
    <w:rsid w:val="00FF3E71"/>
    <w:rsid w:val="00FF3F2E"/>
    <w:rsid w:val="00FF424C"/>
    <w:rsid w:val="00FF51A0"/>
    <w:rsid w:val="00FF51C3"/>
    <w:rsid w:val="00FF5AC7"/>
    <w:rsid w:val="00FF5D3F"/>
    <w:rsid w:val="00FF616E"/>
    <w:rsid w:val="00FF7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1F"/>
    <w:rPr>
      <w:rFonts w:eastAsia="Times New Roman"/>
      <w:szCs w:val="20"/>
    </w:rPr>
  </w:style>
  <w:style w:type="paragraph" w:styleId="Heading1">
    <w:name w:val="heading 1"/>
    <w:basedOn w:val="Normal"/>
    <w:link w:val="Heading1Char"/>
    <w:uiPriority w:val="9"/>
    <w:qFormat/>
    <w:rsid w:val="001A1C1F"/>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unhideWhenUsed/>
    <w:qFormat/>
    <w:rsid w:val="00EA1B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D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C1F"/>
    <w:pPr>
      <w:tabs>
        <w:tab w:val="center" w:pos="4680"/>
        <w:tab w:val="right" w:pos="9360"/>
      </w:tabs>
    </w:pPr>
    <w:rPr>
      <w:rFonts w:eastAsiaTheme="minorHAnsi"/>
      <w:szCs w:val="24"/>
    </w:rPr>
  </w:style>
  <w:style w:type="character" w:customStyle="1" w:styleId="HeaderChar">
    <w:name w:val="Header Char"/>
    <w:basedOn w:val="DefaultParagraphFont"/>
    <w:link w:val="Header"/>
    <w:uiPriority w:val="99"/>
    <w:rsid w:val="001A1C1F"/>
  </w:style>
  <w:style w:type="paragraph" w:styleId="Footer">
    <w:name w:val="footer"/>
    <w:basedOn w:val="Normal"/>
    <w:link w:val="FooterChar"/>
    <w:uiPriority w:val="99"/>
    <w:unhideWhenUsed/>
    <w:rsid w:val="001A1C1F"/>
    <w:pPr>
      <w:tabs>
        <w:tab w:val="center" w:pos="4680"/>
        <w:tab w:val="right" w:pos="9360"/>
      </w:tabs>
    </w:pPr>
    <w:rPr>
      <w:rFonts w:eastAsiaTheme="minorHAnsi"/>
      <w:szCs w:val="24"/>
    </w:rPr>
  </w:style>
  <w:style w:type="character" w:customStyle="1" w:styleId="FooterChar">
    <w:name w:val="Footer Char"/>
    <w:basedOn w:val="DefaultParagraphFont"/>
    <w:link w:val="Footer"/>
    <w:uiPriority w:val="99"/>
    <w:rsid w:val="001A1C1F"/>
  </w:style>
  <w:style w:type="character" w:styleId="PageNumber">
    <w:name w:val="page number"/>
    <w:basedOn w:val="DefaultParagraphFont"/>
    <w:rsid w:val="001A1C1F"/>
  </w:style>
  <w:style w:type="character" w:customStyle="1" w:styleId="title1">
    <w:name w:val="title1"/>
    <w:basedOn w:val="DefaultParagraphFont"/>
    <w:rsid w:val="001A1C1F"/>
    <w:rPr>
      <w:rFonts w:ascii="Arial" w:hAnsi="Arial" w:cs="Arial" w:hint="default"/>
      <w:b/>
      <w:bCs/>
      <w:color w:val="000000"/>
      <w:sz w:val="24"/>
      <w:szCs w:val="24"/>
    </w:rPr>
  </w:style>
  <w:style w:type="character" w:customStyle="1" w:styleId="Heading1Char">
    <w:name w:val="Heading 1 Char"/>
    <w:basedOn w:val="DefaultParagraphFont"/>
    <w:link w:val="Heading1"/>
    <w:uiPriority w:val="9"/>
    <w:rsid w:val="001A1C1F"/>
    <w:rPr>
      <w:rFonts w:eastAsia="Times New Roman"/>
      <w:b/>
      <w:bCs/>
      <w:kern w:val="36"/>
      <w:sz w:val="48"/>
      <w:szCs w:val="48"/>
      <w:lang w:bidi="he-IL"/>
    </w:rPr>
  </w:style>
  <w:style w:type="character" w:styleId="FootnoteReference">
    <w:name w:val="footnote reference"/>
    <w:semiHidden/>
    <w:rsid w:val="001A1C1F"/>
    <w:rPr>
      <w:vertAlign w:val="superscript"/>
    </w:rPr>
  </w:style>
  <w:style w:type="character" w:styleId="Hyperlink">
    <w:name w:val="Hyperlink"/>
    <w:basedOn w:val="DefaultParagraphFont"/>
    <w:uiPriority w:val="99"/>
    <w:unhideWhenUsed/>
    <w:rsid w:val="009F5985"/>
    <w:rPr>
      <w:color w:val="0000FF" w:themeColor="hyperlink"/>
      <w:u w:val="single"/>
    </w:rPr>
  </w:style>
  <w:style w:type="character" w:customStyle="1" w:styleId="Heading3Char">
    <w:name w:val="Heading 3 Char"/>
    <w:basedOn w:val="DefaultParagraphFont"/>
    <w:link w:val="Heading3"/>
    <w:uiPriority w:val="9"/>
    <w:rsid w:val="00E12D37"/>
    <w:rPr>
      <w:rFonts w:asciiTheme="majorHAnsi" w:eastAsiaTheme="majorEastAsia" w:hAnsiTheme="majorHAnsi" w:cstheme="majorBidi"/>
      <w:b/>
      <w:bCs/>
      <w:color w:val="4F81BD" w:themeColor="accent1"/>
      <w:szCs w:val="20"/>
    </w:rPr>
  </w:style>
  <w:style w:type="character" w:customStyle="1" w:styleId="verdana">
    <w:name w:val="verdana"/>
    <w:basedOn w:val="DefaultParagraphFont"/>
    <w:rsid w:val="00A45D9D"/>
  </w:style>
  <w:style w:type="paragraph" w:customStyle="1" w:styleId="Default">
    <w:name w:val="Default"/>
    <w:rsid w:val="009D1DD5"/>
    <w:pPr>
      <w:autoSpaceDE w:val="0"/>
      <w:autoSpaceDN w:val="0"/>
      <w:adjustRightInd w:val="0"/>
    </w:pPr>
    <w:rPr>
      <w:rFonts w:ascii="Arial" w:hAnsi="Arial" w:cs="Arial"/>
      <w:color w:val="000000"/>
      <w:lang w:bidi="he-IL"/>
    </w:rPr>
  </w:style>
  <w:style w:type="character" w:customStyle="1" w:styleId="tgc">
    <w:name w:val="_tgc"/>
    <w:basedOn w:val="DefaultParagraphFont"/>
    <w:rsid w:val="002E15C6"/>
  </w:style>
  <w:style w:type="character" w:customStyle="1" w:styleId="Title10">
    <w:name w:val="Title1"/>
    <w:basedOn w:val="DefaultParagraphFont"/>
    <w:rsid w:val="00310DB8"/>
  </w:style>
  <w:style w:type="character" w:customStyle="1" w:styleId="citation-publication">
    <w:name w:val="citation-publication"/>
    <w:basedOn w:val="DefaultParagraphFont"/>
    <w:rsid w:val="00310DB8"/>
  </w:style>
  <w:style w:type="character" w:customStyle="1" w:styleId="definition">
    <w:name w:val="definition"/>
    <w:basedOn w:val="DefaultParagraphFont"/>
    <w:rsid w:val="00310DB8"/>
  </w:style>
  <w:style w:type="character" w:customStyle="1" w:styleId="pub-link">
    <w:name w:val="pub-link"/>
    <w:basedOn w:val="DefaultParagraphFont"/>
    <w:rsid w:val="00310DB8"/>
  </w:style>
  <w:style w:type="character" w:customStyle="1" w:styleId="Heading2Char">
    <w:name w:val="Heading 2 Char"/>
    <w:basedOn w:val="DefaultParagraphFont"/>
    <w:link w:val="Heading2"/>
    <w:uiPriority w:val="9"/>
    <w:rsid w:val="00EA1BDB"/>
    <w:rPr>
      <w:rFonts w:asciiTheme="majorHAnsi" w:eastAsiaTheme="majorEastAsia" w:hAnsiTheme="majorHAnsi" w:cstheme="majorBidi"/>
      <w:b/>
      <w:bCs/>
      <w:color w:val="4F81BD" w:themeColor="accent1"/>
      <w:sz w:val="26"/>
      <w:szCs w:val="26"/>
    </w:rPr>
  </w:style>
  <w:style w:type="character" w:customStyle="1" w:styleId="italic">
    <w:name w:val="italic"/>
    <w:basedOn w:val="DefaultParagraphFont"/>
    <w:rsid w:val="000529DE"/>
  </w:style>
  <w:style w:type="character" w:customStyle="1" w:styleId="hit">
    <w:name w:val="hit"/>
    <w:basedOn w:val="DefaultParagraphFont"/>
    <w:rsid w:val="00182FC5"/>
  </w:style>
  <w:style w:type="character" w:customStyle="1" w:styleId="titleauthoretc">
    <w:name w:val="titleauthoretc"/>
    <w:basedOn w:val="DefaultParagraphFont"/>
    <w:rsid w:val="009E777F"/>
  </w:style>
  <w:style w:type="paragraph" w:styleId="BalloonText">
    <w:name w:val="Balloon Text"/>
    <w:basedOn w:val="Normal"/>
    <w:link w:val="BalloonTextChar"/>
    <w:uiPriority w:val="99"/>
    <w:semiHidden/>
    <w:unhideWhenUsed/>
    <w:rsid w:val="007201CA"/>
    <w:rPr>
      <w:rFonts w:ascii="Tahoma" w:hAnsi="Tahoma" w:cs="Tahoma"/>
      <w:sz w:val="16"/>
      <w:szCs w:val="16"/>
    </w:rPr>
  </w:style>
  <w:style w:type="character" w:customStyle="1" w:styleId="BalloonTextChar">
    <w:name w:val="Balloon Text Char"/>
    <w:basedOn w:val="DefaultParagraphFont"/>
    <w:link w:val="BalloonText"/>
    <w:uiPriority w:val="99"/>
    <w:semiHidden/>
    <w:rsid w:val="007201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1F"/>
    <w:rPr>
      <w:rFonts w:eastAsia="Times New Roman"/>
      <w:szCs w:val="20"/>
    </w:rPr>
  </w:style>
  <w:style w:type="paragraph" w:styleId="Heading1">
    <w:name w:val="heading 1"/>
    <w:basedOn w:val="Normal"/>
    <w:link w:val="Heading1Char"/>
    <w:uiPriority w:val="9"/>
    <w:qFormat/>
    <w:rsid w:val="001A1C1F"/>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unhideWhenUsed/>
    <w:qFormat/>
    <w:rsid w:val="00EA1B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D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C1F"/>
    <w:pPr>
      <w:tabs>
        <w:tab w:val="center" w:pos="4680"/>
        <w:tab w:val="right" w:pos="9360"/>
      </w:tabs>
    </w:pPr>
    <w:rPr>
      <w:rFonts w:eastAsiaTheme="minorHAnsi"/>
      <w:szCs w:val="24"/>
    </w:rPr>
  </w:style>
  <w:style w:type="character" w:customStyle="1" w:styleId="HeaderChar">
    <w:name w:val="Header Char"/>
    <w:basedOn w:val="DefaultParagraphFont"/>
    <w:link w:val="Header"/>
    <w:uiPriority w:val="99"/>
    <w:rsid w:val="001A1C1F"/>
  </w:style>
  <w:style w:type="paragraph" w:styleId="Footer">
    <w:name w:val="footer"/>
    <w:basedOn w:val="Normal"/>
    <w:link w:val="FooterChar"/>
    <w:uiPriority w:val="99"/>
    <w:unhideWhenUsed/>
    <w:rsid w:val="001A1C1F"/>
    <w:pPr>
      <w:tabs>
        <w:tab w:val="center" w:pos="4680"/>
        <w:tab w:val="right" w:pos="9360"/>
      </w:tabs>
    </w:pPr>
    <w:rPr>
      <w:rFonts w:eastAsiaTheme="minorHAnsi"/>
      <w:szCs w:val="24"/>
    </w:rPr>
  </w:style>
  <w:style w:type="character" w:customStyle="1" w:styleId="FooterChar">
    <w:name w:val="Footer Char"/>
    <w:basedOn w:val="DefaultParagraphFont"/>
    <w:link w:val="Footer"/>
    <w:uiPriority w:val="99"/>
    <w:rsid w:val="001A1C1F"/>
  </w:style>
  <w:style w:type="character" w:styleId="PageNumber">
    <w:name w:val="page number"/>
    <w:basedOn w:val="DefaultParagraphFont"/>
    <w:rsid w:val="001A1C1F"/>
  </w:style>
  <w:style w:type="character" w:customStyle="1" w:styleId="title1">
    <w:name w:val="title1"/>
    <w:basedOn w:val="DefaultParagraphFont"/>
    <w:rsid w:val="001A1C1F"/>
    <w:rPr>
      <w:rFonts w:ascii="Arial" w:hAnsi="Arial" w:cs="Arial" w:hint="default"/>
      <w:b/>
      <w:bCs/>
      <w:color w:val="000000"/>
      <w:sz w:val="24"/>
      <w:szCs w:val="24"/>
    </w:rPr>
  </w:style>
  <w:style w:type="character" w:customStyle="1" w:styleId="Heading1Char">
    <w:name w:val="Heading 1 Char"/>
    <w:basedOn w:val="DefaultParagraphFont"/>
    <w:link w:val="Heading1"/>
    <w:uiPriority w:val="9"/>
    <w:rsid w:val="001A1C1F"/>
    <w:rPr>
      <w:rFonts w:eastAsia="Times New Roman"/>
      <w:b/>
      <w:bCs/>
      <w:kern w:val="36"/>
      <w:sz w:val="48"/>
      <w:szCs w:val="48"/>
      <w:lang w:bidi="he-IL"/>
    </w:rPr>
  </w:style>
  <w:style w:type="character" w:styleId="FootnoteReference">
    <w:name w:val="footnote reference"/>
    <w:semiHidden/>
    <w:rsid w:val="001A1C1F"/>
    <w:rPr>
      <w:vertAlign w:val="superscript"/>
    </w:rPr>
  </w:style>
  <w:style w:type="character" w:styleId="Hyperlink">
    <w:name w:val="Hyperlink"/>
    <w:basedOn w:val="DefaultParagraphFont"/>
    <w:uiPriority w:val="99"/>
    <w:unhideWhenUsed/>
    <w:rsid w:val="009F5985"/>
    <w:rPr>
      <w:color w:val="0000FF" w:themeColor="hyperlink"/>
      <w:u w:val="single"/>
    </w:rPr>
  </w:style>
  <w:style w:type="character" w:customStyle="1" w:styleId="Heading3Char">
    <w:name w:val="Heading 3 Char"/>
    <w:basedOn w:val="DefaultParagraphFont"/>
    <w:link w:val="Heading3"/>
    <w:uiPriority w:val="9"/>
    <w:rsid w:val="00E12D37"/>
    <w:rPr>
      <w:rFonts w:asciiTheme="majorHAnsi" w:eastAsiaTheme="majorEastAsia" w:hAnsiTheme="majorHAnsi" w:cstheme="majorBidi"/>
      <w:b/>
      <w:bCs/>
      <w:color w:val="4F81BD" w:themeColor="accent1"/>
      <w:szCs w:val="20"/>
    </w:rPr>
  </w:style>
  <w:style w:type="character" w:customStyle="1" w:styleId="verdana">
    <w:name w:val="verdana"/>
    <w:basedOn w:val="DefaultParagraphFont"/>
    <w:rsid w:val="00A45D9D"/>
  </w:style>
  <w:style w:type="paragraph" w:customStyle="1" w:styleId="Default">
    <w:name w:val="Default"/>
    <w:rsid w:val="009D1DD5"/>
    <w:pPr>
      <w:autoSpaceDE w:val="0"/>
      <w:autoSpaceDN w:val="0"/>
      <w:adjustRightInd w:val="0"/>
    </w:pPr>
    <w:rPr>
      <w:rFonts w:ascii="Arial" w:hAnsi="Arial" w:cs="Arial"/>
      <w:color w:val="000000"/>
      <w:lang w:bidi="he-IL"/>
    </w:rPr>
  </w:style>
  <w:style w:type="character" w:customStyle="1" w:styleId="tgc">
    <w:name w:val="_tgc"/>
    <w:basedOn w:val="DefaultParagraphFont"/>
    <w:rsid w:val="002E15C6"/>
  </w:style>
  <w:style w:type="character" w:customStyle="1" w:styleId="Title10">
    <w:name w:val="Title1"/>
    <w:basedOn w:val="DefaultParagraphFont"/>
    <w:rsid w:val="00310DB8"/>
  </w:style>
  <w:style w:type="character" w:customStyle="1" w:styleId="citation-publication">
    <w:name w:val="citation-publication"/>
    <w:basedOn w:val="DefaultParagraphFont"/>
    <w:rsid w:val="00310DB8"/>
  </w:style>
  <w:style w:type="character" w:customStyle="1" w:styleId="definition">
    <w:name w:val="definition"/>
    <w:basedOn w:val="DefaultParagraphFont"/>
    <w:rsid w:val="00310DB8"/>
  </w:style>
  <w:style w:type="character" w:customStyle="1" w:styleId="pub-link">
    <w:name w:val="pub-link"/>
    <w:basedOn w:val="DefaultParagraphFont"/>
    <w:rsid w:val="00310DB8"/>
  </w:style>
  <w:style w:type="character" w:customStyle="1" w:styleId="Heading2Char">
    <w:name w:val="Heading 2 Char"/>
    <w:basedOn w:val="DefaultParagraphFont"/>
    <w:link w:val="Heading2"/>
    <w:uiPriority w:val="9"/>
    <w:rsid w:val="00EA1BDB"/>
    <w:rPr>
      <w:rFonts w:asciiTheme="majorHAnsi" w:eastAsiaTheme="majorEastAsia" w:hAnsiTheme="majorHAnsi" w:cstheme="majorBidi"/>
      <w:b/>
      <w:bCs/>
      <w:color w:val="4F81BD" w:themeColor="accent1"/>
      <w:sz w:val="26"/>
      <w:szCs w:val="26"/>
    </w:rPr>
  </w:style>
  <w:style w:type="character" w:customStyle="1" w:styleId="italic">
    <w:name w:val="italic"/>
    <w:basedOn w:val="DefaultParagraphFont"/>
    <w:rsid w:val="000529DE"/>
  </w:style>
  <w:style w:type="character" w:customStyle="1" w:styleId="hit">
    <w:name w:val="hit"/>
    <w:basedOn w:val="DefaultParagraphFont"/>
    <w:rsid w:val="00182FC5"/>
  </w:style>
  <w:style w:type="character" w:customStyle="1" w:styleId="titleauthoretc">
    <w:name w:val="titleauthoretc"/>
    <w:basedOn w:val="DefaultParagraphFont"/>
    <w:rsid w:val="009E777F"/>
  </w:style>
  <w:style w:type="paragraph" w:styleId="BalloonText">
    <w:name w:val="Balloon Text"/>
    <w:basedOn w:val="Normal"/>
    <w:link w:val="BalloonTextChar"/>
    <w:uiPriority w:val="99"/>
    <w:semiHidden/>
    <w:unhideWhenUsed/>
    <w:rsid w:val="007201CA"/>
    <w:rPr>
      <w:rFonts w:ascii="Tahoma" w:hAnsi="Tahoma" w:cs="Tahoma"/>
      <w:sz w:val="16"/>
      <w:szCs w:val="16"/>
    </w:rPr>
  </w:style>
  <w:style w:type="character" w:customStyle="1" w:styleId="BalloonTextChar">
    <w:name w:val="Balloon Text Char"/>
    <w:basedOn w:val="DefaultParagraphFont"/>
    <w:link w:val="BalloonText"/>
    <w:uiPriority w:val="99"/>
    <w:semiHidden/>
    <w:rsid w:val="007201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4794">
      <w:bodyDiv w:val="1"/>
      <w:marLeft w:val="0"/>
      <w:marRight w:val="0"/>
      <w:marTop w:val="0"/>
      <w:marBottom w:val="0"/>
      <w:divBdr>
        <w:top w:val="none" w:sz="0" w:space="0" w:color="auto"/>
        <w:left w:val="none" w:sz="0" w:space="0" w:color="auto"/>
        <w:bottom w:val="none" w:sz="0" w:space="0" w:color="auto"/>
        <w:right w:val="none" w:sz="0" w:space="0" w:color="auto"/>
      </w:divBdr>
    </w:div>
    <w:div w:id="717822239">
      <w:bodyDiv w:val="1"/>
      <w:marLeft w:val="0"/>
      <w:marRight w:val="0"/>
      <w:marTop w:val="0"/>
      <w:marBottom w:val="0"/>
      <w:divBdr>
        <w:top w:val="none" w:sz="0" w:space="0" w:color="auto"/>
        <w:left w:val="none" w:sz="0" w:space="0" w:color="auto"/>
        <w:bottom w:val="none" w:sz="0" w:space="0" w:color="auto"/>
        <w:right w:val="none" w:sz="0" w:space="0" w:color="auto"/>
      </w:divBdr>
    </w:div>
    <w:div w:id="1112285855">
      <w:bodyDiv w:val="1"/>
      <w:marLeft w:val="0"/>
      <w:marRight w:val="0"/>
      <w:marTop w:val="0"/>
      <w:marBottom w:val="0"/>
      <w:divBdr>
        <w:top w:val="none" w:sz="0" w:space="0" w:color="auto"/>
        <w:left w:val="none" w:sz="0" w:space="0" w:color="auto"/>
        <w:bottom w:val="none" w:sz="0" w:space="0" w:color="auto"/>
        <w:right w:val="none" w:sz="0" w:space="0" w:color="auto"/>
      </w:divBdr>
    </w:div>
    <w:div w:id="1311054250">
      <w:bodyDiv w:val="1"/>
      <w:marLeft w:val="0"/>
      <w:marRight w:val="0"/>
      <w:marTop w:val="0"/>
      <w:marBottom w:val="0"/>
      <w:divBdr>
        <w:top w:val="none" w:sz="0" w:space="0" w:color="auto"/>
        <w:left w:val="none" w:sz="0" w:space="0" w:color="auto"/>
        <w:bottom w:val="none" w:sz="0" w:space="0" w:color="auto"/>
        <w:right w:val="none" w:sz="0" w:space="0" w:color="auto"/>
      </w:divBdr>
      <w:divsChild>
        <w:div w:id="695235968">
          <w:marLeft w:val="0"/>
          <w:marRight w:val="0"/>
          <w:marTop w:val="0"/>
          <w:marBottom w:val="0"/>
          <w:divBdr>
            <w:top w:val="none" w:sz="0" w:space="0" w:color="auto"/>
            <w:left w:val="none" w:sz="0" w:space="0" w:color="auto"/>
            <w:bottom w:val="none" w:sz="0" w:space="0" w:color="auto"/>
            <w:right w:val="none" w:sz="0" w:space="0" w:color="auto"/>
          </w:divBdr>
        </w:div>
        <w:div w:id="1338313510">
          <w:marLeft w:val="0"/>
          <w:marRight w:val="0"/>
          <w:marTop w:val="0"/>
          <w:marBottom w:val="0"/>
          <w:divBdr>
            <w:top w:val="none" w:sz="0" w:space="0" w:color="auto"/>
            <w:left w:val="none" w:sz="0" w:space="0" w:color="auto"/>
            <w:bottom w:val="none" w:sz="0" w:space="0" w:color="auto"/>
            <w:right w:val="none" w:sz="0" w:space="0" w:color="auto"/>
          </w:divBdr>
        </w:div>
      </w:divsChild>
    </w:div>
    <w:div w:id="17841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americanthinker.com/blog/2016/11/in_defense_of_trumps_nondisclosure_of_his_tax_returns.html" TargetMode="External"/><Relationship Id="rId13" Type="http://schemas.openxmlformats.org/officeDocument/2006/relationships/hyperlink" Target="https://taxpayeradvocate.irs.gov/Media/Default/Documents/2016-ARC/ARC16_Volume1.pdf" TargetMode="External"/><Relationship Id="rId3" Type="http://schemas.openxmlformats.org/officeDocument/2006/relationships/hyperlink" Target="http://www.gao.gov/assets/680/677406.pdf" TargetMode="External"/><Relationship Id="rId7" Type="http://schemas.openxmlformats.org/officeDocument/2006/relationships/hyperlink" Target="http://financialservices.house.gov/media/pdf/020404rp.pdf" TargetMode="External"/><Relationship Id="rId12" Type="http://schemas.openxmlformats.org/officeDocument/2006/relationships/hyperlink" Target="http://www.dod.mil/dodgc/doha/industrial/02-10280.h1.html" TargetMode="External"/><Relationship Id="rId2" Type="http://schemas.openxmlformats.org/officeDocument/2006/relationships/hyperlink" Target="https://www.justice.gov/usao-mn/pr/former-united-states-tax-court-judge-pleads-guilty-conspiring-defraud-irs-450000-taxes" TargetMode="External"/><Relationship Id="rId1" Type="http://schemas.openxmlformats.org/officeDocument/2006/relationships/hyperlink" Target="http://www.treasury.gov.au/ConsultationsandReviews/Consultations/2016/Review-of-whistleblower-protections" TargetMode="External"/><Relationship Id="rId6" Type="http://schemas.openxmlformats.org/officeDocument/2006/relationships/hyperlink" Target="https://www.whitehouse.gov/sites/default/files/omb/memoranda/2017/m-17-12.pdf" TargetMode="External"/><Relationship Id="rId11" Type="http://schemas.openxmlformats.org/officeDocument/2006/relationships/hyperlink" Target="https://ustaxcourt.gov/UstcDockInq/DocumentViewer.aspx?IndexID=7034535" TargetMode="External"/><Relationship Id="rId5" Type="http://schemas.openxmlformats.org/officeDocument/2006/relationships/hyperlink" Target="https://www.irs.gov/pub/irs-wd/1303016.pdf" TargetMode="External"/><Relationship Id="rId10" Type="http://schemas.openxmlformats.org/officeDocument/2006/relationships/hyperlink" Target="https://www.irs.gov/pub/whistleblower/fy16_wo_annual_report_final.pdf" TargetMode="External"/><Relationship Id="rId4" Type="http://schemas.openxmlformats.org/officeDocument/2006/relationships/hyperlink" Target="%20https:/www.irs.gov/uac/newsroom/how-new-identity-security-changes-may-affect-taxpayers-for-2016" TargetMode="External"/><Relationship Id="rId9" Type="http://schemas.openxmlformats.org/officeDocument/2006/relationships/hyperlink" Target="https://www.irs.gov/pub/whistleblower/fy16_wo_annual_report_final.pdf" TargetMode="External"/><Relationship Id="rId14" Type="http://schemas.openxmlformats.org/officeDocument/2006/relationships/hyperlink" Target="https://www.irs.gov/pub/whistleblower/fy16_wo_annual_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2017MG-90-17065</_dlc_DocId>
    <TaxCatchAll xmlns="d4dd4adf-ddb3-46a3-8d7c-fab3fb2a6bc7">
      <Value>2</Value>
    </TaxCatchAll>
    <_dlc_DocIdUrl xmlns="d4dd4adf-ddb3-46a3-8d7c-fab3fb2a6bc7">
      <Url>http://tweb/sites/mg/fsd/_layouts/15/DocIdRedir.aspx?ID=2017MG-90-17065</Url>
      <Description>2017MG-90-17065</Description>
    </_dlc_DocIdUrl>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D1B3A-598C-4069-A367-3DF05387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56ADB-8089-4305-ACF2-682EA555F0EA}">
  <ds:schemaRefs>
    <ds:schemaRef ds:uri="http://schemas.microsoft.com/sharepoint/events"/>
  </ds:schemaRefs>
</ds:datastoreItem>
</file>

<file path=customXml/itemProps3.xml><?xml version="1.0" encoding="utf-8"?>
<ds:datastoreItem xmlns:ds="http://schemas.openxmlformats.org/officeDocument/2006/customXml" ds:itemID="{05D16876-12B6-45AC-931D-B7F83C125285}">
  <ds:schemaRefs>
    <ds:schemaRef ds:uri="office.server.policy"/>
  </ds:schemaRefs>
</ds:datastoreItem>
</file>

<file path=customXml/itemProps4.xml><?xml version="1.0" encoding="utf-8"?>
<ds:datastoreItem xmlns:ds="http://schemas.openxmlformats.org/officeDocument/2006/customXml" ds:itemID="{E38A3EF5-2EAC-46E1-ABEF-BB73E6935457}">
  <ds:schemaRefs>
    <ds:schemaRef ds:uri="http://schemas.microsoft.com/sharepoint/events"/>
  </ds:schemaRefs>
</ds:datastoreItem>
</file>

<file path=customXml/itemProps5.xml><?xml version="1.0" encoding="utf-8"?>
<ds:datastoreItem xmlns:ds="http://schemas.openxmlformats.org/officeDocument/2006/customXml" ds:itemID="{C191666E-ECD2-452E-A682-F70A5E010D8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6.xml><?xml version="1.0" encoding="utf-8"?>
<ds:datastoreItem xmlns:ds="http://schemas.openxmlformats.org/officeDocument/2006/customXml" ds:itemID="{7C2B24C2-A57D-4373-B486-956D7DB34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2482</Words>
  <Characters>13939</Characters>
  <Application>Microsoft Office Word</Application>
  <DocSecurity>0</DocSecurity>
  <Lines>318</Lines>
  <Paragraphs>63</Paragraphs>
  <ScaleCrop>false</ScaleCrop>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Ryesky, Kenneth  - Submission in response to: Review of tax and corporate whistleblower protections in Australia</dc:title>
  <dc:creator/>
  <cp:lastModifiedBy/>
  <cp:revision>1</cp:revision>
  <dcterms:created xsi:type="dcterms:W3CDTF">2017-10-06T04:31:00Z</dcterms:created>
  <dcterms:modified xsi:type="dcterms:W3CDTF">2017-10-06T04:31:00Z</dcterms:modified>
  <dc:language>English</dc:language>
</cp:coreProperties>
</file>