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8002F" w14:textId="77777777" w:rsidR="00042EF5" w:rsidRDefault="00907262" w:rsidP="00B26635">
      <w:pPr>
        <w:rPr>
          <w:rFonts w:ascii="Garamond" w:hAnsi="Garamond"/>
          <w:sz w:val="22"/>
          <w:szCs w:val="22"/>
        </w:rPr>
      </w:pPr>
      <w:bookmarkStart w:id="0" w:name="_GoBack"/>
      <w:bookmarkEnd w:id="0"/>
      <w:r>
        <w:rPr>
          <w:rFonts w:ascii="Garamond" w:hAnsi="Garamond"/>
          <w:sz w:val="22"/>
          <w:szCs w:val="22"/>
        </w:rPr>
        <w:t>Submission to Australia’s Tax Discussion</w:t>
      </w:r>
    </w:p>
    <w:p w14:paraId="5C9BCDFC" w14:textId="77777777" w:rsidR="00907262" w:rsidRDefault="00907262" w:rsidP="00B26635">
      <w:pPr>
        <w:rPr>
          <w:rFonts w:ascii="Garamond" w:hAnsi="Garamond"/>
          <w:sz w:val="22"/>
          <w:szCs w:val="22"/>
        </w:rPr>
      </w:pPr>
    </w:p>
    <w:p w14:paraId="603A1E40" w14:textId="77777777" w:rsidR="00907262" w:rsidRDefault="00907262" w:rsidP="00B26635">
      <w:pPr>
        <w:rPr>
          <w:rFonts w:ascii="Garamond" w:hAnsi="Garamond"/>
          <w:sz w:val="22"/>
          <w:szCs w:val="22"/>
        </w:rPr>
      </w:pPr>
      <w:r>
        <w:rPr>
          <w:rFonts w:ascii="Garamond" w:hAnsi="Garamond"/>
          <w:sz w:val="22"/>
          <w:szCs w:val="22"/>
        </w:rPr>
        <w:t>5 May 2015</w:t>
      </w:r>
    </w:p>
    <w:p w14:paraId="30A7780F" w14:textId="77777777" w:rsidR="00907262" w:rsidRDefault="00907262" w:rsidP="00B26635">
      <w:pPr>
        <w:rPr>
          <w:rFonts w:ascii="Garamond" w:hAnsi="Garamond"/>
          <w:sz w:val="22"/>
          <w:szCs w:val="22"/>
        </w:rPr>
      </w:pPr>
    </w:p>
    <w:p w14:paraId="23B5A620" w14:textId="77777777" w:rsidR="00907262" w:rsidRDefault="00907262" w:rsidP="00B26635">
      <w:pPr>
        <w:rPr>
          <w:rFonts w:ascii="Garamond" w:hAnsi="Garamond"/>
          <w:sz w:val="22"/>
          <w:szCs w:val="22"/>
        </w:rPr>
      </w:pPr>
    </w:p>
    <w:p w14:paraId="0AB2E8D4" w14:textId="77777777" w:rsidR="00907262" w:rsidRDefault="00907262" w:rsidP="00B26635">
      <w:pPr>
        <w:rPr>
          <w:rFonts w:ascii="Garamond" w:hAnsi="Garamond"/>
          <w:b/>
          <w:sz w:val="28"/>
          <w:szCs w:val="28"/>
        </w:rPr>
      </w:pPr>
      <w:r w:rsidRPr="00907262">
        <w:rPr>
          <w:rFonts w:ascii="Garamond" w:hAnsi="Garamond"/>
          <w:b/>
          <w:sz w:val="28"/>
          <w:szCs w:val="28"/>
        </w:rPr>
        <w:t>Estate Tax (‘Death Duties’) - Why Not?</w:t>
      </w:r>
    </w:p>
    <w:p w14:paraId="0C9AC045" w14:textId="77777777" w:rsidR="002F40F0" w:rsidRDefault="002F40F0" w:rsidP="00B26635">
      <w:pPr>
        <w:rPr>
          <w:rFonts w:ascii="Garamond" w:hAnsi="Garamond"/>
          <w:b/>
          <w:sz w:val="28"/>
          <w:szCs w:val="28"/>
        </w:rPr>
      </w:pPr>
    </w:p>
    <w:p w14:paraId="27CED3D6" w14:textId="77777777" w:rsidR="002F40F0" w:rsidRPr="00907262" w:rsidRDefault="002F40F0" w:rsidP="00B26635">
      <w:pPr>
        <w:rPr>
          <w:rFonts w:ascii="Garamond" w:hAnsi="Garamond"/>
          <w:b/>
          <w:sz w:val="28"/>
          <w:szCs w:val="28"/>
        </w:rPr>
      </w:pPr>
      <w:r>
        <w:rPr>
          <w:rFonts w:ascii="Garamond" w:hAnsi="Garamond"/>
          <w:b/>
          <w:sz w:val="28"/>
          <w:szCs w:val="28"/>
        </w:rPr>
        <w:t>Commending the Australia Institute report</w:t>
      </w:r>
    </w:p>
    <w:p w14:paraId="44A17822" w14:textId="77777777" w:rsidR="00C36999" w:rsidRDefault="00C36999" w:rsidP="00B26635">
      <w:pPr>
        <w:rPr>
          <w:rFonts w:ascii="Garamond" w:hAnsi="Garamond"/>
          <w:sz w:val="22"/>
          <w:szCs w:val="22"/>
        </w:rPr>
      </w:pPr>
    </w:p>
    <w:p w14:paraId="018A7D75" w14:textId="77777777" w:rsidR="00907262" w:rsidRDefault="00907262" w:rsidP="00B26635">
      <w:pPr>
        <w:rPr>
          <w:rFonts w:ascii="Garamond" w:hAnsi="Garamond"/>
          <w:sz w:val="22"/>
          <w:szCs w:val="22"/>
        </w:rPr>
      </w:pPr>
    </w:p>
    <w:p w14:paraId="38FBA175" w14:textId="77777777" w:rsidR="00FF7884" w:rsidRDefault="00FF7884" w:rsidP="00B26635">
      <w:pPr>
        <w:rPr>
          <w:rFonts w:ascii="Garamond" w:hAnsi="Garamond"/>
          <w:sz w:val="22"/>
          <w:szCs w:val="22"/>
        </w:rPr>
      </w:pPr>
    </w:p>
    <w:p w14:paraId="286DE8F0" w14:textId="77777777" w:rsidR="00FF7884" w:rsidRDefault="00FF7884" w:rsidP="00B26635">
      <w:pPr>
        <w:rPr>
          <w:rFonts w:ascii="Garamond" w:hAnsi="Garamond"/>
          <w:sz w:val="22"/>
          <w:szCs w:val="22"/>
        </w:rPr>
      </w:pPr>
    </w:p>
    <w:p w14:paraId="1B8DFF8E" w14:textId="77777777" w:rsidR="002F40F0" w:rsidRPr="002F40F0" w:rsidRDefault="002F40F0" w:rsidP="002F40F0">
      <w:pPr>
        <w:pStyle w:val="ListParagraph"/>
        <w:numPr>
          <w:ilvl w:val="0"/>
          <w:numId w:val="19"/>
        </w:numPr>
        <w:rPr>
          <w:rFonts w:ascii="Garamond" w:hAnsi="Garamond"/>
          <w:b/>
          <w:sz w:val="24"/>
          <w:szCs w:val="24"/>
        </w:rPr>
      </w:pPr>
      <w:r w:rsidRPr="002F40F0">
        <w:rPr>
          <w:rFonts w:ascii="Garamond" w:hAnsi="Garamond"/>
          <w:b/>
          <w:sz w:val="24"/>
          <w:szCs w:val="24"/>
        </w:rPr>
        <w:t>Estate Tax (‘Death Duties’) - Why Not?</w:t>
      </w:r>
    </w:p>
    <w:p w14:paraId="31919F30" w14:textId="77777777" w:rsidR="002F40F0" w:rsidRDefault="002F40F0" w:rsidP="00B26635">
      <w:pPr>
        <w:rPr>
          <w:rFonts w:ascii="Garamond" w:hAnsi="Garamond"/>
          <w:sz w:val="22"/>
          <w:szCs w:val="22"/>
        </w:rPr>
      </w:pPr>
    </w:p>
    <w:p w14:paraId="3A94BB8C" w14:textId="77777777" w:rsidR="002F40F0" w:rsidRDefault="002F40F0" w:rsidP="00B26635">
      <w:pPr>
        <w:rPr>
          <w:rFonts w:ascii="Garamond" w:hAnsi="Garamond"/>
          <w:sz w:val="22"/>
          <w:szCs w:val="22"/>
        </w:rPr>
      </w:pPr>
    </w:p>
    <w:p w14:paraId="76EBABCB" w14:textId="77777777" w:rsidR="00907262" w:rsidRPr="00907262" w:rsidRDefault="00907262" w:rsidP="00907262">
      <w:pPr>
        <w:rPr>
          <w:rFonts w:ascii="Garamond" w:hAnsi="Garamond"/>
          <w:sz w:val="22"/>
          <w:szCs w:val="22"/>
        </w:rPr>
      </w:pPr>
      <w:r w:rsidRPr="00907262">
        <w:rPr>
          <w:rFonts w:ascii="Garamond" w:hAnsi="Garamond"/>
          <w:sz w:val="22"/>
          <w:szCs w:val="22"/>
        </w:rPr>
        <w:t xml:space="preserve">Taxing a person's estate </w:t>
      </w:r>
      <w:r>
        <w:rPr>
          <w:rFonts w:ascii="Garamond" w:hAnsi="Garamond"/>
          <w:sz w:val="22"/>
          <w:szCs w:val="22"/>
        </w:rPr>
        <w:t>when they die is a very good for</w:t>
      </w:r>
      <w:r w:rsidRPr="00907262">
        <w:rPr>
          <w:rFonts w:ascii="Garamond" w:hAnsi="Garamond"/>
          <w:sz w:val="22"/>
          <w:szCs w:val="22"/>
        </w:rPr>
        <w:t xml:space="preserve">m of tax:  </w:t>
      </w:r>
    </w:p>
    <w:p w14:paraId="4A2A84F4" w14:textId="77777777" w:rsidR="00907262" w:rsidRPr="00907262" w:rsidRDefault="00907262" w:rsidP="00907262">
      <w:pPr>
        <w:pStyle w:val="ListParagraph"/>
        <w:numPr>
          <w:ilvl w:val="0"/>
          <w:numId w:val="18"/>
        </w:numPr>
        <w:rPr>
          <w:rFonts w:ascii="Garamond" w:hAnsi="Garamond"/>
          <w:sz w:val="22"/>
          <w:szCs w:val="22"/>
        </w:rPr>
      </w:pPr>
      <w:r w:rsidRPr="00907262">
        <w:rPr>
          <w:rFonts w:ascii="Garamond" w:hAnsi="Garamond"/>
          <w:sz w:val="22"/>
          <w:szCs w:val="22"/>
        </w:rPr>
        <w:t>The person doesn't care - he or she is dead</w:t>
      </w:r>
    </w:p>
    <w:p w14:paraId="5C3B685E" w14:textId="77777777" w:rsidR="00907262" w:rsidRPr="00907262" w:rsidRDefault="00907262" w:rsidP="00907262">
      <w:pPr>
        <w:pStyle w:val="ListParagraph"/>
        <w:numPr>
          <w:ilvl w:val="0"/>
          <w:numId w:val="18"/>
        </w:numPr>
        <w:rPr>
          <w:rFonts w:ascii="Garamond" w:hAnsi="Garamond"/>
          <w:sz w:val="22"/>
          <w:szCs w:val="22"/>
        </w:rPr>
      </w:pPr>
      <w:r w:rsidRPr="00907262">
        <w:rPr>
          <w:rFonts w:ascii="Garamond" w:hAnsi="Garamond"/>
          <w:sz w:val="22"/>
          <w:szCs w:val="22"/>
        </w:rPr>
        <w:t>The existence of an Estate Tax would encourage people to give away some of their wealth, maybe to the next generation, to people who are perhaps more likely to use that wealth creatively.</w:t>
      </w:r>
    </w:p>
    <w:p w14:paraId="6E1FD548" w14:textId="77777777" w:rsidR="00907262" w:rsidRPr="00907262" w:rsidRDefault="00907262" w:rsidP="00907262">
      <w:pPr>
        <w:pStyle w:val="ListParagraph"/>
        <w:numPr>
          <w:ilvl w:val="0"/>
          <w:numId w:val="18"/>
        </w:numPr>
        <w:rPr>
          <w:rFonts w:ascii="Garamond" w:hAnsi="Garamond"/>
          <w:sz w:val="22"/>
          <w:szCs w:val="22"/>
        </w:rPr>
      </w:pPr>
      <w:r w:rsidRPr="00907262">
        <w:rPr>
          <w:rFonts w:ascii="Garamond" w:hAnsi="Garamond"/>
          <w:sz w:val="22"/>
          <w:szCs w:val="22"/>
        </w:rPr>
        <w:t>Everyone dies, so everyone would become subject to the Estate Tax, without much chance of tax evasion.</w:t>
      </w:r>
    </w:p>
    <w:p w14:paraId="56462404" w14:textId="77777777" w:rsidR="00907262" w:rsidRDefault="00907262" w:rsidP="00B26635">
      <w:pPr>
        <w:rPr>
          <w:rFonts w:ascii="Garamond" w:hAnsi="Garamond"/>
          <w:sz w:val="22"/>
          <w:szCs w:val="22"/>
        </w:rPr>
      </w:pPr>
    </w:p>
    <w:p w14:paraId="5BE086D7" w14:textId="77777777" w:rsidR="00907262" w:rsidRDefault="00907262" w:rsidP="00B26635">
      <w:pPr>
        <w:rPr>
          <w:rFonts w:ascii="Garamond" w:hAnsi="Garamond"/>
          <w:sz w:val="22"/>
          <w:szCs w:val="22"/>
        </w:rPr>
      </w:pPr>
      <w:r>
        <w:rPr>
          <w:rFonts w:ascii="Garamond" w:hAnsi="Garamond"/>
          <w:sz w:val="22"/>
          <w:szCs w:val="22"/>
        </w:rPr>
        <w:t xml:space="preserve">I recall that most Australian States had a Death Duty tax until, decades </w:t>
      </w:r>
      <w:proofErr w:type="gramStart"/>
      <w:r>
        <w:rPr>
          <w:rFonts w:ascii="Garamond" w:hAnsi="Garamond"/>
          <w:sz w:val="22"/>
          <w:szCs w:val="22"/>
        </w:rPr>
        <w:t>ago,</w:t>
      </w:r>
      <w:proofErr w:type="gramEnd"/>
      <w:r>
        <w:rPr>
          <w:rFonts w:ascii="Garamond" w:hAnsi="Garamond"/>
          <w:sz w:val="22"/>
          <w:szCs w:val="22"/>
        </w:rPr>
        <w:t xml:space="preserve"> Queensland repealed their Death Duty tax.  Then, many old people moved to Queensland in order to be living under that jurisdiction when they died, and thereby avoid paying that tax.  So other states had to similarly abolish their Death Duty taxes.</w:t>
      </w:r>
    </w:p>
    <w:p w14:paraId="4FA1DAB1" w14:textId="77777777" w:rsidR="00907262" w:rsidRDefault="00907262" w:rsidP="00B26635">
      <w:pPr>
        <w:rPr>
          <w:rFonts w:ascii="Garamond" w:hAnsi="Garamond"/>
          <w:sz w:val="22"/>
          <w:szCs w:val="22"/>
        </w:rPr>
      </w:pPr>
    </w:p>
    <w:p w14:paraId="0F4FAA6B" w14:textId="77777777" w:rsidR="00907262" w:rsidRDefault="00907262" w:rsidP="00B26635">
      <w:pPr>
        <w:rPr>
          <w:rFonts w:ascii="Garamond" w:hAnsi="Garamond"/>
          <w:sz w:val="22"/>
          <w:szCs w:val="22"/>
        </w:rPr>
      </w:pPr>
      <w:r>
        <w:rPr>
          <w:rFonts w:ascii="Garamond" w:hAnsi="Garamond"/>
          <w:sz w:val="22"/>
          <w:szCs w:val="22"/>
        </w:rPr>
        <w:t>So, obviously, we should have a Commonwealth Estate Tax</w:t>
      </w:r>
      <w:r w:rsidR="002F40F0">
        <w:rPr>
          <w:rFonts w:ascii="Garamond" w:hAnsi="Garamond"/>
          <w:sz w:val="22"/>
          <w:szCs w:val="22"/>
        </w:rPr>
        <w:t xml:space="preserve">, rather than a series of state </w:t>
      </w:r>
      <w:r>
        <w:rPr>
          <w:rFonts w:ascii="Garamond" w:hAnsi="Garamond"/>
          <w:sz w:val="22"/>
          <w:szCs w:val="22"/>
        </w:rPr>
        <w:t>taxes.</w:t>
      </w:r>
    </w:p>
    <w:p w14:paraId="7E4996D8" w14:textId="77777777" w:rsidR="00907262" w:rsidRDefault="00907262" w:rsidP="00B26635">
      <w:pPr>
        <w:rPr>
          <w:rFonts w:ascii="Garamond" w:hAnsi="Garamond"/>
          <w:sz w:val="22"/>
          <w:szCs w:val="22"/>
        </w:rPr>
      </w:pPr>
    </w:p>
    <w:p w14:paraId="682CE3B6" w14:textId="77777777" w:rsidR="00907262" w:rsidRDefault="00907262" w:rsidP="00B26635">
      <w:pPr>
        <w:rPr>
          <w:rFonts w:ascii="Garamond" w:hAnsi="Garamond"/>
          <w:sz w:val="22"/>
          <w:szCs w:val="22"/>
        </w:rPr>
      </w:pPr>
      <w:r>
        <w:rPr>
          <w:rFonts w:ascii="Garamond" w:hAnsi="Garamond"/>
          <w:sz w:val="22"/>
          <w:szCs w:val="22"/>
        </w:rPr>
        <w:t>Yes, some people would move overseas to avoid the tax; but I suggest that – unless the Estate Tax was unduly onerous - it would only be a few</w:t>
      </w:r>
      <w:r w:rsidR="00D01280">
        <w:rPr>
          <w:rFonts w:ascii="Garamond" w:hAnsi="Garamond"/>
          <w:sz w:val="22"/>
          <w:szCs w:val="22"/>
        </w:rPr>
        <w:t>.</w:t>
      </w:r>
    </w:p>
    <w:p w14:paraId="1D28B814" w14:textId="77777777" w:rsidR="00D01280" w:rsidRDefault="00D01280" w:rsidP="00B26635">
      <w:pPr>
        <w:rPr>
          <w:rFonts w:ascii="Garamond" w:hAnsi="Garamond"/>
          <w:sz w:val="22"/>
          <w:szCs w:val="22"/>
        </w:rPr>
      </w:pPr>
    </w:p>
    <w:p w14:paraId="3E2A8D84" w14:textId="77777777" w:rsidR="00D01280" w:rsidRPr="00D01280" w:rsidRDefault="00D01280" w:rsidP="00D01280">
      <w:pPr>
        <w:rPr>
          <w:rFonts w:ascii="Garamond" w:hAnsi="Garamond"/>
          <w:sz w:val="22"/>
          <w:szCs w:val="22"/>
        </w:rPr>
      </w:pPr>
      <w:r w:rsidRPr="00D01280">
        <w:rPr>
          <w:rFonts w:ascii="Garamond" w:hAnsi="Garamond"/>
          <w:sz w:val="22"/>
          <w:szCs w:val="22"/>
        </w:rPr>
        <w:t>I’m no tax expert, and obviously there might be interactions between taxation of Superfunds and taxing of estates.  But the idea should be explored!</w:t>
      </w:r>
    </w:p>
    <w:p w14:paraId="0183C7EA" w14:textId="77777777" w:rsidR="00907262" w:rsidRDefault="00907262" w:rsidP="00B26635">
      <w:pPr>
        <w:rPr>
          <w:rFonts w:ascii="Garamond" w:hAnsi="Garamond"/>
          <w:sz w:val="22"/>
          <w:szCs w:val="22"/>
        </w:rPr>
      </w:pPr>
    </w:p>
    <w:p w14:paraId="37991002" w14:textId="77777777" w:rsidR="002F40F0" w:rsidRDefault="002F40F0" w:rsidP="00B26635">
      <w:pPr>
        <w:rPr>
          <w:rFonts w:ascii="Garamond" w:hAnsi="Garamond"/>
          <w:sz w:val="22"/>
          <w:szCs w:val="22"/>
        </w:rPr>
      </w:pPr>
      <w:r>
        <w:rPr>
          <w:rFonts w:ascii="Garamond" w:hAnsi="Garamond"/>
          <w:sz w:val="22"/>
          <w:szCs w:val="22"/>
        </w:rPr>
        <w:t xml:space="preserve">Although the Tax </w:t>
      </w:r>
      <w:r w:rsidR="00D01280">
        <w:rPr>
          <w:rFonts w:ascii="Garamond" w:hAnsi="Garamond"/>
          <w:sz w:val="22"/>
          <w:szCs w:val="22"/>
        </w:rPr>
        <w:t>Discussion P</w:t>
      </w:r>
      <w:r>
        <w:rPr>
          <w:rFonts w:ascii="Garamond" w:hAnsi="Garamond"/>
          <w:sz w:val="22"/>
          <w:szCs w:val="22"/>
        </w:rPr>
        <w:t xml:space="preserve">aper does not apparently raise the topic of an Estate Tax, the recent report </w:t>
      </w:r>
      <w:proofErr w:type="gramStart"/>
      <w:r w:rsidR="00D01280" w:rsidRPr="00FF7884">
        <w:rPr>
          <w:rFonts w:ascii="Garamond" w:hAnsi="Garamond"/>
          <w:i/>
          <w:sz w:val="22"/>
          <w:szCs w:val="22"/>
        </w:rPr>
        <w:t>It’s</w:t>
      </w:r>
      <w:proofErr w:type="gramEnd"/>
      <w:r w:rsidR="00D01280" w:rsidRPr="00FF7884">
        <w:rPr>
          <w:rFonts w:ascii="Garamond" w:hAnsi="Garamond"/>
          <w:i/>
          <w:sz w:val="22"/>
          <w:szCs w:val="22"/>
        </w:rPr>
        <w:t xml:space="preserve"> the revenue stupid</w:t>
      </w:r>
      <w:r w:rsidR="00D01280">
        <w:rPr>
          <w:rFonts w:ascii="Garamond" w:hAnsi="Garamond"/>
          <w:i/>
          <w:sz w:val="22"/>
          <w:szCs w:val="22"/>
        </w:rPr>
        <w:t xml:space="preserve"> </w:t>
      </w:r>
      <w:r>
        <w:rPr>
          <w:rFonts w:ascii="Garamond" w:hAnsi="Garamond"/>
          <w:sz w:val="22"/>
          <w:szCs w:val="22"/>
        </w:rPr>
        <w:t xml:space="preserve">from the Australia Institute (supported by </w:t>
      </w:r>
      <w:proofErr w:type="spellStart"/>
      <w:r>
        <w:rPr>
          <w:rFonts w:ascii="Garamond" w:hAnsi="Garamond"/>
          <w:sz w:val="22"/>
          <w:szCs w:val="22"/>
        </w:rPr>
        <w:t>GetUp</w:t>
      </w:r>
      <w:proofErr w:type="spellEnd"/>
      <w:r>
        <w:rPr>
          <w:rFonts w:ascii="Garamond" w:hAnsi="Garamond"/>
          <w:sz w:val="22"/>
          <w:szCs w:val="22"/>
        </w:rPr>
        <w:t>) does:</w:t>
      </w:r>
    </w:p>
    <w:p w14:paraId="0607F8D2" w14:textId="77777777" w:rsidR="002F40F0" w:rsidRDefault="002F40F0" w:rsidP="00B26635">
      <w:pPr>
        <w:rPr>
          <w:rFonts w:ascii="Garamond" w:hAnsi="Garamond"/>
          <w:sz w:val="22"/>
          <w:szCs w:val="22"/>
        </w:rPr>
      </w:pPr>
      <w:r w:rsidRPr="002F40F0">
        <w:rPr>
          <w:rFonts w:ascii="Garamond" w:hAnsi="Garamond"/>
          <w:sz w:val="22"/>
          <w:szCs w:val="22"/>
        </w:rPr>
        <w:t>http://www.tai.org.au/content/its-revenue-stupid-ideas-brighter-budget</w:t>
      </w:r>
    </w:p>
    <w:p w14:paraId="7AE131EE" w14:textId="77777777" w:rsidR="00907262" w:rsidRDefault="00907262" w:rsidP="00B26635">
      <w:pPr>
        <w:rPr>
          <w:rFonts w:ascii="Garamond" w:hAnsi="Garamond"/>
          <w:sz w:val="22"/>
          <w:szCs w:val="22"/>
        </w:rPr>
      </w:pPr>
    </w:p>
    <w:p w14:paraId="2C4566A8" w14:textId="77777777" w:rsidR="00FF7884" w:rsidRDefault="00FF7884" w:rsidP="00B26635">
      <w:pPr>
        <w:rPr>
          <w:rFonts w:ascii="Garamond" w:hAnsi="Garamond"/>
          <w:sz w:val="22"/>
          <w:szCs w:val="22"/>
        </w:rPr>
      </w:pPr>
    </w:p>
    <w:p w14:paraId="7D8003C8" w14:textId="77777777" w:rsidR="00FF7884" w:rsidRDefault="00FF7884" w:rsidP="00B26635">
      <w:pPr>
        <w:rPr>
          <w:rFonts w:ascii="Garamond" w:hAnsi="Garamond"/>
          <w:sz w:val="22"/>
          <w:szCs w:val="22"/>
        </w:rPr>
      </w:pPr>
    </w:p>
    <w:p w14:paraId="331E1E2C" w14:textId="77777777" w:rsidR="002F40F0" w:rsidRDefault="002F40F0" w:rsidP="00B26635">
      <w:pPr>
        <w:rPr>
          <w:rFonts w:ascii="Garamond" w:hAnsi="Garamond"/>
          <w:sz w:val="22"/>
          <w:szCs w:val="22"/>
        </w:rPr>
      </w:pPr>
    </w:p>
    <w:p w14:paraId="257843E5" w14:textId="77777777" w:rsidR="002F40F0" w:rsidRPr="002F40F0" w:rsidRDefault="002F40F0" w:rsidP="002F40F0">
      <w:pPr>
        <w:pStyle w:val="ListParagraph"/>
        <w:numPr>
          <w:ilvl w:val="0"/>
          <w:numId w:val="19"/>
        </w:numPr>
        <w:rPr>
          <w:rFonts w:ascii="Garamond" w:hAnsi="Garamond"/>
          <w:b/>
          <w:sz w:val="24"/>
          <w:szCs w:val="24"/>
        </w:rPr>
      </w:pPr>
      <w:r w:rsidRPr="002F40F0">
        <w:rPr>
          <w:rFonts w:ascii="Garamond" w:hAnsi="Garamond"/>
          <w:b/>
          <w:sz w:val="24"/>
          <w:szCs w:val="24"/>
        </w:rPr>
        <w:t>Commending the Australia Institute report</w:t>
      </w:r>
    </w:p>
    <w:p w14:paraId="11D16DBA" w14:textId="77777777" w:rsidR="002F40F0" w:rsidRDefault="002F40F0" w:rsidP="00B26635">
      <w:pPr>
        <w:rPr>
          <w:rFonts w:ascii="Garamond" w:hAnsi="Garamond"/>
          <w:sz w:val="22"/>
          <w:szCs w:val="22"/>
        </w:rPr>
      </w:pPr>
    </w:p>
    <w:p w14:paraId="2A6B41A1" w14:textId="77777777" w:rsidR="002F40F0" w:rsidRPr="00FF7884" w:rsidRDefault="002F40F0" w:rsidP="00B26635">
      <w:pPr>
        <w:rPr>
          <w:rFonts w:ascii="Garamond" w:hAnsi="Garamond"/>
          <w:sz w:val="22"/>
          <w:szCs w:val="22"/>
        </w:rPr>
      </w:pPr>
      <w:r>
        <w:rPr>
          <w:rFonts w:ascii="Garamond" w:hAnsi="Garamond"/>
          <w:sz w:val="22"/>
          <w:szCs w:val="22"/>
        </w:rPr>
        <w:t xml:space="preserve">I commend the Australia Institute report </w:t>
      </w:r>
      <w:proofErr w:type="gramStart"/>
      <w:r w:rsidRPr="00FF7884">
        <w:rPr>
          <w:rFonts w:ascii="Garamond" w:hAnsi="Garamond"/>
          <w:i/>
          <w:sz w:val="22"/>
          <w:szCs w:val="22"/>
        </w:rPr>
        <w:t>It’s</w:t>
      </w:r>
      <w:proofErr w:type="gramEnd"/>
      <w:r w:rsidRPr="00FF7884">
        <w:rPr>
          <w:rFonts w:ascii="Garamond" w:hAnsi="Garamond"/>
          <w:i/>
          <w:sz w:val="22"/>
          <w:szCs w:val="22"/>
        </w:rPr>
        <w:t xml:space="preserve"> the revenue stupid</w:t>
      </w:r>
      <w:r w:rsidR="00FF7884">
        <w:rPr>
          <w:rFonts w:ascii="Garamond" w:hAnsi="Garamond"/>
          <w:i/>
          <w:sz w:val="22"/>
          <w:szCs w:val="22"/>
        </w:rPr>
        <w:t xml:space="preserve">. </w:t>
      </w:r>
      <w:r w:rsidR="00FF7884">
        <w:rPr>
          <w:rFonts w:ascii="Garamond" w:hAnsi="Garamond"/>
          <w:sz w:val="22"/>
          <w:szCs w:val="22"/>
        </w:rPr>
        <w:t xml:space="preserve"> It makes the case for many of the reforms that I have long considered desirable:</w:t>
      </w:r>
    </w:p>
    <w:p w14:paraId="6FC174C8" w14:textId="77777777" w:rsidR="002F40F0" w:rsidRDefault="002F40F0" w:rsidP="00B26635">
      <w:pPr>
        <w:rPr>
          <w:rFonts w:ascii="Garamond" w:hAnsi="Garamond"/>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7054"/>
        <w:gridCol w:w="1985"/>
      </w:tblGrid>
      <w:tr w:rsidR="00FF7884" w14:paraId="7D0142B5" w14:textId="77777777" w:rsidTr="00FF7884">
        <w:trPr>
          <w:trHeight w:val="302"/>
        </w:trPr>
        <w:tc>
          <w:tcPr>
            <w:tcW w:w="7054" w:type="dxa"/>
          </w:tcPr>
          <w:p w14:paraId="6BAA1ECE" w14:textId="77777777" w:rsidR="00FF7884" w:rsidRDefault="00FF7884">
            <w:pPr>
              <w:pStyle w:val="Default"/>
              <w:rPr>
                <w:rFonts w:ascii="Calibri" w:hAnsi="Calibri" w:cs="Calibri"/>
                <w:sz w:val="20"/>
                <w:szCs w:val="20"/>
              </w:rPr>
            </w:pPr>
            <w:r>
              <w:rPr>
                <w:b/>
                <w:bCs/>
                <w:sz w:val="22"/>
                <w:szCs w:val="22"/>
              </w:rPr>
              <w:t xml:space="preserve">Modelled policies and revenue impact </w:t>
            </w:r>
            <w:r>
              <w:rPr>
                <w:rFonts w:ascii="Calibri" w:hAnsi="Calibri" w:cs="Calibri"/>
                <w:b/>
                <w:bCs/>
                <w:sz w:val="20"/>
                <w:szCs w:val="20"/>
              </w:rPr>
              <w:t xml:space="preserve">Revenue measures </w:t>
            </w:r>
          </w:p>
        </w:tc>
        <w:tc>
          <w:tcPr>
            <w:tcW w:w="1985" w:type="dxa"/>
          </w:tcPr>
          <w:p w14:paraId="786CB24E" w14:textId="77777777" w:rsidR="00FF7884" w:rsidRDefault="00FF7884">
            <w:pPr>
              <w:pStyle w:val="Default"/>
              <w:rPr>
                <w:rFonts w:ascii="Calibri" w:hAnsi="Calibri" w:cs="Calibri"/>
                <w:sz w:val="20"/>
                <w:szCs w:val="20"/>
              </w:rPr>
            </w:pPr>
            <w:r>
              <w:rPr>
                <w:rFonts w:ascii="Calibri" w:hAnsi="Calibri" w:cs="Calibri"/>
                <w:b/>
                <w:bCs/>
                <w:sz w:val="20"/>
                <w:szCs w:val="20"/>
              </w:rPr>
              <w:t xml:space="preserve">Estimate of revenue raised ($m) </w:t>
            </w:r>
          </w:p>
        </w:tc>
      </w:tr>
      <w:tr w:rsidR="00FF7884" w14:paraId="432B7994" w14:textId="77777777" w:rsidTr="00FF7884">
        <w:trPr>
          <w:trHeight w:val="99"/>
        </w:trPr>
        <w:tc>
          <w:tcPr>
            <w:tcW w:w="7054" w:type="dxa"/>
          </w:tcPr>
          <w:p w14:paraId="34691B02" w14:textId="77777777" w:rsidR="00FF7884" w:rsidRDefault="00FF7884">
            <w:pPr>
              <w:pStyle w:val="Default"/>
              <w:rPr>
                <w:rFonts w:ascii="Calibri" w:hAnsi="Calibri" w:cs="Calibri"/>
                <w:sz w:val="20"/>
                <w:szCs w:val="20"/>
              </w:rPr>
            </w:pPr>
            <w:r>
              <w:rPr>
                <w:rFonts w:ascii="Calibri" w:hAnsi="Calibri" w:cs="Calibri"/>
                <w:sz w:val="20"/>
                <w:szCs w:val="20"/>
              </w:rPr>
              <w:t xml:space="preserve">Super tax concessions </w:t>
            </w:r>
          </w:p>
        </w:tc>
        <w:tc>
          <w:tcPr>
            <w:tcW w:w="1985" w:type="dxa"/>
          </w:tcPr>
          <w:p w14:paraId="3F3DDBF1" w14:textId="77777777" w:rsidR="00FF7884" w:rsidRDefault="00FF7884">
            <w:pPr>
              <w:pStyle w:val="Default"/>
              <w:rPr>
                <w:rFonts w:ascii="Calibri" w:hAnsi="Calibri" w:cs="Calibri"/>
                <w:sz w:val="20"/>
                <w:szCs w:val="20"/>
              </w:rPr>
            </w:pPr>
            <w:r>
              <w:rPr>
                <w:rFonts w:ascii="Calibri" w:hAnsi="Calibri" w:cs="Calibri"/>
                <w:sz w:val="20"/>
                <w:szCs w:val="20"/>
              </w:rPr>
              <w:t xml:space="preserve">$9,616 </w:t>
            </w:r>
          </w:p>
        </w:tc>
      </w:tr>
      <w:tr w:rsidR="00FF7884" w14:paraId="677768E1" w14:textId="77777777" w:rsidTr="00FF7884">
        <w:trPr>
          <w:trHeight w:val="99"/>
        </w:trPr>
        <w:tc>
          <w:tcPr>
            <w:tcW w:w="7054" w:type="dxa"/>
          </w:tcPr>
          <w:p w14:paraId="75E3F21D" w14:textId="77777777" w:rsidR="00FF7884" w:rsidRDefault="00FF7884">
            <w:pPr>
              <w:pStyle w:val="Default"/>
              <w:rPr>
                <w:rFonts w:ascii="Calibri" w:hAnsi="Calibri" w:cs="Calibri"/>
                <w:sz w:val="20"/>
                <w:szCs w:val="20"/>
              </w:rPr>
            </w:pPr>
            <w:r>
              <w:rPr>
                <w:rFonts w:ascii="Calibri" w:hAnsi="Calibri" w:cs="Calibri"/>
                <w:sz w:val="20"/>
                <w:szCs w:val="20"/>
              </w:rPr>
              <w:t xml:space="preserve">Restrictions on negative gearing </w:t>
            </w:r>
          </w:p>
        </w:tc>
        <w:tc>
          <w:tcPr>
            <w:tcW w:w="1985" w:type="dxa"/>
          </w:tcPr>
          <w:p w14:paraId="44CC2A16" w14:textId="77777777" w:rsidR="00FF7884" w:rsidRDefault="00FF7884">
            <w:pPr>
              <w:pStyle w:val="Default"/>
              <w:rPr>
                <w:rFonts w:ascii="Calibri" w:hAnsi="Calibri" w:cs="Calibri"/>
                <w:sz w:val="20"/>
                <w:szCs w:val="20"/>
              </w:rPr>
            </w:pPr>
            <w:r>
              <w:rPr>
                <w:rFonts w:ascii="Calibri" w:hAnsi="Calibri" w:cs="Calibri"/>
                <w:sz w:val="20"/>
                <w:szCs w:val="20"/>
              </w:rPr>
              <w:t xml:space="preserve">$3,491 </w:t>
            </w:r>
          </w:p>
        </w:tc>
      </w:tr>
      <w:tr w:rsidR="00FF7884" w14:paraId="635C0DAC" w14:textId="77777777" w:rsidTr="00FF7884">
        <w:trPr>
          <w:trHeight w:val="99"/>
        </w:trPr>
        <w:tc>
          <w:tcPr>
            <w:tcW w:w="7054" w:type="dxa"/>
          </w:tcPr>
          <w:p w14:paraId="6AFF663D" w14:textId="77777777" w:rsidR="00FF7884" w:rsidRDefault="00FF7884">
            <w:pPr>
              <w:pStyle w:val="Default"/>
              <w:rPr>
                <w:rFonts w:ascii="Calibri" w:hAnsi="Calibri" w:cs="Calibri"/>
                <w:sz w:val="20"/>
                <w:szCs w:val="20"/>
              </w:rPr>
            </w:pPr>
            <w:r>
              <w:rPr>
                <w:rFonts w:ascii="Calibri" w:hAnsi="Calibri" w:cs="Calibri"/>
                <w:sz w:val="20"/>
                <w:szCs w:val="20"/>
              </w:rPr>
              <w:t xml:space="preserve">Scrapping the capital gains tax discount </w:t>
            </w:r>
          </w:p>
        </w:tc>
        <w:tc>
          <w:tcPr>
            <w:tcW w:w="1985" w:type="dxa"/>
          </w:tcPr>
          <w:p w14:paraId="63021E94" w14:textId="77777777" w:rsidR="00FF7884" w:rsidRDefault="00FF7884">
            <w:pPr>
              <w:pStyle w:val="Default"/>
              <w:rPr>
                <w:rFonts w:ascii="Calibri" w:hAnsi="Calibri" w:cs="Calibri"/>
                <w:sz w:val="20"/>
                <w:szCs w:val="20"/>
              </w:rPr>
            </w:pPr>
            <w:r>
              <w:rPr>
                <w:rFonts w:ascii="Calibri" w:hAnsi="Calibri" w:cs="Calibri"/>
                <w:sz w:val="20"/>
                <w:szCs w:val="20"/>
              </w:rPr>
              <w:t xml:space="preserve">$4,039 </w:t>
            </w:r>
          </w:p>
        </w:tc>
      </w:tr>
      <w:tr w:rsidR="00FF7884" w14:paraId="36F10E6A" w14:textId="77777777" w:rsidTr="00FF7884">
        <w:trPr>
          <w:trHeight w:val="99"/>
        </w:trPr>
        <w:tc>
          <w:tcPr>
            <w:tcW w:w="7054" w:type="dxa"/>
          </w:tcPr>
          <w:p w14:paraId="5D856DA1" w14:textId="77777777" w:rsidR="00FF7884" w:rsidRDefault="00FF7884">
            <w:pPr>
              <w:pStyle w:val="Default"/>
              <w:rPr>
                <w:rFonts w:ascii="Calibri" w:hAnsi="Calibri" w:cs="Calibri"/>
                <w:sz w:val="20"/>
                <w:szCs w:val="20"/>
              </w:rPr>
            </w:pPr>
            <w:r>
              <w:rPr>
                <w:rFonts w:ascii="Calibri" w:hAnsi="Calibri" w:cs="Calibri"/>
                <w:sz w:val="20"/>
                <w:szCs w:val="20"/>
              </w:rPr>
              <w:t xml:space="preserve">Introducing a Buffet rule </w:t>
            </w:r>
          </w:p>
        </w:tc>
        <w:tc>
          <w:tcPr>
            <w:tcW w:w="1985" w:type="dxa"/>
          </w:tcPr>
          <w:p w14:paraId="62CB93C6" w14:textId="77777777" w:rsidR="00FF7884" w:rsidRDefault="00FF7884">
            <w:pPr>
              <w:pStyle w:val="Default"/>
              <w:rPr>
                <w:rFonts w:ascii="Calibri" w:hAnsi="Calibri" w:cs="Calibri"/>
                <w:sz w:val="20"/>
                <w:szCs w:val="20"/>
              </w:rPr>
            </w:pPr>
            <w:r>
              <w:rPr>
                <w:rFonts w:ascii="Calibri" w:hAnsi="Calibri" w:cs="Calibri"/>
                <w:sz w:val="20"/>
                <w:szCs w:val="20"/>
              </w:rPr>
              <w:t xml:space="preserve">$2,492 </w:t>
            </w:r>
          </w:p>
        </w:tc>
      </w:tr>
    </w:tbl>
    <w:p w14:paraId="58C2B92B" w14:textId="77777777" w:rsidR="002F40F0" w:rsidRDefault="002F40F0" w:rsidP="00B26635">
      <w:pPr>
        <w:rPr>
          <w:rFonts w:ascii="Garamond" w:hAnsi="Garamond"/>
          <w:sz w:val="22"/>
          <w:szCs w:val="22"/>
        </w:rPr>
      </w:pPr>
    </w:p>
    <w:p w14:paraId="41469D75" w14:textId="77777777" w:rsidR="00FF7884" w:rsidRDefault="00FF7884" w:rsidP="00FF7884">
      <w:pPr>
        <w:ind w:left="1134" w:firstLine="567"/>
        <w:jc w:val="right"/>
        <w:rPr>
          <w:rFonts w:ascii="Garamond" w:hAnsi="Garamond"/>
          <w:sz w:val="22"/>
          <w:szCs w:val="22"/>
        </w:rPr>
      </w:pPr>
      <w:r>
        <w:rPr>
          <w:rFonts w:ascii="Garamond" w:hAnsi="Garamond"/>
          <w:sz w:val="22"/>
          <w:szCs w:val="22"/>
        </w:rPr>
        <w:t xml:space="preserve">. . .  </w:t>
      </w:r>
      <w:proofErr w:type="gramStart"/>
      <w:r>
        <w:rPr>
          <w:rFonts w:ascii="Garamond" w:hAnsi="Garamond"/>
          <w:sz w:val="22"/>
          <w:szCs w:val="22"/>
        </w:rPr>
        <w:t>continued</w:t>
      </w:r>
      <w:proofErr w:type="gramEnd"/>
      <w:r>
        <w:rPr>
          <w:rFonts w:ascii="Garamond" w:hAnsi="Garamond"/>
          <w:sz w:val="22"/>
          <w:szCs w:val="22"/>
        </w:rPr>
        <w:t xml:space="preserve"> . . . .</w:t>
      </w:r>
    </w:p>
    <w:tbl>
      <w:tblPr>
        <w:tblW w:w="0" w:type="auto"/>
        <w:tblBorders>
          <w:top w:val="nil"/>
          <w:left w:val="nil"/>
          <w:bottom w:val="nil"/>
          <w:right w:val="nil"/>
        </w:tblBorders>
        <w:tblLayout w:type="fixed"/>
        <w:tblLook w:val="0000" w:firstRow="0" w:lastRow="0" w:firstColumn="0" w:lastColumn="0" w:noHBand="0" w:noVBand="0"/>
      </w:tblPr>
      <w:tblGrid>
        <w:gridCol w:w="6771"/>
        <w:gridCol w:w="1984"/>
      </w:tblGrid>
      <w:tr w:rsidR="00FF7884" w14:paraId="16892C61" w14:textId="77777777" w:rsidTr="00FF7884">
        <w:trPr>
          <w:trHeight w:val="303"/>
        </w:trPr>
        <w:tc>
          <w:tcPr>
            <w:tcW w:w="6771" w:type="dxa"/>
          </w:tcPr>
          <w:p w14:paraId="4D136E7D" w14:textId="77777777" w:rsidR="00FF7884" w:rsidRDefault="00FF7884">
            <w:pPr>
              <w:pStyle w:val="Default"/>
              <w:rPr>
                <w:rFonts w:ascii="Calibri" w:hAnsi="Calibri" w:cs="Calibri"/>
                <w:sz w:val="20"/>
                <w:szCs w:val="20"/>
              </w:rPr>
            </w:pPr>
            <w:r>
              <w:rPr>
                <w:b/>
                <w:bCs/>
                <w:color w:val="auto"/>
                <w:sz w:val="22"/>
                <w:szCs w:val="22"/>
              </w:rPr>
              <w:lastRenderedPageBreak/>
              <w:t xml:space="preserve">Other revenue measures </w:t>
            </w:r>
            <w:r>
              <w:rPr>
                <w:rFonts w:ascii="Calibri" w:hAnsi="Calibri" w:cs="Calibri"/>
                <w:b/>
                <w:bCs/>
                <w:sz w:val="20"/>
                <w:szCs w:val="20"/>
              </w:rPr>
              <w:t xml:space="preserve">Revenue measures </w:t>
            </w:r>
          </w:p>
        </w:tc>
        <w:tc>
          <w:tcPr>
            <w:tcW w:w="1984" w:type="dxa"/>
          </w:tcPr>
          <w:p w14:paraId="7D829B35" w14:textId="77777777" w:rsidR="00FF7884" w:rsidRDefault="00FF7884">
            <w:pPr>
              <w:pStyle w:val="Default"/>
              <w:rPr>
                <w:rFonts w:ascii="Calibri" w:hAnsi="Calibri" w:cs="Calibri"/>
                <w:sz w:val="20"/>
                <w:szCs w:val="20"/>
              </w:rPr>
            </w:pPr>
            <w:r>
              <w:rPr>
                <w:rFonts w:ascii="Calibri" w:hAnsi="Calibri" w:cs="Calibri"/>
                <w:b/>
                <w:bCs/>
                <w:sz w:val="20"/>
                <w:szCs w:val="20"/>
              </w:rPr>
              <w:t xml:space="preserve">Estimate of revenue raised ($m) </w:t>
            </w:r>
          </w:p>
        </w:tc>
      </w:tr>
      <w:tr w:rsidR="00FF7884" w14:paraId="18085970" w14:textId="77777777" w:rsidTr="00FF7884">
        <w:trPr>
          <w:trHeight w:val="99"/>
        </w:trPr>
        <w:tc>
          <w:tcPr>
            <w:tcW w:w="6771" w:type="dxa"/>
          </w:tcPr>
          <w:p w14:paraId="27783CE9" w14:textId="77777777" w:rsidR="00FF7884" w:rsidRDefault="00FF7884">
            <w:pPr>
              <w:pStyle w:val="Default"/>
              <w:rPr>
                <w:rFonts w:ascii="Calibri" w:hAnsi="Calibri" w:cs="Calibri"/>
                <w:sz w:val="20"/>
                <w:szCs w:val="20"/>
              </w:rPr>
            </w:pPr>
            <w:r>
              <w:rPr>
                <w:rFonts w:ascii="Calibri" w:hAnsi="Calibri" w:cs="Calibri"/>
                <w:sz w:val="20"/>
                <w:szCs w:val="20"/>
              </w:rPr>
              <w:t xml:space="preserve">Bank Super Profits Tax </w:t>
            </w:r>
          </w:p>
        </w:tc>
        <w:tc>
          <w:tcPr>
            <w:tcW w:w="1984" w:type="dxa"/>
          </w:tcPr>
          <w:p w14:paraId="4AC58EE9" w14:textId="77777777" w:rsidR="00FF7884" w:rsidRDefault="00FF7884">
            <w:pPr>
              <w:pStyle w:val="Default"/>
              <w:rPr>
                <w:rFonts w:ascii="Calibri" w:hAnsi="Calibri" w:cs="Calibri"/>
                <w:sz w:val="20"/>
                <w:szCs w:val="20"/>
              </w:rPr>
            </w:pPr>
            <w:r>
              <w:rPr>
                <w:rFonts w:ascii="Calibri" w:hAnsi="Calibri" w:cs="Calibri"/>
                <w:sz w:val="20"/>
                <w:szCs w:val="20"/>
              </w:rPr>
              <w:t xml:space="preserve">$5,700 </w:t>
            </w:r>
          </w:p>
        </w:tc>
      </w:tr>
      <w:tr w:rsidR="00FF7884" w14:paraId="0B0F7D30" w14:textId="77777777" w:rsidTr="00FF7884">
        <w:trPr>
          <w:trHeight w:val="99"/>
        </w:trPr>
        <w:tc>
          <w:tcPr>
            <w:tcW w:w="6771" w:type="dxa"/>
          </w:tcPr>
          <w:p w14:paraId="135BDA88" w14:textId="77777777" w:rsidR="00FF7884" w:rsidRDefault="00FF7884">
            <w:pPr>
              <w:pStyle w:val="Default"/>
              <w:rPr>
                <w:rFonts w:ascii="Calibri" w:hAnsi="Calibri" w:cs="Calibri"/>
                <w:sz w:val="20"/>
                <w:szCs w:val="20"/>
              </w:rPr>
            </w:pPr>
            <w:r>
              <w:rPr>
                <w:rFonts w:ascii="Calibri" w:hAnsi="Calibri" w:cs="Calibri"/>
                <w:sz w:val="20"/>
                <w:szCs w:val="20"/>
              </w:rPr>
              <w:t xml:space="preserve">Financial transaction Tax </w:t>
            </w:r>
          </w:p>
        </w:tc>
        <w:tc>
          <w:tcPr>
            <w:tcW w:w="1984" w:type="dxa"/>
          </w:tcPr>
          <w:p w14:paraId="45DB59C4" w14:textId="77777777" w:rsidR="00FF7884" w:rsidRDefault="00FF7884">
            <w:pPr>
              <w:pStyle w:val="Default"/>
              <w:rPr>
                <w:rFonts w:ascii="Calibri" w:hAnsi="Calibri" w:cs="Calibri"/>
                <w:sz w:val="20"/>
                <w:szCs w:val="20"/>
              </w:rPr>
            </w:pPr>
            <w:r>
              <w:rPr>
                <w:rFonts w:ascii="Calibri" w:hAnsi="Calibri" w:cs="Calibri"/>
                <w:sz w:val="20"/>
                <w:szCs w:val="20"/>
              </w:rPr>
              <w:t xml:space="preserve">$1,000 to $1,400 </w:t>
            </w:r>
          </w:p>
        </w:tc>
      </w:tr>
      <w:tr w:rsidR="00FF7884" w14:paraId="65721C31" w14:textId="77777777" w:rsidTr="00FF7884">
        <w:trPr>
          <w:trHeight w:val="99"/>
        </w:trPr>
        <w:tc>
          <w:tcPr>
            <w:tcW w:w="6771" w:type="dxa"/>
          </w:tcPr>
          <w:p w14:paraId="6C424AC4" w14:textId="77777777" w:rsidR="00FF7884" w:rsidRDefault="00FF7884">
            <w:pPr>
              <w:pStyle w:val="Default"/>
              <w:rPr>
                <w:rFonts w:ascii="Calibri" w:hAnsi="Calibri" w:cs="Calibri"/>
                <w:sz w:val="20"/>
                <w:szCs w:val="20"/>
              </w:rPr>
            </w:pPr>
            <w:r>
              <w:rPr>
                <w:rFonts w:ascii="Calibri" w:hAnsi="Calibri" w:cs="Calibri"/>
                <w:sz w:val="20"/>
                <w:szCs w:val="20"/>
              </w:rPr>
              <w:t xml:space="preserve">Estate Tax </w:t>
            </w:r>
          </w:p>
        </w:tc>
        <w:tc>
          <w:tcPr>
            <w:tcW w:w="1984" w:type="dxa"/>
          </w:tcPr>
          <w:p w14:paraId="463B211C" w14:textId="77777777" w:rsidR="00FF7884" w:rsidRDefault="00FF7884">
            <w:pPr>
              <w:pStyle w:val="Default"/>
              <w:rPr>
                <w:rFonts w:ascii="Calibri" w:hAnsi="Calibri" w:cs="Calibri"/>
                <w:sz w:val="20"/>
                <w:szCs w:val="20"/>
              </w:rPr>
            </w:pPr>
            <w:r>
              <w:rPr>
                <w:rFonts w:ascii="Calibri" w:hAnsi="Calibri" w:cs="Calibri"/>
                <w:sz w:val="20"/>
                <w:szCs w:val="20"/>
              </w:rPr>
              <w:t xml:space="preserve">$5,000 </w:t>
            </w:r>
          </w:p>
        </w:tc>
      </w:tr>
      <w:tr w:rsidR="00FF7884" w14:paraId="463AF491" w14:textId="77777777" w:rsidTr="00FF7884">
        <w:trPr>
          <w:trHeight w:val="99"/>
        </w:trPr>
        <w:tc>
          <w:tcPr>
            <w:tcW w:w="6771" w:type="dxa"/>
          </w:tcPr>
          <w:p w14:paraId="65B068A7" w14:textId="77777777" w:rsidR="00FF7884" w:rsidRDefault="00FF7884">
            <w:pPr>
              <w:pStyle w:val="Default"/>
              <w:rPr>
                <w:rFonts w:ascii="Calibri" w:hAnsi="Calibri" w:cs="Calibri"/>
                <w:sz w:val="20"/>
                <w:szCs w:val="20"/>
              </w:rPr>
            </w:pPr>
            <w:r>
              <w:rPr>
                <w:rFonts w:ascii="Calibri" w:hAnsi="Calibri" w:cs="Calibri"/>
                <w:sz w:val="20"/>
                <w:szCs w:val="20"/>
              </w:rPr>
              <w:t xml:space="preserve">Restricting fossil fuel subsidies </w:t>
            </w:r>
          </w:p>
        </w:tc>
        <w:tc>
          <w:tcPr>
            <w:tcW w:w="1984" w:type="dxa"/>
          </w:tcPr>
          <w:p w14:paraId="3BABBB3D" w14:textId="77777777" w:rsidR="00FF7884" w:rsidRDefault="00FF7884">
            <w:pPr>
              <w:pStyle w:val="Default"/>
              <w:rPr>
                <w:rFonts w:ascii="Calibri" w:hAnsi="Calibri" w:cs="Calibri"/>
                <w:sz w:val="20"/>
                <w:szCs w:val="20"/>
              </w:rPr>
            </w:pPr>
            <w:r>
              <w:rPr>
                <w:rFonts w:ascii="Calibri" w:hAnsi="Calibri" w:cs="Calibri"/>
                <w:sz w:val="20"/>
                <w:szCs w:val="20"/>
              </w:rPr>
              <w:t xml:space="preserve">$11,517 </w:t>
            </w:r>
          </w:p>
        </w:tc>
      </w:tr>
    </w:tbl>
    <w:p w14:paraId="5EC53D9C" w14:textId="77777777" w:rsidR="00FF7884" w:rsidRPr="00C36999" w:rsidRDefault="00FF7884" w:rsidP="00FF7884">
      <w:pPr>
        <w:rPr>
          <w:rFonts w:ascii="Garamond" w:hAnsi="Garamond"/>
          <w:sz w:val="22"/>
          <w:szCs w:val="22"/>
        </w:rPr>
      </w:pPr>
    </w:p>
    <w:sectPr w:rsidR="00FF7884" w:rsidRPr="00C36999" w:rsidSect="004A26EF">
      <w:headerReference w:type="default" r:id="rId12"/>
      <w:pgSz w:w="11907" w:h="16840" w:code="9"/>
      <w:pgMar w:top="1134" w:right="1418" w:bottom="1134" w:left="1418" w:header="720" w:footer="720" w:gutter="0"/>
      <w:cols w:space="720"/>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53FCD9" w14:textId="77777777" w:rsidR="000120F3" w:rsidRDefault="000120F3">
      <w:r>
        <w:separator/>
      </w:r>
    </w:p>
  </w:endnote>
  <w:endnote w:type="continuationSeparator" w:id="0">
    <w:p w14:paraId="52B87B01" w14:textId="77777777" w:rsidR="000120F3" w:rsidRDefault="0001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968D5" w14:textId="77777777" w:rsidR="000120F3" w:rsidRDefault="000120F3">
      <w:r>
        <w:separator/>
      </w:r>
    </w:p>
  </w:footnote>
  <w:footnote w:type="continuationSeparator" w:id="0">
    <w:p w14:paraId="693FC3F7" w14:textId="77777777" w:rsidR="000120F3" w:rsidRDefault="000120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9D75" w14:textId="77777777" w:rsidR="0082585D" w:rsidRDefault="0082585D">
    <w:pPr>
      <w:pStyle w:val="Header"/>
      <w:pBdr>
        <w:bottom w:val="dotted" w:sz="4" w:space="1" w:color="auto"/>
      </w:pBdr>
      <w:rPr>
        <w:sz w:val="18"/>
      </w:rPr>
    </w:pPr>
    <w:r>
      <w:rPr>
        <w:sz w:val="18"/>
      </w:rPr>
      <w:t>L</w:t>
    </w:r>
    <w:r w:rsidR="00DF7AB7">
      <w:rPr>
        <w:sz w:val="18"/>
      </w:rPr>
      <w:t xml:space="preserve">awrence Reddaway </w:t>
    </w:r>
  </w:p>
  <w:p w14:paraId="44306965" w14:textId="77777777" w:rsidR="0082585D" w:rsidRDefault="0082585D">
    <w:pPr>
      <w:pStyle w:val="Header"/>
      <w:pBdr>
        <w:bottom w:val="dotted" w:sz="4" w:space="1" w:color="auto"/>
      </w:pBdr>
      <w:rPr>
        <w:sz w:val="18"/>
      </w:rPr>
    </w:pPr>
  </w:p>
  <w:p w14:paraId="10482402" w14:textId="77777777" w:rsidR="0082585D" w:rsidRDefault="0082585D">
    <w:pPr>
      <w:pStyle w:val="Header"/>
      <w:rPr>
        <w:sz w:val="18"/>
      </w:rPr>
    </w:pPr>
  </w:p>
  <w:p w14:paraId="3A9A0BD0" w14:textId="77777777" w:rsidR="0082585D" w:rsidRDefault="0082585D">
    <w:pPr>
      <w:pStyle w:val="Header"/>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51BEA"/>
    <w:multiLevelType w:val="hybridMultilevel"/>
    <w:tmpl w:val="2FCAE0F4"/>
    <w:lvl w:ilvl="0" w:tplc="0C090017">
      <w:start w:val="1"/>
      <w:numFmt w:val="lowerLetter"/>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
    <w:nsid w:val="0A3412F4"/>
    <w:multiLevelType w:val="hybridMultilevel"/>
    <w:tmpl w:val="C23E60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CF12FFD"/>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0F031E5B"/>
    <w:multiLevelType w:val="hybridMultilevel"/>
    <w:tmpl w:val="8D8EEE72"/>
    <w:lvl w:ilvl="0" w:tplc="B4B8938E">
      <w:start w:val="1"/>
      <w:numFmt w:val="bullet"/>
      <w:lvlText w:val=""/>
      <w:lvlJc w:val="left"/>
      <w:pPr>
        <w:tabs>
          <w:tab w:val="num" w:pos="644"/>
        </w:tabs>
        <w:ind w:left="644" w:hanging="284"/>
      </w:pPr>
      <w:rPr>
        <w:rFonts w:ascii="Wingdings" w:hAnsi="Wingdings" w:hint="default"/>
      </w:rPr>
    </w:lvl>
    <w:lvl w:ilvl="1" w:tplc="B4B8938E">
      <w:start w:val="1"/>
      <w:numFmt w:val="bullet"/>
      <w:lvlText w:val=""/>
      <w:lvlJc w:val="left"/>
      <w:pPr>
        <w:tabs>
          <w:tab w:val="num" w:pos="1364"/>
        </w:tabs>
        <w:ind w:left="1364" w:hanging="284"/>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0AF4512"/>
    <w:multiLevelType w:val="hybridMultilevel"/>
    <w:tmpl w:val="4FCE0DBA"/>
    <w:lvl w:ilvl="0" w:tplc="0409000F">
      <w:start w:val="1"/>
      <w:numFmt w:val="decimal"/>
      <w:lvlText w:val="%1."/>
      <w:lvlJc w:val="left"/>
      <w:pPr>
        <w:tabs>
          <w:tab w:val="num" w:pos="360"/>
        </w:tabs>
        <w:ind w:left="360" w:hanging="360"/>
      </w:pPr>
    </w:lvl>
    <w:lvl w:ilvl="1" w:tplc="B4B8938E">
      <w:start w:val="1"/>
      <w:numFmt w:val="bullet"/>
      <w:lvlText w:val=""/>
      <w:lvlJc w:val="left"/>
      <w:pPr>
        <w:tabs>
          <w:tab w:val="num" w:pos="1004"/>
        </w:tabs>
        <w:ind w:left="1004" w:hanging="284"/>
      </w:pPr>
      <w:rPr>
        <w:rFonts w:ascii="Wingdings" w:hAnsi="Wingdings"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6B257B6"/>
    <w:multiLevelType w:val="hybridMultilevel"/>
    <w:tmpl w:val="3C888398"/>
    <w:lvl w:ilvl="0" w:tplc="B4B8938E">
      <w:start w:val="1"/>
      <w:numFmt w:val="bullet"/>
      <w:lvlText w:val=""/>
      <w:lvlJc w:val="left"/>
      <w:pPr>
        <w:tabs>
          <w:tab w:val="num" w:pos="644"/>
        </w:tabs>
        <w:ind w:left="644" w:hanging="284"/>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6DB7436"/>
    <w:multiLevelType w:val="hybridMultilevel"/>
    <w:tmpl w:val="F9D627E4"/>
    <w:lvl w:ilvl="0" w:tplc="B4B8938E">
      <w:start w:val="1"/>
      <w:numFmt w:val="bullet"/>
      <w:lvlText w:val=""/>
      <w:lvlJc w:val="left"/>
      <w:pPr>
        <w:tabs>
          <w:tab w:val="num" w:pos="644"/>
        </w:tabs>
        <w:ind w:left="644" w:hanging="284"/>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8547EA6"/>
    <w:multiLevelType w:val="hybridMultilevel"/>
    <w:tmpl w:val="197E7B72"/>
    <w:lvl w:ilvl="0" w:tplc="0C090017">
      <w:start w:val="1"/>
      <w:numFmt w:val="lowerLetter"/>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8">
    <w:nsid w:val="1A764DB7"/>
    <w:multiLevelType w:val="hybridMultilevel"/>
    <w:tmpl w:val="6C2AFC2C"/>
    <w:lvl w:ilvl="0" w:tplc="0C090017">
      <w:start w:val="1"/>
      <w:numFmt w:val="lowerLetter"/>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9">
    <w:nsid w:val="29A30A70"/>
    <w:multiLevelType w:val="hybridMultilevel"/>
    <w:tmpl w:val="22F20230"/>
    <w:lvl w:ilvl="0" w:tplc="0C090017">
      <w:start w:val="1"/>
      <w:numFmt w:val="lowerLetter"/>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0">
    <w:nsid w:val="3AF80710"/>
    <w:multiLevelType w:val="hybridMultilevel"/>
    <w:tmpl w:val="3ADEE5F2"/>
    <w:lvl w:ilvl="0" w:tplc="0C090017">
      <w:start w:val="1"/>
      <w:numFmt w:val="lowerLetter"/>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1">
    <w:nsid w:val="41AB7038"/>
    <w:multiLevelType w:val="hybridMultilevel"/>
    <w:tmpl w:val="EE7A7340"/>
    <w:lvl w:ilvl="0" w:tplc="B4B8938E">
      <w:start w:val="1"/>
      <w:numFmt w:val="bullet"/>
      <w:lvlText w:val=""/>
      <w:lvlJc w:val="left"/>
      <w:pPr>
        <w:tabs>
          <w:tab w:val="num" w:pos="568"/>
        </w:tabs>
        <w:ind w:left="568" w:hanging="284"/>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54F86CD0"/>
    <w:multiLevelType w:val="hybridMultilevel"/>
    <w:tmpl w:val="6E40F80E"/>
    <w:lvl w:ilvl="0" w:tplc="0C090017">
      <w:start w:val="1"/>
      <w:numFmt w:val="lowerLetter"/>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3">
    <w:nsid w:val="5765006B"/>
    <w:multiLevelType w:val="hybridMultilevel"/>
    <w:tmpl w:val="B4721EE4"/>
    <w:lvl w:ilvl="0" w:tplc="FFFFFFFF">
      <w:start w:val="1"/>
      <w:numFmt w:val="decimal"/>
      <w:lvlText w:val="%1."/>
      <w:lvlJc w:val="left"/>
      <w:pPr>
        <w:tabs>
          <w:tab w:val="num" w:pos="720"/>
        </w:tabs>
        <w:ind w:left="720" w:hanging="720"/>
      </w:pPr>
      <w:rPr>
        <w:rFonts w:hint="default"/>
        <w:b w:val="0"/>
      </w:rPr>
    </w:lvl>
    <w:lvl w:ilvl="1" w:tplc="FFFFFFFF">
      <w:start w:val="1"/>
      <w:numFmt w:val="lowerLetter"/>
      <w:lvlText w:val="%2)"/>
      <w:lvlJc w:val="left"/>
      <w:pPr>
        <w:tabs>
          <w:tab w:val="num" w:pos="1440"/>
        </w:tabs>
        <w:ind w:left="1440" w:hanging="360"/>
      </w:pPr>
      <w:rPr>
        <w:rFonts w:hint="default"/>
      </w:rPr>
    </w:lvl>
    <w:lvl w:ilvl="2" w:tplc="18E21C08">
      <w:start w:val="1"/>
      <w:numFmt w:val="decimal"/>
      <w:lvlText w:val="%3."/>
      <w:lvlJc w:val="left"/>
      <w:pPr>
        <w:tabs>
          <w:tab w:val="num" w:pos="2340"/>
        </w:tabs>
        <w:ind w:left="2340" w:hanging="360"/>
      </w:pPr>
      <w:rPr>
        <w:rFonts w:hint="default"/>
      </w:rPr>
    </w:lvl>
    <w:lvl w:ilvl="3" w:tplc="E6B442E8">
      <w:numFmt w:val="bullet"/>
      <w:lvlText w:val="-"/>
      <w:lvlJc w:val="left"/>
      <w:pPr>
        <w:tabs>
          <w:tab w:val="num" w:pos="2880"/>
        </w:tabs>
        <w:ind w:left="2880" w:hanging="360"/>
      </w:pPr>
      <w:rPr>
        <w:rFonts w:ascii="Arial" w:eastAsia="Times New Roman" w:hAnsi="Arial" w:cs="Aria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7E233FF"/>
    <w:multiLevelType w:val="hybridMultilevel"/>
    <w:tmpl w:val="D59A134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4E73A2D"/>
    <w:multiLevelType w:val="hybridMultilevel"/>
    <w:tmpl w:val="FF063D06"/>
    <w:lvl w:ilvl="0" w:tplc="0C090017">
      <w:start w:val="1"/>
      <w:numFmt w:val="lowerLetter"/>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6">
    <w:nsid w:val="685C6DEF"/>
    <w:multiLevelType w:val="hybridMultilevel"/>
    <w:tmpl w:val="70386D36"/>
    <w:lvl w:ilvl="0" w:tplc="B4B8938E">
      <w:start w:val="1"/>
      <w:numFmt w:val="bullet"/>
      <w:lvlText w:val=""/>
      <w:lvlJc w:val="left"/>
      <w:pPr>
        <w:tabs>
          <w:tab w:val="num" w:pos="644"/>
        </w:tabs>
        <w:ind w:left="644" w:hanging="284"/>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7BD56DD6"/>
    <w:multiLevelType w:val="hybridMultilevel"/>
    <w:tmpl w:val="EBE8D220"/>
    <w:lvl w:ilvl="0" w:tplc="B442B49C">
      <w:start w:val="1"/>
      <w:numFmt w:val="bullet"/>
      <w:lvlText w:val=""/>
      <w:lvlJc w:val="left"/>
      <w:pPr>
        <w:tabs>
          <w:tab w:val="num" w:pos="1080"/>
        </w:tabs>
        <w:ind w:left="1080" w:hanging="360"/>
      </w:pPr>
      <w:rPr>
        <w:rFonts w:ascii="Wingdings" w:hAnsi="Wingdings" w:hint="default"/>
      </w:rPr>
    </w:lvl>
    <w:lvl w:ilvl="1" w:tplc="FFFFFFFF">
      <w:start w:val="1"/>
      <w:numFmt w:val="lowerLetter"/>
      <w:lvlText w:val="%2)"/>
      <w:lvlJc w:val="left"/>
      <w:pPr>
        <w:tabs>
          <w:tab w:val="num" w:pos="2160"/>
        </w:tabs>
        <w:ind w:left="2160" w:hanging="360"/>
      </w:pPr>
      <w:rPr>
        <w:rFont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8">
    <w:nsid w:val="7F1640B0"/>
    <w:multiLevelType w:val="hybridMultilevel"/>
    <w:tmpl w:val="C65AEC1C"/>
    <w:lvl w:ilvl="0" w:tplc="B4B8938E">
      <w:start w:val="1"/>
      <w:numFmt w:val="bullet"/>
      <w:lvlText w:val=""/>
      <w:lvlJc w:val="left"/>
      <w:pPr>
        <w:tabs>
          <w:tab w:val="num" w:pos="644"/>
        </w:tabs>
        <w:ind w:left="644" w:hanging="284"/>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15"/>
  </w:num>
  <w:num w:numId="11">
    <w:abstractNumId w:val="10"/>
  </w:num>
  <w:num w:numId="12">
    <w:abstractNumId w:val="0"/>
  </w:num>
  <w:num w:numId="13">
    <w:abstractNumId w:val="12"/>
  </w:num>
  <w:num w:numId="14">
    <w:abstractNumId w:val="9"/>
  </w:num>
  <w:num w:numId="15">
    <w:abstractNumId w:val="7"/>
  </w:num>
  <w:num w:numId="16">
    <w:abstractNumId w:val="8"/>
  </w:num>
  <w:num w:numId="17">
    <w:abstractNumId w:val="17"/>
  </w:num>
  <w:num w:numId="18">
    <w:abstractNumId w:val="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9D4"/>
    <w:rsid w:val="000120F3"/>
    <w:rsid w:val="00042EF5"/>
    <w:rsid w:val="000844DB"/>
    <w:rsid w:val="0013630C"/>
    <w:rsid w:val="0014794A"/>
    <w:rsid w:val="0029369B"/>
    <w:rsid w:val="002F31B0"/>
    <w:rsid w:val="002F40F0"/>
    <w:rsid w:val="003E1625"/>
    <w:rsid w:val="004837FE"/>
    <w:rsid w:val="004A26EF"/>
    <w:rsid w:val="004A7B46"/>
    <w:rsid w:val="005069D4"/>
    <w:rsid w:val="005D188E"/>
    <w:rsid w:val="00600472"/>
    <w:rsid w:val="00635962"/>
    <w:rsid w:val="0082585D"/>
    <w:rsid w:val="00907262"/>
    <w:rsid w:val="009C2C5F"/>
    <w:rsid w:val="00B26635"/>
    <w:rsid w:val="00BC3652"/>
    <w:rsid w:val="00BD2B0D"/>
    <w:rsid w:val="00C36999"/>
    <w:rsid w:val="00CE728C"/>
    <w:rsid w:val="00D01280"/>
    <w:rsid w:val="00D2491C"/>
    <w:rsid w:val="00DB1358"/>
    <w:rsid w:val="00DC1731"/>
    <w:rsid w:val="00DF7AB7"/>
    <w:rsid w:val="00E21A8A"/>
    <w:rsid w:val="00F15D32"/>
    <w:rsid w:val="00FB27B1"/>
    <w:rsid w:val="00FF78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61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en-US"/>
    </w:rPr>
  </w:style>
  <w:style w:type="paragraph" w:styleId="Heading1">
    <w:name w:val="heading 1"/>
    <w:basedOn w:val="Normal"/>
    <w:next w:val="Normal"/>
    <w:qFormat/>
    <w:rsid w:val="00042EF5"/>
    <w:pPr>
      <w:keepNext/>
      <w:numPr>
        <w:numId w:val="9"/>
      </w:numPr>
      <w:shd w:val="pct10" w:color="auto" w:fill="FFFFFF"/>
      <w:outlineLvl w:val="0"/>
    </w:pPr>
    <w:rPr>
      <w:rFonts w:ascii="Arial" w:hAnsi="Arial"/>
      <w:sz w:val="36"/>
    </w:rPr>
  </w:style>
  <w:style w:type="paragraph" w:styleId="Heading2">
    <w:name w:val="heading 2"/>
    <w:basedOn w:val="Normal"/>
    <w:next w:val="Normal"/>
    <w:qFormat/>
    <w:rsid w:val="00042EF5"/>
    <w:pPr>
      <w:keepNext/>
      <w:numPr>
        <w:ilvl w:val="1"/>
        <w:numId w:val="9"/>
      </w:numPr>
      <w:outlineLvl w:val="1"/>
    </w:pPr>
    <w:rPr>
      <w:rFonts w:ascii="Arial" w:hAnsi="Arial"/>
      <w:b/>
      <w:sz w:val="24"/>
    </w:rPr>
  </w:style>
  <w:style w:type="paragraph" w:styleId="Heading3">
    <w:name w:val="heading 3"/>
    <w:basedOn w:val="Normal"/>
    <w:next w:val="Normal"/>
    <w:qFormat/>
    <w:rsid w:val="00042EF5"/>
    <w:pPr>
      <w:keepNext/>
      <w:numPr>
        <w:ilvl w:val="2"/>
        <w:numId w:val="9"/>
      </w:numPr>
      <w:jc w:val="center"/>
      <w:outlineLvl w:val="2"/>
    </w:pPr>
    <w:rPr>
      <w:rFonts w:ascii="Arial" w:hAnsi="Arial"/>
      <w:b/>
      <w:sz w:val="24"/>
    </w:rPr>
  </w:style>
  <w:style w:type="paragraph" w:styleId="Heading4">
    <w:name w:val="heading 4"/>
    <w:basedOn w:val="Normal"/>
    <w:next w:val="Normal"/>
    <w:qFormat/>
    <w:rsid w:val="00042EF5"/>
    <w:pPr>
      <w:keepNext/>
      <w:numPr>
        <w:ilvl w:val="3"/>
        <w:numId w:val="9"/>
      </w:numPr>
      <w:jc w:val="center"/>
      <w:outlineLvl w:val="3"/>
    </w:pPr>
    <w:rPr>
      <w:rFonts w:ascii="Garamond" w:hAnsi="Garamond"/>
      <w:b/>
      <w:sz w:val="36"/>
    </w:rPr>
  </w:style>
  <w:style w:type="paragraph" w:styleId="Heading5">
    <w:name w:val="heading 5"/>
    <w:basedOn w:val="Normal"/>
    <w:next w:val="Normal"/>
    <w:qFormat/>
    <w:rsid w:val="00042EF5"/>
    <w:pPr>
      <w:numPr>
        <w:ilvl w:val="4"/>
        <w:numId w:val="9"/>
      </w:numPr>
      <w:spacing w:before="240" w:after="60"/>
      <w:outlineLvl w:val="4"/>
    </w:pPr>
    <w:rPr>
      <w:rFonts w:ascii="Arial" w:hAnsi="Arial"/>
      <w:b/>
      <w:bCs/>
      <w:i/>
      <w:iCs/>
      <w:sz w:val="26"/>
      <w:szCs w:val="26"/>
    </w:rPr>
  </w:style>
  <w:style w:type="paragraph" w:styleId="Heading6">
    <w:name w:val="heading 6"/>
    <w:basedOn w:val="Normal"/>
    <w:next w:val="Normal"/>
    <w:qFormat/>
    <w:rsid w:val="00042EF5"/>
    <w:pPr>
      <w:numPr>
        <w:ilvl w:val="5"/>
        <w:numId w:val="9"/>
      </w:numPr>
      <w:spacing w:before="240" w:after="60"/>
      <w:outlineLvl w:val="5"/>
    </w:pPr>
    <w:rPr>
      <w:bCs/>
      <w:sz w:val="22"/>
      <w:szCs w:val="22"/>
    </w:rPr>
  </w:style>
  <w:style w:type="paragraph" w:styleId="Heading7">
    <w:name w:val="heading 7"/>
    <w:basedOn w:val="Normal"/>
    <w:next w:val="Normal"/>
    <w:qFormat/>
    <w:rsid w:val="00042EF5"/>
    <w:pPr>
      <w:numPr>
        <w:ilvl w:val="6"/>
        <w:numId w:val="9"/>
      </w:numPr>
      <w:spacing w:before="240" w:after="60"/>
      <w:outlineLvl w:val="6"/>
    </w:pPr>
    <w:rPr>
      <w:b/>
      <w:sz w:val="24"/>
      <w:szCs w:val="24"/>
    </w:rPr>
  </w:style>
  <w:style w:type="paragraph" w:styleId="Heading8">
    <w:name w:val="heading 8"/>
    <w:basedOn w:val="Normal"/>
    <w:next w:val="Normal"/>
    <w:qFormat/>
    <w:rsid w:val="00042EF5"/>
    <w:pPr>
      <w:numPr>
        <w:ilvl w:val="7"/>
        <w:numId w:val="9"/>
      </w:numPr>
      <w:spacing w:before="240" w:after="60"/>
      <w:outlineLvl w:val="7"/>
    </w:pPr>
    <w:rPr>
      <w:b/>
      <w:i/>
      <w:iCs/>
      <w:sz w:val="24"/>
      <w:szCs w:val="24"/>
    </w:rPr>
  </w:style>
  <w:style w:type="paragraph" w:styleId="Heading9">
    <w:name w:val="heading 9"/>
    <w:basedOn w:val="Normal"/>
    <w:next w:val="Normal"/>
    <w:qFormat/>
    <w:rsid w:val="00042EF5"/>
    <w:pPr>
      <w:numPr>
        <w:ilvl w:val="8"/>
        <w:numId w:val="9"/>
      </w:numPr>
      <w:spacing w:before="240" w:after="60"/>
      <w:outlineLvl w:val="8"/>
    </w:pPr>
    <w:rPr>
      <w:rFonts w:ascii="Arial"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907262"/>
    <w:pPr>
      <w:ind w:left="720"/>
      <w:contextualSpacing/>
    </w:pPr>
  </w:style>
  <w:style w:type="paragraph" w:customStyle="1" w:styleId="Default">
    <w:name w:val="Default"/>
    <w:rsid w:val="00FF7884"/>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en-US"/>
    </w:rPr>
  </w:style>
  <w:style w:type="paragraph" w:styleId="Heading1">
    <w:name w:val="heading 1"/>
    <w:basedOn w:val="Normal"/>
    <w:next w:val="Normal"/>
    <w:qFormat/>
    <w:rsid w:val="00042EF5"/>
    <w:pPr>
      <w:keepNext/>
      <w:numPr>
        <w:numId w:val="9"/>
      </w:numPr>
      <w:shd w:val="pct10" w:color="auto" w:fill="FFFFFF"/>
      <w:outlineLvl w:val="0"/>
    </w:pPr>
    <w:rPr>
      <w:rFonts w:ascii="Arial" w:hAnsi="Arial"/>
      <w:sz w:val="36"/>
    </w:rPr>
  </w:style>
  <w:style w:type="paragraph" w:styleId="Heading2">
    <w:name w:val="heading 2"/>
    <w:basedOn w:val="Normal"/>
    <w:next w:val="Normal"/>
    <w:qFormat/>
    <w:rsid w:val="00042EF5"/>
    <w:pPr>
      <w:keepNext/>
      <w:numPr>
        <w:ilvl w:val="1"/>
        <w:numId w:val="9"/>
      </w:numPr>
      <w:outlineLvl w:val="1"/>
    </w:pPr>
    <w:rPr>
      <w:rFonts w:ascii="Arial" w:hAnsi="Arial"/>
      <w:b/>
      <w:sz w:val="24"/>
    </w:rPr>
  </w:style>
  <w:style w:type="paragraph" w:styleId="Heading3">
    <w:name w:val="heading 3"/>
    <w:basedOn w:val="Normal"/>
    <w:next w:val="Normal"/>
    <w:qFormat/>
    <w:rsid w:val="00042EF5"/>
    <w:pPr>
      <w:keepNext/>
      <w:numPr>
        <w:ilvl w:val="2"/>
        <w:numId w:val="9"/>
      </w:numPr>
      <w:jc w:val="center"/>
      <w:outlineLvl w:val="2"/>
    </w:pPr>
    <w:rPr>
      <w:rFonts w:ascii="Arial" w:hAnsi="Arial"/>
      <w:b/>
      <w:sz w:val="24"/>
    </w:rPr>
  </w:style>
  <w:style w:type="paragraph" w:styleId="Heading4">
    <w:name w:val="heading 4"/>
    <w:basedOn w:val="Normal"/>
    <w:next w:val="Normal"/>
    <w:qFormat/>
    <w:rsid w:val="00042EF5"/>
    <w:pPr>
      <w:keepNext/>
      <w:numPr>
        <w:ilvl w:val="3"/>
        <w:numId w:val="9"/>
      </w:numPr>
      <w:jc w:val="center"/>
      <w:outlineLvl w:val="3"/>
    </w:pPr>
    <w:rPr>
      <w:rFonts w:ascii="Garamond" w:hAnsi="Garamond"/>
      <w:b/>
      <w:sz w:val="36"/>
    </w:rPr>
  </w:style>
  <w:style w:type="paragraph" w:styleId="Heading5">
    <w:name w:val="heading 5"/>
    <w:basedOn w:val="Normal"/>
    <w:next w:val="Normal"/>
    <w:qFormat/>
    <w:rsid w:val="00042EF5"/>
    <w:pPr>
      <w:numPr>
        <w:ilvl w:val="4"/>
        <w:numId w:val="9"/>
      </w:numPr>
      <w:spacing w:before="240" w:after="60"/>
      <w:outlineLvl w:val="4"/>
    </w:pPr>
    <w:rPr>
      <w:rFonts w:ascii="Arial" w:hAnsi="Arial"/>
      <w:b/>
      <w:bCs/>
      <w:i/>
      <w:iCs/>
      <w:sz w:val="26"/>
      <w:szCs w:val="26"/>
    </w:rPr>
  </w:style>
  <w:style w:type="paragraph" w:styleId="Heading6">
    <w:name w:val="heading 6"/>
    <w:basedOn w:val="Normal"/>
    <w:next w:val="Normal"/>
    <w:qFormat/>
    <w:rsid w:val="00042EF5"/>
    <w:pPr>
      <w:numPr>
        <w:ilvl w:val="5"/>
        <w:numId w:val="9"/>
      </w:numPr>
      <w:spacing w:before="240" w:after="60"/>
      <w:outlineLvl w:val="5"/>
    </w:pPr>
    <w:rPr>
      <w:bCs/>
      <w:sz w:val="22"/>
      <w:szCs w:val="22"/>
    </w:rPr>
  </w:style>
  <w:style w:type="paragraph" w:styleId="Heading7">
    <w:name w:val="heading 7"/>
    <w:basedOn w:val="Normal"/>
    <w:next w:val="Normal"/>
    <w:qFormat/>
    <w:rsid w:val="00042EF5"/>
    <w:pPr>
      <w:numPr>
        <w:ilvl w:val="6"/>
        <w:numId w:val="9"/>
      </w:numPr>
      <w:spacing w:before="240" w:after="60"/>
      <w:outlineLvl w:val="6"/>
    </w:pPr>
    <w:rPr>
      <w:b/>
      <w:sz w:val="24"/>
      <w:szCs w:val="24"/>
    </w:rPr>
  </w:style>
  <w:style w:type="paragraph" w:styleId="Heading8">
    <w:name w:val="heading 8"/>
    <w:basedOn w:val="Normal"/>
    <w:next w:val="Normal"/>
    <w:qFormat/>
    <w:rsid w:val="00042EF5"/>
    <w:pPr>
      <w:numPr>
        <w:ilvl w:val="7"/>
        <w:numId w:val="9"/>
      </w:numPr>
      <w:spacing w:before="240" w:after="60"/>
      <w:outlineLvl w:val="7"/>
    </w:pPr>
    <w:rPr>
      <w:b/>
      <w:i/>
      <w:iCs/>
      <w:sz w:val="24"/>
      <w:szCs w:val="24"/>
    </w:rPr>
  </w:style>
  <w:style w:type="paragraph" w:styleId="Heading9">
    <w:name w:val="heading 9"/>
    <w:basedOn w:val="Normal"/>
    <w:next w:val="Normal"/>
    <w:qFormat/>
    <w:rsid w:val="00042EF5"/>
    <w:pPr>
      <w:numPr>
        <w:ilvl w:val="8"/>
        <w:numId w:val="9"/>
      </w:numPr>
      <w:spacing w:before="240" w:after="60"/>
      <w:outlineLvl w:val="8"/>
    </w:pPr>
    <w:rPr>
      <w:rFonts w:ascii="Arial"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907262"/>
    <w:pPr>
      <w:ind w:left="720"/>
      <w:contextualSpacing/>
    </w:pPr>
  </w:style>
  <w:style w:type="paragraph" w:customStyle="1" w:styleId="Default">
    <w:name w:val="Default"/>
    <w:rsid w:val="00FF788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2014RG-82-7907</_dlc_DocId>
    <_dlc_DocIdUrl xmlns="9f7bc583-7cbe-45b9-a2bd-8bbb6543b37e">
      <Url>http://tweb/sites/rg/project/twptf/_layouts/15/DocIdRedir.aspx?ID=2014RG-82-7907</Url>
      <Description>2014RG-82-7907</Description>
    </_dlc_DocIdUrl>
  </documentManagement>
</p:properties>
</file>

<file path=customXml/itemProps1.xml><?xml version="1.0" encoding="utf-8"?>
<ds:datastoreItem xmlns:ds="http://schemas.openxmlformats.org/officeDocument/2006/customXml" ds:itemID="{5C46DBEB-E3B0-4BA5-9DD2-030BE64D76EE}"/>
</file>

<file path=customXml/itemProps2.xml><?xml version="1.0" encoding="utf-8"?>
<ds:datastoreItem xmlns:ds="http://schemas.openxmlformats.org/officeDocument/2006/customXml" ds:itemID="{9918993B-D7B6-4FA0-BA12-00FEAFBEDD3C}"/>
</file>

<file path=customXml/itemProps3.xml><?xml version="1.0" encoding="utf-8"?>
<ds:datastoreItem xmlns:ds="http://schemas.openxmlformats.org/officeDocument/2006/customXml" ds:itemID="{CB4DD519-F1F9-45B1-9D4B-F8C58737DA33}"/>
</file>

<file path=customXml/itemProps4.xml><?xml version="1.0" encoding="utf-8"?>
<ds:datastoreItem xmlns:ds="http://schemas.openxmlformats.org/officeDocument/2006/customXml" ds:itemID="{E03909A3-47BE-459C-A68C-BE8CCCD96A8D}"/>
</file>

<file path=docProps/app.xml><?xml version="1.0" encoding="utf-8"?>
<Properties xmlns="http://schemas.openxmlformats.org/officeDocument/2006/extended-properties" xmlns:vt="http://schemas.openxmlformats.org/officeDocument/2006/docPropsVTypes">
  <Template>Normal.dotm</Template>
  <TotalTime>2</TotalTime>
  <Pages>2</Pages>
  <Words>357</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Reddaway, Lawrence - Submission to the Tax White Paper</vt:lpstr>
    </vt:vector>
  </TitlesOfParts>
  <Company/>
  <LinksUpToDate>false</LinksUpToDate>
  <CharactersWithSpaces>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Reddaway, Lawrence - Submission to the Tax White Paper</dc:title>
  <dc:creator/>
  <cp:lastModifiedBy>McLeod, Caitlin</cp:lastModifiedBy>
  <cp:revision>3</cp:revision>
  <dcterms:created xsi:type="dcterms:W3CDTF">2015-05-28T01:07:00Z</dcterms:created>
  <dcterms:modified xsi:type="dcterms:W3CDTF">2015-05-28T03:44:00Z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ies>
</file>