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CFF57A" w14:textId="77777777" w:rsidR="002530B3" w:rsidRDefault="002530B3" w:rsidP="0023313C">
      <w:pPr>
        <w:ind w:left="567"/>
        <w:jc w:val="center"/>
        <w:rPr>
          <w:b/>
          <w:sz w:val="32"/>
          <w:szCs w:val="32"/>
          <w:u w:val="single"/>
        </w:rPr>
      </w:pPr>
      <w:bookmarkStart w:id="0" w:name="_GoBack"/>
      <w:bookmarkEnd w:id="0"/>
      <w:r>
        <w:rPr>
          <w:b/>
          <w:sz w:val="32"/>
          <w:szCs w:val="32"/>
          <w:u w:val="single"/>
        </w:rPr>
        <w:t xml:space="preserve">TWO </w:t>
      </w:r>
      <w:r w:rsidR="00431851">
        <w:rPr>
          <w:b/>
          <w:sz w:val="32"/>
          <w:szCs w:val="32"/>
          <w:u w:val="single"/>
        </w:rPr>
        <w:t>FUNDAMENTAL CHANGE</w:t>
      </w:r>
      <w:r>
        <w:rPr>
          <w:b/>
          <w:sz w:val="32"/>
          <w:szCs w:val="32"/>
          <w:u w:val="single"/>
        </w:rPr>
        <w:t>S</w:t>
      </w:r>
    </w:p>
    <w:p w14:paraId="4ACFF57B" w14:textId="77777777" w:rsidR="00431851" w:rsidRDefault="002530B3" w:rsidP="0023313C">
      <w:pPr>
        <w:ind w:left="567"/>
        <w:jc w:val="center"/>
        <w:rPr>
          <w:b/>
          <w:sz w:val="32"/>
          <w:szCs w:val="32"/>
          <w:u w:val="single"/>
        </w:rPr>
      </w:pPr>
      <w:r>
        <w:rPr>
          <w:b/>
          <w:sz w:val="32"/>
          <w:szCs w:val="32"/>
          <w:u w:val="single"/>
        </w:rPr>
        <w:t xml:space="preserve"> TO THE</w:t>
      </w:r>
      <w:r w:rsidR="009D2B89">
        <w:rPr>
          <w:b/>
          <w:sz w:val="32"/>
          <w:szCs w:val="32"/>
          <w:u w:val="single"/>
        </w:rPr>
        <w:t xml:space="preserve"> </w:t>
      </w:r>
      <w:r w:rsidR="0023313C">
        <w:rPr>
          <w:b/>
          <w:sz w:val="32"/>
          <w:szCs w:val="32"/>
          <w:u w:val="single"/>
        </w:rPr>
        <w:t>TAXATION SYSTEM</w:t>
      </w:r>
    </w:p>
    <w:p w14:paraId="4ACFF57C" w14:textId="77777777" w:rsidR="00431851" w:rsidRDefault="00431851" w:rsidP="0023313C">
      <w:pPr>
        <w:ind w:left="567"/>
        <w:jc w:val="center"/>
        <w:rPr>
          <w:b/>
          <w:sz w:val="32"/>
          <w:szCs w:val="32"/>
          <w:u w:val="single"/>
        </w:rPr>
      </w:pPr>
      <w:r>
        <w:rPr>
          <w:b/>
          <w:sz w:val="32"/>
          <w:szCs w:val="32"/>
          <w:u w:val="single"/>
        </w:rPr>
        <w:t xml:space="preserve"> Recognising the need for equal rates of tax </w:t>
      </w:r>
      <w:r w:rsidR="002530B3">
        <w:rPr>
          <w:b/>
          <w:sz w:val="32"/>
          <w:szCs w:val="32"/>
          <w:u w:val="single"/>
        </w:rPr>
        <w:t>between non-human artificial corporations and living humans</w:t>
      </w:r>
    </w:p>
    <w:p w14:paraId="4ACFF57D" w14:textId="77777777" w:rsidR="00431851" w:rsidRDefault="00431851" w:rsidP="0023313C">
      <w:pPr>
        <w:ind w:left="567"/>
        <w:jc w:val="center"/>
        <w:rPr>
          <w:b/>
          <w:sz w:val="32"/>
          <w:szCs w:val="32"/>
          <w:u w:val="single"/>
        </w:rPr>
      </w:pPr>
      <w:r>
        <w:rPr>
          <w:b/>
          <w:sz w:val="32"/>
          <w:szCs w:val="32"/>
          <w:u w:val="single"/>
        </w:rPr>
        <w:t>And</w:t>
      </w:r>
    </w:p>
    <w:p w14:paraId="4ACFF57E" w14:textId="77777777" w:rsidR="002530B3" w:rsidRDefault="00431851" w:rsidP="0023313C">
      <w:pPr>
        <w:ind w:left="567"/>
        <w:jc w:val="center"/>
        <w:rPr>
          <w:b/>
          <w:sz w:val="32"/>
          <w:szCs w:val="32"/>
          <w:u w:val="single"/>
        </w:rPr>
      </w:pPr>
      <w:r>
        <w:rPr>
          <w:b/>
          <w:sz w:val="32"/>
          <w:szCs w:val="32"/>
          <w:u w:val="single"/>
        </w:rPr>
        <w:t xml:space="preserve">Rewarding Entrepreneurs with Tax Credits </w:t>
      </w:r>
      <w:r w:rsidR="002530B3">
        <w:rPr>
          <w:b/>
          <w:sz w:val="32"/>
          <w:szCs w:val="32"/>
          <w:u w:val="single"/>
        </w:rPr>
        <w:t>derived from the PAYE of</w:t>
      </w:r>
      <w:r>
        <w:rPr>
          <w:b/>
          <w:sz w:val="32"/>
          <w:szCs w:val="32"/>
          <w:u w:val="single"/>
        </w:rPr>
        <w:t xml:space="preserve"> ever</w:t>
      </w:r>
      <w:r w:rsidR="002530B3">
        <w:rPr>
          <w:b/>
          <w:sz w:val="32"/>
          <w:szCs w:val="32"/>
          <w:u w:val="single"/>
        </w:rPr>
        <w:t>y</w:t>
      </w:r>
      <w:r>
        <w:rPr>
          <w:b/>
          <w:sz w:val="32"/>
          <w:szCs w:val="32"/>
          <w:u w:val="single"/>
        </w:rPr>
        <w:t xml:space="preserve"> person employed</w:t>
      </w:r>
      <w:r w:rsidR="002530B3">
        <w:rPr>
          <w:b/>
          <w:sz w:val="32"/>
          <w:szCs w:val="32"/>
          <w:u w:val="single"/>
        </w:rPr>
        <w:t xml:space="preserve"> in </w:t>
      </w:r>
      <w:r w:rsidR="00496A41">
        <w:rPr>
          <w:b/>
          <w:sz w:val="32"/>
          <w:szCs w:val="32"/>
          <w:u w:val="single"/>
        </w:rPr>
        <w:t>Small Business</w:t>
      </w:r>
    </w:p>
    <w:p w14:paraId="4ACFF57F" w14:textId="77777777" w:rsidR="009275E4" w:rsidRDefault="00431851" w:rsidP="0023313C">
      <w:pPr>
        <w:ind w:left="567"/>
        <w:jc w:val="center"/>
        <w:rPr>
          <w:sz w:val="32"/>
          <w:szCs w:val="32"/>
        </w:rPr>
      </w:pPr>
      <w:r>
        <w:rPr>
          <w:b/>
          <w:sz w:val="32"/>
          <w:szCs w:val="32"/>
          <w:u w:val="single"/>
        </w:rPr>
        <w:t xml:space="preserve"> </w:t>
      </w:r>
      <w:r w:rsidR="0023313C">
        <w:rPr>
          <w:b/>
          <w:sz w:val="32"/>
          <w:szCs w:val="32"/>
          <w:u w:val="single"/>
        </w:rPr>
        <w:t xml:space="preserve"> </w:t>
      </w:r>
    </w:p>
    <w:p w14:paraId="4ACFF580" w14:textId="77777777" w:rsidR="00496A41" w:rsidRDefault="009D2B89" w:rsidP="00496A41">
      <w:pPr>
        <w:ind w:left="567"/>
        <w:jc w:val="center"/>
        <w:rPr>
          <w:sz w:val="32"/>
          <w:szCs w:val="32"/>
        </w:rPr>
      </w:pPr>
      <w:r>
        <w:rPr>
          <w:sz w:val="32"/>
          <w:szCs w:val="32"/>
        </w:rPr>
        <w:t>Australia does not have an E</w:t>
      </w:r>
      <w:r w:rsidR="002530B3">
        <w:rPr>
          <w:sz w:val="32"/>
          <w:szCs w:val="32"/>
        </w:rPr>
        <w:t>xpendit</w:t>
      </w:r>
      <w:r w:rsidR="00496A41">
        <w:rPr>
          <w:sz w:val="32"/>
          <w:szCs w:val="32"/>
        </w:rPr>
        <w:t>ure crisis!</w:t>
      </w:r>
    </w:p>
    <w:p w14:paraId="4ACFF581" w14:textId="77777777" w:rsidR="00496A41" w:rsidRDefault="002530B3" w:rsidP="00496A41">
      <w:pPr>
        <w:ind w:left="567"/>
        <w:jc w:val="center"/>
        <w:rPr>
          <w:sz w:val="32"/>
          <w:szCs w:val="32"/>
        </w:rPr>
      </w:pPr>
      <w:r>
        <w:rPr>
          <w:sz w:val="32"/>
          <w:szCs w:val="32"/>
        </w:rPr>
        <w:t>L</w:t>
      </w:r>
      <w:r w:rsidR="0023313C">
        <w:rPr>
          <w:sz w:val="32"/>
          <w:szCs w:val="32"/>
        </w:rPr>
        <w:t>ike Greece,</w:t>
      </w:r>
      <w:r>
        <w:rPr>
          <w:sz w:val="32"/>
          <w:szCs w:val="32"/>
        </w:rPr>
        <w:t xml:space="preserve"> Australia</w:t>
      </w:r>
      <w:r w:rsidR="0023313C">
        <w:rPr>
          <w:sz w:val="32"/>
          <w:szCs w:val="32"/>
        </w:rPr>
        <w:t xml:space="preserve"> has a Revenue </w:t>
      </w:r>
      <w:r w:rsidR="009D2B89">
        <w:rPr>
          <w:sz w:val="32"/>
          <w:szCs w:val="32"/>
        </w:rPr>
        <w:t xml:space="preserve">and Employment </w:t>
      </w:r>
      <w:r w:rsidR="00496A41">
        <w:rPr>
          <w:sz w:val="32"/>
          <w:szCs w:val="32"/>
        </w:rPr>
        <w:t>dilemma!</w:t>
      </w:r>
    </w:p>
    <w:p w14:paraId="4ACFF582" w14:textId="77777777" w:rsidR="009D2B89" w:rsidRDefault="003B7DCB" w:rsidP="0023313C">
      <w:pPr>
        <w:ind w:left="567"/>
        <w:rPr>
          <w:sz w:val="32"/>
          <w:szCs w:val="32"/>
        </w:rPr>
      </w:pPr>
      <w:r>
        <w:rPr>
          <w:sz w:val="32"/>
          <w:szCs w:val="32"/>
        </w:rPr>
        <w:t>B</w:t>
      </w:r>
      <w:r w:rsidR="00BC19DC">
        <w:rPr>
          <w:sz w:val="32"/>
          <w:szCs w:val="32"/>
        </w:rPr>
        <w:t xml:space="preserve">y </w:t>
      </w:r>
      <w:r w:rsidR="00496A41">
        <w:rPr>
          <w:sz w:val="32"/>
          <w:szCs w:val="32"/>
        </w:rPr>
        <w:t xml:space="preserve">introducing </w:t>
      </w:r>
      <w:r w:rsidR="00BB5058">
        <w:rPr>
          <w:sz w:val="32"/>
          <w:szCs w:val="32"/>
        </w:rPr>
        <w:t xml:space="preserve">one </w:t>
      </w:r>
      <w:r w:rsidR="001D6829">
        <w:rPr>
          <w:sz w:val="32"/>
          <w:szCs w:val="32"/>
        </w:rPr>
        <w:t xml:space="preserve">incentive to </w:t>
      </w:r>
      <w:r w:rsidR="00BC19DC">
        <w:rPr>
          <w:sz w:val="32"/>
          <w:szCs w:val="32"/>
        </w:rPr>
        <w:t>individual and partnership entrepreneurs</w:t>
      </w:r>
      <w:r w:rsidR="001D6829">
        <w:rPr>
          <w:sz w:val="32"/>
          <w:szCs w:val="32"/>
        </w:rPr>
        <w:t xml:space="preserve"> employing people</w:t>
      </w:r>
      <w:r>
        <w:rPr>
          <w:sz w:val="32"/>
          <w:szCs w:val="32"/>
        </w:rPr>
        <w:t xml:space="preserve">, </w:t>
      </w:r>
      <w:r w:rsidR="00496A41">
        <w:rPr>
          <w:sz w:val="32"/>
          <w:szCs w:val="32"/>
        </w:rPr>
        <w:t>will result</w:t>
      </w:r>
      <w:r>
        <w:rPr>
          <w:sz w:val="32"/>
          <w:szCs w:val="32"/>
        </w:rPr>
        <w:t xml:space="preserve"> in increasing Revenue and reduction in</w:t>
      </w:r>
      <w:r w:rsidR="001D6829">
        <w:rPr>
          <w:sz w:val="32"/>
          <w:szCs w:val="32"/>
        </w:rPr>
        <w:t xml:space="preserve"> social security benefits</w:t>
      </w:r>
      <w:r>
        <w:rPr>
          <w:sz w:val="32"/>
          <w:szCs w:val="32"/>
        </w:rPr>
        <w:t xml:space="preserve"> expenditure</w:t>
      </w:r>
      <w:r w:rsidR="001D6829">
        <w:rPr>
          <w:sz w:val="32"/>
          <w:szCs w:val="32"/>
        </w:rPr>
        <w:t>.</w:t>
      </w:r>
      <w:r>
        <w:rPr>
          <w:sz w:val="32"/>
          <w:szCs w:val="32"/>
        </w:rPr>
        <w:t xml:space="preserve"> The </w:t>
      </w:r>
      <w:r w:rsidR="00496A41">
        <w:rPr>
          <w:sz w:val="32"/>
          <w:szCs w:val="32"/>
        </w:rPr>
        <w:t xml:space="preserve">other </w:t>
      </w:r>
      <w:r>
        <w:rPr>
          <w:sz w:val="32"/>
          <w:szCs w:val="32"/>
        </w:rPr>
        <w:t>incentive has cash flow</w:t>
      </w:r>
      <w:r w:rsidR="00BB5058">
        <w:rPr>
          <w:sz w:val="32"/>
          <w:szCs w:val="32"/>
        </w:rPr>
        <w:t xml:space="preserve"> benefits for small business, while addressing</w:t>
      </w:r>
      <w:r>
        <w:rPr>
          <w:sz w:val="32"/>
          <w:szCs w:val="32"/>
        </w:rPr>
        <w:t xml:space="preserve"> tax rate discrepancy.</w:t>
      </w:r>
    </w:p>
    <w:p w14:paraId="4ACFF583" w14:textId="77777777" w:rsidR="00A13C53" w:rsidRDefault="007D758C" w:rsidP="0023313C">
      <w:pPr>
        <w:ind w:left="567"/>
        <w:rPr>
          <w:sz w:val="32"/>
          <w:szCs w:val="32"/>
        </w:rPr>
      </w:pPr>
      <w:r>
        <w:rPr>
          <w:sz w:val="32"/>
          <w:szCs w:val="32"/>
        </w:rPr>
        <w:t>Both i</w:t>
      </w:r>
      <w:r w:rsidR="009D2B89">
        <w:rPr>
          <w:sz w:val="32"/>
          <w:szCs w:val="32"/>
        </w:rPr>
        <w:t>nconsistent</w:t>
      </w:r>
      <w:r w:rsidR="0023313C">
        <w:rPr>
          <w:sz w:val="32"/>
          <w:szCs w:val="32"/>
        </w:rPr>
        <w:t xml:space="preserve"> </w:t>
      </w:r>
      <w:r w:rsidR="009D2B89">
        <w:rPr>
          <w:sz w:val="32"/>
          <w:szCs w:val="32"/>
        </w:rPr>
        <w:t xml:space="preserve">discriminatory </w:t>
      </w:r>
      <w:r w:rsidR="00FF4AC1">
        <w:rPr>
          <w:sz w:val="32"/>
          <w:szCs w:val="32"/>
        </w:rPr>
        <w:t>taxation</w:t>
      </w:r>
      <w:r w:rsidR="009D2B89">
        <w:rPr>
          <w:sz w:val="32"/>
          <w:szCs w:val="32"/>
        </w:rPr>
        <w:t xml:space="preserve"> rates</w:t>
      </w:r>
      <w:r w:rsidR="0023313C">
        <w:rPr>
          <w:sz w:val="32"/>
          <w:szCs w:val="32"/>
        </w:rPr>
        <w:t xml:space="preserve"> and inadequate targeted incentives for employers</w:t>
      </w:r>
      <w:r w:rsidR="00FF4AC1">
        <w:rPr>
          <w:sz w:val="32"/>
          <w:szCs w:val="32"/>
        </w:rPr>
        <w:t xml:space="preserve"> of the bulk of </w:t>
      </w:r>
      <w:r w:rsidR="00F37AF0">
        <w:rPr>
          <w:sz w:val="32"/>
          <w:szCs w:val="32"/>
        </w:rPr>
        <w:t xml:space="preserve">Australian </w:t>
      </w:r>
      <w:r w:rsidR="009D2B89">
        <w:rPr>
          <w:sz w:val="32"/>
          <w:szCs w:val="32"/>
        </w:rPr>
        <w:t>employees are the deficiencies to Revenue maximization.</w:t>
      </w:r>
      <w:r w:rsidR="0023313C">
        <w:rPr>
          <w:sz w:val="32"/>
          <w:szCs w:val="32"/>
        </w:rPr>
        <w:t xml:space="preserve"> </w:t>
      </w:r>
      <w:r w:rsidR="009D2B89">
        <w:rPr>
          <w:sz w:val="32"/>
          <w:szCs w:val="32"/>
        </w:rPr>
        <w:t>Specifically</w:t>
      </w:r>
      <w:r w:rsidR="0039269D">
        <w:rPr>
          <w:sz w:val="32"/>
          <w:szCs w:val="32"/>
        </w:rPr>
        <w:t>,</w:t>
      </w:r>
      <w:r w:rsidR="0023313C">
        <w:rPr>
          <w:sz w:val="32"/>
          <w:szCs w:val="32"/>
        </w:rPr>
        <w:t xml:space="preserve"> the small </w:t>
      </w:r>
      <w:r w:rsidR="002A1348">
        <w:rPr>
          <w:sz w:val="32"/>
          <w:szCs w:val="32"/>
        </w:rPr>
        <w:t>business em</w:t>
      </w:r>
      <w:r w:rsidR="00BA7E17">
        <w:rPr>
          <w:sz w:val="32"/>
          <w:szCs w:val="32"/>
        </w:rPr>
        <w:t>ployers create</w:t>
      </w:r>
      <w:r w:rsidR="002A1348" w:rsidRPr="002A1348">
        <w:rPr>
          <w:sz w:val="32"/>
          <w:szCs w:val="32"/>
        </w:rPr>
        <w:t xml:space="preserve"> the bulk of jobs.</w:t>
      </w:r>
      <w:r w:rsidR="009F24AD" w:rsidRPr="009F24AD">
        <w:t xml:space="preserve"> </w:t>
      </w:r>
      <w:r w:rsidR="002A1348">
        <w:rPr>
          <w:sz w:val="32"/>
          <w:szCs w:val="32"/>
        </w:rPr>
        <w:t>E</w:t>
      </w:r>
      <w:r w:rsidR="009F24AD" w:rsidRPr="009F24AD">
        <w:rPr>
          <w:sz w:val="32"/>
          <w:szCs w:val="32"/>
        </w:rPr>
        <w:t>specially the non-incorporated employer [the family business] and those large enough to justify incorporation into small companies</w:t>
      </w:r>
      <w:r w:rsidR="00850723">
        <w:rPr>
          <w:sz w:val="32"/>
          <w:szCs w:val="32"/>
        </w:rPr>
        <w:t>, defined as companies</w:t>
      </w:r>
      <w:r w:rsidR="00E633AD">
        <w:rPr>
          <w:sz w:val="32"/>
          <w:szCs w:val="32"/>
        </w:rPr>
        <w:t xml:space="preserve"> of less than a million Dollars </w:t>
      </w:r>
      <w:r w:rsidR="00BC19DC">
        <w:rPr>
          <w:sz w:val="32"/>
          <w:szCs w:val="32"/>
        </w:rPr>
        <w:t>of issued</w:t>
      </w:r>
      <w:r w:rsidR="00BB5058">
        <w:rPr>
          <w:sz w:val="32"/>
          <w:szCs w:val="32"/>
        </w:rPr>
        <w:t xml:space="preserve"> paid-up</w:t>
      </w:r>
      <w:r w:rsidR="00BC19DC">
        <w:rPr>
          <w:sz w:val="32"/>
          <w:szCs w:val="32"/>
        </w:rPr>
        <w:t xml:space="preserve"> shares or </w:t>
      </w:r>
      <w:r w:rsidR="00E633AD">
        <w:rPr>
          <w:sz w:val="32"/>
          <w:szCs w:val="32"/>
        </w:rPr>
        <w:t xml:space="preserve">paid up </w:t>
      </w:r>
      <w:proofErr w:type="spellStart"/>
      <w:r w:rsidR="00E633AD">
        <w:rPr>
          <w:sz w:val="32"/>
          <w:szCs w:val="32"/>
        </w:rPr>
        <w:t>capital</w:t>
      </w:r>
      <w:r w:rsidR="00850723">
        <w:rPr>
          <w:sz w:val="32"/>
          <w:szCs w:val="32"/>
          <w:vertAlign w:val="superscript"/>
        </w:rPr>
        <w:t>A</w:t>
      </w:r>
      <w:proofErr w:type="spellEnd"/>
      <w:r w:rsidR="00BC19DC">
        <w:rPr>
          <w:sz w:val="32"/>
          <w:szCs w:val="32"/>
        </w:rPr>
        <w:t xml:space="preserve"> and not eligible to be listed, or not already listed on any type of stock exchange for the exchange of those shares.</w:t>
      </w:r>
      <w:r w:rsidR="00BB5058">
        <w:rPr>
          <w:sz w:val="32"/>
          <w:szCs w:val="32"/>
        </w:rPr>
        <w:t xml:space="preserve"> The incentive is deliberately aimed to assist small non-bureaucratized businesses expand and employ more people, thereby reducing social welfare.  </w:t>
      </w:r>
      <w:r w:rsidR="00BC19DC">
        <w:rPr>
          <w:sz w:val="32"/>
          <w:szCs w:val="32"/>
        </w:rPr>
        <w:t xml:space="preserve"> </w:t>
      </w:r>
    </w:p>
    <w:p w14:paraId="4ACFF584" w14:textId="77777777" w:rsidR="0023313C" w:rsidRDefault="00A13C53" w:rsidP="0023313C">
      <w:pPr>
        <w:ind w:left="567"/>
        <w:rPr>
          <w:sz w:val="32"/>
          <w:szCs w:val="32"/>
        </w:rPr>
      </w:pPr>
      <w:r>
        <w:rPr>
          <w:sz w:val="32"/>
          <w:szCs w:val="32"/>
        </w:rPr>
        <w:t xml:space="preserve">Jobs </w:t>
      </w:r>
      <w:r w:rsidR="007D758C">
        <w:rPr>
          <w:sz w:val="32"/>
          <w:szCs w:val="32"/>
        </w:rPr>
        <w:t>are a right under the</w:t>
      </w:r>
      <w:r w:rsidR="00E633AD">
        <w:rPr>
          <w:sz w:val="32"/>
          <w:szCs w:val="32"/>
        </w:rPr>
        <w:t xml:space="preserve"> citizen’s</w:t>
      </w:r>
      <w:r w:rsidR="007D758C">
        <w:rPr>
          <w:sz w:val="32"/>
          <w:szCs w:val="32"/>
        </w:rPr>
        <w:t xml:space="preserve"> Social Contract</w:t>
      </w:r>
      <w:r w:rsidR="004D6C8A">
        <w:rPr>
          <w:sz w:val="32"/>
          <w:szCs w:val="32"/>
          <w:vertAlign w:val="superscript"/>
        </w:rPr>
        <w:t>1</w:t>
      </w:r>
      <w:r w:rsidR="007D758C">
        <w:rPr>
          <w:sz w:val="32"/>
          <w:szCs w:val="32"/>
        </w:rPr>
        <w:t xml:space="preserve"> with the Commonwealth, and </w:t>
      </w:r>
      <w:r>
        <w:rPr>
          <w:sz w:val="32"/>
          <w:szCs w:val="32"/>
        </w:rPr>
        <w:t xml:space="preserve">give dignity through independence of </w:t>
      </w:r>
      <w:r>
        <w:rPr>
          <w:sz w:val="32"/>
          <w:szCs w:val="32"/>
        </w:rPr>
        <w:lastRenderedPageBreak/>
        <w:t xml:space="preserve">disposable income, healthier lives, and contribution to the common weal [Commonwealth] through taxation, expenditure and savings for re-investment. </w:t>
      </w:r>
      <w:r w:rsidR="009F24AD">
        <w:rPr>
          <w:sz w:val="32"/>
          <w:szCs w:val="32"/>
        </w:rPr>
        <w:t>Thus</w:t>
      </w:r>
      <w:r>
        <w:rPr>
          <w:sz w:val="32"/>
          <w:szCs w:val="32"/>
        </w:rPr>
        <w:t>,</w:t>
      </w:r>
      <w:r w:rsidR="0039269D">
        <w:rPr>
          <w:sz w:val="32"/>
          <w:szCs w:val="32"/>
        </w:rPr>
        <w:t xml:space="preserve"> more</w:t>
      </w:r>
      <w:r w:rsidR="00BA7E17">
        <w:rPr>
          <w:sz w:val="32"/>
          <w:szCs w:val="32"/>
        </w:rPr>
        <w:t xml:space="preserve"> taxpayers</w:t>
      </w:r>
      <w:r w:rsidR="0039269D">
        <w:rPr>
          <w:sz w:val="32"/>
          <w:szCs w:val="32"/>
        </w:rPr>
        <w:t xml:space="preserve"> provide Revenue and reduced Expenditure on unemployment</w:t>
      </w:r>
      <w:r>
        <w:rPr>
          <w:sz w:val="32"/>
          <w:szCs w:val="32"/>
        </w:rPr>
        <w:t>/sickness</w:t>
      </w:r>
      <w:r w:rsidR="0039269D">
        <w:rPr>
          <w:sz w:val="32"/>
          <w:szCs w:val="32"/>
        </w:rPr>
        <w:t xml:space="preserve"> </w:t>
      </w:r>
      <w:r>
        <w:rPr>
          <w:sz w:val="32"/>
          <w:szCs w:val="32"/>
        </w:rPr>
        <w:t xml:space="preserve">benefits </w:t>
      </w:r>
      <w:r w:rsidR="00BA7E17">
        <w:rPr>
          <w:sz w:val="32"/>
          <w:szCs w:val="32"/>
        </w:rPr>
        <w:t>and less drain on Medicare due to their healthier prospects.</w:t>
      </w:r>
      <w:r>
        <w:rPr>
          <w:sz w:val="32"/>
          <w:szCs w:val="32"/>
        </w:rPr>
        <w:t xml:space="preserve"> </w:t>
      </w:r>
    </w:p>
    <w:p w14:paraId="4ACFF585" w14:textId="77777777" w:rsidR="00365B21" w:rsidRDefault="00BA7E17" w:rsidP="0023313C">
      <w:pPr>
        <w:ind w:left="567"/>
        <w:rPr>
          <w:sz w:val="32"/>
          <w:szCs w:val="32"/>
        </w:rPr>
      </w:pPr>
      <w:r>
        <w:rPr>
          <w:sz w:val="32"/>
          <w:szCs w:val="32"/>
        </w:rPr>
        <w:t>It is through these entrepreneurs</w:t>
      </w:r>
      <w:r w:rsidR="00F37AF0">
        <w:rPr>
          <w:sz w:val="32"/>
          <w:szCs w:val="32"/>
        </w:rPr>
        <w:t xml:space="preserve"> that the majority of employees have work and able to pay tax through the PAYE</w:t>
      </w:r>
      <w:r w:rsidR="00435D72">
        <w:rPr>
          <w:sz w:val="32"/>
          <w:szCs w:val="32"/>
          <w:vertAlign w:val="superscript"/>
        </w:rPr>
        <w:t>2</w:t>
      </w:r>
      <w:r w:rsidR="00F37AF0">
        <w:rPr>
          <w:sz w:val="32"/>
          <w:szCs w:val="32"/>
        </w:rPr>
        <w:t xml:space="preserve"> system, and the entrepreneurs pay tax on their profits through monthly or quarterly returns.</w:t>
      </w:r>
      <w:r w:rsidR="00752FAE">
        <w:rPr>
          <w:sz w:val="32"/>
          <w:szCs w:val="32"/>
        </w:rPr>
        <w:t xml:space="preserve"> Note that</w:t>
      </w:r>
      <w:r w:rsidR="00F37AF0">
        <w:rPr>
          <w:sz w:val="32"/>
          <w:szCs w:val="32"/>
        </w:rPr>
        <w:t xml:space="preserve"> the non-incorporated entrepreneur pays tax at the same </w:t>
      </w:r>
      <w:r>
        <w:rPr>
          <w:sz w:val="32"/>
          <w:szCs w:val="32"/>
        </w:rPr>
        <w:t xml:space="preserve">progressive </w:t>
      </w:r>
      <w:r w:rsidR="00F37AF0">
        <w:rPr>
          <w:sz w:val="32"/>
          <w:szCs w:val="32"/>
        </w:rPr>
        <w:t xml:space="preserve">rate </w:t>
      </w:r>
      <w:r w:rsidR="00365B21">
        <w:rPr>
          <w:sz w:val="32"/>
          <w:szCs w:val="32"/>
        </w:rPr>
        <w:t xml:space="preserve">as their employees - </w:t>
      </w:r>
      <w:r w:rsidR="00752FAE">
        <w:rPr>
          <w:sz w:val="32"/>
          <w:szCs w:val="32"/>
        </w:rPr>
        <w:t>the ordinary taxpayer</w:t>
      </w:r>
      <w:r>
        <w:rPr>
          <w:sz w:val="32"/>
          <w:szCs w:val="32"/>
        </w:rPr>
        <w:t>, whereas co</w:t>
      </w:r>
      <w:r w:rsidR="003D5A2A">
        <w:rPr>
          <w:sz w:val="32"/>
          <w:szCs w:val="32"/>
        </w:rPr>
        <w:t>rporations</w:t>
      </w:r>
      <w:r>
        <w:rPr>
          <w:sz w:val="32"/>
          <w:szCs w:val="32"/>
        </w:rPr>
        <w:t xml:space="preserve"> have an advantageous flat rate that distorts any egalitarian equity</w:t>
      </w:r>
      <w:r w:rsidR="00842CE8">
        <w:rPr>
          <w:sz w:val="32"/>
          <w:szCs w:val="32"/>
        </w:rPr>
        <w:t xml:space="preserve"> treatment between non-human corporations and actual human taxpayers. </w:t>
      </w:r>
      <w:r>
        <w:rPr>
          <w:sz w:val="32"/>
          <w:szCs w:val="32"/>
        </w:rPr>
        <w:t xml:space="preserve"> </w:t>
      </w:r>
      <w:r w:rsidR="00842CE8">
        <w:rPr>
          <w:sz w:val="32"/>
          <w:szCs w:val="32"/>
        </w:rPr>
        <w:t>This is because enterprises</w:t>
      </w:r>
      <w:r w:rsidR="00752FAE">
        <w:rPr>
          <w:sz w:val="32"/>
          <w:szCs w:val="32"/>
        </w:rPr>
        <w:t xml:space="preserve"> operating through a </w:t>
      </w:r>
      <w:r w:rsidR="00842CE8">
        <w:rPr>
          <w:sz w:val="32"/>
          <w:szCs w:val="32"/>
        </w:rPr>
        <w:t>company</w:t>
      </w:r>
      <w:r w:rsidR="00752FAE">
        <w:rPr>
          <w:sz w:val="32"/>
          <w:szCs w:val="32"/>
        </w:rPr>
        <w:t xml:space="preserve"> pay a flat rate</w:t>
      </w:r>
      <w:r w:rsidR="00E633AD">
        <w:rPr>
          <w:sz w:val="32"/>
          <w:szCs w:val="32"/>
          <w:vertAlign w:val="superscript"/>
        </w:rPr>
        <w:t>3</w:t>
      </w:r>
      <w:r w:rsidR="00752FAE">
        <w:rPr>
          <w:sz w:val="32"/>
          <w:szCs w:val="32"/>
        </w:rPr>
        <w:t xml:space="preserve">, lower than the marginal and overall rate of the </w:t>
      </w:r>
      <w:r w:rsidR="00842CE8">
        <w:rPr>
          <w:sz w:val="32"/>
          <w:szCs w:val="32"/>
        </w:rPr>
        <w:t>human</w:t>
      </w:r>
      <w:r w:rsidR="00752FAE">
        <w:rPr>
          <w:sz w:val="32"/>
          <w:szCs w:val="32"/>
        </w:rPr>
        <w:t xml:space="preserve"> </w:t>
      </w:r>
      <w:r w:rsidR="00842CE8">
        <w:rPr>
          <w:sz w:val="32"/>
          <w:szCs w:val="32"/>
        </w:rPr>
        <w:t>taxpayer</w:t>
      </w:r>
      <w:r w:rsidR="00E633AD">
        <w:rPr>
          <w:sz w:val="32"/>
          <w:szCs w:val="32"/>
          <w:vertAlign w:val="superscript"/>
        </w:rPr>
        <w:t>2</w:t>
      </w:r>
      <w:r w:rsidR="00752FAE">
        <w:rPr>
          <w:sz w:val="32"/>
          <w:szCs w:val="32"/>
        </w:rPr>
        <w:t>. This is clearly inequitable. It also deters the</w:t>
      </w:r>
      <w:r w:rsidR="007D758C">
        <w:rPr>
          <w:sz w:val="32"/>
          <w:szCs w:val="32"/>
        </w:rPr>
        <w:t xml:space="preserve"> human entrepreneur employing </w:t>
      </w:r>
      <w:r w:rsidR="00365B21">
        <w:rPr>
          <w:sz w:val="32"/>
          <w:szCs w:val="32"/>
        </w:rPr>
        <w:t xml:space="preserve">more employees, because the inequitable difference in </w:t>
      </w:r>
      <w:r w:rsidR="007D758C">
        <w:rPr>
          <w:sz w:val="32"/>
          <w:szCs w:val="32"/>
        </w:rPr>
        <w:t xml:space="preserve">tax means </w:t>
      </w:r>
      <w:r w:rsidR="00365B21">
        <w:rPr>
          <w:sz w:val="32"/>
          <w:szCs w:val="32"/>
        </w:rPr>
        <w:t>entrepreneur</w:t>
      </w:r>
      <w:r w:rsidR="007D758C">
        <w:rPr>
          <w:sz w:val="32"/>
          <w:szCs w:val="32"/>
        </w:rPr>
        <w:t>s have</w:t>
      </w:r>
      <w:r w:rsidR="00365B21">
        <w:rPr>
          <w:sz w:val="32"/>
          <w:szCs w:val="32"/>
        </w:rPr>
        <w:t xml:space="preserve"> less disposable </w:t>
      </w:r>
      <w:r w:rsidR="00842CE8">
        <w:rPr>
          <w:sz w:val="32"/>
          <w:szCs w:val="32"/>
        </w:rPr>
        <w:t xml:space="preserve">revenue </w:t>
      </w:r>
      <w:r w:rsidR="00365B21">
        <w:rPr>
          <w:sz w:val="32"/>
          <w:szCs w:val="32"/>
        </w:rPr>
        <w:t xml:space="preserve">after </w:t>
      </w:r>
      <w:r w:rsidR="007D758C">
        <w:rPr>
          <w:sz w:val="32"/>
          <w:szCs w:val="32"/>
        </w:rPr>
        <w:t xml:space="preserve">payment of the their </w:t>
      </w:r>
      <w:r w:rsidR="00365B21">
        <w:rPr>
          <w:sz w:val="32"/>
          <w:szCs w:val="32"/>
        </w:rPr>
        <w:t>tax</w:t>
      </w:r>
      <w:r w:rsidR="007D758C">
        <w:rPr>
          <w:sz w:val="32"/>
          <w:szCs w:val="32"/>
        </w:rPr>
        <w:t>able</w:t>
      </w:r>
      <w:r w:rsidR="00365B21">
        <w:rPr>
          <w:sz w:val="32"/>
          <w:szCs w:val="32"/>
        </w:rPr>
        <w:t xml:space="preserve"> income</w:t>
      </w:r>
      <w:r w:rsidR="007D758C">
        <w:rPr>
          <w:sz w:val="32"/>
          <w:szCs w:val="32"/>
        </w:rPr>
        <w:t>’s taxation</w:t>
      </w:r>
      <w:r w:rsidR="003D5A2A">
        <w:rPr>
          <w:sz w:val="32"/>
          <w:szCs w:val="32"/>
        </w:rPr>
        <w:t xml:space="preserve"> due</w:t>
      </w:r>
      <w:r w:rsidR="007D758C">
        <w:rPr>
          <w:sz w:val="32"/>
          <w:szCs w:val="32"/>
        </w:rPr>
        <w:t>.</w:t>
      </w:r>
    </w:p>
    <w:p w14:paraId="4ACFF586" w14:textId="77777777" w:rsidR="00F956D0" w:rsidRDefault="00365B21" w:rsidP="0023313C">
      <w:pPr>
        <w:ind w:left="567"/>
        <w:rPr>
          <w:sz w:val="32"/>
          <w:szCs w:val="32"/>
        </w:rPr>
      </w:pPr>
      <w:r>
        <w:rPr>
          <w:sz w:val="32"/>
          <w:szCs w:val="32"/>
        </w:rPr>
        <w:t xml:space="preserve">This inequitable disparity in the tax rates between </w:t>
      </w:r>
      <w:r w:rsidR="005D6295">
        <w:rPr>
          <w:sz w:val="32"/>
          <w:szCs w:val="32"/>
        </w:rPr>
        <w:t xml:space="preserve">entrepreneurial </w:t>
      </w:r>
      <w:r>
        <w:rPr>
          <w:sz w:val="32"/>
          <w:szCs w:val="32"/>
        </w:rPr>
        <w:t>people</w:t>
      </w:r>
      <w:r w:rsidR="00842CE8">
        <w:rPr>
          <w:sz w:val="32"/>
          <w:szCs w:val="32"/>
        </w:rPr>
        <w:t xml:space="preserve"> - living humans -</w:t>
      </w:r>
      <w:r>
        <w:rPr>
          <w:sz w:val="32"/>
          <w:szCs w:val="32"/>
        </w:rPr>
        <w:t xml:space="preserve"> and privileged </w:t>
      </w:r>
      <w:r w:rsidR="00842CE8">
        <w:rPr>
          <w:sz w:val="32"/>
          <w:szCs w:val="32"/>
        </w:rPr>
        <w:t xml:space="preserve">non-human </w:t>
      </w:r>
      <w:r w:rsidR="005D6295" w:rsidRPr="005D6295">
        <w:rPr>
          <w:sz w:val="32"/>
          <w:szCs w:val="32"/>
        </w:rPr>
        <w:t>corporations</w:t>
      </w:r>
      <w:r w:rsidR="00435D72">
        <w:rPr>
          <w:sz w:val="32"/>
          <w:szCs w:val="32"/>
          <w:vertAlign w:val="superscript"/>
        </w:rPr>
        <w:t>3</w:t>
      </w:r>
      <w:r w:rsidR="005D6295">
        <w:rPr>
          <w:sz w:val="32"/>
          <w:szCs w:val="32"/>
        </w:rPr>
        <w:t xml:space="preserve"> </w:t>
      </w:r>
      <w:r>
        <w:rPr>
          <w:sz w:val="32"/>
          <w:szCs w:val="32"/>
        </w:rPr>
        <w:t xml:space="preserve">further acerbates </w:t>
      </w:r>
      <w:r w:rsidR="00F956D0">
        <w:rPr>
          <w:sz w:val="32"/>
          <w:szCs w:val="32"/>
        </w:rPr>
        <w:t>the dis-incentive to employing more Australians</w:t>
      </w:r>
      <w:r w:rsidR="005D6295">
        <w:rPr>
          <w:sz w:val="32"/>
          <w:szCs w:val="32"/>
        </w:rPr>
        <w:t xml:space="preserve"> by small businesses</w:t>
      </w:r>
      <w:r w:rsidR="00F956D0">
        <w:rPr>
          <w:sz w:val="32"/>
          <w:szCs w:val="32"/>
        </w:rPr>
        <w:t>.</w:t>
      </w:r>
      <w:r w:rsidR="007D758C">
        <w:rPr>
          <w:sz w:val="32"/>
          <w:szCs w:val="32"/>
        </w:rPr>
        <w:t xml:space="preserve"> </w:t>
      </w:r>
    </w:p>
    <w:p w14:paraId="4ACFF587" w14:textId="77777777" w:rsidR="00302EB3" w:rsidRDefault="00F956D0" w:rsidP="0023313C">
      <w:pPr>
        <w:ind w:left="567"/>
        <w:rPr>
          <w:sz w:val="32"/>
          <w:szCs w:val="32"/>
        </w:rPr>
      </w:pPr>
      <w:r>
        <w:rPr>
          <w:sz w:val="32"/>
          <w:szCs w:val="32"/>
        </w:rPr>
        <w:t>Without re-arguing the benefits of the progressive taxation rate, it is clear the tax rates</w:t>
      </w:r>
      <w:r w:rsidR="00E633AD" w:rsidRPr="00E633AD">
        <w:t xml:space="preserve"> </w:t>
      </w:r>
      <w:r w:rsidR="00E633AD">
        <w:t xml:space="preserve">- </w:t>
      </w:r>
      <w:r w:rsidR="00E633AD">
        <w:rPr>
          <w:sz w:val="32"/>
          <w:szCs w:val="32"/>
        </w:rPr>
        <w:t>whether</w:t>
      </w:r>
      <w:r w:rsidR="00E633AD" w:rsidRPr="00E633AD">
        <w:rPr>
          <w:sz w:val="32"/>
          <w:szCs w:val="32"/>
        </w:rPr>
        <w:t xml:space="preserve"> progressive or flat</w:t>
      </w:r>
      <w:r w:rsidR="00850723">
        <w:rPr>
          <w:sz w:val="32"/>
          <w:szCs w:val="32"/>
        </w:rPr>
        <w:t xml:space="preserve"> -</w:t>
      </w:r>
      <w:r w:rsidR="00E633AD">
        <w:rPr>
          <w:sz w:val="32"/>
          <w:szCs w:val="32"/>
        </w:rPr>
        <w:t>,</w:t>
      </w:r>
      <w:r>
        <w:rPr>
          <w:sz w:val="32"/>
          <w:szCs w:val="32"/>
        </w:rPr>
        <w:t xml:space="preserve"> should be the same between all Australian tax</w:t>
      </w:r>
      <w:r w:rsidR="008B2565">
        <w:rPr>
          <w:sz w:val="32"/>
          <w:szCs w:val="32"/>
        </w:rPr>
        <w:t>payers</w:t>
      </w:r>
      <w:r w:rsidR="00850723">
        <w:rPr>
          <w:sz w:val="32"/>
          <w:szCs w:val="32"/>
        </w:rPr>
        <w:t>.</w:t>
      </w:r>
      <w:r w:rsidR="005D6295">
        <w:rPr>
          <w:sz w:val="32"/>
          <w:szCs w:val="32"/>
        </w:rPr>
        <w:t xml:space="preserve"> R</w:t>
      </w:r>
      <w:r w:rsidR="00850723">
        <w:rPr>
          <w:sz w:val="32"/>
          <w:szCs w:val="32"/>
        </w:rPr>
        <w:t>egardless of whether being an employee, entrepreneur or small company or a large corporation,</w:t>
      </w:r>
      <w:r w:rsidR="005D6295" w:rsidRPr="005D6295">
        <w:t xml:space="preserve"> </w:t>
      </w:r>
      <w:r w:rsidR="005D6295">
        <w:rPr>
          <w:sz w:val="32"/>
          <w:szCs w:val="32"/>
        </w:rPr>
        <w:t>with n</w:t>
      </w:r>
      <w:r w:rsidR="005D6295" w:rsidRPr="005D6295">
        <w:rPr>
          <w:sz w:val="32"/>
          <w:szCs w:val="32"/>
        </w:rPr>
        <w:t>o distinction</w:t>
      </w:r>
      <w:r w:rsidR="005D6295">
        <w:rPr>
          <w:sz w:val="32"/>
          <w:szCs w:val="32"/>
        </w:rPr>
        <w:t>,</w:t>
      </w:r>
      <w:r>
        <w:rPr>
          <w:sz w:val="32"/>
          <w:szCs w:val="32"/>
        </w:rPr>
        <w:t xml:space="preserve"> </w:t>
      </w:r>
      <w:r w:rsidR="008B2565">
        <w:rPr>
          <w:sz w:val="32"/>
          <w:szCs w:val="32"/>
        </w:rPr>
        <w:t>all are contributing to the Gross Domestic Production [GDP]</w:t>
      </w:r>
      <w:r w:rsidR="005D6295">
        <w:rPr>
          <w:sz w:val="32"/>
          <w:szCs w:val="32"/>
        </w:rPr>
        <w:t xml:space="preserve"> at an equitable rate</w:t>
      </w:r>
      <w:r w:rsidR="00850723">
        <w:rPr>
          <w:sz w:val="32"/>
          <w:szCs w:val="32"/>
        </w:rPr>
        <w:t>. This is</w:t>
      </w:r>
      <w:r w:rsidR="008B2565">
        <w:rPr>
          <w:sz w:val="32"/>
          <w:szCs w:val="32"/>
        </w:rPr>
        <w:t xml:space="preserve"> b</w:t>
      </w:r>
      <w:r w:rsidR="00850723">
        <w:rPr>
          <w:sz w:val="32"/>
          <w:szCs w:val="32"/>
        </w:rPr>
        <w:t xml:space="preserve">ecause the Australian nation </w:t>
      </w:r>
      <w:r w:rsidR="008B2565">
        <w:rPr>
          <w:sz w:val="32"/>
          <w:szCs w:val="32"/>
        </w:rPr>
        <w:t>collectively</w:t>
      </w:r>
      <w:r w:rsidR="00850723">
        <w:rPr>
          <w:sz w:val="32"/>
          <w:szCs w:val="32"/>
        </w:rPr>
        <w:t>, is</w:t>
      </w:r>
      <w:r w:rsidR="008B2565">
        <w:rPr>
          <w:sz w:val="32"/>
          <w:szCs w:val="32"/>
        </w:rPr>
        <w:t xml:space="preserve"> giving </w:t>
      </w:r>
      <w:r w:rsidR="003D5A2A">
        <w:rPr>
          <w:sz w:val="32"/>
          <w:szCs w:val="32"/>
        </w:rPr>
        <w:t>everyone</w:t>
      </w:r>
      <w:r w:rsidR="008B2565">
        <w:rPr>
          <w:sz w:val="32"/>
          <w:szCs w:val="32"/>
        </w:rPr>
        <w:t xml:space="preserve"> the opportunity to earn an income.</w:t>
      </w:r>
    </w:p>
    <w:p w14:paraId="4ACFF588" w14:textId="77777777" w:rsidR="0084538C" w:rsidRDefault="008B2565" w:rsidP="0023313C">
      <w:pPr>
        <w:ind w:left="567"/>
        <w:rPr>
          <w:sz w:val="32"/>
          <w:szCs w:val="32"/>
        </w:rPr>
      </w:pPr>
      <w:r>
        <w:rPr>
          <w:sz w:val="32"/>
          <w:szCs w:val="32"/>
        </w:rPr>
        <w:lastRenderedPageBreak/>
        <w:t>Without the nation and the Social Contrac</w:t>
      </w:r>
      <w:r w:rsidR="00302EB3">
        <w:rPr>
          <w:sz w:val="32"/>
          <w:szCs w:val="32"/>
        </w:rPr>
        <w:t>t inherit in being a citizen,</w:t>
      </w:r>
      <w:r>
        <w:rPr>
          <w:sz w:val="32"/>
          <w:szCs w:val="32"/>
        </w:rPr>
        <w:t xml:space="preserve"> </w:t>
      </w:r>
      <w:r w:rsidR="00302EB3">
        <w:rPr>
          <w:sz w:val="32"/>
          <w:szCs w:val="32"/>
        </w:rPr>
        <w:t xml:space="preserve">no </w:t>
      </w:r>
      <w:r>
        <w:rPr>
          <w:sz w:val="32"/>
          <w:szCs w:val="32"/>
        </w:rPr>
        <w:t>enterprise</w:t>
      </w:r>
      <w:r w:rsidR="002830BE">
        <w:rPr>
          <w:sz w:val="32"/>
          <w:szCs w:val="32"/>
        </w:rPr>
        <w:t xml:space="preserve"> or </w:t>
      </w:r>
      <w:r w:rsidR="00302EB3">
        <w:rPr>
          <w:sz w:val="32"/>
          <w:szCs w:val="32"/>
        </w:rPr>
        <w:t>in</w:t>
      </w:r>
      <w:r w:rsidR="002830BE">
        <w:rPr>
          <w:sz w:val="32"/>
          <w:szCs w:val="32"/>
        </w:rPr>
        <w:t>corporation</w:t>
      </w:r>
      <w:r w:rsidR="00302EB3">
        <w:rPr>
          <w:sz w:val="32"/>
          <w:szCs w:val="32"/>
        </w:rPr>
        <w:t xml:space="preserve"> is achievable. Nor are </w:t>
      </w:r>
      <w:r>
        <w:rPr>
          <w:sz w:val="32"/>
          <w:szCs w:val="32"/>
        </w:rPr>
        <w:t>the wages and profits thereof</w:t>
      </w:r>
      <w:r w:rsidR="00302EB3">
        <w:rPr>
          <w:sz w:val="32"/>
          <w:szCs w:val="32"/>
        </w:rPr>
        <w:t xml:space="preserve"> achievable</w:t>
      </w:r>
      <w:r>
        <w:rPr>
          <w:sz w:val="32"/>
          <w:szCs w:val="32"/>
        </w:rPr>
        <w:t xml:space="preserve">. In short, corporations are </w:t>
      </w:r>
      <w:r w:rsidR="00EF0764">
        <w:rPr>
          <w:sz w:val="32"/>
          <w:szCs w:val="32"/>
        </w:rPr>
        <w:t xml:space="preserve">non-human </w:t>
      </w:r>
      <w:r>
        <w:rPr>
          <w:sz w:val="32"/>
          <w:szCs w:val="32"/>
        </w:rPr>
        <w:t xml:space="preserve">citizens </w:t>
      </w:r>
      <w:r w:rsidR="0084538C">
        <w:rPr>
          <w:sz w:val="32"/>
          <w:szCs w:val="32"/>
        </w:rPr>
        <w:t xml:space="preserve">of the Social Contract, only being able to exist because of the laws of the Nation of Australia. Consequently, they need to contribute their share of taxation at the same rate, to pay for the expenditure of the nation. </w:t>
      </w:r>
    </w:p>
    <w:p w14:paraId="4ACFF589" w14:textId="77777777" w:rsidR="004C38C9" w:rsidRDefault="005D6295" w:rsidP="0023313C">
      <w:pPr>
        <w:ind w:left="567"/>
        <w:rPr>
          <w:sz w:val="32"/>
          <w:szCs w:val="32"/>
        </w:rPr>
      </w:pPr>
      <w:r>
        <w:rPr>
          <w:sz w:val="32"/>
          <w:szCs w:val="32"/>
        </w:rPr>
        <w:t>The incentive for</w:t>
      </w:r>
      <w:r w:rsidR="00BB3E82">
        <w:rPr>
          <w:sz w:val="32"/>
          <w:szCs w:val="32"/>
        </w:rPr>
        <w:t xml:space="preserve"> </w:t>
      </w:r>
      <w:r w:rsidR="007D758C">
        <w:rPr>
          <w:sz w:val="32"/>
          <w:szCs w:val="32"/>
        </w:rPr>
        <w:t xml:space="preserve">human and </w:t>
      </w:r>
      <w:r w:rsidR="00850723">
        <w:rPr>
          <w:sz w:val="32"/>
          <w:szCs w:val="32"/>
        </w:rPr>
        <w:t xml:space="preserve">small </w:t>
      </w:r>
      <w:proofErr w:type="spellStart"/>
      <w:r w:rsidR="002830BE">
        <w:rPr>
          <w:sz w:val="32"/>
          <w:szCs w:val="32"/>
        </w:rPr>
        <w:t>company</w:t>
      </w:r>
      <w:r w:rsidR="002830BE">
        <w:rPr>
          <w:sz w:val="32"/>
          <w:szCs w:val="32"/>
          <w:vertAlign w:val="superscript"/>
        </w:rPr>
        <w:t>A</w:t>
      </w:r>
      <w:proofErr w:type="spellEnd"/>
      <w:r w:rsidR="007D758C">
        <w:rPr>
          <w:sz w:val="32"/>
          <w:szCs w:val="32"/>
        </w:rPr>
        <w:t xml:space="preserve"> </w:t>
      </w:r>
      <w:r w:rsidR="00BB3E82">
        <w:rPr>
          <w:sz w:val="32"/>
          <w:szCs w:val="32"/>
        </w:rPr>
        <w:t>entrepreneurs</w:t>
      </w:r>
      <w:r w:rsidR="0084538C">
        <w:rPr>
          <w:sz w:val="32"/>
          <w:szCs w:val="32"/>
        </w:rPr>
        <w:t xml:space="preserve"> to employ fellow taxpayers</w:t>
      </w:r>
      <w:r w:rsidR="00A84764">
        <w:rPr>
          <w:sz w:val="32"/>
          <w:szCs w:val="32"/>
        </w:rPr>
        <w:t xml:space="preserve"> would</w:t>
      </w:r>
      <w:r w:rsidR="00BB3E82">
        <w:rPr>
          <w:sz w:val="32"/>
          <w:szCs w:val="32"/>
        </w:rPr>
        <w:t xml:space="preserve"> be</w:t>
      </w:r>
      <w:r w:rsidR="0084538C">
        <w:rPr>
          <w:sz w:val="32"/>
          <w:szCs w:val="32"/>
        </w:rPr>
        <w:t>, not by grants or subsidies, but from t</w:t>
      </w:r>
      <w:r w:rsidR="00BB3E82">
        <w:rPr>
          <w:sz w:val="32"/>
          <w:szCs w:val="32"/>
        </w:rPr>
        <w:t>he tax</w:t>
      </w:r>
      <w:r w:rsidR="0084538C">
        <w:rPr>
          <w:sz w:val="32"/>
          <w:szCs w:val="32"/>
        </w:rPr>
        <w:t xml:space="preserve"> employees p</w:t>
      </w:r>
      <w:r w:rsidR="00BB3E82">
        <w:rPr>
          <w:sz w:val="32"/>
          <w:szCs w:val="32"/>
        </w:rPr>
        <w:t>ay through the PA</w:t>
      </w:r>
      <w:r w:rsidR="004C38C9">
        <w:rPr>
          <w:sz w:val="32"/>
          <w:szCs w:val="32"/>
        </w:rPr>
        <w:t xml:space="preserve">YE system. The </w:t>
      </w:r>
      <w:r w:rsidR="00642C53" w:rsidRPr="00642C53">
        <w:rPr>
          <w:sz w:val="32"/>
          <w:szCs w:val="32"/>
        </w:rPr>
        <w:t xml:space="preserve">Taxation Department </w:t>
      </w:r>
      <w:r w:rsidR="00642C53">
        <w:rPr>
          <w:sz w:val="32"/>
          <w:szCs w:val="32"/>
        </w:rPr>
        <w:t xml:space="preserve">receives the </w:t>
      </w:r>
      <w:r w:rsidR="004C38C9">
        <w:rPr>
          <w:sz w:val="32"/>
          <w:szCs w:val="32"/>
        </w:rPr>
        <w:t xml:space="preserve">tax </w:t>
      </w:r>
      <w:r w:rsidR="00BB3E82">
        <w:rPr>
          <w:sz w:val="32"/>
          <w:szCs w:val="32"/>
        </w:rPr>
        <w:t>collected</w:t>
      </w:r>
      <w:r w:rsidR="00642C53">
        <w:rPr>
          <w:sz w:val="32"/>
          <w:szCs w:val="32"/>
        </w:rPr>
        <w:t xml:space="preserve">, but </w:t>
      </w:r>
      <w:r w:rsidR="00BB3E82">
        <w:rPr>
          <w:sz w:val="32"/>
          <w:szCs w:val="32"/>
        </w:rPr>
        <w:t>entrepreneurial employer</w:t>
      </w:r>
      <w:r w:rsidR="00642C53">
        <w:rPr>
          <w:sz w:val="32"/>
          <w:szCs w:val="32"/>
        </w:rPr>
        <w:t>s</w:t>
      </w:r>
      <w:r w:rsidR="00F956D0">
        <w:rPr>
          <w:sz w:val="32"/>
          <w:szCs w:val="32"/>
        </w:rPr>
        <w:t xml:space="preserve"> </w:t>
      </w:r>
      <w:r w:rsidR="004C38C9">
        <w:rPr>
          <w:sz w:val="32"/>
          <w:szCs w:val="32"/>
        </w:rPr>
        <w:t xml:space="preserve">will receive a credit for the amount paid against their tax liability. </w:t>
      </w:r>
      <w:r w:rsidR="00642C53">
        <w:rPr>
          <w:sz w:val="32"/>
          <w:szCs w:val="32"/>
        </w:rPr>
        <w:t xml:space="preserve">This is because, without them sharing their </w:t>
      </w:r>
      <w:r w:rsidR="00A04F5F">
        <w:rPr>
          <w:sz w:val="32"/>
          <w:szCs w:val="32"/>
        </w:rPr>
        <w:t>workload</w:t>
      </w:r>
      <w:r w:rsidR="00642C53">
        <w:rPr>
          <w:sz w:val="32"/>
          <w:szCs w:val="32"/>
        </w:rPr>
        <w:t xml:space="preserve"> w</w:t>
      </w:r>
      <w:r w:rsidR="00787C09">
        <w:rPr>
          <w:sz w:val="32"/>
          <w:szCs w:val="32"/>
        </w:rPr>
        <w:t>ith employees, their profit would</w:t>
      </w:r>
      <w:r w:rsidR="00642C53">
        <w:rPr>
          <w:sz w:val="32"/>
          <w:szCs w:val="32"/>
        </w:rPr>
        <w:t xml:space="preserve"> be higher by the equivalent of the wages not paid, and </w:t>
      </w:r>
      <w:r w:rsidR="00A04F5F">
        <w:rPr>
          <w:sz w:val="32"/>
          <w:szCs w:val="32"/>
        </w:rPr>
        <w:t>hence pay</w:t>
      </w:r>
      <w:r w:rsidR="00787C09">
        <w:rPr>
          <w:sz w:val="32"/>
          <w:szCs w:val="32"/>
        </w:rPr>
        <w:t>ing</w:t>
      </w:r>
      <w:r w:rsidR="00A04F5F">
        <w:rPr>
          <w:sz w:val="32"/>
          <w:szCs w:val="32"/>
        </w:rPr>
        <w:t xml:space="preserve"> a higher rate of tax equivalent to or higher than the tax PAYE collects if employing people. Nett Revenue is affectively unaffected, so by sharing the workload by creating jobs</w:t>
      </w:r>
      <w:r w:rsidR="0087488F">
        <w:rPr>
          <w:sz w:val="32"/>
          <w:szCs w:val="32"/>
        </w:rPr>
        <w:t xml:space="preserve"> and remitting the PAYE</w:t>
      </w:r>
      <w:r w:rsidR="00A04F5F">
        <w:rPr>
          <w:sz w:val="32"/>
          <w:szCs w:val="32"/>
        </w:rPr>
        <w:t xml:space="preserve">, the </w:t>
      </w:r>
      <w:r w:rsidR="00BC19DC">
        <w:rPr>
          <w:sz w:val="32"/>
          <w:szCs w:val="32"/>
        </w:rPr>
        <w:t xml:space="preserve">small </w:t>
      </w:r>
      <w:r w:rsidR="00A04F5F">
        <w:rPr>
          <w:sz w:val="32"/>
          <w:szCs w:val="32"/>
        </w:rPr>
        <w:t>e</w:t>
      </w:r>
      <w:r w:rsidR="005C30F2">
        <w:rPr>
          <w:sz w:val="32"/>
          <w:szCs w:val="32"/>
        </w:rPr>
        <w:t>nterprise</w:t>
      </w:r>
      <w:r w:rsidR="00A04F5F">
        <w:rPr>
          <w:sz w:val="32"/>
          <w:szCs w:val="32"/>
        </w:rPr>
        <w:t xml:space="preserve"> deserves a tax break equivalent to the PAYE tax remitted</w:t>
      </w:r>
      <w:r w:rsidR="0087488F">
        <w:rPr>
          <w:sz w:val="32"/>
          <w:szCs w:val="32"/>
        </w:rPr>
        <w:t xml:space="preserve"> for employing people</w:t>
      </w:r>
      <w:r w:rsidR="00A84764">
        <w:rPr>
          <w:sz w:val="32"/>
          <w:szCs w:val="32"/>
        </w:rPr>
        <w:t>, by way of a tax credit [not able to be cashed]</w:t>
      </w:r>
      <w:r w:rsidR="00A04F5F">
        <w:rPr>
          <w:sz w:val="32"/>
          <w:szCs w:val="32"/>
        </w:rPr>
        <w:t xml:space="preserve">. </w:t>
      </w:r>
      <w:r w:rsidR="00EF0764">
        <w:rPr>
          <w:sz w:val="32"/>
          <w:szCs w:val="32"/>
        </w:rPr>
        <w:t>What greater equitable incentive</w:t>
      </w:r>
      <w:r w:rsidR="00A84764">
        <w:rPr>
          <w:sz w:val="32"/>
          <w:szCs w:val="32"/>
        </w:rPr>
        <w:t xml:space="preserve"> to employing more taxpayers, than</w:t>
      </w:r>
      <w:r w:rsidR="00EF0764">
        <w:rPr>
          <w:sz w:val="32"/>
          <w:szCs w:val="32"/>
        </w:rPr>
        <w:t xml:space="preserve"> entrepreneurs and </w:t>
      </w:r>
      <w:r w:rsidR="002830BE">
        <w:rPr>
          <w:sz w:val="32"/>
          <w:szCs w:val="32"/>
        </w:rPr>
        <w:t xml:space="preserve">small </w:t>
      </w:r>
      <w:proofErr w:type="spellStart"/>
      <w:r w:rsidR="002830BE">
        <w:rPr>
          <w:sz w:val="32"/>
          <w:szCs w:val="32"/>
        </w:rPr>
        <w:t>companies</w:t>
      </w:r>
      <w:r w:rsidR="002830BE">
        <w:rPr>
          <w:sz w:val="32"/>
          <w:szCs w:val="32"/>
          <w:vertAlign w:val="superscript"/>
        </w:rPr>
        <w:t>A</w:t>
      </w:r>
      <w:proofErr w:type="spellEnd"/>
      <w:r w:rsidR="00EF0764">
        <w:rPr>
          <w:sz w:val="32"/>
          <w:szCs w:val="32"/>
        </w:rPr>
        <w:t xml:space="preserve">, to receive tax credits applied against their </w:t>
      </w:r>
      <w:r w:rsidR="005C30F2">
        <w:rPr>
          <w:sz w:val="32"/>
          <w:szCs w:val="32"/>
        </w:rPr>
        <w:t xml:space="preserve">own </w:t>
      </w:r>
      <w:r w:rsidR="00EF0764">
        <w:rPr>
          <w:sz w:val="32"/>
          <w:szCs w:val="32"/>
        </w:rPr>
        <w:t>taxation liability?</w:t>
      </w:r>
    </w:p>
    <w:p w14:paraId="4ACFF58A" w14:textId="77777777" w:rsidR="00775F7B" w:rsidRDefault="0087488F" w:rsidP="0023313C">
      <w:pPr>
        <w:ind w:left="567"/>
        <w:rPr>
          <w:sz w:val="32"/>
          <w:szCs w:val="32"/>
        </w:rPr>
      </w:pPr>
      <w:r>
        <w:rPr>
          <w:sz w:val="32"/>
          <w:szCs w:val="32"/>
        </w:rPr>
        <w:t xml:space="preserve">Where the tax credit exceeds the tax </w:t>
      </w:r>
      <w:r w:rsidR="00EF0764">
        <w:rPr>
          <w:sz w:val="32"/>
          <w:szCs w:val="32"/>
        </w:rPr>
        <w:t>liability due, probably caused by</w:t>
      </w:r>
      <w:r>
        <w:rPr>
          <w:sz w:val="32"/>
          <w:szCs w:val="32"/>
        </w:rPr>
        <w:t xml:space="preserve"> over employing</w:t>
      </w:r>
      <w:r w:rsidR="00775F7B">
        <w:rPr>
          <w:sz w:val="32"/>
          <w:szCs w:val="32"/>
        </w:rPr>
        <w:t xml:space="preserve"> people, </w:t>
      </w:r>
      <w:r w:rsidR="00EF0764">
        <w:rPr>
          <w:sz w:val="32"/>
          <w:szCs w:val="32"/>
        </w:rPr>
        <w:t xml:space="preserve">the </w:t>
      </w:r>
      <w:r w:rsidR="00775F7B">
        <w:rPr>
          <w:sz w:val="32"/>
          <w:szCs w:val="32"/>
        </w:rPr>
        <w:t>excess credit</w:t>
      </w:r>
      <w:r w:rsidR="005C30F2">
        <w:rPr>
          <w:sz w:val="32"/>
          <w:szCs w:val="32"/>
        </w:rPr>
        <w:t xml:space="preserve"> is not refundable but applied</w:t>
      </w:r>
      <w:r>
        <w:rPr>
          <w:sz w:val="32"/>
          <w:szCs w:val="32"/>
        </w:rPr>
        <w:t xml:space="preserve"> to future monthly PAYE remittances</w:t>
      </w:r>
      <w:r w:rsidR="002830BE">
        <w:rPr>
          <w:sz w:val="32"/>
          <w:szCs w:val="32"/>
        </w:rPr>
        <w:t>, thus assisting cash flow</w:t>
      </w:r>
      <w:r w:rsidR="00775F7B">
        <w:rPr>
          <w:sz w:val="32"/>
          <w:szCs w:val="32"/>
        </w:rPr>
        <w:t xml:space="preserve"> of the enterprise</w:t>
      </w:r>
      <w:r w:rsidR="002830BE">
        <w:rPr>
          <w:sz w:val="32"/>
          <w:szCs w:val="32"/>
        </w:rPr>
        <w:t>. Sufficient cash flow</w:t>
      </w:r>
      <w:r w:rsidR="005C30F2">
        <w:rPr>
          <w:sz w:val="32"/>
          <w:szCs w:val="32"/>
        </w:rPr>
        <w:t xml:space="preserve"> </w:t>
      </w:r>
      <w:r w:rsidR="002830BE">
        <w:rPr>
          <w:sz w:val="32"/>
          <w:szCs w:val="32"/>
        </w:rPr>
        <w:t xml:space="preserve">is </w:t>
      </w:r>
      <w:r w:rsidR="005C30F2">
        <w:rPr>
          <w:sz w:val="32"/>
          <w:szCs w:val="32"/>
        </w:rPr>
        <w:t>an ongoing restriction to business expansion and employment of humans</w:t>
      </w:r>
      <w:r>
        <w:rPr>
          <w:sz w:val="32"/>
          <w:szCs w:val="32"/>
        </w:rPr>
        <w:t>. Better</w:t>
      </w:r>
      <w:r w:rsidR="00775F7B">
        <w:rPr>
          <w:sz w:val="32"/>
          <w:szCs w:val="32"/>
        </w:rPr>
        <w:t xml:space="preserve"> the business </w:t>
      </w:r>
      <w:r w:rsidR="00EF0764">
        <w:rPr>
          <w:sz w:val="32"/>
          <w:szCs w:val="32"/>
        </w:rPr>
        <w:t xml:space="preserve">being </w:t>
      </w:r>
      <w:r w:rsidR="00775F7B">
        <w:rPr>
          <w:sz w:val="32"/>
          <w:szCs w:val="32"/>
        </w:rPr>
        <w:t>assisted to continue employing</w:t>
      </w:r>
      <w:r w:rsidR="00A84764">
        <w:rPr>
          <w:sz w:val="32"/>
          <w:szCs w:val="32"/>
        </w:rPr>
        <w:t xml:space="preserve"> [a form of privatising welfare]</w:t>
      </w:r>
      <w:r w:rsidR="00775F7B">
        <w:rPr>
          <w:sz w:val="32"/>
          <w:szCs w:val="32"/>
        </w:rPr>
        <w:t>, rather than employees being unemployed with re</w:t>
      </w:r>
      <w:r w:rsidR="00102D1F">
        <w:rPr>
          <w:sz w:val="32"/>
          <w:szCs w:val="32"/>
        </w:rPr>
        <w:t>sultant Centrelink e</w:t>
      </w:r>
      <w:r w:rsidR="00102D1F" w:rsidRPr="00102D1F">
        <w:rPr>
          <w:sz w:val="32"/>
          <w:szCs w:val="32"/>
        </w:rPr>
        <w:t xml:space="preserve">xpenditure on </w:t>
      </w:r>
      <w:r w:rsidR="00102D1F" w:rsidRPr="00102D1F">
        <w:rPr>
          <w:sz w:val="32"/>
          <w:szCs w:val="32"/>
        </w:rPr>
        <w:lastRenderedPageBreak/>
        <w:t>unemployment/</w:t>
      </w:r>
      <w:r w:rsidR="00102D1F">
        <w:rPr>
          <w:sz w:val="32"/>
          <w:szCs w:val="32"/>
        </w:rPr>
        <w:t>sickness benefits and increased</w:t>
      </w:r>
      <w:r w:rsidR="00102D1F" w:rsidRPr="00102D1F">
        <w:rPr>
          <w:sz w:val="32"/>
          <w:szCs w:val="32"/>
        </w:rPr>
        <w:t xml:space="preserve"> Medicare</w:t>
      </w:r>
      <w:r w:rsidR="00102D1F">
        <w:rPr>
          <w:sz w:val="32"/>
          <w:szCs w:val="32"/>
        </w:rPr>
        <w:t xml:space="preserve"> expenditure</w:t>
      </w:r>
      <w:r w:rsidR="00102D1F" w:rsidRPr="00102D1F">
        <w:rPr>
          <w:sz w:val="32"/>
          <w:szCs w:val="32"/>
        </w:rPr>
        <w:t xml:space="preserve"> </w:t>
      </w:r>
      <w:r w:rsidR="003D5A2A">
        <w:rPr>
          <w:sz w:val="32"/>
          <w:szCs w:val="32"/>
        </w:rPr>
        <w:t xml:space="preserve">mainly </w:t>
      </w:r>
      <w:r w:rsidR="00102D1F" w:rsidRPr="00102D1F">
        <w:rPr>
          <w:sz w:val="32"/>
          <w:szCs w:val="32"/>
        </w:rPr>
        <w:t xml:space="preserve">due to </w:t>
      </w:r>
      <w:r w:rsidR="00102D1F">
        <w:rPr>
          <w:sz w:val="32"/>
          <w:szCs w:val="32"/>
        </w:rPr>
        <w:t xml:space="preserve">stress </w:t>
      </w:r>
      <w:r w:rsidR="00E1658B">
        <w:rPr>
          <w:sz w:val="32"/>
          <w:szCs w:val="32"/>
        </w:rPr>
        <w:t>from</w:t>
      </w:r>
      <w:r w:rsidR="00102D1F">
        <w:rPr>
          <w:sz w:val="32"/>
          <w:szCs w:val="32"/>
        </w:rPr>
        <w:t xml:space="preserve"> </w:t>
      </w:r>
      <w:r w:rsidR="00102D1F" w:rsidRPr="00102D1F">
        <w:rPr>
          <w:sz w:val="32"/>
          <w:szCs w:val="32"/>
        </w:rPr>
        <w:t>t</w:t>
      </w:r>
      <w:r w:rsidR="00102D1F">
        <w:rPr>
          <w:sz w:val="32"/>
          <w:szCs w:val="32"/>
        </w:rPr>
        <w:t>heir failing</w:t>
      </w:r>
      <w:r w:rsidR="00102D1F" w:rsidRPr="00102D1F">
        <w:rPr>
          <w:sz w:val="32"/>
          <w:szCs w:val="32"/>
        </w:rPr>
        <w:t xml:space="preserve"> prospects</w:t>
      </w:r>
      <w:r w:rsidR="00102D1F">
        <w:rPr>
          <w:sz w:val="32"/>
          <w:szCs w:val="32"/>
        </w:rPr>
        <w:t xml:space="preserve"> of employment</w:t>
      </w:r>
      <w:r w:rsidR="00102D1F" w:rsidRPr="00102D1F">
        <w:rPr>
          <w:sz w:val="32"/>
          <w:szCs w:val="32"/>
        </w:rPr>
        <w:t>.</w:t>
      </w:r>
      <w:r w:rsidR="00855C04">
        <w:rPr>
          <w:sz w:val="32"/>
          <w:szCs w:val="32"/>
        </w:rPr>
        <w:t xml:space="preserve"> </w:t>
      </w:r>
    </w:p>
    <w:p w14:paraId="4ACFF58B" w14:textId="77777777" w:rsidR="00BE3851" w:rsidRDefault="00E1658B" w:rsidP="0023313C">
      <w:pPr>
        <w:ind w:left="567"/>
        <w:rPr>
          <w:sz w:val="32"/>
          <w:szCs w:val="32"/>
        </w:rPr>
      </w:pPr>
      <w:r>
        <w:rPr>
          <w:sz w:val="32"/>
          <w:szCs w:val="32"/>
        </w:rPr>
        <w:t xml:space="preserve">The reactionary response to equal tax rates between non-human corporations and living humans – without which the corporation cannot exist or operate </w:t>
      </w:r>
      <w:r w:rsidR="00C77051">
        <w:rPr>
          <w:sz w:val="32"/>
          <w:szCs w:val="32"/>
        </w:rPr>
        <w:t>–</w:t>
      </w:r>
      <w:r>
        <w:rPr>
          <w:sz w:val="32"/>
          <w:szCs w:val="32"/>
        </w:rPr>
        <w:t xml:space="preserve"> </w:t>
      </w:r>
      <w:r w:rsidR="00C77051">
        <w:rPr>
          <w:sz w:val="32"/>
          <w:szCs w:val="32"/>
        </w:rPr>
        <w:t xml:space="preserve">usually argues, irrationally, that corporations need lower tax rates to be attractive to investors. </w:t>
      </w:r>
      <w:r w:rsidR="00B04DA4">
        <w:rPr>
          <w:sz w:val="32"/>
          <w:szCs w:val="32"/>
        </w:rPr>
        <w:t>Assumedly,</w:t>
      </w:r>
      <w:r w:rsidR="00C77051">
        <w:rPr>
          <w:sz w:val="32"/>
          <w:szCs w:val="32"/>
        </w:rPr>
        <w:t xml:space="preserve"> the investors will naively </w:t>
      </w:r>
      <w:r w:rsidR="00B04DA4">
        <w:rPr>
          <w:sz w:val="32"/>
          <w:szCs w:val="32"/>
        </w:rPr>
        <w:t xml:space="preserve">believe the corporation will pay higher </w:t>
      </w:r>
      <w:r w:rsidR="00682EC5">
        <w:rPr>
          <w:sz w:val="32"/>
          <w:szCs w:val="32"/>
        </w:rPr>
        <w:t>dividends resulting from</w:t>
      </w:r>
      <w:r w:rsidR="00B04DA4">
        <w:rPr>
          <w:sz w:val="32"/>
          <w:szCs w:val="32"/>
        </w:rPr>
        <w:t xml:space="preserve"> greater Nett Revenue after paying the inequitable lower rate of tax</w:t>
      </w:r>
      <w:r w:rsidR="0058184F">
        <w:rPr>
          <w:sz w:val="32"/>
          <w:szCs w:val="32"/>
        </w:rPr>
        <w:t>, or if retained</w:t>
      </w:r>
      <w:r w:rsidR="00BE3851">
        <w:rPr>
          <w:sz w:val="32"/>
          <w:szCs w:val="32"/>
        </w:rPr>
        <w:t>,</w:t>
      </w:r>
      <w:r w:rsidR="0058184F">
        <w:rPr>
          <w:sz w:val="32"/>
          <w:szCs w:val="32"/>
        </w:rPr>
        <w:t xml:space="preserve"> the </w:t>
      </w:r>
      <w:r w:rsidR="00BE3851">
        <w:rPr>
          <w:sz w:val="32"/>
          <w:szCs w:val="32"/>
        </w:rPr>
        <w:t>price of the shares will rise as the investors speculate on the actual value of the corporation</w:t>
      </w:r>
      <w:r w:rsidR="00B04DA4">
        <w:rPr>
          <w:sz w:val="32"/>
          <w:szCs w:val="32"/>
        </w:rPr>
        <w:t>.</w:t>
      </w:r>
      <w:r w:rsidR="00682EC5">
        <w:rPr>
          <w:sz w:val="32"/>
          <w:szCs w:val="32"/>
        </w:rPr>
        <w:t xml:space="preserve"> </w:t>
      </w:r>
    </w:p>
    <w:p w14:paraId="4ACFF58C" w14:textId="77777777" w:rsidR="006116B0" w:rsidRDefault="0058184F" w:rsidP="0023313C">
      <w:pPr>
        <w:ind w:left="567"/>
        <w:rPr>
          <w:sz w:val="32"/>
          <w:szCs w:val="32"/>
        </w:rPr>
      </w:pPr>
      <w:r>
        <w:rPr>
          <w:sz w:val="32"/>
          <w:szCs w:val="32"/>
        </w:rPr>
        <w:t xml:space="preserve">Whatever the </w:t>
      </w:r>
      <w:r w:rsidR="00BE3851">
        <w:rPr>
          <w:sz w:val="32"/>
          <w:szCs w:val="32"/>
        </w:rPr>
        <w:t xml:space="preserve">speculative </w:t>
      </w:r>
      <w:r>
        <w:rPr>
          <w:sz w:val="32"/>
          <w:szCs w:val="32"/>
        </w:rPr>
        <w:t>expectation,</w:t>
      </w:r>
      <w:r w:rsidR="00BE3851">
        <w:rPr>
          <w:sz w:val="32"/>
          <w:szCs w:val="32"/>
        </w:rPr>
        <w:t xml:space="preserve"> it is not a fair or equitable argument to justifying a lower rate of tax for corporations, so that investors can speculate between themselves the value of the lower rate of taxation on the price of the shares. </w:t>
      </w:r>
    </w:p>
    <w:p w14:paraId="4ACFF58D" w14:textId="77777777" w:rsidR="00792314" w:rsidRDefault="006116B0" w:rsidP="0023313C">
      <w:pPr>
        <w:ind w:left="567"/>
        <w:rPr>
          <w:sz w:val="32"/>
          <w:szCs w:val="32"/>
        </w:rPr>
      </w:pPr>
      <w:r>
        <w:rPr>
          <w:sz w:val="32"/>
          <w:szCs w:val="32"/>
        </w:rPr>
        <w:t xml:space="preserve">Further, the dividends the corporation </w:t>
      </w:r>
      <w:proofErr w:type="spellStart"/>
      <w:r>
        <w:rPr>
          <w:sz w:val="32"/>
          <w:szCs w:val="32"/>
        </w:rPr>
        <w:t>deigns</w:t>
      </w:r>
      <w:proofErr w:type="spellEnd"/>
      <w:r>
        <w:rPr>
          <w:sz w:val="32"/>
          <w:szCs w:val="32"/>
        </w:rPr>
        <w:t xml:space="preserve"> to distribute from the taxable revenue have a tax credit attached</w:t>
      </w:r>
      <w:r w:rsidR="00F807D4">
        <w:rPr>
          <w:sz w:val="32"/>
          <w:szCs w:val="32"/>
        </w:rPr>
        <w:t xml:space="preserve"> equivalent to the tax paid at the lower rate of tax</w:t>
      </w:r>
      <w:r w:rsidR="00566A2E">
        <w:rPr>
          <w:sz w:val="32"/>
          <w:szCs w:val="32"/>
        </w:rPr>
        <w:t xml:space="preserve">. </w:t>
      </w:r>
      <w:r w:rsidR="00E61781">
        <w:rPr>
          <w:sz w:val="32"/>
          <w:szCs w:val="32"/>
        </w:rPr>
        <w:t>However, t</w:t>
      </w:r>
      <w:r w:rsidR="00F807D4">
        <w:rPr>
          <w:sz w:val="32"/>
          <w:szCs w:val="32"/>
        </w:rPr>
        <w:t>he</w:t>
      </w:r>
      <w:r>
        <w:rPr>
          <w:sz w:val="32"/>
          <w:szCs w:val="32"/>
        </w:rPr>
        <w:t xml:space="preserve"> dividend </w:t>
      </w:r>
      <w:r w:rsidR="00F243B3">
        <w:rPr>
          <w:sz w:val="32"/>
          <w:szCs w:val="32"/>
        </w:rPr>
        <w:t>income for the human investor does</w:t>
      </w:r>
      <w:r w:rsidR="00F807D4">
        <w:rPr>
          <w:sz w:val="32"/>
          <w:szCs w:val="32"/>
        </w:rPr>
        <w:t xml:space="preserve"> generate further taxation</w:t>
      </w:r>
      <w:r w:rsidR="00E61781">
        <w:rPr>
          <w:sz w:val="32"/>
          <w:szCs w:val="32"/>
        </w:rPr>
        <w:t>, due to the rate discrepancy,</w:t>
      </w:r>
      <w:r w:rsidR="00F807D4">
        <w:rPr>
          <w:sz w:val="32"/>
          <w:szCs w:val="32"/>
        </w:rPr>
        <w:t xml:space="preserve"> to equate with that paid by </w:t>
      </w:r>
      <w:r w:rsidR="00E61781">
        <w:rPr>
          <w:sz w:val="32"/>
          <w:szCs w:val="32"/>
        </w:rPr>
        <w:t xml:space="preserve">fellow </w:t>
      </w:r>
      <w:r w:rsidR="00F807D4">
        <w:rPr>
          <w:sz w:val="32"/>
          <w:szCs w:val="32"/>
        </w:rPr>
        <w:t xml:space="preserve">human taxpayers.  </w:t>
      </w:r>
    </w:p>
    <w:p w14:paraId="4ACFF58E" w14:textId="77777777" w:rsidR="00E1658B" w:rsidRDefault="00F807D4" w:rsidP="0023313C">
      <w:pPr>
        <w:ind w:left="567"/>
        <w:rPr>
          <w:sz w:val="32"/>
          <w:szCs w:val="32"/>
        </w:rPr>
      </w:pPr>
      <w:r>
        <w:rPr>
          <w:sz w:val="32"/>
          <w:szCs w:val="32"/>
        </w:rPr>
        <w:t xml:space="preserve">There is no credible reason why </w:t>
      </w:r>
      <w:r w:rsidR="00E61781">
        <w:rPr>
          <w:sz w:val="32"/>
          <w:szCs w:val="32"/>
        </w:rPr>
        <w:t xml:space="preserve">investors should </w:t>
      </w:r>
      <w:r w:rsidR="00792314">
        <w:rPr>
          <w:sz w:val="32"/>
          <w:szCs w:val="32"/>
        </w:rPr>
        <w:t xml:space="preserve">not </w:t>
      </w:r>
      <w:r w:rsidR="00E61781">
        <w:rPr>
          <w:sz w:val="32"/>
          <w:szCs w:val="32"/>
        </w:rPr>
        <w:t xml:space="preserve">have their taxation liability </w:t>
      </w:r>
      <w:r w:rsidR="00792314">
        <w:rPr>
          <w:sz w:val="32"/>
          <w:szCs w:val="32"/>
        </w:rPr>
        <w:t>finalised</w:t>
      </w:r>
      <w:r w:rsidR="00E61781">
        <w:rPr>
          <w:sz w:val="32"/>
          <w:szCs w:val="32"/>
        </w:rPr>
        <w:t xml:space="preserve"> </w:t>
      </w:r>
      <w:r w:rsidR="00792314">
        <w:rPr>
          <w:sz w:val="32"/>
          <w:szCs w:val="32"/>
        </w:rPr>
        <w:t xml:space="preserve">on the income of the dividend </w:t>
      </w:r>
      <w:r w:rsidR="00E61781">
        <w:rPr>
          <w:sz w:val="32"/>
          <w:szCs w:val="32"/>
        </w:rPr>
        <w:t xml:space="preserve">when they receive their franked dividend. They do not, because of the unequal tax rates between non-human corporations and human beings. The idea of the frank dividend was to eliminate double payment of taxation on </w:t>
      </w:r>
      <w:r w:rsidR="00792314">
        <w:rPr>
          <w:sz w:val="32"/>
          <w:szCs w:val="32"/>
        </w:rPr>
        <w:t xml:space="preserve">that already taxed, but it has the unfortunate result of </w:t>
      </w:r>
      <w:r w:rsidR="00855C04">
        <w:rPr>
          <w:sz w:val="32"/>
          <w:szCs w:val="32"/>
        </w:rPr>
        <w:t>more tax being payable</w:t>
      </w:r>
      <w:r w:rsidR="00792314">
        <w:rPr>
          <w:sz w:val="32"/>
          <w:szCs w:val="32"/>
        </w:rPr>
        <w:t xml:space="preserve">, because the corporate tax is less than that for the </w:t>
      </w:r>
      <w:r w:rsidR="003D5A2A">
        <w:rPr>
          <w:sz w:val="32"/>
          <w:szCs w:val="32"/>
        </w:rPr>
        <w:t xml:space="preserve">living, </w:t>
      </w:r>
      <w:r w:rsidR="00792314">
        <w:rPr>
          <w:sz w:val="32"/>
          <w:szCs w:val="32"/>
        </w:rPr>
        <w:t>human</w:t>
      </w:r>
      <w:r w:rsidR="003D5A2A">
        <w:rPr>
          <w:sz w:val="32"/>
          <w:szCs w:val="32"/>
        </w:rPr>
        <w:t>,</w:t>
      </w:r>
      <w:r w:rsidR="00792314">
        <w:rPr>
          <w:sz w:val="32"/>
          <w:szCs w:val="32"/>
        </w:rPr>
        <w:t xml:space="preserve"> taxpaying shareholder.</w:t>
      </w:r>
      <w:r w:rsidR="00E61781">
        <w:rPr>
          <w:sz w:val="32"/>
          <w:szCs w:val="32"/>
        </w:rPr>
        <w:t xml:space="preserve"> </w:t>
      </w:r>
      <w:r w:rsidR="00F243B3">
        <w:rPr>
          <w:sz w:val="32"/>
          <w:szCs w:val="32"/>
        </w:rPr>
        <w:t xml:space="preserve"> </w:t>
      </w:r>
    </w:p>
    <w:p w14:paraId="4ACFF58F" w14:textId="77777777" w:rsidR="00360DD5" w:rsidRDefault="00360DD5" w:rsidP="0023313C">
      <w:pPr>
        <w:ind w:left="567"/>
        <w:rPr>
          <w:sz w:val="32"/>
          <w:szCs w:val="32"/>
        </w:rPr>
      </w:pPr>
      <w:r>
        <w:rPr>
          <w:sz w:val="32"/>
          <w:szCs w:val="32"/>
        </w:rPr>
        <w:lastRenderedPageBreak/>
        <w:t>The installation of the franked divi</w:t>
      </w:r>
      <w:r w:rsidR="003D5A2A">
        <w:rPr>
          <w:sz w:val="32"/>
          <w:szCs w:val="32"/>
        </w:rPr>
        <w:t>dend concept into</w:t>
      </w:r>
      <w:r w:rsidR="00FA7BFD">
        <w:rPr>
          <w:sz w:val="32"/>
          <w:szCs w:val="32"/>
        </w:rPr>
        <w:t xml:space="preserve"> the tax </w:t>
      </w:r>
      <w:proofErr w:type="gramStart"/>
      <w:r w:rsidR="00FA7BFD">
        <w:rPr>
          <w:sz w:val="32"/>
          <w:szCs w:val="32"/>
        </w:rPr>
        <w:t>laws,</w:t>
      </w:r>
      <w:proofErr w:type="gramEnd"/>
      <w:r>
        <w:rPr>
          <w:sz w:val="32"/>
          <w:szCs w:val="32"/>
        </w:rPr>
        <w:t xml:space="preserve"> is defacto recognition that the ultimate destination of corporate income in the form of dividends should have tax at the living human rate of taxation. This, like so many complicating Amendments to the Taxation Assessment Act, is a direct result of unequal rates of tax between non-human corporations and living human</w:t>
      </w:r>
      <w:r w:rsidR="00073BD3">
        <w:rPr>
          <w:sz w:val="32"/>
          <w:szCs w:val="32"/>
        </w:rPr>
        <w:t>s</w:t>
      </w:r>
      <w:r>
        <w:rPr>
          <w:sz w:val="32"/>
          <w:szCs w:val="32"/>
        </w:rPr>
        <w:t xml:space="preserve">, that is, beings as distinct from corporate non-beings. </w:t>
      </w:r>
    </w:p>
    <w:p w14:paraId="4ACFF590" w14:textId="77777777" w:rsidR="00631ECB" w:rsidRDefault="00073BD3" w:rsidP="0023313C">
      <w:pPr>
        <w:ind w:left="567"/>
        <w:rPr>
          <w:sz w:val="32"/>
          <w:szCs w:val="32"/>
        </w:rPr>
      </w:pPr>
      <w:r>
        <w:rPr>
          <w:sz w:val="32"/>
          <w:szCs w:val="32"/>
        </w:rPr>
        <w:t xml:space="preserve">Other arguments in favour of </w:t>
      </w:r>
      <w:r w:rsidR="00AD1961">
        <w:rPr>
          <w:sz w:val="32"/>
          <w:szCs w:val="32"/>
        </w:rPr>
        <w:t>reduced corporate tax rates</w:t>
      </w:r>
      <w:r>
        <w:rPr>
          <w:sz w:val="32"/>
          <w:szCs w:val="32"/>
        </w:rPr>
        <w:t xml:space="preserve"> </w:t>
      </w:r>
      <w:r w:rsidR="00AD1961">
        <w:rPr>
          <w:sz w:val="32"/>
          <w:szCs w:val="32"/>
        </w:rPr>
        <w:t>[</w:t>
      </w:r>
      <w:r>
        <w:rPr>
          <w:sz w:val="32"/>
          <w:szCs w:val="32"/>
        </w:rPr>
        <w:t>as explained above</w:t>
      </w:r>
      <w:r w:rsidR="00AD1961">
        <w:rPr>
          <w:sz w:val="32"/>
          <w:szCs w:val="32"/>
        </w:rPr>
        <w:t>]</w:t>
      </w:r>
      <w:r w:rsidR="0035391C">
        <w:rPr>
          <w:sz w:val="32"/>
          <w:szCs w:val="32"/>
        </w:rPr>
        <w:t xml:space="preserve">, </w:t>
      </w:r>
      <w:r>
        <w:rPr>
          <w:sz w:val="32"/>
          <w:szCs w:val="32"/>
        </w:rPr>
        <w:t>ultimately</w:t>
      </w:r>
      <w:r w:rsidR="0035391C">
        <w:rPr>
          <w:sz w:val="32"/>
          <w:szCs w:val="32"/>
        </w:rPr>
        <w:t xml:space="preserve"> results</w:t>
      </w:r>
      <w:r>
        <w:rPr>
          <w:sz w:val="32"/>
          <w:szCs w:val="32"/>
        </w:rPr>
        <w:t xml:space="preserve">, in human being investors </w:t>
      </w:r>
      <w:r w:rsidR="00AD1961">
        <w:rPr>
          <w:sz w:val="32"/>
          <w:szCs w:val="32"/>
        </w:rPr>
        <w:t xml:space="preserve">not </w:t>
      </w:r>
      <w:r>
        <w:rPr>
          <w:sz w:val="32"/>
          <w:szCs w:val="32"/>
        </w:rPr>
        <w:t xml:space="preserve">receiving </w:t>
      </w:r>
      <w:r w:rsidR="00AD1961">
        <w:rPr>
          <w:sz w:val="32"/>
          <w:szCs w:val="32"/>
        </w:rPr>
        <w:t xml:space="preserve">an incentive to invest, because of the disparate tax rates. Only foreign investment corporations, remitting dividends received </w:t>
      </w:r>
      <w:r w:rsidR="0035391C">
        <w:rPr>
          <w:sz w:val="32"/>
          <w:szCs w:val="32"/>
        </w:rPr>
        <w:t xml:space="preserve">to </w:t>
      </w:r>
      <w:r w:rsidR="00AD1961">
        <w:rPr>
          <w:sz w:val="32"/>
          <w:szCs w:val="32"/>
        </w:rPr>
        <w:t>overseas, gain a benefit.</w:t>
      </w:r>
    </w:p>
    <w:p w14:paraId="4ACFF591" w14:textId="77777777" w:rsidR="00631ECB" w:rsidRDefault="003835C5" w:rsidP="0023313C">
      <w:pPr>
        <w:ind w:left="567"/>
        <w:rPr>
          <w:sz w:val="32"/>
          <w:szCs w:val="32"/>
        </w:rPr>
      </w:pPr>
      <w:r>
        <w:rPr>
          <w:sz w:val="32"/>
          <w:szCs w:val="32"/>
        </w:rPr>
        <w:t>Taxation is to aid the Government pay for Expenditure on Australia’s needs. It is not</w:t>
      </w:r>
      <w:r w:rsidR="00855C04">
        <w:rPr>
          <w:sz w:val="32"/>
          <w:szCs w:val="32"/>
        </w:rPr>
        <w:t xml:space="preserve">, according to a Prime Minister, </w:t>
      </w:r>
      <w:r w:rsidR="00300BBD">
        <w:rPr>
          <w:sz w:val="32"/>
          <w:szCs w:val="32"/>
        </w:rPr>
        <w:t xml:space="preserve">to </w:t>
      </w:r>
      <w:r w:rsidR="00631ECB">
        <w:rPr>
          <w:sz w:val="32"/>
          <w:szCs w:val="32"/>
        </w:rPr>
        <w:t xml:space="preserve">paraphrase, to </w:t>
      </w:r>
      <w:r w:rsidR="00A6505A">
        <w:rPr>
          <w:sz w:val="32"/>
          <w:szCs w:val="32"/>
        </w:rPr>
        <w:t>subsidize</w:t>
      </w:r>
      <w:r>
        <w:rPr>
          <w:sz w:val="32"/>
          <w:szCs w:val="32"/>
        </w:rPr>
        <w:t xml:space="preserve"> life-style choice </w:t>
      </w:r>
      <w:r w:rsidR="00631ECB">
        <w:rPr>
          <w:sz w:val="32"/>
          <w:szCs w:val="32"/>
        </w:rPr>
        <w:t>by living</w:t>
      </w:r>
      <w:r w:rsidR="00790AF3">
        <w:rPr>
          <w:sz w:val="32"/>
          <w:szCs w:val="32"/>
        </w:rPr>
        <w:t xml:space="preserve"> overseas</w:t>
      </w:r>
      <w:r w:rsidR="00790AF3">
        <w:rPr>
          <w:sz w:val="32"/>
          <w:szCs w:val="32"/>
          <w:vertAlign w:val="superscript"/>
        </w:rPr>
        <w:t>4</w:t>
      </w:r>
      <w:r w:rsidR="00790AF3">
        <w:rPr>
          <w:sz w:val="32"/>
          <w:szCs w:val="32"/>
        </w:rPr>
        <w:t xml:space="preserve"> </w:t>
      </w:r>
      <w:r w:rsidR="00631ECB">
        <w:rPr>
          <w:sz w:val="32"/>
          <w:szCs w:val="32"/>
        </w:rPr>
        <w:t xml:space="preserve">as foreigners. </w:t>
      </w:r>
      <w:r w:rsidR="00AD1961">
        <w:rPr>
          <w:sz w:val="32"/>
          <w:szCs w:val="32"/>
        </w:rPr>
        <w:t>This</w:t>
      </w:r>
      <w:r w:rsidR="00790AF3">
        <w:rPr>
          <w:sz w:val="32"/>
          <w:szCs w:val="32"/>
        </w:rPr>
        <w:t xml:space="preserve"> benefit</w:t>
      </w:r>
      <w:r w:rsidR="00AD1961">
        <w:rPr>
          <w:sz w:val="32"/>
          <w:szCs w:val="32"/>
        </w:rPr>
        <w:t xml:space="preserve"> </w:t>
      </w:r>
      <w:r w:rsidR="0035391C">
        <w:rPr>
          <w:sz w:val="32"/>
          <w:szCs w:val="32"/>
        </w:rPr>
        <w:t>is at the cost</w:t>
      </w:r>
      <w:r w:rsidR="00431851">
        <w:rPr>
          <w:sz w:val="32"/>
          <w:szCs w:val="32"/>
        </w:rPr>
        <w:t xml:space="preserve"> to</w:t>
      </w:r>
      <w:r w:rsidR="0035391C">
        <w:rPr>
          <w:sz w:val="32"/>
          <w:szCs w:val="32"/>
        </w:rPr>
        <w:t xml:space="preserve"> Revenue for the Nation, e</w:t>
      </w:r>
      <w:r w:rsidR="00AD1961">
        <w:rPr>
          <w:sz w:val="32"/>
          <w:szCs w:val="32"/>
        </w:rPr>
        <w:t>xactly opposite to the need to avert the Revenue crisis</w:t>
      </w:r>
      <w:r w:rsidR="00790AF3">
        <w:rPr>
          <w:sz w:val="32"/>
          <w:szCs w:val="32"/>
        </w:rPr>
        <w:t xml:space="preserve"> of declining taxation</w:t>
      </w:r>
      <w:r w:rsidR="00431851">
        <w:rPr>
          <w:sz w:val="32"/>
          <w:szCs w:val="32"/>
        </w:rPr>
        <w:t xml:space="preserve"> unable to meet the expenditure needs</w:t>
      </w:r>
      <w:r w:rsidR="00790AF3">
        <w:rPr>
          <w:sz w:val="32"/>
          <w:szCs w:val="32"/>
        </w:rPr>
        <w:t>,</w:t>
      </w:r>
      <w:r w:rsidR="00431851">
        <w:rPr>
          <w:sz w:val="32"/>
          <w:szCs w:val="32"/>
        </w:rPr>
        <w:t xml:space="preserve"> as mandated </w:t>
      </w:r>
      <w:r w:rsidR="00431851" w:rsidRPr="00431851">
        <w:rPr>
          <w:sz w:val="32"/>
          <w:szCs w:val="32"/>
        </w:rPr>
        <w:t xml:space="preserve">by the human being electors </w:t>
      </w:r>
      <w:r w:rsidR="00431851">
        <w:rPr>
          <w:sz w:val="32"/>
          <w:szCs w:val="32"/>
        </w:rPr>
        <w:t>to various Governments</w:t>
      </w:r>
      <w:r w:rsidR="00790AF3">
        <w:rPr>
          <w:sz w:val="32"/>
          <w:szCs w:val="32"/>
        </w:rPr>
        <w:t>,</w:t>
      </w:r>
      <w:r w:rsidR="00431851">
        <w:rPr>
          <w:sz w:val="32"/>
          <w:szCs w:val="32"/>
        </w:rPr>
        <w:t xml:space="preserve"> over the decades</w:t>
      </w:r>
      <w:r w:rsidR="00AD1961">
        <w:rPr>
          <w:sz w:val="32"/>
          <w:szCs w:val="32"/>
        </w:rPr>
        <w:t>.</w:t>
      </w:r>
      <w:r w:rsidR="00631ECB">
        <w:rPr>
          <w:sz w:val="32"/>
          <w:szCs w:val="32"/>
        </w:rPr>
        <w:t xml:space="preserve"> Further, the life-style choice by living overseas</w:t>
      </w:r>
      <w:r w:rsidR="00631ECB">
        <w:rPr>
          <w:sz w:val="32"/>
          <w:szCs w:val="32"/>
          <w:vertAlign w:val="superscript"/>
        </w:rPr>
        <w:t>4</w:t>
      </w:r>
      <w:r w:rsidR="00631ECB">
        <w:rPr>
          <w:sz w:val="32"/>
          <w:szCs w:val="32"/>
        </w:rPr>
        <w:t xml:space="preserve"> denies Australia the benefits of their expenditure being in Australia, thus deriving more tax via the GST.</w:t>
      </w:r>
    </w:p>
    <w:p w14:paraId="4ACFF592" w14:textId="77777777" w:rsidR="00300BBD" w:rsidRDefault="00FA7BFD" w:rsidP="0023313C">
      <w:pPr>
        <w:ind w:left="567"/>
        <w:rPr>
          <w:sz w:val="32"/>
          <w:szCs w:val="32"/>
        </w:rPr>
      </w:pPr>
      <w:r>
        <w:rPr>
          <w:sz w:val="32"/>
          <w:szCs w:val="32"/>
        </w:rPr>
        <w:t>By e</w:t>
      </w:r>
      <w:r w:rsidR="00300BBD">
        <w:rPr>
          <w:sz w:val="32"/>
          <w:szCs w:val="32"/>
        </w:rPr>
        <w:t>qualizing the tax rate between non-living corporations and actual living beings</w:t>
      </w:r>
      <w:r>
        <w:rPr>
          <w:sz w:val="32"/>
          <w:szCs w:val="32"/>
        </w:rPr>
        <w:t>, it</w:t>
      </w:r>
      <w:r w:rsidR="00300BBD">
        <w:rPr>
          <w:sz w:val="32"/>
          <w:szCs w:val="32"/>
        </w:rPr>
        <w:t xml:space="preserve"> will result in more tax revenue and equity for human beings </w:t>
      </w:r>
      <w:r w:rsidR="00300BBD" w:rsidRPr="00300BBD">
        <w:rPr>
          <w:i/>
          <w:sz w:val="32"/>
          <w:szCs w:val="32"/>
        </w:rPr>
        <w:t>vis-à-vis</w:t>
      </w:r>
      <w:r w:rsidR="00300BBD">
        <w:rPr>
          <w:sz w:val="32"/>
          <w:szCs w:val="32"/>
        </w:rPr>
        <w:t xml:space="preserve"> non-human entities. By providing tax credits from the PAYE collected by small business, people on benefits will be working for their benefits in the jobs small business </w:t>
      </w:r>
      <w:r w:rsidR="00D37CE0">
        <w:rPr>
          <w:sz w:val="32"/>
          <w:szCs w:val="32"/>
        </w:rPr>
        <w:t xml:space="preserve">will be providing. Winners all round, and corporations </w:t>
      </w:r>
      <w:r>
        <w:rPr>
          <w:sz w:val="32"/>
          <w:szCs w:val="32"/>
        </w:rPr>
        <w:t>[if they were capable of emotion and feelings] ecstatic being able to pay</w:t>
      </w:r>
      <w:r w:rsidR="00D37CE0">
        <w:rPr>
          <w:sz w:val="32"/>
          <w:szCs w:val="32"/>
        </w:rPr>
        <w:t xml:space="preserve"> their fair share of tax to the common weal, just as the human readers of this submission, do. </w:t>
      </w:r>
    </w:p>
    <w:p w14:paraId="4ACFF593" w14:textId="77777777" w:rsidR="00D37CE0" w:rsidRDefault="00970C4F" w:rsidP="0023313C">
      <w:pPr>
        <w:ind w:left="567"/>
        <w:rPr>
          <w:sz w:val="32"/>
          <w:szCs w:val="32"/>
        </w:rPr>
      </w:pPr>
      <w:r>
        <w:rPr>
          <w:sz w:val="32"/>
          <w:szCs w:val="32"/>
        </w:rPr>
        <w:lastRenderedPageBreak/>
        <w:t xml:space="preserve">The fallacious argument that corporations, local or foreign, will not invest in Australia because the tax rate as compared to countries who act as tax havens, is without merit. It has not stopped Microsoft, Apple and a myriad of other companies investing, as they have easy methods such as price transfers and interest charges as revealed in the </w:t>
      </w:r>
      <w:r w:rsidR="00684D84">
        <w:rPr>
          <w:sz w:val="32"/>
          <w:szCs w:val="32"/>
        </w:rPr>
        <w:t xml:space="preserve">April, 2015 </w:t>
      </w:r>
      <w:r>
        <w:rPr>
          <w:sz w:val="32"/>
          <w:szCs w:val="32"/>
        </w:rPr>
        <w:t>Senate hearings to dilute their Australian profits</w:t>
      </w:r>
      <w:r w:rsidR="00684D84">
        <w:rPr>
          <w:sz w:val="32"/>
          <w:szCs w:val="32"/>
        </w:rPr>
        <w:t xml:space="preserve">. Further, too many commentators also argue that tax is a </w:t>
      </w:r>
      <w:r w:rsidR="00407849">
        <w:rPr>
          <w:sz w:val="32"/>
          <w:szCs w:val="32"/>
        </w:rPr>
        <w:t xml:space="preserve">cost to deriving profits. Again, this is a </w:t>
      </w:r>
      <w:r w:rsidR="00684D84">
        <w:rPr>
          <w:sz w:val="32"/>
          <w:szCs w:val="32"/>
        </w:rPr>
        <w:t>fallacious</w:t>
      </w:r>
      <w:r w:rsidR="00407849">
        <w:rPr>
          <w:sz w:val="32"/>
          <w:szCs w:val="32"/>
        </w:rPr>
        <w:t xml:space="preserve"> argument</w:t>
      </w:r>
      <w:r w:rsidR="00421395">
        <w:rPr>
          <w:sz w:val="32"/>
          <w:szCs w:val="32"/>
        </w:rPr>
        <w:t>.</w:t>
      </w:r>
      <w:r w:rsidR="00684D84">
        <w:rPr>
          <w:sz w:val="32"/>
          <w:szCs w:val="32"/>
        </w:rPr>
        <w:t xml:space="preserve"> </w:t>
      </w:r>
      <w:r w:rsidR="00421395">
        <w:rPr>
          <w:sz w:val="32"/>
          <w:szCs w:val="32"/>
        </w:rPr>
        <w:t>T</w:t>
      </w:r>
      <w:r w:rsidR="00684D84">
        <w:rPr>
          <w:sz w:val="32"/>
          <w:szCs w:val="32"/>
        </w:rPr>
        <w:t xml:space="preserve">ax is imposed on profits. No profit invokes zero tax, </w:t>
      </w:r>
      <w:r w:rsidR="00407849">
        <w:rPr>
          <w:sz w:val="32"/>
          <w:szCs w:val="32"/>
        </w:rPr>
        <w:t>hence why there is profit transference to</w:t>
      </w:r>
      <w:r w:rsidR="00684D84">
        <w:rPr>
          <w:sz w:val="32"/>
          <w:szCs w:val="32"/>
        </w:rPr>
        <w:t xml:space="preserve"> overseas</w:t>
      </w:r>
      <w:r w:rsidR="00407849">
        <w:rPr>
          <w:sz w:val="32"/>
          <w:szCs w:val="32"/>
        </w:rPr>
        <w:t xml:space="preserve"> havens irrespective of the tax rate</w:t>
      </w:r>
      <w:r w:rsidR="00684D84">
        <w:rPr>
          <w:sz w:val="32"/>
          <w:szCs w:val="32"/>
        </w:rPr>
        <w:t xml:space="preserve">. </w:t>
      </w:r>
      <w:r w:rsidR="00407849">
        <w:rPr>
          <w:sz w:val="32"/>
          <w:szCs w:val="32"/>
        </w:rPr>
        <w:t xml:space="preserve">Consequently, equalizing tax rates between living citizens </w:t>
      </w:r>
      <w:r w:rsidR="0053421A">
        <w:rPr>
          <w:sz w:val="32"/>
          <w:szCs w:val="32"/>
        </w:rPr>
        <w:t>and ephemeral non-human corporations will not deter investments by them in Australia.</w:t>
      </w:r>
    </w:p>
    <w:p w14:paraId="4ACFF594" w14:textId="77777777" w:rsidR="0053421A" w:rsidRDefault="0053421A" w:rsidP="00565808">
      <w:pPr>
        <w:ind w:left="567"/>
        <w:rPr>
          <w:b/>
          <w:sz w:val="40"/>
          <w:szCs w:val="40"/>
          <w:u w:val="single"/>
          <w:vertAlign w:val="superscript"/>
        </w:rPr>
      </w:pPr>
    </w:p>
    <w:p w14:paraId="4ACFF595" w14:textId="77777777" w:rsidR="001D22C5" w:rsidRDefault="001D22C5" w:rsidP="00565808">
      <w:pPr>
        <w:ind w:left="567"/>
        <w:rPr>
          <w:b/>
          <w:sz w:val="40"/>
          <w:szCs w:val="40"/>
          <w:u w:val="single"/>
          <w:vertAlign w:val="superscript"/>
        </w:rPr>
      </w:pPr>
    </w:p>
    <w:p w14:paraId="4ACFF596" w14:textId="77777777" w:rsidR="00565808" w:rsidRPr="00565808" w:rsidRDefault="004D6C8A" w:rsidP="00565808">
      <w:pPr>
        <w:ind w:left="567"/>
        <w:rPr>
          <w:b/>
          <w:sz w:val="32"/>
          <w:szCs w:val="32"/>
          <w:u w:val="single"/>
        </w:rPr>
      </w:pPr>
      <w:proofErr w:type="gramStart"/>
      <w:r w:rsidRPr="00565808">
        <w:rPr>
          <w:b/>
          <w:sz w:val="40"/>
          <w:szCs w:val="40"/>
          <w:u w:val="single"/>
          <w:vertAlign w:val="superscript"/>
        </w:rPr>
        <w:t>1</w:t>
      </w:r>
      <w:r w:rsidRPr="00565808">
        <w:rPr>
          <w:b/>
          <w:sz w:val="40"/>
          <w:szCs w:val="40"/>
          <w:u w:val="single"/>
        </w:rPr>
        <w:t xml:space="preserve"> </w:t>
      </w:r>
      <w:r w:rsidR="00565808">
        <w:rPr>
          <w:b/>
          <w:sz w:val="32"/>
          <w:szCs w:val="32"/>
          <w:u w:val="single"/>
        </w:rPr>
        <w:t xml:space="preserve"> </w:t>
      </w:r>
      <w:r w:rsidR="00565808" w:rsidRPr="00565808">
        <w:rPr>
          <w:b/>
          <w:sz w:val="32"/>
          <w:szCs w:val="32"/>
          <w:u w:val="single"/>
        </w:rPr>
        <w:t>Social</w:t>
      </w:r>
      <w:proofErr w:type="gramEnd"/>
      <w:r w:rsidR="00565808" w:rsidRPr="00565808">
        <w:rPr>
          <w:b/>
          <w:sz w:val="32"/>
          <w:szCs w:val="32"/>
          <w:u w:val="single"/>
        </w:rPr>
        <w:t xml:space="preserve"> Contract</w:t>
      </w:r>
    </w:p>
    <w:p w14:paraId="4ACFF597" w14:textId="77777777" w:rsidR="00F055DF" w:rsidRPr="00F055DF" w:rsidRDefault="00435D72" w:rsidP="00565808">
      <w:pPr>
        <w:ind w:left="567"/>
        <w:rPr>
          <w:sz w:val="32"/>
          <w:szCs w:val="32"/>
        </w:rPr>
      </w:pPr>
      <w:r w:rsidRPr="00435D72">
        <w:rPr>
          <w:sz w:val="32"/>
          <w:szCs w:val="32"/>
        </w:rPr>
        <w:t xml:space="preserve">Through Social </w:t>
      </w:r>
      <w:proofErr w:type="gramStart"/>
      <w:r w:rsidRPr="00435D72">
        <w:rPr>
          <w:sz w:val="32"/>
          <w:szCs w:val="32"/>
        </w:rPr>
        <w:t xml:space="preserve">Contract, </w:t>
      </w:r>
      <w:r>
        <w:rPr>
          <w:sz w:val="32"/>
          <w:szCs w:val="32"/>
        </w:rPr>
        <w:t>…</w:t>
      </w:r>
      <w:proofErr w:type="gramEnd"/>
      <w:r>
        <w:rPr>
          <w:sz w:val="32"/>
          <w:szCs w:val="32"/>
        </w:rPr>
        <w:t xml:space="preserve"> </w:t>
      </w:r>
      <w:r w:rsidR="00F055DF">
        <w:rPr>
          <w:sz w:val="32"/>
          <w:szCs w:val="32"/>
        </w:rPr>
        <w:t>- the S</w:t>
      </w:r>
      <w:r w:rsidRPr="00435D72">
        <w:rPr>
          <w:sz w:val="32"/>
          <w:szCs w:val="32"/>
        </w:rPr>
        <w:t>tate</w:t>
      </w:r>
      <w:r>
        <w:rPr>
          <w:sz w:val="32"/>
          <w:szCs w:val="32"/>
        </w:rPr>
        <w:t xml:space="preserve"> </w:t>
      </w:r>
      <w:r w:rsidRPr="00435D72">
        <w:rPr>
          <w:sz w:val="32"/>
          <w:szCs w:val="32"/>
        </w:rPr>
        <w:t>was formed to assure and guarantee rights, liberties freedom and equality</w:t>
      </w:r>
      <w:r w:rsidR="00F055DF">
        <w:rPr>
          <w:sz w:val="32"/>
          <w:szCs w:val="32"/>
        </w:rPr>
        <w:t>:</w:t>
      </w:r>
      <w:r w:rsidRPr="00435D72">
        <w:rPr>
          <w:sz w:val="32"/>
          <w:szCs w:val="32"/>
        </w:rPr>
        <w:t xml:space="preserve"> </w:t>
      </w:r>
    </w:p>
    <w:p w14:paraId="4ACFF598" w14:textId="77777777" w:rsidR="00F055DF" w:rsidRPr="00F055DF" w:rsidRDefault="00F055DF" w:rsidP="00565808">
      <w:pPr>
        <w:ind w:left="567"/>
        <w:rPr>
          <w:sz w:val="32"/>
          <w:szCs w:val="32"/>
        </w:rPr>
      </w:pPr>
      <w:r>
        <w:rPr>
          <w:sz w:val="32"/>
          <w:szCs w:val="32"/>
        </w:rPr>
        <w:t xml:space="preserve">The </w:t>
      </w:r>
      <w:r w:rsidRPr="00F055DF">
        <w:rPr>
          <w:sz w:val="32"/>
          <w:szCs w:val="32"/>
        </w:rPr>
        <w:t>essence of the Rousseau’s theory of General Will</w:t>
      </w:r>
      <w:r>
        <w:rPr>
          <w:sz w:val="32"/>
          <w:szCs w:val="32"/>
        </w:rPr>
        <w:t xml:space="preserve"> is that State and Law </w:t>
      </w:r>
      <w:proofErr w:type="gramStart"/>
      <w:r>
        <w:rPr>
          <w:sz w:val="32"/>
          <w:szCs w:val="32"/>
        </w:rPr>
        <w:t>are</w:t>
      </w:r>
      <w:proofErr w:type="gramEnd"/>
      <w:r>
        <w:rPr>
          <w:sz w:val="32"/>
          <w:szCs w:val="32"/>
        </w:rPr>
        <w:t xml:space="preserve"> the </w:t>
      </w:r>
      <w:r w:rsidRPr="00F055DF">
        <w:rPr>
          <w:sz w:val="32"/>
          <w:szCs w:val="32"/>
        </w:rPr>
        <w:t>product of General Will of the people. State and the</w:t>
      </w:r>
      <w:r>
        <w:rPr>
          <w:sz w:val="32"/>
          <w:szCs w:val="32"/>
        </w:rPr>
        <w:t xml:space="preserve"> Laws are made by it and if the </w:t>
      </w:r>
      <w:r w:rsidRPr="00F055DF">
        <w:rPr>
          <w:sz w:val="32"/>
          <w:szCs w:val="32"/>
        </w:rPr>
        <w:t xml:space="preserve">government and laws do not conform to ‘general </w:t>
      </w:r>
      <w:r>
        <w:rPr>
          <w:sz w:val="32"/>
          <w:szCs w:val="32"/>
        </w:rPr>
        <w:t xml:space="preserve">will’, they would be discarded. </w:t>
      </w:r>
      <w:r w:rsidRPr="00F055DF">
        <w:rPr>
          <w:sz w:val="32"/>
          <w:szCs w:val="32"/>
        </w:rPr>
        <w:t>While the individual parts with his natural rights, in return he gets civil liberties</w:t>
      </w:r>
      <w:r>
        <w:rPr>
          <w:sz w:val="32"/>
          <w:szCs w:val="32"/>
        </w:rPr>
        <w:t xml:space="preserve"> </w:t>
      </w:r>
      <w:r w:rsidRPr="00F055DF">
        <w:rPr>
          <w:sz w:val="32"/>
          <w:szCs w:val="32"/>
        </w:rPr>
        <w:t>such as freedom of speech, equality,</w:t>
      </w:r>
      <w:r w:rsidR="00565808">
        <w:rPr>
          <w:sz w:val="32"/>
          <w:szCs w:val="32"/>
        </w:rPr>
        <w:t xml:space="preserve"> assembly, etc.</w:t>
      </w:r>
    </w:p>
    <w:p w14:paraId="4ACFF599" w14:textId="77777777" w:rsidR="00FA7BFD" w:rsidRDefault="00F055DF" w:rsidP="00FA7BFD">
      <w:pPr>
        <w:ind w:left="567"/>
        <w:rPr>
          <w:sz w:val="32"/>
          <w:szCs w:val="32"/>
        </w:rPr>
      </w:pPr>
      <w:r w:rsidRPr="00F055DF">
        <w:rPr>
          <w:b/>
          <w:bCs/>
          <w:vanish/>
          <w:sz w:val="32"/>
          <w:szCs w:val="32"/>
          <w:lang w:val="en"/>
        </w:rPr>
        <w:t xml:space="preserve"> </w:t>
      </w:r>
      <w:r w:rsidR="00435D72" w:rsidRPr="00435D72">
        <w:rPr>
          <w:b/>
          <w:bCs/>
          <w:vanish/>
          <w:sz w:val="32"/>
          <w:szCs w:val="32"/>
          <w:lang w:val="en"/>
        </w:rPr>
        <w:t xml:space="preserve">Through Social Contract, a new form of social organisation- the statewas formed to assure and guarantee rights, liberties freedom and equality </w:t>
      </w:r>
      <w:r w:rsidR="00435D72">
        <w:rPr>
          <w:rFonts w:ascii="Georgia" w:hAnsi="Georgia"/>
          <w:b/>
          <w:bCs/>
          <w:vanish/>
          <w:color w:val="23262A"/>
          <w:sz w:val="126"/>
          <w:szCs w:val="126"/>
          <w:lang w:val="en"/>
        </w:rPr>
        <w:t>Through Social Contract, a new form of social organisation- the statewas formed to assure and guarantee rights, liberties freedom and equality</w:t>
      </w:r>
      <w:r w:rsidR="00435D72">
        <w:rPr>
          <w:sz w:val="32"/>
          <w:szCs w:val="32"/>
        </w:rPr>
        <w:tab/>
      </w:r>
      <w:hyperlink r:id="rId10" w:history="1">
        <w:r w:rsidR="00565808" w:rsidRPr="007C1F95">
          <w:rPr>
            <w:rStyle w:val="Hyperlink"/>
            <w:sz w:val="32"/>
            <w:szCs w:val="32"/>
          </w:rPr>
          <w:t>http://www.academia.edu/3138759/Social_Contract_Theory_by_Hobbes_Locke_and_Rousseau</w:t>
        </w:r>
      </w:hyperlink>
      <w:r w:rsidR="00565808">
        <w:rPr>
          <w:sz w:val="32"/>
          <w:szCs w:val="32"/>
        </w:rPr>
        <w:t xml:space="preserve">  </w:t>
      </w:r>
    </w:p>
    <w:p w14:paraId="4ACFF59A" w14:textId="77777777" w:rsidR="0053421A" w:rsidRDefault="0053421A">
      <w:pPr>
        <w:rPr>
          <w:b/>
          <w:sz w:val="40"/>
          <w:szCs w:val="40"/>
          <w:u w:val="single"/>
          <w:vertAlign w:val="superscript"/>
          <w:lang w:val="en"/>
        </w:rPr>
      </w:pPr>
      <w:r>
        <w:rPr>
          <w:b/>
          <w:sz w:val="40"/>
          <w:szCs w:val="40"/>
          <w:u w:val="single"/>
          <w:vertAlign w:val="superscript"/>
          <w:lang w:val="en"/>
        </w:rPr>
        <w:br w:type="page"/>
      </w:r>
    </w:p>
    <w:p w14:paraId="4ACFF59B" w14:textId="77777777" w:rsidR="001A0DBE" w:rsidRPr="0053421A" w:rsidRDefault="00435D72" w:rsidP="0053421A">
      <w:pPr>
        <w:rPr>
          <w:b/>
          <w:sz w:val="40"/>
          <w:szCs w:val="40"/>
          <w:u w:val="single"/>
          <w:vertAlign w:val="superscript"/>
          <w:lang w:val="en"/>
        </w:rPr>
      </w:pPr>
      <w:proofErr w:type="gramStart"/>
      <w:r w:rsidRPr="00790AF3">
        <w:rPr>
          <w:b/>
          <w:sz w:val="40"/>
          <w:szCs w:val="40"/>
          <w:u w:val="single"/>
          <w:vertAlign w:val="superscript"/>
          <w:lang w:val="en"/>
        </w:rPr>
        <w:lastRenderedPageBreak/>
        <w:t>2</w:t>
      </w:r>
      <w:r w:rsidR="00790AF3" w:rsidRPr="00790AF3">
        <w:rPr>
          <w:b/>
          <w:sz w:val="40"/>
          <w:szCs w:val="40"/>
          <w:u w:val="single"/>
          <w:vertAlign w:val="superscript"/>
          <w:lang w:val="en"/>
        </w:rPr>
        <w:t xml:space="preserve">  </w:t>
      </w:r>
      <w:r w:rsidR="001A0DBE" w:rsidRPr="001A0DBE">
        <w:rPr>
          <w:b/>
          <w:sz w:val="32"/>
          <w:szCs w:val="32"/>
          <w:u w:val="single"/>
          <w:lang w:val="en"/>
        </w:rPr>
        <w:t>Individual</w:t>
      </w:r>
      <w:proofErr w:type="gramEnd"/>
      <w:r w:rsidR="001A0DBE" w:rsidRPr="001A0DBE">
        <w:rPr>
          <w:b/>
          <w:sz w:val="32"/>
          <w:szCs w:val="32"/>
          <w:u w:val="single"/>
          <w:lang w:val="en"/>
        </w:rPr>
        <w:t xml:space="preserve"> income tax rates</w:t>
      </w:r>
    </w:p>
    <w:p w14:paraId="4ACFF59C" w14:textId="77777777" w:rsidR="001A0DBE" w:rsidRPr="001A0DBE" w:rsidRDefault="001A0DBE" w:rsidP="001A0DBE">
      <w:pPr>
        <w:ind w:left="567"/>
        <w:rPr>
          <w:sz w:val="32"/>
          <w:szCs w:val="32"/>
          <w:lang w:val="en"/>
        </w:rPr>
      </w:pPr>
      <w:bookmarkStart w:id="1" w:name="Residents"/>
      <w:bookmarkEnd w:id="1"/>
      <w:r w:rsidRPr="001A0DBE">
        <w:rPr>
          <w:sz w:val="32"/>
          <w:szCs w:val="32"/>
          <w:lang w:val="en"/>
        </w:rPr>
        <w:t>Residents</w:t>
      </w:r>
    </w:p>
    <w:p w14:paraId="4ACFF59D" w14:textId="77777777" w:rsidR="001A0DBE" w:rsidRPr="001A0DBE" w:rsidRDefault="001A0DBE" w:rsidP="001A0DBE">
      <w:pPr>
        <w:ind w:left="567"/>
        <w:rPr>
          <w:sz w:val="32"/>
          <w:szCs w:val="32"/>
          <w:lang w:val="en"/>
        </w:rPr>
      </w:pPr>
      <w:r w:rsidRPr="001A0DBE">
        <w:rPr>
          <w:sz w:val="32"/>
          <w:szCs w:val="32"/>
          <w:lang w:val="en"/>
        </w:rPr>
        <w:t xml:space="preserve">These rates apply to individuals who are Australian residents for tax purposes (refer to </w:t>
      </w:r>
      <w:hyperlink r:id="rId11" w:history="1">
        <w:r w:rsidRPr="001A0DBE">
          <w:rPr>
            <w:rStyle w:val="Hyperlink"/>
            <w:sz w:val="32"/>
            <w:szCs w:val="32"/>
            <w:lang w:val="en"/>
          </w:rPr>
          <w:t>Residency – what you need to know</w:t>
        </w:r>
      </w:hyperlink>
      <w:r w:rsidRPr="001A0DBE">
        <w:rPr>
          <w:sz w:val="32"/>
          <w:szCs w:val="32"/>
          <w:lang w:val="en"/>
        </w:rPr>
        <w:t xml:space="preserve"> for more information).</w:t>
      </w:r>
    </w:p>
    <w:p w14:paraId="4ACFF59E" w14:textId="77777777" w:rsidR="001A0DBE" w:rsidRPr="001A0DBE" w:rsidRDefault="001A0DBE" w:rsidP="001A0DBE">
      <w:pPr>
        <w:ind w:left="567"/>
        <w:rPr>
          <w:sz w:val="32"/>
          <w:szCs w:val="32"/>
          <w:lang w:val="en"/>
        </w:rPr>
      </w:pPr>
      <w:bookmarkStart w:id="2" w:name="Tax_rates_2014_15"/>
      <w:bookmarkEnd w:id="2"/>
      <w:r w:rsidRPr="001A0DBE">
        <w:rPr>
          <w:sz w:val="32"/>
          <w:szCs w:val="32"/>
          <w:lang w:val="en"/>
        </w:rPr>
        <w:t>Tax rates 2014-15</w:t>
      </w:r>
    </w:p>
    <w:tbl>
      <w:tblPr>
        <w:tblW w:w="0" w:type="auto"/>
        <w:tblCellSpacing w:w="15" w:type="dxa"/>
        <w:tblBorders>
          <w:top w:val="single" w:sz="6" w:space="0" w:color="DADADA"/>
          <w:left w:val="single" w:sz="6" w:space="0" w:color="DADADA"/>
          <w:bottom w:val="single" w:sz="6" w:space="0" w:color="DADADA"/>
          <w:right w:val="single" w:sz="6" w:space="0" w:color="DADADA"/>
        </w:tblBorders>
        <w:tblCellMar>
          <w:top w:w="15" w:type="dxa"/>
          <w:left w:w="15" w:type="dxa"/>
          <w:bottom w:w="15" w:type="dxa"/>
          <w:right w:w="15" w:type="dxa"/>
        </w:tblCellMar>
        <w:tblLook w:val="04A0" w:firstRow="1" w:lastRow="0" w:firstColumn="1" w:lastColumn="0" w:noHBand="0" w:noVBand="1"/>
      </w:tblPr>
      <w:tblGrid>
        <w:gridCol w:w="3292"/>
        <w:gridCol w:w="6034"/>
      </w:tblGrid>
      <w:tr w:rsidR="001A0DBE" w:rsidRPr="001A0DBE" w14:paraId="4ACFF5A0" w14:textId="77777777" w:rsidTr="001A0DBE">
        <w:trPr>
          <w:tblCellSpacing w:w="15" w:type="dxa"/>
        </w:trPr>
        <w:tc>
          <w:tcPr>
            <w:tcW w:w="0" w:type="auto"/>
            <w:gridSpan w:val="2"/>
            <w:tcBorders>
              <w:top w:val="nil"/>
              <w:left w:val="nil"/>
              <w:bottom w:val="nil"/>
              <w:right w:val="nil"/>
            </w:tcBorders>
            <w:shd w:val="clear" w:color="auto" w:fill="F5F5F5"/>
            <w:tcMar>
              <w:top w:w="120" w:type="dxa"/>
              <w:left w:w="120" w:type="dxa"/>
              <w:bottom w:w="120" w:type="dxa"/>
              <w:right w:w="120" w:type="dxa"/>
            </w:tcMar>
            <w:vAlign w:val="center"/>
            <w:hideMark/>
          </w:tcPr>
          <w:p w14:paraId="4ACFF59F" w14:textId="77777777" w:rsidR="001A0DBE" w:rsidRPr="001A0DBE" w:rsidRDefault="001A0DBE" w:rsidP="001A0DBE">
            <w:pPr>
              <w:ind w:left="567"/>
              <w:rPr>
                <w:b/>
                <w:bCs/>
                <w:sz w:val="32"/>
                <w:szCs w:val="32"/>
              </w:rPr>
            </w:pPr>
            <w:r w:rsidRPr="001A0DBE">
              <w:rPr>
                <w:b/>
                <w:bCs/>
                <w:sz w:val="32"/>
                <w:szCs w:val="32"/>
              </w:rPr>
              <w:t>The following rates for 2014-15 apply from 1 July 2014.</w:t>
            </w:r>
          </w:p>
        </w:tc>
      </w:tr>
      <w:tr w:rsidR="001A0DBE" w:rsidRPr="001A0DBE" w14:paraId="4ACFF5A3" w14:textId="77777777" w:rsidTr="001A0DBE">
        <w:trPr>
          <w:tblCellSpacing w:w="15" w:type="dxa"/>
        </w:trPr>
        <w:tc>
          <w:tcPr>
            <w:tcW w:w="0" w:type="auto"/>
            <w:tcBorders>
              <w:top w:val="single" w:sz="6" w:space="0" w:color="DADADA"/>
              <w:left w:val="single" w:sz="6" w:space="0" w:color="DADADA"/>
              <w:bottom w:val="single" w:sz="6" w:space="0" w:color="DADADA"/>
              <w:right w:val="single" w:sz="6" w:space="0" w:color="DADADA"/>
            </w:tcBorders>
            <w:shd w:val="clear" w:color="auto" w:fill="F5F5F5"/>
            <w:tcMar>
              <w:top w:w="120" w:type="dxa"/>
              <w:left w:w="120" w:type="dxa"/>
              <w:bottom w:w="120" w:type="dxa"/>
              <w:right w:w="120" w:type="dxa"/>
            </w:tcMar>
            <w:hideMark/>
          </w:tcPr>
          <w:p w14:paraId="4ACFF5A1" w14:textId="77777777" w:rsidR="001A0DBE" w:rsidRPr="001A0DBE" w:rsidRDefault="001A0DBE" w:rsidP="001A0DBE">
            <w:pPr>
              <w:ind w:left="567"/>
              <w:rPr>
                <w:b/>
                <w:bCs/>
                <w:sz w:val="32"/>
                <w:szCs w:val="32"/>
              </w:rPr>
            </w:pPr>
            <w:r w:rsidRPr="001A0DBE">
              <w:rPr>
                <w:b/>
                <w:bCs/>
                <w:sz w:val="32"/>
                <w:szCs w:val="32"/>
              </w:rPr>
              <w:t>Taxable income</w:t>
            </w:r>
          </w:p>
        </w:tc>
        <w:tc>
          <w:tcPr>
            <w:tcW w:w="0" w:type="auto"/>
            <w:tcBorders>
              <w:top w:val="single" w:sz="6" w:space="0" w:color="DADADA"/>
              <w:left w:val="single" w:sz="6" w:space="0" w:color="DADADA"/>
              <w:bottom w:val="single" w:sz="6" w:space="0" w:color="DADADA"/>
              <w:right w:val="single" w:sz="6" w:space="0" w:color="DADADA"/>
            </w:tcBorders>
            <w:shd w:val="clear" w:color="auto" w:fill="F5F5F5"/>
            <w:tcMar>
              <w:top w:w="120" w:type="dxa"/>
              <w:left w:w="120" w:type="dxa"/>
              <w:bottom w:w="120" w:type="dxa"/>
              <w:right w:w="120" w:type="dxa"/>
            </w:tcMar>
            <w:hideMark/>
          </w:tcPr>
          <w:p w14:paraId="4ACFF5A2" w14:textId="77777777" w:rsidR="001A0DBE" w:rsidRPr="001A0DBE" w:rsidRDefault="001A0DBE" w:rsidP="001A0DBE">
            <w:pPr>
              <w:ind w:left="567"/>
              <w:rPr>
                <w:b/>
                <w:bCs/>
                <w:sz w:val="32"/>
                <w:szCs w:val="32"/>
              </w:rPr>
            </w:pPr>
            <w:r w:rsidRPr="001A0DBE">
              <w:rPr>
                <w:b/>
                <w:bCs/>
                <w:sz w:val="32"/>
                <w:szCs w:val="32"/>
              </w:rPr>
              <w:t>Tax on this income</w:t>
            </w:r>
          </w:p>
        </w:tc>
      </w:tr>
      <w:tr w:rsidR="001A0DBE" w:rsidRPr="001A0DBE" w14:paraId="4ACFF5A6" w14:textId="77777777" w:rsidTr="001A0DBE">
        <w:trPr>
          <w:tblCellSpacing w:w="15" w:type="dxa"/>
        </w:trPr>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A4" w14:textId="77777777" w:rsidR="001A0DBE" w:rsidRPr="001A0DBE" w:rsidRDefault="001A0DBE" w:rsidP="001A0DBE">
            <w:pPr>
              <w:ind w:left="567"/>
              <w:rPr>
                <w:sz w:val="32"/>
                <w:szCs w:val="32"/>
              </w:rPr>
            </w:pPr>
            <w:r w:rsidRPr="001A0DBE">
              <w:rPr>
                <w:sz w:val="32"/>
                <w:szCs w:val="32"/>
              </w:rPr>
              <w:t>0 – $18,200</w:t>
            </w:r>
          </w:p>
        </w:tc>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A5" w14:textId="77777777" w:rsidR="001A0DBE" w:rsidRPr="001A0DBE" w:rsidRDefault="001A0DBE" w:rsidP="001A0DBE">
            <w:pPr>
              <w:ind w:left="567"/>
              <w:rPr>
                <w:sz w:val="32"/>
                <w:szCs w:val="32"/>
              </w:rPr>
            </w:pPr>
            <w:r w:rsidRPr="001A0DBE">
              <w:rPr>
                <w:sz w:val="32"/>
                <w:szCs w:val="32"/>
              </w:rPr>
              <w:t>Nil</w:t>
            </w:r>
          </w:p>
        </w:tc>
      </w:tr>
      <w:tr w:rsidR="001A0DBE" w:rsidRPr="001A0DBE" w14:paraId="4ACFF5A9" w14:textId="77777777" w:rsidTr="001A0DBE">
        <w:trPr>
          <w:tblCellSpacing w:w="15" w:type="dxa"/>
        </w:trPr>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A7" w14:textId="77777777" w:rsidR="001A0DBE" w:rsidRPr="001A0DBE" w:rsidRDefault="001A0DBE" w:rsidP="001A0DBE">
            <w:pPr>
              <w:ind w:left="567"/>
              <w:rPr>
                <w:sz w:val="32"/>
                <w:szCs w:val="32"/>
              </w:rPr>
            </w:pPr>
            <w:r w:rsidRPr="001A0DBE">
              <w:rPr>
                <w:sz w:val="32"/>
                <w:szCs w:val="32"/>
              </w:rPr>
              <w:t>$18,201 – $37,000</w:t>
            </w:r>
          </w:p>
        </w:tc>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A8" w14:textId="77777777" w:rsidR="001A0DBE" w:rsidRPr="001A0DBE" w:rsidRDefault="001A0DBE" w:rsidP="001A0DBE">
            <w:pPr>
              <w:ind w:left="567"/>
              <w:rPr>
                <w:sz w:val="32"/>
                <w:szCs w:val="32"/>
              </w:rPr>
            </w:pPr>
            <w:r w:rsidRPr="001A0DBE">
              <w:rPr>
                <w:sz w:val="32"/>
                <w:szCs w:val="32"/>
              </w:rPr>
              <w:t>19c for each $1 over $18,200</w:t>
            </w:r>
          </w:p>
        </w:tc>
      </w:tr>
      <w:tr w:rsidR="001A0DBE" w:rsidRPr="001A0DBE" w14:paraId="4ACFF5AC" w14:textId="77777777" w:rsidTr="001A0DBE">
        <w:trPr>
          <w:tblCellSpacing w:w="15" w:type="dxa"/>
        </w:trPr>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AA" w14:textId="77777777" w:rsidR="001A0DBE" w:rsidRPr="001A0DBE" w:rsidRDefault="001A0DBE" w:rsidP="001A0DBE">
            <w:pPr>
              <w:ind w:left="567"/>
              <w:rPr>
                <w:sz w:val="32"/>
                <w:szCs w:val="32"/>
              </w:rPr>
            </w:pPr>
            <w:r w:rsidRPr="001A0DBE">
              <w:rPr>
                <w:sz w:val="32"/>
                <w:szCs w:val="32"/>
              </w:rPr>
              <w:t>$37,001 – $80,000</w:t>
            </w:r>
          </w:p>
        </w:tc>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AB" w14:textId="77777777" w:rsidR="001A0DBE" w:rsidRPr="001A0DBE" w:rsidRDefault="001A0DBE" w:rsidP="001A0DBE">
            <w:pPr>
              <w:ind w:left="567"/>
              <w:rPr>
                <w:sz w:val="32"/>
                <w:szCs w:val="32"/>
              </w:rPr>
            </w:pPr>
            <w:r w:rsidRPr="001A0DBE">
              <w:rPr>
                <w:sz w:val="32"/>
                <w:szCs w:val="32"/>
              </w:rPr>
              <w:t>$3,572 plus 32.5c for each $1 over $37,000</w:t>
            </w:r>
          </w:p>
        </w:tc>
      </w:tr>
      <w:tr w:rsidR="001A0DBE" w:rsidRPr="001A0DBE" w14:paraId="4ACFF5AF" w14:textId="77777777" w:rsidTr="001A0DBE">
        <w:trPr>
          <w:tblCellSpacing w:w="15" w:type="dxa"/>
        </w:trPr>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AD" w14:textId="77777777" w:rsidR="001A0DBE" w:rsidRPr="001A0DBE" w:rsidRDefault="001A0DBE" w:rsidP="001A0DBE">
            <w:pPr>
              <w:ind w:left="567"/>
              <w:rPr>
                <w:sz w:val="32"/>
                <w:szCs w:val="32"/>
              </w:rPr>
            </w:pPr>
            <w:r w:rsidRPr="001A0DBE">
              <w:rPr>
                <w:sz w:val="32"/>
                <w:szCs w:val="32"/>
              </w:rPr>
              <w:t>$80,001 – $180,000</w:t>
            </w:r>
          </w:p>
        </w:tc>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AE" w14:textId="77777777" w:rsidR="001A0DBE" w:rsidRPr="001A0DBE" w:rsidRDefault="001A0DBE" w:rsidP="001A0DBE">
            <w:pPr>
              <w:ind w:left="567"/>
              <w:rPr>
                <w:sz w:val="32"/>
                <w:szCs w:val="32"/>
              </w:rPr>
            </w:pPr>
            <w:r w:rsidRPr="001A0DBE">
              <w:rPr>
                <w:sz w:val="32"/>
                <w:szCs w:val="32"/>
              </w:rPr>
              <w:t>$17,547 plus 37c for each $1 over $80,000</w:t>
            </w:r>
          </w:p>
        </w:tc>
      </w:tr>
      <w:tr w:rsidR="001A0DBE" w:rsidRPr="001A0DBE" w14:paraId="4ACFF5B2" w14:textId="77777777" w:rsidTr="001A0DBE">
        <w:trPr>
          <w:tblCellSpacing w:w="15" w:type="dxa"/>
        </w:trPr>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B0" w14:textId="77777777" w:rsidR="001A0DBE" w:rsidRPr="001A0DBE" w:rsidRDefault="001A0DBE" w:rsidP="001A0DBE">
            <w:pPr>
              <w:ind w:left="567"/>
              <w:rPr>
                <w:sz w:val="32"/>
                <w:szCs w:val="32"/>
              </w:rPr>
            </w:pPr>
            <w:r w:rsidRPr="001A0DBE">
              <w:rPr>
                <w:sz w:val="32"/>
                <w:szCs w:val="32"/>
              </w:rPr>
              <w:t>$180,001 and over</w:t>
            </w:r>
          </w:p>
        </w:tc>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B1" w14:textId="77777777" w:rsidR="001A0DBE" w:rsidRPr="001A0DBE" w:rsidRDefault="001A0DBE" w:rsidP="001A0DBE">
            <w:pPr>
              <w:ind w:left="567"/>
              <w:rPr>
                <w:sz w:val="32"/>
                <w:szCs w:val="32"/>
              </w:rPr>
            </w:pPr>
            <w:r w:rsidRPr="001A0DBE">
              <w:rPr>
                <w:sz w:val="32"/>
                <w:szCs w:val="32"/>
              </w:rPr>
              <w:t>$54,547 plus 45c for each $1 over $180,000</w:t>
            </w:r>
          </w:p>
        </w:tc>
      </w:tr>
    </w:tbl>
    <w:p w14:paraId="4ACFF5B3" w14:textId="77777777" w:rsidR="001A0DBE" w:rsidRPr="001A0DBE" w:rsidRDefault="001A0DBE" w:rsidP="001A0DBE">
      <w:pPr>
        <w:ind w:left="567"/>
        <w:rPr>
          <w:sz w:val="32"/>
          <w:szCs w:val="32"/>
          <w:lang w:val="en"/>
        </w:rPr>
      </w:pPr>
      <w:r w:rsidRPr="001A0DBE">
        <w:rPr>
          <w:sz w:val="32"/>
          <w:szCs w:val="32"/>
          <w:lang w:val="en"/>
        </w:rPr>
        <w:t xml:space="preserve">The above rates </w:t>
      </w:r>
      <w:r w:rsidRPr="001A0DBE">
        <w:rPr>
          <w:b/>
          <w:bCs/>
          <w:sz w:val="32"/>
          <w:szCs w:val="32"/>
          <w:lang w:val="en"/>
        </w:rPr>
        <w:t>do not</w:t>
      </w:r>
      <w:r w:rsidRPr="001A0DBE">
        <w:rPr>
          <w:sz w:val="32"/>
          <w:szCs w:val="32"/>
          <w:lang w:val="en"/>
        </w:rPr>
        <w:t xml:space="preserve"> include the Medicare levy of 2%</w:t>
      </w:r>
    </w:p>
    <w:p w14:paraId="4ACFF5B4" w14:textId="77777777" w:rsidR="001A0DBE" w:rsidRDefault="00856C26" w:rsidP="0023313C">
      <w:pPr>
        <w:ind w:left="567"/>
        <w:rPr>
          <w:sz w:val="32"/>
          <w:szCs w:val="32"/>
        </w:rPr>
      </w:pPr>
      <w:hyperlink r:id="rId12" w:history="1">
        <w:r w:rsidR="001A0DBE" w:rsidRPr="007C1F95">
          <w:rPr>
            <w:rStyle w:val="Hyperlink"/>
            <w:sz w:val="32"/>
            <w:szCs w:val="32"/>
          </w:rPr>
          <w:t>https://www.ato.gov.au/Rates/Individual-income-tax-rates/</w:t>
        </w:r>
      </w:hyperlink>
    </w:p>
    <w:p w14:paraId="4ACFF5B5" w14:textId="77777777" w:rsidR="0053421A" w:rsidRDefault="001D22C5" w:rsidP="0053421A">
      <w:pPr>
        <w:rPr>
          <w:b/>
          <w:sz w:val="40"/>
          <w:szCs w:val="40"/>
          <w:u w:val="single"/>
          <w:vertAlign w:val="superscript"/>
          <w:lang w:val="en"/>
        </w:rPr>
      </w:pPr>
      <w:r>
        <w:rPr>
          <w:b/>
          <w:sz w:val="40"/>
          <w:szCs w:val="40"/>
          <w:u w:val="single"/>
          <w:vertAlign w:val="superscript"/>
          <w:lang w:val="en"/>
        </w:rPr>
        <w:br w:type="page"/>
      </w:r>
    </w:p>
    <w:p w14:paraId="4ACFF5B6" w14:textId="77777777" w:rsidR="00C50735" w:rsidRPr="0053421A" w:rsidRDefault="00435D72" w:rsidP="0053421A">
      <w:pPr>
        <w:rPr>
          <w:sz w:val="32"/>
          <w:szCs w:val="32"/>
        </w:rPr>
      </w:pPr>
      <w:proofErr w:type="gramStart"/>
      <w:r w:rsidRPr="00565808">
        <w:rPr>
          <w:b/>
          <w:sz w:val="40"/>
          <w:szCs w:val="40"/>
          <w:u w:val="single"/>
          <w:vertAlign w:val="superscript"/>
          <w:lang w:val="en"/>
        </w:rPr>
        <w:lastRenderedPageBreak/>
        <w:t>3</w:t>
      </w:r>
      <w:r w:rsidR="00565808">
        <w:rPr>
          <w:b/>
          <w:sz w:val="40"/>
          <w:szCs w:val="40"/>
          <w:u w:val="single"/>
          <w:vertAlign w:val="superscript"/>
          <w:lang w:val="en"/>
        </w:rPr>
        <w:t xml:space="preserve"> </w:t>
      </w:r>
      <w:r w:rsidR="0053421A">
        <w:rPr>
          <w:b/>
          <w:sz w:val="40"/>
          <w:szCs w:val="40"/>
          <w:u w:val="single"/>
          <w:vertAlign w:val="superscript"/>
          <w:lang w:val="en"/>
        </w:rPr>
        <w:t xml:space="preserve"> </w:t>
      </w:r>
      <w:r w:rsidR="00C50735" w:rsidRPr="00C50735">
        <w:rPr>
          <w:b/>
          <w:sz w:val="32"/>
          <w:szCs w:val="32"/>
          <w:u w:val="single"/>
          <w:lang w:val="en"/>
        </w:rPr>
        <w:t>Company</w:t>
      </w:r>
      <w:proofErr w:type="gramEnd"/>
      <w:r w:rsidR="00C50735" w:rsidRPr="00C50735">
        <w:rPr>
          <w:b/>
          <w:sz w:val="32"/>
          <w:szCs w:val="32"/>
          <w:u w:val="single"/>
          <w:lang w:val="en"/>
        </w:rPr>
        <w:t xml:space="preserve"> tax</w:t>
      </w:r>
    </w:p>
    <w:p w14:paraId="4ACFF5B7" w14:textId="77777777" w:rsidR="00C50735" w:rsidRPr="00C50735" w:rsidRDefault="00C50735" w:rsidP="00C50735">
      <w:pPr>
        <w:ind w:left="567"/>
        <w:rPr>
          <w:sz w:val="32"/>
          <w:szCs w:val="32"/>
          <w:lang w:val="en"/>
        </w:rPr>
      </w:pPr>
      <w:r w:rsidRPr="00C50735">
        <w:rPr>
          <w:sz w:val="32"/>
          <w:szCs w:val="32"/>
          <w:lang w:val="en"/>
        </w:rPr>
        <w:t>Tax rates 2014–15</w:t>
      </w:r>
    </w:p>
    <w:p w14:paraId="4ACFF5B8" w14:textId="77777777" w:rsidR="00C50735" w:rsidRPr="00C50735" w:rsidRDefault="00C50735" w:rsidP="00C50735">
      <w:pPr>
        <w:ind w:left="567"/>
        <w:rPr>
          <w:sz w:val="32"/>
          <w:szCs w:val="32"/>
          <w:lang w:val="en"/>
        </w:rPr>
      </w:pPr>
      <w:r w:rsidRPr="00C50735">
        <w:rPr>
          <w:sz w:val="32"/>
          <w:szCs w:val="32"/>
          <w:lang w:val="en"/>
        </w:rPr>
        <w:t xml:space="preserve">The following rates of tax apply to companies for the 2014-15 income </w:t>
      </w:r>
      <w:proofErr w:type="gramStart"/>
      <w:r w:rsidRPr="00C50735">
        <w:rPr>
          <w:sz w:val="32"/>
          <w:szCs w:val="32"/>
          <w:lang w:val="en"/>
        </w:rPr>
        <w:t>year</w:t>
      </w:r>
      <w:proofErr w:type="gramEnd"/>
      <w:r w:rsidRPr="00C50735">
        <w:rPr>
          <w:sz w:val="32"/>
          <w:szCs w:val="32"/>
          <w:lang w:val="en"/>
        </w:rPr>
        <w:t>.</w:t>
      </w:r>
    </w:p>
    <w:tbl>
      <w:tblPr>
        <w:tblW w:w="0" w:type="auto"/>
        <w:tblCellSpacing w:w="15" w:type="dxa"/>
        <w:tblBorders>
          <w:top w:val="single" w:sz="6" w:space="0" w:color="DADADA"/>
          <w:left w:val="single" w:sz="6" w:space="0" w:color="DADADA"/>
          <w:bottom w:val="single" w:sz="6" w:space="0" w:color="DADADA"/>
          <w:right w:val="single" w:sz="6" w:space="0" w:color="DADADA"/>
        </w:tblBorders>
        <w:tblCellMar>
          <w:top w:w="15" w:type="dxa"/>
          <w:left w:w="15" w:type="dxa"/>
          <w:bottom w:w="15" w:type="dxa"/>
          <w:right w:w="15" w:type="dxa"/>
        </w:tblCellMar>
        <w:tblLook w:val="04A0" w:firstRow="1" w:lastRow="0" w:firstColumn="1" w:lastColumn="0" w:noHBand="0" w:noVBand="1"/>
      </w:tblPr>
      <w:tblGrid>
        <w:gridCol w:w="7766"/>
        <w:gridCol w:w="1590"/>
      </w:tblGrid>
      <w:tr w:rsidR="00C50735" w:rsidRPr="00C50735" w14:paraId="4ACFF5BB" w14:textId="77777777" w:rsidTr="00C50735">
        <w:trPr>
          <w:tblCellSpacing w:w="15" w:type="dxa"/>
        </w:trPr>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B9" w14:textId="77777777" w:rsidR="00C50735" w:rsidRPr="00C50735" w:rsidRDefault="00C50735" w:rsidP="00C50735">
            <w:pPr>
              <w:ind w:left="567"/>
              <w:rPr>
                <w:sz w:val="32"/>
                <w:szCs w:val="32"/>
              </w:rPr>
            </w:pPr>
            <w:r w:rsidRPr="00C50735">
              <w:rPr>
                <w:sz w:val="32"/>
                <w:szCs w:val="32"/>
              </w:rPr>
              <w:t>Companies</w:t>
            </w:r>
          </w:p>
        </w:tc>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BA" w14:textId="77777777" w:rsidR="00C50735" w:rsidRPr="00C50735" w:rsidRDefault="00C50735" w:rsidP="00C50735">
            <w:pPr>
              <w:ind w:left="567"/>
              <w:rPr>
                <w:sz w:val="32"/>
                <w:szCs w:val="32"/>
              </w:rPr>
            </w:pPr>
            <w:r w:rsidRPr="00C50735">
              <w:rPr>
                <w:sz w:val="32"/>
                <w:szCs w:val="32"/>
              </w:rPr>
              <w:t>Rate %</w:t>
            </w:r>
          </w:p>
        </w:tc>
      </w:tr>
      <w:tr w:rsidR="00C50735" w:rsidRPr="00C50735" w14:paraId="4ACFF5BE" w14:textId="77777777" w:rsidTr="00C50735">
        <w:trPr>
          <w:tblCellSpacing w:w="15" w:type="dxa"/>
        </w:trPr>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BC" w14:textId="77777777" w:rsidR="00B724AB" w:rsidRPr="00C50735" w:rsidRDefault="00C50735" w:rsidP="00C50735">
            <w:pPr>
              <w:ind w:left="567"/>
              <w:rPr>
                <w:sz w:val="32"/>
                <w:szCs w:val="32"/>
              </w:rPr>
            </w:pPr>
            <w:r w:rsidRPr="00C50735">
              <w:rPr>
                <w:sz w:val="32"/>
                <w:szCs w:val="32"/>
              </w:rPr>
              <w:t>This includes corporate limited partnerships, strata title bodies corporate, trustees of corporate unit trusts and public trading trusts</w:t>
            </w:r>
          </w:p>
        </w:tc>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BD" w14:textId="77777777" w:rsidR="00C50735" w:rsidRPr="00C50735" w:rsidRDefault="00C50735" w:rsidP="00C50735">
            <w:pPr>
              <w:ind w:left="567"/>
              <w:rPr>
                <w:sz w:val="32"/>
                <w:szCs w:val="32"/>
              </w:rPr>
            </w:pPr>
            <w:r w:rsidRPr="00C50735">
              <w:rPr>
                <w:b/>
                <w:bCs/>
                <w:sz w:val="32"/>
                <w:szCs w:val="32"/>
              </w:rPr>
              <w:t>30</w:t>
            </w:r>
          </w:p>
        </w:tc>
      </w:tr>
      <w:tr w:rsidR="00C50735" w:rsidRPr="00C50735" w14:paraId="4ACFF5C0" w14:textId="77777777" w:rsidTr="00C50735">
        <w:trPr>
          <w:tblCellSpacing w:w="15" w:type="dxa"/>
        </w:trPr>
        <w:tc>
          <w:tcPr>
            <w:tcW w:w="0" w:type="auto"/>
            <w:gridSpan w:val="2"/>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BF" w14:textId="77777777" w:rsidR="00C50735" w:rsidRPr="00C50735" w:rsidRDefault="00C50735" w:rsidP="00C50735">
            <w:pPr>
              <w:ind w:left="567"/>
              <w:rPr>
                <w:sz w:val="32"/>
                <w:szCs w:val="32"/>
              </w:rPr>
            </w:pPr>
            <w:r w:rsidRPr="00C50735">
              <w:rPr>
                <w:b/>
                <w:bCs/>
                <w:sz w:val="32"/>
                <w:szCs w:val="32"/>
              </w:rPr>
              <w:t>Life insurance companies</w:t>
            </w:r>
          </w:p>
        </w:tc>
      </w:tr>
      <w:tr w:rsidR="00C50735" w:rsidRPr="00C50735" w14:paraId="4ACFF5C3" w14:textId="77777777" w:rsidTr="00C50735">
        <w:trPr>
          <w:tblCellSpacing w:w="15" w:type="dxa"/>
        </w:trPr>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C1" w14:textId="77777777" w:rsidR="00B724AB" w:rsidRPr="00C50735" w:rsidRDefault="00C50735" w:rsidP="00C50735">
            <w:pPr>
              <w:ind w:left="567"/>
              <w:rPr>
                <w:sz w:val="32"/>
                <w:szCs w:val="32"/>
              </w:rPr>
            </w:pPr>
            <w:r w:rsidRPr="00C50735">
              <w:rPr>
                <w:sz w:val="32"/>
                <w:szCs w:val="32"/>
              </w:rPr>
              <w:t>Ordinary class of taxable income</w:t>
            </w:r>
          </w:p>
        </w:tc>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C2" w14:textId="77777777" w:rsidR="00C50735" w:rsidRPr="00C50735" w:rsidRDefault="00C50735" w:rsidP="00C50735">
            <w:pPr>
              <w:ind w:left="567"/>
              <w:rPr>
                <w:sz w:val="32"/>
                <w:szCs w:val="32"/>
              </w:rPr>
            </w:pPr>
            <w:r w:rsidRPr="00C50735">
              <w:rPr>
                <w:b/>
                <w:bCs/>
                <w:sz w:val="32"/>
                <w:szCs w:val="32"/>
              </w:rPr>
              <w:t>30</w:t>
            </w:r>
          </w:p>
        </w:tc>
      </w:tr>
      <w:tr w:rsidR="00C50735" w:rsidRPr="00C50735" w14:paraId="4ACFF5C8" w14:textId="77777777" w:rsidTr="00C50735">
        <w:trPr>
          <w:tblCellSpacing w:w="15" w:type="dxa"/>
        </w:trPr>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C4" w14:textId="77777777" w:rsidR="00C50735" w:rsidRPr="00C50735" w:rsidRDefault="00C50735" w:rsidP="00C50735">
            <w:pPr>
              <w:ind w:left="567"/>
              <w:rPr>
                <w:sz w:val="32"/>
                <w:szCs w:val="32"/>
              </w:rPr>
            </w:pPr>
            <w:r w:rsidRPr="00C50735">
              <w:rPr>
                <w:sz w:val="32"/>
                <w:szCs w:val="32"/>
              </w:rPr>
              <w:t>Complying super and first home saver account (FHSA) class of taxable income</w:t>
            </w:r>
          </w:p>
          <w:p w14:paraId="4ACFF5C5" w14:textId="77777777" w:rsidR="00B724AB" w:rsidRPr="00C50735" w:rsidRDefault="00C50735" w:rsidP="00C50735">
            <w:pPr>
              <w:ind w:left="567"/>
              <w:rPr>
                <w:sz w:val="32"/>
                <w:szCs w:val="32"/>
              </w:rPr>
            </w:pPr>
            <w:r w:rsidRPr="00C50735">
              <w:rPr>
                <w:sz w:val="32"/>
                <w:szCs w:val="32"/>
              </w:rPr>
              <w:t>Additional tax on no-TFN contributions income where the company is a retirement savings account (RSA) provider</w:t>
            </w:r>
          </w:p>
        </w:tc>
        <w:tc>
          <w:tcPr>
            <w:tcW w:w="0" w:type="auto"/>
            <w:tcBorders>
              <w:top w:val="single" w:sz="6" w:space="0" w:color="DADADA"/>
              <w:left w:val="single" w:sz="6" w:space="0" w:color="DADADA"/>
              <w:bottom w:val="single" w:sz="6" w:space="0" w:color="DADADA"/>
              <w:right w:val="single" w:sz="6" w:space="0" w:color="DADADA"/>
            </w:tcBorders>
            <w:shd w:val="clear" w:color="auto" w:fill="auto"/>
            <w:tcMar>
              <w:top w:w="120" w:type="dxa"/>
              <w:left w:w="120" w:type="dxa"/>
              <w:bottom w:w="120" w:type="dxa"/>
              <w:right w:w="120" w:type="dxa"/>
            </w:tcMar>
            <w:hideMark/>
          </w:tcPr>
          <w:p w14:paraId="4ACFF5C6" w14:textId="77777777" w:rsidR="00C50735" w:rsidRPr="00C50735" w:rsidRDefault="00C50735" w:rsidP="00C50735">
            <w:pPr>
              <w:ind w:left="567"/>
              <w:rPr>
                <w:sz w:val="32"/>
                <w:szCs w:val="32"/>
              </w:rPr>
            </w:pPr>
            <w:r w:rsidRPr="00C50735">
              <w:rPr>
                <w:b/>
                <w:bCs/>
                <w:sz w:val="32"/>
                <w:szCs w:val="32"/>
              </w:rPr>
              <w:t>15</w:t>
            </w:r>
          </w:p>
          <w:p w14:paraId="4ACFF5C7" w14:textId="77777777" w:rsidR="00C50735" w:rsidRPr="00C50735" w:rsidRDefault="00C50735" w:rsidP="00C50735">
            <w:pPr>
              <w:ind w:left="567"/>
              <w:rPr>
                <w:sz w:val="32"/>
                <w:szCs w:val="32"/>
              </w:rPr>
            </w:pPr>
            <w:r w:rsidRPr="00C50735">
              <w:rPr>
                <w:sz w:val="32"/>
                <w:szCs w:val="32"/>
              </w:rPr>
              <w:br/>
            </w:r>
            <w:r w:rsidRPr="00C50735">
              <w:rPr>
                <w:b/>
                <w:bCs/>
                <w:sz w:val="32"/>
                <w:szCs w:val="32"/>
              </w:rPr>
              <w:t>31.5</w:t>
            </w:r>
          </w:p>
        </w:tc>
      </w:tr>
    </w:tbl>
    <w:p w14:paraId="4ACFF5C9" w14:textId="77777777" w:rsidR="00565808" w:rsidRPr="0053421A" w:rsidRDefault="00856C26" w:rsidP="0023313C">
      <w:pPr>
        <w:ind w:left="567"/>
        <w:rPr>
          <w:sz w:val="32"/>
          <w:szCs w:val="32"/>
        </w:rPr>
      </w:pPr>
      <w:hyperlink r:id="rId13" w:anchor="Tax_rates_2014_15" w:history="1">
        <w:r w:rsidR="00565808" w:rsidRPr="007C1F95">
          <w:rPr>
            <w:rStyle w:val="Hyperlink"/>
            <w:sz w:val="32"/>
            <w:szCs w:val="32"/>
          </w:rPr>
          <w:t>https://www.ato.gov.au/rates/company-tax/?page=1#Tax_rates_2014_15</w:t>
        </w:r>
      </w:hyperlink>
      <w:r w:rsidR="00565808">
        <w:rPr>
          <w:sz w:val="32"/>
          <w:szCs w:val="32"/>
        </w:rPr>
        <w:t xml:space="preserve"> </w:t>
      </w:r>
    </w:p>
    <w:p w14:paraId="4ACFF5CA" w14:textId="77777777" w:rsidR="0053421A" w:rsidRDefault="00790AF3" w:rsidP="0053421A">
      <w:pPr>
        <w:ind w:left="567"/>
        <w:rPr>
          <w:sz w:val="32"/>
          <w:szCs w:val="32"/>
        </w:rPr>
      </w:pPr>
      <w:proofErr w:type="gramStart"/>
      <w:r w:rsidRPr="00565808">
        <w:rPr>
          <w:b/>
          <w:sz w:val="40"/>
          <w:szCs w:val="40"/>
          <w:u w:val="single"/>
          <w:vertAlign w:val="superscript"/>
        </w:rPr>
        <w:t>4</w:t>
      </w:r>
      <w:r w:rsidRPr="00565808">
        <w:rPr>
          <w:b/>
          <w:sz w:val="40"/>
          <w:szCs w:val="40"/>
          <w:u w:val="single"/>
        </w:rPr>
        <w:t xml:space="preserve"> </w:t>
      </w:r>
      <w:r w:rsidR="00565808">
        <w:rPr>
          <w:b/>
          <w:sz w:val="32"/>
          <w:szCs w:val="32"/>
          <w:u w:val="single"/>
        </w:rPr>
        <w:t xml:space="preserve"> </w:t>
      </w:r>
      <w:r w:rsidRPr="00565808">
        <w:rPr>
          <w:b/>
          <w:sz w:val="32"/>
          <w:szCs w:val="32"/>
          <w:u w:val="single"/>
        </w:rPr>
        <w:t>Prime</w:t>
      </w:r>
      <w:proofErr w:type="gramEnd"/>
      <w:r w:rsidRPr="00565808">
        <w:rPr>
          <w:b/>
          <w:sz w:val="32"/>
          <w:szCs w:val="32"/>
          <w:u w:val="single"/>
        </w:rPr>
        <w:t xml:space="preserve"> Minister Abbott’s</w:t>
      </w:r>
      <w:r>
        <w:rPr>
          <w:sz w:val="32"/>
          <w:szCs w:val="32"/>
        </w:rPr>
        <w:t xml:space="preserve"> unilateral declaration </w:t>
      </w:r>
      <w:r w:rsidR="00B16015" w:rsidRPr="00B16015">
        <w:rPr>
          <w:sz w:val="32"/>
          <w:szCs w:val="32"/>
        </w:rPr>
        <w:t xml:space="preserve">allegedly </w:t>
      </w:r>
      <w:r>
        <w:rPr>
          <w:sz w:val="32"/>
          <w:szCs w:val="32"/>
        </w:rPr>
        <w:t xml:space="preserve">on behalf of Australians </w:t>
      </w:r>
      <w:r w:rsidR="00565808">
        <w:rPr>
          <w:sz w:val="32"/>
          <w:szCs w:val="32"/>
        </w:rPr>
        <w:t xml:space="preserve">in </w:t>
      </w:r>
      <w:r>
        <w:rPr>
          <w:sz w:val="32"/>
          <w:szCs w:val="32"/>
        </w:rPr>
        <w:t>March, 2015.</w:t>
      </w:r>
    </w:p>
    <w:p w14:paraId="4ACFF5CB" w14:textId="77777777" w:rsidR="0053421A" w:rsidRDefault="0053421A" w:rsidP="0053421A">
      <w:pPr>
        <w:ind w:left="567"/>
        <w:jc w:val="center"/>
        <w:rPr>
          <w:sz w:val="32"/>
          <w:szCs w:val="32"/>
        </w:rPr>
      </w:pPr>
    </w:p>
    <w:p w14:paraId="4ACFF5CC" w14:textId="77777777" w:rsidR="0053421A" w:rsidRPr="0053421A" w:rsidRDefault="0053421A" w:rsidP="0053421A">
      <w:pPr>
        <w:jc w:val="center"/>
        <w:rPr>
          <w:rFonts w:ascii="Georgia" w:hAnsi="Georgia"/>
          <w:b/>
          <w:sz w:val="48"/>
          <w:szCs w:val="48"/>
          <w:vertAlign w:val="superscript"/>
        </w:rPr>
      </w:pPr>
      <w:r w:rsidRPr="00FA7BFD">
        <w:rPr>
          <w:rFonts w:ascii="Georgia" w:hAnsi="Georgia"/>
          <w:b/>
          <w:sz w:val="48"/>
          <w:szCs w:val="48"/>
          <w:vertAlign w:val="superscript"/>
        </w:rPr>
        <w:t>Russell Lindsay Moffet</w:t>
      </w:r>
      <w:r>
        <w:rPr>
          <w:rFonts w:ascii="Georgia" w:hAnsi="Georgia"/>
          <w:b/>
          <w:sz w:val="48"/>
          <w:szCs w:val="48"/>
          <w:vertAlign w:val="superscript"/>
        </w:rPr>
        <w:t>:</w:t>
      </w:r>
      <w:r w:rsidRPr="00FA7BFD">
        <w:rPr>
          <w:rFonts w:ascii="Georgia" w:hAnsi="Georgia"/>
          <w:b/>
          <w:sz w:val="48"/>
          <w:szCs w:val="48"/>
          <w:vertAlign w:val="superscript"/>
        </w:rPr>
        <w:t xml:space="preserve">  </w:t>
      </w:r>
      <w:hyperlink r:id="rId14" w:history="1">
        <w:r w:rsidRPr="00FA7BFD">
          <w:rPr>
            <w:rStyle w:val="Hyperlink"/>
            <w:rFonts w:ascii="Georgia" w:hAnsi="Georgia"/>
            <w:b/>
            <w:sz w:val="48"/>
            <w:szCs w:val="48"/>
            <w:vertAlign w:val="superscript"/>
          </w:rPr>
          <w:t>russellmoffet@gmail.com</w:t>
        </w:r>
      </w:hyperlink>
      <w:r w:rsidRPr="00FA7BFD">
        <w:rPr>
          <w:rFonts w:ascii="Georgia" w:hAnsi="Georgia"/>
          <w:b/>
          <w:sz w:val="48"/>
          <w:szCs w:val="48"/>
          <w:vertAlign w:val="superscript"/>
        </w:rPr>
        <w:t xml:space="preserve">   +</w:t>
      </w:r>
      <w:r w:rsidRPr="00FA7BFD">
        <w:rPr>
          <w:rFonts w:ascii="Arial Rounded MT Bold" w:hAnsi="Arial Rounded MT Bold"/>
          <w:b/>
          <w:sz w:val="48"/>
          <w:szCs w:val="48"/>
          <w:vertAlign w:val="superscript"/>
        </w:rPr>
        <w:t xml:space="preserve">6141 090 </w:t>
      </w:r>
      <w:proofErr w:type="gramStart"/>
      <w:r w:rsidRPr="00FA7BFD">
        <w:rPr>
          <w:rFonts w:ascii="Arial Rounded MT Bold" w:hAnsi="Arial Rounded MT Bold"/>
          <w:b/>
          <w:sz w:val="48"/>
          <w:szCs w:val="48"/>
          <w:vertAlign w:val="superscript"/>
        </w:rPr>
        <w:t>4712</w:t>
      </w:r>
      <w:r w:rsidRPr="00FA7BFD">
        <w:rPr>
          <w:rFonts w:ascii="Georgia" w:hAnsi="Georgia"/>
          <w:b/>
          <w:sz w:val="48"/>
          <w:szCs w:val="48"/>
          <w:vertAlign w:val="superscript"/>
        </w:rPr>
        <w:t xml:space="preserve">  </w:t>
      </w:r>
      <w:r>
        <w:rPr>
          <w:rFonts w:ascii="Georgia" w:hAnsi="Georgia"/>
          <w:b/>
          <w:sz w:val="48"/>
          <w:szCs w:val="48"/>
          <w:vertAlign w:val="superscript"/>
        </w:rPr>
        <w:t>Twitter</w:t>
      </w:r>
      <w:proofErr w:type="gramEnd"/>
      <w:r>
        <w:rPr>
          <w:rFonts w:ascii="Georgia" w:hAnsi="Georgia"/>
          <w:b/>
          <w:sz w:val="48"/>
          <w:szCs w:val="48"/>
          <w:vertAlign w:val="superscript"/>
        </w:rPr>
        <w:t xml:space="preserve"> #RMOFFET</w:t>
      </w:r>
    </w:p>
    <w:sectPr w:rsidR="0053421A" w:rsidRPr="0053421A" w:rsidSect="00D37CE0">
      <w:pgSz w:w="11906" w:h="16838"/>
      <w:pgMar w:top="1134" w:right="1440" w:bottom="141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7135"/>
    <w:multiLevelType w:val="multilevel"/>
    <w:tmpl w:val="80E68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BE732B"/>
    <w:multiLevelType w:val="multilevel"/>
    <w:tmpl w:val="057CC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13C"/>
    <w:rsid w:val="00002E8E"/>
    <w:rsid w:val="00013070"/>
    <w:rsid w:val="00015972"/>
    <w:rsid w:val="00015CF6"/>
    <w:rsid w:val="00016431"/>
    <w:rsid w:val="00016B67"/>
    <w:rsid w:val="000252CF"/>
    <w:rsid w:val="00027C59"/>
    <w:rsid w:val="00034A55"/>
    <w:rsid w:val="00042785"/>
    <w:rsid w:val="000429C3"/>
    <w:rsid w:val="0004792C"/>
    <w:rsid w:val="000507CE"/>
    <w:rsid w:val="0006783C"/>
    <w:rsid w:val="00072E78"/>
    <w:rsid w:val="00073BD3"/>
    <w:rsid w:val="00075CF7"/>
    <w:rsid w:val="0008352B"/>
    <w:rsid w:val="000B2DB7"/>
    <w:rsid w:val="000C0833"/>
    <w:rsid w:val="000C256E"/>
    <w:rsid w:val="000D0D52"/>
    <w:rsid w:val="000D43E6"/>
    <w:rsid w:val="000E0C4E"/>
    <w:rsid w:val="000E6E92"/>
    <w:rsid w:val="000E7911"/>
    <w:rsid w:val="00100676"/>
    <w:rsid w:val="00102D1F"/>
    <w:rsid w:val="00104DBC"/>
    <w:rsid w:val="00112CFE"/>
    <w:rsid w:val="00113261"/>
    <w:rsid w:val="0011387D"/>
    <w:rsid w:val="00155857"/>
    <w:rsid w:val="001632AD"/>
    <w:rsid w:val="00165908"/>
    <w:rsid w:val="00173A44"/>
    <w:rsid w:val="00174049"/>
    <w:rsid w:val="00174F99"/>
    <w:rsid w:val="00194B66"/>
    <w:rsid w:val="00195C1C"/>
    <w:rsid w:val="001A0DBE"/>
    <w:rsid w:val="001A5188"/>
    <w:rsid w:val="001A7416"/>
    <w:rsid w:val="001B2974"/>
    <w:rsid w:val="001C0F8A"/>
    <w:rsid w:val="001C48F0"/>
    <w:rsid w:val="001D22C5"/>
    <w:rsid w:val="001D6829"/>
    <w:rsid w:val="001F3491"/>
    <w:rsid w:val="001F5970"/>
    <w:rsid w:val="001F602F"/>
    <w:rsid w:val="001F64C8"/>
    <w:rsid w:val="002060D0"/>
    <w:rsid w:val="00223860"/>
    <w:rsid w:val="00226EBC"/>
    <w:rsid w:val="0023313C"/>
    <w:rsid w:val="00235A4E"/>
    <w:rsid w:val="002530B3"/>
    <w:rsid w:val="00263036"/>
    <w:rsid w:val="00265855"/>
    <w:rsid w:val="00267D65"/>
    <w:rsid w:val="002744A1"/>
    <w:rsid w:val="00277583"/>
    <w:rsid w:val="00282D9D"/>
    <w:rsid w:val="002830BE"/>
    <w:rsid w:val="0029697C"/>
    <w:rsid w:val="00297F66"/>
    <w:rsid w:val="002A1348"/>
    <w:rsid w:val="002A28BD"/>
    <w:rsid w:val="002A3180"/>
    <w:rsid w:val="002A6611"/>
    <w:rsid w:val="002B52E6"/>
    <w:rsid w:val="002C246A"/>
    <w:rsid w:val="002D0840"/>
    <w:rsid w:val="002D454A"/>
    <w:rsid w:val="002D4E38"/>
    <w:rsid w:val="002E0BA1"/>
    <w:rsid w:val="002F3A49"/>
    <w:rsid w:val="00300BBD"/>
    <w:rsid w:val="00302EB3"/>
    <w:rsid w:val="00306F8D"/>
    <w:rsid w:val="00316068"/>
    <w:rsid w:val="003161DF"/>
    <w:rsid w:val="00323836"/>
    <w:rsid w:val="0032469C"/>
    <w:rsid w:val="0032733B"/>
    <w:rsid w:val="00351D8A"/>
    <w:rsid w:val="0035391C"/>
    <w:rsid w:val="00355F9D"/>
    <w:rsid w:val="00360D1A"/>
    <w:rsid w:val="00360DD5"/>
    <w:rsid w:val="00365B21"/>
    <w:rsid w:val="00371611"/>
    <w:rsid w:val="003755E9"/>
    <w:rsid w:val="003835C5"/>
    <w:rsid w:val="00383D25"/>
    <w:rsid w:val="003844E4"/>
    <w:rsid w:val="00385553"/>
    <w:rsid w:val="0039269D"/>
    <w:rsid w:val="003A0A1E"/>
    <w:rsid w:val="003A15C3"/>
    <w:rsid w:val="003A539D"/>
    <w:rsid w:val="003B3764"/>
    <w:rsid w:val="003B53C0"/>
    <w:rsid w:val="003B60FD"/>
    <w:rsid w:val="003B7DCB"/>
    <w:rsid w:val="003C03D3"/>
    <w:rsid w:val="003D076E"/>
    <w:rsid w:val="003D4962"/>
    <w:rsid w:val="003D5A2A"/>
    <w:rsid w:val="003E1481"/>
    <w:rsid w:val="003E709E"/>
    <w:rsid w:val="003F3F67"/>
    <w:rsid w:val="003F79D0"/>
    <w:rsid w:val="00402379"/>
    <w:rsid w:val="00407078"/>
    <w:rsid w:val="00407849"/>
    <w:rsid w:val="00413AD2"/>
    <w:rsid w:val="00421395"/>
    <w:rsid w:val="004224EC"/>
    <w:rsid w:val="00431851"/>
    <w:rsid w:val="00435D72"/>
    <w:rsid w:val="00444C9E"/>
    <w:rsid w:val="00450F67"/>
    <w:rsid w:val="00455706"/>
    <w:rsid w:val="00455952"/>
    <w:rsid w:val="00456B05"/>
    <w:rsid w:val="00477740"/>
    <w:rsid w:val="0048093C"/>
    <w:rsid w:val="00481AB6"/>
    <w:rsid w:val="00482546"/>
    <w:rsid w:val="0048410A"/>
    <w:rsid w:val="00496509"/>
    <w:rsid w:val="00496A41"/>
    <w:rsid w:val="004A0D1A"/>
    <w:rsid w:val="004A4699"/>
    <w:rsid w:val="004B4987"/>
    <w:rsid w:val="004B772A"/>
    <w:rsid w:val="004C38C9"/>
    <w:rsid w:val="004D4CE6"/>
    <w:rsid w:val="004D60E4"/>
    <w:rsid w:val="004D6C8A"/>
    <w:rsid w:val="004E0260"/>
    <w:rsid w:val="004E1B10"/>
    <w:rsid w:val="004E2565"/>
    <w:rsid w:val="004E5A83"/>
    <w:rsid w:val="004F2E91"/>
    <w:rsid w:val="004F489C"/>
    <w:rsid w:val="0050410F"/>
    <w:rsid w:val="005059B8"/>
    <w:rsid w:val="0051199D"/>
    <w:rsid w:val="0053421A"/>
    <w:rsid w:val="005378A7"/>
    <w:rsid w:val="00541CB0"/>
    <w:rsid w:val="005476DF"/>
    <w:rsid w:val="00547882"/>
    <w:rsid w:val="005510CC"/>
    <w:rsid w:val="00560F63"/>
    <w:rsid w:val="00565808"/>
    <w:rsid w:val="00566589"/>
    <w:rsid w:val="00566A2E"/>
    <w:rsid w:val="00566C72"/>
    <w:rsid w:val="005700ED"/>
    <w:rsid w:val="00575123"/>
    <w:rsid w:val="005777D7"/>
    <w:rsid w:val="0058184F"/>
    <w:rsid w:val="005819BC"/>
    <w:rsid w:val="005B0FA9"/>
    <w:rsid w:val="005B5720"/>
    <w:rsid w:val="005C18DE"/>
    <w:rsid w:val="005C30F2"/>
    <w:rsid w:val="005C4CDF"/>
    <w:rsid w:val="005C5F40"/>
    <w:rsid w:val="005D080F"/>
    <w:rsid w:val="005D0841"/>
    <w:rsid w:val="005D095A"/>
    <w:rsid w:val="005D6295"/>
    <w:rsid w:val="005E59D8"/>
    <w:rsid w:val="005E5CA4"/>
    <w:rsid w:val="005E7F94"/>
    <w:rsid w:val="005F066C"/>
    <w:rsid w:val="005F5F4D"/>
    <w:rsid w:val="005F616F"/>
    <w:rsid w:val="005F67C7"/>
    <w:rsid w:val="005F688D"/>
    <w:rsid w:val="005F6A72"/>
    <w:rsid w:val="006003BF"/>
    <w:rsid w:val="00602833"/>
    <w:rsid w:val="00610F77"/>
    <w:rsid w:val="006116B0"/>
    <w:rsid w:val="006265C0"/>
    <w:rsid w:val="006305AA"/>
    <w:rsid w:val="00631ECB"/>
    <w:rsid w:val="00633832"/>
    <w:rsid w:val="00635B4B"/>
    <w:rsid w:val="00637678"/>
    <w:rsid w:val="00642C53"/>
    <w:rsid w:val="00655605"/>
    <w:rsid w:val="00660F2F"/>
    <w:rsid w:val="00670C9C"/>
    <w:rsid w:val="00671E02"/>
    <w:rsid w:val="00674D19"/>
    <w:rsid w:val="00682EC5"/>
    <w:rsid w:val="00684D84"/>
    <w:rsid w:val="00692179"/>
    <w:rsid w:val="006A2665"/>
    <w:rsid w:val="006C7991"/>
    <w:rsid w:val="006D755E"/>
    <w:rsid w:val="006E332E"/>
    <w:rsid w:val="006E693D"/>
    <w:rsid w:val="006E7871"/>
    <w:rsid w:val="00724420"/>
    <w:rsid w:val="0072611D"/>
    <w:rsid w:val="00733FE4"/>
    <w:rsid w:val="00735D90"/>
    <w:rsid w:val="0073609C"/>
    <w:rsid w:val="00740497"/>
    <w:rsid w:val="00742860"/>
    <w:rsid w:val="00744FD3"/>
    <w:rsid w:val="0074691F"/>
    <w:rsid w:val="007470A5"/>
    <w:rsid w:val="00752FAE"/>
    <w:rsid w:val="00753316"/>
    <w:rsid w:val="00775F7B"/>
    <w:rsid w:val="00781745"/>
    <w:rsid w:val="00787C09"/>
    <w:rsid w:val="00790AF3"/>
    <w:rsid w:val="00792314"/>
    <w:rsid w:val="007927EA"/>
    <w:rsid w:val="007976AF"/>
    <w:rsid w:val="007A1D8C"/>
    <w:rsid w:val="007B0D4B"/>
    <w:rsid w:val="007B5366"/>
    <w:rsid w:val="007D758C"/>
    <w:rsid w:val="007E14F9"/>
    <w:rsid w:val="007F0C01"/>
    <w:rsid w:val="007F16CC"/>
    <w:rsid w:val="00801822"/>
    <w:rsid w:val="00802605"/>
    <w:rsid w:val="00804733"/>
    <w:rsid w:val="00805FF9"/>
    <w:rsid w:val="00817994"/>
    <w:rsid w:val="00822B40"/>
    <w:rsid w:val="00831247"/>
    <w:rsid w:val="00834039"/>
    <w:rsid w:val="00836BAA"/>
    <w:rsid w:val="00842CE8"/>
    <w:rsid w:val="0084538C"/>
    <w:rsid w:val="00850006"/>
    <w:rsid w:val="00850723"/>
    <w:rsid w:val="00855C04"/>
    <w:rsid w:val="00856C26"/>
    <w:rsid w:val="00860CC3"/>
    <w:rsid w:val="00865BDD"/>
    <w:rsid w:val="00866A50"/>
    <w:rsid w:val="00870B4C"/>
    <w:rsid w:val="00870D08"/>
    <w:rsid w:val="0087488F"/>
    <w:rsid w:val="0087491E"/>
    <w:rsid w:val="00890332"/>
    <w:rsid w:val="008977FD"/>
    <w:rsid w:val="008A04CF"/>
    <w:rsid w:val="008A0A53"/>
    <w:rsid w:val="008A132B"/>
    <w:rsid w:val="008B0F05"/>
    <w:rsid w:val="008B17C3"/>
    <w:rsid w:val="008B2565"/>
    <w:rsid w:val="008B6A55"/>
    <w:rsid w:val="008B7F40"/>
    <w:rsid w:val="008C1A62"/>
    <w:rsid w:val="008C2421"/>
    <w:rsid w:val="008E115D"/>
    <w:rsid w:val="008F68B3"/>
    <w:rsid w:val="00900685"/>
    <w:rsid w:val="00904127"/>
    <w:rsid w:val="00911746"/>
    <w:rsid w:val="00911A83"/>
    <w:rsid w:val="00914B77"/>
    <w:rsid w:val="00915ED3"/>
    <w:rsid w:val="00926B35"/>
    <w:rsid w:val="00927112"/>
    <w:rsid w:val="009275E4"/>
    <w:rsid w:val="009447FE"/>
    <w:rsid w:val="00950DFD"/>
    <w:rsid w:val="009520B0"/>
    <w:rsid w:val="0096028C"/>
    <w:rsid w:val="00960B81"/>
    <w:rsid w:val="0096579B"/>
    <w:rsid w:val="00970C4F"/>
    <w:rsid w:val="0097175F"/>
    <w:rsid w:val="00973AB3"/>
    <w:rsid w:val="009746F3"/>
    <w:rsid w:val="00977CC1"/>
    <w:rsid w:val="009803A7"/>
    <w:rsid w:val="00981F49"/>
    <w:rsid w:val="009946CE"/>
    <w:rsid w:val="00996245"/>
    <w:rsid w:val="009A1C32"/>
    <w:rsid w:val="009A74BE"/>
    <w:rsid w:val="009C43BD"/>
    <w:rsid w:val="009D2B89"/>
    <w:rsid w:val="009E0B82"/>
    <w:rsid w:val="009E4869"/>
    <w:rsid w:val="009F24AD"/>
    <w:rsid w:val="00A00124"/>
    <w:rsid w:val="00A04F5F"/>
    <w:rsid w:val="00A108CA"/>
    <w:rsid w:val="00A13C53"/>
    <w:rsid w:val="00A16FF9"/>
    <w:rsid w:val="00A3001A"/>
    <w:rsid w:val="00A304C5"/>
    <w:rsid w:val="00A34062"/>
    <w:rsid w:val="00A51467"/>
    <w:rsid w:val="00A523D4"/>
    <w:rsid w:val="00A56318"/>
    <w:rsid w:val="00A61E67"/>
    <w:rsid w:val="00A6505A"/>
    <w:rsid w:val="00A72677"/>
    <w:rsid w:val="00A73F3A"/>
    <w:rsid w:val="00A7698C"/>
    <w:rsid w:val="00A80F54"/>
    <w:rsid w:val="00A84764"/>
    <w:rsid w:val="00AB1568"/>
    <w:rsid w:val="00AB4962"/>
    <w:rsid w:val="00AB6FEB"/>
    <w:rsid w:val="00AB79B6"/>
    <w:rsid w:val="00AC6ACA"/>
    <w:rsid w:val="00AC7DFE"/>
    <w:rsid w:val="00AD1961"/>
    <w:rsid w:val="00AD45C2"/>
    <w:rsid w:val="00AE6E2A"/>
    <w:rsid w:val="00AE78EF"/>
    <w:rsid w:val="00AF27B1"/>
    <w:rsid w:val="00B00616"/>
    <w:rsid w:val="00B04DA4"/>
    <w:rsid w:val="00B06AA3"/>
    <w:rsid w:val="00B16015"/>
    <w:rsid w:val="00B222FB"/>
    <w:rsid w:val="00B23AB6"/>
    <w:rsid w:val="00B23BFD"/>
    <w:rsid w:val="00B313F5"/>
    <w:rsid w:val="00B63684"/>
    <w:rsid w:val="00B64E2C"/>
    <w:rsid w:val="00B67572"/>
    <w:rsid w:val="00B70538"/>
    <w:rsid w:val="00B724AB"/>
    <w:rsid w:val="00B75485"/>
    <w:rsid w:val="00B8557B"/>
    <w:rsid w:val="00B87132"/>
    <w:rsid w:val="00B87C0D"/>
    <w:rsid w:val="00B902DF"/>
    <w:rsid w:val="00B956F6"/>
    <w:rsid w:val="00B973EB"/>
    <w:rsid w:val="00BA1769"/>
    <w:rsid w:val="00BA2932"/>
    <w:rsid w:val="00BA7E17"/>
    <w:rsid w:val="00BB3E82"/>
    <w:rsid w:val="00BB4452"/>
    <w:rsid w:val="00BB5058"/>
    <w:rsid w:val="00BB5DF2"/>
    <w:rsid w:val="00BC19DC"/>
    <w:rsid w:val="00BC4595"/>
    <w:rsid w:val="00BC5F12"/>
    <w:rsid w:val="00BD4B7C"/>
    <w:rsid w:val="00BD51AC"/>
    <w:rsid w:val="00BD7DA6"/>
    <w:rsid w:val="00BE3851"/>
    <w:rsid w:val="00BF43A7"/>
    <w:rsid w:val="00C05724"/>
    <w:rsid w:val="00C061CE"/>
    <w:rsid w:val="00C11D12"/>
    <w:rsid w:val="00C21F2C"/>
    <w:rsid w:val="00C23D99"/>
    <w:rsid w:val="00C240E6"/>
    <w:rsid w:val="00C27B7E"/>
    <w:rsid w:val="00C35659"/>
    <w:rsid w:val="00C375DA"/>
    <w:rsid w:val="00C46CCF"/>
    <w:rsid w:val="00C50735"/>
    <w:rsid w:val="00C519EA"/>
    <w:rsid w:val="00C57B51"/>
    <w:rsid w:val="00C62FA3"/>
    <w:rsid w:val="00C64BDB"/>
    <w:rsid w:val="00C70E96"/>
    <w:rsid w:val="00C77051"/>
    <w:rsid w:val="00C77641"/>
    <w:rsid w:val="00C837A5"/>
    <w:rsid w:val="00C85BB0"/>
    <w:rsid w:val="00CA5033"/>
    <w:rsid w:val="00CA7847"/>
    <w:rsid w:val="00CB0DE5"/>
    <w:rsid w:val="00CB3164"/>
    <w:rsid w:val="00CB46CF"/>
    <w:rsid w:val="00CC0770"/>
    <w:rsid w:val="00CC1109"/>
    <w:rsid w:val="00CC70E3"/>
    <w:rsid w:val="00CD4766"/>
    <w:rsid w:val="00CD6EA2"/>
    <w:rsid w:val="00D25BD6"/>
    <w:rsid w:val="00D32B5F"/>
    <w:rsid w:val="00D33F9E"/>
    <w:rsid w:val="00D37CE0"/>
    <w:rsid w:val="00D43A14"/>
    <w:rsid w:val="00D51226"/>
    <w:rsid w:val="00D835F2"/>
    <w:rsid w:val="00D83DE3"/>
    <w:rsid w:val="00D90EC6"/>
    <w:rsid w:val="00DB3C3C"/>
    <w:rsid w:val="00DB64A9"/>
    <w:rsid w:val="00DC5DE6"/>
    <w:rsid w:val="00DC7360"/>
    <w:rsid w:val="00DE1B2A"/>
    <w:rsid w:val="00DE7331"/>
    <w:rsid w:val="00DE7ED4"/>
    <w:rsid w:val="00E03696"/>
    <w:rsid w:val="00E05BE0"/>
    <w:rsid w:val="00E1351C"/>
    <w:rsid w:val="00E141B5"/>
    <w:rsid w:val="00E1658B"/>
    <w:rsid w:val="00E17A8C"/>
    <w:rsid w:val="00E2209F"/>
    <w:rsid w:val="00E3129A"/>
    <w:rsid w:val="00E41938"/>
    <w:rsid w:val="00E61781"/>
    <w:rsid w:val="00E633AD"/>
    <w:rsid w:val="00E7168E"/>
    <w:rsid w:val="00E7400D"/>
    <w:rsid w:val="00E81FD0"/>
    <w:rsid w:val="00E86D0C"/>
    <w:rsid w:val="00E97FB7"/>
    <w:rsid w:val="00EB7051"/>
    <w:rsid w:val="00EC1030"/>
    <w:rsid w:val="00EE0659"/>
    <w:rsid w:val="00EE14F4"/>
    <w:rsid w:val="00EE55CB"/>
    <w:rsid w:val="00EF0764"/>
    <w:rsid w:val="00EF080D"/>
    <w:rsid w:val="00F055DF"/>
    <w:rsid w:val="00F108E7"/>
    <w:rsid w:val="00F12E32"/>
    <w:rsid w:val="00F139C8"/>
    <w:rsid w:val="00F22FD9"/>
    <w:rsid w:val="00F243B3"/>
    <w:rsid w:val="00F24CC7"/>
    <w:rsid w:val="00F31AFC"/>
    <w:rsid w:val="00F3618F"/>
    <w:rsid w:val="00F3758E"/>
    <w:rsid w:val="00F37AF0"/>
    <w:rsid w:val="00F439BF"/>
    <w:rsid w:val="00F462F7"/>
    <w:rsid w:val="00F516CF"/>
    <w:rsid w:val="00F64A5D"/>
    <w:rsid w:val="00F74B44"/>
    <w:rsid w:val="00F76CD4"/>
    <w:rsid w:val="00F76D43"/>
    <w:rsid w:val="00F77B54"/>
    <w:rsid w:val="00F77E86"/>
    <w:rsid w:val="00F807D4"/>
    <w:rsid w:val="00F82C2E"/>
    <w:rsid w:val="00F8661A"/>
    <w:rsid w:val="00F93FB6"/>
    <w:rsid w:val="00F956D0"/>
    <w:rsid w:val="00F97708"/>
    <w:rsid w:val="00FA4C65"/>
    <w:rsid w:val="00FA7BFD"/>
    <w:rsid w:val="00FB1D41"/>
    <w:rsid w:val="00FC5AC9"/>
    <w:rsid w:val="00FD116A"/>
    <w:rsid w:val="00FD3251"/>
    <w:rsid w:val="00FD3698"/>
    <w:rsid w:val="00FF4A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FF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D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D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583467">
      <w:bodyDiv w:val="1"/>
      <w:marLeft w:val="0"/>
      <w:marRight w:val="0"/>
      <w:marTop w:val="0"/>
      <w:marBottom w:val="0"/>
      <w:divBdr>
        <w:top w:val="none" w:sz="0" w:space="0" w:color="auto"/>
        <w:left w:val="none" w:sz="0" w:space="0" w:color="auto"/>
        <w:bottom w:val="none" w:sz="0" w:space="0" w:color="auto"/>
        <w:right w:val="none" w:sz="0" w:space="0" w:color="auto"/>
      </w:divBdr>
      <w:divsChild>
        <w:div w:id="19938523">
          <w:marLeft w:val="0"/>
          <w:marRight w:val="0"/>
          <w:marTop w:val="0"/>
          <w:marBottom w:val="0"/>
          <w:divBdr>
            <w:top w:val="none" w:sz="0" w:space="0" w:color="auto"/>
            <w:left w:val="none" w:sz="0" w:space="0" w:color="auto"/>
            <w:bottom w:val="none" w:sz="0" w:space="0" w:color="auto"/>
            <w:right w:val="none" w:sz="0" w:space="0" w:color="auto"/>
          </w:divBdr>
          <w:divsChild>
            <w:div w:id="1776561822">
              <w:marLeft w:val="0"/>
              <w:marRight w:val="0"/>
              <w:marTop w:val="0"/>
              <w:marBottom w:val="0"/>
              <w:divBdr>
                <w:top w:val="none" w:sz="0" w:space="0" w:color="auto"/>
                <w:left w:val="none" w:sz="0" w:space="0" w:color="auto"/>
                <w:bottom w:val="none" w:sz="0" w:space="0" w:color="auto"/>
                <w:right w:val="none" w:sz="0" w:space="0" w:color="auto"/>
              </w:divBdr>
              <w:divsChild>
                <w:div w:id="1680111817">
                  <w:marLeft w:val="0"/>
                  <w:marRight w:val="0"/>
                  <w:marTop w:val="0"/>
                  <w:marBottom w:val="0"/>
                  <w:divBdr>
                    <w:top w:val="none" w:sz="0" w:space="0" w:color="auto"/>
                    <w:left w:val="none" w:sz="0" w:space="0" w:color="auto"/>
                    <w:bottom w:val="none" w:sz="0" w:space="0" w:color="auto"/>
                    <w:right w:val="none" w:sz="0" w:space="0" w:color="auto"/>
                  </w:divBdr>
                  <w:divsChild>
                    <w:div w:id="336003602">
                      <w:marLeft w:val="-225"/>
                      <w:marRight w:val="-225"/>
                      <w:marTop w:val="0"/>
                      <w:marBottom w:val="0"/>
                      <w:divBdr>
                        <w:top w:val="none" w:sz="0" w:space="0" w:color="auto"/>
                        <w:left w:val="none" w:sz="0" w:space="0" w:color="auto"/>
                        <w:bottom w:val="none" w:sz="0" w:space="0" w:color="auto"/>
                        <w:right w:val="none" w:sz="0" w:space="0" w:color="auto"/>
                      </w:divBdr>
                      <w:divsChild>
                        <w:div w:id="412893199">
                          <w:marLeft w:val="0"/>
                          <w:marRight w:val="0"/>
                          <w:marTop w:val="0"/>
                          <w:marBottom w:val="0"/>
                          <w:divBdr>
                            <w:top w:val="none" w:sz="0" w:space="0" w:color="auto"/>
                            <w:left w:val="none" w:sz="0" w:space="0" w:color="auto"/>
                            <w:bottom w:val="none" w:sz="0" w:space="0" w:color="auto"/>
                            <w:right w:val="none" w:sz="0" w:space="0" w:color="auto"/>
                          </w:divBdr>
                          <w:divsChild>
                            <w:div w:id="2120829964">
                              <w:marLeft w:val="0"/>
                              <w:marRight w:val="0"/>
                              <w:marTop w:val="0"/>
                              <w:marBottom w:val="0"/>
                              <w:divBdr>
                                <w:top w:val="none" w:sz="0" w:space="0" w:color="auto"/>
                                <w:left w:val="none" w:sz="0" w:space="0" w:color="auto"/>
                                <w:bottom w:val="none" w:sz="0" w:space="0" w:color="auto"/>
                                <w:right w:val="none" w:sz="0" w:space="0" w:color="auto"/>
                              </w:divBdr>
                              <w:divsChild>
                                <w:div w:id="429012138">
                                  <w:marLeft w:val="0"/>
                                  <w:marRight w:val="0"/>
                                  <w:marTop w:val="0"/>
                                  <w:marBottom w:val="0"/>
                                  <w:divBdr>
                                    <w:top w:val="none" w:sz="0" w:space="0" w:color="auto"/>
                                    <w:left w:val="none" w:sz="0" w:space="0" w:color="auto"/>
                                    <w:bottom w:val="none" w:sz="0" w:space="0" w:color="auto"/>
                                    <w:right w:val="none" w:sz="0" w:space="0" w:color="auto"/>
                                  </w:divBdr>
                                  <w:divsChild>
                                    <w:div w:id="21790556">
                                      <w:marLeft w:val="-225"/>
                                      <w:marRight w:val="-225"/>
                                      <w:marTop w:val="0"/>
                                      <w:marBottom w:val="0"/>
                                      <w:divBdr>
                                        <w:top w:val="none" w:sz="0" w:space="0" w:color="auto"/>
                                        <w:left w:val="none" w:sz="0" w:space="0" w:color="auto"/>
                                        <w:bottom w:val="none" w:sz="0" w:space="0" w:color="auto"/>
                                        <w:right w:val="none" w:sz="0" w:space="0" w:color="auto"/>
                                      </w:divBdr>
                                      <w:divsChild>
                                        <w:div w:id="289632237">
                                          <w:marLeft w:val="0"/>
                                          <w:marRight w:val="0"/>
                                          <w:marTop w:val="0"/>
                                          <w:marBottom w:val="0"/>
                                          <w:divBdr>
                                            <w:top w:val="none" w:sz="0" w:space="0" w:color="auto"/>
                                            <w:left w:val="none" w:sz="0" w:space="0" w:color="auto"/>
                                            <w:bottom w:val="none" w:sz="0" w:space="0" w:color="auto"/>
                                            <w:right w:val="none" w:sz="0" w:space="0" w:color="auto"/>
                                          </w:divBdr>
                                          <w:divsChild>
                                            <w:div w:id="732705522">
                                              <w:marLeft w:val="0"/>
                                              <w:marRight w:val="0"/>
                                              <w:marTop w:val="0"/>
                                              <w:marBottom w:val="0"/>
                                              <w:divBdr>
                                                <w:top w:val="none" w:sz="0" w:space="0" w:color="auto"/>
                                                <w:left w:val="none" w:sz="0" w:space="0" w:color="auto"/>
                                                <w:bottom w:val="none" w:sz="0" w:space="0" w:color="auto"/>
                                                <w:right w:val="none" w:sz="0" w:space="0" w:color="auto"/>
                                              </w:divBdr>
                                              <w:divsChild>
                                                <w:div w:id="941912310">
                                                  <w:marLeft w:val="0"/>
                                                  <w:marRight w:val="0"/>
                                                  <w:marTop w:val="0"/>
                                                  <w:marBottom w:val="0"/>
                                                  <w:divBdr>
                                                    <w:top w:val="none" w:sz="0" w:space="0" w:color="auto"/>
                                                    <w:left w:val="none" w:sz="0" w:space="0" w:color="auto"/>
                                                    <w:bottom w:val="none" w:sz="0" w:space="0" w:color="auto"/>
                                                    <w:right w:val="none" w:sz="0" w:space="0" w:color="auto"/>
                                                  </w:divBdr>
                                                  <w:divsChild>
                                                    <w:div w:id="195437085">
                                                      <w:marLeft w:val="0"/>
                                                      <w:marRight w:val="0"/>
                                                      <w:marTop w:val="0"/>
                                                      <w:marBottom w:val="0"/>
                                                      <w:divBdr>
                                                        <w:top w:val="none" w:sz="0" w:space="0" w:color="auto"/>
                                                        <w:left w:val="none" w:sz="0" w:space="0" w:color="auto"/>
                                                        <w:bottom w:val="none" w:sz="0" w:space="0" w:color="auto"/>
                                                        <w:right w:val="none" w:sz="0" w:space="0" w:color="auto"/>
                                                      </w:divBdr>
                                                      <w:divsChild>
                                                        <w:div w:id="191846370">
                                                          <w:marLeft w:val="0"/>
                                                          <w:marRight w:val="0"/>
                                                          <w:marTop w:val="0"/>
                                                          <w:marBottom w:val="0"/>
                                                          <w:divBdr>
                                                            <w:top w:val="none" w:sz="0" w:space="0" w:color="auto"/>
                                                            <w:left w:val="none" w:sz="0" w:space="0" w:color="auto"/>
                                                            <w:bottom w:val="none" w:sz="0" w:space="0" w:color="auto"/>
                                                            <w:right w:val="none" w:sz="0" w:space="0" w:color="auto"/>
                                                          </w:divBdr>
                                                          <w:divsChild>
                                                            <w:div w:id="1007756654">
                                                              <w:marLeft w:val="0"/>
                                                              <w:marRight w:val="0"/>
                                                              <w:marTop w:val="0"/>
                                                              <w:marBottom w:val="0"/>
                                                              <w:divBdr>
                                                                <w:top w:val="none" w:sz="0" w:space="0" w:color="auto"/>
                                                                <w:left w:val="none" w:sz="0" w:space="0" w:color="auto"/>
                                                                <w:bottom w:val="none" w:sz="0" w:space="0" w:color="auto"/>
                                                                <w:right w:val="none" w:sz="0" w:space="0" w:color="auto"/>
                                                              </w:divBdr>
                                                              <w:divsChild>
                                                                <w:div w:id="435949834">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77417558">
      <w:bodyDiv w:val="1"/>
      <w:marLeft w:val="0"/>
      <w:marRight w:val="0"/>
      <w:marTop w:val="0"/>
      <w:marBottom w:val="0"/>
      <w:divBdr>
        <w:top w:val="none" w:sz="0" w:space="0" w:color="auto"/>
        <w:left w:val="none" w:sz="0" w:space="0" w:color="auto"/>
        <w:bottom w:val="none" w:sz="0" w:space="0" w:color="auto"/>
        <w:right w:val="none" w:sz="0" w:space="0" w:color="auto"/>
      </w:divBdr>
      <w:divsChild>
        <w:div w:id="1205481021">
          <w:marLeft w:val="0"/>
          <w:marRight w:val="0"/>
          <w:marTop w:val="0"/>
          <w:marBottom w:val="0"/>
          <w:divBdr>
            <w:top w:val="none" w:sz="0" w:space="0" w:color="auto"/>
            <w:left w:val="none" w:sz="0" w:space="0" w:color="auto"/>
            <w:bottom w:val="none" w:sz="0" w:space="0" w:color="auto"/>
            <w:right w:val="none" w:sz="0" w:space="0" w:color="auto"/>
          </w:divBdr>
          <w:divsChild>
            <w:div w:id="2063206839">
              <w:marLeft w:val="0"/>
              <w:marRight w:val="0"/>
              <w:marTop w:val="0"/>
              <w:marBottom w:val="0"/>
              <w:divBdr>
                <w:top w:val="none" w:sz="0" w:space="0" w:color="auto"/>
                <w:left w:val="none" w:sz="0" w:space="0" w:color="auto"/>
                <w:bottom w:val="none" w:sz="0" w:space="0" w:color="auto"/>
                <w:right w:val="none" w:sz="0" w:space="0" w:color="auto"/>
              </w:divBdr>
              <w:divsChild>
                <w:div w:id="772477733">
                  <w:marLeft w:val="0"/>
                  <w:marRight w:val="0"/>
                  <w:marTop w:val="0"/>
                  <w:marBottom w:val="0"/>
                  <w:divBdr>
                    <w:top w:val="none" w:sz="0" w:space="0" w:color="auto"/>
                    <w:left w:val="none" w:sz="0" w:space="0" w:color="auto"/>
                    <w:bottom w:val="none" w:sz="0" w:space="0" w:color="auto"/>
                    <w:right w:val="none" w:sz="0" w:space="0" w:color="auto"/>
                  </w:divBdr>
                  <w:divsChild>
                    <w:div w:id="1701854714">
                      <w:marLeft w:val="-225"/>
                      <w:marRight w:val="-225"/>
                      <w:marTop w:val="0"/>
                      <w:marBottom w:val="0"/>
                      <w:divBdr>
                        <w:top w:val="none" w:sz="0" w:space="0" w:color="auto"/>
                        <w:left w:val="none" w:sz="0" w:space="0" w:color="auto"/>
                        <w:bottom w:val="none" w:sz="0" w:space="0" w:color="auto"/>
                        <w:right w:val="none" w:sz="0" w:space="0" w:color="auto"/>
                      </w:divBdr>
                      <w:divsChild>
                        <w:div w:id="1749301348">
                          <w:marLeft w:val="0"/>
                          <w:marRight w:val="0"/>
                          <w:marTop w:val="0"/>
                          <w:marBottom w:val="0"/>
                          <w:divBdr>
                            <w:top w:val="none" w:sz="0" w:space="0" w:color="auto"/>
                            <w:left w:val="none" w:sz="0" w:space="0" w:color="auto"/>
                            <w:bottom w:val="none" w:sz="0" w:space="0" w:color="auto"/>
                            <w:right w:val="none" w:sz="0" w:space="0" w:color="auto"/>
                          </w:divBdr>
                          <w:divsChild>
                            <w:div w:id="1869679436">
                              <w:marLeft w:val="0"/>
                              <w:marRight w:val="0"/>
                              <w:marTop w:val="0"/>
                              <w:marBottom w:val="0"/>
                              <w:divBdr>
                                <w:top w:val="none" w:sz="0" w:space="0" w:color="auto"/>
                                <w:left w:val="none" w:sz="0" w:space="0" w:color="auto"/>
                                <w:bottom w:val="none" w:sz="0" w:space="0" w:color="auto"/>
                                <w:right w:val="none" w:sz="0" w:space="0" w:color="auto"/>
                              </w:divBdr>
                              <w:divsChild>
                                <w:div w:id="672031690">
                                  <w:marLeft w:val="0"/>
                                  <w:marRight w:val="0"/>
                                  <w:marTop w:val="0"/>
                                  <w:marBottom w:val="0"/>
                                  <w:divBdr>
                                    <w:top w:val="none" w:sz="0" w:space="0" w:color="auto"/>
                                    <w:left w:val="none" w:sz="0" w:space="0" w:color="auto"/>
                                    <w:bottom w:val="none" w:sz="0" w:space="0" w:color="auto"/>
                                    <w:right w:val="none" w:sz="0" w:space="0" w:color="auto"/>
                                  </w:divBdr>
                                  <w:divsChild>
                                    <w:div w:id="496846177">
                                      <w:marLeft w:val="-225"/>
                                      <w:marRight w:val="-225"/>
                                      <w:marTop w:val="0"/>
                                      <w:marBottom w:val="0"/>
                                      <w:divBdr>
                                        <w:top w:val="none" w:sz="0" w:space="0" w:color="auto"/>
                                        <w:left w:val="none" w:sz="0" w:space="0" w:color="auto"/>
                                        <w:bottom w:val="none" w:sz="0" w:space="0" w:color="auto"/>
                                        <w:right w:val="none" w:sz="0" w:space="0" w:color="auto"/>
                                      </w:divBdr>
                                      <w:divsChild>
                                        <w:div w:id="35157688">
                                          <w:marLeft w:val="0"/>
                                          <w:marRight w:val="0"/>
                                          <w:marTop w:val="0"/>
                                          <w:marBottom w:val="0"/>
                                          <w:divBdr>
                                            <w:top w:val="none" w:sz="0" w:space="0" w:color="auto"/>
                                            <w:left w:val="none" w:sz="0" w:space="0" w:color="auto"/>
                                            <w:bottom w:val="none" w:sz="0" w:space="0" w:color="auto"/>
                                            <w:right w:val="none" w:sz="0" w:space="0" w:color="auto"/>
                                          </w:divBdr>
                                          <w:divsChild>
                                            <w:div w:id="1235436285">
                                              <w:marLeft w:val="0"/>
                                              <w:marRight w:val="0"/>
                                              <w:marTop w:val="0"/>
                                              <w:marBottom w:val="0"/>
                                              <w:divBdr>
                                                <w:top w:val="none" w:sz="0" w:space="0" w:color="auto"/>
                                                <w:left w:val="none" w:sz="0" w:space="0" w:color="auto"/>
                                                <w:bottom w:val="none" w:sz="0" w:space="0" w:color="auto"/>
                                                <w:right w:val="none" w:sz="0" w:space="0" w:color="auto"/>
                                              </w:divBdr>
                                              <w:divsChild>
                                                <w:div w:id="1224684479">
                                                  <w:marLeft w:val="0"/>
                                                  <w:marRight w:val="0"/>
                                                  <w:marTop w:val="0"/>
                                                  <w:marBottom w:val="0"/>
                                                  <w:divBdr>
                                                    <w:top w:val="none" w:sz="0" w:space="0" w:color="auto"/>
                                                    <w:left w:val="none" w:sz="0" w:space="0" w:color="auto"/>
                                                    <w:bottom w:val="none" w:sz="0" w:space="0" w:color="auto"/>
                                                    <w:right w:val="none" w:sz="0" w:space="0" w:color="auto"/>
                                                  </w:divBdr>
                                                  <w:divsChild>
                                                    <w:div w:id="798450143">
                                                      <w:marLeft w:val="0"/>
                                                      <w:marRight w:val="0"/>
                                                      <w:marTop w:val="0"/>
                                                      <w:marBottom w:val="0"/>
                                                      <w:divBdr>
                                                        <w:top w:val="none" w:sz="0" w:space="0" w:color="auto"/>
                                                        <w:left w:val="none" w:sz="0" w:space="0" w:color="auto"/>
                                                        <w:bottom w:val="none" w:sz="0" w:space="0" w:color="auto"/>
                                                        <w:right w:val="none" w:sz="0" w:space="0" w:color="auto"/>
                                                      </w:divBdr>
                                                      <w:divsChild>
                                                        <w:div w:id="1529291516">
                                                          <w:marLeft w:val="0"/>
                                                          <w:marRight w:val="0"/>
                                                          <w:marTop w:val="0"/>
                                                          <w:marBottom w:val="0"/>
                                                          <w:divBdr>
                                                            <w:top w:val="none" w:sz="0" w:space="0" w:color="auto"/>
                                                            <w:left w:val="none" w:sz="0" w:space="0" w:color="auto"/>
                                                            <w:bottom w:val="none" w:sz="0" w:space="0" w:color="auto"/>
                                                            <w:right w:val="none" w:sz="0" w:space="0" w:color="auto"/>
                                                          </w:divBdr>
                                                          <w:divsChild>
                                                            <w:div w:id="1000354395">
                                                              <w:marLeft w:val="0"/>
                                                              <w:marRight w:val="0"/>
                                                              <w:marTop w:val="0"/>
                                                              <w:marBottom w:val="0"/>
                                                              <w:divBdr>
                                                                <w:top w:val="none" w:sz="0" w:space="0" w:color="auto"/>
                                                                <w:left w:val="none" w:sz="0" w:space="0" w:color="auto"/>
                                                                <w:bottom w:val="none" w:sz="0" w:space="0" w:color="auto"/>
                                                                <w:right w:val="none" w:sz="0" w:space="0" w:color="auto"/>
                                                              </w:divBdr>
                                                              <w:divsChild>
                                                                <w:div w:id="1958830815">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to.gov.au/rates/company-tax/?page=1"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ato.gov.au/Rates/Individual-income-tax-rat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o.gov.au/Individuals/International-tax-for-individuals/Work-out-your-tax-residenc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academia.edu/3138759/Social_Contract_Theory_by_Hobbes_Locke_and_Roussea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ussellmoffe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2014RG-82-7914</_dlc_DocId>
    <TaxCatchAll xmlns="9f7bc583-7cbe-45b9-a2bd-8bbb6543b37e">
      <Value>20</Value>
    </TaxCatchAll>
    <_dlc_DocIdUrl xmlns="9f7bc583-7cbe-45b9-a2bd-8bbb6543b37e">
      <Url>http://tweb/sites/rg/project/twptf/_layouts/15/DocIdRedir.aspx?ID=2014RG-82-7914</Url>
      <Description>2014RG-82-7914</Description>
    </_dlc_DocIdUrl>
  </documentManagement>
</p:properties>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DA611E-1504-4BAD-B328-E3A02F1F3F08}"/>
</file>

<file path=customXml/itemProps2.xml><?xml version="1.0" encoding="utf-8"?>
<ds:datastoreItem xmlns:ds="http://schemas.openxmlformats.org/officeDocument/2006/customXml" ds:itemID="{72144BFB-ABFE-421C-A1A2-3EFA68088E17}"/>
</file>

<file path=customXml/itemProps3.xml><?xml version="1.0" encoding="utf-8"?>
<ds:datastoreItem xmlns:ds="http://schemas.openxmlformats.org/officeDocument/2006/customXml" ds:itemID="{1B12BF69-927D-4724-B87B-9DC3E912CBAF}"/>
</file>

<file path=customXml/itemProps4.xml><?xml version="1.0" encoding="utf-8"?>
<ds:datastoreItem xmlns:ds="http://schemas.openxmlformats.org/officeDocument/2006/customXml" ds:itemID="{98CE7D34-96EB-4BF5-8ADA-9589376B990F}"/>
</file>

<file path=docProps/app.xml><?xml version="1.0" encoding="utf-8"?>
<Properties xmlns="http://schemas.openxmlformats.org/officeDocument/2006/extended-properties" xmlns:vt="http://schemas.openxmlformats.org/officeDocument/2006/docPropsVTypes">
  <Template>Normal.dotm</Template>
  <TotalTime>2068</TotalTime>
  <Pages>8</Pages>
  <Words>1801</Words>
  <Characters>9999</Characters>
  <Application>Microsoft Office Word</Application>
  <DocSecurity>0</DocSecurity>
  <Lines>237</Lines>
  <Paragraphs>65</Paragraphs>
  <ScaleCrop>false</ScaleCrop>
  <HeadingPairs>
    <vt:vector size="2" baseType="variant">
      <vt:variant>
        <vt:lpstr>Title</vt:lpstr>
      </vt:variant>
      <vt:variant>
        <vt:i4>1</vt:i4>
      </vt:variant>
    </vt:vector>
  </HeadingPairs>
  <TitlesOfParts>
    <vt:vector size="1" baseType="lpstr">
      <vt:lpstr>Moffet, R - Submission on Tax Discussion Paper</vt:lpstr>
    </vt:vector>
  </TitlesOfParts>
  <Company/>
  <LinksUpToDate>false</LinksUpToDate>
  <CharactersWithSpaces>11775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Moffet, R - Submission on Tax Discussion Paper</dc:title>
  <dc:creator>Russell L. Moffet</dc:creator>
  <cp:lastModifiedBy>Maynes, Felicity</cp:lastModifiedBy>
  <cp:revision>12</cp:revision>
  <dcterms:created xsi:type="dcterms:W3CDTF">2015-03-14T03:40:00Z</dcterms:created>
  <dcterms:modified xsi:type="dcterms:W3CDTF">2015-05-28T04:09:00Z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488f0ee4-bc9f-4248-b677-dcd9557d1c1a</vt:lpwstr>
  </property>
</Properties>
</file>