
<file path=[Content_Types].xml><?xml version="1.0" encoding="utf-8"?>
<Types xmlns="http://schemas.openxmlformats.org/package/2006/content-types">
  <Default Extension="png" ContentType="image/png"/>
  <Default Extension="tmp"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charts/chart4.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harts/colors1.xml" ContentType="application/vnd.ms-office.chartcolorstyle+xml"/>
  <Override PartName="/word/charts/style1.xml" ContentType="application/vnd.ms-office.chartstyle+xml"/>
  <Override PartName="/word/charts/colors2.xml" ContentType="application/vnd.ms-office.chartcolorstyle+xml"/>
  <Override PartName="/word/charts/style2.xml" ContentType="application/vnd.ms-office.chartstyle+xml"/>
  <Override PartName="/word/charts/style3.xml" ContentType="application/vnd.ms-office.chartstyle+xml"/>
  <Override PartName="/word/charts/colors3.xml" ContentType="application/vnd.ms-office.chartcolorstyle+xml"/>
  <Override PartName="/word/charts/style4.xml" ContentType="application/vnd.ms-office.chartstyle+xml"/>
  <Override PartName="/word/charts/colors4.xml" ContentType="application/vnd.ms-office.chartcolorsty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74215A" w14:textId="77777777" w:rsidR="00FF459F" w:rsidRDefault="00FF459F">
      <w:bookmarkStart w:id="0" w:name="_GoBack"/>
      <w:bookmarkEnd w:id="0"/>
      <w:r>
        <w:rPr>
          <w:noProof/>
          <w:lang w:eastAsia="en-AU"/>
        </w:rPr>
        <w:drawing>
          <wp:anchor distT="0" distB="0" distL="114300" distR="114300" simplePos="0" relativeHeight="251660288" behindDoc="0" locked="0" layoutInCell="1" allowOverlap="1" wp14:anchorId="516AE7F2" wp14:editId="0D511771">
            <wp:simplePos x="0" y="0"/>
            <wp:positionH relativeFrom="margin">
              <wp:posOffset>353596</wp:posOffset>
            </wp:positionH>
            <wp:positionV relativeFrom="paragraph">
              <wp:posOffset>-553201</wp:posOffset>
            </wp:positionV>
            <wp:extent cx="1638371" cy="86288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IRMAA_Stack_Logo_RGB.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638371" cy="862885"/>
                    </a:xfrm>
                    <a:prstGeom prst="rect">
                      <a:avLst/>
                    </a:prstGeom>
                  </pic:spPr>
                </pic:pic>
              </a:graphicData>
            </a:graphic>
            <wp14:sizeRelH relativeFrom="page">
              <wp14:pctWidth>0</wp14:pctWidth>
            </wp14:sizeRelH>
            <wp14:sizeRelV relativeFrom="page">
              <wp14:pctHeight>0</wp14:pctHeight>
            </wp14:sizeRelV>
          </wp:anchor>
        </w:drawing>
      </w:r>
    </w:p>
    <w:p w14:paraId="7F3031BD" w14:textId="77777777" w:rsidR="00FF459F" w:rsidRDefault="00FF459F"/>
    <w:p w14:paraId="76F11AC4" w14:textId="77777777" w:rsidR="00A0374F" w:rsidRPr="0023222F" w:rsidRDefault="005E626A">
      <w:r w:rsidRPr="0023222F">
        <w:t>1 June, 2015</w:t>
      </w:r>
    </w:p>
    <w:p w14:paraId="1A9CBBD4" w14:textId="77777777" w:rsidR="005E626A" w:rsidRPr="0023222F" w:rsidRDefault="005E626A"/>
    <w:p w14:paraId="09DE79C7" w14:textId="77777777" w:rsidR="005E626A" w:rsidRPr="0023222F" w:rsidRDefault="005E626A">
      <w:pPr>
        <w:rPr>
          <w:color w:val="0A0A0A"/>
          <w:shd w:val="clear" w:color="auto" w:fill="F1F1F1"/>
        </w:rPr>
      </w:pPr>
      <w:r w:rsidRPr="0023222F">
        <w:t>Mr Roger Brake</w:t>
      </w:r>
      <w:r w:rsidRPr="0023222F">
        <w:br/>
      </w:r>
      <w:r w:rsidRPr="0023222F">
        <w:rPr>
          <w:color w:val="0A0A0A"/>
          <w:shd w:val="clear" w:color="auto" w:fill="F1F1F1"/>
        </w:rPr>
        <w:t>Tax White Paper Task Force</w:t>
      </w:r>
      <w:r w:rsidRPr="0023222F">
        <w:rPr>
          <w:color w:val="0A0A0A"/>
        </w:rPr>
        <w:br/>
      </w:r>
      <w:proofErr w:type="gramStart"/>
      <w:r w:rsidRPr="0023222F">
        <w:rPr>
          <w:color w:val="0A0A0A"/>
          <w:shd w:val="clear" w:color="auto" w:fill="F1F1F1"/>
        </w:rPr>
        <w:t>The</w:t>
      </w:r>
      <w:proofErr w:type="gramEnd"/>
      <w:r w:rsidRPr="0023222F">
        <w:rPr>
          <w:color w:val="0A0A0A"/>
          <w:shd w:val="clear" w:color="auto" w:fill="F1F1F1"/>
        </w:rPr>
        <w:t xml:space="preserve"> Treasury</w:t>
      </w:r>
      <w:r w:rsidRPr="0023222F">
        <w:rPr>
          <w:color w:val="0A0A0A"/>
        </w:rPr>
        <w:br/>
      </w:r>
      <w:r w:rsidRPr="0023222F">
        <w:rPr>
          <w:color w:val="0A0A0A"/>
          <w:shd w:val="clear" w:color="auto" w:fill="F1F1F1"/>
        </w:rPr>
        <w:t>Langton Crescent</w:t>
      </w:r>
      <w:r w:rsidRPr="0023222F">
        <w:rPr>
          <w:color w:val="0A0A0A"/>
        </w:rPr>
        <w:br/>
      </w:r>
      <w:r w:rsidRPr="0023222F">
        <w:rPr>
          <w:b/>
          <w:color w:val="0A0A0A"/>
          <w:shd w:val="clear" w:color="auto" w:fill="F1F1F1"/>
        </w:rPr>
        <w:t>PARKES ACT 2600</w:t>
      </w:r>
      <w:r w:rsidRPr="0023222F">
        <w:rPr>
          <w:color w:val="0A0A0A"/>
          <w:shd w:val="clear" w:color="auto" w:fill="F1F1F1"/>
        </w:rPr>
        <w:br/>
      </w:r>
    </w:p>
    <w:p w14:paraId="36F27EE4" w14:textId="77777777" w:rsidR="005E626A" w:rsidRPr="0023222F" w:rsidRDefault="005E626A">
      <w:pPr>
        <w:rPr>
          <w:b/>
          <w:color w:val="0A0A0A"/>
          <w:shd w:val="clear" w:color="auto" w:fill="F1F1F1"/>
        </w:rPr>
      </w:pPr>
      <w:r w:rsidRPr="0023222F">
        <w:rPr>
          <w:b/>
          <w:color w:val="0A0A0A"/>
          <w:shd w:val="clear" w:color="auto" w:fill="F1F1F1"/>
        </w:rPr>
        <w:t>Re: Tax reform discussion paper</w:t>
      </w:r>
    </w:p>
    <w:p w14:paraId="0FFAC221" w14:textId="77777777" w:rsidR="005E626A" w:rsidRPr="0023222F" w:rsidRDefault="005E626A">
      <w:pPr>
        <w:rPr>
          <w:b/>
          <w:color w:val="0A0A0A"/>
          <w:shd w:val="clear" w:color="auto" w:fill="F1F1F1"/>
        </w:rPr>
      </w:pPr>
    </w:p>
    <w:p w14:paraId="21F6228A" w14:textId="77777777" w:rsidR="005E626A" w:rsidRPr="005E626A" w:rsidRDefault="005E626A">
      <w:pPr>
        <w:rPr>
          <w:color w:val="0A0A0A"/>
          <w:shd w:val="clear" w:color="auto" w:fill="F1F1F1"/>
        </w:rPr>
      </w:pPr>
      <w:r w:rsidRPr="0023222F">
        <w:rPr>
          <w:color w:val="0A0A0A"/>
          <w:shd w:val="clear" w:color="auto" w:fill="F1F1F1"/>
        </w:rPr>
        <w:t>Dear Mr Brake</w:t>
      </w:r>
    </w:p>
    <w:p w14:paraId="7A97C499" w14:textId="77777777" w:rsidR="005E626A" w:rsidRPr="005E626A" w:rsidRDefault="005E626A" w:rsidP="005E626A">
      <w:pPr>
        <w:rPr>
          <w:rFonts w:ascii="Calibri" w:hAnsi="Calibri" w:cs="Arial"/>
        </w:rPr>
      </w:pPr>
      <w:r w:rsidRPr="005E626A">
        <w:rPr>
          <w:rFonts w:ascii="Calibri" w:hAnsi="Calibri" w:cs="Arial"/>
        </w:rPr>
        <w:t xml:space="preserve">Thank you for the opportunity to comment on the Tax System Discussion Paper (the Paper). </w:t>
      </w:r>
    </w:p>
    <w:p w14:paraId="2B5E11D4" w14:textId="77777777" w:rsidR="005E626A" w:rsidRPr="005E626A" w:rsidRDefault="005E626A" w:rsidP="005E626A">
      <w:proofErr w:type="gramStart"/>
      <w:r w:rsidRPr="005E626A">
        <w:t>hirmaa</w:t>
      </w:r>
      <w:proofErr w:type="gramEnd"/>
      <w:r w:rsidRPr="005E626A">
        <w:t xml:space="preserve"> represents 18 community-based private health insurers, comprising both industry or employer focused "restricted access" insurers and "open" insurers serving particular regions.  </w:t>
      </w:r>
      <w:proofErr w:type="gramStart"/>
      <w:r w:rsidRPr="005E626A">
        <w:t>hirmaa</w:t>
      </w:r>
      <w:proofErr w:type="gramEnd"/>
      <w:r w:rsidRPr="005E626A">
        <w:t xml:space="preserve"> constituents are predominantly not-for-profit and generally identify as mutuals.  One of hirmaa's constituent members is a for-profit insurer </w:t>
      </w:r>
      <w:r w:rsidR="004724FD">
        <w:t xml:space="preserve">wholly </w:t>
      </w:r>
      <w:r w:rsidRPr="005E626A">
        <w:t>owned by a mutual, not-for-profit organisation.</w:t>
      </w:r>
    </w:p>
    <w:p w14:paraId="52DEA93D" w14:textId="77777777" w:rsidR="005E626A" w:rsidRPr="005E626A" w:rsidRDefault="005E626A" w:rsidP="005E626A">
      <w:pPr>
        <w:pStyle w:val="Default"/>
        <w:rPr>
          <w:sz w:val="22"/>
          <w:szCs w:val="22"/>
          <w:lang w:val="en-AU"/>
        </w:rPr>
      </w:pPr>
      <w:r w:rsidRPr="005E626A">
        <w:rPr>
          <w:sz w:val="22"/>
          <w:szCs w:val="22"/>
          <w:lang w:val="en-AU"/>
        </w:rPr>
        <w:t xml:space="preserve">Since its formation, hirmaa has advocated for the preservation of competition, believing it to be fundamental to Australians having access to the best value healthcare services. </w:t>
      </w:r>
      <w:proofErr w:type="gramStart"/>
      <w:r w:rsidRPr="005E626A">
        <w:rPr>
          <w:sz w:val="22"/>
          <w:szCs w:val="22"/>
          <w:lang w:val="en-AU"/>
        </w:rPr>
        <w:t>hirmaa</w:t>
      </w:r>
      <w:proofErr w:type="gramEnd"/>
      <w:r w:rsidRPr="005E626A">
        <w:rPr>
          <w:sz w:val="22"/>
          <w:szCs w:val="22"/>
          <w:lang w:val="en-AU"/>
        </w:rPr>
        <w:t xml:space="preserve"> has done this by: </w:t>
      </w:r>
    </w:p>
    <w:p w14:paraId="430F5DFB" w14:textId="77777777" w:rsidR="005E626A" w:rsidRPr="005E626A" w:rsidRDefault="005E626A" w:rsidP="005E626A">
      <w:pPr>
        <w:pStyle w:val="Default"/>
        <w:rPr>
          <w:sz w:val="22"/>
          <w:szCs w:val="22"/>
          <w:lang w:val="en-AU"/>
        </w:rPr>
      </w:pPr>
    </w:p>
    <w:p w14:paraId="3F953156" w14:textId="77777777" w:rsidR="005E626A" w:rsidRPr="005E626A" w:rsidRDefault="005E626A" w:rsidP="005E626A">
      <w:pPr>
        <w:pStyle w:val="Default"/>
        <w:numPr>
          <w:ilvl w:val="0"/>
          <w:numId w:val="2"/>
        </w:numPr>
        <w:spacing w:after="51"/>
        <w:rPr>
          <w:sz w:val="22"/>
          <w:szCs w:val="22"/>
          <w:lang w:val="en-AU"/>
        </w:rPr>
      </w:pPr>
      <w:r w:rsidRPr="005E626A">
        <w:rPr>
          <w:sz w:val="22"/>
          <w:szCs w:val="22"/>
          <w:lang w:val="en-AU"/>
        </w:rPr>
        <w:t xml:space="preserve">promoting legislation, regulations, policies and practices which increase the capacity of its member organisations to deliver best value health care services; and, </w:t>
      </w:r>
    </w:p>
    <w:p w14:paraId="59929133" w14:textId="77777777" w:rsidR="005E626A" w:rsidRPr="005E626A" w:rsidRDefault="005E626A" w:rsidP="005E626A">
      <w:pPr>
        <w:pStyle w:val="Default"/>
        <w:numPr>
          <w:ilvl w:val="0"/>
          <w:numId w:val="2"/>
        </w:numPr>
        <w:rPr>
          <w:sz w:val="22"/>
          <w:szCs w:val="22"/>
          <w:lang w:val="en-AU"/>
        </w:rPr>
      </w:pPr>
      <w:proofErr w:type="gramStart"/>
      <w:r w:rsidRPr="005E626A">
        <w:rPr>
          <w:sz w:val="22"/>
          <w:szCs w:val="22"/>
          <w:lang w:val="en-AU"/>
        </w:rPr>
        <w:t>advocating</w:t>
      </w:r>
      <w:proofErr w:type="gramEnd"/>
      <w:r w:rsidRPr="005E626A">
        <w:rPr>
          <w:sz w:val="22"/>
          <w:szCs w:val="22"/>
          <w:lang w:val="en-AU"/>
        </w:rPr>
        <w:t xml:space="preserve"> for the preservation of a competitive market, which we see as essential to the integrity and viability of the PHI industry. </w:t>
      </w:r>
    </w:p>
    <w:p w14:paraId="66D92D03" w14:textId="77777777" w:rsidR="005E626A" w:rsidRPr="005E626A" w:rsidRDefault="005E626A" w:rsidP="005E626A">
      <w:pPr>
        <w:pStyle w:val="Default"/>
        <w:rPr>
          <w:sz w:val="22"/>
          <w:szCs w:val="22"/>
          <w:lang w:val="en-AU"/>
        </w:rPr>
      </w:pPr>
      <w:r w:rsidRPr="005E626A">
        <w:rPr>
          <w:sz w:val="22"/>
          <w:szCs w:val="22"/>
          <w:lang w:val="en-AU"/>
        </w:rPr>
        <w:br/>
        <w:t xml:space="preserve">A number of characteristics distinguish the hirmaa member funds (member list attached). They: </w:t>
      </w:r>
      <w:r w:rsidRPr="005E626A">
        <w:rPr>
          <w:sz w:val="22"/>
          <w:szCs w:val="22"/>
          <w:lang w:val="en-AU"/>
        </w:rPr>
        <w:br/>
      </w:r>
    </w:p>
    <w:p w14:paraId="34A0C3FA" w14:textId="77777777" w:rsidR="005E626A" w:rsidRPr="005E626A" w:rsidRDefault="005E626A" w:rsidP="005E626A">
      <w:pPr>
        <w:pStyle w:val="Default"/>
        <w:numPr>
          <w:ilvl w:val="0"/>
          <w:numId w:val="2"/>
        </w:numPr>
        <w:spacing w:after="30"/>
        <w:rPr>
          <w:sz w:val="22"/>
          <w:szCs w:val="22"/>
          <w:lang w:val="en-AU"/>
        </w:rPr>
      </w:pPr>
      <w:r w:rsidRPr="005E626A">
        <w:rPr>
          <w:sz w:val="22"/>
          <w:szCs w:val="22"/>
          <w:lang w:val="en-AU"/>
        </w:rPr>
        <w:t xml:space="preserve">are value-based and exist solely to deliver benefits to members; </w:t>
      </w:r>
    </w:p>
    <w:p w14:paraId="168B1947" w14:textId="77777777" w:rsidR="005E626A" w:rsidRPr="005E626A" w:rsidRDefault="005E626A" w:rsidP="005E626A">
      <w:pPr>
        <w:pStyle w:val="Default"/>
        <w:numPr>
          <w:ilvl w:val="0"/>
          <w:numId w:val="2"/>
        </w:numPr>
        <w:spacing w:after="30"/>
        <w:rPr>
          <w:sz w:val="22"/>
          <w:szCs w:val="22"/>
          <w:lang w:val="en-AU"/>
        </w:rPr>
      </w:pPr>
      <w:r w:rsidRPr="005E626A">
        <w:rPr>
          <w:sz w:val="22"/>
          <w:szCs w:val="22"/>
          <w:lang w:val="en-AU"/>
        </w:rPr>
        <w:t xml:space="preserve">continue to offer various levels of insurance at highly competitive premiums; </w:t>
      </w:r>
    </w:p>
    <w:p w14:paraId="715568E5" w14:textId="77777777" w:rsidR="005E626A" w:rsidRPr="005E626A" w:rsidRDefault="005E626A" w:rsidP="005E626A">
      <w:pPr>
        <w:pStyle w:val="Default"/>
        <w:numPr>
          <w:ilvl w:val="0"/>
          <w:numId w:val="2"/>
        </w:numPr>
        <w:spacing w:after="30"/>
        <w:rPr>
          <w:sz w:val="22"/>
          <w:szCs w:val="22"/>
          <w:lang w:val="en-AU"/>
        </w:rPr>
      </w:pPr>
      <w:r w:rsidRPr="005E626A">
        <w:rPr>
          <w:sz w:val="22"/>
          <w:szCs w:val="22"/>
          <w:lang w:val="en-AU"/>
        </w:rPr>
        <w:t xml:space="preserve">optimise benefit entitlements and premiums; </w:t>
      </w:r>
    </w:p>
    <w:p w14:paraId="74A60A8E" w14:textId="77777777" w:rsidR="005E626A" w:rsidRPr="005E626A" w:rsidRDefault="005E626A" w:rsidP="005E626A">
      <w:pPr>
        <w:pStyle w:val="Default"/>
        <w:numPr>
          <w:ilvl w:val="0"/>
          <w:numId w:val="2"/>
        </w:numPr>
        <w:spacing w:after="30"/>
        <w:rPr>
          <w:sz w:val="22"/>
          <w:szCs w:val="22"/>
          <w:lang w:val="en-AU"/>
        </w:rPr>
      </w:pPr>
      <w:r w:rsidRPr="005E626A">
        <w:rPr>
          <w:sz w:val="22"/>
          <w:szCs w:val="22"/>
          <w:lang w:val="en-AU"/>
        </w:rPr>
        <w:t xml:space="preserve">continue to tangibly grow their membership numbers, in recent years above the overall industry trend; </w:t>
      </w:r>
    </w:p>
    <w:p w14:paraId="20EFE30C" w14:textId="77777777" w:rsidR="00A9338A" w:rsidRPr="00A9338A" w:rsidRDefault="005E626A" w:rsidP="005E626A">
      <w:pPr>
        <w:pStyle w:val="Default"/>
        <w:numPr>
          <w:ilvl w:val="0"/>
          <w:numId w:val="2"/>
        </w:numPr>
        <w:rPr>
          <w:sz w:val="22"/>
          <w:szCs w:val="22"/>
          <w:lang w:val="en-AU"/>
        </w:rPr>
      </w:pPr>
      <w:proofErr w:type="gramStart"/>
      <w:r w:rsidRPr="005E626A">
        <w:rPr>
          <w:sz w:val="22"/>
          <w:szCs w:val="22"/>
          <w:lang w:val="en-AU"/>
        </w:rPr>
        <w:t>in</w:t>
      </w:r>
      <w:proofErr w:type="gramEnd"/>
      <w:r w:rsidRPr="005E626A">
        <w:rPr>
          <w:sz w:val="22"/>
          <w:szCs w:val="22"/>
          <w:lang w:val="en-AU"/>
        </w:rPr>
        <w:t xml:space="preserve"> terms of the restricted insurers, have their unique nature acknowledged in the </w:t>
      </w:r>
      <w:r w:rsidRPr="005E626A">
        <w:rPr>
          <w:i/>
          <w:iCs/>
          <w:sz w:val="22"/>
          <w:szCs w:val="22"/>
          <w:lang w:val="en-AU"/>
        </w:rPr>
        <w:t xml:space="preserve">Private Health Insurance Act 2007. </w:t>
      </w:r>
    </w:p>
    <w:p w14:paraId="2DE607C5" w14:textId="77777777" w:rsidR="00A9338A" w:rsidRDefault="00A9338A" w:rsidP="00A9338A">
      <w:pPr>
        <w:pStyle w:val="Default"/>
        <w:rPr>
          <w:i/>
          <w:iCs/>
          <w:sz w:val="22"/>
          <w:szCs w:val="22"/>
          <w:lang w:val="en-AU"/>
        </w:rPr>
      </w:pPr>
    </w:p>
    <w:p w14:paraId="6CC4E42F" w14:textId="77777777" w:rsidR="00E6060C" w:rsidRDefault="00FF459F" w:rsidP="00FF459F">
      <w:pPr>
        <w:pStyle w:val="Default"/>
        <w:tabs>
          <w:tab w:val="left" w:pos="567"/>
        </w:tabs>
        <w:rPr>
          <w:iCs/>
          <w:sz w:val="22"/>
          <w:szCs w:val="22"/>
          <w:lang w:val="en-AU"/>
        </w:rPr>
      </w:pPr>
      <w:r w:rsidRPr="00FF459F">
        <w:rPr>
          <w:noProof/>
          <w:lang w:val="en-AU" w:eastAsia="en-AU"/>
        </w:rPr>
        <w:drawing>
          <wp:anchor distT="0" distB="0" distL="114300" distR="114300" simplePos="0" relativeHeight="251663360" behindDoc="0" locked="0" layoutInCell="1" allowOverlap="1" wp14:anchorId="7AFD0C6F" wp14:editId="58D2FBFA">
            <wp:simplePos x="0" y="0"/>
            <wp:positionH relativeFrom="margin">
              <wp:posOffset>296214</wp:posOffset>
            </wp:positionH>
            <wp:positionV relativeFrom="paragraph">
              <wp:posOffset>495488</wp:posOffset>
            </wp:positionV>
            <wp:extent cx="1791335" cy="82613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91335" cy="826135"/>
                    </a:xfrm>
                    <a:prstGeom prst="rect">
                      <a:avLst/>
                    </a:prstGeom>
                    <a:noFill/>
                    <a:ln>
                      <a:noFill/>
                    </a:ln>
                  </pic:spPr>
                </pic:pic>
              </a:graphicData>
            </a:graphic>
            <wp14:sizeRelH relativeFrom="page">
              <wp14:pctWidth>0</wp14:pctWidth>
            </wp14:sizeRelH>
            <wp14:sizeRelV relativeFrom="page">
              <wp14:pctHeight>0</wp14:pctHeight>
            </wp14:sizeRelV>
          </wp:anchor>
        </w:drawing>
      </w:r>
      <w:r w:rsidR="00A9338A">
        <w:rPr>
          <w:iCs/>
          <w:sz w:val="22"/>
          <w:szCs w:val="22"/>
          <w:lang w:val="en-AU"/>
        </w:rPr>
        <w:t xml:space="preserve">Given the numerous Government policies to incentivise and regulate </w:t>
      </w:r>
      <w:r w:rsidR="00E6060C">
        <w:rPr>
          <w:iCs/>
          <w:sz w:val="22"/>
          <w:szCs w:val="22"/>
          <w:lang w:val="en-AU"/>
        </w:rPr>
        <w:t>private health insurance</w:t>
      </w:r>
      <w:r w:rsidR="0052075C">
        <w:rPr>
          <w:iCs/>
          <w:sz w:val="22"/>
          <w:szCs w:val="22"/>
          <w:lang w:val="en-AU"/>
        </w:rPr>
        <w:t xml:space="preserve"> (PHI)</w:t>
      </w:r>
      <w:r w:rsidR="00A9338A">
        <w:rPr>
          <w:iCs/>
          <w:sz w:val="22"/>
          <w:szCs w:val="22"/>
          <w:lang w:val="en-AU"/>
        </w:rPr>
        <w:t xml:space="preserve">, </w:t>
      </w:r>
      <w:r w:rsidR="00E6060C">
        <w:rPr>
          <w:iCs/>
          <w:sz w:val="22"/>
          <w:szCs w:val="22"/>
          <w:lang w:val="en-AU"/>
        </w:rPr>
        <w:t>our</w:t>
      </w:r>
      <w:r w:rsidR="001436A5">
        <w:rPr>
          <w:iCs/>
          <w:sz w:val="22"/>
          <w:szCs w:val="22"/>
          <w:lang w:val="en-AU"/>
        </w:rPr>
        <w:t xml:space="preserve"> industry</w:t>
      </w:r>
      <w:r w:rsidR="00A9338A">
        <w:rPr>
          <w:iCs/>
          <w:sz w:val="22"/>
          <w:szCs w:val="22"/>
          <w:lang w:val="en-AU"/>
        </w:rPr>
        <w:t xml:space="preserve"> is heavily intertwined with the tax system. With </w:t>
      </w:r>
      <w:r w:rsidR="00533F90">
        <w:rPr>
          <w:iCs/>
          <w:sz w:val="22"/>
          <w:szCs w:val="22"/>
          <w:lang w:val="en-AU"/>
        </w:rPr>
        <w:t>over</w:t>
      </w:r>
      <w:r w:rsidR="00A9338A">
        <w:rPr>
          <w:iCs/>
          <w:sz w:val="22"/>
          <w:szCs w:val="22"/>
          <w:lang w:val="en-AU"/>
        </w:rPr>
        <w:t xml:space="preserve"> </w:t>
      </w:r>
      <w:r w:rsidR="00533F90">
        <w:rPr>
          <w:iCs/>
          <w:sz w:val="22"/>
          <w:szCs w:val="22"/>
          <w:lang w:val="en-AU"/>
        </w:rPr>
        <w:t>47</w:t>
      </w:r>
      <w:r w:rsidR="00A9338A">
        <w:rPr>
          <w:iCs/>
          <w:sz w:val="22"/>
          <w:szCs w:val="22"/>
          <w:lang w:val="en-AU"/>
        </w:rPr>
        <w:t xml:space="preserve">% of the population holding hospital </w:t>
      </w:r>
      <w:r w:rsidR="00A9338A">
        <w:rPr>
          <w:iCs/>
          <w:sz w:val="22"/>
          <w:szCs w:val="22"/>
          <w:lang w:val="en-AU"/>
        </w:rPr>
        <w:lastRenderedPageBreak/>
        <w:t>cover</w:t>
      </w:r>
      <w:r w:rsidR="00533F90">
        <w:rPr>
          <w:rStyle w:val="FootnoteReference"/>
          <w:iCs/>
          <w:sz w:val="22"/>
          <w:szCs w:val="22"/>
          <w:lang w:val="en-AU"/>
        </w:rPr>
        <w:footnoteReference w:id="1"/>
      </w:r>
      <w:r w:rsidR="00A9338A">
        <w:rPr>
          <w:iCs/>
          <w:sz w:val="22"/>
          <w:szCs w:val="22"/>
          <w:lang w:val="en-AU"/>
        </w:rPr>
        <w:t xml:space="preserve">, modifications to these policy settings can have a significant impact on tax receipts and </w:t>
      </w:r>
      <w:r w:rsidR="0052075C">
        <w:rPr>
          <w:iCs/>
          <w:sz w:val="22"/>
          <w:szCs w:val="22"/>
          <w:lang w:val="en-AU"/>
        </w:rPr>
        <w:t xml:space="preserve">on </w:t>
      </w:r>
      <w:r w:rsidR="00A9338A">
        <w:rPr>
          <w:iCs/>
          <w:sz w:val="22"/>
          <w:szCs w:val="22"/>
          <w:lang w:val="en-AU"/>
        </w:rPr>
        <w:t>Government outlays.</w:t>
      </w:r>
    </w:p>
    <w:p w14:paraId="5872D430" w14:textId="77777777" w:rsidR="00E6060C" w:rsidRDefault="00E6060C" w:rsidP="00A9338A">
      <w:pPr>
        <w:pStyle w:val="Default"/>
        <w:rPr>
          <w:iCs/>
          <w:sz w:val="22"/>
          <w:szCs w:val="22"/>
          <w:lang w:val="en-AU"/>
        </w:rPr>
      </w:pPr>
    </w:p>
    <w:p w14:paraId="48430BAE" w14:textId="77777777" w:rsidR="00A9338A" w:rsidRDefault="00A9338A" w:rsidP="00A9338A">
      <w:pPr>
        <w:pStyle w:val="Default"/>
        <w:rPr>
          <w:iCs/>
          <w:sz w:val="22"/>
          <w:szCs w:val="22"/>
          <w:lang w:val="en-AU"/>
        </w:rPr>
      </w:pPr>
      <w:r>
        <w:rPr>
          <w:iCs/>
          <w:sz w:val="22"/>
          <w:szCs w:val="22"/>
          <w:lang w:val="en-AU"/>
        </w:rPr>
        <w:t xml:space="preserve">Considering this relationship, we have taken a broad approach to this submission, </w:t>
      </w:r>
      <w:r w:rsidR="00E6060C">
        <w:rPr>
          <w:iCs/>
          <w:sz w:val="22"/>
          <w:szCs w:val="22"/>
          <w:lang w:val="en-AU"/>
        </w:rPr>
        <w:t>with a view to providing</w:t>
      </w:r>
      <w:r>
        <w:rPr>
          <w:iCs/>
          <w:sz w:val="22"/>
          <w:szCs w:val="22"/>
          <w:lang w:val="en-AU"/>
        </w:rPr>
        <w:t xml:space="preserve"> the Task Force with a comprehensive overview of the context that private health insurance operates within, with respect to the tax system. </w:t>
      </w:r>
    </w:p>
    <w:p w14:paraId="4F23EEAC" w14:textId="77777777" w:rsidR="00A9338A" w:rsidRDefault="00A9338A" w:rsidP="00A9338A">
      <w:pPr>
        <w:pStyle w:val="Default"/>
        <w:rPr>
          <w:iCs/>
          <w:sz w:val="22"/>
          <w:szCs w:val="22"/>
          <w:lang w:val="en-AU"/>
        </w:rPr>
      </w:pPr>
    </w:p>
    <w:p w14:paraId="30881BDF" w14:textId="77777777" w:rsidR="00A9338A" w:rsidRDefault="00A9338A" w:rsidP="00A9338A">
      <w:pPr>
        <w:pStyle w:val="Default"/>
        <w:rPr>
          <w:iCs/>
          <w:sz w:val="22"/>
          <w:szCs w:val="22"/>
          <w:lang w:val="en-AU"/>
        </w:rPr>
      </w:pPr>
      <w:r>
        <w:rPr>
          <w:iCs/>
          <w:sz w:val="22"/>
          <w:szCs w:val="22"/>
          <w:lang w:val="en-AU"/>
        </w:rPr>
        <w:t xml:space="preserve">Our submission is divided into </w:t>
      </w:r>
      <w:r w:rsidR="001E0819">
        <w:rPr>
          <w:iCs/>
          <w:sz w:val="22"/>
          <w:szCs w:val="22"/>
          <w:lang w:val="en-AU"/>
        </w:rPr>
        <w:t>four</w:t>
      </w:r>
      <w:r>
        <w:rPr>
          <w:iCs/>
          <w:sz w:val="22"/>
          <w:szCs w:val="22"/>
          <w:lang w:val="en-AU"/>
        </w:rPr>
        <w:t xml:space="preserve"> sections:</w:t>
      </w:r>
    </w:p>
    <w:p w14:paraId="70A1F640" w14:textId="77777777" w:rsidR="00A9338A" w:rsidRDefault="00A9338A" w:rsidP="00A9338A">
      <w:pPr>
        <w:pStyle w:val="Default"/>
        <w:rPr>
          <w:iCs/>
          <w:sz w:val="22"/>
          <w:szCs w:val="22"/>
          <w:lang w:val="en-AU"/>
        </w:rPr>
      </w:pPr>
    </w:p>
    <w:p w14:paraId="1070F6F4" w14:textId="77777777" w:rsidR="00A9338A" w:rsidRPr="00A9338A" w:rsidRDefault="00A9338A" w:rsidP="0082673A">
      <w:pPr>
        <w:pStyle w:val="Default"/>
        <w:numPr>
          <w:ilvl w:val="0"/>
          <w:numId w:val="3"/>
        </w:numPr>
        <w:ind w:left="426"/>
        <w:rPr>
          <w:sz w:val="22"/>
          <w:szCs w:val="22"/>
          <w:lang w:val="en-AU"/>
        </w:rPr>
      </w:pPr>
      <w:r>
        <w:rPr>
          <w:iCs/>
          <w:sz w:val="22"/>
          <w:szCs w:val="22"/>
          <w:lang w:val="en-AU"/>
        </w:rPr>
        <w:t xml:space="preserve">The </w:t>
      </w:r>
      <w:r w:rsidR="00996961">
        <w:rPr>
          <w:iCs/>
          <w:sz w:val="22"/>
          <w:szCs w:val="22"/>
          <w:lang w:val="en-AU"/>
        </w:rPr>
        <w:t>p</w:t>
      </w:r>
      <w:r>
        <w:rPr>
          <w:iCs/>
          <w:sz w:val="22"/>
          <w:szCs w:val="22"/>
          <w:lang w:val="en-AU"/>
        </w:rPr>
        <w:t>rivate health system in Australia – background and context</w:t>
      </w:r>
      <w:r>
        <w:rPr>
          <w:iCs/>
          <w:sz w:val="22"/>
          <w:szCs w:val="22"/>
          <w:lang w:val="en-AU"/>
        </w:rPr>
        <w:br/>
      </w:r>
    </w:p>
    <w:p w14:paraId="58BEB24D" w14:textId="77777777" w:rsidR="00A9338A" w:rsidRPr="00A9338A" w:rsidRDefault="00A9338A" w:rsidP="0082673A">
      <w:pPr>
        <w:pStyle w:val="Default"/>
        <w:numPr>
          <w:ilvl w:val="0"/>
          <w:numId w:val="3"/>
        </w:numPr>
        <w:ind w:left="426"/>
        <w:rPr>
          <w:sz w:val="22"/>
          <w:szCs w:val="22"/>
          <w:lang w:val="en-AU"/>
        </w:rPr>
      </w:pPr>
      <w:r>
        <w:rPr>
          <w:sz w:val="22"/>
          <w:szCs w:val="22"/>
          <w:lang w:val="en-AU"/>
        </w:rPr>
        <w:t xml:space="preserve">Response to </w:t>
      </w:r>
      <w:r w:rsidR="00996961">
        <w:rPr>
          <w:sz w:val="22"/>
          <w:szCs w:val="22"/>
          <w:lang w:val="en-AU"/>
        </w:rPr>
        <w:t>d</w:t>
      </w:r>
      <w:r>
        <w:rPr>
          <w:sz w:val="22"/>
          <w:szCs w:val="22"/>
          <w:lang w:val="en-AU"/>
        </w:rPr>
        <w:t xml:space="preserve">iscussion question 47: </w:t>
      </w:r>
      <w:r w:rsidRPr="00A9338A">
        <w:rPr>
          <w:i/>
          <w:sz w:val="22"/>
          <w:szCs w:val="22"/>
          <w:lang w:val="en-AU"/>
        </w:rPr>
        <w:t>Are the current tax arrangements for the NFP sector appropriate? Why or why not?</w:t>
      </w:r>
      <w:r>
        <w:rPr>
          <w:i/>
          <w:sz w:val="22"/>
          <w:szCs w:val="22"/>
          <w:lang w:val="en-AU"/>
        </w:rPr>
        <w:br/>
      </w:r>
    </w:p>
    <w:p w14:paraId="26CB0EA3" w14:textId="77777777" w:rsidR="00A9338A" w:rsidRPr="00A9338A" w:rsidRDefault="00A9338A" w:rsidP="0082673A">
      <w:pPr>
        <w:pStyle w:val="Default"/>
        <w:numPr>
          <w:ilvl w:val="0"/>
          <w:numId w:val="3"/>
        </w:numPr>
        <w:ind w:left="426"/>
        <w:rPr>
          <w:sz w:val="22"/>
          <w:szCs w:val="22"/>
          <w:lang w:val="en-AU"/>
        </w:rPr>
      </w:pPr>
      <w:r>
        <w:rPr>
          <w:sz w:val="22"/>
          <w:szCs w:val="22"/>
          <w:lang w:val="en-AU"/>
        </w:rPr>
        <w:t xml:space="preserve">Response to </w:t>
      </w:r>
      <w:r w:rsidR="00996961">
        <w:rPr>
          <w:sz w:val="22"/>
          <w:szCs w:val="22"/>
          <w:lang w:val="en-AU"/>
        </w:rPr>
        <w:t>d</w:t>
      </w:r>
      <w:r>
        <w:rPr>
          <w:sz w:val="22"/>
          <w:szCs w:val="22"/>
          <w:lang w:val="en-AU"/>
        </w:rPr>
        <w:t xml:space="preserve">iscussion question 51: </w:t>
      </w:r>
      <w:r>
        <w:rPr>
          <w:i/>
          <w:sz w:val="22"/>
          <w:szCs w:val="22"/>
          <w:lang w:val="en-AU"/>
        </w:rPr>
        <w:t>To what extent are the tax settings for the GST appropriate?</w:t>
      </w:r>
      <w:r>
        <w:rPr>
          <w:i/>
          <w:sz w:val="22"/>
          <w:szCs w:val="22"/>
          <w:lang w:val="en-AU"/>
        </w:rPr>
        <w:br/>
      </w:r>
    </w:p>
    <w:p w14:paraId="56FD54D0" w14:textId="77777777" w:rsidR="00A9338A" w:rsidRDefault="00A9338A" w:rsidP="0082673A">
      <w:pPr>
        <w:pStyle w:val="Default"/>
        <w:numPr>
          <w:ilvl w:val="0"/>
          <w:numId w:val="3"/>
        </w:numPr>
        <w:ind w:left="426"/>
        <w:rPr>
          <w:sz w:val="22"/>
          <w:szCs w:val="22"/>
          <w:lang w:val="en-AU"/>
        </w:rPr>
      </w:pPr>
      <w:r>
        <w:rPr>
          <w:sz w:val="22"/>
          <w:szCs w:val="22"/>
          <w:lang w:val="en-AU"/>
        </w:rPr>
        <w:t>Refining and improving policy settings in private health insurance to achieve a more effective and efficient tax system and more efficient use of Government resources</w:t>
      </w:r>
      <w:r w:rsidR="00E6060C">
        <w:rPr>
          <w:sz w:val="22"/>
          <w:szCs w:val="22"/>
          <w:lang w:val="en-AU"/>
        </w:rPr>
        <w:br/>
      </w:r>
    </w:p>
    <w:p w14:paraId="4FAB81FC" w14:textId="77777777" w:rsidR="00A9338A" w:rsidRDefault="00A9338A" w:rsidP="0082673A">
      <w:pPr>
        <w:pStyle w:val="Default"/>
        <w:numPr>
          <w:ilvl w:val="0"/>
          <w:numId w:val="4"/>
        </w:numPr>
        <w:ind w:left="851"/>
        <w:rPr>
          <w:sz w:val="22"/>
          <w:szCs w:val="22"/>
          <w:lang w:val="en-AU"/>
        </w:rPr>
      </w:pPr>
      <w:r>
        <w:rPr>
          <w:sz w:val="22"/>
          <w:szCs w:val="22"/>
          <w:lang w:val="en-AU"/>
        </w:rPr>
        <w:t>Retaining and refining current policy levers in private health insurance</w:t>
      </w:r>
      <w:r w:rsidR="001E0819">
        <w:rPr>
          <w:sz w:val="22"/>
          <w:szCs w:val="22"/>
          <w:lang w:val="en-AU"/>
        </w:rPr>
        <w:br/>
      </w:r>
    </w:p>
    <w:p w14:paraId="01A672E6" w14:textId="77777777" w:rsidR="00A9338A" w:rsidRDefault="00F74452" w:rsidP="0082673A">
      <w:pPr>
        <w:pStyle w:val="Default"/>
        <w:numPr>
          <w:ilvl w:val="0"/>
          <w:numId w:val="5"/>
        </w:numPr>
        <w:ind w:left="851"/>
        <w:rPr>
          <w:sz w:val="22"/>
          <w:szCs w:val="22"/>
          <w:lang w:val="en-AU"/>
        </w:rPr>
      </w:pPr>
      <w:r>
        <w:rPr>
          <w:sz w:val="22"/>
          <w:szCs w:val="22"/>
          <w:lang w:val="en-AU"/>
        </w:rPr>
        <w:t>Additional opportunities for reform in private health insurance</w:t>
      </w:r>
    </w:p>
    <w:p w14:paraId="69928691" w14:textId="77777777" w:rsidR="00F74452" w:rsidRDefault="00F74452" w:rsidP="00F74452">
      <w:pPr>
        <w:pStyle w:val="Default"/>
        <w:rPr>
          <w:sz w:val="22"/>
          <w:szCs w:val="22"/>
          <w:lang w:val="en-AU"/>
        </w:rPr>
      </w:pPr>
    </w:p>
    <w:p w14:paraId="35415E8A" w14:textId="77777777" w:rsidR="00F74452" w:rsidRDefault="0082673A" w:rsidP="00F74452">
      <w:pPr>
        <w:pStyle w:val="Default"/>
        <w:rPr>
          <w:sz w:val="22"/>
          <w:szCs w:val="22"/>
          <w:lang w:val="en-AU"/>
        </w:rPr>
      </w:pPr>
      <w:r>
        <w:rPr>
          <w:sz w:val="22"/>
          <w:szCs w:val="22"/>
          <w:lang w:val="en-AU"/>
        </w:rPr>
        <w:t>Thank you once again for the opportunity to comment on these important issues.</w:t>
      </w:r>
    </w:p>
    <w:p w14:paraId="27D4AEB9" w14:textId="77777777" w:rsidR="0082673A" w:rsidRDefault="0082673A" w:rsidP="00F74452">
      <w:pPr>
        <w:pStyle w:val="Default"/>
        <w:rPr>
          <w:sz w:val="22"/>
          <w:szCs w:val="22"/>
          <w:lang w:val="en-AU"/>
        </w:rPr>
      </w:pPr>
    </w:p>
    <w:p w14:paraId="253FB9D6" w14:textId="77777777" w:rsidR="0082673A" w:rsidRDefault="00E163E2" w:rsidP="00F74452">
      <w:pPr>
        <w:pStyle w:val="Default"/>
        <w:rPr>
          <w:sz w:val="22"/>
          <w:szCs w:val="22"/>
          <w:lang w:val="en-AU"/>
        </w:rPr>
      </w:pPr>
      <w:r>
        <w:rPr>
          <w:noProof/>
          <w:sz w:val="22"/>
          <w:szCs w:val="22"/>
          <w:lang w:val="en-AU" w:eastAsia="en-AU"/>
        </w:rPr>
        <w:drawing>
          <wp:anchor distT="0" distB="0" distL="114300" distR="114300" simplePos="0" relativeHeight="251664384" behindDoc="0" locked="0" layoutInCell="1" allowOverlap="1" wp14:anchorId="31199730" wp14:editId="3DC9DF75">
            <wp:simplePos x="0" y="0"/>
            <wp:positionH relativeFrom="margin">
              <wp:align>left</wp:align>
            </wp:positionH>
            <wp:positionV relativeFrom="paragraph">
              <wp:posOffset>168500</wp:posOffset>
            </wp:positionV>
            <wp:extent cx="1527243" cy="701882"/>
            <wp:effectExtent l="0" t="0" r="0" b="317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B04A36.tmp"/>
                    <pic:cNvPicPr/>
                  </pic:nvPicPr>
                  <pic:blipFill>
                    <a:blip r:embed="rId15">
                      <a:extLst>
                        <a:ext uri="{28A0092B-C50C-407E-A947-70E740481C1C}">
                          <a14:useLocalDpi xmlns:a14="http://schemas.microsoft.com/office/drawing/2010/main" val="0"/>
                        </a:ext>
                      </a:extLst>
                    </a:blip>
                    <a:stretch>
                      <a:fillRect/>
                    </a:stretch>
                  </pic:blipFill>
                  <pic:spPr>
                    <a:xfrm>
                      <a:off x="0" y="0"/>
                      <a:ext cx="1527243" cy="701882"/>
                    </a:xfrm>
                    <a:prstGeom prst="rect">
                      <a:avLst/>
                    </a:prstGeom>
                  </pic:spPr>
                </pic:pic>
              </a:graphicData>
            </a:graphic>
            <wp14:sizeRelH relativeFrom="page">
              <wp14:pctWidth>0</wp14:pctWidth>
            </wp14:sizeRelH>
            <wp14:sizeRelV relativeFrom="page">
              <wp14:pctHeight>0</wp14:pctHeight>
            </wp14:sizeRelV>
          </wp:anchor>
        </w:drawing>
      </w:r>
      <w:r w:rsidR="0082673A">
        <w:rPr>
          <w:sz w:val="22"/>
          <w:szCs w:val="22"/>
          <w:lang w:val="en-AU"/>
        </w:rPr>
        <w:t>Yours sincerely</w:t>
      </w:r>
    </w:p>
    <w:p w14:paraId="18C91D49" w14:textId="77777777" w:rsidR="0082673A" w:rsidRDefault="0082673A" w:rsidP="00F74452">
      <w:pPr>
        <w:pStyle w:val="Default"/>
        <w:rPr>
          <w:sz w:val="22"/>
          <w:szCs w:val="22"/>
          <w:lang w:val="en-AU"/>
        </w:rPr>
      </w:pPr>
    </w:p>
    <w:p w14:paraId="76754B7D" w14:textId="77777777" w:rsidR="0082673A" w:rsidRDefault="0082673A" w:rsidP="00F74452">
      <w:pPr>
        <w:pStyle w:val="Default"/>
        <w:rPr>
          <w:sz w:val="22"/>
          <w:szCs w:val="22"/>
          <w:lang w:val="en-AU"/>
        </w:rPr>
      </w:pPr>
    </w:p>
    <w:p w14:paraId="0CDDEFAD" w14:textId="77777777" w:rsidR="0082673A" w:rsidRDefault="0082673A" w:rsidP="00F74452">
      <w:pPr>
        <w:pStyle w:val="Default"/>
        <w:rPr>
          <w:sz w:val="22"/>
          <w:szCs w:val="22"/>
          <w:lang w:val="en-AU"/>
        </w:rPr>
      </w:pPr>
    </w:p>
    <w:p w14:paraId="39407DAA" w14:textId="77777777" w:rsidR="0082673A" w:rsidRDefault="0082673A" w:rsidP="00F74452">
      <w:pPr>
        <w:pStyle w:val="Default"/>
        <w:rPr>
          <w:sz w:val="22"/>
          <w:szCs w:val="22"/>
          <w:lang w:val="en-AU"/>
        </w:rPr>
      </w:pPr>
    </w:p>
    <w:p w14:paraId="7A21B6F9" w14:textId="77777777" w:rsidR="0082673A" w:rsidRPr="0082673A" w:rsidRDefault="0082673A" w:rsidP="00F74452">
      <w:pPr>
        <w:pStyle w:val="Default"/>
        <w:rPr>
          <w:b/>
          <w:sz w:val="22"/>
          <w:szCs w:val="22"/>
          <w:lang w:val="en-AU"/>
        </w:rPr>
      </w:pPr>
      <w:r>
        <w:rPr>
          <w:b/>
          <w:sz w:val="22"/>
          <w:szCs w:val="22"/>
          <w:lang w:val="en-AU"/>
        </w:rPr>
        <w:t>MATTHEW KOCE</w:t>
      </w:r>
      <w:r>
        <w:rPr>
          <w:b/>
          <w:sz w:val="22"/>
          <w:szCs w:val="22"/>
          <w:lang w:val="en-AU"/>
        </w:rPr>
        <w:br/>
        <w:t>Chief Executive Officer</w:t>
      </w:r>
    </w:p>
    <w:p w14:paraId="7A7574F3" w14:textId="77777777" w:rsidR="005E626A" w:rsidRDefault="005E626A" w:rsidP="005E626A"/>
    <w:p w14:paraId="07149048" w14:textId="77777777" w:rsidR="004C5F68" w:rsidRDefault="004C5F68" w:rsidP="005E626A"/>
    <w:p w14:paraId="3AEFD354" w14:textId="77777777" w:rsidR="004C5F68" w:rsidRDefault="004C5F68" w:rsidP="005E626A"/>
    <w:p w14:paraId="1D8B07B2" w14:textId="77777777" w:rsidR="004C5F68" w:rsidRDefault="004C5F68" w:rsidP="005E626A"/>
    <w:p w14:paraId="79B30AC2" w14:textId="77777777" w:rsidR="004C5F68" w:rsidRDefault="004C5F68" w:rsidP="005E626A"/>
    <w:p w14:paraId="64B09F2C" w14:textId="77777777" w:rsidR="004C5F68" w:rsidRDefault="004C5F68" w:rsidP="005E626A"/>
    <w:p w14:paraId="66D74DFF" w14:textId="77777777" w:rsidR="004C5F68" w:rsidRDefault="004C5F68" w:rsidP="005E626A"/>
    <w:p w14:paraId="6CD828DE" w14:textId="77777777" w:rsidR="004C5F68" w:rsidRDefault="004C5F68" w:rsidP="005E626A"/>
    <w:p w14:paraId="3BA4C8CE" w14:textId="77777777" w:rsidR="004C5F68" w:rsidRPr="004C5F68" w:rsidRDefault="004C5F68" w:rsidP="004C5F68">
      <w:pPr>
        <w:pStyle w:val="ListParagraph"/>
        <w:numPr>
          <w:ilvl w:val="0"/>
          <w:numId w:val="6"/>
        </w:numPr>
        <w:ind w:left="0"/>
        <w:rPr>
          <w:b/>
        </w:rPr>
      </w:pPr>
      <w:r w:rsidRPr="004C5F68">
        <w:rPr>
          <w:b/>
          <w:iCs/>
        </w:rPr>
        <w:t>The Private health system in Australia – background and context</w:t>
      </w:r>
    </w:p>
    <w:p w14:paraId="3BB85FED" w14:textId="77777777" w:rsidR="00565E94" w:rsidRPr="008D559D" w:rsidRDefault="00565E94" w:rsidP="00565E94">
      <w:pPr>
        <w:spacing w:line="240" w:lineRule="auto"/>
        <w:rPr>
          <w:i/>
          <w:iCs/>
          <w:u w:val="single"/>
        </w:rPr>
      </w:pPr>
      <w:r w:rsidRPr="008D559D">
        <w:rPr>
          <w:i/>
          <w:iCs/>
          <w:u w:val="single"/>
        </w:rPr>
        <w:lastRenderedPageBreak/>
        <w:t>The role and importance of private health</w:t>
      </w:r>
    </w:p>
    <w:p w14:paraId="2B44DFD0" w14:textId="77777777" w:rsidR="00565E94" w:rsidRPr="00565E94" w:rsidRDefault="00565E94" w:rsidP="00565E94">
      <w:pPr>
        <w:spacing w:line="240" w:lineRule="auto"/>
        <w:rPr>
          <w:color w:val="000000" w:themeColor="text1"/>
          <w:szCs w:val="24"/>
        </w:rPr>
      </w:pPr>
      <w:r w:rsidRPr="00565E94">
        <w:rPr>
          <w:color w:val="000000" w:themeColor="text1"/>
          <w:szCs w:val="24"/>
        </w:rPr>
        <w:t>Australia’s health outcomes compare favourably across other developed countries. A wide range of important health indicators point to a country well supported by a mixed syst</w:t>
      </w:r>
      <w:r w:rsidR="005F0DED">
        <w:rPr>
          <w:color w:val="000000" w:themeColor="text1"/>
          <w:szCs w:val="24"/>
        </w:rPr>
        <w:t>em of public and private health</w:t>
      </w:r>
      <w:r w:rsidRPr="00565E94">
        <w:rPr>
          <w:color w:val="000000" w:themeColor="text1"/>
          <w:szCs w:val="24"/>
        </w:rPr>
        <w:t>care.</w:t>
      </w:r>
      <w:r w:rsidR="0052075C">
        <w:rPr>
          <w:color w:val="000000" w:themeColor="text1"/>
          <w:szCs w:val="24"/>
        </w:rPr>
        <w:t xml:space="preserve"> </w:t>
      </w:r>
      <w:r w:rsidR="005F0DED">
        <w:rPr>
          <w:color w:val="000000" w:themeColor="text1"/>
          <w:szCs w:val="24"/>
        </w:rPr>
        <w:t>The role of private health</w:t>
      </w:r>
      <w:r w:rsidRPr="00565E94">
        <w:rPr>
          <w:color w:val="000000" w:themeColor="text1"/>
          <w:szCs w:val="24"/>
        </w:rPr>
        <w:t>care in Australia’s health system should not be underestimated.</w:t>
      </w:r>
    </w:p>
    <w:p w14:paraId="0C4B0ACD" w14:textId="77777777" w:rsidR="00565E94" w:rsidRPr="00565E94" w:rsidRDefault="00565E94" w:rsidP="00565E94">
      <w:pPr>
        <w:spacing w:line="240" w:lineRule="auto"/>
        <w:rPr>
          <w:color w:val="000000" w:themeColor="text1"/>
          <w:szCs w:val="24"/>
        </w:rPr>
      </w:pPr>
      <w:r w:rsidRPr="00565E94">
        <w:rPr>
          <w:color w:val="000000" w:themeColor="text1"/>
          <w:szCs w:val="24"/>
        </w:rPr>
        <w:t>The Private Health Insurance Administration Counc</w:t>
      </w:r>
      <w:r w:rsidR="00533F90">
        <w:rPr>
          <w:color w:val="000000" w:themeColor="text1"/>
          <w:szCs w:val="24"/>
        </w:rPr>
        <w:t>il (PHIAC) reports that 47.3</w:t>
      </w:r>
      <w:r w:rsidRPr="00565E94">
        <w:rPr>
          <w:color w:val="000000" w:themeColor="text1"/>
          <w:szCs w:val="24"/>
        </w:rPr>
        <w:t>% of the population ha</w:t>
      </w:r>
      <w:r w:rsidR="0052075C">
        <w:rPr>
          <w:color w:val="000000" w:themeColor="text1"/>
          <w:szCs w:val="24"/>
        </w:rPr>
        <w:t>ve</w:t>
      </w:r>
      <w:r w:rsidRPr="00565E94">
        <w:rPr>
          <w:color w:val="000000" w:themeColor="text1"/>
          <w:szCs w:val="24"/>
        </w:rPr>
        <w:t xml:space="preserve"> pri</w:t>
      </w:r>
      <w:r w:rsidR="00533F90">
        <w:rPr>
          <w:color w:val="000000" w:themeColor="text1"/>
          <w:szCs w:val="24"/>
        </w:rPr>
        <w:t>vate hospital cover and 55.6</w:t>
      </w:r>
      <w:r w:rsidR="0052075C">
        <w:rPr>
          <w:color w:val="000000" w:themeColor="text1"/>
          <w:szCs w:val="24"/>
        </w:rPr>
        <w:t>% have</w:t>
      </w:r>
      <w:r w:rsidRPr="00565E94">
        <w:rPr>
          <w:color w:val="000000" w:themeColor="text1"/>
          <w:szCs w:val="24"/>
        </w:rPr>
        <w:t xml:space="preserve"> cover for ancillary services, such as dentistry and optometry.</w:t>
      </w:r>
      <w:r w:rsidRPr="00565E94">
        <w:rPr>
          <w:rStyle w:val="FootnoteReference"/>
          <w:color w:val="000000" w:themeColor="text1"/>
          <w:szCs w:val="24"/>
        </w:rPr>
        <w:footnoteReference w:id="2"/>
      </w:r>
    </w:p>
    <w:p w14:paraId="35EA24F4" w14:textId="77777777" w:rsidR="00565E94" w:rsidRPr="00565E94" w:rsidRDefault="008D559D" w:rsidP="00565E94">
      <w:pPr>
        <w:spacing w:line="240" w:lineRule="auto"/>
        <w:rPr>
          <w:color w:val="000000" w:themeColor="text1"/>
          <w:szCs w:val="24"/>
        </w:rPr>
      </w:pPr>
      <w:r>
        <w:rPr>
          <w:noProof/>
          <w:lang w:eastAsia="en-AU"/>
        </w:rPr>
        <w:drawing>
          <wp:anchor distT="0" distB="0" distL="114300" distR="114300" simplePos="0" relativeHeight="251659264" behindDoc="1" locked="0" layoutInCell="1" allowOverlap="1" wp14:anchorId="048E6F3D" wp14:editId="674E2191">
            <wp:simplePos x="0" y="0"/>
            <wp:positionH relativeFrom="margin">
              <wp:posOffset>-135007</wp:posOffset>
            </wp:positionH>
            <wp:positionV relativeFrom="paragraph">
              <wp:posOffset>972240</wp:posOffset>
            </wp:positionV>
            <wp:extent cx="5943600" cy="2621280"/>
            <wp:effectExtent l="0" t="19050" r="0" b="7620"/>
            <wp:wrapTight wrapText="bothSides">
              <wp:wrapPolygon edited="0">
                <wp:start x="0" y="-157"/>
                <wp:lineTo x="0" y="21506"/>
                <wp:lineTo x="21531" y="21506"/>
                <wp:lineTo x="21531" y="-157"/>
                <wp:lineTo x="0" y="-157"/>
              </wp:wrapPolygon>
            </wp:wrapTight>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margin">
              <wp14:pctWidth>0</wp14:pctWidth>
            </wp14:sizeRelH>
            <wp14:sizeRelV relativeFrom="margin">
              <wp14:pctHeight>0</wp14:pctHeight>
            </wp14:sizeRelV>
          </wp:anchor>
        </w:drawing>
      </w:r>
      <w:r w:rsidR="00565E94" w:rsidRPr="00565E94">
        <w:rPr>
          <w:color w:val="000000" w:themeColor="text1"/>
          <w:szCs w:val="24"/>
        </w:rPr>
        <w:t xml:space="preserve">As a consequence of this wide coverage, the private sector makes a significant contribution to health care funding. In </w:t>
      </w:r>
      <w:r w:rsidR="00CA2088">
        <w:rPr>
          <w:color w:val="000000" w:themeColor="text1"/>
          <w:szCs w:val="24"/>
        </w:rPr>
        <w:t>2013-14</w:t>
      </w:r>
      <w:r w:rsidR="00565E94" w:rsidRPr="00565E94">
        <w:rPr>
          <w:color w:val="000000" w:themeColor="text1"/>
          <w:szCs w:val="24"/>
        </w:rPr>
        <w:t xml:space="preserve">, private health insurers paid </w:t>
      </w:r>
      <w:r>
        <w:rPr>
          <w:color w:val="000000" w:themeColor="text1"/>
          <w:szCs w:val="24"/>
        </w:rPr>
        <w:t xml:space="preserve">almost </w:t>
      </w:r>
      <w:r w:rsidR="00565E94" w:rsidRPr="00565E94">
        <w:rPr>
          <w:color w:val="000000" w:themeColor="text1"/>
          <w:szCs w:val="24"/>
        </w:rPr>
        <w:t>$17 billion in benefits for hospital and ancillary treatments.</w:t>
      </w:r>
      <w:r w:rsidR="00533F90" w:rsidRPr="00533F90">
        <w:rPr>
          <w:rStyle w:val="FootnoteReference"/>
          <w:color w:val="000000" w:themeColor="text1"/>
          <w:szCs w:val="24"/>
        </w:rPr>
        <w:t xml:space="preserve"> </w:t>
      </w:r>
      <w:r w:rsidR="00533F90" w:rsidRPr="00565E94">
        <w:rPr>
          <w:rStyle w:val="FootnoteReference"/>
          <w:color w:val="000000" w:themeColor="text1"/>
          <w:szCs w:val="24"/>
        </w:rPr>
        <w:footnoteReference w:id="3"/>
      </w:r>
      <w:r w:rsidR="00565E94" w:rsidRPr="00565E94">
        <w:rPr>
          <w:color w:val="000000" w:themeColor="text1"/>
          <w:szCs w:val="24"/>
        </w:rPr>
        <w:t xml:space="preserve"> </w:t>
      </w:r>
      <w:r>
        <w:rPr>
          <w:color w:val="000000" w:themeColor="text1"/>
          <w:szCs w:val="24"/>
        </w:rPr>
        <w:t>This is $17</w:t>
      </w:r>
      <w:r w:rsidR="00565E94" w:rsidRPr="00565E94">
        <w:rPr>
          <w:color w:val="000000" w:themeColor="text1"/>
          <w:szCs w:val="24"/>
        </w:rPr>
        <w:t xml:space="preserve"> billion that would otherwise be picked up by the Commonwealth and States.</w:t>
      </w:r>
      <w:r w:rsidR="00CA2088">
        <w:rPr>
          <w:color w:val="000000" w:themeColor="text1"/>
          <w:szCs w:val="24"/>
        </w:rPr>
        <w:t xml:space="preserve"> In 2013-14</w:t>
      </w:r>
      <w:r w:rsidR="00565E94" w:rsidRPr="00565E94">
        <w:rPr>
          <w:color w:val="000000" w:themeColor="text1"/>
          <w:szCs w:val="24"/>
        </w:rPr>
        <w:t xml:space="preserve">, 41% of all </w:t>
      </w:r>
      <w:r w:rsidR="001C4D8B">
        <w:rPr>
          <w:color w:val="000000" w:themeColor="text1"/>
          <w:szCs w:val="24"/>
        </w:rPr>
        <w:t xml:space="preserve">separations* </w:t>
      </w:r>
      <w:r w:rsidR="00565E94" w:rsidRPr="00565E94">
        <w:rPr>
          <w:color w:val="000000" w:themeColor="text1"/>
          <w:szCs w:val="24"/>
        </w:rPr>
        <w:t>occurred in private hospitals, including two out of every three elective surgery procedures.</w:t>
      </w:r>
      <w:r w:rsidR="00565E94" w:rsidRPr="00565E94">
        <w:rPr>
          <w:rStyle w:val="FootnoteReference"/>
          <w:color w:val="000000" w:themeColor="text1"/>
          <w:szCs w:val="24"/>
        </w:rPr>
        <w:footnoteReference w:id="4"/>
      </w:r>
    </w:p>
    <w:p w14:paraId="72986D3E" w14:textId="77777777" w:rsidR="0052075C" w:rsidRPr="005F0DED" w:rsidRDefault="00565E94" w:rsidP="00565E94">
      <w:pPr>
        <w:spacing w:line="240" w:lineRule="auto"/>
        <w:rPr>
          <w:color w:val="000000" w:themeColor="text1"/>
          <w:szCs w:val="24"/>
        </w:rPr>
      </w:pPr>
      <w:r w:rsidRPr="00565E94">
        <w:rPr>
          <w:color w:val="000000" w:themeColor="text1"/>
          <w:szCs w:val="24"/>
        </w:rPr>
        <w:t>Australian Governments pay for 9</w:t>
      </w:r>
      <w:r w:rsidR="001C4A65">
        <w:rPr>
          <w:color w:val="000000" w:themeColor="text1"/>
          <w:szCs w:val="24"/>
        </w:rPr>
        <w:t>1</w:t>
      </w:r>
      <w:r w:rsidRPr="00565E94">
        <w:rPr>
          <w:color w:val="000000" w:themeColor="text1"/>
          <w:szCs w:val="24"/>
        </w:rPr>
        <w:t>.</w:t>
      </w:r>
      <w:r w:rsidR="001C4A65">
        <w:rPr>
          <w:color w:val="000000" w:themeColor="text1"/>
          <w:szCs w:val="24"/>
        </w:rPr>
        <w:t>6</w:t>
      </w:r>
      <w:r w:rsidRPr="00565E94">
        <w:rPr>
          <w:color w:val="000000" w:themeColor="text1"/>
          <w:szCs w:val="24"/>
        </w:rPr>
        <w:t xml:space="preserve">% of the cost of treatment in the public system, </w:t>
      </w:r>
      <w:r w:rsidR="00E6060C">
        <w:rPr>
          <w:color w:val="000000" w:themeColor="text1"/>
          <w:szCs w:val="24"/>
        </w:rPr>
        <w:t>as opposed to</w:t>
      </w:r>
      <w:r w:rsidRPr="00565E94">
        <w:rPr>
          <w:color w:val="000000" w:themeColor="text1"/>
          <w:szCs w:val="24"/>
        </w:rPr>
        <w:t xml:space="preserve"> 34.5% of the cost of treatment in the private system (inclusive of the Government rebate on PHI).</w:t>
      </w:r>
      <w:r w:rsidRPr="00565E94">
        <w:rPr>
          <w:rStyle w:val="FootnoteReference"/>
          <w:color w:val="000000" w:themeColor="text1"/>
          <w:szCs w:val="24"/>
        </w:rPr>
        <w:footnoteReference w:id="5"/>
      </w:r>
      <w:r w:rsidRPr="00565E94">
        <w:rPr>
          <w:color w:val="000000" w:themeColor="text1"/>
          <w:szCs w:val="24"/>
        </w:rPr>
        <w:t xml:space="preserve"> It is therefore no surprise that</w:t>
      </w:r>
      <w:r w:rsidR="005C3A0E">
        <w:rPr>
          <w:color w:val="000000" w:themeColor="text1"/>
          <w:szCs w:val="24"/>
        </w:rPr>
        <w:t xml:space="preserve"> the</w:t>
      </w:r>
      <w:r w:rsidRPr="00565E94">
        <w:rPr>
          <w:color w:val="000000" w:themeColor="text1"/>
          <w:szCs w:val="24"/>
        </w:rPr>
        <w:t xml:space="preserve"> </w:t>
      </w:r>
      <w:r w:rsidR="00996961">
        <w:rPr>
          <w:color w:val="000000" w:themeColor="text1"/>
          <w:szCs w:val="24"/>
        </w:rPr>
        <w:t>uptake</w:t>
      </w:r>
      <w:r w:rsidRPr="00565E94">
        <w:rPr>
          <w:color w:val="000000" w:themeColor="text1"/>
          <w:szCs w:val="24"/>
        </w:rPr>
        <w:t xml:space="preserve"> of </w:t>
      </w:r>
      <w:r w:rsidR="0052075C">
        <w:rPr>
          <w:color w:val="000000" w:themeColor="text1"/>
          <w:szCs w:val="24"/>
        </w:rPr>
        <w:t>PHI</w:t>
      </w:r>
      <w:r w:rsidRPr="00565E94">
        <w:rPr>
          <w:color w:val="000000" w:themeColor="text1"/>
          <w:szCs w:val="24"/>
        </w:rPr>
        <w:t xml:space="preserve"> has been </w:t>
      </w:r>
      <w:r w:rsidR="00996961" w:rsidRPr="00565E94">
        <w:rPr>
          <w:color w:val="000000" w:themeColor="text1"/>
          <w:szCs w:val="24"/>
        </w:rPr>
        <w:t>en</w:t>
      </w:r>
      <w:r w:rsidR="00996961">
        <w:rPr>
          <w:color w:val="000000" w:themeColor="text1"/>
          <w:szCs w:val="24"/>
        </w:rPr>
        <w:t>couraged</w:t>
      </w:r>
      <w:r w:rsidR="00996961" w:rsidRPr="00565E94">
        <w:rPr>
          <w:color w:val="000000" w:themeColor="text1"/>
          <w:szCs w:val="24"/>
        </w:rPr>
        <w:t xml:space="preserve"> </w:t>
      </w:r>
      <w:r w:rsidR="00996961">
        <w:rPr>
          <w:color w:val="000000" w:themeColor="text1"/>
          <w:szCs w:val="24"/>
        </w:rPr>
        <w:t xml:space="preserve">by government </w:t>
      </w:r>
      <w:r w:rsidRPr="00565E94">
        <w:rPr>
          <w:color w:val="000000" w:themeColor="text1"/>
          <w:szCs w:val="24"/>
        </w:rPr>
        <w:t xml:space="preserve">through an array of ‘sticks’ and ‘carrots’ policy measures. The rationale being that in order to ensure the sustainability of public health expenditure, appropriate incentives should be in place to encourage </w:t>
      </w:r>
      <w:r w:rsidR="00996961">
        <w:rPr>
          <w:color w:val="000000" w:themeColor="text1"/>
          <w:szCs w:val="24"/>
        </w:rPr>
        <w:t>individuals to take personal responsibility for meeting their health needs, where they can afford to do so</w:t>
      </w:r>
      <w:r w:rsidRPr="00565E94">
        <w:rPr>
          <w:color w:val="000000" w:themeColor="text1"/>
          <w:szCs w:val="24"/>
        </w:rPr>
        <w:t>.</w:t>
      </w:r>
    </w:p>
    <w:p w14:paraId="5CA3E419" w14:textId="77777777" w:rsidR="005F0DED" w:rsidRDefault="005F0DED" w:rsidP="00565E94">
      <w:pPr>
        <w:spacing w:line="240" w:lineRule="auto"/>
        <w:rPr>
          <w:i/>
          <w:color w:val="000000" w:themeColor="text1"/>
          <w:szCs w:val="24"/>
          <w:u w:val="single"/>
        </w:rPr>
      </w:pPr>
    </w:p>
    <w:p w14:paraId="16728799" w14:textId="77777777" w:rsidR="001C4D8B" w:rsidRDefault="001C4D8B" w:rsidP="00565E94">
      <w:pPr>
        <w:spacing w:line="240" w:lineRule="auto"/>
        <w:rPr>
          <w:i/>
          <w:color w:val="000000" w:themeColor="text1"/>
          <w:szCs w:val="24"/>
          <w:u w:val="single"/>
        </w:rPr>
      </w:pPr>
    </w:p>
    <w:p w14:paraId="42C8BD5E" w14:textId="77777777" w:rsidR="001C4D8B" w:rsidRPr="001C4D8B" w:rsidRDefault="001C4D8B" w:rsidP="00565E94">
      <w:pPr>
        <w:spacing w:line="240" w:lineRule="auto"/>
        <w:rPr>
          <w:color w:val="000000" w:themeColor="text1"/>
          <w:sz w:val="18"/>
          <w:szCs w:val="24"/>
          <w:u w:val="single"/>
        </w:rPr>
      </w:pPr>
      <w:r w:rsidRPr="001C4D8B">
        <w:rPr>
          <w:i/>
          <w:color w:val="000000"/>
          <w:sz w:val="16"/>
          <w:szCs w:val="19"/>
          <w:shd w:val="clear" w:color="auto" w:fill="FFFFFF"/>
        </w:rPr>
        <w:t>*The process by which an episode of care for an admitted patient ceases</w:t>
      </w:r>
      <w:r>
        <w:rPr>
          <w:color w:val="000000"/>
          <w:sz w:val="16"/>
          <w:szCs w:val="19"/>
          <w:shd w:val="clear" w:color="auto" w:fill="FFFFFF"/>
        </w:rPr>
        <w:t xml:space="preserve"> – </w:t>
      </w:r>
      <w:r w:rsidRPr="001C4D8B">
        <w:rPr>
          <w:color w:val="000000"/>
          <w:sz w:val="16"/>
          <w:szCs w:val="19"/>
          <w:shd w:val="clear" w:color="auto" w:fill="FFFFFF"/>
        </w:rPr>
        <w:t>http://meteor.aihw.gov.au/content/index.phtml/itemId/327268</w:t>
      </w:r>
    </w:p>
    <w:p w14:paraId="2A158F40" w14:textId="77777777" w:rsidR="00FD55ED" w:rsidRDefault="00FD55ED" w:rsidP="00565E94">
      <w:pPr>
        <w:spacing w:line="240" w:lineRule="auto"/>
        <w:rPr>
          <w:i/>
          <w:color w:val="000000" w:themeColor="text1"/>
          <w:szCs w:val="24"/>
          <w:u w:val="single"/>
        </w:rPr>
      </w:pPr>
    </w:p>
    <w:p w14:paraId="18254466" w14:textId="77777777" w:rsidR="00565E94" w:rsidRPr="008D559D" w:rsidRDefault="00565E94" w:rsidP="00565E94">
      <w:pPr>
        <w:spacing w:line="240" w:lineRule="auto"/>
        <w:rPr>
          <w:i/>
          <w:color w:val="000000" w:themeColor="text1"/>
          <w:szCs w:val="24"/>
          <w:u w:val="single"/>
        </w:rPr>
      </w:pPr>
      <w:r w:rsidRPr="008D559D">
        <w:rPr>
          <w:i/>
          <w:color w:val="000000" w:themeColor="text1"/>
          <w:szCs w:val="24"/>
          <w:u w:val="single"/>
        </w:rPr>
        <w:t>Accessibility of the private health system</w:t>
      </w:r>
    </w:p>
    <w:p w14:paraId="68BDAEBB" w14:textId="77777777" w:rsidR="00565E94" w:rsidRPr="00565E94" w:rsidRDefault="00E6060C" w:rsidP="00565E94">
      <w:pPr>
        <w:spacing w:line="240" w:lineRule="auto"/>
        <w:rPr>
          <w:color w:val="000000" w:themeColor="text1"/>
          <w:szCs w:val="24"/>
        </w:rPr>
      </w:pPr>
      <w:r>
        <w:rPr>
          <w:color w:val="000000" w:themeColor="text1"/>
          <w:szCs w:val="24"/>
        </w:rPr>
        <w:lastRenderedPageBreak/>
        <w:t xml:space="preserve">PHI in Australia has been </w:t>
      </w:r>
      <w:r w:rsidR="00565E94" w:rsidRPr="00E6060C">
        <w:rPr>
          <w:i/>
          <w:color w:val="000000" w:themeColor="text1"/>
          <w:szCs w:val="24"/>
        </w:rPr>
        <w:t>community-rat</w:t>
      </w:r>
      <w:r>
        <w:rPr>
          <w:i/>
          <w:color w:val="000000" w:themeColor="text1"/>
          <w:szCs w:val="24"/>
        </w:rPr>
        <w:t>ed</w:t>
      </w:r>
      <w:r w:rsidR="00565E94" w:rsidRPr="00565E94">
        <w:rPr>
          <w:color w:val="000000" w:themeColor="text1"/>
          <w:szCs w:val="24"/>
        </w:rPr>
        <w:t xml:space="preserve"> since 1953, meaning consumers pay the same premium for a product, regardless of their age</w:t>
      </w:r>
      <w:r w:rsidR="00565E94" w:rsidRPr="001C4D8B">
        <w:rPr>
          <w:color w:val="000000" w:themeColor="text1"/>
          <w:szCs w:val="24"/>
        </w:rPr>
        <w:t>, ge</w:t>
      </w:r>
      <w:r w:rsidR="00565E94" w:rsidRPr="00565E94">
        <w:rPr>
          <w:color w:val="000000" w:themeColor="text1"/>
          <w:szCs w:val="24"/>
        </w:rPr>
        <w:t>nder or health condition.</w:t>
      </w:r>
    </w:p>
    <w:p w14:paraId="4FE5262E" w14:textId="77777777" w:rsidR="00B76F68" w:rsidRDefault="00565E94" w:rsidP="00B76F68">
      <w:pPr>
        <w:spacing w:line="240" w:lineRule="auto"/>
        <w:rPr>
          <w:color w:val="000000" w:themeColor="text1"/>
          <w:szCs w:val="24"/>
        </w:rPr>
      </w:pPr>
      <w:r w:rsidRPr="00565E94">
        <w:rPr>
          <w:color w:val="000000" w:themeColor="text1"/>
          <w:szCs w:val="24"/>
        </w:rPr>
        <w:t>Underpinning community r</w:t>
      </w:r>
      <w:r w:rsidR="00E6060C">
        <w:rPr>
          <w:color w:val="000000" w:themeColor="text1"/>
          <w:szCs w:val="24"/>
        </w:rPr>
        <w:t>ating, insurers participate in</w:t>
      </w:r>
      <w:r w:rsidR="0052075C">
        <w:rPr>
          <w:color w:val="000000" w:themeColor="text1"/>
          <w:szCs w:val="24"/>
        </w:rPr>
        <w:t xml:space="preserve"> a</w:t>
      </w:r>
      <w:r w:rsidR="00E6060C">
        <w:rPr>
          <w:color w:val="000000" w:themeColor="text1"/>
          <w:szCs w:val="24"/>
        </w:rPr>
        <w:t xml:space="preserve"> </w:t>
      </w:r>
      <w:r w:rsidR="00E6060C">
        <w:rPr>
          <w:i/>
          <w:color w:val="000000" w:themeColor="text1"/>
          <w:szCs w:val="24"/>
        </w:rPr>
        <w:t>risk equalisation</w:t>
      </w:r>
      <w:r w:rsidR="0052075C">
        <w:rPr>
          <w:i/>
          <w:color w:val="000000" w:themeColor="text1"/>
          <w:szCs w:val="24"/>
        </w:rPr>
        <w:t xml:space="preserve"> scheme</w:t>
      </w:r>
      <w:r w:rsidR="00E6060C">
        <w:rPr>
          <w:i/>
          <w:color w:val="000000" w:themeColor="text1"/>
          <w:szCs w:val="24"/>
        </w:rPr>
        <w:t xml:space="preserve"> </w:t>
      </w:r>
      <w:r w:rsidR="0052075C">
        <w:rPr>
          <w:color w:val="000000" w:themeColor="text1"/>
          <w:szCs w:val="24"/>
        </w:rPr>
        <w:t>which compensates insurers</w:t>
      </w:r>
      <w:r w:rsidRPr="00565E94">
        <w:rPr>
          <w:color w:val="000000" w:themeColor="text1"/>
          <w:szCs w:val="24"/>
        </w:rPr>
        <w:t xml:space="preserve"> for having members with higher health risks. This ensures higher-risk policy-holders can access affordable health insurance.</w:t>
      </w:r>
    </w:p>
    <w:p w14:paraId="24F6A248" w14:textId="77777777" w:rsidR="002310A2" w:rsidRDefault="002310A2" w:rsidP="00565E94">
      <w:pPr>
        <w:spacing w:line="240" w:lineRule="auto"/>
        <w:rPr>
          <w:i/>
          <w:color w:val="000000" w:themeColor="text1"/>
          <w:szCs w:val="24"/>
          <w:u w:val="single"/>
        </w:rPr>
      </w:pPr>
    </w:p>
    <w:p w14:paraId="24BC6964" w14:textId="77777777" w:rsidR="008D559D" w:rsidRDefault="008D559D" w:rsidP="00565E94">
      <w:pPr>
        <w:spacing w:line="240" w:lineRule="auto"/>
        <w:rPr>
          <w:i/>
          <w:color w:val="000000" w:themeColor="text1"/>
          <w:szCs w:val="24"/>
          <w:u w:val="single"/>
        </w:rPr>
      </w:pPr>
      <w:r w:rsidRPr="008D559D">
        <w:rPr>
          <w:i/>
          <w:color w:val="000000" w:themeColor="text1"/>
          <w:szCs w:val="24"/>
          <w:u w:val="single"/>
        </w:rPr>
        <w:t>A competitive and diverse market-place</w:t>
      </w:r>
    </w:p>
    <w:p w14:paraId="6B23F4DF" w14:textId="77777777" w:rsidR="008D559D" w:rsidRPr="005E620A" w:rsidRDefault="008D559D" w:rsidP="008D559D">
      <w:pPr>
        <w:rPr>
          <w:noProof/>
          <w:color w:val="000000" w:themeColor="text1"/>
          <w:szCs w:val="24"/>
        </w:rPr>
      </w:pPr>
      <w:r w:rsidRPr="005E620A">
        <w:rPr>
          <w:noProof/>
          <w:color w:val="000000" w:themeColor="text1"/>
          <w:szCs w:val="24"/>
        </w:rPr>
        <w:t xml:space="preserve">The private health insurance market has a wide range of </w:t>
      </w:r>
      <w:r>
        <w:rPr>
          <w:noProof/>
          <w:color w:val="000000" w:themeColor="text1"/>
          <w:szCs w:val="24"/>
        </w:rPr>
        <w:t xml:space="preserve">34 </w:t>
      </w:r>
      <w:r w:rsidRPr="005E620A">
        <w:rPr>
          <w:noProof/>
          <w:color w:val="000000" w:themeColor="text1"/>
          <w:szCs w:val="24"/>
        </w:rPr>
        <w:t>competitors, ranging from the very small to the very large. Each is run efficiently and prudentially and each contribute to a highly competitive industry.</w:t>
      </w:r>
    </w:p>
    <w:p w14:paraId="5D75FD28" w14:textId="77777777" w:rsidR="008D559D" w:rsidRPr="005E620A" w:rsidRDefault="008D559D" w:rsidP="008D559D">
      <w:pPr>
        <w:rPr>
          <w:noProof/>
          <w:color w:val="000000" w:themeColor="text1"/>
          <w:szCs w:val="24"/>
        </w:rPr>
      </w:pPr>
      <w:r w:rsidRPr="005E620A">
        <w:rPr>
          <w:noProof/>
          <w:color w:val="000000" w:themeColor="text1"/>
          <w:szCs w:val="24"/>
        </w:rPr>
        <w:t>Mutual and member-owned firms make up 2</w:t>
      </w:r>
      <w:r w:rsidR="002F552D">
        <w:rPr>
          <w:noProof/>
          <w:color w:val="000000" w:themeColor="text1"/>
          <w:szCs w:val="24"/>
        </w:rPr>
        <w:t>4</w:t>
      </w:r>
      <w:r w:rsidRPr="005E620A">
        <w:rPr>
          <w:noProof/>
          <w:color w:val="000000" w:themeColor="text1"/>
          <w:szCs w:val="24"/>
        </w:rPr>
        <w:t xml:space="preserve"> of the 34 health funds across</w:t>
      </w:r>
      <w:r>
        <w:rPr>
          <w:noProof/>
          <w:color w:val="000000" w:themeColor="text1"/>
          <w:szCs w:val="24"/>
        </w:rPr>
        <w:t xml:space="preserve"> Australia</w:t>
      </w:r>
      <w:r w:rsidR="005C3A0E">
        <w:rPr>
          <w:noProof/>
          <w:color w:val="000000" w:themeColor="text1"/>
          <w:szCs w:val="24"/>
        </w:rPr>
        <w:t>*ˆ</w:t>
      </w:r>
      <w:r>
        <w:rPr>
          <w:noProof/>
          <w:color w:val="000000" w:themeColor="text1"/>
          <w:szCs w:val="24"/>
        </w:rPr>
        <w:t>. hirmaa represents 17</w:t>
      </w:r>
      <w:r w:rsidRPr="005E620A">
        <w:rPr>
          <w:noProof/>
          <w:color w:val="000000" w:themeColor="text1"/>
          <w:szCs w:val="24"/>
        </w:rPr>
        <w:t xml:space="preserve"> of these insurers and one for-profit insurer which is wholly owned by a mutual, not-for-profit organisation.</w:t>
      </w:r>
    </w:p>
    <w:p w14:paraId="127DC1D3" w14:textId="77777777" w:rsidR="008D559D" w:rsidRDefault="008D559D" w:rsidP="00565E94">
      <w:pPr>
        <w:spacing w:line="240" w:lineRule="auto"/>
        <w:rPr>
          <w:i/>
          <w:color w:val="44546A" w:themeColor="text2"/>
          <w:sz w:val="24"/>
          <w:szCs w:val="24"/>
        </w:rPr>
      </w:pPr>
      <w:r>
        <w:rPr>
          <w:noProof/>
          <w:lang w:eastAsia="en-AU"/>
        </w:rPr>
        <w:drawing>
          <wp:inline distT="0" distB="0" distL="0" distR="0" wp14:anchorId="3B6AB089" wp14:editId="07035116">
            <wp:extent cx="5943600" cy="2390856"/>
            <wp:effectExtent l="0" t="0" r="0" b="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7D816A67" w14:textId="77777777" w:rsidR="005C3A0E" w:rsidRDefault="006D702D" w:rsidP="00565E94">
      <w:pPr>
        <w:spacing w:line="240" w:lineRule="auto"/>
        <w:rPr>
          <w:color w:val="000000" w:themeColor="text1"/>
          <w:szCs w:val="24"/>
        </w:rPr>
      </w:pPr>
      <w:r>
        <w:rPr>
          <w:color w:val="000000" w:themeColor="text1"/>
          <w:szCs w:val="24"/>
        </w:rPr>
        <w:t xml:space="preserve">The small and medium sized mutual / member-owned insurers are dynamic and out-perform their for-profit counterparts on a number of measures. This is ultimately reflected in higher growth rates for the small-medium </w:t>
      </w:r>
      <w:r w:rsidR="0052075C">
        <w:rPr>
          <w:color w:val="000000" w:themeColor="text1"/>
          <w:szCs w:val="24"/>
        </w:rPr>
        <w:t xml:space="preserve">sized </w:t>
      </w:r>
      <w:r>
        <w:rPr>
          <w:color w:val="000000" w:themeColor="text1"/>
          <w:szCs w:val="24"/>
        </w:rPr>
        <w:t>end of the market.</w:t>
      </w:r>
      <w:r w:rsidR="0052075C">
        <w:rPr>
          <w:rStyle w:val="FootnoteReference"/>
          <w:color w:val="000000" w:themeColor="text1"/>
          <w:szCs w:val="24"/>
        </w:rPr>
        <w:footnoteReference w:id="6"/>
      </w:r>
      <w:r w:rsidR="005F0DED">
        <w:rPr>
          <w:color w:val="000000" w:themeColor="text1"/>
          <w:szCs w:val="24"/>
        </w:rPr>
        <w:t xml:space="preserve"> </w:t>
      </w:r>
    </w:p>
    <w:p w14:paraId="68DBFECE" w14:textId="77777777" w:rsidR="005C3A0E" w:rsidRPr="005C3A0E" w:rsidRDefault="005C3A0E" w:rsidP="005C3A0E">
      <w:pPr>
        <w:rPr>
          <w:szCs w:val="24"/>
        </w:rPr>
      </w:pPr>
    </w:p>
    <w:p w14:paraId="5ACB1BBF" w14:textId="77777777" w:rsidR="005C3A0E" w:rsidRPr="005C3A0E" w:rsidRDefault="005C3A0E" w:rsidP="005C3A0E">
      <w:pPr>
        <w:rPr>
          <w:szCs w:val="24"/>
        </w:rPr>
      </w:pPr>
    </w:p>
    <w:p w14:paraId="3CF45257" w14:textId="77777777" w:rsidR="005C3A0E" w:rsidRPr="005C3A0E" w:rsidRDefault="005C3A0E" w:rsidP="005C3A0E">
      <w:pPr>
        <w:rPr>
          <w:szCs w:val="24"/>
        </w:rPr>
      </w:pPr>
    </w:p>
    <w:p w14:paraId="0407B94A" w14:textId="77777777" w:rsidR="006D702D" w:rsidRPr="007C4D6F" w:rsidRDefault="00CF1262" w:rsidP="005C3A0E">
      <w:pPr>
        <w:rPr>
          <w:i/>
          <w:sz w:val="16"/>
          <w:szCs w:val="24"/>
        </w:rPr>
      </w:pPr>
      <w:r w:rsidRPr="007C4D6F">
        <w:rPr>
          <w:i/>
          <w:sz w:val="16"/>
          <w:szCs w:val="24"/>
        </w:rPr>
        <w:t>*A</w:t>
      </w:r>
      <w:r w:rsidR="005C3A0E" w:rsidRPr="007C4D6F">
        <w:rPr>
          <w:i/>
          <w:sz w:val="16"/>
          <w:szCs w:val="24"/>
        </w:rPr>
        <w:t>dditionally, three for-profit insurers are wholly owned by Australian domiciled mutual organisations and are treated as mutual insurers in this analysis.</w:t>
      </w:r>
      <w:r w:rsidR="005C3A0E" w:rsidRPr="007C4D6F">
        <w:rPr>
          <w:i/>
          <w:sz w:val="16"/>
          <w:szCs w:val="24"/>
        </w:rPr>
        <w:br/>
      </w:r>
      <w:r w:rsidR="005C3A0E" w:rsidRPr="007C4D6F">
        <w:rPr>
          <w:i/>
          <w:sz w:val="16"/>
          <w:szCs w:val="24"/>
        </w:rPr>
        <w:br/>
        <w:t xml:space="preserve">^ The analysis uses data prior to the demutualisation of Transport Health (effective 1 July, 2014). Transport Health is therefore </w:t>
      </w:r>
      <w:r w:rsidR="001C5E34">
        <w:rPr>
          <w:i/>
          <w:sz w:val="16"/>
          <w:szCs w:val="24"/>
        </w:rPr>
        <w:t xml:space="preserve">also </w:t>
      </w:r>
      <w:r w:rsidR="005C3A0E" w:rsidRPr="007C4D6F">
        <w:rPr>
          <w:i/>
          <w:sz w:val="16"/>
          <w:szCs w:val="24"/>
        </w:rPr>
        <w:t>included in this analysis as a mutual insurer.</w:t>
      </w:r>
    </w:p>
    <w:p w14:paraId="375BEBA7" w14:textId="77777777" w:rsidR="006D702D" w:rsidRDefault="006D702D" w:rsidP="00565E94">
      <w:pPr>
        <w:spacing w:line="240" w:lineRule="auto"/>
        <w:rPr>
          <w:color w:val="000000" w:themeColor="text1"/>
          <w:szCs w:val="24"/>
          <w:u w:val="single"/>
        </w:rPr>
      </w:pPr>
      <w:r>
        <w:rPr>
          <w:noProof/>
          <w:lang w:eastAsia="en-AU"/>
        </w:rPr>
        <w:lastRenderedPageBreak/>
        <w:drawing>
          <wp:inline distT="0" distB="0" distL="0" distR="0" wp14:anchorId="254A8040" wp14:editId="3626E720">
            <wp:extent cx="5943600" cy="3074670"/>
            <wp:effectExtent l="0" t="0" r="0" b="11430"/>
            <wp:docPr id="19" name="Chart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r>
        <w:rPr>
          <w:color w:val="000000" w:themeColor="text1"/>
          <w:szCs w:val="24"/>
          <w:u w:val="single"/>
        </w:rPr>
        <w:t xml:space="preserve"> </w:t>
      </w:r>
    </w:p>
    <w:p w14:paraId="5C6C401B" w14:textId="77777777" w:rsidR="006D702D" w:rsidRDefault="006D702D" w:rsidP="00565E94">
      <w:pPr>
        <w:spacing w:line="240" w:lineRule="auto"/>
        <w:rPr>
          <w:color w:val="000000" w:themeColor="text1"/>
          <w:szCs w:val="24"/>
        </w:rPr>
      </w:pPr>
    </w:p>
    <w:p w14:paraId="3FE42EDD" w14:textId="77777777" w:rsidR="00514E42" w:rsidRDefault="00514E42" w:rsidP="00565E94">
      <w:pPr>
        <w:spacing w:line="240" w:lineRule="auto"/>
        <w:rPr>
          <w:i/>
          <w:color w:val="000000" w:themeColor="text1"/>
          <w:szCs w:val="24"/>
          <w:u w:val="single"/>
        </w:rPr>
      </w:pPr>
      <w:r w:rsidRPr="00514E42">
        <w:rPr>
          <w:i/>
          <w:color w:val="000000" w:themeColor="text1"/>
          <w:szCs w:val="24"/>
          <w:u w:val="single"/>
        </w:rPr>
        <w:t xml:space="preserve">The history </w:t>
      </w:r>
      <w:r>
        <w:rPr>
          <w:i/>
          <w:color w:val="000000" w:themeColor="text1"/>
          <w:szCs w:val="24"/>
          <w:u w:val="single"/>
        </w:rPr>
        <w:t xml:space="preserve">and context </w:t>
      </w:r>
      <w:r w:rsidRPr="00514E42">
        <w:rPr>
          <w:i/>
          <w:color w:val="000000" w:themeColor="text1"/>
          <w:szCs w:val="24"/>
          <w:u w:val="single"/>
        </w:rPr>
        <w:t>of current policy settings in private health insurance</w:t>
      </w:r>
    </w:p>
    <w:p w14:paraId="2FE6B312" w14:textId="77777777" w:rsidR="00514E42" w:rsidRDefault="00514E42" w:rsidP="00565E94">
      <w:pPr>
        <w:spacing w:line="240" w:lineRule="auto"/>
        <w:rPr>
          <w:color w:val="000000" w:themeColor="text1"/>
          <w:szCs w:val="24"/>
        </w:rPr>
      </w:pPr>
      <w:r>
        <w:rPr>
          <w:color w:val="000000" w:themeColor="text1"/>
          <w:szCs w:val="24"/>
        </w:rPr>
        <w:t>With the introduction of Medicare from 1 February 1984, the publically-funded health insurance scheme quickly became the major funder of the Australian health system. This resulted in a significant and consistent decline in private hospital insurance membership until the late 1990s, where PHI reached an historic low of 30.5% coverage.</w:t>
      </w:r>
      <w:r w:rsidR="002F552D">
        <w:rPr>
          <w:rStyle w:val="FootnoteReference"/>
          <w:color w:val="000000" w:themeColor="text1"/>
          <w:szCs w:val="24"/>
        </w:rPr>
        <w:footnoteReference w:id="7"/>
      </w:r>
    </w:p>
    <w:p w14:paraId="40708AC3" w14:textId="77777777" w:rsidR="00514E42" w:rsidRDefault="00514E42" w:rsidP="00514E42">
      <w:pPr>
        <w:spacing w:line="240" w:lineRule="auto"/>
        <w:rPr>
          <w:color w:val="000000" w:themeColor="text1"/>
          <w:szCs w:val="24"/>
        </w:rPr>
      </w:pPr>
      <w:r>
        <w:rPr>
          <w:color w:val="000000" w:themeColor="text1"/>
          <w:szCs w:val="24"/>
        </w:rPr>
        <w:t xml:space="preserve">The Government at the time, led by </w:t>
      </w:r>
      <w:r w:rsidR="00C91C3F">
        <w:rPr>
          <w:color w:val="000000" w:themeColor="text1"/>
          <w:szCs w:val="24"/>
        </w:rPr>
        <w:t xml:space="preserve">Prime Minister </w:t>
      </w:r>
      <w:r>
        <w:rPr>
          <w:color w:val="000000" w:themeColor="text1"/>
          <w:szCs w:val="24"/>
        </w:rPr>
        <w:t>John Howard and</w:t>
      </w:r>
      <w:r w:rsidR="00C91C3F">
        <w:rPr>
          <w:color w:val="000000" w:themeColor="text1"/>
          <w:szCs w:val="24"/>
        </w:rPr>
        <w:t xml:space="preserve"> Treasurer Peter Costello, </w:t>
      </w:r>
      <w:r>
        <w:rPr>
          <w:color w:val="000000" w:themeColor="text1"/>
          <w:szCs w:val="24"/>
        </w:rPr>
        <w:t xml:space="preserve">saw the need to arrest this trend, given the </w:t>
      </w:r>
      <w:r w:rsidR="00987961">
        <w:rPr>
          <w:color w:val="000000" w:themeColor="text1"/>
          <w:szCs w:val="24"/>
        </w:rPr>
        <w:t>significant transfer of cost pressures to the public sector – with less people choosing to privately insure.</w:t>
      </w:r>
    </w:p>
    <w:p w14:paraId="388830C9" w14:textId="77777777" w:rsidR="00987961" w:rsidRDefault="00987961" w:rsidP="00514E42">
      <w:pPr>
        <w:spacing w:line="240" w:lineRule="auto"/>
        <w:rPr>
          <w:color w:val="000000" w:themeColor="text1"/>
          <w:szCs w:val="24"/>
        </w:rPr>
      </w:pPr>
      <w:r>
        <w:rPr>
          <w:color w:val="000000" w:themeColor="text1"/>
          <w:szCs w:val="24"/>
        </w:rPr>
        <w:t>At this time, the Government was also establishing a blueprint for the GST.</w:t>
      </w:r>
      <w:r w:rsidR="004C120F">
        <w:rPr>
          <w:color w:val="000000" w:themeColor="text1"/>
          <w:szCs w:val="24"/>
        </w:rPr>
        <w:t xml:space="preserve"> </w:t>
      </w:r>
      <w:r w:rsidR="00996961">
        <w:rPr>
          <w:color w:val="000000" w:themeColor="text1"/>
          <w:szCs w:val="24"/>
          <w:u w:val="single"/>
        </w:rPr>
        <w:t>H</w:t>
      </w:r>
      <w:r w:rsidRPr="00987961">
        <w:rPr>
          <w:color w:val="000000" w:themeColor="text1"/>
          <w:szCs w:val="24"/>
          <w:u w:val="single"/>
        </w:rPr>
        <w:t>ealth was exempted from the GST</w:t>
      </w:r>
      <w:r>
        <w:rPr>
          <w:color w:val="000000" w:themeColor="text1"/>
          <w:szCs w:val="24"/>
        </w:rPr>
        <w:t>, with the recognition that “</w:t>
      </w:r>
      <w:r w:rsidRPr="00987961">
        <w:rPr>
          <w:i/>
          <w:color w:val="000000" w:themeColor="text1"/>
          <w:szCs w:val="24"/>
        </w:rPr>
        <w:t>applying taxes to health care would place the private health sector, with its heavier reliance on direct fees, at a competitive disadvantage with the public health system</w:t>
      </w:r>
      <w:r>
        <w:rPr>
          <w:color w:val="000000" w:themeColor="text1"/>
          <w:szCs w:val="24"/>
        </w:rPr>
        <w:t>”.</w:t>
      </w:r>
      <w:r>
        <w:rPr>
          <w:rStyle w:val="FootnoteReference"/>
          <w:color w:val="000000" w:themeColor="text1"/>
          <w:szCs w:val="24"/>
        </w:rPr>
        <w:footnoteReference w:id="8"/>
      </w:r>
    </w:p>
    <w:p w14:paraId="5BC44F9B" w14:textId="77777777" w:rsidR="00987961" w:rsidRDefault="00987961" w:rsidP="00514E42">
      <w:pPr>
        <w:spacing w:line="240" w:lineRule="auto"/>
        <w:rPr>
          <w:color w:val="000000" w:themeColor="text1"/>
          <w:szCs w:val="24"/>
        </w:rPr>
      </w:pPr>
      <w:r>
        <w:rPr>
          <w:color w:val="000000" w:themeColor="text1"/>
          <w:szCs w:val="24"/>
        </w:rPr>
        <w:t xml:space="preserve">Exempting health from the GST was one for four fundamental ‘pillars’ </w:t>
      </w:r>
      <w:r w:rsidR="00716C17">
        <w:rPr>
          <w:color w:val="000000" w:themeColor="text1"/>
          <w:szCs w:val="24"/>
        </w:rPr>
        <w:t>set in place by the Howard / Costello Government to arrest</w:t>
      </w:r>
      <w:r>
        <w:rPr>
          <w:color w:val="000000" w:themeColor="text1"/>
          <w:szCs w:val="24"/>
        </w:rPr>
        <w:t xml:space="preserve"> the decline in private health cover:</w:t>
      </w:r>
    </w:p>
    <w:p w14:paraId="152EDD2E" w14:textId="77777777" w:rsidR="00987961" w:rsidRPr="00987961" w:rsidRDefault="00987961" w:rsidP="00987961">
      <w:pPr>
        <w:pStyle w:val="ListParagraph"/>
        <w:numPr>
          <w:ilvl w:val="0"/>
          <w:numId w:val="8"/>
        </w:numPr>
        <w:spacing w:line="240" w:lineRule="auto"/>
        <w:rPr>
          <w:color w:val="FF0000"/>
          <w:sz w:val="24"/>
          <w:szCs w:val="24"/>
        </w:rPr>
      </w:pPr>
      <w:r w:rsidRPr="00987961">
        <w:rPr>
          <w:color w:val="000000" w:themeColor="text1"/>
          <w:szCs w:val="24"/>
        </w:rPr>
        <w:t xml:space="preserve">Exempting health from the </w:t>
      </w:r>
      <w:r w:rsidRPr="00AB7212">
        <w:rPr>
          <w:color w:val="000000" w:themeColor="text1"/>
          <w:szCs w:val="24"/>
          <w:u w:val="single"/>
        </w:rPr>
        <w:t>GST</w:t>
      </w:r>
      <w:r w:rsidR="00716C17" w:rsidRPr="00716C17">
        <w:rPr>
          <w:color w:val="000000" w:themeColor="text1"/>
          <w:szCs w:val="24"/>
        </w:rPr>
        <w:t>.</w:t>
      </w:r>
      <w:r w:rsidRPr="00987961">
        <w:rPr>
          <w:color w:val="FF0000"/>
          <w:sz w:val="24"/>
          <w:szCs w:val="24"/>
        </w:rPr>
        <w:br/>
      </w:r>
    </w:p>
    <w:p w14:paraId="41E7E874" w14:textId="77777777" w:rsidR="00987961" w:rsidRDefault="00987961" w:rsidP="00987961">
      <w:pPr>
        <w:pStyle w:val="ListParagraph"/>
        <w:numPr>
          <w:ilvl w:val="0"/>
          <w:numId w:val="8"/>
        </w:numPr>
        <w:spacing w:line="240" w:lineRule="auto"/>
        <w:rPr>
          <w:color w:val="000000" w:themeColor="text1"/>
          <w:szCs w:val="24"/>
        </w:rPr>
      </w:pPr>
      <w:r w:rsidRPr="00987961">
        <w:rPr>
          <w:color w:val="000000" w:themeColor="text1"/>
          <w:szCs w:val="24"/>
        </w:rPr>
        <w:t xml:space="preserve">Introduction of the </w:t>
      </w:r>
      <w:r w:rsidRPr="00987961">
        <w:rPr>
          <w:color w:val="000000" w:themeColor="text1"/>
          <w:szCs w:val="24"/>
          <w:u w:val="single"/>
        </w:rPr>
        <w:t>Medicare Levy Surcharge</w:t>
      </w:r>
      <w:r w:rsidRPr="00987961">
        <w:rPr>
          <w:color w:val="000000" w:themeColor="text1"/>
          <w:szCs w:val="24"/>
        </w:rPr>
        <w:t xml:space="preserve"> in 1997</w:t>
      </w:r>
      <w:r w:rsidR="00716C17">
        <w:rPr>
          <w:color w:val="000000" w:themeColor="text1"/>
          <w:szCs w:val="24"/>
        </w:rPr>
        <w:t>, set at 1% of taxable income,</w:t>
      </w:r>
      <w:r w:rsidRPr="00987961">
        <w:rPr>
          <w:color w:val="000000" w:themeColor="text1"/>
          <w:szCs w:val="24"/>
        </w:rPr>
        <w:t xml:space="preserve"> to penalise high</w:t>
      </w:r>
      <w:r w:rsidR="00716C17">
        <w:rPr>
          <w:color w:val="000000" w:themeColor="text1"/>
          <w:szCs w:val="24"/>
        </w:rPr>
        <w:t>er</w:t>
      </w:r>
      <w:r w:rsidRPr="00987961">
        <w:rPr>
          <w:color w:val="000000" w:themeColor="text1"/>
          <w:szCs w:val="24"/>
        </w:rPr>
        <w:t xml:space="preserve">-income earners </w:t>
      </w:r>
      <w:r w:rsidR="00716C17">
        <w:rPr>
          <w:color w:val="000000" w:themeColor="text1"/>
          <w:szCs w:val="24"/>
        </w:rPr>
        <w:t>who choose</w:t>
      </w:r>
      <w:r w:rsidRPr="00987961">
        <w:rPr>
          <w:color w:val="000000" w:themeColor="text1"/>
          <w:szCs w:val="24"/>
        </w:rPr>
        <w:t xml:space="preserve"> not </w:t>
      </w:r>
      <w:r w:rsidR="00716C17">
        <w:rPr>
          <w:color w:val="000000" w:themeColor="text1"/>
          <w:szCs w:val="24"/>
        </w:rPr>
        <w:t>to take</w:t>
      </w:r>
      <w:r w:rsidRPr="00987961">
        <w:rPr>
          <w:color w:val="000000" w:themeColor="text1"/>
          <w:szCs w:val="24"/>
        </w:rPr>
        <w:t xml:space="preserve"> out private hospital cover</w:t>
      </w:r>
      <w:r w:rsidR="00716C17">
        <w:rPr>
          <w:color w:val="000000" w:themeColor="text1"/>
          <w:szCs w:val="24"/>
        </w:rPr>
        <w:t>.</w:t>
      </w:r>
      <w:r>
        <w:rPr>
          <w:color w:val="000000" w:themeColor="text1"/>
          <w:szCs w:val="24"/>
        </w:rPr>
        <w:br/>
      </w:r>
    </w:p>
    <w:p w14:paraId="78CD9390" w14:textId="77777777" w:rsidR="00987961" w:rsidRDefault="00987961" w:rsidP="00987961">
      <w:pPr>
        <w:pStyle w:val="ListParagraph"/>
        <w:numPr>
          <w:ilvl w:val="0"/>
          <w:numId w:val="8"/>
        </w:numPr>
        <w:spacing w:line="240" w:lineRule="auto"/>
        <w:rPr>
          <w:color w:val="000000" w:themeColor="text1"/>
          <w:szCs w:val="24"/>
        </w:rPr>
      </w:pPr>
      <w:r>
        <w:rPr>
          <w:color w:val="000000" w:themeColor="text1"/>
          <w:szCs w:val="24"/>
        </w:rPr>
        <w:t xml:space="preserve">Introduction of the </w:t>
      </w:r>
      <w:r w:rsidRPr="00987961">
        <w:rPr>
          <w:color w:val="000000" w:themeColor="text1"/>
          <w:szCs w:val="24"/>
          <w:u w:val="single"/>
        </w:rPr>
        <w:t>Government rebate on private health insurance</w:t>
      </w:r>
      <w:r>
        <w:rPr>
          <w:color w:val="000000" w:themeColor="text1"/>
          <w:szCs w:val="24"/>
        </w:rPr>
        <w:t xml:space="preserve"> </w:t>
      </w:r>
      <w:r w:rsidR="002F552D">
        <w:rPr>
          <w:color w:val="000000" w:themeColor="text1"/>
          <w:szCs w:val="24"/>
        </w:rPr>
        <w:t xml:space="preserve">(the rebate) </w:t>
      </w:r>
      <w:r>
        <w:rPr>
          <w:color w:val="000000" w:themeColor="text1"/>
          <w:szCs w:val="24"/>
        </w:rPr>
        <w:t>in 1999, set at 30% of the cost of a policy</w:t>
      </w:r>
      <w:r w:rsidR="00AB7212">
        <w:rPr>
          <w:color w:val="000000" w:themeColor="text1"/>
          <w:szCs w:val="24"/>
        </w:rPr>
        <w:t xml:space="preserve"> (and the introduction of higher rebates for older Australians in 2005).</w:t>
      </w:r>
      <w:r w:rsidR="00AB7212">
        <w:rPr>
          <w:color w:val="000000" w:themeColor="text1"/>
          <w:szCs w:val="24"/>
        </w:rPr>
        <w:br/>
      </w:r>
    </w:p>
    <w:p w14:paraId="01A2EAF6" w14:textId="77777777" w:rsidR="00AB7212" w:rsidRPr="00987961" w:rsidRDefault="00AB7212" w:rsidP="00987961">
      <w:pPr>
        <w:pStyle w:val="ListParagraph"/>
        <w:numPr>
          <w:ilvl w:val="0"/>
          <w:numId w:val="8"/>
        </w:numPr>
        <w:spacing w:line="240" w:lineRule="auto"/>
        <w:rPr>
          <w:color w:val="000000" w:themeColor="text1"/>
          <w:szCs w:val="24"/>
        </w:rPr>
      </w:pPr>
      <w:r>
        <w:rPr>
          <w:color w:val="000000" w:themeColor="text1"/>
          <w:szCs w:val="24"/>
        </w:rPr>
        <w:lastRenderedPageBreak/>
        <w:t xml:space="preserve">Introduction of </w:t>
      </w:r>
      <w:r w:rsidRPr="00AB7212">
        <w:rPr>
          <w:color w:val="000000" w:themeColor="text1"/>
          <w:szCs w:val="24"/>
          <w:u w:val="single"/>
        </w:rPr>
        <w:t xml:space="preserve">Lifetime Health Cover </w:t>
      </w:r>
      <w:r>
        <w:rPr>
          <w:color w:val="000000" w:themeColor="text1"/>
          <w:szCs w:val="24"/>
        </w:rPr>
        <w:t>(LHC) loadings in 2000 to incentivise the early take-up of private hospital cover</w:t>
      </w:r>
    </w:p>
    <w:p w14:paraId="621C8534" w14:textId="77777777" w:rsidR="00514E42" w:rsidRPr="00AB7212" w:rsidRDefault="00AB7212" w:rsidP="00565E94">
      <w:pPr>
        <w:spacing w:line="240" w:lineRule="auto"/>
        <w:rPr>
          <w:color w:val="000000" w:themeColor="text1"/>
          <w:szCs w:val="24"/>
        </w:rPr>
      </w:pPr>
      <w:r>
        <w:rPr>
          <w:color w:val="000000" w:themeColor="text1"/>
          <w:szCs w:val="24"/>
        </w:rPr>
        <w:t>As demonstrated by the timeline below, these four policies in combination, were highly effective in re-balancing the private and public health insurance systems, with private health insurance membership now closer to 50% of the population.</w:t>
      </w:r>
    </w:p>
    <w:p w14:paraId="7B2F11AD" w14:textId="77777777" w:rsidR="00514E42" w:rsidRPr="00514E42" w:rsidRDefault="00514E42" w:rsidP="00565E94">
      <w:pPr>
        <w:spacing w:line="240" w:lineRule="auto"/>
        <w:rPr>
          <w:color w:val="000000" w:themeColor="text1"/>
          <w:szCs w:val="24"/>
          <w:u w:val="single"/>
        </w:rPr>
      </w:pPr>
      <w:r w:rsidRPr="006C6C0C">
        <w:rPr>
          <w:noProof/>
          <w:lang w:eastAsia="en-AU"/>
        </w:rPr>
        <w:drawing>
          <wp:inline distT="0" distB="0" distL="0" distR="0" wp14:anchorId="0D7D823B" wp14:editId="22F9CF7A">
            <wp:extent cx="5943600" cy="327533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098618C.tmp"/>
                    <pic:cNvPicPr/>
                  </pic:nvPicPr>
                  <pic:blipFill>
                    <a:blip r:embed="rId19">
                      <a:extLst>
                        <a:ext uri="{28A0092B-C50C-407E-A947-70E740481C1C}">
                          <a14:useLocalDpi xmlns:a14="http://schemas.microsoft.com/office/drawing/2010/main" val="0"/>
                        </a:ext>
                      </a:extLst>
                    </a:blip>
                    <a:stretch>
                      <a:fillRect/>
                    </a:stretch>
                  </pic:blipFill>
                  <pic:spPr>
                    <a:xfrm>
                      <a:off x="0" y="0"/>
                      <a:ext cx="5943600" cy="3275330"/>
                    </a:xfrm>
                    <a:prstGeom prst="rect">
                      <a:avLst/>
                    </a:prstGeom>
                  </pic:spPr>
                </pic:pic>
              </a:graphicData>
            </a:graphic>
          </wp:inline>
        </w:drawing>
      </w:r>
    </w:p>
    <w:p w14:paraId="57C613D4" w14:textId="77777777" w:rsidR="008D559D" w:rsidRPr="008D559D" w:rsidRDefault="008D559D" w:rsidP="00565E94">
      <w:pPr>
        <w:spacing w:line="240" w:lineRule="auto"/>
        <w:rPr>
          <w:color w:val="44546A" w:themeColor="text2"/>
          <w:sz w:val="24"/>
          <w:szCs w:val="24"/>
        </w:rPr>
      </w:pPr>
    </w:p>
    <w:p w14:paraId="64F3A120" w14:textId="77777777" w:rsidR="00565E94" w:rsidRPr="002F552D" w:rsidRDefault="00565E94" w:rsidP="00565E94">
      <w:pPr>
        <w:spacing w:line="240" w:lineRule="auto"/>
        <w:rPr>
          <w:i/>
          <w:color w:val="000000" w:themeColor="text1"/>
          <w:u w:val="single"/>
        </w:rPr>
      </w:pPr>
      <w:r w:rsidRPr="002F552D">
        <w:rPr>
          <w:i/>
          <w:color w:val="000000" w:themeColor="text1"/>
          <w:u w:val="single"/>
        </w:rPr>
        <w:t>The need to support PHI</w:t>
      </w:r>
    </w:p>
    <w:p w14:paraId="71794527" w14:textId="77777777" w:rsidR="003E280C" w:rsidRPr="003E280C" w:rsidRDefault="003E280C" w:rsidP="00565E94">
      <w:pPr>
        <w:spacing w:line="240" w:lineRule="auto"/>
        <w:rPr>
          <w:color w:val="000000" w:themeColor="text1"/>
        </w:rPr>
      </w:pPr>
      <w:r w:rsidRPr="003E280C">
        <w:rPr>
          <w:color w:val="000000" w:themeColor="text1"/>
        </w:rPr>
        <w:t>As outlined, when people decide against privately insuring, cost pressures transfer to the public system. A</w:t>
      </w:r>
      <w:r w:rsidR="001C4A65">
        <w:rPr>
          <w:color w:val="000000" w:themeColor="text1"/>
        </w:rPr>
        <w:t>ustralian Governments pay for 91.6</w:t>
      </w:r>
      <w:r w:rsidRPr="003E280C">
        <w:rPr>
          <w:color w:val="000000" w:themeColor="text1"/>
        </w:rPr>
        <w:t xml:space="preserve">% of the cost of treatment in the public system, </w:t>
      </w:r>
      <w:r w:rsidR="000F64A9">
        <w:rPr>
          <w:color w:val="000000" w:themeColor="text1"/>
        </w:rPr>
        <w:t>as opposed to</w:t>
      </w:r>
      <w:r w:rsidRPr="003E280C">
        <w:rPr>
          <w:color w:val="000000" w:themeColor="text1"/>
        </w:rPr>
        <w:t xml:space="preserve"> 34.5% of the cost of treatment in the private system (inclusive of the Government rebate on PHI).</w:t>
      </w:r>
      <w:r w:rsidRPr="003E280C">
        <w:rPr>
          <w:rStyle w:val="FootnoteReference"/>
          <w:color w:val="000000" w:themeColor="text1"/>
        </w:rPr>
        <w:footnoteReference w:id="9"/>
      </w:r>
      <w:r w:rsidRPr="003E280C">
        <w:rPr>
          <w:color w:val="000000" w:themeColor="text1"/>
        </w:rPr>
        <w:t xml:space="preserve"> </w:t>
      </w:r>
    </w:p>
    <w:p w14:paraId="545EE506" w14:textId="77777777" w:rsidR="00565E94" w:rsidRPr="00ED3E47" w:rsidRDefault="00996961" w:rsidP="00565E94">
      <w:pPr>
        <w:spacing w:line="240" w:lineRule="auto"/>
        <w:rPr>
          <w:color w:val="000000" w:themeColor="text1"/>
          <w:sz w:val="24"/>
          <w:szCs w:val="24"/>
        </w:rPr>
      </w:pPr>
      <w:r>
        <w:rPr>
          <w:color w:val="000000" w:themeColor="text1"/>
        </w:rPr>
        <w:t xml:space="preserve">Given the forecasted ageing of Australia’s population, growing costs of new medical technology and increased utilisation rates, the role of the </w:t>
      </w:r>
      <w:r w:rsidR="00565E94" w:rsidRPr="003E280C">
        <w:rPr>
          <w:color w:val="000000" w:themeColor="text1"/>
        </w:rPr>
        <w:t xml:space="preserve">PHI industry </w:t>
      </w:r>
      <w:r>
        <w:rPr>
          <w:color w:val="000000" w:themeColor="text1"/>
        </w:rPr>
        <w:t xml:space="preserve">in relieving pressure on public finances is only expected to grow. </w:t>
      </w:r>
      <w:r w:rsidR="000F64A9">
        <w:rPr>
          <w:color w:val="000000" w:themeColor="text1"/>
        </w:rPr>
        <w:br/>
      </w:r>
    </w:p>
    <w:p w14:paraId="5784FAC2" w14:textId="77777777" w:rsidR="00565E94" w:rsidRPr="002F552D" w:rsidRDefault="00565E94" w:rsidP="00565E94">
      <w:pPr>
        <w:spacing w:line="240" w:lineRule="auto"/>
        <w:rPr>
          <w:i/>
          <w:color w:val="000000" w:themeColor="text1"/>
          <w:szCs w:val="24"/>
          <w:u w:val="single"/>
        </w:rPr>
      </w:pPr>
      <w:r w:rsidRPr="002F552D">
        <w:rPr>
          <w:i/>
          <w:color w:val="000000" w:themeColor="text1"/>
          <w:szCs w:val="24"/>
          <w:u w:val="single"/>
        </w:rPr>
        <w:t xml:space="preserve">Reduced </w:t>
      </w:r>
      <w:r w:rsidR="006F4A93">
        <w:rPr>
          <w:i/>
          <w:color w:val="000000" w:themeColor="text1"/>
          <w:szCs w:val="24"/>
          <w:u w:val="single"/>
        </w:rPr>
        <w:t xml:space="preserve">government </w:t>
      </w:r>
      <w:r w:rsidR="001B1D46">
        <w:rPr>
          <w:i/>
          <w:color w:val="000000" w:themeColor="text1"/>
          <w:szCs w:val="24"/>
          <w:u w:val="single"/>
        </w:rPr>
        <w:t>incentives</w:t>
      </w:r>
      <w:r w:rsidR="001B1D46" w:rsidRPr="002F552D">
        <w:rPr>
          <w:i/>
          <w:color w:val="000000" w:themeColor="text1"/>
          <w:szCs w:val="24"/>
          <w:u w:val="single"/>
        </w:rPr>
        <w:t xml:space="preserve"> </w:t>
      </w:r>
      <w:r w:rsidRPr="002F552D">
        <w:rPr>
          <w:i/>
          <w:color w:val="000000" w:themeColor="text1"/>
          <w:szCs w:val="24"/>
          <w:u w:val="single"/>
        </w:rPr>
        <w:t>for PHI</w:t>
      </w:r>
    </w:p>
    <w:p w14:paraId="2394CDAE" w14:textId="77777777" w:rsidR="00565E94" w:rsidRDefault="001B1D46" w:rsidP="00565E94">
      <w:pPr>
        <w:spacing w:line="240" w:lineRule="auto"/>
        <w:rPr>
          <w:color w:val="000000" w:themeColor="text1"/>
          <w:szCs w:val="24"/>
        </w:rPr>
      </w:pPr>
      <w:r>
        <w:rPr>
          <w:color w:val="000000" w:themeColor="text1"/>
          <w:szCs w:val="24"/>
        </w:rPr>
        <w:t>Under the Rudd/Gillard Government</w:t>
      </w:r>
      <w:r w:rsidR="004C120F">
        <w:rPr>
          <w:color w:val="000000" w:themeColor="text1"/>
          <w:szCs w:val="24"/>
        </w:rPr>
        <w:t>s</w:t>
      </w:r>
      <w:r>
        <w:rPr>
          <w:color w:val="000000" w:themeColor="text1"/>
          <w:szCs w:val="24"/>
        </w:rPr>
        <w:t>, a major reshaping of the Australian Government Rebate took place, with</w:t>
      </w:r>
      <w:r w:rsidR="00840B33">
        <w:rPr>
          <w:color w:val="000000" w:themeColor="text1"/>
          <w:szCs w:val="24"/>
        </w:rPr>
        <w:t>:</w:t>
      </w:r>
    </w:p>
    <w:p w14:paraId="1EA34097" w14:textId="77777777" w:rsidR="00840B33" w:rsidRDefault="00840B33" w:rsidP="00840B33">
      <w:pPr>
        <w:pStyle w:val="ListParagraph"/>
        <w:numPr>
          <w:ilvl w:val="0"/>
          <w:numId w:val="9"/>
        </w:numPr>
        <w:spacing w:line="240" w:lineRule="auto"/>
        <w:rPr>
          <w:color w:val="000000" w:themeColor="text1"/>
          <w:szCs w:val="24"/>
        </w:rPr>
      </w:pPr>
      <w:r>
        <w:rPr>
          <w:color w:val="000000" w:themeColor="text1"/>
          <w:szCs w:val="24"/>
        </w:rPr>
        <w:t>Means testing of the rebate on private health insurance</w:t>
      </w:r>
    </w:p>
    <w:p w14:paraId="77F1930E" w14:textId="77777777" w:rsidR="00840B33" w:rsidRDefault="00840B33" w:rsidP="00840B33">
      <w:pPr>
        <w:pStyle w:val="ListParagraph"/>
        <w:numPr>
          <w:ilvl w:val="0"/>
          <w:numId w:val="9"/>
        </w:numPr>
        <w:spacing w:line="240" w:lineRule="auto"/>
        <w:rPr>
          <w:color w:val="000000" w:themeColor="text1"/>
          <w:szCs w:val="24"/>
        </w:rPr>
      </w:pPr>
      <w:r>
        <w:rPr>
          <w:color w:val="000000" w:themeColor="text1"/>
          <w:szCs w:val="24"/>
        </w:rPr>
        <w:t>Indexing of the rebate to the lesser of CPI or the actual increase in commercial premiums</w:t>
      </w:r>
    </w:p>
    <w:p w14:paraId="09A374C1" w14:textId="77777777" w:rsidR="00840B33" w:rsidRDefault="00840B33" w:rsidP="00840B33">
      <w:pPr>
        <w:pStyle w:val="ListParagraph"/>
        <w:numPr>
          <w:ilvl w:val="0"/>
          <w:numId w:val="9"/>
        </w:numPr>
        <w:spacing w:line="240" w:lineRule="auto"/>
        <w:rPr>
          <w:color w:val="000000" w:themeColor="text1"/>
          <w:szCs w:val="24"/>
        </w:rPr>
      </w:pPr>
      <w:r>
        <w:rPr>
          <w:color w:val="000000" w:themeColor="text1"/>
          <w:szCs w:val="24"/>
        </w:rPr>
        <w:t>Removing the rebate from the lifetime health cover loading portion of premiums</w:t>
      </w:r>
    </w:p>
    <w:p w14:paraId="5EC2BC8B" w14:textId="77777777" w:rsidR="0038775E" w:rsidRDefault="00840B33" w:rsidP="00502710">
      <w:pPr>
        <w:spacing w:line="240" w:lineRule="auto"/>
        <w:rPr>
          <w:b/>
          <w:color w:val="000000" w:themeColor="text1"/>
          <w:szCs w:val="24"/>
        </w:rPr>
      </w:pPr>
      <w:r>
        <w:rPr>
          <w:color w:val="000000" w:themeColor="text1"/>
          <w:szCs w:val="24"/>
        </w:rPr>
        <w:lastRenderedPageBreak/>
        <w:t>These measures have had a detrimental impact on the affordability of private health insurance</w:t>
      </w:r>
      <w:r w:rsidR="0038775E">
        <w:rPr>
          <w:color w:val="000000" w:themeColor="text1"/>
          <w:szCs w:val="24"/>
        </w:rPr>
        <w:t xml:space="preserve">. </w:t>
      </w:r>
      <w:r w:rsidR="001B1D46">
        <w:rPr>
          <w:color w:val="000000" w:themeColor="text1"/>
          <w:szCs w:val="24"/>
        </w:rPr>
        <w:t>Reducing</w:t>
      </w:r>
      <w:r w:rsidR="006B3CDB">
        <w:rPr>
          <w:color w:val="000000" w:themeColor="text1"/>
          <w:szCs w:val="24"/>
        </w:rPr>
        <w:t xml:space="preserve"> the Australian Government</w:t>
      </w:r>
      <w:r w:rsidR="001B1D46">
        <w:rPr>
          <w:color w:val="000000" w:themeColor="text1"/>
          <w:szCs w:val="24"/>
        </w:rPr>
        <w:t xml:space="preserve"> rebate over time means that private health insurance </w:t>
      </w:r>
      <w:r w:rsidR="0038775E">
        <w:rPr>
          <w:color w:val="000000" w:themeColor="text1"/>
          <w:szCs w:val="24"/>
        </w:rPr>
        <w:t>is becoming</w:t>
      </w:r>
      <w:r w:rsidR="001B1D46">
        <w:rPr>
          <w:color w:val="000000" w:themeColor="text1"/>
          <w:szCs w:val="24"/>
        </w:rPr>
        <w:t xml:space="preserve"> progressively more costly than would otherwise be the case</w:t>
      </w:r>
      <w:r w:rsidR="0038775E">
        <w:rPr>
          <w:color w:val="000000" w:themeColor="text1"/>
          <w:szCs w:val="24"/>
        </w:rPr>
        <w:t xml:space="preserve">. This has already resulted in a </w:t>
      </w:r>
      <w:r w:rsidR="001817E2">
        <w:rPr>
          <w:color w:val="000000" w:themeColor="text1"/>
          <w:szCs w:val="24"/>
        </w:rPr>
        <w:t xml:space="preserve">growing </w:t>
      </w:r>
      <w:r w:rsidR="0038775E">
        <w:rPr>
          <w:color w:val="000000" w:themeColor="text1"/>
          <w:szCs w:val="24"/>
        </w:rPr>
        <w:t>shift towards cheaper</w:t>
      </w:r>
      <w:r w:rsidR="006B3CDB">
        <w:rPr>
          <w:color w:val="000000" w:themeColor="text1"/>
          <w:szCs w:val="24"/>
        </w:rPr>
        <w:t>,</w:t>
      </w:r>
      <w:r w:rsidR="0038775E">
        <w:rPr>
          <w:color w:val="000000" w:themeColor="text1"/>
          <w:szCs w:val="24"/>
        </w:rPr>
        <w:t xml:space="preserve"> low</w:t>
      </w:r>
      <w:r w:rsidR="001817E2">
        <w:rPr>
          <w:color w:val="000000" w:themeColor="text1"/>
          <w:szCs w:val="24"/>
        </w:rPr>
        <w:t>er</w:t>
      </w:r>
      <w:r w:rsidR="0038775E">
        <w:rPr>
          <w:color w:val="000000" w:themeColor="text1"/>
          <w:szCs w:val="24"/>
        </w:rPr>
        <w:t xml:space="preserve"> cover policies that contain restrictions, excesses and exclusions</w:t>
      </w:r>
      <w:r w:rsidR="001817E2">
        <w:rPr>
          <w:color w:val="000000" w:themeColor="text1"/>
          <w:szCs w:val="24"/>
        </w:rPr>
        <w:t xml:space="preserve"> and</w:t>
      </w:r>
      <w:r w:rsidR="0038775E">
        <w:rPr>
          <w:color w:val="000000" w:themeColor="text1"/>
          <w:szCs w:val="24"/>
        </w:rPr>
        <w:t xml:space="preserve"> the trend </w:t>
      </w:r>
      <w:r w:rsidR="001817E2">
        <w:rPr>
          <w:color w:val="000000" w:themeColor="text1"/>
          <w:szCs w:val="24"/>
        </w:rPr>
        <w:t xml:space="preserve">is </w:t>
      </w:r>
      <w:r w:rsidR="0038775E">
        <w:rPr>
          <w:color w:val="000000" w:themeColor="text1"/>
          <w:szCs w:val="24"/>
        </w:rPr>
        <w:t>expected to accelerate.</w:t>
      </w:r>
    </w:p>
    <w:p w14:paraId="6FC815AE" w14:textId="77777777" w:rsidR="00565E94" w:rsidRPr="0004351D" w:rsidRDefault="00840B33" w:rsidP="00502710">
      <w:pPr>
        <w:spacing w:line="240" w:lineRule="auto"/>
        <w:rPr>
          <w:b/>
          <w:sz w:val="24"/>
          <w:szCs w:val="24"/>
        </w:rPr>
      </w:pPr>
      <w:proofErr w:type="gramStart"/>
      <w:r w:rsidRPr="0004351D">
        <w:rPr>
          <w:b/>
          <w:color w:val="000000" w:themeColor="text1"/>
          <w:szCs w:val="24"/>
        </w:rPr>
        <w:t>hirmaa</w:t>
      </w:r>
      <w:proofErr w:type="gramEnd"/>
      <w:r w:rsidRPr="0004351D">
        <w:rPr>
          <w:b/>
          <w:color w:val="000000" w:themeColor="text1"/>
          <w:szCs w:val="24"/>
        </w:rPr>
        <w:t xml:space="preserve"> suggests that when considering reform of the tax system, that the Panel considers affordability issues in PHI and the sensitivity of PHI to policy settings. We suggest that reform of the tax system should look to further ince</w:t>
      </w:r>
      <w:r w:rsidR="00502710" w:rsidRPr="0004351D">
        <w:rPr>
          <w:b/>
          <w:color w:val="000000" w:themeColor="text1"/>
          <w:szCs w:val="24"/>
        </w:rPr>
        <w:t xml:space="preserve">ntivise the take-up of PHI and not adversely impact </w:t>
      </w:r>
      <w:r w:rsidR="000F64A9">
        <w:rPr>
          <w:b/>
          <w:color w:val="000000" w:themeColor="text1"/>
          <w:szCs w:val="24"/>
        </w:rPr>
        <w:t>on</w:t>
      </w:r>
      <w:r w:rsidR="00502710" w:rsidRPr="0004351D">
        <w:rPr>
          <w:b/>
          <w:color w:val="000000" w:themeColor="text1"/>
          <w:szCs w:val="24"/>
        </w:rPr>
        <w:t xml:space="preserve"> affordability</w:t>
      </w:r>
      <w:r w:rsidR="000F64A9">
        <w:rPr>
          <w:b/>
          <w:color w:val="000000" w:themeColor="text1"/>
          <w:szCs w:val="24"/>
        </w:rPr>
        <w:t>.</w:t>
      </w:r>
    </w:p>
    <w:p w14:paraId="69F4B7B5" w14:textId="77777777" w:rsidR="0004351D" w:rsidRDefault="0004351D">
      <w:pPr>
        <w:rPr>
          <w:b/>
        </w:rPr>
      </w:pPr>
      <w:r>
        <w:rPr>
          <w:b/>
        </w:rPr>
        <w:br w:type="page"/>
      </w:r>
    </w:p>
    <w:p w14:paraId="6C389290" w14:textId="77777777" w:rsidR="00565E94" w:rsidRPr="0004351D" w:rsidRDefault="0004351D" w:rsidP="0004351D">
      <w:pPr>
        <w:pStyle w:val="ListParagraph"/>
        <w:numPr>
          <w:ilvl w:val="0"/>
          <w:numId w:val="6"/>
        </w:numPr>
        <w:ind w:left="0"/>
        <w:rPr>
          <w:b/>
        </w:rPr>
      </w:pPr>
      <w:r w:rsidRPr="0004351D">
        <w:rPr>
          <w:b/>
        </w:rPr>
        <w:lastRenderedPageBreak/>
        <w:t xml:space="preserve">Response to Discussion question 47: </w:t>
      </w:r>
      <w:r w:rsidRPr="0004351D">
        <w:rPr>
          <w:b/>
          <w:i/>
        </w:rPr>
        <w:t>Are the current tax arrangements for the NFP sector appropriate? Why or why not?</w:t>
      </w:r>
    </w:p>
    <w:p w14:paraId="515B8929" w14:textId="77777777" w:rsidR="005B7DB8" w:rsidRDefault="005B7DB8" w:rsidP="0004351D">
      <w:pPr>
        <w:contextualSpacing/>
        <w:rPr>
          <w:noProof/>
          <w:color w:val="000000" w:themeColor="text1"/>
          <w:szCs w:val="24"/>
        </w:rPr>
      </w:pPr>
      <w:r>
        <w:rPr>
          <w:noProof/>
          <w:color w:val="000000" w:themeColor="text1"/>
          <w:szCs w:val="24"/>
        </w:rPr>
        <w:t>We note</w:t>
      </w:r>
      <w:r w:rsidR="002F552D">
        <w:rPr>
          <w:noProof/>
          <w:color w:val="000000" w:themeColor="text1"/>
          <w:szCs w:val="24"/>
        </w:rPr>
        <w:t xml:space="preserve"> that in reference to the income tax exemption for not-for-profit organisations, </w:t>
      </w:r>
      <w:r>
        <w:rPr>
          <w:noProof/>
          <w:color w:val="000000" w:themeColor="text1"/>
          <w:szCs w:val="24"/>
        </w:rPr>
        <w:t xml:space="preserve">the Paper </w:t>
      </w:r>
      <w:r w:rsidR="002F552D">
        <w:rPr>
          <w:noProof/>
          <w:color w:val="000000" w:themeColor="text1"/>
          <w:szCs w:val="24"/>
        </w:rPr>
        <w:t>asserts</w:t>
      </w:r>
      <w:r>
        <w:rPr>
          <w:noProof/>
          <w:color w:val="000000" w:themeColor="text1"/>
          <w:szCs w:val="24"/>
        </w:rPr>
        <w:t xml:space="preserve"> that “</w:t>
      </w:r>
      <w:r w:rsidRPr="0021389A">
        <w:rPr>
          <w:i/>
          <w:noProof/>
          <w:color w:val="000000" w:themeColor="text1"/>
          <w:szCs w:val="24"/>
        </w:rPr>
        <w:t>there appears to be no clear rationale underlying this exemption</w:t>
      </w:r>
      <w:r w:rsidR="000F64A9">
        <w:rPr>
          <w:i/>
          <w:noProof/>
          <w:color w:val="000000" w:themeColor="text1"/>
          <w:szCs w:val="24"/>
        </w:rPr>
        <w:t>”</w:t>
      </w:r>
      <w:r w:rsidR="002F552D">
        <w:rPr>
          <w:noProof/>
          <w:color w:val="000000" w:themeColor="text1"/>
          <w:szCs w:val="24"/>
        </w:rPr>
        <w:t>.</w:t>
      </w:r>
    </w:p>
    <w:p w14:paraId="3FA9C47C" w14:textId="77777777" w:rsidR="005B7DB8" w:rsidRDefault="005B7DB8" w:rsidP="0004351D">
      <w:pPr>
        <w:contextualSpacing/>
        <w:rPr>
          <w:noProof/>
          <w:color w:val="000000" w:themeColor="text1"/>
          <w:szCs w:val="24"/>
        </w:rPr>
      </w:pPr>
    </w:p>
    <w:p w14:paraId="6EE393AC" w14:textId="77777777" w:rsidR="005B7DB8" w:rsidRDefault="005B7DB8" w:rsidP="0004351D">
      <w:pPr>
        <w:contextualSpacing/>
        <w:rPr>
          <w:noProof/>
          <w:color w:val="000000" w:themeColor="text1"/>
          <w:szCs w:val="24"/>
        </w:rPr>
      </w:pPr>
      <w:r>
        <w:rPr>
          <w:noProof/>
          <w:color w:val="000000" w:themeColor="text1"/>
          <w:szCs w:val="24"/>
        </w:rPr>
        <w:t>hirmaa represents 18 not-for-profit</w:t>
      </w:r>
      <w:r w:rsidR="009B1CE8">
        <w:rPr>
          <w:noProof/>
          <w:color w:val="000000" w:themeColor="text1"/>
          <w:szCs w:val="24"/>
        </w:rPr>
        <w:t>,</w:t>
      </w:r>
      <w:r>
        <w:rPr>
          <w:noProof/>
          <w:color w:val="000000" w:themeColor="text1"/>
          <w:szCs w:val="24"/>
        </w:rPr>
        <w:t xml:space="preserve"> mutual structured </w:t>
      </w:r>
      <w:r w:rsidR="00E01725">
        <w:rPr>
          <w:noProof/>
          <w:color w:val="000000" w:themeColor="text1"/>
          <w:szCs w:val="24"/>
        </w:rPr>
        <w:t>health</w:t>
      </w:r>
      <w:r w:rsidR="000F64A9">
        <w:rPr>
          <w:noProof/>
          <w:color w:val="000000" w:themeColor="text1"/>
          <w:szCs w:val="24"/>
        </w:rPr>
        <w:t xml:space="preserve"> funds</w:t>
      </w:r>
      <w:r>
        <w:rPr>
          <w:noProof/>
          <w:color w:val="000000" w:themeColor="text1"/>
          <w:szCs w:val="24"/>
        </w:rPr>
        <w:t>*</w:t>
      </w:r>
      <w:r w:rsidR="00E01725">
        <w:rPr>
          <w:noProof/>
          <w:color w:val="000000" w:themeColor="text1"/>
          <w:szCs w:val="24"/>
        </w:rPr>
        <w:t>, each of which utilise the ‘mutuality principle’ such that surplus created in the fund is not considered incom</w:t>
      </w:r>
      <w:r w:rsidR="002F552D">
        <w:rPr>
          <w:noProof/>
          <w:color w:val="000000" w:themeColor="text1"/>
          <w:szCs w:val="24"/>
        </w:rPr>
        <w:t>e for tax purposes. There are 24</w:t>
      </w:r>
      <w:r w:rsidR="00E01725">
        <w:rPr>
          <w:noProof/>
          <w:color w:val="000000" w:themeColor="text1"/>
          <w:szCs w:val="24"/>
        </w:rPr>
        <w:t xml:space="preserve"> mutual structured health-funds in the market in total, holding a combined market share of </w:t>
      </w:r>
      <w:r w:rsidR="002F552D">
        <w:rPr>
          <w:noProof/>
          <w:color w:val="000000" w:themeColor="text1"/>
          <w:szCs w:val="24"/>
        </w:rPr>
        <w:t>around 35</w:t>
      </w:r>
      <w:r w:rsidR="00E01725">
        <w:rPr>
          <w:noProof/>
          <w:color w:val="000000" w:themeColor="text1"/>
          <w:szCs w:val="24"/>
        </w:rPr>
        <w:t>%</w:t>
      </w:r>
      <w:r w:rsidR="009B1CE8">
        <w:rPr>
          <w:noProof/>
          <w:color w:val="000000" w:themeColor="text1"/>
          <w:szCs w:val="24"/>
        </w:rPr>
        <w:t>. They play a highly significant role in the market, paying over $6 billion in benefits to members in 2013-14.</w:t>
      </w:r>
      <w:r w:rsidR="00533F90">
        <w:rPr>
          <w:rStyle w:val="FootnoteReference"/>
          <w:noProof/>
          <w:color w:val="000000" w:themeColor="text1"/>
          <w:szCs w:val="24"/>
        </w:rPr>
        <w:footnoteReference w:id="10"/>
      </w:r>
    </w:p>
    <w:p w14:paraId="2BA52A64" w14:textId="77777777" w:rsidR="009B1CE8" w:rsidRDefault="009B1CE8" w:rsidP="0004351D">
      <w:pPr>
        <w:contextualSpacing/>
        <w:rPr>
          <w:noProof/>
          <w:color w:val="000000" w:themeColor="text1"/>
          <w:szCs w:val="24"/>
        </w:rPr>
      </w:pPr>
    </w:p>
    <w:p w14:paraId="7A58105F" w14:textId="77777777" w:rsidR="009B1CE8" w:rsidRDefault="009B1CE8" w:rsidP="0004351D">
      <w:pPr>
        <w:contextualSpacing/>
        <w:rPr>
          <w:noProof/>
          <w:color w:val="000000" w:themeColor="text1"/>
          <w:szCs w:val="24"/>
        </w:rPr>
      </w:pPr>
      <w:r>
        <w:rPr>
          <w:noProof/>
          <w:color w:val="000000" w:themeColor="text1"/>
          <w:szCs w:val="24"/>
        </w:rPr>
        <w:t xml:space="preserve">When considering not-for-profit health funds, hirmaa strongly disagrees that there is no rationale underlying the income tax exemption. </w:t>
      </w:r>
    </w:p>
    <w:p w14:paraId="1F7908BF" w14:textId="77777777" w:rsidR="009B1CE8" w:rsidRDefault="009B1CE8" w:rsidP="0004351D">
      <w:pPr>
        <w:contextualSpacing/>
        <w:rPr>
          <w:noProof/>
          <w:color w:val="000000" w:themeColor="text1"/>
          <w:szCs w:val="24"/>
        </w:rPr>
      </w:pPr>
    </w:p>
    <w:p w14:paraId="01514103" w14:textId="77777777" w:rsidR="009B1CE8" w:rsidRDefault="009B1CE8" w:rsidP="0004351D">
      <w:pPr>
        <w:contextualSpacing/>
        <w:rPr>
          <w:noProof/>
          <w:color w:val="000000" w:themeColor="text1"/>
          <w:szCs w:val="24"/>
          <w:u w:val="single"/>
        </w:rPr>
      </w:pPr>
      <w:r>
        <w:rPr>
          <w:noProof/>
          <w:color w:val="000000" w:themeColor="text1"/>
          <w:szCs w:val="24"/>
          <w:u w:val="single"/>
        </w:rPr>
        <w:t>The basis for the income-tax exemption of not-for-profit health funds</w:t>
      </w:r>
    </w:p>
    <w:p w14:paraId="2537B75B" w14:textId="77777777" w:rsidR="009B1CE8" w:rsidRDefault="009B1CE8" w:rsidP="0004351D">
      <w:pPr>
        <w:contextualSpacing/>
        <w:rPr>
          <w:noProof/>
          <w:color w:val="000000" w:themeColor="text1"/>
          <w:szCs w:val="24"/>
          <w:u w:val="single"/>
        </w:rPr>
      </w:pPr>
    </w:p>
    <w:p w14:paraId="6581D86D" w14:textId="77777777" w:rsidR="009B1CE8" w:rsidRPr="009B1CE8" w:rsidRDefault="009B1CE8" w:rsidP="0004351D">
      <w:pPr>
        <w:contextualSpacing/>
        <w:rPr>
          <w:noProof/>
          <w:color w:val="000000" w:themeColor="text1"/>
          <w:szCs w:val="24"/>
        </w:rPr>
      </w:pPr>
      <w:r>
        <w:rPr>
          <w:noProof/>
          <w:color w:val="000000" w:themeColor="text1"/>
          <w:szCs w:val="24"/>
        </w:rPr>
        <w:t>The Income Tax Assessment Act 1997 (Division 50-30 item 6.3)</w:t>
      </w:r>
      <w:r w:rsidR="00533F90">
        <w:rPr>
          <w:rStyle w:val="FootnoteReference"/>
          <w:noProof/>
          <w:color w:val="000000" w:themeColor="text1"/>
          <w:szCs w:val="24"/>
        </w:rPr>
        <w:footnoteReference w:id="11"/>
      </w:r>
      <w:r>
        <w:rPr>
          <w:noProof/>
          <w:color w:val="000000" w:themeColor="text1"/>
          <w:szCs w:val="24"/>
        </w:rPr>
        <w:t xml:space="preserve"> explicitly defines not-for-profit private health insurers</w:t>
      </w:r>
      <w:r w:rsidR="0021389A">
        <w:rPr>
          <w:noProof/>
          <w:color w:val="000000" w:themeColor="text1"/>
          <w:szCs w:val="24"/>
        </w:rPr>
        <w:t xml:space="preserve"> as exempt from income tax:</w:t>
      </w:r>
    </w:p>
    <w:p w14:paraId="4158C60C" w14:textId="77777777" w:rsidR="005B7DB8" w:rsidRDefault="005B7DB8" w:rsidP="0004351D">
      <w:pPr>
        <w:contextualSpacing/>
        <w:rPr>
          <w:noProof/>
          <w:color w:val="000000" w:themeColor="text1"/>
          <w:szCs w:val="24"/>
          <w:u w:val="single"/>
        </w:rPr>
      </w:pPr>
    </w:p>
    <w:p w14:paraId="05B28092" w14:textId="77777777" w:rsidR="009B1CE8" w:rsidRPr="00DD3499" w:rsidRDefault="009B1CE8" w:rsidP="009B1CE8">
      <w:pPr>
        <w:keepNext/>
        <w:shd w:val="clear" w:color="auto" w:fill="FFFFFF"/>
        <w:spacing w:before="60" w:line="240" w:lineRule="atLeast"/>
        <w:rPr>
          <w:rFonts w:ascii="Times New Roman" w:eastAsia="Times New Roman" w:hAnsi="Times New Roman"/>
          <w:color w:val="000000"/>
          <w:sz w:val="20"/>
          <w:szCs w:val="20"/>
        </w:rPr>
      </w:pPr>
      <w:r w:rsidRPr="006C6C0C">
        <w:rPr>
          <w:noProof/>
          <w:lang w:eastAsia="en-AU"/>
        </w:rPr>
        <w:drawing>
          <wp:inline distT="0" distB="0" distL="0" distR="0" wp14:anchorId="64993E14" wp14:editId="65EF7F66">
            <wp:extent cx="5943600" cy="225361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0986748.tmp"/>
                    <pic:cNvPicPr/>
                  </pic:nvPicPr>
                  <pic:blipFill>
                    <a:blip r:embed="rId20">
                      <a:extLst>
                        <a:ext uri="{28A0092B-C50C-407E-A947-70E740481C1C}">
                          <a14:useLocalDpi xmlns:a14="http://schemas.microsoft.com/office/drawing/2010/main" val="0"/>
                        </a:ext>
                      </a:extLst>
                    </a:blip>
                    <a:stretch>
                      <a:fillRect/>
                    </a:stretch>
                  </pic:blipFill>
                  <pic:spPr>
                    <a:xfrm>
                      <a:off x="0" y="0"/>
                      <a:ext cx="5943600" cy="2253615"/>
                    </a:xfrm>
                    <a:prstGeom prst="rect">
                      <a:avLst/>
                    </a:prstGeom>
                  </pic:spPr>
                </pic:pic>
              </a:graphicData>
            </a:graphic>
          </wp:inline>
        </w:drawing>
      </w:r>
    </w:p>
    <w:p w14:paraId="2BFB1C16" w14:textId="77777777" w:rsidR="001B690B" w:rsidRPr="001B690B" w:rsidRDefault="001B690B" w:rsidP="001B690B">
      <w:r>
        <w:t>We note and support the Paper’s acknowledgement of the role and importance of the not-for-profit sector:</w:t>
      </w:r>
    </w:p>
    <w:p w14:paraId="5B713090" w14:textId="77777777" w:rsidR="001B690B" w:rsidRDefault="001B690B" w:rsidP="000D3D6B">
      <w:pPr>
        <w:ind w:left="284"/>
        <w:rPr>
          <w:i/>
        </w:rPr>
      </w:pPr>
      <w:r w:rsidRPr="00DD3499">
        <w:rPr>
          <w:i/>
        </w:rPr>
        <w:t>“In recognition of the NFP sector’s contribution to the Australian community, it has been a longstanding policy of successive governments to provide support to the sector in the form of tax concessions.”</w:t>
      </w:r>
    </w:p>
    <w:p w14:paraId="2060E379" w14:textId="77777777" w:rsidR="000D3D6B" w:rsidRDefault="000D3D6B" w:rsidP="001B690B">
      <w:pPr>
        <w:rPr>
          <w:i/>
        </w:rPr>
      </w:pPr>
    </w:p>
    <w:p w14:paraId="400366A8" w14:textId="77777777" w:rsidR="002F552D" w:rsidRPr="000F64A9" w:rsidRDefault="002F552D" w:rsidP="002F552D">
      <w:pPr>
        <w:rPr>
          <w:i/>
          <w:sz w:val="16"/>
        </w:rPr>
      </w:pPr>
      <w:r>
        <w:rPr>
          <w:i/>
          <w:sz w:val="16"/>
        </w:rPr>
        <w:br/>
      </w:r>
      <w:r w:rsidRPr="000F64A9">
        <w:rPr>
          <w:i/>
          <w:sz w:val="16"/>
        </w:rPr>
        <w:t>*</w:t>
      </w:r>
      <w:proofErr w:type="gramStart"/>
      <w:r w:rsidRPr="000F64A9">
        <w:rPr>
          <w:i/>
          <w:sz w:val="16"/>
        </w:rPr>
        <w:t>one</w:t>
      </w:r>
      <w:proofErr w:type="gramEnd"/>
      <w:r w:rsidRPr="000F64A9">
        <w:rPr>
          <w:i/>
          <w:sz w:val="16"/>
        </w:rPr>
        <w:t xml:space="preserve"> hirmaa member is a for-profit health fund, wholly owned by a not-for-profit, mutual organisation</w:t>
      </w:r>
    </w:p>
    <w:p w14:paraId="5D8622BB" w14:textId="77777777" w:rsidR="001B690B" w:rsidRDefault="001B690B" w:rsidP="000D3D6B">
      <w:pPr>
        <w:ind w:left="284"/>
        <w:rPr>
          <w:i/>
        </w:rPr>
      </w:pPr>
      <w:r w:rsidRPr="00DD3499">
        <w:rPr>
          <w:i/>
        </w:rPr>
        <w:lastRenderedPageBreak/>
        <w:t>“Recognising the wider benefits of NFP</w:t>
      </w:r>
      <w:r w:rsidR="00FD2078">
        <w:rPr>
          <w:i/>
        </w:rPr>
        <w:t xml:space="preserve"> activity (particularly where a</w:t>
      </w:r>
      <w:r w:rsidRPr="00DD3499">
        <w:rPr>
          <w:i/>
        </w:rPr>
        <w:t xml:space="preserve"> NFP provides services that for-profit private sector organisations do not), these tax concessions arguably help to both improve societal outcomes and ensure that the overall level of activity in the NFP sector is closer to optimal.”</w:t>
      </w:r>
    </w:p>
    <w:p w14:paraId="7DEF48C1" w14:textId="77777777" w:rsidR="009B1CE8" w:rsidRDefault="001B690B" w:rsidP="009B1CE8">
      <w:pPr>
        <w:rPr>
          <w:bCs/>
        </w:rPr>
      </w:pPr>
      <w:proofErr w:type="gramStart"/>
      <w:r>
        <w:rPr>
          <w:bCs/>
        </w:rPr>
        <w:t>hirmaa</w:t>
      </w:r>
      <w:proofErr w:type="gramEnd"/>
      <w:r>
        <w:rPr>
          <w:bCs/>
        </w:rPr>
        <w:t xml:space="preserve"> agrees that the not-for-profit sector </w:t>
      </w:r>
      <w:r w:rsidR="00491AE6">
        <w:rPr>
          <w:bCs/>
        </w:rPr>
        <w:t>makes an important societal contribution to the community and we suggest that this is especially the case in the provision and funding of healthcare services – a genuine public good.</w:t>
      </w:r>
    </w:p>
    <w:p w14:paraId="5FC718BC" w14:textId="77777777" w:rsidR="00491AE6" w:rsidRDefault="00491AE6" w:rsidP="009B1CE8">
      <w:pPr>
        <w:rPr>
          <w:bCs/>
        </w:rPr>
      </w:pPr>
      <w:r>
        <w:rPr>
          <w:bCs/>
        </w:rPr>
        <w:t>In the case of mutual health funds, member-contributions are used solely to benefit</w:t>
      </w:r>
      <w:r w:rsidR="0051582C">
        <w:rPr>
          <w:bCs/>
        </w:rPr>
        <w:t xml:space="preserve"> the healthcare</w:t>
      </w:r>
      <w:r w:rsidR="002F552D">
        <w:rPr>
          <w:bCs/>
        </w:rPr>
        <w:t xml:space="preserve"> of members with</w:t>
      </w:r>
      <w:r>
        <w:rPr>
          <w:bCs/>
        </w:rPr>
        <w:t xml:space="preserve"> any surplus generated reinvested into </w:t>
      </w:r>
      <w:r w:rsidR="007F2649">
        <w:rPr>
          <w:bCs/>
        </w:rPr>
        <w:t>the health fund and</w:t>
      </w:r>
      <w:r w:rsidR="0021389A">
        <w:rPr>
          <w:bCs/>
        </w:rPr>
        <w:t xml:space="preserve"> again, into the healthcare</w:t>
      </w:r>
      <w:r w:rsidR="007F2649">
        <w:rPr>
          <w:bCs/>
        </w:rPr>
        <w:t xml:space="preserve"> of members.</w:t>
      </w:r>
      <w:r w:rsidR="00FD2078">
        <w:rPr>
          <w:bCs/>
        </w:rPr>
        <w:t xml:space="preserve"> </w:t>
      </w:r>
    </w:p>
    <w:p w14:paraId="740CD177" w14:textId="77777777" w:rsidR="007F2649" w:rsidRDefault="007F2649" w:rsidP="009B1CE8">
      <w:pPr>
        <w:rPr>
          <w:bCs/>
        </w:rPr>
      </w:pPr>
      <w:r>
        <w:rPr>
          <w:bCs/>
        </w:rPr>
        <w:t>This fits squarely within the concept of ‘mutuality’, as set out by the A</w:t>
      </w:r>
      <w:r w:rsidR="00533F90">
        <w:rPr>
          <w:bCs/>
        </w:rPr>
        <w:t xml:space="preserve">ustralian </w:t>
      </w:r>
      <w:r>
        <w:rPr>
          <w:bCs/>
        </w:rPr>
        <w:t>T</w:t>
      </w:r>
      <w:r w:rsidR="00533F90">
        <w:rPr>
          <w:bCs/>
        </w:rPr>
        <w:t xml:space="preserve">ax </w:t>
      </w:r>
      <w:r>
        <w:rPr>
          <w:bCs/>
        </w:rPr>
        <w:t>O</w:t>
      </w:r>
      <w:r w:rsidR="00533F90">
        <w:rPr>
          <w:bCs/>
        </w:rPr>
        <w:t>ffice</w:t>
      </w:r>
      <w:r>
        <w:rPr>
          <w:bCs/>
        </w:rPr>
        <w:t>, where surplus arising from the use of a common fund is re-invested to a common purpose.</w:t>
      </w:r>
      <w:r w:rsidR="000D3D6B" w:rsidRPr="000D3D6B">
        <w:rPr>
          <w:rStyle w:val="FootnoteReference"/>
          <w:bCs/>
        </w:rPr>
        <w:t xml:space="preserve"> </w:t>
      </w:r>
      <w:r w:rsidR="000D3D6B">
        <w:rPr>
          <w:rStyle w:val="FootnoteReference"/>
          <w:bCs/>
        </w:rPr>
        <w:footnoteReference w:id="12"/>
      </w:r>
      <w:r w:rsidR="00FD2078" w:rsidRPr="00FD2078">
        <w:rPr>
          <w:bCs/>
        </w:rPr>
        <w:t xml:space="preserve"> </w:t>
      </w:r>
      <w:r w:rsidR="00FD2078">
        <w:rPr>
          <w:bCs/>
        </w:rPr>
        <w:t>This is</w:t>
      </w:r>
      <w:r w:rsidR="00533F90">
        <w:rPr>
          <w:bCs/>
        </w:rPr>
        <w:t xml:space="preserve"> in</w:t>
      </w:r>
      <w:r w:rsidR="00FD2078">
        <w:rPr>
          <w:bCs/>
        </w:rPr>
        <w:t xml:space="preserve"> distinct contrast to the for-profit model, where the goal is to generate surplus to direct to external shareholders.</w:t>
      </w:r>
    </w:p>
    <w:p w14:paraId="2ACCB506" w14:textId="77777777" w:rsidR="007F2649" w:rsidRDefault="007F2649" w:rsidP="009B1CE8">
      <w:pPr>
        <w:rPr>
          <w:bCs/>
        </w:rPr>
      </w:pPr>
      <w:r>
        <w:rPr>
          <w:bCs/>
        </w:rPr>
        <w:t>Given this re-investment of surplus, and without the need to return surpluses to shareholders, mutual funds run lower net-margins and pay a higher portion of premiums to members. This is the mutuality principle in action.</w:t>
      </w:r>
    </w:p>
    <w:p w14:paraId="0A496526" w14:textId="77777777" w:rsidR="007F2649" w:rsidRDefault="007F2649" w:rsidP="009B1CE8">
      <w:pPr>
        <w:rPr>
          <w:bCs/>
        </w:rPr>
      </w:pPr>
      <w:r>
        <w:rPr>
          <w:noProof/>
          <w:lang w:eastAsia="en-AU"/>
        </w:rPr>
        <w:drawing>
          <wp:inline distT="0" distB="0" distL="0" distR="0" wp14:anchorId="2FF748BE" wp14:editId="3CAE6EF3">
            <wp:extent cx="5943600" cy="2295786"/>
            <wp:effectExtent l="0" t="0" r="0" b="9525"/>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3CBA1E99" w14:textId="77777777" w:rsidR="0021389A" w:rsidRDefault="0021389A" w:rsidP="0021389A">
      <w:pPr>
        <w:rPr>
          <w:bCs/>
        </w:rPr>
      </w:pPr>
      <w:r>
        <w:rPr>
          <w:bCs/>
        </w:rPr>
        <w:t>W</w:t>
      </w:r>
      <w:r w:rsidRPr="006C6C0C">
        <w:rPr>
          <w:bCs/>
        </w:rPr>
        <w:t xml:space="preserve">e are aware of </w:t>
      </w:r>
      <w:r>
        <w:rPr>
          <w:bCs/>
        </w:rPr>
        <w:t xml:space="preserve">the views of </w:t>
      </w:r>
      <w:r w:rsidRPr="006C6C0C">
        <w:rPr>
          <w:bCs/>
        </w:rPr>
        <w:t xml:space="preserve">some </w:t>
      </w:r>
      <w:r w:rsidR="00C91C3F">
        <w:rPr>
          <w:bCs/>
        </w:rPr>
        <w:t>self-interested parties</w:t>
      </w:r>
      <w:r w:rsidRPr="006C6C0C">
        <w:rPr>
          <w:bCs/>
        </w:rPr>
        <w:t xml:space="preserve"> </w:t>
      </w:r>
      <w:r>
        <w:rPr>
          <w:bCs/>
        </w:rPr>
        <w:t>which argue that mutual health funds</w:t>
      </w:r>
      <w:r w:rsidRPr="006C6C0C">
        <w:rPr>
          <w:bCs/>
        </w:rPr>
        <w:t xml:space="preserve"> should have </w:t>
      </w:r>
      <w:r>
        <w:rPr>
          <w:bCs/>
        </w:rPr>
        <w:t xml:space="preserve">their investment </w:t>
      </w:r>
      <w:r w:rsidRPr="006C6C0C">
        <w:rPr>
          <w:bCs/>
        </w:rPr>
        <w:t xml:space="preserve">income taxed. </w:t>
      </w:r>
      <w:proofErr w:type="gramStart"/>
      <w:r>
        <w:rPr>
          <w:bCs/>
        </w:rPr>
        <w:t>hirmaa</w:t>
      </w:r>
      <w:proofErr w:type="gramEnd"/>
      <w:r>
        <w:rPr>
          <w:bCs/>
        </w:rPr>
        <w:t xml:space="preserve"> disagrees with this view - mutual structured health funds invest surplus capital that is built up exclusively from </w:t>
      </w:r>
      <w:r w:rsidR="00FD2078">
        <w:rPr>
          <w:bCs/>
        </w:rPr>
        <w:t xml:space="preserve">direct </w:t>
      </w:r>
      <w:r>
        <w:rPr>
          <w:bCs/>
        </w:rPr>
        <w:t>member contributions</w:t>
      </w:r>
      <w:r w:rsidR="00672EE0">
        <w:rPr>
          <w:bCs/>
        </w:rPr>
        <w:t>. T</w:t>
      </w:r>
      <w:r>
        <w:rPr>
          <w:bCs/>
        </w:rPr>
        <w:t>he investment returns derived from the</w:t>
      </w:r>
      <w:r w:rsidR="00672EE0">
        <w:rPr>
          <w:bCs/>
        </w:rPr>
        <w:t>se activities are reinvested in</w:t>
      </w:r>
      <w:r>
        <w:rPr>
          <w:bCs/>
        </w:rPr>
        <w:t>to the health fund and used exclusively to the benefit of members, not re-directed to shareholders. Again, this is wholly consistent with the principle of mutuality and should be retained.</w:t>
      </w:r>
    </w:p>
    <w:p w14:paraId="4B34AB79" w14:textId="77777777" w:rsidR="00797F64" w:rsidRDefault="00FD2078" w:rsidP="009B1CE8">
      <w:pPr>
        <w:rPr>
          <w:color w:val="000000" w:themeColor="text1"/>
        </w:rPr>
      </w:pPr>
      <w:r>
        <w:rPr>
          <w:color w:val="000000" w:themeColor="text1"/>
        </w:rPr>
        <w:t>Additionally, u</w:t>
      </w:r>
      <w:r w:rsidR="00797F64" w:rsidRPr="00DD3499">
        <w:rPr>
          <w:color w:val="000000" w:themeColor="text1"/>
        </w:rPr>
        <w:t>nlike l</w:t>
      </w:r>
      <w:r w:rsidR="0021389A">
        <w:rPr>
          <w:color w:val="000000" w:themeColor="text1"/>
        </w:rPr>
        <w:t>isted for-</w:t>
      </w:r>
      <w:r w:rsidR="00797F64" w:rsidRPr="00DD3499">
        <w:rPr>
          <w:color w:val="000000" w:themeColor="text1"/>
        </w:rPr>
        <w:t>profit</w:t>
      </w:r>
      <w:r w:rsidR="0021389A">
        <w:rPr>
          <w:color w:val="000000" w:themeColor="text1"/>
        </w:rPr>
        <w:t xml:space="preserve"> insurers</w:t>
      </w:r>
      <w:r w:rsidR="00797F64" w:rsidRPr="00DD3499">
        <w:rPr>
          <w:color w:val="000000" w:themeColor="text1"/>
        </w:rPr>
        <w:t xml:space="preserve">, </w:t>
      </w:r>
      <w:r w:rsidR="0021389A">
        <w:rPr>
          <w:color w:val="000000" w:themeColor="text1"/>
        </w:rPr>
        <w:t xml:space="preserve">it is much </w:t>
      </w:r>
      <w:r w:rsidR="00797F64" w:rsidRPr="00DD3499">
        <w:rPr>
          <w:color w:val="000000" w:themeColor="text1"/>
        </w:rPr>
        <w:t xml:space="preserve">more difficult for </w:t>
      </w:r>
      <w:r w:rsidR="0021389A">
        <w:rPr>
          <w:color w:val="000000" w:themeColor="text1"/>
        </w:rPr>
        <w:t>mutual not-for-profit health funds</w:t>
      </w:r>
      <w:r w:rsidR="00797F64" w:rsidRPr="00DD3499">
        <w:rPr>
          <w:color w:val="000000" w:themeColor="text1"/>
        </w:rPr>
        <w:t xml:space="preserve"> to raise capital so</w:t>
      </w:r>
      <w:r w:rsidR="0021389A">
        <w:rPr>
          <w:color w:val="000000" w:themeColor="text1"/>
        </w:rPr>
        <w:t xml:space="preserve"> it is vitally</w:t>
      </w:r>
      <w:r w:rsidR="00797F64" w:rsidRPr="00DD3499">
        <w:rPr>
          <w:color w:val="000000" w:themeColor="text1"/>
        </w:rPr>
        <w:t xml:space="preserve"> important they remain tax free </w:t>
      </w:r>
      <w:r w:rsidR="0021389A">
        <w:rPr>
          <w:color w:val="000000" w:themeColor="text1"/>
        </w:rPr>
        <w:t>in order to</w:t>
      </w:r>
      <w:r w:rsidR="00797F64" w:rsidRPr="00DD3499">
        <w:rPr>
          <w:color w:val="000000" w:themeColor="text1"/>
        </w:rPr>
        <w:t xml:space="preserve"> grow and remain prudent</w:t>
      </w:r>
      <w:r>
        <w:rPr>
          <w:color w:val="000000" w:themeColor="text1"/>
        </w:rPr>
        <w:t>ial</w:t>
      </w:r>
      <w:r w:rsidR="00797F64" w:rsidRPr="00DD3499">
        <w:rPr>
          <w:color w:val="000000" w:themeColor="text1"/>
        </w:rPr>
        <w:t>ly sound.</w:t>
      </w:r>
    </w:p>
    <w:p w14:paraId="3EA31D45" w14:textId="77777777" w:rsidR="0021389A" w:rsidRPr="0021389A" w:rsidRDefault="0021389A" w:rsidP="009B1CE8">
      <w:pPr>
        <w:rPr>
          <w:b/>
          <w:bCs/>
        </w:rPr>
      </w:pPr>
      <w:proofErr w:type="gramStart"/>
      <w:r>
        <w:rPr>
          <w:b/>
          <w:bCs/>
        </w:rPr>
        <w:lastRenderedPageBreak/>
        <w:t>hirmaa</w:t>
      </w:r>
      <w:proofErr w:type="gramEnd"/>
      <w:r>
        <w:rPr>
          <w:b/>
          <w:bCs/>
        </w:rPr>
        <w:t xml:space="preserve"> strongly supports the status-quo which </w:t>
      </w:r>
      <w:r w:rsidR="00533F90">
        <w:rPr>
          <w:b/>
          <w:bCs/>
        </w:rPr>
        <w:t>exempts</w:t>
      </w:r>
      <w:r>
        <w:rPr>
          <w:b/>
          <w:bCs/>
        </w:rPr>
        <w:t xml:space="preserve"> mutual not-for-profit health funds from income tax.</w:t>
      </w:r>
    </w:p>
    <w:p w14:paraId="12A6B184" w14:textId="77777777" w:rsidR="00797F64" w:rsidRDefault="0030487E" w:rsidP="009B1CE8">
      <w:pPr>
        <w:rPr>
          <w:bCs/>
        </w:rPr>
      </w:pPr>
      <w:r>
        <w:rPr>
          <w:bCs/>
        </w:rPr>
        <w:t xml:space="preserve">It is important to note that changes to the exemption status of mutual health funds would </w:t>
      </w:r>
      <w:r w:rsidR="006431EC">
        <w:rPr>
          <w:bCs/>
        </w:rPr>
        <w:t>profoundly impact</w:t>
      </w:r>
      <w:r>
        <w:rPr>
          <w:bCs/>
        </w:rPr>
        <w:t xml:space="preserve"> the private health insurance industry. It would place additional pressure on premiums, exacerbating affordability issues, exacerbating downgrading by members and ultimately resulting in costs shifting to the public system.</w:t>
      </w:r>
    </w:p>
    <w:p w14:paraId="1FF4D971" w14:textId="77777777" w:rsidR="0030487E" w:rsidRDefault="0030487E">
      <w:pPr>
        <w:rPr>
          <w:bCs/>
        </w:rPr>
      </w:pPr>
      <w:r>
        <w:rPr>
          <w:bCs/>
        </w:rPr>
        <w:br w:type="page"/>
      </w:r>
    </w:p>
    <w:p w14:paraId="0F467847" w14:textId="77777777" w:rsidR="00565E94" w:rsidRPr="0030487E" w:rsidRDefault="0030487E" w:rsidP="0030487E">
      <w:pPr>
        <w:pStyle w:val="ListParagraph"/>
        <w:numPr>
          <w:ilvl w:val="0"/>
          <w:numId w:val="6"/>
        </w:numPr>
        <w:ind w:left="0"/>
        <w:rPr>
          <w:b/>
        </w:rPr>
      </w:pPr>
      <w:r w:rsidRPr="0030487E">
        <w:rPr>
          <w:b/>
        </w:rPr>
        <w:lastRenderedPageBreak/>
        <w:t xml:space="preserve">Response to Discussion question 51: </w:t>
      </w:r>
      <w:r w:rsidRPr="0030487E">
        <w:rPr>
          <w:b/>
          <w:i/>
        </w:rPr>
        <w:t>To what extent are the tax settings for the GST appropriate?</w:t>
      </w:r>
    </w:p>
    <w:p w14:paraId="1D81066D" w14:textId="77777777" w:rsidR="000D3D6B" w:rsidRDefault="000D3D6B" w:rsidP="0030487E">
      <w:pPr>
        <w:rPr>
          <w:szCs w:val="24"/>
        </w:rPr>
      </w:pPr>
      <w:r>
        <w:rPr>
          <w:szCs w:val="24"/>
        </w:rPr>
        <w:t>We note in the Paper:</w:t>
      </w:r>
    </w:p>
    <w:p w14:paraId="79E033C6" w14:textId="77777777" w:rsidR="0030487E" w:rsidRPr="006C6C0C" w:rsidRDefault="0030487E" w:rsidP="000D3D6B">
      <w:pPr>
        <w:ind w:left="284"/>
        <w:rPr>
          <w:b/>
          <w:bCs/>
        </w:rPr>
      </w:pPr>
      <w:r w:rsidRPr="0030487E">
        <w:rPr>
          <w:i/>
          <w:szCs w:val="24"/>
        </w:rPr>
        <w:t>“</w:t>
      </w:r>
      <w:r w:rsidRPr="0030487E">
        <w:rPr>
          <w:i/>
        </w:rPr>
        <w:t>Any change to the GST rate or base would require the unanimous support of the state and territory governments, the endorsement of the Australian Government and the passage of relevant legislation by both Houses of the Australian Parliament</w:t>
      </w:r>
      <w:r>
        <w:t>.” And that “</w:t>
      </w:r>
      <w:r w:rsidRPr="0030487E">
        <w:rPr>
          <w:i/>
          <w:szCs w:val="24"/>
        </w:rPr>
        <w:t xml:space="preserve">the Australian </w:t>
      </w:r>
      <w:r w:rsidRPr="0030487E">
        <w:rPr>
          <w:i/>
        </w:rPr>
        <w:t>Government will only consider progressing any such proposals if there is a broad political consensus for change, including agreement by all state and territory governments.”</w:t>
      </w:r>
    </w:p>
    <w:p w14:paraId="292F2B44" w14:textId="77777777" w:rsidR="0030487E" w:rsidRDefault="0030487E" w:rsidP="00565E94">
      <w:pPr>
        <w:rPr>
          <w:szCs w:val="24"/>
        </w:rPr>
      </w:pPr>
      <w:r>
        <w:rPr>
          <w:szCs w:val="24"/>
        </w:rPr>
        <w:t>Nev</w:t>
      </w:r>
      <w:r w:rsidR="00473D31">
        <w:rPr>
          <w:szCs w:val="24"/>
        </w:rPr>
        <w:t>ertheless, given recent debate in the media around expanding the GST to areas such as private education and private health, we would like to outline our position on the matter.</w:t>
      </w:r>
    </w:p>
    <w:p w14:paraId="119B9E9B" w14:textId="77777777" w:rsidR="00473D31" w:rsidRDefault="00473D31" w:rsidP="00565E94">
      <w:pPr>
        <w:rPr>
          <w:szCs w:val="24"/>
        </w:rPr>
      </w:pPr>
      <w:r>
        <w:rPr>
          <w:szCs w:val="24"/>
        </w:rPr>
        <w:t>In direct response to discussion question 51, hirmaa believes the tax settings for the GST, in respect to private health, are appropriate.</w:t>
      </w:r>
    </w:p>
    <w:p w14:paraId="1A205E0D" w14:textId="77777777" w:rsidR="00473D31" w:rsidRDefault="00473D31" w:rsidP="00565E94">
      <w:pPr>
        <w:rPr>
          <w:szCs w:val="24"/>
        </w:rPr>
      </w:pPr>
      <w:r>
        <w:rPr>
          <w:szCs w:val="24"/>
        </w:rPr>
        <w:t xml:space="preserve">As outlined earlier in this submission, the private health sector was </w:t>
      </w:r>
      <w:r w:rsidR="00952AC4">
        <w:rPr>
          <w:szCs w:val="24"/>
        </w:rPr>
        <w:t>consciously</w:t>
      </w:r>
      <w:r>
        <w:rPr>
          <w:szCs w:val="24"/>
        </w:rPr>
        <w:t xml:space="preserve"> exempted from the GST after its introduction in </w:t>
      </w:r>
      <w:r w:rsidR="00533F90">
        <w:rPr>
          <w:szCs w:val="24"/>
        </w:rPr>
        <w:t>2000</w:t>
      </w:r>
      <w:r>
        <w:rPr>
          <w:szCs w:val="24"/>
        </w:rPr>
        <w:t xml:space="preserve"> with the recognition that </w:t>
      </w:r>
      <w:r>
        <w:rPr>
          <w:color w:val="000000" w:themeColor="text1"/>
          <w:szCs w:val="24"/>
        </w:rPr>
        <w:t>“</w:t>
      </w:r>
      <w:r w:rsidRPr="00987961">
        <w:rPr>
          <w:i/>
          <w:color w:val="000000" w:themeColor="text1"/>
          <w:szCs w:val="24"/>
        </w:rPr>
        <w:t>applying taxes to health care would place the private health sector, with its heavier reliance on direct fees, at a competitive disadvantage with the public health system</w:t>
      </w:r>
      <w:r>
        <w:rPr>
          <w:color w:val="000000" w:themeColor="text1"/>
          <w:szCs w:val="24"/>
        </w:rPr>
        <w:t>”.</w:t>
      </w:r>
      <w:r>
        <w:rPr>
          <w:rStyle w:val="FootnoteReference"/>
          <w:color w:val="000000" w:themeColor="text1"/>
          <w:szCs w:val="24"/>
        </w:rPr>
        <w:footnoteReference w:id="13"/>
      </w:r>
    </w:p>
    <w:p w14:paraId="66C4E5F9" w14:textId="77777777" w:rsidR="00D353DB" w:rsidRDefault="00D353DB" w:rsidP="00D353DB">
      <w:pPr>
        <w:rPr>
          <w:szCs w:val="24"/>
        </w:rPr>
      </w:pPr>
      <w:r>
        <w:rPr>
          <w:szCs w:val="24"/>
        </w:rPr>
        <w:t>Since</w:t>
      </w:r>
      <w:r w:rsidR="00533F90">
        <w:rPr>
          <w:szCs w:val="24"/>
        </w:rPr>
        <w:t xml:space="preserve"> 2000</w:t>
      </w:r>
      <w:r>
        <w:rPr>
          <w:szCs w:val="24"/>
        </w:rPr>
        <w:t>, the reasons for making private health services GST-free have not changed</w:t>
      </w:r>
      <w:r w:rsidR="006848EF">
        <w:rPr>
          <w:szCs w:val="24"/>
        </w:rPr>
        <w:t>: t</w:t>
      </w:r>
      <w:r w:rsidRPr="00D353DB">
        <w:rPr>
          <w:szCs w:val="24"/>
        </w:rPr>
        <w:t>he imposition of a 10 percent GST on the non-government health sector would significantly escalate costs, reducing affordability and undermining the ability of the non-government health sector to compete against the public system.</w:t>
      </w:r>
    </w:p>
    <w:p w14:paraId="2AB765B6" w14:textId="77777777" w:rsidR="00D353DB" w:rsidRDefault="00D353DB" w:rsidP="00D353DB">
      <w:r>
        <w:t xml:space="preserve">International experience shows that the Howard and Costello Government’s rationale for </w:t>
      </w:r>
      <w:r w:rsidR="006848EF">
        <w:t>exempting the health sector from the GST is entirely justifiable. T</w:t>
      </w:r>
      <w:r>
        <w:t>he E</w:t>
      </w:r>
      <w:r w:rsidR="0032634C">
        <w:t xml:space="preserve">uropean </w:t>
      </w:r>
      <w:r>
        <w:t>U</w:t>
      </w:r>
      <w:r w:rsidR="0032634C">
        <w:t>nion</w:t>
      </w:r>
      <w:r>
        <w:t xml:space="preserve"> specifically allows its member countries to exempt health and health insurance from Value Added Taxes on grounds that it is considered a public good and would distort competition. Interestingly in New Zealand, where private health is taxed under a GST, private health insurance </w:t>
      </w:r>
      <w:r w:rsidRPr="00CF7155">
        <w:t xml:space="preserve">coverage is at a historical low of just </w:t>
      </w:r>
      <w:r>
        <w:t xml:space="preserve">under </w:t>
      </w:r>
      <w:r w:rsidRPr="00CF7155">
        <w:t>30 per cent</w:t>
      </w:r>
      <w:r w:rsidR="004B2FF1">
        <w:t xml:space="preserve"> and continues to fall.</w:t>
      </w:r>
      <w:r w:rsidR="004B2FF1">
        <w:rPr>
          <w:rStyle w:val="FootnoteReference"/>
        </w:rPr>
        <w:footnoteReference w:id="14"/>
      </w:r>
    </w:p>
    <w:p w14:paraId="58C5D24E" w14:textId="77777777" w:rsidR="00D353DB" w:rsidRDefault="00D353DB" w:rsidP="00D353DB">
      <w:r>
        <w:t xml:space="preserve">History has demonstrated that the decision not to tax health was the correct decision. </w:t>
      </w:r>
      <w:r w:rsidRPr="003362AD">
        <w:t>Today almost 11 million Australians or around 50% of the population are covered by private health insurance, a far cry from 1999 when coverage had plummeted to just 30.5%.</w:t>
      </w:r>
    </w:p>
    <w:p w14:paraId="3821D659" w14:textId="77777777" w:rsidR="00C2077C" w:rsidRPr="00C2077C" w:rsidRDefault="0032634C" w:rsidP="00D353DB">
      <w:pPr>
        <w:rPr>
          <w:b/>
        </w:rPr>
      </w:pPr>
      <w:proofErr w:type="gramStart"/>
      <w:r w:rsidRPr="00C2077C">
        <w:rPr>
          <w:b/>
        </w:rPr>
        <w:t>hirmaa</w:t>
      </w:r>
      <w:proofErr w:type="gramEnd"/>
      <w:r w:rsidRPr="00C2077C">
        <w:rPr>
          <w:b/>
        </w:rPr>
        <w:t xml:space="preserve"> is of the strong view that </w:t>
      </w:r>
      <w:r w:rsidR="00C2077C" w:rsidRPr="00C2077C">
        <w:rPr>
          <w:b/>
        </w:rPr>
        <w:t>private health should continue to be exempted from the GST.</w:t>
      </w:r>
    </w:p>
    <w:p w14:paraId="0528F046" w14:textId="77777777" w:rsidR="00C2077C" w:rsidRDefault="00C2077C">
      <w:r>
        <w:br w:type="page"/>
      </w:r>
    </w:p>
    <w:p w14:paraId="0E965C0A" w14:textId="77777777" w:rsidR="00C2077C" w:rsidRDefault="00C2077C" w:rsidP="00FD2078">
      <w:pPr>
        <w:pStyle w:val="Default"/>
        <w:numPr>
          <w:ilvl w:val="0"/>
          <w:numId w:val="17"/>
        </w:numPr>
        <w:ind w:left="0"/>
        <w:rPr>
          <w:b/>
          <w:sz w:val="22"/>
          <w:szCs w:val="22"/>
          <w:lang w:val="en-AU"/>
        </w:rPr>
      </w:pPr>
      <w:r w:rsidRPr="00C2077C">
        <w:rPr>
          <w:b/>
          <w:sz w:val="22"/>
          <w:szCs w:val="22"/>
          <w:lang w:val="en-AU"/>
        </w:rPr>
        <w:lastRenderedPageBreak/>
        <w:t>Refining and improving policy settings in private health insurance to achieve a more effective and efficient tax system and more efficient use of Government resources</w:t>
      </w:r>
    </w:p>
    <w:p w14:paraId="39559E5C" w14:textId="77777777" w:rsidR="00C2077C" w:rsidRDefault="00C2077C" w:rsidP="00C2077C">
      <w:pPr>
        <w:pStyle w:val="Default"/>
        <w:rPr>
          <w:b/>
          <w:sz w:val="22"/>
          <w:szCs w:val="22"/>
          <w:lang w:val="en-AU"/>
        </w:rPr>
      </w:pPr>
    </w:p>
    <w:p w14:paraId="24A90824" w14:textId="77777777" w:rsidR="00C2077C" w:rsidRDefault="00BD4A67" w:rsidP="00C2077C">
      <w:pPr>
        <w:pStyle w:val="Default"/>
        <w:rPr>
          <w:sz w:val="22"/>
          <w:szCs w:val="22"/>
          <w:lang w:val="en-AU"/>
        </w:rPr>
      </w:pPr>
      <w:r>
        <w:rPr>
          <w:sz w:val="22"/>
          <w:szCs w:val="22"/>
          <w:lang w:val="en-AU"/>
        </w:rPr>
        <w:t>As noted earlier in this submission, the policy reforms introduced in the late 1990s were highly effec</w:t>
      </w:r>
      <w:r w:rsidR="00FD2078">
        <w:rPr>
          <w:sz w:val="22"/>
          <w:szCs w:val="22"/>
          <w:lang w:val="en-AU"/>
        </w:rPr>
        <w:t>tive in restoring</w:t>
      </w:r>
      <w:r>
        <w:rPr>
          <w:sz w:val="22"/>
          <w:szCs w:val="22"/>
          <w:lang w:val="en-AU"/>
        </w:rPr>
        <w:t xml:space="preserve"> private health insurance</w:t>
      </w:r>
      <w:r w:rsidR="00FD2078">
        <w:rPr>
          <w:sz w:val="22"/>
          <w:szCs w:val="22"/>
          <w:lang w:val="en-AU"/>
        </w:rPr>
        <w:t xml:space="preserve"> participation</w:t>
      </w:r>
      <w:r>
        <w:rPr>
          <w:sz w:val="22"/>
          <w:szCs w:val="22"/>
          <w:lang w:val="en-AU"/>
        </w:rPr>
        <w:t xml:space="preserve">. These policy settings are </w:t>
      </w:r>
      <w:r w:rsidR="00FD2078">
        <w:rPr>
          <w:sz w:val="22"/>
          <w:szCs w:val="22"/>
          <w:lang w:val="en-AU"/>
        </w:rPr>
        <w:t xml:space="preserve">highly </w:t>
      </w:r>
      <w:r>
        <w:rPr>
          <w:sz w:val="22"/>
          <w:szCs w:val="22"/>
          <w:lang w:val="en-AU"/>
        </w:rPr>
        <w:t>intertwined with the tax system and hirmaa believes they should be considered as part of the Panel’s review. In particular, the Panel may wish to consider how these policy settings could be refined in order to improve the effectiveness and efficiency of the tax system and to achieve a more efficient use of Government resources.</w:t>
      </w:r>
    </w:p>
    <w:p w14:paraId="03AA02F5" w14:textId="77777777" w:rsidR="00BD4A67" w:rsidRDefault="00BD4A67" w:rsidP="00C2077C">
      <w:pPr>
        <w:pStyle w:val="Default"/>
        <w:rPr>
          <w:sz w:val="22"/>
          <w:szCs w:val="22"/>
          <w:lang w:val="en-AU"/>
        </w:rPr>
      </w:pPr>
    </w:p>
    <w:p w14:paraId="2C40151F" w14:textId="77777777" w:rsidR="00BD4A67" w:rsidRDefault="00BD4A67" w:rsidP="00BD4A67">
      <w:pPr>
        <w:pStyle w:val="Default"/>
        <w:rPr>
          <w:color w:val="000000" w:themeColor="text1"/>
          <w:sz w:val="22"/>
          <w:szCs w:val="20"/>
          <w:lang w:val="en-AU"/>
        </w:rPr>
      </w:pPr>
      <w:r w:rsidRPr="00BD4A67">
        <w:rPr>
          <w:sz w:val="22"/>
          <w:szCs w:val="20"/>
          <w:lang w:val="en-AU"/>
        </w:rPr>
        <w:t xml:space="preserve">Given that </w:t>
      </w:r>
      <w:r w:rsidRPr="00BD4A67">
        <w:rPr>
          <w:color w:val="000000" w:themeColor="text1"/>
          <w:sz w:val="22"/>
          <w:szCs w:val="20"/>
          <w:lang w:val="en-AU"/>
        </w:rPr>
        <w:t xml:space="preserve">Australian Governments pay for 34.5% of the cost of treatment in the private system, </w:t>
      </w:r>
      <w:r>
        <w:rPr>
          <w:color w:val="000000" w:themeColor="text1"/>
          <w:sz w:val="22"/>
          <w:szCs w:val="20"/>
          <w:lang w:val="en-AU"/>
        </w:rPr>
        <w:t>compared to</w:t>
      </w:r>
      <w:r w:rsidR="001C4A65">
        <w:rPr>
          <w:color w:val="000000" w:themeColor="text1"/>
          <w:sz w:val="22"/>
          <w:szCs w:val="20"/>
          <w:lang w:val="en-AU"/>
        </w:rPr>
        <w:t xml:space="preserve"> 91.6</w:t>
      </w:r>
      <w:r w:rsidRPr="00BD4A67">
        <w:rPr>
          <w:color w:val="000000" w:themeColor="text1"/>
          <w:sz w:val="22"/>
          <w:szCs w:val="20"/>
          <w:lang w:val="en-AU"/>
        </w:rPr>
        <w:t>% of the cost of</w:t>
      </w:r>
      <w:r>
        <w:rPr>
          <w:color w:val="000000" w:themeColor="text1"/>
          <w:sz w:val="22"/>
          <w:szCs w:val="20"/>
          <w:lang w:val="en-AU"/>
        </w:rPr>
        <w:t xml:space="preserve"> treatment in the public system,</w:t>
      </w:r>
      <w:r w:rsidR="0012243F">
        <w:rPr>
          <w:rStyle w:val="FootnoteReference"/>
          <w:color w:val="000000" w:themeColor="text1"/>
          <w:sz w:val="22"/>
          <w:szCs w:val="20"/>
          <w:lang w:val="en-AU"/>
        </w:rPr>
        <w:footnoteReference w:id="15"/>
      </w:r>
      <w:r>
        <w:rPr>
          <w:color w:val="000000" w:themeColor="text1"/>
          <w:sz w:val="22"/>
          <w:szCs w:val="20"/>
          <w:lang w:val="en-AU"/>
        </w:rPr>
        <w:t xml:space="preserve"> hirmaa believes policy settings in PHI should </w:t>
      </w:r>
      <w:r w:rsidR="00FD2078">
        <w:rPr>
          <w:color w:val="000000" w:themeColor="text1"/>
          <w:sz w:val="22"/>
          <w:szCs w:val="20"/>
          <w:lang w:val="en-AU"/>
        </w:rPr>
        <w:t xml:space="preserve">be </w:t>
      </w:r>
      <w:r>
        <w:rPr>
          <w:color w:val="000000" w:themeColor="text1"/>
          <w:sz w:val="22"/>
          <w:szCs w:val="20"/>
          <w:lang w:val="en-AU"/>
        </w:rPr>
        <w:t>enhanced with a view to increasing private health insurance participation further.</w:t>
      </w:r>
    </w:p>
    <w:p w14:paraId="31770EDE" w14:textId="77777777" w:rsidR="00BD4A67" w:rsidRPr="00BD4A67" w:rsidRDefault="00BD4A67" w:rsidP="00BD4A67">
      <w:pPr>
        <w:pStyle w:val="Default"/>
        <w:rPr>
          <w:sz w:val="22"/>
          <w:szCs w:val="20"/>
          <w:lang w:val="en-AU"/>
        </w:rPr>
      </w:pPr>
    </w:p>
    <w:p w14:paraId="3F8234DD" w14:textId="77777777" w:rsidR="00BD4A67" w:rsidRPr="00C2077C" w:rsidRDefault="00BD4A67" w:rsidP="00C2077C">
      <w:pPr>
        <w:pStyle w:val="Default"/>
        <w:rPr>
          <w:sz w:val="22"/>
          <w:szCs w:val="22"/>
          <w:lang w:val="en-AU"/>
        </w:rPr>
      </w:pPr>
    </w:p>
    <w:p w14:paraId="0132D071" w14:textId="77777777" w:rsidR="00BD4A67" w:rsidRPr="00BD4A67" w:rsidRDefault="00BD4A67" w:rsidP="00BD4A67">
      <w:pPr>
        <w:pStyle w:val="Default"/>
        <w:numPr>
          <w:ilvl w:val="0"/>
          <w:numId w:val="12"/>
        </w:numPr>
        <w:ind w:left="0"/>
        <w:rPr>
          <w:sz w:val="22"/>
          <w:szCs w:val="22"/>
          <w:u w:val="single"/>
          <w:lang w:val="en-AU"/>
        </w:rPr>
      </w:pPr>
      <w:r w:rsidRPr="00BD4A67">
        <w:rPr>
          <w:sz w:val="22"/>
          <w:szCs w:val="22"/>
          <w:u w:val="single"/>
          <w:lang w:val="en-AU"/>
        </w:rPr>
        <w:t>Retaining and refining current policy levers in private health insurance</w:t>
      </w:r>
    </w:p>
    <w:p w14:paraId="15731D79" w14:textId="77777777" w:rsidR="00C2077C" w:rsidRDefault="00C2077C" w:rsidP="00C2077C">
      <w:pPr>
        <w:pStyle w:val="Default"/>
        <w:rPr>
          <w:b/>
          <w:sz w:val="22"/>
          <w:szCs w:val="22"/>
          <w:lang w:val="en-AU"/>
        </w:rPr>
      </w:pPr>
    </w:p>
    <w:p w14:paraId="7C3E7B0E" w14:textId="77777777" w:rsidR="00C2077C" w:rsidRDefault="00BD4A67" w:rsidP="00C2077C">
      <w:pPr>
        <w:pStyle w:val="Default"/>
        <w:rPr>
          <w:i/>
          <w:sz w:val="22"/>
          <w:szCs w:val="22"/>
          <w:lang w:val="en-AU"/>
        </w:rPr>
      </w:pPr>
      <w:r>
        <w:rPr>
          <w:i/>
          <w:sz w:val="22"/>
          <w:szCs w:val="22"/>
          <w:lang w:val="en-AU"/>
        </w:rPr>
        <w:t>The Medicare Levy Surcharge</w:t>
      </w:r>
      <w:r w:rsidR="00DE3D75">
        <w:rPr>
          <w:i/>
          <w:sz w:val="22"/>
          <w:szCs w:val="22"/>
          <w:lang w:val="en-AU"/>
        </w:rPr>
        <w:t xml:space="preserve"> (MLS)</w:t>
      </w:r>
    </w:p>
    <w:p w14:paraId="0403B419" w14:textId="77777777" w:rsidR="00BD4A67" w:rsidRDefault="00BD4A67" w:rsidP="00C2077C">
      <w:pPr>
        <w:pStyle w:val="Default"/>
        <w:rPr>
          <w:sz w:val="22"/>
          <w:szCs w:val="22"/>
          <w:lang w:val="en-AU"/>
        </w:rPr>
      </w:pPr>
    </w:p>
    <w:p w14:paraId="1D20E373" w14:textId="77777777" w:rsidR="008A6EA6" w:rsidRDefault="00DE3D75" w:rsidP="00C2077C">
      <w:pPr>
        <w:pStyle w:val="Default"/>
        <w:rPr>
          <w:sz w:val="22"/>
          <w:szCs w:val="22"/>
          <w:lang w:val="en-AU"/>
        </w:rPr>
      </w:pPr>
      <w:r>
        <w:rPr>
          <w:sz w:val="22"/>
          <w:szCs w:val="22"/>
          <w:lang w:val="en-AU"/>
        </w:rPr>
        <w:t>The MLS is a tax on personal income, applied</w:t>
      </w:r>
      <w:r w:rsidR="008A6EA6">
        <w:rPr>
          <w:sz w:val="22"/>
          <w:szCs w:val="22"/>
          <w:lang w:val="en-AU"/>
        </w:rPr>
        <w:t xml:space="preserve"> if a person is earning over a certain threshold and has not taken out private hospital insurance.</w:t>
      </w:r>
    </w:p>
    <w:p w14:paraId="11C26761" w14:textId="77777777" w:rsidR="008A6EA6" w:rsidRDefault="008A6EA6" w:rsidP="00C2077C">
      <w:pPr>
        <w:pStyle w:val="Default"/>
        <w:rPr>
          <w:sz w:val="22"/>
          <w:szCs w:val="22"/>
          <w:lang w:val="en-AU"/>
        </w:rPr>
      </w:pPr>
    </w:p>
    <w:p w14:paraId="6A04BB58" w14:textId="77777777" w:rsidR="008A6EA6" w:rsidRDefault="008A6EA6" w:rsidP="00C2077C">
      <w:pPr>
        <w:pStyle w:val="Default"/>
        <w:rPr>
          <w:sz w:val="22"/>
          <w:szCs w:val="22"/>
          <w:lang w:val="en-AU"/>
        </w:rPr>
      </w:pPr>
      <w:r>
        <w:rPr>
          <w:sz w:val="22"/>
          <w:szCs w:val="22"/>
          <w:lang w:val="en-AU"/>
        </w:rPr>
        <w:t>The tax rates are currently set as outlined below</w:t>
      </w:r>
      <w:r w:rsidR="0012243F">
        <w:rPr>
          <w:sz w:val="22"/>
          <w:szCs w:val="22"/>
          <w:lang w:val="en-AU"/>
        </w:rPr>
        <w:t>.</w:t>
      </w:r>
      <w:r w:rsidR="0012243F" w:rsidRPr="0012243F">
        <w:rPr>
          <w:rStyle w:val="FootnoteReference"/>
          <w:sz w:val="22"/>
          <w:szCs w:val="22"/>
          <w:lang w:val="en-AU"/>
        </w:rPr>
        <w:t xml:space="preserve"> </w:t>
      </w:r>
      <w:r w:rsidR="0012243F">
        <w:rPr>
          <w:rStyle w:val="FootnoteReference"/>
          <w:sz w:val="22"/>
          <w:szCs w:val="22"/>
          <w:lang w:val="en-AU"/>
        </w:rPr>
        <w:footnoteReference w:id="16"/>
      </w:r>
    </w:p>
    <w:p w14:paraId="52940745" w14:textId="77777777" w:rsidR="008A6EA6" w:rsidRDefault="008A6EA6" w:rsidP="00C2077C">
      <w:pPr>
        <w:pStyle w:val="Default"/>
        <w:rPr>
          <w:sz w:val="22"/>
          <w:szCs w:val="22"/>
          <w:lang w:val="en-AU"/>
        </w:rPr>
      </w:pPr>
      <w:r>
        <w:rPr>
          <w:sz w:val="22"/>
          <w:szCs w:val="22"/>
          <w:lang w:val="en-AU"/>
        </w:rPr>
        <w:t xml:space="preserve"> </w:t>
      </w:r>
    </w:p>
    <w:p w14:paraId="13E7B5EA" w14:textId="77777777" w:rsidR="00921CDB" w:rsidRDefault="008A6EA6" w:rsidP="00C2077C">
      <w:pPr>
        <w:pStyle w:val="Default"/>
        <w:rPr>
          <w:sz w:val="22"/>
          <w:szCs w:val="22"/>
          <w:lang w:val="en-AU"/>
        </w:rPr>
      </w:pPr>
      <w:r w:rsidRPr="006C6C0C">
        <w:rPr>
          <w:noProof/>
          <w:lang w:val="en-AU" w:eastAsia="en-AU"/>
        </w:rPr>
        <w:drawing>
          <wp:inline distT="0" distB="0" distL="0" distR="0" wp14:anchorId="0AE33686" wp14:editId="49AF68C7">
            <wp:extent cx="3719005" cy="20116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0988A95.tmp"/>
                    <pic:cNvPicPr/>
                  </pic:nvPicPr>
                  <pic:blipFill>
                    <a:blip r:embed="rId22">
                      <a:extLst>
                        <a:ext uri="{28A0092B-C50C-407E-A947-70E740481C1C}">
                          <a14:useLocalDpi xmlns:a14="http://schemas.microsoft.com/office/drawing/2010/main" val="0"/>
                        </a:ext>
                      </a:extLst>
                    </a:blip>
                    <a:stretch>
                      <a:fillRect/>
                    </a:stretch>
                  </pic:blipFill>
                  <pic:spPr>
                    <a:xfrm>
                      <a:off x="0" y="0"/>
                      <a:ext cx="3728543" cy="2016839"/>
                    </a:xfrm>
                    <a:prstGeom prst="rect">
                      <a:avLst/>
                    </a:prstGeom>
                  </pic:spPr>
                </pic:pic>
              </a:graphicData>
            </a:graphic>
          </wp:inline>
        </w:drawing>
      </w:r>
      <w:r w:rsidRPr="006C6C0C">
        <w:rPr>
          <w:lang w:val="en-AU"/>
        </w:rPr>
        <w:br/>
      </w:r>
      <w:r w:rsidR="00DE3D75">
        <w:rPr>
          <w:sz w:val="22"/>
          <w:szCs w:val="22"/>
          <w:lang w:val="en-AU"/>
        </w:rPr>
        <w:br/>
      </w:r>
      <w:r w:rsidR="00BD4A67">
        <w:rPr>
          <w:sz w:val="22"/>
          <w:szCs w:val="22"/>
          <w:lang w:val="en-AU"/>
        </w:rPr>
        <w:t>According to the Australian Tax Office, there were 199,295 Australians paying the Medicare Levy Surcharge in 2012-13.</w:t>
      </w:r>
      <w:r w:rsidR="00BD4A67">
        <w:rPr>
          <w:rStyle w:val="FootnoteReference"/>
          <w:sz w:val="22"/>
          <w:szCs w:val="22"/>
          <w:lang w:val="en-AU"/>
        </w:rPr>
        <w:footnoteReference w:id="17"/>
      </w:r>
      <w:r w:rsidR="00BD4A67">
        <w:rPr>
          <w:sz w:val="22"/>
          <w:szCs w:val="22"/>
          <w:lang w:val="en-AU"/>
        </w:rPr>
        <w:t xml:space="preserve"> While this raised $249m in tax revenue, </w:t>
      </w:r>
      <w:r w:rsidR="00921CDB">
        <w:rPr>
          <w:sz w:val="22"/>
          <w:szCs w:val="22"/>
          <w:lang w:val="en-AU"/>
        </w:rPr>
        <w:t>conservativ</w:t>
      </w:r>
      <w:r w:rsidR="00952AC4">
        <w:rPr>
          <w:sz w:val="22"/>
          <w:szCs w:val="22"/>
          <w:lang w:val="en-AU"/>
        </w:rPr>
        <w:t>e estimates would suggest that this tax revenue does not offset the public hospital expenditure attributed to these 199,295 Australians</w:t>
      </w:r>
      <w:r w:rsidR="00C03648">
        <w:rPr>
          <w:sz w:val="22"/>
          <w:szCs w:val="22"/>
          <w:lang w:val="en-AU"/>
        </w:rPr>
        <w:t>:</w:t>
      </w:r>
    </w:p>
    <w:p w14:paraId="3B3A8F4D" w14:textId="77777777" w:rsidR="00921CDB" w:rsidRDefault="00921CDB" w:rsidP="00C2077C">
      <w:pPr>
        <w:pStyle w:val="Default"/>
        <w:rPr>
          <w:sz w:val="22"/>
          <w:szCs w:val="22"/>
          <w:lang w:val="en-AU"/>
        </w:rPr>
      </w:pPr>
      <w:r>
        <w:rPr>
          <w:sz w:val="22"/>
          <w:szCs w:val="22"/>
          <w:lang w:val="en-AU"/>
        </w:rPr>
        <w:lastRenderedPageBreak/>
        <w:t>According to the Australian Institute for Health and Welfare, expenditure on public hospital services was $43.9 billion in 2012-13.</w:t>
      </w:r>
      <w:r>
        <w:rPr>
          <w:rStyle w:val="FootnoteReference"/>
          <w:sz w:val="22"/>
          <w:szCs w:val="22"/>
          <w:lang w:val="en-AU"/>
        </w:rPr>
        <w:footnoteReference w:id="18"/>
      </w:r>
      <w:r w:rsidR="00BD4A67">
        <w:rPr>
          <w:sz w:val="22"/>
          <w:szCs w:val="22"/>
          <w:lang w:val="en-AU"/>
        </w:rPr>
        <w:t xml:space="preserve"> </w:t>
      </w:r>
      <w:r>
        <w:rPr>
          <w:sz w:val="22"/>
          <w:szCs w:val="22"/>
          <w:lang w:val="en-AU"/>
        </w:rPr>
        <w:t>Assuming a population of 23.58 million</w:t>
      </w:r>
      <w:r>
        <w:rPr>
          <w:rStyle w:val="FootnoteReference"/>
          <w:sz w:val="22"/>
          <w:szCs w:val="22"/>
          <w:lang w:val="en-AU"/>
        </w:rPr>
        <w:footnoteReference w:id="19"/>
      </w:r>
      <w:r>
        <w:rPr>
          <w:sz w:val="22"/>
          <w:szCs w:val="22"/>
          <w:lang w:val="en-AU"/>
        </w:rPr>
        <w:t>, this would suggest an average annual spend per person of $1,861.75.</w:t>
      </w:r>
    </w:p>
    <w:p w14:paraId="509846C7" w14:textId="77777777" w:rsidR="00921CDB" w:rsidRDefault="00921CDB" w:rsidP="00C2077C">
      <w:pPr>
        <w:pStyle w:val="Default"/>
        <w:rPr>
          <w:sz w:val="22"/>
          <w:szCs w:val="22"/>
          <w:lang w:val="en-AU"/>
        </w:rPr>
      </w:pPr>
    </w:p>
    <w:p w14:paraId="7CE016E8" w14:textId="77777777" w:rsidR="00BD4A67" w:rsidRDefault="00921CDB" w:rsidP="00C2077C">
      <w:pPr>
        <w:pStyle w:val="Default"/>
        <w:rPr>
          <w:sz w:val="22"/>
          <w:szCs w:val="22"/>
          <w:lang w:val="en-AU"/>
        </w:rPr>
      </w:pPr>
      <w:r>
        <w:rPr>
          <w:sz w:val="22"/>
          <w:szCs w:val="22"/>
          <w:lang w:val="en-AU"/>
        </w:rPr>
        <w:t>This figure is not adjusting for the fact that many millions of Australians have private health insurance and do not receive treatment in a public hospital –</w:t>
      </w:r>
      <w:r w:rsidR="00C03648">
        <w:rPr>
          <w:sz w:val="22"/>
          <w:szCs w:val="22"/>
          <w:lang w:val="en-AU"/>
        </w:rPr>
        <w:t xml:space="preserve"> in actuality,</w:t>
      </w:r>
      <w:r>
        <w:rPr>
          <w:sz w:val="22"/>
          <w:szCs w:val="22"/>
          <w:lang w:val="en-AU"/>
        </w:rPr>
        <w:t xml:space="preserve"> the average spend per public</w:t>
      </w:r>
      <w:r w:rsidR="00FD2078">
        <w:rPr>
          <w:sz w:val="22"/>
          <w:szCs w:val="22"/>
          <w:lang w:val="en-AU"/>
        </w:rPr>
        <w:t xml:space="preserve"> health-system</w:t>
      </w:r>
      <w:r>
        <w:rPr>
          <w:sz w:val="22"/>
          <w:szCs w:val="22"/>
          <w:lang w:val="en-AU"/>
        </w:rPr>
        <w:t xml:space="preserve"> patient is likely to be much higher</w:t>
      </w:r>
      <w:r w:rsidR="00C03648">
        <w:rPr>
          <w:sz w:val="22"/>
          <w:szCs w:val="22"/>
          <w:lang w:val="en-AU"/>
        </w:rPr>
        <w:t xml:space="preserve"> than $1,861.75.</w:t>
      </w:r>
    </w:p>
    <w:p w14:paraId="3BDBC196" w14:textId="77777777" w:rsidR="00921CDB" w:rsidRDefault="00921CDB" w:rsidP="00C2077C">
      <w:pPr>
        <w:pStyle w:val="Default"/>
        <w:rPr>
          <w:sz w:val="22"/>
          <w:szCs w:val="22"/>
          <w:lang w:val="en-AU"/>
        </w:rPr>
      </w:pPr>
    </w:p>
    <w:p w14:paraId="789E6258" w14:textId="77777777" w:rsidR="00921CDB" w:rsidRDefault="001C4A65" w:rsidP="00C2077C">
      <w:pPr>
        <w:pStyle w:val="Default"/>
        <w:rPr>
          <w:sz w:val="22"/>
          <w:szCs w:val="22"/>
          <w:lang w:val="en-AU"/>
        </w:rPr>
      </w:pPr>
      <w:r>
        <w:rPr>
          <w:sz w:val="22"/>
          <w:szCs w:val="22"/>
          <w:lang w:val="en-AU"/>
        </w:rPr>
        <w:t>Given that 91.6</w:t>
      </w:r>
      <w:r w:rsidR="00921CDB">
        <w:rPr>
          <w:sz w:val="22"/>
          <w:szCs w:val="22"/>
          <w:lang w:val="en-AU"/>
        </w:rPr>
        <w:t xml:space="preserve">% of the cost of treatment in a public hospital is Government funded, Government outlays on </w:t>
      </w:r>
      <w:r w:rsidR="00C03648">
        <w:rPr>
          <w:sz w:val="22"/>
          <w:szCs w:val="22"/>
          <w:lang w:val="en-AU"/>
        </w:rPr>
        <w:t>public</w:t>
      </w:r>
      <w:r w:rsidR="00921CDB">
        <w:rPr>
          <w:sz w:val="22"/>
          <w:szCs w:val="22"/>
          <w:lang w:val="en-AU"/>
        </w:rPr>
        <w:t xml:space="preserve"> </w:t>
      </w:r>
      <w:r w:rsidR="00C03648">
        <w:rPr>
          <w:sz w:val="22"/>
          <w:szCs w:val="22"/>
          <w:lang w:val="en-AU"/>
        </w:rPr>
        <w:t xml:space="preserve">hospital treatment for the </w:t>
      </w:r>
      <w:r w:rsidR="00921CDB">
        <w:rPr>
          <w:sz w:val="22"/>
          <w:szCs w:val="22"/>
          <w:lang w:val="en-AU"/>
        </w:rPr>
        <w:t xml:space="preserve">$199,295 people not paying the Medicare Levy Surcharge is conservatively estimated at </w:t>
      </w:r>
      <w:r w:rsidR="00952AC4">
        <w:rPr>
          <w:b/>
          <w:sz w:val="22"/>
          <w:szCs w:val="22"/>
          <w:lang w:val="en-AU"/>
        </w:rPr>
        <w:t>$339.87</w:t>
      </w:r>
      <w:r w:rsidR="00921CDB" w:rsidRPr="00C03648">
        <w:rPr>
          <w:b/>
          <w:sz w:val="22"/>
          <w:szCs w:val="22"/>
          <w:lang w:val="en-AU"/>
        </w:rPr>
        <w:t>m</w:t>
      </w:r>
      <w:r w:rsidR="00921CDB">
        <w:rPr>
          <w:sz w:val="22"/>
          <w:szCs w:val="22"/>
          <w:lang w:val="en-AU"/>
        </w:rPr>
        <w:t xml:space="preserve"> annually, well in excess of </w:t>
      </w:r>
      <w:r w:rsidR="00C03648">
        <w:rPr>
          <w:sz w:val="22"/>
          <w:szCs w:val="22"/>
          <w:lang w:val="en-AU"/>
        </w:rPr>
        <w:t xml:space="preserve">the MLS </w:t>
      </w:r>
      <w:r w:rsidR="00921CDB">
        <w:rPr>
          <w:sz w:val="22"/>
          <w:szCs w:val="22"/>
          <w:lang w:val="en-AU"/>
        </w:rPr>
        <w:t>tax receipts.</w:t>
      </w:r>
    </w:p>
    <w:p w14:paraId="6F2FB56A" w14:textId="77777777" w:rsidR="00C03648" w:rsidRDefault="00C03648" w:rsidP="00C2077C">
      <w:pPr>
        <w:pStyle w:val="Default"/>
        <w:rPr>
          <w:sz w:val="22"/>
          <w:szCs w:val="22"/>
          <w:lang w:val="en-AU"/>
        </w:rPr>
      </w:pPr>
    </w:p>
    <w:p w14:paraId="144F8F7C" w14:textId="77777777" w:rsidR="00C03648" w:rsidRDefault="00C03648" w:rsidP="00C2077C">
      <w:pPr>
        <w:pStyle w:val="Default"/>
        <w:rPr>
          <w:b/>
          <w:sz w:val="22"/>
          <w:szCs w:val="22"/>
          <w:lang w:val="en-AU"/>
        </w:rPr>
      </w:pPr>
      <w:proofErr w:type="gramStart"/>
      <w:r>
        <w:rPr>
          <w:b/>
          <w:sz w:val="22"/>
          <w:szCs w:val="22"/>
          <w:lang w:val="en-AU"/>
        </w:rPr>
        <w:t>hirmaa</w:t>
      </w:r>
      <w:proofErr w:type="gramEnd"/>
      <w:r>
        <w:rPr>
          <w:b/>
          <w:sz w:val="22"/>
          <w:szCs w:val="22"/>
          <w:lang w:val="en-AU"/>
        </w:rPr>
        <w:t xml:space="preserve"> advocates for an increase in the Medicare Levy Surcharge to incentivise </w:t>
      </w:r>
      <w:r w:rsidR="00FD1090">
        <w:rPr>
          <w:b/>
          <w:sz w:val="22"/>
          <w:szCs w:val="22"/>
          <w:lang w:val="en-AU"/>
        </w:rPr>
        <w:t>greater take-up of private health insurance.</w:t>
      </w:r>
    </w:p>
    <w:p w14:paraId="4B4031C8" w14:textId="77777777" w:rsidR="00FD1090" w:rsidRDefault="00FD1090" w:rsidP="00C2077C">
      <w:pPr>
        <w:pStyle w:val="Default"/>
        <w:rPr>
          <w:b/>
          <w:sz w:val="22"/>
          <w:szCs w:val="22"/>
          <w:lang w:val="en-AU"/>
        </w:rPr>
      </w:pPr>
    </w:p>
    <w:p w14:paraId="78C2A629" w14:textId="77777777" w:rsidR="00FD1090" w:rsidRPr="00FD1090" w:rsidRDefault="00FD1090" w:rsidP="00C2077C">
      <w:pPr>
        <w:pStyle w:val="Default"/>
        <w:rPr>
          <w:sz w:val="22"/>
          <w:szCs w:val="22"/>
          <w:lang w:val="en-AU"/>
        </w:rPr>
      </w:pPr>
      <w:proofErr w:type="gramStart"/>
      <w:r w:rsidRPr="00FD1090">
        <w:rPr>
          <w:sz w:val="22"/>
          <w:szCs w:val="22"/>
          <w:lang w:val="en-AU"/>
        </w:rPr>
        <w:t>hirmaa</w:t>
      </w:r>
      <w:proofErr w:type="gramEnd"/>
      <w:r w:rsidRPr="00FD1090">
        <w:rPr>
          <w:sz w:val="22"/>
          <w:szCs w:val="22"/>
          <w:lang w:val="en-AU"/>
        </w:rPr>
        <w:t xml:space="preserve"> believes that any increase in the Medicare Levy Surcharge would result in positive outcomes for both industry and Government</w:t>
      </w:r>
      <w:r>
        <w:rPr>
          <w:sz w:val="22"/>
          <w:szCs w:val="22"/>
          <w:lang w:val="en-AU"/>
        </w:rPr>
        <w:t>. We note that the National Commission of Audit recommended increasing the MLS to between 3-3.5%.</w:t>
      </w:r>
      <w:r w:rsidR="004B2FF1">
        <w:rPr>
          <w:rStyle w:val="FootnoteReference"/>
          <w:sz w:val="22"/>
          <w:szCs w:val="22"/>
          <w:lang w:val="en-AU"/>
        </w:rPr>
        <w:footnoteReference w:id="20"/>
      </w:r>
    </w:p>
    <w:p w14:paraId="5E6D714C" w14:textId="77777777" w:rsidR="00BD4A67" w:rsidRDefault="00134779" w:rsidP="00C2077C">
      <w:pPr>
        <w:pStyle w:val="Default"/>
        <w:rPr>
          <w:i/>
          <w:sz w:val="22"/>
          <w:szCs w:val="22"/>
          <w:lang w:val="en-AU"/>
        </w:rPr>
      </w:pPr>
      <w:r>
        <w:rPr>
          <w:sz w:val="22"/>
          <w:szCs w:val="22"/>
          <w:lang w:val="en-AU"/>
        </w:rPr>
        <w:br/>
      </w:r>
      <w:r w:rsidR="00DE3D75">
        <w:rPr>
          <w:i/>
          <w:sz w:val="22"/>
          <w:szCs w:val="22"/>
          <w:lang w:val="en-AU"/>
        </w:rPr>
        <w:br/>
        <w:t xml:space="preserve">Lifetime health cover </w:t>
      </w:r>
      <w:r w:rsidR="008A6EA6">
        <w:rPr>
          <w:i/>
          <w:sz w:val="22"/>
          <w:szCs w:val="22"/>
          <w:lang w:val="en-AU"/>
        </w:rPr>
        <w:t xml:space="preserve">(LHC) </w:t>
      </w:r>
      <w:r w:rsidR="00DE3D75">
        <w:rPr>
          <w:i/>
          <w:sz w:val="22"/>
          <w:szCs w:val="22"/>
          <w:lang w:val="en-AU"/>
        </w:rPr>
        <w:t>loadings</w:t>
      </w:r>
    </w:p>
    <w:p w14:paraId="27A05AEF" w14:textId="77777777" w:rsidR="00DE3D75" w:rsidRDefault="00DE3D75" w:rsidP="00C2077C">
      <w:pPr>
        <w:pStyle w:val="Default"/>
        <w:rPr>
          <w:i/>
          <w:sz w:val="22"/>
          <w:szCs w:val="22"/>
          <w:lang w:val="en-AU"/>
        </w:rPr>
      </w:pPr>
    </w:p>
    <w:p w14:paraId="4DCD52FF" w14:textId="77777777" w:rsidR="008A6EA6" w:rsidRDefault="008A6EA6" w:rsidP="00D353DB">
      <w:r>
        <w:t>LHC loadings are applied when an individual takes out private hospital insurance, for the first time, after the age of 30. The loadings are applied to the individual’s insurance premiums and increase at 2% increments (up to a maximum of 70%) depending on their age of entry. The loadings continue at the defined rate for 10 years before being removed.</w:t>
      </w:r>
    </w:p>
    <w:p w14:paraId="58F5E81D" w14:textId="77777777" w:rsidR="008A6EA6" w:rsidRPr="008A6EA6" w:rsidRDefault="008A6EA6" w:rsidP="00D353DB">
      <w:r>
        <w:t>As at the end of the December 2014 quarter, there were 1,184,615 people with a certified age of entry of more than 30 and subject to a LHC loading.</w:t>
      </w:r>
      <w:r>
        <w:rPr>
          <w:rStyle w:val="FootnoteReference"/>
        </w:rPr>
        <w:footnoteReference w:id="21"/>
      </w:r>
    </w:p>
    <w:p w14:paraId="6CD67474" w14:textId="77777777" w:rsidR="0032634C" w:rsidRDefault="00DE3D75" w:rsidP="00D353DB">
      <w:pPr>
        <w:rPr>
          <w:b/>
        </w:rPr>
      </w:pPr>
      <w:proofErr w:type="gramStart"/>
      <w:r w:rsidRPr="00DE3D75">
        <w:rPr>
          <w:b/>
        </w:rPr>
        <w:t>hirmaa</w:t>
      </w:r>
      <w:proofErr w:type="gramEnd"/>
      <w:r w:rsidRPr="00DE3D75">
        <w:rPr>
          <w:b/>
        </w:rPr>
        <w:t xml:space="preserve"> supports the retention of the Lifetime Health Cover loading, noting its effectiveness in incentivising the uptake of private health insurance.</w:t>
      </w:r>
    </w:p>
    <w:p w14:paraId="7A3E70C3" w14:textId="77777777" w:rsidR="00DE3D75" w:rsidRDefault="001436A5" w:rsidP="001436A5">
      <w:r>
        <w:t xml:space="preserve">However, we suggest that given over 1m Australians are paying a loading, more could be done to incentivise early uptake of PHI. </w:t>
      </w:r>
      <w:proofErr w:type="gramStart"/>
      <w:r>
        <w:t>hirmaa</w:t>
      </w:r>
      <w:proofErr w:type="gramEnd"/>
      <w:r>
        <w:t xml:space="preserve"> suggests the Panel consider options to improve LHC</w:t>
      </w:r>
      <w:r w:rsidR="00672EE0">
        <w:t xml:space="preserve"> policy</w:t>
      </w:r>
      <w:r>
        <w:t xml:space="preserve"> settings, including, but not limited to, the option of discounts for those joining under the age of 30.</w:t>
      </w:r>
    </w:p>
    <w:p w14:paraId="4878D4F6" w14:textId="77777777" w:rsidR="001436A5" w:rsidRDefault="001436A5" w:rsidP="001436A5"/>
    <w:p w14:paraId="5E8EBF67" w14:textId="77777777" w:rsidR="00B650EA" w:rsidRDefault="00B650EA" w:rsidP="001436A5">
      <w:pPr>
        <w:rPr>
          <w:i/>
        </w:rPr>
      </w:pPr>
    </w:p>
    <w:p w14:paraId="2551AAAF" w14:textId="77777777" w:rsidR="00B650EA" w:rsidRDefault="00B650EA" w:rsidP="001436A5">
      <w:pPr>
        <w:rPr>
          <w:i/>
        </w:rPr>
      </w:pPr>
    </w:p>
    <w:p w14:paraId="490DD45D" w14:textId="77777777" w:rsidR="001436A5" w:rsidRDefault="001436A5" w:rsidP="001436A5">
      <w:pPr>
        <w:rPr>
          <w:i/>
        </w:rPr>
      </w:pPr>
      <w:r>
        <w:rPr>
          <w:i/>
        </w:rPr>
        <w:t>The rebate on private health insurance</w:t>
      </w:r>
    </w:p>
    <w:p w14:paraId="3298D6FE" w14:textId="77777777" w:rsidR="00B650EA" w:rsidRDefault="00B650EA" w:rsidP="001436A5">
      <w:proofErr w:type="gramStart"/>
      <w:r>
        <w:lastRenderedPageBreak/>
        <w:t>hirmaa</w:t>
      </w:r>
      <w:proofErr w:type="gramEnd"/>
      <w:r>
        <w:t xml:space="preserve"> is of the view that the rebate on private health insurance provides a significant return on investment for the Government, given its role in incentivising the uptake of private health insurance and the cost-shifting from the public sector that </w:t>
      </w:r>
      <w:r w:rsidR="003F43EC">
        <w:t>follows</w:t>
      </w:r>
      <w:r>
        <w:t>. However, we acknowledge that the PHI rebate is a large and growing area of Government spending.</w:t>
      </w:r>
    </w:p>
    <w:p w14:paraId="2C7C94A2" w14:textId="77777777" w:rsidR="00B650EA" w:rsidRPr="00B650EA" w:rsidRDefault="00B650EA" w:rsidP="001436A5">
      <w:r>
        <w:t>The approach of the previous Government was to reduce support for the rebate with a string of cost-saving measures that reduced the incentive to take out an</w:t>
      </w:r>
      <w:r w:rsidR="00672EE0">
        <w:t>d maintain private health cover:</w:t>
      </w:r>
    </w:p>
    <w:p w14:paraId="425ED3D5" w14:textId="77777777" w:rsidR="00B650EA" w:rsidRPr="00B650EA" w:rsidRDefault="001436A5" w:rsidP="001436A5">
      <w:pPr>
        <w:pStyle w:val="ListParagraph"/>
        <w:numPr>
          <w:ilvl w:val="0"/>
          <w:numId w:val="15"/>
        </w:numPr>
        <w:rPr>
          <w:szCs w:val="24"/>
        </w:rPr>
      </w:pPr>
      <w:r w:rsidRPr="00B650EA">
        <w:rPr>
          <w:szCs w:val="24"/>
        </w:rPr>
        <w:t>The legislative package of 2011/12 (Fairer Private Health Insurance Incentives 2012 and allied legislation) introduced three new PHI incentive tiers reducing the amount of rebate for an eligible person with a complying policy.</w:t>
      </w:r>
      <w:r w:rsidR="00B650EA" w:rsidRPr="00B650EA">
        <w:rPr>
          <w:szCs w:val="24"/>
        </w:rPr>
        <w:br/>
      </w:r>
    </w:p>
    <w:p w14:paraId="4AF16912" w14:textId="77777777" w:rsidR="00B650EA" w:rsidRPr="00B650EA" w:rsidRDefault="00B650EA" w:rsidP="001436A5">
      <w:pPr>
        <w:pStyle w:val="ListParagraph"/>
        <w:numPr>
          <w:ilvl w:val="0"/>
          <w:numId w:val="15"/>
        </w:numPr>
        <w:rPr>
          <w:szCs w:val="24"/>
        </w:rPr>
      </w:pPr>
      <w:r>
        <w:rPr>
          <w:szCs w:val="24"/>
        </w:rPr>
        <w:t xml:space="preserve">The Private Health Insurance Legislation Amendment (Base Premium) Bill 2013 resulted in the rebate being </w:t>
      </w:r>
      <w:r w:rsidR="001436A5" w:rsidRPr="00B650EA">
        <w:rPr>
          <w:szCs w:val="24"/>
        </w:rPr>
        <w:t xml:space="preserve">indexed annually by the lesser of CPI or the actual increase in commercial premiums. </w:t>
      </w:r>
      <w:r>
        <w:rPr>
          <w:szCs w:val="24"/>
        </w:rPr>
        <w:t>(The ‘30%’ rebate reduced to 29.</w:t>
      </w:r>
      <w:r w:rsidR="007A7EF9">
        <w:rPr>
          <w:szCs w:val="24"/>
        </w:rPr>
        <w:t>04%</w:t>
      </w:r>
      <w:r>
        <w:rPr>
          <w:szCs w:val="24"/>
        </w:rPr>
        <w:t xml:space="preserve"> </w:t>
      </w:r>
      <w:r w:rsidR="007A7EF9">
        <w:rPr>
          <w:szCs w:val="24"/>
        </w:rPr>
        <w:t>in</w:t>
      </w:r>
      <w:r>
        <w:rPr>
          <w:szCs w:val="24"/>
        </w:rPr>
        <w:t xml:space="preserve"> 2014, then to 2</w:t>
      </w:r>
      <w:r w:rsidR="007A7EF9">
        <w:rPr>
          <w:szCs w:val="24"/>
        </w:rPr>
        <w:t>7.82%</w:t>
      </w:r>
      <w:r>
        <w:rPr>
          <w:szCs w:val="24"/>
        </w:rPr>
        <w:t xml:space="preserve"> </w:t>
      </w:r>
      <w:r w:rsidR="007A7EF9">
        <w:rPr>
          <w:szCs w:val="24"/>
        </w:rPr>
        <w:t>in</w:t>
      </w:r>
      <w:r>
        <w:rPr>
          <w:szCs w:val="24"/>
        </w:rPr>
        <w:t xml:space="preserve"> 2015 and will continue to fall annually).</w:t>
      </w:r>
      <w:r w:rsidR="003846DF">
        <w:rPr>
          <w:rStyle w:val="FootnoteReference"/>
          <w:szCs w:val="24"/>
        </w:rPr>
        <w:footnoteReference w:id="22"/>
      </w:r>
      <w:r w:rsidRPr="00B650EA">
        <w:rPr>
          <w:szCs w:val="24"/>
        </w:rPr>
        <w:br/>
      </w:r>
    </w:p>
    <w:p w14:paraId="2A58B773" w14:textId="77777777" w:rsidR="001436A5" w:rsidRDefault="00B650EA" w:rsidP="001436A5">
      <w:pPr>
        <w:pStyle w:val="ListParagraph"/>
        <w:numPr>
          <w:ilvl w:val="0"/>
          <w:numId w:val="15"/>
        </w:numPr>
        <w:rPr>
          <w:szCs w:val="24"/>
        </w:rPr>
      </w:pPr>
      <w:r>
        <w:rPr>
          <w:szCs w:val="24"/>
        </w:rPr>
        <w:t>T</w:t>
      </w:r>
      <w:r w:rsidR="001436A5" w:rsidRPr="00B650EA">
        <w:rPr>
          <w:szCs w:val="24"/>
        </w:rPr>
        <w:t xml:space="preserve">he Private Health Insurance Amendment (Lifetime Health Cover Loading and </w:t>
      </w:r>
      <w:r w:rsidR="00867D64">
        <w:rPr>
          <w:szCs w:val="24"/>
        </w:rPr>
        <w:t>Other Measures) Bill 2012 amended</w:t>
      </w:r>
      <w:r w:rsidR="001436A5" w:rsidRPr="00B650EA">
        <w:rPr>
          <w:szCs w:val="24"/>
        </w:rPr>
        <w:t xml:space="preserve"> the PHI Act so that the Australian Government rebate on PHI is no longer payable on the component of PHI premiums that have been increased because of </w:t>
      </w:r>
      <w:r w:rsidRPr="00B650EA">
        <w:rPr>
          <w:szCs w:val="24"/>
        </w:rPr>
        <w:t>the LHC loading</w:t>
      </w:r>
      <w:r w:rsidR="00867D64">
        <w:rPr>
          <w:szCs w:val="24"/>
        </w:rPr>
        <w:t>.</w:t>
      </w:r>
    </w:p>
    <w:p w14:paraId="28827D70" w14:textId="77777777" w:rsidR="00867D64" w:rsidRDefault="00867D64" w:rsidP="00867D64">
      <w:pPr>
        <w:rPr>
          <w:szCs w:val="24"/>
        </w:rPr>
      </w:pPr>
      <w:r>
        <w:rPr>
          <w:szCs w:val="24"/>
        </w:rPr>
        <w:t xml:space="preserve">These measures have had an adverse effect on affordability of health cover resulting in exacerbated downgrading trends. When members downgrade, costs shift back to the public health system – while the Government has made savings on the rebate through these measures, the net savings to Government can only be considered in the context of increased public hospital costs, as yet unquantified. </w:t>
      </w:r>
    </w:p>
    <w:p w14:paraId="3112F02E" w14:textId="77777777" w:rsidR="00867D64" w:rsidRDefault="00867D64" w:rsidP="00867D64">
      <w:pPr>
        <w:rPr>
          <w:szCs w:val="24"/>
        </w:rPr>
      </w:pPr>
      <w:proofErr w:type="gramStart"/>
      <w:r>
        <w:rPr>
          <w:szCs w:val="24"/>
        </w:rPr>
        <w:t>hirmaa</w:t>
      </w:r>
      <w:proofErr w:type="gramEnd"/>
      <w:r>
        <w:rPr>
          <w:szCs w:val="24"/>
        </w:rPr>
        <w:t xml:space="preserve"> believes that </w:t>
      </w:r>
      <w:r w:rsidR="00105B37">
        <w:rPr>
          <w:szCs w:val="24"/>
        </w:rPr>
        <w:t>seeking savings through a reduction in the</w:t>
      </w:r>
      <w:r>
        <w:rPr>
          <w:szCs w:val="24"/>
        </w:rPr>
        <w:t xml:space="preserve"> rebate is </w:t>
      </w:r>
      <w:r w:rsidR="004C120F">
        <w:rPr>
          <w:szCs w:val="24"/>
        </w:rPr>
        <w:t>counterproductive</w:t>
      </w:r>
      <w:r w:rsidR="00105B37">
        <w:rPr>
          <w:szCs w:val="24"/>
        </w:rPr>
        <w:t xml:space="preserve"> to Government. R</w:t>
      </w:r>
      <w:r>
        <w:rPr>
          <w:szCs w:val="24"/>
        </w:rPr>
        <w:t>ather, a regulatory review should take place to find areas where efficiencies can be realised in order to reduce the pressure on premiums and temper growth in the rebate on PHI.</w:t>
      </w:r>
    </w:p>
    <w:p w14:paraId="3E94DAEB" w14:textId="77777777" w:rsidR="00867D64" w:rsidRDefault="00867D64" w:rsidP="00867D64">
      <w:pPr>
        <w:rPr>
          <w:b/>
          <w:szCs w:val="24"/>
        </w:rPr>
      </w:pPr>
      <w:r w:rsidRPr="00867D64">
        <w:rPr>
          <w:b/>
          <w:szCs w:val="24"/>
        </w:rPr>
        <w:t xml:space="preserve">With the rebate reducing by around 1% each year, </w:t>
      </w:r>
      <w:r w:rsidR="00B72461">
        <w:rPr>
          <w:b/>
          <w:szCs w:val="24"/>
        </w:rPr>
        <w:t>affordability will continue to decline</w:t>
      </w:r>
      <w:r w:rsidRPr="00867D64">
        <w:rPr>
          <w:b/>
          <w:szCs w:val="24"/>
        </w:rPr>
        <w:t xml:space="preserve">. </w:t>
      </w:r>
      <w:proofErr w:type="gramStart"/>
      <w:r w:rsidRPr="00867D64">
        <w:rPr>
          <w:b/>
          <w:szCs w:val="24"/>
        </w:rPr>
        <w:t>hirmaa</w:t>
      </w:r>
      <w:proofErr w:type="gramEnd"/>
      <w:r w:rsidRPr="00867D64">
        <w:rPr>
          <w:b/>
          <w:szCs w:val="24"/>
        </w:rPr>
        <w:t xml:space="preserve"> advocates that a floor for the rebate should be set in place, until budgetary circumstance</w:t>
      </w:r>
      <w:r w:rsidR="00B72461">
        <w:rPr>
          <w:b/>
          <w:szCs w:val="24"/>
        </w:rPr>
        <w:t>s</w:t>
      </w:r>
      <w:r w:rsidRPr="00867D64">
        <w:rPr>
          <w:b/>
          <w:szCs w:val="24"/>
        </w:rPr>
        <w:t xml:space="preserve"> permit its full restoration.</w:t>
      </w:r>
    </w:p>
    <w:p w14:paraId="6F9F4AC6" w14:textId="77777777" w:rsidR="006D5CA9" w:rsidRDefault="006D5CA9" w:rsidP="006D5CA9">
      <w:pPr>
        <w:rPr>
          <w:szCs w:val="24"/>
          <w:u w:val="single"/>
        </w:rPr>
      </w:pPr>
    </w:p>
    <w:p w14:paraId="4D04933A" w14:textId="77777777" w:rsidR="007A7EF9" w:rsidRDefault="007A7EF9" w:rsidP="007A7EF9">
      <w:pPr>
        <w:rPr>
          <w:i/>
          <w:szCs w:val="24"/>
        </w:rPr>
      </w:pPr>
      <w:r>
        <w:rPr>
          <w:i/>
          <w:szCs w:val="24"/>
        </w:rPr>
        <w:t>Consider exempting private health insurance from the Fringe Benefits Tax</w:t>
      </w:r>
    </w:p>
    <w:p w14:paraId="4390F74E" w14:textId="77777777" w:rsidR="007A7EF9" w:rsidRDefault="007A7EF9" w:rsidP="007A7EF9">
      <w:r w:rsidRPr="00A33D92">
        <w:t>The F</w:t>
      </w:r>
      <w:r>
        <w:t xml:space="preserve">ringe </w:t>
      </w:r>
      <w:r w:rsidRPr="00A33D92">
        <w:t>B</w:t>
      </w:r>
      <w:r>
        <w:t xml:space="preserve">enefits </w:t>
      </w:r>
      <w:r w:rsidRPr="00A33D92">
        <w:t>T</w:t>
      </w:r>
      <w:r>
        <w:t xml:space="preserve">ax </w:t>
      </w:r>
      <w:r w:rsidRPr="00A33D92">
        <w:t>A</w:t>
      </w:r>
      <w:r>
        <w:t xml:space="preserve">ssessment </w:t>
      </w:r>
      <w:r w:rsidRPr="00A33D92">
        <w:t>A</w:t>
      </w:r>
      <w:r>
        <w:t>ct (FBTAA)</w:t>
      </w:r>
      <w:r w:rsidRPr="00A33D92">
        <w:t xml:space="preserve"> provides for a wide range of exemptions that have been introduced by the Government either on social, political or administrative convenience grounds. The payment of an employee’s PHI premiums by their employer (or associate or third party by arrangement) should be exempted.</w:t>
      </w:r>
    </w:p>
    <w:p w14:paraId="2B6C4002" w14:textId="77777777" w:rsidR="007A7EF9" w:rsidRDefault="007A7EF9" w:rsidP="007A7EF9">
      <w:r>
        <w:lastRenderedPageBreak/>
        <w:t>The reasons for such an exemption are the same as the grounds for retaining and enhancing the policy levers outlined above, that is, incentivising the uptake of PHI to shift cost pressures away from the public system.</w:t>
      </w:r>
    </w:p>
    <w:p w14:paraId="72E049F1" w14:textId="77777777" w:rsidR="007A7EF9" w:rsidRPr="00A33D92" w:rsidRDefault="007A7EF9" w:rsidP="007A7EF9">
      <w:proofErr w:type="gramStart"/>
      <w:r>
        <w:t>hirmaa</w:t>
      </w:r>
      <w:proofErr w:type="gramEnd"/>
      <w:r>
        <w:t xml:space="preserve"> suggests that the rationale for providing tax concessions to superannuation apply </w:t>
      </w:r>
      <w:r w:rsidR="003846DF">
        <w:t>also to</w:t>
      </w:r>
      <w:r>
        <w:t xml:space="preserve"> private health insurance, that is, reducing dependency on public finances, encouraging individual responsibility and preparing for future costs.</w:t>
      </w:r>
    </w:p>
    <w:p w14:paraId="21818BC1" w14:textId="77777777" w:rsidR="007A7EF9" w:rsidRDefault="007A7EF9" w:rsidP="006D5CA9">
      <w:pPr>
        <w:rPr>
          <w:szCs w:val="24"/>
          <w:u w:val="single"/>
        </w:rPr>
      </w:pPr>
    </w:p>
    <w:p w14:paraId="01DB1F7E" w14:textId="77777777" w:rsidR="006D5CA9" w:rsidRPr="006D5CA9" w:rsidRDefault="006D5CA9" w:rsidP="006D5CA9">
      <w:pPr>
        <w:pStyle w:val="Default"/>
        <w:numPr>
          <w:ilvl w:val="0"/>
          <w:numId w:val="16"/>
        </w:numPr>
        <w:ind w:left="0"/>
        <w:rPr>
          <w:sz w:val="22"/>
          <w:szCs w:val="22"/>
          <w:u w:val="single"/>
          <w:lang w:val="en-AU"/>
        </w:rPr>
      </w:pPr>
      <w:r w:rsidRPr="006D5CA9">
        <w:rPr>
          <w:sz w:val="22"/>
          <w:szCs w:val="22"/>
          <w:u w:val="single"/>
          <w:lang w:val="en-AU"/>
        </w:rPr>
        <w:t>Additional opportunities for reform in private health insurance</w:t>
      </w:r>
    </w:p>
    <w:p w14:paraId="4E53D6FA" w14:textId="77777777" w:rsidR="00B72461" w:rsidRDefault="004E3F1F" w:rsidP="00B72461">
      <w:pPr>
        <w:rPr>
          <w:i/>
          <w:szCs w:val="24"/>
        </w:rPr>
      </w:pPr>
      <w:r>
        <w:rPr>
          <w:szCs w:val="24"/>
        </w:rPr>
        <w:br/>
      </w:r>
      <w:r>
        <w:rPr>
          <w:i/>
          <w:szCs w:val="24"/>
        </w:rPr>
        <w:t xml:space="preserve">Deregulation of </w:t>
      </w:r>
      <w:r w:rsidR="0077538F">
        <w:rPr>
          <w:i/>
          <w:szCs w:val="24"/>
        </w:rPr>
        <w:t>the private health insurance industry</w:t>
      </w:r>
    </w:p>
    <w:p w14:paraId="016B0320" w14:textId="77777777" w:rsidR="0077538F" w:rsidRDefault="000417F6" w:rsidP="00B72461">
      <w:pPr>
        <w:rPr>
          <w:szCs w:val="24"/>
        </w:rPr>
      </w:pPr>
      <w:r>
        <w:rPr>
          <w:szCs w:val="24"/>
        </w:rPr>
        <w:t>A more efficient and effective use of government resources allows for a more efficient tax system and policy reform in portfolio areas such as private health insurance can have a significant impact on Government finances.</w:t>
      </w:r>
    </w:p>
    <w:p w14:paraId="0163A5FD" w14:textId="77777777" w:rsidR="00890D3C" w:rsidRDefault="000417F6" w:rsidP="00B72461">
      <w:pPr>
        <w:rPr>
          <w:szCs w:val="24"/>
        </w:rPr>
      </w:pPr>
      <w:r>
        <w:rPr>
          <w:szCs w:val="24"/>
        </w:rPr>
        <w:t>As noted, hirmaa believes that the best way to make savings i</w:t>
      </w:r>
      <w:r w:rsidR="00890D3C">
        <w:rPr>
          <w:szCs w:val="24"/>
        </w:rPr>
        <w:t>n the health portfolio, is through incentivising individual responsibility for health care financing, this means retaining policies such as the Government rebate. However, reforms can also be made to improve the efficiency of the private health system, which in turn means less pressure on premiums and by consequence</w:t>
      </w:r>
      <w:r w:rsidR="007A7EF9">
        <w:rPr>
          <w:szCs w:val="24"/>
        </w:rPr>
        <w:t>, moderated</w:t>
      </w:r>
      <w:r w:rsidR="00890D3C">
        <w:rPr>
          <w:szCs w:val="24"/>
        </w:rPr>
        <w:t xml:space="preserve"> growth </w:t>
      </w:r>
      <w:r w:rsidR="007A7EF9">
        <w:rPr>
          <w:szCs w:val="24"/>
        </w:rPr>
        <w:t>in</w:t>
      </w:r>
      <w:r w:rsidR="00890D3C">
        <w:rPr>
          <w:szCs w:val="24"/>
        </w:rPr>
        <w:t xml:space="preserve"> the Government rebate.</w:t>
      </w:r>
    </w:p>
    <w:p w14:paraId="66E399B3" w14:textId="77777777" w:rsidR="00890D3C" w:rsidRDefault="00890D3C" w:rsidP="00B72461">
      <w:pPr>
        <w:rPr>
          <w:szCs w:val="24"/>
        </w:rPr>
      </w:pPr>
      <w:proofErr w:type="gramStart"/>
      <w:r>
        <w:rPr>
          <w:szCs w:val="24"/>
        </w:rPr>
        <w:t>hirmaa</w:t>
      </w:r>
      <w:proofErr w:type="gramEnd"/>
      <w:r>
        <w:rPr>
          <w:szCs w:val="24"/>
        </w:rPr>
        <w:t xml:space="preserve"> believes there are a number of deregulation opportunities available in the private health insurance industry:</w:t>
      </w:r>
    </w:p>
    <w:p w14:paraId="448C559C" w14:textId="77777777" w:rsidR="00890D3C" w:rsidRDefault="00890D3C" w:rsidP="00B72461">
      <w:pPr>
        <w:rPr>
          <w:szCs w:val="24"/>
        </w:rPr>
      </w:pPr>
    </w:p>
    <w:p w14:paraId="56BD0A47" w14:textId="77777777" w:rsidR="00890D3C" w:rsidRPr="007A7EF9" w:rsidRDefault="00890D3C" w:rsidP="00890D3C">
      <w:pPr>
        <w:pStyle w:val="ListParagraph"/>
        <w:numPr>
          <w:ilvl w:val="0"/>
          <w:numId w:val="19"/>
        </w:numPr>
        <w:ind w:left="360"/>
        <w:rPr>
          <w:b/>
        </w:rPr>
      </w:pPr>
      <w:r w:rsidRPr="007A7EF9">
        <w:rPr>
          <w:b/>
        </w:rPr>
        <w:t>Deregulate the market for prostheses in the private health system</w:t>
      </w:r>
    </w:p>
    <w:p w14:paraId="2D402002" w14:textId="77777777" w:rsidR="00890D3C" w:rsidRPr="0065513F" w:rsidRDefault="00890D3C" w:rsidP="00890D3C">
      <w:pPr>
        <w:rPr>
          <w:rFonts w:ascii="Calibri" w:hAnsi="Calibri"/>
          <w:color w:val="000000"/>
        </w:rPr>
      </w:pPr>
      <w:r w:rsidRPr="0065513F">
        <w:rPr>
          <w:rFonts w:ascii="Calibri" w:hAnsi="Calibri"/>
          <w:color w:val="000000"/>
        </w:rPr>
        <w:t>It is the strong view of hirmaa that inefficient regulatory settings in the market for prostheses has resulted in market failure with:</w:t>
      </w:r>
    </w:p>
    <w:p w14:paraId="1018BAE1" w14:textId="77777777" w:rsidR="00890D3C" w:rsidRPr="005A226A" w:rsidRDefault="00890D3C" w:rsidP="00890D3C">
      <w:pPr>
        <w:pStyle w:val="ListParagraph"/>
        <w:numPr>
          <w:ilvl w:val="1"/>
          <w:numId w:val="20"/>
        </w:numPr>
        <w:spacing w:after="0" w:line="240" w:lineRule="auto"/>
        <w:ind w:left="426"/>
        <w:contextualSpacing w:val="0"/>
        <w:rPr>
          <w:color w:val="000000"/>
        </w:rPr>
      </w:pPr>
      <w:r w:rsidRPr="0065513F">
        <w:rPr>
          <w:color w:val="000000"/>
        </w:rPr>
        <w:t>Benefits paid by insurers not reflecting net prices paid for prostheses by hospitals</w:t>
      </w:r>
      <w:r w:rsidRPr="005A226A">
        <w:rPr>
          <w:color w:val="000000"/>
        </w:rPr>
        <w:br/>
      </w:r>
    </w:p>
    <w:p w14:paraId="1FC60E86" w14:textId="77777777" w:rsidR="00890D3C" w:rsidRPr="005A226A" w:rsidRDefault="00890D3C" w:rsidP="00890D3C">
      <w:pPr>
        <w:pStyle w:val="ListParagraph"/>
        <w:numPr>
          <w:ilvl w:val="1"/>
          <w:numId w:val="20"/>
        </w:numPr>
        <w:spacing w:after="0" w:line="240" w:lineRule="auto"/>
        <w:ind w:left="426"/>
        <w:contextualSpacing w:val="0"/>
        <w:rPr>
          <w:color w:val="000000"/>
        </w:rPr>
      </w:pPr>
      <w:r w:rsidRPr="005A226A">
        <w:rPr>
          <w:color w:val="000000"/>
        </w:rPr>
        <w:t>Lower cost and innovative competitors being restricted in their ability to compete with</w:t>
      </w:r>
      <w:r w:rsidRPr="005A226A">
        <w:rPr>
          <w:color w:val="000000"/>
        </w:rPr>
        <w:br/>
        <w:t>incumbent suppliers, due to the current method of determining group benefits for prostheses</w:t>
      </w:r>
      <w:r w:rsidRPr="005A226A">
        <w:rPr>
          <w:color w:val="000000"/>
        </w:rPr>
        <w:br/>
        <w:t>items</w:t>
      </w:r>
      <w:r w:rsidRPr="005A226A">
        <w:rPr>
          <w:color w:val="000000"/>
        </w:rPr>
        <w:br/>
      </w:r>
    </w:p>
    <w:p w14:paraId="0C27FAC8" w14:textId="77777777" w:rsidR="00ED6CA0" w:rsidRDefault="00890D3C" w:rsidP="00ED6CA0">
      <w:pPr>
        <w:pStyle w:val="ListParagraph"/>
        <w:numPr>
          <w:ilvl w:val="1"/>
          <w:numId w:val="20"/>
        </w:numPr>
        <w:spacing w:after="0" w:line="240" w:lineRule="auto"/>
        <w:ind w:left="426"/>
        <w:contextualSpacing w:val="0"/>
        <w:rPr>
          <w:color w:val="000000"/>
        </w:rPr>
      </w:pPr>
      <w:r w:rsidRPr="005A226A">
        <w:rPr>
          <w:color w:val="000000"/>
        </w:rPr>
        <w:t>Benefits paid by insurers for prostheses items being substantially higher than benefits paid for</w:t>
      </w:r>
      <w:r w:rsidRPr="005A226A">
        <w:rPr>
          <w:color w:val="000000"/>
        </w:rPr>
        <w:br/>
        <w:t xml:space="preserve">identical items in international markets and the Australian </w:t>
      </w:r>
      <w:r w:rsidRPr="0045570C">
        <w:rPr>
          <w:color w:val="000000"/>
        </w:rPr>
        <w:t xml:space="preserve">public </w:t>
      </w:r>
      <w:r w:rsidRPr="005A226A">
        <w:rPr>
          <w:color w:val="000000"/>
        </w:rPr>
        <w:t>health system.</w:t>
      </w:r>
    </w:p>
    <w:p w14:paraId="74CC84CC" w14:textId="77777777" w:rsidR="00890D3C" w:rsidRPr="00ED6CA0" w:rsidRDefault="00ED6CA0" w:rsidP="00ED6CA0">
      <w:pPr>
        <w:spacing w:after="0" w:line="240" w:lineRule="auto"/>
        <w:rPr>
          <w:color w:val="000000"/>
        </w:rPr>
      </w:pPr>
      <w:r w:rsidRPr="00ED6CA0">
        <w:rPr>
          <w:color w:val="000000"/>
        </w:rPr>
        <w:t xml:space="preserve"> </w:t>
      </w:r>
    </w:p>
    <w:p w14:paraId="650F8483" w14:textId="77777777" w:rsidR="00890D3C" w:rsidRDefault="00890D3C" w:rsidP="00890D3C">
      <w:pPr>
        <w:rPr>
          <w:rFonts w:ascii="Calibri" w:hAnsi="Calibri"/>
          <w:color w:val="000000"/>
        </w:rPr>
      </w:pPr>
      <w:r w:rsidRPr="005A226A">
        <w:rPr>
          <w:color w:val="000000"/>
        </w:rPr>
        <w:t>G</w:t>
      </w:r>
      <w:r w:rsidR="00413CD8">
        <w:rPr>
          <w:color w:val="000000"/>
        </w:rPr>
        <w:t>iven that in 2013-14, $1.74</w:t>
      </w:r>
      <w:r w:rsidRPr="005A226A">
        <w:rPr>
          <w:color w:val="000000"/>
        </w:rPr>
        <w:t xml:space="preserve"> billion in benefits were paid for prostheses</w:t>
      </w:r>
      <w:r w:rsidR="00413CD8">
        <w:rPr>
          <w:rStyle w:val="FootnoteReference"/>
          <w:color w:val="000000"/>
        </w:rPr>
        <w:footnoteReference w:id="23"/>
      </w:r>
      <w:r w:rsidR="00413CD8">
        <w:rPr>
          <w:color w:val="000000"/>
        </w:rPr>
        <w:t xml:space="preserve"> (14.1</w:t>
      </w:r>
      <w:r w:rsidR="00A16B4F">
        <w:rPr>
          <w:color w:val="000000"/>
        </w:rPr>
        <w:t xml:space="preserve">% of all </w:t>
      </w:r>
      <w:r w:rsidR="00413CD8">
        <w:rPr>
          <w:color w:val="000000"/>
        </w:rPr>
        <w:t xml:space="preserve">hospital </w:t>
      </w:r>
      <w:r w:rsidR="00A16B4F">
        <w:rPr>
          <w:color w:val="000000"/>
        </w:rPr>
        <w:t>benefits paid)</w:t>
      </w:r>
      <w:r w:rsidRPr="005A226A">
        <w:rPr>
          <w:color w:val="000000"/>
        </w:rPr>
        <w:t>, this is an issue of significant</w:t>
      </w:r>
      <w:r w:rsidR="00A16B4F">
        <w:rPr>
          <w:color w:val="000000"/>
        </w:rPr>
        <w:t xml:space="preserve"> </w:t>
      </w:r>
      <w:r w:rsidRPr="005A226A">
        <w:rPr>
          <w:color w:val="000000"/>
        </w:rPr>
        <w:t>importance to Government, industry and consumers of health insurance and health services.</w:t>
      </w:r>
      <w:r w:rsidRPr="005A226A">
        <w:rPr>
          <w:rFonts w:ascii="Calibri" w:hAnsi="Calibri"/>
          <w:color w:val="000000"/>
        </w:rPr>
        <w:t xml:space="preserve"> Our initial modelling demonstrates that inefficiencies associated with the current regulations could</w:t>
      </w:r>
      <w:r w:rsidR="00A16B4F">
        <w:rPr>
          <w:rFonts w:ascii="Calibri" w:hAnsi="Calibri"/>
          <w:color w:val="000000"/>
        </w:rPr>
        <w:t xml:space="preserve"> </w:t>
      </w:r>
      <w:r w:rsidRPr="005A226A">
        <w:rPr>
          <w:rFonts w:ascii="Calibri" w:hAnsi="Calibri"/>
          <w:color w:val="000000"/>
        </w:rPr>
        <w:t>range upwards of</w:t>
      </w:r>
      <w:r w:rsidR="00A16B4F">
        <w:rPr>
          <w:rFonts w:ascii="Calibri" w:hAnsi="Calibri"/>
          <w:color w:val="000000"/>
        </w:rPr>
        <w:t xml:space="preserve"> $534 million annually.</w:t>
      </w:r>
    </w:p>
    <w:p w14:paraId="1F5B7FEA" w14:textId="77777777" w:rsidR="00A16B4F" w:rsidRDefault="00A16B4F" w:rsidP="00A16B4F">
      <w:pPr>
        <w:rPr>
          <w:rFonts w:ascii="Calibri" w:hAnsi="Calibri"/>
          <w:b/>
          <w:color w:val="000000"/>
        </w:rPr>
      </w:pPr>
      <w:proofErr w:type="gramStart"/>
      <w:r>
        <w:rPr>
          <w:rFonts w:ascii="Calibri" w:hAnsi="Calibri"/>
          <w:b/>
          <w:color w:val="000000"/>
        </w:rPr>
        <w:lastRenderedPageBreak/>
        <w:t>hirmaa</w:t>
      </w:r>
      <w:proofErr w:type="gramEnd"/>
      <w:r>
        <w:rPr>
          <w:rFonts w:ascii="Calibri" w:hAnsi="Calibri"/>
          <w:b/>
          <w:color w:val="000000"/>
        </w:rPr>
        <w:t xml:space="preserve"> supports a review of prostheses pricing arrangements to achieve significant savings for consumers through their health insurance premiums and significant savings for Government through reduced outlays on the PHI rebate.</w:t>
      </w:r>
    </w:p>
    <w:p w14:paraId="1447042F" w14:textId="77777777" w:rsidR="00A16B4F" w:rsidRDefault="00A16B4F" w:rsidP="00A16B4F">
      <w:pPr>
        <w:rPr>
          <w:rFonts w:ascii="Calibri" w:hAnsi="Calibri"/>
          <w:b/>
          <w:color w:val="000000"/>
        </w:rPr>
      </w:pPr>
    </w:p>
    <w:p w14:paraId="03784031" w14:textId="77777777" w:rsidR="00890D3C" w:rsidRPr="007A7EF9" w:rsidRDefault="00890D3C" w:rsidP="00A16B4F">
      <w:pPr>
        <w:pStyle w:val="ListParagraph"/>
        <w:numPr>
          <w:ilvl w:val="0"/>
          <w:numId w:val="19"/>
        </w:numPr>
        <w:ind w:left="284"/>
        <w:rPr>
          <w:b/>
        </w:rPr>
      </w:pPr>
      <w:r w:rsidRPr="007A7EF9">
        <w:rPr>
          <w:b/>
        </w:rPr>
        <w:t>Deregulate the premium-setting process in the private health insurance market</w:t>
      </w:r>
    </w:p>
    <w:p w14:paraId="3743455C" w14:textId="77777777" w:rsidR="00890D3C" w:rsidRPr="005A226A" w:rsidRDefault="00890D3C" w:rsidP="00890D3C">
      <w:pPr>
        <w:tabs>
          <w:tab w:val="left" w:pos="810"/>
        </w:tabs>
      </w:pPr>
      <w:r w:rsidRPr="005A226A">
        <w:t xml:space="preserve">As an organisation which supports deregulation, </w:t>
      </w:r>
      <w:r>
        <w:t>hirmaa</w:t>
      </w:r>
      <w:r w:rsidRPr="005A226A">
        <w:t xml:space="preserve"> encourage</w:t>
      </w:r>
      <w:r>
        <w:t>s</w:t>
      </w:r>
      <w:r w:rsidRPr="005A226A">
        <w:t xml:space="preserve"> an environment where private health insurers are afforded more flexibility in price setting. We suggest that</w:t>
      </w:r>
      <w:r>
        <w:t xml:space="preserve"> the industry moves toward a ‘price monitori</w:t>
      </w:r>
      <w:r w:rsidR="003846DF">
        <w:t>ng’ arrangement whereby insurer</w:t>
      </w:r>
      <w:r>
        <w:t>s</w:t>
      </w:r>
      <w:r w:rsidR="003846DF">
        <w:t>’</w:t>
      </w:r>
      <w:r>
        <w:t xml:space="preserve"> prices do not require the burdensome approval process of both </w:t>
      </w:r>
      <w:r w:rsidRPr="005A226A">
        <w:t>the regulator and Government.</w:t>
      </w:r>
    </w:p>
    <w:p w14:paraId="2AC89EAF" w14:textId="77777777" w:rsidR="00890D3C" w:rsidRDefault="00890D3C" w:rsidP="00890D3C">
      <w:pPr>
        <w:tabs>
          <w:tab w:val="left" w:pos="810"/>
        </w:tabs>
      </w:pPr>
      <w:r>
        <w:t>Our experience is that the current premium setting process inhibits competition dynamics, is open to politicisati</w:t>
      </w:r>
      <w:r w:rsidR="003846DF">
        <w:t>on and lack clarity and certaint</w:t>
      </w:r>
      <w:r>
        <w:t xml:space="preserve">y for insurers. This places a significant and unnecessary administrative burden </w:t>
      </w:r>
      <w:r w:rsidR="003846DF">
        <w:t>the industry</w:t>
      </w:r>
      <w:r>
        <w:t>.</w:t>
      </w:r>
    </w:p>
    <w:p w14:paraId="6D7C6541" w14:textId="77777777" w:rsidR="00890D3C" w:rsidRPr="002E1C3E" w:rsidRDefault="00890D3C" w:rsidP="00890D3C">
      <w:pPr>
        <w:tabs>
          <w:tab w:val="left" w:pos="810"/>
        </w:tabs>
      </w:pPr>
      <w:r>
        <w:t>We believe</w:t>
      </w:r>
      <w:r w:rsidRPr="002E1C3E">
        <w:t xml:space="preserve"> that if </w:t>
      </w:r>
      <w:r>
        <w:t>deregulation is to occur</w:t>
      </w:r>
      <w:r w:rsidRPr="002E1C3E">
        <w:t>, the right conditions must b</w:t>
      </w:r>
      <w:r>
        <w:t>e in place to ensure the market acts</w:t>
      </w:r>
      <w:r w:rsidRPr="002E1C3E">
        <w:t xml:space="preserve"> efficiently:</w:t>
      </w:r>
    </w:p>
    <w:p w14:paraId="58456BF8" w14:textId="77777777" w:rsidR="00890D3C" w:rsidRDefault="00890D3C" w:rsidP="00890D3C">
      <w:pPr>
        <w:pStyle w:val="ListParagraph"/>
        <w:numPr>
          <w:ilvl w:val="0"/>
          <w:numId w:val="22"/>
        </w:numPr>
        <w:tabs>
          <w:tab w:val="left" w:pos="810"/>
        </w:tabs>
        <w:ind w:left="360"/>
      </w:pPr>
      <w:r w:rsidRPr="002E1C3E">
        <w:rPr>
          <w:u w:val="single"/>
        </w:rPr>
        <w:t>Prudential oversight</w:t>
      </w:r>
      <w:r w:rsidRPr="002E1C3E">
        <w:t xml:space="preserve">: to monitor the impact of pricing strategies on the </w:t>
      </w:r>
      <w:r>
        <w:t>financial positions</w:t>
      </w:r>
      <w:r w:rsidRPr="002E1C3E">
        <w:t xml:space="preserve"> of insurers</w:t>
      </w:r>
      <w:r w:rsidR="00C56FFC">
        <w:t>.</w:t>
      </w:r>
    </w:p>
    <w:p w14:paraId="7A4BDE95" w14:textId="77777777" w:rsidR="00890D3C" w:rsidRPr="002E1C3E" w:rsidRDefault="00890D3C" w:rsidP="00890D3C">
      <w:pPr>
        <w:tabs>
          <w:tab w:val="left" w:pos="810"/>
        </w:tabs>
        <w:ind w:left="360"/>
      </w:pPr>
      <w:r w:rsidRPr="002E1C3E">
        <w:t>PHIAC (and in the near-future, APRA) already effectively monitor</w:t>
      </w:r>
      <w:r>
        <w:t>s</w:t>
      </w:r>
      <w:r w:rsidRPr="002E1C3E">
        <w:t xml:space="preserve"> the </w:t>
      </w:r>
      <w:r>
        <w:t>financial positions</w:t>
      </w:r>
      <w:r w:rsidRPr="002E1C3E">
        <w:t xml:space="preserve"> of insurers </w:t>
      </w:r>
      <w:r>
        <w:t>–</w:t>
      </w:r>
      <w:r w:rsidRPr="002E1C3E">
        <w:t xml:space="preserve"> </w:t>
      </w:r>
      <w:r>
        <w:t xml:space="preserve">so </w:t>
      </w:r>
      <w:r w:rsidRPr="002E1C3E">
        <w:t>the essential prudential oversight is already in place.</w:t>
      </w:r>
    </w:p>
    <w:p w14:paraId="4BA703FF" w14:textId="77777777" w:rsidR="00890D3C" w:rsidRDefault="00890D3C" w:rsidP="00890D3C">
      <w:pPr>
        <w:pStyle w:val="ListParagraph"/>
        <w:numPr>
          <w:ilvl w:val="0"/>
          <w:numId w:val="22"/>
        </w:numPr>
        <w:tabs>
          <w:tab w:val="left" w:pos="810"/>
        </w:tabs>
        <w:ind w:left="360"/>
      </w:pPr>
      <w:r w:rsidRPr="002E1C3E">
        <w:rPr>
          <w:u w:val="single"/>
        </w:rPr>
        <w:t>Low search costs and information symmetry</w:t>
      </w:r>
      <w:r w:rsidRPr="002E1C3E">
        <w:t xml:space="preserve">: so that consumers have knowledge of alternative insurers and </w:t>
      </w:r>
      <w:r>
        <w:t xml:space="preserve">the </w:t>
      </w:r>
      <w:r w:rsidRPr="002E1C3E">
        <w:t>policies available to them</w:t>
      </w:r>
      <w:r w:rsidR="00C56FFC">
        <w:t>.</w:t>
      </w:r>
    </w:p>
    <w:p w14:paraId="61512FDE" w14:textId="77777777" w:rsidR="00890D3C" w:rsidRPr="002E1C3E" w:rsidRDefault="00890D3C" w:rsidP="00890D3C">
      <w:pPr>
        <w:tabs>
          <w:tab w:val="left" w:pos="810"/>
        </w:tabs>
        <w:ind w:left="360"/>
      </w:pPr>
      <w:r w:rsidRPr="002E1C3E">
        <w:t>The consumer website privatehealth.gov.au and the emergence of online aggregators provides for low search costs and sufficient information symmetry for consumers.</w:t>
      </w:r>
    </w:p>
    <w:p w14:paraId="02A63683" w14:textId="77777777" w:rsidR="00890D3C" w:rsidRDefault="00890D3C" w:rsidP="00890D3C">
      <w:pPr>
        <w:pStyle w:val="ListParagraph"/>
        <w:numPr>
          <w:ilvl w:val="0"/>
          <w:numId w:val="22"/>
        </w:numPr>
        <w:tabs>
          <w:tab w:val="left" w:pos="810"/>
        </w:tabs>
        <w:ind w:left="360"/>
      </w:pPr>
      <w:r w:rsidRPr="002E1C3E">
        <w:rPr>
          <w:u w:val="single"/>
        </w:rPr>
        <w:t>Effective portability arrangements</w:t>
      </w:r>
      <w:r w:rsidRPr="002E1C3E">
        <w:t>: to ensure that customers can effectively respond to price changes</w:t>
      </w:r>
      <w:r w:rsidR="00C56FFC">
        <w:t>.</w:t>
      </w:r>
    </w:p>
    <w:p w14:paraId="3D85F16B" w14:textId="77777777" w:rsidR="00890D3C" w:rsidRPr="002E1C3E" w:rsidRDefault="00890D3C" w:rsidP="00890D3C">
      <w:pPr>
        <w:tabs>
          <w:tab w:val="left" w:pos="810"/>
        </w:tabs>
        <w:ind w:left="360"/>
      </w:pPr>
      <w:r w:rsidRPr="002E1C3E">
        <w:t>With Clearance Certificate arrangements,</w:t>
      </w:r>
      <w:r>
        <w:t xml:space="preserve"> full</w:t>
      </w:r>
      <w:r w:rsidRPr="002E1C3E">
        <w:t xml:space="preserve"> portability across insurers is provided for.</w:t>
      </w:r>
    </w:p>
    <w:p w14:paraId="568B67B2" w14:textId="77777777" w:rsidR="00890D3C" w:rsidRDefault="00890D3C" w:rsidP="00890D3C">
      <w:pPr>
        <w:pStyle w:val="ListParagraph"/>
        <w:numPr>
          <w:ilvl w:val="0"/>
          <w:numId w:val="22"/>
        </w:numPr>
        <w:tabs>
          <w:tab w:val="left" w:pos="810"/>
        </w:tabs>
        <w:ind w:left="360"/>
      </w:pPr>
      <w:r w:rsidRPr="002E1C3E">
        <w:rPr>
          <w:u w:val="single"/>
        </w:rPr>
        <w:t>Effective consumer protections</w:t>
      </w:r>
      <w:r>
        <w:t>: to ensure anti-competitive pricing strategies are not pursued</w:t>
      </w:r>
    </w:p>
    <w:p w14:paraId="3D15EFA1" w14:textId="77777777" w:rsidR="00890D3C" w:rsidRPr="002E1C3E" w:rsidRDefault="00890D3C" w:rsidP="00890D3C">
      <w:pPr>
        <w:tabs>
          <w:tab w:val="left" w:pos="810"/>
        </w:tabs>
        <w:ind w:left="360"/>
      </w:pPr>
      <w:r w:rsidRPr="002E1C3E">
        <w:t>The ACCC presently acts as the competition watchdog in the industry, meaning the requisite consumer protections are in place.</w:t>
      </w:r>
    </w:p>
    <w:p w14:paraId="0D96D6C6" w14:textId="77777777" w:rsidR="00890D3C" w:rsidRPr="002E1C3E" w:rsidRDefault="00890D3C" w:rsidP="00890D3C">
      <w:pPr>
        <w:tabs>
          <w:tab w:val="left" w:pos="810"/>
        </w:tabs>
      </w:pPr>
      <w:r w:rsidRPr="002E1C3E">
        <w:t>Taking this into account, hirmaa believes that the requisite conditions are in place to</w:t>
      </w:r>
      <w:r>
        <w:t xml:space="preserve"> allow a serious discussion on deregulating</w:t>
      </w:r>
      <w:r w:rsidRPr="002E1C3E">
        <w:t xml:space="preserve"> the premium setting process.</w:t>
      </w:r>
    </w:p>
    <w:p w14:paraId="6EBA10E4" w14:textId="77777777" w:rsidR="00890D3C" w:rsidRDefault="00A16B4F" w:rsidP="00890D3C">
      <w:pPr>
        <w:tabs>
          <w:tab w:val="left" w:pos="810"/>
        </w:tabs>
      </w:pPr>
      <w:proofErr w:type="gramStart"/>
      <w:r>
        <w:rPr>
          <w:b/>
        </w:rPr>
        <w:t>hirmaa</w:t>
      </w:r>
      <w:proofErr w:type="gramEnd"/>
      <w:r>
        <w:rPr>
          <w:b/>
        </w:rPr>
        <w:t xml:space="preserve"> supports a review of the premium setting process to facilitate greater competition and to reduce pressure on premiums and temper growth in the rebate on PHI.</w:t>
      </w:r>
    </w:p>
    <w:p w14:paraId="7326E60C" w14:textId="77777777" w:rsidR="00890D3C" w:rsidRDefault="00890D3C" w:rsidP="00890D3C">
      <w:pPr>
        <w:rPr>
          <w:color w:val="000000" w:themeColor="text1"/>
          <w:u w:val="single"/>
        </w:rPr>
      </w:pPr>
    </w:p>
    <w:p w14:paraId="365457DD" w14:textId="77777777" w:rsidR="00C56FFC" w:rsidRDefault="00C56FFC" w:rsidP="00890D3C">
      <w:pPr>
        <w:rPr>
          <w:color w:val="000000" w:themeColor="text1"/>
          <w:u w:val="single"/>
        </w:rPr>
      </w:pPr>
    </w:p>
    <w:p w14:paraId="5CBB9CB7" w14:textId="77777777" w:rsidR="00890D3C" w:rsidRPr="007A7EF9" w:rsidRDefault="00A16B4F" w:rsidP="00A16B4F">
      <w:pPr>
        <w:pStyle w:val="ListParagraph"/>
        <w:numPr>
          <w:ilvl w:val="0"/>
          <w:numId w:val="19"/>
        </w:numPr>
        <w:ind w:left="284"/>
        <w:rPr>
          <w:b/>
          <w:color w:val="000000" w:themeColor="text1"/>
        </w:rPr>
      </w:pPr>
      <w:r w:rsidRPr="007A7EF9">
        <w:rPr>
          <w:b/>
          <w:color w:val="000000" w:themeColor="text1"/>
        </w:rPr>
        <w:lastRenderedPageBreak/>
        <w:t>Deregulate s</w:t>
      </w:r>
      <w:r w:rsidR="00890D3C" w:rsidRPr="007A7EF9">
        <w:rPr>
          <w:b/>
          <w:color w:val="000000" w:themeColor="text1"/>
        </w:rPr>
        <w:t xml:space="preserve">econd-tier default benefit </w:t>
      </w:r>
      <w:r w:rsidRPr="007A7EF9">
        <w:rPr>
          <w:b/>
          <w:color w:val="000000" w:themeColor="text1"/>
        </w:rPr>
        <w:t>arrangements</w:t>
      </w:r>
    </w:p>
    <w:p w14:paraId="2477F3BF" w14:textId="77777777" w:rsidR="00A16B4F" w:rsidRPr="00A16B4F" w:rsidRDefault="00A16B4F" w:rsidP="00A16B4F">
      <w:pPr>
        <w:spacing w:line="240" w:lineRule="auto"/>
        <w:rPr>
          <w:color w:val="000000" w:themeColor="text1"/>
          <w:szCs w:val="24"/>
        </w:rPr>
      </w:pPr>
      <w:r w:rsidRPr="00A16B4F">
        <w:rPr>
          <w:color w:val="000000" w:themeColor="text1"/>
          <w:szCs w:val="24"/>
        </w:rPr>
        <w:t>Second tier default arrangements provide a safety net to hospitals and therefore should be considered an unfair advantage in contract negotiations.</w:t>
      </w:r>
    </w:p>
    <w:p w14:paraId="28CEA301" w14:textId="77777777" w:rsidR="00A16B4F" w:rsidRPr="00A16B4F" w:rsidRDefault="00A16B4F" w:rsidP="00A16B4F">
      <w:pPr>
        <w:spacing w:line="240" w:lineRule="auto"/>
        <w:rPr>
          <w:color w:val="000000" w:themeColor="text1"/>
          <w:szCs w:val="24"/>
        </w:rPr>
      </w:pPr>
      <w:r w:rsidRPr="00A16B4F">
        <w:rPr>
          <w:color w:val="000000" w:themeColor="text1"/>
          <w:szCs w:val="24"/>
        </w:rPr>
        <w:t xml:space="preserve">The second tier default legislation means that private health insurers have an obligation to pay any accredited health facility (be it a private hospital or day surgery) at least 85% of the </w:t>
      </w:r>
      <w:r>
        <w:rPr>
          <w:color w:val="000000" w:themeColor="text1"/>
          <w:szCs w:val="24"/>
        </w:rPr>
        <w:t>average charge for an equivalent treatment under the health insurer’s negotiated agreements with facilities in the same State</w:t>
      </w:r>
      <w:r w:rsidRPr="00A16B4F">
        <w:rPr>
          <w:color w:val="000000" w:themeColor="text1"/>
          <w:szCs w:val="24"/>
        </w:rPr>
        <w:t>. Insurers are obligated to pay these facilities irrespective of whether that facility is required, or whether the insurer believes the services provided are of sufficient quality to warrant sending members there.</w:t>
      </w:r>
    </w:p>
    <w:p w14:paraId="1A50352F" w14:textId="77777777" w:rsidR="00890D3C" w:rsidRPr="00111CEB" w:rsidRDefault="00A16B4F" w:rsidP="00890D3C">
      <w:pPr>
        <w:rPr>
          <w:color w:val="000000" w:themeColor="text1"/>
        </w:rPr>
      </w:pPr>
      <w:r>
        <w:rPr>
          <w:color w:val="000000" w:themeColor="text1"/>
        </w:rPr>
        <w:t>Second tier default benefit arrangements</w:t>
      </w:r>
      <w:r w:rsidR="00890D3C" w:rsidRPr="00111CEB">
        <w:rPr>
          <w:color w:val="000000" w:themeColor="text1"/>
        </w:rPr>
        <w:t xml:space="preserve"> </w:t>
      </w:r>
      <w:r>
        <w:rPr>
          <w:color w:val="000000" w:themeColor="text1"/>
        </w:rPr>
        <w:t xml:space="preserve">distort normal market dynamics and </w:t>
      </w:r>
      <w:r w:rsidR="00890D3C" w:rsidRPr="00111CEB">
        <w:rPr>
          <w:color w:val="000000" w:themeColor="text1"/>
        </w:rPr>
        <w:t>restrict</w:t>
      </w:r>
      <w:r>
        <w:rPr>
          <w:color w:val="000000" w:themeColor="text1"/>
        </w:rPr>
        <w:t xml:space="preserve"> competition, </w:t>
      </w:r>
      <w:r w:rsidR="00890D3C" w:rsidRPr="00111CEB">
        <w:rPr>
          <w:color w:val="000000" w:themeColor="text1"/>
        </w:rPr>
        <w:t>innovation, choice, service and efficiency</w:t>
      </w:r>
      <w:r>
        <w:rPr>
          <w:color w:val="000000" w:themeColor="text1"/>
        </w:rPr>
        <w:t>.</w:t>
      </w:r>
    </w:p>
    <w:p w14:paraId="1214FB0F" w14:textId="77777777" w:rsidR="00890D3C" w:rsidRPr="00111CEB" w:rsidRDefault="00890D3C" w:rsidP="00890D3C">
      <w:pPr>
        <w:rPr>
          <w:color w:val="000000" w:themeColor="text1"/>
        </w:rPr>
      </w:pPr>
      <w:r w:rsidRPr="00111CEB">
        <w:rPr>
          <w:color w:val="000000" w:themeColor="text1"/>
        </w:rPr>
        <w:t>Indeed, health facilities that meet higher standards, are innovative and deliver better health outcomes deserve to be compensated commensurately, but perversely, when insurers pay more for higher performing facilities, they inadvertently reward low performing facilities as a direct result of second tier default benefits.</w:t>
      </w:r>
    </w:p>
    <w:p w14:paraId="49F01DA7" w14:textId="77777777" w:rsidR="00890D3C" w:rsidRDefault="00890D3C" w:rsidP="00A16B4F">
      <w:pPr>
        <w:rPr>
          <w:color w:val="000000" w:themeColor="text1"/>
        </w:rPr>
      </w:pPr>
      <w:r>
        <w:rPr>
          <w:color w:val="000000" w:themeColor="text1"/>
        </w:rPr>
        <w:t xml:space="preserve">It is hirmaa’s </w:t>
      </w:r>
      <w:r w:rsidRPr="00111CEB">
        <w:rPr>
          <w:color w:val="000000" w:themeColor="text1"/>
        </w:rPr>
        <w:t xml:space="preserve">strong view that second tier default legislation in its current form is burdensome on insurers and </w:t>
      </w:r>
      <w:r>
        <w:rPr>
          <w:color w:val="000000" w:themeColor="text1"/>
        </w:rPr>
        <w:t>distorts</w:t>
      </w:r>
      <w:r w:rsidRPr="00111CEB">
        <w:rPr>
          <w:color w:val="000000" w:themeColor="text1"/>
        </w:rPr>
        <w:t xml:space="preserve"> normal market dynamics, ultimately affecting service and pushing up the price of premiums for the consumer purchasing private health insurance.</w:t>
      </w:r>
    </w:p>
    <w:p w14:paraId="1BAE7A25" w14:textId="77777777" w:rsidR="00A16B4F" w:rsidRDefault="00A16B4F" w:rsidP="00A16B4F">
      <w:pPr>
        <w:rPr>
          <w:b/>
          <w:color w:val="000000" w:themeColor="text1"/>
        </w:rPr>
      </w:pPr>
      <w:proofErr w:type="gramStart"/>
      <w:r>
        <w:rPr>
          <w:b/>
          <w:color w:val="000000" w:themeColor="text1"/>
        </w:rPr>
        <w:t>hirmaa</w:t>
      </w:r>
      <w:proofErr w:type="gramEnd"/>
      <w:r>
        <w:rPr>
          <w:b/>
          <w:color w:val="000000" w:themeColor="text1"/>
        </w:rPr>
        <w:t xml:space="preserve"> recommends a review of second-tier default benefits arrangements as a way to reduce pressure on premiums and temper growth in the rebate on PHI.</w:t>
      </w:r>
    </w:p>
    <w:p w14:paraId="0F909531" w14:textId="77777777" w:rsidR="0052075C" w:rsidRDefault="0052075C" w:rsidP="00A16B4F">
      <w:pPr>
        <w:rPr>
          <w:b/>
          <w:color w:val="000000" w:themeColor="text1"/>
        </w:rPr>
      </w:pPr>
    </w:p>
    <w:p w14:paraId="38B831AC" w14:textId="77777777" w:rsidR="0052075C" w:rsidRDefault="0052075C" w:rsidP="00A16B4F">
      <w:pPr>
        <w:rPr>
          <w:b/>
          <w:color w:val="000000" w:themeColor="text1"/>
        </w:rPr>
      </w:pPr>
    </w:p>
    <w:p w14:paraId="0D566828" w14:textId="77777777" w:rsidR="0052075C" w:rsidRDefault="0052075C" w:rsidP="00A16B4F">
      <w:pPr>
        <w:rPr>
          <w:b/>
          <w:color w:val="000000" w:themeColor="text1"/>
        </w:rPr>
      </w:pPr>
    </w:p>
    <w:p w14:paraId="46E683BF" w14:textId="77777777" w:rsidR="0052075C" w:rsidRDefault="0052075C" w:rsidP="00A16B4F">
      <w:pPr>
        <w:rPr>
          <w:b/>
          <w:color w:val="000000" w:themeColor="text1"/>
        </w:rPr>
      </w:pPr>
    </w:p>
    <w:p w14:paraId="14591F97" w14:textId="77777777" w:rsidR="0017002E" w:rsidRDefault="0017002E" w:rsidP="00A16B4F">
      <w:pPr>
        <w:rPr>
          <w:b/>
          <w:color w:val="000000" w:themeColor="text1"/>
        </w:rPr>
      </w:pPr>
    </w:p>
    <w:p w14:paraId="3A1D983B" w14:textId="77777777" w:rsidR="0017002E" w:rsidRDefault="0017002E" w:rsidP="00A16B4F">
      <w:pPr>
        <w:rPr>
          <w:b/>
          <w:color w:val="000000" w:themeColor="text1"/>
        </w:rPr>
      </w:pPr>
    </w:p>
    <w:p w14:paraId="1C65E800" w14:textId="77777777" w:rsidR="0017002E" w:rsidRDefault="0017002E" w:rsidP="00A16B4F">
      <w:pPr>
        <w:rPr>
          <w:b/>
          <w:color w:val="000000" w:themeColor="text1"/>
        </w:rPr>
      </w:pPr>
    </w:p>
    <w:p w14:paraId="0C82164E" w14:textId="77777777" w:rsidR="0017002E" w:rsidRDefault="0017002E" w:rsidP="00A16B4F">
      <w:pPr>
        <w:rPr>
          <w:b/>
          <w:color w:val="000000" w:themeColor="text1"/>
        </w:rPr>
      </w:pPr>
    </w:p>
    <w:p w14:paraId="759E5AB1" w14:textId="77777777" w:rsidR="0017002E" w:rsidRDefault="0017002E" w:rsidP="00A16B4F">
      <w:pPr>
        <w:rPr>
          <w:b/>
          <w:color w:val="000000" w:themeColor="text1"/>
        </w:rPr>
      </w:pPr>
    </w:p>
    <w:p w14:paraId="570A2685" w14:textId="77777777" w:rsidR="0017002E" w:rsidRDefault="0017002E" w:rsidP="00A16B4F">
      <w:pPr>
        <w:rPr>
          <w:b/>
          <w:color w:val="000000" w:themeColor="text1"/>
        </w:rPr>
      </w:pPr>
    </w:p>
    <w:p w14:paraId="3B749DA6" w14:textId="77777777" w:rsidR="0017002E" w:rsidRDefault="0017002E" w:rsidP="00A16B4F">
      <w:pPr>
        <w:rPr>
          <w:b/>
          <w:color w:val="000000" w:themeColor="text1"/>
        </w:rPr>
      </w:pPr>
    </w:p>
    <w:p w14:paraId="03D0C146" w14:textId="77777777" w:rsidR="0017002E" w:rsidRDefault="0017002E" w:rsidP="00A16B4F">
      <w:pPr>
        <w:rPr>
          <w:b/>
          <w:color w:val="000000" w:themeColor="text1"/>
        </w:rPr>
      </w:pPr>
    </w:p>
    <w:p w14:paraId="7A935758" w14:textId="77777777" w:rsidR="0017002E" w:rsidRDefault="0017002E" w:rsidP="00A16B4F">
      <w:pPr>
        <w:rPr>
          <w:b/>
          <w:color w:val="000000" w:themeColor="text1"/>
        </w:rPr>
      </w:pPr>
    </w:p>
    <w:p w14:paraId="018ABEAA" w14:textId="77777777" w:rsidR="0017002E" w:rsidRDefault="0017002E" w:rsidP="00A16B4F">
      <w:pPr>
        <w:rPr>
          <w:b/>
          <w:color w:val="000000" w:themeColor="text1"/>
        </w:rPr>
      </w:pPr>
    </w:p>
    <w:p w14:paraId="42C11E41" w14:textId="77777777" w:rsidR="0017002E" w:rsidRPr="00B969CC" w:rsidRDefault="0017002E" w:rsidP="0017002E">
      <w:pPr>
        <w:spacing w:line="240" w:lineRule="auto"/>
        <w:jc w:val="center"/>
        <w:rPr>
          <w:rFonts w:ascii="Calibri" w:hAnsi="Calibri"/>
          <w:b/>
        </w:rPr>
      </w:pPr>
      <w:r w:rsidRPr="00B969CC">
        <w:rPr>
          <w:rFonts w:ascii="Calibri" w:hAnsi="Calibri"/>
          <w:b/>
        </w:rPr>
        <w:lastRenderedPageBreak/>
        <w:t>ANNEXURE A</w:t>
      </w:r>
    </w:p>
    <w:p w14:paraId="05B27AAF" w14:textId="77777777" w:rsidR="0017002E" w:rsidRPr="00B969CC" w:rsidRDefault="0017002E" w:rsidP="0017002E">
      <w:pPr>
        <w:jc w:val="center"/>
        <w:rPr>
          <w:rFonts w:ascii="Calibri" w:hAnsi="Calibri"/>
          <w:b/>
        </w:rPr>
      </w:pPr>
      <w:r w:rsidRPr="00B969CC">
        <w:rPr>
          <w:rFonts w:ascii="Calibri" w:hAnsi="Calibri"/>
          <w:b/>
        </w:rPr>
        <w:t>HIRMAA MEMBERS</w:t>
      </w:r>
    </w:p>
    <w:p w14:paraId="2B194D10" w14:textId="77777777" w:rsidR="0017002E" w:rsidRPr="00B969CC" w:rsidRDefault="0017002E" w:rsidP="0017002E">
      <w:pPr>
        <w:jc w:val="center"/>
        <w:rPr>
          <w:rFonts w:ascii="Calibri" w:hAnsi="Calibri"/>
        </w:rPr>
      </w:pPr>
    </w:p>
    <w:p w14:paraId="04AE2F37" w14:textId="77777777" w:rsidR="0017002E" w:rsidRPr="00B969CC" w:rsidRDefault="0017002E" w:rsidP="0017002E">
      <w:pPr>
        <w:pStyle w:val="BodyIndent1"/>
        <w:ind w:left="0"/>
        <w:rPr>
          <w:rFonts w:ascii="Calibri" w:hAnsi="Calibri"/>
          <w:sz w:val="22"/>
        </w:rPr>
      </w:pPr>
      <w:r w:rsidRPr="00B969CC">
        <w:rPr>
          <w:rFonts w:ascii="Calibri" w:hAnsi="Calibri"/>
          <w:sz w:val="22"/>
        </w:rPr>
        <w:t>ACA Health Benefits Fund Ltd</w:t>
      </w:r>
    </w:p>
    <w:p w14:paraId="295600A3" w14:textId="77777777" w:rsidR="0017002E" w:rsidRPr="00B969CC" w:rsidRDefault="0017002E" w:rsidP="0017002E">
      <w:pPr>
        <w:pStyle w:val="BodyIndent1"/>
        <w:ind w:left="0"/>
        <w:rPr>
          <w:rFonts w:ascii="Calibri" w:hAnsi="Calibri"/>
          <w:sz w:val="22"/>
        </w:rPr>
      </w:pPr>
      <w:r w:rsidRPr="00B969CC">
        <w:rPr>
          <w:rFonts w:ascii="Calibri" w:hAnsi="Calibri"/>
          <w:sz w:val="22"/>
        </w:rPr>
        <w:t>Defence Health Ltd</w:t>
      </w:r>
    </w:p>
    <w:p w14:paraId="636334C5" w14:textId="77777777" w:rsidR="0017002E" w:rsidRPr="00B969CC" w:rsidRDefault="0017002E" w:rsidP="0017002E">
      <w:pPr>
        <w:pStyle w:val="BodyIndent1"/>
        <w:ind w:left="0"/>
        <w:rPr>
          <w:rFonts w:ascii="Calibri" w:hAnsi="Calibri"/>
          <w:sz w:val="22"/>
        </w:rPr>
      </w:pPr>
      <w:r w:rsidRPr="00B969CC">
        <w:rPr>
          <w:rFonts w:ascii="Calibri" w:hAnsi="Calibri"/>
          <w:sz w:val="22"/>
        </w:rPr>
        <w:t>Health Care Insurance Ltd</w:t>
      </w:r>
    </w:p>
    <w:p w14:paraId="6FEC5550" w14:textId="77777777" w:rsidR="0017002E" w:rsidRDefault="0017002E" w:rsidP="0017002E">
      <w:pPr>
        <w:pStyle w:val="BodyIndent1"/>
        <w:ind w:left="0"/>
        <w:rPr>
          <w:rFonts w:ascii="Calibri" w:hAnsi="Calibri"/>
          <w:sz w:val="22"/>
        </w:rPr>
      </w:pPr>
      <w:r w:rsidRPr="00B969CC">
        <w:rPr>
          <w:rFonts w:ascii="Calibri" w:hAnsi="Calibri"/>
          <w:sz w:val="22"/>
        </w:rPr>
        <w:t>Health Partners Ltd</w:t>
      </w:r>
    </w:p>
    <w:p w14:paraId="5891BF8B" w14:textId="77777777" w:rsidR="0017002E" w:rsidRPr="00B969CC" w:rsidRDefault="0017002E" w:rsidP="0017002E">
      <w:pPr>
        <w:pStyle w:val="BodyIndent1"/>
        <w:ind w:left="0"/>
        <w:rPr>
          <w:rFonts w:ascii="Calibri" w:hAnsi="Calibri"/>
          <w:sz w:val="22"/>
        </w:rPr>
      </w:pPr>
      <w:r>
        <w:rPr>
          <w:rFonts w:ascii="Calibri" w:hAnsi="Calibri"/>
          <w:sz w:val="22"/>
        </w:rPr>
        <w:t>Latrobe Health Services Ltd</w:t>
      </w:r>
    </w:p>
    <w:p w14:paraId="6A6E1D79" w14:textId="77777777" w:rsidR="0017002E" w:rsidRPr="00B969CC" w:rsidRDefault="0017002E" w:rsidP="0017002E">
      <w:pPr>
        <w:pStyle w:val="BodyIndent1"/>
        <w:ind w:left="0"/>
        <w:rPr>
          <w:rFonts w:ascii="Calibri" w:hAnsi="Calibri"/>
          <w:sz w:val="22"/>
        </w:rPr>
      </w:pPr>
      <w:proofErr w:type="spellStart"/>
      <w:r w:rsidRPr="00B969CC">
        <w:rPr>
          <w:rFonts w:ascii="Calibri" w:hAnsi="Calibri"/>
          <w:sz w:val="22"/>
        </w:rPr>
        <w:t>Lysaght</w:t>
      </w:r>
      <w:proofErr w:type="spellEnd"/>
      <w:r w:rsidRPr="00B969CC">
        <w:rPr>
          <w:rFonts w:ascii="Calibri" w:hAnsi="Calibri"/>
          <w:sz w:val="22"/>
        </w:rPr>
        <w:t xml:space="preserve"> </w:t>
      </w:r>
      <w:proofErr w:type="spellStart"/>
      <w:r w:rsidRPr="00B969CC">
        <w:rPr>
          <w:rFonts w:ascii="Calibri" w:hAnsi="Calibri"/>
          <w:sz w:val="22"/>
        </w:rPr>
        <w:t>Peoplecare</w:t>
      </w:r>
      <w:proofErr w:type="spellEnd"/>
      <w:r w:rsidRPr="00B969CC">
        <w:rPr>
          <w:rFonts w:ascii="Calibri" w:hAnsi="Calibri"/>
          <w:sz w:val="22"/>
        </w:rPr>
        <w:t xml:space="preserve"> Ltd</w:t>
      </w:r>
    </w:p>
    <w:p w14:paraId="1D6D8CF7" w14:textId="77777777" w:rsidR="0017002E" w:rsidRPr="00B969CC" w:rsidRDefault="0017002E" w:rsidP="0017002E">
      <w:pPr>
        <w:pStyle w:val="BodyIndent1"/>
        <w:ind w:left="0"/>
        <w:rPr>
          <w:rFonts w:ascii="Calibri" w:hAnsi="Calibri"/>
          <w:sz w:val="22"/>
        </w:rPr>
      </w:pPr>
      <w:r w:rsidRPr="00B969CC">
        <w:rPr>
          <w:rFonts w:ascii="Calibri" w:hAnsi="Calibri"/>
          <w:sz w:val="22"/>
        </w:rPr>
        <w:t>Mildura Health Fund</w:t>
      </w:r>
    </w:p>
    <w:p w14:paraId="0EC5A9B0" w14:textId="77777777" w:rsidR="0017002E" w:rsidRPr="00B969CC" w:rsidRDefault="0017002E" w:rsidP="0017002E">
      <w:pPr>
        <w:pStyle w:val="BodyIndent1"/>
        <w:ind w:left="0"/>
        <w:rPr>
          <w:rFonts w:ascii="Calibri" w:hAnsi="Calibri"/>
          <w:sz w:val="22"/>
        </w:rPr>
      </w:pPr>
      <w:r w:rsidRPr="00B969CC">
        <w:rPr>
          <w:rFonts w:ascii="Calibri" w:hAnsi="Calibri"/>
          <w:sz w:val="22"/>
        </w:rPr>
        <w:t>Navy Health Ltd</w:t>
      </w:r>
    </w:p>
    <w:p w14:paraId="500B8321" w14:textId="77777777" w:rsidR="0017002E" w:rsidRPr="00B969CC" w:rsidRDefault="0017002E" w:rsidP="0017002E">
      <w:pPr>
        <w:pStyle w:val="BodyIndent1"/>
        <w:ind w:left="0"/>
        <w:rPr>
          <w:rFonts w:ascii="Calibri" w:hAnsi="Calibri"/>
          <w:sz w:val="22"/>
        </w:rPr>
      </w:pPr>
      <w:r w:rsidRPr="00B969CC">
        <w:rPr>
          <w:rFonts w:ascii="Calibri" w:hAnsi="Calibri"/>
          <w:sz w:val="22"/>
        </w:rPr>
        <w:t>Phoenix Health Fund Ltd</w:t>
      </w:r>
    </w:p>
    <w:p w14:paraId="64B259AF" w14:textId="77777777" w:rsidR="0017002E" w:rsidRPr="00B969CC" w:rsidRDefault="0017002E" w:rsidP="0017002E">
      <w:pPr>
        <w:pStyle w:val="BodyIndent1"/>
        <w:ind w:left="0"/>
        <w:rPr>
          <w:rFonts w:ascii="Calibri" w:hAnsi="Calibri"/>
          <w:sz w:val="22"/>
        </w:rPr>
      </w:pPr>
      <w:r w:rsidRPr="00B969CC">
        <w:rPr>
          <w:rFonts w:ascii="Calibri" w:hAnsi="Calibri"/>
          <w:sz w:val="22"/>
        </w:rPr>
        <w:t>Police Health Ltd</w:t>
      </w:r>
    </w:p>
    <w:p w14:paraId="29278078" w14:textId="77777777" w:rsidR="0017002E" w:rsidRPr="00B969CC" w:rsidRDefault="0017002E" w:rsidP="0017002E">
      <w:pPr>
        <w:pStyle w:val="BodyIndent1"/>
        <w:ind w:left="0"/>
        <w:rPr>
          <w:rFonts w:ascii="Calibri" w:hAnsi="Calibri"/>
          <w:sz w:val="22"/>
        </w:rPr>
      </w:pPr>
      <w:r w:rsidRPr="00B969CC">
        <w:rPr>
          <w:rFonts w:ascii="Calibri" w:hAnsi="Calibri"/>
          <w:sz w:val="22"/>
        </w:rPr>
        <w:t>Queensland Country Heath Ltd</w:t>
      </w:r>
    </w:p>
    <w:p w14:paraId="6B7832AA" w14:textId="77777777" w:rsidR="0017002E" w:rsidRPr="00B969CC" w:rsidRDefault="0017002E" w:rsidP="0017002E">
      <w:pPr>
        <w:pStyle w:val="BodyIndent1"/>
        <w:ind w:left="0"/>
        <w:rPr>
          <w:rFonts w:ascii="Calibri" w:hAnsi="Calibri"/>
          <w:sz w:val="22"/>
        </w:rPr>
      </w:pPr>
      <w:r w:rsidRPr="00B969CC">
        <w:rPr>
          <w:rFonts w:ascii="Calibri" w:hAnsi="Calibri"/>
          <w:sz w:val="22"/>
        </w:rPr>
        <w:t>Queensland Teachers’ Union Health Fund Ltd</w:t>
      </w:r>
    </w:p>
    <w:p w14:paraId="7D3C9100" w14:textId="77777777" w:rsidR="0017002E" w:rsidRPr="00B969CC" w:rsidRDefault="0017002E" w:rsidP="0017002E">
      <w:pPr>
        <w:pStyle w:val="BodyIndent1"/>
        <w:ind w:left="0"/>
        <w:rPr>
          <w:rFonts w:ascii="Calibri" w:hAnsi="Calibri"/>
          <w:sz w:val="22"/>
        </w:rPr>
      </w:pPr>
      <w:r w:rsidRPr="00B969CC">
        <w:rPr>
          <w:rFonts w:ascii="Calibri" w:hAnsi="Calibri"/>
          <w:sz w:val="22"/>
        </w:rPr>
        <w:t>Railway and Transport Health Fund Ltd</w:t>
      </w:r>
    </w:p>
    <w:p w14:paraId="1793A6C3" w14:textId="77777777" w:rsidR="0017002E" w:rsidRPr="00B969CC" w:rsidRDefault="0017002E" w:rsidP="0017002E">
      <w:pPr>
        <w:pStyle w:val="BodyIndent1"/>
        <w:ind w:left="0"/>
        <w:rPr>
          <w:rFonts w:ascii="Calibri" w:hAnsi="Calibri"/>
          <w:sz w:val="22"/>
        </w:rPr>
      </w:pPr>
      <w:r w:rsidRPr="00B969CC">
        <w:rPr>
          <w:rFonts w:ascii="Calibri" w:hAnsi="Calibri"/>
          <w:sz w:val="22"/>
        </w:rPr>
        <w:t>Reserve Bank Health Society Ltd</w:t>
      </w:r>
    </w:p>
    <w:p w14:paraId="167140C3" w14:textId="77777777" w:rsidR="0017002E" w:rsidRPr="00B969CC" w:rsidRDefault="0017002E" w:rsidP="0017002E">
      <w:pPr>
        <w:pStyle w:val="BodyIndent1"/>
        <w:ind w:left="0"/>
        <w:rPr>
          <w:rFonts w:ascii="Calibri" w:hAnsi="Calibri"/>
          <w:sz w:val="22"/>
        </w:rPr>
      </w:pPr>
      <w:r w:rsidRPr="00B969CC">
        <w:rPr>
          <w:rFonts w:ascii="Calibri" w:hAnsi="Calibri"/>
          <w:sz w:val="22"/>
        </w:rPr>
        <w:t>St Luke's Medical &amp; Hospital Benefits Association Ltd</w:t>
      </w:r>
    </w:p>
    <w:p w14:paraId="11CE3BFB" w14:textId="77777777" w:rsidR="0017002E" w:rsidRPr="00B969CC" w:rsidRDefault="0017002E" w:rsidP="0017002E">
      <w:pPr>
        <w:pStyle w:val="BodyIndent1"/>
        <w:ind w:left="0"/>
        <w:rPr>
          <w:rFonts w:ascii="Calibri" w:hAnsi="Calibri"/>
          <w:sz w:val="22"/>
        </w:rPr>
      </w:pPr>
      <w:r w:rsidRPr="00B969CC">
        <w:rPr>
          <w:rFonts w:ascii="Calibri" w:hAnsi="Calibri"/>
          <w:sz w:val="22"/>
        </w:rPr>
        <w:t>Teachers Federation Health Ltd</w:t>
      </w:r>
    </w:p>
    <w:p w14:paraId="2FDFB612" w14:textId="77777777" w:rsidR="0017002E" w:rsidRPr="00B969CC" w:rsidRDefault="0017002E" w:rsidP="0017002E">
      <w:pPr>
        <w:pStyle w:val="BodyIndent1"/>
        <w:ind w:left="0"/>
        <w:rPr>
          <w:rFonts w:ascii="Calibri" w:hAnsi="Calibri"/>
          <w:sz w:val="22"/>
        </w:rPr>
      </w:pPr>
      <w:r w:rsidRPr="00B969CC">
        <w:rPr>
          <w:rFonts w:ascii="Calibri" w:hAnsi="Calibri"/>
          <w:sz w:val="22"/>
        </w:rPr>
        <w:t>The Doctors’ Health Fund Ltd</w:t>
      </w:r>
    </w:p>
    <w:p w14:paraId="3458989F" w14:textId="77777777" w:rsidR="0017002E" w:rsidRPr="00B969CC" w:rsidRDefault="0017002E" w:rsidP="0017002E">
      <w:pPr>
        <w:pStyle w:val="BodyIndent1"/>
        <w:ind w:left="0"/>
        <w:rPr>
          <w:rFonts w:ascii="Calibri" w:hAnsi="Calibri"/>
          <w:sz w:val="22"/>
        </w:rPr>
      </w:pPr>
      <w:proofErr w:type="spellStart"/>
      <w:r w:rsidRPr="00B969CC">
        <w:rPr>
          <w:rFonts w:ascii="Calibri" w:hAnsi="Calibri"/>
          <w:sz w:val="22"/>
        </w:rPr>
        <w:t>Westfund</w:t>
      </w:r>
      <w:proofErr w:type="spellEnd"/>
      <w:r w:rsidRPr="00B969CC">
        <w:rPr>
          <w:rFonts w:ascii="Calibri" w:hAnsi="Calibri"/>
          <w:sz w:val="22"/>
        </w:rPr>
        <w:t xml:space="preserve"> Ltd</w:t>
      </w:r>
    </w:p>
    <w:p w14:paraId="45E3DB8F" w14:textId="77777777" w:rsidR="0017002E" w:rsidRPr="00A16B4F" w:rsidRDefault="0017002E" w:rsidP="00A16B4F">
      <w:pPr>
        <w:rPr>
          <w:b/>
          <w:color w:val="000000" w:themeColor="text1"/>
        </w:rPr>
      </w:pPr>
    </w:p>
    <w:sectPr w:rsidR="0017002E" w:rsidRPr="00A16B4F">
      <w:headerReference w:type="even" r:id="rId23"/>
      <w:headerReference w:type="default" r:id="rId24"/>
      <w:footerReference w:type="even" r:id="rId25"/>
      <w:footerReference w:type="default" r:id="rId26"/>
      <w:headerReference w:type="first" r:id="rId27"/>
      <w:footerReference w:type="first" r:id="rId2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EE0DC2" w14:textId="77777777" w:rsidR="005471ED" w:rsidRDefault="005471ED" w:rsidP="00565E94">
      <w:pPr>
        <w:spacing w:after="0" w:line="240" w:lineRule="auto"/>
      </w:pPr>
      <w:r>
        <w:separator/>
      </w:r>
    </w:p>
  </w:endnote>
  <w:endnote w:type="continuationSeparator" w:id="0">
    <w:p w14:paraId="44FE8AFF" w14:textId="77777777" w:rsidR="005471ED" w:rsidRDefault="005471ED" w:rsidP="00565E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1088B7" w14:textId="77777777" w:rsidR="00164B1B" w:rsidRDefault="00164B1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29660B" w14:textId="77777777" w:rsidR="00164B1B" w:rsidRDefault="00164B1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E3A22E" w14:textId="77777777" w:rsidR="00164B1B" w:rsidRDefault="00164B1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5379AD" w14:textId="77777777" w:rsidR="005471ED" w:rsidRDefault="005471ED" w:rsidP="00565E94">
      <w:pPr>
        <w:spacing w:after="0" w:line="240" w:lineRule="auto"/>
      </w:pPr>
      <w:r>
        <w:separator/>
      </w:r>
    </w:p>
  </w:footnote>
  <w:footnote w:type="continuationSeparator" w:id="0">
    <w:p w14:paraId="54D0717A" w14:textId="77777777" w:rsidR="005471ED" w:rsidRDefault="005471ED" w:rsidP="00565E94">
      <w:pPr>
        <w:spacing w:after="0" w:line="240" w:lineRule="auto"/>
      </w:pPr>
      <w:r>
        <w:continuationSeparator/>
      </w:r>
    </w:p>
  </w:footnote>
  <w:footnote w:id="1">
    <w:p w14:paraId="2F515489" w14:textId="77777777" w:rsidR="00533F90" w:rsidRDefault="004C120F">
      <w:pPr>
        <w:pStyle w:val="FootnoteText"/>
      </w:pPr>
      <w:r w:rsidRPr="002B7547">
        <w:rPr>
          <w:rStyle w:val="FootnoteReference"/>
          <w:sz w:val="16"/>
        </w:rPr>
        <w:footnoteRef/>
      </w:r>
      <w:r w:rsidRPr="002B7547">
        <w:rPr>
          <w:sz w:val="16"/>
        </w:rPr>
        <w:t xml:space="preserve"> P</w:t>
      </w:r>
      <w:r>
        <w:rPr>
          <w:sz w:val="16"/>
        </w:rPr>
        <w:t xml:space="preserve">rivate Health Insurance Administration Council (PHIAC) </w:t>
      </w:r>
      <w:r w:rsidRPr="002B7547">
        <w:rPr>
          <w:i/>
          <w:sz w:val="16"/>
        </w:rPr>
        <w:t>Quarterly Statistics</w:t>
      </w:r>
      <w:r>
        <w:rPr>
          <w:sz w:val="16"/>
        </w:rPr>
        <w:t>, March 2015.</w:t>
      </w:r>
    </w:p>
  </w:footnote>
  <w:footnote w:id="2">
    <w:p w14:paraId="5E24CD1B" w14:textId="77777777" w:rsidR="00B72461" w:rsidRPr="004C120F" w:rsidRDefault="00B72461" w:rsidP="00565E94">
      <w:pPr>
        <w:pStyle w:val="Heading1"/>
        <w:spacing w:before="0" w:beforeAutospacing="0" w:after="0" w:afterAutospacing="0"/>
        <w:rPr>
          <w:sz w:val="16"/>
          <w:szCs w:val="16"/>
        </w:rPr>
      </w:pPr>
      <w:r w:rsidRPr="004C120F">
        <w:rPr>
          <w:rStyle w:val="FootnoteReference"/>
          <w:rFonts w:asciiTheme="minorHAnsi" w:hAnsiTheme="minorHAnsi"/>
          <w:b w:val="0"/>
          <w:sz w:val="16"/>
          <w:szCs w:val="16"/>
        </w:rPr>
        <w:footnoteRef/>
      </w:r>
      <w:r w:rsidRPr="004C120F">
        <w:rPr>
          <w:rFonts w:asciiTheme="minorHAnsi" w:hAnsiTheme="minorHAnsi"/>
          <w:b w:val="0"/>
          <w:sz w:val="16"/>
          <w:szCs w:val="16"/>
        </w:rPr>
        <w:t xml:space="preserve"> </w:t>
      </w:r>
      <w:r w:rsidR="004C120F" w:rsidRPr="004C120F">
        <w:rPr>
          <w:rFonts w:asciiTheme="minorHAnsi" w:hAnsiTheme="minorHAnsi" w:cs="Arial"/>
          <w:b w:val="0"/>
          <w:color w:val="2E2E2E"/>
          <w:sz w:val="16"/>
          <w:szCs w:val="16"/>
        </w:rPr>
        <w:t>Ibid.</w:t>
      </w:r>
    </w:p>
  </w:footnote>
  <w:footnote w:id="3">
    <w:p w14:paraId="44DD6DA2" w14:textId="77777777" w:rsidR="00533F90" w:rsidRPr="004C120F" w:rsidRDefault="00533F90" w:rsidP="00533F90">
      <w:pPr>
        <w:pStyle w:val="FootnoteText"/>
        <w:rPr>
          <w:sz w:val="16"/>
          <w:szCs w:val="16"/>
        </w:rPr>
      </w:pPr>
      <w:r w:rsidRPr="004C120F">
        <w:rPr>
          <w:rStyle w:val="FootnoteReference"/>
          <w:sz w:val="16"/>
          <w:szCs w:val="16"/>
        </w:rPr>
        <w:footnoteRef/>
      </w:r>
      <w:r w:rsidRPr="004C120F">
        <w:rPr>
          <w:sz w:val="16"/>
          <w:szCs w:val="16"/>
        </w:rPr>
        <w:t xml:space="preserve"> </w:t>
      </w:r>
      <w:r w:rsidR="004C120F" w:rsidRPr="004C120F">
        <w:rPr>
          <w:i/>
          <w:sz w:val="16"/>
          <w:szCs w:val="16"/>
        </w:rPr>
        <w:t xml:space="preserve">The Operations of </w:t>
      </w:r>
      <w:r w:rsidR="00805F5D">
        <w:rPr>
          <w:i/>
          <w:sz w:val="16"/>
          <w:szCs w:val="16"/>
        </w:rPr>
        <w:t xml:space="preserve">the </w:t>
      </w:r>
      <w:r w:rsidR="004C120F" w:rsidRPr="004C120F">
        <w:rPr>
          <w:i/>
          <w:sz w:val="16"/>
          <w:szCs w:val="16"/>
        </w:rPr>
        <w:t>Private Health Insurers Annual Report</w:t>
      </w:r>
      <w:r w:rsidR="001C5E34">
        <w:rPr>
          <w:i/>
          <w:sz w:val="16"/>
          <w:szCs w:val="16"/>
        </w:rPr>
        <w:t xml:space="preserve"> data</w:t>
      </w:r>
      <w:r w:rsidR="004C120F" w:rsidRPr="004C120F">
        <w:rPr>
          <w:sz w:val="16"/>
          <w:szCs w:val="16"/>
        </w:rPr>
        <w:t>, 2013-14; PHIAC</w:t>
      </w:r>
    </w:p>
  </w:footnote>
  <w:footnote w:id="4">
    <w:p w14:paraId="7DC3BE1C" w14:textId="77777777" w:rsidR="00B72461" w:rsidRPr="004C120F" w:rsidRDefault="00B72461" w:rsidP="00565E94">
      <w:pPr>
        <w:pStyle w:val="FootnoteText"/>
        <w:rPr>
          <w:sz w:val="16"/>
          <w:szCs w:val="16"/>
        </w:rPr>
      </w:pPr>
      <w:r w:rsidRPr="004C120F">
        <w:rPr>
          <w:rStyle w:val="FootnoteReference"/>
          <w:sz w:val="16"/>
          <w:szCs w:val="16"/>
        </w:rPr>
        <w:footnoteRef/>
      </w:r>
      <w:r w:rsidR="004C120F">
        <w:rPr>
          <w:rFonts w:ascii="Calibri" w:hAnsi="Calibri"/>
          <w:i/>
          <w:sz w:val="16"/>
          <w:szCs w:val="16"/>
        </w:rPr>
        <w:t xml:space="preserve"> </w:t>
      </w:r>
      <w:r w:rsidR="004C120F" w:rsidRPr="004C120F">
        <w:rPr>
          <w:rFonts w:ascii="Calibri" w:hAnsi="Calibri"/>
          <w:i/>
          <w:sz w:val="16"/>
          <w:szCs w:val="16"/>
        </w:rPr>
        <w:t>Australian Hospital Statistics 2012-13 - Private hospitals</w:t>
      </w:r>
      <w:r w:rsidR="004C120F" w:rsidRPr="004C120F">
        <w:rPr>
          <w:rFonts w:ascii="Calibri" w:hAnsi="Calibri"/>
          <w:sz w:val="16"/>
          <w:szCs w:val="16"/>
        </w:rPr>
        <w:t>, Australian Institute of Health and Welfare (AIHW)</w:t>
      </w:r>
      <w:r w:rsidR="001C4A65">
        <w:rPr>
          <w:rFonts w:ascii="Calibri" w:hAnsi="Calibri"/>
          <w:sz w:val="16"/>
          <w:szCs w:val="16"/>
        </w:rPr>
        <w:t>, p.</w:t>
      </w:r>
      <w:r w:rsidR="001C4D8B">
        <w:rPr>
          <w:rFonts w:ascii="Calibri" w:hAnsi="Calibri"/>
          <w:sz w:val="16"/>
          <w:szCs w:val="16"/>
        </w:rPr>
        <w:t xml:space="preserve"> viii &amp; p. 14</w:t>
      </w:r>
    </w:p>
  </w:footnote>
  <w:footnote w:id="5">
    <w:p w14:paraId="59612557" w14:textId="77777777" w:rsidR="00B72461" w:rsidRDefault="00B72461">
      <w:pPr>
        <w:pStyle w:val="FootnoteText"/>
      </w:pPr>
      <w:r w:rsidRPr="004C120F">
        <w:rPr>
          <w:rStyle w:val="FootnoteReference"/>
          <w:sz w:val="16"/>
          <w:szCs w:val="16"/>
        </w:rPr>
        <w:footnoteRef/>
      </w:r>
      <w:r w:rsidRPr="004C120F">
        <w:rPr>
          <w:sz w:val="16"/>
          <w:szCs w:val="16"/>
        </w:rPr>
        <w:t xml:space="preserve"> </w:t>
      </w:r>
      <w:r w:rsidR="006C6E89" w:rsidRPr="004C120F">
        <w:rPr>
          <w:rFonts w:ascii="Calibri" w:hAnsi="Calibri"/>
          <w:i/>
          <w:sz w:val="16"/>
          <w:szCs w:val="16"/>
        </w:rPr>
        <w:t xml:space="preserve">Australian Hospital Statistics 2012-13 - </w:t>
      </w:r>
      <w:r w:rsidR="006C6E89" w:rsidRPr="004C120F">
        <w:rPr>
          <w:rFonts w:ascii="Calibri" w:hAnsi="Calibri"/>
          <w:sz w:val="16"/>
          <w:szCs w:val="16"/>
        </w:rPr>
        <w:t xml:space="preserve"> Australian Institute of Health and Welfare (AIHW)</w:t>
      </w:r>
      <w:r w:rsidR="006C6E89">
        <w:rPr>
          <w:rFonts w:ascii="Calibri" w:hAnsi="Calibri"/>
          <w:sz w:val="16"/>
          <w:szCs w:val="16"/>
        </w:rPr>
        <w:t>, p. 10</w:t>
      </w:r>
    </w:p>
  </w:footnote>
  <w:footnote w:id="6">
    <w:p w14:paraId="7EE26D78" w14:textId="77777777" w:rsidR="0052075C" w:rsidRDefault="0052075C">
      <w:pPr>
        <w:pStyle w:val="FootnoteText"/>
      </w:pPr>
      <w:r w:rsidRPr="004C120F">
        <w:rPr>
          <w:rStyle w:val="FootnoteReference"/>
          <w:sz w:val="16"/>
        </w:rPr>
        <w:footnoteRef/>
      </w:r>
      <w:r w:rsidRPr="004C120F">
        <w:rPr>
          <w:sz w:val="16"/>
        </w:rPr>
        <w:t xml:space="preserve"> Derived from </w:t>
      </w:r>
      <w:r w:rsidR="004C120F" w:rsidRPr="00805F5D">
        <w:rPr>
          <w:i/>
          <w:sz w:val="16"/>
        </w:rPr>
        <w:t xml:space="preserve">PHIAC Operations of </w:t>
      </w:r>
      <w:r w:rsidR="00805F5D" w:rsidRPr="00805F5D">
        <w:rPr>
          <w:i/>
          <w:sz w:val="16"/>
        </w:rPr>
        <w:t>the Private Health Insurers</w:t>
      </w:r>
      <w:r w:rsidR="004C120F" w:rsidRPr="00805F5D">
        <w:rPr>
          <w:i/>
          <w:sz w:val="16"/>
        </w:rPr>
        <w:t xml:space="preserve"> annual report</w:t>
      </w:r>
      <w:r w:rsidR="001C5E34">
        <w:rPr>
          <w:i/>
          <w:sz w:val="16"/>
        </w:rPr>
        <w:t xml:space="preserve"> data</w:t>
      </w:r>
      <w:r w:rsidR="004C120F" w:rsidRPr="004C120F">
        <w:rPr>
          <w:sz w:val="16"/>
        </w:rPr>
        <w:t>; years 2009-10 through 2013-14</w:t>
      </w:r>
    </w:p>
  </w:footnote>
  <w:footnote w:id="7">
    <w:p w14:paraId="4F8E7FE4" w14:textId="77777777" w:rsidR="002F552D" w:rsidRDefault="002F552D">
      <w:pPr>
        <w:pStyle w:val="FootnoteText"/>
      </w:pPr>
      <w:r w:rsidRPr="004C120F">
        <w:rPr>
          <w:rStyle w:val="FootnoteReference"/>
          <w:sz w:val="16"/>
        </w:rPr>
        <w:footnoteRef/>
      </w:r>
      <w:r w:rsidRPr="004C120F">
        <w:rPr>
          <w:sz w:val="16"/>
        </w:rPr>
        <w:t xml:space="preserve"> </w:t>
      </w:r>
      <w:r w:rsidR="004C120F" w:rsidRPr="004C120F">
        <w:rPr>
          <w:sz w:val="16"/>
        </w:rPr>
        <w:t xml:space="preserve">Derived from </w:t>
      </w:r>
      <w:r w:rsidR="004C120F" w:rsidRPr="00805F5D">
        <w:rPr>
          <w:i/>
          <w:sz w:val="16"/>
        </w:rPr>
        <w:t xml:space="preserve">Operations of </w:t>
      </w:r>
      <w:r w:rsidR="00805F5D" w:rsidRPr="00805F5D">
        <w:rPr>
          <w:i/>
          <w:sz w:val="16"/>
        </w:rPr>
        <w:t>the Private Health Insurers</w:t>
      </w:r>
      <w:r w:rsidR="004C120F" w:rsidRPr="00805F5D">
        <w:rPr>
          <w:i/>
          <w:sz w:val="16"/>
        </w:rPr>
        <w:t xml:space="preserve"> annual report</w:t>
      </w:r>
      <w:r w:rsidR="001C5E34">
        <w:rPr>
          <w:i/>
          <w:sz w:val="16"/>
        </w:rPr>
        <w:t xml:space="preserve"> data</w:t>
      </w:r>
      <w:r w:rsidR="004C120F" w:rsidRPr="004C120F">
        <w:rPr>
          <w:sz w:val="16"/>
        </w:rPr>
        <w:t>; 1998-99, PHIAC</w:t>
      </w:r>
    </w:p>
  </w:footnote>
  <w:footnote w:id="8">
    <w:p w14:paraId="28CD2BDD" w14:textId="77777777" w:rsidR="00B72461" w:rsidRDefault="00B72461">
      <w:pPr>
        <w:pStyle w:val="FootnoteText"/>
      </w:pPr>
      <w:r w:rsidRPr="00805F5D">
        <w:rPr>
          <w:rStyle w:val="FootnoteReference"/>
          <w:sz w:val="16"/>
        </w:rPr>
        <w:footnoteRef/>
      </w:r>
      <w:r w:rsidRPr="00805F5D">
        <w:rPr>
          <w:sz w:val="16"/>
        </w:rPr>
        <w:t xml:space="preserve"> </w:t>
      </w:r>
      <w:r w:rsidRPr="00805F5D">
        <w:rPr>
          <w:i/>
          <w:sz w:val="16"/>
        </w:rPr>
        <w:t>Tax Reform: not a new tax, a new tax system: The Howard Government’s plan for a New Tax System</w:t>
      </w:r>
      <w:r w:rsidRPr="00805F5D">
        <w:rPr>
          <w:sz w:val="16"/>
        </w:rPr>
        <w:t>, p.93.</w:t>
      </w:r>
    </w:p>
  </w:footnote>
  <w:footnote w:id="9">
    <w:p w14:paraId="6218958D" w14:textId="77777777" w:rsidR="00B72461" w:rsidRDefault="00B72461" w:rsidP="003E280C">
      <w:pPr>
        <w:pStyle w:val="FootnoteText"/>
      </w:pPr>
      <w:r>
        <w:rPr>
          <w:rStyle w:val="FootnoteReference"/>
        </w:rPr>
        <w:footnoteRef/>
      </w:r>
      <w:r>
        <w:t xml:space="preserve"> </w:t>
      </w:r>
      <w:r w:rsidR="00805F5D" w:rsidRPr="004C120F">
        <w:rPr>
          <w:rFonts w:ascii="Calibri" w:hAnsi="Calibri"/>
          <w:i/>
          <w:sz w:val="16"/>
          <w:szCs w:val="16"/>
        </w:rPr>
        <w:t xml:space="preserve">Australian Hospital Statistics 2012-13 - </w:t>
      </w:r>
      <w:r w:rsidR="00805F5D" w:rsidRPr="004C120F">
        <w:rPr>
          <w:rFonts w:ascii="Calibri" w:hAnsi="Calibri"/>
          <w:sz w:val="16"/>
          <w:szCs w:val="16"/>
        </w:rPr>
        <w:t xml:space="preserve"> Australian Institute of Health and Welfare (AIHW)</w:t>
      </w:r>
      <w:r w:rsidR="001C4A65">
        <w:rPr>
          <w:rFonts w:ascii="Calibri" w:hAnsi="Calibri"/>
          <w:sz w:val="16"/>
          <w:szCs w:val="16"/>
        </w:rPr>
        <w:t>, p. 10</w:t>
      </w:r>
    </w:p>
  </w:footnote>
  <w:footnote w:id="10">
    <w:p w14:paraId="642E1B03" w14:textId="77777777" w:rsidR="00533F90" w:rsidRPr="00805F5D" w:rsidRDefault="00533F90">
      <w:pPr>
        <w:pStyle w:val="FootnoteText"/>
        <w:rPr>
          <w:sz w:val="16"/>
          <w:szCs w:val="16"/>
        </w:rPr>
      </w:pPr>
      <w:r w:rsidRPr="00805F5D">
        <w:rPr>
          <w:rStyle w:val="FootnoteReference"/>
          <w:sz w:val="16"/>
          <w:szCs w:val="16"/>
        </w:rPr>
        <w:footnoteRef/>
      </w:r>
      <w:r w:rsidRPr="00805F5D">
        <w:rPr>
          <w:sz w:val="16"/>
          <w:szCs w:val="16"/>
        </w:rPr>
        <w:t xml:space="preserve"> Derived from</w:t>
      </w:r>
      <w:r w:rsidR="00805F5D" w:rsidRPr="00805F5D">
        <w:rPr>
          <w:sz w:val="16"/>
          <w:szCs w:val="16"/>
        </w:rPr>
        <w:t xml:space="preserve"> the </w:t>
      </w:r>
      <w:r w:rsidR="00805F5D" w:rsidRPr="00805F5D">
        <w:rPr>
          <w:i/>
          <w:sz w:val="16"/>
          <w:szCs w:val="16"/>
        </w:rPr>
        <w:t xml:space="preserve">Operations of Private Health </w:t>
      </w:r>
      <w:r w:rsidR="00805F5D">
        <w:rPr>
          <w:i/>
          <w:sz w:val="16"/>
          <w:szCs w:val="16"/>
        </w:rPr>
        <w:t>Insurers annual report</w:t>
      </w:r>
      <w:r w:rsidR="001C5E34">
        <w:rPr>
          <w:i/>
          <w:sz w:val="16"/>
          <w:szCs w:val="16"/>
        </w:rPr>
        <w:t xml:space="preserve"> data</w:t>
      </w:r>
      <w:r w:rsidR="00805F5D">
        <w:rPr>
          <w:i/>
          <w:sz w:val="16"/>
          <w:szCs w:val="16"/>
        </w:rPr>
        <w:t>, 2013-14;</w:t>
      </w:r>
      <w:r w:rsidR="00805F5D" w:rsidRPr="00805F5D">
        <w:rPr>
          <w:i/>
          <w:sz w:val="16"/>
          <w:szCs w:val="16"/>
        </w:rPr>
        <w:t xml:space="preserve"> PHIAC</w:t>
      </w:r>
    </w:p>
  </w:footnote>
  <w:footnote w:id="11">
    <w:p w14:paraId="57CF254B" w14:textId="77777777" w:rsidR="00533F90" w:rsidRDefault="00533F90">
      <w:pPr>
        <w:pStyle w:val="FootnoteText"/>
      </w:pPr>
      <w:r w:rsidRPr="00805F5D">
        <w:rPr>
          <w:rStyle w:val="FootnoteReference"/>
          <w:sz w:val="16"/>
        </w:rPr>
        <w:footnoteRef/>
      </w:r>
      <w:r w:rsidRPr="00805F5D">
        <w:rPr>
          <w:sz w:val="16"/>
        </w:rPr>
        <w:t xml:space="preserve"> </w:t>
      </w:r>
      <w:r w:rsidR="00805F5D" w:rsidRPr="00805F5D">
        <w:rPr>
          <w:sz w:val="16"/>
        </w:rPr>
        <w:t>Income Tax Assessment Act 1997, Division 50-30, item 6.3</w:t>
      </w:r>
    </w:p>
  </w:footnote>
  <w:footnote w:id="12">
    <w:p w14:paraId="40D69AF8" w14:textId="77777777" w:rsidR="000D3D6B" w:rsidRDefault="000D3D6B" w:rsidP="000D3D6B">
      <w:pPr>
        <w:pStyle w:val="FootnoteText"/>
      </w:pPr>
      <w:r>
        <w:rPr>
          <w:rStyle w:val="FootnoteReference"/>
        </w:rPr>
        <w:footnoteRef/>
      </w:r>
      <w:r>
        <w:t xml:space="preserve"> </w:t>
      </w:r>
      <w:r w:rsidRPr="00BB394D">
        <w:rPr>
          <w:sz w:val="16"/>
        </w:rPr>
        <w:t>Australian Tax Office, retrieved: https://www.ato.gov.au/non-profit/expenses-and-purchases/in-detail/claiming/Mutuality-and-taxable-income/?page=12</w:t>
      </w:r>
    </w:p>
  </w:footnote>
  <w:footnote w:id="13">
    <w:p w14:paraId="0403E514" w14:textId="77777777" w:rsidR="00B72461" w:rsidRPr="00AF331A" w:rsidRDefault="00B72461" w:rsidP="00473D31">
      <w:pPr>
        <w:pStyle w:val="FootnoteText"/>
        <w:rPr>
          <w:sz w:val="16"/>
          <w:szCs w:val="16"/>
        </w:rPr>
      </w:pPr>
      <w:r w:rsidRPr="00AF331A">
        <w:rPr>
          <w:rStyle w:val="FootnoteReference"/>
          <w:sz w:val="16"/>
          <w:szCs w:val="16"/>
        </w:rPr>
        <w:footnoteRef/>
      </w:r>
      <w:r w:rsidRPr="00AF331A">
        <w:rPr>
          <w:sz w:val="16"/>
          <w:szCs w:val="16"/>
        </w:rPr>
        <w:t xml:space="preserve"> </w:t>
      </w:r>
      <w:r w:rsidRPr="00AF331A">
        <w:rPr>
          <w:i/>
          <w:sz w:val="16"/>
          <w:szCs w:val="16"/>
        </w:rPr>
        <w:t>Tax Reform: not a new tax, a new tax system: The Howard Government’s plan for a New Tax System</w:t>
      </w:r>
      <w:r w:rsidRPr="00AF331A">
        <w:rPr>
          <w:sz w:val="16"/>
          <w:szCs w:val="16"/>
        </w:rPr>
        <w:t>, p.93.</w:t>
      </w:r>
    </w:p>
  </w:footnote>
  <w:footnote w:id="14">
    <w:p w14:paraId="2477E099" w14:textId="77777777" w:rsidR="004B2FF1" w:rsidRDefault="004B2FF1">
      <w:pPr>
        <w:pStyle w:val="FootnoteText"/>
      </w:pPr>
      <w:r w:rsidRPr="00AF331A">
        <w:rPr>
          <w:rStyle w:val="FootnoteReference"/>
          <w:sz w:val="16"/>
          <w:szCs w:val="16"/>
        </w:rPr>
        <w:footnoteRef/>
      </w:r>
      <w:r w:rsidRPr="00AF331A">
        <w:rPr>
          <w:sz w:val="16"/>
          <w:szCs w:val="16"/>
        </w:rPr>
        <w:t xml:space="preserve"> </w:t>
      </w:r>
      <w:r w:rsidR="00BB394D" w:rsidRPr="00AF331A">
        <w:rPr>
          <w:i/>
          <w:sz w:val="16"/>
          <w:szCs w:val="16"/>
        </w:rPr>
        <w:t>Quarterly statistical summary; March 2015</w:t>
      </w:r>
      <w:r w:rsidR="00BB394D" w:rsidRPr="00AF331A">
        <w:rPr>
          <w:sz w:val="16"/>
          <w:szCs w:val="16"/>
        </w:rPr>
        <w:t>; Health Funds Association of New Zealand, retrieved: http://www.healthfunds.org.nz/pdf/Mar2015%20Quarterly%20statistical%20summary.pdf</w:t>
      </w:r>
    </w:p>
  </w:footnote>
  <w:footnote w:id="15">
    <w:p w14:paraId="25F00721" w14:textId="77777777" w:rsidR="0012243F" w:rsidRPr="00C56FFC" w:rsidRDefault="0012243F">
      <w:pPr>
        <w:pStyle w:val="FootnoteText"/>
        <w:rPr>
          <w:sz w:val="16"/>
          <w:szCs w:val="16"/>
        </w:rPr>
      </w:pPr>
      <w:r w:rsidRPr="00C56FFC">
        <w:rPr>
          <w:rStyle w:val="FootnoteReference"/>
          <w:sz w:val="16"/>
          <w:szCs w:val="16"/>
        </w:rPr>
        <w:footnoteRef/>
      </w:r>
      <w:r w:rsidRPr="00C56FFC">
        <w:rPr>
          <w:sz w:val="16"/>
          <w:szCs w:val="16"/>
        </w:rPr>
        <w:t xml:space="preserve"> </w:t>
      </w:r>
      <w:r w:rsidR="006C6E89" w:rsidRPr="004C120F">
        <w:rPr>
          <w:rFonts w:ascii="Calibri" w:hAnsi="Calibri"/>
          <w:i/>
          <w:sz w:val="16"/>
          <w:szCs w:val="16"/>
        </w:rPr>
        <w:t xml:space="preserve">Australian Hospital Statistics 2012-13 - </w:t>
      </w:r>
      <w:r w:rsidR="006C6E89" w:rsidRPr="004C120F">
        <w:rPr>
          <w:rFonts w:ascii="Calibri" w:hAnsi="Calibri"/>
          <w:sz w:val="16"/>
          <w:szCs w:val="16"/>
        </w:rPr>
        <w:t xml:space="preserve"> Australian Institute of Health and Welfare (AIHW)</w:t>
      </w:r>
      <w:r w:rsidR="006C6E89">
        <w:rPr>
          <w:rFonts w:ascii="Calibri" w:hAnsi="Calibri"/>
          <w:sz w:val="16"/>
          <w:szCs w:val="16"/>
        </w:rPr>
        <w:t>, p. 10</w:t>
      </w:r>
    </w:p>
  </w:footnote>
  <w:footnote w:id="16">
    <w:p w14:paraId="044E43A6" w14:textId="77777777" w:rsidR="0012243F" w:rsidRPr="001C5E34" w:rsidRDefault="0012243F" w:rsidP="0012243F">
      <w:pPr>
        <w:pStyle w:val="FootnoteText"/>
        <w:rPr>
          <w:color w:val="000000" w:themeColor="text1"/>
          <w:sz w:val="16"/>
          <w:szCs w:val="16"/>
        </w:rPr>
      </w:pPr>
      <w:r w:rsidRPr="00AF331A">
        <w:rPr>
          <w:rStyle w:val="FootnoteReference"/>
          <w:color w:val="000000" w:themeColor="text1"/>
          <w:sz w:val="16"/>
          <w:szCs w:val="16"/>
        </w:rPr>
        <w:footnoteRef/>
      </w:r>
      <w:r w:rsidRPr="00AF331A">
        <w:rPr>
          <w:color w:val="000000" w:themeColor="text1"/>
          <w:sz w:val="16"/>
          <w:szCs w:val="16"/>
        </w:rPr>
        <w:t xml:space="preserve"> Australian Tax Office; retrieved: </w:t>
      </w:r>
      <w:hyperlink r:id="rId1" w:history="1">
        <w:r w:rsidRPr="001C5E34">
          <w:rPr>
            <w:rStyle w:val="Hyperlink"/>
            <w:color w:val="000000" w:themeColor="text1"/>
            <w:sz w:val="16"/>
            <w:szCs w:val="16"/>
            <w:u w:val="none"/>
          </w:rPr>
          <w:t>https://www.ato.gov.au/Individuals/Medicare-levy/Medicare-levy-surcharge/</w:t>
        </w:r>
      </w:hyperlink>
    </w:p>
  </w:footnote>
  <w:footnote w:id="17">
    <w:p w14:paraId="4985F5CB" w14:textId="77777777" w:rsidR="00B72461" w:rsidRPr="001C5E34" w:rsidRDefault="00B72461" w:rsidP="00BD4A67">
      <w:pPr>
        <w:rPr>
          <w:color w:val="000000" w:themeColor="text1"/>
          <w:sz w:val="16"/>
          <w:szCs w:val="16"/>
        </w:rPr>
      </w:pPr>
      <w:r w:rsidRPr="001C5E34">
        <w:rPr>
          <w:rStyle w:val="FootnoteReference"/>
          <w:color w:val="000000" w:themeColor="text1"/>
          <w:sz w:val="16"/>
          <w:szCs w:val="16"/>
        </w:rPr>
        <w:footnoteRef/>
      </w:r>
      <w:r w:rsidR="00AF331A" w:rsidRPr="001C5E34">
        <w:rPr>
          <w:color w:val="000000" w:themeColor="text1"/>
          <w:sz w:val="16"/>
          <w:szCs w:val="16"/>
        </w:rPr>
        <w:t xml:space="preserve"> Australian tax Office; retrieved:</w:t>
      </w:r>
      <w:r w:rsidRPr="001C5E34">
        <w:rPr>
          <w:color w:val="000000" w:themeColor="text1"/>
          <w:sz w:val="16"/>
          <w:szCs w:val="16"/>
        </w:rPr>
        <w:t xml:space="preserve"> </w:t>
      </w:r>
      <w:hyperlink r:id="rId2" w:anchor="Individualstables" w:history="1">
        <w:r w:rsidRPr="001C5E34">
          <w:rPr>
            <w:rStyle w:val="Hyperlink"/>
            <w:color w:val="000000" w:themeColor="text1"/>
            <w:sz w:val="16"/>
            <w:szCs w:val="16"/>
            <w:u w:val="none"/>
          </w:rPr>
          <w:t>https://www.ato.gov.au/About-ATO/Research-and-statistics/In-detail/Tax-statistics/Taxation-statistics-2012-13/?anchor=Individualstables#Individualstables</w:t>
        </w:r>
      </w:hyperlink>
    </w:p>
    <w:p w14:paraId="33335951" w14:textId="77777777" w:rsidR="00B72461" w:rsidRDefault="00B72461" w:rsidP="00BD4A67">
      <w:pPr>
        <w:rPr>
          <w:sz w:val="14"/>
        </w:rPr>
      </w:pPr>
    </w:p>
    <w:p w14:paraId="53F659D5" w14:textId="77777777" w:rsidR="00B72461" w:rsidRDefault="00B72461">
      <w:pPr>
        <w:pStyle w:val="FootnoteText"/>
      </w:pPr>
    </w:p>
  </w:footnote>
  <w:footnote w:id="18">
    <w:p w14:paraId="2CE11F51" w14:textId="77777777" w:rsidR="00B72461" w:rsidRPr="00780364" w:rsidRDefault="00B72461">
      <w:pPr>
        <w:pStyle w:val="FootnoteText"/>
        <w:rPr>
          <w:sz w:val="16"/>
          <w:szCs w:val="16"/>
        </w:rPr>
      </w:pPr>
      <w:r w:rsidRPr="00780364">
        <w:rPr>
          <w:rStyle w:val="FootnoteReference"/>
          <w:sz w:val="16"/>
          <w:szCs w:val="16"/>
        </w:rPr>
        <w:footnoteRef/>
      </w:r>
      <w:r w:rsidRPr="00780364">
        <w:rPr>
          <w:sz w:val="16"/>
          <w:szCs w:val="16"/>
        </w:rPr>
        <w:t xml:space="preserve"> </w:t>
      </w:r>
      <w:r w:rsidR="00780364" w:rsidRPr="00780364">
        <w:rPr>
          <w:i/>
          <w:sz w:val="16"/>
          <w:szCs w:val="16"/>
        </w:rPr>
        <w:t>Health Expenditure Australia, 2012-</w:t>
      </w:r>
      <w:r w:rsidR="00780364" w:rsidRPr="00780364">
        <w:rPr>
          <w:sz w:val="16"/>
          <w:szCs w:val="16"/>
        </w:rPr>
        <w:t>13; Australian Institute of Health and Welfare (AIHW)</w:t>
      </w:r>
    </w:p>
  </w:footnote>
  <w:footnote w:id="19">
    <w:p w14:paraId="537B1F38" w14:textId="77777777" w:rsidR="00B72461" w:rsidRPr="00780364" w:rsidRDefault="00B72461">
      <w:pPr>
        <w:pStyle w:val="FootnoteText"/>
        <w:rPr>
          <w:sz w:val="16"/>
          <w:szCs w:val="16"/>
        </w:rPr>
      </w:pPr>
      <w:r w:rsidRPr="00780364">
        <w:rPr>
          <w:rStyle w:val="FootnoteReference"/>
          <w:sz w:val="16"/>
          <w:szCs w:val="16"/>
        </w:rPr>
        <w:footnoteRef/>
      </w:r>
      <w:r w:rsidRPr="00780364">
        <w:rPr>
          <w:sz w:val="16"/>
          <w:szCs w:val="16"/>
        </w:rPr>
        <w:t xml:space="preserve"> </w:t>
      </w:r>
      <w:r w:rsidR="00780364" w:rsidRPr="00780364">
        <w:rPr>
          <w:sz w:val="16"/>
          <w:szCs w:val="16"/>
        </w:rPr>
        <w:t xml:space="preserve">Australian Bureau of Statistics, retrieved: </w:t>
      </w:r>
      <w:r w:rsidRPr="00780364">
        <w:rPr>
          <w:sz w:val="16"/>
          <w:szCs w:val="16"/>
        </w:rPr>
        <w:t>http://www.abs.gov.au/ausstats/abs@.nsf/mf/3101.0</w:t>
      </w:r>
    </w:p>
  </w:footnote>
  <w:footnote w:id="20">
    <w:p w14:paraId="35699B69" w14:textId="77777777" w:rsidR="004B2FF1" w:rsidRPr="00780364" w:rsidRDefault="004B2FF1">
      <w:pPr>
        <w:pStyle w:val="FootnoteText"/>
        <w:rPr>
          <w:sz w:val="16"/>
          <w:szCs w:val="16"/>
        </w:rPr>
      </w:pPr>
      <w:r w:rsidRPr="00780364">
        <w:rPr>
          <w:rStyle w:val="FootnoteReference"/>
          <w:sz w:val="16"/>
          <w:szCs w:val="16"/>
        </w:rPr>
        <w:footnoteRef/>
      </w:r>
      <w:r w:rsidRPr="00780364">
        <w:rPr>
          <w:sz w:val="16"/>
          <w:szCs w:val="16"/>
        </w:rPr>
        <w:t xml:space="preserve"> </w:t>
      </w:r>
      <w:r w:rsidR="00780364" w:rsidRPr="00780364">
        <w:rPr>
          <w:i/>
          <w:sz w:val="16"/>
          <w:szCs w:val="16"/>
        </w:rPr>
        <w:t>Phase one report, Australian Government National Commission of Audit</w:t>
      </w:r>
      <w:r w:rsidR="00780364" w:rsidRPr="00780364">
        <w:rPr>
          <w:sz w:val="16"/>
          <w:szCs w:val="16"/>
        </w:rPr>
        <w:t xml:space="preserve">, p. 97 </w:t>
      </w:r>
    </w:p>
  </w:footnote>
  <w:footnote w:id="21">
    <w:p w14:paraId="2F7BCC7C" w14:textId="77777777" w:rsidR="00B72461" w:rsidRPr="00780364" w:rsidRDefault="00B72461" w:rsidP="008A6EA6">
      <w:pPr>
        <w:rPr>
          <w:sz w:val="16"/>
          <w:szCs w:val="16"/>
        </w:rPr>
      </w:pPr>
      <w:r w:rsidRPr="00780364">
        <w:rPr>
          <w:rStyle w:val="FootnoteReference"/>
          <w:sz w:val="16"/>
          <w:szCs w:val="16"/>
        </w:rPr>
        <w:footnoteRef/>
      </w:r>
      <w:r w:rsidR="00780364" w:rsidRPr="00780364">
        <w:rPr>
          <w:sz w:val="16"/>
          <w:szCs w:val="16"/>
        </w:rPr>
        <w:t xml:space="preserve"> PHIAC quarterly statistics, December 2014</w:t>
      </w:r>
    </w:p>
    <w:p w14:paraId="3B607382" w14:textId="77777777" w:rsidR="00B72461" w:rsidRDefault="00B72461">
      <w:pPr>
        <w:pStyle w:val="FootnoteText"/>
      </w:pPr>
    </w:p>
  </w:footnote>
  <w:footnote w:id="22">
    <w:p w14:paraId="7E3C207C" w14:textId="77777777" w:rsidR="003846DF" w:rsidRDefault="003846DF">
      <w:pPr>
        <w:pStyle w:val="FootnoteText"/>
      </w:pPr>
      <w:r w:rsidRPr="00E118A9">
        <w:rPr>
          <w:rStyle w:val="FootnoteReference"/>
          <w:sz w:val="16"/>
        </w:rPr>
        <w:footnoteRef/>
      </w:r>
      <w:r w:rsidRPr="00E118A9">
        <w:rPr>
          <w:sz w:val="16"/>
        </w:rPr>
        <w:t xml:space="preserve"> </w:t>
      </w:r>
      <w:r w:rsidR="00E118A9" w:rsidRPr="00E118A9">
        <w:rPr>
          <w:sz w:val="16"/>
        </w:rPr>
        <w:t>Department of Health; retrieved: http://www.health.gov.au/internet/main/publishing.nsf/Content/phi-rebate&amp;medicarelevy-surcharge</w:t>
      </w:r>
    </w:p>
  </w:footnote>
  <w:footnote w:id="23">
    <w:p w14:paraId="63B72237" w14:textId="77777777" w:rsidR="00413CD8" w:rsidRDefault="00413CD8">
      <w:pPr>
        <w:pStyle w:val="FootnoteText"/>
      </w:pPr>
      <w:r w:rsidRPr="001C5E34">
        <w:rPr>
          <w:rStyle w:val="FootnoteReference"/>
          <w:sz w:val="16"/>
        </w:rPr>
        <w:footnoteRef/>
      </w:r>
      <w:r w:rsidRPr="001C5E34">
        <w:rPr>
          <w:sz w:val="16"/>
        </w:rPr>
        <w:t xml:space="preserve"> </w:t>
      </w:r>
      <w:r w:rsidR="00BB79CB" w:rsidRPr="001C5E34">
        <w:rPr>
          <w:i/>
          <w:sz w:val="16"/>
        </w:rPr>
        <w:t>The Operations of Private Health Insurers annual report</w:t>
      </w:r>
      <w:r w:rsidR="001C5E34">
        <w:rPr>
          <w:i/>
          <w:sz w:val="16"/>
        </w:rPr>
        <w:t xml:space="preserve"> data</w:t>
      </w:r>
      <w:r w:rsidR="00BB79CB" w:rsidRPr="001C5E34">
        <w:rPr>
          <w:sz w:val="16"/>
        </w:rPr>
        <w:t>, 2013-14; PHIAC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00D4E4" w14:textId="77777777" w:rsidR="00164B1B" w:rsidRDefault="00164B1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4D7F27" w14:textId="77777777" w:rsidR="00164B1B" w:rsidRDefault="00164B1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BECE97" w14:textId="77777777" w:rsidR="00164B1B" w:rsidRDefault="00164B1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83EFA"/>
    <w:multiLevelType w:val="hybridMultilevel"/>
    <w:tmpl w:val="7D6405D6"/>
    <w:lvl w:ilvl="0" w:tplc="4552EB7E">
      <w:start w:val="1"/>
      <w:numFmt w:val="upperLetter"/>
      <w:lvlText w:val="%1."/>
      <w:lvlJc w:val="left"/>
      <w:pPr>
        <w:ind w:left="720" w:hanging="360"/>
      </w:pPr>
      <w:rPr>
        <w:rFonts w:ascii="Calibri" w:eastAsiaTheme="minorHAnsi" w:hAnsi="Calibri" w:cs="Calibr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731372"/>
    <w:multiLevelType w:val="hybridMultilevel"/>
    <w:tmpl w:val="B006446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5244A2"/>
    <w:multiLevelType w:val="hybridMultilevel"/>
    <w:tmpl w:val="54326ABA"/>
    <w:lvl w:ilvl="0" w:tplc="94562088">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12D81B50"/>
    <w:multiLevelType w:val="hybridMultilevel"/>
    <w:tmpl w:val="7D6405D6"/>
    <w:lvl w:ilvl="0" w:tplc="4552EB7E">
      <w:start w:val="1"/>
      <w:numFmt w:val="upperLetter"/>
      <w:lvlText w:val="%1."/>
      <w:lvlJc w:val="left"/>
      <w:pPr>
        <w:ind w:left="720" w:hanging="360"/>
      </w:pPr>
      <w:rPr>
        <w:rFonts w:ascii="Calibri" w:eastAsiaTheme="minorHAnsi" w:hAnsi="Calibri" w:cs="Calibr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1F5069"/>
    <w:multiLevelType w:val="hybridMultilevel"/>
    <w:tmpl w:val="3BEA08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7D86158"/>
    <w:multiLevelType w:val="hybridMultilevel"/>
    <w:tmpl w:val="1A98B196"/>
    <w:lvl w:ilvl="0" w:tplc="1E723E24">
      <w:start w:val="35"/>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AA417B"/>
    <w:multiLevelType w:val="hybridMultilevel"/>
    <w:tmpl w:val="54326ABA"/>
    <w:lvl w:ilvl="0" w:tplc="94562088">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27B92062"/>
    <w:multiLevelType w:val="hybridMultilevel"/>
    <w:tmpl w:val="1A98B196"/>
    <w:lvl w:ilvl="0" w:tplc="1E723E24">
      <w:start w:val="35"/>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A77B99"/>
    <w:multiLevelType w:val="hybridMultilevel"/>
    <w:tmpl w:val="C47AFE8C"/>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9">
    <w:nsid w:val="389318B8"/>
    <w:multiLevelType w:val="hybridMultilevel"/>
    <w:tmpl w:val="F45C250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BD27210"/>
    <w:multiLevelType w:val="hybridMultilevel"/>
    <w:tmpl w:val="86B2C1DA"/>
    <w:lvl w:ilvl="0" w:tplc="62FCD568">
      <w:start w:val="1"/>
      <w:numFmt w:val="decimal"/>
      <w:lvlText w:val="%1."/>
      <w:lvlJc w:val="left"/>
      <w:pPr>
        <w:ind w:left="720" w:hanging="360"/>
      </w:pPr>
      <w:rPr>
        <w:rFonts w:hint="default"/>
        <w:b w:val="0"/>
        <w:color w:val="000000" w:themeColor="text1"/>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A76EBB"/>
    <w:multiLevelType w:val="hybridMultilevel"/>
    <w:tmpl w:val="493CE654"/>
    <w:lvl w:ilvl="0" w:tplc="5708410E">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734252C"/>
    <w:multiLevelType w:val="hybridMultilevel"/>
    <w:tmpl w:val="7B9CA3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811501A"/>
    <w:multiLevelType w:val="hybridMultilevel"/>
    <w:tmpl w:val="411AEB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8D8253F"/>
    <w:multiLevelType w:val="hybridMultilevel"/>
    <w:tmpl w:val="1FB0E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9247A7C"/>
    <w:multiLevelType w:val="hybridMultilevel"/>
    <w:tmpl w:val="557A9E5C"/>
    <w:lvl w:ilvl="0" w:tplc="5720E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CB133AD"/>
    <w:multiLevelType w:val="hybridMultilevel"/>
    <w:tmpl w:val="451A8B90"/>
    <w:lvl w:ilvl="0" w:tplc="0C090001">
      <w:start w:val="1"/>
      <w:numFmt w:val="bullet"/>
      <w:lvlText w:val=""/>
      <w:lvlJc w:val="left"/>
      <w:pPr>
        <w:ind w:left="765" w:hanging="360"/>
      </w:pPr>
      <w:rPr>
        <w:rFonts w:ascii="Symbol" w:hAnsi="Symbol" w:hint="default"/>
      </w:rPr>
    </w:lvl>
    <w:lvl w:ilvl="1" w:tplc="0C090003">
      <w:start w:val="1"/>
      <w:numFmt w:val="bullet"/>
      <w:lvlText w:val="o"/>
      <w:lvlJc w:val="left"/>
      <w:pPr>
        <w:ind w:left="1485" w:hanging="360"/>
      </w:pPr>
      <w:rPr>
        <w:rFonts w:ascii="Courier New" w:hAnsi="Courier New" w:cs="Courier New" w:hint="default"/>
      </w:rPr>
    </w:lvl>
    <w:lvl w:ilvl="2" w:tplc="0C090005">
      <w:start w:val="1"/>
      <w:numFmt w:val="bullet"/>
      <w:lvlText w:val=""/>
      <w:lvlJc w:val="left"/>
      <w:pPr>
        <w:ind w:left="2205" w:hanging="360"/>
      </w:pPr>
      <w:rPr>
        <w:rFonts w:ascii="Wingdings" w:hAnsi="Wingdings" w:hint="default"/>
      </w:rPr>
    </w:lvl>
    <w:lvl w:ilvl="3" w:tplc="0C090001">
      <w:start w:val="1"/>
      <w:numFmt w:val="bullet"/>
      <w:lvlText w:val=""/>
      <w:lvlJc w:val="left"/>
      <w:pPr>
        <w:ind w:left="2925" w:hanging="360"/>
      </w:pPr>
      <w:rPr>
        <w:rFonts w:ascii="Symbol" w:hAnsi="Symbol" w:hint="default"/>
      </w:rPr>
    </w:lvl>
    <w:lvl w:ilvl="4" w:tplc="0C090003">
      <w:start w:val="1"/>
      <w:numFmt w:val="bullet"/>
      <w:lvlText w:val="o"/>
      <w:lvlJc w:val="left"/>
      <w:pPr>
        <w:ind w:left="3645" w:hanging="360"/>
      </w:pPr>
      <w:rPr>
        <w:rFonts w:ascii="Courier New" w:hAnsi="Courier New" w:cs="Courier New" w:hint="default"/>
      </w:rPr>
    </w:lvl>
    <w:lvl w:ilvl="5" w:tplc="0C090005">
      <w:start w:val="1"/>
      <w:numFmt w:val="bullet"/>
      <w:lvlText w:val=""/>
      <w:lvlJc w:val="left"/>
      <w:pPr>
        <w:ind w:left="4365" w:hanging="360"/>
      </w:pPr>
      <w:rPr>
        <w:rFonts w:ascii="Wingdings" w:hAnsi="Wingdings" w:hint="default"/>
      </w:rPr>
    </w:lvl>
    <w:lvl w:ilvl="6" w:tplc="0C090001">
      <w:start w:val="1"/>
      <w:numFmt w:val="bullet"/>
      <w:lvlText w:val=""/>
      <w:lvlJc w:val="left"/>
      <w:pPr>
        <w:ind w:left="5085" w:hanging="360"/>
      </w:pPr>
      <w:rPr>
        <w:rFonts w:ascii="Symbol" w:hAnsi="Symbol" w:hint="default"/>
      </w:rPr>
    </w:lvl>
    <w:lvl w:ilvl="7" w:tplc="0C090003">
      <w:start w:val="1"/>
      <w:numFmt w:val="bullet"/>
      <w:lvlText w:val="o"/>
      <w:lvlJc w:val="left"/>
      <w:pPr>
        <w:ind w:left="5805" w:hanging="360"/>
      </w:pPr>
      <w:rPr>
        <w:rFonts w:ascii="Courier New" w:hAnsi="Courier New" w:cs="Courier New" w:hint="default"/>
      </w:rPr>
    </w:lvl>
    <w:lvl w:ilvl="8" w:tplc="0C090005">
      <w:start w:val="1"/>
      <w:numFmt w:val="bullet"/>
      <w:lvlText w:val=""/>
      <w:lvlJc w:val="left"/>
      <w:pPr>
        <w:ind w:left="6525" w:hanging="360"/>
      </w:pPr>
      <w:rPr>
        <w:rFonts w:ascii="Wingdings" w:hAnsi="Wingdings" w:hint="default"/>
      </w:rPr>
    </w:lvl>
  </w:abstractNum>
  <w:abstractNum w:abstractNumId="17">
    <w:nsid w:val="661631DD"/>
    <w:multiLevelType w:val="hybridMultilevel"/>
    <w:tmpl w:val="64C45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0F95B6E"/>
    <w:multiLevelType w:val="hybridMultilevel"/>
    <w:tmpl w:val="F7BA395E"/>
    <w:lvl w:ilvl="0" w:tplc="EE52461A">
      <w:start w:val="1"/>
      <w:numFmt w:val="decimal"/>
      <w:lvlText w:val="%1."/>
      <w:lvlJc w:val="left"/>
      <w:pPr>
        <w:ind w:left="720" w:hanging="360"/>
      </w:pPr>
      <w:rPr>
        <w:rFonts w:hint="default"/>
        <w:color w:val="44546A" w:themeColor="text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2CA02A1"/>
    <w:multiLevelType w:val="hybridMultilevel"/>
    <w:tmpl w:val="0EF4F87C"/>
    <w:lvl w:ilvl="0" w:tplc="2098D89A">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2E20D80"/>
    <w:multiLevelType w:val="hybridMultilevel"/>
    <w:tmpl w:val="6C825330"/>
    <w:lvl w:ilvl="0" w:tplc="88A0E6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5F935A3"/>
    <w:multiLevelType w:val="hybridMultilevel"/>
    <w:tmpl w:val="DCC074A2"/>
    <w:lvl w:ilvl="0" w:tplc="B306870A">
      <w:start w:val="4"/>
      <w:numFmt w:val="upperLetter"/>
      <w:lvlText w:val="%1."/>
      <w:lvlJc w:val="left"/>
      <w:pPr>
        <w:ind w:left="720" w:hanging="360"/>
      </w:pPr>
      <w:rPr>
        <w:rFonts w:ascii="Calibri" w:eastAsiaTheme="minorHAns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B1E09F4"/>
    <w:multiLevelType w:val="hybridMultilevel"/>
    <w:tmpl w:val="18ACF4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4"/>
  </w:num>
  <w:num w:numId="2">
    <w:abstractNumId w:val="17"/>
  </w:num>
  <w:num w:numId="3">
    <w:abstractNumId w:val="0"/>
  </w:num>
  <w:num w:numId="4">
    <w:abstractNumId w:val="2"/>
  </w:num>
  <w:num w:numId="5">
    <w:abstractNumId w:val="7"/>
  </w:num>
  <w:num w:numId="6">
    <w:abstractNumId w:val="13"/>
  </w:num>
  <w:num w:numId="7">
    <w:abstractNumId w:val="12"/>
  </w:num>
  <w:num w:numId="8">
    <w:abstractNumId w:val="10"/>
  </w:num>
  <w:num w:numId="9">
    <w:abstractNumId w:val="15"/>
  </w:num>
  <w:num w:numId="10">
    <w:abstractNumId w:val="16"/>
  </w:num>
  <w:num w:numId="11">
    <w:abstractNumId w:val="3"/>
  </w:num>
  <w:num w:numId="12">
    <w:abstractNumId w:val="6"/>
  </w:num>
  <w:num w:numId="13">
    <w:abstractNumId w:val="4"/>
  </w:num>
  <w:num w:numId="14">
    <w:abstractNumId w:val="22"/>
  </w:num>
  <w:num w:numId="15">
    <w:abstractNumId w:val="11"/>
  </w:num>
  <w:num w:numId="16">
    <w:abstractNumId w:val="5"/>
  </w:num>
  <w:num w:numId="17">
    <w:abstractNumId w:val="21"/>
  </w:num>
  <w:num w:numId="18">
    <w:abstractNumId w:val="20"/>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1"/>
  </w:num>
  <w:num w:numId="22">
    <w:abstractNumId w:val="18"/>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26A"/>
    <w:rsid w:val="00000686"/>
    <w:rsid w:val="00001663"/>
    <w:rsid w:val="000046AC"/>
    <w:rsid w:val="0000540D"/>
    <w:rsid w:val="00005D79"/>
    <w:rsid w:val="00006173"/>
    <w:rsid w:val="00010212"/>
    <w:rsid w:val="000112BF"/>
    <w:rsid w:val="000162AB"/>
    <w:rsid w:val="00017C95"/>
    <w:rsid w:val="0002059B"/>
    <w:rsid w:val="000207E0"/>
    <w:rsid w:val="00020A47"/>
    <w:rsid w:val="00022552"/>
    <w:rsid w:val="00023C74"/>
    <w:rsid w:val="0002607F"/>
    <w:rsid w:val="00027081"/>
    <w:rsid w:val="00027C32"/>
    <w:rsid w:val="00032092"/>
    <w:rsid w:val="0003227E"/>
    <w:rsid w:val="000328D0"/>
    <w:rsid w:val="000347FD"/>
    <w:rsid w:val="00034A54"/>
    <w:rsid w:val="00037252"/>
    <w:rsid w:val="00040BB1"/>
    <w:rsid w:val="0004172A"/>
    <w:rsid w:val="000417F6"/>
    <w:rsid w:val="00041A16"/>
    <w:rsid w:val="00042656"/>
    <w:rsid w:val="0004351D"/>
    <w:rsid w:val="000438B5"/>
    <w:rsid w:val="0004473D"/>
    <w:rsid w:val="0004558B"/>
    <w:rsid w:val="00045BCF"/>
    <w:rsid w:val="0004650E"/>
    <w:rsid w:val="00047BB3"/>
    <w:rsid w:val="00047D71"/>
    <w:rsid w:val="00051442"/>
    <w:rsid w:val="000518C6"/>
    <w:rsid w:val="000523D6"/>
    <w:rsid w:val="00052712"/>
    <w:rsid w:val="000527E8"/>
    <w:rsid w:val="000538B9"/>
    <w:rsid w:val="0005517B"/>
    <w:rsid w:val="00055C1E"/>
    <w:rsid w:val="000560D6"/>
    <w:rsid w:val="000617C9"/>
    <w:rsid w:val="00063684"/>
    <w:rsid w:val="00063C61"/>
    <w:rsid w:val="00065650"/>
    <w:rsid w:val="000661A0"/>
    <w:rsid w:val="00066F5A"/>
    <w:rsid w:val="000671B6"/>
    <w:rsid w:val="00067937"/>
    <w:rsid w:val="0007149F"/>
    <w:rsid w:val="00073710"/>
    <w:rsid w:val="0007396C"/>
    <w:rsid w:val="00074E1F"/>
    <w:rsid w:val="00075AD4"/>
    <w:rsid w:val="00075FDB"/>
    <w:rsid w:val="000766C6"/>
    <w:rsid w:val="000768F2"/>
    <w:rsid w:val="00076AD7"/>
    <w:rsid w:val="00077945"/>
    <w:rsid w:val="0008004C"/>
    <w:rsid w:val="000834AF"/>
    <w:rsid w:val="00083524"/>
    <w:rsid w:val="000849E4"/>
    <w:rsid w:val="00085858"/>
    <w:rsid w:val="00086F5F"/>
    <w:rsid w:val="0008762B"/>
    <w:rsid w:val="0009054A"/>
    <w:rsid w:val="0009086C"/>
    <w:rsid w:val="000920B2"/>
    <w:rsid w:val="000920C2"/>
    <w:rsid w:val="00093474"/>
    <w:rsid w:val="00093AF2"/>
    <w:rsid w:val="00093FDB"/>
    <w:rsid w:val="000946AB"/>
    <w:rsid w:val="00095C45"/>
    <w:rsid w:val="000A1D8D"/>
    <w:rsid w:val="000A25F3"/>
    <w:rsid w:val="000A5825"/>
    <w:rsid w:val="000A5FDB"/>
    <w:rsid w:val="000A65DE"/>
    <w:rsid w:val="000B06A0"/>
    <w:rsid w:val="000B1171"/>
    <w:rsid w:val="000B1646"/>
    <w:rsid w:val="000B1E5C"/>
    <w:rsid w:val="000B2857"/>
    <w:rsid w:val="000B3420"/>
    <w:rsid w:val="000B44B5"/>
    <w:rsid w:val="000B6AB6"/>
    <w:rsid w:val="000C055F"/>
    <w:rsid w:val="000C1298"/>
    <w:rsid w:val="000C2321"/>
    <w:rsid w:val="000C2DF2"/>
    <w:rsid w:val="000C4370"/>
    <w:rsid w:val="000C60CA"/>
    <w:rsid w:val="000C70FD"/>
    <w:rsid w:val="000C793E"/>
    <w:rsid w:val="000D0522"/>
    <w:rsid w:val="000D3B62"/>
    <w:rsid w:val="000D3D6B"/>
    <w:rsid w:val="000D5122"/>
    <w:rsid w:val="000D66CA"/>
    <w:rsid w:val="000D6CC1"/>
    <w:rsid w:val="000D70AA"/>
    <w:rsid w:val="000E14F8"/>
    <w:rsid w:val="000E232B"/>
    <w:rsid w:val="000E26AD"/>
    <w:rsid w:val="000E7BEC"/>
    <w:rsid w:val="000F107A"/>
    <w:rsid w:val="000F12F5"/>
    <w:rsid w:val="000F1A1E"/>
    <w:rsid w:val="000F50D3"/>
    <w:rsid w:val="000F64A9"/>
    <w:rsid w:val="00100CA3"/>
    <w:rsid w:val="0010162F"/>
    <w:rsid w:val="00103F50"/>
    <w:rsid w:val="00105B37"/>
    <w:rsid w:val="00113145"/>
    <w:rsid w:val="00114AFC"/>
    <w:rsid w:val="001222C1"/>
    <w:rsid w:val="0012243F"/>
    <w:rsid w:val="00124933"/>
    <w:rsid w:val="00125044"/>
    <w:rsid w:val="0013065F"/>
    <w:rsid w:val="00131DAE"/>
    <w:rsid w:val="0013238B"/>
    <w:rsid w:val="00134779"/>
    <w:rsid w:val="00136678"/>
    <w:rsid w:val="00136A11"/>
    <w:rsid w:val="00136D24"/>
    <w:rsid w:val="00136F66"/>
    <w:rsid w:val="00137F5A"/>
    <w:rsid w:val="00140841"/>
    <w:rsid w:val="00141258"/>
    <w:rsid w:val="00141DB6"/>
    <w:rsid w:val="001423F3"/>
    <w:rsid w:val="00142C68"/>
    <w:rsid w:val="001436A5"/>
    <w:rsid w:val="0014657F"/>
    <w:rsid w:val="00147CDB"/>
    <w:rsid w:val="00150430"/>
    <w:rsid w:val="00150B00"/>
    <w:rsid w:val="001511F0"/>
    <w:rsid w:val="00152BF1"/>
    <w:rsid w:val="001535DD"/>
    <w:rsid w:val="00154C58"/>
    <w:rsid w:val="001560DD"/>
    <w:rsid w:val="0015626E"/>
    <w:rsid w:val="001574BB"/>
    <w:rsid w:val="001577BC"/>
    <w:rsid w:val="001602C8"/>
    <w:rsid w:val="00161E79"/>
    <w:rsid w:val="001627FE"/>
    <w:rsid w:val="00163B40"/>
    <w:rsid w:val="00164529"/>
    <w:rsid w:val="00164B1B"/>
    <w:rsid w:val="0016603A"/>
    <w:rsid w:val="001663CF"/>
    <w:rsid w:val="00166E6C"/>
    <w:rsid w:val="00166FCD"/>
    <w:rsid w:val="0017002E"/>
    <w:rsid w:val="00170F4E"/>
    <w:rsid w:val="00171EF5"/>
    <w:rsid w:val="00172B86"/>
    <w:rsid w:val="00172C99"/>
    <w:rsid w:val="0017534C"/>
    <w:rsid w:val="00176B64"/>
    <w:rsid w:val="001771FE"/>
    <w:rsid w:val="0017796D"/>
    <w:rsid w:val="00180341"/>
    <w:rsid w:val="001817E2"/>
    <w:rsid w:val="00183CE8"/>
    <w:rsid w:val="00183EFC"/>
    <w:rsid w:val="00185A8F"/>
    <w:rsid w:val="00187E41"/>
    <w:rsid w:val="001942D4"/>
    <w:rsid w:val="001953D0"/>
    <w:rsid w:val="00195BA2"/>
    <w:rsid w:val="00197D8D"/>
    <w:rsid w:val="001A2894"/>
    <w:rsid w:val="001A41F9"/>
    <w:rsid w:val="001B01D6"/>
    <w:rsid w:val="001B054C"/>
    <w:rsid w:val="001B1130"/>
    <w:rsid w:val="001B1D46"/>
    <w:rsid w:val="001B2BEA"/>
    <w:rsid w:val="001B33A2"/>
    <w:rsid w:val="001B3518"/>
    <w:rsid w:val="001B4A1E"/>
    <w:rsid w:val="001B690B"/>
    <w:rsid w:val="001B6CAE"/>
    <w:rsid w:val="001C1CBC"/>
    <w:rsid w:val="001C31C6"/>
    <w:rsid w:val="001C36B3"/>
    <w:rsid w:val="001C4A65"/>
    <w:rsid w:val="001C4D8B"/>
    <w:rsid w:val="001C5E34"/>
    <w:rsid w:val="001C612F"/>
    <w:rsid w:val="001C707D"/>
    <w:rsid w:val="001C7BAC"/>
    <w:rsid w:val="001D07D7"/>
    <w:rsid w:val="001D14EF"/>
    <w:rsid w:val="001D214B"/>
    <w:rsid w:val="001D31AC"/>
    <w:rsid w:val="001D31D6"/>
    <w:rsid w:val="001D78FE"/>
    <w:rsid w:val="001D7A96"/>
    <w:rsid w:val="001E04DD"/>
    <w:rsid w:val="001E0819"/>
    <w:rsid w:val="001E0954"/>
    <w:rsid w:val="001E0D78"/>
    <w:rsid w:val="001E4317"/>
    <w:rsid w:val="001F06FC"/>
    <w:rsid w:val="001F2E10"/>
    <w:rsid w:val="001F3222"/>
    <w:rsid w:val="001F433E"/>
    <w:rsid w:val="001F53FE"/>
    <w:rsid w:val="001F5CEB"/>
    <w:rsid w:val="001F7D4F"/>
    <w:rsid w:val="00200596"/>
    <w:rsid w:val="002006C6"/>
    <w:rsid w:val="00200D2C"/>
    <w:rsid w:val="00200FD9"/>
    <w:rsid w:val="00203B8A"/>
    <w:rsid w:val="00203CDA"/>
    <w:rsid w:val="00203ED3"/>
    <w:rsid w:val="00205D11"/>
    <w:rsid w:val="002063BE"/>
    <w:rsid w:val="00206ED4"/>
    <w:rsid w:val="00207122"/>
    <w:rsid w:val="00207D44"/>
    <w:rsid w:val="0021127D"/>
    <w:rsid w:val="0021359C"/>
    <w:rsid w:val="0021389A"/>
    <w:rsid w:val="00214F27"/>
    <w:rsid w:val="002155B6"/>
    <w:rsid w:val="0021583B"/>
    <w:rsid w:val="00215DE4"/>
    <w:rsid w:val="0021794D"/>
    <w:rsid w:val="002267B6"/>
    <w:rsid w:val="00227692"/>
    <w:rsid w:val="00227730"/>
    <w:rsid w:val="002310A2"/>
    <w:rsid w:val="0023206A"/>
    <w:rsid w:val="0023222F"/>
    <w:rsid w:val="00234BAB"/>
    <w:rsid w:val="00236DBA"/>
    <w:rsid w:val="00237853"/>
    <w:rsid w:val="00237AB4"/>
    <w:rsid w:val="0024095E"/>
    <w:rsid w:val="002425D3"/>
    <w:rsid w:val="00247A9E"/>
    <w:rsid w:val="00250989"/>
    <w:rsid w:val="00251533"/>
    <w:rsid w:val="00251E8B"/>
    <w:rsid w:val="00252825"/>
    <w:rsid w:val="002546FC"/>
    <w:rsid w:val="00256888"/>
    <w:rsid w:val="00256A9B"/>
    <w:rsid w:val="00261AE3"/>
    <w:rsid w:val="002621BD"/>
    <w:rsid w:val="00263146"/>
    <w:rsid w:val="00263397"/>
    <w:rsid w:val="0026349F"/>
    <w:rsid w:val="002665E4"/>
    <w:rsid w:val="002670D4"/>
    <w:rsid w:val="0026783F"/>
    <w:rsid w:val="0026798F"/>
    <w:rsid w:val="00271BA5"/>
    <w:rsid w:val="002730E1"/>
    <w:rsid w:val="00276114"/>
    <w:rsid w:val="00276640"/>
    <w:rsid w:val="00277885"/>
    <w:rsid w:val="0028235D"/>
    <w:rsid w:val="002836E2"/>
    <w:rsid w:val="0028621A"/>
    <w:rsid w:val="00286B24"/>
    <w:rsid w:val="00286D1C"/>
    <w:rsid w:val="0028735E"/>
    <w:rsid w:val="00290EA9"/>
    <w:rsid w:val="00291872"/>
    <w:rsid w:val="00291DAB"/>
    <w:rsid w:val="00293897"/>
    <w:rsid w:val="00295167"/>
    <w:rsid w:val="002959A4"/>
    <w:rsid w:val="00295A45"/>
    <w:rsid w:val="00295F53"/>
    <w:rsid w:val="00297C4B"/>
    <w:rsid w:val="002A0680"/>
    <w:rsid w:val="002A29B6"/>
    <w:rsid w:val="002A462B"/>
    <w:rsid w:val="002A526E"/>
    <w:rsid w:val="002A7849"/>
    <w:rsid w:val="002A7A4E"/>
    <w:rsid w:val="002B0AEF"/>
    <w:rsid w:val="002B49A5"/>
    <w:rsid w:val="002B4F7B"/>
    <w:rsid w:val="002B5FD2"/>
    <w:rsid w:val="002B653C"/>
    <w:rsid w:val="002C0609"/>
    <w:rsid w:val="002C2447"/>
    <w:rsid w:val="002C3AD8"/>
    <w:rsid w:val="002C4857"/>
    <w:rsid w:val="002C493C"/>
    <w:rsid w:val="002C5271"/>
    <w:rsid w:val="002C53FA"/>
    <w:rsid w:val="002C7A32"/>
    <w:rsid w:val="002D0A1F"/>
    <w:rsid w:val="002D2DFB"/>
    <w:rsid w:val="002D4102"/>
    <w:rsid w:val="002D5889"/>
    <w:rsid w:val="002D5A74"/>
    <w:rsid w:val="002D5DA0"/>
    <w:rsid w:val="002D7B53"/>
    <w:rsid w:val="002E0B23"/>
    <w:rsid w:val="002E170F"/>
    <w:rsid w:val="002E2A51"/>
    <w:rsid w:val="002E3937"/>
    <w:rsid w:val="002E4160"/>
    <w:rsid w:val="002E595C"/>
    <w:rsid w:val="002E72A0"/>
    <w:rsid w:val="002E7F07"/>
    <w:rsid w:val="002E7F86"/>
    <w:rsid w:val="002F54C2"/>
    <w:rsid w:val="002F552D"/>
    <w:rsid w:val="002F5E73"/>
    <w:rsid w:val="002F661E"/>
    <w:rsid w:val="00302413"/>
    <w:rsid w:val="003031EF"/>
    <w:rsid w:val="0030487E"/>
    <w:rsid w:val="00304C67"/>
    <w:rsid w:val="00307126"/>
    <w:rsid w:val="003071B7"/>
    <w:rsid w:val="00307539"/>
    <w:rsid w:val="00310DE8"/>
    <w:rsid w:val="003110C7"/>
    <w:rsid w:val="00312BBF"/>
    <w:rsid w:val="00314930"/>
    <w:rsid w:val="00314AD7"/>
    <w:rsid w:val="00316048"/>
    <w:rsid w:val="00316E6D"/>
    <w:rsid w:val="003170DE"/>
    <w:rsid w:val="0032634C"/>
    <w:rsid w:val="00326C0C"/>
    <w:rsid w:val="00326F65"/>
    <w:rsid w:val="00327655"/>
    <w:rsid w:val="00335961"/>
    <w:rsid w:val="003363D9"/>
    <w:rsid w:val="003376F6"/>
    <w:rsid w:val="003405BD"/>
    <w:rsid w:val="00341BF5"/>
    <w:rsid w:val="00341F07"/>
    <w:rsid w:val="00345134"/>
    <w:rsid w:val="00346409"/>
    <w:rsid w:val="00346F5A"/>
    <w:rsid w:val="00347037"/>
    <w:rsid w:val="00347427"/>
    <w:rsid w:val="0035060A"/>
    <w:rsid w:val="00351C8E"/>
    <w:rsid w:val="00351C97"/>
    <w:rsid w:val="00352FD9"/>
    <w:rsid w:val="003531E6"/>
    <w:rsid w:val="0035451A"/>
    <w:rsid w:val="003605F6"/>
    <w:rsid w:val="00363BCE"/>
    <w:rsid w:val="00363BEA"/>
    <w:rsid w:val="00364EFF"/>
    <w:rsid w:val="00366CA6"/>
    <w:rsid w:val="003674D6"/>
    <w:rsid w:val="003679E2"/>
    <w:rsid w:val="003722F7"/>
    <w:rsid w:val="00372383"/>
    <w:rsid w:val="0037432B"/>
    <w:rsid w:val="003752AA"/>
    <w:rsid w:val="00376338"/>
    <w:rsid w:val="00377118"/>
    <w:rsid w:val="00377242"/>
    <w:rsid w:val="00381256"/>
    <w:rsid w:val="00381AD4"/>
    <w:rsid w:val="003846DF"/>
    <w:rsid w:val="003848C3"/>
    <w:rsid w:val="0038775E"/>
    <w:rsid w:val="00387E67"/>
    <w:rsid w:val="0039062F"/>
    <w:rsid w:val="00390987"/>
    <w:rsid w:val="003949FA"/>
    <w:rsid w:val="0039601C"/>
    <w:rsid w:val="003962D3"/>
    <w:rsid w:val="00396B7C"/>
    <w:rsid w:val="003A0A27"/>
    <w:rsid w:val="003A27AB"/>
    <w:rsid w:val="003A3236"/>
    <w:rsid w:val="003A38E6"/>
    <w:rsid w:val="003A5205"/>
    <w:rsid w:val="003A5302"/>
    <w:rsid w:val="003A5A08"/>
    <w:rsid w:val="003A603E"/>
    <w:rsid w:val="003A6219"/>
    <w:rsid w:val="003A6E2A"/>
    <w:rsid w:val="003B2E1D"/>
    <w:rsid w:val="003B728F"/>
    <w:rsid w:val="003C0143"/>
    <w:rsid w:val="003C04BE"/>
    <w:rsid w:val="003C09D5"/>
    <w:rsid w:val="003C25E0"/>
    <w:rsid w:val="003C2884"/>
    <w:rsid w:val="003C3BCF"/>
    <w:rsid w:val="003C6EBD"/>
    <w:rsid w:val="003C74AB"/>
    <w:rsid w:val="003D0A00"/>
    <w:rsid w:val="003D0F3B"/>
    <w:rsid w:val="003D16E4"/>
    <w:rsid w:val="003D1A73"/>
    <w:rsid w:val="003D2A1A"/>
    <w:rsid w:val="003D364C"/>
    <w:rsid w:val="003D3A81"/>
    <w:rsid w:val="003D565A"/>
    <w:rsid w:val="003D7039"/>
    <w:rsid w:val="003E0055"/>
    <w:rsid w:val="003E0D24"/>
    <w:rsid w:val="003E15AE"/>
    <w:rsid w:val="003E228D"/>
    <w:rsid w:val="003E2743"/>
    <w:rsid w:val="003E280C"/>
    <w:rsid w:val="003E2F9C"/>
    <w:rsid w:val="003E46D1"/>
    <w:rsid w:val="003E7122"/>
    <w:rsid w:val="003E72EF"/>
    <w:rsid w:val="003E7BB1"/>
    <w:rsid w:val="003F0D26"/>
    <w:rsid w:val="003F2451"/>
    <w:rsid w:val="003F3196"/>
    <w:rsid w:val="003F43A5"/>
    <w:rsid w:val="003F43EC"/>
    <w:rsid w:val="003F79C8"/>
    <w:rsid w:val="00400522"/>
    <w:rsid w:val="00400662"/>
    <w:rsid w:val="00402805"/>
    <w:rsid w:val="004044A9"/>
    <w:rsid w:val="00404851"/>
    <w:rsid w:val="0040503B"/>
    <w:rsid w:val="004076FD"/>
    <w:rsid w:val="004100EC"/>
    <w:rsid w:val="004126D4"/>
    <w:rsid w:val="00412907"/>
    <w:rsid w:val="00413062"/>
    <w:rsid w:val="00413CD8"/>
    <w:rsid w:val="00414263"/>
    <w:rsid w:val="004151FD"/>
    <w:rsid w:val="004168AC"/>
    <w:rsid w:val="004175E2"/>
    <w:rsid w:val="00417771"/>
    <w:rsid w:val="004178BD"/>
    <w:rsid w:val="00417D18"/>
    <w:rsid w:val="00420859"/>
    <w:rsid w:val="004228A5"/>
    <w:rsid w:val="00422E46"/>
    <w:rsid w:val="00423621"/>
    <w:rsid w:val="00423FF1"/>
    <w:rsid w:val="00426733"/>
    <w:rsid w:val="0042781D"/>
    <w:rsid w:val="0043030A"/>
    <w:rsid w:val="00431606"/>
    <w:rsid w:val="00432FAE"/>
    <w:rsid w:val="00433E13"/>
    <w:rsid w:val="00434119"/>
    <w:rsid w:val="0043709A"/>
    <w:rsid w:val="0043774A"/>
    <w:rsid w:val="004378B2"/>
    <w:rsid w:val="004403D8"/>
    <w:rsid w:val="0044227E"/>
    <w:rsid w:val="00443C41"/>
    <w:rsid w:val="004456DB"/>
    <w:rsid w:val="004463E1"/>
    <w:rsid w:val="00446519"/>
    <w:rsid w:val="00451A8F"/>
    <w:rsid w:val="004526F4"/>
    <w:rsid w:val="00455FE0"/>
    <w:rsid w:val="00456C1C"/>
    <w:rsid w:val="00456CAD"/>
    <w:rsid w:val="00460408"/>
    <w:rsid w:val="004613AD"/>
    <w:rsid w:val="00461B6D"/>
    <w:rsid w:val="004626C3"/>
    <w:rsid w:val="004641C3"/>
    <w:rsid w:val="004651DB"/>
    <w:rsid w:val="004662E8"/>
    <w:rsid w:val="00467207"/>
    <w:rsid w:val="00471CD4"/>
    <w:rsid w:val="0047216D"/>
    <w:rsid w:val="004724FD"/>
    <w:rsid w:val="00473D31"/>
    <w:rsid w:val="00476ADB"/>
    <w:rsid w:val="004814DA"/>
    <w:rsid w:val="00483C38"/>
    <w:rsid w:val="00484496"/>
    <w:rsid w:val="0048499F"/>
    <w:rsid w:val="00484EC8"/>
    <w:rsid w:val="00490FE7"/>
    <w:rsid w:val="00491AE6"/>
    <w:rsid w:val="004930FC"/>
    <w:rsid w:val="004947CF"/>
    <w:rsid w:val="00495C26"/>
    <w:rsid w:val="00496154"/>
    <w:rsid w:val="00496CEB"/>
    <w:rsid w:val="004A1C3B"/>
    <w:rsid w:val="004A276E"/>
    <w:rsid w:val="004A3F3E"/>
    <w:rsid w:val="004A4FFD"/>
    <w:rsid w:val="004A6CEE"/>
    <w:rsid w:val="004B1783"/>
    <w:rsid w:val="004B2FF1"/>
    <w:rsid w:val="004B56DD"/>
    <w:rsid w:val="004B67CE"/>
    <w:rsid w:val="004C120F"/>
    <w:rsid w:val="004C4BC4"/>
    <w:rsid w:val="004C5F68"/>
    <w:rsid w:val="004C6CF2"/>
    <w:rsid w:val="004C7336"/>
    <w:rsid w:val="004D0390"/>
    <w:rsid w:val="004D0E73"/>
    <w:rsid w:val="004D1D97"/>
    <w:rsid w:val="004D6F63"/>
    <w:rsid w:val="004E0DED"/>
    <w:rsid w:val="004E2434"/>
    <w:rsid w:val="004E3C37"/>
    <w:rsid w:val="004E3F1F"/>
    <w:rsid w:val="004E400A"/>
    <w:rsid w:val="004E51E5"/>
    <w:rsid w:val="004E5DF9"/>
    <w:rsid w:val="004E7EC5"/>
    <w:rsid w:val="004F1135"/>
    <w:rsid w:val="004F26B8"/>
    <w:rsid w:val="004F304B"/>
    <w:rsid w:val="004F50AC"/>
    <w:rsid w:val="004F50D5"/>
    <w:rsid w:val="004F6287"/>
    <w:rsid w:val="004F63DE"/>
    <w:rsid w:val="004F7E41"/>
    <w:rsid w:val="00500CC2"/>
    <w:rsid w:val="00502148"/>
    <w:rsid w:val="00502710"/>
    <w:rsid w:val="00503AF8"/>
    <w:rsid w:val="0050530B"/>
    <w:rsid w:val="00506923"/>
    <w:rsid w:val="00510778"/>
    <w:rsid w:val="00514712"/>
    <w:rsid w:val="00514E42"/>
    <w:rsid w:val="00515580"/>
    <w:rsid w:val="005157CD"/>
    <w:rsid w:val="0051582C"/>
    <w:rsid w:val="00515867"/>
    <w:rsid w:val="00515CDF"/>
    <w:rsid w:val="005174A0"/>
    <w:rsid w:val="00520417"/>
    <w:rsid w:val="0052075C"/>
    <w:rsid w:val="00521450"/>
    <w:rsid w:val="00521727"/>
    <w:rsid w:val="00521962"/>
    <w:rsid w:val="0052277B"/>
    <w:rsid w:val="005248C9"/>
    <w:rsid w:val="00525970"/>
    <w:rsid w:val="0052607C"/>
    <w:rsid w:val="00526BD2"/>
    <w:rsid w:val="00527D62"/>
    <w:rsid w:val="00531054"/>
    <w:rsid w:val="005319B8"/>
    <w:rsid w:val="00533F90"/>
    <w:rsid w:val="00535EF2"/>
    <w:rsid w:val="00536BE0"/>
    <w:rsid w:val="005370F9"/>
    <w:rsid w:val="00537254"/>
    <w:rsid w:val="00540D6D"/>
    <w:rsid w:val="00542875"/>
    <w:rsid w:val="00542E1E"/>
    <w:rsid w:val="00544021"/>
    <w:rsid w:val="00545D5C"/>
    <w:rsid w:val="005471ED"/>
    <w:rsid w:val="00550363"/>
    <w:rsid w:val="00550577"/>
    <w:rsid w:val="00551541"/>
    <w:rsid w:val="005522B2"/>
    <w:rsid w:val="00552660"/>
    <w:rsid w:val="00554B8A"/>
    <w:rsid w:val="00557066"/>
    <w:rsid w:val="00560AE5"/>
    <w:rsid w:val="00561894"/>
    <w:rsid w:val="0056294B"/>
    <w:rsid w:val="00562A53"/>
    <w:rsid w:val="00565979"/>
    <w:rsid w:val="00565E94"/>
    <w:rsid w:val="00565FBD"/>
    <w:rsid w:val="005703F7"/>
    <w:rsid w:val="00570600"/>
    <w:rsid w:val="00570A27"/>
    <w:rsid w:val="005711FD"/>
    <w:rsid w:val="0057345F"/>
    <w:rsid w:val="0057655B"/>
    <w:rsid w:val="00582A32"/>
    <w:rsid w:val="00583323"/>
    <w:rsid w:val="00583C1D"/>
    <w:rsid w:val="00586E30"/>
    <w:rsid w:val="00590369"/>
    <w:rsid w:val="00594082"/>
    <w:rsid w:val="00597B76"/>
    <w:rsid w:val="005A0440"/>
    <w:rsid w:val="005A0F6D"/>
    <w:rsid w:val="005A125A"/>
    <w:rsid w:val="005A42B8"/>
    <w:rsid w:val="005A6E5D"/>
    <w:rsid w:val="005B209A"/>
    <w:rsid w:val="005B26F9"/>
    <w:rsid w:val="005B2742"/>
    <w:rsid w:val="005B2B7C"/>
    <w:rsid w:val="005B3819"/>
    <w:rsid w:val="005B3A42"/>
    <w:rsid w:val="005B6047"/>
    <w:rsid w:val="005B6B97"/>
    <w:rsid w:val="005B6CA8"/>
    <w:rsid w:val="005B6D81"/>
    <w:rsid w:val="005B7DB8"/>
    <w:rsid w:val="005B7EC8"/>
    <w:rsid w:val="005C00A6"/>
    <w:rsid w:val="005C173F"/>
    <w:rsid w:val="005C3720"/>
    <w:rsid w:val="005C3A0E"/>
    <w:rsid w:val="005C53AC"/>
    <w:rsid w:val="005C545C"/>
    <w:rsid w:val="005C584A"/>
    <w:rsid w:val="005C5B0B"/>
    <w:rsid w:val="005C6843"/>
    <w:rsid w:val="005C710D"/>
    <w:rsid w:val="005D03C9"/>
    <w:rsid w:val="005D0885"/>
    <w:rsid w:val="005D0EC7"/>
    <w:rsid w:val="005D3656"/>
    <w:rsid w:val="005D4281"/>
    <w:rsid w:val="005D46A2"/>
    <w:rsid w:val="005D6D50"/>
    <w:rsid w:val="005D76A6"/>
    <w:rsid w:val="005E2005"/>
    <w:rsid w:val="005E3974"/>
    <w:rsid w:val="005E533C"/>
    <w:rsid w:val="005E626A"/>
    <w:rsid w:val="005E63AB"/>
    <w:rsid w:val="005E697B"/>
    <w:rsid w:val="005E7B17"/>
    <w:rsid w:val="005E7CA9"/>
    <w:rsid w:val="005F0DED"/>
    <w:rsid w:val="005F1935"/>
    <w:rsid w:val="005F2750"/>
    <w:rsid w:val="005F3C3D"/>
    <w:rsid w:val="005F4E86"/>
    <w:rsid w:val="00602970"/>
    <w:rsid w:val="00602AEB"/>
    <w:rsid w:val="00604594"/>
    <w:rsid w:val="00604C52"/>
    <w:rsid w:val="00612258"/>
    <w:rsid w:val="006123CB"/>
    <w:rsid w:val="00613313"/>
    <w:rsid w:val="00613BEC"/>
    <w:rsid w:val="00613C2C"/>
    <w:rsid w:val="00614CAC"/>
    <w:rsid w:val="00615726"/>
    <w:rsid w:val="006160A8"/>
    <w:rsid w:val="00616558"/>
    <w:rsid w:val="00616856"/>
    <w:rsid w:val="00617FE3"/>
    <w:rsid w:val="00620AF0"/>
    <w:rsid w:val="0062256A"/>
    <w:rsid w:val="00623CC2"/>
    <w:rsid w:val="006255C9"/>
    <w:rsid w:val="00625BDC"/>
    <w:rsid w:val="00627B6A"/>
    <w:rsid w:val="00632AA4"/>
    <w:rsid w:val="006347F0"/>
    <w:rsid w:val="00636EEC"/>
    <w:rsid w:val="0063748D"/>
    <w:rsid w:val="0064143C"/>
    <w:rsid w:val="006431EC"/>
    <w:rsid w:val="0064342C"/>
    <w:rsid w:val="006439D3"/>
    <w:rsid w:val="00643D06"/>
    <w:rsid w:val="0064534C"/>
    <w:rsid w:val="00645B32"/>
    <w:rsid w:val="0064662C"/>
    <w:rsid w:val="00647080"/>
    <w:rsid w:val="00650712"/>
    <w:rsid w:val="00650A5B"/>
    <w:rsid w:val="006517E4"/>
    <w:rsid w:val="0065309A"/>
    <w:rsid w:val="006538EE"/>
    <w:rsid w:val="00654F99"/>
    <w:rsid w:val="0065592F"/>
    <w:rsid w:val="00655CDE"/>
    <w:rsid w:val="00655D9F"/>
    <w:rsid w:val="00655E66"/>
    <w:rsid w:val="00656B35"/>
    <w:rsid w:val="00656F33"/>
    <w:rsid w:val="00657B55"/>
    <w:rsid w:val="00660A4F"/>
    <w:rsid w:val="00660E2A"/>
    <w:rsid w:val="00662E94"/>
    <w:rsid w:val="0066351B"/>
    <w:rsid w:val="00664543"/>
    <w:rsid w:val="00664639"/>
    <w:rsid w:val="00664D44"/>
    <w:rsid w:val="00665DC2"/>
    <w:rsid w:val="00666F58"/>
    <w:rsid w:val="00667D25"/>
    <w:rsid w:val="00672EE0"/>
    <w:rsid w:val="0067484C"/>
    <w:rsid w:val="006755FE"/>
    <w:rsid w:val="00675ABC"/>
    <w:rsid w:val="006772EB"/>
    <w:rsid w:val="00677F15"/>
    <w:rsid w:val="0068000B"/>
    <w:rsid w:val="00680341"/>
    <w:rsid w:val="00680732"/>
    <w:rsid w:val="00680DA6"/>
    <w:rsid w:val="00681A90"/>
    <w:rsid w:val="00683309"/>
    <w:rsid w:val="006848EF"/>
    <w:rsid w:val="0068552F"/>
    <w:rsid w:val="006873D9"/>
    <w:rsid w:val="006875B7"/>
    <w:rsid w:val="0069009E"/>
    <w:rsid w:val="006948FF"/>
    <w:rsid w:val="00695CD7"/>
    <w:rsid w:val="00695EB5"/>
    <w:rsid w:val="006968AE"/>
    <w:rsid w:val="006A1750"/>
    <w:rsid w:val="006A2273"/>
    <w:rsid w:val="006A246C"/>
    <w:rsid w:val="006A55B4"/>
    <w:rsid w:val="006A7D27"/>
    <w:rsid w:val="006B3CDB"/>
    <w:rsid w:val="006B4587"/>
    <w:rsid w:val="006B75A7"/>
    <w:rsid w:val="006C038D"/>
    <w:rsid w:val="006C390E"/>
    <w:rsid w:val="006C50A6"/>
    <w:rsid w:val="006C6488"/>
    <w:rsid w:val="006C6E89"/>
    <w:rsid w:val="006C720B"/>
    <w:rsid w:val="006D10A6"/>
    <w:rsid w:val="006D173E"/>
    <w:rsid w:val="006D2492"/>
    <w:rsid w:val="006D5CA9"/>
    <w:rsid w:val="006D6FA4"/>
    <w:rsid w:val="006D702D"/>
    <w:rsid w:val="006E37D5"/>
    <w:rsid w:val="006F0000"/>
    <w:rsid w:val="006F1CF2"/>
    <w:rsid w:val="006F2963"/>
    <w:rsid w:val="006F2A3A"/>
    <w:rsid w:val="006F2A61"/>
    <w:rsid w:val="006F4A93"/>
    <w:rsid w:val="006F568F"/>
    <w:rsid w:val="00700100"/>
    <w:rsid w:val="00700FD7"/>
    <w:rsid w:val="00701C2C"/>
    <w:rsid w:val="00701E10"/>
    <w:rsid w:val="007024C0"/>
    <w:rsid w:val="00702C0D"/>
    <w:rsid w:val="007030CA"/>
    <w:rsid w:val="00704EB3"/>
    <w:rsid w:val="00704F8D"/>
    <w:rsid w:val="00706964"/>
    <w:rsid w:val="00706D66"/>
    <w:rsid w:val="00707CF2"/>
    <w:rsid w:val="00707E07"/>
    <w:rsid w:val="00707FF7"/>
    <w:rsid w:val="00712733"/>
    <w:rsid w:val="00712F96"/>
    <w:rsid w:val="007154E4"/>
    <w:rsid w:val="00716C17"/>
    <w:rsid w:val="00717337"/>
    <w:rsid w:val="007200F2"/>
    <w:rsid w:val="00721065"/>
    <w:rsid w:val="00722901"/>
    <w:rsid w:val="007252B7"/>
    <w:rsid w:val="0072578E"/>
    <w:rsid w:val="00726792"/>
    <w:rsid w:val="00726DA6"/>
    <w:rsid w:val="00726ED5"/>
    <w:rsid w:val="0072767A"/>
    <w:rsid w:val="00731999"/>
    <w:rsid w:val="0073323F"/>
    <w:rsid w:val="00733338"/>
    <w:rsid w:val="00733ECE"/>
    <w:rsid w:val="00736A1F"/>
    <w:rsid w:val="00736EC8"/>
    <w:rsid w:val="0073781E"/>
    <w:rsid w:val="00740121"/>
    <w:rsid w:val="007427B9"/>
    <w:rsid w:val="00744B8A"/>
    <w:rsid w:val="007518BE"/>
    <w:rsid w:val="00751AE5"/>
    <w:rsid w:val="0075283A"/>
    <w:rsid w:val="00752FEE"/>
    <w:rsid w:val="00754497"/>
    <w:rsid w:val="00754E9A"/>
    <w:rsid w:val="007558D7"/>
    <w:rsid w:val="00755A63"/>
    <w:rsid w:val="007570EB"/>
    <w:rsid w:val="0076195B"/>
    <w:rsid w:val="007627DA"/>
    <w:rsid w:val="007663F5"/>
    <w:rsid w:val="00766627"/>
    <w:rsid w:val="0076767E"/>
    <w:rsid w:val="0077172C"/>
    <w:rsid w:val="00771B56"/>
    <w:rsid w:val="007725AC"/>
    <w:rsid w:val="00773F1C"/>
    <w:rsid w:val="007746E5"/>
    <w:rsid w:val="0077538F"/>
    <w:rsid w:val="00777010"/>
    <w:rsid w:val="0078031F"/>
    <w:rsid w:val="00780364"/>
    <w:rsid w:val="00782FE5"/>
    <w:rsid w:val="00784001"/>
    <w:rsid w:val="00784169"/>
    <w:rsid w:val="0078677C"/>
    <w:rsid w:val="0079153F"/>
    <w:rsid w:val="00792A79"/>
    <w:rsid w:val="00794AA9"/>
    <w:rsid w:val="00797F64"/>
    <w:rsid w:val="007A1653"/>
    <w:rsid w:val="007A20D7"/>
    <w:rsid w:val="007A2D58"/>
    <w:rsid w:val="007A33E1"/>
    <w:rsid w:val="007A42AC"/>
    <w:rsid w:val="007A4DCA"/>
    <w:rsid w:val="007A4EFE"/>
    <w:rsid w:val="007A5844"/>
    <w:rsid w:val="007A7056"/>
    <w:rsid w:val="007A7EF9"/>
    <w:rsid w:val="007B042B"/>
    <w:rsid w:val="007B09B7"/>
    <w:rsid w:val="007B1DC2"/>
    <w:rsid w:val="007B37DF"/>
    <w:rsid w:val="007B4187"/>
    <w:rsid w:val="007B46F9"/>
    <w:rsid w:val="007B5C18"/>
    <w:rsid w:val="007B726F"/>
    <w:rsid w:val="007C0221"/>
    <w:rsid w:val="007C0370"/>
    <w:rsid w:val="007C0E22"/>
    <w:rsid w:val="007C21D0"/>
    <w:rsid w:val="007C4D6F"/>
    <w:rsid w:val="007C5AFD"/>
    <w:rsid w:val="007D04CB"/>
    <w:rsid w:val="007D2A98"/>
    <w:rsid w:val="007D3C35"/>
    <w:rsid w:val="007D41D2"/>
    <w:rsid w:val="007D4C39"/>
    <w:rsid w:val="007D574E"/>
    <w:rsid w:val="007E0BDB"/>
    <w:rsid w:val="007E0E2C"/>
    <w:rsid w:val="007E328B"/>
    <w:rsid w:val="007E38B7"/>
    <w:rsid w:val="007E3934"/>
    <w:rsid w:val="007E40B4"/>
    <w:rsid w:val="007E5CDB"/>
    <w:rsid w:val="007E5DF2"/>
    <w:rsid w:val="007F11CC"/>
    <w:rsid w:val="007F2649"/>
    <w:rsid w:val="007F3A62"/>
    <w:rsid w:val="007F3F0C"/>
    <w:rsid w:val="007F4611"/>
    <w:rsid w:val="007F5482"/>
    <w:rsid w:val="007F5BE8"/>
    <w:rsid w:val="007F5E4F"/>
    <w:rsid w:val="007F63C6"/>
    <w:rsid w:val="007F6A0B"/>
    <w:rsid w:val="007F6FCE"/>
    <w:rsid w:val="0080032F"/>
    <w:rsid w:val="00801041"/>
    <w:rsid w:val="0080479E"/>
    <w:rsid w:val="008054F4"/>
    <w:rsid w:val="00805F5D"/>
    <w:rsid w:val="00806E85"/>
    <w:rsid w:val="008115C1"/>
    <w:rsid w:val="0081164A"/>
    <w:rsid w:val="008117FE"/>
    <w:rsid w:val="00811C38"/>
    <w:rsid w:val="0081422A"/>
    <w:rsid w:val="00814B68"/>
    <w:rsid w:val="00815989"/>
    <w:rsid w:val="00816002"/>
    <w:rsid w:val="008215CD"/>
    <w:rsid w:val="008245C4"/>
    <w:rsid w:val="00825789"/>
    <w:rsid w:val="0082673A"/>
    <w:rsid w:val="008272DC"/>
    <w:rsid w:val="00827C0E"/>
    <w:rsid w:val="00830F93"/>
    <w:rsid w:val="00831515"/>
    <w:rsid w:val="00831D1E"/>
    <w:rsid w:val="0083442F"/>
    <w:rsid w:val="00836281"/>
    <w:rsid w:val="00840B33"/>
    <w:rsid w:val="00843CBA"/>
    <w:rsid w:val="008445F6"/>
    <w:rsid w:val="0084490D"/>
    <w:rsid w:val="00844981"/>
    <w:rsid w:val="008452A7"/>
    <w:rsid w:val="00846ABD"/>
    <w:rsid w:val="00847243"/>
    <w:rsid w:val="00850F8D"/>
    <w:rsid w:val="00851378"/>
    <w:rsid w:val="008519FF"/>
    <w:rsid w:val="00852619"/>
    <w:rsid w:val="00852896"/>
    <w:rsid w:val="00853DEA"/>
    <w:rsid w:val="00854913"/>
    <w:rsid w:val="00857D0A"/>
    <w:rsid w:val="00857E42"/>
    <w:rsid w:val="008614A9"/>
    <w:rsid w:val="00862180"/>
    <w:rsid w:val="00862F59"/>
    <w:rsid w:val="00863983"/>
    <w:rsid w:val="00866F6D"/>
    <w:rsid w:val="0086727E"/>
    <w:rsid w:val="008676C3"/>
    <w:rsid w:val="00867BA6"/>
    <w:rsid w:val="00867D64"/>
    <w:rsid w:val="00871199"/>
    <w:rsid w:val="0087282C"/>
    <w:rsid w:val="008740A5"/>
    <w:rsid w:val="00874BC6"/>
    <w:rsid w:val="008756FF"/>
    <w:rsid w:val="008757A8"/>
    <w:rsid w:val="00875BD2"/>
    <w:rsid w:val="00876984"/>
    <w:rsid w:val="008778B9"/>
    <w:rsid w:val="00877900"/>
    <w:rsid w:val="00881292"/>
    <w:rsid w:val="008819B1"/>
    <w:rsid w:val="00882251"/>
    <w:rsid w:val="008830D5"/>
    <w:rsid w:val="008843BF"/>
    <w:rsid w:val="00886F2D"/>
    <w:rsid w:val="00890C89"/>
    <w:rsid w:val="00890D3C"/>
    <w:rsid w:val="0089164E"/>
    <w:rsid w:val="0089240A"/>
    <w:rsid w:val="0089285D"/>
    <w:rsid w:val="008957EA"/>
    <w:rsid w:val="008A1587"/>
    <w:rsid w:val="008A6EA6"/>
    <w:rsid w:val="008B0A82"/>
    <w:rsid w:val="008B1DBF"/>
    <w:rsid w:val="008B39AF"/>
    <w:rsid w:val="008B3A01"/>
    <w:rsid w:val="008B3D53"/>
    <w:rsid w:val="008B516F"/>
    <w:rsid w:val="008B674C"/>
    <w:rsid w:val="008C0DF2"/>
    <w:rsid w:val="008C11DA"/>
    <w:rsid w:val="008C2630"/>
    <w:rsid w:val="008C473F"/>
    <w:rsid w:val="008C7046"/>
    <w:rsid w:val="008C795F"/>
    <w:rsid w:val="008D0A6B"/>
    <w:rsid w:val="008D35F9"/>
    <w:rsid w:val="008D4EC9"/>
    <w:rsid w:val="008D521B"/>
    <w:rsid w:val="008D559D"/>
    <w:rsid w:val="008D5EF0"/>
    <w:rsid w:val="008D68F1"/>
    <w:rsid w:val="008D6B19"/>
    <w:rsid w:val="008D6D92"/>
    <w:rsid w:val="008E1CFD"/>
    <w:rsid w:val="008E2C61"/>
    <w:rsid w:val="008E39B1"/>
    <w:rsid w:val="008E47B6"/>
    <w:rsid w:val="008E5F30"/>
    <w:rsid w:val="008E7574"/>
    <w:rsid w:val="008F0058"/>
    <w:rsid w:val="008F022C"/>
    <w:rsid w:val="008F05C2"/>
    <w:rsid w:val="008F1113"/>
    <w:rsid w:val="008F12C7"/>
    <w:rsid w:val="008F2E4A"/>
    <w:rsid w:val="008F4020"/>
    <w:rsid w:val="008F464B"/>
    <w:rsid w:val="008F551B"/>
    <w:rsid w:val="008F5D3C"/>
    <w:rsid w:val="008F6164"/>
    <w:rsid w:val="008F652C"/>
    <w:rsid w:val="008F7F40"/>
    <w:rsid w:val="00904EA3"/>
    <w:rsid w:val="0090757E"/>
    <w:rsid w:val="00910EA1"/>
    <w:rsid w:val="0091251E"/>
    <w:rsid w:val="00914C95"/>
    <w:rsid w:val="00915216"/>
    <w:rsid w:val="00915D04"/>
    <w:rsid w:val="009162D9"/>
    <w:rsid w:val="0092025A"/>
    <w:rsid w:val="009213BE"/>
    <w:rsid w:val="009217AD"/>
    <w:rsid w:val="00921CDB"/>
    <w:rsid w:val="00921FAC"/>
    <w:rsid w:val="009223B1"/>
    <w:rsid w:val="00922956"/>
    <w:rsid w:val="0092330B"/>
    <w:rsid w:val="00923A0F"/>
    <w:rsid w:val="0092401D"/>
    <w:rsid w:val="00924F0A"/>
    <w:rsid w:val="0092515A"/>
    <w:rsid w:val="00925367"/>
    <w:rsid w:val="00925480"/>
    <w:rsid w:val="009254D9"/>
    <w:rsid w:val="00925CC8"/>
    <w:rsid w:val="00926F1F"/>
    <w:rsid w:val="009312CB"/>
    <w:rsid w:val="00931353"/>
    <w:rsid w:val="00933DBA"/>
    <w:rsid w:val="00935CDA"/>
    <w:rsid w:val="00940723"/>
    <w:rsid w:val="00940D91"/>
    <w:rsid w:val="00942536"/>
    <w:rsid w:val="00943DC8"/>
    <w:rsid w:val="009443E1"/>
    <w:rsid w:val="0094507B"/>
    <w:rsid w:val="00945FC3"/>
    <w:rsid w:val="009506E0"/>
    <w:rsid w:val="00951217"/>
    <w:rsid w:val="00952AC4"/>
    <w:rsid w:val="00954AB7"/>
    <w:rsid w:val="00956C81"/>
    <w:rsid w:val="009570F5"/>
    <w:rsid w:val="00957DD3"/>
    <w:rsid w:val="009605AC"/>
    <w:rsid w:val="00960819"/>
    <w:rsid w:val="00960CDF"/>
    <w:rsid w:val="0096104E"/>
    <w:rsid w:val="00961BF7"/>
    <w:rsid w:val="0096270E"/>
    <w:rsid w:val="0096274C"/>
    <w:rsid w:val="009635A9"/>
    <w:rsid w:val="00964328"/>
    <w:rsid w:val="0096485A"/>
    <w:rsid w:val="00964F9A"/>
    <w:rsid w:val="00965DFE"/>
    <w:rsid w:val="009677D3"/>
    <w:rsid w:val="00970CE4"/>
    <w:rsid w:val="00971BA9"/>
    <w:rsid w:val="009732BB"/>
    <w:rsid w:val="00974122"/>
    <w:rsid w:val="0097482A"/>
    <w:rsid w:val="009812FA"/>
    <w:rsid w:val="009840EA"/>
    <w:rsid w:val="00984617"/>
    <w:rsid w:val="00986CFC"/>
    <w:rsid w:val="00987584"/>
    <w:rsid w:val="00987961"/>
    <w:rsid w:val="00987D72"/>
    <w:rsid w:val="00991581"/>
    <w:rsid w:val="0099498F"/>
    <w:rsid w:val="00994A24"/>
    <w:rsid w:val="00996961"/>
    <w:rsid w:val="00996AB5"/>
    <w:rsid w:val="00997498"/>
    <w:rsid w:val="00997D03"/>
    <w:rsid w:val="009A0013"/>
    <w:rsid w:val="009A1D11"/>
    <w:rsid w:val="009A4310"/>
    <w:rsid w:val="009A4512"/>
    <w:rsid w:val="009A4D44"/>
    <w:rsid w:val="009A5443"/>
    <w:rsid w:val="009A57CF"/>
    <w:rsid w:val="009B0C11"/>
    <w:rsid w:val="009B1CE8"/>
    <w:rsid w:val="009B31B0"/>
    <w:rsid w:val="009B32B6"/>
    <w:rsid w:val="009B3C0D"/>
    <w:rsid w:val="009B43A8"/>
    <w:rsid w:val="009B73B8"/>
    <w:rsid w:val="009C1309"/>
    <w:rsid w:val="009C2897"/>
    <w:rsid w:val="009C3AAF"/>
    <w:rsid w:val="009C598B"/>
    <w:rsid w:val="009C67C2"/>
    <w:rsid w:val="009C7F50"/>
    <w:rsid w:val="009D2043"/>
    <w:rsid w:val="009D3026"/>
    <w:rsid w:val="009D5374"/>
    <w:rsid w:val="009D6210"/>
    <w:rsid w:val="009D6D6B"/>
    <w:rsid w:val="009D7D7E"/>
    <w:rsid w:val="009E1167"/>
    <w:rsid w:val="009E5BB5"/>
    <w:rsid w:val="009F4AB2"/>
    <w:rsid w:val="009F55F8"/>
    <w:rsid w:val="009F5C89"/>
    <w:rsid w:val="00A03310"/>
    <w:rsid w:val="00A0374F"/>
    <w:rsid w:val="00A056DD"/>
    <w:rsid w:val="00A05E17"/>
    <w:rsid w:val="00A06196"/>
    <w:rsid w:val="00A062CB"/>
    <w:rsid w:val="00A065A3"/>
    <w:rsid w:val="00A0709E"/>
    <w:rsid w:val="00A0736B"/>
    <w:rsid w:val="00A10CB5"/>
    <w:rsid w:val="00A10E0F"/>
    <w:rsid w:val="00A11501"/>
    <w:rsid w:val="00A125C8"/>
    <w:rsid w:val="00A132CA"/>
    <w:rsid w:val="00A13337"/>
    <w:rsid w:val="00A1409B"/>
    <w:rsid w:val="00A1413D"/>
    <w:rsid w:val="00A1585E"/>
    <w:rsid w:val="00A16341"/>
    <w:rsid w:val="00A16B4F"/>
    <w:rsid w:val="00A202B3"/>
    <w:rsid w:val="00A21F1C"/>
    <w:rsid w:val="00A22357"/>
    <w:rsid w:val="00A229B8"/>
    <w:rsid w:val="00A23D0C"/>
    <w:rsid w:val="00A244F8"/>
    <w:rsid w:val="00A26734"/>
    <w:rsid w:val="00A27B57"/>
    <w:rsid w:val="00A31F06"/>
    <w:rsid w:val="00A3223F"/>
    <w:rsid w:val="00A34142"/>
    <w:rsid w:val="00A363B1"/>
    <w:rsid w:val="00A364A4"/>
    <w:rsid w:val="00A37672"/>
    <w:rsid w:val="00A37958"/>
    <w:rsid w:val="00A41E3B"/>
    <w:rsid w:val="00A424B8"/>
    <w:rsid w:val="00A42E28"/>
    <w:rsid w:val="00A46132"/>
    <w:rsid w:val="00A466CF"/>
    <w:rsid w:val="00A46A68"/>
    <w:rsid w:val="00A4793C"/>
    <w:rsid w:val="00A507C3"/>
    <w:rsid w:val="00A521EB"/>
    <w:rsid w:val="00A52381"/>
    <w:rsid w:val="00A52794"/>
    <w:rsid w:val="00A53731"/>
    <w:rsid w:val="00A57444"/>
    <w:rsid w:val="00A60979"/>
    <w:rsid w:val="00A60B77"/>
    <w:rsid w:val="00A611D9"/>
    <w:rsid w:val="00A61358"/>
    <w:rsid w:val="00A616B0"/>
    <w:rsid w:val="00A64A37"/>
    <w:rsid w:val="00A66921"/>
    <w:rsid w:val="00A70C89"/>
    <w:rsid w:val="00A7108B"/>
    <w:rsid w:val="00A723DB"/>
    <w:rsid w:val="00A72886"/>
    <w:rsid w:val="00A75338"/>
    <w:rsid w:val="00A75552"/>
    <w:rsid w:val="00A768DC"/>
    <w:rsid w:val="00A800F1"/>
    <w:rsid w:val="00A80D7C"/>
    <w:rsid w:val="00A84E17"/>
    <w:rsid w:val="00A86557"/>
    <w:rsid w:val="00A86D9A"/>
    <w:rsid w:val="00A87105"/>
    <w:rsid w:val="00A90E8B"/>
    <w:rsid w:val="00A91D8B"/>
    <w:rsid w:val="00A9338A"/>
    <w:rsid w:val="00A957C3"/>
    <w:rsid w:val="00A9780B"/>
    <w:rsid w:val="00AA1378"/>
    <w:rsid w:val="00AA3C9A"/>
    <w:rsid w:val="00AA3D33"/>
    <w:rsid w:val="00AA44EA"/>
    <w:rsid w:val="00AA61D9"/>
    <w:rsid w:val="00AA6561"/>
    <w:rsid w:val="00AA6C67"/>
    <w:rsid w:val="00AA7C1B"/>
    <w:rsid w:val="00AB132B"/>
    <w:rsid w:val="00AB217C"/>
    <w:rsid w:val="00AB5A82"/>
    <w:rsid w:val="00AB7212"/>
    <w:rsid w:val="00AC0467"/>
    <w:rsid w:val="00AC1F59"/>
    <w:rsid w:val="00AC3DAE"/>
    <w:rsid w:val="00AC432B"/>
    <w:rsid w:val="00AC462C"/>
    <w:rsid w:val="00AC5706"/>
    <w:rsid w:val="00AC6BCA"/>
    <w:rsid w:val="00AD0A7E"/>
    <w:rsid w:val="00AD1284"/>
    <w:rsid w:val="00AD424C"/>
    <w:rsid w:val="00AD6DF4"/>
    <w:rsid w:val="00AD6EA4"/>
    <w:rsid w:val="00AD744A"/>
    <w:rsid w:val="00AE0CD5"/>
    <w:rsid w:val="00AE1341"/>
    <w:rsid w:val="00AE14A9"/>
    <w:rsid w:val="00AE17B5"/>
    <w:rsid w:val="00AE187A"/>
    <w:rsid w:val="00AE1A67"/>
    <w:rsid w:val="00AE4024"/>
    <w:rsid w:val="00AE470E"/>
    <w:rsid w:val="00AE4E77"/>
    <w:rsid w:val="00AE6459"/>
    <w:rsid w:val="00AF331A"/>
    <w:rsid w:val="00AF3D81"/>
    <w:rsid w:val="00AF5358"/>
    <w:rsid w:val="00AF6275"/>
    <w:rsid w:val="00AF63C6"/>
    <w:rsid w:val="00AF6775"/>
    <w:rsid w:val="00AF7078"/>
    <w:rsid w:val="00B00852"/>
    <w:rsid w:val="00B01CDA"/>
    <w:rsid w:val="00B01E17"/>
    <w:rsid w:val="00B03435"/>
    <w:rsid w:val="00B07584"/>
    <w:rsid w:val="00B10557"/>
    <w:rsid w:val="00B1129B"/>
    <w:rsid w:val="00B13FB3"/>
    <w:rsid w:val="00B14EA5"/>
    <w:rsid w:val="00B1519B"/>
    <w:rsid w:val="00B15B91"/>
    <w:rsid w:val="00B15EF6"/>
    <w:rsid w:val="00B17646"/>
    <w:rsid w:val="00B17A10"/>
    <w:rsid w:val="00B20FB0"/>
    <w:rsid w:val="00B20FE9"/>
    <w:rsid w:val="00B21F7F"/>
    <w:rsid w:val="00B22F6E"/>
    <w:rsid w:val="00B248EE"/>
    <w:rsid w:val="00B3025D"/>
    <w:rsid w:val="00B30AFE"/>
    <w:rsid w:val="00B31522"/>
    <w:rsid w:val="00B31ECA"/>
    <w:rsid w:val="00B324FA"/>
    <w:rsid w:val="00B33687"/>
    <w:rsid w:val="00B41647"/>
    <w:rsid w:val="00B41AB5"/>
    <w:rsid w:val="00B42E96"/>
    <w:rsid w:val="00B4396A"/>
    <w:rsid w:val="00B47C09"/>
    <w:rsid w:val="00B47C3C"/>
    <w:rsid w:val="00B50C0D"/>
    <w:rsid w:val="00B52308"/>
    <w:rsid w:val="00B57FB9"/>
    <w:rsid w:val="00B6107F"/>
    <w:rsid w:val="00B619E4"/>
    <w:rsid w:val="00B64978"/>
    <w:rsid w:val="00B650EA"/>
    <w:rsid w:val="00B66CE1"/>
    <w:rsid w:val="00B67A21"/>
    <w:rsid w:val="00B72330"/>
    <w:rsid w:val="00B72461"/>
    <w:rsid w:val="00B75648"/>
    <w:rsid w:val="00B757DA"/>
    <w:rsid w:val="00B7626D"/>
    <w:rsid w:val="00B76F68"/>
    <w:rsid w:val="00B773DA"/>
    <w:rsid w:val="00B809E0"/>
    <w:rsid w:val="00B80BB5"/>
    <w:rsid w:val="00B819A5"/>
    <w:rsid w:val="00B83529"/>
    <w:rsid w:val="00B83A27"/>
    <w:rsid w:val="00B84310"/>
    <w:rsid w:val="00B84E21"/>
    <w:rsid w:val="00B859B3"/>
    <w:rsid w:val="00B86637"/>
    <w:rsid w:val="00B86E93"/>
    <w:rsid w:val="00B909BB"/>
    <w:rsid w:val="00B9159E"/>
    <w:rsid w:val="00B92082"/>
    <w:rsid w:val="00B961D2"/>
    <w:rsid w:val="00B97306"/>
    <w:rsid w:val="00B9788E"/>
    <w:rsid w:val="00BA10C8"/>
    <w:rsid w:val="00BA15D7"/>
    <w:rsid w:val="00BA15FD"/>
    <w:rsid w:val="00BA1720"/>
    <w:rsid w:val="00BA1A01"/>
    <w:rsid w:val="00BA42B9"/>
    <w:rsid w:val="00BA54D8"/>
    <w:rsid w:val="00BA5683"/>
    <w:rsid w:val="00BA5DDE"/>
    <w:rsid w:val="00BB0012"/>
    <w:rsid w:val="00BB040A"/>
    <w:rsid w:val="00BB254B"/>
    <w:rsid w:val="00BB2663"/>
    <w:rsid w:val="00BB26F7"/>
    <w:rsid w:val="00BB2854"/>
    <w:rsid w:val="00BB394D"/>
    <w:rsid w:val="00BB4E64"/>
    <w:rsid w:val="00BB69AE"/>
    <w:rsid w:val="00BB79CB"/>
    <w:rsid w:val="00BC00A9"/>
    <w:rsid w:val="00BC13B4"/>
    <w:rsid w:val="00BC19F7"/>
    <w:rsid w:val="00BC1D08"/>
    <w:rsid w:val="00BC20AB"/>
    <w:rsid w:val="00BC2DF9"/>
    <w:rsid w:val="00BC2FEC"/>
    <w:rsid w:val="00BC44E0"/>
    <w:rsid w:val="00BC4F97"/>
    <w:rsid w:val="00BC5135"/>
    <w:rsid w:val="00BC5615"/>
    <w:rsid w:val="00BC69E8"/>
    <w:rsid w:val="00BD1AE0"/>
    <w:rsid w:val="00BD1C01"/>
    <w:rsid w:val="00BD1D9B"/>
    <w:rsid w:val="00BD2B8D"/>
    <w:rsid w:val="00BD3409"/>
    <w:rsid w:val="00BD4A67"/>
    <w:rsid w:val="00BD4DEF"/>
    <w:rsid w:val="00BD541C"/>
    <w:rsid w:val="00BD5E2E"/>
    <w:rsid w:val="00BD68EE"/>
    <w:rsid w:val="00BD7912"/>
    <w:rsid w:val="00BD7E8E"/>
    <w:rsid w:val="00BE2DEC"/>
    <w:rsid w:val="00BE3772"/>
    <w:rsid w:val="00BE3D41"/>
    <w:rsid w:val="00BE4837"/>
    <w:rsid w:val="00BE54D3"/>
    <w:rsid w:val="00BE5EF0"/>
    <w:rsid w:val="00BE67BB"/>
    <w:rsid w:val="00BF0A47"/>
    <w:rsid w:val="00BF104A"/>
    <w:rsid w:val="00BF15E5"/>
    <w:rsid w:val="00BF1777"/>
    <w:rsid w:val="00BF1D8D"/>
    <w:rsid w:val="00BF2DA7"/>
    <w:rsid w:val="00BF2E40"/>
    <w:rsid w:val="00BF306D"/>
    <w:rsid w:val="00BF3C5F"/>
    <w:rsid w:val="00BF4D26"/>
    <w:rsid w:val="00BF76FF"/>
    <w:rsid w:val="00C005ED"/>
    <w:rsid w:val="00C005F5"/>
    <w:rsid w:val="00C028CA"/>
    <w:rsid w:val="00C03648"/>
    <w:rsid w:val="00C0393B"/>
    <w:rsid w:val="00C04220"/>
    <w:rsid w:val="00C06C6B"/>
    <w:rsid w:val="00C136DB"/>
    <w:rsid w:val="00C1380D"/>
    <w:rsid w:val="00C14A99"/>
    <w:rsid w:val="00C15DAA"/>
    <w:rsid w:val="00C16DB0"/>
    <w:rsid w:val="00C17B2F"/>
    <w:rsid w:val="00C206EA"/>
    <w:rsid w:val="00C2077C"/>
    <w:rsid w:val="00C21413"/>
    <w:rsid w:val="00C21A48"/>
    <w:rsid w:val="00C2373E"/>
    <w:rsid w:val="00C24D15"/>
    <w:rsid w:val="00C256FA"/>
    <w:rsid w:val="00C31183"/>
    <w:rsid w:val="00C33918"/>
    <w:rsid w:val="00C34853"/>
    <w:rsid w:val="00C34BFC"/>
    <w:rsid w:val="00C41834"/>
    <w:rsid w:val="00C41F9D"/>
    <w:rsid w:val="00C42DC6"/>
    <w:rsid w:val="00C44130"/>
    <w:rsid w:val="00C51472"/>
    <w:rsid w:val="00C52C0B"/>
    <w:rsid w:val="00C546DE"/>
    <w:rsid w:val="00C549D0"/>
    <w:rsid w:val="00C54FAE"/>
    <w:rsid w:val="00C5578D"/>
    <w:rsid w:val="00C56139"/>
    <w:rsid w:val="00C56525"/>
    <w:rsid w:val="00C56FFC"/>
    <w:rsid w:val="00C57367"/>
    <w:rsid w:val="00C576C0"/>
    <w:rsid w:val="00C60D3F"/>
    <w:rsid w:val="00C63EA1"/>
    <w:rsid w:val="00C655AE"/>
    <w:rsid w:val="00C66067"/>
    <w:rsid w:val="00C6658E"/>
    <w:rsid w:val="00C6783E"/>
    <w:rsid w:val="00C67B8E"/>
    <w:rsid w:val="00C7025F"/>
    <w:rsid w:val="00C70AEA"/>
    <w:rsid w:val="00C71B4C"/>
    <w:rsid w:val="00C72F42"/>
    <w:rsid w:val="00C741F7"/>
    <w:rsid w:val="00C74355"/>
    <w:rsid w:val="00C74681"/>
    <w:rsid w:val="00C74E35"/>
    <w:rsid w:val="00C76A60"/>
    <w:rsid w:val="00C80053"/>
    <w:rsid w:val="00C80721"/>
    <w:rsid w:val="00C82518"/>
    <w:rsid w:val="00C828BA"/>
    <w:rsid w:val="00C82D07"/>
    <w:rsid w:val="00C8418C"/>
    <w:rsid w:val="00C84694"/>
    <w:rsid w:val="00C85137"/>
    <w:rsid w:val="00C85B9B"/>
    <w:rsid w:val="00C868A6"/>
    <w:rsid w:val="00C87080"/>
    <w:rsid w:val="00C870A7"/>
    <w:rsid w:val="00C90569"/>
    <w:rsid w:val="00C91C3F"/>
    <w:rsid w:val="00C92934"/>
    <w:rsid w:val="00C931E9"/>
    <w:rsid w:val="00CA1980"/>
    <w:rsid w:val="00CA2088"/>
    <w:rsid w:val="00CA398A"/>
    <w:rsid w:val="00CA684C"/>
    <w:rsid w:val="00CA7305"/>
    <w:rsid w:val="00CA7F75"/>
    <w:rsid w:val="00CB151B"/>
    <w:rsid w:val="00CB2570"/>
    <w:rsid w:val="00CB331E"/>
    <w:rsid w:val="00CB339A"/>
    <w:rsid w:val="00CB3978"/>
    <w:rsid w:val="00CB3C79"/>
    <w:rsid w:val="00CB47AA"/>
    <w:rsid w:val="00CB6D92"/>
    <w:rsid w:val="00CB7334"/>
    <w:rsid w:val="00CB7831"/>
    <w:rsid w:val="00CC1376"/>
    <w:rsid w:val="00CC3EAB"/>
    <w:rsid w:val="00CC6CE1"/>
    <w:rsid w:val="00CC79BD"/>
    <w:rsid w:val="00CD089E"/>
    <w:rsid w:val="00CD1C78"/>
    <w:rsid w:val="00CD207C"/>
    <w:rsid w:val="00CD47DF"/>
    <w:rsid w:val="00CD496E"/>
    <w:rsid w:val="00CD4B3D"/>
    <w:rsid w:val="00CD6C37"/>
    <w:rsid w:val="00CD7652"/>
    <w:rsid w:val="00CD7B12"/>
    <w:rsid w:val="00CD7BC1"/>
    <w:rsid w:val="00CE223F"/>
    <w:rsid w:val="00CE347F"/>
    <w:rsid w:val="00CE7190"/>
    <w:rsid w:val="00CF0FB6"/>
    <w:rsid w:val="00CF1262"/>
    <w:rsid w:val="00CF18E8"/>
    <w:rsid w:val="00CF386C"/>
    <w:rsid w:val="00CF51F1"/>
    <w:rsid w:val="00D00165"/>
    <w:rsid w:val="00D00FED"/>
    <w:rsid w:val="00D0111C"/>
    <w:rsid w:val="00D02933"/>
    <w:rsid w:val="00D038B7"/>
    <w:rsid w:val="00D04D11"/>
    <w:rsid w:val="00D1378C"/>
    <w:rsid w:val="00D149F1"/>
    <w:rsid w:val="00D14E5C"/>
    <w:rsid w:val="00D15126"/>
    <w:rsid w:val="00D157A3"/>
    <w:rsid w:val="00D17738"/>
    <w:rsid w:val="00D17E8C"/>
    <w:rsid w:val="00D20983"/>
    <w:rsid w:val="00D25163"/>
    <w:rsid w:val="00D25C3A"/>
    <w:rsid w:val="00D274E2"/>
    <w:rsid w:val="00D31025"/>
    <w:rsid w:val="00D34B34"/>
    <w:rsid w:val="00D353DB"/>
    <w:rsid w:val="00D36BAD"/>
    <w:rsid w:val="00D3781D"/>
    <w:rsid w:val="00D37950"/>
    <w:rsid w:val="00D40B48"/>
    <w:rsid w:val="00D418AE"/>
    <w:rsid w:val="00D418CE"/>
    <w:rsid w:val="00D42EB9"/>
    <w:rsid w:val="00D43DA7"/>
    <w:rsid w:val="00D447D4"/>
    <w:rsid w:val="00D46486"/>
    <w:rsid w:val="00D5156A"/>
    <w:rsid w:val="00D55031"/>
    <w:rsid w:val="00D564EE"/>
    <w:rsid w:val="00D56728"/>
    <w:rsid w:val="00D56B20"/>
    <w:rsid w:val="00D57610"/>
    <w:rsid w:val="00D57A75"/>
    <w:rsid w:val="00D60238"/>
    <w:rsid w:val="00D60805"/>
    <w:rsid w:val="00D6136C"/>
    <w:rsid w:val="00D635B9"/>
    <w:rsid w:val="00D6775E"/>
    <w:rsid w:val="00D70B8E"/>
    <w:rsid w:val="00D7285B"/>
    <w:rsid w:val="00D72DE2"/>
    <w:rsid w:val="00D739DB"/>
    <w:rsid w:val="00D80F42"/>
    <w:rsid w:val="00D825FA"/>
    <w:rsid w:val="00D83763"/>
    <w:rsid w:val="00D849A1"/>
    <w:rsid w:val="00D87190"/>
    <w:rsid w:val="00D902C0"/>
    <w:rsid w:val="00D913B5"/>
    <w:rsid w:val="00D9214D"/>
    <w:rsid w:val="00D93729"/>
    <w:rsid w:val="00D93C7B"/>
    <w:rsid w:val="00D966CA"/>
    <w:rsid w:val="00DA09DF"/>
    <w:rsid w:val="00DA306F"/>
    <w:rsid w:val="00DA4397"/>
    <w:rsid w:val="00DA5F5C"/>
    <w:rsid w:val="00DA7F51"/>
    <w:rsid w:val="00DB01FF"/>
    <w:rsid w:val="00DB0DF7"/>
    <w:rsid w:val="00DB21E1"/>
    <w:rsid w:val="00DB2672"/>
    <w:rsid w:val="00DB2AF1"/>
    <w:rsid w:val="00DB2C5E"/>
    <w:rsid w:val="00DB4102"/>
    <w:rsid w:val="00DB6475"/>
    <w:rsid w:val="00DB7C62"/>
    <w:rsid w:val="00DC218C"/>
    <w:rsid w:val="00DC28DC"/>
    <w:rsid w:val="00DC2A6D"/>
    <w:rsid w:val="00DC3664"/>
    <w:rsid w:val="00DC5B7F"/>
    <w:rsid w:val="00DC64CE"/>
    <w:rsid w:val="00DD019B"/>
    <w:rsid w:val="00DD0D15"/>
    <w:rsid w:val="00DD1620"/>
    <w:rsid w:val="00DD2438"/>
    <w:rsid w:val="00DD2A1E"/>
    <w:rsid w:val="00DD482F"/>
    <w:rsid w:val="00DD66DF"/>
    <w:rsid w:val="00DD7B97"/>
    <w:rsid w:val="00DE1075"/>
    <w:rsid w:val="00DE277A"/>
    <w:rsid w:val="00DE3D75"/>
    <w:rsid w:val="00DE787C"/>
    <w:rsid w:val="00DF2FFE"/>
    <w:rsid w:val="00DF4E11"/>
    <w:rsid w:val="00DF6300"/>
    <w:rsid w:val="00DF79A6"/>
    <w:rsid w:val="00E00999"/>
    <w:rsid w:val="00E0155F"/>
    <w:rsid w:val="00E01725"/>
    <w:rsid w:val="00E01A02"/>
    <w:rsid w:val="00E03ACC"/>
    <w:rsid w:val="00E04475"/>
    <w:rsid w:val="00E04AC5"/>
    <w:rsid w:val="00E062F2"/>
    <w:rsid w:val="00E06D08"/>
    <w:rsid w:val="00E1023F"/>
    <w:rsid w:val="00E11831"/>
    <w:rsid w:val="00E118A9"/>
    <w:rsid w:val="00E1221E"/>
    <w:rsid w:val="00E12782"/>
    <w:rsid w:val="00E136FA"/>
    <w:rsid w:val="00E13C23"/>
    <w:rsid w:val="00E14291"/>
    <w:rsid w:val="00E1579D"/>
    <w:rsid w:val="00E163E2"/>
    <w:rsid w:val="00E16CBF"/>
    <w:rsid w:val="00E16E6B"/>
    <w:rsid w:val="00E20B73"/>
    <w:rsid w:val="00E20E6A"/>
    <w:rsid w:val="00E212B8"/>
    <w:rsid w:val="00E22714"/>
    <w:rsid w:val="00E22DB3"/>
    <w:rsid w:val="00E244E0"/>
    <w:rsid w:val="00E24744"/>
    <w:rsid w:val="00E26564"/>
    <w:rsid w:val="00E30AD8"/>
    <w:rsid w:val="00E30DE0"/>
    <w:rsid w:val="00E30FC2"/>
    <w:rsid w:val="00E31285"/>
    <w:rsid w:val="00E328FD"/>
    <w:rsid w:val="00E3301D"/>
    <w:rsid w:val="00E3633B"/>
    <w:rsid w:val="00E365AA"/>
    <w:rsid w:val="00E36E27"/>
    <w:rsid w:val="00E37631"/>
    <w:rsid w:val="00E40B89"/>
    <w:rsid w:val="00E41003"/>
    <w:rsid w:val="00E44F71"/>
    <w:rsid w:val="00E4568B"/>
    <w:rsid w:val="00E475D2"/>
    <w:rsid w:val="00E52582"/>
    <w:rsid w:val="00E5463E"/>
    <w:rsid w:val="00E563A7"/>
    <w:rsid w:val="00E57B34"/>
    <w:rsid w:val="00E6060C"/>
    <w:rsid w:val="00E62722"/>
    <w:rsid w:val="00E636BD"/>
    <w:rsid w:val="00E66A06"/>
    <w:rsid w:val="00E71AF2"/>
    <w:rsid w:val="00E7236E"/>
    <w:rsid w:val="00E724EA"/>
    <w:rsid w:val="00E72FAE"/>
    <w:rsid w:val="00E7496F"/>
    <w:rsid w:val="00E75028"/>
    <w:rsid w:val="00E76A31"/>
    <w:rsid w:val="00E77449"/>
    <w:rsid w:val="00E77DE0"/>
    <w:rsid w:val="00E8024D"/>
    <w:rsid w:val="00E80894"/>
    <w:rsid w:val="00E80DAF"/>
    <w:rsid w:val="00E80E1C"/>
    <w:rsid w:val="00E80F68"/>
    <w:rsid w:val="00E821B0"/>
    <w:rsid w:val="00E8492C"/>
    <w:rsid w:val="00E86B22"/>
    <w:rsid w:val="00E871BE"/>
    <w:rsid w:val="00E94443"/>
    <w:rsid w:val="00E95D8B"/>
    <w:rsid w:val="00E96334"/>
    <w:rsid w:val="00E96913"/>
    <w:rsid w:val="00E96CA2"/>
    <w:rsid w:val="00E97760"/>
    <w:rsid w:val="00E97870"/>
    <w:rsid w:val="00EA1AAE"/>
    <w:rsid w:val="00EA42CA"/>
    <w:rsid w:val="00EA4C7A"/>
    <w:rsid w:val="00EA60C7"/>
    <w:rsid w:val="00EA7C62"/>
    <w:rsid w:val="00EB06D8"/>
    <w:rsid w:val="00EB073B"/>
    <w:rsid w:val="00EB1086"/>
    <w:rsid w:val="00EB208C"/>
    <w:rsid w:val="00EB2BBF"/>
    <w:rsid w:val="00EB666D"/>
    <w:rsid w:val="00EB689E"/>
    <w:rsid w:val="00EB732B"/>
    <w:rsid w:val="00EB74DF"/>
    <w:rsid w:val="00EC033F"/>
    <w:rsid w:val="00EC10D8"/>
    <w:rsid w:val="00EC1D9D"/>
    <w:rsid w:val="00EC3BA4"/>
    <w:rsid w:val="00EC3D6F"/>
    <w:rsid w:val="00EC70B1"/>
    <w:rsid w:val="00EC789E"/>
    <w:rsid w:val="00ED0244"/>
    <w:rsid w:val="00ED1686"/>
    <w:rsid w:val="00ED2556"/>
    <w:rsid w:val="00ED2632"/>
    <w:rsid w:val="00ED3713"/>
    <w:rsid w:val="00ED5EEC"/>
    <w:rsid w:val="00ED69C0"/>
    <w:rsid w:val="00ED6CA0"/>
    <w:rsid w:val="00EE242D"/>
    <w:rsid w:val="00EE2B13"/>
    <w:rsid w:val="00EE335E"/>
    <w:rsid w:val="00EE35E3"/>
    <w:rsid w:val="00EE3DA8"/>
    <w:rsid w:val="00EE5C54"/>
    <w:rsid w:val="00EF174C"/>
    <w:rsid w:val="00EF414E"/>
    <w:rsid w:val="00EF4715"/>
    <w:rsid w:val="00EF5DF9"/>
    <w:rsid w:val="00EF77CF"/>
    <w:rsid w:val="00F01EC7"/>
    <w:rsid w:val="00F036E9"/>
    <w:rsid w:val="00F038A5"/>
    <w:rsid w:val="00F045E5"/>
    <w:rsid w:val="00F04E4E"/>
    <w:rsid w:val="00F05462"/>
    <w:rsid w:val="00F05E02"/>
    <w:rsid w:val="00F062A1"/>
    <w:rsid w:val="00F10882"/>
    <w:rsid w:val="00F12B3D"/>
    <w:rsid w:val="00F152BD"/>
    <w:rsid w:val="00F15C3C"/>
    <w:rsid w:val="00F17087"/>
    <w:rsid w:val="00F21511"/>
    <w:rsid w:val="00F21516"/>
    <w:rsid w:val="00F21FF6"/>
    <w:rsid w:val="00F25A63"/>
    <w:rsid w:val="00F268E9"/>
    <w:rsid w:val="00F26ACF"/>
    <w:rsid w:val="00F2760B"/>
    <w:rsid w:val="00F2779D"/>
    <w:rsid w:val="00F3031B"/>
    <w:rsid w:val="00F31D76"/>
    <w:rsid w:val="00F32E53"/>
    <w:rsid w:val="00F334F0"/>
    <w:rsid w:val="00F3362B"/>
    <w:rsid w:val="00F342B9"/>
    <w:rsid w:val="00F3507F"/>
    <w:rsid w:val="00F350D6"/>
    <w:rsid w:val="00F35729"/>
    <w:rsid w:val="00F37AC5"/>
    <w:rsid w:val="00F400B7"/>
    <w:rsid w:val="00F40B78"/>
    <w:rsid w:val="00F42172"/>
    <w:rsid w:val="00F43E8E"/>
    <w:rsid w:val="00F44687"/>
    <w:rsid w:val="00F465B6"/>
    <w:rsid w:val="00F473AF"/>
    <w:rsid w:val="00F477CD"/>
    <w:rsid w:val="00F504ED"/>
    <w:rsid w:val="00F50A44"/>
    <w:rsid w:val="00F54D89"/>
    <w:rsid w:val="00F55C8E"/>
    <w:rsid w:val="00F56565"/>
    <w:rsid w:val="00F57250"/>
    <w:rsid w:val="00F60933"/>
    <w:rsid w:val="00F613E0"/>
    <w:rsid w:val="00F74452"/>
    <w:rsid w:val="00F769B7"/>
    <w:rsid w:val="00F801C5"/>
    <w:rsid w:val="00F850F0"/>
    <w:rsid w:val="00F8600D"/>
    <w:rsid w:val="00F86C5C"/>
    <w:rsid w:val="00F86CE7"/>
    <w:rsid w:val="00F86EB5"/>
    <w:rsid w:val="00F912AF"/>
    <w:rsid w:val="00F91CEC"/>
    <w:rsid w:val="00F91E81"/>
    <w:rsid w:val="00F93185"/>
    <w:rsid w:val="00F9332B"/>
    <w:rsid w:val="00F941C6"/>
    <w:rsid w:val="00F96584"/>
    <w:rsid w:val="00F977AD"/>
    <w:rsid w:val="00F97D3C"/>
    <w:rsid w:val="00FA5609"/>
    <w:rsid w:val="00FA564B"/>
    <w:rsid w:val="00FA5654"/>
    <w:rsid w:val="00FA6AD4"/>
    <w:rsid w:val="00FA75BE"/>
    <w:rsid w:val="00FA7694"/>
    <w:rsid w:val="00FA7757"/>
    <w:rsid w:val="00FA791B"/>
    <w:rsid w:val="00FA7FB4"/>
    <w:rsid w:val="00FB1420"/>
    <w:rsid w:val="00FB7635"/>
    <w:rsid w:val="00FC1361"/>
    <w:rsid w:val="00FC24A2"/>
    <w:rsid w:val="00FC24CE"/>
    <w:rsid w:val="00FC258F"/>
    <w:rsid w:val="00FC2F0A"/>
    <w:rsid w:val="00FC445E"/>
    <w:rsid w:val="00FD1090"/>
    <w:rsid w:val="00FD2078"/>
    <w:rsid w:val="00FD3AE4"/>
    <w:rsid w:val="00FD47F2"/>
    <w:rsid w:val="00FD51FF"/>
    <w:rsid w:val="00FD55ED"/>
    <w:rsid w:val="00FD765C"/>
    <w:rsid w:val="00FD7B89"/>
    <w:rsid w:val="00FE08C6"/>
    <w:rsid w:val="00FE230A"/>
    <w:rsid w:val="00FE35F1"/>
    <w:rsid w:val="00FE6C2D"/>
    <w:rsid w:val="00FF0313"/>
    <w:rsid w:val="00FF11B4"/>
    <w:rsid w:val="00FF1AFA"/>
    <w:rsid w:val="00FF30D4"/>
    <w:rsid w:val="00FF459F"/>
    <w:rsid w:val="00FF484B"/>
    <w:rsid w:val="00FF56A6"/>
    <w:rsid w:val="00FF5954"/>
    <w:rsid w:val="00FF7C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6AA1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link w:val="Heading1Char"/>
    <w:uiPriority w:val="9"/>
    <w:qFormat/>
    <w:rsid w:val="00565E9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E626A"/>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4C5F68"/>
    <w:pPr>
      <w:ind w:left="720"/>
      <w:contextualSpacing/>
    </w:pPr>
  </w:style>
  <w:style w:type="character" w:customStyle="1" w:styleId="Heading1Char">
    <w:name w:val="Heading 1 Char"/>
    <w:basedOn w:val="DefaultParagraphFont"/>
    <w:link w:val="Heading1"/>
    <w:uiPriority w:val="9"/>
    <w:rsid w:val="00565E94"/>
    <w:rPr>
      <w:rFonts w:ascii="Times New Roman" w:eastAsia="Times New Roman" w:hAnsi="Times New Roman" w:cs="Times New Roman"/>
      <w:b/>
      <w:bCs/>
      <w:kern w:val="36"/>
      <w:sz w:val="48"/>
      <w:szCs w:val="48"/>
      <w:lang w:val="en-AU" w:eastAsia="en-AU"/>
    </w:rPr>
  </w:style>
  <w:style w:type="paragraph" w:styleId="FootnoteText">
    <w:name w:val="footnote text"/>
    <w:basedOn w:val="Normal"/>
    <w:link w:val="FootnoteTextChar"/>
    <w:uiPriority w:val="99"/>
    <w:semiHidden/>
    <w:unhideWhenUsed/>
    <w:rsid w:val="00565E9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65E94"/>
    <w:rPr>
      <w:sz w:val="20"/>
      <w:szCs w:val="20"/>
      <w:lang w:val="en-AU"/>
    </w:rPr>
  </w:style>
  <w:style w:type="character" w:styleId="FootnoteReference">
    <w:name w:val="footnote reference"/>
    <w:basedOn w:val="DefaultParagraphFont"/>
    <w:uiPriority w:val="99"/>
    <w:semiHidden/>
    <w:unhideWhenUsed/>
    <w:rsid w:val="00565E94"/>
    <w:rPr>
      <w:vertAlign w:val="superscript"/>
    </w:rPr>
  </w:style>
  <w:style w:type="character" w:styleId="Hyperlink">
    <w:name w:val="Hyperlink"/>
    <w:basedOn w:val="DefaultParagraphFont"/>
    <w:unhideWhenUsed/>
    <w:rsid w:val="00565E94"/>
    <w:rPr>
      <w:color w:val="0563C1" w:themeColor="hyperlink"/>
      <w:u w:val="single"/>
    </w:rPr>
  </w:style>
  <w:style w:type="table" w:styleId="TableGrid">
    <w:name w:val="Table Grid"/>
    <w:basedOn w:val="TableNormal"/>
    <w:uiPriority w:val="39"/>
    <w:rsid w:val="00565E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6Colorful">
    <w:name w:val="Grid Table 6 Colorful"/>
    <w:basedOn w:val="TableNormal"/>
    <w:uiPriority w:val="51"/>
    <w:rsid w:val="0004351D"/>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Header">
    <w:name w:val="header"/>
    <w:basedOn w:val="Normal"/>
    <w:link w:val="HeaderChar"/>
    <w:uiPriority w:val="99"/>
    <w:unhideWhenUsed/>
    <w:rsid w:val="000F64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64A9"/>
    <w:rPr>
      <w:lang w:val="en-AU"/>
    </w:rPr>
  </w:style>
  <w:style w:type="paragraph" w:styleId="Footer">
    <w:name w:val="footer"/>
    <w:basedOn w:val="Normal"/>
    <w:link w:val="FooterChar"/>
    <w:uiPriority w:val="99"/>
    <w:unhideWhenUsed/>
    <w:rsid w:val="000F64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64A9"/>
    <w:rPr>
      <w:lang w:val="en-AU"/>
    </w:rPr>
  </w:style>
  <w:style w:type="paragraph" w:styleId="EndnoteText">
    <w:name w:val="endnote text"/>
    <w:basedOn w:val="Normal"/>
    <w:link w:val="EndnoteTextChar"/>
    <w:uiPriority w:val="99"/>
    <w:semiHidden/>
    <w:unhideWhenUsed/>
    <w:rsid w:val="000F64A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F64A9"/>
    <w:rPr>
      <w:sz w:val="20"/>
      <w:szCs w:val="20"/>
      <w:lang w:val="en-AU"/>
    </w:rPr>
  </w:style>
  <w:style w:type="character" w:styleId="EndnoteReference">
    <w:name w:val="endnote reference"/>
    <w:basedOn w:val="DefaultParagraphFont"/>
    <w:uiPriority w:val="99"/>
    <w:semiHidden/>
    <w:unhideWhenUsed/>
    <w:rsid w:val="000F64A9"/>
    <w:rPr>
      <w:vertAlign w:val="superscript"/>
    </w:rPr>
  </w:style>
  <w:style w:type="paragraph" w:customStyle="1" w:styleId="BodyIndent1">
    <w:name w:val="Body Indent 1"/>
    <w:basedOn w:val="Normal"/>
    <w:qFormat/>
    <w:rsid w:val="0017002E"/>
    <w:pPr>
      <w:spacing w:before="240" w:after="0" w:line="240" w:lineRule="auto"/>
      <w:ind w:left="851"/>
    </w:pPr>
    <w:rPr>
      <w:rFonts w:ascii="Arial" w:eastAsia="Times New Roman" w:hAnsi="Arial" w:cs="Arial"/>
      <w:sz w:val="20"/>
      <w:szCs w:val="20"/>
    </w:rPr>
  </w:style>
  <w:style w:type="character" w:styleId="FollowedHyperlink">
    <w:name w:val="FollowedHyperlink"/>
    <w:basedOn w:val="DefaultParagraphFont"/>
    <w:uiPriority w:val="99"/>
    <w:semiHidden/>
    <w:unhideWhenUsed/>
    <w:rsid w:val="00CA2088"/>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link w:val="Heading1Char"/>
    <w:uiPriority w:val="9"/>
    <w:qFormat/>
    <w:rsid w:val="00565E9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E626A"/>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4C5F68"/>
    <w:pPr>
      <w:ind w:left="720"/>
      <w:contextualSpacing/>
    </w:pPr>
  </w:style>
  <w:style w:type="character" w:customStyle="1" w:styleId="Heading1Char">
    <w:name w:val="Heading 1 Char"/>
    <w:basedOn w:val="DefaultParagraphFont"/>
    <w:link w:val="Heading1"/>
    <w:uiPriority w:val="9"/>
    <w:rsid w:val="00565E94"/>
    <w:rPr>
      <w:rFonts w:ascii="Times New Roman" w:eastAsia="Times New Roman" w:hAnsi="Times New Roman" w:cs="Times New Roman"/>
      <w:b/>
      <w:bCs/>
      <w:kern w:val="36"/>
      <w:sz w:val="48"/>
      <w:szCs w:val="48"/>
      <w:lang w:val="en-AU" w:eastAsia="en-AU"/>
    </w:rPr>
  </w:style>
  <w:style w:type="paragraph" w:styleId="FootnoteText">
    <w:name w:val="footnote text"/>
    <w:basedOn w:val="Normal"/>
    <w:link w:val="FootnoteTextChar"/>
    <w:uiPriority w:val="99"/>
    <w:semiHidden/>
    <w:unhideWhenUsed/>
    <w:rsid w:val="00565E9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65E94"/>
    <w:rPr>
      <w:sz w:val="20"/>
      <w:szCs w:val="20"/>
      <w:lang w:val="en-AU"/>
    </w:rPr>
  </w:style>
  <w:style w:type="character" w:styleId="FootnoteReference">
    <w:name w:val="footnote reference"/>
    <w:basedOn w:val="DefaultParagraphFont"/>
    <w:uiPriority w:val="99"/>
    <w:semiHidden/>
    <w:unhideWhenUsed/>
    <w:rsid w:val="00565E94"/>
    <w:rPr>
      <w:vertAlign w:val="superscript"/>
    </w:rPr>
  </w:style>
  <w:style w:type="character" w:styleId="Hyperlink">
    <w:name w:val="Hyperlink"/>
    <w:basedOn w:val="DefaultParagraphFont"/>
    <w:unhideWhenUsed/>
    <w:rsid w:val="00565E94"/>
    <w:rPr>
      <w:color w:val="0563C1" w:themeColor="hyperlink"/>
      <w:u w:val="single"/>
    </w:rPr>
  </w:style>
  <w:style w:type="table" w:styleId="TableGrid">
    <w:name w:val="Table Grid"/>
    <w:basedOn w:val="TableNormal"/>
    <w:uiPriority w:val="39"/>
    <w:rsid w:val="00565E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6Colorful">
    <w:name w:val="Grid Table 6 Colorful"/>
    <w:basedOn w:val="TableNormal"/>
    <w:uiPriority w:val="51"/>
    <w:rsid w:val="0004351D"/>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Header">
    <w:name w:val="header"/>
    <w:basedOn w:val="Normal"/>
    <w:link w:val="HeaderChar"/>
    <w:uiPriority w:val="99"/>
    <w:unhideWhenUsed/>
    <w:rsid w:val="000F64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64A9"/>
    <w:rPr>
      <w:lang w:val="en-AU"/>
    </w:rPr>
  </w:style>
  <w:style w:type="paragraph" w:styleId="Footer">
    <w:name w:val="footer"/>
    <w:basedOn w:val="Normal"/>
    <w:link w:val="FooterChar"/>
    <w:uiPriority w:val="99"/>
    <w:unhideWhenUsed/>
    <w:rsid w:val="000F64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64A9"/>
    <w:rPr>
      <w:lang w:val="en-AU"/>
    </w:rPr>
  </w:style>
  <w:style w:type="paragraph" w:styleId="EndnoteText">
    <w:name w:val="endnote text"/>
    <w:basedOn w:val="Normal"/>
    <w:link w:val="EndnoteTextChar"/>
    <w:uiPriority w:val="99"/>
    <w:semiHidden/>
    <w:unhideWhenUsed/>
    <w:rsid w:val="000F64A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F64A9"/>
    <w:rPr>
      <w:sz w:val="20"/>
      <w:szCs w:val="20"/>
      <w:lang w:val="en-AU"/>
    </w:rPr>
  </w:style>
  <w:style w:type="character" w:styleId="EndnoteReference">
    <w:name w:val="endnote reference"/>
    <w:basedOn w:val="DefaultParagraphFont"/>
    <w:uiPriority w:val="99"/>
    <w:semiHidden/>
    <w:unhideWhenUsed/>
    <w:rsid w:val="000F64A9"/>
    <w:rPr>
      <w:vertAlign w:val="superscript"/>
    </w:rPr>
  </w:style>
  <w:style w:type="paragraph" w:customStyle="1" w:styleId="BodyIndent1">
    <w:name w:val="Body Indent 1"/>
    <w:basedOn w:val="Normal"/>
    <w:qFormat/>
    <w:rsid w:val="0017002E"/>
    <w:pPr>
      <w:spacing w:before="240" w:after="0" w:line="240" w:lineRule="auto"/>
      <w:ind w:left="851"/>
    </w:pPr>
    <w:rPr>
      <w:rFonts w:ascii="Arial" w:eastAsia="Times New Roman" w:hAnsi="Arial" w:cs="Arial"/>
      <w:sz w:val="20"/>
      <w:szCs w:val="20"/>
    </w:rPr>
  </w:style>
  <w:style w:type="character" w:styleId="FollowedHyperlink">
    <w:name w:val="FollowedHyperlink"/>
    <w:basedOn w:val="DefaultParagraphFont"/>
    <w:uiPriority w:val="99"/>
    <w:semiHidden/>
    <w:unhideWhenUsed/>
    <w:rsid w:val="00CA208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2634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chart" Target="charts/chart3.xm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chart" Target="charts/chart4.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chart" Target="charts/chart2.xm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hart" Target="charts/chart1.xml"/><Relationship Id="rId20" Type="http://schemas.openxmlformats.org/officeDocument/2006/relationships/image" Target="media/image5.tmp"/><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image" Target="media/image3.tmp"/><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image" Target="media/image4.tmp"/><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emf"/><Relationship Id="rId22" Type="http://schemas.openxmlformats.org/officeDocument/2006/relationships/image" Target="media/image6.tmp"/><Relationship Id="rId27" Type="http://schemas.openxmlformats.org/officeDocument/2006/relationships/header" Target="header3.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ato.gov.au/About-ATO/Research-and-statistics/In-detail/Tax-statistics/Taxation-statistics-2012-13/?anchor=Individualstables" TargetMode="External"/><Relationship Id="rId1" Type="http://schemas.openxmlformats.org/officeDocument/2006/relationships/hyperlink" Target="https://www.ato.gov.au/Individuals/Medicare-levy/Medicare-levy-surcharge/" TargetMode="Externa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openxmlformats.org/officeDocument/2006/relationships/oleObject" Target="file:///\\nhsvr1\navy\hirmaa\hirmaa%20Correspondence\Senate%20mutuals%20and%20cooperatives%20submission\Mutuals%20and%20Cooperatives%20submission%20data%20analysis.xlsx" TargetMode="External"/><Relationship Id="rId1" Type="http://schemas.openxmlformats.org/officeDocument/2006/relationships/themeOverride" Target="../theme/themeOverride1.xml"/><Relationship Id="rId4"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openxmlformats.org/officeDocument/2006/relationships/oleObject" Target="file:///\\nhsvr1\navy\hirmaa\hirmaa%20Correspondence\Senate%20mutuals%20and%20cooperatives%20submission\Mutuals%20and%20Cooperatives%20submission%20data%20analysis.xlsx" TargetMode="External"/><Relationship Id="rId1" Type="http://schemas.openxmlformats.org/officeDocument/2006/relationships/themeOverride" Target="../theme/themeOverride2.xml"/><Relationship Id="rId4"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microsoft.com/office/2011/relationships/chartStyle" Target="style3.xml"/><Relationship Id="rId2" Type="http://schemas.microsoft.com/office/2011/relationships/chartColorStyle" Target="colors3.xml"/><Relationship Id="rId1" Type="http://schemas.openxmlformats.org/officeDocument/2006/relationships/package" Target="../embeddings/Microsoft_Excel_Worksheet1.xlsx"/></Relationships>
</file>

<file path=word/charts/_rels/chart4.xml.rels><?xml version="1.0" encoding="UTF-8" standalone="yes"?>
<Relationships xmlns="http://schemas.openxmlformats.org/package/2006/relationships"><Relationship Id="rId3" Type="http://schemas.microsoft.com/office/2011/relationships/chartStyle" Target="style4.xml"/><Relationship Id="rId2" Type="http://schemas.microsoft.com/office/2011/relationships/chartColorStyle" Target="colors4.xml"/><Relationship Id="rId1" Type="http://schemas.openxmlformats.org/officeDocument/2006/relationships/oleObject" Target="file:///\\nhsvr1\navy\hirmaa\hirmaa%20Correspondence\Senate%20mutuals%20and%20cooperatives%20submission\Mutuals%20and%20Cooperatives%20submission%20data%20analysi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36050003364963995"/>
          <c:y val="0"/>
          <c:w val="0.63290297775972426"/>
          <c:h val="0.62262357830271209"/>
        </c:manualLayout>
      </c:layout>
      <c:bar3DChart>
        <c:barDir val="bar"/>
        <c:grouping val="clustered"/>
        <c:varyColors val="0"/>
        <c:ser>
          <c:idx val="0"/>
          <c:order val="0"/>
          <c:tx>
            <c:strRef>
              <c:f>'ANALYSIS V2'!$A$14</c:f>
              <c:strCache>
                <c:ptCount val="1"/>
                <c:pt idx="0">
                  <c:v>Benefits paid 2013-14</c:v>
                </c:pt>
              </c:strCache>
            </c:strRef>
          </c:tx>
          <c:spPr>
            <a:gradFill rotWithShape="1">
              <a:gsLst>
                <a:gs pos="0">
                  <a:schemeClr val="accent2">
                    <a:tint val="50000"/>
                    <a:satMod val="300000"/>
                  </a:schemeClr>
                </a:gs>
                <a:gs pos="35000">
                  <a:schemeClr val="accent2">
                    <a:tint val="37000"/>
                    <a:satMod val="300000"/>
                  </a:schemeClr>
                </a:gs>
                <a:gs pos="100000">
                  <a:schemeClr val="accent2">
                    <a:tint val="15000"/>
                    <a:satMod val="350000"/>
                  </a:schemeClr>
                </a:gs>
              </a:gsLst>
              <a:lin ang="16200000" scaled="1"/>
            </a:gradFill>
            <a:ln w="9525" cap="flat" cmpd="sng" algn="ctr">
              <a:solidFill>
                <a:schemeClr val="accent2">
                  <a:shade val="95000"/>
                </a:schemeClr>
              </a:solidFill>
              <a:round/>
            </a:ln>
            <a:effectLst>
              <a:outerShdw blurRad="40000" dist="20000" dir="5400000" rotWithShape="0">
                <a:srgbClr val="000000">
                  <a:alpha val="38000"/>
                </a:srgbClr>
              </a:outerShdw>
            </a:effectLst>
            <a:sp3d contourW="9525">
              <a:contourClr>
                <a:schemeClr val="accent2">
                  <a:shade val="9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50000"/>
                        <a:lumOff val="50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'ANALYSIS V2'!$B$1:$E$1</c:f>
              <c:strCache>
                <c:ptCount val="4"/>
                <c:pt idx="0">
                  <c:v>non-mutual / non-member-owned insurers</c:v>
                </c:pt>
                <c:pt idx="1">
                  <c:v>hirmaa insurers</c:v>
                </c:pt>
                <c:pt idx="2">
                  <c:v>mutual / member-owned insurers</c:v>
                </c:pt>
                <c:pt idx="3">
                  <c:v>Industry</c:v>
                </c:pt>
              </c:strCache>
            </c:strRef>
          </c:cat>
          <c:val>
            <c:numRef>
              <c:f>'ANALYSIS V2'!$B$14:$E$14</c:f>
              <c:numCache>
                <c:formatCode>"$"#,##0</c:formatCode>
                <c:ptCount val="4"/>
                <c:pt idx="0">
                  <c:v>10637291404.1</c:v>
                </c:pt>
                <c:pt idx="1">
                  <c:v>1736759825.9900002</c:v>
                </c:pt>
                <c:pt idx="2">
                  <c:v>6245437482.7699995</c:v>
                </c:pt>
                <c:pt idx="3">
                  <c:v>16882728886.870001</c:v>
                </c:pt>
              </c:numCache>
            </c:numRef>
          </c:val>
        </c:ser>
        <c:dLbls>
          <c:showLegendKey val="0"/>
          <c:showVal val="1"/>
          <c:showCatName val="0"/>
          <c:showSerName val="0"/>
          <c:showPercent val="0"/>
          <c:showBubbleSize val="0"/>
        </c:dLbls>
        <c:gapWidth val="150"/>
        <c:shape val="box"/>
        <c:axId val="61702912"/>
        <c:axId val="77944704"/>
        <c:axId val="0"/>
      </c:bar3DChart>
      <c:catAx>
        <c:axId val="61702912"/>
        <c:scaling>
          <c:orientation val="minMax"/>
        </c:scaling>
        <c:delete val="0"/>
        <c:axPos val="l"/>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n-US"/>
          </a:p>
        </c:txPr>
        <c:crossAx val="77944704"/>
        <c:crosses val="autoZero"/>
        <c:auto val="1"/>
        <c:lblAlgn val="ctr"/>
        <c:lblOffset val="100"/>
        <c:noMultiLvlLbl val="0"/>
      </c:catAx>
      <c:valAx>
        <c:axId val="77944704"/>
        <c:scaling>
          <c:orientation val="minMax"/>
        </c:scaling>
        <c:delete val="0"/>
        <c:axPos val="b"/>
        <c:majorGridlines>
          <c:spPr>
            <a:ln w="9525" cap="flat" cmpd="sng" algn="ctr">
              <a:solidFill>
                <a:sysClr val="window" lastClr="FFFFFF"/>
              </a:solidFill>
              <a:round/>
            </a:ln>
            <a:effectLst/>
          </c:spPr>
        </c:majorGridlines>
        <c:numFmt formatCode="#,##0" sourceLinked="0"/>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n-US"/>
          </a:p>
        </c:txPr>
        <c:crossAx val="61702912"/>
        <c:crosses val="autoZero"/>
        <c:crossBetween val="between"/>
        <c:dispUnits>
          <c:builtInUnit val="billions"/>
          <c:dispUnitsLbl>
            <c:layout>
              <c:manualLayout>
                <c:xMode val="edge"/>
                <c:yMode val="edge"/>
                <c:x val="0.90766606097314761"/>
                <c:y val="0.68922205945187076"/>
              </c:manualLayout>
            </c:layout>
            <c:spPr>
              <a:noFill/>
              <a:ln>
                <a:noFill/>
              </a:ln>
              <a:effectLst/>
            </c:spPr>
            <c:txPr>
              <a:bodyPr rot="0" spcFirstLastPara="1" vertOverflow="ellipsis" vert="horz" wrap="square" anchor="ctr" anchorCtr="1"/>
              <a:lstStyle/>
              <a:p>
                <a:pPr>
                  <a:defRPr sz="900" b="0" i="0" u="none" strike="noStrike" kern="1200" cap="all" baseline="0">
                    <a:solidFill>
                      <a:schemeClr val="tx1">
                        <a:lumMod val="50000"/>
                        <a:lumOff val="50000"/>
                      </a:schemeClr>
                    </a:solidFill>
                    <a:latin typeface="+mn-lt"/>
                    <a:ea typeface="+mn-ea"/>
                    <a:cs typeface="+mn-cs"/>
                  </a:defRPr>
                </a:pPr>
                <a:endParaRPr lang="en-US"/>
              </a:p>
            </c:txPr>
          </c:dispUnitsLbl>
        </c:dispUnits>
      </c:valAx>
      <c:dTable>
        <c:showHorzBorder val="1"/>
        <c:showVertBorder val="1"/>
        <c:showOutline val="1"/>
        <c:showKeys val="1"/>
        <c:spPr>
          <a:noFill/>
          <a:ln w="9525">
            <a:solidFill>
              <a:schemeClr val="tx1">
                <a:lumMod val="15000"/>
                <a:lumOff val="85000"/>
              </a:schemeClr>
            </a:solidFill>
          </a:ln>
          <a:effectLst/>
        </c:spPr>
        <c:txPr>
          <a:bodyPr rot="0" spcFirstLastPara="1" vertOverflow="ellipsis" vert="horz" wrap="square" anchor="ctr" anchorCtr="1"/>
          <a:lstStyle/>
          <a:p>
            <a:pPr rtl="0">
              <a:defRPr sz="900" b="0" i="0" u="none" strike="noStrike" kern="1200" baseline="0">
                <a:solidFill>
                  <a:schemeClr val="tx1">
                    <a:lumMod val="50000"/>
                    <a:lumOff val="50000"/>
                  </a:schemeClr>
                </a:solidFill>
                <a:latin typeface="+mn-lt"/>
                <a:ea typeface="+mn-ea"/>
                <a:cs typeface="+mn-cs"/>
              </a:defRPr>
            </a:pPr>
            <a:endParaRPr lang="en-US"/>
          </a:p>
        </c:txPr>
      </c:dTable>
      <c:spPr>
        <a:solidFill>
          <a:sysClr val="window" lastClr="FFFFFF"/>
        </a:solidFill>
        <a:ln>
          <a:solidFill>
            <a:sysClr val="window" lastClr="FFFFFF"/>
          </a:solid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tx>
            <c:strRef>
              <c:f>'ANALYSIS V2'!$A$3</c:f>
              <c:strCache>
                <c:ptCount val="1"/>
                <c:pt idx="0">
                  <c:v>Collective market share</c:v>
                </c:pt>
              </c:strCache>
            </c:strRef>
          </c:tx>
          <c:spPr>
            <a:gradFill rotWithShape="1">
              <a:gsLst>
                <a:gs pos="0">
                  <a:schemeClr val="accent1">
                    <a:tint val="50000"/>
                    <a:satMod val="300000"/>
                  </a:schemeClr>
                </a:gs>
                <a:gs pos="35000">
                  <a:schemeClr val="accent1">
                    <a:tint val="37000"/>
                    <a:satMod val="300000"/>
                  </a:schemeClr>
                </a:gs>
                <a:gs pos="100000">
                  <a:schemeClr val="accent1">
                    <a:tint val="15000"/>
                    <a:satMod val="350000"/>
                  </a:schemeClr>
                </a:gs>
              </a:gsLst>
              <a:lin ang="16200000" scaled="1"/>
            </a:gradFill>
            <a:ln w="9525" cap="flat" cmpd="sng" algn="ctr">
              <a:solidFill>
                <a:schemeClr val="accent1">
                  <a:shade val="95000"/>
                </a:schemeClr>
              </a:solidFill>
              <a:round/>
            </a:ln>
            <a:effectLst>
              <a:outerShdw blurRad="40000" dist="20000" dir="5400000" rotWithShape="0">
                <a:srgbClr val="000000">
                  <a:alpha val="38000"/>
                </a:srgbClr>
              </a:outerShdw>
            </a:effectLst>
            <a:sp3d contourW="9525">
              <a:contourClr>
                <a:schemeClr val="accent1">
                  <a:shade val="95000"/>
                </a:schemeClr>
              </a:contourClr>
            </a:sp3d>
          </c:spPr>
          <c:invertIfNegative val="0"/>
          <c:cat>
            <c:strRef>
              <c:f>'ANALYSIS V2'!$B$1:$D$1</c:f>
              <c:strCache>
                <c:ptCount val="3"/>
                <c:pt idx="0">
                  <c:v>non-mutual / non-member-owned insurers</c:v>
                </c:pt>
                <c:pt idx="1">
                  <c:v>hirmaa insurers</c:v>
                </c:pt>
                <c:pt idx="2">
                  <c:v>mutual / member-owned insurers</c:v>
                </c:pt>
              </c:strCache>
            </c:strRef>
          </c:cat>
          <c:val>
            <c:numRef>
              <c:f>'ANALYSIS V2'!$B$3:$D$3</c:f>
              <c:numCache>
                <c:formatCode>0.00%</c:formatCode>
                <c:ptCount val="3"/>
                <c:pt idx="0">
                  <c:v>0.64607248542241003</c:v>
                </c:pt>
                <c:pt idx="1">
                  <c:v>8.9443895387171263E-2</c:v>
                </c:pt>
                <c:pt idx="2">
                  <c:v>0.35392751457758992</c:v>
                </c:pt>
              </c:numCache>
            </c:numRef>
          </c:val>
        </c:ser>
        <c:dLbls>
          <c:showLegendKey val="0"/>
          <c:showVal val="0"/>
          <c:showCatName val="0"/>
          <c:showSerName val="0"/>
          <c:showPercent val="0"/>
          <c:showBubbleSize val="0"/>
        </c:dLbls>
        <c:gapWidth val="150"/>
        <c:shape val="box"/>
        <c:axId val="117541504"/>
        <c:axId val="119811072"/>
        <c:axId val="0"/>
      </c:bar3DChart>
      <c:catAx>
        <c:axId val="117541504"/>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n-US"/>
          </a:p>
        </c:txPr>
        <c:crossAx val="119811072"/>
        <c:crosses val="autoZero"/>
        <c:auto val="1"/>
        <c:lblAlgn val="ctr"/>
        <c:lblOffset val="100"/>
        <c:noMultiLvlLbl val="0"/>
      </c:catAx>
      <c:valAx>
        <c:axId val="119811072"/>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n-US"/>
          </a:p>
        </c:txPr>
        <c:crossAx val="117541504"/>
        <c:crosses val="autoZero"/>
        <c:crossBetween val="between"/>
      </c:valAx>
      <c:dTable>
        <c:showHorzBorder val="1"/>
        <c:showVertBorder val="1"/>
        <c:showOutline val="1"/>
        <c:showKeys val="1"/>
        <c:spPr>
          <a:noFill/>
          <a:ln w="9525">
            <a:solidFill>
              <a:schemeClr val="tx1">
                <a:lumMod val="15000"/>
                <a:lumOff val="85000"/>
              </a:schemeClr>
            </a:solidFill>
          </a:ln>
          <a:effectLst/>
        </c:spPr>
        <c:txPr>
          <a:bodyPr rot="0" spcFirstLastPara="1" vertOverflow="ellipsis" vert="horz" wrap="square" anchor="ctr" anchorCtr="1"/>
          <a:lstStyle/>
          <a:p>
            <a:pPr rtl="0">
              <a:defRPr sz="900" b="0" i="0" u="none" strike="noStrike" kern="1200" baseline="0">
                <a:solidFill>
                  <a:schemeClr val="tx1">
                    <a:lumMod val="50000"/>
                    <a:lumOff val="50000"/>
                  </a:schemeClr>
                </a:solidFill>
                <a:latin typeface="+mn-lt"/>
                <a:ea typeface="+mn-ea"/>
                <a:cs typeface="+mn-cs"/>
              </a:defRPr>
            </a:pPr>
            <a:endParaRPr lang="en-US"/>
          </a:p>
        </c:txPr>
      </c:dTable>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tx>
            <c:strRef>
              <c:f>'ANALYSIS V2'!$A$9</c:f>
              <c:strCache>
                <c:ptCount val="1"/>
                <c:pt idx="0">
                  <c:v>5-year compound annual growth rate</c:v>
                </c:pt>
              </c:strCache>
            </c:strRef>
          </c:tx>
          <c:spPr>
            <a:gradFill rotWithShape="1">
              <a:gsLst>
                <a:gs pos="0">
                  <a:schemeClr val="accent1">
                    <a:lumMod val="110000"/>
                    <a:satMod val="105000"/>
                    <a:tint val="67000"/>
                  </a:schemeClr>
                </a:gs>
                <a:gs pos="50000">
                  <a:schemeClr val="accent1">
                    <a:lumMod val="105000"/>
                    <a:satMod val="103000"/>
                    <a:tint val="73000"/>
                  </a:schemeClr>
                </a:gs>
                <a:gs pos="100000">
                  <a:schemeClr val="accent1">
                    <a:lumMod val="105000"/>
                    <a:satMod val="109000"/>
                    <a:tint val="81000"/>
                  </a:schemeClr>
                </a:gs>
              </a:gsLst>
              <a:lin ang="5400000" scaled="0"/>
            </a:gradFill>
            <a:ln w="9525" cap="flat" cmpd="sng" algn="ctr">
              <a:solidFill>
                <a:schemeClr val="accent1">
                  <a:shade val="95000"/>
                </a:schemeClr>
              </a:solidFill>
              <a:round/>
            </a:ln>
            <a:effectLst/>
            <a:sp3d contourW="9525">
              <a:contourClr>
                <a:schemeClr val="accent1">
                  <a:shade val="95000"/>
                </a:schemeClr>
              </a:contourClr>
            </a:sp3d>
          </c:spPr>
          <c:invertIfNegative val="0"/>
          <c:cat>
            <c:strRef>
              <c:f>'ANALYSIS V2'!$B$1:$E$1</c:f>
              <c:strCache>
                <c:ptCount val="4"/>
                <c:pt idx="0">
                  <c:v>non-mutual / non-member-owned</c:v>
                </c:pt>
                <c:pt idx="1">
                  <c:v>hirmaa</c:v>
                </c:pt>
                <c:pt idx="2">
                  <c:v>mutual / member-owned</c:v>
                </c:pt>
                <c:pt idx="3">
                  <c:v>Industry</c:v>
                </c:pt>
              </c:strCache>
            </c:strRef>
          </c:cat>
          <c:val>
            <c:numRef>
              <c:f>'ANALYSIS V2'!$B$9:$E$9</c:f>
              <c:numCache>
                <c:formatCode>0.00%</c:formatCode>
                <c:ptCount val="4"/>
                <c:pt idx="0">
                  <c:v>2.0467371226202902E-2</c:v>
                </c:pt>
                <c:pt idx="1">
                  <c:v>3.5906910551118276E-2</c:v>
                </c:pt>
                <c:pt idx="2">
                  <c:v>4.1718538973330332E-2</c:v>
                </c:pt>
                <c:pt idx="3">
                  <c:v>2.7838900676030454E-2</c:v>
                </c:pt>
              </c:numCache>
            </c:numRef>
          </c:val>
        </c:ser>
        <c:dLbls>
          <c:showLegendKey val="0"/>
          <c:showVal val="0"/>
          <c:showCatName val="0"/>
          <c:showSerName val="0"/>
          <c:showPercent val="0"/>
          <c:showBubbleSize val="0"/>
        </c:dLbls>
        <c:gapWidth val="150"/>
        <c:shape val="box"/>
        <c:axId val="120267520"/>
        <c:axId val="120269824"/>
        <c:axId val="0"/>
      </c:bar3DChart>
      <c:catAx>
        <c:axId val="120267520"/>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n-US"/>
          </a:p>
        </c:txPr>
        <c:crossAx val="120269824"/>
        <c:crosses val="autoZero"/>
        <c:auto val="1"/>
        <c:lblAlgn val="ctr"/>
        <c:lblOffset val="100"/>
        <c:noMultiLvlLbl val="0"/>
      </c:catAx>
      <c:valAx>
        <c:axId val="120269824"/>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n-US"/>
          </a:p>
        </c:txPr>
        <c:crossAx val="120267520"/>
        <c:crosses val="autoZero"/>
        <c:crossBetween val="between"/>
      </c:valAx>
      <c:dTable>
        <c:showHorzBorder val="1"/>
        <c:showVertBorder val="1"/>
        <c:showOutline val="1"/>
        <c:showKeys val="1"/>
        <c:spPr>
          <a:noFill/>
          <a:ln w="9525">
            <a:solidFill>
              <a:schemeClr val="tx1">
                <a:lumMod val="15000"/>
                <a:lumOff val="85000"/>
              </a:schemeClr>
            </a:solidFill>
          </a:ln>
          <a:effectLst/>
        </c:spPr>
        <c:txPr>
          <a:bodyPr rot="0" spcFirstLastPara="1" vertOverflow="ellipsis" vert="horz" wrap="square" anchor="ctr" anchorCtr="1"/>
          <a:lstStyle/>
          <a:p>
            <a:pPr rtl="0">
              <a:defRPr sz="900" b="0" i="0" u="none" strike="noStrike" kern="1200" baseline="0">
                <a:solidFill>
                  <a:schemeClr val="tx1">
                    <a:lumMod val="50000"/>
                    <a:lumOff val="50000"/>
                  </a:schemeClr>
                </a:solidFill>
                <a:latin typeface="+mn-lt"/>
                <a:ea typeface="+mn-ea"/>
                <a:cs typeface="+mn-cs"/>
              </a:defRPr>
            </a:pPr>
            <a:endParaRPr lang="en-US"/>
          </a:p>
        </c:txPr>
      </c:dTable>
      <c:spPr>
        <a:noFill/>
        <a:ln>
          <a:noFill/>
        </a:ln>
        <a:effectLst/>
      </c:spPr>
    </c:plotArea>
    <c:plotVisOnly val="1"/>
    <c:dispBlanksAs val="gap"/>
    <c:showDLblsOverMax val="0"/>
  </c:chart>
  <c:spPr>
    <a:solidFill>
      <a:schemeClr val="bg1"/>
    </a:solidFill>
    <a:ln w="9525" cap="flat" cmpd="sng" algn="ctr">
      <a:solidFill>
        <a:sysClr val="window" lastClr="FFFFFF"/>
      </a:solidFill>
      <a:round/>
    </a:ln>
    <a:effectLst/>
  </c:spPr>
  <c:txPr>
    <a:bodyPr/>
    <a:lstStyle/>
    <a:p>
      <a:pPr>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28161195878389766"/>
          <c:y val="5.6701030927835051E-2"/>
          <c:w val="0.67845278922016283"/>
          <c:h val="0.74704440295478536"/>
        </c:manualLayout>
      </c:layout>
      <c:bar3DChart>
        <c:barDir val="bar"/>
        <c:grouping val="stacked"/>
        <c:varyColors val="0"/>
        <c:ser>
          <c:idx val="0"/>
          <c:order val="0"/>
          <c:tx>
            <c:strRef>
              <c:f>'ANALYSIS V2'!$A$4</c:f>
              <c:strCache>
                <c:ptCount val="1"/>
                <c:pt idx="0">
                  <c:v>Average Benefits paid as proportion of premiums</c:v>
                </c:pt>
              </c:strCache>
            </c:strRef>
          </c:tx>
          <c:spPr>
            <a:gradFill rotWithShape="1">
              <a:gsLst>
                <a:gs pos="0">
                  <a:schemeClr val="accent1">
                    <a:shade val="65000"/>
                    <a:lumMod val="110000"/>
                    <a:satMod val="105000"/>
                    <a:tint val="67000"/>
                  </a:schemeClr>
                </a:gs>
                <a:gs pos="50000">
                  <a:schemeClr val="accent1">
                    <a:shade val="65000"/>
                    <a:lumMod val="105000"/>
                    <a:satMod val="103000"/>
                    <a:tint val="73000"/>
                  </a:schemeClr>
                </a:gs>
                <a:gs pos="100000">
                  <a:schemeClr val="accent1">
                    <a:shade val="65000"/>
                    <a:lumMod val="105000"/>
                    <a:satMod val="109000"/>
                    <a:tint val="81000"/>
                  </a:schemeClr>
                </a:gs>
              </a:gsLst>
              <a:lin ang="5400000" scaled="0"/>
            </a:gradFill>
            <a:ln w="9525" cap="flat" cmpd="sng" algn="ctr">
              <a:solidFill>
                <a:schemeClr val="accent1">
                  <a:shade val="65000"/>
                  <a:shade val="95000"/>
                </a:schemeClr>
              </a:solidFill>
              <a:round/>
            </a:ln>
            <a:effectLst/>
            <a:sp3d contourW="9525">
              <a:contourClr>
                <a:schemeClr val="accent1">
                  <a:shade val="65000"/>
                  <a:shade val="95000"/>
                </a:schemeClr>
              </a:contourClr>
            </a:sp3d>
          </c:spPr>
          <c:invertIfNegative val="0"/>
          <c:dLbls>
            <c:numFmt formatCode="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50000"/>
                        <a:lumOff val="50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'ANALYSIS V2'!$B$1:$E$1</c:f>
              <c:strCache>
                <c:ptCount val="4"/>
                <c:pt idx="0">
                  <c:v>non-mutual / non-member-owned</c:v>
                </c:pt>
                <c:pt idx="1">
                  <c:v>hirmaa</c:v>
                </c:pt>
                <c:pt idx="2">
                  <c:v>mutual / member-owned</c:v>
                </c:pt>
                <c:pt idx="3">
                  <c:v>Industry</c:v>
                </c:pt>
              </c:strCache>
            </c:strRef>
          </c:cat>
          <c:val>
            <c:numRef>
              <c:f>'ANALYSIS V2'!$B$4:$E$4</c:f>
              <c:numCache>
                <c:formatCode>0.00%</c:formatCode>
                <c:ptCount val="4"/>
                <c:pt idx="0">
                  <c:v>0.84808595439194878</c:v>
                </c:pt>
                <c:pt idx="1">
                  <c:v>0.88622169863531175</c:v>
                </c:pt>
                <c:pt idx="2">
                  <c:v>0.8848350759098752</c:v>
                </c:pt>
                <c:pt idx="3">
                  <c:v>0.8740912526202238</c:v>
                </c:pt>
              </c:numCache>
            </c:numRef>
          </c:val>
        </c:ser>
        <c:ser>
          <c:idx val="1"/>
          <c:order val="1"/>
          <c:tx>
            <c:strRef>
              <c:f>'ANALYSIS V2'!$A$5</c:f>
              <c:strCache>
                <c:ptCount val="1"/>
                <c:pt idx="0">
                  <c:v>Average Management Expense ratio</c:v>
                </c:pt>
              </c:strCache>
            </c:strRef>
          </c:tx>
          <c:spPr>
            <a:gradFill rotWithShape="1">
              <a:gsLst>
                <a:gs pos="0">
                  <a:schemeClr val="accent1">
                    <a:lumMod val="110000"/>
                    <a:satMod val="105000"/>
                    <a:tint val="67000"/>
                  </a:schemeClr>
                </a:gs>
                <a:gs pos="50000">
                  <a:schemeClr val="accent1">
                    <a:lumMod val="105000"/>
                    <a:satMod val="103000"/>
                    <a:tint val="73000"/>
                  </a:schemeClr>
                </a:gs>
                <a:gs pos="100000">
                  <a:schemeClr val="accent1">
                    <a:lumMod val="105000"/>
                    <a:satMod val="109000"/>
                    <a:tint val="81000"/>
                  </a:schemeClr>
                </a:gs>
              </a:gsLst>
              <a:lin ang="5400000" scaled="0"/>
            </a:gradFill>
            <a:ln w="9525" cap="flat" cmpd="sng" algn="ctr">
              <a:solidFill>
                <a:schemeClr val="accent1">
                  <a:shade val="95000"/>
                </a:schemeClr>
              </a:solidFill>
              <a:round/>
            </a:ln>
            <a:effectLst/>
            <a:sp3d contourW="9525">
              <a:contourClr>
                <a:schemeClr val="accent1">
                  <a:shade val="95000"/>
                </a:schemeClr>
              </a:contourClr>
            </a:sp3d>
          </c:spPr>
          <c:invertIfNegative val="0"/>
          <c:dLbls>
            <c:numFmt formatCode="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50000"/>
                        <a:lumOff val="50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'ANALYSIS V2'!$B$1:$E$1</c:f>
              <c:strCache>
                <c:ptCount val="4"/>
                <c:pt idx="0">
                  <c:v>non-mutual / non-member-owned</c:v>
                </c:pt>
                <c:pt idx="1">
                  <c:v>hirmaa</c:v>
                </c:pt>
                <c:pt idx="2">
                  <c:v>mutual / member-owned</c:v>
                </c:pt>
                <c:pt idx="3">
                  <c:v>Industry</c:v>
                </c:pt>
              </c:strCache>
            </c:strRef>
          </c:cat>
          <c:val>
            <c:numRef>
              <c:f>'ANALYSIS V2'!$B$5:$E$5</c:f>
              <c:numCache>
                <c:formatCode>0.00%</c:formatCode>
                <c:ptCount val="4"/>
                <c:pt idx="0">
                  <c:v>8.4271298699899688E-2</c:v>
                </c:pt>
                <c:pt idx="1">
                  <c:v>9.8696309554266268E-2</c:v>
                </c:pt>
                <c:pt idx="2">
                  <c:v>9.8584649005157968E-2</c:v>
                </c:pt>
                <c:pt idx="3">
                  <c:v>8.4898947114572784E-2</c:v>
                </c:pt>
              </c:numCache>
            </c:numRef>
          </c:val>
        </c:ser>
        <c:ser>
          <c:idx val="2"/>
          <c:order val="2"/>
          <c:tx>
            <c:strRef>
              <c:f>'ANALYSIS V2'!$A$6</c:f>
              <c:strCache>
                <c:ptCount val="1"/>
                <c:pt idx="0">
                  <c:v>Average net margin</c:v>
                </c:pt>
              </c:strCache>
            </c:strRef>
          </c:tx>
          <c:spPr>
            <a:gradFill rotWithShape="1">
              <a:gsLst>
                <a:gs pos="0">
                  <a:schemeClr val="accent1">
                    <a:tint val="65000"/>
                    <a:lumMod val="110000"/>
                    <a:satMod val="105000"/>
                    <a:tint val="67000"/>
                  </a:schemeClr>
                </a:gs>
                <a:gs pos="50000">
                  <a:schemeClr val="accent1">
                    <a:tint val="65000"/>
                    <a:lumMod val="105000"/>
                    <a:satMod val="103000"/>
                    <a:tint val="73000"/>
                  </a:schemeClr>
                </a:gs>
                <a:gs pos="100000">
                  <a:schemeClr val="accent1">
                    <a:tint val="65000"/>
                    <a:lumMod val="105000"/>
                    <a:satMod val="109000"/>
                    <a:tint val="81000"/>
                  </a:schemeClr>
                </a:gs>
              </a:gsLst>
              <a:lin ang="5400000" scaled="0"/>
            </a:gradFill>
            <a:ln w="9525" cap="flat" cmpd="sng" algn="ctr">
              <a:solidFill>
                <a:schemeClr val="accent1">
                  <a:tint val="65000"/>
                  <a:shade val="95000"/>
                </a:schemeClr>
              </a:solidFill>
              <a:round/>
            </a:ln>
            <a:effectLst/>
            <a:sp3d contourW="9525">
              <a:contourClr>
                <a:schemeClr val="accent1">
                  <a:tint val="65000"/>
                  <a:shade val="95000"/>
                </a:schemeClr>
              </a:contourClr>
            </a:sp3d>
          </c:spPr>
          <c:invertIfNegative val="0"/>
          <c:dLbls>
            <c:numFmt formatCode="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50000"/>
                        <a:lumOff val="50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'ANALYSIS V2'!$B$1:$E$1</c:f>
              <c:strCache>
                <c:ptCount val="4"/>
                <c:pt idx="0">
                  <c:v>non-mutual / non-member-owned</c:v>
                </c:pt>
                <c:pt idx="1">
                  <c:v>hirmaa</c:v>
                </c:pt>
                <c:pt idx="2">
                  <c:v>mutual / member-owned</c:v>
                </c:pt>
                <c:pt idx="3">
                  <c:v>Industry</c:v>
                </c:pt>
              </c:strCache>
            </c:strRef>
          </c:cat>
          <c:val>
            <c:numRef>
              <c:f>'ANALYSIS V2'!$B$6:$E$6</c:f>
              <c:numCache>
                <c:formatCode>0.00%</c:formatCode>
                <c:ptCount val="4"/>
                <c:pt idx="0">
                  <c:v>6.7642746908151474E-2</c:v>
                </c:pt>
                <c:pt idx="1">
                  <c:v>1.5081991810422073E-2</c:v>
                </c:pt>
                <c:pt idx="2">
                  <c:v>1.6580275084967004E-2</c:v>
                </c:pt>
                <c:pt idx="3">
                  <c:v>4.1009800265203511E-2</c:v>
                </c:pt>
              </c:numCache>
            </c:numRef>
          </c:val>
        </c:ser>
        <c:dLbls>
          <c:showLegendKey val="0"/>
          <c:showVal val="0"/>
          <c:showCatName val="0"/>
          <c:showSerName val="0"/>
          <c:showPercent val="0"/>
          <c:showBubbleSize val="0"/>
        </c:dLbls>
        <c:gapWidth val="150"/>
        <c:shape val="box"/>
        <c:axId val="126960000"/>
        <c:axId val="126961536"/>
        <c:axId val="0"/>
      </c:bar3DChart>
      <c:catAx>
        <c:axId val="126960000"/>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n-US"/>
          </a:p>
        </c:txPr>
        <c:crossAx val="126961536"/>
        <c:crosses val="autoZero"/>
        <c:auto val="1"/>
        <c:lblAlgn val="ctr"/>
        <c:lblOffset val="100"/>
        <c:noMultiLvlLbl val="0"/>
      </c:catAx>
      <c:valAx>
        <c:axId val="126961536"/>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n-US"/>
          </a:p>
        </c:txPr>
        <c:crossAx val="126960000"/>
        <c:crosses val="autoZero"/>
        <c:crossBetween val="between"/>
      </c:valAx>
      <c:spPr>
        <a:noFill/>
        <a:ln>
          <a:solidFill>
            <a:sysClr val="window" lastClr="FFFFFF"/>
          </a:solid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ysClr val="window" lastClr="FFFFFF"/>
      </a:solidFill>
      <a:round/>
    </a:ln>
    <a:effectLst/>
  </c:spPr>
  <c:txPr>
    <a:bodyPr/>
    <a:lstStyle/>
    <a:p>
      <a:pPr>
        <a:defRPr/>
      </a:pPr>
      <a:endParaRPr lang="en-US"/>
    </a:p>
  </c:txPr>
  <c:externalData r:id="rId1">
    <c:autoUpdate val="0"/>
  </c:externalData>
</c:chartSpace>
</file>

<file path=word/charts/colors1.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withinLinear" id="14">
  <a:schemeClr val="accent1"/>
</cs:colorStyle>
</file>

<file path=word/charts/style1.xml><?xml version="1.0" encoding="utf-8"?>
<cs:chartStyle xmlns:cs="http://schemas.microsoft.com/office/drawing/2012/chartStyle" xmlns:a="http://schemas.openxmlformats.org/drawingml/2006/main" id="289">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89">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89">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89">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2" ma:contentTypeDescription=" " ma:contentTypeScope="" ma:versionID="0c5f72f2b581d15c3685701b4a6c59ef">
  <xsd:schema xmlns:xsd="http://www.w3.org/2001/XMLSchema" xmlns:xs="http://www.w3.org/2001/XMLSchema" xmlns:p="http://schemas.microsoft.com/office/2006/metadata/properties" xmlns:ns1="http://schemas.microsoft.com/sharepoint/v3" xmlns:ns2="9f7bc583-7cbe-45b9-a2bd-8bbb6543b37e" xmlns:ns4="http://schemas.microsoft.com/sharepoint/v4" targetNamespace="http://schemas.microsoft.com/office/2006/metadata/properties" ma:root="true" ma:fieldsID="9c3835a0255350864dfa36d6c357d514" ns1:_="" ns2:_="" ns4:_="">
    <xsd:import namespace="http://schemas.microsoft.com/sharepoint/v3"/>
    <xsd:import namespace="9f7bc583-7cbe-45b9-a2bd-8bbb6543b37e"/>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_dlc_DocId xmlns="9f7bc583-7cbe-45b9-a2bd-8bbb6543b37e">2014RG-82-8228</_dlc_DocId>
    <TaxCatchAll xmlns="9f7bc583-7cbe-45b9-a2bd-8bbb6543b37e">
      <Value>20</Value>
    </TaxCatchAll>
    <_dlc_DocIdUrl xmlns="9f7bc583-7cbe-45b9-a2bd-8bbb6543b37e">
      <Url>http://tweb13/sites/rg/project/twptf/_layouts/15/DocIdRedir.aspx?ID=2014RG-82-8228</Url>
      <Description>2014RG-82-8228</Description>
    </_dlc_DocIdUrl>
    <IconOverlay xmlns="http://schemas.microsoft.com/sharepoint/v4"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44A2A1-CCB1-4C53-9EB7-2A212A3434D2}"/>
</file>

<file path=customXml/itemProps2.xml><?xml version="1.0" encoding="utf-8"?>
<ds:datastoreItem xmlns:ds="http://schemas.openxmlformats.org/officeDocument/2006/customXml" ds:itemID="{DACE7CDD-ACE5-4901-BF42-820C2F4A4085}"/>
</file>

<file path=customXml/itemProps3.xml><?xml version="1.0" encoding="utf-8"?>
<ds:datastoreItem xmlns:ds="http://schemas.openxmlformats.org/officeDocument/2006/customXml" ds:itemID="{ABFE224F-120C-4E46-8A47-B6AED87551E9}"/>
</file>

<file path=customXml/itemProps4.xml><?xml version="1.0" encoding="utf-8"?>
<ds:datastoreItem xmlns:ds="http://schemas.openxmlformats.org/officeDocument/2006/customXml" ds:itemID="{CD9084EA-9FD6-427D-AC91-460EF4BA2296}"/>
</file>

<file path=customXml/itemProps5.xml><?xml version="1.0" encoding="utf-8"?>
<ds:datastoreItem xmlns:ds="http://schemas.openxmlformats.org/officeDocument/2006/customXml" ds:itemID="{F03C300D-FBDE-41BA-B2EA-35F847B4D988}"/>
</file>

<file path=docProps/app.xml><?xml version="1.0" encoding="utf-8"?>
<Properties xmlns="http://schemas.openxmlformats.org/officeDocument/2006/extended-properties" xmlns:vt="http://schemas.openxmlformats.org/officeDocument/2006/docPropsVTypes">
  <Template>Normal.dotm</Template>
  <TotalTime>0</TotalTime>
  <Pages>18</Pages>
  <Words>4406</Words>
  <Characters>25120</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HIRMAA - Submission to the Tax Discussion Paper</vt:lpstr>
    </vt:vector>
  </TitlesOfParts>
  <Company/>
  <LinksUpToDate>false</LinksUpToDate>
  <CharactersWithSpaces>29468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HIRMAA - Submission to the Tax Discussion Paper</dc:title>
  <dc:subject/>
  <dc:creator/>
  <cp:keywords/>
  <dc:description/>
  <cp:lastModifiedBy/>
  <cp:revision>1</cp:revision>
  <dcterms:created xsi:type="dcterms:W3CDTF">2015-06-04T05:20:00Z</dcterms:created>
  <dcterms:modified xsi:type="dcterms:W3CDTF">2015-06-04T05:21:00Z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cordPoint_ActiveItemListId">
    <vt:lpwstr>{f6245b0d-ae88-49e0-bc00-d1fbade64493}</vt:lpwstr>
  </property>
  <property fmtid="{D5CDD505-2E9C-101B-9397-08002B2CF9AE}" pid="3" name="RecordPoint_ActiveItemUniqueId">
    <vt:lpwstr>{885a7b42-a45a-4db6-9b5c-413a193a7a61}</vt:lpwstr>
  </property>
  <property fmtid="{D5CDD505-2E9C-101B-9397-08002B2CF9AE}" pid="4" name="ContentTypeId">
    <vt:lpwstr>0x01010036BB8DE7EC542E42A8B2E98CC20CB69700AA356CCBB2B4204EB1CD923E8E69F50F</vt:lpwstr>
  </property>
  <property fmtid="{D5CDD505-2E9C-101B-9397-08002B2CF9AE}" pid="5" name="RecordPoint_ActiveItemWebId">
    <vt:lpwstr>{7d4836be-88c9-4147-bbde-5f4d346060a5}</vt:lpwstr>
  </property>
  <property fmtid="{D5CDD505-2E9C-101B-9397-08002B2CF9AE}" pid="6" name="TSYRecordClass">
    <vt:lpwstr>20;#TSY RA-9152 - Retain as national archives|9ab56360-fc55-4e73-997a-d8add4432252</vt:lpwstr>
  </property>
  <property fmtid="{D5CDD505-2E9C-101B-9397-08002B2CF9AE}" pid="7" name="RecordPoint_WorkflowType">
    <vt:lpwstr>ActiveSubmitStub</vt:lpwstr>
  </property>
  <property fmtid="{D5CDD505-2E9C-101B-9397-08002B2CF9AE}" pid="8" name="RecordPoint_ActiveItemSiteId">
    <vt:lpwstr>{5b52b9a5-e5b2-4521-8814-a1e24ca2869d}</vt:lpwstr>
  </property>
  <property fmtid="{D5CDD505-2E9C-101B-9397-08002B2CF9AE}" pid="9" name="RecordPoint_RecordNumberSubmitted">
    <vt:lpwstr>R0000036031</vt:lpwstr>
  </property>
  <property fmtid="{D5CDD505-2E9C-101B-9397-08002B2CF9AE}" pid="10" name="RecordPoint_SubmissionCompleted">
    <vt:lpwstr>2015-06-04T18:02:36.2350384+10:00</vt:lpwstr>
  </property>
</Properties>
</file>