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8F06D" w14:textId="77777777" w:rsidR="00071003" w:rsidRPr="00071003" w:rsidRDefault="00071003">
      <w:pPr>
        <w:rPr>
          <w:sz w:val="36"/>
          <w:szCs w:val="36"/>
        </w:rPr>
      </w:pPr>
      <w:bookmarkStart w:id="0" w:name="_GoBack"/>
      <w:bookmarkEnd w:id="0"/>
      <w:r w:rsidRPr="00071003">
        <w:rPr>
          <w:sz w:val="36"/>
          <w:szCs w:val="36"/>
        </w:rPr>
        <w:t>Australian Taxation Office</w:t>
      </w:r>
    </w:p>
    <w:p w14:paraId="34E8F06E" w14:textId="77777777" w:rsidR="004D6099" w:rsidRDefault="00071003">
      <w:pPr>
        <w:rPr>
          <w:sz w:val="36"/>
          <w:szCs w:val="36"/>
        </w:rPr>
      </w:pPr>
      <w:r w:rsidRPr="00071003">
        <w:rPr>
          <w:sz w:val="36"/>
          <w:szCs w:val="36"/>
        </w:rPr>
        <w:t>Not-for-Profit Sector</w:t>
      </w:r>
      <w:r w:rsidR="00C63692">
        <w:rPr>
          <w:sz w:val="36"/>
          <w:szCs w:val="36"/>
        </w:rPr>
        <w:t xml:space="preserve">      </w:t>
      </w:r>
      <w:r w:rsidRPr="00071003">
        <w:rPr>
          <w:sz w:val="36"/>
          <w:szCs w:val="36"/>
        </w:rPr>
        <w:t>Re:think tax discussion paper</w:t>
      </w:r>
    </w:p>
    <w:p w14:paraId="34E8F06F" w14:textId="77777777" w:rsidR="00071003" w:rsidRPr="00071003" w:rsidRDefault="00071003">
      <w:pPr>
        <w:rPr>
          <w:sz w:val="16"/>
          <w:szCs w:val="16"/>
        </w:rPr>
      </w:pPr>
    </w:p>
    <w:p w14:paraId="34E8F070" w14:textId="77777777" w:rsidR="00071003" w:rsidRPr="00E24EF3" w:rsidRDefault="00325B1F">
      <w:pPr>
        <w:rPr>
          <w:sz w:val="16"/>
          <w:szCs w:val="16"/>
        </w:rPr>
      </w:pPr>
      <w:r>
        <w:rPr>
          <w:sz w:val="28"/>
          <w:szCs w:val="28"/>
        </w:rPr>
        <w:t xml:space="preserve"> </w:t>
      </w:r>
    </w:p>
    <w:p w14:paraId="34E8F071" w14:textId="77777777" w:rsidR="00071003" w:rsidRDefault="00071003">
      <w:r w:rsidRPr="00071003">
        <w:rPr>
          <w:sz w:val="24"/>
          <w:szCs w:val="24"/>
        </w:rPr>
        <w:t>Submitted by:        Robert</w:t>
      </w:r>
      <w:r>
        <w:t xml:space="preserve"> </w:t>
      </w:r>
      <w:r w:rsidRPr="00071003">
        <w:rPr>
          <w:sz w:val="24"/>
          <w:szCs w:val="24"/>
        </w:rPr>
        <w:t xml:space="preserve">Winston Gorrell </w:t>
      </w:r>
      <w:r w:rsidRPr="00AA5044">
        <w:rPr>
          <w:sz w:val="18"/>
          <w:szCs w:val="18"/>
        </w:rPr>
        <w:t>FCA</w:t>
      </w:r>
      <w:r w:rsidR="00E607E6">
        <w:rPr>
          <w:sz w:val="18"/>
          <w:szCs w:val="18"/>
        </w:rPr>
        <w:t xml:space="preserve">                                 </w:t>
      </w:r>
      <w:r w:rsidR="00D35B5E">
        <w:rPr>
          <w:sz w:val="18"/>
          <w:szCs w:val="18"/>
        </w:rPr>
        <w:t xml:space="preserve"> </w:t>
      </w:r>
    </w:p>
    <w:p w14:paraId="34E8F072" w14:textId="77777777" w:rsidR="00071003" w:rsidRPr="00C01815" w:rsidRDefault="00C01815">
      <w:pPr>
        <w:rPr>
          <w:rStyle w:val="Hyperlink"/>
          <w:color w:val="auto"/>
        </w:rPr>
      </w:pPr>
      <w:r>
        <w:tab/>
        <w:t xml:space="preserve">                     </w:t>
      </w:r>
      <w:r w:rsidR="00D17FAB" w:rsidRPr="00C01815">
        <w:t xml:space="preserve">                                          </w:t>
      </w:r>
      <w:r>
        <w:t xml:space="preserve">                                                     </w:t>
      </w:r>
      <w:r w:rsidR="00D17FAB" w:rsidRPr="00C01815">
        <w:t xml:space="preserve"> </w:t>
      </w:r>
      <w:r w:rsidR="00F444CA" w:rsidRPr="00C01815">
        <w:t>Three pages</w:t>
      </w:r>
      <w:r w:rsidR="00D17FAB" w:rsidRPr="00C01815">
        <w:t xml:space="preserve">         1</w:t>
      </w:r>
      <w:r>
        <w:t>7</w:t>
      </w:r>
      <w:r w:rsidR="00D17FAB" w:rsidRPr="00C01815">
        <w:t xml:space="preserve"> May 2015</w:t>
      </w:r>
    </w:p>
    <w:p w14:paraId="34E8F073" w14:textId="77777777" w:rsidR="007417E3" w:rsidRDefault="007417E3">
      <w:pPr>
        <w:rPr>
          <w:sz w:val="16"/>
          <w:szCs w:val="16"/>
        </w:rPr>
      </w:pPr>
    </w:p>
    <w:p w14:paraId="34E8F074" w14:textId="77777777" w:rsidR="001104A2" w:rsidRPr="00B46C6C" w:rsidRDefault="001104A2">
      <w:pPr>
        <w:rPr>
          <w:sz w:val="16"/>
          <w:szCs w:val="16"/>
        </w:rPr>
      </w:pPr>
    </w:p>
    <w:p w14:paraId="34E8F075" w14:textId="77777777" w:rsidR="009B1F91" w:rsidRPr="005154C2" w:rsidRDefault="009B1F91" w:rsidP="009B1F91">
      <w:pPr>
        <w:rPr>
          <w:sz w:val="32"/>
          <w:szCs w:val="32"/>
        </w:rPr>
      </w:pPr>
      <w:r w:rsidRPr="005154C2">
        <w:rPr>
          <w:sz w:val="32"/>
          <w:szCs w:val="32"/>
        </w:rPr>
        <w:t xml:space="preserve">Community Feedback – Submission </w:t>
      </w:r>
      <w:r>
        <w:rPr>
          <w:sz w:val="32"/>
          <w:szCs w:val="32"/>
        </w:rPr>
        <w:t>1</w:t>
      </w:r>
    </w:p>
    <w:p w14:paraId="34E8F076" w14:textId="77777777" w:rsidR="009B1F91" w:rsidRPr="00071003" w:rsidRDefault="009B1F91" w:rsidP="009B1F91">
      <w:pPr>
        <w:rPr>
          <w:sz w:val="28"/>
          <w:szCs w:val="28"/>
        </w:rPr>
      </w:pPr>
      <w:r>
        <w:rPr>
          <w:sz w:val="28"/>
          <w:szCs w:val="28"/>
        </w:rPr>
        <w:t>The $416 Threshold – unchanged since 1936?</w:t>
      </w:r>
    </w:p>
    <w:p w14:paraId="34E8F077" w14:textId="77777777" w:rsidR="009B1F91" w:rsidRPr="00980A87" w:rsidRDefault="009B1F91" w:rsidP="009B1F91">
      <w:pPr>
        <w:rPr>
          <w:sz w:val="16"/>
          <w:szCs w:val="16"/>
        </w:rPr>
      </w:pPr>
    </w:p>
    <w:p w14:paraId="34E8F078" w14:textId="77777777" w:rsidR="009B1F91" w:rsidRPr="00421B3E" w:rsidRDefault="009B1F91" w:rsidP="009B1F91">
      <w:r w:rsidRPr="00421B3E">
        <w:t xml:space="preserve">1  </w:t>
      </w:r>
      <w:r>
        <w:t xml:space="preserve"> </w:t>
      </w:r>
      <w:r w:rsidRPr="00421B3E">
        <w:t>The threshold at which personal taxation commences is subject to regular review</w:t>
      </w:r>
      <w:r w:rsidR="008C2813">
        <w:t>.  A</w:t>
      </w:r>
      <w:r w:rsidRPr="00421B3E">
        <w:t>t present for most personal taxpayers it is $1</w:t>
      </w:r>
      <w:r>
        <w:t>8</w:t>
      </w:r>
      <w:r w:rsidRPr="00421B3E">
        <w:t>,</w:t>
      </w:r>
      <w:r>
        <w:t>2</w:t>
      </w:r>
      <w:r w:rsidR="008C2813">
        <w:t>00 and t</w:t>
      </w:r>
      <w:r>
        <w:t>he rate then becomes 19%.</w:t>
      </w:r>
    </w:p>
    <w:p w14:paraId="34E8F079" w14:textId="77777777" w:rsidR="009B1F91" w:rsidRPr="00980A87" w:rsidRDefault="009B1F91" w:rsidP="009B1F91">
      <w:pPr>
        <w:rPr>
          <w:sz w:val="16"/>
          <w:szCs w:val="16"/>
        </w:rPr>
      </w:pPr>
    </w:p>
    <w:p w14:paraId="34E8F07A" w14:textId="77777777" w:rsidR="009B1F91" w:rsidRDefault="009B1F91" w:rsidP="009B1F91">
      <w:r w:rsidRPr="00421B3E">
        <w:t xml:space="preserve">2 </w:t>
      </w:r>
      <w:r>
        <w:t xml:space="preserve">   In contrast, t</w:t>
      </w:r>
      <w:r w:rsidRPr="00421B3E">
        <w:t xml:space="preserve">he threshold at which taxable non-profit associations </w:t>
      </w:r>
      <w:r>
        <w:t>pay income tax is $416 – 2.3% of the $18,200 threshold allowed to individuals.</w:t>
      </w:r>
      <w:r w:rsidRPr="00421B3E">
        <w:t xml:space="preserve"> </w:t>
      </w:r>
      <w:r>
        <w:t xml:space="preserve"> </w:t>
      </w:r>
    </w:p>
    <w:p w14:paraId="34E8F07B" w14:textId="77777777" w:rsidR="009B1F91" w:rsidRPr="00980A87" w:rsidRDefault="009B1F91" w:rsidP="009B1F91">
      <w:pPr>
        <w:rPr>
          <w:sz w:val="16"/>
          <w:szCs w:val="16"/>
        </w:rPr>
      </w:pPr>
    </w:p>
    <w:p w14:paraId="34E8F07C" w14:textId="77777777" w:rsidR="009B1F91" w:rsidRPr="00421B3E" w:rsidRDefault="009B1F91" w:rsidP="009B1F91">
      <w:r>
        <w:t>3    In non-profit associations, shading in provisions effected by a penalty rate of 55% on taxable income above $416 progressively wipe out even this token threshold, until tax is 30% flat.</w:t>
      </w:r>
    </w:p>
    <w:p w14:paraId="34E8F07D" w14:textId="77777777" w:rsidR="009B1F91" w:rsidRPr="00B46C6C" w:rsidRDefault="009B1F91" w:rsidP="009B1F91">
      <w:pPr>
        <w:rPr>
          <w:sz w:val="16"/>
          <w:szCs w:val="16"/>
        </w:rPr>
      </w:pPr>
    </w:p>
    <w:p w14:paraId="34E8F07E" w14:textId="77777777" w:rsidR="009B1F91" w:rsidRDefault="009B1F91" w:rsidP="009B1F91">
      <w:r>
        <w:t xml:space="preserve">4  </w:t>
      </w:r>
      <w:r w:rsidRPr="00421B3E">
        <w:t xml:space="preserve">  The threshold of $416 is equal to $8 per week.  It has been unchanged for many years and may even be based on </w:t>
      </w:r>
      <w:r>
        <w:t xml:space="preserve">average </w:t>
      </w:r>
      <w:r w:rsidRPr="00421B3E">
        <w:t xml:space="preserve">personal earnings </w:t>
      </w:r>
      <w:r>
        <w:t xml:space="preserve">of £4 per week applicable </w:t>
      </w:r>
      <w:r w:rsidRPr="00421B3E">
        <w:t>at the time when federal income tax was introduced</w:t>
      </w:r>
      <w:r w:rsidR="00D35B5E">
        <w:t>.</w:t>
      </w:r>
      <w:r>
        <w:t xml:space="preserve">  Average personal earnings since that time have increased to exceed $8 per week by an extent that is far beyond justification of the $8 a week retention.</w:t>
      </w:r>
    </w:p>
    <w:p w14:paraId="34E8F07F" w14:textId="77777777" w:rsidR="009B1F91" w:rsidRPr="00980A87" w:rsidRDefault="009B1F91" w:rsidP="009B1F91">
      <w:pPr>
        <w:rPr>
          <w:sz w:val="16"/>
          <w:szCs w:val="16"/>
        </w:rPr>
      </w:pPr>
    </w:p>
    <w:p w14:paraId="34E8F080" w14:textId="77777777" w:rsidR="009B1F91" w:rsidRDefault="009B1F91" w:rsidP="009B1F91">
      <w:r>
        <w:t>5    The ever-widening gap between a threshold established c1936 and today’s threshold in the scale of personal taxation must be one of the greatest anomalies in taxation law</w:t>
      </w:r>
      <w:r w:rsidR="00D35B5E">
        <w:t>.</w:t>
      </w:r>
    </w:p>
    <w:p w14:paraId="34E8F081" w14:textId="77777777" w:rsidR="00D35B5E" w:rsidRPr="00980A87" w:rsidRDefault="00D35B5E" w:rsidP="009B1F91">
      <w:pPr>
        <w:rPr>
          <w:sz w:val="16"/>
          <w:szCs w:val="16"/>
        </w:rPr>
      </w:pPr>
    </w:p>
    <w:p w14:paraId="34E8F082" w14:textId="77777777" w:rsidR="009B1F91" w:rsidRDefault="009B1F91" w:rsidP="009B1F91">
      <w:r>
        <w:t xml:space="preserve">6  </w:t>
      </w:r>
      <w:r w:rsidRPr="00421B3E">
        <w:t xml:space="preserve">  For this threshold to remain unchanged for such an exceptionally long period reflects a high level of neglect and indifference by a succession of governments</w:t>
      </w:r>
      <w:r>
        <w:t>,</w:t>
      </w:r>
      <w:r w:rsidRPr="00421B3E">
        <w:t xml:space="preserve"> spanning </w:t>
      </w:r>
      <w:r>
        <w:t xml:space="preserve">perhaps eight </w:t>
      </w:r>
      <w:r w:rsidRPr="00421B3E">
        <w:t>decades.</w:t>
      </w:r>
    </w:p>
    <w:p w14:paraId="34E8F083" w14:textId="77777777" w:rsidR="001C0A87" w:rsidRPr="00B46C6C" w:rsidRDefault="001C0A87" w:rsidP="009B1F91">
      <w:pPr>
        <w:rPr>
          <w:sz w:val="16"/>
          <w:szCs w:val="16"/>
        </w:rPr>
      </w:pPr>
    </w:p>
    <w:p w14:paraId="34E8F084" w14:textId="77777777" w:rsidR="001C0A87" w:rsidRDefault="001C0A87" w:rsidP="009B1F91">
      <w:r>
        <w:t xml:space="preserve">7  </w:t>
      </w:r>
      <w:r w:rsidR="00084D3C">
        <w:t xml:space="preserve"> </w:t>
      </w:r>
      <w:r>
        <w:t xml:space="preserve"> It is perhaps the </w:t>
      </w:r>
      <w:r w:rsidR="00B46C6C">
        <w:t xml:space="preserve">definitive </w:t>
      </w:r>
      <w:r>
        <w:t>example of “taxation by stealth”.</w:t>
      </w:r>
    </w:p>
    <w:p w14:paraId="34E8F085" w14:textId="77777777" w:rsidR="00D35B5E" w:rsidRPr="00B46C6C" w:rsidRDefault="00D35B5E" w:rsidP="009B1F91">
      <w:pPr>
        <w:rPr>
          <w:sz w:val="16"/>
          <w:szCs w:val="16"/>
        </w:rPr>
      </w:pPr>
    </w:p>
    <w:p w14:paraId="34E8F086" w14:textId="77777777" w:rsidR="00D35B5E" w:rsidRDefault="001C0A87" w:rsidP="00BA0EFF">
      <w:pPr>
        <w:rPr>
          <w:sz w:val="32"/>
          <w:szCs w:val="32"/>
        </w:rPr>
      </w:pPr>
      <w:r>
        <w:t>8</w:t>
      </w:r>
      <w:r w:rsidR="00D35B5E">
        <w:t xml:space="preserve">    It is more than timely to bring the antiquated threshold of $416 per annum into alignment with current levels of income and current costs of living.</w:t>
      </w:r>
    </w:p>
    <w:p w14:paraId="34E8F087" w14:textId="77777777" w:rsidR="00D35B5E" w:rsidRDefault="00D35B5E" w:rsidP="00BA0EFF">
      <w:pPr>
        <w:rPr>
          <w:sz w:val="20"/>
          <w:szCs w:val="20"/>
        </w:rPr>
      </w:pPr>
    </w:p>
    <w:p w14:paraId="34E8F088" w14:textId="77777777" w:rsidR="001104A2" w:rsidRPr="00B46C6C" w:rsidRDefault="001104A2" w:rsidP="00BA0EFF">
      <w:pPr>
        <w:rPr>
          <w:sz w:val="20"/>
          <w:szCs w:val="20"/>
        </w:rPr>
      </w:pPr>
    </w:p>
    <w:p w14:paraId="34E8F089" w14:textId="77777777" w:rsidR="00BA0EFF" w:rsidRDefault="00BA0EFF" w:rsidP="00BA0EFF">
      <w:pPr>
        <w:rPr>
          <w:sz w:val="32"/>
          <w:szCs w:val="32"/>
        </w:rPr>
      </w:pPr>
      <w:r w:rsidRPr="00277884">
        <w:rPr>
          <w:sz w:val="32"/>
          <w:szCs w:val="32"/>
        </w:rPr>
        <w:t xml:space="preserve">Community Feedback – Submission </w:t>
      </w:r>
      <w:r w:rsidR="009B1F91">
        <w:rPr>
          <w:sz w:val="32"/>
          <w:szCs w:val="32"/>
        </w:rPr>
        <w:t>2</w:t>
      </w:r>
    </w:p>
    <w:p w14:paraId="34E8F08A" w14:textId="77777777" w:rsidR="00E24EF3" w:rsidRPr="00277884" w:rsidRDefault="00E24EF3" w:rsidP="00BA0EFF">
      <w:pPr>
        <w:rPr>
          <w:sz w:val="32"/>
          <w:szCs w:val="32"/>
        </w:rPr>
      </w:pPr>
      <w:r>
        <w:rPr>
          <w:sz w:val="32"/>
          <w:szCs w:val="32"/>
        </w:rPr>
        <w:t>Non-Profit Associations</w:t>
      </w:r>
    </w:p>
    <w:p w14:paraId="34E8F08B" w14:textId="77777777" w:rsidR="00421B3E" w:rsidRPr="00071003" w:rsidRDefault="00421B3E" w:rsidP="00421B3E">
      <w:pPr>
        <w:rPr>
          <w:sz w:val="28"/>
          <w:szCs w:val="28"/>
        </w:rPr>
      </w:pPr>
      <w:r w:rsidRPr="00071003">
        <w:rPr>
          <w:sz w:val="28"/>
          <w:szCs w:val="28"/>
        </w:rPr>
        <w:t>Sports – Recreation – Hobbies</w:t>
      </w:r>
    </w:p>
    <w:p w14:paraId="34E8F08C" w14:textId="77777777" w:rsidR="00421B3E" w:rsidRPr="00071003" w:rsidRDefault="00421B3E" w:rsidP="00421B3E">
      <w:pPr>
        <w:rPr>
          <w:sz w:val="28"/>
          <w:szCs w:val="28"/>
        </w:rPr>
      </w:pPr>
      <w:r w:rsidRPr="00071003">
        <w:rPr>
          <w:sz w:val="28"/>
          <w:szCs w:val="28"/>
        </w:rPr>
        <w:t>Lack of Clarity for Tax Exemption</w:t>
      </w:r>
    </w:p>
    <w:p w14:paraId="34E8F08D" w14:textId="77777777" w:rsidR="00421B3E" w:rsidRDefault="00421B3E" w:rsidP="00421B3E">
      <w:pPr>
        <w:rPr>
          <w:sz w:val="28"/>
          <w:szCs w:val="28"/>
        </w:rPr>
      </w:pPr>
      <w:r w:rsidRPr="00071003">
        <w:rPr>
          <w:sz w:val="28"/>
          <w:szCs w:val="28"/>
        </w:rPr>
        <w:t>Hobby Clubs such as model railways, model yachts and model aircraft</w:t>
      </w:r>
    </w:p>
    <w:p w14:paraId="34E8F08E" w14:textId="77777777" w:rsidR="001450F0" w:rsidRPr="00B46C6C" w:rsidRDefault="001450F0" w:rsidP="00421B3E">
      <w:pPr>
        <w:rPr>
          <w:sz w:val="20"/>
          <w:szCs w:val="20"/>
        </w:rPr>
      </w:pPr>
    </w:p>
    <w:p w14:paraId="34E8F08F" w14:textId="77777777" w:rsidR="001450F0" w:rsidRPr="001450F0" w:rsidRDefault="001450F0" w:rsidP="00421B3E">
      <w:pPr>
        <w:rPr>
          <w:b/>
        </w:rPr>
      </w:pPr>
      <w:r w:rsidRPr="001450F0">
        <w:rPr>
          <w:b/>
        </w:rPr>
        <w:t>Introduction</w:t>
      </w:r>
    </w:p>
    <w:p w14:paraId="34E8F090" w14:textId="77777777" w:rsidR="00BA0EFF" w:rsidRPr="00980A87" w:rsidRDefault="00BA0EFF" w:rsidP="00BA0EFF">
      <w:pPr>
        <w:rPr>
          <w:sz w:val="16"/>
          <w:szCs w:val="16"/>
        </w:rPr>
      </w:pPr>
    </w:p>
    <w:p w14:paraId="34E8F091" w14:textId="77777777" w:rsidR="001C0A87" w:rsidRDefault="00071003">
      <w:r>
        <w:t xml:space="preserve">1    The </w:t>
      </w:r>
      <w:r w:rsidR="00B93885">
        <w:t>Not-for-Profit</w:t>
      </w:r>
      <w:r w:rsidR="00081C17">
        <w:t xml:space="preserve"> Sector</w:t>
      </w:r>
      <w:r w:rsidR="00B93885">
        <w:t xml:space="preserve"> </w:t>
      </w:r>
      <w:r w:rsidR="00277884">
        <w:t xml:space="preserve">income tax </w:t>
      </w:r>
      <w:r>
        <w:t xml:space="preserve">legislation lacks precision in regard to tax liability </w:t>
      </w:r>
      <w:r w:rsidR="00774B03">
        <w:t>for non-profit clubs promoting recreational hobbies</w:t>
      </w:r>
      <w:r w:rsidR="000E1862">
        <w:t xml:space="preserve"> and non-competitive activities</w:t>
      </w:r>
      <w:r w:rsidR="00774B03">
        <w:t>.</w:t>
      </w:r>
    </w:p>
    <w:p w14:paraId="34E8F092" w14:textId="77777777" w:rsidR="001C0A87" w:rsidRPr="00B46C6C" w:rsidRDefault="001C0A87">
      <w:pPr>
        <w:rPr>
          <w:sz w:val="16"/>
          <w:szCs w:val="16"/>
        </w:rPr>
      </w:pPr>
    </w:p>
    <w:p w14:paraId="34E8F093" w14:textId="77777777" w:rsidR="00B46C6C" w:rsidRDefault="00D35B5E">
      <w:r>
        <w:t>2</w:t>
      </w:r>
      <w:r w:rsidR="00774B03">
        <w:t xml:space="preserve"> </w:t>
      </w:r>
      <w:r w:rsidR="00084D3C">
        <w:t xml:space="preserve"> </w:t>
      </w:r>
      <w:r w:rsidR="00774B03">
        <w:t xml:space="preserve">  Th</w:t>
      </w:r>
      <w:r>
        <w:t>e legislation</w:t>
      </w:r>
      <w:r w:rsidR="008C2813">
        <w:t xml:space="preserve"> provides</w:t>
      </w:r>
      <w:r w:rsidR="00774B03">
        <w:t xml:space="preserve"> </w:t>
      </w:r>
      <w:r w:rsidR="00BA0EFF">
        <w:t xml:space="preserve">tax exemption for the </w:t>
      </w:r>
      <w:r w:rsidR="00C82093">
        <w:t>encouragement of</w:t>
      </w:r>
      <w:r w:rsidR="00774B03">
        <w:t xml:space="preserve"> </w:t>
      </w:r>
      <w:r w:rsidR="00E24EF3">
        <w:t>“</w:t>
      </w:r>
      <w:r w:rsidR="00BD17C0">
        <w:t>a</w:t>
      </w:r>
      <w:r w:rsidR="00774B03">
        <w:t xml:space="preserve"> game or sport</w:t>
      </w:r>
      <w:r w:rsidR="00E24EF3">
        <w:t>”</w:t>
      </w:r>
      <w:r w:rsidR="00774B03">
        <w:t xml:space="preserve"> but includes no reference to the term </w:t>
      </w:r>
      <w:r w:rsidR="00E24EF3">
        <w:t>“</w:t>
      </w:r>
      <w:r w:rsidR="00774B03">
        <w:t>recreation</w:t>
      </w:r>
      <w:r w:rsidR="00E24EF3">
        <w:t>”</w:t>
      </w:r>
      <w:r w:rsidR="00774B03">
        <w:t>.</w:t>
      </w:r>
      <w:r w:rsidR="009238DE">
        <w:t xml:space="preserve">   </w:t>
      </w:r>
      <w:r w:rsidR="00F609C7">
        <w:t xml:space="preserve">For the words </w:t>
      </w:r>
      <w:r w:rsidR="009238DE">
        <w:t>“</w:t>
      </w:r>
      <w:r w:rsidR="00F609C7">
        <w:t>g</w:t>
      </w:r>
      <w:r w:rsidR="009238DE">
        <w:t>ame” and “sport”</w:t>
      </w:r>
      <w:r w:rsidR="00F609C7">
        <w:t xml:space="preserve"> to be both listed suggests the two words may have </w:t>
      </w:r>
      <w:r w:rsidR="00B46C6C">
        <w:t xml:space="preserve">a </w:t>
      </w:r>
      <w:r w:rsidR="00F609C7">
        <w:t xml:space="preserve">difference in meaning.  In practice, </w:t>
      </w:r>
      <w:r w:rsidR="001C0A87">
        <w:t xml:space="preserve">the </w:t>
      </w:r>
      <w:r w:rsidR="00B46C6C">
        <w:t xml:space="preserve">collective </w:t>
      </w:r>
      <w:r w:rsidR="00F609C7">
        <w:t xml:space="preserve">term in common </w:t>
      </w:r>
      <w:r w:rsidR="001C0A87">
        <w:t>usage is “sport and recreation”.</w:t>
      </w:r>
      <w:r w:rsidR="00BD17C0">
        <w:t xml:space="preserve">   In turn, recreation is frequently non-competitive.</w:t>
      </w:r>
    </w:p>
    <w:p w14:paraId="34E8F094" w14:textId="77777777" w:rsidR="00774B03" w:rsidRDefault="009238DE">
      <w:r>
        <w:t>3</w:t>
      </w:r>
      <w:r w:rsidR="00774B03">
        <w:t xml:space="preserve">   </w:t>
      </w:r>
      <w:r w:rsidR="00084D3C">
        <w:t xml:space="preserve"> </w:t>
      </w:r>
      <w:r w:rsidR="00774B03">
        <w:t xml:space="preserve">Within the community </w:t>
      </w:r>
      <w:r w:rsidR="00BA0EFF">
        <w:t xml:space="preserve">there </w:t>
      </w:r>
      <w:r w:rsidR="00774B03">
        <w:t>are numerous non-profit clubs supporting</w:t>
      </w:r>
      <w:r w:rsidR="00C63692">
        <w:t xml:space="preserve"> recreational </w:t>
      </w:r>
      <w:r w:rsidR="00774B03">
        <w:t>hobbies such as model railways, model yachts and model aircraft.</w:t>
      </w:r>
    </w:p>
    <w:p w14:paraId="34E8F095" w14:textId="77777777" w:rsidR="004B47D5" w:rsidRPr="00980A87" w:rsidRDefault="004B47D5">
      <w:pPr>
        <w:rPr>
          <w:sz w:val="16"/>
          <w:szCs w:val="16"/>
        </w:rPr>
      </w:pPr>
    </w:p>
    <w:p w14:paraId="34E8F096" w14:textId="77777777" w:rsidR="00774B03" w:rsidRDefault="009238DE">
      <w:r>
        <w:t>4</w:t>
      </w:r>
      <w:r w:rsidR="00774B03">
        <w:t xml:space="preserve">  </w:t>
      </w:r>
      <w:r w:rsidR="00084D3C">
        <w:t xml:space="preserve"> </w:t>
      </w:r>
      <w:r w:rsidR="00774B03">
        <w:t xml:space="preserve"> </w:t>
      </w:r>
      <w:r w:rsidR="00081C17">
        <w:t>Such</w:t>
      </w:r>
      <w:r w:rsidR="00774B03">
        <w:t xml:space="preserve"> clubs not falling within tax exemption frequently have nominal amounts of non-membe</w:t>
      </w:r>
      <w:r w:rsidR="0019328C">
        <w:t xml:space="preserve">r income, notably bank interest, and often </w:t>
      </w:r>
      <w:r w:rsidR="004B47D5">
        <w:t xml:space="preserve">it is </w:t>
      </w:r>
      <w:r w:rsidR="0019328C">
        <w:t>less than $1,000.</w:t>
      </w:r>
    </w:p>
    <w:p w14:paraId="34E8F097" w14:textId="77777777" w:rsidR="004B47D5" w:rsidRPr="00980A87" w:rsidRDefault="004B47D5">
      <w:pPr>
        <w:rPr>
          <w:sz w:val="16"/>
          <w:szCs w:val="16"/>
        </w:rPr>
      </w:pPr>
    </w:p>
    <w:p w14:paraId="34E8F098" w14:textId="77777777" w:rsidR="00774B03" w:rsidRDefault="009238DE">
      <w:r>
        <w:t>5</w:t>
      </w:r>
      <w:r w:rsidR="00774B03">
        <w:t xml:space="preserve">   When the threshold of $416 pa is exceeded, these clubs become liable to lodge returns. </w:t>
      </w:r>
    </w:p>
    <w:p w14:paraId="34E8F099" w14:textId="77777777" w:rsidR="004B47D5" w:rsidRPr="00980A87" w:rsidRDefault="004B47D5">
      <w:pPr>
        <w:rPr>
          <w:sz w:val="16"/>
          <w:szCs w:val="16"/>
        </w:rPr>
      </w:pPr>
    </w:p>
    <w:p w14:paraId="34E8F09A" w14:textId="77777777" w:rsidR="00774B03" w:rsidRDefault="009238DE">
      <w:r>
        <w:t>6</w:t>
      </w:r>
      <w:r w:rsidR="00774B03">
        <w:t xml:space="preserve">   Given they are taxed as companies, and </w:t>
      </w:r>
      <w:r w:rsidR="009B4EFA">
        <w:t xml:space="preserve">given </w:t>
      </w:r>
      <w:r w:rsidR="00774B03">
        <w:t>the complexities that arise in preparation a</w:t>
      </w:r>
      <w:r w:rsidR="009B4EFA">
        <w:t>nd lodgement of company tax ret</w:t>
      </w:r>
      <w:r w:rsidR="00774B03">
        <w:t xml:space="preserve">urns, </w:t>
      </w:r>
      <w:r w:rsidR="009B4EFA">
        <w:t>I submit that the cost of collecting revenue is</w:t>
      </w:r>
      <w:r w:rsidR="00BA0EFF">
        <w:t>,</w:t>
      </w:r>
      <w:r w:rsidR="009B4EFA">
        <w:t xml:space="preserve"> i</w:t>
      </w:r>
      <w:r w:rsidR="00BA0EFF">
        <w:t>n</w:t>
      </w:r>
      <w:r w:rsidR="009B4EFA">
        <w:t xml:space="preserve"> many cases</w:t>
      </w:r>
      <w:r w:rsidR="00BA0EFF">
        <w:t>,</w:t>
      </w:r>
      <w:r w:rsidR="009B4EFA">
        <w:t xml:space="preserve"> greater than the </w:t>
      </w:r>
      <w:r w:rsidR="0019328C">
        <w:t>revenue collected. Qu</w:t>
      </w:r>
      <w:r w:rsidR="008C469A">
        <w:t xml:space="preserve">estionable burdens </w:t>
      </w:r>
      <w:r w:rsidR="0019328C">
        <w:t xml:space="preserve">are imposed </w:t>
      </w:r>
      <w:r w:rsidR="008C469A">
        <w:t xml:space="preserve">on </w:t>
      </w:r>
      <w:r w:rsidR="009B4EFA">
        <w:t>both</w:t>
      </w:r>
      <w:r w:rsidR="008C469A">
        <w:t xml:space="preserve"> </w:t>
      </w:r>
      <w:r w:rsidR="009B4EFA">
        <w:t>the Commissioner and</w:t>
      </w:r>
      <w:r w:rsidR="008A4613">
        <w:t xml:space="preserve"> even more so on</w:t>
      </w:r>
      <w:r w:rsidR="009B4EFA">
        <w:t xml:space="preserve"> the taxpayer.</w:t>
      </w:r>
    </w:p>
    <w:p w14:paraId="34E8F09B" w14:textId="77777777" w:rsidR="00F444CA" w:rsidRDefault="00F444CA"/>
    <w:p w14:paraId="34E8F09C" w14:textId="77777777" w:rsidR="009B4EFA" w:rsidRPr="008C469A" w:rsidRDefault="009B4EFA">
      <w:pPr>
        <w:rPr>
          <w:sz w:val="16"/>
          <w:szCs w:val="16"/>
        </w:rPr>
      </w:pPr>
    </w:p>
    <w:p w14:paraId="34E8F09D" w14:textId="77777777" w:rsidR="009B4EFA" w:rsidRPr="00BA0EFF" w:rsidRDefault="009B4EFA">
      <w:pPr>
        <w:rPr>
          <w:b/>
        </w:rPr>
      </w:pPr>
      <w:r w:rsidRPr="00BA0EFF">
        <w:rPr>
          <w:b/>
        </w:rPr>
        <w:t>Model Railways</w:t>
      </w:r>
    </w:p>
    <w:p w14:paraId="34E8F09E" w14:textId="77777777" w:rsidR="009B4EFA" w:rsidRPr="008C469A" w:rsidRDefault="009B4EFA">
      <w:pPr>
        <w:rPr>
          <w:sz w:val="16"/>
          <w:szCs w:val="16"/>
        </w:rPr>
      </w:pPr>
    </w:p>
    <w:p w14:paraId="34E8F09F" w14:textId="77777777" w:rsidR="00037179" w:rsidRDefault="009238DE" w:rsidP="00037179">
      <w:r>
        <w:t>7</w:t>
      </w:r>
      <w:r w:rsidR="009B4EFA">
        <w:t xml:space="preserve">  </w:t>
      </w:r>
      <w:r w:rsidR="008C469A">
        <w:t xml:space="preserve"> </w:t>
      </w:r>
      <w:r w:rsidR="009B4EFA">
        <w:t xml:space="preserve">ATBR Case 10/93 became a test case for model railway clubs.  The </w:t>
      </w:r>
      <w:r w:rsidR="004B47D5">
        <w:t xml:space="preserve">taxpayer </w:t>
      </w:r>
      <w:r w:rsidR="009B4EFA">
        <w:t xml:space="preserve">had voluntarily lodged income tax returns to report non-member income.  The Commissioner vacillated, alternately imposing tax then allowing notices of objection and issuing refunds.  </w:t>
      </w:r>
      <w:r w:rsidR="008A4613">
        <w:t>When assessment recommenced</w:t>
      </w:r>
      <w:r w:rsidR="00037179">
        <w:t>, the matter was brought to a head with the taxpayer referring the matter to a Taxation Board of Review.</w:t>
      </w:r>
    </w:p>
    <w:p w14:paraId="34E8F0A0" w14:textId="77777777" w:rsidR="00037179" w:rsidRPr="00037179" w:rsidRDefault="00037179" w:rsidP="00037179">
      <w:pPr>
        <w:rPr>
          <w:sz w:val="16"/>
          <w:szCs w:val="16"/>
        </w:rPr>
      </w:pPr>
    </w:p>
    <w:p w14:paraId="34E8F0A1" w14:textId="77777777" w:rsidR="004B47D5" w:rsidRDefault="009238DE">
      <w:r>
        <w:t>8</w:t>
      </w:r>
      <w:r w:rsidR="00037179">
        <w:t xml:space="preserve">   Legislation grant</w:t>
      </w:r>
      <w:r>
        <w:t>s</w:t>
      </w:r>
      <w:r w:rsidR="00037179">
        <w:t xml:space="preserve"> exemption for bodies which pursue </w:t>
      </w:r>
      <w:r w:rsidR="00037179" w:rsidRPr="00037179">
        <w:rPr>
          <w:rFonts w:ascii="Calibri" w:eastAsia="Times New Roman" w:hAnsi="Calibri" w:cs="Times New Roman"/>
          <w:color w:val="000000"/>
          <w:lang w:eastAsia="en-AU"/>
        </w:rPr>
        <w:t xml:space="preserve">“encouragement of </w:t>
      </w:r>
      <w:r w:rsidR="00037179" w:rsidRPr="00037179">
        <w:rPr>
          <w:rFonts w:ascii="Calibri" w:eastAsia="Times New Roman" w:hAnsi="Calibri" w:cs="Times New Roman"/>
          <w:i/>
          <w:iCs/>
          <w:color w:val="000000"/>
          <w:lang w:eastAsia="en-AU"/>
        </w:rPr>
        <w:t>a game</w:t>
      </w:r>
      <w:r w:rsidR="00037179" w:rsidRPr="00037179">
        <w:rPr>
          <w:rFonts w:ascii="Calibri" w:eastAsia="Times New Roman" w:hAnsi="Calibri" w:cs="Times New Roman"/>
          <w:color w:val="000000"/>
          <w:lang w:eastAsia="en-AU"/>
        </w:rPr>
        <w:t xml:space="preserve"> or sport”</w:t>
      </w:r>
      <w:r w:rsidR="00037179">
        <w:rPr>
          <w:rFonts w:ascii="Calibri" w:eastAsia="Times New Roman" w:hAnsi="Calibri" w:cs="Times New Roman"/>
          <w:color w:val="000000"/>
          <w:lang w:eastAsia="en-AU"/>
        </w:rPr>
        <w:t>.</w:t>
      </w:r>
      <w:r w:rsidR="00037179" w:rsidRPr="00037179">
        <w:rPr>
          <w:rFonts w:ascii="Calibri" w:eastAsia="Times New Roman" w:hAnsi="Calibri" w:cs="Times New Roman"/>
          <w:color w:val="000000"/>
          <w:lang w:eastAsia="en-AU"/>
        </w:rPr>
        <w:t xml:space="preserve"> </w:t>
      </w:r>
      <w:r w:rsidR="00037179">
        <w:rPr>
          <w:rFonts w:ascii="Calibri" w:eastAsia="Times New Roman" w:hAnsi="Calibri" w:cs="Times New Roman"/>
          <w:color w:val="000000"/>
          <w:lang w:eastAsia="en-AU"/>
        </w:rPr>
        <w:t xml:space="preserve"> </w:t>
      </w:r>
      <w:r w:rsidR="00703010">
        <w:rPr>
          <w:rFonts w:ascii="Calibri" w:eastAsia="Times New Roman" w:hAnsi="Calibri" w:cs="Times New Roman"/>
          <w:color w:val="000000"/>
          <w:lang w:eastAsia="en-AU"/>
        </w:rPr>
        <w:t>Standard English r</w:t>
      </w:r>
      <w:r w:rsidR="00037179">
        <w:rPr>
          <w:rFonts w:ascii="Calibri" w:eastAsia="Times New Roman" w:hAnsi="Calibri" w:cs="Times New Roman"/>
          <w:color w:val="000000"/>
          <w:lang w:eastAsia="en-AU"/>
        </w:rPr>
        <w:t>eference works define “game”</w:t>
      </w:r>
      <w:r w:rsidR="00037179" w:rsidRPr="00037179">
        <w:rPr>
          <w:rFonts w:ascii="Calibri" w:eastAsia="Times New Roman" w:hAnsi="Calibri" w:cs="Times New Roman"/>
          <w:color w:val="000000"/>
          <w:lang w:eastAsia="en-AU"/>
        </w:rPr>
        <w:t> </w:t>
      </w:r>
      <w:r w:rsidR="00037179">
        <w:rPr>
          <w:rFonts w:ascii="Calibri" w:eastAsia="Times New Roman" w:hAnsi="Calibri" w:cs="Times New Roman"/>
          <w:color w:val="000000"/>
          <w:lang w:eastAsia="en-AU"/>
        </w:rPr>
        <w:t>to include “</w:t>
      </w:r>
      <w:r w:rsidR="00037179" w:rsidRPr="00037179">
        <w:rPr>
          <w:rFonts w:ascii="Calibri" w:eastAsia="Times New Roman" w:hAnsi="Calibri" w:cs="Times New Roman"/>
          <w:color w:val="000000"/>
          <w:lang w:eastAsia="en-AU"/>
        </w:rPr>
        <w:t>any recreational activity</w:t>
      </w:r>
      <w:r w:rsidR="00037179">
        <w:rPr>
          <w:rFonts w:ascii="Calibri" w:eastAsia="Times New Roman" w:hAnsi="Calibri" w:cs="Times New Roman"/>
          <w:color w:val="000000"/>
          <w:lang w:eastAsia="en-AU"/>
        </w:rPr>
        <w:t>”</w:t>
      </w:r>
      <w:r w:rsidR="00037179" w:rsidRPr="00037179">
        <w:rPr>
          <w:rFonts w:ascii="Calibri" w:eastAsia="Times New Roman" w:hAnsi="Calibri" w:cs="Times New Roman"/>
          <w:color w:val="000000"/>
          <w:lang w:eastAsia="en-AU"/>
        </w:rPr>
        <w:t xml:space="preserve">, </w:t>
      </w:r>
      <w:r w:rsidR="00037179">
        <w:rPr>
          <w:rFonts w:ascii="Calibri" w:eastAsia="Times New Roman" w:hAnsi="Calibri" w:cs="Times New Roman"/>
          <w:color w:val="000000"/>
          <w:lang w:eastAsia="en-AU"/>
        </w:rPr>
        <w:t>“</w:t>
      </w:r>
      <w:r w:rsidR="00037179" w:rsidRPr="00037179">
        <w:rPr>
          <w:rFonts w:ascii="Calibri" w:eastAsia="Times New Roman" w:hAnsi="Calibri" w:cs="Times New Roman"/>
          <w:color w:val="000000"/>
          <w:lang w:eastAsia="en-AU"/>
        </w:rPr>
        <w:t>fun or play</w:t>
      </w:r>
      <w:r w:rsidR="00037179">
        <w:rPr>
          <w:rFonts w:ascii="Calibri" w:eastAsia="Times New Roman" w:hAnsi="Calibri" w:cs="Times New Roman"/>
          <w:color w:val="000000"/>
          <w:lang w:eastAsia="en-AU"/>
        </w:rPr>
        <w:t>”</w:t>
      </w:r>
      <w:r w:rsidR="00037179" w:rsidRPr="00037179">
        <w:rPr>
          <w:rFonts w:ascii="Calibri" w:eastAsia="Times New Roman" w:hAnsi="Calibri" w:cs="Times New Roman"/>
          <w:color w:val="000000"/>
          <w:lang w:eastAsia="en-AU"/>
        </w:rPr>
        <w:t>.</w:t>
      </w:r>
      <w:r w:rsidR="00037179">
        <w:rPr>
          <w:rFonts w:ascii="Calibri" w:eastAsia="Times New Roman" w:hAnsi="Calibri" w:cs="Times New Roman"/>
          <w:color w:val="000000"/>
          <w:lang w:eastAsia="en-AU"/>
        </w:rPr>
        <w:t xml:space="preserve"> </w:t>
      </w:r>
      <w:r w:rsidR="004B47D5">
        <w:t xml:space="preserve"> </w:t>
      </w:r>
      <w:r>
        <w:t>T</w:t>
      </w:r>
      <w:r w:rsidR="004B47D5">
        <w:t xml:space="preserve">he taxpayer </w:t>
      </w:r>
      <w:r>
        <w:t xml:space="preserve">submitted </w:t>
      </w:r>
      <w:r w:rsidR="004B47D5">
        <w:t xml:space="preserve">that the hobby of model railways fell under the definition </w:t>
      </w:r>
      <w:r w:rsidR="00635650">
        <w:t xml:space="preserve">of </w:t>
      </w:r>
      <w:r w:rsidR="00037179">
        <w:t>a game, or as “</w:t>
      </w:r>
      <w:r w:rsidR="004B47D5">
        <w:t>recreation</w:t>
      </w:r>
      <w:r w:rsidR="00037179">
        <w:t>al activity</w:t>
      </w:r>
      <w:r w:rsidR="004B47D5">
        <w:t>.</w:t>
      </w:r>
      <w:r w:rsidR="00037179">
        <w:t>”</w:t>
      </w:r>
    </w:p>
    <w:p w14:paraId="34E8F0A2" w14:textId="77777777" w:rsidR="004B47D5" w:rsidRDefault="004B47D5"/>
    <w:p w14:paraId="34E8F0A3" w14:textId="77777777" w:rsidR="009B4EFA" w:rsidRDefault="009238DE">
      <w:pPr>
        <w:rPr>
          <w:rFonts w:ascii="Calibri" w:eastAsia="Times New Roman" w:hAnsi="Calibri" w:cs="Times New Roman"/>
          <w:color w:val="000000"/>
          <w:lang w:eastAsia="en-AU"/>
        </w:rPr>
      </w:pPr>
      <w:r>
        <w:t>9</w:t>
      </w:r>
      <w:r w:rsidR="009B4EFA">
        <w:t xml:space="preserve"> </w:t>
      </w:r>
      <w:r w:rsidR="008C469A">
        <w:t xml:space="preserve">  </w:t>
      </w:r>
      <w:r w:rsidR="009B4EFA">
        <w:t xml:space="preserve">The Board </w:t>
      </w:r>
      <w:r w:rsidR="00703010">
        <w:t xml:space="preserve">of Review </w:t>
      </w:r>
      <w:r w:rsidR="009B4EFA">
        <w:t xml:space="preserve">ruled that the said taxpayer was </w:t>
      </w:r>
      <w:r w:rsidR="008C469A">
        <w:t>not exempt</w:t>
      </w:r>
      <w:r w:rsidR="009B4EFA">
        <w:t xml:space="preserve">, on the basis that </w:t>
      </w:r>
      <w:r w:rsidR="0019328C">
        <w:t xml:space="preserve">the taxpayer’s activities </w:t>
      </w:r>
      <w:r w:rsidR="009B4EFA">
        <w:t>“must be competitive.”</w:t>
      </w:r>
      <w:r w:rsidR="00421B3E">
        <w:t xml:space="preserve">  </w:t>
      </w:r>
      <w:r w:rsidR="00635650">
        <w:rPr>
          <w:rFonts w:ascii="Calibri" w:eastAsia="Times New Roman" w:hAnsi="Calibri" w:cs="Times New Roman"/>
          <w:color w:val="000000"/>
          <w:lang w:eastAsia="en-AU"/>
        </w:rPr>
        <w:t xml:space="preserve">The Board </w:t>
      </w:r>
      <w:r w:rsidR="00703010">
        <w:rPr>
          <w:rFonts w:ascii="Calibri" w:eastAsia="Times New Roman" w:hAnsi="Calibri" w:cs="Times New Roman"/>
          <w:color w:val="000000"/>
          <w:lang w:eastAsia="en-AU"/>
        </w:rPr>
        <w:t>s</w:t>
      </w:r>
      <w:r w:rsidR="00635650">
        <w:rPr>
          <w:rFonts w:ascii="Calibri" w:eastAsia="Times New Roman" w:hAnsi="Calibri" w:cs="Times New Roman"/>
          <w:color w:val="000000"/>
          <w:lang w:eastAsia="en-AU"/>
        </w:rPr>
        <w:t>aw competition as essential and dictionaries of the English language as irrelevant.</w:t>
      </w:r>
    </w:p>
    <w:p w14:paraId="34E8F0A4" w14:textId="77777777" w:rsidR="00F444CA" w:rsidRDefault="00F444CA">
      <w:pPr>
        <w:rPr>
          <w:rFonts w:ascii="Calibri" w:eastAsia="Times New Roman" w:hAnsi="Calibri" w:cs="Times New Roman"/>
          <w:color w:val="000000"/>
          <w:lang w:eastAsia="en-AU"/>
        </w:rPr>
      </w:pPr>
    </w:p>
    <w:p w14:paraId="34E8F0A5" w14:textId="77777777" w:rsidR="001104A2" w:rsidRDefault="001104A2">
      <w:pPr>
        <w:rPr>
          <w:rFonts w:ascii="Calibri" w:eastAsia="Times New Roman" w:hAnsi="Calibri" w:cs="Times New Roman"/>
          <w:color w:val="000000"/>
          <w:lang w:eastAsia="en-AU"/>
        </w:rPr>
      </w:pPr>
    </w:p>
    <w:p w14:paraId="34E8F0A6" w14:textId="77777777" w:rsidR="001104A2" w:rsidRDefault="001104A2">
      <w:r w:rsidRPr="00B572DD">
        <w:rPr>
          <w:rFonts w:ascii="Calibri" w:eastAsia="Times New Roman" w:hAnsi="Calibri" w:cs="Times New Roman"/>
          <w:b/>
          <w:color w:val="000000"/>
          <w:lang w:eastAsia="en-AU"/>
        </w:rPr>
        <w:t>Competition</w:t>
      </w:r>
      <w:r>
        <w:rPr>
          <w:rFonts w:ascii="Calibri" w:eastAsia="Times New Roman" w:hAnsi="Calibri" w:cs="Times New Roman"/>
          <w:color w:val="000000"/>
          <w:lang w:eastAsia="en-AU"/>
        </w:rPr>
        <w:t xml:space="preserve"> </w:t>
      </w:r>
      <w:r w:rsidR="00B572DD">
        <w:rPr>
          <w:rFonts w:ascii="Calibri" w:eastAsia="Times New Roman" w:hAnsi="Calibri" w:cs="Times New Roman"/>
          <w:color w:val="000000"/>
          <w:lang w:eastAsia="en-AU"/>
        </w:rPr>
        <w:t xml:space="preserve">is </w:t>
      </w:r>
      <w:r w:rsidR="00B572DD" w:rsidRPr="00B572DD">
        <w:rPr>
          <w:rFonts w:ascii="Calibri" w:eastAsia="Times New Roman" w:hAnsi="Calibri" w:cs="Times New Roman"/>
          <w:i/>
          <w:color w:val="000000"/>
          <w:lang w:eastAsia="en-AU"/>
        </w:rPr>
        <w:t>non sequitur</w:t>
      </w:r>
      <w:r w:rsidR="00B572DD">
        <w:rPr>
          <w:rFonts w:ascii="Calibri" w:eastAsia="Times New Roman" w:hAnsi="Calibri" w:cs="Times New Roman"/>
          <w:color w:val="000000"/>
          <w:lang w:eastAsia="en-AU"/>
        </w:rPr>
        <w:t xml:space="preserve">, it should not be </w:t>
      </w:r>
      <w:r w:rsidR="00B572DD">
        <w:rPr>
          <w:rFonts w:ascii="Calibri" w:eastAsia="Times New Roman" w:hAnsi="Calibri" w:cs="Times New Roman"/>
          <w:i/>
          <w:color w:val="000000"/>
          <w:lang w:eastAsia="en-AU"/>
        </w:rPr>
        <w:t>de rigueur</w:t>
      </w:r>
      <w:r w:rsidR="00B572DD" w:rsidRPr="00B572DD">
        <w:t xml:space="preserve"> </w:t>
      </w:r>
    </w:p>
    <w:p w14:paraId="34E8F0A7" w14:textId="77777777" w:rsidR="004B47D5" w:rsidRPr="00980A87" w:rsidRDefault="004B47D5">
      <w:pPr>
        <w:rPr>
          <w:sz w:val="16"/>
          <w:szCs w:val="16"/>
        </w:rPr>
      </w:pPr>
    </w:p>
    <w:p w14:paraId="34E8F0A8" w14:textId="77777777" w:rsidR="00DB63FF" w:rsidRPr="00635650" w:rsidRDefault="00421B3E">
      <w:pPr>
        <w:rPr>
          <w:sz w:val="16"/>
          <w:szCs w:val="16"/>
        </w:rPr>
      </w:pPr>
      <w:r>
        <w:t>1</w:t>
      </w:r>
      <w:r w:rsidR="009238DE">
        <w:t>0</w:t>
      </w:r>
      <w:r w:rsidR="008C469A">
        <w:t xml:space="preserve">  </w:t>
      </w:r>
      <w:r>
        <w:t xml:space="preserve"> I submit that recreation need not be competitive, and that to drive a wedge between sport and recreation</w:t>
      </w:r>
      <w:r w:rsidR="00C63692">
        <w:t xml:space="preserve"> based on </w:t>
      </w:r>
      <w:r w:rsidR="008C469A">
        <w:t xml:space="preserve">a perceived need for </w:t>
      </w:r>
      <w:r w:rsidR="00C63692">
        <w:t xml:space="preserve">competition </w:t>
      </w:r>
      <w:r>
        <w:t xml:space="preserve">is neither </w:t>
      </w:r>
      <w:r w:rsidR="00635650">
        <w:t>relevant</w:t>
      </w:r>
      <w:r>
        <w:t xml:space="preserve"> nor equitable.  </w:t>
      </w:r>
    </w:p>
    <w:p w14:paraId="34E8F0A9" w14:textId="77777777" w:rsidR="004B47D5" w:rsidRPr="00635650" w:rsidRDefault="004B47D5">
      <w:pPr>
        <w:rPr>
          <w:sz w:val="16"/>
          <w:szCs w:val="16"/>
        </w:rPr>
      </w:pPr>
    </w:p>
    <w:p w14:paraId="34E8F0AA" w14:textId="77777777" w:rsidR="009B4EFA" w:rsidRPr="00635650" w:rsidRDefault="009B4EFA">
      <w:pPr>
        <w:rPr>
          <w:sz w:val="52"/>
          <w:szCs w:val="52"/>
        </w:rPr>
      </w:pPr>
      <w:r>
        <w:t>1</w:t>
      </w:r>
      <w:r w:rsidR="009238DE">
        <w:t>1</w:t>
      </w:r>
      <w:r w:rsidR="008C469A">
        <w:t xml:space="preserve"> </w:t>
      </w:r>
      <w:r>
        <w:t xml:space="preserve">  It may be thought that activities of a physical nature – sports such as ball games, swimming and athletics</w:t>
      </w:r>
      <w:r w:rsidR="008A4613">
        <w:t xml:space="preserve"> – are in</w:t>
      </w:r>
      <w:r>
        <w:t xml:space="preserve"> </w:t>
      </w:r>
      <w:r w:rsidR="008A4613">
        <w:t>need of</w:t>
      </w:r>
      <w:r w:rsidR="008C469A">
        <w:t xml:space="preserve"> </w:t>
      </w:r>
      <w:r w:rsidR="006116FC">
        <w:t xml:space="preserve">governmental </w:t>
      </w:r>
      <w:r w:rsidR="008C469A">
        <w:t xml:space="preserve">encouragement </w:t>
      </w:r>
      <w:r w:rsidR="00741550">
        <w:t xml:space="preserve">in that they </w:t>
      </w:r>
      <w:r w:rsidR="002E0600">
        <w:t xml:space="preserve">may </w:t>
      </w:r>
      <w:r w:rsidR="00741550">
        <w:t xml:space="preserve">promote fitness and </w:t>
      </w:r>
      <w:r w:rsidR="002E0600">
        <w:t xml:space="preserve">may </w:t>
      </w:r>
      <w:r w:rsidR="00741550">
        <w:t xml:space="preserve">help to address </w:t>
      </w:r>
      <w:r w:rsidR="00741550" w:rsidRPr="00635650">
        <w:t>obesity.</w:t>
      </w:r>
    </w:p>
    <w:p w14:paraId="34E8F0AB" w14:textId="77777777" w:rsidR="004B47D5" w:rsidRPr="00635650" w:rsidRDefault="004B47D5">
      <w:pPr>
        <w:rPr>
          <w:sz w:val="16"/>
          <w:szCs w:val="16"/>
        </w:rPr>
      </w:pPr>
    </w:p>
    <w:p w14:paraId="34E8F0AC" w14:textId="77777777" w:rsidR="00741550" w:rsidRDefault="00741550">
      <w:r>
        <w:t>1</w:t>
      </w:r>
      <w:r w:rsidR="009238DE">
        <w:t>2</w:t>
      </w:r>
      <w:r w:rsidR="008C469A">
        <w:t xml:space="preserve">  </w:t>
      </w:r>
      <w:r>
        <w:t xml:space="preserve"> But </w:t>
      </w:r>
      <w:r w:rsidR="00635650">
        <w:t xml:space="preserve">within the legislation </w:t>
      </w:r>
      <w:r>
        <w:t xml:space="preserve">the criteria </w:t>
      </w:r>
      <w:r w:rsidR="00703010">
        <w:t xml:space="preserve">as interpreted </w:t>
      </w:r>
      <w:r>
        <w:t>is not physical exertion</w:t>
      </w:r>
      <w:r w:rsidR="008C469A">
        <w:t>.  It is s</w:t>
      </w:r>
      <w:r w:rsidR="00277884">
        <w:t>omething quite differen</w:t>
      </w:r>
      <w:r w:rsidR="002E0600">
        <w:t>t – “</w:t>
      </w:r>
      <w:r>
        <w:t>competition</w:t>
      </w:r>
      <w:r w:rsidR="002E0600">
        <w:t>”</w:t>
      </w:r>
      <w:r>
        <w:t>.</w:t>
      </w:r>
      <w:r w:rsidR="00DD2F96">
        <w:t xml:space="preserve"> </w:t>
      </w:r>
    </w:p>
    <w:p w14:paraId="34E8F0AD" w14:textId="77777777" w:rsidR="004B47D5" w:rsidRPr="00635650" w:rsidRDefault="004B47D5">
      <w:pPr>
        <w:rPr>
          <w:sz w:val="16"/>
          <w:szCs w:val="16"/>
        </w:rPr>
      </w:pPr>
    </w:p>
    <w:p w14:paraId="34E8F0AE" w14:textId="77777777" w:rsidR="00277884" w:rsidRDefault="009B4EFA">
      <w:r>
        <w:t>1</w:t>
      </w:r>
      <w:r w:rsidR="009238DE">
        <w:t>3</w:t>
      </w:r>
      <w:r>
        <w:t xml:space="preserve"> </w:t>
      </w:r>
      <w:r w:rsidR="008C469A">
        <w:t xml:space="preserve">  </w:t>
      </w:r>
      <w:r w:rsidR="00DD2F96">
        <w:t>This is demonstrated clearly</w:t>
      </w:r>
      <w:r w:rsidR="00F85613">
        <w:t xml:space="preserve"> in the CCH</w:t>
      </w:r>
      <w:r w:rsidR="00F85613" w:rsidRPr="00F85613">
        <w:t xml:space="preserve"> </w:t>
      </w:r>
      <w:r w:rsidR="00F85613">
        <w:t>AMTG, where</w:t>
      </w:r>
      <w:r w:rsidR="00DD2F96">
        <w:t xml:space="preserve"> </w:t>
      </w:r>
      <w:r>
        <w:t xml:space="preserve">¶ 10-605 </w:t>
      </w:r>
      <w:r w:rsidR="009238DE">
        <w:t>states</w:t>
      </w:r>
      <w:r w:rsidR="00741550">
        <w:t>: “Thus bridge and chess clubs may be exempt but model railway clubs (Case 10/93) and social dancing clubs (TR 97/22) are not.”</w:t>
      </w:r>
      <w:r w:rsidR="00BA0EFF">
        <w:t xml:space="preserve">   </w:t>
      </w:r>
    </w:p>
    <w:p w14:paraId="34E8F0AF" w14:textId="77777777" w:rsidR="004B47D5" w:rsidRPr="00635650" w:rsidRDefault="004B47D5">
      <w:pPr>
        <w:rPr>
          <w:sz w:val="16"/>
          <w:szCs w:val="16"/>
        </w:rPr>
      </w:pPr>
    </w:p>
    <w:p w14:paraId="34E8F0B0" w14:textId="77777777" w:rsidR="008C469A" w:rsidRDefault="00277884">
      <w:r>
        <w:t>1</w:t>
      </w:r>
      <w:r w:rsidR="009238DE">
        <w:t>4</w:t>
      </w:r>
      <w:r w:rsidR="008C469A">
        <w:t xml:space="preserve"> </w:t>
      </w:r>
      <w:r w:rsidR="001450F0">
        <w:t xml:space="preserve"> </w:t>
      </w:r>
      <w:r>
        <w:t xml:space="preserve"> </w:t>
      </w:r>
      <w:r w:rsidR="002E0600">
        <w:t>The games of c</w:t>
      </w:r>
      <w:r w:rsidR="00BA0EFF">
        <w:t>hess a</w:t>
      </w:r>
      <w:r w:rsidR="00E91C72">
        <w:t>nd</w:t>
      </w:r>
      <w:r w:rsidR="00BA0EFF">
        <w:t xml:space="preserve"> bridge ar</w:t>
      </w:r>
      <w:r w:rsidR="008A4613">
        <w:t xml:space="preserve">e decidedly sedentary pursuits (but exempt) </w:t>
      </w:r>
      <w:r w:rsidR="00DD2F96">
        <w:t xml:space="preserve">while the level of </w:t>
      </w:r>
      <w:r w:rsidR="00081C17">
        <w:t xml:space="preserve">physical </w:t>
      </w:r>
      <w:r w:rsidR="00DD2F96">
        <w:t>exertion in social dancing clubs can be remarkable</w:t>
      </w:r>
      <w:r w:rsidR="008A4613">
        <w:t xml:space="preserve"> (but taxable)</w:t>
      </w:r>
      <w:r w:rsidR="00DD2F96">
        <w:t>.</w:t>
      </w:r>
    </w:p>
    <w:p w14:paraId="34E8F0B1" w14:textId="77777777" w:rsidR="004B47D5" w:rsidRPr="00635650" w:rsidRDefault="004B47D5">
      <w:pPr>
        <w:rPr>
          <w:sz w:val="16"/>
          <w:szCs w:val="16"/>
        </w:rPr>
      </w:pPr>
    </w:p>
    <w:p w14:paraId="34E8F0B2" w14:textId="77777777" w:rsidR="00081C17" w:rsidRDefault="008C469A">
      <w:r>
        <w:t>1</w:t>
      </w:r>
      <w:r w:rsidR="009238DE">
        <w:t>5</w:t>
      </w:r>
      <w:r>
        <w:t xml:space="preserve">   It should not be the province of income tax legislation</w:t>
      </w:r>
      <w:r w:rsidR="00DD2F96">
        <w:t xml:space="preserve"> </w:t>
      </w:r>
      <w:r>
        <w:t>to champion competition as the criteria re</w:t>
      </w:r>
      <w:r w:rsidR="001450F0">
        <w:t xml:space="preserve">levant to </w:t>
      </w:r>
      <w:r>
        <w:t>favouring or penalising various forms of recreation</w:t>
      </w:r>
      <w:r w:rsidR="008109B3">
        <w:t>.</w:t>
      </w:r>
    </w:p>
    <w:p w14:paraId="34E8F0B3" w14:textId="77777777" w:rsidR="009B1F91" w:rsidRDefault="009B1F91"/>
    <w:p w14:paraId="34E8F0B4" w14:textId="77777777" w:rsidR="00F444CA" w:rsidRDefault="00F444CA"/>
    <w:p w14:paraId="34E8F0B5" w14:textId="77777777" w:rsidR="009B1F91" w:rsidRPr="005834EA" w:rsidRDefault="009B1F91">
      <w:pPr>
        <w:rPr>
          <w:b/>
        </w:rPr>
      </w:pPr>
      <w:r w:rsidRPr="005834EA">
        <w:rPr>
          <w:b/>
        </w:rPr>
        <w:t>Other Hobbies</w:t>
      </w:r>
    </w:p>
    <w:p w14:paraId="34E8F0B6" w14:textId="77777777" w:rsidR="009B1F91" w:rsidRDefault="009B1F91"/>
    <w:p w14:paraId="34E8F0B7" w14:textId="77777777" w:rsidR="00EB1FF5" w:rsidRPr="00D74DB9" w:rsidRDefault="005834EA">
      <w:pPr>
        <w:rPr>
          <w:b/>
          <w:sz w:val="16"/>
          <w:szCs w:val="16"/>
        </w:rPr>
      </w:pPr>
      <w:r>
        <w:t>1</w:t>
      </w:r>
      <w:r w:rsidR="009238DE">
        <w:t>6</w:t>
      </w:r>
      <w:r>
        <w:t xml:space="preserve">   </w:t>
      </w:r>
      <w:r w:rsidR="009B1F91">
        <w:t xml:space="preserve">Model </w:t>
      </w:r>
      <w:r w:rsidR="00BD17C0">
        <w:t>y</w:t>
      </w:r>
      <w:r w:rsidR="009B1F91">
        <w:t xml:space="preserve">acht </w:t>
      </w:r>
      <w:r w:rsidR="00BD17C0">
        <w:t>c</w:t>
      </w:r>
      <w:r w:rsidR="009B1F91">
        <w:t xml:space="preserve">lubs, </w:t>
      </w:r>
      <w:r w:rsidR="00BD17C0">
        <w:t>m</w:t>
      </w:r>
      <w:r w:rsidR="009B1F91">
        <w:t xml:space="preserve">odel </w:t>
      </w:r>
      <w:r w:rsidR="00BD17C0">
        <w:t>a</w:t>
      </w:r>
      <w:r w:rsidR="009B1F91">
        <w:t xml:space="preserve">ircraft </w:t>
      </w:r>
      <w:r w:rsidR="00BD17C0">
        <w:t>c</w:t>
      </w:r>
      <w:r w:rsidR="009B1F91">
        <w:t>lubs and many similar clubs may have a</w:t>
      </w:r>
      <w:r w:rsidR="009238DE">
        <w:t>n</w:t>
      </w:r>
      <w:r w:rsidR="009B1F91">
        <w:t xml:space="preserve"> element of competition </w:t>
      </w:r>
      <w:r w:rsidR="009238DE">
        <w:t>in their activities w</w:t>
      </w:r>
      <w:r w:rsidR="008C2813">
        <w:t>ith the extent of competition varying from club to club.  G</w:t>
      </w:r>
      <w:r w:rsidR="009B1F91">
        <w:t>rey are</w:t>
      </w:r>
      <w:r w:rsidR="00084D3C">
        <w:t>a</w:t>
      </w:r>
      <w:r w:rsidR="008C2813">
        <w:t>s</w:t>
      </w:r>
      <w:r w:rsidR="009B1F91">
        <w:t xml:space="preserve"> emerg</w:t>
      </w:r>
      <w:r w:rsidR="008C2813">
        <w:t>e</w:t>
      </w:r>
      <w:r w:rsidR="009B1F91">
        <w:t xml:space="preserve"> that create artificial distinction</w:t>
      </w:r>
      <w:r>
        <w:t>s</w:t>
      </w:r>
      <w:r w:rsidR="009B1F91">
        <w:t xml:space="preserve"> in income tax liability</w:t>
      </w:r>
      <w:r w:rsidR="009238DE">
        <w:t>.  These distinctions</w:t>
      </w:r>
      <w:r>
        <w:t xml:space="preserve"> create inequity.</w:t>
      </w:r>
      <w:r w:rsidR="009238DE">
        <w:t xml:space="preserve"> </w:t>
      </w:r>
      <w:r>
        <w:t xml:space="preserve"> In practice, income tax exemption is often assumed where it may not stand up.</w:t>
      </w:r>
    </w:p>
    <w:p w14:paraId="34E8F0B8" w14:textId="77777777" w:rsidR="001104A2" w:rsidRDefault="001104A2">
      <w:pPr>
        <w:rPr>
          <w:b/>
        </w:rPr>
      </w:pPr>
    </w:p>
    <w:p w14:paraId="34E8F0B9" w14:textId="77777777" w:rsidR="00F444CA" w:rsidRDefault="00F444CA">
      <w:pPr>
        <w:rPr>
          <w:b/>
        </w:rPr>
      </w:pPr>
    </w:p>
    <w:p w14:paraId="34E8F0BA" w14:textId="77777777" w:rsidR="00EB1FF5" w:rsidRDefault="00EB1FF5">
      <w:pPr>
        <w:rPr>
          <w:b/>
        </w:rPr>
      </w:pPr>
      <w:r>
        <w:rPr>
          <w:b/>
        </w:rPr>
        <w:t>Other Activities</w:t>
      </w:r>
    </w:p>
    <w:p w14:paraId="34E8F0BB" w14:textId="77777777" w:rsidR="00EB1FF5" w:rsidRPr="00D74DB9" w:rsidRDefault="00EB1FF5">
      <w:pPr>
        <w:rPr>
          <w:b/>
          <w:sz w:val="16"/>
          <w:szCs w:val="16"/>
        </w:rPr>
      </w:pPr>
    </w:p>
    <w:p w14:paraId="34E8F0BC" w14:textId="77777777" w:rsidR="00EB1FF5" w:rsidRPr="00C61944" w:rsidRDefault="005834EA">
      <w:r>
        <w:t>1</w:t>
      </w:r>
      <w:r w:rsidR="009238DE">
        <w:t>7</w:t>
      </w:r>
      <w:r w:rsidR="0019328C">
        <w:t xml:space="preserve">  </w:t>
      </w:r>
      <w:r w:rsidR="00EB1FF5" w:rsidRPr="00C61944">
        <w:t xml:space="preserve"> There are many non-profit clubs which </w:t>
      </w:r>
      <w:r w:rsidR="008109B3">
        <w:t>involve</w:t>
      </w:r>
      <w:r w:rsidR="00EB1FF5" w:rsidRPr="00C61944">
        <w:t xml:space="preserve"> recreation but which are left uncertain of their tax status.  A garden club may hold an annual competition amongst its members</w:t>
      </w:r>
      <w:r w:rsidR="00C61944" w:rsidRPr="00C61944">
        <w:t xml:space="preserve"> with a </w:t>
      </w:r>
      <w:r w:rsidR="001450F0">
        <w:t xml:space="preserve">panel of judges deciding on </w:t>
      </w:r>
      <w:r w:rsidR="00C61944" w:rsidRPr="00C61944">
        <w:t xml:space="preserve">which </w:t>
      </w:r>
      <w:r w:rsidR="002E0600">
        <w:t xml:space="preserve">members’ </w:t>
      </w:r>
      <w:r w:rsidR="00C61944" w:rsidRPr="00C61944">
        <w:t>gardens win a prize.</w:t>
      </w:r>
      <w:r w:rsidR="00FB7270">
        <w:t xml:space="preserve"> There may be</w:t>
      </w:r>
      <w:r w:rsidR="0033366E">
        <w:t xml:space="preserve">, or may not be, </w:t>
      </w:r>
      <w:r w:rsidR="00FB7270">
        <w:t xml:space="preserve">monthly awards to encourage excellence. </w:t>
      </w:r>
      <w:r w:rsidR="00C61944" w:rsidRPr="00C61944">
        <w:t xml:space="preserve"> Is </w:t>
      </w:r>
      <w:r w:rsidR="005D7218">
        <w:t>the club</w:t>
      </w:r>
      <w:r w:rsidR="00C61944" w:rsidRPr="00C61944">
        <w:t xml:space="preserve"> exempt on </w:t>
      </w:r>
      <w:r w:rsidR="008C2813">
        <w:t>its annual bank interest income</w:t>
      </w:r>
      <w:r w:rsidR="00C61944" w:rsidRPr="00C61944">
        <w:t>?</w:t>
      </w:r>
      <w:r w:rsidR="00DD2F96">
        <w:t xml:space="preserve">  </w:t>
      </w:r>
      <w:r w:rsidR="008C2813">
        <w:t>This is highly relevant with an antiquated tax threshold of $416 pa</w:t>
      </w:r>
      <w:r w:rsidR="00C82093">
        <w:t>, but it remains relevant whatever the threshold</w:t>
      </w:r>
      <w:r w:rsidR="008C2813">
        <w:t xml:space="preserve">.  </w:t>
      </w:r>
      <w:r w:rsidR="00DD2F96">
        <w:t>Does its activity level incorporate enough competition to nudge it across the line?</w:t>
      </w:r>
      <w:r w:rsidR="002E0600">
        <w:t xml:space="preserve">  When the garden club must self-assess its liability, </w:t>
      </w:r>
      <w:r w:rsidR="005D7218">
        <w:t xml:space="preserve">will its </w:t>
      </w:r>
      <w:r w:rsidR="002E0600">
        <w:t xml:space="preserve">decision </w:t>
      </w:r>
      <w:r w:rsidR="005D7218">
        <w:t xml:space="preserve">be </w:t>
      </w:r>
      <w:r w:rsidR="002E0600">
        <w:t>objective</w:t>
      </w:r>
      <w:r w:rsidR="0033366E">
        <w:t>?</w:t>
      </w:r>
      <w:r w:rsidR="002E0600">
        <w:t xml:space="preserve">  How many levels of competition</w:t>
      </w:r>
      <w:r w:rsidR="005D7218">
        <w:t xml:space="preserve"> exist</w:t>
      </w:r>
      <w:r w:rsidR="00D74DB9">
        <w:t>?</w:t>
      </w:r>
      <w:r w:rsidR="00414E97">
        <w:t xml:space="preserve">  Where is the tipping point?</w:t>
      </w:r>
    </w:p>
    <w:p w14:paraId="34E8F0BD" w14:textId="77777777" w:rsidR="00EB1FF5" w:rsidRPr="00D74DB9" w:rsidRDefault="00EB1FF5">
      <w:pPr>
        <w:rPr>
          <w:b/>
          <w:sz w:val="16"/>
          <w:szCs w:val="16"/>
        </w:rPr>
      </w:pPr>
    </w:p>
    <w:p w14:paraId="34E8F0BE" w14:textId="77777777" w:rsidR="00D35B5E" w:rsidRDefault="009238DE" w:rsidP="00D35B5E">
      <w:r>
        <w:t>18</w:t>
      </w:r>
      <w:r w:rsidR="00D35B5E" w:rsidRPr="00421B3E">
        <w:t xml:space="preserve"> </w:t>
      </w:r>
      <w:r w:rsidR="00D35B5E">
        <w:t xml:space="preserve">  It is likely there exist an unknown number of </w:t>
      </w:r>
      <w:r w:rsidR="00D35B5E" w:rsidRPr="00421B3E">
        <w:t xml:space="preserve">non-profit associations of a recreational nature </w:t>
      </w:r>
      <w:r w:rsidR="00D35B5E">
        <w:t xml:space="preserve">that </w:t>
      </w:r>
      <w:r w:rsidR="00D35B5E" w:rsidRPr="00421B3E">
        <w:t>are</w:t>
      </w:r>
      <w:r w:rsidR="00D35B5E">
        <w:t xml:space="preserve"> substantially</w:t>
      </w:r>
      <w:r w:rsidR="00D35B5E" w:rsidRPr="00421B3E">
        <w:t xml:space="preserve"> non-competitive </w:t>
      </w:r>
      <w:r w:rsidR="00BD17C0">
        <w:t>or</w:t>
      </w:r>
      <w:r w:rsidR="00D35B5E" w:rsidRPr="00421B3E">
        <w:t xml:space="preserve"> </w:t>
      </w:r>
      <w:r w:rsidR="00D35B5E">
        <w:t xml:space="preserve">where the level of competition is within a grey area. Many may </w:t>
      </w:r>
      <w:r w:rsidR="00D35B5E" w:rsidRPr="00421B3E">
        <w:t>have non-member income (</w:t>
      </w:r>
      <w:r w:rsidR="00D35B5E">
        <w:t>often</w:t>
      </w:r>
      <w:r w:rsidR="00D35B5E" w:rsidRPr="00421B3E">
        <w:t xml:space="preserve"> bank interest</w:t>
      </w:r>
      <w:r w:rsidR="00084D3C">
        <w:t>, or admission fees collected from the public</w:t>
      </w:r>
      <w:r w:rsidR="00D35B5E" w:rsidRPr="00421B3E">
        <w:t>)</w:t>
      </w:r>
      <w:r>
        <w:t>.</w:t>
      </w:r>
      <w:r w:rsidR="00D35B5E">
        <w:t xml:space="preserve">  They do not lodge returns nor pay tax. </w:t>
      </w:r>
      <w:r w:rsidR="00084D3C">
        <w:t xml:space="preserve">Non-member </w:t>
      </w:r>
      <w:r w:rsidR="00D35B5E">
        <w:t xml:space="preserve">income </w:t>
      </w:r>
      <w:r w:rsidR="00084D3C">
        <w:t>o</w:t>
      </w:r>
      <w:r w:rsidR="00D35B5E">
        <w:t xml:space="preserve">ver an extended period will have accumulated to a point where: </w:t>
      </w:r>
    </w:p>
    <w:p w14:paraId="34E8F0BF" w14:textId="77777777" w:rsidR="00D35B5E" w:rsidRDefault="00D35B5E" w:rsidP="00D35B5E">
      <w:pPr>
        <w:ind w:left="720"/>
      </w:pPr>
      <w:r>
        <w:t xml:space="preserve">(a)  Clubs might face financial ruin if and when the issue of taxation arises and they are found to </w:t>
      </w:r>
      <w:r w:rsidR="00E30598">
        <w:t>be liable</w:t>
      </w:r>
      <w:r w:rsidR="00D80625">
        <w:t xml:space="preserve"> retrospectively</w:t>
      </w:r>
      <w:r>
        <w:t>.</w:t>
      </w:r>
    </w:p>
    <w:p w14:paraId="34E8F0C0" w14:textId="77777777" w:rsidR="00D35B5E" w:rsidRDefault="00D35B5E" w:rsidP="00D35B5E">
      <w:pPr>
        <w:ind w:left="720"/>
      </w:pPr>
      <w:r>
        <w:t xml:space="preserve">(b)  The current level of accumulated savings is insufficient to meet an unrecognised debt accruing annually with compound interest, and with the prospect of penalties. </w:t>
      </w:r>
    </w:p>
    <w:p w14:paraId="34E8F0C1" w14:textId="77777777" w:rsidR="00D35B5E" w:rsidRPr="00980A87" w:rsidRDefault="00D35B5E" w:rsidP="00D35B5E">
      <w:pPr>
        <w:ind w:left="720"/>
        <w:rPr>
          <w:sz w:val="16"/>
          <w:szCs w:val="16"/>
        </w:rPr>
      </w:pPr>
    </w:p>
    <w:p w14:paraId="34E8F0C2" w14:textId="77777777" w:rsidR="00D35B5E" w:rsidRDefault="00084D3C" w:rsidP="00D35B5E">
      <w:r>
        <w:t>19</w:t>
      </w:r>
      <w:r w:rsidR="00D35B5E">
        <w:t xml:space="preserve">   As a result of inflation, the number of such entities steadily increases and may now be measured in thousands.  Many of these clubs and associations may have never sought advice on taxation matters and assume they are entitled to full exemption in line with sporting clubs. The terms “sport” and “recreation” are commonly interpreted as synonymous.</w:t>
      </w:r>
    </w:p>
    <w:p w14:paraId="34E8F0C3" w14:textId="77777777" w:rsidR="00D35B5E" w:rsidRPr="00980A87" w:rsidRDefault="00D35B5E" w:rsidP="00D35B5E">
      <w:pPr>
        <w:rPr>
          <w:sz w:val="16"/>
          <w:szCs w:val="16"/>
        </w:rPr>
      </w:pPr>
    </w:p>
    <w:p w14:paraId="34E8F0C4" w14:textId="77777777" w:rsidR="00D35B5E" w:rsidRPr="00421B3E" w:rsidRDefault="00084D3C" w:rsidP="00D35B5E">
      <w:r>
        <w:t>20</w:t>
      </w:r>
      <w:r w:rsidR="00D35B5E">
        <w:t xml:space="preserve"> </w:t>
      </w:r>
      <w:r w:rsidR="00D35B5E" w:rsidRPr="00421B3E">
        <w:t xml:space="preserve">  </w:t>
      </w:r>
      <w:r w:rsidR="00C82093">
        <w:t>Many of t</w:t>
      </w:r>
      <w:r w:rsidR="00D35B5E" w:rsidRPr="00421B3E">
        <w:t>hese associations are at present obliged to register as taxpayers, and due to their categorisation as companies, to prepare and lodge a company tax return each year.</w:t>
      </w:r>
    </w:p>
    <w:p w14:paraId="34E8F0C5" w14:textId="77777777" w:rsidR="00D35B5E" w:rsidRPr="00980A87" w:rsidRDefault="00D35B5E" w:rsidP="00D35B5E">
      <w:pPr>
        <w:rPr>
          <w:sz w:val="16"/>
          <w:szCs w:val="16"/>
        </w:rPr>
      </w:pPr>
    </w:p>
    <w:p w14:paraId="34E8F0C6" w14:textId="77777777" w:rsidR="00D35B5E" w:rsidRPr="00421B3E" w:rsidRDefault="00084D3C" w:rsidP="00D35B5E">
      <w:r>
        <w:t>21</w:t>
      </w:r>
      <w:r w:rsidR="00D35B5E" w:rsidRPr="00421B3E">
        <w:t xml:space="preserve"> </w:t>
      </w:r>
      <w:r w:rsidR="00D35B5E">
        <w:t xml:space="preserve">  </w:t>
      </w:r>
      <w:r w:rsidR="00D35B5E" w:rsidRPr="00421B3E">
        <w:t xml:space="preserve"> </w:t>
      </w:r>
      <w:r w:rsidR="00D35B5E">
        <w:t>For those entities which do comply, t</w:t>
      </w:r>
      <w:r w:rsidR="00D35B5E" w:rsidRPr="00421B3E">
        <w:t>he costs</w:t>
      </w:r>
      <w:r w:rsidR="00D35B5E">
        <w:t xml:space="preserve"> of compliance</w:t>
      </w:r>
      <w:r w:rsidR="00D35B5E" w:rsidRPr="00421B3E">
        <w:t xml:space="preserve"> are onerous when related to the amount of tax payable, </w:t>
      </w:r>
      <w:r w:rsidR="00D35B5E">
        <w:t xml:space="preserve">which is </w:t>
      </w:r>
      <w:r w:rsidR="00D35B5E" w:rsidRPr="00421B3E">
        <w:t xml:space="preserve">often nominal. </w:t>
      </w:r>
    </w:p>
    <w:p w14:paraId="34E8F0C7" w14:textId="77777777" w:rsidR="00D35B5E" w:rsidRPr="00980A87" w:rsidRDefault="00D35B5E" w:rsidP="00D35B5E">
      <w:pPr>
        <w:rPr>
          <w:sz w:val="16"/>
          <w:szCs w:val="16"/>
        </w:rPr>
      </w:pPr>
    </w:p>
    <w:p w14:paraId="34E8F0C8" w14:textId="77777777" w:rsidR="00D35B5E" w:rsidRDefault="00084D3C" w:rsidP="00D35B5E">
      <w:r>
        <w:t>22</w:t>
      </w:r>
      <w:r w:rsidR="00D35B5E">
        <w:t xml:space="preserve">   The costs incurred by the Commissioner in regards to issuing and processing activity statements and payments by quarterly instalments are likely, in many cases, to exceed the modest revenue gains.</w:t>
      </w:r>
    </w:p>
    <w:p w14:paraId="34E8F0C9" w14:textId="77777777" w:rsidR="00D35B5E" w:rsidRPr="00980A87" w:rsidRDefault="00D35B5E" w:rsidP="00D35B5E">
      <w:pPr>
        <w:rPr>
          <w:sz w:val="16"/>
          <w:szCs w:val="16"/>
        </w:rPr>
      </w:pPr>
    </w:p>
    <w:p w14:paraId="34E8F0CA" w14:textId="77777777" w:rsidR="00D35B5E" w:rsidRDefault="00084D3C" w:rsidP="00D35B5E">
      <w:r>
        <w:t>23</w:t>
      </w:r>
      <w:r w:rsidR="00D35B5E">
        <w:t xml:space="preserve">   Those entities which do not comply may face eventual annihilation through insolvency arising from the issue of multiple tax assessments, a state of affairs which benefits no one. </w:t>
      </w:r>
    </w:p>
    <w:p w14:paraId="34E8F0CB" w14:textId="77777777" w:rsidR="00D35B5E" w:rsidRPr="00980A87" w:rsidRDefault="00D35B5E" w:rsidP="00D35B5E">
      <w:pPr>
        <w:rPr>
          <w:sz w:val="16"/>
          <w:szCs w:val="16"/>
        </w:rPr>
      </w:pPr>
    </w:p>
    <w:p w14:paraId="34E8F0CC" w14:textId="77777777" w:rsidR="00C61944" w:rsidRDefault="00C61944">
      <w:pPr>
        <w:rPr>
          <w:b/>
        </w:rPr>
      </w:pPr>
      <w:r>
        <w:rPr>
          <w:b/>
        </w:rPr>
        <w:t>Conclusion</w:t>
      </w:r>
    </w:p>
    <w:p w14:paraId="34E8F0CD" w14:textId="77777777" w:rsidR="000249D7" w:rsidRPr="00D74DB9" w:rsidRDefault="000249D7">
      <w:pPr>
        <w:rPr>
          <w:sz w:val="16"/>
          <w:szCs w:val="16"/>
        </w:rPr>
      </w:pPr>
    </w:p>
    <w:p w14:paraId="34E8F0CE" w14:textId="77777777" w:rsidR="000249D7" w:rsidRPr="00B3596C" w:rsidRDefault="00084D3C">
      <w:r>
        <w:t>24</w:t>
      </w:r>
      <w:r w:rsidR="000249D7" w:rsidRPr="00B3596C">
        <w:t xml:space="preserve"> </w:t>
      </w:r>
      <w:r w:rsidR="00B3596C">
        <w:t xml:space="preserve"> </w:t>
      </w:r>
      <w:r>
        <w:t xml:space="preserve">  </w:t>
      </w:r>
      <w:r w:rsidR="000249D7" w:rsidRPr="00B3596C">
        <w:t xml:space="preserve">On a broader scale, </w:t>
      </w:r>
      <w:r w:rsidR="008109B3">
        <w:t xml:space="preserve">over the centuries, </w:t>
      </w:r>
      <w:r w:rsidR="000249D7" w:rsidRPr="00B3596C">
        <w:t>competition between tribes, ethnicities, sects</w:t>
      </w:r>
      <w:r w:rsidR="00D80625">
        <w:t>, cults</w:t>
      </w:r>
      <w:r w:rsidR="000249D7" w:rsidRPr="00B3596C">
        <w:t xml:space="preserve"> and religions has caused millions of deaths</w:t>
      </w:r>
      <w:r w:rsidR="00B3596C">
        <w:t xml:space="preserve"> with</w:t>
      </w:r>
      <w:r w:rsidR="000249D7" w:rsidRPr="00B3596C">
        <w:t xml:space="preserve"> ongoing </w:t>
      </w:r>
      <w:r w:rsidR="00B3596C">
        <w:t xml:space="preserve">misery and </w:t>
      </w:r>
      <w:r w:rsidR="000249D7" w:rsidRPr="00B3596C">
        <w:t xml:space="preserve">woe.  </w:t>
      </w:r>
      <w:r w:rsidR="008109B3">
        <w:t xml:space="preserve">And never more so than today. </w:t>
      </w:r>
      <w:r w:rsidR="000249D7" w:rsidRPr="00B3596C">
        <w:t>In contrast, cooperation has much to commend it.  Competition has its place, but it should not be th</w:t>
      </w:r>
      <w:r w:rsidR="00B3596C" w:rsidRPr="00B3596C">
        <w:t>e</w:t>
      </w:r>
      <w:r w:rsidR="000249D7" w:rsidRPr="00B3596C">
        <w:t xml:space="preserve"> role of </w:t>
      </w:r>
      <w:r w:rsidR="00B3596C" w:rsidRPr="00B3596C">
        <w:t xml:space="preserve">Taxation law to </w:t>
      </w:r>
      <w:r w:rsidR="0033366E">
        <w:t xml:space="preserve">laud competition and </w:t>
      </w:r>
      <w:r w:rsidR="00B3596C" w:rsidRPr="00B3596C">
        <w:t>mount</w:t>
      </w:r>
      <w:r w:rsidR="0033366E">
        <w:t xml:space="preserve"> it</w:t>
      </w:r>
      <w:r w:rsidR="00B3596C" w:rsidRPr="00B3596C">
        <w:t xml:space="preserve"> on a pedestal.</w:t>
      </w:r>
    </w:p>
    <w:p w14:paraId="34E8F0CF" w14:textId="77777777" w:rsidR="00C61944" w:rsidRPr="00980A87" w:rsidRDefault="00C61944">
      <w:pPr>
        <w:rPr>
          <w:b/>
          <w:sz w:val="16"/>
          <w:szCs w:val="16"/>
        </w:rPr>
      </w:pPr>
    </w:p>
    <w:p w14:paraId="34E8F0D0" w14:textId="77777777" w:rsidR="00C61944" w:rsidRDefault="00C63692">
      <w:r>
        <w:t>2</w:t>
      </w:r>
      <w:r w:rsidR="00084D3C">
        <w:t>5</w:t>
      </w:r>
      <w:r w:rsidR="005D7218">
        <w:t xml:space="preserve">  </w:t>
      </w:r>
      <w:r w:rsidR="00C61944" w:rsidRPr="00C61944">
        <w:t xml:space="preserve"> In the interests of fairness, equity and uniformity, the discriminatory and arbitrary nature of the legislation is overdue for reform.  </w:t>
      </w:r>
    </w:p>
    <w:p w14:paraId="34E8F0D1" w14:textId="77777777" w:rsidR="00DD2F96" w:rsidRPr="00D74DB9" w:rsidRDefault="00DD2F96">
      <w:pPr>
        <w:rPr>
          <w:sz w:val="16"/>
          <w:szCs w:val="16"/>
        </w:rPr>
      </w:pPr>
    </w:p>
    <w:p w14:paraId="34E8F0D2" w14:textId="77777777" w:rsidR="000E1862" w:rsidRDefault="00F85613">
      <w:r>
        <w:t>2</w:t>
      </w:r>
      <w:r w:rsidR="00084D3C">
        <w:t>6</w:t>
      </w:r>
      <w:r>
        <w:t xml:space="preserve"> </w:t>
      </w:r>
      <w:r w:rsidR="00084D3C">
        <w:t xml:space="preserve"> </w:t>
      </w:r>
      <w:r w:rsidR="00E30598">
        <w:t xml:space="preserve"> The word “game” should be seen as redundant. </w:t>
      </w:r>
      <w:r w:rsidR="001104A2">
        <w:t xml:space="preserve">“Recreation” is a term that includes a “game” and extends equity and uniformity. </w:t>
      </w:r>
      <w:r w:rsidR="00E30598">
        <w:t xml:space="preserve">  </w:t>
      </w:r>
      <w:r>
        <w:t>Extending</w:t>
      </w:r>
      <w:r w:rsidR="00DD2F96">
        <w:t xml:space="preserve"> the definition of sport to “sport and recreation, whether or not competitive” would seem to be a simple step to implement equity, </w:t>
      </w:r>
      <w:r w:rsidR="003A248F">
        <w:t>rationality</w:t>
      </w:r>
      <w:r w:rsidR="00DD2F96">
        <w:t xml:space="preserve"> and common sense</w:t>
      </w:r>
      <w:r w:rsidR="00D17FAB">
        <w:t>.</w:t>
      </w:r>
      <w:r w:rsidR="00D80625">
        <w:t xml:space="preserve"> </w:t>
      </w:r>
    </w:p>
    <w:p w14:paraId="34E8F0D3" w14:textId="77777777" w:rsidR="009B1F91" w:rsidRDefault="009B1F91" w:rsidP="009B1F91"/>
    <w:p w14:paraId="34E8F0D4" w14:textId="77777777" w:rsidR="00D17FAB" w:rsidRPr="00B93885" w:rsidRDefault="009B1F91" w:rsidP="00D17FAB">
      <w:r>
        <w:t xml:space="preserve">Submitted by Robert W Gorrell </w:t>
      </w:r>
      <w:r w:rsidRPr="00AA5044">
        <w:rPr>
          <w:sz w:val="18"/>
          <w:szCs w:val="18"/>
        </w:rPr>
        <w:t>FCA</w:t>
      </w:r>
      <w:r w:rsidR="00C01815">
        <w:rPr>
          <w:sz w:val="18"/>
          <w:szCs w:val="18"/>
        </w:rPr>
        <w:t xml:space="preserve">                                                                                        </w:t>
      </w:r>
      <w:r w:rsidR="00D17FAB">
        <w:t xml:space="preserve">     </w:t>
      </w:r>
      <w:r w:rsidR="00F444CA">
        <w:t xml:space="preserve">                          </w:t>
      </w:r>
      <w:r w:rsidR="00D17FAB">
        <w:rPr>
          <w:rStyle w:val="Hyperlink"/>
          <w:color w:val="auto"/>
          <w:u w:val="none"/>
        </w:rPr>
        <w:t>15 May</w:t>
      </w:r>
      <w:r w:rsidR="00D17FAB" w:rsidRPr="00B93885">
        <w:rPr>
          <w:rStyle w:val="Hyperlink"/>
          <w:color w:val="auto"/>
          <w:u w:val="none"/>
        </w:rPr>
        <w:t xml:space="preserve"> 2015</w:t>
      </w:r>
    </w:p>
    <w:p w14:paraId="34E8F0D5" w14:textId="77777777" w:rsidR="009B1F91" w:rsidRDefault="009B1F91" w:rsidP="009B1F91">
      <w:pPr>
        <w:rPr>
          <w:rStyle w:val="Hyperlink"/>
        </w:rPr>
      </w:pPr>
    </w:p>
    <w:p w14:paraId="34E8F0D6" w14:textId="77777777" w:rsidR="009B1F91" w:rsidRDefault="009B1F91" w:rsidP="009B1F91">
      <w:pPr>
        <w:rPr>
          <w:rStyle w:val="Hyperlink"/>
        </w:rPr>
      </w:pPr>
    </w:p>
    <w:p w14:paraId="34E8F0D7" w14:textId="77777777" w:rsidR="007417E3" w:rsidRPr="00D74DB9" w:rsidRDefault="007417E3">
      <w:pPr>
        <w:rPr>
          <w:sz w:val="16"/>
          <w:szCs w:val="16"/>
        </w:rPr>
      </w:pPr>
    </w:p>
    <w:sectPr w:rsidR="007417E3" w:rsidRPr="00D74DB9" w:rsidSect="001C0A87">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E8F0DA" w14:textId="77777777" w:rsidR="0022649E" w:rsidRDefault="0022649E" w:rsidP="00B3596C">
      <w:r>
        <w:separator/>
      </w:r>
    </w:p>
  </w:endnote>
  <w:endnote w:type="continuationSeparator" w:id="0">
    <w:p w14:paraId="34E8F0DB" w14:textId="77777777" w:rsidR="0022649E" w:rsidRDefault="0022649E" w:rsidP="00B35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8F0DF" w14:textId="77777777" w:rsidR="00B3596C" w:rsidRDefault="00B359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8F0E0" w14:textId="77777777" w:rsidR="00B3596C" w:rsidRDefault="00B359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8F0E2" w14:textId="77777777" w:rsidR="00B3596C" w:rsidRDefault="00B359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8F0D8" w14:textId="77777777" w:rsidR="0022649E" w:rsidRDefault="0022649E" w:rsidP="00B3596C">
      <w:r>
        <w:separator/>
      </w:r>
    </w:p>
  </w:footnote>
  <w:footnote w:type="continuationSeparator" w:id="0">
    <w:p w14:paraId="34E8F0D9" w14:textId="77777777" w:rsidR="0022649E" w:rsidRDefault="0022649E" w:rsidP="00B359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8F0DC" w14:textId="77777777" w:rsidR="00B3596C" w:rsidRDefault="00B359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176363"/>
      <w:docPartObj>
        <w:docPartGallery w:val="Page Numbers (Top of Page)"/>
        <w:docPartUnique/>
      </w:docPartObj>
    </w:sdtPr>
    <w:sdtEndPr>
      <w:rPr>
        <w:noProof/>
      </w:rPr>
    </w:sdtEndPr>
    <w:sdtContent>
      <w:p w14:paraId="34E8F0DD" w14:textId="77777777" w:rsidR="005834EA" w:rsidRDefault="005834EA">
        <w:pPr>
          <w:pStyle w:val="Header"/>
          <w:jc w:val="right"/>
        </w:pPr>
        <w:r>
          <w:fldChar w:fldCharType="begin"/>
        </w:r>
        <w:r>
          <w:instrText xml:space="preserve"> PAGE   \* MERGEFORMAT </w:instrText>
        </w:r>
        <w:r>
          <w:fldChar w:fldCharType="separate"/>
        </w:r>
        <w:r w:rsidR="008B52BC">
          <w:rPr>
            <w:noProof/>
          </w:rPr>
          <w:t>1</w:t>
        </w:r>
        <w:r>
          <w:rPr>
            <w:noProof/>
          </w:rPr>
          <w:fldChar w:fldCharType="end"/>
        </w:r>
      </w:p>
    </w:sdtContent>
  </w:sdt>
  <w:p w14:paraId="34E8F0DE" w14:textId="77777777" w:rsidR="00B3596C" w:rsidRDefault="00B359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8F0E1" w14:textId="77777777" w:rsidR="00B3596C" w:rsidRDefault="00B359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003"/>
    <w:rsid w:val="000249D7"/>
    <w:rsid w:val="00037179"/>
    <w:rsid w:val="00071003"/>
    <w:rsid w:val="000753F7"/>
    <w:rsid w:val="00081C17"/>
    <w:rsid w:val="00084D3C"/>
    <w:rsid w:val="000C225F"/>
    <w:rsid w:val="000E1862"/>
    <w:rsid w:val="001104A2"/>
    <w:rsid w:val="001450F0"/>
    <w:rsid w:val="0019328C"/>
    <w:rsid w:val="0019710F"/>
    <w:rsid w:val="001C0A87"/>
    <w:rsid w:val="002070A3"/>
    <w:rsid w:val="0022649E"/>
    <w:rsid w:val="002651DB"/>
    <w:rsid w:val="00271E7D"/>
    <w:rsid w:val="00277884"/>
    <w:rsid w:val="002E0600"/>
    <w:rsid w:val="002F4273"/>
    <w:rsid w:val="00325B1F"/>
    <w:rsid w:val="0033366E"/>
    <w:rsid w:val="00356C91"/>
    <w:rsid w:val="003A248F"/>
    <w:rsid w:val="003B3684"/>
    <w:rsid w:val="00414E97"/>
    <w:rsid w:val="00421B3E"/>
    <w:rsid w:val="004B47D5"/>
    <w:rsid w:val="004C72CD"/>
    <w:rsid w:val="004D6099"/>
    <w:rsid w:val="005154C2"/>
    <w:rsid w:val="00515C4F"/>
    <w:rsid w:val="005834EA"/>
    <w:rsid w:val="005C2633"/>
    <w:rsid w:val="005C5FF9"/>
    <w:rsid w:val="005D7218"/>
    <w:rsid w:val="00602120"/>
    <w:rsid w:val="006116FC"/>
    <w:rsid w:val="00635650"/>
    <w:rsid w:val="00637008"/>
    <w:rsid w:val="006401B8"/>
    <w:rsid w:val="006A38DC"/>
    <w:rsid w:val="006A3C6F"/>
    <w:rsid w:val="006B3126"/>
    <w:rsid w:val="006F5542"/>
    <w:rsid w:val="00703010"/>
    <w:rsid w:val="00741550"/>
    <w:rsid w:val="007417E3"/>
    <w:rsid w:val="00774B03"/>
    <w:rsid w:val="008109B3"/>
    <w:rsid w:val="00857EAE"/>
    <w:rsid w:val="00860908"/>
    <w:rsid w:val="008A4613"/>
    <w:rsid w:val="008B52BC"/>
    <w:rsid w:val="008C2813"/>
    <w:rsid w:val="008C469A"/>
    <w:rsid w:val="008F1723"/>
    <w:rsid w:val="009238DE"/>
    <w:rsid w:val="00980A87"/>
    <w:rsid w:val="009B1F91"/>
    <w:rsid w:val="009B4EFA"/>
    <w:rsid w:val="00AA5044"/>
    <w:rsid w:val="00AB05C0"/>
    <w:rsid w:val="00AC3FA9"/>
    <w:rsid w:val="00AF3137"/>
    <w:rsid w:val="00B3596C"/>
    <w:rsid w:val="00B41C2E"/>
    <w:rsid w:val="00B46C6C"/>
    <w:rsid w:val="00B572DD"/>
    <w:rsid w:val="00B93885"/>
    <w:rsid w:val="00BA0EFF"/>
    <w:rsid w:val="00BD17C0"/>
    <w:rsid w:val="00BE587F"/>
    <w:rsid w:val="00C01815"/>
    <w:rsid w:val="00C26279"/>
    <w:rsid w:val="00C61944"/>
    <w:rsid w:val="00C61A77"/>
    <w:rsid w:val="00C63692"/>
    <w:rsid w:val="00C82093"/>
    <w:rsid w:val="00D17FAB"/>
    <w:rsid w:val="00D35B5E"/>
    <w:rsid w:val="00D56955"/>
    <w:rsid w:val="00D56C81"/>
    <w:rsid w:val="00D74DB9"/>
    <w:rsid w:val="00D80625"/>
    <w:rsid w:val="00DB63FF"/>
    <w:rsid w:val="00DD2F96"/>
    <w:rsid w:val="00E121B1"/>
    <w:rsid w:val="00E24EF3"/>
    <w:rsid w:val="00E30598"/>
    <w:rsid w:val="00E607E6"/>
    <w:rsid w:val="00E85A43"/>
    <w:rsid w:val="00E91C72"/>
    <w:rsid w:val="00EB1FF5"/>
    <w:rsid w:val="00F444CA"/>
    <w:rsid w:val="00F609C7"/>
    <w:rsid w:val="00F85613"/>
    <w:rsid w:val="00FB7270"/>
    <w:rsid w:val="00FE7E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F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1003"/>
    <w:rPr>
      <w:color w:val="0563C1" w:themeColor="hyperlink"/>
      <w:u w:val="single"/>
    </w:rPr>
  </w:style>
  <w:style w:type="paragraph" w:styleId="Header">
    <w:name w:val="header"/>
    <w:basedOn w:val="Normal"/>
    <w:link w:val="HeaderChar"/>
    <w:uiPriority w:val="99"/>
    <w:unhideWhenUsed/>
    <w:rsid w:val="00B3596C"/>
    <w:pPr>
      <w:tabs>
        <w:tab w:val="center" w:pos="4513"/>
        <w:tab w:val="right" w:pos="9026"/>
      </w:tabs>
    </w:pPr>
  </w:style>
  <w:style w:type="character" w:customStyle="1" w:styleId="HeaderChar">
    <w:name w:val="Header Char"/>
    <w:basedOn w:val="DefaultParagraphFont"/>
    <w:link w:val="Header"/>
    <w:uiPriority w:val="99"/>
    <w:rsid w:val="00B3596C"/>
  </w:style>
  <w:style w:type="paragraph" w:styleId="Footer">
    <w:name w:val="footer"/>
    <w:basedOn w:val="Normal"/>
    <w:link w:val="FooterChar"/>
    <w:uiPriority w:val="99"/>
    <w:unhideWhenUsed/>
    <w:rsid w:val="00B3596C"/>
    <w:pPr>
      <w:tabs>
        <w:tab w:val="center" w:pos="4513"/>
        <w:tab w:val="right" w:pos="9026"/>
      </w:tabs>
    </w:pPr>
  </w:style>
  <w:style w:type="character" w:customStyle="1" w:styleId="FooterChar">
    <w:name w:val="Footer Char"/>
    <w:basedOn w:val="DefaultParagraphFont"/>
    <w:link w:val="Footer"/>
    <w:uiPriority w:val="99"/>
    <w:rsid w:val="00B3596C"/>
  </w:style>
  <w:style w:type="paragraph" w:styleId="BalloonText">
    <w:name w:val="Balloon Text"/>
    <w:basedOn w:val="Normal"/>
    <w:link w:val="BalloonTextChar"/>
    <w:uiPriority w:val="99"/>
    <w:semiHidden/>
    <w:unhideWhenUsed/>
    <w:rsid w:val="00325B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B1F"/>
    <w:rPr>
      <w:rFonts w:ascii="Segoe UI" w:hAnsi="Segoe UI" w:cs="Segoe UI"/>
      <w:sz w:val="18"/>
      <w:szCs w:val="18"/>
    </w:rPr>
  </w:style>
  <w:style w:type="character" w:styleId="Emphasis">
    <w:name w:val="Emphasis"/>
    <w:basedOn w:val="DefaultParagraphFont"/>
    <w:uiPriority w:val="20"/>
    <w:qFormat/>
    <w:rsid w:val="005154C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1003"/>
    <w:rPr>
      <w:color w:val="0563C1" w:themeColor="hyperlink"/>
      <w:u w:val="single"/>
    </w:rPr>
  </w:style>
  <w:style w:type="paragraph" w:styleId="Header">
    <w:name w:val="header"/>
    <w:basedOn w:val="Normal"/>
    <w:link w:val="HeaderChar"/>
    <w:uiPriority w:val="99"/>
    <w:unhideWhenUsed/>
    <w:rsid w:val="00B3596C"/>
    <w:pPr>
      <w:tabs>
        <w:tab w:val="center" w:pos="4513"/>
        <w:tab w:val="right" w:pos="9026"/>
      </w:tabs>
    </w:pPr>
  </w:style>
  <w:style w:type="character" w:customStyle="1" w:styleId="HeaderChar">
    <w:name w:val="Header Char"/>
    <w:basedOn w:val="DefaultParagraphFont"/>
    <w:link w:val="Header"/>
    <w:uiPriority w:val="99"/>
    <w:rsid w:val="00B3596C"/>
  </w:style>
  <w:style w:type="paragraph" w:styleId="Footer">
    <w:name w:val="footer"/>
    <w:basedOn w:val="Normal"/>
    <w:link w:val="FooterChar"/>
    <w:uiPriority w:val="99"/>
    <w:unhideWhenUsed/>
    <w:rsid w:val="00B3596C"/>
    <w:pPr>
      <w:tabs>
        <w:tab w:val="center" w:pos="4513"/>
        <w:tab w:val="right" w:pos="9026"/>
      </w:tabs>
    </w:pPr>
  </w:style>
  <w:style w:type="character" w:customStyle="1" w:styleId="FooterChar">
    <w:name w:val="Footer Char"/>
    <w:basedOn w:val="DefaultParagraphFont"/>
    <w:link w:val="Footer"/>
    <w:uiPriority w:val="99"/>
    <w:rsid w:val="00B3596C"/>
  </w:style>
  <w:style w:type="paragraph" w:styleId="BalloonText">
    <w:name w:val="Balloon Text"/>
    <w:basedOn w:val="Normal"/>
    <w:link w:val="BalloonTextChar"/>
    <w:uiPriority w:val="99"/>
    <w:semiHidden/>
    <w:unhideWhenUsed/>
    <w:rsid w:val="00325B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B1F"/>
    <w:rPr>
      <w:rFonts w:ascii="Segoe UI" w:hAnsi="Segoe UI" w:cs="Segoe UI"/>
      <w:sz w:val="18"/>
      <w:szCs w:val="18"/>
    </w:rPr>
  </w:style>
  <w:style w:type="character" w:styleId="Emphasis">
    <w:name w:val="Emphasis"/>
    <w:basedOn w:val="DefaultParagraphFont"/>
    <w:uiPriority w:val="20"/>
    <w:qFormat/>
    <w:rsid w:val="005154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019278">
      <w:bodyDiv w:val="1"/>
      <w:marLeft w:val="0"/>
      <w:marRight w:val="0"/>
      <w:marTop w:val="0"/>
      <w:marBottom w:val="0"/>
      <w:divBdr>
        <w:top w:val="none" w:sz="0" w:space="0" w:color="auto"/>
        <w:left w:val="none" w:sz="0" w:space="0" w:color="auto"/>
        <w:bottom w:val="none" w:sz="0" w:space="0" w:color="auto"/>
        <w:right w:val="none" w:sz="0" w:space="0" w:color="auto"/>
      </w:divBdr>
      <w:divsChild>
        <w:div w:id="1508983554">
          <w:marLeft w:val="0"/>
          <w:marRight w:val="0"/>
          <w:marTop w:val="0"/>
          <w:marBottom w:val="0"/>
          <w:divBdr>
            <w:top w:val="none" w:sz="0" w:space="0" w:color="auto"/>
            <w:left w:val="none" w:sz="0" w:space="0" w:color="auto"/>
            <w:bottom w:val="none" w:sz="0" w:space="0" w:color="auto"/>
            <w:right w:val="none" w:sz="0" w:space="0" w:color="auto"/>
          </w:divBdr>
          <w:divsChild>
            <w:div w:id="1758943537">
              <w:marLeft w:val="0"/>
              <w:marRight w:val="0"/>
              <w:marTop w:val="0"/>
              <w:marBottom w:val="0"/>
              <w:divBdr>
                <w:top w:val="none" w:sz="0" w:space="0" w:color="auto"/>
                <w:left w:val="none" w:sz="0" w:space="0" w:color="auto"/>
                <w:bottom w:val="none" w:sz="0" w:space="0" w:color="auto"/>
                <w:right w:val="none" w:sz="0" w:space="0" w:color="auto"/>
              </w:divBdr>
              <w:divsChild>
                <w:div w:id="2089425520">
                  <w:marLeft w:val="0"/>
                  <w:marRight w:val="0"/>
                  <w:marTop w:val="0"/>
                  <w:marBottom w:val="0"/>
                  <w:divBdr>
                    <w:top w:val="none" w:sz="0" w:space="0" w:color="auto"/>
                    <w:left w:val="none" w:sz="0" w:space="0" w:color="auto"/>
                    <w:bottom w:val="none" w:sz="0" w:space="0" w:color="auto"/>
                    <w:right w:val="none" w:sz="0" w:space="0" w:color="auto"/>
                  </w:divBdr>
                </w:div>
                <w:div w:id="1080902871">
                  <w:marLeft w:val="0"/>
                  <w:marRight w:val="0"/>
                  <w:marTop w:val="0"/>
                  <w:marBottom w:val="0"/>
                  <w:divBdr>
                    <w:top w:val="none" w:sz="0" w:space="0" w:color="auto"/>
                    <w:left w:val="none" w:sz="0" w:space="0" w:color="auto"/>
                    <w:bottom w:val="none" w:sz="0" w:space="0" w:color="auto"/>
                    <w:right w:val="none" w:sz="0" w:space="0" w:color="auto"/>
                  </w:divBdr>
                </w:div>
                <w:div w:id="209689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2.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2014RG-82-7859</_dlc_DocId>
    <TaxCatchAll xmlns="9f7bc583-7cbe-45b9-a2bd-8bbb6543b37e">
      <Value>20</Value>
    </TaxCatchAll>
    <_dlc_DocIdUrl xmlns="9f7bc583-7cbe-45b9-a2bd-8bbb6543b37e">
      <Url>http://tweb13/sites/rg/project/twptf/_layouts/15/DocIdRedir.aspx?ID=2014RG-82-7859</Url>
      <Description>2014RG-82-7859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6E92E-D8C6-4077-AB88-CB0C5D88AA67}"/>
</file>

<file path=customXml/itemProps2.xml><?xml version="1.0" encoding="utf-8"?>
<ds:datastoreItem xmlns:ds="http://schemas.openxmlformats.org/officeDocument/2006/customXml" ds:itemID="{9C0C3E45-EC02-44B6-B1BB-83EC9ABC1E53}"/>
</file>

<file path=customXml/itemProps3.xml><?xml version="1.0" encoding="utf-8"?>
<ds:datastoreItem xmlns:ds="http://schemas.openxmlformats.org/officeDocument/2006/customXml" ds:itemID="{AAF66928-D113-42A3-938B-5C1313DDF8CC}"/>
</file>

<file path=customXml/itemProps4.xml><?xml version="1.0" encoding="utf-8"?>
<ds:datastoreItem xmlns:ds="http://schemas.openxmlformats.org/officeDocument/2006/customXml" ds:itemID="{362A3517-3D42-4A65-B1B7-D3B99F970C69}"/>
</file>

<file path=customXml/itemProps5.xml><?xml version="1.0" encoding="utf-8"?>
<ds:datastoreItem xmlns:ds="http://schemas.openxmlformats.org/officeDocument/2006/customXml" ds:itemID="{B2002D8D-88C5-459D-B9C1-2AB728B937D6}"/>
</file>

<file path=docProps/app.xml><?xml version="1.0" encoding="utf-8"?>
<Properties xmlns="http://schemas.openxmlformats.org/officeDocument/2006/extended-properties" xmlns:vt="http://schemas.openxmlformats.org/officeDocument/2006/docPropsVTypes">
  <Template>Normal.dotm</Template>
  <TotalTime>332</TotalTime>
  <Pages>3</Pages>
  <Words>1409</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Robert Gorrell - submission to Tax DP</vt:lpstr>
    </vt:vector>
  </TitlesOfParts>
  <Company/>
  <LinksUpToDate>false</LinksUpToDate>
  <CharactersWithSpaces>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Gorrell - submission to Tax DP</dc:title>
  <dc:subject/>
  <dc:creator>Gorrell, Robert</dc:creator>
  <cp:keywords/>
  <dc:description/>
  <cp:lastModifiedBy>McLeod, Caitlin</cp:lastModifiedBy>
  <cp:revision>20</cp:revision>
  <cp:lastPrinted>2015-05-14T02:07:00Z</cp:lastPrinted>
  <dcterms:created xsi:type="dcterms:W3CDTF">2015-04-30T11:28:00Z</dcterms:created>
  <dcterms:modified xsi:type="dcterms:W3CDTF">2015-05-28T03:51:00Z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