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rawings/drawing1.xml" ContentType="application/vnd.openxmlformats-officedocument.drawingml.chartshap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theme/theme1.xml" ContentType="application/vnd.openxmlformats-officedocument.theme+xml"/>
  <Override PartName="/word/theme/themeOverride1.xml" ContentType="application/vnd.openxmlformats-officedocument.themeOverride+xml"/>
  <Override PartName="/word/charts/chart1.xml" ContentType="application/vnd.openxmlformats-officedocument.drawingml.chart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harts/style1.xml" ContentType="application/vnd.ms-office.chartstyle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Override PartName="/word/charts/colors1.xml" ContentType="application/vnd.ms-office.chartcolorstyle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7E62BB" w14:textId="77777777" w:rsidR="00A6094C" w:rsidRPr="00276EC4" w:rsidRDefault="00A6094C" w:rsidP="000762AC">
      <w:pPr>
        <w:spacing w:line="360" w:lineRule="auto"/>
        <w:jc w:val="center"/>
        <w:rPr>
          <w:b/>
          <w:sz w:val="28"/>
          <w:szCs w:val="28"/>
        </w:rPr>
      </w:pPr>
      <w:bookmarkStart w:id="0" w:name="_GoBack"/>
      <w:bookmarkEnd w:id="0"/>
    </w:p>
    <w:p w14:paraId="799E8D53" w14:textId="77777777" w:rsidR="00580311" w:rsidRPr="00C71E3B" w:rsidRDefault="000762AC" w:rsidP="000762AC">
      <w:pPr>
        <w:spacing w:line="360" w:lineRule="auto"/>
        <w:jc w:val="center"/>
        <w:rPr>
          <w:b/>
          <w:sz w:val="28"/>
          <w:szCs w:val="28"/>
        </w:rPr>
      </w:pPr>
      <w:r w:rsidRPr="00C71E3B">
        <w:rPr>
          <w:b/>
          <w:sz w:val="28"/>
          <w:szCs w:val="28"/>
        </w:rPr>
        <w:t>Divide</w:t>
      </w:r>
      <w:r w:rsidR="00471B57" w:rsidRPr="00C71E3B">
        <w:rPr>
          <w:b/>
          <w:sz w:val="28"/>
          <w:szCs w:val="28"/>
        </w:rPr>
        <w:t xml:space="preserve">nd imputation or </w:t>
      </w:r>
      <w:r w:rsidR="00740535" w:rsidRPr="00C71E3B">
        <w:rPr>
          <w:b/>
          <w:sz w:val="28"/>
          <w:szCs w:val="28"/>
        </w:rPr>
        <w:t>low company tax</w:t>
      </w:r>
      <w:r w:rsidRPr="00C71E3B">
        <w:rPr>
          <w:b/>
          <w:sz w:val="28"/>
          <w:szCs w:val="28"/>
        </w:rPr>
        <w:t>?</w:t>
      </w:r>
    </w:p>
    <w:p w14:paraId="52A0B0D9" w14:textId="77777777" w:rsidR="00496E07" w:rsidRDefault="00496E07" w:rsidP="000762AC">
      <w:pPr>
        <w:spacing w:line="360" w:lineRule="auto"/>
        <w:jc w:val="center"/>
      </w:pPr>
    </w:p>
    <w:p w14:paraId="79AD4CDF" w14:textId="77777777" w:rsidR="00DB3E69" w:rsidRPr="00496E07" w:rsidRDefault="00DB3E69" w:rsidP="000762AC">
      <w:pPr>
        <w:spacing w:line="360" w:lineRule="auto"/>
        <w:jc w:val="center"/>
      </w:pPr>
    </w:p>
    <w:p w14:paraId="086AF144" w14:textId="77777777" w:rsidR="000762AC" w:rsidRDefault="001D32AF" w:rsidP="000762AC">
      <w:pPr>
        <w:spacing w:line="360" w:lineRule="auto"/>
        <w:jc w:val="center"/>
      </w:pPr>
      <w:r>
        <w:t>Geoffrey Kingston</w:t>
      </w:r>
    </w:p>
    <w:p w14:paraId="09B660B3" w14:textId="77777777" w:rsidR="001D32AF" w:rsidRDefault="001D32AF" w:rsidP="000762AC">
      <w:pPr>
        <w:spacing w:line="360" w:lineRule="auto"/>
        <w:jc w:val="center"/>
      </w:pPr>
      <w:r>
        <w:t>Department of Economics</w:t>
      </w:r>
    </w:p>
    <w:p w14:paraId="34A85FD6" w14:textId="77777777" w:rsidR="000762AC" w:rsidRDefault="000762AC" w:rsidP="000762AC">
      <w:pPr>
        <w:spacing w:line="360" w:lineRule="auto"/>
        <w:jc w:val="center"/>
      </w:pPr>
      <w:r>
        <w:t>Macquarie University</w:t>
      </w:r>
    </w:p>
    <w:p w14:paraId="3A71600C" w14:textId="5A8E0287" w:rsidR="000762AC" w:rsidRDefault="00056384" w:rsidP="000762AC">
      <w:pPr>
        <w:spacing w:line="360" w:lineRule="auto"/>
        <w:jc w:val="center"/>
      </w:pPr>
      <w:r>
        <w:t>Revised 24</w:t>
      </w:r>
      <w:r w:rsidR="006A2769">
        <w:t xml:space="preserve"> </w:t>
      </w:r>
      <w:r w:rsidR="00D90410">
        <w:t>May</w:t>
      </w:r>
      <w:r w:rsidR="000762AC">
        <w:t xml:space="preserve"> 2015</w:t>
      </w:r>
    </w:p>
    <w:p w14:paraId="2A7E74E4" w14:textId="77777777" w:rsidR="000762AC" w:rsidRDefault="00C66FE8" w:rsidP="000762AC">
      <w:pPr>
        <w:spacing w:line="360" w:lineRule="auto"/>
        <w:jc w:val="center"/>
        <w:rPr>
          <w:rStyle w:val="Hyperlink"/>
        </w:rPr>
      </w:pPr>
      <w:hyperlink r:id="rId12" w:history="1">
        <w:r w:rsidR="008518E0" w:rsidRPr="00A620EB">
          <w:rPr>
            <w:rStyle w:val="Hyperlink"/>
          </w:rPr>
          <w:t>geoff.kingston@mq.edu.au</w:t>
        </w:r>
      </w:hyperlink>
    </w:p>
    <w:p w14:paraId="50572213" w14:textId="77777777" w:rsidR="000D1969" w:rsidRDefault="000D1969" w:rsidP="000762AC">
      <w:pPr>
        <w:spacing w:line="360" w:lineRule="auto"/>
        <w:jc w:val="center"/>
        <w:rPr>
          <w:rStyle w:val="Hyperlink"/>
        </w:rPr>
      </w:pPr>
    </w:p>
    <w:p w14:paraId="39C3052D" w14:textId="6F6D68D6" w:rsidR="000D1969" w:rsidRDefault="00B341FE" w:rsidP="00833C0C">
      <w:pPr>
        <w:spacing w:line="360" w:lineRule="auto"/>
        <w:jc w:val="both"/>
      </w:pPr>
      <w:r>
        <w:t xml:space="preserve">Recent </w:t>
      </w:r>
      <w:r w:rsidR="000D1969">
        <w:t xml:space="preserve">OECD </w:t>
      </w:r>
      <w:r w:rsidR="00DF7C93">
        <w:t>data offer</w:t>
      </w:r>
      <w:r w:rsidR="0056453B">
        <w:t xml:space="preserve"> limited</w:t>
      </w:r>
      <w:r w:rsidR="00922374">
        <w:t xml:space="preserve"> support for the proposition</w:t>
      </w:r>
      <w:r w:rsidR="00F912A5">
        <w:t xml:space="preserve"> that our</w:t>
      </w:r>
      <w:r w:rsidR="00D52EC8">
        <w:t xml:space="preserve"> company tax </w:t>
      </w:r>
      <w:r w:rsidR="00142F0A">
        <w:t>rate could</w:t>
      </w:r>
      <w:r w:rsidR="000D1969">
        <w:t xml:space="preserve"> be cut </w:t>
      </w:r>
      <w:r w:rsidR="005B5BC5">
        <w:t xml:space="preserve">substantially </w:t>
      </w:r>
      <w:r w:rsidR="000D1969">
        <w:t xml:space="preserve">with little </w:t>
      </w:r>
      <w:r w:rsidR="00871804">
        <w:t xml:space="preserve">or no </w:t>
      </w:r>
      <w:r w:rsidR="000D1969">
        <w:t>loss of tax revenue</w:t>
      </w:r>
      <w:r w:rsidR="00DF7C93">
        <w:t>.</w:t>
      </w:r>
      <w:r w:rsidR="00DD3F65">
        <w:t xml:space="preserve"> </w:t>
      </w:r>
      <w:r w:rsidR="005D2FE3">
        <w:t>Treasury</w:t>
      </w:r>
      <w:r w:rsidR="00DD3F65">
        <w:t>-type</w:t>
      </w:r>
      <w:r w:rsidR="005D2FE3">
        <w:t xml:space="preserve"> analysis</w:t>
      </w:r>
      <w:r w:rsidR="00922374">
        <w:t xml:space="preserve"> suggests otherwise:</w:t>
      </w:r>
      <w:r w:rsidR="0056453B">
        <w:t xml:space="preserve"> our </w:t>
      </w:r>
      <w:r w:rsidR="00E160DE">
        <w:t>headline rate could be cut to 20</w:t>
      </w:r>
      <w:r w:rsidR="0056453B">
        <w:t xml:space="preserve"> per cent if abolishing </w:t>
      </w:r>
      <w:r w:rsidR="005D2FE3">
        <w:t>dividend imputation were used to fin</w:t>
      </w:r>
      <w:r w:rsidR="002742F6">
        <w:t>ance a cut in the</w:t>
      </w:r>
      <w:r w:rsidR="00922374">
        <w:t xml:space="preserve"> headline rate. B</w:t>
      </w:r>
      <w:r w:rsidR="00BE35A0">
        <w:t xml:space="preserve">ut </w:t>
      </w:r>
      <w:r w:rsidR="00134483">
        <w:t>this type of exercise</w:t>
      </w:r>
      <w:r w:rsidR="00D94945">
        <w:t xml:space="preserve"> relies on strong assumptions,</w:t>
      </w:r>
      <w:r w:rsidR="00DD3F65" w:rsidRPr="00DD3F65">
        <w:t xml:space="preserve"> </w:t>
      </w:r>
      <w:r w:rsidR="00D94945">
        <w:t>and</w:t>
      </w:r>
      <w:r w:rsidR="00DD3F65">
        <w:t xml:space="preserve"> imputation mitigates other idiosyncrasies of our tax system</w:t>
      </w:r>
      <w:r w:rsidR="00027B84">
        <w:t>.</w:t>
      </w:r>
      <w:r w:rsidR="001F0BD7" w:rsidRPr="001F0BD7">
        <w:t xml:space="preserve"> </w:t>
      </w:r>
      <w:r w:rsidR="00C36734">
        <w:t>A</w:t>
      </w:r>
      <w:r w:rsidR="00615D4D">
        <w:t>ccordingly, a</w:t>
      </w:r>
      <w:r w:rsidR="001F0BD7">
        <w:t>b</w:t>
      </w:r>
      <w:r w:rsidR="00384F24">
        <w:t>olition of</w:t>
      </w:r>
      <w:r w:rsidR="004B585A">
        <w:t xml:space="preserve"> </w:t>
      </w:r>
      <w:r w:rsidR="001F0BD7">
        <w:t>i</w:t>
      </w:r>
      <w:r w:rsidR="004B585A">
        <w:t>mputation</w:t>
      </w:r>
      <w:r w:rsidR="00173939">
        <w:t xml:space="preserve"> should await a cut in</w:t>
      </w:r>
      <w:r w:rsidR="00930ECA">
        <w:t xml:space="preserve"> our t</w:t>
      </w:r>
      <w:r w:rsidR="00173939">
        <w:t>op marginal personal rate</w:t>
      </w:r>
      <w:r w:rsidR="00436039">
        <w:t xml:space="preserve"> along with</w:t>
      </w:r>
      <w:r w:rsidR="00930ECA">
        <w:t xml:space="preserve"> </w:t>
      </w:r>
      <w:r w:rsidR="00653A39">
        <w:t xml:space="preserve">a transition to </w:t>
      </w:r>
      <w:r w:rsidR="00173939">
        <w:t xml:space="preserve">back-end taxation of </w:t>
      </w:r>
      <w:r w:rsidR="00930ECA">
        <w:t>most s</w:t>
      </w:r>
      <w:r w:rsidR="00173939">
        <w:t>uperannuation accounts</w:t>
      </w:r>
      <w:r w:rsidR="00930ECA">
        <w:t>.</w:t>
      </w:r>
    </w:p>
    <w:p w14:paraId="665C0D18" w14:textId="31C37DFB" w:rsidR="00584B2F" w:rsidRDefault="00C33F1C" w:rsidP="00F131FB">
      <w:r>
        <w:br w:type="page"/>
      </w:r>
    </w:p>
    <w:p w14:paraId="746F46D4" w14:textId="668DD92A" w:rsidR="000A201E" w:rsidRDefault="000762AC" w:rsidP="008D2CE4">
      <w:pPr>
        <w:spacing w:line="360" w:lineRule="auto"/>
        <w:jc w:val="both"/>
      </w:pPr>
      <w:r>
        <w:lastRenderedPageBreak/>
        <w:t>In 1987</w:t>
      </w:r>
      <w:r w:rsidR="008821A5">
        <w:t>,</w:t>
      </w:r>
      <w:r>
        <w:t xml:space="preserve"> Australia introdu</w:t>
      </w:r>
      <w:r w:rsidR="007E7F61">
        <w:t>ced dividend imputation. Under this policy,</w:t>
      </w:r>
      <w:r w:rsidR="000F5360">
        <w:t xml:space="preserve"> </w:t>
      </w:r>
      <w:r w:rsidR="001E3782">
        <w:t>Australian households,</w:t>
      </w:r>
      <w:r w:rsidR="00BE4C26">
        <w:t xml:space="preserve"> superannuation funds</w:t>
      </w:r>
      <w:r>
        <w:t xml:space="preserve"> </w:t>
      </w:r>
      <w:r w:rsidR="001E3782">
        <w:t xml:space="preserve">and charities </w:t>
      </w:r>
      <w:r>
        <w:t xml:space="preserve">receiving </w:t>
      </w:r>
      <w:r w:rsidR="00BE4C26">
        <w:t>franked</w:t>
      </w:r>
      <w:r w:rsidR="000A201E">
        <w:t xml:space="preserve"> </w:t>
      </w:r>
      <w:r>
        <w:t>dividend</w:t>
      </w:r>
      <w:r w:rsidR="00B1252A">
        <w:t>s</w:t>
      </w:r>
      <w:r w:rsidR="00DF4766">
        <w:t>,</w:t>
      </w:r>
      <w:r w:rsidR="00B1252A">
        <w:t xml:space="preserve"> </w:t>
      </w:r>
      <w:r w:rsidR="00137494">
        <w:t xml:space="preserve">i.e. </w:t>
      </w:r>
      <w:r w:rsidR="00A405C5">
        <w:t xml:space="preserve">from </w:t>
      </w:r>
      <w:r w:rsidR="000A201E">
        <w:t xml:space="preserve">Australian </w:t>
      </w:r>
      <w:r w:rsidR="00A405C5">
        <w:t>companies that have paid</w:t>
      </w:r>
      <w:r>
        <w:t xml:space="preserve"> </w:t>
      </w:r>
      <w:r w:rsidR="004B4C4E">
        <w:t>company</w:t>
      </w:r>
      <w:r w:rsidR="00927F4E">
        <w:t xml:space="preserve"> tax </w:t>
      </w:r>
      <w:r w:rsidR="00A73BD0">
        <w:t>to the Australian Taxation Office</w:t>
      </w:r>
      <w:r w:rsidR="00DF4766">
        <w:t xml:space="preserve">, </w:t>
      </w:r>
      <w:r w:rsidR="00D21D09">
        <w:t>are reimbursed</w:t>
      </w:r>
      <w:r w:rsidR="00E73CCE">
        <w:t xml:space="preserve"> </w:t>
      </w:r>
      <w:r w:rsidR="001E3782">
        <w:t xml:space="preserve">$19bn pa </w:t>
      </w:r>
      <w:r w:rsidR="00E73CCE">
        <w:t xml:space="preserve">via </w:t>
      </w:r>
      <w:r w:rsidR="00E83192">
        <w:t>the system for taxing individual</w:t>
      </w:r>
      <w:r w:rsidR="00BE4C26">
        <w:t xml:space="preserve"> and </w:t>
      </w:r>
      <w:r w:rsidR="002524CD">
        <w:t>superannuation</w:t>
      </w:r>
      <w:r w:rsidR="00BE4C26">
        <w:t xml:space="preserve"> incomes</w:t>
      </w:r>
      <w:r w:rsidR="00212FD8">
        <w:t xml:space="preserve">. </w:t>
      </w:r>
      <w:r w:rsidR="00F5335B">
        <w:t xml:space="preserve">In 2000 investors became able to claim franking credits even </w:t>
      </w:r>
      <w:r w:rsidR="001323F9">
        <w:t>if they paid</w:t>
      </w:r>
      <w:r w:rsidR="00F5335B">
        <w:t xml:space="preserve"> no tax, and this featu</w:t>
      </w:r>
      <w:r w:rsidR="00B1252A">
        <w:t xml:space="preserve">re has become popular with </w:t>
      </w:r>
      <w:r w:rsidR="00027D0F">
        <w:t xml:space="preserve">self-funded </w:t>
      </w:r>
      <w:r w:rsidR="00B1252A">
        <w:t>retirees</w:t>
      </w:r>
      <w:r w:rsidR="00F5335B">
        <w:t xml:space="preserve">. </w:t>
      </w:r>
    </w:p>
    <w:p w14:paraId="6BFD2F8B" w14:textId="77777777" w:rsidR="000A201E" w:rsidRDefault="000A201E" w:rsidP="008D2CE4">
      <w:pPr>
        <w:spacing w:line="360" w:lineRule="auto"/>
        <w:jc w:val="both"/>
      </w:pPr>
    </w:p>
    <w:p w14:paraId="6B15E380" w14:textId="43BCB1D9" w:rsidR="00DA7C10" w:rsidRDefault="00CC2557" w:rsidP="008D2CE4">
      <w:pPr>
        <w:spacing w:line="360" w:lineRule="auto"/>
        <w:jc w:val="both"/>
      </w:pPr>
      <w:r>
        <w:t>Should franking credits</w:t>
      </w:r>
      <w:r w:rsidR="005127BF">
        <w:t xml:space="preserve"> for households, superannuation funds and charities be abolished</w:t>
      </w:r>
      <w:r w:rsidR="00761170">
        <w:t xml:space="preserve">, </w:t>
      </w:r>
      <w:r w:rsidR="001857E4">
        <w:t xml:space="preserve">thereby </w:t>
      </w:r>
      <w:r w:rsidR="005127BF">
        <w:t xml:space="preserve">freeing up $19bn pa for </w:t>
      </w:r>
      <w:r w:rsidR="00761170">
        <w:t>cut</w:t>
      </w:r>
      <w:r w:rsidR="005127BF">
        <w:t>ting</w:t>
      </w:r>
      <w:r w:rsidR="001045FB">
        <w:t xml:space="preserve"> </w:t>
      </w:r>
      <w:r w:rsidR="00761170">
        <w:t xml:space="preserve">the headline </w:t>
      </w:r>
      <w:r w:rsidR="00C468D8">
        <w:t xml:space="preserve">rate of </w:t>
      </w:r>
      <w:r w:rsidR="00761170">
        <w:t>company ta</w:t>
      </w:r>
      <w:r w:rsidR="00C468D8">
        <w:t>x</w:t>
      </w:r>
      <w:r w:rsidR="000A427E">
        <w:t xml:space="preserve">? </w:t>
      </w:r>
      <w:r w:rsidR="000F4F4A">
        <w:t>I</w:t>
      </w:r>
      <w:r w:rsidR="00761170">
        <w:t>t is hard to estimate</w:t>
      </w:r>
      <w:r w:rsidR="00EF1F3B">
        <w:t xml:space="preserve"> </w:t>
      </w:r>
      <w:r w:rsidR="00C468D8">
        <w:t xml:space="preserve">with any precision </w:t>
      </w:r>
      <w:r w:rsidR="00AD6104">
        <w:t xml:space="preserve">the </w:t>
      </w:r>
      <w:r w:rsidR="005127BF">
        <w:t xml:space="preserve">amount by which we could cut the headline rate. </w:t>
      </w:r>
      <w:r w:rsidR="002B28AF">
        <w:t>Treasury’s 2015 Tax Discussion Paper floats this policy but</w:t>
      </w:r>
      <w:r w:rsidR="00F11E0E">
        <w:t xml:space="preserve"> does not take a stand on actual</w:t>
      </w:r>
      <w:r w:rsidR="002B28AF">
        <w:t xml:space="preserve"> numbers. </w:t>
      </w:r>
      <w:r w:rsidR="003127A7">
        <w:t>Building on the framework</w:t>
      </w:r>
      <w:r w:rsidR="00005B77">
        <w:t xml:space="preserve"> of Treasury Working Paper 2015-</w:t>
      </w:r>
      <w:r w:rsidR="007D5259">
        <w:t>0</w:t>
      </w:r>
      <w:r w:rsidR="00005B77">
        <w:t>1</w:t>
      </w:r>
      <w:r w:rsidR="002A4A9D">
        <w:t xml:space="preserve"> </w:t>
      </w:r>
      <w:r w:rsidR="000F4F4A">
        <w:t>I estimate</w:t>
      </w:r>
      <w:r w:rsidR="002A4A9D">
        <w:t xml:space="preserve"> that</w:t>
      </w:r>
      <w:r w:rsidR="0034194C">
        <w:t xml:space="preserve"> t</w:t>
      </w:r>
      <w:r w:rsidR="005127BF">
        <w:t xml:space="preserve">he headline rate </w:t>
      </w:r>
      <w:r w:rsidR="00D17462">
        <w:t xml:space="preserve">for large companies </w:t>
      </w:r>
      <w:r w:rsidR="005127BF">
        <w:t xml:space="preserve">could be cut </w:t>
      </w:r>
      <w:r w:rsidR="00D17462">
        <w:t xml:space="preserve">from 30 per cent </w:t>
      </w:r>
      <w:r w:rsidR="00490596">
        <w:t>to 20</w:t>
      </w:r>
      <w:r w:rsidR="005127BF">
        <w:t xml:space="preserve"> per cent</w:t>
      </w:r>
      <w:r w:rsidR="003127A7">
        <w:t>. B</w:t>
      </w:r>
      <w:r w:rsidR="0034194C">
        <w:t>ut the relevant calculation</w:t>
      </w:r>
      <w:r w:rsidR="009D4FB5">
        <w:t>s</w:t>
      </w:r>
      <w:r w:rsidR="009D3DCF">
        <w:t xml:space="preserve"> rely</w:t>
      </w:r>
      <w:r w:rsidR="0034194C">
        <w:t xml:space="preserve"> on strong assumptions</w:t>
      </w:r>
      <w:r w:rsidR="00DB748A">
        <w:t>.</w:t>
      </w:r>
      <w:r w:rsidR="00B672A5">
        <w:t xml:space="preserve"> </w:t>
      </w:r>
      <w:r w:rsidR="002B0CB5">
        <w:t xml:space="preserve">For example, </w:t>
      </w:r>
      <w:r w:rsidR="003127A7">
        <w:t xml:space="preserve">Australian </w:t>
      </w:r>
      <w:r w:rsidR="00072A76">
        <w:t>c</w:t>
      </w:r>
      <w:r w:rsidR="009D4FB5">
        <w:t>ompanies are assumed not to revert</w:t>
      </w:r>
      <w:r w:rsidR="00E80A87">
        <w:t xml:space="preserve"> </w:t>
      </w:r>
      <w:r w:rsidR="006D5597">
        <w:t>to the low payout ratios</w:t>
      </w:r>
      <w:r w:rsidR="006D2B1A">
        <w:t xml:space="preserve"> and hi</w:t>
      </w:r>
      <w:r w:rsidR="00F80599">
        <w:t>gh gearing that were widespread</w:t>
      </w:r>
      <w:r w:rsidR="001518E7">
        <w:t xml:space="preserve"> before imputation</w:t>
      </w:r>
      <w:r w:rsidR="00D2265B">
        <w:t xml:space="preserve">. </w:t>
      </w:r>
      <w:r w:rsidR="00DB748A">
        <w:t xml:space="preserve">Moreover, </w:t>
      </w:r>
      <w:r w:rsidR="00837B6D">
        <w:t>eyeballing</w:t>
      </w:r>
      <w:r w:rsidR="008C0846">
        <w:t xml:space="preserve"> </w:t>
      </w:r>
      <w:r w:rsidR="00685B11">
        <w:t>a scatterplot of recent OECD data</w:t>
      </w:r>
      <w:r w:rsidR="00DF61DA">
        <w:t xml:space="preserve"> </w:t>
      </w:r>
      <w:r w:rsidR="00685B11">
        <w:t xml:space="preserve">suggests </w:t>
      </w:r>
      <w:r w:rsidR="00994BB6">
        <w:t xml:space="preserve">that </w:t>
      </w:r>
      <w:r w:rsidR="00685B11">
        <w:t>the new headline rate would be</w:t>
      </w:r>
      <w:r w:rsidR="00E811B2">
        <w:t xml:space="preserve"> more like</w:t>
      </w:r>
      <w:r w:rsidR="00685B11">
        <w:t xml:space="preserve"> 25 per cent. That is</w:t>
      </w:r>
      <w:r w:rsidR="00124576">
        <w:t>,</w:t>
      </w:r>
      <w:r w:rsidR="00797E2C">
        <w:t xml:space="preserve"> </w:t>
      </w:r>
      <w:r w:rsidR="003127A7">
        <w:t>Treasury-type modelling</w:t>
      </w:r>
      <w:r w:rsidR="00797E2C">
        <w:t xml:space="preserve"> generate</w:t>
      </w:r>
      <w:r w:rsidR="00C2371C">
        <w:t>s</w:t>
      </w:r>
      <w:r w:rsidR="006B4B5C">
        <w:t xml:space="preserve"> </w:t>
      </w:r>
      <w:r w:rsidR="009F250F">
        <w:t>more optimistic guesses</w:t>
      </w:r>
      <w:r w:rsidR="000A201E">
        <w:t>.</w:t>
      </w:r>
      <w:r w:rsidR="003127A7" w:rsidRPr="003127A7">
        <w:rPr>
          <w:rStyle w:val="EndnoteReference"/>
        </w:rPr>
        <w:t xml:space="preserve"> </w:t>
      </w:r>
      <w:r w:rsidR="003127A7">
        <w:rPr>
          <w:rStyle w:val="EndnoteReference"/>
        </w:rPr>
        <w:endnoteReference w:id="1"/>
      </w:r>
    </w:p>
    <w:p w14:paraId="41C59704" w14:textId="77777777" w:rsidR="00F577FC" w:rsidRDefault="00F577FC" w:rsidP="00CF2CC2">
      <w:pPr>
        <w:spacing w:line="360" w:lineRule="auto"/>
        <w:jc w:val="both"/>
      </w:pPr>
    </w:p>
    <w:p w14:paraId="543F557C" w14:textId="2420EB7D" w:rsidR="00581ABE" w:rsidRDefault="003254DF" w:rsidP="00CF2CC2">
      <w:pPr>
        <w:spacing w:line="360" w:lineRule="auto"/>
        <w:jc w:val="both"/>
      </w:pPr>
      <w:r>
        <w:t>The s</w:t>
      </w:r>
      <w:r w:rsidR="00957F62">
        <w:t xml:space="preserve">tandard analysis of company tax in the </w:t>
      </w:r>
      <w:r w:rsidR="00A222F9">
        <w:t xml:space="preserve">small </w:t>
      </w:r>
      <w:r w:rsidR="00957F62">
        <w:t>open economy</w:t>
      </w:r>
      <w:r w:rsidR="00D17462">
        <w:t xml:space="preserve"> was</w:t>
      </w:r>
      <w:r>
        <w:t xml:space="preserve"> originated</w:t>
      </w:r>
      <w:r w:rsidR="00237F08">
        <w:t xml:space="preserve"> by Sir Donald MacDougall</w:t>
      </w:r>
      <w:r w:rsidR="00E74194">
        <w:t xml:space="preserve"> and </w:t>
      </w:r>
      <w:r w:rsidR="00D17462">
        <w:t xml:space="preserve">has been </w:t>
      </w:r>
      <w:r w:rsidR="00E74194">
        <w:t>reprised in the Treasury Working Paper</w:t>
      </w:r>
      <w:r w:rsidR="00A222F9">
        <w:t>. That</w:t>
      </w:r>
      <w:r w:rsidR="0035076B">
        <w:t xml:space="preserve"> analysis</w:t>
      </w:r>
      <w:r w:rsidR="00D17462">
        <w:t xml:space="preserve"> </w:t>
      </w:r>
      <w:r w:rsidR="00A41CAD">
        <w:t>assumes capital is perfectly mobile internationa</w:t>
      </w:r>
      <w:r w:rsidR="000F31F2">
        <w:t>lly, labour is immobile,</w:t>
      </w:r>
      <w:r w:rsidR="009D15A7">
        <w:t xml:space="preserve"> payout ratios</w:t>
      </w:r>
      <w:r w:rsidR="000F31F2">
        <w:t xml:space="preserve"> are 100 per cent</w:t>
      </w:r>
      <w:r w:rsidR="009D15A7">
        <w:t xml:space="preserve">, </w:t>
      </w:r>
      <w:r w:rsidR="001D3393">
        <w:t>corporate borrowing</w:t>
      </w:r>
      <w:r w:rsidR="000F31F2">
        <w:t xml:space="preserve"> is zero</w:t>
      </w:r>
      <w:r w:rsidR="00FE0977">
        <w:t xml:space="preserve"> </w:t>
      </w:r>
      <w:r w:rsidR="00A6781E">
        <w:t>(</w:t>
      </w:r>
      <w:r w:rsidR="00FE0977">
        <w:t>or unresponsive to tax policy</w:t>
      </w:r>
      <w:r w:rsidR="00A6781E">
        <w:t>)</w:t>
      </w:r>
      <w:r w:rsidR="001D3393">
        <w:t xml:space="preserve">, </w:t>
      </w:r>
      <w:r w:rsidR="000F31F2">
        <w:t xml:space="preserve">and the marginal investor </w:t>
      </w:r>
      <w:r w:rsidR="00C15EB7">
        <w:t>resides</w:t>
      </w:r>
      <w:r w:rsidR="000F31F2">
        <w:t xml:space="preserve"> wholly</w:t>
      </w:r>
      <w:r w:rsidR="009D15A7">
        <w:t xml:space="preserve"> offshore</w:t>
      </w:r>
      <w:r w:rsidR="000F31F2">
        <w:t>. Under these conditions</w:t>
      </w:r>
      <w:r w:rsidR="009D15A7">
        <w:t xml:space="preserve"> </w:t>
      </w:r>
      <w:r w:rsidR="00BD0F93">
        <w:t>the size of the domestic</w:t>
      </w:r>
      <w:r w:rsidR="00A41CAD">
        <w:t xml:space="preserve"> capital stock is driven by the </w:t>
      </w:r>
      <w:r w:rsidR="009D15A7">
        <w:t xml:space="preserve">headline </w:t>
      </w:r>
      <w:r w:rsidR="00A41CAD">
        <w:t>company tax rate</w:t>
      </w:r>
      <w:r w:rsidR="00E74EC2">
        <w:t>,</w:t>
      </w:r>
      <w:r w:rsidR="00A41CAD">
        <w:t xml:space="preserve"> and is unaffected by dividend imputation.</w:t>
      </w:r>
      <w:r w:rsidR="007C4F1C">
        <w:t xml:space="preserve"> Th</w:t>
      </w:r>
      <w:r w:rsidR="00C36CBA">
        <w:t>is</w:t>
      </w:r>
      <w:r w:rsidR="007C4F1C">
        <w:t xml:space="preserve"> is the essence of the case</w:t>
      </w:r>
      <w:r w:rsidR="00A41CAD">
        <w:t xml:space="preserve"> </w:t>
      </w:r>
      <w:r w:rsidR="00B62F13">
        <w:t xml:space="preserve">for abolishing </w:t>
      </w:r>
      <w:r w:rsidR="009810E2">
        <w:t>dividend imputation and using the proceeds to</w:t>
      </w:r>
      <w:r w:rsidR="008B6D6B">
        <w:t xml:space="preserve"> lower </w:t>
      </w:r>
      <w:r w:rsidR="009810E2">
        <w:t xml:space="preserve">the headline </w:t>
      </w:r>
      <w:r w:rsidR="008B6D6B">
        <w:t>rate</w:t>
      </w:r>
      <w:r w:rsidR="00D7197A">
        <w:t>.</w:t>
      </w:r>
    </w:p>
    <w:p w14:paraId="1CBF5881" w14:textId="77777777" w:rsidR="00581ABE" w:rsidRDefault="00581ABE" w:rsidP="00CF2CC2">
      <w:pPr>
        <w:spacing w:line="360" w:lineRule="auto"/>
        <w:jc w:val="both"/>
      </w:pPr>
    </w:p>
    <w:p w14:paraId="73B31A43" w14:textId="6CB4332C" w:rsidR="00454758" w:rsidRDefault="00284428" w:rsidP="00CF2CC2">
      <w:pPr>
        <w:spacing w:line="360" w:lineRule="auto"/>
        <w:jc w:val="both"/>
      </w:pPr>
      <w:r>
        <w:t>Yet</w:t>
      </w:r>
      <w:r w:rsidR="009D15A7">
        <w:t xml:space="preserve"> foreign-controlled entities which cannot access imputation credi</w:t>
      </w:r>
      <w:r w:rsidR="006121B9">
        <w:t>ts can minimise company tax by means of</w:t>
      </w:r>
      <w:r w:rsidR="00DF239D">
        <w:t xml:space="preserve"> </w:t>
      </w:r>
      <w:r w:rsidR="000B4840">
        <w:t>earnings</w:t>
      </w:r>
      <w:r w:rsidR="00A9624A">
        <w:t xml:space="preserve"> </w:t>
      </w:r>
      <w:r w:rsidR="003A4BED">
        <w:t xml:space="preserve">retention, </w:t>
      </w:r>
      <w:r w:rsidR="009D15A7">
        <w:t>deb</w:t>
      </w:r>
      <w:r w:rsidR="00A9624A">
        <w:t>t finance</w:t>
      </w:r>
      <w:r w:rsidR="003A4BED">
        <w:t xml:space="preserve"> and transfer pricing</w:t>
      </w:r>
      <w:r w:rsidR="00DF239D">
        <w:t xml:space="preserve">, </w:t>
      </w:r>
      <w:r w:rsidR="00717C68">
        <w:t>weakened</w:t>
      </w:r>
      <w:r w:rsidR="00F06861">
        <w:t xml:space="preserve"> as these strategies</w:t>
      </w:r>
      <w:r w:rsidR="00DF239D">
        <w:t xml:space="preserve"> are by</w:t>
      </w:r>
      <w:r w:rsidR="009D15A7">
        <w:t xml:space="preserve"> Australia’s </w:t>
      </w:r>
      <w:r w:rsidR="000B4840">
        <w:t xml:space="preserve">capital gains tax, </w:t>
      </w:r>
      <w:r w:rsidR="009D15A7">
        <w:t>thin-capit</w:t>
      </w:r>
      <w:r w:rsidR="000B4840">
        <w:t xml:space="preserve">alisation rules and </w:t>
      </w:r>
      <w:r w:rsidR="00245216">
        <w:t>withholding tax</w:t>
      </w:r>
      <w:r w:rsidR="00CB4F66">
        <w:t>es</w:t>
      </w:r>
      <w:r w:rsidR="00245216">
        <w:t xml:space="preserve"> on </w:t>
      </w:r>
      <w:r w:rsidR="009D15A7">
        <w:t xml:space="preserve">interest </w:t>
      </w:r>
      <w:r w:rsidR="00CB4F66">
        <w:t xml:space="preserve">and dividend </w:t>
      </w:r>
      <w:r w:rsidR="009D15A7">
        <w:t>payments</w:t>
      </w:r>
      <w:r w:rsidR="003A4BED">
        <w:t xml:space="preserve"> offshore.</w:t>
      </w:r>
      <w:r w:rsidR="009D15A7">
        <w:t xml:space="preserve"> </w:t>
      </w:r>
      <w:r w:rsidR="00A062ED">
        <w:t>Moreover, there appears to be</w:t>
      </w:r>
      <w:r w:rsidR="001B78AC">
        <w:t xml:space="preserve"> </w:t>
      </w:r>
      <w:r w:rsidR="0079175A">
        <w:t xml:space="preserve">some </w:t>
      </w:r>
      <w:r w:rsidR="00A062ED">
        <w:t xml:space="preserve">leakage </w:t>
      </w:r>
      <w:r w:rsidR="001B78AC">
        <w:t xml:space="preserve">offshore </w:t>
      </w:r>
      <w:r w:rsidR="00A062ED">
        <w:t xml:space="preserve">of </w:t>
      </w:r>
      <w:r w:rsidR="00EC1797">
        <w:t>imputation credits</w:t>
      </w:r>
      <w:r w:rsidR="00A062ED">
        <w:t xml:space="preserve">: “An </w:t>
      </w:r>
      <w:r w:rsidR="00A062ED" w:rsidRPr="00A062ED">
        <w:t xml:space="preserve">estimated $12 billion </w:t>
      </w:r>
      <w:r w:rsidR="00A062ED">
        <w:t xml:space="preserve">(30 per cent) of the imputation </w:t>
      </w:r>
      <w:r w:rsidR="00A062ED" w:rsidRPr="00A062ED">
        <w:t>credits distributed each year are receiv</w:t>
      </w:r>
      <w:r w:rsidR="00A062ED">
        <w:t>ed by non-resident shareholders</w:t>
      </w:r>
      <w:r>
        <w:t>” (Tax Discussion Paper</w:t>
      </w:r>
      <w:r w:rsidR="00A062ED">
        <w:t>).</w:t>
      </w:r>
      <w:r w:rsidR="009D48BD">
        <w:t xml:space="preserve"> </w:t>
      </w:r>
      <w:r w:rsidR="001E4FAD">
        <w:t>And when</w:t>
      </w:r>
      <w:r w:rsidR="00A41CAD">
        <w:t xml:space="preserve"> foreign investors have the option of relocating to Austra</w:t>
      </w:r>
      <w:r w:rsidR="001E4FAD">
        <w:t>lia</w:t>
      </w:r>
      <w:r w:rsidR="001A2ACF">
        <w:t>,</w:t>
      </w:r>
      <w:r w:rsidR="00A67A7F">
        <w:t xml:space="preserve"> </w:t>
      </w:r>
      <w:r>
        <w:t>it is not obvious</w:t>
      </w:r>
      <w:r w:rsidR="00A41CAD">
        <w:t xml:space="preserve"> that </w:t>
      </w:r>
      <w:r w:rsidR="0072594F">
        <w:t>foreign entities are denied franking</w:t>
      </w:r>
      <w:r w:rsidR="00C16484">
        <w:t xml:space="preserve"> c</w:t>
      </w:r>
      <w:r w:rsidR="00D70368">
        <w:t>redits</w:t>
      </w:r>
      <w:r w:rsidR="006B583F">
        <w:t xml:space="preserve"> even in </w:t>
      </w:r>
      <w:r w:rsidR="006B583F">
        <w:lastRenderedPageBreak/>
        <w:t>theory</w:t>
      </w:r>
      <w:r w:rsidR="00C16484">
        <w:t>.</w:t>
      </w:r>
      <w:r w:rsidR="004E53FD">
        <w:t xml:space="preserve"> Indeed, Australia’s business migration program is </w:t>
      </w:r>
      <w:r w:rsidR="0067382C">
        <w:t xml:space="preserve">expressly </w:t>
      </w:r>
      <w:r w:rsidR="004E53FD">
        <w:t>designed to</w:t>
      </w:r>
      <w:r w:rsidR="00045413">
        <w:t xml:space="preserve"> attract investor-settlers</w:t>
      </w:r>
      <w:r w:rsidR="004E53FD">
        <w:t>.</w:t>
      </w:r>
      <w:r w:rsidR="0080491A">
        <w:rPr>
          <w:rStyle w:val="EndnoteReference"/>
        </w:rPr>
        <w:endnoteReference w:id="2"/>
      </w:r>
      <w:r w:rsidR="00F4101F">
        <w:t xml:space="preserve"> In these</w:t>
      </w:r>
      <w:r w:rsidR="00893D18">
        <w:t xml:space="preserve"> ways </w:t>
      </w:r>
      <w:r w:rsidR="00F4101F">
        <w:t>and others</w:t>
      </w:r>
      <w:r w:rsidR="00CF2249">
        <w:t>,</w:t>
      </w:r>
      <w:r w:rsidR="00F4101F">
        <w:t xml:space="preserve"> there is ample room for disagreement</w:t>
      </w:r>
      <w:r w:rsidR="00056C6D">
        <w:t xml:space="preserve"> about</w:t>
      </w:r>
      <w:r w:rsidR="002C16AA">
        <w:t xml:space="preserve"> the consequences of </w:t>
      </w:r>
      <w:r w:rsidR="00041D4A">
        <w:t xml:space="preserve">abolishing </w:t>
      </w:r>
      <w:r w:rsidR="00056C6D">
        <w:t>dividend imputation</w:t>
      </w:r>
      <w:r w:rsidR="00893D18">
        <w:t>.</w:t>
      </w:r>
    </w:p>
    <w:p w14:paraId="39036E88" w14:textId="77777777" w:rsidR="00D42D5F" w:rsidRDefault="00D42D5F" w:rsidP="00CF2CC2">
      <w:pPr>
        <w:spacing w:line="360" w:lineRule="auto"/>
        <w:jc w:val="both"/>
      </w:pPr>
    </w:p>
    <w:p w14:paraId="53B42A5A" w14:textId="5944A085" w:rsidR="00190BA0" w:rsidRDefault="00097CF2" w:rsidP="00CF2CC2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Revenues</w:t>
      </w:r>
      <w:r w:rsidR="006F43BC" w:rsidRPr="005022CA">
        <w:rPr>
          <w:b/>
          <w:sz w:val="28"/>
          <w:szCs w:val="28"/>
        </w:rPr>
        <w:t xml:space="preserve"> versus </w:t>
      </w:r>
      <w:r>
        <w:rPr>
          <w:b/>
          <w:sz w:val="28"/>
          <w:szCs w:val="28"/>
        </w:rPr>
        <w:t>rates</w:t>
      </w:r>
    </w:p>
    <w:p w14:paraId="41C99B75" w14:textId="77777777" w:rsidR="0031593B" w:rsidRPr="0031593B" w:rsidRDefault="0031593B" w:rsidP="00CF2CC2">
      <w:pPr>
        <w:spacing w:line="360" w:lineRule="auto"/>
        <w:jc w:val="both"/>
      </w:pPr>
    </w:p>
    <w:p w14:paraId="6E5DAC65" w14:textId="51837B0F" w:rsidR="008563FB" w:rsidRPr="008563FB" w:rsidRDefault="008563FB" w:rsidP="00CF2CC2">
      <w:pPr>
        <w:spacing w:line="360" w:lineRule="auto"/>
        <w:jc w:val="both"/>
      </w:pPr>
      <w:r>
        <w:t>If busine</w:t>
      </w:r>
      <w:r w:rsidR="001831CD">
        <w:t xml:space="preserve">ss tax revenues and the domestically-located capital stock are both </w:t>
      </w:r>
      <w:r>
        <w:t xml:space="preserve">sensitive to the headline </w:t>
      </w:r>
      <w:r w:rsidR="000F6C22">
        <w:t xml:space="preserve">company tax </w:t>
      </w:r>
      <w:r>
        <w:t>rate th</w:t>
      </w:r>
      <w:r w:rsidR="00010BBE">
        <w:t xml:space="preserve">en OECD data </w:t>
      </w:r>
      <w:r w:rsidR="000F6C22">
        <w:t>should confirm</w:t>
      </w:r>
      <w:r>
        <w:t xml:space="preserve"> that. A variant of this hypothesis is that</w:t>
      </w:r>
      <w:r w:rsidRPr="00D42D5F">
        <w:t xml:space="preserve"> </w:t>
      </w:r>
      <w:r>
        <w:t xml:space="preserve">there may be </w:t>
      </w:r>
      <w:r w:rsidR="00A32DC4">
        <w:t>a “tournament effect</w:t>
      </w:r>
      <w:r>
        <w:t>” whereby setting an extremely low rate generates a disproportionate rise in revenues and/or the national capital stock. Typically mentioned in this context are Irish rates (12</w:t>
      </w:r>
      <w:r w:rsidR="00012A75">
        <w:rPr>
          <w:sz w:val="18"/>
          <w:szCs w:val="18"/>
        </w:rPr>
        <w:t xml:space="preserve">½ </w:t>
      </w:r>
      <w:r>
        <w:t>per cent) and Swiss rates (21 per cent</w:t>
      </w:r>
      <w:r w:rsidR="005F255D">
        <w:t>.) Thus, back in 2002</w:t>
      </w:r>
      <w:r>
        <w:t xml:space="preserve"> Ireland’s company tax</w:t>
      </w:r>
      <w:r w:rsidR="005F255D">
        <w:t xml:space="preserve"> receipts as a percentage of total tax revenues</w:t>
      </w:r>
      <w:r w:rsidR="000F6C22">
        <w:t xml:space="preserve"> stood at</w:t>
      </w:r>
      <w:r>
        <w:t xml:space="preserve"> three quarters of the corresponding Australian percentage even before </w:t>
      </w:r>
      <w:r w:rsidR="00794C10">
        <w:t xml:space="preserve">accounting for </w:t>
      </w:r>
      <w:r w:rsidR="005B0EEA">
        <w:t>the</w:t>
      </w:r>
      <w:r>
        <w:t xml:space="preserve"> disbursements </w:t>
      </w:r>
      <w:r w:rsidR="005B0EEA">
        <w:t xml:space="preserve">of franking credits </w:t>
      </w:r>
      <w:r>
        <w:t>to Australian t</w:t>
      </w:r>
      <w:r w:rsidR="00794C10">
        <w:t xml:space="preserve">axpayers </w:t>
      </w:r>
      <w:r>
        <w:t>(Kingston 2006).</w:t>
      </w:r>
      <w:r w:rsidR="009E06A3" w:rsidRPr="009E06A3">
        <w:t xml:space="preserve"> </w:t>
      </w:r>
      <w:r w:rsidR="009E06A3">
        <w:t xml:space="preserve">Figure 1 shows </w:t>
      </w:r>
      <w:r w:rsidR="00405C2B">
        <w:t xml:space="preserve">the latest available data on </w:t>
      </w:r>
      <w:r w:rsidR="009E06A3">
        <w:t>corporate tax revenues and rates in the OECD.</w:t>
      </w:r>
    </w:p>
    <w:p w14:paraId="1AAB972E" w14:textId="0A4DE53B" w:rsidR="008563FB" w:rsidRDefault="00611737" w:rsidP="009E06A3">
      <w:pPr>
        <w:spacing w:line="360" w:lineRule="auto"/>
        <w:jc w:val="center"/>
        <w:rPr>
          <w:b/>
        </w:rPr>
      </w:pPr>
      <w:r>
        <w:rPr>
          <w:noProof/>
          <w:lang w:eastAsia="en-AU"/>
        </w:rPr>
        <w:drawing>
          <wp:inline distT="0" distB="0" distL="0" distR="0" wp14:anchorId="695FC233" wp14:editId="5BE7FBDA">
            <wp:extent cx="5731510" cy="3559175"/>
            <wp:effectExtent l="0" t="0" r="2540" b="3175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43D3762F" w14:textId="77777777" w:rsidR="00847639" w:rsidRPr="00BC04BE" w:rsidRDefault="00847639" w:rsidP="00847639">
      <w:pPr>
        <w:spacing w:line="360" w:lineRule="auto"/>
        <w:jc w:val="both"/>
        <w:rPr>
          <w:sz w:val="20"/>
          <w:szCs w:val="20"/>
        </w:rPr>
      </w:pPr>
      <w:r w:rsidRPr="00BC04BE">
        <w:rPr>
          <w:i/>
          <w:sz w:val="20"/>
          <w:szCs w:val="20"/>
        </w:rPr>
        <w:t>Source:</w:t>
      </w:r>
      <w:r>
        <w:rPr>
          <w:sz w:val="20"/>
          <w:szCs w:val="20"/>
        </w:rPr>
        <w:t xml:space="preserve"> OECD (2015).</w:t>
      </w:r>
    </w:p>
    <w:p w14:paraId="2269C4F0" w14:textId="5A35338A" w:rsidR="00847639" w:rsidRPr="00BC04BE" w:rsidRDefault="00847639" w:rsidP="00847639">
      <w:pPr>
        <w:spacing w:line="360" w:lineRule="auto"/>
        <w:jc w:val="both"/>
        <w:rPr>
          <w:sz w:val="20"/>
          <w:szCs w:val="20"/>
        </w:rPr>
      </w:pPr>
      <w:r w:rsidRPr="00BC04BE">
        <w:rPr>
          <w:i/>
          <w:sz w:val="20"/>
          <w:szCs w:val="20"/>
        </w:rPr>
        <w:lastRenderedPageBreak/>
        <w:t>Note:</w:t>
      </w:r>
      <w:r w:rsidRPr="00BC04BE">
        <w:rPr>
          <w:sz w:val="20"/>
          <w:szCs w:val="20"/>
        </w:rPr>
        <w:t xml:space="preserve"> 2012 data for Chile and Mexico were not available</w:t>
      </w:r>
      <w:r>
        <w:rPr>
          <w:sz w:val="20"/>
          <w:szCs w:val="20"/>
        </w:rPr>
        <w:t>. Along with</w:t>
      </w:r>
      <w:r w:rsidRPr="00BC04BE">
        <w:rPr>
          <w:sz w:val="20"/>
          <w:szCs w:val="20"/>
        </w:rPr>
        <w:t xml:space="preserve"> Australia and New Zealand those two countr</w:t>
      </w:r>
      <w:r w:rsidR="008C1900">
        <w:rPr>
          <w:sz w:val="20"/>
          <w:szCs w:val="20"/>
        </w:rPr>
        <w:t>ies are</w:t>
      </w:r>
      <w:r>
        <w:rPr>
          <w:sz w:val="20"/>
          <w:szCs w:val="20"/>
        </w:rPr>
        <w:t xml:space="preserve"> the only members of the OECD </w:t>
      </w:r>
      <w:r w:rsidRPr="00BC04BE">
        <w:rPr>
          <w:sz w:val="20"/>
          <w:szCs w:val="20"/>
        </w:rPr>
        <w:t xml:space="preserve">to have retained </w:t>
      </w:r>
      <w:r w:rsidR="00C1701A">
        <w:rPr>
          <w:sz w:val="20"/>
          <w:szCs w:val="20"/>
        </w:rPr>
        <w:t xml:space="preserve">full </w:t>
      </w:r>
      <w:r w:rsidRPr="00BC04BE">
        <w:rPr>
          <w:sz w:val="20"/>
          <w:szCs w:val="20"/>
        </w:rPr>
        <w:t>dividend imputation</w:t>
      </w:r>
      <w:r w:rsidR="008C1900">
        <w:rPr>
          <w:sz w:val="20"/>
          <w:szCs w:val="20"/>
        </w:rPr>
        <w:t xml:space="preserve"> </w:t>
      </w:r>
      <w:r w:rsidR="00DA482D">
        <w:rPr>
          <w:sz w:val="20"/>
          <w:szCs w:val="20"/>
        </w:rPr>
        <w:t>(</w:t>
      </w:r>
      <w:r w:rsidR="008C1900">
        <w:rPr>
          <w:sz w:val="20"/>
          <w:szCs w:val="20"/>
        </w:rPr>
        <w:t>Tax Discussion Paper, Table 5.1).</w:t>
      </w:r>
      <w:r w:rsidRPr="00BC04BE">
        <w:rPr>
          <w:sz w:val="20"/>
          <w:szCs w:val="20"/>
        </w:rPr>
        <w:t xml:space="preserve"> </w:t>
      </w:r>
    </w:p>
    <w:p w14:paraId="4EB4F930" w14:textId="77777777" w:rsidR="009E06A3" w:rsidRDefault="009E06A3" w:rsidP="00CF2CC2">
      <w:pPr>
        <w:spacing w:line="360" w:lineRule="auto"/>
        <w:jc w:val="both"/>
        <w:rPr>
          <w:b/>
        </w:rPr>
      </w:pPr>
    </w:p>
    <w:p w14:paraId="0FC883A7" w14:textId="1E8AB9CB" w:rsidR="00BB5317" w:rsidRDefault="00746028" w:rsidP="00CF2CC2">
      <w:pPr>
        <w:spacing w:line="360" w:lineRule="auto"/>
        <w:jc w:val="both"/>
      </w:pPr>
      <w:r>
        <w:t xml:space="preserve">In 2012 </w:t>
      </w:r>
      <w:r w:rsidR="00515B01">
        <w:t xml:space="preserve">Australia’s </w:t>
      </w:r>
      <w:r w:rsidR="006B0467">
        <w:t xml:space="preserve">company </w:t>
      </w:r>
      <w:r w:rsidR="008A7CFD">
        <w:t>tax</w:t>
      </w:r>
      <w:r w:rsidR="006B0467">
        <w:t xml:space="preserve"> </w:t>
      </w:r>
      <w:r w:rsidR="000F0799">
        <w:t>rate</w:t>
      </w:r>
      <w:r w:rsidR="008A7CFD">
        <w:t xml:space="preserve"> </w:t>
      </w:r>
      <w:r w:rsidR="007D69AB">
        <w:t>neighbours were</w:t>
      </w:r>
      <w:r w:rsidR="00390D42">
        <w:t xml:space="preserve"> New Zealand</w:t>
      </w:r>
      <w:r w:rsidR="005618C4">
        <w:t xml:space="preserve"> </w:t>
      </w:r>
      <w:r w:rsidR="00DA482D">
        <w:t>and Luxembourg. Outliers</w:t>
      </w:r>
      <w:r w:rsidR="009F23A3">
        <w:t xml:space="preserve"> of the </w:t>
      </w:r>
      <w:r w:rsidR="001F6452">
        <w:t>scatter</w:t>
      </w:r>
      <w:r w:rsidR="00B22716">
        <w:t>plot</w:t>
      </w:r>
      <w:r w:rsidR="009F23A3">
        <w:t xml:space="preserve"> </w:t>
      </w:r>
      <w:r w:rsidR="00515B01">
        <w:t xml:space="preserve">were Hungary (lowest revenues) Norway (highest revenues), </w:t>
      </w:r>
      <w:r w:rsidR="00A7016B">
        <w:t xml:space="preserve">Ireland (lowest </w:t>
      </w:r>
      <w:r w:rsidR="00515B01">
        <w:t>ra</w:t>
      </w:r>
      <w:r w:rsidR="00A7016B">
        <w:t xml:space="preserve">te) and Japan (highest </w:t>
      </w:r>
      <w:r w:rsidR="00515B01">
        <w:t xml:space="preserve">rate). </w:t>
      </w:r>
    </w:p>
    <w:p w14:paraId="1A6F4FA6" w14:textId="77777777" w:rsidR="00BB5317" w:rsidRDefault="00BB5317" w:rsidP="00CF2CC2">
      <w:pPr>
        <w:spacing w:line="360" w:lineRule="auto"/>
        <w:jc w:val="both"/>
      </w:pPr>
    </w:p>
    <w:p w14:paraId="3B4F4CB3" w14:textId="1892FAB4" w:rsidR="0052425F" w:rsidRDefault="001E4D7D" w:rsidP="00CF2CC2">
      <w:pPr>
        <w:spacing w:line="360" w:lineRule="auto"/>
        <w:jc w:val="both"/>
      </w:pPr>
      <w:r>
        <w:t>Ireland</w:t>
      </w:r>
      <w:r w:rsidR="002842F3">
        <w:t xml:space="preserve"> collected</w:t>
      </w:r>
      <w:r>
        <w:t xml:space="preserve"> more </w:t>
      </w:r>
      <w:r w:rsidR="00741A1F">
        <w:t xml:space="preserve">corporate tax </w:t>
      </w:r>
      <w:r>
        <w:t>r</w:t>
      </w:r>
      <w:r w:rsidR="00B76B86">
        <w:t xml:space="preserve">evenue </w:t>
      </w:r>
      <w:r w:rsidR="0090567E">
        <w:t xml:space="preserve">as a share of GDP </w:t>
      </w:r>
      <w:r w:rsidR="00B76B86">
        <w:t xml:space="preserve">than 12 out of </w:t>
      </w:r>
      <w:r w:rsidR="001D000C">
        <w:t xml:space="preserve">the </w:t>
      </w:r>
      <w:r w:rsidR="00B76B86">
        <w:t>31</w:t>
      </w:r>
      <w:r>
        <w:t xml:space="preserve"> countri</w:t>
      </w:r>
      <w:r w:rsidR="001D000C">
        <w:t>es in the sample</w:t>
      </w:r>
      <w:r w:rsidR="00653BE0">
        <w:t>, even though it does not have</w:t>
      </w:r>
      <w:r w:rsidR="00B76B86">
        <w:t xml:space="preserve"> dividend imputation.</w:t>
      </w:r>
      <w:r>
        <w:t xml:space="preserve"> </w:t>
      </w:r>
      <w:r w:rsidR="00741A1F">
        <w:t xml:space="preserve">That share </w:t>
      </w:r>
      <w:r w:rsidR="0007473B">
        <w:t xml:space="preserve">stood at </w:t>
      </w:r>
      <w:r w:rsidR="000464D1">
        <w:t>2.3 per cent, compared to 2.5 per cent in the case of</w:t>
      </w:r>
      <w:r w:rsidR="005B1BFC">
        <w:t xml:space="preserve"> the United States, which has</w:t>
      </w:r>
      <w:r w:rsidR="000464D1">
        <w:t xml:space="preserve"> what is in effect partial imputation</w:t>
      </w:r>
      <w:r w:rsidR="00514AB0">
        <w:t xml:space="preserve"> but </w:t>
      </w:r>
      <w:r w:rsidR="00BA0A27">
        <w:t>a headline rate of 39</w:t>
      </w:r>
      <w:r w:rsidR="00DD212C">
        <w:t xml:space="preserve"> percent</w:t>
      </w:r>
      <w:r w:rsidR="000464D1">
        <w:t xml:space="preserve">. </w:t>
      </w:r>
      <w:r w:rsidR="001844C2">
        <w:t xml:space="preserve">As recently as 2006, </w:t>
      </w:r>
      <w:r w:rsidR="00235A19">
        <w:t xml:space="preserve">Irish </w:t>
      </w:r>
      <w:r w:rsidR="001844C2">
        <w:t>corporate tax revenue stood at 3.2 per cent of GDP.</w:t>
      </w:r>
      <w:r>
        <w:t xml:space="preserve"> </w:t>
      </w:r>
      <w:r w:rsidR="00F17412">
        <w:t xml:space="preserve">The </w:t>
      </w:r>
      <w:r w:rsidR="00113428">
        <w:t xml:space="preserve">decline </w:t>
      </w:r>
      <w:r w:rsidR="00E9782D">
        <w:t>between</w:t>
      </w:r>
      <w:r w:rsidR="00F17412">
        <w:t xml:space="preserve"> 2006 </w:t>
      </w:r>
      <w:r w:rsidR="00E9782D">
        <w:t>and 2012 was</w:t>
      </w:r>
      <w:r w:rsidR="00D62175">
        <w:t xml:space="preserve"> presumably to do with</w:t>
      </w:r>
      <w:r w:rsidR="001844C2">
        <w:t xml:space="preserve"> Ireland’s </w:t>
      </w:r>
      <w:r w:rsidR="00DA337D">
        <w:t>subdued economy</w:t>
      </w:r>
      <w:r w:rsidR="00746028">
        <w:t xml:space="preserve"> </w:t>
      </w:r>
      <w:r w:rsidR="00827A5D">
        <w:t>in the wake of</w:t>
      </w:r>
      <w:r w:rsidR="007E1EA9">
        <w:t xml:space="preserve"> </w:t>
      </w:r>
      <w:r w:rsidR="00DD212C">
        <w:t xml:space="preserve">the </w:t>
      </w:r>
      <w:r w:rsidR="00746028">
        <w:t>global financial crisis.</w:t>
      </w:r>
    </w:p>
    <w:p w14:paraId="6C3E4E1C" w14:textId="77777777" w:rsidR="0052425F" w:rsidRDefault="0052425F" w:rsidP="00CF2CC2">
      <w:pPr>
        <w:spacing w:line="360" w:lineRule="auto"/>
        <w:jc w:val="both"/>
      </w:pPr>
    </w:p>
    <w:p w14:paraId="2D477545" w14:textId="3CB56820" w:rsidR="00A549DE" w:rsidRDefault="00A66ECA" w:rsidP="00CF2CC2">
      <w:pPr>
        <w:spacing w:line="360" w:lineRule="auto"/>
        <w:jc w:val="both"/>
      </w:pPr>
      <w:r>
        <w:t>Likewise, in</w:t>
      </w:r>
      <w:r w:rsidR="00B03C61">
        <w:t xml:space="preserve"> the OECD as a whole</w:t>
      </w:r>
      <w:r w:rsidR="00015968">
        <w:t>,</w:t>
      </w:r>
      <w:r w:rsidR="00D0015A">
        <w:t xml:space="preserve"> </w:t>
      </w:r>
      <w:r w:rsidR="00CF23BC">
        <w:t xml:space="preserve">2012 offered </w:t>
      </w:r>
      <w:r w:rsidR="00BB5317">
        <w:t>lit</w:t>
      </w:r>
      <w:r w:rsidR="00526A02">
        <w:t>tle sign</w:t>
      </w:r>
      <w:r w:rsidR="001A23C4">
        <w:t xml:space="preserve"> of a “tournament</w:t>
      </w:r>
      <w:r w:rsidR="00BB5317">
        <w:t xml:space="preserve"> effect</w:t>
      </w:r>
      <w:r w:rsidR="001A23C4">
        <w:t>” whereby setting an ultra-low headline rate generates exceptional revenues</w:t>
      </w:r>
      <w:r w:rsidR="005B3757">
        <w:t>. Rather, t</w:t>
      </w:r>
      <w:r w:rsidR="00D0015A">
        <w:t>here was</w:t>
      </w:r>
      <w:r w:rsidR="00BB5317">
        <w:t xml:space="preserve"> a positive association between </w:t>
      </w:r>
      <w:r w:rsidR="0044543D">
        <w:t>revenues and rates, consistent with</w:t>
      </w:r>
      <w:r w:rsidR="00FF0F35">
        <w:t xml:space="preserve"> c</w:t>
      </w:r>
      <w:r w:rsidR="00A21502">
        <w:t xml:space="preserve">onventional </w:t>
      </w:r>
      <w:r w:rsidR="000C480F">
        <w:t>thinking</w:t>
      </w:r>
      <w:r w:rsidR="00A21502">
        <w:t xml:space="preserve"> on public finance</w:t>
      </w:r>
      <w:r w:rsidR="00FF0F35">
        <w:t>.</w:t>
      </w:r>
    </w:p>
    <w:p w14:paraId="296A9D87" w14:textId="77777777" w:rsidR="00AE6E67" w:rsidRDefault="00AE6E67" w:rsidP="00CF2CC2">
      <w:pPr>
        <w:spacing w:line="360" w:lineRule="auto"/>
        <w:jc w:val="both"/>
      </w:pPr>
    </w:p>
    <w:p w14:paraId="7A2A0620" w14:textId="32C1443A" w:rsidR="00AE6E67" w:rsidRDefault="00900AE6" w:rsidP="00CF2CC2">
      <w:pPr>
        <w:spacing w:line="360" w:lineRule="auto"/>
        <w:jc w:val="both"/>
      </w:pPr>
      <w:r>
        <w:t>Saul Estlake has been reported as saying</w:t>
      </w:r>
      <w:r w:rsidR="00967DD5">
        <w:t xml:space="preserve"> that </w:t>
      </w:r>
      <w:r w:rsidR="00AE6E67">
        <w:t>abolishing dividend imputation in Australia would enable</w:t>
      </w:r>
      <w:r w:rsidR="00F808D5">
        <w:t xml:space="preserve"> </w:t>
      </w:r>
      <w:r w:rsidR="003D3E41">
        <w:t xml:space="preserve">cutting our headline rate </w:t>
      </w:r>
      <w:r w:rsidR="00F808D5">
        <w:t>to 25 per cent</w:t>
      </w:r>
      <w:r w:rsidR="00A013FF">
        <w:t xml:space="preserve"> (Irvine 2015)</w:t>
      </w:r>
      <w:r w:rsidR="00F808D5">
        <w:t>.</w:t>
      </w:r>
      <w:r w:rsidR="00BC7A70" w:rsidRPr="00BC7A70">
        <w:rPr>
          <w:rStyle w:val="EndnoteReference"/>
        </w:rPr>
        <w:t xml:space="preserve"> </w:t>
      </w:r>
      <w:r w:rsidR="00F808D5">
        <w:t>A relevan</w:t>
      </w:r>
      <w:r w:rsidR="0044543D">
        <w:t>t data point in Figure 1 is the one for</w:t>
      </w:r>
      <w:r w:rsidR="00F808D5">
        <w:t xml:space="preserve"> </w:t>
      </w:r>
      <w:r w:rsidR="00C4008A">
        <w:t xml:space="preserve">South </w:t>
      </w:r>
      <w:r w:rsidR="00F808D5">
        <w:t>Korea, which</w:t>
      </w:r>
      <w:r w:rsidR="00A717CB">
        <w:t xml:space="preserve"> in 2012 </w:t>
      </w:r>
      <w:r w:rsidR="0044543D">
        <w:t>collected company taxes worth</w:t>
      </w:r>
      <w:r w:rsidR="00F808D5">
        <w:t xml:space="preserve"> 3.7 per cent of</w:t>
      </w:r>
      <w:r w:rsidR="00312221">
        <w:t xml:space="preserve"> GDP</w:t>
      </w:r>
      <w:r w:rsidR="00A717CB">
        <w:t>,</w:t>
      </w:r>
      <w:r w:rsidR="00BC0CD4">
        <w:t xml:space="preserve"> by means of</w:t>
      </w:r>
      <w:r w:rsidR="008C1900">
        <w:t xml:space="preserve"> a headline rate of 24 per cent, along with partial shareholder relief from double taxation (Tax Discussion Paper, Table 5.3).</w:t>
      </w:r>
      <w:r w:rsidR="00F808D5">
        <w:t xml:space="preserve"> By contrast, Austral</w:t>
      </w:r>
      <w:r w:rsidR="0048606E">
        <w:t>ia raised 5.2 per cent of GDP</w:t>
      </w:r>
      <w:r w:rsidR="00F808D5">
        <w:t>.</w:t>
      </w:r>
      <w:r w:rsidR="00AE6E67">
        <w:t xml:space="preserve"> </w:t>
      </w:r>
      <w:r w:rsidR="0039677B">
        <w:t>T</w:t>
      </w:r>
      <w:r w:rsidR="00CE72A8">
        <w:t xml:space="preserve">his difference, namely </w:t>
      </w:r>
      <w:r w:rsidR="0039677B">
        <w:t>5.2-3.7</w:t>
      </w:r>
      <w:r w:rsidR="00CE72A8">
        <w:t xml:space="preserve"> </w:t>
      </w:r>
      <w:r w:rsidR="001B3303">
        <w:t>= 1.5 percentage points, is close to</w:t>
      </w:r>
      <w:r w:rsidR="00CE72A8">
        <w:t xml:space="preserve"> </w:t>
      </w:r>
      <w:r w:rsidR="006B0467">
        <w:t xml:space="preserve">the </w:t>
      </w:r>
      <w:r w:rsidR="00CE72A8">
        <w:t>total imputation credits</w:t>
      </w:r>
      <w:r w:rsidR="00AB742A">
        <w:t xml:space="preserve"> claimed by individuals</w:t>
      </w:r>
      <w:r w:rsidR="0044543D">
        <w:t xml:space="preserve">, </w:t>
      </w:r>
      <w:r w:rsidR="00CE72A8">
        <w:t>superannuatio</w:t>
      </w:r>
      <w:r w:rsidR="0044543D">
        <w:t>n funds and charities</w:t>
      </w:r>
      <w:r w:rsidR="00AB742A">
        <w:t xml:space="preserve">, namely </w:t>
      </w:r>
      <w:r w:rsidR="001B3303">
        <w:t>1.3 per cent of Australia’s GDP in calendar 2012</w:t>
      </w:r>
      <w:r>
        <w:t>.</w:t>
      </w:r>
      <w:r>
        <w:rPr>
          <w:rStyle w:val="EndnoteReference"/>
        </w:rPr>
        <w:endnoteReference w:id="3"/>
      </w:r>
      <w:r w:rsidR="0044543D">
        <w:t xml:space="preserve"> Thus</w:t>
      </w:r>
      <w:r w:rsidR="001B3303">
        <w:t xml:space="preserve"> Fig</w:t>
      </w:r>
      <w:r w:rsidR="0044543D">
        <w:t>ure 1</w:t>
      </w:r>
      <w:r w:rsidR="00D51509">
        <w:t xml:space="preserve"> support</w:t>
      </w:r>
      <w:r w:rsidR="0044543D">
        <w:t xml:space="preserve">s </w:t>
      </w:r>
      <w:r w:rsidR="001B3303">
        <w:t>Estlake’s estimate.</w:t>
      </w:r>
    </w:p>
    <w:p w14:paraId="393A01C5" w14:textId="77777777" w:rsidR="00562576" w:rsidRDefault="00562576" w:rsidP="00CF2CC2">
      <w:pPr>
        <w:spacing w:line="360" w:lineRule="auto"/>
        <w:jc w:val="both"/>
      </w:pPr>
    </w:p>
    <w:p w14:paraId="0162BE0F" w14:textId="47A15843" w:rsidR="00C4008A" w:rsidRDefault="00C4008A" w:rsidP="00CF2CC2">
      <w:pPr>
        <w:spacing w:line="360" w:lineRule="auto"/>
        <w:jc w:val="both"/>
      </w:pPr>
      <w:r>
        <w:t>Gruen (2006, pp22-23) says</w:t>
      </w:r>
      <w:r w:rsidR="00A54519">
        <w:t>, by contrast,</w:t>
      </w:r>
      <w:r>
        <w:t xml:space="preserve"> that “an indicative ta</w:t>
      </w:r>
      <w:r w:rsidR="00CD3FA9">
        <w:t>rget for the company tax rate</w:t>
      </w:r>
      <w:r>
        <w:t xml:space="preserve"> if Australia moves back to the classical system” is in the range of 19 - 21 per cent, although “revenue </w:t>
      </w:r>
      <w:r>
        <w:lastRenderedPageBreak/>
        <w:t>neutrality might allow the rate to be reduced to still lower level</w:t>
      </w:r>
      <w:r w:rsidR="005D62F2">
        <w:t>s—perhaps 15 per cent or less.”</w:t>
      </w:r>
      <w:r w:rsidR="00D06813">
        <w:t xml:space="preserve"> Gruen cites de Mooij and Ederveen (2006) and other</w:t>
      </w:r>
      <w:r w:rsidR="005D62F2">
        <w:t xml:space="preserve">s </w:t>
      </w:r>
      <w:r w:rsidR="00D06813">
        <w:t xml:space="preserve">in support of the 15 per cent figure. </w:t>
      </w:r>
      <w:r w:rsidR="004046AD">
        <w:t>F</w:t>
      </w:r>
      <w:r w:rsidR="001E304A">
        <w:t xml:space="preserve">ollowing </w:t>
      </w:r>
      <w:r w:rsidR="003F0D18">
        <w:t>the logic of</w:t>
      </w:r>
      <w:r w:rsidR="001A5E2C">
        <w:t xml:space="preserve"> </w:t>
      </w:r>
      <w:r w:rsidR="00012155">
        <w:t>the Treasury Working Paper</w:t>
      </w:r>
      <w:r w:rsidR="001E304A">
        <w:t xml:space="preserve"> I</w:t>
      </w:r>
      <w:r w:rsidR="000F3059">
        <w:t xml:space="preserve"> estimate that</w:t>
      </w:r>
      <w:r w:rsidR="00F72D50">
        <w:t xml:space="preserve"> our</w:t>
      </w:r>
      <w:r w:rsidR="001672BF">
        <w:t xml:space="preserve"> headlin</w:t>
      </w:r>
      <w:r w:rsidR="00AF63E2">
        <w:t>e corporate rate could</w:t>
      </w:r>
      <w:r w:rsidR="000F3059">
        <w:t xml:space="preserve"> be </w:t>
      </w:r>
      <w:r w:rsidR="00A52868">
        <w:t>cut to 20</w:t>
      </w:r>
      <w:r w:rsidR="001672BF">
        <w:t xml:space="preserve"> per cent</w:t>
      </w:r>
      <w:r w:rsidR="006D4FF1">
        <w:t xml:space="preserve"> (see appendix)</w:t>
      </w:r>
      <w:r w:rsidR="00AF63E2">
        <w:t>. T</w:t>
      </w:r>
      <w:r w:rsidR="000D057F">
        <w:t>his</w:t>
      </w:r>
      <w:r w:rsidR="000F3059">
        <w:t xml:space="preserve"> is</w:t>
      </w:r>
      <w:r w:rsidR="000D057F">
        <w:t xml:space="preserve"> </w:t>
      </w:r>
      <w:r w:rsidR="0009358B">
        <w:t xml:space="preserve">broadly </w:t>
      </w:r>
      <w:r w:rsidR="000D057F">
        <w:t>consistent with Gruen’s numbers</w:t>
      </w:r>
      <w:r w:rsidR="000F3059">
        <w:t>.</w:t>
      </w:r>
    </w:p>
    <w:p w14:paraId="4421F09C" w14:textId="77777777" w:rsidR="007B2857" w:rsidRDefault="007B2857" w:rsidP="00CF2CC2">
      <w:pPr>
        <w:spacing w:line="360" w:lineRule="auto"/>
        <w:jc w:val="both"/>
      </w:pPr>
    </w:p>
    <w:p w14:paraId="65185C20" w14:textId="77777777" w:rsidR="007B2857" w:rsidRDefault="007B2857" w:rsidP="00CF2CC2">
      <w:pPr>
        <w:spacing w:line="360" w:lineRule="auto"/>
        <w:jc w:val="both"/>
      </w:pPr>
      <w:r>
        <w:t>Cannavan, Finn and Gray (2</w:t>
      </w:r>
      <w:r w:rsidR="006B0EAE">
        <w:t>004) fi</w:t>
      </w:r>
      <w:r w:rsidR="00356996">
        <w:t xml:space="preserve">nd that </w:t>
      </w:r>
      <w:r w:rsidR="00D7535E">
        <w:t>franking credits had</w:t>
      </w:r>
      <w:r w:rsidR="00077D97">
        <w:t xml:space="preserve"> negligible market value</w:t>
      </w:r>
      <w:r w:rsidR="00077D97" w:rsidRPr="00077D97">
        <w:t xml:space="preserve"> </w:t>
      </w:r>
      <w:r w:rsidR="00356996">
        <w:t xml:space="preserve">following </w:t>
      </w:r>
      <w:r w:rsidR="008C25B7">
        <w:t>system-</w:t>
      </w:r>
      <w:r w:rsidR="00572954">
        <w:t xml:space="preserve">tightening measures </w:t>
      </w:r>
      <w:r w:rsidR="00077D97">
        <w:t xml:space="preserve">in 1997. </w:t>
      </w:r>
      <w:r w:rsidR="00CE7C56">
        <w:t xml:space="preserve">Gruen </w:t>
      </w:r>
      <w:r w:rsidR="008B2AA0">
        <w:t>notes that this result strengthens</w:t>
      </w:r>
      <w:r w:rsidR="009C2D0E">
        <w:t xml:space="preserve"> the case for abolishing dividend imputation</w:t>
      </w:r>
      <w:r w:rsidR="00037526">
        <w:t xml:space="preserve">. </w:t>
      </w:r>
      <w:r w:rsidR="00077D97">
        <w:t>However, Minney (2010</w:t>
      </w:r>
      <w:r w:rsidR="00E71499">
        <w:t>, p32</w:t>
      </w:r>
      <w:r w:rsidR="00077D97">
        <w:t>) finds that “there has been an increase in</w:t>
      </w:r>
      <w:r w:rsidR="00E71499">
        <w:t xml:space="preserve"> the value assigned to franking credits over recent years for stocks in the ASX 300”, from 24 per cent of their theoretical value in the period 2001-2005, to 53 per cent for 2006-2009.</w:t>
      </w:r>
      <w:r w:rsidR="00077D97">
        <w:t xml:space="preserve"> </w:t>
      </w:r>
    </w:p>
    <w:p w14:paraId="104845F0" w14:textId="77777777" w:rsidR="00725CF9" w:rsidRDefault="00725CF9" w:rsidP="007B21E0">
      <w:pPr>
        <w:spacing w:line="360" w:lineRule="auto"/>
      </w:pPr>
    </w:p>
    <w:p w14:paraId="4C5ED914" w14:textId="33C37493" w:rsidR="008223BA" w:rsidRDefault="00B5270F" w:rsidP="007B21E0">
      <w:pPr>
        <w:spacing w:line="360" w:lineRule="auto"/>
      </w:pPr>
      <w:r>
        <w:t>A third</w:t>
      </w:r>
      <w:r w:rsidR="008223BA">
        <w:t xml:space="preserve"> way to estimate the new rate after abolition is simply to </w:t>
      </w:r>
      <w:r>
        <w:t xml:space="preserve">scale down the current rate of 30 per cent by the </w:t>
      </w:r>
      <w:r w:rsidR="00F41756">
        <w:t>proportionate reduction in revenues once franking credits are no longer distributed to households, superannuation funds and charities. This method gives a new rate of 30 x (65 -</w:t>
      </w:r>
      <w:r w:rsidR="00793EE3">
        <w:t xml:space="preserve"> </w:t>
      </w:r>
      <w:r w:rsidR="00C74D8E">
        <w:t xml:space="preserve">19)/65 i.e. 21 per cent, </w:t>
      </w:r>
      <w:r w:rsidR="007342AA">
        <w:t>in between the two earlier estimates.</w:t>
      </w:r>
    </w:p>
    <w:p w14:paraId="7368B02E" w14:textId="77777777" w:rsidR="00F41756" w:rsidRDefault="00F41756" w:rsidP="007B21E0">
      <w:pPr>
        <w:spacing w:line="360" w:lineRule="auto"/>
      </w:pPr>
    </w:p>
    <w:p w14:paraId="3FAFCAA6" w14:textId="77777777" w:rsidR="00190BA0" w:rsidRDefault="00847639" w:rsidP="00CF2CC2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Models</w:t>
      </w:r>
    </w:p>
    <w:p w14:paraId="55FE2090" w14:textId="77777777" w:rsidR="00400AFE" w:rsidRPr="00587177" w:rsidRDefault="00400AFE" w:rsidP="00CF2CC2">
      <w:pPr>
        <w:spacing w:line="360" w:lineRule="auto"/>
        <w:jc w:val="both"/>
      </w:pPr>
    </w:p>
    <w:p w14:paraId="1134217C" w14:textId="3AEAF0FA" w:rsidR="004870BE" w:rsidRDefault="00815ADF" w:rsidP="00CF2CC2">
      <w:pPr>
        <w:spacing w:line="360" w:lineRule="auto"/>
        <w:jc w:val="both"/>
      </w:pPr>
      <w:r>
        <w:t xml:space="preserve">MacDougall (1960), </w:t>
      </w:r>
      <w:r w:rsidR="00451E27">
        <w:t>T</w:t>
      </w:r>
      <w:r w:rsidR="00451E27" w:rsidRPr="00451E27">
        <w:t>reasury Discussion Paper</w:t>
      </w:r>
      <w:r w:rsidR="00B7608C">
        <w:t xml:space="preserve"> (2015), </w:t>
      </w:r>
      <w:r w:rsidR="001A5B0F">
        <w:t xml:space="preserve">a </w:t>
      </w:r>
      <w:r w:rsidR="00451E27">
        <w:t>speech by a Deputy Secretary of the Tre</w:t>
      </w:r>
      <w:r w:rsidR="00B7608C">
        <w:t>asury (Heferen 2015</w:t>
      </w:r>
      <w:r w:rsidR="00C34102">
        <w:t>)</w:t>
      </w:r>
      <w:r w:rsidR="00B7608C">
        <w:t xml:space="preserve"> and Treasury Workin</w:t>
      </w:r>
      <w:r w:rsidR="007B347A">
        <w:t xml:space="preserve">g Paper 2015-01 all highlight </w:t>
      </w:r>
      <w:r w:rsidR="00E13A68">
        <w:t xml:space="preserve">a </w:t>
      </w:r>
      <w:r w:rsidR="00B7608C">
        <w:t>similar diagram</w:t>
      </w:r>
      <w:r w:rsidR="00992568">
        <w:t xml:space="preserve"> showing</w:t>
      </w:r>
      <w:r w:rsidR="00527CBA">
        <w:t xml:space="preserve"> that cutting the headline rate faced by foreign invest</w:t>
      </w:r>
      <w:r w:rsidR="007D5AC6">
        <w:t>ors would enlarge the national</w:t>
      </w:r>
      <w:r w:rsidR="00527CBA">
        <w:t xml:space="preserve"> economy. </w:t>
      </w:r>
      <w:r w:rsidR="0092589C">
        <w:t>Figure 2 of t</w:t>
      </w:r>
      <w:r w:rsidR="00254794">
        <w:t xml:space="preserve">he Treasury Working Paper </w:t>
      </w:r>
      <w:r w:rsidR="00992568">
        <w:t xml:space="preserve">explicitly </w:t>
      </w:r>
      <w:r w:rsidR="00254794">
        <w:t xml:space="preserve">portrays </w:t>
      </w:r>
      <w:r w:rsidR="002D67D2">
        <w:t>some effects of using franking</w:t>
      </w:r>
      <w:r w:rsidR="00254794">
        <w:t xml:space="preserve"> credits to finance a cut in the headline rate. </w:t>
      </w:r>
      <w:r w:rsidR="00B7608C">
        <w:t>The</w:t>
      </w:r>
      <w:r w:rsidR="00451E27">
        <w:t xml:space="preserve"> </w:t>
      </w:r>
      <w:r w:rsidR="004959EE">
        <w:t xml:space="preserve">Treasury </w:t>
      </w:r>
      <w:r w:rsidR="00254794">
        <w:t>Discussion Paper and Heferen’s speech</w:t>
      </w:r>
      <w:r w:rsidR="00ED3677">
        <w:t xml:space="preserve"> portray</w:t>
      </w:r>
      <w:r w:rsidR="00451E27">
        <w:t xml:space="preserve"> “quantity of investment” </w:t>
      </w:r>
      <w:r w:rsidR="004959EE">
        <w:t>(presumably</w:t>
      </w:r>
      <w:r w:rsidR="00B7608C">
        <w:t xml:space="preserve"> the stock of p</w:t>
      </w:r>
      <w:r w:rsidR="006406B8">
        <w:t>hysical capital) on the horizontal</w:t>
      </w:r>
      <w:r w:rsidR="00B7608C">
        <w:t xml:space="preserve"> axis and rates of return</w:t>
      </w:r>
      <w:r w:rsidR="00451E27">
        <w:t xml:space="preserve"> on the vertical axis. Heferen</w:t>
      </w:r>
      <w:r w:rsidR="008517C7">
        <w:t>’s</w:t>
      </w:r>
      <w:r w:rsidR="00254794">
        <w:t xml:space="preserve"> speech</w:t>
      </w:r>
      <w:r w:rsidR="004C6F2C">
        <w:t xml:space="preserve"> highlights</w:t>
      </w:r>
      <w:r w:rsidR="00451E27">
        <w:t xml:space="preserve"> a triangular area labelled “</w:t>
      </w:r>
      <w:r w:rsidR="004C6F2C">
        <w:t>econ</w:t>
      </w:r>
      <w:r w:rsidR="00E13A68">
        <w:t>omic valu</w:t>
      </w:r>
      <w:r w:rsidR="002E276D">
        <w:t>e lost due to the tax”, although</w:t>
      </w:r>
      <w:r w:rsidR="00254794">
        <w:t xml:space="preserve"> it is unclear what this area represents.</w:t>
      </w:r>
      <w:r w:rsidR="004959EE">
        <w:t xml:space="preserve"> </w:t>
      </w:r>
      <w:r w:rsidR="00795A4F">
        <w:t xml:space="preserve">Moreover, </w:t>
      </w:r>
      <w:r w:rsidR="00254794">
        <w:t xml:space="preserve">none of </w:t>
      </w:r>
      <w:r w:rsidR="00795A4F">
        <w:t>t</w:t>
      </w:r>
      <w:r w:rsidR="004959EE">
        <w:t>he Treasury</w:t>
      </w:r>
      <w:r w:rsidR="002D67D2">
        <w:t xml:space="preserve"> documents</w:t>
      </w:r>
      <w:r w:rsidR="00254794">
        <w:t xml:space="preserve"> </w:t>
      </w:r>
      <w:r w:rsidR="00525A3E">
        <w:t>takes a stand on</w:t>
      </w:r>
      <w:r w:rsidR="00F427A5">
        <w:t xml:space="preserve"> the</w:t>
      </w:r>
      <w:r w:rsidR="00CB7589">
        <w:t xml:space="preserve"> associated economic magnitudes. Figure 2 </w:t>
      </w:r>
      <w:r w:rsidR="00BA6FA8">
        <w:t>tries</w:t>
      </w:r>
      <w:r w:rsidR="004959EE">
        <w:t xml:space="preserve"> to fill </w:t>
      </w:r>
      <w:r w:rsidR="00351030">
        <w:t xml:space="preserve">some of </w:t>
      </w:r>
      <w:r w:rsidR="004959EE">
        <w:t>these gaps</w:t>
      </w:r>
      <w:r w:rsidR="00F33247">
        <w:t xml:space="preserve">. </w:t>
      </w:r>
    </w:p>
    <w:p w14:paraId="1C4A4C0B" w14:textId="77777777" w:rsidR="00252B8C" w:rsidRDefault="00252B8C" w:rsidP="00CF2CC2">
      <w:pPr>
        <w:spacing w:line="360" w:lineRule="auto"/>
        <w:jc w:val="both"/>
      </w:pPr>
    </w:p>
    <w:p w14:paraId="284DCEAD" w14:textId="6953F326" w:rsidR="002226D3" w:rsidRDefault="00252B8C" w:rsidP="00252B8C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Figure 2: Abolishing </w:t>
      </w:r>
      <w:r w:rsidRPr="00D8542C">
        <w:rPr>
          <w:sz w:val="28"/>
          <w:szCs w:val="28"/>
        </w:rPr>
        <w:t>dividend imputation</w:t>
      </w:r>
    </w:p>
    <w:p w14:paraId="390C51E8" w14:textId="491F4E1F" w:rsidR="00292770" w:rsidRPr="00252B8C" w:rsidRDefault="00D41D39" w:rsidP="00D41D39">
      <w:pPr>
        <w:spacing w:line="360" w:lineRule="auto"/>
        <w:jc w:val="center"/>
        <w:rPr>
          <w:sz w:val="28"/>
          <w:szCs w:val="28"/>
        </w:rPr>
      </w:pPr>
      <w:r w:rsidRPr="00D41D39">
        <w:rPr>
          <w:noProof/>
          <w:lang w:eastAsia="en-AU"/>
        </w:rPr>
        <w:drawing>
          <wp:inline distT="0" distB="0" distL="0" distR="0" wp14:anchorId="3A796C0D" wp14:editId="5162C65B">
            <wp:extent cx="4882515" cy="329819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2515" cy="3298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5C6542" w14:textId="28357806" w:rsidR="00525A3E" w:rsidRDefault="001F2C0A" w:rsidP="00121755">
      <w:pPr>
        <w:spacing w:line="360" w:lineRule="auto"/>
        <w:jc w:val="both"/>
      </w:pPr>
      <w:r>
        <w:t>Figure 2</w:t>
      </w:r>
      <w:r w:rsidR="00AD4D8C">
        <w:t xml:space="preserve"> portrays the Australian economy before and aft</w:t>
      </w:r>
      <w:r w:rsidR="00FA5183">
        <w:t xml:space="preserve">er the $19bn </w:t>
      </w:r>
      <w:r w:rsidR="006958F5">
        <w:t xml:space="preserve">pa </w:t>
      </w:r>
      <w:r w:rsidR="00FA5183">
        <w:t>of franking</w:t>
      </w:r>
      <w:r w:rsidR="003F082E">
        <w:t xml:space="preserve"> credits claimed by individuals, superannuation funds and charities </w:t>
      </w:r>
      <w:r w:rsidR="00B021F1">
        <w:t>are</w:t>
      </w:r>
      <w:r w:rsidR="00763E7F">
        <w:t xml:space="preserve"> </w:t>
      </w:r>
      <w:r w:rsidR="003F082E">
        <w:t>used to finance a cut in the headline company rate.</w:t>
      </w:r>
    </w:p>
    <w:p w14:paraId="10AD0D30" w14:textId="77777777" w:rsidR="00525A3E" w:rsidRDefault="00525A3E" w:rsidP="00121755">
      <w:pPr>
        <w:spacing w:line="360" w:lineRule="auto"/>
        <w:jc w:val="both"/>
      </w:pPr>
    </w:p>
    <w:p w14:paraId="1E94C1E8" w14:textId="790E6DBE" w:rsidR="008B147C" w:rsidRDefault="00AD4D8C" w:rsidP="00121755">
      <w:pPr>
        <w:spacing w:line="360" w:lineRule="auto"/>
        <w:jc w:val="both"/>
      </w:pPr>
      <w:r>
        <w:t>The horizontal axis s</w:t>
      </w:r>
      <w:r w:rsidR="00821FCC">
        <w:t xml:space="preserve">hows the capital stock. </w:t>
      </w:r>
      <w:r w:rsidR="00B9434A">
        <w:t xml:space="preserve">The schedule </w:t>
      </w:r>
      <w:r w:rsidR="00B9434A" w:rsidRPr="00B9434A">
        <w:rPr>
          <w:b/>
          <w:i/>
        </w:rPr>
        <w:t>D</w:t>
      </w:r>
      <w:r w:rsidR="00B9434A" w:rsidRPr="00B9434A">
        <w:t xml:space="preserve"> </w:t>
      </w:r>
      <w:r w:rsidR="00B9434A">
        <w:t>portrays the</w:t>
      </w:r>
      <w:r w:rsidR="0016603A">
        <w:t xml:space="preserve"> marginal product of Australian-</w:t>
      </w:r>
      <w:r w:rsidR="00B9434A">
        <w:t>located phys</w:t>
      </w:r>
      <w:r w:rsidR="007C288C">
        <w:t>ical capital</w:t>
      </w:r>
      <w:r w:rsidR="003531EE">
        <w:t>.</w:t>
      </w:r>
      <w:r w:rsidR="00735369">
        <w:t xml:space="preserve"> </w:t>
      </w:r>
      <w:r w:rsidR="00900989">
        <w:t>Following Mankiw et al. (1992)</w:t>
      </w:r>
      <w:r w:rsidR="00583BBC">
        <w:t>,</w:t>
      </w:r>
      <w:r w:rsidR="0082602F">
        <w:t xml:space="preserve"> t</w:t>
      </w:r>
      <w:r w:rsidR="00B9434A">
        <w:t>he exponent on physical capital in the aggreg</w:t>
      </w:r>
      <w:r w:rsidR="00087ACD">
        <w:t>ate production function is</w:t>
      </w:r>
      <w:r w:rsidR="0082602F">
        <w:t xml:space="preserve"> one third</w:t>
      </w:r>
      <w:r w:rsidR="0062100E">
        <w:t xml:space="preserve"> (see appendix)</w:t>
      </w:r>
      <w:r w:rsidR="0082602F">
        <w:t xml:space="preserve">. </w:t>
      </w:r>
      <w:r w:rsidR="008B147C">
        <w:t xml:space="preserve">Following the Treasury Working Paper, the schedule </w:t>
      </w:r>
      <w:r w:rsidR="008B147C" w:rsidRPr="008B147C">
        <w:rPr>
          <w:b/>
          <w:i/>
        </w:rPr>
        <w:t>S</w:t>
      </w:r>
      <w:r w:rsidR="008B147C">
        <w:t xml:space="preserve"> shows the supply of capital by Australian residents</w:t>
      </w:r>
      <w:r w:rsidR="0082602F">
        <w:t>,</w:t>
      </w:r>
      <w:r w:rsidR="008B147C">
        <w:t xml:space="preserve"> and is assumed perfectly inelastic, debatable as that assumption is. </w:t>
      </w:r>
      <w:r w:rsidR="00821FCC">
        <w:t>T</w:t>
      </w:r>
      <w:r>
        <w:t xml:space="preserve">he Australian-located capital stock </w:t>
      </w:r>
      <w:r w:rsidR="00821FCC">
        <w:t xml:space="preserve">initially </w:t>
      </w:r>
      <w:r>
        <w:t>stands at $3tn, of which $2.4tn is Australian owned</w:t>
      </w:r>
      <w:r w:rsidRPr="00AD4D8C">
        <w:t xml:space="preserve"> </w:t>
      </w:r>
      <w:r>
        <w:t>(Treasury Working P</w:t>
      </w:r>
      <w:r w:rsidR="00E25484">
        <w:t>aper</w:t>
      </w:r>
      <w:r>
        <w:t xml:space="preserve">). </w:t>
      </w:r>
    </w:p>
    <w:p w14:paraId="4BDFA5C4" w14:textId="77777777" w:rsidR="008B147C" w:rsidRDefault="008B147C" w:rsidP="00121755">
      <w:pPr>
        <w:spacing w:line="360" w:lineRule="auto"/>
        <w:jc w:val="both"/>
      </w:pPr>
    </w:p>
    <w:p w14:paraId="122C1E8C" w14:textId="32B02905" w:rsidR="009C61C2" w:rsidRDefault="00AD4D8C" w:rsidP="009C61C2">
      <w:pPr>
        <w:spacing w:line="360" w:lineRule="auto"/>
        <w:jc w:val="both"/>
      </w:pPr>
      <w:r>
        <w:t>The vertical axis shows the marginal product of capital locat</w:t>
      </w:r>
      <w:r w:rsidR="0038338E">
        <w:t>ed in the Australian economy along with</w:t>
      </w:r>
      <w:r>
        <w:t xml:space="preserve"> three different rates of return. The</w:t>
      </w:r>
      <w:r w:rsidR="0038338E">
        <w:t xml:space="preserve"> heavy dashed lin</w:t>
      </w:r>
      <w:r w:rsidR="00A422D5">
        <w:t>e cuts the vertical axis at 0.05</w:t>
      </w:r>
      <w:r w:rsidR="0038338E">
        <w:t xml:space="preserve">, reflecting </w:t>
      </w:r>
      <w:r w:rsidR="00831734">
        <w:t>an</w:t>
      </w:r>
      <w:r w:rsidR="007F264A">
        <w:t xml:space="preserve"> </w:t>
      </w:r>
      <w:r w:rsidR="0038338E">
        <w:t>assumption that offshore investment</w:t>
      </w:r>
      <w:r w:rsidR="005C60CF">
        <w:t xml:space="preserve">s </w:t>
      </w:r>
      <w:r w:rsidR="0038338E">
        <w:t>are in</w:t>
      </w:r>
      <w:r w:rsidR="00A422D5">
        <w:t xml:space="preserve"> perfectly elastic supply at a 5</w:t>
      </w:r>
      <w:r w:rsidR="0038338E">
        <w:t xml:space="preserve"> per cent</w:t>
      </w:r>
      <w:r w:rsidR="00FA4E74">
        <w:t xml:space="preserve"> real </w:t>
      </w:r>
      <w:r w:rsidR="0038338E">
        <w:t>rate of return</w:t>
      </w:r>
      <w:r w:rsidR="00624727">
        <w:t xml:space="preserve"> (</w:t>
      </w:r>
      <w:r w:rsidR="0038338E">
        <w:t>see appendix</w:t>
      </w:r>
      <w:r w:rsidR="00624727">
        <w:t>)</w:t>
      </w:r>
      <w:r w:rsidR="0038338E">
        <w:t>.</w:t>
      </w:r>
      <w:r w:rsidR="007F264A">
        <w:t xml:space="preserve"> The initial headline rate of company tax is 30 per cent, implying that foreign investors require </w:t>
      </w:r>
      <w:r w:rsidR="0085754C">
        <w:t>a pre-tax rate of return of 0.05</w:t>
      </w:r>
      <w:r w:rsidR="007F264A">
        <w:t xml:space="preserve">/(1 – 0.3) </w:t>
      </w:r>
      <w:r w:rsidR="00960A67">
        <w:t xml:space="preserve">= </w:t>
      </w:r>
      <w:r w:rsidR="00374406">
        <w:t>7</w:t>
      </w:r>
      <w:r w:rsidR="007542D5">
        <w:t>.1</w:t>
      </w:r>
      <w:r w:rsidR="00960A67">
        <w:t xml:space="preserve"> per cent pa </w:t>
      </w:r>
      <w:r w:rsidR="007F264A">
        <w:t xml:space="preserve">for Australian </w:t>
      </w:r>
      <w:r w:rsidR="007F264A">
        <w:lastRenderedPageBreak/>
        <w:t>i</w:t>
      </w:r>
      <w:r w:rsidR="00131DFD">
        <w:t>nvestments to be considered</w:t>
      </w:r>
      <w:r w:rsidR="005F2FC3">
        <w:t>.</w:t>
      </w:r>
      <w:r w:rsidR="009C61C2" w:rsidRPr="009C61C2">
        <w:t xml:space="preserve"> </w:t>
      </w:r>
      <w:r w:rsidR="009C61C2">
        <w:t xml:space="preserve">The </w:t>
      </w:r>
      <w:r w:rsidR="00D56C29">
        <w:t xml:space="preserve">initial </w:t>
      </w:r>
      <w:r w:rsidR="009C61C2">
        <w:t>return before tax to domestic investors is</w:t>
      </w:r>
      <w:r w:rsidR="00E34E87">
        <w:t xml:space="preserve"> also</w:t>
      </w:r>
      <w:r w:rsidR="009C61C2">
        <w:t xml:space="preserve"> </w:t>
      </w:r>
      <w:r w:rsidR="00EF4CA1">
        <w:t>7.1</w:t>
      </w:r>
      <w:r w:rsidR="009C61C2">
        <w:t xml:space="preserve"> per cent pa.</w:t>
      </w:r>
      <w:r w:rsidR="00276B5E">
        <w:t xml:space="preserve"> </w:t>
      </w:r>
    </w:p>
    <w:p w14:paraId="0A1AB490" w14:textId="77777777" w:rsidR="005F2FC3" w:rsidRDefault="005F2FC3" w:rsidP="00121755">
      <w:pPr>
        <w:spacing w:line="360" w:lineRule="auto"/>
        <w:jc w:val="both"/>
      </w:pPr>
    </w:p>
    <w:p w14:paraId="3D8DBF92" w14:textId="3019F014" w:rsidR="00495982" w:rsidRDefault="00495982" w:rsidP="00121755">
      <w:pPr>
        <w:spacing w:line="360" w:lineRule="auto"/>
        <w:jc w:val="both"/>
      </w:pPr>
      <w:r>
        <w:t xml:space="preserve">The revenue </w:t>
      </w:r>
      <w:r w:rsidR="00754FB8">
        <w:t xml:space="preserve">initially </w:t>
      </w:r>
      <w:r w:rsidR="00AA4F62">
        <w:t>collected</w:t>
      </w:r>
      <w:r w:rsidR="00E86ABB">
        <w:t xml:space="preserve"> </w:t>
      </w:r>
      <w:r>
        <w:t>from</w:t>
      </w:r>
      <w:r w:rsidR="00E86ABB">
        <w:t xml:space="preserve"> foreign investors is </w:t>
      </w:r>
      <w:r w:rsidR="00D57174">
        <w:t>given by</w:t>
      </w:r>
      <w:r w:rsidR="00967750">
        <w:t xml:space="preserve"> </w:t>
      </w:r>
      <w:r w:rsidR="00967750" w:rsidRPr="00967750">
        <w:rPr>
          <w:b/>
        </w:rPr>
        <w:t>B</w:t>
      </w:r>
      <w:r w:rsidR="00967750">
        <w:t xml:space="preserve"> +</w:t>
      </w:r>
      <w:r w:rsidR="00967750" w:rsidRPr="00967750">
        <w:rPr>
          <w:b/>
        </w:rPr>
        <w:t xml:space="preserve"> D</w:t>
      </w:r>
      <w:r w:rsidR="00967750">
        <w:t>, i.e.</w:t>
      </w:r>
      <w:r>
        <w:t xml:space="preserve"> </w:t>
      </w:r>
      <w:r w:rsidR="00374406">
        <w:t xml:space="preserve">(3 - 2.4) x 0.3 x </w:t>
      </w:r>
      <w:r w:rsidR="00E24E8C">
        <w:t>.07</w:t>
      </w:r>
      <w:r w:rsidR="00B36CA7">
        <w:t>1 = $12.9</w:t>
      </w:r>
      <w:r w:rsidR="007D4D4E">
        <w:t>bn pa</w:t>
      </w:r>
      <w:r w:rsidR="00A11832">
        <w:t>.</w:t>
      </w:r>
      <w:r w:rsidR="006D1645">
        <w:t xml:space="preserve"> </w:t>
      </w:r>
      <w:r w:rsidR="00AA4F62">
        <w:t xml:space="preserve">The </w:t>
      </w:r>
      <w:r w:rsidR="00EA76E9">
        <w:t xml:space="preserve">headline </w:t>
      </w:r>
      <w:r w:rsidR="00AA4F62">
        <w:t>revenue initially collected</w:t>
      </w:r>
      <w:r w:rsidR="005052DA">
        <w:t xml:space="preserve"> fro</w:t>
      </w:r>
      <w:r w:rsidR="00F37632">
        <w:t>m domestic investors is</w:t>
      </w:r>
      <w:r w:rsidR="00286719">
        <w:t xml:space="preserve"> </w:t>
      </w:r>
      <w:r w:rsidR="00286719" w:rsidRPr="00286719">
        <w:rPr>
          <w:b/>
        </w:rPr>
        <w:t>A</w:t>
      </w:r>
      <w:r w:rsidR="00286719">
        <w:t xml:space="preserve"> + </w:t>
      </w:r>
      <w:r w:rsidR="00286719" w:rsidRPr="00286719">
        <w:rPr>
          <w:b/>
        </w:rPr>
        <w:t>C</w:t>
      </w:r>
      <w:r w:rsidR="00286719">
        <w:t>, i.e.</w:t>
      </w:r>
      <w:r w:rsidR="005052DA">
        <w:t xml:space="preserve"> </w:t>
      </w:r>
      <w:r w:rsidR="00806A34">
        <w:t>2.4 x 0.3 x 0.07</w:t>
      </w:r>
      <w:r w:rsidR="00070A91">
        <w:t>1 = $51.4</w:t>
      </w:r>
      <w:r w:rsidR="00806A34">
        <w:t>bn pa</w:t>
      </w:r>
      <w:r w:rsidR="005052DA">
        <w:t xml:space="preserve">. </w:t>
      </w:r>
      <w:r w:rsidR="00056ACD">
        <w:t>Total headline revenue</w:t>
      </w:r>
      <w:r w:rsidR="00D90F99">
        <w:t xml:space="preserve"> is</w:t>
      </w:r>
      <w:r w:rsidR="004F5457">
        <w:t xml:space="preserve"> </w:t>
      </w:r>
      <w:r w:rsidR="004A1430" w:rsidRPr="004A1430">
        <w:rPr>
          <w:b/>
        </w:rPr>
        <w:t>A</w:t>
      </w:r>
      <w:r w:rsidR="004A1430">
        <w:t xml:space="preserve"> + </w:t>
      </w:r>
      <w:r w:rsidR="004A1430" w:rsidRPr="004A1430">
        <w:rPr>
          <w:b/>
        </w:rPr>
        <w:t>B</w:t>
      </w:r>
      <w:r w:rsidR="004A1430">
        <w:t xml:space="preserve"> + </w:t>
      </w:r>
      <w:r w:rsidR="004A1430" w:rsidRPr="004A1430">
        <w:rPr>
          <w:b/>
        </w:rPr>
        <w:t>C</w:t>
      </w:r>
      <w:r w:rsidR="004A1430">
        <w:t xml:space="preserve"> + </w:t>
      </w:r>
      <w:r w:rsidR="004A1430" w:rsidRPr="004A1430">
        <w:rPr>
          <w:b/>
        </w:rPr>
        <w:t>D</w:t>
      </w:r>
      <w:r w:rsidR="004A1430">
        <w:t xml:space="preserve">, </w:t>
      </w:r>
      <w:r w:rsidR="00EA7B1A">
        <w:t xml:space="preserve">or $64.3bn pa, </w:t>
      </w:r>
      <w:r w:rsidR="00C242F7">
        <w:t>close to the required $65bn</w:t>
      </w:r>
      <w:r w:rsidR="00166885">
        <w:t xml:space="preserve"> pa</w:t>
      </w:r>
      <w:r w:rsidR="00FB6862">
        <w:t xml:space="preserve">. </w:t>
      </w:r>
      <w:r w:rsidR="00417ACA">
        <w:t>I follow the Treasury Working Paper in assuming</w:t>
      </w:r>
      <w:r w:rsidR="006D1645">
        <w:t xml:space="preserve"> “company income tax revenue from domestically owned capital is largely returned </w:t>
      </w:r>
      <w:r w:rsidR="008307C2">
        <w:t>in the form of franking credits</w:t>
      </w:r>
      <w:r w:rsidR="006D1645">
        <w:t>”</w:t>
      </w:r>
      <w:r w:rsidR="008307C2">
        <w:t>.</w:t>
      </w:r>
    </w:p>
    <w:p w14:paraId="01FB13EB" w14:textId="77777777" w:rsidR="00EA4650" w:rsidRDefault="00EA4650" w:rsidP="00121755">
      <w:pPr>
        <w:spacing w:line="360" w:lineRule="auto"/>
        <w:jc w:val="both"/>
      </w:pPr>
    </w:p>
    <w:p w14:paraId="1837C39D" w14:textId="39917130" w:rsidR="00804E58" w:rsidRDefault="00483731" w:rsidP="00804E58">
      <w:pPr>
        <w:spacing w:line="360" w:lineRule="auto"/>
        <w:jc w:val="both"/>
      </w:pPr>
      <w:r>
        <w:t xml:space="preserve">Now suppose </w:t>
      </w:r>
      <w:r w:rsidR="00222434">
        <w:t>franking credits to households, superannuation funds and charities are abolished</w:t>
      </w:r>
      <w:r w:rsidR="00CF5006">
        <w:t xml:space="preserve"> and that the proceeds</w:t>
      </w:r>
      <w:r w:rsidR="002C4AEA">
        <w:t>, n</w:t>
      </w:r>
      <w:r w:rsidR="00CF5006">
        <w:t>amely $19bn pa, are applied to cutting the headline rate</w:t>
      </w:r>
      <w:r w:rsidR="00EA4650">
        <w:t xml:space="preserve">. </w:t>
      </w:r>
      <w:r w:rsidR="00A8491D">
        <w:t>Foreign investors now face a</w:t>
      </w:r>
      <w:r w:rsidR="00054A21">
        <w:t xml:space="preserve"> headline company tax rate of 20</w:t>
      </w:r>
      <w:r w:rsidR="00A8491D">
        <w:t xml:space="preserve"> per cent</w:t>
      </w:r>
      <w:r w:rsidR="00165941">
        <w:t xml:space="preserve"> (see appendix)</w:t>
      </w:r>
      <w:r w:rsidR="00A8491D">
        <w:t>. Foreign investment booms, driving up the domestic</w:t>
      </w:r>
      <w:r w:rsidR="00B26533">
        <w:t>al</w:t>
      </w:r>
      <w:r w:rsidR="00C94215">
        <w:t>ly located capital stock to $3.6</w:t>
      </w:r>
      <w:r w:rsidR="002C4AEA">
        <w:t xml:space="preserve">tn. </w:t>
      </w:r>
      <w:r w:rsidR="00244E13">
        <w:t>Th</w:t>
      </w:r>
      <w:r w:rsidR="00D20DC6">
        <w:t xml:space="preserve">e return before tax to </w:t>
      </w:r>
      <w:r w:rsidR="00244E13">
        <w:t>investors is driven down to 6.25 per cent pa.</w:t>
      </w:r>
      <w:r w:rsidR="00DD12E9">
        <w:t xml:space="preserve"> </w:t>
      </w:r>
      <w:r w:rsidR="002C4AEA">
        <w:t>Revenue collected</w:t>
      </w:r>
      <w:r w:rsidR="00A8491D">
        <w:t xml:space="preserve"> from foreigners </w:t>
      </w:r>
      <w:r w:rsidR="00244E13">
        <w:t>rises</w:t>
      </w:r>
      <w:r w:rsidR="00417ACA">
        <w:t xml:space="preserve"> by </w:t>
      </w:r>
      <w:r w:rsidR="00417ACA" w:rsidRPr="00417ACA">
        <w:rPr>
          <w:b/>
        </w:rPr>
        <w:t>E</w:t>
      </w:r>
      <w:r w:rsidR="00417ACA">
        <w:t xml:space="preserve"> minus </w:t>
      </w:r>
      <w:r w:rsidR="00417ACA" w:rsidRPr="00417ACA">
        <w:rPr>
          <w:b/>
        </w:rPr>
        <w:t>B</w:t>
      </w:r>
      <w:r w:rsidR="00A8491D">
        <w:t xml:space="preserve">, </w:t>
      </w:r>
      <w:r w:rsidR="007D68B5">
        <w:t>i.e.</w:t>
      </w:r>
      <w:r w:rsidR="009C1592">
        <w:t xml:space="preserve"> </w:t>
      </w:r>
      <w:r w:rsidR="00B36CA7">
        <w:t>by $2.1</w:t>
      </w:r>
      <w:r w:rsidR="005D3233">
        <w:t>bn pa</w:t>
      </w:r>
      <w:r w:rsidR="007D68B5">
        <w:t>.</w:t>
      </w:r>
      <w:r w:rsidR="003D0258">
        <w:t xml:space="preserve"> </w:t>
      </w:r>
      <w:r w:rsidR="001E048C">
        <w:t xml:space="preserve">Headline </w:t>
      </w:r>
      <w:r w:rsidR="00B70926">
        <w:t xml:space="preserve">company tax </w:t>
      </w:r>
      <w:r w:rsidR="001E048C">
        <w:t>r</w:t>
      </w:r>
      <w:r w:rsidR="00FC5CC5">
        <w:t xml:space="preserve">evenue </w:t>
      </w:r>
      <w:r w:rsidR="002A78D5">
        <w:t xml:space="preserve">collected </w:t>
      </w:r>
      <w:r w:rsidR="00D57174">
        <w:t>from domesti</w:t>
      </w:r>
      <w:r w:rsidR="004619AA">
        <w:t xml:space="preserve">c residents </w:t>
      </w:r>
      <w:r w:rsidR="007D68B5">
        <w:t>falls by</w:t>
      </w:r>
      <w:r w:rsidR="00EB6ABC">
        <w:t xml:space="preserve"> </w:t>
      </w:r>
      <w:r w:rsidR="007D68B5">
        <w:rPr>
          <w:b/>
        </w:rPr>
        <w:t>A</w:t>
      </w:r>
      <w:r w:rsidR="004619AA">
        <w:t xml:space="preserve"> i.e. </w:t>
      </w:r>
      <w:r w:rsidR="00B90B90">
        <w:t xml:space="preserve">by </w:t>
      </w:r>
      <w:r w:rsidR="004619AA">
        <w:t>$</w:t>
      </w:r>
      <w:r w:rsidR="00BF4FE9">
        <w:t>21.4</w:t>
      </w:r>
      <w:r w:rsidR="00EB6ABC">
        <w:t>bn</w:t>
      </w:r>
      <w:r w:rsidR="0015410D">
        <w:t xml:space="preserve"> pa</w:t>
      </w:r>
      <w:r w:rsidR="00852741">
        <w:t>.</w:t>
      </w:r>
      <w:r w:rsidR="000F1AF5">
        <w:rPr>
          <w:rStyle w:val="EndnoteReference"/>
        </w:rPr>
        <w:endnoteReference w:id="4"/>
      </w:r>
      <w:r w:rsidR="001472F6">
        <w:t xml:space="preserve"> </w:t>
      </w:r>
    </w:p>
    <w:p w14:paraId="5A2B57D6" w14:textId="77777777" w:rsidR="00F9508D" w:rsidRDefault="00F9508D" w:rsidP="00121755">
      <w:pPr>
        <w:spacing w:line="360" w:lineRule="auto"/>
        <w:jc w:val="both"/>
      </w:pPr>
    </w:p>
    <w:p w14:paraId="1DDFCE9D" w14:textId="77777777" w:rsidR="00121755" w:rsidRPr="005022CA" w:rsidRDefault="00986752" w:rsidP="00121755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Interactions</w:t>
      </w:r>
    </w:p>
    <w:p w14:paraId="2E06142F" w14:textId="77777777" w:rsidR="00867AB6" w:rsidRDefault="00867AB6" w:rsidP="00867AB6">
      <w:pPr>
        <w:spacing w:line="360" w:lineRule="auto"/>
        <w:jc w:val="both"/>
      </w:pPr>
    </w:p>
    <w:p w14:paraId="3A411CED" w14:textId="640FDB8D" w:rsidR="00986752" w:rsidRDefault="00986752" w:rsidP="00F113E6">
      <w:pPr>
        <w:spacing w:line="360" w:lineRule="auto"/>
        <w:jc w:val="both"/>
      </w:pPr>
      <w:r>
        <w:t>Part of the case for replacing dividend i</w:t>
      </w:r>
      <w:r w:rsidR="003859D6">
        <w:t>mputation with a lower headline</w:t>
      </w:r>
      <w:r>
        <w:t xml:space="preserve"> corporate tax rate is that Australia has fallen out of step with its </w:t>
      </w:r>
      <w:r w:rsidR="00342D61">
        <w:t>traditional</w:t>
      </w:r>
      <w:r>
        <w:t xml:space="preserve"> peer </w:t>
      </w:r>
      <w:r w:rsidR="003A5BF0">
        <w:t>group. Notably, Canada and the United Kingdom</w:t>
      </w:r>
      <w:r>
        <w:t xml:space="preserve"> have lower headline rates than ours—2</w:t>
      </w:r>
      <w:r w:rsidR="003A5BF0">
        <w:t xml:space="preserve">6 </w:t>
      </w:r>
      <w:r w:rsidR="00F41DBD">
        <w:t xml:space="preserve">per cent </w:t>
      </w:r>
      <w:r w:rsidR="003A5BF0">
        <w:t>and 21 per cent resp</w:t>
      </w:r>
      <w:r w:rsidR="005434CE">
        <w:t>ectively</w:t>
      </w:r>
      <w:r w:rsidR="005357F6">
        <w:t xml:space="preserve">. </w:t>
      </w:r>
      <w:r w:rsidR="005434CE">
        <w:t xml:space="preserve">Canada offers a “dividend tax credit at shareholder level for underlying domestic corporate profits” </w:t>
      </w:r>
      <w:r w:rsidR="001A6894">
        <w:t>(Tax Discussion Paper, Table 5.1</w:t>
      </w:r>
      <w:r w:rsidR="005434CE">
        <w:t>) b</w:t>
      </w:r>
      <w:r w:rsidR="002A0148">
        <w:t>ut appears not to have the cash-</w:t>
      </w:r>
      <w:r w:rsidR="005434CE">
        <w:t xml:space="preserve">refund feature that we have had since 2000. </w:t>
      </w:r>
      <w:r w:rsidR="002A0148">
        <w:t xml:space="preserve">The UK offers some shareholder relief. </w:t>
      </w:r>
      <w:r w:rsidR="005357F6">
        <w:t>But</w:t>
      </w:r>
      <w:r w:rsidR="00F3429F">
        <w:t xml:space="preserve"> </w:t>
      </w:r>
      <w:r w:rsidR="002A0148">
        <w:t xml:space="preserve">full </w:t>
      </w:r>
      <w:r w:rsidR="003A5BF0">
        <w:t>im</w:t>
      </w:r>
      <w:r w:rsidR="00F047FF">
        <w:t>putation is not the only quirk in</w:t>
      </w:r>
      <w:r w:rsidR="00AE66F2">
        <w:t xml:space="preserve"> </w:t>
      </w:r>
      <w:r w:rsidR="00F3429F">
        <w:t>our ta</w:t>
      </w:r>
      <w:r w:rsidR="003859D6">
        <w:t>x system. A</w:t>
      </w:r>
      <w:r w:rsidR="005D66AB">
        <w:t xml:space="preserve">lso unusual are </w:t>
      </w:r>
      <w:r w:rsidR="00F3429F">
        <w:t>our highly progressive</w:t>
      </w:r>
      <w:r w:rsidR="003A5BF0">
        <w:t xml:space="preserve"> ta</w:t>
      </w:r>
      <w:r w:rsidR="00192BDC">
        <w:t>x</w:t>
      </w:r>
      <w:r w:rsidR="008D67EC">
        <w:t>es</w:t>
      </w:r>
      <w:r w:rsidR="00192BDC">
        <w:t xml:space="preserve"> on personal incomes</w:t>
      </w:r>
      <w:r w:rsidR="005D66AB">
        <w:t xml:space="preserve"> and</w:t>
      </w:r>
      <w:r w:rsidR="003A5BF0">
        <w:t xml:space="preserve"> </w:t>
      </w:r>
      <w:r w:rsidR="003859D6">
        <w:t xml:space="preserve">our </w:t>
      </w:r>
      <w:r w:rsidR="003A5BF0">
        <w:t xml:space="preserve">15 per cent tax on </w:t>
      </w:r>
      <w:r w:rsidR="0062478B">
        <w:t xml:space="preserve">the </w:t>
      </w:r>
      <w:r w:rsidR="003A5BF0">
        <w:t>earnings of superannuation fun</w:t>
      </w:r>
      <w:r w:rsidR="006A2560">
        <w:t>d</w:t>
      </w:r>
      <w:r w:rsidR="003A5BF0">
        <w:t>s in accumulatio</w:t>
      </w:r>
      <w:r w:rsidR="003948B7">
        <w:t xml:space="preserve">n </w:t>
      </w:r>
      <w:r w:rsidR="00E56AEB">
        <w:t xml:space="preserve">mode. Imputation </w:t>
      </w:r>
      <w:r w:rsidR="00295C91">
        <w:t xml:space="preserve">helps </w:t>
      </w:r>
      <w:r w:rsidR="0049606F">
        <w:t>ameliorate</w:t>
      </w:r>
      <w:r w:rsidR="003859D6">
        <w:t xml:space="preserve"> these</w:t>
      </w:r>
      <w:r w:rsidR="00F3429F">
        <w:t xml:space="preserve"> </w:t>
      </w:r>
      <w:r w:rsidR="00896CE0">
        <w:t xml:space="preserve">other </w:t>
      </w:r>
      <w:r w:rsidR="00876219">
        <w:t xml:space="preserve">idiosyncratic </w:t>
      </w:r>
      <w:r w:rsidR="003A5BF0">
        <w:t>policies.</w:t>
      </w:r>
    </w:p>
    <w:p w14:paraId="18EB2FC1" w14:textId="77777777" w:rsidR="00E2337C" w:rsidRDefault="00E2337C" w:rsidP="00F113E6">
      <w:pPr>
        <w:spacing w:line="360" w:lineRule="auto"/>
        <w:jc w:val="both"/>
      </w:pPr>
    </w:p>
    <w:p w14:paraId="7EE3E46C" w14:textId="2D3EAC05" w:rsidR="00C77648" w:rsidRDefault="00C77648" w:rsidP="00F113E6">
      <w:pPr>
        <w:spacing w:line="360" w:lineRule="auto"/>
        <w:jc w:val="both"/>
      </w:pPr>
      <w:r>
        <w:lastRenderedPageBreak/>
        <w:t>Swan (2015) points out that abolishing imputation without revising our cu</w:t>
      </w:r>
      <w:r w:rsidR="00F3323D">
        <w:t xml:space="preserve">rrent </w:t>
      </w:r>
      <w:r w:rsidR="00616D80">
        <w:t>personal</w:t>
      </w:r>
      <w:r w:rsidR="00F3556B">
        <w:t xml:space="preserve"> </w:t>
      </w:r>
      <w:r w:rsidR="00145670">
        <w:t>tax scale would result in</w:t>
      </w:r>
      <w:r>
        <w:t xml:space="preserve"> very high effective mar</w:t>
      </w:r>
      <w:r w:rsidR="00192BDC">
        <w:t>ginal rates on dividend income, especially if the company tax rate were left at 30 per cent.</w:t>
      </w:r>
      <w:r w:rsidR="00216880">
        <w:t xml:space="preserve"> T</w:t>
      </w:r>
      <w:r w:rsidR="00342579">
        <w:t xml:space="preserve">he effective marginal rate on dividend income faced </w:t>
      </w:r>
      <w:r w:rsidR="00433504">
        <w:t xml:space="preserve">by </w:t>
      </w:r>
      <w:r w:rsidR="00342579">
        <w:t xml:space="preserve">an individual taxpayer in the 37 per cent tax bracket would </w:t>
      </w:r>
      <w:r w:rsidR="004A176C">
        <w:t xml:space="preserve">then </w:t>
      </w:r>
      <w:r w:rsidR="00342579">
        <w:t>rise to 56 per cent. The effectiv</w:t>
      </w:r>
      <w:r w:rsidR="00F3556B">
        <w:t>e marg</w:t>
      </w:r>
      <w:r w:rsidR="004C3C16">
        <w:t>inal rate faced by a personal</w:t>
      </w:r>
      <w:r w:rsidR="00F3556B">
        <w:t xml:space="preserve"> taxpayer</w:t>
      </w:r>
      <w:r w:rsidR="00342579">
        <w:t xml:space="preserve"> in the 47 per cent bracket would rise to 63 per cent, “comparable to France with the world’s highest tax rate on distributions.”</w:t>
      </w:r>
      <w:r w:rsidR="004C3C16">
        <w:t xml:space="preserve"> Even if the company tax rate were reduced to 20 per cent, the effective marginal rate for someone in the 47 per cent bracket would still be a hefty 58 per cent.</w:t>
      </w:r>
    </w:p>
    <w:p w14:paraId="0295B7CF" w14:textId="77777777" w:rsidR="00975ABE" w:rsidRDefault="00975ABE" w:rsidP="00F113E6">
      <w:pPr>
        <w:spacing w:line="360" w:lineRule="auto"/>
        <w:jc w:val="both"/>
      </w:pPr>
    </w:p>
    <w:p w14:paraId="65F2DAAD" w14:textId="788A0DBF" w:rsidR="00BC5E4D" w:rsidRDefault="007D725E" w:rsidP="00F113E6">
      <w:pPr>
        <w:spacing w:line="360" w:lineRule="auto"/>
        <w:jc w:val="both"/>
      </w:pPr>
      <w:r>
        <w:t>Consider the decision to invest $1</w:t>
      </w:r>
      <w:r w:rsidR="005C263A">
        <w:t xml:space="preserve"> with the intention</w:t>
      </w:r>
      <w:r>
        <w:t xml:space="preserve"> of spending the</w:t>
      </w:r>
      <w:r w:rsidR="005C263A">
        <w:t xml:space="preserve"> proceeds 30 years hence</w:t>
      </w:r>
      <w:r w:rsidR="00FE2EAF">
        <w:t>. Assume</w:t>
      </w:r>
      <w:r w:rsidR="0090258D">
        <w:t xml:space="preserve"> </w:t>
      </w:r>
      <w:r w:rsidR="00FE2EAF">
        <w:t xml:space="preserve">that </w:t>
      </w:r>
      <w:r w:rsidR="0090258D">
        <w:t xml:space="preserve">the </w:t>
      </w:r>
      <w:r w:rsidR="00FD41A7">
        <w:t>dollar</w:t>
      </w:r>
      <w:r w:rsidR="005C263A">
        <w:t xml:space="preserve"> is invested within the super</w:t>
      </w:r>
      <w:r w:rsidR="00876756">
        <w:t xml:space="preserve"> system</w:t>
      </w:r>
      <w:r w:rsidR="005C263A">
        <w:t xml:space="preserve">, </w:t>
      </w:r>
      <w:r>
        <w:t xml:space="preserve">the earnings rate on the fund is </w:t>
      </w:r>
      <w:r w:rsidR="009E76A7">
        <w:t>5</w:t>
      </w:r>
      <w:r w:rsidR="0090258D">
        <w:t xml:space="preserve"> per cent pa, </w:t>
      </w:r>
      <w:r w:rsidR="004C6722">
        <w:t>and fra</w:t>
      </w:r>
      <w:r w:rsidR="009E76A7">
        <w:t>nking credits negate</w:t>
      </w:r>
      <w:r w:rsidR="00FE2EAF">
        <w:t xml:space="preserve"> the earnings tax. T</w:t>
      </w:r>
      <w:r w:rsidR="004C6722">
        <w:t>hen $1</w:t>
      </w:r>
      <w:r w:rsidR="00433504">
        <w:t xml:space="preserve"> compounds</w:t>
      </w:r>
      <w:r w:rsidR="006F1B55">
        <w:t xml:space="preserve"> </w:t>
      </w:r>
      <w:r w:rsidR="004903B5">
        <w:t>to</w:t>
      </w:r>
      <w:r w:rsidR="0090258D">
        <w:t xml:space="preserve"> </w:t>
      </w:r>
      <w:r w:rsidR="001F2E40" w:rsidRPr="00ED05B0">
        <w:rPr>
          <w:position w:val="-10"/>
        </w:rPr>
        <w:object w:dxaOrig="1840" w:dyaOrig="360" w14:anchorId="357E80A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6.5pt;height:16.65pt" o:ole="">
            <v:imagedata r:id="rId15" o:title=""/>
          </v:shape>
          <o:OLEObject Type="Embed" ProgID="Equation.DSMT4" ShapeID="_x0000_i1025" DrawAspect="Content" ObjectID="_1494761367" r:id="rId16"/>
        </w:object>
      </w:r>
      <w:r w:rsidR="00CE4A1B">
        <w:t xml:space="preserve"> </w:t>
      </w:r>
      <w:r w:rsidR="00332B07">
        <w:t>By contrast, if the earnings were</w:t>
      </w:r>
      <w:r w:rsidR="004C6722">
        <w:t xml:space="preserve"> taxed at 15 </w:t>
      </w:r>
      <w:r w:rsidR="002924A5">
        <w:t xml:space="preserve">per cent </w:t>
      </w:r>
      <w:r w:rsidR="00CC1181">
        <w:t>then</w:t>
      </w:r>
      <w:r w:rsidR="00433504">
        <w:t xml:space="preserve"> $1 </w:t>
      </w:r>
      <w:r w:rsidR="00332B07">
        <w:t>would compound</w:t>
      </w:r>
      <w:r w:rsidR="006F1B55">
        <w:t xml:space="preserve"> </w:t>
      </w:r>
      <w:r w:rsidR="002924A5">
        <w:t>to</w:t>
      </w:r>
      <w:r w:rsidR="00CE4A1B" w:rsidRPr="00CE4A1B">
        <w:rPr>
          <w:position w:val="-4"/>
        </w:rPr>
        <w:object w:dxaOrig="180" w:dyaOrig="279" w14:anchorId="3082B425">
          <v:shape id="_x0000_i1026" type="#_x0000_t75" style="width:9.15pt;height:13.45pt" o:ole="">
            <v:imagedata r:id="rId17" o:title=""/>
          </v:shape>
          <o:OLEObject Type="Embed" ProgID="Equation.DSMT4" ShapeID="_x0000_i1026" DrawAspect="Content" ObjectID="_1494761368" r:id="rId18"/>
        </w:object>
      </w:r>
      <w:r w:rsidR="0090258D">
        <w:t xml:space="preserve"> </w:t>
      </w:r>
      <w:r w:rsidR="001F2E40" w:rsidRPr="00ED05B0">
        <w:rPr>
          <w:position w:val="-10"/>
        </w:rPr>
        <w:object w:dxaOrig="2740" w:dyaOrig="360" w14:anchorId="525A748E">
          <v:shape id="_x0000_i1027" type="#_x0000_t75" style="width:123.6pt;height:16.65pt" o:ole="">
            <v:imagedata r:id="rId19" o:title=""/>
          </v:shape>
          <o:OLEObject Type="Embed" ProgID="Equation.DSMT4" ShapeID="_x0000_i1027" DrawAspect="Content" ObjectID="_1494761369" r:id="rId20"/>
        </w:object>
      </w:r>
      <w:r w:rsidR="0090258D">
        <w:t xml:space="preserve"> </w:t>
      </w:r>
      <w:r w:rsidR="00433504">
        <w:t>Understanding the power of compound interest,</w:t>
      </w:r>
      <w:r w:rsidR="009A6BFE">
        <w:t xml:space="preserve"> Australian </w:t>
      </w:r>
      <w:r w:rsidR="00EF0B06">
        <w:t>life-cycle savers would contemplate the alternative</w:t>
      </w:r>
      <w:r w:rsidR="0044487C">
        <w:t xml:space="preserve"> </w:t>
      </w:r>
      <w:r w:rsidR="009A6BFE">
        <w:t>strat</w:t>
      </w:r>
      <w:r w:rsidR="00EF0B06">
        <w:t>egy</w:t>
      </w:r>
      <w:r w:rsidR="00933BED">
        <w:t xml:space="preserve"> of</w:t>
      </w:r>
      <w:r w:rsidR="00CD74EA">
        <w:t xml:space="preserve"> building up equity in</w:t>
      </w:r>
      <w:r w:rsidR="009A6BFE">
        <w:t xml:space="preserve"> a </w:t>
      </w:r>
      <w:r w:rsidR="00CD74EA">
        <w:t xml:space="preserve">geared family home or </w:t>
      </w:r>
      <w:r w:rsidR="00D25524">
        <w:t>investment property</w:t>
      </w:r>
      <w:r w:rsidR="007966E8">
        <w:t>—</w:t>
      </w:r>
      <w:r w:rsidR="00D25524">
        <w:t>dwellings are gearing-friendly</w:t>
      </w:r>
      <w:r w:rsidR="00552C29">
        <w:t xml:space="preserve"> and tax-benefit effective.</w:t>
      </w:r>
      <w:r w:rsidR="009A6BFE">
        <w:t xml:space="preserve"> </w:t>
      </w:r>
      <w:r w:rsidR="009F61AC">
        <w:t>Yet h</w:t>
      </w:r>
      <w:r w:rsidR="00C3358D">
        <w:t xml:space="preserve">ousing is </w:t>
      </w:r>
      <w:r w:rsidR="009A6BFE">
        <w:t xml:space="preserve">a consumer durable </w:t>
      </w:r>
      <w:r w:rsidR="00C3358D">
        <w:t xml:space="preserve">rather </w:t>
      </w:r>
      <w:r w:rsidR="009A6BFE">
        <w:t>than a productive asset.</w:t>
      </w:r>
    </w:p>
    <w:p w14:paraId="37B318ED" w14:textId="77777777" w:rsidR="00BC5E4D" w:rsidRDefault="00BC5E4D" w:rsidP="00F113E6">
      <w:pPr>
        <w:spacing w:line="360" w:lineRule="auto"/>
        <w:jc w:val="both"/>
      </w:pPr>
    </w:p>
    <w:p w14:paraId="79D76FFB" w14:textId="3544D5F6" w:rsidR="00192BDC" w:rsidRDefault="003A0729" w:rsidP="00F113E6">
      <w:pPr>
        <w:spacing w:line="360" w:lineRule="auto"/>
        <w:jc w:val="both"/>
      </w:pPr>
      <w:r>
        <w:t>M</w:t>
      </w:r>
      <w:r w:rsidR="00192BDC">
        <w:t>ost countries in the Northern H</w:t>
      </w:r>
      <w:r w:rsidR="00E76626">
        <w:t>emis</w:t>
      </w:r>
      <w:r w:rsidR="00192BDC">
        <w:t>p</w:t>
      </w:r>
      <w:r w:rsidR="00E76626">
        <w:t>h</w:t>
      </w:r>
      <w:r w:rsidR="00295C91">
        <w:t>ere do not tax pension</w:t>
      </w:r>
      <w:r w:rsidR="00192BDC">
        <w:t xml:space="preserve"> fund earnings until the acc</w:t>
      </w:r>
      <w:r w:rsidR="004E5A19">
        <w:t>ount-holder retires</w:t>
      </w:r>
      <w:r w:rsidR="00017072">
        <w:t>, whereupon</w:t>
      </w:r>
      <w:r w:rsidR="00192BDC">
        <w:t xml:space="preserve"> </w:t>
      </w:r>
      <w:r w:rsidR="006B5CB5">
        <w:t xml:space="preserve">super </w:t>
      </w:r>
      <w:r w:rsidR="00031784">
        <w:t>drawdowns</w:t>
      </w:r>
      <w:r w:rsidR="00E76626">
        <w:t xml:space="preserve"> are ta</w:t>
      </w:r>
      <w:r w:rsidR="006B5CB5">
        <w:t>xed in line with the regular</w:t>
      </w:r>
      <w:r w:rsidR="00E94E5F">
        <w:t xml:space="preserve"> </w:t>
      </w:r>
      <w:r w:rsidR="009C7A2B">
        <w:t>rate scale. Thus</w:t>
      </w:r>
      <w:r w:rsidR="00E94E5F">
        <w:t>,</w:t>
      </w:r>
      <w:r w:rsidR="00E76626">
        <w:t xml:space="preserve"> tax </w:t>
      </w:r>
      <w:r w:rsidR="00BC47A3">
        <w:t xml:space="preserve">on super </w:t>
      </w:r>
      <w:r w:rsidR="00E71A32">
        <w:t>is essentially</w:t>
      </w:r>
      <w:r w:rsidR="00E76626">
        <w:t xml:space="preserve"> a progressive </w:t>
      </w:r>
      <w:r w:rsidR="00E94E5F">
        <w:t xml:space="preserve">consumption tax. </w:t>
      </w:r>
      <w:r w:rsidR="00460ECE">
        <w:t>Viewing tax</w:t>
      </w:r>
      <w:r w:rsidR="00295C91">
        <w:t xml:space="preserve"> on super </w:t>
      </w:r>
      <w:r w:rsidR="00362B70">
        <w:t xml:space="preserve">in </w:t>
      </w:r>
      <w:r w:rsidR="00494700">
        <w:t xml:space="preserve">this way, </w:t>
      </w:r>
      <w:r w:rsidR="00295C91">
        <w:t xml:space="preserve">the need recedes for </w:t>
      </w:r>
      <w:r w:rsidR="00494700">
        <w:t>i</w:t>
      </w:r>
      <w:r w:rsidR="005400BD">
        <w:t>ncessant</w:t>
      </w:r>
      <w:r w:rsidR="00E71A32">
        <w:t xml:space="preserve"> debate</w:t>
      </w:r>
      <w:r w:rsidR="00E76626">
        <w:t xml:space="preserve"> </w:t>
      </w:r>
      <w:r w:rsidR="00660F3B">
        <w:t xml:space="preserve">about </w:t>
      </w:r>
      <w:r w:rsidR="00E94E5F">
        <w:t xml:space="preserve">the fairness of </w:t>
      </w:r>
      <w:r w:rsidR="00670C7B">
        <w:t>tax concessions</w:t>
      </w:r>
      <w:r w:rsidR="00295C91">
        <w:t xml:space="preserve"> for super</w:t>
      </w:r>
      <w:r w:rsidR="00E76626">
        <w:t>.</w:t>
      </w:r>
      <w:r w:rsidR="00E94E5F">
        <w:t xml:space="preserve"> This policy</w:t>
      </w:r>
      <w:r w:rsidR="0090258D">
        <w:t xml:space="preserve"> also encourages voluntary contri</w:t>
      </w:r>
      <w:r w:rsidR="00640DC7">
        <w:t>butions</w:t>
      </w:r>
      <w:r w:rsidR="002E271C">
        <w:t xml:space="preserve"> and self-funded retirements.</w:t>
      </w:r>
    </w:p>
    <w:p w14:paraId="44B92091" w14:textId="77777777" w:rsidR="00975ABE" w:rsidRDefault="00975ABE" w:rsidP="00F113E6">
      <w:pPr>
        <w:spacing w:line="360" w:lineRule="auto"/>
        <w:jc w:val="both"/>
      </w:pPr>
    </w:p>
    <w:p w14:paraId="0D234681" w14:textId="1F6A4AE2" w:rsidR="00F113E6" w:rsidRDefault="00206331" w:rsidP="00F113E6">
      <w:pPr>
        <w:spacing w:line="360" w:lineRule="auto"/>
        <w:jc w:val="both"/>
      </w:pPr>
      <w:r>
        <w:t xml:space="preserve">Then there are the effects </w:t>
      </w:r>
      <w:r w:rsidR="00325905">
        <w:t xml:space="preserve">of imputation </w:t>
      </w:r>
      <w:r>
        <w:t xml:space="preserve">on debt and equity choices. </w:t>
      </w:r>
      <w:r w:rsidR="00D77D03">
        <w:t>David Murray’s</w:t>
      </w:r>
      <w:r w:rsidR="00F113E6">
        <w:t xml:space="preserve"> Financial System In</w:t>
      </w:r>
      <w:r w:rsidR="00D22527">
        <w:t>quiry (</w:t>
      </w:r>
      <w:r w:rsidR="00D77D03">
        <w:t>2014</w:t>
      </w:r>
      <w:r w:rsidR="00D22527">
        <w:t>)</w:t>
      </w:r>
      <w:r w:rsidR="00862055">
        <w:t xml:space="preserve"> is one </w:t>
      </w:r>
      <w:r w:rsidR="002068A7">
        <w:t xml:space="preserve">of a number of </w:t>
      </w:r>
      <w:r w:rsidR="00862055">
        <w:t>report</w:t>
      </w:r>
      <w:r w:rsidR="002068A7">
        <w:t xml:space="preserve">s </w:t>
      </w:r>
      <w:r w:rsidR="00862055">
        <w:t>to note that imputation tends to</w:t>
      </w:r>
      <w:r w:rsidR="00F113E6">
        <w:t xml:space="preserve"> re</w:t>
      </w:r>
      <w:r>
        <w:t>duce the leverage of Australia’s corporate sector</w:t>
      </w:r>
      <w:r w:rsidR="00F113E6">
        <w:t>, thereby promoting financial stability. Domestic investors reweight towards domestic equities at the expense o</w:t>
      </w:r>
      <w:r w:rsidR="00A91B08">
        <w:t>f foreign equities</w:t>
      </w:r>
      <w:r w:rsidR="006E5278">
        <w:t>,</w:t>
      </w:r>
      <w:r w:rsidR="00A91B08">
        <w:t xml:space="preserve"> and </w:t>
      </w:r>
      <w:r w:rsidR="00F113E6">
        <w:t>bonds</w:t>
      </w:r>
      <w:r w:rsidR="00A91B08">
        <w:t xml:space="preserve"> (</w:t>
      </w:r>
      <w:r w:rsidR="001F5414">
        <w:t xml:space="preserve">both </w:t>
      </w:r>
      <w:r w:rsidR="00A91B08">
        <w:t xml:space="preserve">domestic </w:t>
      </w:r>
      <w:r w:rsidR="001F5414">
        <w:t>and foreign</w:t>
      </w:r>
      <w:r w:rsidR="00A91B08">
        <w:t>)</w:t>
      </w:r>
      <w:r w:rsidR="00F113E6">
        <w:t>.</w:t>
      </w:r>
      <w:r w:rsidR="00082E6F">
        <w:t xml:space="preserve"> Home bias</w:t>
      </w:r>
      <w:r w:rsidR="00862055">
        <w:t xml:space="preserve"> is not</w:t>
      </w:r>
      <w:r w:rsidR="00787F51">
        <w:t xml:space="preserve"> entirely</w:t>
      </w:r>
      <w:r w:rsidR="00B80081">
        <w:t xml:space="preserve"> bad:</w:t>
      </w:r>
      <w:r w:rsidR="00573648">
        <w:t xml:space="preserve"> p</w:t>
      </w:r>
      <w:r w:rsidR="00D14660">
        <w:t xml:space="preserve">eople </w:t>
      </w:r>
      <w:r w:rsidR="00573648">
        <w:t xml:space="preserve">do </w:t>
      </w:r>
      <w:r w:rsidR="00D14660">
        <w:t>want</w:t>
      </w:r>
      <w:r w:rsidR="00573648">
        <w:t xml:space="preserve"> to “keep up with the Joneses”.</w:t>
      </w:r>
      <w:r w:rsidRPr="00206331">
        <w:t xml:space="preserve"> </w:t>
      </w:r>
      <w:r w:rsidR="007F4A84">
        <w:t xml:space="preserve">Imputation also </w:t>
      </w:r>
      <w:r>
        <w:t>di</w:t>
      </w:r>
      <w:r w:rsidR="007F4A84">
        <w:t>scourages</w:t>
      </w:r>
      <w:r>
        <w:t xml:space="preserve"> the retention of earnings</w:t>
      </w:r>
      <w:r w:rsidR="007F4A84">
        <w:t>, thereby</w:t>
      </w:r>
      <w:r w:rsidR="007F4A84" w:rsidRPr="007F4A84">
        <w:t xml:space="preserve"> </w:t>
      </w:r>
      <w:r w:rsidR="007F4A84">
        <w:t>disciplining corporate managers</w:t>
      </w:r>
      <w:r>
        <w:t>.</w:t>
      </w:r>
    </w:p>
    <w:p w14:paraId="67AC8F46" w14:textId="77777777" w:rsidR="00B21649" w:rsidRPr="00026737" w:rsidRDefault="00B21649" w:rsidP="00E323D9">
      <w:pPr>
        <w:spacing w:line="360" w:lineRule="auto"/>
        <w:jc w:val="both"/>
      </w:pPr>
    </w:p>
    <w:p w14:paraId="62016145" w14:textId="77777777" w:rsidR="005022CA" w:rsidRPr="005022CA" w:rsidRDefault="005022CA" w:rsidP="00FD55FA">
      <w:pPr>
        <w:spacing w:line="360" w:lineRule="auto"/>
        <w:jc w:val="both"/>
        <w:rPr>
          <w:b/>
          <w:sz w:val="28"/>
          <w:szCs w:val="28"/>
        </w:rPr>
      </w:pPr>
      <w:r w:rsidRPr="005022CA">
        <w:rPr>
          <w:b/>
          <w:sz w:val="28"/>
          <w:szCs w:val="28"/>
        </w:rPr>
        <w:lastRenderedPageBreak/>
        <w:t>Concluding comments</w:t>
      </w:r>
    </w:p>
    <w:p w14:paraId="69FD8308" w14:textId="77777777" w:rsidR="00943DBA" w:rsidRDefault="00943DBA" w:rsidP="00AB1249">
      <w:pPr>
        <w:spacing w:line="360" w:lineRule="auto"/>
        <w:jc w:val="both"/>
        <w:rPr>
          <w:sz w:val="24"/>
          <w:szCs w:val="24"/>
        </w:rPr>
      </w:pPr>
    </w:p>
    <w:p w14:paraId="3D98CA7C" w14:textId="5A759369" w:rsidR="004B5111" w:rsidRDefault="00B80081" w:rsidP="00491B70">
      <w:pPr>
        <w:spacing w:line="360" w:lineRule="auto"/>
        <w:jc w:val="both"/>
      </w:pPr>
      <w:r>
        <w:t>Treasury’s</w:t>
      </w:r>
      <w:r w:rsidR="005053B7">
        <w:t xml:space="preserve"> </w:t>
      </w:r>
      <w:r w:rsidR="0082646E">
        <w:t>Tax Discussion Paper</w:t>
      </w:r>
      <w:r w:rsidR="00C5786E">
        <w:t xml:space="preserve"> </w:t>
      </w:r>
      <w:r w:rsidR="00B80F23">
        <w:t>says</w:t>
      </w:r>
      <w:r w:rsidR="009913B4">
        <w:t xml:space="preserve"> </w:t>
      </w:r>
      <w:r w:rsidR="00EA23A8">
        <w:t xml:space="preserve">that </w:t>
      </w:r>
      <w:r w:rsidR="001133F5">
        <w:t>dividend imputation “</w:t>
      </w:r>
      <w:r w:rsidR="001133F5" w:rsidRPr="001133F5">
        <w:t>makes little con</w:t>
      </w:r>
      <w:r w:rsidR="001133F5">
        <w:t xml:space="preserve">tribution to attracting foreign </w:t>
      </w:r>
      <w:r w:rsidR="001133F5" w:rsidRPr="001133F5">
        <w:t>investment to Australia</w:t>
      </w:r>
      <w:r w:rsidR="001133F5">
        <w:t>”</w:t>
      </w:r>
      <w:r w:rsidR="001133F5" w:rsidRPr="001133F5">
        <w:t xml:space="preserve"> </w:t>
      </w:r>
      <w:r w:rsidR="001133F5">
        <w:t>and</w:t>
      </w:r>
      <w:r w:rsidR="001133F5" w:rsidRPr="001133F5">
        <w:t xml:space="preserve"> </w:t>
      </w:r>
      <w:r w:rsidR="001133F5">
        <w:t>“</w:t>
      </w:r>
      <w:r w:rsidR="001133F5" w:rsidRPr="001133F5">
        <w:t>involves a significant cost to revenue</w:t>
      </w:r>
      <w:r>
        <w:t>”</w:t>
      </w:r>
      <w:r w:rsidR="001133F5">
        <w:t>.</w:t>
      </w:r>
      <w:r w:rsidR="00B4415A">
        <w:t xml:space="preserve"> </w:t>
      </w:r>
      <w:r w:rsidR="001133F5">
        <w:t>Treasury</w:t>
      </w:r>
      <w:r w:rsidR="007450D4">
        <w:t xml:space="preserve"> appears to be</w:t>
      </w:r>
      <w:r w:rsidR="00835C9C">
        <w:t xml:space="preserve"> </w:t>
      </w:r>
      <w:r w:rsidR="001133F5">
        <w:t>drawn to</w:t>
      </w:r>
      <w:r w:rsidR="00604A28">
        <w:t>wards</w:t>
      </w:r>
      <w:r w:rsidR="001133F5">
        <w:t xml:space="preserve"> </w:t>
      </w:r>
      <w:r w:rsidR="004A56EB">
        <w:t>abolishing</w:t>
      </w:r>
      <w:r w:rsidR="00C5786E">
        <w:t xml:space="preserve"> </w:t>
      </w:r>
      <w:r w:rsidR="00C16BFE" w:rsidRPr="008B0A91">
        <w:t xml:space="preserve">dividend imputation </w:t>
      </w:r>
      <w:r w:rsidR="000C32F1">
        <w:t>along with cutting the</w:t>
      </w:r>
      <w:r w:rsidR="00F31E1E">
        <w:t xml:space="preserve"> headline </w:t>
      </w:r>
      <w:r w:rsidR="00C16BFE" w:rsidRPr="008B0A91">
        <w:t>rate</w:t>
      </w:r>
      <w:r w:rsidR="009E61D7">
        <w:t xml:space="preserve"> of company tax</w:t>
      </w:r>
      <w:r w:rsidR="004B5111">
        <w:t>.</w:t>
      </w:r>
    </w:p>
    <w:p w14:paraId="299CC533" w14:textId="77777777" w:rsidR="004B5111" w:rsidRDefault="004B5111" w:rsidP="00491B70">
      <w:pPr>
        <w:spacing w:line="360" w:lineRule="auto"/>
        <w:jc w:val="both"/>
      </w:pPr>
    </w:p>
    <w:p w14:paraId="7E45FA4F" w14:textId="5FB6774A" w:rsidR="004B5111" w:rsidRPr="0064234A" w:rsidRDefault="00B80081" w:rsidP="00491B70">
      <w:pPr>
        <w:spacing w:line="360" w:lineRule="auto"/>
        <w:jc w:val="both"/>
      </w:pPr>
      <w:r>
        <w:t>Treasury’s erstwhile</w:t>
      </w:r>
      <w:r w:rsidR="003D4630">
        <w:t xml:space="preserve"> </w:t>
      </w:r>
      <w:r w:rsidR="008E65DB">
        <w:t>Resource Super Profits Tax</w:t>
      </w:r>
      <w:r w:rsidR="0064234A">
        <w:t xml:space="preserve"> and its recent modelling of imputation</w:t>
      </w:r>
      <w:r w:rsidR="00673971">
        <w:t xml:space="preserve"> have something in common</w:t>
      </w:r>
      <w:r w:rsidR="00376C49">
        <w:t>. Both envisage</w:t>
      </w:r>
      <w:r w:rsidR="00B33711">
        <w:t xml:space="preserve"> a fiscal free lunch whereby</w:t>
      </w:r>
      <w:r w:rsidR="00C742C9">
        <w:t xml:space="preserve"> </w:t>
      </w:r>
      <w:r w:rsidR="00B33711">
        <w:t xml:space="preserve">a </w:t>
      </w:r>
      <w:r w:rsidR="00D17462">
        <w:t>tax measure</w:t>
      </w:r>
      <w:r w:rsidR="00783025">
        <w:t xml:space="preserve"> impose</w:t>
      </w:r>
      <w:r w:rsidR="00CE3CD6">
        <w:t>s</w:t>
      </w:r>
      <w:r w:rsidR="00783025">
        <w:t xml:space="preserve"> losses on</w:t>
      </w:r>
      <w:r w:rsidR="003D4630">
        <w:t xml:space="preserve"> </w:t>
      </w:r>
      <w:r w:rsidR="00D17462">
        <w:t xml:space="preserve">Australian </w:t>
      </w:r>
      <w:r w:rsidR="003D4630">
        <w:t>in</w:t>
      </w:r>
      <w:r w:rsidR="007E35E7">
        <w:t>vestors</w:t>
      </w:r>
      <w:r w:rsidR="00DE42D9">
        <w:t xml:space="preserve"> without</w:t>
      </w:r>
      <w:r w:rsidR="008D2B5A">
        <w:t xml:space="preserve"> affect</w:t>
      </w:r>
      <w:r w:rsidR="00DE42D9">
        <w:t>ing</w:t>
      </w:r>
      <w:r w:rsidR="00783025">
        <w:t xml:space="preserve"> their</w:t>
      </w:r>
      <w:r w:rsidR="00C23700">
        <w:t xml:space="preserve"> behaviour</w:t>
      </w:r>
      <w:r w:rsidR="00DE42D9">
        <w:t>, yet</w:t>
      </w:r>
      <w:r w:rsidR="0064234A">
        <w:t xml:space="preserve"> generates</w:t>
      </w:r>
      <w:r w:rsidR="00F17F91">
        <w:t xml:space="preserve"> gains</w:t>
      </w:r>
      <w:r w:rsidR="00D602C9">
        <w:t xml:space="preserve"> for the economy as a whole</w:t>
      </w:r>
      <w:r w:rsidR="00E01AD9">
        <w:t>.</w:t>
      </w:r>
      <w:r w:rsidR="00947EF0">
        <w:t xml:space="preserve"> </w:t>
      </w:r>
      <w:r w:rsidR="00DA0C5D">
        <w:t>Fleshing out a simple version of the Treasury model</w:t>
      </w:r>
      <w:r w:rsidR="0064234A">
        <w:t>, I estimated that a</w:t>
      </w:r>
      <w:r w:rsidR="00B33711">
        <w:t xml:space="preserve">bolishing </w:t>
      </w:r>
      <w:r w:rsidR="003D4630">
        <w:t>imputation</w:t>
      </w:r>
      <w:r w:rsidR="00947EF0">
        <w:t xml:space="preserve"> could cut</w:t>
      </w:r>
      <w:r w:rsidR="00F34BDA">
        <w:t xml:space="preserve"> returns befor</w:t>
      </w:r>
      <w:r w:rsidR="00083BBD">
        <w:t>e tax to domestic inves</w:t>
      </w:r>
      <w:r w:rsidR="00947EF0">
        <w:t xml:space="preserve">tors </w:t>
      </w:r>
      <w:r w:rsidR="00083BBD">
        <w:t>from</w:t>
      </w:r>
      <w:r w:rsidR="006230F8">
        <w:t xml:space="preserve"> 7.1</w:t>
      </w:r>
      <w:r w:rsidR="00E53B77" w:rsidRPr="00E53B77">
        <w:t xml:space="preserve"> </w:t>
      </w:r>
      <w:r w:rsidR="00E53B77">
        <w:t>per cent pa</w:t>
      </w:r>
      <w:r w:rsidR="006230F8">
        <w:t xml:space="preserve"> to 6.25</w:t>
      </w:r>
      <w:r w:rsidR="00E53B77" w:rsidRPr="00E53B77">
        <w:t xml:space="preserve"> </w:t>
      </w:r>
      <w:r w:rsidR="00E53B77">
        <w:t>per cent</w:t>
      </w:r>
      <w:r w:rsidR="0086137B">
        <w:t xml:space="preserve"> pa</w:t>
      </w:r>
      <w:r w:rsidR="00F34BDA">
        <w:t>.</w:t>
      </w:r>
      <w:r w:rsidR="00B33711">
        <w:t xml:space="preserve"> </w:t>
      </w:r>
      <w:r w:rsidR="00C11C2D">
        <w:t>A perpetuity</w:t>
      </w:r>
      <w:r w:rsidR="00E64BCF">
        <w:t xml:space="preserve"> </w:t>
      </w:r>
      <w:r w:rsidR="0086137B">
        <w:t>re</w:t>
      </w:r>
      <w:r w:rsidR="00625929">
        <w:t>priced at this</w:t>
      </w:r>
      <w:r w:rsidR="0086137B">
        <w:t xml:space="preserve"> yield</w:t>
      </w:r>
      <w:r w:rsidR="00E64BCF">
        <w:t xml:space="preserve"> would fall in value by </w:t>
      </w:r>
      <w:r w:rsidR="009A7B03">
        <w:t>14</w:t>
      </w:r>
      <w:r w:rsidR="00625929">
        <w:t xml:space="preserve"> per cent—self-funded retirees</w:t>
      </w:r>
      <w:r w:rsidR="002E2650">
        <w:t xml:space="preserve"> beware.</w:t>
      </w:r>
      <w:r w:rsidR="00E64BCF">
        <w:t xml:space="preserve"> </w:t>
      </w:r>
      <w:r w:rsidR="005D1D05">
        <w:t>Yet t</w:t>
      </w:r>
      <w:r w:rsidR="00783025">
        <w:t>he</w:t>
      </w:r>
      <w:r w:rsidR="00947EF0">
        <w:t>re could be a</w:t>
      </w:r>
      <w:r w:rsidR="00783025">
        <w:t xml:space="preserve"> </w:t>
      </w:r>
      <w:r w:rsidR="00D9418B">
        <w:t>rise in national income of 4.9 per cent</w:t>
      </w:r>
      <w:r w:rsidR="00D17462">
        <w:t>, assuming that all the proceeds of abolishing imputation are applied to reducing the headline company rate</w:t>
      </w:r>
      <w:r w:rsidR="003A30BF">
        <w:t xml:space="preserve"> (see appendix)</w:t>
      </w:r>
      <w:r w:rsidR="00D17462">
        <w:t>.</w:t>
      </w:r>
    </w:p>
    <w:p w14:paraId="5DA09F29" w14:textId="77777777" w:rsidR="004B5111" w:rsidRDefault="004B5111" w:rsidP="00491B70">
      <w:pPr>
        <w:spacing w:line="360" w:lineRule="auto"/>
        <w:jc w:val="both"/>
      </w:pPr>
    </w:p>
    <w:p w14:paraId="7606C879" w14:textId="0DAEB5C7" w:rsidR="009D6F27" w:rsidRDefault="00E818D0" w:rsidP="00491B70">
      <w:pPr>
        <w:spacing w:line="360" w:lineRule="auto"/>
        <w:jc w:val="both"/>
      </w:pPr>
      <w:r>
        <w:t xml:space="preserve">Dividend imputation </w:t>
      </w:r>
      <w:r w:rsidR="00040D3A">
        <w:t>may</w:t>
      </w:r>
      <w:r w:rsidR="004D670F">
        <w:t xml:space="preserve"> </w:t>
      </w:r>
      <w:r>
        <w:t>r</w:t>
      </w:r>
      <w:r w:rsidR="008240F5">
        <w:t>aise</w:t>
      </w:r>
      <w:r>
        <w:t xml:space="preserve"> the cost of capital for </w:t>
      </w:r>
      <w:r w:rsidR="00F03DD3">
        <w:t xml:space="preserve">the </w:t>
      </w:r>
      <w:r>
        <w:t>marginal i</w:t>
      </w:r>
      <w:r w:rsidR="00F03DD3">
        <w:t>nvestor</w:t>
      </w:r>
      <w:r w:rsidR="00FA4002">
        <w:t>,</w:t>
      </w:r>
      <w:r w:rsidR="00A64B95">
        <w:t xml:space="preserve"> b</w:t>
      </w:r>
      <w:r w:rsidR="00E73374">
        <w:t>ut</w:t>
      </w:r>
      <w:r w:rsidR="001E36FB">
        <w:t xml:space="preserve"> </w:t>
      </w:r>
      <w:r w:rsidR="008240F5">
        <w:t xml:space="preserve">it </w:t>
      </w:r>
      <w:r w:rsidR="00F30074">
        <w:t xml:space="preserve">helps </w:t>
      </w:r>
      <w:r>
        <w:t xml:space="preserve">mitigate </w:t>
      </w:r>
      <w:r w:rsidR="00DB75DF">
        <w:t xml:space="preserve">the </w:t>
      </w:r>
      <w:r>
        <w:t>other idiosyncrasies</w:t>
      </w:r>
      <w:r w:rsidR="00894691">
        <w:t xml:space="preserve"> of</w:t>
      </w:r>
      <w:r>
        <w:t xml:space="preserve"> our tax system. </w:t>
      </w:r>
      <w:r w:rsidR="0064234A">
        <w:t xml:space="preserve">Abolishing </w:t>
      </w:r>
      <w:r w:rsidR="00783025">
        <w:t xml:space="preserve">imputation </w:t>
      </w:r>
      <w:r w:rsidR="00761961">
        <w:t>is a</w:t>
      </w:r>
      <w:r w:rsidR="00F17F91">
        <w:t xml:space="preserve"> capital-market analo</w:t>
      </w:r>
      <w:r w:rsidR="000C7BE4">
        <w:t>gue</w:t>
      </w:r>
      <w:r w:rsidR="00B961B4">
        <w:t xml:space="preserve"> of abolishing</w:t>
      </w:r>
      <w:r w:rsidR="00783025">
        <w:t xml:space="preserve"> tariffs</w:t>
      </w:r>
      <w:r w:rsidR="0064234A">
        <w:t>. J</w:t>
      </w:r>
      <w:r w:rsidR="00F17F91">
        <w:t>ust as</w:t>
      </w:r>
      <w:r w:rsidR="00783025">
        <w:t xml:space="preserve"> </w:t>
      </w:r>
      <w:r w:rsidR="00E711EC">
        <w:t>freeing up imports</w:t>
      </w:r>
      <w:r w:rsidR="009B29A2">
        <w:t xml:space="preserve"> should</w:t>
      </w:r>
      <w:r w:rsidR="00191BE6">
        <w:t xml:space="preserve"> be sequenced</w:t>
      </w:r>
      <w:r w:rsidR="00B63217">
        <w:t xml:space="preserve"> after</w:t>
      </w:r>
      <w:r w:rsidR="00A522A4">
        <w:t xml:space="preserve"> </w:t>
      </w:r>
      <w:r w:rsidR="00F17F91">
        <w:t xml:space="preserve">domestic </w:t>
      </w:r>
      <w:r w:rsidR="00F77360">
        <w:t>liberalisation</w:t>
      </w:r>
      <w:r w:rsidR="00F17F91">
        <w:t>, so ab</w:t>
      </w:r>
      <w:r w:rsidR="001A2B29">
        <w:t>olishing dividend</w:t>
      </w:r>
      <w:r w:rsidR="00191BE6">
        <w:t xml:space="preserve"> i</w:t>
      </w:r>
      <w:r w:rsidR="003509F1">
        <w:t>mputation should be sequenced towards</w:t>
      </w:r>
      <w:r w:rsidR="00191BE6">
        <w:t xml:space="preserve"> the back end of</w:t>
      </w:r>
      <w:r w:rsidR="00EF09B0">
        <w:t xml:space="preserve"> comprehensi</w:t>
      </w:r>
      <w:r w:rsidR="00F17F91">
        <w:t>ve tax reform</w:t>
      </w:r>
      <w:r w:rsidR="00EF09B0">
        <w:t>.</w:t>
      </w:r>
      <w:r w:rsidR="00BA15E7" w:rsidRPr="00BA15E7">
        <w:t xml:space="preserve"> </w:t>
      </w:r>
      <w:r w:rsidR="00BA15E7" w:rsidRPr="00491B70">
        <w:t xml:space="preserve">A better way </w:t>
      </w:r>
      <w:r w:rsidR="00BA15E7">
        <w:t xml:space="preserve">incrementally </w:t>
      </w:r>
      <w:r w:rsidR="00BA15E7" w:rsidRPr="00491B70">
        <w:t>t</w:t>
      </w:r>
      <w:r w:rsidR="00BA15E7">
        <w:t>o promote business investment could</w:t>
      </w:r>
      <w:r w:rsidR="00BA15E7" w:rsidRPr="00491B70">
        <w:t xml:space="preserve"> be simply to cut the headline rate by small amounts</w:t>
      </w:r>
      <w:r w:rsidR="0053547A">
        <w:t>,</w:t>
      </w:r>
      <w:r w:rsidR="00BA15E7" w:rsidRPr="00491B70">
        <w:t xml:space="preserve"> if and when spending control and the economic outlook permit.</w:t>
      </w:r>
      <w:r w:rsidR="00BA15E7">
        <w:t xml:space="preserve"> In 2011, for example, New Zealand </w:t>
      </w:r>
      <w:r w:rsidR="0064234A">
        <w:t xml:space="preserve">successfully </w:t>
      </w:r>
      <w:r w:rsidR="00BA15E7">
        <w:t>cut its headline rate f</w:t>
      </w:r>
      <w:r w:rsidR="003C69BA">
        <w:t xml:space="preserve">rom 30 </w:t>
      </w:r>
      <w:r w:rsidR="0064234A">
        <w:t xml:space="preserve">per cent </w:t>
      </w:r>
      <w:r w:rsidR="003C69BA">
        <w:t>to 28 per c</w:t>
      </w:r>
      <w:r w:rsidR="0064234A">
        <w:t>ent</w:t>
      </w:r>
      <w:r w:rsidR="00BA15E7">
        <w:t>.</w:t>
      </w:r>
    </w:p>
    <w:p w14:paraId="7D45CF53" w14:textId="77777777" w:rsidR="001A0562" w:rsidRDefault="001A0562" w:rsidP="00FD55FA">
      <w:pPr>
        <w:spacing w:line="360" w:lineRule="auto"/>
        <w:jc w:val="both"/>
      </w:pPr>
    </w:p>
    <w:p w14:paraId="7A2FAFA4" w14:textId="77777777" w:rsidR="00AA1821" w:rsidRDefault="00AA1821" w:rsidP="00FD55FA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Appendix: Estimating </w:t>
      </w:r>
      <w:r w:rsidR="00C71E3B">
        <w:rPr>
          <w:b/>
          <w:sz w:val="28"/>
          <w:szCs w:val="28"/>
        </w:rPr>
        <w:t xml:space="preserve">the effects of </w:t>
      </w:r>
      <w:r w:rsidR="00097C2E">
        <w:rPr>
          <w:b/>
          <w:sz w:val="28"/>
          <w:szCs w:val="28"/>
        </w:rPr>
        <w:t>abolishing</w:t>
      </w:r>
      <w:r>
        <w:rPr>
          <w:b/>
          <w:sz w:val="28"/>
          <w:szCs w:val="28"/>
        </w:rPr>
        <w:t xml:space="preserve"> dividend imputation</w:t>
      </w:r>
    </w:p>
    <w:p w14:paraId="12721699" w14:textId="77777777" w:rsidR="00AA1821" w:rsidRDefault="00AA1821" w:rsidP="00FD55FA">
      <w:pPr>
        <w:spacing w:line="360" w:lineRule="auto"/>
        <w:jc w:val="both"/>
      </w:pPr>
    </w:p>
    <w:p w14:paraId="3DD9B456" w14:textId="77777777" w:rsidR="00593ECE" w:rsidRDefault="0073041C" w:rsidP="00593ECE">
      <w:pPr>
        <w:spacing w:line="360" w:lineRule="auto"/>
        <w:jc w:val="both"/>
      </w:pPr>
      <w:r>
        <w:t xml:space="preserve">Building on </w:t>
      </w:r>
      <w:r w:rsidRPr="0073041C">
        <w:t>Treasury Working Paper 2015-01</w:t>
      </w:r>
      <w:r>
        <w:t>, I estimate</w:t>
      </w:r>
      <w:r w:rsidR="006A5DC5">
        <w:t xml:space="preserve"> the magnitudes associated with abolishing dividend imputation and using the proceeds to cut the company tax rate.</w:t>
      </w:r>
      <w:r w:rsidRPr="0073041C">
        <w:t xml:space="preserve"> </w:t>
      </w:r>
      <w:r w:rsidR="00E835BC">
        <w:t>Equation (6) of t</w:t>
      </w:r>
      <w:r w:rsidR="00154A21">
        <w:t>hat pape</w:t>
      </w:r>
      <w:r w:rsidR="00631C1D">
        <w:t xml:space="preserve">r argues foreign investors </w:t>
      </w:r>
      <w:r w:rsidR="00154A21">
        <w:t xml:space="preserve">require the before-tax rate of return to physical capital located within </w:t>
      </w:r>
      <w:r w:rsidR="00154A21">
        <w:lastRenderedPageBreak/>
        <w:t>Australia</w:t>
      </w:r>
      <w:r>
        <w:t xml:space="preserve">, </w:t>
      </w:r>
      <w:r w:rsidRPr="0073041C">
        <w:rPr>
          <w:i/>
        </w:rPr>
        <w:t>r</w:t>
      </w:r>
      <w:r w:rsidRPr="0073041C">
        <w:rPr>
          <w:i/>
          <w:vertAlign w:val="subscript"/>
        </w:rPr>
        <w:t>bt</w:t>
      </w:r>
      <w:r w:rsidR="00154A21">
        <w:t>, to</w:t>
      </w:r>
      <w:r w:rsidR="00EA66B2">
        <w:t xml:space="preserve"> equal the exogenously-given global rate of return </w:t>
      </w:r>
      <w:r w:rsidR="00EA66B2" w:rsidRPr="0073041C">
        <w:rPr>
          <w:i/>
        </w:rPr>
        <w:t>r</w:t>
      </w:r>
      <w:r w:rsidR="00EA66B2">
        <w:rPr>
          <w:i/>
          <w:vertAlign w:val="subscript"/>
        </w:rPr>
        <w:t>w</w:t>
      </w:r>
      <w:r w:rsidR="00363C2E">
        <w:t xml:space="preserve"> divided by one minus </w:t>
      </w:r>
      <w:r w:rsidR="00593ECE">
        <w:t xml:space="preserve">the company tax rate </w:t>
      </w:r>
      <w:r w:rsidR="00593ECE" w:rsidRPr="00593ECE">
        <w:rPr>
          <w:rFonts w:cstheme="minorHAnsi"/>
          <w:i/>
        </w:rPr>
        <w:t>τ</w:t>
      </w:r>
      <w:r w:rsidR="00593ECE" w:rsidRPr="00593ECE">
        <w:rPr>
          <w:i/>
          <w:vertAlign w:val="subscript"/>
        </w:rPr>
        <w:t>K</w:t>
      </w:r>
      <w:r w:rsidR="00593ECE">
        <w:t>:</w:t>
      </w:r>
    </w:p>
    <w:p w14:paraId="63E82F64" w14:textId="77777777" w:rsidR="00704F1A" w:rsidRDefault="008E27A6" w:rsidP="00704F1A">
      <w:pPr>
        <w:spacing w:line="360" w:lineRule="auto"/>
        <w:ind w:left="2160" w:firstLine="720"/>
        <w:jc w:val="both"/>
      </w:pPr>
      <w:r w:rsidRPr="00B933C7">
        <w:rPr>
          <w:position w:val="-30"/>
        </w:rPr>
        <w:object w:dxaOrig="1180" w:dyaOrig="680" w14:anchorId="5B81E135">
          <v:shape id="_x0000_i1028" type="#_x0000_t75" style="width:60.2pt;height:36pt" o:ole="">
            <v:imagedata r:id="rId21" o:title=""/>
          </v:shape>
          <o:OLEObject Type="Embed" ProgID="Equation.DSMT4" ShapeID="_x0000_i1028" DrawAspect="Content" ObjectID="_1494761370" r:id="rId22"/>
        </w:object>
      </w:r>
      <w:r w:rsidR="007270D9">
        <w:tab/>
      </w:r>
      <w:r w:rsidR="007270D9">
        <w:tab/>
      </w:r>
      <w:r w:rsidR="007270D9">
        <w:tab/>
      </w:r>
      <w:r w:rsidR="007270D9">
        <w:tab/>
      </w:r>
      <w:r w:rsidR="007270D9">
        <w:tab/>
      </w:r>
      <w:r w:rsidR="007270D9">
        <w:tab/>
      </w:r>
      <w:r w:rsidR="007270D9">
        <w:tab/>
        <w:t>(1)</w:t>
      </w:r>
    </w:p>
    <w:p w14:paraId="5D6EFB99" w14:textId="1C971E0E" w:rsidR="00962F7F" w:rsidRDefault="00CA5383" w:rsidP="00593ECE">
      <w:pPr>
        <w:spacing w:line="360" w:lineRule="auto"/>
        <w:jc w:val="both"/>
      </w:pPr>
      <w:r>
        <w:t>Assume</w:t>
      </w:r>
      <w:r w:rsidR="007270D9">
        <w:t xml:space="preserve"> a</w:t>
      </w:r>
      <w:r w:rsidR="00962F7F">
        <w:t xml:space="preserve"> Cobb-Douglas </w:t>
      </w:r>
      <w:r w:rsidR="00834264">
        <w:t xml:space="preserve">aggregate </w:t>
      </w:r>
      <w:r w:rsidR="00962F7F">
        <w:t xml:space="preserve">production </w:t>
      </w:r>
      <w:r w:rsidR="00F96F91">
        <w:t>function</w:t>
      </w:r>
      <w:r w:rsidR="00297338">
        <w:t xml:space="preserve"> </w:t>
      </w:r>
      <w:r w:rsidR="00E73A78" w:rsidRPr="00E73A78">
        <w:rPr>
          <w:position w:val="-12"/>
        </w:rPr>
        <w:object w:dxaOrig="1400" w:dyaOrig="440" w14:anchorId="20A9A445">
          <v:shape id="_x0000_i1029" type="#_x0000_t75" style="width:62.85pt;height:18.25pt" o:ole="">
            <v:imagedata r:id="rId23" o:title=""/>
          </v:shape>
          <o:OLEObject Type="Embed" ProgID="Equation.DSMT4" ShapeID="_x0000_i1029" DrawAspect="Content" ObjectID="_1494761371" r:id="rId24"/>
        </w:object>
      </w:r>
      <w:r w:rsidR="007270D9">
        <w:t>, where</w:t>
      </w:r>
      <w:r w:rsidR="00F63165">
        <w:t xml:space="preserve"> </w:t>
      </w:r>
      <w:r w:rsidR="00E73A78" w:rsidRPr="00E73A78">
        <w:rPr>
          <w:position w:val="-12"/>
        </w:rPr>
        <w:object w:dxaOrig="279" w:dyaOrig="360" w14:anchorId="705E3A72">
          <v:shape id="_x0000_i1030" type="#_x0000_t75" style="width:11.3pt;height:15.05pt" o:ole="">
            <v:imagedata r:id="rId25" o:title=""/>
          </v:shape>
          <o:OLEObject Type="Embed" ProgID="Equation.DSMT4" ShapeID="_x0000_i1030" DrawAspect="Content" ObjectID="_1494761372" r:id="rId26"/>
        </w:object>
      </w:r>
      <w:r w:rsidR="00BC4C0C">
        <w:t xml:space="preserve">is </w:t>
      </w:r>
      <w:r w:rsidR="00E73A78">
        <w:t>domestic product</w:t>
      </w:r>
      <w:r w:rsidR="00BC4C0C">
        <w:t>,</w:t>
      </w:r>
      <w:r w:rsidR="007270D9">
        <w:t xml:space="preserve"> </w:t>
      </w:r>
      <w:r w:rsidR="007270D9" w:rsidRPr="007270D9">
        <w:rPr>
          <w:i/>
        </w:rPr>
        <w:t>c</w:t>
      </w:r>
      <w:r w:rsidR="007270D9">
        <w:rPr>
          <w:i/>
        </w:rPr>
        <w:t xml:space="preserve"> </w:t>
      </w:r>
      <w:r w:rsidR="007270D9">
        <w:t xml:space="preserve">is a constant, </w:t>
      </w:r>
      <w:r w:rsidR="007270D9" w:rsidRPr="007270D9">
        <w:rPr>
          <w:i/>
        </w:rPr>
        <w:t>K</w:t>
      </w:r>
      <w:r w:rsidR="007270D9">
        <w:t xml:space="preserve"> is the Australian-located stock of physical capital, and </w:t>
      </w:r>
      <w:r w:rsidR="00B560B4" w:rsidRPr="00763DEC">
        <w:rPr>
          <w:position w:val="-4"/>
        </w:rPr>
        <w:object w:dxaOrig="279" w:dyaOrig="320" w14:anchorId="1DBDA69C">
          <v:shape id="_x0000_i1031" type="#_x0000_t75" style="width:11.8pt;height:13.45pt" o:ole="">
            <v:imagedata r:id="rId27" o:title=""/>
          </v:shape>
          <o:OLEObject Type="Embed" ProgID="Equation.DSMT4" ShapeID="_x0000_i1031" DrawAspect="Content" ObjectID="_1494761373" r:id="rId28"/>
        </w:object>
      </w:r>
      <w:r w:rsidR="007270D9">
        <w:t xml:space="preserve"> the fixed stock of</w:t>
      </w:r>
      <w:r w:rsidR="00F67AEF">
        <w:t xml:space="preserve"> labour in Australia (exertion plus </w:t>
      </w:r>
      <w:r w:rsidR="00C95A14">
        <w:t>human capital). Next, s</w:t>
      </w:r>
      <w:r w:rsidR="007270D9">
        <w:t>ubstitute the marginal product of capital for</w:t>
      </w:r>
      <w:r w:rsidR="00962F7F">
        <w:t xml:space="preserve"> </w:t>
      </w:r>
      <w:r w:rsidR="00962F7F" w:rsidRPr="0073041C">
        <w:rPr>
          <w:i/>
        </w:rPr>
        <w:t>r</w:t>
      </w:r>
      <w:r w:rsidR="00962F7F" w:rsidRPr="0073041C">
        <w:rPr>
          <w:i/>
          <w:vertAlign w:val="subscript"/>
        </w:rPr>
        <w:t>bt</w:t>
      </w:r>
      <w:r w:rsidR="007270D9">
        <w:t xml:space="preserve"> in eq. (1):</w:t>
      </w:r>
    </w:p>
    <w:p w14:paraId="05B7087C" w14:textId="6454B646" w:rsidR="00962F7F" w:rsidRDefault="00E91325" w:rsidP="00E91325">
      <w:pPr>
        <w:spacing w:line="360" w:lineRule="auto"/>
        <w:ind w:left="2160" w:firstLine="720"/>
        <w:jc w:val="both"/>
      </w:pPr>
      <w:r w:rsidRPr="00B933C7">
        <w:rPr>
          <w:position w:val="-30"/>
        </w:rPr>
        <w:object w:dxaOrig="2020" w:dyaOrig="680" w14:anchorId="0FAD7050">
          <v:shape id="_x0000_i1032" type="#_x0000_t75" style="width:92.95pt;height:32.8pt" o:ole="">
            <v:imagedata r:id="rId29" o:title=""/>
          </v:shape>
          <o:OLEObject Type="Embed" ProgID="Equation.DSMT4" ShapeID="_x0000_i1032" DrawAspect="Content" ObjectID="_1494761374" r:id="rId30"/>
        </w:objec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270D9">
        <w:t>(2)</w:t>
      </w:r>
    </w:p>
    <w:p w14:paraId="59CD1FBD" w14:textId="5E252628" w:rsidR="007270D9" w:rsidRDefault="005A0B0D" w:rsidP="007270D9">
      <w:pPr>
        <w:spacing w:line="360" w:lineRule="auto"/>
        <w:jc w:val="both"/>
      </w:pPr>
      <w:r>
        <w:t>Hence</w:t>
      </w:r>
      <w:r w:rsidR="00CA5383">
        <w:t xml:space="preserve"> t</w:t>
      </w:r>
      <w:r w:rsidR="00154A21">
        <w:t>he link between a change in the company tax ra</w:t>
      </w:r>
      <w:r w:rsidR="00F907E5">
        <w:t>te and the resulting</w:t>
      </w:r>
      <w:r w:rsidR="00CA5383">
        <w:t xml:space="preserve"> </w:t>
      </w:r>
      <w:r w:rsidR="00154A21">
        <w:t xml:space="preserve">change in </w:t>
      </w:r>
      <w:r w:rsidR="008E27A6">
        <w:t xml:space="preserve">the </w:t>
      </w:r>
      <w:r w:rsidR="00154A21">
        <w:t>Australia</w:t>
      </w:r>
      <w:r w:rsidR="008E27A6">
        <w:t>n-located</w:t>
      </w:r>
      <w:r w:rsidR="00154A21">
        <w:t xml:space="preserve"> cap</w:t>
      </w:r>
      <w:r w:rsidR="00CA5383">
        <w:t>ital stock is</w:t>
      </w:r>
      <w:r w:rsidR="00273044">
        <w:t>:</w:t>
      </w:r>
    </w:p>
    <w:p w14:paraId="2D477352" w14:textId="77777777" w:rsidR="00154A21" w:rsidRDefault="008E27A6" w:rsidP="007270D9">
      <w:pPr>
        <w:spacing w:line="360" w:lineRule="auto"/>
        <w:jc w:val="both"/>
      </w:pPr>
      <w:r>
        <w:tab/>
      </w:r>
      <w:r>
        <w:tab/>
      </w:r>
      <w:r>
        <w:tab/>
      </w:r>
      <w:r w:rsidR="00D240D4">
        <w:tab/>
      </w:r>
      <w:r w:rsidR="0082689A" w:rsidRPr="008E27A6">
        <w:rPr>
          <w:position w:val="-32"/>
        </w:rPr>
        <w:object w:dxaOrig="2140" w:dyaOrig="760" w14:anchorId="0BBA650A">
          <v:shape id="_x0000_i1033" type="#_x0000_t75" style="width:108pt;height:36pt" o:ole="">
            <v:imagedata r:id="rId31" o:title=""/>
          </v:shape>
          <o:OLEObject Type="Embed" ProgID="Equation.DSMT4" ShapeID="_x0000_i1033" DrawAspect="Content" ObjectID="_1494761375" r:id="rId32"/>
        </w:object>
      </w:r>
      <w:r w:rsidR="00D240D4">
        <w:tab/>
      </w:r>
      <w:r w:rsidR="00D240D4">
        <w:tab/>
      </w:r>
      <w:r w:rsidR="00D240D4">
        <w:tab/>
      </w:r>
      <w:r w:rsidR="00D240D4">
        <w:tab/>
      </w:r>
      <w:r w:rsidR="00D240D4">
        <w:tab/>
      </w:r>
      <w:r>
        <w:tab/>
      </w:r>
      <w:r w:rsidR="002D0DF5">
        <w:t>(3)</w:t>
      </w:r>
    </w:p>
    <w:p w14:paraId="291FEC94" w14:textId="0A02CF08" w:rsidR="001E5372" w:rsidRDefault="004F2DD4" w:rsidP="008E27A6">
      <w:pPr>
        <w:spacing w:line="360" w:lineRule="auto"/>
        <w:jc w:val="both"/>
      </w:pPr>
      <w:r>
        <w:t xml:space="preserve">If the headline </w:t>
      </w:r>
      <w:r w:rsidR="001E5372">
        <w:t>company tax rate is</w:t>
      </w:r>
      <w:r w:rsidR="006D7EF5">
        <w:t xml:space="preserve"> </w:t>
      </w:r>
      <w:r w:rsidR="001E5372">
        <w:t xml:space="preserve">initially </w:t>
      </w:r>
      <w:r w:rsidR="006D7EF5">
        <w:t xml:space="preserve">30 per cent </w:t>
      </w:r>
      <w:r w:rsidR="001E5372">
        <w:t xml:space="preserve">and the capital stock is initially $3tn then a cut of 10 percentage points in the headline rate induces an inflow of $642bn of foreign capital. If a headline </w:t>
      </w:r>
      <w:r w:rsidR="00041E86">
        <w:t>$65bn</w:t>
      </w:r>
      <w:r w:rsidR="00AB7DE4">
        <w:t xml:space="preserve"> pa</w:t>
      </w:r>
      <w:r w:rsidR="00DD4B4D">
        <w:t xml:space="preserve"> of</w:t>
      </w:r>
      <w:r w:rsidR="00041E86">
        <w:t xml:space="preserve"> company tax reven</w:t>
      </w:r>
      <w:r w:rsidR="007C1E74">
        <w:t xml:space="preserve">ue </w:t>
      </w:r>
      <w:r w:rsidR="001E5372">
        <w:t xml:space="preserve">is initially </w:t>
      </w:r>
      <w:r w:rsidR="00551A4E">
        <w:t>collected</w:t>
      </w:r>
      <w:r w:rsidR="00041E86">
        <w:t xml:space="preserve"> from domestic and foreig</w:t>
      </w:r>
      <w:r w:rsidR="00DD4B4D">
        <w:t>n investors</w:t>
      </w:r>
      <w:r w:rsidR="004B433B">
        <w:t>,</w:t>
      </w:r>
      <w:r w:rsidR="00DD4B4D">
        <w:t xml:space="preserve"> </w:t>
      </w:r>
      <w:r w:rsidR="00271FF2">
        <w:t xml:space="preserve">then </w:t>
      </w:r>
      <w:r w:rsidR="001C76B1" w:rsidRPr="006D7EF5">
        <w:rPr>
          <w:position w:val="-12"/>
        </w:rPr>
        <w:object w:dxaOrig="2760" w:dyaOrig="360" w14:anchorId="08C2D80C">
          <v:shape id="_x0000_i1034" type="#_x0000_t75" style="width:132.2pt;height:18.25pt" o:ole="">
            <v:imagedata r:id="rId33" o:title=""/>
          </v:shape>
          <o:OLEObject Type="Embed" ProgID="Equation.DSMT4" ShapeID="_x0000_i1034" DrawAspect="Content" ObjectID="_1494761376" r:id="rId34"/>
        </w:object>
      </w:r>
      <w:r w:rsidR="00490F4E">
        <w:t>, i.e.</w:t>
      </w:r>
      <w:r w:rsidR="007C1E74">
        <w:t xml:space="preserve"> the model-consistent value of </w:t>
      </w:r>
      <w:r w:rsidR="007C1E74" w:rsidRPr="00763DEC">
        <w:rPr>
          <w:position w:val="-12"/>
        </w:rPr>
        <w:object w:dxaOrig="300" w:dyaOrig="360" w14:anchorId="35E70CAB">
          <v:shape id="_x0000_i1035" type="#_x0000_t75" style="width:18.25pt;height:18.25pt" o:ole="">
            <v:imagedata r:id="rId35" o:title=""/>
          </v:shape>
          <o:OLEObject Type="Embed" ProgID="Equation.DSMT4" ShapeID="_x0000_i1035" DrawAspect="Content" ObjectID="_1494761377" r:id="rId36"/>
        </w:object>
      </w:r>
      <w:r w:rsidR="00A178E2">
        <w:t>is 5</w:t>
      </w:r>
      <w:r w:rsidR="007C1E74">
        <w:t xml:space="preserve"> per cent pa.</w:t>
      </w:r>
    </w:p>
    <w:p w14:paraId="48C3B0CC" w14:textId="77777777" w:rsidR="001E5372" w:rsidRDefault="001E5372" w:rsidP="008E27A6">
      <w:pPr>
        <w:spacing w:line="360" w:lineRule="auto"/>
        <w:jc w:val="both"/>
      </w:pPr>
    </w:p>
    <w:p w14:paraId="16626372" w14:textId="71D772C7" w:rsidR="00041E86" w:rsidRDefault="00E47CCF" w:rsidP="008E27A6">
      <w:pPr>
        <w:spacing w:line="360" w:lineRule="auto"/>
        <w:jc w:val="both"/>
      </w:pPr>
      <w:r>
        <w:t>Now</w:t>
      </w:r>
      <w:r w:rsidR="000110F4">
        <w:t xml:space="preserve"> reallocate</w:t>
      </w:r>
      <w:r w:rsidR="001E5372">
        <w:t xml:space="preserve"> </w:t>
      </w:r>
      <w:r>
        <w:t>$19bn of franking credits from</w:t>
      </w:r>
      <w:r w:rsidR="001E5372">
        <w:t xml:space="preserve"> </w:t>
      </w:r>
      <w:r w:rsidR="00F253DA">
        <w:t>domestic households, superannuation funds and charities</w:t>
      </w:r>
      <w:r w:rsidR="000110F4">
        <w:t xml:space="preserve"> to paying for</w:t>
      </w:r>
      <w:r w:rsidR="001E5372">
        <w:t xml:space="preserve"> a cut in the headline rate. T</w:t>
      </w:r>
      <w:r w:rsidR="00F907E5">
        <w:t xml:space="preserve">he new capital stock </w:t>
      </w:r>
      <w:r w:rsidR="00477BC8" w:rsidRPr="002604F3">
        <w:rPr>
          <w:position w:val="-12"/>
        </w:rPr>
        <w:object w:dxaOrig="320" w:dyaOrig="380" w14:anchorId="4FA9854C">
          <v:shape id="_x0000_i1036" type="#_x0000_t75" style="width:18.25pt;height:17.75pt" o:ole="">
            <v:imagedata r:id="rId37" o:title=""/>
          </v:shape>
          <o:OLEObject Type="Embed" ProgID="Equation.DSMT4" ShapeID="_x0000_i1036" DrawAspect="Content" ObjectID="_1494761378" r:id="rId38"/>
        </w:object>
      </w:r>
      <w:r w:rsidR="00477BC8">
        <w:t xml:space="preserve"> </w:t>
      </w:r>
      <w:r w:rsidR="00F00693">
        <w:t>and the new tax rate</w:t>
      </w:r>
      <w:r w:rsidR="00F907E5" w:rsidRPr="00D303DB">
        <w:rPr>
          <w:position w:val="-12"/>
        </w:rPr>
        <w:object w:dxaOrig="340" w:dyaOrig="360" w14:anchorId="7BDDBA75">
          <v:shape id="_x0000_i1037" type="#_x0000_t75" style="width:18.25pt;height:18.25pt" o:ole="">
            <v:imagedata r:id="rId39" o:title=""/>
          </v:shape>
          <o:OLEObject Type="Embed" ProgID="Equation.DSMT4" ShapeID="_x0000_i1037" DrawAspect="Content" ObjectID="_1494761379" r:id="rId40"/>
        </w:object>
      </w:r>
      <w:r w:rsidR="00F907E5">
        <w:t xml:space="preserve"> must satisfy</w:t>
      </w:r>
    </w:p>
    <w:p w14:paraId="578DBE04" w14:textId="5B350D10" w:rsidR="00F907E5" w:rsidRDefault="0055661F" w:rsidP="008E27A6">
      <w:pPr>
        <w:spacing w:line="360" w:lineRule="auto"/>
        <w:jc w:val="both"/>
      </w:pPr>
      <w:r>
        <w:tab/>
      </w:r>
      <w:r>
        <w:tab/>
      </w:r>
      <w:r>
        <w:tab/>
      </w:r>
      <w:r w:rsidR="00712BC5" w:rsidRPr="00C75C7A">
        <w:rPr>
          <w:position w:val="-30"/>
        </w:rPr>
        <w:object w:dxaOrig="2680" w:dyaOrig="680" w14:anchorId="04471F81">
          <v:shape id="_x0000_i1038" type="#_x0000_t75" style="width:118.2pt;height:30.65pt" o:ole="">
            <v:imagedata r:id="rId41" o:title=""/>
          </v:shape>
          <o:OLEObject Type="Embed" ProgID="Equation.DSMT4" ShapeID="_x0000_i1038" DrawAspect="Content" ObjectID="_1494761380" r:id="rId42"/>
        </w:object>
      </w:r>
      <w:r w:rsidR="00C75C7A">
        <w:t>.</w:t>
      </w:r>
      <w:r w:rsidR="00C75C7A">
        <w:tab/>
      </w:r>
      <w:r w:rsidR="00C75C7A">
        <w:tab/>
      </w:r>
      <w:r w:rsidR="00C75C7A">
        <w:tab/>
      </w:r>
      <w:r w:rsidR="00C75C7A">
        <w:tab/>
      </w:r>
      <w:r w:rsidR="00C75C7A">
        <w:tab/>
      </w:r>
      <w:r w:rsidR="00184BC7">
        <w:tab/>
      </w:r>
      <w:r w:rsidR="00F907E5">
        <w:t>(4)</w:t>
      </w:r>
    </w:p>
    <w:p w14:paraId="73BF82BB" w14:textId="7048F8EF" w:rsidR="00E17029" w:rsidRDefault="0054090D" w:rsidP="008E27A6">
      <w:pPr>
        <w:spacing w:line="360" w:lineRule="auto"/>
        <w:jc w:val="both"/>
      </w:pPr>
      <w:r>
        <w:t>Use</w:t>
      </w:r>
      <w:r w:rsidR="000110F4">
        <w:t xml:space="preserve"> equation (3) to substitute for</w:t>
      </w:r>
      <w:r w:rsidR="00DF5C43">
        <w:t xml:space="preserve"> </w:t>
      </w:r>
      <w:r w:rsidR="00477BC8" w:rsidRPr="00973545">
        <w:rPr>
          <w:position w:val="-12"/>
        </w:rPr>
        <w:object w:dxaOrig="320" w:dyaOrig="380" w14:anchorId="37905B3A">
          <v:shape id="_x0000_i1039" type="#_x0000_t75" style="width:18.25pt;height:17.75pt" o:ole="">
            <v:imagedata r:id="rId43" o:title=""/>
          </v:shape>
          <o:OLEObject Type="Embed" ProgID="Equation.DSMT4" ShapeID="_x0000_i1039" DrawAspect="Content" ObjectID="_1494761381" r:id="rId44"/>
        </w:object>
      </w:r>
      <w:r w:rsidR="002A3D5C">
        <w:t>(=</w:t>
      </w:r>
      <w:r w:rsidR="00712BC5" w:rsidRPr="00477BC8">
        <w:rPr>
          <w:position w:val="-10"/>
        </w:rPr>
        <w:object w:dxaOrig="980" w:dyaOrig="320" w14:anchorId="38087EDC">
          <v:shape id="_x0000_i1040" type="#_x0000_t75" style="width:42.45pt;height:16.1pt" o:ole="">
            <v:imagedata r:id="rId45" o:title=""/>
          </v:shape>
          <o:OLEObject Type="Embed" ProgID="Equation.DSMT4" ShapeID="_x0000_i1040" DrawAspect="Content" ObjectID="_1494761382" r:id="rId46"/>
        </w:object>
      </w:r>
      <w:r w:rsidR="002A3D5C">
        <w:t xml:space="preserve"> </w:t>
      </w:r>
      <w:commentRangeStart w:id="1"/>
      <w:commentRangeStart w:id="2"/>
      <w:r>
        <w:t>in</w:t>
      </w:r>
      <w:commentRangeEnd w:id="1"/>
      <w:r w:rsidR="002A3D5C">
        <w:rPr>
          <w:rStyle w:val="CommentReference"/>
        </w:rPr>
        <w:commentReference w:id="1"/>
      </w:r>
      <w:commentRangeEnd w:id="2"/>
      <w:r w:rsidR="00C03AD6">
        <w:rPr>
          <w:rStyle w:val="CommentReference"/>
        </w:rPr>
        <w:commentReference w:id="2"/>
      </w:r>
      <w:r w:rsidR="002D01C2">
        <w:t xml:space="preserve"> (4)</w:t>
      </w:r>
      <w:r w:rsidR="00292351">
        <w:t>.</w:t>
      </w:r>
      <w:r>
        <w:t xml:space="preserve"> </w:t>
      </w:r>
      <w:r w:rsidR="00292351">
        <w:t xml:space="preserve">This pins </w:t>
      </w:r>
      <w:r>
        <w:t>down the new tax rate</w:t>
      </w:r>
      <w:r w:rsidRPr="00D303DB">
        <w:rPr>
          <w:position w:val="-12"/>
        </w:rPr>
        <w:object w:dxaOrig="340" w:dyaOrig="360" w14:anchorId="38F7A001">
          <v:shape id="_x0000_i1041" type="#_x0000_t75" style="width:18.25pt;height:18.25pt" o:ole="">
            <v:imagedata r:id="rId39" o:title=""/>
          </v:shape>
          <o:OLEObject Type="Embed" ProgID="Equation.DSMT4" ShapeID="_x0000_i1041" DrawAspect="Content" ObjectID="_1494761383" r:id="rId48"/>
        </w:object>
      </w:r>
      <w:r w:rsidR="00271FF2">
        <w:t xml:space="preserve">(= </w:t>
      </w:r>
      <w:r w:rsidR="00271FF2" w:rsidRPr="00FC4EF9">
        <w:rPr>
          <w:position w:val="-12"/>
        </w:rPr>
        <w:object w:dxaOrig="460" w:dyaOrig="360" w14:anchorId="453CAA07">
          <v:shape id="_x0000_i1042" type="#_x0000_t75" style="width:24.2pt;height:18.25pt" o:ole="">
            <v:imagedata r:id="rId49" o:title=""/>
          </v:shape>
          <o:OLEObject Type="Embed" ProgID="Equation.DSMT4" ShapeID="_x0000_i1042" DrawAspect="Content" ObjectID="_1494761384" r:id="rId50"/>
        </w:object>
      </w:r>
      <w:r w:rsidR="00271FF2">
        <w:t xml:space="preserve">+ </w:t>
      </w:r>
      <w:r w:rsidR="00271FF2" w:rsidRPr="00FC4EF9">
        <w:rPr>
          <w:position w:val="-12"/>
        </w:rPr>
        <w:object w:dxaOrig="300" w:dyaOrig="360" w14:anchorId="3D89014A">
          <v:shape id="_x0000_i1043" type="#_x0000_t75" style="width:18.25pt;height:18.25pt" o:ole="">
            <v:imagedata r:id="rId51" o:title=""/>
          </v:shape>
          <o:OLEObject Type="Embed" ProgID="Equation.DSMT4" ShapeID="_x0000_i1043" DrawAspect="Content" ObjectID="_1494761385" r:id="rId52"/>
        </w:object>
      </w:r>
      <w:r w:rsidR="00271FF2">
        <w:t xml:space="preserve">) </w:t>
      </w:r>
      <w:r>
        <w:t>as</w:t>
      </w:r>
      <w:r w:rsidR="002D01C2">
        <w:t xml:space="preserve"> a solu</w:t>
      </w:r>
      <w:r>
        <w:t>tion of the quadratic equation</w:t>
      </w:r>
    </w:p>
    <w:p w14:paraId="150733A0" w14:textId="12621C6B" w:rsidR="002D01C2" w:rsidRPr="00E45DBB" w:rsidRDefault="00A81131" w:rsidP="00747921">
      <w:pPr>
        <w:spacing w:line="360" w:lineRule="auto"/>
        <w:ind w:left="720" w:firstLine="720"/>
        <w:jc w:val="both"/>
      </w:pPr>
      <w:r w:rsidRPr="00D303DB">
        <w:rPr>
          <w:position w:val="-12"/>
        </w:rPr>
        <w:object w:dxaOrig="3320" w:dyaOrig="380" w14:anchorId="0EC2174A">
          <v:shape id="_x0000_i1044" type="#_x0000_t75" style="width:168.2pt;height:17.75pt" o:ole="">
            <v:imagedata r:id="rId53" o:title=""/>
          </v:shape>
          <o:OLEObject Type="Embed" ProgID="Equation.DSMT4" ShapeID="_x0000_i1044" DrawAspect="Content" ObjectID="_1494761386" r:id="rId54"/>
        </w:object>
      </w:r>
      <w:r w:rsidR="00747921">
        <w:tab/>
      </w:r>
      <w:r w:rsidR="00747921">
        <w:tab/>
      </w:r>
      <w:r w:rsidR="00747921">
        <w:tab/>
      </w:r>
      <w:r w:rsidR="00747921">
        <w:tab/>
      </w:r>
      <w:r w:rsidR="00747921">
        <w:tab/>
      </w:r>
      <w:r w:rsidR="00E45DBB">
        <w:tab/>
        <w:t>(5)</w:t>
      </w:r>
    </w:p>
    <w:p w14:paraId="505445FC" w14:textId="5337FCDD" w:rsidR="00D358D9" w:rsidRPr="004171A7" w:rsidRDefault="00442D8B" w:rsidP="008E27A6">
      <w:pPr>
        <w:spacing w:line="360" w:lineRule="auto"/>
        <w:jc w:val="both"/>
      </w:pPr>
      <w:r>
        <w:lastRenderedPageBreak/>
        <w:t xml:space="preserve">The relevant solution is </w:t>
      </w:r>
      <w:r w:rsidR="00D358D9" w:rsidRPr="00715465">
        <w:rPr>
          <w:position w:val="-12"/>
        </w:rPr>
        <w:object w:dxaOrig="300" w:dyaOrig="360" w14:anchorId="47042BF4">
          <v:shape id="_x0000_i1045" type="#_x0000_t75" style="width:18.25pt;height:18.25pt" o:ole="">
            <v:imagedata r:id="rId55" o:title=""/>
          </v:shape>
          <o:OLEObject Type="Embed" ProgID="Equation.DSMT4" ShapeID="_x0000_i1045" DrawAspect="Content" ObjectID="_1494761387" r:id="rId56"/>
        </w:object>
      </w:r>
      <w:r w:rsidR="00BB2F84">
        <w:t xml:space="preserve">= </w:t>
      </w:r>
      <w:r w:rsidR="00A81131">
        <w:t>0.2 i.e. 20</w:t>
      </w:r>
      <w:r w:rsidR="00D763D3">
        <w:t xml:space="preserve"> per cent.</w:t>
      </w:r>
      <w:r>
        <w:t xml:space="preserve"> </w:t>
      </w:r>
      <w:r w:rsidR="004171A7">
        <w:t>It follows from (3) that</w:t>
      </w:r>
      <w:r w:rsidR="00D358D9" w:rsidRPr="00715465">
        <w:rPr>
          <w:position w:val="-4"/>
        </w:rPr>
        <w:object w:dxaOrig="320" w:dyaOrig="260" w14:anchorId="061700B8">
          <v:shape id="_x0000_i1046" type="#_x0000_t75" style="width:18.25pt;height:11.8pt" o:ole="">
            <v:imagedata r:id="rId57" o:title=""/>
          </v:shape>
          <o:OLEObject Type="Embed" ProgID="Equation.DSMT4" ShapeID="_x0000_i1046" DrawAspect="Content" ObjectID="_1494761388" r:id="rId58"/>
        </w:object>
      </w:r>
      <w:r w:rsidR="004171A7">
        <w:t xml:space="preserve">= </w:t>
      </w:r>
      <w:r w:rsidR="00D763D3">
        <w:t>$</w:t>
      </w:r>
      <w:r w:rsidR="00477BC8">
        <w:t>3.6</w:t>
      </w:r>
      <w:r w:rsidR="004171A7">
        <w:t>tn.</w:t>
      </w:r>
    </w:p>
    <w:p w14:paraId="4C0DAB9D" w14:textId="77777777" w:rsidR="00C23F3C" w:rsidRDefault="00C23F3C" w:rsidP="00593ECE">
      <w:pPr>
        <w:spacing w:line="360" w:lineRule="auto"/>
        <w:jc w:val="both"/>
      </w:pPr>
    </w:p>
    <w:p w14:paraId="49ADA92F" w14:textId="7A326665" w:rsidR="00747921" w:rsidRDefault="00224A39" w:rsidP="00593ECE">
      <w:pPr>
        <w:spacing w:line="360" w:lineRule="auto"/>
        <w:jc w:val="both"/>
      </w:pPr>
      <w:r>
        <w:t xml:space="preserve">The </w:t>
      </w:r>
      <w:r w:rsidR="00747921">
        <w:t>change in</w:t>
      </w:r>
      <w:r>
        <w:t xml:space="preserve"> national welfare following</w:t>
      </w:r>
      <w:r w:rsidR="00747921">
        <w:t xml:space="preserve"> abolition can be measured by the percentage change in national income. In the setup here, national income </w:t>
      </w:r>
      <w:r w:rsidR="00747921" w:rsidRPr="00E73A78">
        <w:rPr>
          <w:position w:val="-12"/>
        </w:rPr>
        <w:object w:dxaOrig="320" w:dyaOrig="360" w14:anchorId="1FAC0596">
          <v:shape id="_x0000_i1047" type="#_x0000_t75" style="width:13.45pt;height:15.05pt" o:ole="">
            <v:imagedata r:id="rId59" o:title=""/>
          </v:shape>
          <o:OLEObject Type="Embed" ProgID="Equation.DSMT4" ShapeID="_x0000_i1047" DrawAspect="Content" ObjectID="_1494761389" r:id="rId60"/>
        </w:object>
      </w:r>
      <w:r w:rsidR="00747921">
        <w:t xml:space="preserve"> is give</w:t>
      </w:r>
      <w:r w:rsidR="003B0FF9">
        <w:t>n by</w:t>
      </w:r>
      <w:r w:rsidR="00747921">
        <w:t xml:space="preserve"> domestic product minus the flow of dividends offshore:</w:t>
      </w:r>
    </w:p>
    <w:p w14:paraId="47B49879" w14:textId="64CFBEB6" w:rsidR="00747921" w:rsidRDefault="00747921" w:rsidP="00593ECE">
      <w:pPr>
        <w:spacing w:line="360" w:lineRule="auto"/>
        <w:jc w:val="both"/>
      </w:pPr>
      <w:r>
        <w:tab/>
      </w:r>
      <w:r>
        <w:tab/>
      </w:r>
      <w:r w:rsidR="003C30EA" w:rsidRPr="00747921">
        <w:rPr>
          <w:position w:val="-14"/>
        </w:rPr>
        <w:object w:dxaOrig="2140" w:dyaOrig="460" w14:anchorId="77D70DC6">
          <v:shape id="_x0000_i1048" type="#_x0000_t75" style="width:89.75pt;height:19.35pt" o:ole="">
            <v:imagedata r:id="rId61" o:title=""/>
          </v:shape>
          <o:OLEObject Type="Embed" ProgID="Equation.DSMT4" ShapeID="_x0000_i1048" DrawAspect="Content" ObjectID="_1494761390" r:id="rId62"/>
        </w:objec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(6)</w:t>
      </w:r>
    </w:p>
    <w:p w14:paraId="4E887A7C" w14:textId="57601EC5" w:rsidR="00747921" w:rsidRDefault="003C30EA" w:rsidP="00593ECE">
      <w:pPr>
        <w:spacing w:line="360" w:lineRule="auto"/>
        <w:jc w:val="both"/>
      </w:pPr>
      <w:r>
        <w:t xml:space="preserve">where </w:t>
      </w:r>
      <w:r w:rsidRPr="00BF0328">
        <w:rPr>
          <w:position w:val="-14"/>
        </w:rPr>
        <w:object w:dxaOrig="360" w:dyaOrig="380" w14:anchorId="57D9F67F">
          <v:shape id="_x0000_i1049" type="#_x0000_t75" style="width:18.25pt;height:19.35pt" o:ole="">
            <v:imagedata r:id="rId63" o:title=""/>
          </v:shape>
          <o:OLEObject Type="Embed" ProgID="Equation.DSMT4" ShapeID="_x0000_i1049" DrawAspect="Content" ObjectID="_1494761391" r:id="rId64"/>
        </w:object>
      </w:r>
      <w:r>
        <w:t xml:space="preserve"> is the foreign-owned capital stock. It follows that a first-order approximation to the percentage change</w:t>
      </w:r>
      <w:r w:rsidR="004A0662">
        <w:t xml:space="preserve"> in national income is:</w:t>
      </w:r>
    </w:p>
    <w:p w14:paraId="218ECEA6" w14:textId="6BDC942D" w:rsidR="003C30EA" w:rsidRPr="00C23F3C" w:rsidRDefault="003C30EA" w:rsidP="00593ECE">
      <w:pPr>
        <w:spacing w:line="360" w:lineRule="auto"/>
        <w:jc w:val="both"/>
      </w:pPr>
      <w:r>
        <w:tab/>
      </w:r>
      <w:r>
        <w:tab/>
      </w:r>
      <w:r w:rsidR="002841EC" w:rsidRPr="003C30EA">
        <w:rPr>
          <w:position w:val="-80"/>
        </w:rPr>
        <w:object w:dxaOrig="3019" w:dyaOrig="1820" w14:anchorId="09934B2E">
          <v:shape id="_x0000_i1050" type="#_x0000_t75" style="width:126.25pt;height:75.2pt" o:ole="">
            <v:imagedata r:id="rId65" o:title=""/>
          </v:shape>
          <o:OLEObject Type="Embed" ProgID="Equation.DSMT4" ShapeID="_x0000_i1050" DrawAspect="Content" ObjectID="_1494761392" r:id="rId66"/>
        </w:object>
      </w:r>
      <w:r w:rsidR="00110307">
        <w:tab/>
      </w:r>
      <w:r w:rsidR="00110307">
        <w:tab/>
      </w:r>
      <w:r w:rsidR="00110307">
        <w:tab/>
      </w:r>
      <w:r w:rsidR="00110307">
        <w:tab/>
      </w:r>
      <w:r w:rsidR="00110307">
        <w:tab/>
      </w:r>
      <w:r w:rsidR="00110307">
        <w:tab/>
      </w:r>
      <w:r w:rsidR="00110307">
        <w:tab/>
        <w:t>(7)</w:t>
      </w:r>
    </w:p>
    <w:p w14:paraId="082D71B2" w14:textId="58D4F18F" w:rsidR="00110307" w:rsidRDefault="00224A39" w:rsidP="00593ECE">
      <w:pPr>
        <w:spacing w:line="360" w:lineRule="auto"/>
        <w:jc w:val="both"/>
      </w:pPr>
      <w:r>
        <w:t>Introduce</w:t>
      </w:r>
      <w:r w:rsidR="00110307">
        <w:t xml:space="preserve"> the facts that in calendar 2014 </w:t>
      </w:r>
      <w:r>
        <w:t>gross national income was</w:t>
      </w:r>
      <w:r w:rsidR="00110307">
        <w:t xml:space="preserve"> $1.569tn, and </w:t>
      </w:r>
      <w:r>
        <w:t xml:space="preserve">gross domestic product was $1.599tn. This </w:t>
      </w:r>
      <w:r w:rsidR="002205D1">
        <w:t>together with</w:t>
      </w:r>
      <w:r w:rsidR="00C52411">
        <w:t xml:space="preserve"> earlier information</w:t>
      </w:r>
      <w:r>
        <w:t xml:space="preserve"> implies</w:t>
      </w:r>
      <w:r w:rsidR="00110307">
        <w:t xml:space="preserve"> </w:t>
      </w:r>
      <w:r>
        <w:t>that the</w:t>
      </w:r>
      <w:r w:rsidR="00D079DD">
        <w:t xml:space="preserve"> </w:t>
      </w:r>
      <w:r w:rsidR="00110307">
        <w:t xml:space="preserve">change in national income following </w:t>
      </w:r>
      <w:r w:rsidR="002205D1">
        <w:t xml:space="preserve">lower company tax and </w:t>
      </w:r>
      <w:r w:rsidR="00110307">
        <w:t xml:space="preserve">the abolition of imputation </w:t>
      </w:r>
      <w:r>
        <w:t>is</w:t>
      </w:r>
      <w:r w:rsidR="00110307">
        <w:t xml:space="preserve"> 4.9 per cent.</w:t>
      </w:r>
    </w:p>
    <w:p w14:paraId="306A6630" w14:textId="77777777" w:rsidR="00110307" w:rsidRPr="00110307" w:rsidRDefault="00110307" w:rsidP="00593ECE">
      <w:pPr>
        <w:spacing w:line="360" w:lineRule="auto"/>
        <w:jc w:val="both"/>
      </w:pPr>
    </w:p>
    <w:p w14:paraId="437D826C" w14:textId="77777777" w:rsidR="00593ECE" w:rsidRPr="00D976F6" w:rsidRDefault="001A0562" w:rsidP="00593ECE">
      <w:pPr>
        <w:spacing w:line="360" w:lineRule="auto"/>
        <w:jc w:val="both"/>
      </w:pPr>
      <w:r w:rsidRPr="001A0562">
        <w:rPr>
          <w:b/>
          <w:sz w:val="28"/>
          <w:szCs w:val="28"/>
        </w:rPr>
        <w:t>References</w:t>
      </w:r>
    </w:p>
    <w:p w14:paraId="410141A6" w14:textId="77777777" w:rsidR="00593ECE" w:rsidRPr="00C23F3C" w:rsidRDefault="00593ECE" w:rsidP="00593ECE">
      <w:pPr>
        <w:spacing w:line="360" w:lineRule="auto"/>
        <w:jc w:val="both"/>
      </w:pPr>
    </w:p>
    <w:p w14:paraId="094A61DF" w14:textId="0EFDC7C4" w:rsidR="003B08E9" w:rsidRDefault="008547DD" w:rsidP="003329D0">
      <w:pPr>
        <w:spacing w:line="360" w:lineRule="auto"/>
        <w:ind w:left="720" w:hanging="720"/>
        <w:jc w:val="both"/>
      </w:pPr>
      <w:r>
        <w:t>Australian Treasury 2015.</w:t>
      </w:r>
      <w:r w:rsidR="00735E96">
        <w:t xml:space="preserve"> </w:t>
      </w:r>
      <w:r w:rsidR="00494A76" w:rsidRPr="001D0E82">
        <w:rPr>
          <w:i/>
        </w:rPr>
        <w:t>Re</w:t>
      </w:r>
      <w:r w:rsidR="00520313">
        <w:rPr>
          <w:i/>
        </w:rPr>
        <w:t>:</w:t>
      </w:r>
      <w:r w:rsidR="00494A76" w:rsidRPr="001D0E82">
        <w:rPr>
          <w:i/>
        </w:rPr>
        <w:t>think</w:t>
      </w:r>
      <w:r w:rsidR="00520313">
        <w:t>,</w:t>
      </w:r>
      <w:r w:rsidR="00494A76">
        <w:t xml:space="preserve"> </w:t>
      </w:r>
      <w:r w:rsidR="00735E96">
        <w:t>Tax Discussion Paper</w:t>
      </w:r>
      <w:r w:rsidR="00D473D3">
        <w:t xml:space="preserve"> (March)</w:t>
      </w:r>
      <w:r>
        <w:t>.</w:t>
      </w:r>
    </w:p>
    <w:p w14:paraId="05996F1F" w14:textId="25DD3269" w:rsidR="0043420A" w:rsidRDefault="00737738" w:rsidP="00031191">
      <w:pPr>
        <w:spacing w:line="360" w:lineRule="auto"/>
        <w:ind w:left="720" w:hanging="720"/>
        <w:jc w:val="both"/>
      </w:pPr>
      <w:r>
        <w:t>Cao, L, Hosking, A, Kouparitsis, M, Mullaly, D, Rimmer, X, Shi, Q, Sta</w:t>
      </w:r>
      <w:r w:rsidR="00605A2B">
        <w:t>rk, W, and Wende, S 2015.</w:t>
      </w:r>
      <w:r w:rsidR="00E351FC">
        <w:t xml:space="preserve"> ‘Understanding the Economy-Wide Efficiency and Incidence of Major Australian Taxes</w:t>
      </w:r>
      <w:r w:rsidR="00605A2B">
        <w:t>’</w:t>
      </w:r>
      <w:r w:rsidR="00E351FC">
        <w:t>, Treasury Working Paper 2015-01.</w:t>
      </w:r>
    </w:p>
    <w:p w14:paraId="6A48BA32" w14:textId="7150F7EB" w:rsidR="0043420A" w:rsidRDefault="00605A2B" w:rsidP="00630CCB">
      <w:pPr>
        <w:spacing w:line="360" w:lineRule="auto"/>
        <w:ind w:left="720" w:hanging="720"/>
        <w:jc w:val="both"/>
      </w:pPr>
      <w:r>
        <w:t>Cannavan, D, Finn, F and Gray, S 2004.</w:t>
      </w:r>
      <w:r w:rsidR="0043420A">
        <w:t xml:space="preserve"> ‘The value</w:t>
      </w:r>
      <w:r w:rsidR="00630CCB">
        <w:t xml:space="preserve"> </w:t>
      </w:r>
      <w:r w:rsidR="0043420A">
        <w:t>of dividend imputation tax credits in A</w:t>
      </w:r>
      <w:r w:rsidR="00704D20">
        <w:t xml:space="preserve">ustralia’, </w:t>
      </w:r>
      <w:r w:rsidR="00704D20" w:rsidRPr="00605A2B">
        <w:rPr>
          <w:i/>
        </w:rPr>
        <w:t xml:space="preserve">Journal of Financial </w:t>
      </w:r>
      <w:r w:rsidR="0043420A" w:rsidRPr="00605A2B">
        <w:rPr>
          <w:i/>
        </w:rPr>
        <w:t>Economics</w:t>
      </w:r>
      <w:r w:rsidR="002F23AB">
        <w:t>, vol. 73, iss</w:t>
      </w:r>
      <w:r w:rsidR="0043420A">
        <w:t>. 1, pp. 167–197.</w:t>
      </w:r>
    </w:p>
    <w:p w14:paraId="031C0A60" w14:textId="1B0DB02D" w:rsidR="000706A0" w:rsidRDefault="00605A2B" w:rsidP="000706A0">
      <w:pPr>
        <w:spacing w:line="360" w:lineRule="auto"/>
        <w:ind w:left="720" w:hanging="720"/>
        <w:jc w:val="both"/>
      </w:pPr>
      <w:r>
        <w:t xml:space="preserve">de Mooij, R, and </w:t>
      </w:r>
      <w:r w:rsidR="000706A0">
        <w:t>Ederveen</w:t>
      </w:r>
      <w:r>
        <w:t>, S</w:t>
      </w:r>
      <w:r w:rsidR="00A41AAA">
        <w:t xml:space="preserve"> 2006</w:t>
      </w:r>
      <w:r>
        <w:t>.</w:t>
      </w:r>
      <w:r w:rsidR="00A41AAA" w:rsidRPr="00A41AAA">
        <w:t xml:space="preserve"> </w:t>
      </w:r>
      <w:r>
        <w:t>‘</w:t>
      </w:r>
      <w:r w:rsidR="00A41AAA" w:rsidRPr="00A41AAA">
        <w:t>What a difference does it make? Understanding the empirical literature on taxation and international capital flows</w:t>
      </w:r>
      <w:r>
        <w:t>’</w:t>
      </w:r>
      <w:r w:rsidR="00A41AAA">
        <w:t>, Economic Pa</w:t>
      </w:r>
      <w:r w:rsidR="006F64E3">
        <w:t>p</w:t>
      </w:r>
      <w:r w:rsidR="00A41AAA">
        <w:t>er 58, European Commission</w:t>
      </w:r>
      <w:r w:rsidR="005C776F">
        <w:t>.</w:t>
      </w:r>
    </w:p>
    <w:p w14:paraId="1513B56E" w14:textId="39FA4368" w:rsidR="00F328F9" w:rsidRDefault="00F328F9" w:rsidP="006B0267">
      <w:pPr>
        <w:spacing w:line="360" w:lineRule="auto"/>
        <w:ind w:left="720" w:hanging="720"/>
        <w:jc w:val="both"/>
      </w:pPr>
      <w:r>
        <w:lastRenderedPageBreak/>
        <w:t>Gruen, N</w:t>
      </w:r>
      <w:r w:rsidR="006B0267">
        <w:t xml:space="preserve"> </w:t>
      </w:r>
      <w:r w:rsidR="00AB601D">
        <w:t>2006. ‘Tax cuts to compete: t</w:t>
      </w:r>
      <w:r w:rsidR="00CB161E">
        <w:t>he influence of corporate taxation</w:t>
      </w:r>
      <w:r w:rsidR="006B0267">
        <w:t xml:space="preserve"> on Australia’s economic growth</w:t>
      </w:r>
      <w:r w:rsidR="00AB601D">
        <w:t>’, CEDA Information Paper 85.</w:t>
      </w:r>
    </w:p>
    <w:p w14:paraId="30240438" w14:textId="0CC3F1AE" w:rsidR="00A936C5" w:rsidRDefault="00A936C5" w:rsidP="003329D0">
      <w:pPr>
        <w:spacing w:line="360" w:lineRule="auto"/>
        <w:ind w:left="720" w:hanging="720"/>
        <w:jc w:val="both"/>
      </w:pPr>
      <w:r>
        <w:t>Heferen</w:t>
      </w:r>
      <w:r w:rsidR="00AE5F6F">
        <w:t>,</w:t>
      </w:r>
      <w:r>
        <w:t xml:space="preserve"> </w:t>
      </w:r>
      <w:r w:rsidR="00AB1AEA">
        <w:t xml:space="preserve">R </w:t>
      </w:r>
      <w:r w:rsidR="00AE5F6F">
        <w:t>2015</w:t>
      </w:r>
      <w:r w:rsidR="00AB601D">
        <w:t>.</w:t>
      </w:r>
      <w:r w:rsidR="00AE5F6F">
        <w:t xml:space="preserve"> ‘</w:t>
      </w:r>
      <w:r w:rsidR="00F11600">
        <w:t>T</w:t>
      </w:r>
      <w:r w:rsidR="00F11600" w:rsidRPr="00F11600">
        <w:t>ax reform and the economic backdrop</w:t>
      </w:r>
      <w:r w:rsidR="00AE5F6F">
        <w:t>’</w:t>
      </w:r>
      <w:r w:rsidR="00F11600">
        <w:t>, speech, Australian Treasury.</w:t>
      </w:r>
    </w:p>
    <w:p w14:paraId="5E633F55" w14:textId="22668F5F" w:rsidR="009A097F" w:rsidRDefault="009A097F" w:rsidP="003329D0">
      <w:pPr>
        <w:spacing w:line="360" w:lineRule="auto"/>
        <w:ind w:left="720" w:hanging="720"/>
        <w:jc w:val="both"/>
      </w:pPr>
      <w:r w:rsidRPr="009A097F">
        <w:t xml:space="preserve">Irvine, </w:t>
      </w:r>
      <w:r>
        <w:t xml:space="preserve">J 2015. </w:t>
      </w:r>
      <w:r w:rsidRPr="009A097F">
        <w:t xml:space="preserve">‘We have to raise revenue, not just cut spending’ </w:t>
      </w:r>
      <w:r w:rsidRPr="009A097F">
        <w:rPr>
          <w:i/>
        </w:rPr>
        <w:t>Sydney Morning Herald</w:t>
      </w:r>
      <w:r w:rsidRPr="009A097F">
        <w:t xml:space="preserve">‎, </w:t>
      </w:r>
      <w:r>
        <w:t>18 May.</w:t>
      </w:r>
    </w:p>
    <w:p w14:paraId="474FD3F5" w14:textId="03D83792" w:rsidR="00C22CBF" w:rsidRDefault="003E3B49" w:rsidP="003329D0">
      <w:pPr>
        <w:spacing w:line="360" w:lineRule="auto"/>
        <w:ind w:left="720" w:hanging="720"/>
        <w:jc w:val="both"/>
      </w:pPr>
      <w:r>
        <w:rPr>
          <w:rFonts w:ascii="Calibri" w:hAnsi="Calibri"/>
        </w:rPr>
        <w:t>Kingston, G 2006. ‘</w:t>
      </w:r>
      <w:r w:rsidR="00C22CBF" w:rsidRPr="00715019">
        <w:rPr>
          <w:rFonts w:ascii="Calibri" w:hAnsi="Calibri"/>
        </w:rPr>
        <w:t>Our Treasurer</w:t>
      </w:r>
      <w:r>
        <w:rPr>
          <w:rFonts w:ascii="Calibri" w:hAnsi="Calibri"/>
        </w:rPr>
        <w:t xml:space="preserve"> s</w:t>
      </w:r>
      <w:r w:rsidR="00C22CBF" w:rsidRPr="00715019">
        <w:rPr>
          <w:rFonts w:ascii="Calibri" w:hAnsi="Calibri"/>
        </w:rPr>
        <w:t xml:space="preserve">hould </w:t>
      </w:r>
      <w:r w:rsidRPr="00715019">
        <w:rPr>
          <w:rFonts w:ascii="Calibri" w:hAnsi="Calibri"/>
        </w:rPr>
        <w:t xml:space="preserve">cultivate </w:t>
      </w:r>
      <w:r>
        <w:rPr>
          <w:rFonts w:ascii="Calibri" w:hAnsi="Calibri"/>
        </w:rPr>
        <w:t>an Irish l</w:t>
      </w:r>
      <w:r w:rsidR="00C22CBF" w:rsidRPr="00715019">
        <w:rPr>
          <w:rFonts w:ascii="Calibri" w:hAnsi="Calibri"/>
        </w:rPr>
        <w:t>ilt</w:t>
      </w:r>
      <w:r>
        <w:rPr>
          <w:rFonts w:ascii="Calibri" w:hAnsi="Calibri"/>
        </w:rPr>
        <w:t>’</w:t>
      </w:r>
      <w:r w:rsidR="00C22CBF" w:rsidRPr="00715019">
        <w:rPr>
          <w:rFonts w:ascii="Calibri" w:hAnsi="Calibri"/>
        </w:rPr>
        <w:t xml:space="preserve">, </w:t>
      </w:r>
      <w:r w:rsidR="00C22CBF" w:rsidRPr="00715019">
        <w:rPr>
          <w:rFonts w:ascii="Calibri" w:hAnsi="Calibri"/>
          <w:i/>
        </w:rPr>
        <w:t>Policy</w:t>
      </w:r>
      <w:r w:rsidR="00C22CBF" w:rsidRPr="00715019">
        <w:rPr>
          <w:rFonts w:ascii="Calibri" w:hAnsi="Calibri"/>
        </w:rPr>
        <w:t xml:space="preserve">, (Summer </w:t>
      </w:r>
      <w:r>
        <w:rPr>
          <w:rFonts w:ascii="Calibri" w:hAnsi="Calibri"/>
        </w:rPr>
        <w:t>iss.</w:t>
      </w:r>
      <w:r w:rsidR="00C22CBF" w:rsidRPr="00715019">
        <w:rPr>
          <w:rFonts w:ascii="Calibri" w:hAnsi="Calibri"/>
        </w:rPr>
        <w:t>), pp</w:t>
      </w:r>
      <w:r>
        <w:rPr>
          <w:rFonts w:ascii="Calibri" w:hAnsi="Calibri"/>
        </w:rPr>
        <w:t xml:space="preserve">. </w:t>
      </w:r>
      <w:r w:rsidR="00C22CBF" w:rsidRPr="00715019">
        <w:rPr>
          <w:rFonts w:ascii="Calibri" w:hAnsi="Calibri"/>
        </w:rPr>
        <w:t>3-8</w:t>
      </w:r>
      <w:r w:rsidR="00C22CBF" w:rsidRPr="00715019">
        <w:rPr>
          <w:rFonts w:ascii="Calibri" w:hAnsi="Calibri"/>
          <w:i/>
        </w:rPr>
        <w:t>.</w:t>
      </w:r>
    </w:p>
    <w:p w14:paraId="70C2A837" w14:textId="58DD5D4C" w:rsidR="00FC39CD" w:rsidRDefault="00FC39CD" w:rsidP="003329D0">
      <w:pPr>
        <w:spacing w:line="360" w:lineRule="auto"/>
        <w:ind w:left="720" w:hanging="720"/>
        <w:jc w:val="both"/>
      </w:pPr>
      <w:r>
        <w:t>MacDougall</w:t>
      </w:r>
      <w:r w:rsidR="002F23AB">
        <w:t>, G 1960.</w:t>
      </w:r>
      <w:r w:rsidR="003A3DCF" w:rsidRPr="003A3DCF">
        <w:t xml:space="preserve"> </w:t>
      </w:r>
      <w:r w:rsidR="002F23AB">
        <w:t>‘</w:t>
      </w:r>
      <w:r w:rsidR="003A3DCF">
        <w:t>T</w:t>
      </w:r>
      <w:r w:rsidR="003A3DCF" w:rsidRPr="003A3DCF">
        <w:t>he benefits and costs of private investment from abroad: a theoretical approach</w:t>
      </w:r>
      <w:r w:rsidR="002F23AB">
        <w:t>’,</w:t>
      </w:r>
      <w:r w:rsidR="003A3DCF" w:rsidRPr="003A3DCF">
        <w:t xml:space="preserve"> </w:t>
      </w:r>
      <w:r w:rsidR="003A3DCF" w:rsidRPr="002F23AB">
        <w:rPr>
          <w:i/>
        </w:rPr>
        <w:t>Economic Record</w:t>
      </w:r>
      <w:r w:rsidR="002F23AB" w:rsidRPr="002F23AB">
        <w:t>,</w:t>
      </w:r>
      <w:r w:rsidR="00D55D78" w:rsidRPr="002F23AB">
        <w:t xml:space="preserve"> </w:t>
      </w:r>
      <w:r w:rsidR="002F23AB">
        <w:t>vol. 36, iss. 73, pp. 13–35.</w:t>
      </w:r>
    </w:p>
    <w:p w14:paraId="471215C1" w14:textId="09B86D15" w:rsidR="000F4339" w:rsidRDefault="003F082E" w:rsidP="000D79C7">
      <w:pPr>
        <w:spacing w:line="360" w:lineRule="auto"/>
        <w:ind w:left="720" w:hanging="720"/>
        <w:jc w:val="both"/>
      </w:pPr>
      <w:r>
        <w:t xml:space="preserve">Mankiw, </w:t>
      </w:r>
      <w:r w:rsidR="000D79C7">
        <w:t xml:space="preserve">N, </w:t>
      </w:r>
      <w:r>
        <w:t>Romer</w:t>
      </w:r>
      <w:r w:rsidR="000D79C7">
        <w:t xml:space="preserve">, D and </w:t>
      </w:r>
      <w:r>
        <w:t>Weil</w:t>
      </w:r>
      <w:r w:rsidR="000D79C7">
        <w:t>, D 1992.</w:t>
      </w:r>
      <w:r w:rsidR="000D79C7" w:rsidRPr="000D79C7">
        <w:t xml:space="preserve"> </w:t>
      </w:r>
      <w:r w:rsidR="000D79C7">
        <w:t>‘A contribution to the empirics of economic growth’,</w:t>
      </w:r>
      <w:r>
        <w:t xml:space="preserve"> </w:t>
      </w:r>
      <w:r w:rsidRPr="000D79C7">
        <w:rPr>
          <w:i/>
        </w:rPr>
        <w:t>Quarterly Journal of Economics</w:t>
      </w:r>
      <w:r w:rsidR="000D79C7">
        <w:t>, vol. 107, iss. 2,</w:t>
      </w:r>
      <w:r>
        <w:t xml:space="preserve"> pp. 407-437</w:t>
      </w:r>
      <w:r w:rsidR="000D79C7">
        <w:t>.</w:t>
      </w:r>
    </w:p>
    <w:p w14:paraId="1BD9660E" w14:textId="7949AE46" w:rsidR="00C323A6" w:rsidRDefault="000D79C7" w:rsidP="00C323A6">
      <w:pPr>
        <w:spacing w:line="360" w:lineRule="auto"/>
        <w:ind w:left="720" w:hanging="720"/>
        <w:jc w:val="both"/>
      </w:pPr>
      <w:r>
        <w:t>Minney, A 2010.</w:t>
      </w:r>
      <w:r w:rsidR="00C323A6">
        <w:t xml:space="preserve"> </w:t>
      </w:r>
      <w:r>
        <w:t>‘</w:t>
      </w:r>
      <w:r w:rsidR="00C323A6">
        <w:t>The valuation of franking credits to investors</w:t>
      </w:r>
      <w:r>
        <w:t>’</w:t>
      </w:r>
      <w:r w:rsidR="00C323A6">
        <w:t xml:space="preserve">, </w:t>
      </w:r>
      <w:r w:rsidR="00C323A6" w:rsidRPr="008E110B">
        <w:rPr>
          <w:i/>
        </w:rPr>
        <w:t>JASSA</w:t>
      </w:r>
      <w:r w:rsidR="00BD02E7" w:rsidRPr="008E110B">
        <w:rPr>
          <w:i/>
        </w:rPr>
        <w:t>: The</w:t>
      </w:r>
      <w:r w:rsidR="00A820AB" w:rsidRPr="008E110B">
        <w:rPr>
          <w:i/>
        </w:rPr>
        <w:t xml:space="preserve"> Finsia Journal of Applied Finance</w:t>
      </w:r>
      <w:r w:rsidR="00A820AB">
        <w:t xml:space="preserve">, </w:t>
      </w:r>
      <w:r>
        <w:t xml:space="preserve">iss. </w:t>
      </w:r>
      <w:r w:rsidR="00A820AB">
        <w:t>2, pp</w:t>
      </w:r>
      <w:r>
        <w:t xml:space="preserve">. </w:t>
      </w:r>
      <w:r w:rsidR="00A820AB">
        <w:t>29-34.</w:t>
      </w:r>
    </w:p>
    <w:p w14:paraId="7B9F1E2D" w14:textId="40802CB1" w:rsidR="00D73937" w:rsidRPr="00D73937" w:rsidRDefault="00D73937" w:rsidP="00D73937">
      <w:pPr>
        <w:spacing w:line="360" w:lineRule="auto"/>
        <w:ind w:left="720" w:hanging="720"/>
        <w:jc w:val="both"/>
      </w:pPr>
      <w:r>
        <w:t xml:space="preserve">Murray, D 2014. </w:t>
      </w:r>
      <w:r w:rsidRPr="00D73937">
        <w:rPr>
          <w:i/>
        </w:rPr>
        <w:t>Final Report</w:t>
      </w:r>
      <w:r w:rsidR="000D79C7" w:rsidRPr="000D79C7">
        <w:t xml:space="preserve">, </w:t>
      </w:r>
      <w:r w:rsidR="000D79C7">
        <w:t>Financial System Inquiry</w:t>
      </w:r>
      <w:r w:rsidR="008310B6">
        <w:t xml:space="preserve"> (December)</w:t>
      </w:r>
      <w:r w:rsidR="000D79C7">
        <w:t>.</w:t>
      </w:r>
    </w:p>
    <w:p w14:paraId="7E2CF1DC" w14:textId="77777777" w:rsidR="0032357C" w:rsidRDefault="0032357C" w:rsidP="00C323A6">
      <w:pPr>
        <w:spacing w:line="360" w:lineRule="auto"/>
        <w:ind w:left="720" w:hanging="720"/>
        <w:jc w:val="both"/>
      </w:pPr>
      <w:r>
        <w:t>OECD</w:t>
      </w:r>
      <w:r w:rsidR="008C5F29">
        <w:t xml:space="preserve"> 2015, </w:t>
      </w:r>
      <w:r w:rsidR="008C5F29" w:rsidRPr="008C5F29">
        <w:rPr>
          <w:i/>
        </w:rPr>
        <w:t>Tax Database</w:t>
      </w:r>
      <w:r w:rsidR="00954A46">
        <w:rPr>
          <w:i/>
        </w:rPr>
        <w:t>.</w:t>
      </w:r>
    </w:p>
    <w:p w14:paraId="5D631C02" w14:textId="6843C721" w:rsidR="00E950BE" w:rsidRDefault="00B039FE" w:rsidP="003329D0">
      <w:pPr>
        <w:spacing w:line="360" w:lineRule="auto"/>
        <w:ind w:left="720" w:hanging="720"/>
        <w:jc w:val="both"/>
      </w:pPr>
      <w:r>
        <w:t>Swan</w:t>
      </w:r>
      <w:r w:rsidR="00AF34EE">
        <w:t xml:space="preserve">, </w:t>
      </w:r>
      <w:r w:rsidR="00655E9F">
        <w:t>P 2015. ‘</w:t>
      </w:r>
      <w:r w:rsidR="00AF34EE" w:rsidRPr="00AF34EE">
        <w:t>Investors will be the losers if imputation system goes</w:t>
      </w:r>
      <w:r w:rsidR="00655E9F">
        <w:t xml:space="preserve">’, </w:t>
      </w:r>
      <w:r w:rsidR="00655E9F" w:rsidRPr="00655E9F">
        <w:t>catallaxyfiles.com</w:t>
      </w:r>
      <w:r w:rsidR="00655E9F">
        <w:t>, 9 April.</w:t>
      </w:r>
    </w:p>
    <w:sectPr w:rsidR="00E950BE">
      <w:footerReference w:type="default" r:id="rId6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Professor Geoff Kingston" w:date="2015-05-09T16:45:00Z" w:initials="GK">
    <w:p w14:paraId="01837BD4" w14:textId="77777777" w:rsidR="002A3D5C" w:rsidRDefault="002A3D5C">
      <w:pPr>
        <w:pStyle w:val="CommentText"/>
      </w:pPr>
      <w:r>
        <w:rPr>
          <w:rStyle w:val="CommentReference"/>
        </w:rPr>
        <w:annotationRef/>
      </w:r>
    </w:p>
  </w:comment>
  <w:comment w:id="2" w:author="Professor Geoff Kingston" w:date="2015-05-09T17:07:00Z" w:initials="GK">
    <w:p w14:paraId="2FA0A041" w14:textId="4030A76B" w:rsidR="00C03AD6" w:rsidRDefault="00C03AD6">
      <w:pPr>
        <w:pStyle w:val="CommentText"/>
      </w:pPr>
      <w:r>
        <w:rPr>
          <w:rStyle w:val="CommentReference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1837BD4" w15:done="0"/>
  <w15:commentEx w15:paraId="2FA0A041" w15:paraIdParent="01837BD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38D755" w14:textId="77777777" w:rsidR="00EB65BD" w:rsidRDefault="00EB65BD" w:rsidP="00A540E2">
      <w:pPr>
        <w:spacing w:after="0" w:line="240" w:lineRule="auto"/>
      </w:pPr>
      <w:r>
        <w:separator/>
      </w:r>
    </w:p>
  </w:endnote>
  <w:endnote w:type="continuationSeparator" w:id="0">
    <w:p w14:paraId="0D262150" w14:textId="77777777" w:rsidR="00EB65BD" w:rsidRDefault="00EB65BD" w:rsidP="00A540E2">
      <w:pPr>
        <w:spacing w:after="0" w:line="240" w:lineRule="auto"/>
      </w:pPr>
      <w:r>
        <w:continuationSeparator/>
      </w:r>
    </w:p>
  </w:endnote>
  <w:endnote w:id="1">
    <w:p w14:paraId="475F390E" w14:textId="6F39C947" w:rsidR="001B0F40" w:rsidRDefault="001B0F40" w:rsidP="003127A7">
      <w:pPr>
        <w:pStyle w:val="EndnoteText"/>
      </w:pPr>
      <w:r>
        <w:t xml:space="preserve">I would like to thank the Centre for International </w:t>
      </w:r>
      <w:r w:rsidR="007E4C44">
        <w:t xml:space="preserve">Finance and </w:t>
      </w:r>
      <w:r>
        <w:t>Regulation for financial support under</w:t>
      </w:r>
      <w:r w:rsidR="001C0A85" w:rsidRPr="001C0A85">
        <w:t xml:space="preserve"> </w:t>
      </w:r>
      <w:r w:rsidR="001C0A85">
        <w:t xml:space="preserve">award </w:t>
      </w:r>
      <w:r w:rsidR="001C0A85" w:rsidRPr="001C0A85">
        <w:t>T022</w:t>
      </w:r>
      <w:r w:rsidR="001C0A85">
        <w:t xml:space="preserve">. </w:t>
      </w:r>
      <w:r w:rsidR="007E4C44">
        <w:t xml:space="preserve">Comments by </w:t>
      </w:r>
      <w:r w:rsidR="001C0A85">
        <w:t>Lance Fisher</w:t>
      </w:r>
      <w:r w:rsidR="007E4C44">
        <w:t>, Tim Gapes, Geoff Warren and an anonymous referee greatly improved this paper</w:t>
      </w:r>
      <w:r w:rsidR="001C0A85">
        <w:t>.</w:t>
      </w:r>
    </w:p>
    <w:p w14:paraId="095AFD8E" w14:textId="77777777" w:rsidR="001C0A85" w:rsidRDefault="001C0A85" w:rsidP="003127A7">
      <w:pPr>
        <w:pStyle w:val="EndnoteText"/>
      </w:pPr>
    </w:p>
    <w:p w14:paraId="5C83A1BB" w14:textId="318EC7AC" w:rsidR="003127A7" w:rsidRDefault="003127A7" w:rsidP="003127A7">
      <w:pPr>
        <w:pStyle w:val="EndnoteText"/>
      </w:pPr>
      <w:r>
        <w:rPr>
          <w:rStyle w:val="EndnoteReference"/>
        </w:rPr>
        <w:endnoteRef/>
      </w:r>
      <w:r>
        <w:t xml:space="preserve"> The most common argument for retaining dividend imputation is that it counters the “double taxation” of capital income. But there is much </w:t>
      </w:r>
      <w:r w:rsidR="00450AC5">
        <w:t>double taxation elsewhere in tax</w:t>
      </w:r>
      <w:r>
        <w:t xml:space="preserve"> system</w:t>
      </w:r>
      <w:r w:rsidR="00450AC5">
        <w:t>s</w:t>
      </w:r>
      <w:r>
        <w:t xml:space="preserve"> that attracts little adverse comment</w:t>
      </w:r>
      <w:r w:rsidR="00450AC5">
        <w:t xml:space="preserve">. For example, </w:t>
      </w:r>
      <w:r>
        <w:t>taxes on corporate and personal incomes in most federations are levied at both the federal and state level, and it is not obvious that this has been a bad thing. So the ca</w:t>
      </w:r>
      <w:r w:rsidR="001337F6">
        <w:t>se for retaining imputation needs to</w:t>
      </w:r>
      <w:r>
        <w:t xml:space="preserve"> cast a wider net.</w:t>
      </w:r>
    </w:p>
  </w:endnote>
  <w:endnote w:id="2">
    <w:p w14:paraId="40E06384" w14:textId="5D903E89" w:rsidR="0080491A" w:rsidRDefault="0080491A">
      <w:pPr>
        <w:pStyle w:val="EndnoteText"/>
      </w:pPr>
      <w:r>
        <w:rPr>
          <w:rStyle w:val="EndnoteReference"/>
        </w:rPr>
        <w:endnoteRef/>
      </w:r>
      <w:r w:rsidR="00397751">
        <w:t xml:space="preserve"> In fact</w:t>
      </w:r>
      <w:r w:rsidR="00497537">
        <w:t>,</w:t>
      </w:r>
      <w:r>
        <w:t xml:space="preserve"> MacDougal</w:t>
      </w:r>
      <w:r w:rsidR="00B61019">
        <w:t>l</w:t>
      </w:r>
      <w:r>
        <w:t xml:space="preserve"> </w:t>
      </w:r>
      <w:r w:rsidR="00B15BF9">
        <w:t>did consider</w:t>
      </w:r>
      <w:r w:rsidR="00497537">
        <w:t xml:space="preserve"> the case of labour market responses.</w:t>
      </w:r>
    </w:p>
  </w:endnote>
  <w:endnote w:id="3">
    <w:p w14:paraId="4B0FEDCA" w14:textId="7CC80076" w:rsidR="00900AE6" w:rsidRDefault="00900AE6">
      <w:pPr>
        <w:pStyle w:val="EndnoteText"/>
      </w:pPr>
      <w:r>
        <w:rPr>
          <w:rStyle w:val="EndnoteReference"/>
        </w:rPr>
        <w:endnoteRef/>
      </w:r>
      <w:r>
        <w:t xml:space="preserve"> The raw figure “in recent years” was 1</w:t>
      </w:r>
      <w:r w:rsidR="009E0593">
        <w:t xml:space="preserve">9bn </w:t>
      </w:r>
      <w:r w:rsidR="007B102C">
        <w:t xml:space="preserve">pa </w:t>
      </w:r>
      <w:r w:rsidR="009E0593">
        <w:t>(</w:t>
      </w:r>
      <w:r>
        <w:t>Australian Treasury 2015, p83</w:t>
      </w:r>
      <w:r w:rsidR="009E0593">
        <w:t>).</w:t>
      </w:r>
      <w:r w:rsidR="007B102C">
        <w:t xml:space="preserve"> The headline total </w:t>
      </w:r>
      <w:r w:rsidR="00AF39FE">
        <w:t xml:space="preserve">company tax </w:t>
      </w:r>
      <w:r w:rsidR="007B102C">
        <w:t>take was $65bn pa.</w:t>
      </w:r>
    </w:p>
  </w:endnote>
  <w:endnote w:id="4">
    <w:p w14:paraId="6DA619B2" w14:textId="14BCD45F" w:rsidR="000F1AF5" w:rsidRDefault="000F1AF5">
      <w:pPr>
        <w:pStyle w:val="EndnoteText"/>
      </w:pPr>
      <w:r>
        <w:rPr>
          <w:rStyle w:val="EndnoteReference"/>
        </w:rPr>
        <w:endnoteRef/>
      </w:r>
      <w:r>
        <w:t xml:space="preserve"> My use of the word “headline” alludes to the consideration that</w:t>
      </w:r>
      <w:r w:rsidR="001D1373">
        <w:t xml:space="preserve"> the</w:t>
      </w:r>
      <w:r>
        <w:t xml:space="preserve"> setup </w:t>
      </w:r>
      <w:r w:rsidR="001D1373">
        <w:t xml:space="preserve">of Figure 2 </w:t>
      </w:r>
      <w:r>
        <w:t xml:space="preserve">does </w:t>
      </w:r>
      <w:r w:rsidR="004249F6">
        <w:t>not account for the</w:t>
      </w:r>
      <w:r>
        <w:t xml:space="preserve"> rise in revenues collected via the personal tax</w:t>
      </w:r>
      <w:r w:rsidR="001D1373">
        <w:t>, following abolition</w:t>
      </w:r>
      <w:r>
        <w:t xml:space="preserve">. </w:t>
      </w:r>
      <w:r w:rsidR="008A4190">
        <w:t>The problem is that the notion of a “representative recipient” of franked dividends would have to lump together untaxed pensioners with people on the top personal rate.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altName w:val="Segoe UI"/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4738604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CB099B7" w14:textId="77777777" w:rsidR="00042EF8" w:rsidRDefault="00042EF8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66FE8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14:paraId="7E05E069" w14:textId="77777777" w:rsidR="00A540E2" w:rsidRDefault="00A540E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049C80" w14:textId="77777777" w:rsidR="00EB65BD" w:rsidRDefault="00EB65BD" w:rsidP="00A540E2">
      <w:pPr>
        <w:spacing w:after="0" w:line="240" w:lineRule="auto"/>
      </w:pPr>
      <w:r>
        <w:separator/>
      </w:r>
    </w:p>
  </w:footnote>
  <w:footnote w:type="continuationSeparator" w:id="0">
    <w:p w14:paraId="4543C1EC" w14:textId="77777777" w:rsidR="00EB65BD" w:rsidRDefault="00EB65BD" w:rsidP="00A540E2">
      <w:pPr>
        <w:spacing w:after="0"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rofessor Geoff Kingston">
    <w15:presenceInfo w15:providerId="AD" w15:userId="S-1-5-21-1594774353-775871607-213974443-8664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2AC"/>
    <w:rsid w:val="00000004"/>
    <w:rsid w:val="000000F9"/>
    <w:rsid w:val="000007E2"/>
    <w:rsid w:val="0000095A"/>
    <w:rsid w:val="000030F9"/>
    <w:rsid w:val="00003A2F"/>
    <w:rsid w:val="00005766"/>
    <w:rsid w:val="00005B77"/>
    <w:rsid w:val="00005F51"/>
    <w:rsid w:val="0000687B"/>
    <w:rsid w:val="00006884"/>
    <w:rsid w:val="00006C38"/>
    <w:rsid w:val="000104B7"/>
    <w:rsid w:val="0001086A"/>
    <w:rsid w:val="00010BBE"/>
    <w:rsid w:val="00010C22"/>
    <w:rsid w:val="000110F4"/>
    <w:rsid w:val="00011D11"/>
    <w:rsid w:val="00012155"/>
    <w:rsid w:val="00012A75"/>
    <w:rsid w:val="00013644"/>
    <w:rsid w:val="0001396C"/>
    <w:rsid w:val="00013DEB"/>
    <w:rsid w:val="00014F4E"/>
    <w:rsid w:val="00015764"/>
    <w:rsid w:val="00015968"/>
    <w:rsid w:val="000159BB"/>
    <w:rsid w:val="00015A59"/>
    <w:rsid w:val="00015E48"/>
    <w:rsid w:val="000164A5"/>
    <w:rsid w:val="000164D2"/>
    <w:rsid w:val="00016ED5"/>
    <w:rsid w:val="00017072"/>
    <w:rsid w:val="000170FE"/>
    <w:rsid w:val="0001798C"/>
    <w:rsid w:val="00017EC9"/>
    <w:rsid w:val="0002020B"/>
    <w:rsid w:val="00020C29"/>
    <w:rsid w:val="000215C9"/>
    <w:rsid w:val="00021C66"/>
    <w:rsid w:val="0002273D"/>
    <w:rsid w:val="000232AF"/>
    <w:rsid w:val="00023358"/>
    <w:rsid w:val="000244F5"/>
    <w:rsid w:val="00024931"/>
    <w:rsid w:val="00024AFA"/>
    <w:rsid w:val="00025D79"/>
    <w:rsid w:val="00026737"/>
    <w:rsid w:val="00026DBB"/>
    <w:rsid w:val="00027B84"/>
    <w:rsid w:val="00027D0F"/>
    <w:rsid w:val="00031191"/>
    <w:rsid w:val="00031784"/>
    <w:rsid w:val="000321A4"/>
    <w:rsid w:val="00032B09"/>
    <w:rsid w:val="00034812"/>
    <w:rsid w:val="000350EC"/>
    <w:rsid w:val="0003531E"/>
    <w:rsid w:val="00035C52"/>
    <w:rsid w:val="00036237"/>
    <w:rsid w:val="000364C7"/>
    <w:rsid w:val="00037526"/>
    <w:rsid w:val="00040D3A"/>
    <w:rsid w:val="00041D4A"/>
    <w:rsid w:val="00041E86"/>
    <w:rsid w:val="00042EF8"/>
    <w:rsid w:val="0004443D"/>
    <w:rsid w:val="00044ACC"/>
    <w:rsid w:val="00045413"/>
    <w:rsid w:val="00045770"/>
    <w:rsid w:val="000459BC"/>
    <w:rsid w:val="00045E08"/>
    <w:rsid w:val="00045E89"/>
    <w:rsid w:val="000464D1"/>
    <w:rsid w:val="00046968"/>
    <w:rsid w:val="0004790B"/>
    <w:rsid w:val="000522BC"/>
    <w:rsid w:val="0005264F"/>
    <w:rsid w:val="00053A5D"/>
    <w:rsid w:val="0005443C"/>
    <w:rsid w:val="00054A21"/>
    <w:rsid w:val="000555AC"/>
    <w:rsid w:val="00056384"/>
    <w:rsid w:val="00056ACD"/>
    <w:rsid w:val="00056C6D"/>
    <w:rsid w:val="0006108D"/>
    <w:rsid w:val="00061E38"/>
    <w:rsid w:val="0006250A"/>
    <w:rsid w:val="00064742"/>
    <w:rsid w:val="00064B64"/>
    <w:rsid w:val="00064E54"/>
    <w:rsid w:val="000653BF"/>
    <w:rsid w:val="00065C13"/>
    <w:rsid w:val="0006630B"/>
    <w:rsid w:val="0006654C"/>
    <w:rsid w:val="00066652"/>
    <w:rsid w:val="0007048B"/>
    <w:rsid w:val="000705E1"/>
    <w:rsid w:val="000706A0"/>
    <w:rsid w:val="0007092D"/>
    <w:rsid w:val="00070A91"/>
    <w:rsid w:val="000718BB"/>
    <w:rsid w:val="0007292C"/>
    <w:rsid w:val="00072A76"/>
    <w:rsid w:val="0007473B"/>
    <w:rsid w:val="000753F8"/>
    <w:rsid w:val="000762AC"/>
    <w:rsid w:val="000763BC"/>
    <w:rsid w:val="00076A8E"/>
    <w:rsid w:val="00076AEC"/>
    <w:rsid w:val="00077143"/>
    <w:rsid w:val="00077809"/>
    <w:rsid w:val="00077D97"/>
    <w:rsid w:val="00077E51"/>
    <w:rsid w:val="0008223C"/>
    <w:rsid w:val="00082655"/>
    <w:rsid w:val="00082E6F"/>
    <w:rsid w:val="0008387B"/>
    <w:rsid w:val="00083BBD"/>
    <w:rsid w:val="000846C0"/>
    <w:rsid w:val="000853CF"/>
    <w:rsid w:val="00085661"/>
    <w:rsid w:val="0008644D"/>
    <w:rsid w:val="00086B0F"/>
    <w:rsid w:val="00087169"/>
    <w:rsid w:val="00087880"/>
    <w:rsid w:val="000878B9"/>
    <w:rsid w:val="00087ACD"/>
    <w:rsid w:val="00091683"/>
    <w:rsid w:val="00091729"/>
    <w:rsid w:val="000929E6"/>
    <w:rsid w:val="000932A7"/>
    <w:rsid w:val="0009358B"/>
    <w:rsid w:val="00093B3B"/>
    <w:rsid w:val="00094AD1"/>
    <w:rsid w:val="000964DE"/>
    <w:rsid w:val="00096569"/>
    <w:rsid w:val="000965C0"/>
    <w:rsid w:val="00096AE6"/>
    <w:rsid w:val="0009760C"/>
    <w:rsid w:val="0009780B"/>
    <w:rsid w:val="00097C2E"/>
    <w:rsid w:val="00097CF2"/>
    <w:rsid w:val="00097EB2"/>
    <w:rsid w:val="000A04F5"/>
    <w:rsid w:val="000A0DAA"/>
    <w:rsid w:val="000A1771"/>
    <w:rsid w:val="000A19FE"/>
    <w:rsid w:val="000A201E"/>
    <w:rsid w:val="000A427E"/>
    <w:rsid w:val="000A4789"/>
    <w:rsid w:val="000A534F"/>
    <w:rsid w:val="000A5750"/>
    <w:rsid w:val="000A6E6A"/>
    <w:rsid w:val="000A7166"/>
    <w:rsid w:val="000A7727"/>
    <w:rsid w:val="000A77DA"/>
    <w:rsid w:val="000A7DE3"/>
    <w:rsid w:val="000B0344"/>
    <w:rsid w:val="000B0FC1"/>
    <w:rsid w:val="000B255F"/>
    <w:rsid w:val="000B2D49"/>
    <w:rsid w:val="000B4684"/>
    <w:rsid w:val="000B4840"/>
    <w:rsid w:val="000B68A9"/>
    <w:rsid w:val="000B6F4A"/>
    <w:rsid w:val="000B7C0B"/>
    <w:rsid w:val="000B7D3C"/>
    <w:rsid w:val="000B7E9C"/>
    <w:rsid w:val="000C1169"/>
    <w:rsid w:val="000C3214"/>
    <w:rsid w:val="000C32F1"/>
    <w:rsid w:val="000C3AC2"/>
    <w:rsid w:val="000C3B85"/>
    <w:rsid w:val="000C4415"/>
    <w:rsid w:val="000C46E6"/>
    <w:rsid w:val="000C480F"/>
    <w:rsid w:val="000C5427"/>
    <w:rsid w:val="000C7BE4"/>
    <w:rsid w:val="000D057F"/>
    <w:rsid w:val="000D06E9"/>
    <w:rsid w:val="000D1969"/>
    <w:rsid w:val="000D1E8D"/>
    <w:rsid w:val="000D228D"/>
    <w:rsid w:val="000D3181"/>
    <w:rsid w:val="000D343D"/>
    <w:rsid w:val="000D3AAB"/>
    <w:rsid w:val="000D460E"/>
    <w:rsid w:val="000D57AF"/>
    <w:rsid w:val="000D6BA0"/>
    <w:rsid w:val="000D7574"/>
    <w:rsid w:val="000D79C7"/>
    <w:rsid w:val="000E0EE6"/>
    <w:rsid w:val="000E1E2E"/>
    <w:rsid w:val="000E227C"/>
    <w:rsid w:val="000E3AF2"/>
    <w:rsid w:val="000E5106"/>
    <w:rsid w:val="000E5CBD"/>
    <w:rsid w:val="000E6883"/>
    <w:rsid w:val="000E74A4"/>
    <w:rsid w:val="000E7B47"/>
    <w:rsid w:val="000F01CA"/>
    <w:rsid w:val="000F02CC"/>
    <w:rsid w:val="000F0794"/>
    <w:rsid w:val="000F0799"/>
    <w:rsid w:val="000F0FFD"/>
    <w:rsid w:val="000F19E7"/>
    <w:rsid w:val="000F1AF5"/>
    <w:rsid w:val="000F2BA5"/>
    <w:rsid w:val="000F2E34"/>
    <w:rsid w:val="000F3059"/>
    <w:rsid w:val="000F31F2"/>
    <w:rsid w:val="000F3AE7"/>
    <w:rsid w:val="000F3FCC"/>
    <w:rsid w:val="000F4339"/>
    <w:rsid w:val="000F4F4A"/>
    <w:rsid w:val="000F5360"/>
    <w:rsid w:val="000F6C22"/>
    <w:rsid w:val="000F73D0"/>
    <w:rsid w:val="000F7814"/>
    <w:rsid w:val="00100813"/>
    <w:rsid w:val="001010F5"/>
    <w:rsid w:val="0010196B"/>
    <w:rsid w:val="00101B9A"/>
    <w:rsid w:val="001025D0"/>
    <w:rsid w:val="00102FF7"/>
    <w:rsid w:val="001045D6"/>
    <w:rsid w:val="001045FB"/>
    <w:rsid w:val="001058FB"/>
    <w:rsid w:val="001063FA"/>
    <w:rsid w:val="001064DB"/>
    <w:rsid w:val="0010776F"/>
    <w:rsid w:val="00107B60"/>
    <w:rsid w:val="00107FCB"/>
    <w:rsid w:val="001100AF"/>
    <w:rsid w:val="00110307"/>
    <w:rsid w:val="001116FA"/>
    <w:rsid w:val="00111B96"/>
    <w:rsid w:val="00111EBC"/>
    <w:rsid w:val="00112048"/>
    <w:rsid w:val="00112218"/>
    <w:rsid w:val="0011242B"/>
    <w:rsid w:val="001126D9"/>
    <w:rsid w:val="001133F5"/>
    <w:rsid w:val="00113428"/>
    <w:rsid w:val="001137C4"/>
    <w:rsid w:val="00115440"/>
    <w:rsid w:val="0011569D"/>
    <w:rsid w:val="00115962"/>
    <w:rsid w:val="001159F1"/>
    <w:rsid w:val="0011678C"/>
    <w:rsid w:val="0012078E"/>
    <w:rsid w:val="00121755"/>
    <w:rsid w:val="00122A00"/>
    <w:rsid w:val="00124364"/>
    <w:rsid w:val="00124576"/>
    <w:rsid w:val="00124C51"/>
    <w:rsid w:val="00124D05"/>
    <w:rsid w:val="0012576C"/>
    <w:rsid w:val="00126AA0"/>
    <w:rsid w:val="00126C78"/>
    <w:rsid w:val="00130FCE"/>
    <w:rsid w:val="00131C4C"/>
    <w:rsid w:val="00131DFD"/>
    <w:rsid w:val="001323F9"/>
    <w:rsid w:val="001324A9"/>
    <w:rsid w:val="001333FE"/>
    <w:rsid w:val="001337F6"/>
    <w:rsid w:val="00134483"/>
    <w:rsid w:val="00134D74"/>
    <w:rsid w:val="00136278"/>
    <w:rsid w:val="00136D26"/>
    <w:rsid w:val="00137065"/>
    <w:rsid w:val="00137494"/>
    <w:rsid w:val="00137C47"/>
    <w:rsid w:val="0014119A"/>
    <w:rsid w:val="00141C2D"/>
    <w:rsid w:val="00141E4A"/>
    <w:rsid w:val="00142F0A"/>
    <w:rsid w:val="001449F5"/>
    <w:rsid w:val="001455CD"/>
    <w:rsid w:val="00145670"/>
    <w:rsid w:val="001468DE"/>
    <w:rsid w:val="001472F6"/>
    <w:rsid w:val="0015038A"/>
    <w:rsid w:val="001518E7"/>
    <w:rsid w:val="001525A0"/>
    <w:rsid w:val="00153007"/>
    <w:rsid w:val="0015410D"/>
    <w:rsid w:val="00154A21"/>
    <w:rsid w:val="00154E57"/>
    <w:rsid w:val="00156CBE"/>
    <w:rsid w:val="001572CE"/>
    <w:rsid w:val="001572F7"/>
    <w:rsid w:val="00157470"/>
    <w:rsid w:val="00157AA7"/>
    <w:rsid w:val="001600C5"/>
    <w:rsid w:val="001600FE"/>
    <w:rsid w:val="0016026D"/>
    <w:rsid w:val="001606D0"/>
    <w:rsid w:val="00160C04"/>
    <w:rsid w:val="00160F38"/>
    <w:rsid w:val="00161235"/>
    <w:rsid w:val="00161787"/>
    <w:rsid w:val="00161920"/>
    <w:rsid w:val="001631F5"/>
    <w:rsid w:val="00164AD3"/>
    <w:rsid w:val="0016542A"/>
    <w:rsid w:val="00165941"/>
    <w:rsid w:val="0016603A"/>
    <w:rsid w:val="00166341"/>
    <w:rsid w:val="001666DA"/>
    <w:rsid w:val="00166885"/>
    <w:rsid w:val="001672BF"/>
    <w:rsid w:val="00167CB7"/>
    <w:rsid w:val="00167D86"/>
    <w:rsid w:val="00171657"/>
    <w:rsid w:val="00173939"/>
    <w:rsid w:val="00174625"/>
    <w:rsid w:val="001760A2"/>
    <w:rsid w:val="00177844"/>
    <w:rsid w:val="001831CD"/>
    <w:rsid w:val="001844C2"/>
    <w:rsid w:val="00184BC7"/>
    <w:rsid w:val="001856B2"/>
    <w:rsid w:val="001857E4"/>
    <w:rsid w:val="001858B2"/>
    <w:rsid w:val="00185977"/>
    <w:rsid w:val="00186408"/>
    <w:rsid w:val="0018776A"/>
    <w:rsid w:val="001879C0"/>
    <w:rsid w:val="00187CA6"/>
    <w:rsid w:val="00187DC9"/>
    <w:rsid w:val="001904F7"/>
    <w:rsid w:val="00190593"/>
    <w:rsid w:val="00190B7A"/>
    <w:rsid w:val="00190BA0"/>
    <w:rsid w:val="0019123D"/>
    <w:rsid w:val="001913B4"/>
    <w:rsid w:val="00191BE6"/>
    <w:rsid w:val="00192BDC"/>
    <w:rsid w:val="00192E1A"/>
    <w:rsid w:val="00193022"/>
    <w:rsid w:val="001944BE"/>
    <w:rsid w:val="00194986"/>
    <w:rsid w:val="00195078"/>
    <w:rsid w:val="00195110"/>
    <w:rsid w:val="00195444"/>
    <w:rsid w:val="00195763"/>
    <w:rsid w:val="00196DC4"/>
    <w:rsid w:val="00197E5C"/>
    <w:rsid w:val="001A0356"/>
    <w:rsid w:val="001A0562"/>
    <w:rsid w:val="001A06FF"/>
    <w:rsid w:val="001A118F"/>
    <w:rsid w:val="001A20A8"/>
    <w:rsid w:val="001A23C4"/>
    <w:rsid w:val="001A26B9"/>
    <w:rsid w:val="001A2ACF"/>
    <w:rsid w:val="001A2B08"/>
    <w:rsid w:val="001A2B29"/>
    <w:rsid w:val="001A332D"/>
    <w:rsid w:val="001A413A"/>
    <w:rsid w:val="001A43E6"/>
    <w:rsid w:val="001A495C"/>
    <w:rsid w:val="001A580C"/>
    <w:rsid w:val="001A5924"/>
    <w:rsid w:val="001A5B0F"/>
    <w:rsid w:val="001A5E2C"/>
    <w:rsid w:val="001A6894"/>
    <w:rsid w:val="001A6BD4"/>
    <w:rsid w:val="001A7599"/>
    <w:rsid w:val="001B01AE"/>
    <w:rsid w:val="001B07F9"/>
    <w:rsid w:val="001B0F40"/>
    <w:rsid w:val="001B162B"/>
    <w:rsid w:val="001B1C8B"/>
    <w:rsid w:val="001B3303"/>
    <w:rsid w:val="001B399C"/>
    <w:rsid w:val="001B44D6"/>
    <w:rsid w:val="001B5591"/>
    <w:rsid w:val="001B5764"/>
    <w:rsid w:val="001B78AC"/>
    <w:rsid w:val="001B796C"/>
    <w:rsid w:val="001B7A29"/>
    <w:rsid w:val="001C0A85"/>
    <w:rsid w:val="001C1E1C"/>
    <w:rsid w:val="001C2131"/>
    <w:rsid w:val="001C228F"/>
    <w:rsid w:val="001C3452"/>
    <w:rsid w:val="001C34FA"/>
    <w:rsid w:val="001C49CC"/>
    <w:rsid w:val="001C5D84"/>
    <w:rsid w:val="001C6248"/>
    <w:rsid w:val="001C63A8"/>
    <w:rsid w:val="001C76B1"/>
    <w:rsid w:val="001C7AB4"/>
    <w:rsid w:val="001C7E58"/>
    <w:rsid w:val="001D000C"/>
    <w:rsid w:val="001D06DA"/>
    <w:rsid w:val="001D0A99"/>
    <w:rsid w:val="001D0E82"/>
    <w:rsid w:val="001D1373"/>
    <w:rsid w:val="001D1EF5"/>
    <w:rsid w:val="001D2092"/>
    <w:rsid w:val="001D32AF"/>
    <w:rsid w:val="001D3393"/>
    <w:rsid w:val="001D3EA6"/>
    <w:rsid w:val="001D3F26"/>
    <w:rsid w:val="001D658F"/>
    <w:rsid w:val="001D7345"/>
    <w:rsid w:val="001D779F"/>
    <w:rsid w:val="001E048C"/>
    <w:rsid w:val="001E0525"/>
    <w:rsid w:val="001E088B"/>
    <w:rsid w:val="001E17C3"/>
    <w:rsid w:val="001E24FE"/>
    <w:rsid w:val="001E2EAF"/>
    <w:rsid w:val="001E304A"/>
    <w:rsid w:val="001E348F"/>
    <w:rsid w:val="001E36FB"/>
    <w:rsid w:val="001E3782"/>
    <w:rsid w:val="001E3F65"/>
    <w:rsid w:val="001E459C"/>
    <w:rsid w:val="001E4868"/>
    <w:rsid w:val="001E4D14"/>
    <w:rsid w:val="001E4D7D"/>
    <w:rsid w:val="001E4FAD"/>
    <w:rsid w:val="001E5372"/>
    <w:rsid w:val="001E57E7"/>
    <w:rsid w:val="001E5A67"/>
    <w:rsid w:val="001F0BD7"/>
    <w:rsid w:val="001F176E"/>
    <w:rsid w:val="001F1B2E"/>
    <w:rsid w:val="001F29C3"/>
    <w:rsid w:val="001F29CF"/>
    <w:rsid w:val="001F2C0A"/>
    <w:rsid w:val="001F2E40"/>
    <w:rsid w:val="001F2E8E"/>
    <w:rsid w:val="001F370B"/>
    <w:rsid w:val="001F3D2D"/>
    <w:rsid w:val="001F45E5"/>
    <w:rsid w:val="001F4F26"/>
    <w:rsid w:val="001F5414"/>
    <w:rsid w:val="001F5C9E"/>
    <w:rsid w:val="001F5FAF"/>
    <w:rsid w:val="001F6452"/>
    <w:rsid w:val="001F6E18"/>
    <w:rsid w:val="00202CA2"/>
    <w:rsid w:val="00203C4D"/>
    <w:rsid w:val="00203E69"/>
    <w:rsid w:val="002054DA"/>
    <w:rsid w:val="00206220"/>
    <w:rsid w:val="00206331"/>
    <w:rsid w:val="002068A7"/>
    <w:rsid w:val="00207139"/>
    <w:rsid w:val="0021071C"/>
    <w:rsid w:val="002109FA"/>
    <w:rsid w:val="00211A7B"/>
    <w:rsid w:val="00211AB5"/>
    <w:rsid w:val="00212FD8"/>
    <w:rsid w:val="002137F4"/>
    <w:rsid w:val="00213D0D"/>
    <w:rsid w:val="00214673"/>
    <w:rsid w:val="002155CF"/>
    <w:rsid w:val="00215EAC"/>
    <w:rsid w:val="002161E7"/>
    <w:rsid w:val="00216880"/>
    <w:rsid w:val="00216C87"/>
    <w:rsid w:val="002170E8"/>
    <w:rsid w:val="0021731A"/>
    <w:rsid w:val="00217B19"/>
    <w:rsid w:val="00217B49"/>
    <w:rsid w:val="002205D1"/>
    <w:rsid w:val="00220B36"/>
    <w:rsid w:val="00221D16"/>
    <w:rsid w:val="00221E23"/>
    <w:rsid w:val="00222434"/>
    <w:rsid w:val="002226D3"/>
    <w:rsid w:val="00223C3C"/>
    <w:rsid w:val="00224A39"/>
    <w:rsid w:val="00224C50"/>
    <w:rsid w:val="00224E9F"/>
    <w:rsid w:val="002261C4"/>
    <w:rsid w:val="002266D5"/>
    <w:rsid w:val="00226CA7"/>
    <w:rsid w:val="00226D0A"/>
    <w:rsid w:val="00230B07"/>
    <w:rsid w:val="002347B9"/>
    <w:rsid w:val="00235A19"/>
    <w:rsid w:val="00236307"/>
    <w:rsid w:val="00236715"/>
    <w:rsid w:val="002368AA"/>
    <w:rsid w:val="0023693D"/>
    <w:rsid w:val="0023693F"/>
    <w:rsid w:val="00237BAF"/>
    <w:rsid w:val="00237F08"/>
    <w:rsid w:val="00240A1C"/>
    <w:rsid w:val="0024122D"/>
    <w:rsid w:val="00241406"/>
    <w:rsid w:val="0024337D"/>
    <w:rsid w:val="00244CB0"/>
    <w:rsid w:val="00244E13"/>
    <w:rsid w:val="002451A0"/>
    <w:rsid w:val="00245216"/>
    <w:rsid w:val="00245F01"/>
    <w:rsid w:val="00246675"/>
    <w:rsid w:val="002476AA"/>
    <w:rsid w:val="002502B9"/>
    <w:rsid w:val="00250B24"/>
    <w:rsid w:val="00251425"/>
    <w:rsid w:val="0025162C"/>
    <w:rsid w:val="00251AAC"/>
    <w:rsid w:val="002524CD"/>
    <w:rsid w:val="00252856"/>
    <w:rsid w:val="00252B8C"/>
    <w:rsid w:val="002535A7"/>
    <w:rsid w:val="00253FAD"/>
    <w:rsid w:val="0025443C"/>
    <w:rsid w:val="00254504"/>
    <w:rsid w:val="00254794"/>
    <w:rsid w:val="0025479F"/>
    <w:rsid w:val="0025549B"/>
    <w:rsid w:val="00256327"/>
    <w:rsid w:val="00256743"/>
    <w:rsid w:val="002571D7"/>
    <w:rsid w:val="002574B6"/>
    <w:rsid w:val="002623C3"/>
    <w:rsid w:val="00263717"/>
    <w:rsid w:val="00263895"/>
    <w:rsid w:val="0026390A"/>
    <w:rsid w:val="00264105"/>
    <w:rsid w:val="00265995"/>
    <w:rsid w:val="002669AA"/>
    <w:rsid w:val="00267CB6"/>
    <w:rsid w:val="0027036A"/>
    <w:rsid w:val="00270490"/>
    <w:rsid w:val="00271FF2"/>
    <w:rsid w:val="0027266A"/>
    <w:rsid w:val="00273044"/>
    <w:rsid w:val="0027388B"/>
    <w:rsid w:val="002741EF"/>
    <w:rsid w:val="002742F6"/>
    <w:rsid w:val="00275724"/>
    <w:rsid w:val="00275BFE"/>
    <w:rsid w:val="00276B5E"/>
    <w:rsid w:val="00276EC4"/>
    <w:rsid w:val="00276F43"/>
    <w:rsid w:val="002773AA"/>
    <w:rsid w:val="00277974"/>
    <w:rsid w:val="00281532"/>
    <w:rsid w:val="00282918"/>
    <w:rsid w:val="00283333"/>
    <w:rsid w:val="002838C4"/>
    <w:rsid w:val="002841EC"/>
    <w:rsid w:val="0028425B"/>
    <w:rsid w:val="002842F3"/>
    <w:rsid w:val="00284428"/>
    <w:rsid w:val="00285E09"/>
    <w:rsid w:val="00286719"/>
    <w:rsid w:val="00290676"/>
    <w:rsid w:val="00290910"/>
    <w:rsid w:val="00291030"/>
    <w:rsid w:val="002915B8"/>
    <w:rsid w:val="00292351"/>
    <w:rsid w:val="002924A5"/>
    <w:rsid w:val="00292770"/>
    <w:rsid w:val="00292AD2"/>
    <w:rsid w:val="00294718"/>
    <w:rsid w:val="00295690"/>
    <w:rsid w:val="00295C91"/>
    <w:rsid w:val="00297338"/>
    <w:rsid w:val="00297AC9"/>
    <w:rsid w:val="00297DFC"/>
    <w:rsid w:val="002A0148"/>
    <w:rsid w:val="002A067D"/>
    <w:rsid w:val="002A118B"/>
    <w:rsid w:val="002A19E5"/>
    <w:rsid w:val="002A1E6A"/>
    <w:rsid w:val="002A2EF2"/>
    <w:rsid w:val="002A3A9D"/>
    <w:rsid w:val="002A3D5C"/>
    <w:rsid w:val="002A4585"/>
    <w:rsid w:val="002A4A9D"/>
    <w:rsid w:val="002A4C12"/>
    <w:rsid w:val="002A4C24"/>
    <w:rsid w:val="002A4C8A"/>
    <w:rsid w:val="002A5EB9"/>
    <w:rsid w:val="002A6234"/>
    <w:rsid w:val="002A65B2"/>
    <w:rsid w:val="002A673D"/>
    <w:rsid w:val="002A6969"/>
    <w:rsid w:val="002A6D54"/>
    <w:rsid w:val="002A78D5"/>
    <w:rsid w:val="002B0CB5"/>
    <w:rsid w:val="002B12A8"/>
    <w:rsid w:val="002B174F"/>
    <w:rsid w:val="002B2321"/>
    <w:rsid w:val="002B28AF"/>
    <w:rsid w:val="002B36B4"/>
    <w:rsid w:val="002B3765"/>
    <w:rsid w:val="002B455A"/>
    <w:rsid w:val="002B60BA"/>
    <w:rsid w:val="002B6507"/>
    <w:rsid w:val="002B6E5B"/>
    <w:rsid w:val="002B7C2B"/>
    <w:rsid w:val="002B7CE0"/>
    <w:rsid w:val="002C1075"/>
    <w:rsid w:val="002C16AA"/>
    <w:rsid w:val="002C2112"/>
    <w:rsid w:val="002C21F0"/>
    <w:rsid w:val="002C2B8B"/>
    <w:rsid w:val="002C30C5"/>
    <w:rsid w:val="002C340C"/>
    <w:rsid w:val="002C3BEF"/>
    <w:rsid w:val="002C3DB6"/>
    <w:rsid w:val="002C42C4"/>
    <w:rsid w:val="002C43B8"/>
    <w:rsid w:val="002C48BA"/>
    <w:rsid w:val="002C4AEA"/>
    <w:rsid w:val="002C4F3B"/>
    <w:rsid w:val="002C50F1"/>
    <w:rsid w:val="002C7704"/>
    <w:rsid w:val="002C7E97"/>
    <w:rsid w:val="002D01C2"/>
    <w:rsid w:val="002D082F"/>
    <w:rsid w:val="002D0D9F"/>
    <w:rsid w:val="002D0DF5"/>
    <w:rsid w:val="002D1046"/>
    <w:rsid w:val="002D10FB"/>
    <w:rsid w:val="002D1188"/>
    <w:rsid w:val="002D1B8D"/>
    <w:rsid w:val="002D1F83"/>
    <w:rsid w:val="002D202D"/>
    <w:rsid w:val="002D31F8"/>
    <w:rsid w:val="002D353B"/>
    <w:rsid w:val="002D4E3E"/>
    <w:rsid w:val="002D6592"/>
    <w:rsid w:val="002D67D2"/>
    <w:rsid w:val="002D6A9C"/>
    <w:rsid w:val="002D6CA0"/>
    <w:rsid w:val="002E0EB9"/>
    <w:rsid w:val="002E0FEF"/>
    <w:rsid w:val="002E1754"/>
    <w:rsid w:val="002E24C9"/>
    <w:rsid w:val="002E2650"/>
    <w:rsid w:val="002E271C"/>
    <w:rsid w:val="002E276D"/>
    <w:rsid w:val="002E27A3"/>
    <w:rsid w:val="002E319C"/>
    <w:rsid w:val="002E42CA"/>
    <w:rsid w:val="002E68F4"/>
    <w:rsid w:val="002E6D48"/>
    <w:rsid w:val="002E6F1E"/>
    <w:rsid w:val="002E75CC"/>
    <w:rsid w:val="002F03A5"/>
    <w:rsid w:val="002F1394"/>
    <w:rsid w:val="002F1CBF"/>
    <w:rsid w:val="002F2103"/>
    <w:rsid w:val="002F23AB"/>
    <w:rsid w:val="002F2867"/>
    <w:rsid w:val="002F3B5A"/>
    <w:rsid w:val="002F3E13"/>
    <w:rsid w:val="002F642C"/>
    <w:rsid w:val="002F6C39"/>
    <w:rsid w:val="002F7469"/>
    <w:rsid w:val="00300692"/>
    <w:rsid w:val="00300AF1"/>
    <w:rsid w:val="0030124A"/>
    <w:rsid w:val="00301B6F"/>
    <w:rsid w:val="003021AD"/>
    <w:rsid w:val="003026D5"/>
    <w:rsid w:val="00304D32"/>
    <w:rsid w:val="0030509F"/>
    <w:rsid w:val="00305458"/>
    <w:rsid w:val="003074C7"/>
    <w:rsid w:val="00310BC7"/>
    <w:rsid w:val="00310EC4"/>
    <w:rsid w:val="00312221"/>
    <w:rsid w:val="003127A7"/>
    <w:rsid w:val="00313461"/>
    <w:rsid w:val="0031445B"/>
    <w:rsid w:val="0031593B"/>
    <w:rsid w:val="00316CDC"/>
    <w:rsid w:val="00316E5F"/>
    <w:rsid w:val="0031717E"/>
    <w:rsid w:val="0031757E"/>
    <w:rsid w:val="003175B8"/>
    <w:rsid w:val="00323213"/>
    <w:rsid w:val="003233B9"/>
    <w:rsid w:val="0032357C"/>
    <w:rsid w:val="0032397A"/>
    <w:rsid w:val="00323B59"/>
    <w:rsid w:val="00323DE5"/>
    <w:rsid w:val="00323EDA"/>
    <w:rsid w:val="00324D4E"/>
    <w:rsid w:val="003254DF"/>
    <w:rsid w:val="00325905"/>
    <w:rsid w:val="00325BF4"/>
    <w:rsid w:val="00326263"/>
    <w:rsid w:val="0032639A"/>
    <w:rsid w:val="003268FD"/>
    <w:rsid w:val="00327CC3"/>
    <w:rsid w:val="00330635"/>
    <w:rsid w:val="003313AB"/>
    <w:rsid w:val="00331C6E"/>
    <w:rsid w:val="00331CCF"/>
    <w:rsid w:val="003329D0"/>
    <w:rsid w:val="00332B07"/>
    <w:rsid w:val="00333916"/>
    <w:rsid w:val="00334ADE"/>
    <w:rsid w:val="00334D4F"/>
    <w:rsid w:val="00335C9C"/>
    <w:rsid w:val="003376F3"/>
    <w:rsid w:val="00337866"/>
    <w:rsid w:val="0034194C"/>
    <w:rsid w:val="00342579"/>
    <w:rsid w:val="00342D61"/>
    <w:rsid w:val="00342D9C"/>
    <w:rsid w:val="00342F3B"/>
    <w:rsid w:val="00343034"/>
    <w:rsid w:val="00343CC4"/>
    <w:rsid w:val="00344FBB"/>
    <w:rsid w:val="00345BBB"/>
    <w:rsid w:val="00346ABF"/>
    <w:rsid w:val="00347ED0"/>
    <w:rsid w:val="0035076B"/>
    <w:rsid w:val="0035098E"/>
    <w:rsid w:val="003509F1"/>
    <w:rsid w:val="00351030"/>
    <w:rsid w:val="003516A3"/>
    <w:rsid w:val="00351A17"/>
    <w:rsid w:val="0035206F"/>
    <w:rsid w:val="00352B9D"/>
    <w:rsid w:val="00352E54"/>
    <w:rsid w:val="003531EE"/>
    <w:rsid w:val="003533F8"/>
    <w:rsid w:val="00353C53"/>
    <w:rsid w:val="00353C5F"/>
    <w:rsid w:val="00354389"/>
    <w:rsid w:val="003557BE"/>
    <w:rsid w:val="00356057"/>
    <w:rsid w:val="003567DE"/>
    <w:rsid w:val="00356860"/>
    <w:rsid w:val="00356996"/>
    <w:rsid w:val="00357627"/>
    <w:rsid w:val="00357C08"/>
    <w:rsid w:val="003601A4"/>
    <w:rsid w:val="00360FE5"/>
    <w:rsid w:val="0036131A"/>
    <w:rsid w:val="003628FF"/>
    <w:rsid w:val="00362B70"/>
    <w:rsid w:val="00363C2E"/>
    <w:rsid w:val="003649F9"/>
    <w:rsid w:val="00365492"/>
    <w:rsid w:val="00365537"/>
    <w:rsid w:val="00365AD9"/>
    <w:rsid w:val="00365BB2"/>
    <w:rsid w:val="0036609E"/>
    <w:rsid w:val="00366889"/>
    <w:rsid w:val="003669C1"/>
    <w:rsid w:val="003670E7"/>
    <w:rsid w:val="00367FD4"/>
    <w:rsid w:val="00370809"/>
    <w:rsid w:val="00371432"/>
    <w:rsid w:val="00373CF4"/>
    <w:rsid w:val="0037434A"/>
    <w:rsid w:val="00374406"/>
    <w:rsid w:val="00374440"/>
    <w:rsid w:val="00375503"/>
    <w:rsid w:val="00376C49"/>
    <w:rsid w:val="00376D93"/>
    <w:rsid w:val="0037700C"/>
    <w:rsid w:val="0037701A"/>
    <w:rsid w:val="00377713"/>
    <w:rsid w:val="00377B17"/>
    <w:rsid w:val="003807EE"/>
    <w:rsid w:val="00380888"/>
    <w:rsid w:val="00380C10"/>
    <w:rsid w:val="00381448"/>
    <w:rsid w:val="0038147E"/>
    <w:rsid w:val="00381933"/>
    <w:rsid w:val="00381FB3"/>
    <w:rsid w:val="00382526"/>
    <w:rsid w:val="0038338E"/>
    <w:rsid w:val="0038369B"/>
    <w:rsid w:val="0038412E"/>
    <w:rsid w:val="00384F24"/>
    <w:rsid w:val="00385080"/>
    <w:rsid w:val="0038515A"/>
    <w:rsid w:val="003857E7"/>
    <w:rsid w:val="003859D6"/>
    <w:rsid w:val="0038628D"/>
    <w:rsid w:val="00390107"/>
    <w:rsid w:val="0039061F"/>
    <w:rsid w:val="00390D42"/>
    <w:rsid w:val="0039163C"/>
    <w:rsid w:val="0039181C"/>
    <w:rsid w:val="003919E6"/>
    <w:rsid w:val="0039289D"/>
    <w:rsid w:val="00393FDE"/>
    <w:rsid w:val="003941C0"/>
    <w:rsid w:val="003948B7"/>
    <w:rsid w:val="00395352"/>
    <w:rsid w:val="00395575"/>
    <w:rsid w:val="00395E7C"/>
    <w:rsid w:val="00396021"/>
    <w:rsid w:val="0039677B"/>
    <w:rsid w:val="00396A80"/>
    <w:rsid w:val="003972EE"/>
    <w:rsid w:val="00397751"/>
    <w:rsid w:val="003A0729"/>
    <w:rsid w:val="003A0ED1"/>
    <w:rsid w:val="003A1866"/>
    <w:rsid w:val="003A248C"/>
    <w:rsid w:val="003A3070"/>
    <w:rsid w:val="003A30BF"/>
    <w:rsid w:val="003A32A0"/>
    <w:rsid w:val="003A32FF"/>
    <w:rsid w:val="003A3DCF"/>
    <w:rsid w:val="003A3E4F"/>
    <w:rsid w:val="003A4BED"/>
    <w:rsid w:val="003A5BF0"/>
    <w:rsid w:val="003A5F49"/>
    <w:rsid w:val="003A6EED"/>
    <w:rsid w:val="003A74AD"/>
    <w:rsid w:val="003A79C5"/>
    <w:rsid w:val="003B0348"/>
    <w:rsid w:val="003B08E9"/>
    <w:rsid w:val="003B0FF9"/>
    <w:rsid w:val="003B11F9"/>
    <w:rsid w:val="003B1373"/>
    <w:rsid w:val="003B3235"/>
    <w:rsid w:val="003B4322"/>
    <w:rsid w:val="003B44C9"/>
    <w:rsid w:val="003B641A"/>
    <w:rsid w:val="003B6F65"/>
    <w:rsid w:val="003B781F"/>
    <w:rsid w:val="003C04F7"/>
    <w:rsid w:val="003C078E"/>
    <w:rsid w:val="003C140D"/>
    <w:rsid w:val="003C24B4"/>
    <w:rsid w:val="003C30EA"/>
    <w:rsid w:val="003C3688"/>
    <w:rsid w:val="003C49D0"/>
    <w:rsid w:val="003C4A5E"/>
    <w:rsid w:val="003C529B"/>
    <w:rsid w:val="003C69BA"/>
    <w:rsid w:val="003D0258"/>
    <w:rsid w:val="003D2480"/>
    <w:rsid w:val="003D3E41"/>
    <w:rsid w:val="003D4630"/>
    <w:rsid w:val="003D561F"/>
    <w:rsid w:val="003D671B"/>
    <w:rsid w:val="003D6FE5"/>
    <w:rsid w:val="003D7244"/>
    <w:rsid w:val="003D7873"/>
    <w:rsid w:val="003E00AB"/>
    <w:rsid w:val="003E0DD0"/>
    <w:rsid w:val="003E1AE0"/>
    <w:rsid w:val="003E266E"/>
    <w:rsid w:val="003E3B49"/>
    <w:rsid w:val="003E3F1F"/>
    <w:rsid w:val="003E4225"/>
    <w:rsid w:val="003E48C8"/>
    <w:rsid w:val="003E4A41"/>
    <w:rsid w:val="003E6A27"/>
    <w:rsid w:val="003E74E1"/>
    <w:rsid w:val="003E7578"/>
    <w:rsid w:val="003E7E4C"/>
    <w:rsid w:val="003F082E"/>
    <w:rsid w:val="003F0D18"/>
    <w:rsid w:val="003F0DCC"/>
    <w:rsid w:val="003F1B6E"/>
    <w:rsid w:val="003F1F2C"/>
    <w:rsid w:val="003F24C3"/>
    <w:rsid w:val="003F30A5"/>
    <w:rsid w:val="003F3A71"/>
    <w:rsid w:val="003F5227"/>
    <w:rsid w:val="003F5BFC"/>
    <w:rsid w:val="003F6881"/>
    <w:rsid w:val="003F68E9"/>
    <w:rsid w:val="003F6DE2"/>
    <w:rsid w:val="003F74B4"/>
    <w:rsid w:val="003F7507"/>
    <w:rsid w:val="003F7997"/>
    <w:rsid w:val="004003AE"/>
    <w:rsid w:val="00400730"/>
    <w:rsid w:val="00400AFE"/>
    <w:rsid w:val="0040104C"/>
    <w:rsid w:val="00401A3A"/>
    <w:rsid w:val="00401C49"/>
    <w:rsid w:val="00402852"/>
    <w:rsid w:val="004029A4"/>
    <w:rsid w:val="0040394E"/>
    <w:rsid w:val="00404390"/>
    <w:rsid w:val="004046AD"/>
    <w:rsid w:val="00405C2B"/>
    <w:rsid w:val="00406156"/>
    <w:rsid w:val="00407388"/>
    <w:rsid w:val="0040779B"/>
    <w:rsid w:val="00410BEF"/>
    <w:rsid w:val="00410F67"/>
    <w:rsid w:val="0041100C"/>
    <w:rsid w:val="00411767"/>
    <w:rsid w:val="004121E5"/>
    <w:rsid w:val="0041542F"/>
    <w:rsid w:val="00416545"/>
    <w:rsid w:val="00416AE5"/>
    <w:rsid w:val="00416CD8"/>
    <w:rsid w:val="0041718E"/>
    <w:rsid w:val="004171A7"/>
    <w:rsid w:val="00417643"/>
    <w:rsid w:val="00417ACA"/>
    <w:rsid w:val="00420D55"/>
    <w:rsid w:val="004213D6"/>
    <w:rsid w:val="00421721"/>
    <w:rsid w:val="004221B7"/>
    <w:rsid w:val="004221FB"/>
    <w:rsid w:val="00422526"/>
    <w:rsid w:val="004225A8"/>
    <w:rsid w:val="004239C8"/>
    <w:rsid w:val="004249F6"/>
    <w:rsid w:val="00425823"/>
    <w:rsid w:val="004259D7"/>
    <w:rsid w:val="00425CEE"/>
    <w:rsid w:val="004267DA"/>
    <w:rsid w:val="00426CD3"/>
    <w:rsid w:val="00427721"/>
    <w:rsid w:val="00431D38"/>
    <w:rsid w:val="00431D57"/>
    <w:rsid w:val="004326ED"/>
    <w:rsid w:val="00433504"/>
    <w:rsid w:val="00433821"/>
    <w:rsid w:val="0043420A"/>
    <w:rsid w:val="004347B6"/>
    <w:rsid w:val="00434E13"/>
    <w:rsid w:val="00436013"/>
    <w:rsid w:val="00436039"/>
    <w:rsid w:val="00436301"/>
    <w:rsid w:val="004364B6"/>
    <w:rsid w:val="00440486"/>
    <w:rsid w:val="0044095C"/>
    <w:rsid w:val="00440DD4"/>
    <w:rsid w:val="00441B5B"/>
    <w:rsid w:val="00441C0C"/>
    <w:rsid w:val="00442D8B"/>
    <w:rsid w:val="0044487C"/>
    <w:rsid w:val="00444900"/>
    <w:rsid w:val="0044543D"/>
    <w:rsid w:val="004460D0"/>
    <w:rsid w:val="0044657D"/>
    <w:rsid w:val="00446977"/>
    <w:rsid w:val="00446FEA"/>
    <w:rsid w:val="00447CAE"/>
    <w:rsid w:val="00450AC5"/>
    <w:rsid w:val="00451368"/>
    <w:rsid w:val="004513AC"/>
    <w:rsid w:val="004513D6"/>
    <w:rsid w:val="00451921"/>
    <w:rsid w:val="00451C36"/>
    <w:rsid w:val="00451E27"/>
    <w:rsid w:val="004525AF"/>
    <w:rsid w:val="00452BD6"/>
    <w:rsid w:val="00452C8A"/>
    <w:rsid w:val="00453D4C"/>
    <w:rsid w:val="0045417B"/>
    <w:rsid w:val="00454758"/>
    <w:rsid w:val="004550F7"/>
    <w:rsid w:val="00455476"/>
    <w:rsid w:val="004556C7"/>
    <w:rsid w:val="00456B9D"/>
    <w:rsid w:val="00457372"/>
    <w:rsid w:val="004600F9"/>
    <w:rsid w:val="00460E10"/>
    <w:rsid w:val="00460ECE"/>
    <w:rsid w:val="00460FC0"/>
    <w:rsid w:val="0046117C"/>
    <w:rsid w:val="00461471"/>
    <w:rsid w:val="004619AA"/>
    <w:rsid w:val="00461CD8"/>
    <w:rsid w:val="00461D3F"/>
    <w:rsid w:val="00462071"/>
    <w:rsid w:val="00462AD4"/>
    <w:rsid w:val="00463C2D"/>
    <w:rsid w:val="00464ADC"/>
    <w:rsid w:val="00466255"/>
    <w:rsid w:val="00466277"/>
    <w:rsid w:val="0046660B"/>
    <w:rsid w:val="004714B0"/>
    <w:rsid w:val="004717ED"/>
    <w:rsid w:val="00471B57"/>
    <w:rsid w:val="00471E38"/>
    <w:rsid w:val="00471E90"/>
    <w:rsid w:val="00472BB1"/>
    <w:rsid w:val="004743E9"/>
    <w:rsid w:val="00475976"/>
    <w:rsid w:val="00477BC8"/>
    <w:rsid w:val="00480371"/>
    <w:rsid w:val="00480789"/>
    <w:rsid w:val="00480DDE"/>
    <w:rsid w:val="0048168E"/>
    <w:rsid w:val="00481D67"/>
    <w:rsid w:val="00482237"/>
    <w:rsid w:val="004829DC"/>
    <w:rsid w:val="00482F09"/>
    <w:rsid w:val="0048338B"/>
    <w:rsid w:val="00483731"/>
    <w:rsid w:val="004854DA"/>
    <w:rsid w:val="0048576E"/>
    <w:rsid w:val="00485E80"/>
    <w:rsid w:val="0048606E"/>
    <w:rsid w:val="00486C14"/>
    <w:rsid w:val="004870BE"/>
    <w:rsid w:val="0048710D"/>
    <w:rsid w:val="00490357"/>
    <w:rsid w:val="004903B5"/>
    <w:rsid w:val="00490596"/>
    <w:rsid w:val="00490A25"/>
    <w:rsid w:val="00490F4E"/>
    <w:rsid w:val="00491B70"/>
    <w:rsid w:val="00491E52"/>
    <w:rsid w:val="00491E5E"/>
    <w:rsid w:val="00491F02"/>
    <w:rsid w:val="00493285"/>
    <w:rsid w:val="00493C3C"/>
    <w:rsid w:val="00494700"/>
    <w:rsid w:val="00494A76"/>
    <w:rsid w:val="00494EAF"/>
    <w:rsid w:val="00495982"/>
    <w:rsid w:val="004959EE"/>
    <w:rsid w:val="0049606F"/>
    <w:rsid w:val="00496122"/>
    <w:rsid w:val="00496906"/>
    <w:rsid w:val="00496E07"/>
    <w:rsid w:val="00496F93"/>
    <w:rsid w:val="00497537"/>
    <w:rsid w:val="004A0662"/>
    <w:rsid w:val="004A079E"/>
    <w:rsid w:val="004A07A0"/>
    <w:rsid w:val="004A1430"/>
    <w:rsid w:val="004A176C"/>
    <w:rsid w:val="004A258A"/>
    <w:rsid w:val="004A2E7D"/>
    <w:rsid w:val="004A3B0B"/>
    <w:rsid w:val="004A4344"/>
    <w:rsid w:val="004A56EB"/>
    <w:rsid w:val="004A6BF4"/>
    <w:rsid w:val="004A7580"/>
    <w:rsid w:val="004A7FB7"/>
    <w:rsid w:val="004B238F"/>
    <w:rsid w:val="004B433B"/>
    <w:rsid w:val="004B43C3"/>
    <w:rsid w:val="004B4C4E"/>
    <w:rsid w:val="004B5111"/>
    <w:rsid w:val="004B5192"/>
    <w:rsid w:val="004B5311"/>
    <w:rsid w:val="004B585A"/>
    <w:rsid w:val="004B640D"/>
    <w:rsid w:val="004B66F6"/>
    <w:rsid w:val="004B67A5"/>
    <w:rsid w:val="004C307F"/>
    <w:rsid w:val="004C312A"/>
    <w:rsid w:val="004C3C16"/>
    <w:rsid w:val="004C434D"/>
    <w:rsid w:val="004C4C79"/>
    <w:rsid w:val="004C6722"/>
    <w:rsid w:val="004C6F2C"/>
    <w:rsid w:val="004D01C1"/>
    <w:rsid w:val="004D03F6"/>
    <w:rsid w:val="004D204D"/>
    <w:rsid w:val="004D2B26"/>
    <w:rsid w:val="004D2DDA"/>
    <w:rsid w:val="004D507A"/>
    <w:rsid w:val="004D6234"/>
    <w:rsid w:val="004D63B1"/>
    <w:rsid w:val="004D670F"/>
    <w:rsid w:val="004D6B59"/>
    <w:rsid w:val="004D6E5F"/>
    <w:rsid w:val="004D74CC"/>
    <w:rsid w:val="004D7607"/>
    <w:rsid w:val="004E03F5"/>
    <w:rsid w:val="004E0642"/>
    <w:rsid w:val="004E0C57"/>
    <w:rsid w:val="004E2156"/>
    <w:rsid w:val="004E22B8"/>
    <w:rsid w:val="004E2CBA"/>
    <w:rsid w:val="004E3FB7"/>
    <w:rsid w:val="004E4343"/>
    <w:rsid w:val="004E47FD"/>
    <w:rsid w:val="004E53FD"/>
    <w:rsid w:val="004E54DD"/>
    <w:rsid w:val="004E5A19"/>
    <w:rsid w:val="004E6525"/>
    <w:rsid w:val="004E6D6A"/>
    <w:rsid w:val="004F14D9"/>
    <w:rsid w:val="004F1F6B"/>
    <w:rsid w:val="004F2C2C"/>
    <w:rsid w:val="004F2DD4"/>
    <w:rsid w:val="004F34D0"/>
    <w:rsid w:val="004F396E"/>
    <w:rsid w:val="004F4569"/>
    <w:rsid w:val="004F4A71"/>
    <w:rsid w:val="004F5457"/>
    <w:rsid w:val="004F5797"/>
    <w:rsid w:val="004F6014"/>
    <w:rsid w:val="004F611A"/>
    <w:rsid w:val="004F6B55"/>
    <w:rsid w:val="004F78EC"/>
    <w:rsid w:val="004F7D78"/>
    <w:rsid w:val="0050125F"/>
    <w:rsid w:val="00501381"/>
    <w:rsid w:val="00502256"/>
    <w:rsid w:val="005022CA"/>
    <w:rsid w:val="005031C9"/>
    <w:rsid w:val="005045AE"/>
    <w:rsid w:val="005046A4"/>
    <w:rsid w:val="00504DAA"/>
    <w:rsid w:val="005052DA"/>
    <w:rsid w:val="005053B7"/>
    <w:rsid w:val="00505550"/>
    <w:rsid w:val="00505C15"/>
    <w:rsid w:val="00506C77"/>
    <w:rsid w:val="00507946"/>
    <w:rsid w:val="00510446"/>
    <w:rsid w:val="0051064A"/>
    <w:rsid w:val="00510781"/>
    <w:rsid w:val="00510820"/>
    <w:rsid w:val="005120B0"/>
    <w:rsid w:val="005127BF"/>
    <w:rsid w:val="00512968"/>
    <w:rsid w:val="005141C2"/>
    <w:rsid w:val="0051456C"/>
    <w:rsid w:val="00514AB0"/>
    <w:rsid w:val="00514F43"/>
    <w:rsid w:val="0051544A"/>
    <w:rsid w:val="00515A58"/>
    <w:rsid w:val="00515B01"/>
    <w:rsid w:val="0051630D"/>
    <w:rsid w:val="00516997"/>
    <w:rsid w:val="00516D99"/>
    <w:rsid w:val="0051788A"/>
    <w:rsid w:val="00520313"/>
    <w:rsid w:val="00520931"/>
    <w:rsid w:val="00520F4A"/>
    <w:rsid w:val="0052315A"/>
    <w:rsid w:val="00523CBC"/>
    <w:rsid w:val="0052418F"/>
    <w:rsid w:val="0052425F"/>
    <w:rsid w:val="00525A3E"/>
    <w:rsid w:val="00525ACB"/>
    <w:rsid w:val="00526139"/>
    <w:rsid w:val="00526A02"/>
    <w:rsid w:val="00527CBA"/>
    <w:rsid w:val="0053008C"/>
    <w:rsid w:val="0053078C"/>
    <w:rsid w:val="00530B0B"/>
    <w:rsid w:val="00530B11"/>
    <w:rsid w:val="0053170E"/>
    <w:rsid w:val="00531FC0"/>
    <w:rsid w:val="0053335C"/>
    <w:rsid w:val="00533778"/>
    <w:rsid w:val="0053547A"/>
    <w:rsid w:val="005357F6"/>
    <w:rsid w:val="00536299"/>
    <w:rsid w:val="00537A57"/>
    <w:rsid w:val="00537A5B"/>
    <w:rsid w:val="005400BD"/>
    <w:rsid w:val="0054054A"/>
    <w:rsid w:val="0054090D"/>
    <w:rsid w:val="00540C75"/>
    <w:rsid w:val="00541583"/>
    <w:rsid w:val="005420BD"/>
    <w:rsid w:val="005421BC"/>
    <w:rsid w:val="005433FD"/>
    <w:rsid w:val="005434CE"/>
    <w:rsid w:val="00544A25"/>
    <w:rsid w:val="00544DFC"/>
    <w:rsid w:val="005453D0"/>
    <w:rsid w:val="005459DB"/>
    <w:rsid w:val="00546CC5"/>
    <w:rsid w:val="00546D08"/>
    <w:rsid w:val="00547262"/>
    <w:rsid w:val="005479C2"/>
    <w:rsid w:val="00547AA4"/>
    <w:rsid w:val="00550046"/>
    <w:rsid w:val="00550AAB"/>
    <w:rsid w:val="00551A4E"/>
    <w:rsid w:val="0055294B"/>
    <w:rsid w:val="00552C29"/>
    <w:rsid w:val="00552CF5"/>
    <w:rsid w:val="0055397A"/>
    <w:rsid w:val="00553D51"/>
    <w:rsid w:val="0055435A"/>
    <w:rsid w:val="005546A6"/>
    <w:rsid w:val="00555350"/>
    <w:rsid w:val="0055628E"/>
    <w:rsid w:val="0055661F"/>
    <w:rsid w:val="0055709C"/>
    <w:rsid w:val="0055732C"/>
    <w:rsid w:val="00560BBD"/>
    <w:rsid w:val="00560EAC"/>
    <w:rsid w:val="00560EDB"/>
    <w:rsid w:val="00561419"/>
    <w:rsid w:val="005614DC"/>
    <w:rsid w:val="005618C4"/>
    <w:rsid w:val="00561D79"/>
    <w:rsid w:val="00561FC9"/>
    <w:rsid w:val="00562576"/>
    <w:rsid w:val="0056453B"/>
    <w:rsid w:val="00564588"/>
    <w:rsid w:val="00564A65"/>
    <w:rsid w:val="0056540A"/>
    <w:rsid w:val="00565B30"/>
    <w:rsid w:val="00565E43"/>
    <w:rsid w:val="00566292"/>
    <w:rsid w:val="005668C2"/>
    <w:rsid w:val="005673D0"/>
    <w:rsid w:val="0056786D"/>
    <w:rsid w:val="00570893"/>
    <w:rsid w:val="00571291"/>
    <w:rsid w:val="005717FF"/>
    <w:rsid w:val="00572954"/>
    <w:rsid w:val="00573648"/>
    <w:rsid w:val="00573679"/>
    <w:rsid w:val="00573BDF"/>
    <w:rsid w:val="00573C3E"/>
    <w:rsid w:val="005745B4"/>
    <w:rsid w:val="005757CA"/>
    <w:rsid w:val="00576C72"/>
    <w:rsid w:val="00577592"/>
    <w:rsid w:val="00577CB8"/>
    <w:rsid w:val="00580311"/>
    <w:rsid w:val="00580517"/>
    <w:rsid w:val="00580E0C"/>
    <w:rsid w:val="005810EF"/>
    <w:rsid w:val="00581ABE"/>
    <w:rsid w:val="00581CAC"/>
    <w:rsid w:val="005835C2"/>
    <w:rsid w:val="00583B4B"/>
    <w:rsid w:val="00583BBC"/>
    <w:rsid w:val="00584B2F"/>
    <w:rsid w:val="00585969"/>
    <w:rsid w:val="0058698F"/>
    <w:rsid w:val="00587177"/>
    <w:rsid w:val="00591148"/>
    <w:rsid w:val="005911D1"/>
    <w:rsid w:val="00592659"/>
    <w:rsid w:val="00593ECE"/>
    <w:rsid w:val="005940EA"/>
    <w:rsid w:val="00594B1D"/>
    <w:rsid w:val="005A04E3"/>
    <w:rsid w:val="005A04E6"/>
    <w:rsid w:val="005A07A4"/>
    <w:rsid w:val="005A0B0D"/>
    <w:rsid w:val="005A1C2A"/>
    <w:rsid w:val="005A2648"/>
    <w:rsid w:val="005A2C2F"/>
    <w:rsid w:val="005A306C"/>
    <w:rsid w:val="005A3C49"/>
    <w:rsid w:val="005A4768"/>
    <w:rsid w:val="005A54CB"/>
    <w:rsid w:val="005A5F41"/>
    <w:rsid w:val="005A61BE"/>
    <w:rsid w:val="005A6C26"/>
    <w:rsid w:val="005B0573"/>
    <w:rsid w:val="005B0BD5"/>
    <w:rsid w:val="005B0EEA"/>
    <w:rsid w:val="005B1085"/>
    <w:rsid w:val="005B1320"/>
    <w:rsid w:val="005B1BFC"/>
    <w:rsid w:val="005B33B5"/>
    <w:rsid w:val="005B3757"/>
    <w:rsid w:val="005B4EAC"/>
    <w:rsid w:val="005B5969"/>
    <w:rsid w:val="005B5BC5"/>
    <w:rsid w:val="005B612B"/>
    <w:rsid w:val="005B67DC"/>
    <w:rsid w:val="005B6C49"/>
    <w:rsid w:val="005B71CA"/>
    <w:rsid w:val="005C00BA"/>
    <w:rsid w:val="005C00F2"/>
    <w:rsid w:val="005C1852"/>
    <w:rsid w:val="005C2077"/>
    <w:rsid w:val="005C263A"/>
    <w:rsid w:val="005C2880"/>
    <w:rsid w:val="005C359B"/>
    <w:rsid w:val="005C3AC7"/>
    <w:rsid w:val="005C435B"/>
    <w:rsid w:val="005C4F5F"/>
    <w:rsid w:val="005C60CF"/>
    <w:rsid w:val="005C76A6"/>
    <w:rsid w:val="005C776F"/>
    <w:rsid w:val="005D0481"/>
    <w:rsid w:val="005D1D05"/>
    <w:rsid w:val="005D2FE3"/>
    <w:rsid w:val="005D3233"/>
    <w:rsid w:val="005D42ED"/>
    <w:rsid w:val="005D60F4"/>
    <w:rsid w:val="005D62F2"/>
    <w:rsid w:val="005D6533"/>
    <w:rsid w:val="005D66AB"/>
    <w:rsid w:val="005D67CF"/>
    <w:rsid w:val="005D70BA"/>
    <w:rsid w:val="005E025D"/>
    <w:rsid w:val="005E04AB"/>
    <w:rsid w:val="005E2BEB"/>
    <w:rsid w:val="005E2DA7"/>
    <w:rsid w:val="005E404F"/>
    <w:rsid w:val="005E4882"/>
    <w:rsid w:val="005E535C"/>
    <w:rsid w:val="005E53BD"/>
    <w:rsid w:val="005E5848"/>
    <w:rsid w:val="005E5AB5"/>
    <w:rsid w:val="005E6E4E"/>
    <w:rsid w:val="005F041C"/>
    <w:rsid w:val="005F1702"/>
    <w:rsid w:val="005F1B89"/>
    <w:rsid w:val="005F1EB7"/>
    <w:rsid w:val="005F23B1"/>
    <w:rsid w:val="005F255D"/>
    <w:rsid w:val="005F2FC3"/>
    <w:rsid w:val="005F40E8"/>
    <w:rsid w:val="005F5794"/>
    <w:rsid w:val="005F665D"/>
    <w:rsid w:val="00600740"/>
    <w:rsid w:val="0060095B"/>
    <w:rsid w:val="00600A6A"/>
    <w:rsid w:val="00600E71"/>
    <w:rsid w:val="00601192"/>
    <w:rsid w:val="00602397"/>
    <w:rsid w:val="00603712"/>
    <w:rsid w:val="00603A74"/>
    <w:rsid w:val="00603F5A"/>
    <w:rsid w:val="00604A28"/>
    <w:rsid w:val="00604B8B"/>
    <w:rsid w:val="00604E14"/>
    <w:rsid w:val="006054EA"/>
    <w:rsid w:val="00605A2B"/>
    <w:rsid w:val="00605F99"/>
    <w:rsid w:val="00607126"/>
    <w:rsid w:val="00607272"/>
    <w:rsid w:val="0061083C"/>
    <w:rsid w:val="006111BD"/>
    <w:rsid w:val="0061134B"/>
    <w:rsid w:val="00611737"/>
    <w:rsid w:val="00611FE6"/>
    <w:rsid w:val="006121B9"/>
    <w:rsid w:val="006121F0"/>
    <w:rsid w:val="00612BC5"/>
    <w:rsid w:val="00613051"/>
    <w:rsid w:val="00613662"/>
    <w:rsid w:val="00613FA2"/>
    <w:rsid w:val="006158C1"/>
    <w:rsid w:val="00615D4D"/>
    <w:rsid w:val="00615F04"/>
    <w:rsid w:val="00616D80"/>
    <w:rsid w:val="00617CFB"/>
    <w:rsid w:val="0062100E"/>
    <w:rsid w:val="00621CDF"/>
    <w:rsid w:val="00621D2E"/>
    <w:rsid w:val="0062251A"/>
    <w:rsid w:val="00622C16"/>
    <w:rsid w:val="00622F31"/>
    <w:rsid w:val="006230F8"/>
    <w:rsid w:val="00623E6F"/>
    <w:rsid w:val="00624727"/>
    <w:rsid w:val="00624756"/>
    <w:rsid w:val="0062478B"/>
    <w:rsid w:val="00624842"/>
    <w:rsid w:val="006257EE"/>
    <w:rsid w:val="00625929"/>
    <w:rsid w:val="006259FB"/>
    <w:rsid w:val="00626B69"/>
    <w:rsid w:val="00627AC6"/>
    <w:rsid w:val="00627DB0"/>
    <w:rsid w:val="006307C1"/>
    <w:rsid w:val="00630CCB"/>
    <w:rsid w:val="00631C1D"/>
    <w:rsid w:val="00632843"/>
    <w:rsid w:val="00632BD2"/>
    <w:rsid w:val="006335BE"/>
    <w:rsid w:val="00633F97"/>
    <w:rsid w:val="00635251"/>
    <w:rsid w:val="00635736"/>
    <w:rsid w:val="00636664"/>
    <w:rsid w:val="00640169"/>
    <w:rsid w:val="00640283"/>
    <w:rsid w:val="006406B8"/>
    <w:rsid w:val="00640DC7"/>
    <w:rsid w:val="00641A46"/>
    <w:rsid w:val="0064234A"/>
    <w:rsid w:val="00643CB9"/>
    <w:rsid w:val="00644372"/>
    <w:rsid w:val="00644C23"/>
    <w:rsid w:val="006454D4"/>
    <w:rsid w:val="00645DB7"/>
    <w:rsid w:val="006463F9"/>
    <w:rsid w:val="00646F0A"/>
    <w:rsid w:val="00650CEB"/>
    <w:rsid w:val="006510F0"/>
    <w:rsid w:val="0065220C"/>
    <w:rsid w:val="00652758"/>
    <w:rsid w:val="00653A39"/>
    <w:rsid w:val="00653BE0"/>
    <w:rsid w:val="006556FD"/>
    <w:rsid w:val="00655892"/>
    <w:rsid w:val="00655A8A"/>
    <w:rsid w:val="00655CAD"/>
    <w:rsid w:val="00655E9F"/>
    <w:rsid w:val="00656103"/>
    <w:rsid w:val="00656368"/>
    <w:rsid w:val="00656703"/>
    <w:rsid w:val="00656BB5"/>
    <w:rsid w:val="006605EB"/>
    <w:rsid w:val="00660F3B"/>
    <w:rsid w:val="0066130B"/>
    <w:rsid w:val="00663000"/>
    <w:rsid w:val="00663AA5"/>
    <w:rsid w:val="0066421A"/>
    <w:rsid w:val="00664350"/>
    <w:rsid w:val="006645E1"/>
    <w:rsid w:val="00664E8B"/>
    <w:rsid w:val="00665A17"/>
    <w:rsid w:val="00670B9D"/>
    <w:rsid w:val="00670C7B"/>
    <w:rsid w:val="00671564"/>
    <w:rsid w:val="0067188F"/>
    <w:rsid w:val="00671F62"/>
    <w:rsid w:val="00672CD3"/>
    <w:rsid w:val="0067335F"/>
    <w:rsid w:val="00673635"/>
    <w:rsid w:val="0067382C"/>
    <w:rsid w:val="00673971"/>
    <w:rsid w:val="006739D7"/>
    <w:rsid w:val="00674E4F"/>
    <w:rsid w:val="00675184"/>
    <w:rsid w:val="006752B2"/>
    <w:rsid w:val="00675C76"/>
    <w:rsid w:val="00680603"/>
    <w:rsid w:val="00681058"/>
    <w:rsid w:val="00682290"/>
    <w:rsid w:val="0068237D"/>
    <w:rsid w:val="006823BE"/>
    <w:rsid w:val="0068302D"/>
    <w:rsid w:val="00684AC1"/>
    <w:rsid w:val="006855D2"/>
    <w:rsid w:val="00685B11"/>
    <w:rsid w:val="006861D3"/>
    <w:rsid w:val="0068679B"/>
    <w:rsid w:val="00686F43"/>
    <w:rsid w:val="00687065"/>
    <w:rsid w:val="00692221"/>
    <w:rsid w:val="00693C1D"/>
    <w:rsid w:val="006955ED"/>
    <w:rsid w:val="006958CD"/>
    <w:rsid w:val="006958F5"/>
    <w:rsid w:val="006A0665"/>
    <w:rsid w:val="006A1582"/>
    <w:rsid w:val="006A24B7"/>
    <w:rsid w:val="006A24BE"/>
    <w:rsid w:val="006A2560"/>
    <w:rsid w:val="006A2769"/>
    <w:rsid w:val="006A2EE5"/>
    <w:rsid w:val="006A3A3F"/>
    <w:rsid w:val="006A5430"/>
    <w:rsid w:val="006A5927"/>
    <w:rsid w:val="006A5DC5"/>
    <w:rsid w:val="006A62FA"/>
    <w:rsid w:val="006A7D93"/>
    <w:rsid w:val="006A7DDA"/>
    <w:rsid w:val="006B0267"/>
    <w:rsid w:val="006B0467"/>
    <w:rsid w:val="006B0EAE"/>
    <w:rsid w:val="006B1115"/>
    <w:rsid w:val="006B1578"/>
    <w:rsid w:val="006B16B3"/>
    <w:rsid w:val="006B1FCB"/>
    <w:rsid w:val="006B2C6E"/>
    <w:rsid w:val="006B46C4"/>
    <w:rsid w:val="006B46CD"/>
    <w:rsid w:val="006B4810"/>
    <w:rsid w:val="006B4B5C"/>
    <w:rsid w:val="006B4FED"/>
    <w:rsid w:val="006B583F"/>
    <w:rsid w:val="006B5CB5"/>
    <w:rsid w:val="006B6539"/>
    <w:rsid w:val="006B696C"/>
    <w:rsid w:val="006B6B4A"/>
    <w:rsid w:val="006B6F0D"/>
    <w:rsid w:val="006B7B1C"/>
    <w:rsid w:val="006C1DD7"/>
    <w:rsid w:val="006C3B45"/>
    <w:rsid w:val="006C49BA"/>
    <w:rsid w:val="006C5AEA"/>
    <w:rsid w:val="006D1645"/>
    <w:rsid w:val="006D187A"/>
    <w:rsid w:val="006D1A7C"/>
    <w:rsid w:val="006D23CB"/>
    <w:rsid w:val="006D25C2"/>
    <w:rsid w:val="006D2B1A"/>
    <w:rsid w:val="006D2B24"/>
    <w:rsid w:val="006D3721"/>
    <w:rsid w:val="006D4021"/>
    <w:rsid w:val="006D4A0C"/>
    <w:rsid w:val="006D4C8D"/>
    <w:rsid w:val="006D4CA9"/>
    <w:rsid w:val="006D4FF1"/>
    <w:rsid w:val="006D5597"/>
    <w:rsid w:val="006D5B38"/>
    <w:rsid w:val="006D6938"/>
    <w:rsid w:val="006D75BC"/>
    <w:rsid w:val="006D786E"/>
    <w:rsid w:val="006D7C1D"/>
    <w:rsid w:val="006D7EF5"/>
    <w:rsid w:val="006E09A6"/>
    <w:rsid w:val="006E0C36"/>
    <w:rsid w:val="006E10C1"/>
    <w:rsid w:val="006E33F2"/>
    <w:rsid w:val="006E42CB"/>
    <w:rsid w:val="006E5278"/>
    <w:rsid w:val="006E71A2"/>
    <w:rsid w:val="006F1323"/>
    <w:rsid w:val="006F15A0"/>
    <w:rsid w:val="006F1B55"/>
    <w:rsid w:val="006F1C17"/>
    <w:rsid w:val="006F25D6"/>
    <w:rsid w:val="006F2907"/>
    <w:rsid w:val="006F2D21"/>
    <w:rsid w:val="006F30A1"/>
    <w:rsid w:val="006F3B10"/>
    <w:rsid w:val="006F43BC"/>
    <w:rsid w:val="006F4BCD"/>
    <w:rsid w:val="006F4DCF"/>
    <w:rsid w:val="006F5511"/>
    <w:rsid w:val="006F64E3"/>
    <w:rsid w:val="006F6720"/>
    <w:rsid w:val="006F67FF"/>
    <w:rsid w:val="006F7413"/>
    <w:rsid w:val="006F7A4E"/>
    <w:rsid w:val="006F7B35"/>
    <w:rsid w:val="00700419"/>
    <w:rsid w:val="00700F9E"/>
    <w:rsid w:val="007013C8"/>
    <w:rsid w:val="007016D6"/>
    <w:rsid w:val="007019E2"/>
    <w:rsid w:val="00701BD3"/>
    <w:rsid w:val="00702465"/>
    <w:rsid w:val="007048D9"/>
    <w:rsid w:val="00704D20"/>
    <w:rsid w:val="00704F1A"/>
    <w:rsid w:val="00704F99"/>
    <w:rsid w:val="00706FA5"/>
    <w:rsid w:val="007075E1"/>
    <w:rsid w:val="00707A00"/>
    <w:rsid w:val="00707D9C"/>
    <w:rsid w:val="00711491"/>
    <w:rsid w:val="00711E64"/>
    <w:rsid w:val="00712BC5"/>
    <w:rsid w:val="00714CF1"/>
    <w:rsid w:val="00716B3E"/>
    <w:rsid w:val="007178BD"/>
    <w:rsid w:val="00717C68"/>
    <w:rsid w:val="00720BB2"/>
    <w:rsid w:val="0072213C"/>
    <w:rsid w:val="00722745"/>
    <w:rsid w:val="00722A30"/>
    <w:rsid w:val="0072421F"/>
    <w:rsid w:val="00724727"/>
    <w:rsid w:val="00725176"/>
    <w:rsid w:val="0072594F"/>
    <w:rsid w:val="00725C5B"/>
    <w:rsid w:val="00725CF9"/>
    <w:rsid w:val="00725D63"/>
    <w:rsid w:val="00725EDD"/>
    <w:rsid w:val="007270D9"/>
    <w:rsid w:val="007275C8"/>
    <w:rsid w:val="00727F3F"/>
    <w:rsid w:val="0073041C"/>
    <w:rsid w:val="007308ED"/>
    <w:rsid w:val="0073104F"/>
    <w:rsid w:val="0073109E"/>
    <w:rsid w:val="00731180"/>
    <w:rsid w:val="00731460"/>
    <w:rsid w:val="00731C63"/>
    <w:rsid w:val="00732087"/>
    <w:rsid w:val="00732342"/>
    <w:rsid w:val="0073274A"/>
    <w:rsid w:val="00732DFD"/>
    <w:rsid w:val="007339C4"/>
    <w:rsid w:val="00734194"/>
    <w:rsid w:val="007342AA"/>
    <w:rsid w:val="00734379"/>
    <w:rsid w:val="00735369"/>
    <w:rsid w:val="00735E96"/>
    <w:rsid w:val="007372EF"/>
    <w:rsid w:val="00737738"/>
    <w:rsid w:val="00740535"/>
    <w:rsid w:val="007405FC"/>
    <w:rsid w:val="00741A1F"/>
    <w:rsid w:val="00742577"/>
    <w:rsid w:val="0074369D"/>
    <w:rsid w:val="00743DF3"/>
    <w:rsid w:val="007449BA"/>
    <w:rsid w:val="007450D4"/>
    <w:rsid w:val="0074537D"/>
    <w:rsid w:val="007459F6"/>
    <w:rsid w:val="00746028"/>
    <w:rsid w:val="007464DA"/>
    <w:rsid w:val="00747921"/>
    <w:rsid w:val="0075002B"/>
    <w:rsid w:val="00750F8D"/>
    <w:rsid w:val="007532ED"/>
    <w:rsid w:val="00754074"/>
    <w:rsid w:val="007542D5"/>
    <w:rsid w:val="00754AE1"/>
    <w:rsid w:val="00754FB8"/>
    <w:rsid w:val="0075527D"/>
    <w:rsid w:val="007556BF"/>
    <w:rsid w:val="00755BFA"/>
    <w:rsid w:val="00755C11"/>
    <w:rsid w:val="00756AF2"/>
    <w:rsid w:val="00756D64"/>
    <w:rsid w:val="00756EC5"/>
    <w:rsid w:val="0076042C"/>
    <w:rsid w:val="00761170"/>
    <w:rsid w:val="007618EA"/>
    <w:rsid w:val="00761961"/>
    <w:rsid w:val="00761DDC"/>
    <w:rsid w:val="00762153"/>
    <w:rsid w:val="00762F64"/>
    <w:rsid w:val="007638FD"/>
    <w:rsid w:val="00763E7F"/>
    <w:rsid w:val="007647ED"/>
    <w:rsid w:val="00764C48"/>
    <w:rsid w:val="00765583"/>
    <w:rsid w:val="00765BB9"/>
    <w:rsid w:val="00767552"/>
    <w:rsid w:val="0077088C"/>
    <w:rsid w:val="00770E3A"/>
    <w:rsid w:val="00771780"/>
    <w:rsid w:val="00771867"/>
    <w:rsid w:val="00771E02"/>
    <w:rsid w:val="00772E37"/>
    <w:rsid w:val="00772ECB"/>
    <w:rsid w:val="00773324"/>
    <w:rsid w:val="00774A04"/>
    <w:rsid w:val="00774DCD"/>
    <w:rsid w:val="00774E2E"/>
    <w:rsid w:val="00775200"/>
    <w:rsid w:val="0077671A"/>
    <w:rsid w:val="00776CCF"/>
    <w:rsid w:val="00780700"/>
    <w:rsid w:val="00780BA9"/>
    <w:rsid w:val="00780CEE"/>
    <w:rsid w:val="00780D99"/>
    <w:rsid w:val="007818BD"/>
    <w:rsid w:val="00783025"/>
    <w:rsid w:val="00783093"/>
    <w:rsid w:val="00783BDB"/>
    <w:rsid w:val="007849EB"/>
    <w:rsid w:val="0078593D"/>
    <w:rsid w:val="00785CC7"/>
    <w:rsid w:val="0078698B"/>
    <w:rsid w:val="0078721E"/>
    <w:rsid w:val="00787F51"/>
    <w:rsid w:val="00790046"/>
    <w:rsid w:val="00790F6D"/>
    <w:rsid w:val="0079175A"/>
    <w:rsid w:val="00791814"/>
    <w:rsid w:val="00791A53"/>
    <w:rsid w:val="007930A2"/>
    <w:rsid w:val="0079363A"/>
    <w:rsid w:val="00793ACC"/>
    <w:rsid w:val="00793E32"/>
    <w:rsid w:val="00793EE3"/>
    <w:rsid w:val="00794C10"/>
    <w:rsid w:val="00795A4F"/>
    <w:rsid w:val="00795BC5"/>
    <w:rsid w:val="00796498"/>
    <w:rsid w:val="007966E8"/>
    <w:rsid w:val="00796C2E"/>
    <w:rsid w:val="00796E39"/>
    <w:rsid w:val="00797E2C"/>
    <w:rsid w:val="007A17B7"/>
    <w:rsid w:val="007A35AA"/>
    <w:rsid w:val="007A4CB4"/>
    <w:rsid w:val="007A4D0D"/>
    <w:rsid w:val="007A6602"/>
    <w:rsid w:val="007A7478"/>
    <w:rsid w:val="007A7F7A"/>
    <w:rsid w:val="007B012C"/>
    <w:rsid w:val="007B102C"/>
    <w:rsid w:val="007B133B"/>
    <w:rsid w:val="007B1854"/>
    <w:rsid w:val="007B1E3D"/>
    <w:rsid w:val="007B21E0"/>
    <w:rsid w:val="007B2857"/>
    <w:rsid w:val="007B347A"/>
    <w:rsid w:val="007B352D"/>
    <w:rsid w:val="007B3641"/>
    <w:rsid w:val="007B4211"/>
    <w:rsid w:val="007B4CAF"/>
    <w:rsid w:val="007B7769"/>
    <w:rsid w:val="007B7B44"/>
    <w:rsid w:val="007B7BD8"/>
    <w:rsid w:val="007C0073"/>
    <w:rsid w:val="007C14D2"/>
    <w:rsid w:val="007C169B"/>
    <w:rsid w:val="007C1E74"/>
    <w:rsid w:val="007C288C"/>
    <w:rsid w:val="007C289A"/>
    <w:rsid w:val="007C37D2"/>
    <w:rsid w:val="007C3C7C"/>
    <w:rsid w:val="007C4F1C"/>
    <w:rsid w:val="007C52FB"/>
    <w:rsid w:val="007C5BAD"/>
    <w:rsid w:val="007C5BDE"/>
    <w:rsid w:val="007C61A6"/>
    <w:rsid w:val="007C6722"/>
    <w:rsid w:val="007C67A0"/>
    <w:rsid w:val="007C6977"/>
    <w:rsid w:val="007D15AE"/>
    <w:rsid w:val="007D2621"/>
    <w:rsid w:val="007D3541"/>
    <w:rsid w:val="007D39D2"/>
    <w:rsid w:val="007D3E32"/>
    <w:rsid w:val="007D4D4E"/>
    <w:rsid w:val="007D5259"/>
    <w:rsid w:val="007D5677"/>
    <w:rsid w:val="007D5A4C"/>
    <w:rsid w:val="007D5AC6"/>
    <w:rsid w:val="007D67F3"/>
    <w:rsid w:val="007D68B5"/>
    <w:rsid w:val="007D69AB"/>
    <w:rsid w:val="007D6E0E"/>
    <w:rsid w:val="007D725E"/>
    <w:rsid w:val="007D7B72"/>
    <w:rsid w:val="007E0C3F"/>
    <w:rsid w:val="007E1EA9"/>
    <w:rsid w:val="007E20E9"/>
    <w:rsid w:val="007E2644"/>
    <w:rsid w:val="007E35E7"/>
    <w:rsid w:val="007E405F"/>
    <w:rsid w:val="007E41BC"/>
    <w:rsid w:val="007E4C44"/>
    <w:rsid w:val="007E4F1E"/>
    <w:rsid w:val="007E5DD4"/>
    <w:rsid w:val="007E614E"/>
    <w:rsid w:val="007E6325"/>
    <w:rsid w:val="007E6B69"/>
    <w:rsid w:val="007E7F61"/>
    <w:rsid w:val="007F027A"/>
    <w:rsid w:val="007F0777"/>
    <w:rsid w:val="007F0B15"/>
    <w:rsid w:val="007F13F2"/>
    <w:rsid w:val="007F20EA"/>
    <w:rsid w:val="007F22DF"/>
    <w:rsid w:val="007F264A"/>
    <w:rsid w:val="007F2EBD"/>
    <w:rsid w:val="007F3D21"/>
    <w:rsid w:val="007F44C0"/>
    <w:rsid w:val="007F4A84"/>
    <w:rsid w:val="007F5848"/>
    <w:rsid w:val="007F5F81"/>
    <w:rsid w:val="007F7334"/>
    <w:rsid w:val="007F78D0"/>
    <w:rsid w:val="008002E5"/>
    <w:rsid w:val="0080070B"/>
    <w:rsid w:val="008021A0"/>
    <w:rsid w:val="00803D9C"/>
    <w:rsid w:val="0080412F"/>
    <w:rsid w:val="0080491A"/>
    <w:rsid w:val="00804E58"/>
    <w:rsid w:val="00805C62"/>
    <w:rsid w:val="00806A34"/>
    <w:rsid w:val="00807DF9"/>
    <w:rsid w:val="0081338D"/>
    <w:rsid w:val="0081364D"/>
    <w:rsid w:val="00813FBB"/>
    <w:rsid w:val="0081437B"/>
    <w:rsid w:val="008143F6"/>
    <w:rsid w:val="008144DA"/>
    <w:rsid w:val="00814E4E"/>
    <w:rsid w:val="008154AC"/>
    <w:rsid w:val="008157BF"/>
    <w:rsid w:val="0081587E"/>
    <w:rsid w:val="00815ADF"/>
    <w:rsid w:val="00815D7C"/>
    <w:rsid w:val="00816228"/>
    <w:rsid w:val="00816A4F"/>
    <w:rsid w:val="00817B8B"/>
    <w:rsid w:val="00820987"/>
    <w:rsid w:val="00820C93"/>
    <w:rsid w:val="00821C87"/>
    <w:rsid w:val="00821FCC"/>
    <w:rsid w:val="008222C3"/>
    <w:rsid w:val="008223BA"/>
    <w:rsid w:val="008240F5"/>
    <w:rsid w:val="008241D9"/>
    <w:rsid w:val="0082602F"/>
    <w:rsid w:val="0082646E"/>
    <w:rsid w:val="0082689A"/>
    <w:rsid w:val="008276A1"/>
    <w:rsid w:val="00827A5D"/>
    <w:rsid w:val="008307C2"/>
    <w:rsid w:val="00830E43"/>
    <w:rsid w:val="008310B6"/>
    <w:rsid w:val="00831734"/>
    <w:rsid w:val="008318E0"/>
    <w:rsid w:val="00831AF6"/>
    <w:rsid w:val="00833641"/>
    <w:rsid w:val="00833C0C"/>
    <w:rsid w:val="00833CB1"/>
    <w:rsid w:val="00833CDB"/>
    <w:rsid w:val="00834264"/>
    <w:rsid w:val="00835C9C"/>
    <w:rsid w:val="00836BAD"/>
    <w:rsid w:val="00836CAD"/>
    <w:rsid w:val="00836DF5"/>
    <w:rsid w:val="00837B6D"/>
    <w:rsid w:val="00837BDC"/>
    <w:rsid w:val="0084073F"/>
    <w:rsid w:val="00840E6E"/>
    <w:rsid w:val="00841CE7"/>
    <w:rsid w:val="008421D4"/>
    <w:rsid w:val="0084272A"/>
    <w:rsid w:val="00843624"/>
    <w:rsid w:val="00844FD1"/>
    <w:rsid w:val="008456C6"/>
    <w:rsid w:val="00845753"/>
    <w:rsid w:val="0084603C"/>
    <w:rsid w:val="0084677B"/>
    <w:rsid w:val="00847639"/>
    <w:rsid w:val="008479A9"/>
    <w:rsid w:val="00847CD9"/>
    <w:rsid w:val="008508AF"/>
    <w:rsid w:val="008510B4"/>
    <w:rsid w:val="008517C7"/>
    <w:rsid w:val="008518E0"/>
    <w:rsid w:val="00851972"/>
    <w:rsid w:val="00851D3C"/>
    <w:rsid w:val="00852741"/>
    <w:rsid w:val="00852A9A"/>
    <w:rsid w:val="00853A24"/>
    <w:rsid w:val="008547DD"/>
    <w:rsid w:val="00854A90"/>
    <w:rsid w:val="00854DEC"/>
    <w:rsid w:val="008556B4"/>
    <w:rsid w:val="00856115"/>
    <w:rsid w:val="008563FB"/>
    <w:rsid w:val="008564FB"/>
    <w:rsid w:val="0085754C"/>
    <w:rsid w:val="00860110"/>
    <w:rsid w:val="00861260"/>
    <w:rsid w:val="00861330"/>
    <w:rsid w:val="0086137B"/>
    <w:rsid w:val="0086142E"/>
    <w:rsid w:val="008614CC"/>
    <w:rsid w:val="00861967"/>
    <w:rsid w:val="00862055"/>
    <w:rsid w:val="00862319"/>
    <w:rsid w:val="00862458"/>
    <w:rsid w:val="00863AC4"/>
    <w:rsid w:val="0086444F"/>
    <w:rsid w:val="00864503"/>
    <w:rsid w:val="008648F7"/>
    <w:rsid w:val="0086625C"/>
    <w:rsid w:val="00867AB6"/>
    <w:rsid w:val="00871392"/>
    <w:rsid w:val="00871804"/>
    <w:rsid w:val="00871E28"/>
    <w:rsid w:val="00872DD8"/>
    <w:rsid w:val="0087321A"/>
    <w:rsid w:val="00876219"/>
    <w:rsid w:val="00876691"/>
    <w:rsid w:val="00876756"/>
    <w:rsid w:val="00876942"/>
    <w:rsid w:val="00876EA3"/>
    <w:rsid w:val="00880FC1"/>
    <w:rsid w:val="00881656"/>
    <w:rsid w:val="00881B51"/>
    <w:rsid w:val="00881BA1"/>
    <w:rsid w:val="00881BE0"/>
    <w:rsid w:val="008821A5"/>
    <w:rsid w:val="008822F3"/>
    <w:rsid w:val="00883577"/>
    <w:rsid w:val="008845B8"/>
    <w:rsid w:val="008863A8"/>
    <w:rsid w:val="00886448"/>
    <w:rsid w:val="008913EB"/>
    <w:rsid w:val="008916DD"/>
    <w:rsid w:val="0089193C"/>
    <w:rsid w:val="00893219"/>
    <w:rsid w:val="00893305"/>
    <w:rsid w:val="00893D18"/>
    <w:rsid w:val="00893EEB"/>
    <w:rsid w:val="00894691"/>
    <w:rsid w:val="00894B1B"/>
    <w:rsid w:val="0089525D"/>
    <w:rsid w:val="0089593E"/>
    <w:rsid w:val="0089649B"/>
    <w:rsid w:val="00896CE0"/>
    <w:rsid w:val="00896FA8"/>
    <w:rsid w:val="00897977"/>
    <w:rsid w:val="008A1D83"/>
    <w:rsid w:val="008A4190"/>
    <w:rsid w:val="008A467A"/>
    <w:rsid w:val="008A517B"/>
    <w:rsid w:val="008A546A"/>
    <w:rsid w:val="008A5CFE"/>
    <w:rsid w:val="008A679D"/>
    <w:rsid w:val="008A7197"/>
    <w:rsid w:val="008A7CD9"/>
    <w:rsid w:val="008A7CFD"/>
    <w:rsid w:val="008B0045"/>
    <w:rsid w:val="008B01C2"/>
    <w:rsid w:val="008B0A91"/>
    <w:rsid w:val="008B0F16"/>
    <w:rsid w:val="008B147C"/>
    <w:rsid w:val="008B2A6C"/>
    <w:rsid w:val="008B2AA0"/>
    <w:rsid w:val="008B3E99"/>
    <w:rsid w:val="008B474B"/>
    <w:rsid w:val="008B4CAF"/>
    <w:rsid w:val="008B6587"/>
    <w:rsid w:val="008B65F6"/>
    <w:rsid w:val="008B66F8"/>
    <w:rsid w:val="008B69F0"/>
    <w:rsid w:val="008B6D6B"/>
    <w:rsid w:val="008B7219"/>
    <w:rsid w:val="008B77A9"/>
    <w:rsid w:val="008B77D5"/>
    <w:rsid w:val="008B78F4"/>
    <w:rsid w:val="008B7C5B"/>
    <w:rsid w:val="008B7D10"/>
    <w:rsid w:val="008C0846"/>
    <w:rsid w:val="008C1900"/>
    <w:rsid w:val="008C1D6B"/>
    <w:rsid w:val="008C203D"/>
    <w:rsid w:val="008C25B7"/>
    <w:rsid w:val="008C3F53"/>
    <w:rsid w:val="008C4FE5"/>
    <w:rsid w:val="008C532D"/>
    <w:rsid w:val="008C5F29"/>
    <w:rsid w:val="008C6E21"/>
    <w:rsid w:val="008C7AF6"/>
    <w:rsid w:val="008D051C"/>
    <w:rsid w:val="008D2B5A"/>
    <w:rsid w:val="008D2CE4"/>
    <w:rsid w:val="008D340C"/>
    <w:rsid w:val="008D3C21"/>
    <w:rsid w:val="008D4168"/>
    <w:rsid w:val="008D57DE"/>
    <w:rsid w:val="008D5A62"/>
    <w:rsid w:val="008D5E02"/>
    <w:rsid w:val="008D6725"/>
    <w:rsid w:val="008D67EC"/>
    <w:rsid w:val="008D6997"/>
    <w:rsid w:val="008D708F"/>
    <w:rsid w:val="008E0561"/>
    <w:rsid w:val="008E110B"/>
    <w:rsid w:val="008E129F"/>
    <w:rsid w:val="008E156F"/>
    <w:rsid w:val="008E16C8"/>
    <w:rsid w:val="008E27A6"/>
    <w:rsid w:val="008E295F"/>
    <w:rsid w:val="008E3422"/>
    <w:rsid w:val="008E387A"/>
    <w:rsid w:val="008E4A83"/>
    <w:rsid w:val="008E5DE5"/>
    <w:rsid w:val="008E65DB"/>
    <w:rsid w:val="008E6A24"/>
    <w:rsid w:val="008F03A9"/>
    <w:rsid w:val="008F0B15"/>
    <w:rsid w:val="008F0EA5"/>
    <w:rsid w:val="008F202D"/>
    <w:rsid w:val="008F3AF9"/>
    <w:rsid w:val="008F5594"/>
    <w:rsid w:val="008F6F24"/>
    <w:rsid w:val="008F75AC"/>
    <w:rsid w:val="00900989"/>
    <w:rsid w:val="00900AE6"/>
    <w:rsid w:val="00900C6A"/>
    <w:rsid w:val="00901A3A"/>
    <w:rsid w:val="00901B22"/>
    <w:rsid w:val="0090258D"/>
    <w:rsid w:val="00903C53"/>
    <w:rsid w:val="00904A27"/>
    <w:rsid w:val="00905275"/>
    <w:rsid w:val="0090567E"/>
    <w:rsid w:val="009067D7"/>
    <w:rsid w:val="00906D3E"/>
    <w:rsid w:val="00907153"/>
    <w:rsid w:val="009071EF"/>
    <w:rsid w:val="00907EE8"/>
    <w:rsid w:val="00910455"/>
    <w:rsid w:val="00912749"/>
    <w:rsid w:val="00912A09"/>
    <w:rsid w:val="0091314C"/>
    <w:rsid w:val="009137B3"/>
    <w:rsid w:val="00913DAF"/>
    <w:rsid w:val="00916D16"/>
    <w:rsid w:val="009170F1"/>
    <w:rsid w:val="009178FC"/>
    <w:rsid w:val="009200D9"/>
    <w:rsid w:val="00920B64"/>
    <w:rsid w:val="00920E4E"/>
    <w:rsid w:val="00921EB5"/>
    <w:rsid w:val="00922374"/>
    <w:rsid w:val="00923444"/>
    <w:rsid w:val="00923890"/>
    <w:rsid w:val="009238F3"/>
    <w:rsid w:val="00924015"/>
    <w:rsid w:val="00924421"/>
    <w:rsid w:val="0092589C"/>
    <w:rsid w:val="00925E5A"/>
    <w:rsid w:val="0092644C"/>
    <w:rsid w:val="00926751"/>
    <w:rsid w:val="00926945"/>
    <w:rsid w:val="00926AB9"/>
    <w:rsid w:val="009277B1"/>
    <w:rsid w:val="00927CC4"/>
    <w:rsid w:val="00927F4E"/>
    <w:rsid w:val="00930454"/>
    <w:rsid w:val="00930AD0"/>
    <w:rsid w:val="00930ECA"/>
    <w:rsid w:val="00930F70"/>
    <w:rsid w:val="00932FC1"/>
    <w:rsid w:val="00933299"/>
    <w:rsid w:val="009334D4"/>
    <w:rsid w:val="00933BED"/>
    <w:rsid w:val="00935ED3"/>
    <w:rsid w:val="009367EB"/>
    <w:rsid w:val="00937597"/>
    <w:rsid w:val="0093770A"/>
    <w:rsid w:val="00940F49"/>
    <w:rsid w:val="00941831"/>
    <w:rsid w:val="00941BE9"/>
    <w:rsid w:val="00941F19"/>
    <w:rsid w:val="00943DBA"/>
    <w:rsid w:val="009445DF"/>
    <w:rsid w:val="00944CE5"/>
    <w:rsid w:val="00945A77"/>
    <w:rsid w:val="00945BB0"/>
    <w:rsid w:val="00946523"/>
    <w:rsid w:val="0094686E"/>
    <w:rsid w:val="00947AC9"/>
    <w:rsid w:val="00947EBD"/>
    <w:rsid w:val="00947EF0"/>
    <w:rsid w:val="00950AE3"/>
    <w:rsid w:val="00950CEF"/>
    <w:rsid w:val="00950DFD"/>
    <w:rsid w:val="00951106"/>
    <w:rsid w:val="00951247"/>
    <w:rsid w:val="00951666"/>
    <w:rsid w:val="00952672"/>
    <w:rsid w:val="0095325E"/>
    <w:rsid w:val="00954A46"/>
    <w:rsid w:val="00955EF7"/>
    <w:rsid w:val="00956396"/>
    <w:rsid w:val="00957289"/>
    <w:rsid w:val="0095751D"/>
    <w:rsid w:val="00957F62"/>
    <w:rsid w:val="00960217"/>
    <w:rsid w:val="00960A67"/>
    <w:rsid w:val="00961D67"/>
    <w:rsid w:val="00962F7F"/>
    <w:rsid w:val="0096361F"/>
    <w:rsid w:val="009639DB"/>
    <w:rsid w:val="00964172"/>
    <w:rsid w:val="009644B0"/>
    <w:rsid w:val="00964B38"/>
    <w:rsid w:val="00964C18"/>
    <w:rsid w:val="009651E1"/>
    <w:rsid w:val="00966354"/>
    <w:rsid w:val="009668F6"/>
    <w:rsid w:val="00966A6D"/>
    <w:rsid w:val="00967750"/>
    <w:rsid w:val="00967DD5"/>
    <w:rsid w:val="0097041B"/>
    <w:rsid w:val="0097066E"/>
    <w:rsid w:val="00970875"/>
    <w:rsid w:val="00970A7B"/>
    <w:rsid w:val="0097297A"/>
    <w:rsid w:val="00973545"/>
    <w:rsid w:val="009738A8"/>
    <w:rsid w:val="009738B3"/>
    <w:rsid w:val="00973A05"/>
    <w:rsid w:val="00975ABE"/>
    <w:rsid w:val="0098068B"/>
    <w:rsid w:val="009810E2"/>
    <w:rsid w:val="0098144F"/>
    <w:rsid w:val="0098251E"/>
    <w:rsid w:val="00983E1C"/>
    <w:rsid w:val="009853E3"/>
    <w:rsid w:val="00985AF0"/>
    <w:rsid w:val="00986752"/>
    <w:rsid w:val="009901F2"/>
    <w:rsid w:val="009913B4"/>
    <w:rsid w:val="00991689"/>
    <w:rsid w:val="00991BEF"/>
    <w:rsid w:val="00992568"/>
    <w:rsid w:val="009925B7"/>
    <w:rsid w:val="00993B86"/>
    <w:rsid w:val="00994405"/>
    <w:rsid w:val="00994A3D"/>
    <w:rsid w:val="00994BB6"/>
    <w:rsid w:val="00995F89"/>
    <w:rsid w:val="009964F3"/>
    <w:rsid w:val="009965DC"/>
    <w:rsid w:val="00997F59"/>
    <w:rsid w:val="009A06D8"/>
    <w:rsid w:val="009A097F"/>
    <w:rsid w:val="009A191D"/>
    <w:rsid w:val="009A1C21"/>
    <w:rsid w:val="009A3776"/>
    <w:rsid w:val="009A5F2E"/>
    <w:rsid w:val="009A676B"/>
    <w:rsid w:val="009A6BFE"/>
    <w:rsid w:val="009A7733"/>
    <w:rsid w:val="009A7B03"/>
    <w:rsid w:val="009B1A40"/>
    <w:rsid w:val="009B29A2"/>
    <w:rsid w:val="009B2EC4"/>
    <w:rsid w:val="009B4AF3"/>
    <w:rsid w:val="009B54C8"/>
    <w:rsid w:val="009B5669"/>
    <w:rsid w:val="009B6A5D"/>
    <w:rsid w:val="009B6DC5"/>
    <w:rsid w:val="009B722E"/>
    <w:rsid w:val="009C04E0"/>
    <w:rsid w:val="009C105C"/>
    <w:rsid w:val="009C1168"/>
    <w:rsid w:val="009C1592"/>
    <w:rsid w:val="009C21F2"/>
    <w:rsid w:val="009C2241"/>
    <w:rsid w:val="009C2616"/>
    <w:rsid w:val="009C2D0E"/>
    <w:rsid w:val="009C4ECA"/>
    <w:rsid w:val="009C5999"/>
    <w:rsid w:val="009C61C2"/>
    <w:rsid w:val="009C70D5"/>
    <w:rsid w:val="009C7A2B"/>
    <w:rsid w:val="009C7BA4"/>
    <w:rsid w:val="009D00D2"/>
    <w:rsid w:val="009D02E2"/>
    <w:rsid w:val="009D15A7"/>
    <w:rsid w:val="009D161C"/>
    <w:rsid w:val="009D1A03"/>
    <w:rsid w:val="009D1A42"/>
    <w:rsid w:val="009D21D6"/>
    <w:rsid w:val="009D2205"/>
    <w:rsid w:val="009D2C26"/>
    <w:rsid w:val="009D3DCF"/>
    <w:rsid w:val="009D4040"/>
    <w:rsid w:val="009D48BD"/>
    <w:rsid w:val="009D4FB5"/>
    <w:rsid w:val="009D5784"/>
    <w:rsid w:val="009D5A55"/>
    <w:rsid w:val="009D660F"/>
    <w:rsid w:val="009D6F27"/>
    <w:rsid w:val="009D6FD7"/>
    <w:rsid w:val="009D7C1E"/>
    <w:rsid w:val="009D7D46"/>
    <w:rsid w:val="009E0593"/>
    <w:rsid w:val="009E06A3"/>
    <w:rsid w:val="009E06BD"/>
    <w:rsid w:val="009E0AB9"/>
    <w:rsid w:val="009E0C29"/>
    <w:rsid w:val="009E1CA1"/>
    <w:rsid w:val="009E1D59"/>
    <w:rsid w:val="009E3FF1"/>
    <w:rsid w:val="009E58BE"/>
    <w:rsid w:val="009E5B4D"/>
    <w:rsid w:val="009E5D5E"/>
    <w:rsid w:val="009E618D"/>
    <w:rsid w:val="009E61D7"/>
    <w:rsid w:val="009E76A7"/>
    <w:rsid w:val="009E7901"/>
    <w:rsid w:val="009E7EAE"/>
    <w:rsid w:val="009F0A4F"/>
    <w:rsid w:val="009F1166"/>
    <w:rsid w:val="009F1337"/>
    <w:rsid w:val="009F1C45"/>
    <w:rsid w:val="009F2046"/>
    <w:rsid w:val="009F23A3"/>
    <w:rsid w:val="009F250F"/>
    <w:rsid w:val="009F25EB"/>
    <w:rsid w:val="009F3233"/>
    <w:rsid w:val="009F3707"/>
    <w:rsid w:val="009F61AC"/>
    <w:rsid w:val="009F66BE"/>
    <w:rsid w:val="009F6BEF"/>
    <w:rsid w:val="009F70AF"/>
    <w:rsid w:val="009F7101"/>
    <w:rsid w:val="00A00971"/>
    <w:rsid w:val="00A013FF"/>
    <w:rsid w:val="00A018E5"/>
    <w:rsid w:val="00A02CF3"/>
    <w:rsid w:val="00A03060"/>
    <w:rsid w:val="00A03EC0"/>
    <w:rsid w:val="00A040C8"/>
    <w:rsid w:val="00A055AE"/>
    <w:rsid w:val="00A0591B"/>
    <w:rsid w:val="00A062ED"/>
    <w:rsid w:val="00A067E6"/>
    <w:rsid w:val="00A07E23"/>
    <w:rsid w:val="00A11832"/>
    <w:rsid w:val="00A1218D"/>
    <w:rsid w:val="00A1222C"/>
    <w:rsid w:val="00A12441"/>
    <w:rsid w:val="00A127B1"/>
    <w:rsid w:val="00A13DD9"/>
    <w:rsid w:val="00A141FD"/>
    <w:rsid w:val="00A1450E"/>
    <w:rsid w:val="00A1489F"/>
    <w:rsid w:val="00A15B89"/>
    <w:rsid w:val="00A16514"/>
    <w:rsid w:val="00A16DA7"/>
    <w:rsid w:val="00A178E2"/>
    <w:rsid w:val="00A21502"/>
    <w:rsid w:val="00A2188D"/>
    <w:rsid w:val="00A222F9"/>
    <w:rsid w:val="00A231F7"/>
    <w:rsid w:val="00A24F3C"/>
    <w:rsid w:val="00A253F0"/>
    <w:rsid w:val="00A26C43"/>
    <w:rsid w:val="00A26E02"/>
    <w:rsid w:val="00A26EAE"/>
    <w:rsid w:val="00A304D2"/>
    <w:rsid w:val="00A313E8"/>
    <w:rsid w:val="00A314B3"/>
    <w:rsid w:val="00A32BE5"/>
    <w:rsid w:val="00A32DC4"/>
    <w:rsid w:val="00A341E3"/>
    <w:rsid w:val="00A34247"/>
    <w:rsid w:val="00A354FC"/>
    <w:rsid w:val="00A361FA"/>
    <w:rsid w:val="00A3631F"/>
    <w:rsid w:val="00A36DE3"/>
    <w:rsid w:val="00A376E5"/>
    <w:rsid w:val="00A37999"/>
    <w:rsid w:val="00A405C5"/>
    <w:rsid w:val="00A40C91"/>
    <w:rsid w:val="00A4142B"/>
    <w:rsid w:val="00A41AAA"/>
    <w:rsid w:val="00A41BDA"/>
    <w:rsid w:val="00A41CAD"/>
    <w:rsid w:val="00A422D5"/>
    <w:rsid w:val="00A42B21"/>
    <w:rsid w:val="00A43394"/>
    <w:rsid w:val="00A433A8"/>
    <w:rsid w:val="00A45C83"/>
    <w:rsid w:val="00A475AE"/>
    <w:rsid w:val="00A47863"/>
    <w:rsid w:val="00A51F2B"/>
    <w:rsid w:val="00A522A4"/>
    <w:rsid w:val="00A52868"/>
    <w:rsid w:val="00A5316A"/>
    <w:rsid w:val="00A53B81"/>
    <w:rsid w:val="00A53CC0"/>
    <w:rsid w:val="00A540E2"/>
    <w:rsid w:val="00A54519"/>
    <w:rsid w:val="00A549DE"/>
    <w:rsid w:val="00A556C2"/>
    <w:rsid w:val="00A55E46"/>
    <w:rsid w:val="00A55EAD"/>
    <w:rsid w:val="00A56D68"/>
    <w:rsid w:val="00A571D1"/>
    <w:rsid w:val="00A602D7"/>
    <w:rsid w:val="00A60801"/>
    <w:rsid w:val="00A6094C"/>
    <w:rsid w:val="00A60B2E"/>
    <w:rsid w:val="00A6159B"/>
    <w:rsid w:val="00A618E4"/>
    <w:rsid w:val="00A622F5"/>
    <w:rsid w:val="00A64096"/>
    <w:rsid w:val="00A64B95"/>
    <w:rsid w:val="00A6550E"/>
    <w:rsid w:val="00A66ECA"/>
    <w:rsid w:val="00A6781E"/>
    <w:rsid w:val="00A67A7F"/>
    <w:rsid w:val="00A7016B"/>
    <w:rsid w:val="00A70965"/>
    <w:rsid w:val="00A70C27"/>
    <w:rsid w:val="00A717CB"/>
    <w:rsid w:val="00A71FEF"/>
    <w:rsid w:val="00A72D43"/>
    <w:rsid w:val="00A73BD0"/>
    <w:rsid w:val="00A751EB"/>
    <w:rsid w:val="00A754CA"/>
    <w:rsid w:val="00A768A6"/>
    <w:rsid w:val="00A76DBD"/>
    <w:rsid w:val="00A81131"/>
    <w:rsid w:val="00A820AB"/>
    <w:rsid w:val="00A838C2"/>
    <w:rsid w:val="00A83D5E"/>
    <w:rsid w:val="00A840C7"/>
    <w:rsid w:val="00A8491D"/>
    <w:rsid w:val="00A86A58"/>
    <w:rsid w:val="00A87660"/>
    <w:rsid w:val="00A87C68"/>
    <w:rsid w:val="00A900FB"/>
    <w:rsid w:val="00A90124"/>
    <w:rsid w:val="00A91B08"/>
    <w:rsid w:val="00A925B4"/>
    <w:rsid w:val="00A93583"/>
    <w:rsid w:val="00A936C5"/>
    <w:rsid w:val="00A93BF5"/>
    <w:rsid w:val="00A9624A"/>
    <w:rsid w:val="00A9652F"/>
    <w:rsid w:val="00A96E30"/>
    <w:rsid w:val="00A97A09"/>
    <w:rsid w:val="00A97A6C"/>
    <w:rsid w:val="00AA0D76"/>
    <w:rsid w:val="00AA0F26"/>
    <w:rsid w:val="00AA1821"/>
    <w:rsid w:val="00AA2826"/>
    <w:rsid w:val="00AA2994"/>
    <w:rsid w:val="00AA3BBB"/>
    <w:rsid w:val="00AA47D1"/>
    <w:rsid w:val="00AA4BBF"/>
    <w:rsid w:val="00AA4F62"/>
    <w:rsid w:val="00AA5C43"/>
    <w:rsid w:val="00AA66CE"/>
    <w:rsid w:val="00AB041E"/>
    <w:rsid w:val="00AB1249"/>
    <w:rsid w:val="00AB1AEA"/>
    <w:rsid w:val="00AB4953"/>
    <w:rsid w:val="00AB50E3"/>
    <w:rsid w:val="00AB5B5E"/>
    <w:rsid w:val="00AB601D"/>
    <w:rsid w:val="00AB608B"/>
    <w:rsid w:val="00AB6EBF"/>
    <w:rsid w:val="00AB720E"/>
    <w:rsid w:val="00AB742A"/>
    <w:rsid w:val="00AB7DE4"/>
    <w:rsid w:val="00AC053B"/>
    <w:rsid w:val="00AC0CE9"/>
    <w:rsid w:val="00AC166C"/>
    <w:rsid w:val="00AC2722"/>
    <w:rsid w:val="00AC3DC2"/>
    <w:rsid w:val="00AC3EDF"/>
    <w:rsid w:val="00AC4543"/>
    <w:rsid w:val="00AC5113"/>
    <w:rsid w:val="00AC52EA"/>
    <w:rsid w:val="00AC657C"/>
    <w:rsid w:val="00AD1411"/>
    <w:rsid w:val="00AD2581"/>
    <w:rsid w:val="00AD4402"/>
    <w:rsid w:val="00AD4452"/>
    <w:rsid w:val="00AD4A9E"/>
    <w:rsid w:val="00AD4D8C"/>
    <w:rsid w:val="00AD55D4"/>
    <w:rsid w:val="00AD5FBF"/>
    <w:rsid w:val="00AD6104"/>
    <w:rsid w:val="00AD6F1B"/>
    <w:rsid w:val="00AD6F67"/>
    <w:rsid w:val="00AD77DD"/>
    <w:rsid w:val="00AD78EB"/>
    <w:rsid w:val="00AE0BD2"/>
    <w:rsid w:val="00AE15DD"/>
    <w:rsid w:val="00AE16C5"/>
    <w:rsid w:val="00AE1C34"/>
    <w:rsid w:val="00AE3AFD"/>
    <w:rsid w:val="00AE44A1"/>
    <w:rsid w:val="00AE4576"/>
    <w:rsid w:val="00AE4EEF"/>
    <w:rsid w:val="00AE574F"/>
    <w:rsid w:val="00AE5F6F"/>
    <w:rsid w:val="00AE66F2"/>
    <w:rsid w:val="00AE6D90"/>
    <w:rsid w:val="00AE6E67"/>
    <w:rsid w:val="00AE7182"/>
    <w:rsid w:val="00AE7987"/>
    <w:rsid w:val="00AF0ABA"/>
    <w:rsid w:val="00AF10AE"/>
    <w:rsid w:val="00AF34EE"/>
    <w:rsid w:val="00AF38A1"/>
    <w:rsid w:val="00AF39FE"/>
    <w:rsid w:val="00AF3BBD"/>
    <w:rsid w:val="00AF41C5"/>
    <w:rsid w:val="00AF53EB"/>
    <w:rsid w:val="00AF5C54"/>
    <w:rsid w:val="00AF5E2A"/>
    <w:rsid w:val="00AF63E2"/>
    <w:rsid w:val="00AF79BC"/>
    <w:rsid w:val="00B0000F"/>
    <w:rsid w:val="00B00D7C"/>
    <w:rsid w:val="00B01322"/>
    <w:rsid w:val="00B01484"/>
    <w:rsid w:val="00B01FC4"/>
    <w:rsid w:val="00B021F1"/>
    <w:rsid w:val="00B039FE"/>
    <w:rsid w:val="00B03C61"/>
    <w:rsid w:val="00B03E92"/>
    <w:rsid w:val="00B03FBC"/>
    <w:rsid w:val="00B048B2"/>
    <w:rsid w:val="00B076FA"/>
    <w:rsid w:val="00B07DDE"/>
    <w:rsid w:val="00B10CE6"/>
    <w:rsid w:val="00B11ACF"/>
    <w:rsid w:val="00B1252A"/>
    <w:rsid w:val="00B12C19"/>
    <w:rsid w:val="00B13C62"/>
    <w:rsid w:val="00B15BDB"/>
    <w:rsid w:val="00B15BF9"/>
    <w:rsid w:val="00B17606"/>
    <w:rsid w:val="00B21551"/>
    <w:rsid w:val="00B21649"/>
    <w:rsid w:val="00B22716"/>
    <w:rsid w:val="00B22CEF"/>
    <w:rsid w:val="00B23B95"/>
    <w:rsid w:val="00B2451E"/>
    <w:rsid w:val="00B24DCD"/>
    <w:rsid w:val="00B264D1"/>
    <w:rsid w:val="00B26533"/>
    <w:rsid w:val="00B2657D"/>
    <w:rsid w:val="00B26BC5"/>
    <w:rsid w:val="00B30B35"/>
    <w:rsid w:val="00B3187F"/>
    <w:rsid w:val="00B318A2"/>
    <w:rsid w:val="00B32B53"/>
    <w:rsid w:val="00B32E9A"/>
    <w:rsid w:val="00B33626"/>
    <w:rsid w:val="00B336C0"/>
    <w:rsid w:val="00B33711"/>
    <w:rsid w:val="00B341FE"/>
    <w:rsid w:val="00B3469D"/>
    <w:rsid w:val="00B34721"/>
    <w:rsid w:val="00B351E4"/>
    <w:rsid w:val="00B35780"/>
    <w:rsid w:val="00B35EC6"/>
    <w:rsid w:val="00B3629A"/>
    <w:rsid w:val="00B362C8"/>
    <w:rsid w:val="00B363A1"/>
    <w:rsid w:val="00B367C4"/>
    <w:rsid w:val="00B36CA7"/>
    <w:rsid w:val="00B3700D"/>
    <w:rsid w:val="00B37CBE"/>
    <w:rsid w:val="00B40386"/>
    <w:rsid w:val="00B40397"/>
    <w:rsid w:val="00B41166"/>
    <w:rsid w:val="00B4415A"/>
    <w:rsid w:val="00B450C3"/>
    <w:rsid w:val="00B452FE"/>
    <w:rsid w:val="00B45D35"/>
    <w:rsid w:val="00B46E5A"/>
    <w:rsid w:val="00B50B67"/>
    <w:rsid w:val="00B51C1C"/>
    <w:rsid w:val="00B5270F"/>
    <w:rsid w:val="00B53A3C"/>
    <w:rsid w:val="00B54688"/>
    <w:rsid w:val="00B5514A"/>
    <w:rsid w:val="00B558F3"/>
    <w:rsid w:val="00B5603D"/>
    <w:rsid w:val="00B560B4"/>
    <w:rsid w:val="00B566E7"/>
    <w:rsid w:val="00B5707A"/>
    <w:rsid w:val="00B5715F"/>
    <w:rsid w:val="00B61019"/>
    <w:rsid w:val="00B6183F"/>
    <w:rsid w:val="00B628FD"/>
    <w:rsid w:val="00B62C4E"/>
    <w:rsid w:val="00B62F13"/>
    <w:rsid w:val="00B63217"/>
    <w:rsid w:val="00B63299"/>
    <w:rsid w:val="00B632B4"/>
    <w:rsid w:val="00B6485B"/>
    <w:rsid w:val="00B64FFE"/>
    <w:rsid w:val="00B6593F"/>
    <w:rsid w:val="00B65E31"/>
    <w:rsid w:val="00B672A5"/>
    <w:rsid w:val="00B67471"/>
    <w:rsid w:val="00B674E8"/>
    <w:rsid w:val="00B67DC5"/>
    <w:rsid w:val="00B701E8"/>
    <w:rsid w:val="00B70926"/>
    <w:rsid w:val="00B7101E"/>
    <w:rsid w:val="00B71AF0"/>
    <w:rsid w:val="00B7222C"/>
    <w:rsid w:val="00B72C80"/>
    <w:rsid w:val="00B7411D"/>
    <w:rsid w:val="00B74996"/>
    <w:rsid w:val="00B74EF8"/>
    <w:rsid w:val="00B7608C"/>
    <w:rsid w:val="00B7621C"/>
    <w:rsid w:val="00B76B86"/>
    <w:rsid w:val="00B7744E"/>
    <w:rsid w:val="00B774CA"/>
    <w:rsid w:val="00B7774C"/>
    <w:rsid w:val="00B80081"/>
    <w:rsid w:val="00B800FE"/>
    <w:rsid w:val="00B8058A"/>
    <w:rsid w:val="00B807EE"/>
    <w:rsid w:val="00B80E8B"/>
    <w:rsid w:val="00B80F23"/>
    <w:rsid w:val="00B810B4"/>
    <w:rsid w:val="00B81EB7"/>
    <w:rsid w:val="00B82671"/>
    <w:rsid w:val="00B82955"/>
    <w:rsid w:val="00B83267"/>
    <w:rsid w:val="00B841BD"/>
    <w:rsid w:val="00B84372"/>
    <w:rsid w:val="00B846EF"/>
    <w:rsid w:val="00B84D26"/>
    <w:rsid w:val="00B84F56"/>
    <w:rsid w:val="00B858E7"/>
    <w:rsid w:val="00B85B8D"/>
    <w:rsid w:val="00B85BEF"/>
    <w:rsid w:val="00B86547"/>
    <w:rsid w:val="00B8707A"/>
    <w:rsid w:val="00B87A41"/>
    <w:rsid w:val="00B90232"/>
    <w:rsid w:val="00B90B90"/>
    <w:rsid w:val="00B91000"/>
    <w:rsid w:val="00B917EC"/>
    <w:rsid w:val="00B92255"/>
    <w:rsid w:val="00B92B5F"/>
    <w:rsid w:val="00B92D66"/>
    <w:rsid w:val="00B933C7"/>
    <w:rsid w:val="00B9434A"/>
    <w:rsid w:val="00B9450A"/>
    <w:rsid w:val="00B94514"/>
    <w:rsid w:val="00B95656"/>
    <w:rsid w:val="00B95D9F"/>
    <w:rsid w:val="00B961B4"/>
    <w:rsid w:val="00B96ACA"/>
    <w:rsid w:val="00B970E0"/>
    <w:rsid w:val="00BA0708"/>
    <w:rsid w:val="00BA08B7"/>
    <w:rsid w:val="00BA0A27"/>
    <w:rsid w:val="00BA15E7"/>
    <w:rsid w:val="00BA243C"/>
    <w:rsid w:val="00BA3F12"/>
    <w:rsid w:val="00BA6DA6"/>
    <w:rsid w:val="00BA6FA8"/>
    <w:rsid w:val="00BA7B30"/>
    <w:rsid w:val="00BB07C3"/>
    <w:rsid w:val="00BB0A89"/>
    <w:rsid w:val="00BB0DAA"/>
    <w:rsid w:val="00BB17F0"/>
    <w:rsid w:val="00BB19FC"/>
    <w:rsid w:val="00BB1C9F"/>
    <w:rsid w:val="00BB2192"/>
    <w:rsid w:val="00BB2F84"/>
    <w:rsid w:val="00BB391A"/>
    <w:rsid w:val="00BB40E2"/>
    <w:rsid w:val="00BB49D9"/>
    <w:rsid w:val="00BB5317"/>
    <w:rsid w:val="00BB6311"/>
    <w:rsid w:val="00BB71DC"/>
    <w:rsid w:val="00BB767B"/>
    <w:rsid w:val="00BB7FF8"/>
    <w:rsid w:val="00BC04BE"/>
    <w:rsid w:val="00BC04F8"/>
    <w:rsid w:val="00BC0C74"/>
    <w:rsid w:val="00BC0CD4"/>
    <w:rsid w:val="00BC117B"/>
    <w:rsid w:val="00BC2301"/>
    <w:rsid w:val="00BC384B"/>
    <w:rsid w:val="00BC38B2"/>
    <w:rsid w:val="00BC47A3"/>
    <w:rsid w:val="00BC4C0C"/>
    <w:rsid w:val="00BC55CC"/>
    <w:rsid w:val="00BC5734"/>
    <w:rsid w:val="00BC5960"/>
    <w:rsid w:val="00BC5E4D"/>
    <w:rsid w:val="00BC778C"/>
    <w:rsid w:val="00BC7A70"/>
    <w:rsid w:val="00BD02E7"/>
    <w:rsid w:val="00BD0AFC"/>
    <w:rsid w:val="00BD0F93"/>
    <w:rsid w:val="00BD1073"/>
    <w:rsid w:val="00BD24ED"/>
    <w:rsid w:val="00BD2752"/>
    <w:rsid w:val="00BD31ED"/>
    <w:rsid w:val="00BD3435"/>
    <w:rsid w:val="00BD360D"/>
    <w:rsid w:val="00BD3B85"/>
    <w:rsid w:val="00BD49BA"/>
    <w:rsid w:val="00BD64EF"/>
    <w:rsid w:val="00BD6D57"/>
    <w:rsid w:val="00BD7C93"/>
    <w:rsid w:val="00BE0ECC"/>
    <w:rsid w:val="00BE168D"/>
    <w:rsid w:val="00BE1D11"/>
    <w:rsid w:val="00BE1FA9"/>
    <w:rsid w:val="00BE330F"/>
    <w:rsid w:val="00BE35A0"/>
    <w:rsid w:val="00BE480D"/>
    <w:rsid w:val="00BE4C26"/>
    <w:rsid w:val="00BE5F6C"/>
    <w:rsid w:val="00BE64B7"/>
    <w:rsid w:val="00BF1152"/>
    <w:rsid w:val="00BF122F"/>
    <w:rsid w:val="00BF2037"/>
    <w:rsid w:val="00BF2054"/>
    <w:rsid w:val="00BF34BA"/>
    <w:rsid w:val="00BF35EB"/>
    <w:rsid w:val="00BF4B1C"/>
    <w:rsid w:val="00BF4FE9"/>
    <w:rsid w:val="00BF5920"/>
    <w:rsid w:val="00BF75E9"/>
    <w:rsid w:val="00C0044B"/>
    <w:rsid w:val="00C00A8C"/>
    <w:rsid w:val="00C01BFD"/>
    <w:rsid w:val="00C02B4C"/>
    <w:rsid w:val="00C02D8D"/>
    <w:rsid w:val="00C03AD6"/>
    <w:rsid w:val="00C03DF4"/>
    <w:rsid w:val="00C04144"/>
    <w:rsid w:val="00C04CB0"/>
    <w:rsid w:val="00C04D82"/>
    <w:rsid w:val="00C04F2C"/>
    <w:rsid w:val="00C07C9D"/>
    <w:rsid w:val="00C11C2D"/>
    <w:rsid w:val="00C124C8"/>
    <w:rsid w:val="00C125E7"/>
    <w:rsid w:val="00C128F1"/>
    <w:rsid w:val="00C136C9"/>
    <w:rsid w:val="00C138F0"/>
    <w:rsid w:val="00C15EB7"/>
    <w:rsid w:val="00C16484"/>
    <w:rsid w:val="00C16BFE"/>
    <w:rsid w:val="00C1701A"/>
    <w:rsid w:val="00C17176"/>
    <w:rsid w:val="00C17A8D"/>
    <w:rsid w:val="00C17BDE"/>
    <w:rsid w:val="00C17CCB"/>
    <w:rsid w:val="00C20CCC"/>
    <w:rsid w:val="00C20EAB"/>
    <w:rsid w:val="00C21230"/>
    <w:rsid w:val="00C21FB4"/>
    <w:rsid w:val="00C229E2"/>
    <w:rsid w:val="00C22CBF"/>
    <w:rsid w:val="00C22E88"/>
    <w:rsid w:val="00C23700"/>
    <w:rsid w:val="00C2371C"/>
    <w:rsid w:val="00C23C86"/>
    <w:rsid w:val="00C23F3C"/>
    <w:rsid w:val="00C242F7"/>
    <w:rsid w:val="00C25211"/>
    <w:rsid w:val="00C26DF3"/>
    <w:rsid w:val="00C27058"/>
    <w:rsid w:val="00C3019A"/>
    <w:rsid w:val="00C31B1D"/>
    <w:rsid w:val="00C323A6"/>
    <w:rsid w:val="00C3263F"/>
    <w:rsid w:val="00C327CF"/>
    <w:rsid w:val="00C3358D"/>
    <w:rsid w:val="00C3382F"/>
    <w:rsid w:val="00C33F1C"/>
    <w:rsid w:val="00C34102"/>
    <w:rsid w:val="00C35299"/>
    <w:rsid w:val="00C356C1"/>
    <w:rsid w:val="00C35B25"/>
    <w:rsid w:val="00C36734"/>
    <w:rsid w:val="00C36A5F"/>
    <w:rsid w:val="00C36CBA"/>
    <w:rsid w:val="00C376D6"/>
    <w:rsid w:val="00C4008A"/>
    <w:rsid w:val="00C40CAF"/>
    <w:rsid w:val="00C40D4E"/>
    <w:rsid w:val="00C41934"/>
    <w:rsid w:val="00C4273B"/>
    <w:rsid w:val="00C42B36"/>
    <w:rsid w:val="00C42C6C"/>
    <w:rsid w:val="00C43166"/>
    <w:rsid w:val="00C433A9"/>
    <w:rsid w:val="00C447B7"/>
    <w:rsid w:val="00C45807"/>
    <w:rsid w:val="00C468D8"/>
    <w:rsid w:val="00C46AEB"/>
    <w:rsid w:val="00C472CA"/>
    <w:rsid w:val="00C5024D"/>
    <w:rsid w:val="00C508BE"/>
    <w:rsid w:val="00C51859"/>
    <w:rsid w:val="00C51CCB"/>
    <w:rsid w:val="00C51EAE"/>
    <w:rsid w:val="00C52411"/>
    <w:rsid w:val="00C52CE6"/>
    <w:rsid w:val="00C52E0E"/>
    <w:rsid w:val="00C53308"/>
    <w:rsid w:val="00C53943"/>
    <w:rsid w:val="00C5585C"/>
    <w:rsid w:val="00C5786E"/>
    <w:rsid w:val="00C61279"/>
    <w:rsid w:val="00C6141F"/>
    <w:rsid w:val="00C62F38"/>
    <w:rsid w:val="00C631FF"/>
    <w:rsid w:val="00C633D6"/>
    <w:rsid w:val="00C634CD"/>
    <w:rsid w:val="00C63C8F"/>
    <w:rsid w:val="00C63D33"/>
    <w:rsid w:val="00C63F8B"/>
    <w:rsid w:val="00C64F60"/>
    <w:rsid w:val="00C65363"/>
    <w:rsid w:val="00C65477"/>
    <w:rsid w:val="00C65C15"/>
    <w:rsid w:val="00C65F4A"/>
    <w:rsid w:val="00C6698E"/>
    <w:rsid w:val="00C66FE8"/>
    <w:rsid w:val="00C67C41"/>
    <w:rsid w:val="00C67F75"/>
    <w:rsid w:val="00C706B8"/>
    <w:rsid w:val="00C7094F"/>
    <w:rsid w:val="00C70BFA"/>
    <w:rsid w:val="00C7115D"/>
    <w:rsid w:val="00C718C4"/>
    <w:rsid w:val="00C71C08"/>
    <w:rsid w:val="00C71E3B"/>
    <w:rsid w:val="00C728B1"/>
    <w:rsid w:val="00C73001"/>
    <w:rsid w:val="00C7315D"/>
    <w:rsid w:val="00C7382E"/>
    <w:rsid w:val="00C74226"/>
    <w:rsid w:val="00C742C9"/>
    <w:rsid w:val="00C74D8E"/>
    <w:rsid w:val="00C75C7A"/>
    <w:rsid w:val="00C77648"/>
    <w:rsid w:val="00C77A1B"/>
    <w:rsid w:val="00C8090C"/>
    <w:rsid w:val="00C81307"/>
    <w:rsid w:val="00C81A65"/>
    <w:rsid w:val="00C85EBF"/>
    <w:rsid w:val="00C87979"/>
    <w:rsid w:val="00C90DDE"/>
    <w:rsid w:val="00C91213"/>
    <w:rsid w:val="00C93382"/>
    <w:rsid w:val="00C94215"/>
    <w:rsid w:val="00C954E8"/>
    <w:rsid w:val="00C95A14"/>
    <w:rsid w:val="00C95C50"/>
    <w:rsid w:val="00C96354"/>
    <w:rsid w:val="00C96569"/>
    <w:rsid w:val="00C96D33"/>
    <w:rsid w:val="00C97079"/>
    <w:rsid w:val="00C975B1"/>
    <w:rsid w:val="00CA0BBC"/>
    <w:rsid w:val="00CA1330"/>
    <w:rsid w:val="00CA2130"/>
    <w:rsid w:val="00CA2F2E"/>
    <w:rsid w:val="00CA4EC6"/>
    <w:rsid w:val="00CA5383"/>
    <w:rsid w:val="00CA60AA"/>
    <w:rsid w:val="00CA7165"/>
    <w:rsid w:val="00CB00D2"/>
    <w:rsid w:val="00CB161E"/>
    <w:rsid w:val="00CB1F3F"/>
    <w:rsid w:val="00CB4F66"/>
    <w:rsid w:val="00CB5B28"/>
    <w:rsid w:val="00CB5E9F"/>
    <w:rsid w:val="00CB7589"/>
    <w:rsid w:val="00CC0079"/>
    <w:rsid w:val="00CC10C2"/>
    <w:rsid w:val="00CC1181"/>
    <w:rsid w:val="00CC120C"/>
    <w:rsid w:val="00CC14EC"/>
    <w:rsid w:val="00CC2557"/>
    <w:rsid w:val="00CC37B1"/>
    <w:rsid w:val="00CC4576"/>
    <w:rsid w:val="00CC4C43"/>
    <w:rsid w:val="00CC5506"/>
    <w:rsid w:val="00CC5C05"/>
    <w:rsid w:val="00CC6D99"/>
    <w:rsid w:val="00CD056F"/>
    <w:rsid w:val="00CD0FBD"/>
    <w:rsid w:val="00CD216B"/>
    <w:rsid w:val="00CD2A82"/>
    <w:rsid w:val="00CD2E4D"/>
    <w:rsid w:val="00CD3944"/>
    <w:rsid w:val="00CD3C15"/>
    <w:rsid w:val="00CD3FA9"/>
    <w:rsid w:val="00CD3FC5"/>
    <w:rsid w:val="00CD43B0"/>
    <w:rsid w:val="00CD65DC"/>
    <w:rsid w:val="00CD6AB9"/>
    <w:rsid w:val="00CD709A"/>
    <w:rsid w:val="00CD7205"/>
    <w:rsid w:val="00CD74EA"/>
    <w:rsid w:val="00CD7C97"/>
    <w:rsid w:val="00CE0AE4"/>
    <w:rsid w:val="00CE108B"/>
    <w:rsid w:val="00CE1C49"/>
    <w:rsid w:val="00CE2C00"/>
    <w:rsid w:val="00CE3CD6"/>
    <w:rsid w:val="00CE4A1B"/>
    <w:rsid w:val="00CE4CD3"/>
    <w:rsid w:val="00CE50D3"/>
    <w:rsid w:val="00CE57DD"/>
    <w:rsid w:val="00CE5DFD"/>
    <w:rsid w:val="00CE6191"/>
    <w:rsid w:val="00CE6456"/>
    <w:rsid w:val="00CE6A92"/>
    <w:rsid w:val="00CE6AB2"/>
    <w:rsid w:val="00CE6B73"/>
    <w:rsid w:val="00CE72A8"/>
    <w:rsid w:val="00CE79D3"/>
    <w:rsid w:val="00CE7A48"/>
    <w:rsid w:val="00CE7C2B"/>
    <w:rsid w:val="00CE7C56"/>
    <w:rsid w:val="00CE7F6D"/>
    <w:rsid w:val="00CF05A9"/>
    <w:rsid w:val="00CF086F"/>
    <w:rsid w:val="00CF1224"/>
    <w:rsid w:val="00CF190C"/>
    <w:rsid w:val="00CF2249"/>
    <w:rsid w:val="00CF229E"/>
    <w:rsid w:val="00CF23BC"/>
    <w:rsid w:val="00CF2CC2"/>
    <w:rsid w:val="00CF5006"/>
    <w:rsid w:val="00CF576A"/>
    <w:rsid w:val="00CF6CD8"/>
    <w:rsid w:val="00CF723C"/>
    <w:rsid w:val="00D0015A"/>
    <w:rsid w:val="00D00174"/>
    <w:rsid w:val="00D00177"/>
    <w:rsid w:val="00D016BB"/>
    <w:rsid w:val="00D02016"/>
    <w:rsid w:val="00D02C7F"/>
    <w:rsid w:val="00D03D9E"/>
    <w:rsid w:val="00D0485A"/>
    <w:rsid w:val="00D065DF"/>
    <w:rsid w:val="00D06813"/>
    <w:rsid w:val="00D07040"/>
    <w:rsid w:val="00D07679"/>
    <w:rsid w:val="00D079DD"/>
    <w:rsid w:val="00D10AAE"/>
    <w:rsid w:val="00D10B1D"/>
    <w:rsid w:val="00D115F9"/>
    <w:rsid w:val="00D11B3C"/>
    <w:rsid w:val="00D12B2A"/>
    <w:rsid w:val="00D12FF1"/>
    <w:rsid w:val="00D13999"/>
    <w:rsid w:val="00D13ADF"/>
    <w:rsid w:val="00D13EB0"/>
    <w:rsid w:val="00D13F5A"/>
    <w:rsid w:val="00D14660"/>
    <w:rsid w:val="00D14A73"/>
    <w:rsid w:val="00D14BFA"/>
    <w:rsid w:val="00D15474"/>
    <w:rsid w:val="00D1564A"/>
    <w:rsid w:val="00D16B45"/>
    <w:rsid w:val="00D16B4D"/>
    <w:rsid w:val="00D16BD9"/>
    <w:rsid w:val="00D17462"/>
    <w:rsid w:val="00D174F5"/>
    <w:rsid w:val="00D17FF9"/>
    <w:rsid w:val="00D201DE"/>
    <w:rsid w:val="00D20DC6"/>
    <w:rsid w:val="00D21D09"/>
    <w:rsid w:val="00D22527"/>
    <w:rsid w:val="00D2265B"/>
    <w:rsid w:val="00D231D1"/>
    <w:rsid w:val="00D23C4F"/>
    <w:rsid w:val="00D23E8F"/>
    <w:rsid w:val="00D240D4"/>
    <w:rsid w:val="00D25524"/>
    <w:rsid w:val="00D255BA"/>
    <w:rsid w:val="00D25960"/>
    <w:rsid w:val="00D25A4A"/>
    <w:rsid w:val="00D26BB1"/>
    <w:rsid w:val="00D3068F"/>
    <w:rsid w:val="00D32B7F"/>
    <w:rsid w:val="00D32F88"/>
    <w:rsid w:val="00D330A1"/>
    <w:rsid w:val="00D33237"/>
    <w:rsid w:val="00D340B3"/>
    <w:rsid w:val="00D358D9"/>
    <w:rsid w:val="00D360FE"/>
    <w:rsid w:val="00D365F9"/>
    <w:rsid w:val="00D369F4"/>
    <w:rsid w:val="00D37A50"/>
    <w:rsid w:val="00D37E42"/>
    <w:rsid w:val="00D37FA2"/>
    <w:rsid w:val="00D41C03"/>
    <w:rsid w:val="00D41D39"/>
    <w:rsid w:val="00D4276A"/>
    <w:rsid w:val="00D42D5F"/>
    <w:rsid w:val="00D42DBF"/>
    <w:rsid w:val="00D432BC"/>
    <w:rsid w:val="00D43388"/>
    <w:rsid w:val="00D434B7"/>
    <w:rsid w:val="00D4464E"/>
    <w:rsid w:val="00D46D44"/>
    <w:rsid w:val="00D473D3"/>
    <w:rsid w:val="00D479A1"/>
    <w:rsid w:val="00D47B86"/>
    <w:rsid w:val="00D47EBC"/>
    <w:rsid w:val="00D51509"/>
    <w:rsid w:val="00D51798"/>
    <w:rsid w:val="00D51B95"/>
    <w:rsid w:val="00D5204E"/>
    <w:rsid w:val="00D5204F"/>
    <w:rsid w:val="00D525CB"/>
    <w:rsid w:val="00D52EC8"/>
    <w:rsid w:val="00D5316C"/>
    <w:rsid w:val="00D5445B"/>
    <w:rsid w:val="00D54C88"/>
    <w:rsid w:val="00D55D78"/>
    <w:rsid w:val="00D56AD5"/>
    <w:rsid w:val="00D56C29"/>
    <w:rsid w:val="00D57174"/>
    <w:rsid w:val="00D57D0B"/>
    <w:rsid w:val="00D602C9"/>
    <w:rsid w:val="00D605AD"/>
    <w:rsid w:val="00D607E3"/>
    <w:rsid w:val="00D62175"/>
    <w:rsid w:val="00D62CF6"/>
    <w:rsid w:val="00D644B5"/>
    <w:rsid w:val="00D64EA1"/>
    <w:rsid w:val="00D6649D"/>
    <w:rsid w:val="00D6678D"/>
    <w:rsid w:val="00D70368"/>
    <w:rsid w:val="00D7134A"/>
    <w:rsid w:val="00D7197A"/>
    <w:rsid w:val="00D71996"/>
    <w:rsid w:val="00D73937"/>
    <w:rsid w:val="00D73A5A"/>
    <w:rsid w:val="00D73C9F"/>
    <w:rsid w:val="00D73D17"/>
    <w:rsid w:val="00D73F2F"/>
    <w:rsid w:val="00D74D21"/>
    <w:rsid w:val="00D75025"/>
    <w:rsid w:val="00D7535E"/>
    <w:rsid w:val="00D75C10"/>
    <w:rsid w:val="00D75E3C"/>
    <w:rsid w:val="00D763D3"/>
    <w:rsid w:val="00D76C1F"/>
    <w:rsid w:val="00D77D03"/>
    <w:rsid w:val="00D81B07"/>
    <w:rsid w:val="00D81D07"/>
    <w:rsid w:val="00D84703"/>
    <w:rsid w:val="00D8542C"/>
    <w:rsid w:val="00D86640"/>
    <w:rsid w:val="00D87549"/>
    <w:rsid w:val="00D875CD"/>
    <w:rsid w:val="00D87A6C"/>
    <w:rsid w:val="00D87AC7"/>
    <w:rsid w:val="00D87B04"/>
    <w:rsid w:val="00D90100"/>
    <w:rsid w:val="00D90410"/>
    <w:rsid w:val="00D90472"/>
    <w:rsid w:val="00D90F99"/>
    <w:rsid w:val="00D927FA"/>
    <w:rsid w:val="00D92899"/>
    <w:rsid w:val="00D92BBF"/>
    <w:rsid w:val="00D9382E"/>
    <w:rsid w:val="00D93F4D"/>
    <w:rsid w:val="00D9418B"/>
    <w:rsid w:val="00D94626"/>
    <w:rsid w:val="00D94945"/>
    <w:rsid w:val="00D9588D"/>
    <w:rsid w:val="00D96068"/>
    <w:rsid w:val="00D971B3"/>
    <w:rsid w:val="00D976F6"/>
    <w:rsid w:val="00DA0C5D"/>
    <w:rsid w:val="00DA0C9C"/>
    <w:rsid w:val="00DA1088"/>
    <w:rsid w:val="00DA182D"/>
    <w:rsid w:val="00DA337D"/>
    <w:rsid w:val="00DA482D"/>
    <w:rsid w:val="00DA4DE0"/>
    <w:rsid w:val="00DA639E"/>
    <w:rsid w:val="00DA7069"/>
    <w:rsid w:val="00DA7809"/>
    <w:rsid w:val="00DA7C10"/>
    <w:rsid w:val="00DB0AB4"/>
    <w:rsid w:val="00DB2593"/>
    <w:rsid w:val="00DB3C53"/>
    <w:rsid w:val="00DB3E52"/>
    <w:rsid w:val="00DB3E69"/>
    <w:rsid w:val="00DB4403"/>
    <w:rsid w:val="00DB45EB"/>
    <w:rsid w:val="00DB5A1D"/>
    <w:rsid w:val="00DB5DCD"/>
    <w:rsid w:val="00DB65C5"/>
    <w:rsid w:val="00DB748A"/>
    <w:rsid w:val="00DB75DF"/>
    <w:rsid w:val="00DB75FE"/>
    <w:rsid w:val="00DC17EC"/>
    <w:rsid w:val="00DC18E5"/>
    <w:rsid w:val="00DC2722"/>
    <w:rsid w:val="00DC2B83"/>
    <w:rsid w:val="00DC34B4"/>
    <w:rsid w:val="00DC3EBD"/>
    <w:rsid w:val="00DC4E7B"/>
    <w:rsid w:val="00DC5EC1"/>
    <w:rsid w:val="00DC61AC"/>
    <w:rsid w:val="00DC6A55"/>
    <w:rsid w:val="00DC7051"/>
    <w:rsid w:val="00DC778C"/>
    <w:rsid w:val="00DD0353"/>
    <w:rsid w:val="00DD080A"/>
    <w:rsid w:val="00DD0930"/>
    <w:rsid w:val="00DD12E9"/>
    <w:rsid w:val="00DD16F6"/>
    <w:rsid w:val="00DD1922"/>
    <w:rsid w:val="00DD212C"/>
    <w:rsid w:val="00DD2B61"/>
    <w:rsid w:val="00DD2ED7"/>
    <w:rsid w:val="00DD300C"/>
    <w:rsid w:val="00DD3328"/>
    <w:rsid w:val="00DD35D3"/>
    <w:rsid w:val="00DD3B4E"/>
    <w:rsid w:val="00DD3D46"/>
    <w:rsid w:val="00DD3F65"/>
    <w:rsid w:val="00DD4B4D"/>
    <w:rsid w:val="00DD54DE"/>
    <w:rsid w:val="00DD702D"/>
    <w:rsid w:val="00DE1A41"/>
    <w:rsid w:val="00DE1ED9"/>
    <w:rsid w:val="00DE42D9"/>
    <w:rsid w:val="00DF01B5"/>
    <w:rsid w:val="00DF0D00"/>
    <w:rsid w:val="00DF1016"/>
    <w:rsid w:val="00DF1FCB"/>
    <w:rsid w:val="00DF22EA"/>
    <w:rsid w:val="00DF239D"/>
    <w:rsid w:val="00DF2F2B"/>
    <w:rsid w:val="00DF4766"/>
    <w:rsid w:val="00DF48C3"/>
    <w:rsid w:val="00DF5C43"/>
    <w:rsid w:val="00DF61DA"/>
    <w:rsid w:val="00DF6494"/>
    <w:rsid w:val="00DF6C97"/>
    <w:rsid w:val="00DF6E04"/>
    <w:rsid w:val="00DF710B"/>
    <w:rsid w:val="00DF759F"/>
    <w:rsid w:val="00DF7A0C"/>
    <w:rsid w:val="00DF7C93"/>
    <w:rsid w:val="00E00814"/>
    <w:rsid w:val="00E00BDA"/>
    <w:rsid w:val="00E01561"/>
    <w:rsid w:val="00E01757"/>
    <w:rsid w:val="00E01AD9"/>
    <w:rsid w:val="00E02971"/>
    <w:rsid w:val="00E03EA9"/>
    <w:rsid w:val="00E03FA2"/>
    <w:rsid w:val="00E04443"/>
    <w:rsid w:val="00E045AF"/>
    <w:rsid w:val="00E05707"/>
    <w:rsid w:val="00E06632"/>
    <w:rsid w:val="00E10181"/>
    <w:rsid w:val="00E1018C"/>
    <w:rsid w:val="00E10584"/>
    <w:rsid w:val="00E10692"/>
    <w:rsid w:val="00E108A9"/>
    <w:rsid w:val="00E126FC"/>
    <w:rsid w:val="00E13A68"/>
    <w:rsid w:val="00E13ABC"/>
    <w:rsid w:val="00E13D49"/>
    <w:rsid w:val="00E145B7"/>
    <w:rsid w:val="00E145F4"/>
    <w:rsid w:val="00E159E6"/>
    <w:rsid w:val="00E15C15"/>
    <w:rsid w:val="00E160DE"/>
    <w:rsid w:val="00E16ADB"/>
    <w:rsid w:val="00E16FA9"/>
    <w:rsid w:val="00E17029"/>
    <w:rsid w:val="00E173BB"/>
    <w:rsid w:val="00E17AF5"/>
    <w:rsid w:val="00E20DB5"/>
    <w:rsid w:val="00E20F01"/>
    <w:rsid w:val="00E20F88"/>
    <w:rsid w:val="00E21239"/>
    <w:rsid w:val="00E21BD6"/>
    <w:rsid w:val="00E23198"/>
    <w:rsid w:val="00E2337C"/>
    <w:rsid w:val="00E24E8C"/>
    <w:rsid w:val="00E25265"/>
    <w:rsid w:val="00E2537B"/>
    <w:rsid w:val="00E25484"/>
    <w:rsid w:val="00E25524"/>
    <w:rsid w:val="00E261E3"/>
    <w:rsid w:val="00E26F90"/>
    <w:rsid w:val="00E2734D"/>
    <w:rsid w:val="00E27845"/>
    <w:rsid w:val="00E27F87"/>
    <w:rsid w:val="00E308CC"/>
    <w:rsid w:val="00E323D9"/>
    <w:rsid w:val="00E33136"/>
    <w:rsid w:val="00E34306"/>
    <w:rsid w:val="00E34498"/>
    <w:rsid w:val="00E34E87"/>
    <w:rsid w:val="00E34FF6"/>
    <w:rsid w:val="00E351FC"/>
    <w:rsid w:val="00E37BA9"/>
    <w:rsid w:val="00E4039D"/>
    <w:rsid w:val="00E41285"/>
    <w:rsid w:val="00E41437"/>
    <w:rsid w:val="00E4144E"/>
    <w:rsid w:val="00E42302"/>
    <w:rsid w:val="00E43969"/>
    <w:rsid w:val="00E43F95"/>
    <w:rsid w:val="00E45932"/>
    <w:rsid w:val="00E45DBB"/>
    <w:rsid w:val="00E46A89"/>
    <w:rsid w:val="00E47CCF"/>
    <w:rsid w:val="00E502E3"/>
    <w:rsid w:val="00E5109E"/>
    <w:rsid w:val="00E52DAB"/>
    <w:rsid w:val="00E53B77"/>
    <w:rsid w:val="00E53E91"/>
    <w:rsid w:val="00E566D5"/>
    <w:rsid w:val="00E566EB"/>
    <w:rsid w:val="00E56863"/>
    <w:rsid w:val="00E56AEB"/>
    <w:rsid w:val="00E571B0"/>
    <w:rsid w:val="00E57860"/>
    <w:rsid w:val="00E608B9"/>
    <w:rsid w:val="00E61C4C"/>
    <w:rsid w:val="00E62248"/>
    <w:rsid w:val="00E622D6"/>
    <w:rsid w:val="00E62505"/>
    <w:rsid w:val="00E6400F"/>
    <w:rsid w:val="00E6416A"/>
    <w:rsid w:val="00E649CA"/>
    <w:rsid w:val="00E64BCF"/>
    <w:rsid w:val="00E65057"/>
    <w:rsid w:val="00E65E9A"/>
    <w:rsid w:val="00E66798"/>
    <w:rsid w:val="00E67769"/>
    <w:rsid w:val="00E709B4"/>
    <w:rsid w:val="00E70D9F"/>
    <w:rsid w:val="00E711EC"/>
    <w:rsid w:val="00E71275"/>
    <w:rsid w:val="00E71499"/>
    <w:rsid w:val="00E71A32"/>
    <w:rsid w:val="00E73374"/>
    <w:rsid w:val="00E73A78"/>
    <w:rsid w:val="00E73CCE"/>
    <w:rsid w:val="00E73F89"/>
    <w:rsid w:val="00E74194"/>
    <w:rsid w:val="00E7494F"/>
    <w:rsid w:val="00E74EC2"/>
    <w:rsid w:val="00E76367"/>
    <w:rsid w:val="00E76626"/>
    <w:rsid w:val="00E76B69"/>
    <w:rsid w:val="00E76FF2"/>
    <w:rsid w:val="00E7762C"/>
    <w:rsid w:val="00E808E6"/>
    <w:rsid w:val="00E80A87"/>
    <w:rsid w:val="00E80C38"/>
    <w:rsid w:val="00E811B2"/>
    <w:rsid w:val="00E818D0"/>
    <w:rsid w:val="00E822A5"/>
    <w:rsid w:val="00E82A09"/>
    <w:rsid w:val="00E83192"/>
    <w:rsid w:val="00E83582"/>
    <w:rsid w:val="00E835BC"/>
    <w:rsid w:val="00E83F02"/>
    <w:rsid w:val="00E86ABB"/>
    <w:rsid w:val="00E8760C"/>
    <w:rsid w:val="00E90307"/>
    <w:rsid w:val="00E91325"/>
    <w:rsid w:val="00E9289B"/>
    <w:rsid w:val="00E9292C"/>
    <w:rsid w:val="00E93E67"/>
    <w:rsid w:val="00E9416F"/>
    <w:rsid w:val="00E94E5F"/>
    <w:rsid w:val="00E950BE"/>
    <w:rsid w:val="00E95109"/>
    <w:rsid w:val="00E95A41"/>
    <w:rsid w:val="00E9760D"/>
    <w:rsid w:val="00E9782D"/>
    <w:rsid w:val="00E97CE4"/>
    <w:rsid w:val="00EA0489"/>
    <w:rsid w:val="00EA1A5B"/>
    <w:rsid w:val="00EA2193"/>
    <w:rsid w:val="00EA23A8"/>
    <w:rsid w:val="00EA36D2"/>
    <w:rsid w:val="00EA3EC7"/>
    <w:rsid w:val="00EA4650"/>
    <w:rsid w:val="00EA4AFD"/>
    <w:rsid w:val="00EA5265"/>
    <w:rsid w:val="00EA6426"/>
    <w:rsid w:val="00EA66B2"/>
    <w:rsid w:val="00EA709F"/>
    <w:rsid w:val="00EA76E9"/>
    <w:rsid w:val="00EA7B1A"/>
    <w:rsid w:val="00EA7D75"/>
    <w:rsid w:val="00EB06B2"/>
    <w:rsid w:val="00EB0CB9"/>
    <w:rsid w:val="00EB1BE1"/>
    <w:rsid w:val="00EB4B98"/>
    <w:rsid w:val="00EB5576"/>
    <w:rsid w:val="00EB65BD"/>
    <w:rsid w:val="00EB6ABC"/>
    <w:rsid w:val="00EB7571"/>
    <w:rsid w:val="00EC060E"/>
    <w:rsid w:val="00EC06D5"/>
    <w:rsid w:val="00EC12D0"/>
    <w:rsid w:val="00EC15CF"/>
    <w:rsid w:val="00EC1797"/>
    <w:rsid w:val="00EC3967"/>
    <w:rsid w:val="00EC3985"/>
    <w:rsid w:val="00EC3CFB"/>
    <w:rsid w:val="00EC5E57"/>
    <w:rsid w:val="00EC68C6"/>
    <w:rsid w:val="00EC68FF"/>
    <w:rsid w:val="00EC762D"/>
    <w:rsid w:val="00EC7735"/>
    <w:rsid w:val="00EC77E7"/>
    <w:rsid w:val="00EC7BD3"/>
    <w:rsid w:val="00EC7F7B"/>
    <w:rsid w:val="00ED00D2"/>
    <w:rsid w:val="00ED026E"/>
    <w:rsid w:val="00ED1663"/>
    <w:rsid w:val="00ED29C1"/>
    <w:rsid w:val="00ED3677"/>
    <w:rsid w:val="00ED570F"/>
    <w:rsid w:val="00ED6E0C"/>
    <w:rsid w:val="00ED70C7"/>
    <w:rsid w:val="00EE078C"/>
    <w:rsid w:val="00EE0F90"/>
    <w:rsid w:val="00EE1180"/>
    <w:rsid w:val="00EE16DB"/>
    <w:rsid w:val="00EE269D"/>
    <w:rsid w:val="00EE2F83"/>
    <w:rsid w:val="00EE326D"/>
    <w:rsid w:val="00EE3F3C"/>
    <w:rsid w:val="00EE5001"/>
    <w:rsid w:val="00EF09B0"/>
    <w:rsid w:val="00EF0B06"/>
    <w:rsid w:val="00EF1F3B"/>
    <w:rsid w:val="00EF407B"/>
    <w:rsid w:val="00EF4CA1"/>
    <w:rsid w:val="00EF5E3B"/>
    <w:rsid w:val="00EF618D"/>
    <w:rsid w:val="00EF621F"/>
    <w:rsid w:val="00EF696D"/>
    <w:rsid w:val="00F0010F"/>
    <w:rsid w:val="00F00693"/>
    <w:rsid w:val="00F00F7D"/>
    <w:rsid w:val="00F01D65"/>
    <w:rsid w:val="00F029E2"/>
    <w:rsid w:val="00F02D9A"/>
    <w:rsid w:val="00F03746"/>
    <w:rsid w:val="00F03908"/>
    <w:rsid w:val="00F03987"/>
    <w:rsid w:val="00F03DD3"/>
    <w:rsid w:val="00F047FF"/>
    <w:rsid w:val="00F05163"/>
    <w:rsid w:val="00F06178"/>
    <w:rsid w:val="00F06861"/>
    <w:rsid w:val="00F0715B"/>
    <w:rsid w:val="00F07594"/>
    <w:rsid w:val="00F0760A"/>
    <w:rsid w:val="00F10098"/>
    <w:rsid w:val="00F10CA1"/>
    <w:rsid w:val="00F1133C"/>
    <w:rsid w:val="00F113E6"/>
    <w:rsid w:val="00F1146C"/>
    <w:rsid w:val="00F11600"/>
    <w:rsid w:val="00F11AB1"/>
    <w:rsid w:val="00F11E0E"/>
    <w:rsid w:val="00F12764"/>
    <w:rsid w:val="00F131FB"/>
    <w:rsid w:val="00F137F3"/>
    <w:rsid w:val="00F14908"/>
    <w:rsid w:val="00F15147"/>
    <w:rsid w:val="00F151DB"/>
    <w:rsid w:val="00F15D02"/>
    <w:rsid w:val="00F17412"/>
    <w:rsid w:val="00F17F91"/>
    <w:rsid w:val="00F203C8"/>
    <w:rsid w:val="00F21734"/>
    <w:rsid w:val="00F21A6B"/>
    <w:rsid w:val="00F22484"/>
    <w:rsid w:val="00F22592"/>
    <w:rsid w:val="00F228AB"/>
    <w:rsid w:val="00F23515"/>
    <w:rsid w:val="00F24BAD"/>
    <w:rsid w:val="00F253DA"/>
    <w:rsid w:val="00F26DC2"/>
    <w:rsid w:val="00F27CA0"/>
    <w:rsid w:val="00F30074"/>
    <w:rsid w:val="00F31C14"/>
    <w:rsid w:val="00F31E1E"/>
    <w:rsid w:val="00F328F9"/>
    <w:rsid w:val="00F33166"/>
    <w:rsid w:val="00F3323D"/>
    <w:rsid w:val="00F33247"/>
    <w:rsid w:val="00F3429F"/>
    <w:rsid w:val="00F34BDA"/>
    <w:rsid w:val="00F3556B"/>
    <w:rsid w:val="00F364AF"/>
    <w:rsid w:val="00F369B3"/>
    <w:rsid w:val="00F37537"/>
    <w:rsid w:val="00F37632"/>
    <w:rsid w:val="00F40CFE"/>
    <w:rsid w:val="00F40EB7"/>
    <w:rsid w:val="00F4101F"/>
    <w:rsid w:val="00F412C4"/>
    <w:rsid w:val="00F41756"/>
    <w:rsid w:val="00F41DBD"/>
    <w:rsid w:val="00F423B5"/>
    <w:rsid w:val="00F427A5"/>
    <w:rsid w:val="00F42B58"/>
    <w:rsid w:val="00F43C0D"/>
    <w:rsid w:val="00F45342"/>
    <w:rsid w:val="00F46AF8"/>
    <w:rsid w:val="00F47697"/>
    <w:rsid w:val="00F47DEC"/>
    <w:rsid w:val="00F5068B"/>
    <w:rsid w:val="00F51074"/>
    <w:rsid w:val="00F510C6"/>
    <w:rsid w:val="00F512D9"/>
    <w:rsid w:val="00F5154C"/>
    <w:rsid w:val="00F5162E"/>
    <w:rsid w:val="00F52273"/>
    <w:rsid w:val="00F52C29"/>
    <w:rsid w:val="00F5335B"/>
    <w:rsid w:val="00F536F6"/>
    <w:rsid w:val="00F53FCB"/>
    <w:rsid w:val="00F55A33"/>
    <w:rsid w:val="00F55BE0"/>
    <w:rsid w:val="00F5691F"/>
    <w:rsid w:val="00F572DA"/>
    <w:rsid w:val="00F577FC"/>
    <w:rsid w:val="00F57B0C"/>
    <w:rsid w:val="00F6002F"/>
    <w:rsid w:val="00F60DAD"/>
    <w:rsid w:val="00F6142D"/>
    <w:rsid w:val="00F6217D"/>
    <w:rsid w:val="00F622FA"/>
    <w:rsid w:val="00F624B0"/>
    <w:rsid w:val="00F62EC2"/>
    <w:rsid w:val="00F63165"/>
    <w:rsid w:val="00F63884"/>
    <w:rsid w:val="00F64AE6"/>
    <w:rsid w:val="00F65369"/>
    <w:rsid w:val="00F66E76"/>
    <w:rsid w:val="00F67AEF"/>
    <w:rsid w:val="00F718DA"/>
    <w:rsid w:val="00F71E9A"/>
    <w:rsid w:val="00F72D50"/>
    <w:rsid w:val="00F73D2E"/>
    <w:rsid w:val="00F74CC0"/>
    <w:rsid w:val="00F752A9"/>
    <w:rsid w:val="00F77360"/>
    <w:rsid w:val="00F775EA"/>
    <w:rsid w:val="00F80118"/>
    <w:rsid w:val="00F80599"/>
    <w:rsid w:val="00F8075E"/>
    <w:rsid w:val="00F808D5"/>
    <w:rsid w:val="00F80DA5"/>
    <w:rsid w:val="00F81C42"/>
    <w:rsid w:val="00F82008"/>
    <w:rsid w:val="00F82492"/>
    <w:rsid w:val="00F826E1"/>
    <w:rsid w:val="00F83E47"/>
    <w:rsid w:val="00F840E6"/>
    <w:rsid w:val="00F844DC"/>
    <w:rsid w:val="00F84DA4"/>
    <w:rsid w:val="00F85763"/>
    <w:rsid w:val="00F86FC2"/>
    <w:rsid w:val="00F90515"/>
    <w:rsid w:val="00F9068B"/>
    <w:rsid w:val="00F907E5"/>
    <w:rsid w:val="00F909C2"/>
    <w:rsid w:val="00F912A5"/>
    <w:rsid w:val="00F914E9"/>
    <w:rsid w:val="00F91A28"/>
    <w:rsid w:val="00F91DEC"/>
    <w:rsid w:val="00F94203"/>
    <w:rsid w:val="00F9471C"/>
    <w:rsid w:val="00F9508D"/>
    <w:rsid w:val="00F95CE3"/>
    <w:rsid w:val="00F96371"/>
    <w:rsid w:val="00F9649F"/>
    <w:rsid w:val="00F96F91"/>
    <w:rsid w:val="00F97193"/>
    <w:rsid w:val="00F975CD"/>
    <w:rsid w:val="00F9783D"/>
    <w:rsid w:val="00F97A61"/>
    <w:rsid w:val="00FA0261"/>
    <w:rsid w:val="00FA0CF9"/>
    <w:rsid w:val="00FA14C6"/>
    <w:rsid w:val="00FA27D5"/>
    <w:rsid w:val="00FA3338"/>
    <w:rsid w:val="00FA3EDA"/>
    <w:rsid w:val="00FA3EEE"/>
    <w:rsid w:val="00FA4002"/>
    <w:rsid w:val="00FA435D"/>
    <w:rsid w:val="00FA4510"/>
    <w:rsid w:val="00FA4A8B"/>
    <w:rsid w:val="00FA4DCB"/>
    <w:rsid w:val="00FA4E74"/>
    <w:rsid w:val="00FA5183"/>
    <w:rsid w:val="00FA51BF"/>
    <w:rsid w:val="00FA6E7C"/>
    <w:rsid w:val="00FA793F"/>
    <w:rsid w:val="00FB04D8"/>
    <w:rsid w:val="00FB202A"/>
    <w:rsid w:val="00FB2288"/>
    <w:rsid w:val="00FB4931"/>
    <w:rsid w:val="00FB588D"/>
    <w:rsid w:val="00FB5B25"/>
    <w:rsid w:val="00FB5ED4"/>
    <w:rsid w:val="00FB6862"/>
    <w:rsid w:val="00FC107D"/>
    <w:rsid w:val="00FC1507"/>
    <w:rsid w:val="00FC1A1D"/>
    <w:rsid w:val="00FC1BBC"/>
    <w:rsid w:val="00FC291E"/>
    <w:rsid w:val="00FC2BFA"/>
    <w:rsid w:val="00FC33E8"/>
    <w:rsid w:val="00FC39CD"/>
    <w:rsid w:val="00FC3E8C"/>
    <w:rsid w:val="00FC4996"/>
    <w:rsid w:val="00FC5716"/>
    <w:rsid w:val="00FC5904"/>
    <w:rsid w:val="00FC5CC5"/>
    <w:rsid w:val="00FC661C"/>
    <w:rsid w:val="00FC6EC7"/>
    <w:rsid w:val="00FC71AF"/>
    <w:rsid w:val="00FD01A5"/>
    <w:rsid w:val="00FD056A"/>
    <w:rsid w:val="00FD0B81"/>
    <w:rsid w:val="00FD15A9"/>
    <w:rsid w:val="00FD1984"/>
    <w:rsid w:val="00FD1EF5"/>
    <w:rsid w:val="00FD3D2F"/>
    <w:rsid w:val="00FD41A7"/>
    <w:rsid w:val="00FD48A6"/>
    <w:rsid w:val="00FD50E0"/>
    <w:rsid w:val="00FD55FA"/>
    <w:rsid w:val="00FD5B67"/>
    <w:rsid w:val="00FD7738"/>
    <w:rsid w:val="00FD77F6"/>
    <w:rsid w:val="00FE0454"/>
    <w:rsid w:val="00FE0977"/>
    <w:rsid w:val="00FE14FE"/>
    <w:rsid w:val="00FE2852"/>
    <w:rsid w:val="00FE2EAF"/>
    <w:rsid w:val="00FE39B6"/>
    <w:rsid w:val="00FE3C22"/>
    <w:rsid w:val="00FE44DB"/>
    <w:rsid w:val="00FE5437"/>
    <w:rsid w:val="00FE6CC2"/>
    <w:rsid w:val="00FF085D"/>
    <w:rsid w:val="00FF0F35"/>
    <w:rsid w:val="00FF1B37"/>
    <w:rsid w:val="00FF2C85"/>
    <w:rsid w:val="00FF2EE4"/>
    <w:rsid w:val="00FF38D8"/>
    <w:rsid w:val="00FF3E5E"/>
    <w:rsid w:val="00FF47B1"/>
    <w:rsid w:val="00FF645B"/>
    <w:rsid w:val="00FF6DB3"/>
    <w:rsid w:val="00FF70A5"/>
    <w:rsid w:val="00FF7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2"/>
    <o:shapelayout v:ext="edit">
      <o:idmap v:ext="edit" data="1"/>
    </o:shapelayout>
  </w:shapeDefaults>
  <w:decimalSymbol w:val="."/>
  <w:listSeparator w:val=","/>
  <w14:docId w14:val="5D30B9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540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40E2"/>
  </w:style>
  <w:style w:type="paragraph" w:styleId="Footer">
    <w:name w:val="footer"/>
    <w:basedOn w:val="Normal"/>
    <w:link w:val="FooterChar"/>
    <w:uiPriority w:val="99"/>
    <w:unhideWhenUsed/>
    <w:rsid w:val="00A540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40E2"/>
  </w:style>
  <w:style w:type="character" w:styleId="Hyperlink">
    <w:name w:val="Hyperlink"/>
    <w:basedOn w:val="DefaultParagraphFont"/>
    <w:uiPriority w:val="99"/>
    <w:unhideWhenUsed/>
    <w:rsid w:val="00584B2F"/>
    <w:rPr>
      <w:color w:val="0000FF" w:themeColor="hyperlink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80491A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80491A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80491A"/>
    <w:rPr>
      <w:vertAlign w:val="superscript"/>
    </w:rPr>
  </w:style>
  <w:style w:type="paragraph" w:styleId="ListParagraph">
    <w:name w:val="List Paragraph"/>
    <w:basedOn w:val="Normal"/>
    <w:uiPriority w:val="34"/>
    <w:qFormat/>
    <w:rsid w:val="006463F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8542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8542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8542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54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542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54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542C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557B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57B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57B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540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40E2"/>
  </w:style>
  <w:style w:type="paragraph" w:styleId="Footer">
    <w:name w:val="footer"/>
    <w:basedOn w:val="Normal"/>
    <w:link w:val="FooterChar"/>
    <w:uiPriority w:val="99"/>
    <w:unhideWhenUsed/>
    <w:rsid w:val="00A540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40E2"/>
  </w:style>
  <w:style w:type="character" w:styleId="Hyperlink">
    <w:name w:val="Hyperlink"/>
    <w:basedOn w:val="DefaultParagraphFont"/>
    <w:uiPriority w:val="99"/>
    <w:unhideWhenUsed/>
    <w:rsid w:val="00584B2F"/>
    <w:rPr>
      <w:color w:val="0000FF" w:themeColor="hyperlink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80491A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80491A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80491A"/>
    <w:rPr>
      <w:vertAlign w:val="superscript"/>
    </w:rPr>
  </w:style>
  <w:style w:type="paragraph" w:styleId="ListParagraph">
    <w:name w:val="List Paragraph"/>
    <w:basedOn w:val="Normal"/>
    <w:uiPriority w:val="34"/>
    <w:qFormat/>
    <w:rsid w:val="006463F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8542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8542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8542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54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542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54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542C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557B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57B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57B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hart" Target="charts/chart1.xml"/><Relationship Id="rId18" Type="http://schemas.openxmlformats.org/officeDocument/2006/relationships/oleObject" Target="embeddings/oleObject2.bin"/><Relationship Id="rId26" Type="http://schemas.openxmlformats.org/officeDocument/2006/relationships/oleObject" Target="embeddings/oleObject6.bin"/><Relationship Id="rId39" Type="http://schemas.openxmlformats.org/officeDocument/2006/relationships/image" Target="media/image14.wmf"/><Relationship Id="rId21" Type="http://schemas.openxmlformats.org/officeDocument/2006/relationships/image" Target="media/image5.wmf"/><Relationship Id="rId34" Type="http://schemas.openxmlformats.org/officeDocument/2006/relationships/oleObject" Target="embeddings/oleObject10.bin"/><Relationship Id="rId42" Type="http://schemas.openxmlformats.org/officeDocument/2006/relationships/oleObject" Target="embeddings/oleObject14.bin"/><Relationship Id="rId47" Type="http://schemas.openxmlformats.org/officeDocument/2006/relationships/comments" Target="comments.xml"/><Relationship Id="rId50" Type="http://schemas.openxmlformats.org/officeDocument/2006/relationships/oleObject" Target="embeddings/oleObject18.bin"/><Relationship Id="rId55" Type="http://schemas.openxmlformats.org/officeDocument/2006/relationships/image" Target="media/image21.wmf"/><Relationship Id="rId63" Type="http://schemas.openxmlformats.org/officeDocument/2006/relationships/image" Target="media/image25.wmf"/><Relationship Id="rId68" Type="http://schemas.openxmlformats.org/officeDocument/2006/relationships/fontTable" Target="fontTable.xml"/><Relationship Id="rId7" Type="http://schemas.microsoft.com/office/2007/relationships/stylesWithEffects" Target="stylesWithEffects.xml"/><Relationship Id="rId71" Type="http://schemas.microsoft.com/office/2011/relationships/commentsExtended" Target="commentsExtended.xml"/><Relationship Id="rId2" Type="http://schemas.openxmlformats.org/officeDocument/2006/relationships/customXml" Target="../customXml/item2.xml"/><Relationship Id="rId16" Type="http://schemas.openxmlformats.org/officeDocument/2006/relationships/oleObject" Target="embeddings/oleObject1.bin"/><Relationship Id="rId29" Type="http://schemas.openxmlformats.org/officeDocument/2006/relationships/image" Target="media/image9.wmf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oleObject" Target="embeddings/oleObject5.bin"/><Relationship Id="rId32" Type="http://schemas.openxmlformats.org/officeDocument/2006/relationships/oleObject" Target="embeddings/oleObject9.bin"/><Relationship Id="rId37" Type="http://schemas.openxmlformats.org/officeDocument/2006/relationships/image" Target="media/image13.wmf"/><Relationship Id="rId40" Type="http://schemas.openxmlformats.org/officeDocument/2006/relationships/oleObject" Target="embeddings/oleObject13.bin"/><Relationship Id="rId45" Type="http://schemas.openxmlformats.org/officeDocument/2006/relationships/image" Target="media/image17.wmf"/><Relationship Id="rId53" Type="http://schemas.openxmlformats.org/officeDocument/2006/relationships/image" Target="media/image20.wmf"/><Relationship Id="rId58" Type="http://schemas.openxmlformats.org/officeDocument/2006/relationships/oleObject" Target="embeddings/oleObject22.bin"/><Relationship Id="rId66" Type="http://schemas.openxmlformats.org/officeDocument/2006/relationships/oleObject" Target="embeddings/oleObject26.bin"/><Relationship Id="rId5" Type="http://schemas.openxmlformats.org/officeDocument/2006/relationships/customXml" Target="../customXml/item5.xml"/><Relationship Id="rId15" Type="http://schemas.openxmlformats.org/officeDocument/2006/relationships/image" Target="media/image2.wmf"/><Relationship Id="rId23" Type="http://schemas.openxmlformats.org/officeDocument/2006/relationships/image" Target="media/image6.wmf"/><Relationship Id="rId28" Type="http://schemas.openxmlformats.org/officeDocument/2006/relationships/oleObject" Target="embeddings/oleObject7.bin"/><Relationship Id="rId36" Type="http://schemas.openxmlformats.org/officeDocument/2006/relationships/oleObject" Target="embeddings/oleObject11.bin"/><Relationship Id="rId49" Type="http://schemas.openxmlformats.org/officeDocument/2006/relationships/image" Target="media/image18.wmf"/><Relationship Id="rId57" Type="http://schemas.openxmlformats.org/officeDocument/2006/relationships/image" Target="media/image22.wmf"/><Relationship Id="rId61" Type="http://schemas.openxmlformats.org/officeDocument/2006/relationships/image" Target="media/image24.wmf"/><Relationship Id="rId10" Type="http://schemas.openxmlformats.org/officeDocument/2006/relationships/footnotes" Target="footnotes.xml"/><Relationship Id="rId19" Type="http://schemas.openxmlformats.org/officeDocument/2006/relationships/image" Target="media/image4.wmf"/><Relationship Id="rId31" Type="http://schemas.openxmlformats.org/officeDocument/2006/relationships/image" Target="media/image10.wmf"/><Relationship Id="rId44" Type="http://schemas.openxmlformats.org/officeDocument/2006/relationships/oleObject" Target="embeddings/oleObject15.bin"/><Relationship Id="rId52" Type="http://schemas.openxmlformats.org/officeDocument/2006/relationships/oleObject" Target="embeddings/oleObject19.bin"/><Relationship Id="rId60" Type="http://schemas.openxmlformats.org/officeDocument/2006/relationships/oleObject" Target="embeddings/oleObject23.bin"/><Relationship Id="rId65" Type="http://schemas.openxmlformats.org/officeDocument/2006/relationships/image" Target="media/image26.wmf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1.emf"/><Relationship Id="rId22" Type="http://schemas.openxmlformats.org/officeDocument/2006/relationships/oleObject" Target="embeddings/oleObject4.bin"/><Relationship Id="rId27" Type="http://schemas.openxmlformats.org/officeDocument/2006/relationships/image" Target="media/image8.wmf"/><Relationship Id="rId30" Type="http://schemas.openxmlformats.org/officeDocument/2006/relationships/oleObject" Target="embeddings/oleObject8.bin"/><Relationship Id="rId35" Type="http://schemas.openxmlformats.org/officeDocument/2006/relationships/image" Target="media/image12.wmf"/><Relationship Id="rId43" Type="http://schemas.openxmlformats.org/officeDocument/2006/relationships/image" Target="media/image16.wmf"/><Relationship Id="rId48" Type="http://schemas.openxmlformats.org/officeDocument/2006/relationships/oleObject" Target="embeddings/oleObject17.bin"/><Relationship Id="rId56" Type="http://schemas.openxmlformats.org/officeDocument/2006/relationships/oleObject" Target="embeddings/oleObject21.bin"/><Relationship Id="rId64" Type="http://schemas.openxmlformats.org/officeDocument/2006/relationships/oleObject" Target="embeddings/oleObject25.bin"/><Relationship Id="rId69" Type="http://schemas.openxmlformats.org/officeDocument/2006/relationships/theme" Target="theme/theme1.xml"/><Relationship Id="rId8" Type="http://schemas.openxmlformats.org/officeDocument/2006/relationships/settings" Target="settings.xml"/><Relationship Id="rId51" Type="http://schemas.openxmlformats.org/officeDocument/2006/relationships/image" Target="media/image19.wmf"/><Relationship Id="rId3" Type="http://schemas.openxmlformats.org/officeDocument/2006/relationships/customXml" Target="../customXml/item3.xml"/><Relationship Id="rId12" Type="http://schemas.openxmlformats.org/officeDocument/2006/relationships/hyperlink" Target="mailto:geoff.kingston@mq.edu.au" TargetMode="External"/><Relationship Id="rId17" Type="http://schemas.openxmlformats.org/officeDocument/2006/relationships/image" Target="media/image3.wmf"/><Relationship Id="rId25" Type="http://schemas.openxmlformats.org/officeDocument/2006/relationships/image" Target="media/image7.wmf"/><Relationship Id="rId33" Type="http://schemas.openxmlformats.org/officeDocument/2006/relationships/image" Target="media/image11.wmf"/><Relationship Id="rId38" Type="http://schemas.openxmlformats.org/officeDocument/2006/relationships/oleObject" Target="embeddings/oleObject12.bin"/><Relationship Id="rId46" Type="http://schemas.openxmlformats.org/officeDocument/2006/relationships/oleObject" Target="embeddings/oleObject16.bin"/><Relationship Id="rId59" Type="http://schemas.openxmlformats.org/officeDocument/2006/relationships/image" Target="media/image23.wmf"/><Relationship Id="rId67" Type="http://schemas.openxmlformats.org/officeDocument/2006/relationships/footer" Target="footer1.xml"/><Relationship Id="rId20" Type="http://schemas.openxmlformats.org/officeDocument/2006/relationships/oleObject" Target="embeddings/oleObject3.bin"/><Relationship Id="rId41" Type="http://schemas.openxmlformats.org/officeDocument/2006/relationships/image" Target="media/image15.wmf"/><Relationship Id="rId54" Type="http://schemas.openxmlformats.org/officeDocument/2006/relationships/oleObject" Target="embeddings/oleObject20.bin"/><Relationship Id="rId62" Type="http://schemas.openxmlformats.org/officeDocument/2006/relationships/oleObject" Target="embeddings/oleObject24.bin"/><Relationship Id="rId70" Type="http://schemas.microsoft.com/office/2011/relationships/people" Target="peop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oleObject" Target="file:///D:\Users-Data\mq20095942\Desktop\MMF2015\RevenuesVersusHeadlineRatesInTheOECD.xlsx" TargetMode="External"/><Relationship Id="rId1" Type="http://schemas.openxmlformats.org/officeDocument/2006/relationships/themeOverride" Target="../theme/themeOverride1.xml"/><Relationship Id="rId5" Type="http://schemas.microsoft.com/office/2011/relationships/chartStyle" Target="style1.xml"/><Relationship Id="rId4" Type="http://schemas.microsoft.com/office/2011/relationships/chartColorStyle" Target="colors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A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AU"/>
              <a:t>Figure 1: Revenues versus headline company tax rates</a:t>
            </a:r>
            <a:endParaRPr lang="en-AU" sz="1100"/>
          </a:p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AU" sz="1400"/>
              <a:t>OECD, 2012 </a:t>
            </a:r>
            <a:r>
              <a:rPr lang="en-AU" sz="1400" baseline="0"/>
              <a:t> </a:t>
            </a:r>
            <a:endParaRPr lang="en-AU" sz="1400"/>
          </a:p>
        </c:rich>
      </c:tx>
      <c:layout>
        <c:manualLayout>
          <c:xMode val="edge"/>
          <c:yMode val="edge"/>
          <c:x val="0.14753940994313744"/>
          <c:y val="2.9433406916850625E-2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4.3740371001810004E-2"/>
          <c:y val="0.23421237693389593"/>
          <c:w val="0.91042116293661035"/>
          <c:h val="0.68070229354242107"/>
        </c:manualLayout>
      </c:layout>
      <c:scatterChart>
        <c:scatterStyle val="lineMarker"/>
        <c:varyColors val="0"/>
        <c:ser>
          <c:idx val="1"/>
          <c:order val="0"/>
          <c:spPr>
            <a:ln w="1905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xVal>
            <c:numRef>
              <c:f>Sheet1!$C$7:$C$38</c:f>
              <c:numCache>
                <c:formatCode>##0.0;\-##0.0;0.0;</c:formatCode>
                <c:ptCount val="32"/>
                <c:pt idx="0">
                  <c:v>5.1660000000000004</c:v>
                </c:pt>
                <c:pt idx="1">
                  <c:v>2.1949999999999998</c:v>
                </c:pt>
                <c:pt idx="2">
                  <c:v>3.008</c:v>
                </c:pt>
                <c:pt idx="3">
                  <c:v>2.903</c:v>
                </c:pt>
                <c:pt idx="4">
                  <c:v>3.3410000000000002</c:v>
                </c:pt>
                <c:pt idx="5">
                  <c:v>2.9689999999999999</c:v>
                </c:pt>
                <c:pt idx="6">
                  <c:v>1.431</c:v>
                </c:pt>
                <c:pt idx="7">
                  <c:v>2.1160000000000001</c:v>
                </c:pt>
                <c:pt idx="8">
                  <c:v>2.4780000000000002</c:v>
                </c:pt>
                <c:pt idx="9">
                  <c:v>1.756</c:v>
                </c:pt>
                <c:pt idx="10">
                  <c:v>1.119</c:v>
                </c:pt>
                <c:pt idx="11">
                  <c:v>1.29</c:v>
                </c:pt>
                <c:pt idx="12">
                  <c:v>1.915</c:v>
                </c:pt>
                <c:pt idx="13">
                  <c:v>2.2970000000000002</c:v>
                </c:pt>
                <c:pt idx="14">
                  <c:v>2.6509999999999998</c:v>
                </c:pt>
                <c:pt idx="15">
                  <c:v>2.7629999999999999</c:v>
                </c:pt>
                <c:pt idx="16">
                  <c:v>3.6829999999999998</c:v>
                </c:pt>
                <c:pt idx="17">
                  <c:v>3.6850000000000001</c:v>
                </c:pt>
                <c:pt idx="18">
                  <c:v>5.1520000000000001</c:v>
                </c:pt>
                <c:pt idx="19">
                  <c:v>1.85</c:v>
                </c:pt>
                <c:pt idx="20">
                  <c:v>4.6529999999999996</c:v>
                </c:pt>
                <c:pt idx="21">
                  <c:v>10.49</c:v>
                </c:pt>
                <c:pt idx="22">
                  <c:v>2.1040000000000001</c:v>
                </c:pt>
                <c:pt idx="23">
                  <c:v>2.7290000000000001</c:v>
                </c:pt>
                <c:pt idx="24">
                  <c:v>2.367</c:v>
                </c:pt>
                <c:pt idx="25">
                  <c:v>1.2390000000000001</c:v>
                </c:pt>
                <c:pt idx="26">
                  <c:v>2.0419999999999998</c:v>
                </c:pt>
                <c:pt idx="27">
                  <c:v>2.5739999999999998</c:v>
                </c:pt>
                <c:pt idx="28">
                  <c:v>2.84</c:v>
                </c:pt>
                <c:pt idx="29">
                  <c:v>2.048</c:v>
                </c:pt>
                <c:pt idx="30">
                  <c:v>2.6840000000000002</c:v>
                </c:pt>
                <c:pt idx="31">
                  <c:v>2.4900000000000002</c:v>
                </c:pt>
              </c:numCache>
            </c:numRef>
          </c:xVal>
          <c:yVal>
            <c:numRef>
              <c:f>Sheet1!$D$7:$D$38</c:f>
              <c:numCache>
                <c:formatCode>General</c:formatCode>
                <c:ptCount val="32"/>
                <c:pt idx="0">
                  <c:v>30</c:v>
                </c:pt>
                <c:pt idx="1">
                  <c:v>25</c:v>
                </c:pt>
                <c:pt idx="2">
                  <c:v>33.99</c:v>
                </c:pt>
                <c:pt idx="3">
                  <c:v>26.1</c:v>
                </c:pt>
                <c:pt idx="4">
                  <c:v>19</c:v>
                </c:pt>
                <c:pt idx="5">
                  <c:v>25</c:v>
                </c:pt>
                <c:pt idx="6">
                  <c:v>21</c:v>
                </c:pt>
                <c:pt idx="7">
                  <c:v>24.5</c:v>
                </c:pt>
                <c:pt idx="8">
                  <c:v>34.43</c:v>
                </c:pt>
                <c:pt idx="9">
                  <c:v>30.175000000000001</c:v>
                </c:pt>
                <c:pt idx="10">
                  <c:v>20</c:v>
                </c:pt>
                <c:pt idx="11">
                  <c:v>19</c:v>
                </c:pt>
                <c:pt idx="12">
                  <c:v>20</c:v>
                </c:pt>
                <c:pt idx="13">
                  <c:v>12.5</c:v>
                </c:pt>
                <c:pt idx="14">
                  <c:v>25</c:v>
                </c:pt>
                <c:pt idx="15">
                  <c:v>27.5</c:v>
                </c:pt>
                <c:pt idx="16">
                  <c:v>39.54</c:v>
                </c:pt>
                <c:pt idx="17">
                  <c:v>24.2</c:v>
                </c:pt>
                <c:pt idx="18">
                  <c:v>28.8</c:v>
                </c:pt>
                <c:pt idx="19">
                  <c:v>25</c:v>
                </c:pt>
                <c:pt idx="20">
                  <c:v>28</c:v>
                </c:pt>
                <c:pt idx="21">
                  <c:v>28</c:v>
                </c:pt>
                <c:pt idx="22">
                  <c:v>19</c:v>
                </c:pt>
                <c:pt idx="23">
                  <c:v>31.5</c:v>
                </c:pt>
                <c:pt idx="24">
                  <c:v>19</c:v>
                </c:pt>
                <c:pt idx="25">
                  <c:v>18</c:v>
                </c:pt>
                <c:pt idx="26">
                  <c:v>30</c:v>
                </c:pt>
                <c:pt idx="27">
                  <c:v>26.3</c:v>
                </c:pt>
                <c:pt idx="28">
                  <c:v>21.174437816090503</c:v>
                </c:pt>
                <c:pt idx="29">
                  <c:v>20</c:v>
                </c:pt>
                <c:pt idx="30">
                  <c:v>24</c:v>
                </c:pt>
                <c:pt idx="31">
                  <c:v>39.134</c:v>
                </c:pt>
              </c:numCache>
            </c:numRef>
          </c:yVal>
          <c:smooth val="0"/>
        </c:ser>
        <c:ser>
          <c:idx val="2"/>
          <c:order val="1"/>
          <c:spPr>
            <a:ln w="1905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3"/>
              </a:solidFill>
              <a:ln w="9525">
                <a:solidFill>
                  <a:schemeClr val="accent3"/>
                </a:solidFill>
              </a:ln>
              <a:effectLst/>
            </c:spPr>
          </c:marker>
          <c:xVal>
            <c:numRef>
              <c:f>Sheet1!$C$7:$C$38</c:f>
              <c:numCache>
                <c:formatCode>##0.0;\-##0.0;0.0;</c:formatCode>
                <c:ptCount val="32"/>
                <c:pt idx="0">
                  <c:v>5.1660000000000004</c:v>
                </c:pt>
                <c:pt idx="1">
                  <c:v>2.1949999999999998</c:v>
                </c:pt>
                <c:pt idx="2">
                  <c:v>3.008</c:v>
                </c:pt>
                <c:pt idx="3">
                  <c:v>2.903</c:v>
                </c:pt>
                <c:pt idx="4">
                  <c:v>3.3410000000000002</c:v>
                </c:pt>
                <c:pt idx="5">
                  <c:v>2.9689999999999999</c:v>
                </c:pt>
                <c:pt idx="6">
                  <c:v>1.431</c:v>
                </c:pt>
                <c:pt idx="7">
                  <c:v>2.1160000000000001</c:v>
                </c:pt>
                <c:pt idx="8">
                  <c:v>2.4780000000000002</c:v>
                </c:pt>
                <c:pt idx="9">
                  <c:v>1.756</c:v>
                </c:pt>
                <c:pt idx="10">
                  <c:v>1.119</c:v>
                </c:pt>
                <c:pt idx="11">
                  <c:v>1.29</c:v>
                </c:pt>
                <c:pt idx="12">
                  <c:v>1.915</c:v>
                </c:pt>
                <c:pt idx="13">
                  <c:v>2.2970000000000002</c:v>
                </c:pt>
                <c:pt idx="14">
                  <c:v>2.6509999999999998</c:v>
                </c:pt>
                <c:pt idx="15">
                  <c:v>2.7629999999999999</c:v>
                </c:pt>
                <c:pt idx="16">
                  <c:v>3.6829999999999998</c:v>
                </c:pt>
                <c:pt idx="17">
                  <c:v>3.6850000000000001</c:v>
                </c:pt>
                <c:pt idx="18">
                  <c:v>5.1520000000000001</c:v>
                </c:pt>
                <c:pt idx="19">
                  <c:v>1.85</c:v>
                </c:pt>
                <c:pt idx="20">
                  <c:v>4.6529999999999996</c:v>
                </c:pt>
                <c:pt idx="21">
                  <c:v>10.49</c:v>
                </c:pt>
                <c:pt idx="22">
                  <c:v>2.1040000000000001</c:v>
                </c:pt>
                <c:pt idx="23">
                  <c:v>2.7290000000000001</c:v>
                </c:pt>
                <c:pt idx="24">
                  <c:v>2.367</c:v>
                </c:pt>
                <c:pt idx="25">
                  <c:v>1.2390000000000001</c:v>
                </c:pt>
                <c:pt idx="26">
                  <c:v>2.0419999999999998</c:v>
                </c:pt>
                <c:pt idx="27">
                  <c:v>2.5739999999999998</c:v>
                </c:pt>
                <c:pt idx="28">
                  <c:v>2.84</c:v>
                </c:pt>
                <c:pt idx="29">
                  <c:v>2.048</c:v>
                </c:pt>
                <c:pt idx="30">
                  <c:v>2.6840000000000002</c:v>
                </c:pt>
                <c:pt idx="31">
                  <c:v>2.4900000000000002</c:v>
                </c:pt>
              </c:numCache>
            </c:numRef>
          </c:xVal>
          <c:yVal>
            <c:numRef>
              <c:f>Sheet1!$D$7:$D$38</c:f>
              <c:numCache>
                <c:formatCode>General</c:formatCode>
                <c:ptCount val="32"/>
                <c:pt idx="0">
                  <c:v>30</c:v>
                </c:pt>
                <c:pt idx="1">
                  <c:v>25</c:v>
                </c:pt>
                <c:pt idx="2">
                  <c:v>33.99</c:v>
                </c:pt>
                <c:pt idx="3">
                  <c:v>26.1</c:v>
                </c:pt>
                <c:pt idx="4">
                  <c:v>19</c:v>
                </c:pt>
                <c:pt idx="5">
                  <c:v>25</c:v>
                </c:pt>
                <c:pt idx="6">
                  <c:v>21</c:v>
                </c:pt>
                <c:pt idx="7">
                  <c:v>24.5</c:v>
                </c:pt>
                <c:pt idx="8">
                  <c:v>34.43</c:v>
                </c:pt>
                <c:pt idx="9">
                  <c:v>30.175000000000001</c:v>
                </c:pt>
                <c:pt idx="10">
                  <c:v>20</c:v>
                </c:pt>
                <c:pt idx="11">
                  <c:v>19</c:v>
                </c:pt>
                <c:pt idx="12">
                  <c:v>20</c:v>
                </c:pt>
                <c:pt idx="13">
                  <c:v>12.5</c:v>
                </c:pt>
                <c:pt idx="14">
                  <c:v>25</c:v>
                </c:pt>
                <c:pt idx="15">
                  <c:v>27.5</c:v>
                </c:pt>
                <c:pt idx="16">
                  <c:v>39.54</c:v>
                </c:pt>
                <c:pt idx="17">
                  <c:v>24.2</c:v>
                </c:pt>
                <c:pt idx="18">
                  <c:v>28.8</c:v>
                </c:pt>
                <c:pt idx="19">
                  <c:v>25</c:v>
                </c:pt>
                <c:pt idx="20">
                  <c:v>28</c:v>
                </c:pt>
                <c:pt idx="21">
                  <c:v>28</c:v>
                </c:pt>
                <c:pt idx="22">
                  <c:v>19</c:v>
                </c:pt>
                <c:pt idx="23">
                  <c:v>31.5</c:v>
                </c:pt>
                <c:pt idx="24">
                  <c:v>19</c:v>
                </c:pt>
                <c:pt idx="25">
                  <c:v>18</c:v>
                </c:pt>
                <c:pt idx="26">
                  <c:v>30</c:v>
                </c:pt>
                <c:pt idx="27">
                  <c:v>26.3</c:v>
                </c:pt>
                <c:pt idx="28">
                  <c:v>21.174437816090503</c:v>
                </c:pt>
                <c:pt idx="29">
                  <c:v>20</c:v>
                </c:pt>
                <c:pt idx="30">
                  <c:v>24</c:v>
                </c:pt>
                <c:pt idx="31">
                  <c:v>39.134</c:v>
                </c:pt>
              </c:numCache>
            </c:numRef>
          </c:yVal>
          <c:smooth val="0"/>
        </c:ser>
        <c:ser>
          <c:idx val="0"/>
          <c:order val="2"/>
          <c:spPr>
            <a:ln w="1905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linear"/>
            <c:dispRSqr val="0"/>
            <c:dispEq val="0"/>
          </c:trendline>
          <c:xVal>
            <c:numRef>
              <c:f>Sheet1!$C$7:$C$38</c:f>
              <c:numCache>
                <c:formatCode>##0.0;\-##0.0;0.0;</c:formatCode>
                <c:ptCount val="32"/>
                <c:pt idx="0">
                  <c:v>5.1660000000000004</c:v>
                </c:pt>
                <c:pt idx="1">
                  <c:v>2.1949999999999998</c:v>
                </c:pt>
                <c:pt idx="2">
                  <c:v>3.008</c:v>
                </c:pt>
                <c:pt idx="3">
                  <c:v>2.903</c:v>
                </c:pt>
                <c:pt idx="4">
                  <c:v>3.3410000000000002</c:v>
                </c:pt>
                <c:pt idx="5">
                  <c:v>2.9689999999999999</c:v>
                </c:pt>
                <c:pt idx="6">
                  <c:v>1.431</c:v>
                </c:pt>
                <c:pt idx="7">
                  <c:v>2.1160000000000001</c:v>
                </c:pt>
                <c:pt idx="8">
                  <c:v>2.4780000000000002</c:v>
                </c:pt>
                <c:pt idx="9">
                  <c:v>1.756</c:v>
                </c:pt>
                <c:pt idx="10">
                  <c:v>1.119</c:v>
                </c:pt>
                <c:pt idx="11">
                  <c:v>1.29</c:v>
                </c:pt>
                <c:pt idx="12">
                  <c:v>1.915</c:v>
                </c:pt>
                <c:pt idx="13">
                  <c:v>2.2970000000000002</c:v>
                </c:pt>
                <c:pt idx="14">
                  <c:v>2.6509999999999998</c:v>
                </c:pt>
                <c:pt idx="15">
                  <c:v>2.7629999999999999</c:v>
                </c:pt>
                <c:pt idx="16">
                  <c:v>3.6829999999999998</c:v>
                </c:pt>
                <c:pt idx="17">
                  <c:v>3.6850000000000001</c:v>
                </c:pt>
                <c:pt idx="18">
                  <c:v>5.1520000000000001</c:v>
                </c:pt>
                <c:pt idx="19">
                  <c:v>1.85</c:v>
                </c:pt>
                <c:pt idx="20">
                  <c:v>4.6529999999999996</c:v>
                </c:pt>
                <c:pt idx="21">
                  <c:v>10.49</c:v>
                </c:pt>
                <c:pt idx="22">
                  <c:v>2.1040000000000001</c:v>
                </c:pt>
                <c:pt idx="23">
                  <c:v>2.7290000000000001</c:v>
                </c:pt>
                <c:pt idx="24">
                  <c:v>2.367</c:v>
                </c:pt>
                <c:pt idx="25">
                  <c:v>1.2390000000000001</c:v>
                </c:pt>
                <c:pt idx="26">
                  <c:v>2.0419999999999998</c:v>
                </c:pt>
                <c:pt idx="27">
                  <c:v>2.5739999999999998</c:v>
                </c:pt>
                <c:pt idx="28">
                  <c:v>2.84</c:v>
                </c:pt>
                <c:pt idx="29">
                  <c:v>2.048</c:v>
                </c:pt>
                <c:pt idx="30">
                  <c:v>2.6840000000000002</c:v>
                </c:pt>
                <c:pt idx="31">
                  <c:v>2.4900000000000002</c:v>
                </c:pt>
              </c:numCache>
            </c:numRef>
          </c:xVal>
          <c:yVal>
            <c:numRef>
              <c:f>Sheet1!$D$7:$D$38</c:f>
              <c:numCache>
                <c:formatCode>General</c:formatCode>
                <c:ptCount val="32"/>
                <c:pt idx="0">
                  <c:v>30</c:v>
                </c:pt>
                <c:pt idx="1">
                  <c:v>25</c:v>
                </c:pt>
                <c:pt idx="2">
                  <c:v>33.99</c:v>
                </c:pt>
                <c:pt idx="3">
                  <c:v>26.1</c:v>
                </c:pt>
                <c:pt idx="4">
                  <c:v>19</c:v>
                </c:pt>
                <c:pt idx="5">
                  <c:v>25</c:v>
                </c:pt>
                <c:pt idx="6">
                  <c:v>21</c:v>
                </c:pt>
                <c:pt idx="7">
                  <c:v>24.5</c:v>
                </c:pt>
                <c:pt idx="8">
                  <c:v>34.43</c:v>
                </c:pt>
                <c:pt idx="9">
                  <c:v>30.175000000000001</c:v>
                </c:pt>
                <c:pt idx="10">
                  <c:v>20</c:v>
                </c:pt>
                <c:pt idx="11">
                  <c:v>19</c:v>
                </c:pt>
                <c:pt idx="12">
                  <c:v>20</c:v>
                </c:pt>
                <c:pt idx="13">
                  <c:v>12.5</c:v>
                </c:pt>
                <c:pt idx="14">
                  <c:v>25</c:v>
                </c:pt>
                <c:pt idx="15">
                  <c:v>27.5</c:v>
                </c:pt>
                <c:pt idx="16">
                  <c:v>39.54</c:v>
                </c:pt>
                <c:pt idx="17">
                  <c:v>24.2</c:v>
                </c:pt>
                <c:pt idx="18">
                  <c:v>28.8</c:v>
                </c:pt>
                <c:pt idx="19">
                  <c:v>25</c:v>
                </c:pt>
                <c:pt idx="20">
                  <c:v>28</c:v>
                </c:pt>
                <c:pt idx="21">
                  <c:v>28</c:v>
                </c:pt>
                <c:pt idx="22">
                  <c:v>19</c:v>
                </c:pt>
                <c:pt idx="23">
                  <c:v>31.5</c:v>
                </c:pt>
                <c:pt idx="24">
                  <c:v>19</c:v>
                </c:pt>
                <c:pt idx="25">
                  <c:v>18</c:v>
                </c:pt>
                <c:pt idx="26">
                  <c:v>30</c:v>
                </c:pt>
                <c:pt idx="27">
                  <c:v>26.3</c:v>
                </c:pt>
                <c:pt idx="28">
                  <c:v>21.174437816090503</c:v>
                </c:pt>
                <c:pt idx="29">
                  <c:v>20</c:v>
                </c:pt>
                <c:pt idx="30">
                  <c:v>24</c:v>
                </c:pt>
                <c:pt idx="31">
                  <c:v>39.134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47937024"/>
        <c:axId val="48252800"/>
      </c:scatterChart>
      <c:valAx>
        <c:axId val="47937024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AU"/>
                  <a:t>Percent</a:t>
                </a:r>
                <a:r>
                  <a:rPr lang="en-AU" baseline="0"/>
                  <a:t> to GDP</a:t>
                </a:r>
                <a:endParaRPr lang="en-AU"/>
              </a:p>
            </c:rich>
          </c:tx>
          <c:layout>
            <c:manualLayout>
              <c:xMode val="edge"/>
              <c:yMode val="edge"/>
              <c:x val="0.80844066252109681"/>
              <c:y val="0.84840866348399369"/>
            </c:manualLayout>
          </c:layout>
          <c:overlay val="0"/>
          <c:spPr>
            <a:noFill/>
            <a:ln>
              <a:noFill/>
            </a:ln>
            <a:effectLst/>
          </c:spPr>
        </c:title>
        <c:numFmt formatCode="##0.0;\-##0.0;0.0;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8252800"/>
        <c:crosses val="autoZero"/>
        <c:crossBetween val="midCat"/>
      </c:valAx>
      <c:valAx>
        <c:axId val="48252800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AU"/>
                  <a:t>Percentage</a:t>
                </a:r>
                <a:r>
                  <a:rPr lang="en-AU" baseline="0"/>
                  <a:t> points</a:t>
                </a:r>
                <a:endParaRPr lang="en-AU"/>
              </a:p>
            </c:rich>
          </c:tx>
          <c:layout>
            <c:manualLayout>
              <c:xMode val="edge"/>
              <c:yMode val="edge"/>
              <c:x val="4.8899755501222497E-2"/>
              <c:y val="0.23603008039349413"/>
            </c:manualLayout>
          </c:layout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7937024"/>
        <c:crosses val="autoZero"/>
        <c:crossBetween val="midCat"/>
      </c:valAx>
      <c:spPr>
        <a:noFill/>
        <a:ln w="25400"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2">
    <c:autoUpdate val="0"/>
  </c:externalData>
  <c:userShapes r:id="rId3"/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0.85419</cdr:x>
      <cdr:y>0.40618</cdr:y>
    </cdr:from>
    <cdr:to>
      <cdr:x>1</cdr:x>
      <cdr:y>0.67108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5425440" y="1402080"/>
          <a:ext cx="914400" cy="9144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en-AU" sz="1100"/>
            <a:t>Norway</a:t>
          </a:r>
        </a:p>
      </cdr:txBody>
    </cdr:sp>
  </cdr:relSizeAnchor>
  <cdr:relSizeAnchor xmlns:cdr="http://schemas.openxmlformats.org/drawingml/2006/chartDrawing">
    <cdr:from>
      <cdr:x>0.40219</cdr:x>
      <cdr:y>0.34437</cdr:y>
    </cdr:from>
    <cdr:to>
      <cdr:x>0.548</cdr:x>
      <cdr:y>0.60927</cdr:y>
    </cdr:to>
    <cdr:sp macro="" textlink="">
      <cdr:nvSpPr>
        <cdr:cNvPr id="5" name="TextBox 4"/>
        <cdr:cNvSpPr txBox="1"/>
      </cdr:nvSpPr>
      <cdr:spPr>
        <a:xfrm xmlns:a="http://schemas.openxmlformats.org/drawingml/2006/main">
          <a:off x="2522220" y="1188720"/>
          <a:ext cx="914400" cy="9144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en-AU" sz="1100"/>
        </a:p>
      </cdr:txBody>
    </cdr:sp>
  </cdr:relSizeAnchor>
  <cdr:relSizeAnchor xmlns:cdr="http://schemas.openxmlformats.org/drawingml/2006/chartDrawing">
    <cdr:from>
      <cdr:x>0.41069</cdr:x>
      <cdr:y>0.3532</cdr:y>
    </cdr:from>
    <cdr:to>
      <cdr:x>0.53706</cdr:x>
      <cdr:y>0.41722</cdr:y>
    </cdr:to>
    <cdr:sp macro="" textlink="">
      <cdr:nvSpPr>
        <cdr:cNvPr id="21" name="TextBox 20"/>
        <cdr:cNvSpPr txBox="1"/>
      </cdr:nvSpPr>
      <cdr:spPr>
        <a:xfrm xmlns:a="http://schemas.openxmlformats.org/drawingml/2006/main">
          <a:off x="2575560" y="1219200"/>
          <a:ext cx="792480" cy="22098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en-AU" sz="1100" b="1"/>
            <a:t>Australia</a:t>
          </a:r>
        </a:p>
      </cdr:txBody>
    </cdr:sp>
  </cdr:relSizeAnchor>
  <cdr:relSizeAnchor xmlns:cdr="http://schemas.openxmlformats.org/drawingml/2006/chartDrawing">
    <cdr:from>
      <cdr:x>0.22722</cdr:x>
      <cdr:y>0.67329</cdr:y>
    </cdr:from>
    <cdr:to>
      <cdr:x>0.37303</cdr:x>
      <cdr:y>0.93819</cdr:y>
    </cdr:to>
    <cdr:sp macro="" textlink="">
      <cdr:nvSpPr>
        <cdr:cNvPr id="22" name="TextBox 21"/>
        <cdr:cNvSpPr txBox="1"/>
      </cdr:nvSpPr>
      <cdr:spPr>
        <a:xfrm xmlns:a="http://schemas.openxmlformats.org/drawingml/2006/main">
          <a:off x="1424940" y="2324100"/>
          <a:ext cx="914400" cy="9144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en-AU" sz="1100"/>
            <a:t>Ireland</a:t>
          </a:r>
        </a:p>
      </cdr:txBody>
    </cdr:sp>
  </cdr:relSizeAnchor>
  <cdr:relSizeAnchor xmlns:cdr="http://schemas.openxmlformats.org/drawingml/2006/chartDrawing">
    <cdr:from>
      <cdr:x>0.42578</cdr:x>
      <cdr:y>0.47977</cdr:y>
    </cdr:from>
    <cdr:to>
      <cdr:x>0.56552</cdr:x>
      <cdr:y>0.55704</cdr:y>
    </cdr:to>
    <cdr:sp macro="" textlink="">
      <cdr:nvSpPr>
        <cdr:cNvPr id="23" name="TextBox 22"/>
        <cdr:cNvSpPr txBox="1"/>
      </cdr:nvSpPr>
      <cdr:spPr>
        <a:xfrm xmlns:a="http://schemas.openxmlformats.org/drawingml/2006/main">
          <a:off x="2592322" y="1732856"/>
          <a:ext cx="850790" cy="27909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en-AU" sz="1100"/>
            <a:t>Luxembourg</a:t>
          </a:r>
        </a:p>
      </cdr:txBody>
    </cdr:sp>
  </cdr:relSizeAnchor>
  <cdr:relSizeAnchor xmlns:cdr="http://schemas.openxmlformats.org/drawingml/2006/chartDrawing">
    <cdr:from>
      <cdr:x>0.11786</cdr:x>
      <cdr:y>0.54084</cdr:y>
    </cdr:from>
    <cdr:to>
      <cdr:x>0.26367</cdr:x>
      <cdr:y>0.80574</cdr:y>
    </cdr:to>
    <cdr:sp macro="" textlink="">
      <cdr:nvSpPr>
        <cdr:cNvPr id="24" name="TextBox 23"/>
        <cdr:cNvSpPr txBox="1"/>
      </cdr:nvSpPr>
      <cdr:spPr>
        <a:xfrm xmlns:a="http://schemas.openxmlformats.org/drawingml/2006/main">
          <a:off x="739140" y="1866900"/>
          <a:ext cx="914400" cy="9144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en-AU" sz="1100"/>
        </a:p>
      </cdr:txBody>
    </cdr:sp>
  </cdr:relSizeAnchor>
  <cdr:relSizeAnchor xmlns:cdr="http://schemas.openxmlformats.org/drawingml/2006/chartDrawing">
    <cdr:from>
      <cdr:x>0.07412</cdr:x>
      <cdr:y>0.49669</cdr:y>
    </cdr:from>
    <cdr:to>
      <cdr:x>0.14459</cdr:x>
      <cdr:y>0.57837</cdr:y>
    </cdr:to>
    <cdr:sp macro="" textlink="">
      <cdr:nvSpPr>
        <cdr:cNvPr id="25" name="TextBox 24"/>
        <cdr:cNvSpPr txBox="1"/>
      </cdr:nvSpPr>
      <cdr:spPr>
        <a:xfrm xmlns:a="http://schemas.openxmlformats.org/drawingml/2006/main">
          <a:off x="464820" y="1714500"/>
          <a:ext cx="441960" cy="28194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en-AU" sz="1100"/>
        </a:p>
      </cdr:txBody>
    </cdr:sp>
  </cdr:relSizeAnchor>
  <cdr:relSizeAnchor xmlns:cdr="http://schemas.openxmlformats.org/drawingml/2006/chartDrawing">
    <cdr:from>
      <cdr:x>0.05225</cdr:x>
      <cdr:y>0.52539</cdr:y>
    </cdr:from>
    <cdr:to>
      <cdr:x>0.2017</cdr:x>
      <cdr:y>0.5872</cdr:y>
    </cdr:to>
    <cdr:sp macro="" textlink="">
      <cdr:nvSpPr>
        <cdr:cNvPr id="26" name="TextBox 25"/>
        <cdr:cNvSpPr txBox="1"/>
      </cdr:nvSpPr>
      <cdr:spPr>
        <a:xfrm xmlns:a="http://schemas.openxmlformats.org/drawingml/2006/main">
          <a:off x="327660" y="1813560"/>
          <a:ext cx="937260" cy="21336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en-AU" sz="1100"/>
            <a:t>Hungary</a:t>
          </a:r>
        </a:p>
      </cdr:txBody>
    </cdr:sp>
  </cdr:relSizeAnchor>
  <cdr:relSizeAnchor xmlns:cdr="http://schemas.openxmlformats.org/drawingml/2006/chartDrawing">
    <cdr:from>
      <cdr:x>0.16776</cdr:x>
      <cdr:y>0.24213</cdr:y>
    </cdr:from>
    <cdr:to>
      <cdr:x>0.32503</cdr:x>
      <cdr:y>0.53269</cdr:y>
    </cdr:to>
    <cdr:sp macro="" textlink="">
      <cdr:nvSpPr>
        <cdr:cNvPr id="3" name="TextBox 2"/>
        <cdr:cNvSpPr txBox="1"/>
      </cdr:nvSpPr>
      <cdr:spPr>
        <a:xfrm xmlns:a="http://schemas.openxmlformats.org/drawingml/2006/main">
          <a:off x="975360" y="762000"/>
          <a:ext cx="914400" cy="9144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en-AU" sz="1100"/>
        </a:p>
      </cdr:txBody>
    </cdr:sp>
  </cdr:relSizeAnchor>
  <cdr:relSizeAnchor xmlns:cdr="http://schemas.openxmlformats.org/drawingml/2006/chartDrawing">
    <cdr:from>
      <cdr:x>0.28178</cdr:x>
      <cdr:y>0.22574</cdr:y>
    </cdr:from>
    <cdr:to>
      <cdr:x>0.37672</cdr:x>
      <cdr:y>0.30266</cdr:y>
    </cdr:to>
    <cdr:sp macro="" textlink="">
      <cdr:nvSpPr>
        <cdr:cNvPr id="4" name="TextBox 3"/>
        <cdr:cNvSpPr txBox="1"/>
      </cdr:nvSpPr>
      <cdr:spPr>
        <a:xfrm xmlns:a="http://schemas.openxmlformats.org/drawingml/2006/main">
          <a:off x="1715584" y="815340"/>
          <a:ext cx="578036" cy="277832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en-AU" sz="1100"/>
            <a:t>Japan</a:t>
          </a:r>
        </a:p>
      </cdr:txBody>
    </cdr:sp>
  </cdr:relSizeAnchor>
  <cdr:relSizeAnchor xmlns:cdr="http://schemas.openxmlformats.org/drawingml/2006/chartDrawing">
    <cdr:from>
      <cdr:x>0.13368</cdr:x>
      <cdr:y>0.22276</cdr:y>
    </cdr:from>
    <cdr:to>
      <cdr:x>0.29096</cdr:x>
      <cdr:y>0.51332</cdr:y>
    </cdr:to>
    <cdr:sp macro="" textlink="">
      <cdr:nvSpPr>
        <cdr:cNvPr id="15" name="TextBox 14"/>
        <cdr:cNvSpPr txBox="1"/>
      </cdr:nvSpPr>
      <cdr:spPr>
        <a:xfrm xmlns:a="http://schemas.openxmlformats.org/drawingml/2006/main">
          <a:off x="777240" y="701040"/>
          <a:ext cx="914400" cy="9144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en-AU" sz="1100"/>
        </a:p>
      </cdr:txBody>
    </cdr:sp>
  </cdr:relSizeAnchor>
  <cdr:relSizeAnchor xmlns:cdr="http://schemas.openxmlformats.org/drawingml/2006/chartDrawing">
    <cdr:from>
      <cdr:x>0.20595</cdr:x>
      <cdr:y>0.24206</cdr:y>
    </cdr:from>
    <cdr:to>
      <cdr:x>0.25782</cdr:x>
      <cdr:y>0.3038</cdr:y>
    </cdr:to>
    <cdr:sp macro="" textlink="">
      <cdr:nvSpPr>
        <cdr:cNvPr id="16" name="TextBox 15"/>
        <cdr:cNvSpPr txBox="1"/>
      </cdr:nvSpPr>
      <cdr:spPr>
        <a:xfrm xmlns:a="http://schemas.openxmlformats.org/drawingml/2006/main">
          <a:off x="1253873" y="874283"/>
          <a:ext cx="315847" cy="22299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en-AU" sz="1100"/>
            <a:t>US</a:t>
          </a:r>
        </a:p>
      </cdr:txBody>
    </cdr:sp>
  </cdr:relSizeAnchor>
  <cdr:relSizeAnchor xmlns:cdr="http://schemas.openxmlformats.org/drawingml/2006/chartDrawing">
    <cdr:from>
      <cdr:x>0.36959</cdr:x>
      <cdr:y>0.39952</cdr:y>
    </cdr:from>
    <cdr:to>
      <cdr:x>0.42678</cdr:x>
      <cdr:y>0.46414</cdr:y>
    </cdr:to>
    <cdr:sp macro="" textlink="">
      <cdr:nvSpPr>
        <cdr:cNvPr id="17" name="TextBox 16"/>
        <cdr:cNvSpPr txBox="1"/>
      </cdr:nvSpPr>
      <cdr:spPr>
        <a:xfrm xmlns:a="http://schemas.openxmlformats.org/drawingml/2006/main">
          <a:off x="2250205" y="1443018"/>
          <a:ext cx="348216" cy="233382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en-AU" sz="1100"/>
            <a:t>NZ</a:t>
          </a:r>
        </a:p>
      </cdr:txBody>
    </cdr:sp>
  </cdr:relSizeAnchor>
  <cdr:relSizeAnchor xmlns:cdr="http://schemas.openxmlformats.org/drawingml/2006/chartDrawing">
    <cdr:from>
      <cdr:x>0.32372</cdr:x>
      <cdr:y>0.5109</cdr:y>
    </cdr:from>
    <cdr:to>
      <cdr:x>0.40105</cdr:x>
      <cdr:y>0.59564</cdr:y>
    </cdr:to>
    <cdr:sp macro="" textlink="">
      <cdr:nvSpPr>
        <cdr:cNvPr id="6" name="TextBox 5"/>
        <cdr:cNvSpPr txBox="1"/>
      </cdr:nvSpPr>
      <cdr:spPr>
        <a:xfrm xmlns:a="http://schemas.openxmlformats.org/drawingml/2006/main">
          <a:off x="1882140" y="1607820"/>
          <a:ext cx="449580" cy="2667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en-AU" sz="1100"/>
            <a:t>Korea</a:t>
          </a:r>
        </a:p>
      </cdr:txBody>
    </cdr:sp>
  </cdr:relSizeAnchor>
  <cdr:relSizeAnchor xmlns:cdr="http://schemas.openxmlformats.org/drawingml/2006/chartDrawing">
    <cdr:from>
      <cdr:x>0.85419</cdr:x>
      <cdr:y>0.40618</cdr:y>
    </cdr:from>
    <cdr:to>
      <cdr:x>1</cdr:x>
      <cdr:y>0.67108</cdr:y>
    </cdr:to>
    <cdr:sp macro="" textlink="">
      <cdr:nvSpPr>
        <cdr:cNvPr id="9" name="TextBox 1"/>
        <cdr:cNvSpPr txBox="1"/>
      </cdr:nvSpPr>
      <cdr:spPr>
        <a:xfrm xmlns:a="http://schemas.openxmlformats.org/drawingml/2006/main">
          <a:off x="5425440" y="1402080"/>
          <a:ext cx="914400" cy="9144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en-AU" sz="1100"/>
            <a:t>Norway</a:t>
          </a:r>
        </a:p>
      </cdr:txBody>
    </cdr:sp>
  </cdr:relSizeAnchor>
  <cdr:relSizeAnchor xmlns:cdr="http://schemas.openxmlformats.org/drawingml/2006/chartDrawing">
    <cdr:from>
      <cdr:x>0.40219</cdr:x>
      <cdr:y>0.34437</cdr:y>
    </cdr:from>
    <cdr:to>
      <cdr:x>0.548</cdr:x>
      <cdr:y>0.60927</cdr:y>
    </cdr:to>
    <cdr:sp macro="" textlink="">
      <cdr:nvSpPr>
        <cdr:cNvPr id="10" name="TextBox 4"/>
        <cdr:cNvSpPr txBox="1"/>
      </cdr:nvSpPr>
      <cdr:spPr>
        <a:xfrm xmlns:a="http://schemas.openxmlformats.org/drawingml/2006/main">
          <a:off x="2522220" y="1188720"/>
          <a:ext cx="914400" cy="9144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en-AU" sz="1100"/>
        </a:p>
      </cdr:txBody>
    </cdr:sp>
  </cdr:relSizeAnchor>
  <cdr:relSizeAnchor xmlns:cdr="http://schemas.openxmlformats.org/drawingml/2006/chartDrawing">
    <cdr:from>
      <cdr:x>0.41069</cdr:x>
      <cdr:y>0.3532</cdr:y>
    </cdr:from>
    <cdr:to>
      <cdr:x>0.53706</cdr:x>
      <cdr:y>0.41722</cdr:y>
    </cdr:to>
    <cdr:sp macro="" textlink="">
      <cdr:nvSpPr>
        <cdr:cNvPr id="11" name="TextBox 20"/>
        <cdr:cNvSpPr txBox="1"/>
      </cdr:nvSpPr>
      <cdr:spPr>
        <a:xfrm xmlns:a="http://schemas.openxmlformats.org/drawingml/2006/main">
          <a:off x="2575560" y="1219200"/>
          <a:ext cx="792480" cy="22098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en-AU" sz="1100" b="1"/>
            <a:t>Australia</a:t>
          </a:r>
        </a:p>
      </cdr:txBody>
    </cdr:sp>
  </cdr:relSizeAnchor>
  <cdr:relSizeAnchor xmlns:cdr="http://schemas.openxmlformats.org/drawingml/2006/chartDrawing">
    <cdr:from>
      <cdr:x>0.22722</cdr:x>
      <cdr:y>0.67329</cdr:y>
    </cdr:from>
    <cdr:to>
      <cdr:x>0.37303</cdr:x>
      <cdr:y>0.93819</cdr:y>
    </cdr:to>
    <cdr:sp macro="" textlink="">
      <cdr:nvSpPr>
        <cdr:cNvPr id="12" name="TextBox 21"/>
        <cdr:cNvSpPr txBox="1"/>
      </cdr:nvSpPr>
      <cdr:spPr>
        <a:xfrm xmlns:a="http://schemas.openxmlformats.org/drawingml/2006/main">
          <a:off x="1424940" y="2324100"/>
          <a:ext cx="914400" cy="9144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en-AU" sz="1100"/>
            <a:t>Ireland</a:t>
          </a:r>
        </a:p>
      </cdr:txBody>
    </cdr:sp>
  </cdr:relSizeAnchor>
  <cdr:relSizeAnchor xmlns:cdr="http://schemas.openxmlformats.org/drawingml/2006/chartDrawing">
    <cdr:from>
      <cdr:x>0.42578</cdr:x>
      <cdr:y>0.47977</cdr:y>
    </cdr:from>
    <cdr:to>
      <cdr:x>0.56552</cdr:x>
      <cdr:y>0.55704</cdr:y>
    </cdr:to>
    <cdr:sp macro="" textlink="">
      <cdr:nvSpPr>
        <cdr:cNvPr id="13" name="TextBox 22"/>
        <cdr:cNvSpPr txBox="1"/>
      </cdr:nvSpPr>
      <cdr:spPr>
        <a:xfrm xmlns:a="http://schemas.openxmlformats.org/drawingml/2006/main">
          <a:off x="2592322" y="1732856"/>
          <a:ext cx="850790" cy="27909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en-AU" sz="1100"/>
            <a:t>Luxembourg</a:t>
          </a:r>
        </a:p>
      </cdr:txBody>
    </cdr:sp>
  </cdr:relSizeAnchor>
  <cdr:relSizeAnchor xmlns:cdr="http://schemas.openxmlformats.org/drawingml/2006/chartDrawing">
    <cdr:from>
      <cdr:x>0.11786</cdr:x>
      <cdr:y>0.54084</cdr:y>
    </cdr:from>
    <cdr:to>
      <cdr:x>0.26367</cdr:x>
      <cdr:y>0.80574</cdr:y>
    </cdr:to>
    <cdr:sp macro="" textlink="">
      <cdr:nvSpPr>
        <cdr:cNvPr id="14" name="TextBox 23"/>
        <cdr:cNvSpPr txBox="1"/>
      </cdr:nvSpPr>
      <cdr:spPr>
        <a:xfrm xmlns:a="http://schemas.openxmlformats.org/drawingml/2006/main">
          <a:off x="739140" y="1866900"/>
          <a:ext cx="914400" cy="9144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en-AU" sz="1100"/>
        </a:p>
      </cdr:txBody>
    </cdr:sp>
  </cdr:relSizeAnchor>
  <cdr:relSizeAnchor xmlns:cdr="http://schemas.openxmlformats.org/drawingml/2006/chartDrawing">
    <cdr:from>
      <cdr:x>0.07412</cdr:x>
      <cdr:y>0.49669</cdr:y>
    </cdr:from>
    <cdr:to>
      <cdr:x>0.14459</cdr:x>
      <cdr:y>0.57837</cdr:y>
    </cdr:to>
    <cdr:sp macro="" textlink="">
      <cdr:nvSpPr>
        <cdr:cNvPr id="18" name="TextBox 24"/>
        <cdr:cNvSpPr txBox="1"/>
      </cdr:nvSpPr>
      <cdr:spPr>
        <a:xfrm xmlns:a="http://schemas.openxmlformats.org/drawingml/2006/main">
          <a:off x="464820" y="1714500"/>
          <a:ext cx="441960" cy="28194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en-AU" sz="1100"/>
        </a:p>
      </cdr:txBody>
    </cdr:sp>
  </cdr:relSizeAnchor>
  <cdr:relSizeAnchor xmlns:cdr="http://schemas.openxmlformats.org/drawingml/2006/chartDrawing">
    <cdr:from>
      <cdr:x>0.05225</cdr:x>
      <cdr:y>0.52539</cdr:y>
    </cdr:from>
    <cdr:to>
      <cdr:x>0.2017</cdr:x>
      <cdr:y>0.5872</cdr:y>
    </cdr:to>
    <cdr:sp macro="" textlink="">
      <cdr:nvSpPr>
        <cdr:cNvPr id="19" name="TextBox 25"/>
        <cdr:cNvSpPr txBox="1"/>
      </cdr:nvSpPr>
      <cdr:spPr>
        <a:xfrm xmlns:a="http://schemas.openxmlformats.org/drawingml/2006/main">
          <a:off x="327660" y="1813560"/>
          <a:ext cx="937260" cy="21336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en-AU" sz="1100"/>
            <a:t>Hungary</a:t>
          </a:r>
        </a:p>
      </cdr:txBody>
    </cdr:sp>
  </cdr:relSizeAnchor>
  <cdr:relSizeAnchor xmlns:cdr="http://schemas.openxmlformats.org/drawingml/2006/chartDrawing">
    <cdr:from>
      <cdr:x>0.16776</cdr:x>
      <cdr:y>0.24213</cdr:y>
    </cdr:from>
    <cdr:to>
      <cdr:x>0.32503</cdr:x>
      <cdr:y>0.53269</cdr:y>
    </cdr:to>
    <cdr:sp macro="" textlink="">
      <cdr:nvSpPr>
        <cdr:cNvPr id="20" name="TextBox 2"/>
        <cdr:cNvSpPr txBox="1"/>
      </cdr:nvSpPr>
      <cdr:spPr>
        <a:xfrm xmlns:a="http://schemas.openxmlformats.org/drawingml/2006/main">
          <a:off x="975360" y="762000"/>
          <a:ext cx="914400" cy="9144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en-AU" sz="1100"/>
        </a:p>
      </cdr:txBody>
    </cdr:sp>
  </cdr:relSizeAnchor>
  <cdr:relSizeAnchor xmlns:cdr="http://schemas.openxmlformats.org/drawingml/2006/chartDrawing">
    <cdr:from>
      <cdr:x>0.28178</cdr:x>
      <cdr:y>0.22574</cdr:y>
    </cdr:from>
    <cdr:to>
      <cdr:x>0.37672</cdr:x>
      <cdr:y>0.30266</cdr:y>
    </cdr:to>
    <cdr:sp macro="" textlink="">
      <cdr:nvSpPr>
        <cdr:cNvPr id="27" name="TextBox 3"/>
        <cdr:cNvSpPr txBox="1"/>
      </cdr:nvSpPr>
      <cdr:spPr>
        <a:xfrm xmlns:a="http://schemas.openxmlformats.org/drawingml/2006/main">
          <a:off x="1715584" y="815340"/>
          <a:ext cx="578036" cy="277832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en-AU" sz="1100"/>
            <a:t>Japan</a:t>
          </a:r>
        </a:p>
      </cdr:txBody>
    </cdr:sp>
  </cdr:relSizeAnchor>
  <cdr:relSizeAnchor xmlns:cdr="http://schemas.openxmlformats.org/drawingml/2006/chartDrawing">
    <cdr:from>
      <cdr:x>0.13368</cdr:x>
      <cdr:y>0.22276</cdr:y>
    </cdr:from>
    <cdr:to>
      <cdr:x>0.29096</cdr:x>
      <cdr:y>0.51332</cdr:y>
    </cdr:to>
    <cdr:sp macro="" textlink="">
      <cdr:nvSpPr>
        <cdr:cNvPr id="28" name="TextBox 14"/>
        <cdr:cNvSpPr txBox="1"/>
      </cdr:nvSpPr>
      <cdr:spPr>
        <a:xfrm xmlns:a="http://schemas.openxmlformats.org/drawingml/2006/main">
          <a:off x="777240" y="701040"/>
          <a:ext cx="914400" cy="9144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en-AU" sz="1100"/>
        </a:p>
      </cdr:txBody>
    </cdr:sp>
  </cdr:relSizeAnchor>
  <cdr:relSizeAnchor xmlns:cdr="http://schemas.openxmlformats.org/drawingml/2006/chartDrawing">
    <cdr:from>
      <cdr:x>0.20595</cdr:x>
      <cdr:y>0.24206</cdr:y>
    </cdr:from>
    <cdr:to>
      <cdr:x>0.25782</cdr:x>
      <cdr:y>0.3038</cdr:y>
    </cdr:to>
    <cdr:sp macro="" textlink="">
      <cdr:nvSpPr>
        <cdr:cNvPr id="29" name="TextBox 15"/>
        <cdr:cNvSpPr txBox="1"/>
      </cdr:nvSpPr>
      <cdr:spPr>
        <a:xfrm xmlns:a="http://schemas.openxmlformats.org/drawingml/2006/main">
          <a:off x="1253873" y="874283"/>
          <a:ext cx="315847" cy="22299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en-AU" sz="1100"/>
            <a:t>US</a:t>
          </a:r>
        </a:p>
      </cdr:txBody>
    </cdr:sp>
  </cdr:relSizeAnchor>
  <cdr:relSizeAnchor xmlns:cdr="http://schemas.openxmlformats.org/drawingml/2006/chartDrawing">
    <cdr:from>
      <cdr:x>0.36959</cdr:x>
      <cdr:y>0.39952</cdr:y>
    </cdr:from>
    <cdr:to>
      <cdr:x>0.42678</cdr:x>
      <cdr:y>0.46414</cdr:y>
    </cdr:to>
    <cdr:sp macro="" textlink="">
      <cdr:nvSpPr>
        <cdr:cNvPr id="30" name="TextBox 16"/>
        <cdr:cNvSpPr txBox="1"/>
      </cdr:nvSpPr>
      <cdr:spPr>
        <a:xfrm xmlns:a="http://schemas.openxmlformats.org/drawingml/2006/main">
          <a:off x="2250205" y="1443018"/>
          <a:ext cx="348216" cy="233382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en-AU" sz="1100"/>
            <a:t>NZ</a:t>
          </a:r>
        </a:p>
      </cdr:txBody>
    </cdr:sp>
  </cdr:relSizeAnchor>
  <cdr:relSizeAnchor xmlns:cdr="http://schemas.openxmlformats.org/drawingml/2006/chartDrawing">
    <cdr:from>
      <cdr:x>0.32372</cdr:x>
      <cdr:y>0.5109</cdr:y>
    </cdr:from>
    <cdr:to>
      <cdr:x>0.40105</cdr:x>
      <cdr:y>0.59564</cdr:y>
    </cdr:to>
    <cdr:sp macro="" textlink="">
      <cdr:nvSpPr>
        <cdr:cNvPr id="31" name="TextBox 5"/>
        <cdr:cNvSpPr txBox="1"/>
      </cdr:nvSpPr>
      <cdr:spPr>
        <a:xfrm xmlns:a="http://schemas.openxmlformats.org/drawingml/2006/main">
          <a:off x="1882140" y="1607820"/>
          <a:ext cx="449580" cy="2667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en-AU" sz="1100"/>
            <a:t>Korea</a:t>
          </a:r>
        </a:p>
      </cdr:txBody>
    </cdr:sp>
  </cdr:relSizeAnchor>
  <cdr:relSizeAnchor xmlns:cdr="http://schemas.openxmlformats.org/drawingml/2006/chartDrawing">
    <cdr:from>
      <cdr:x>0.85419</cdr:x>
      <cdr:y>0.40618</cdr:y>
    </cdr:from>
    <cdr:to>
      <cdr:x>1</cdr:x>
      <cdr:y>0.67108</cdr:y>
    </cdr:to>
    <cdr:sp macro="" textlink="">
      <cdr:nvSpPr>
        <cdr:cNvPr id="32" name="TextBox 1"/>
        <cdr:cNvSpPr txBox="1"/>
      </cdr:nvSpPr>
      <cdr:spPr>
        <a:xfrm xmlns:a="http://schemas.openxmlformats.org/drawingml/2006/main">
          <a:off x="5425440" y="1402080"/>
          <a:ext cx="914400" cy="9144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en-AU" sz="1100"/>
            <a:t>Norway</a:t>
          </a:r>
        </a:p>
      </cdr:txBody>
    </cdr:sp>
  </cdr:relSizeAnchor>
  <cdr:relSizeAnchor xmlns:cdr="http://schemas.openxmlformats.org/drawingml/2006/chartDrawing">
    <cdr:from>
      <cdr:x>0.40219</cdr:x>
      <cdr:y>0.34437</cdr:y>
    </cdr:from>
    <cdr:to>
      <cdr:x>0.548</cdr:x>
      <cdr:y>0.60927</cdr:y>
    </cdr:to>
    <cdr:sp macro="" textlink="">
      <cdr:nvSpPr>
        <cdr:cNvPr id="33" name="TextBox 4"/>
        <cdr:cNvSpPr txBox="1"/>
      </cdr:nvSpPr>
      <cdr:spPr>
        <a:xfrm xmlns:a="http://schemas.openxmlformats.org/drawingml/2006/main">
          <a:off x="2522220" y="1188720"/>
          <a:ext cx="914400" cy="9144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en-AU" sz="1100"/>
        </a:p>
      </cdr:txBody>
    </cdr:sp>
  </cdr:relSizeAnchor>
  <cdr:relSizeAnchor xmlns:cdr="http://schemas.openxmlformats.org/drawingml/2006/chartDrawing">
    <cdr:from>
      <cdr:x>0.41069</cdr:x>
      <cdr:y>0.3532</cdr:y>
    </cdr:from>
    <cdr:to>
      <cdr:x>0.53706</cdr:x>
      <cdr:y>0.41722</cdr:y>
    </cdr:to>
    <cdr:sp macro="" textlink="">
      <cdr:nvSpPr>
        <cdr:cNvPr id="34" name="TextBox 20"/>
        <cdr:cNvSpPr txBox="1"/>
      </cdr:nvSpPr>
      <cdr:spPr>
        <a:xfrm xmlns:a="http://schemas.openxmlformats.org/drawingml/2006/main">
          <a:off x="2575560" y="1219200"/>
          <a:ext cx="792480" cy="22098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en-AU" sz="1100" b="1"/>
            <a:t>Australia</a:t>
          </a:r>
        </a:p>
      </cdr:txBody>
    </cdr:sp>
  </cdr:relSizeAnchor>
  <cdr:relSizeAnchor xmlns:cdr="http://schemas.openxmlformats.org/drawingml/2006/chartDrawing">
    <cdr:from>
      <cdr:x>0.22722</cdr:x>
      <cdr:y>0.67329</cdr:y>
    </cdr:from>
    <cdr:to>
      <cdr:x>0.37303</cdr:x>
      <cdr:y>0.93819</cdr:y>
    </cdr:to>
    <cdr:sp macro="" textlink="">
      <cdr:nvSpPr>
        <cdr:cNvPr id="35" name="TextBox 21"/>
        <cdr:cNvSpPr txBox="1"/>
      </cdr:nvSpPr>
      <cdr:spPr>
        <a:xfrm xmlns:a="http://schemas.openxmlformats.org/drawingml/2006/main">
          <a:off x="1424940" y="2324100"/>
          <a:ext cx="914400" cy="9144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en-AU" sz="1100"/>
            <a:t>Ireland</a:t>
          </a:r>
        </a:p>
      </cdr:txBody>
    </cdr:sp>
  </cdr:relSizeAnchor>
  <cdr:relSizeAnchor xmlns:cdr="http://schemas.openxmlformats.org/drawingml/2006/chartDrawing">
    <cdr:from>
      <cdr:x>0.42578</cdr:x>
      <cdr:y>0.47977</cdr:y>
    </cdr:from>
    <cdr:to>
      <cdr:x>0.56552</cdr:x>
      <cdr:y>0.55704</cdr:y>
    </cdr:to>
    <cdr:sp macro="" textlink="">
      <cdr:nvSpPr>
        <cdr:cNvPr id="36" name="TextBox 22"/>
        <cdr:cNvSpPr txBox="1"/>
      </cdr:nvSpPr>
      <cdr:spPr>
        <a:xfrm xmlns:a="http://schemas.openxmlformats.org/drawingml/2006/main">
          <a:off x="2592322" y="1732856"/>
          <a:ext cx="850790" cy="27909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en-AU" sz="1100"/>
            <a:t>Luxembourg</a:t>
          </a:r>
        </a:p>
      </cdr:txBody>
    </cdr:sp>
  </cdr:relSizeAnchor>
  <cdr:relSizeAnchor xmlns:cdr="http://schemas.openxmlformats.org/drawingml/2006/chartDrawing">
    <cdr:from>
      <cdr:x>0.11786</cdr:x>
      <cdr:y>0.54084</cdr:y>
    </cdr:from>
    <cdr:to>
      <cdr:x>0.26367</cdr:x>
      <cdr:y>0.80574</cdr:y>
    </cdr:to>
    <cdr:sp macro="" textlink="">
      <cdr:nvSpPr>
        <cdr:cNvPr id="37" name="TextBox 23"/>
        <cdr:cNvSpPr txBox="1"/>
      </cdr:nvSpPr>
      <cdr:spPr>
        <a:xfrm xmlns:a="http://schemas.openxmlformats.org/drawingml/2006/main">
          <a:off x="739140" y="1866900"/>
          <a:ext cx="914400" cy="9144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en-AU" sz="1100"/>
        </a:p>
      </cdr:txBody>
    </cdr:sp>
  </cdr:relSizeAnchor>
  <cdr:relSizeAnchor xmlns:cdr="http://schemas.openxmlformats.org/drawingml/2006/chartDrawing">
    <cdr:from>
      <cdr:x>0.07412</cdr:x>
      <cdr:y>0.49669</cdr:y>
    </cdr:from>
    <cdr:to>
      <cdr:x>0.14459</cdr:x>
      <cdr:y>0.57837</cdr:y>
    </cdr:to>
    <cdr:sp macro="" textlink="">
      <cdr:nvSpPr>
        <cdr:cNvPr id="38" name="TextBox 24"/>
        <cdr:cNvSpPr txBox="1"/>
      </cdr:nvSpPr>
      <cdr:spPr>
        <a:xfrm xmlns:a="http://schemas.openxmlformats.org/drawingml/2006/main">
          <a:off x="464820" y="1714500"/>
          <a:ext cx="441960" cy="28194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en-AU" sz="1100"/>
        </a:p>
      </cdr:txBody>
    </cdr:sp>
  </cdr:relSizeAnchor>
  <cdr:relSizeAnchor xmlns:cdr="http://schemas.openxmlformats.org/drawingml/2006/chartDrawing">
    <cdr:from>
      <cdr:x>0.05225</cdr:x>
      <cdr:y>0.52539</cdr:y>
    </cdr:from>
    <cdr:to>
      <cdr:x>0.2017</cdr:x>
      <cdr:y>0.5872</cdr:y>
    </cdr:to>
    <cdr:sp macro="" textlink="">
      <cdr:nvSpPr>
        <cdr:cNvPr id="39" name="TextBox 25"/>
        <cdr:cNvSpPr txBox="1"/>
      </cdr:nvSpPr>
      <cdr:spPr>
        <a:xfrm xmlns:a="http://schemas.openxmlformats.org/drawingml/2006/main">
          <a:off x="327660" y="1813560"/>
          <a:ext cx="937260" cy="21336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en-AU" sz="1100"/>
            <a:t>Hungary</a:t>
          </a:r>
        </a:p>
      </cdr:txBody>
    </cdr:sp>
  </cdr:relSizeAnchor>
  <cdr:relSizeAnchor xmlns:cdr="http://schemas.openxmlformats.org/drawingml/2006/chartDrawing">
    <cdr:from>
      <cdr:x>0.16776</cdr:x>
      <cdr:y>0.24213</cdr:y>
    </cdr:from>
    <cdr:to>
      <cdr:x>0.32503</cdr:x>
      <cdr:y>0.53269</cdr:y>
    </cdr:to>
    <cdr:sp macro="" textlink="">
      <cdr:nvSpPr>
        <cdr:cNvPr id="40" name="TextBox 2"/>
        <cdr:cNvSpPr txBox="1"/>
      </cdr:nvSpPr>
      <cdr:spPr>
        <a:xfrm xmlns:a="http://schemas.openxmlformats.org/drawingml/2006/main">
          <a:off x="975360" y="762000"/>
          <a:ext cx="914400" cy="9144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en-AU" sz="1100"/>
        </a:p>
      </cdr:txBody>
    </cdr:sp>
  </cdr:relSizeAnchor>
  <cdr:relSizeAnchor xmlns:cdr="http://schemas.openxmlformats.org/drawingml/2006/chartDrawing">
    <cdr:from>
      <cdr:x>0.28178</cdr:x>
      <cdr:y>0.22574</cdr:y>
    </cdr:from>
    <cdr:to>
      <cdr:x>0.37672</cdr:x>
      <cdr:y>0.30266</cdr:y>
    </cdr:to>
    <cdr:sp macro="" textlink="">
      <cdr:nvSpPr>
        <cdr:cNvPr id="41" name="TextBox 3"/>
        <cdr:cNvSpPr txBox="1"/>
      </cdr:nvSpPr>
      <cdr:spPr>
        <a:xfrm xmlns:a="http://schemas.openxmlformats.org/drawingml/2006/main">
          <a:off x="1715584" y="815340"/>
          <a:ext cx="578036" cy="277832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en-AU" sz="1100"/>
            <a:t>Japan</a:t>
          </a:r>
        </a:p>
      </cdr:txBody>
    </cdr:sp>
  </cdr:relSizeAnchor>
  <cdr:relSizeAnchor xmlns:cdr="http://schemas.openxmlformats.org/drawingml/2006/chartDrawing">
    <cdr:from>
      <cdr:x>0.13368</cdr:x>
      <cdr:y>0.22276</cdr:y>
    </cdr:from>
    <cdr:to>
      <cdr:x>0.29096</cdr:x>
      <cdr:y>0.51332</cdr:y>
    </cdr:to>
    <cdr:sp macro="" textlink="">
      <cdr:nvSpPr>
        <cdr:cNvPr id="42" name="TextBox 14"/>
        <cdr:cNvSpPr txBox="1"/>
      </cdr:nvSpPr>
      <cdr:spPr>
        <a:xfrm xmlns:a="http://schemas.openxmlformats.org/drawingml/2006/main">
          <a:off x="777240" y="701040"/>
          <a:ext cx="914400" cy="9144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en-AU" sz="1100"/>
        </a:p>
      </cdr:txBody>
    </cdr:sp>
  </cdr:relSizeAnchor>
  <cdr:relSizeAnchor xmlns:cdr="http://schemas.openxmlformats.org/drawingml/2006/chartDrawing">
    <cdr:from>
      <cdr:x>0.20595</cdr:x>
      <cdr:y>0.24206</cdr:y>
    </cdr:from>
    <cdr:to>
      <cdr:x>0.25782</cdr:x>
      <cdr:y>0.3038</cdr:y>
    </cdr:to>
    <cdr:sp macro="" textlink="">
      <cdr:nvSpPr>
        <cdr:cNvPr id="43" name="TextBox 15"/>
        <cdr:cNvSpPr txBox="1"/>
      </cdr:nvSpPr>
      <cdr:spPr>
        <a:xfrm xmlns:a="http://schemas.openxmlformats.org/drawingml/2006/main">
          <a:off x="1253873" y="874283"/>
          <a:ext cx="315847" cy="22299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en-AU" sz="1100"/>
            <a:t>US</a:t>
          </a:r>
        </a:p>
      </cdr:txBody>
    </cdr:sp>
  </cdr:relSizeAnchor>
  <cdr:relSizeAnchor xmlns:cdr="http://schemas.openxmlformats.org/drawingml/2006/chartDrawing">
    <cdr:from>
      <cdr:x>0.36959</cdr:x>
      <cdr:y>0.39952</cdr:y>
    </cdr:from>
    <cdr:to>
      <cdr:x>0.42678</cdr:x>
      <cdr:y>0.46414</cdr:y>
    </cdr:to>
    <cdr:sp macro="" textlink="">
      <cdr:nvSpPr>
        <cdr:cNvPr id="44" name="TextBox 16"/>
        <cdr:cNvSpPr txBox="1"/>
      </cdr:nvSpPr>
      <cdr:spPr>
        <a:xfrm xmlns:a="http://schemas.openxmlformats.org/drawingml/2006/main">
          <a:off x="2250205" y="1443018"/>
          <a:ext cx="348216" cy="233382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en-AU" sz="1100"/>
            <a:t>NZ</a:t>
          </a:r>
        </a:p>
      </cdr:txBody>
    </cdr:sp>
  </cdr:relSizeAnchor>
  <cdr:relSizeAnchor xmlns:cdr="http://schemas.openxmlformats.org/drawingml/2006/chartDrawing">
    <cdr:from>
      <cdr:x>0.32372</cdr:x>
      <cdr:y>0.5109</cdr:y>
    </cdr:from>
    <cdr:to>
      <cdr:x>0.40105</cdr:x>
      <cdr:y>0.59564</cdr:y>
    </cdr:to>
    <cdr:sp macro="" textlink="">
      <cdr:nvSpPr>
        <cdr:cNvPr id="45" name="TextBox 5"/>
        <cdr:cNvSpPr txBox="1"/>
      </cdr:nvSpPr>
      <cdr:spPr>
        <a:xfrm xmlns:a="http://schemas.openxmlformats.org/drawingml/2006/main">
          <a:off x="1882140" y="1607820"/>
          <a:ext cx="449580" cy="2667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en-AU" sz="1100"/>
            <a:t>Korea</a:t>
          </a:r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Treasury Document" ma:contentTypeID="0x01010036BB8DE7EC542E42A8B2E98CC20CB69700AA356CCBB2B4204EB1CD923E8E69F50F" ma:contentTypeVersion="20" ma:contentTypeDescription=" " ma:contentTypeScope="" ma:versionID="5f98c8cbbac35b65d49e269d8ff16445">
  <xsd:schema xmlns:xsd="http://www.w3.org/2001/XMLSchema" xmlns:xs="http://www.w3.org/2001/XMLSchema" xmlns:p="http://schemas.microsoft.com/office/2006/metadata/properties" xmlns:ns1="http://schemas.microsoft.com/sharepoint/v3" xmlns:ns2="9f7bc583-7cbe-45b9-a2bd-8bbb6543b37e" targetNamespace="http://schemas.microsoft.com/office/2006/metadata/properties" ma:root="true" ma:fieldsID="c29c24ef98f44afe980706751dfdcd7b" ns1:_="" ns2:_="">
    <xsd:import namespace="http://schemas.microsoft.com/sharepoint/v3"/>
    <xsd:import namespace="9f7bc583-7cbe-45b9-a2bd-8bbb6543b37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_dlc_Exempt" minOccurs="0"/>
                <xsd:element ref="ns2:lb508a4dc5e84436a0fe496b536466aa" minOccurs="0"/>
                <xsd:element ref="ns2:TaxCatchAll" minOccurs="0"/>
                <xsd:element ref="ns2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dlc_Exempt" ma:index="11" nillable="true" ma:displayName="Exempt from Policy" ma:hidden="true" ma:internalName="_dlc_Exempt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7bc583-7cbe-45b9-a2bd-8bbb6543b37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lb508a4dc5e84436a0fe496b536466aa" ma:index="12" nillable="true" ma:taxonomy="true" ma:internalName="lb508a4dc5e84436a0fe496b536466aa" ma:taxonomyFieldName="TSYRecordClass" ma:displayName="Record Class" ma:readOnly="false" ma:default="20;#TSY RA-9152 - Retain as national archives|9ab56360-fc55-4e73-997a-d8add4432252" ma:fieldId="{5b508a4d-c5e8-4436-a0fe-496b536466aa}" ma:sspId="77b7a547-5880-464f-83f8-cefe583c3af4" ma:termSetId="8c8a1de6-dea5-4e66-bd5a-b7b3daae0f3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3" nillable="true" ma:displayName="Taxonomy Catch All Column" ma:hidden="true" ma:list="{a5426e91-c895-42ba-91bf-fe5e23c4f0ec}" ma:internalName="TaxCatchAll" ma:showField="CatchAllData" ma:web="9f7bc583-7cbe-45b9-a2bd-8bbb6543b3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4" nillable="true" ma:displayName="Taxonomy Catch All Column1" ma:hidden="true" ma:list="{a5426e91-c895-42ba-91bf-fe5e23c4f0ec}" ma:internalName="TaxCatchAllLabel" ma:readOnly="true" ma:showField="CatchAllDataLabel" ma:web="9f7bc583-7cbe-45b9-a2bd-8bbb6543b3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b508a4dc5e84436a0fe496b536466aa xmlns="9f7bc583-7cbe-45b9-a2bd-8bbb6543b37e">
      <Terms xmlns="http://schemas.microsoft.com/office/infopath/2007/PartnerControls">
        <TermInfo xmlns="http://schemas.microsoft.com/office/infopath/2007/PartnerControls">
          <TermName xmlns="http://schemas.microsoft.com/office/infopath/2007/PartnerControls">TSY RA-9152 - Retain as national archives</TermName>
          <TermId xmlns="http://schemas.microsoft.com/office/infopath/2007/PartnerControls">9ab56360-fc55-4e73-997a-d8add4432252</TermId>
        </TermInfo>
      </Terms>
    </lb508a4dc5e84436a0fe496b536466aa>
    <TaxCatchAll xmlns="9f7bc583-7cbe-45b9-a2bd-8bbb6543b37e">
      <Value>20</Value>
    </TaxCatchAll>
    <_dlc_DocId xmlns="9f7bc583-7cbe-45b9-a2bd-8bbb6543b37e">2014RG-82-8127</_dlc_DocId>
    <_dlc_DocIdUrl xmlns="9f7bc583-7cbe-45b9-a2bd-8bbb6543b37e">
      <Url>http://tweb/sites/rg/project/twptf/_layouts/15/DocIdRedir.aspx?ID=2014RG-82-8127</Url>
      <Description>2014RG-82-8127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B691EF-1C62-4611-9F4A-C9A72FD0C9EF}"/>
</file>

<file path=customXml/itemProps2.xml><?xml version="1.0" encoding="utf-8"?>
<ds:datastoreItem xmlns:ds="http://schemas.openxmlformats.org/officeDocument/2006/customXml" ds:itemID="{0FFE5789-E34C-4684-9216-0C6781FB3034}"/>
</file>

<file path=customXml/itemProps3.xml><?xml version="1.0" encoding="utf-8"?>
<ds:datastoreItem xmlns:ds="http://schemas.openxmlformats.org/officeDocument/2006/customXml" ds:itemID="{B32198D0-B7F4-4D7F-9FD1-1CBA23544B81}"/>
</file>

<file path=customXml/itemProps4.xml><?xml version="1.0" encoding="utf-8"?>
<ds:datastoreItem xmlns:ds="http://schemas.openxmlformats.org/officeDocument/2006/customXml" ds:itemID="{CBDB5870-A1C5-4EED-9F7E-535E1A0BA9FB}"/>
</file>

<file path=customXml/itemProps5.xml><?xml version="1.0" encoding="utf-8"?>
<ds:datastoreItem xmlns:ds="http://schemas.openxmlformats.org/officeDocument/2006/customXml" ds:itemID="{A1E32817-D634-4032-9723-29004B2E321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3164</Words>
  <Characters>18040</Characters>
  <Application>Microsoft Office Word</Application>
  <DocSecurity>0</DocSecurity>
  <Lines>150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Centre for Internationa Finance and Regulation - Submission to the Tax Discussion Paper</vt:lpstr>
    </vt:vector>
  </TitlesOfParts>
  <Company/>
  <LinksUpToDate>false</LinksUpToDate>
  <CharactersWithSpaces>21162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Centre for Internationa Finance and Regulation - Submission to the Tax Discussion Paper</dc:title>
  <dc:creator>Centre for Internationa Finance and Regulation</dc:creator>
  <cp:lastModifiedBy>McLeod, Caitlin</cp:lastModifiedBy>
  <cp:revision>3</cp:revision>
  <cp:lastPrinted>2015-05-24T06:56:00Z</cp:lastPrinted>
  <dcterms:created xsi:type="dcterms:W3CDTF">2015-06-02T04:41:00Z</dcterms:created>
  <dcterms:modified xsi:type="dcterms:W3CDTF">2015-06-02T04:41:00Z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4" name="TSYRecordClass">
    <vt:lpwstr>20;#TSY RA-9152 - Retain as national archives|9ab56360-fc55-4e73-997a-d8add4432252</vt:lpwstr>
  </property>
  <property fmtid="{D5CDD505-2E9C-101B-9397-08002B2CF9AE}" pid="5" name="_dlc_DocIdItemGuid">
    <vt:lpwstr>db675acc-aba2-4955-97f6-50548ce7b53f</vt:lpwstr>
  </property>
  <property fmtid="{D5CDD505-2E9C-101B-9397-08002B2CF9AE}" pid="6" name="ContentTypeId">
    <vt:lpwstr>0x01010036BB8DE7EC542E42A8B2E98CC20CB69700AA356CCBB2B4204EB1CD923E8E69F50F</vt:lpwstr>
  </property>
</Properties>
</file>