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5CF83" w14:textId="2ABDC5EA" w:rsidR="00973660" w:rsidRDefault="00ED53E7" w:rsidP="009525AC">
      <w:pPr>
        <w:pStyle w:val="Heading1"/>
        <w:spacing w:after="300"/>
      </w:pPr>
      <w:bookmarkStart w:id="0" w:name="_Toc402520182"/>
      <w:bookmarkStart w:id="1" w:name="_GoBack"/>
      <w:bookmarkEnd w:id="1"/>
      <w:r>
        <w:t>I</w:t>
      </w:r>
      <w:r w:rsidR="00805A84">
        <w:t xml:space="preserve">ndirect taxes </w:t>
      </w:r>
      <w:bookmarkEnd w:id="0"/>
    </w:p>
    <w:p w14:paraId="6DA8071D" w14:textId="4D5E7A59" w:rsidR="009C61D5" w:rsidRDefault="009C61D5" w:rsidP="009C61D5">
      <w:r>
        <w:rPr>
          <w:noProof/>
        </w:rPr>
        <mc:AlternateContent>
          <mc:Choice Requires="wps">
            <w:drawing>
              <wp:anchor distT="0" distB="0" distL="114300" distR="114300" simplePos="0" relativeHeight="251658240" behindDoc="1" locked="0" layoutInCell="1" allowOverlap="1" wp14:anchorId="475697C7" wp14:editId="6463B856">
                <wp:simplePos x="0" y="0"/>
                <wp:positionH relativeFrom="column">
                  <wp:posOffset>-90805</wp:posOffset>
                </wp:positionH>
                <wp:positionV relativeFrom="paragraph">
                  <wp:posOffset>154940</wp:posOffset>
                </wp:positionV>
                <wp:extent cx="5975985" cy="4552950"/>
                <wp:effectExtent l="0" t="0" r="5715" b="0"/>
                <wp:wrapNone/>
                <wp:docPr id="3" name="Rectangle 3"/>
                <wp:cNvGraphicFramePr/>
                <a:graphic xmlns:a="http://schemas.openxmlformats.org/drawingml/2006/main">
                  <a:graphicData uri="http://schemas.microsoft.com/office/word/2010/wordprocessingShape">
                    <wps:wsp>
                      <wps:cNvSpPr/>
                      <wps:spPr>
                        <a:xfrm>
                          <a:off x="0" y="0"/>
                          <a:ext cx="5975985" cy="45529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15pt;margin-top:12.2pt;width:470.55pt;height:3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" fillcolor="#d5edf6 [660]" stroked="f" strokeweight="2pt"/>
            </w:pict>
          </mc:Fallback>
        </mc:AlternateContent>
      </w:r>
    </w:p>
    <w:p w14:paraId="6950A8AD" w14:textId="77777777" w:rsidR="009C61D5" w:rsidRPr="003047BE" w:rsidRDefault="009C61D5" w:rsidP="009C61D5">
      <w:pPr>
        <w:pStyle w:val="Overviewheading"/>
      </w:pPr>
      <w:r w:rsidRPr="003047BE">
        <w:t>Overview</w:t>
      </w:r>
    </w:p>
    <w:p w14:paraId="5663F19A" w14:textId="3F01A365" w:rsidR="009C61D5" w:rsidRPr="003047BE" w:rsidRDefault="009C61D5" w:rsidP="009525AC">
      <w:pPr>
        <w:pStyle w:val="Overviewtext"/>
        <w:spacing w:line="264" w:lineRule="auto"/>
        <w:rPr>
          <w:caps/>
        </w:rPr>
      </w:pPr>
      <w:r w:rsidRPr="003047BE">
        <w:t xml:space="preserve">This chapter provides an overview of indirect taxes levied on specific goods and services, including fuel taxes, alcohol taxes, tobacco tax, the </w:t>
      </w:r>
      <w:r w:rsidR="000D5C5E">
        <w:t>L</w:t>
      </w:r>
      <w:r w:rsidRPr="003047BE">
        <w:t xml:space="preserve">uxury </w:t>
      </w:r>
      <w:r w:rsidR="000D5C5E">
        <w:t>C</w:t>
      </w:r>
      <w:r w:rsidRPr="003047BE">
        <w:t xml:space="preserve">ar </w:t>
      </w:r>
      <w:r w:rsidR="000D5C5E">
        <w:t>T</w:t>
      </w:r>
      <w:r w:rsidRPr="003047BE">
        <w:t>ax, agricultural levies and tariffs. This chapter also discusses financial transaction taxes</w:t>
      </w:r>
      <w:r w:rsidR="0055505E" w:rsidRPr="003047BE">
        <w:t>,</w:t>
      </w:r>
      <w:r w:rsidRPr="003047BE">
        <w:t xml:space="preserve"> corrective taxes</w:t>
      </w:r>
      <w:r w:rsidR="00BD0635" w:rsidRPr="003047BE">
        <w:t xml:space="preserve"> and user charging</w:t>
      </w:r>
      <w:r w:rsidRPr="003047BE">
        <w:t>.</w:t>
      </w:r>
    </w:p>
    <w:p w14:paraId="53388B58" w14:textId="77777777" w:rsidR="009C61D5" w:rsidRPr="003047BE" w:rsidRDefault="009C61D5" w:rsidP="009C61D5">
      <w:pPr>
        <w:pStyle w:val="Overviewheading2"/>
      </w:pPr>
      <w:r w:rsidRPr="003047BE">
        <w:t>Key points</w:t>
      </w:r>
    </w:p>
    <w:p w14:paraId="3B46861C" w14:textId="77D34114" w:rsidR="009C61D5" w:rsidRPr="003047BE" w:rsidRDefault="009C61D5" w:rsidP="009C61D5">
      <w:pPr>
        <w:pStyle w:val="Bullets"/>
      </w:pPr>
      <w:r w:rsidRPr="003047BE">
        <w:t>Indirect taxes on specific goods and services can be an efficient way to raise revenue</w:t>
      </w:r>
      <w:r w:rsidR="00420BF3" w:rsidRPr="003047BE">
        <w:t>.</w:t>
      </w:r>
      <w:r w:rsidRPr="003047BE">
        <w:t xml:space="preserve"> </w:t>
      </w:r>
      <w:r w:rsidR="00420BF3" w:rsidRPr="003047BE">
        <w:t>H</w:t>
      </w:r>
      <w:r w:rsidRPr="003047BE">
        <w:t>owever, an ad hoc approach has contributed to a range of complexities and inconsistencies.</w:t>
      </w:r>
    </w:p>
    <w:p w14:paraId="1B93C388" w14:textId="77777777" w:rsidR="009C61D5" w:rsidRPr="003047BE" w:rsidRDefault="009C61D5" w:rsidP="009C61D5">
      <w:pPr>
        <w:pStyle w:val="Bullets"/>
      </w:pPr>
      <w:r w:rsidRPr="003047BE">
        <w:t xml:space="preserve">Fuel taxes are the largest source of revenue on a specific good or service. </w:t>
      </w:r>
    </w:p>
    <w:p w14:paraId="0EC0E657" w14:textId="77777777" w:rsidR="009C61D5" w:rsidRPr="003047BE" w:rsidRDefault="009C61D5" w:rsidP="009C61D5">
      <w:pPr>
        <w:pStyle w:val="Bullets"/>
      </w:pPr>
      <w:r w:rsidRPr="003047BE">
        <w:t>The taxation of alcohol has two separate regimes, applying a value based tax for wine products and a volume based excise tax for other alcoholic beverages, with 16 different excise categories.</w:t>
      </w:r>
    </w:p>
    <w:p w14:paraId="58C92EA6" w14:textId="739AC375" w:rsidR="009C61D5" w:rsidRPr="003047BE" w:rsidRDefault="009C61D5" w:rsidP="009C61D5">
      <w:pPr>
        <w:pStyle w:val="Bullets"/>
        <w:spacing w:after="240"/>
      </w:pPr>
      <w:r w:rsidRPr="003047BE">
        <w:t xml:space="preserve">The Luxury Car Tax has a narrow tax base, is complex and is the </w:t>
      </w:r>
      <w:r w:rsidR="006119A5" w:rsidRPr="003047BE">
        <w:t xml:space="preserve">Australian </w:t>
      </w:r>
      <w:r w:rsidRPr="003047BE">
        <w:t>Government</w:t>
      </w:r>
      <w:r w:rsidR="00111EFA">
        <w:t>’</w:t>
      </w:r>
      <w:r w:rsidRPr="003047BE">
        <w:t>s only luxury tax on a specific good or service.</w:t>
      </w:r>
    </w:p>
    <w:p w14:paraId="5D55E09B" w14:textId="77777777" w:rsidR="009C61D5" w:rsidRPr="003047BE" w:rsidRDefault="009C61D5" w:rsidP="0026574D">
      <w:pPr>
        <w:spacing w:after="360"/>
      </w:pPr>
    </w:p>
    <w:p w14:paraId="75A50498" w14:textId="04D8DBA3" w:rsidR="002F377B" w:rsidRPr="003047BE" w:rsidRDefault="00F65D6E" w:rsidP="009C61D5">
      <w:pPr>
        <w:pStyle w:val="Heading2"/>
        <w:ind w:left="993" w:hanging="993"/>
      </w:pPr>
      <w:r w:rsidRPr="003047BE">
        <w:t>Indirect taxes</w:t>
      </w:r>
    </w:p>
    <w:p w14:paraId="6A22B1B3" w14:textId="61915689" w:rsidR="00041E59" w:rsidRPr="003047BE" w:rsidRDefault="00805A84" w:rsidP="00805A84">
      <w:r w:rsidRPr="003047BE">
        <w:t xml:space="preserve">In addition to the GST, </w:t>
      </w:r>
      <w:r w:rsidR="00AE33B9" w:rsidRPr="003047BE">
        <w:t xml:space="preserve">which the </w:t>
      </w:r>
      <w:r w:rsidR="006119A5" w:rsidRPr="003047BE">
        <w:t xml:space="preserve">Australian </w:t>
      </w:r>
      <w:r w:rsidR="00D67E10" w:rsidRPr="003047BE">
        <w:t>Government</w:t>
      </w:r>
      <w:r w:rsidR="00041E59" w:rsidRPr="003047BE">
        <w:t xml:space="preserve"> </w:t>
      </w:r>
      <w:r w:rsidR="00AE33B9" w:rsidRPr="003047BE">
        <w:t xml:space="preserve">collects on behalf of </w:t>
      </w:r>
      <w:r w:rsidR="004E4BB8">
        <w:t>s</w:t>
      </w:r>
      <w:r w:rsidR="00AE33B9" w:rsidRPr="003047BE">
        <w:t xml:space="preserve">tate and </w:t>
      </w:r>
      <w:r w:rsidR="004E4BB8">
        <w:t>t</w:t>
      </w:r>
      <w:r w:rsidR="00AE33B9" w:rsidRPr="003047BE">
        <w:t xml:space="preserve">erritory governments, </w:t>
      </w:r>
      <w:r w:rsidRPr="003047BE">
        <w:t xml:space="preserve">the </w:t>
      </w:r>
      <w:r w:rsidR="006119A5" w:rsidRPr="003047BE">
        <w:t>Australian</w:t>
      </w:r>
      <w:r w:rsidRPr="003047BE">
        <w:t xml:space="preserve"> </w:t>
      </w:r>
      <w:r w:rsidR="00D67E10" w:rsidRPr="003047BE">
        <w:t xml:space="preserve">Government </w:t>
      </w:r>
      <w:r w:rsidRPr="003047BE">
        <w:t>collects a range of other indirect taxes. While the GST operates as a broad</w:t>
      </w:r>
      <w:r w:rsidR="00111EFA">
        <w:noBreakHyphen/>
      </w:r>
      <w:r w:rsidRPr="003047BE">
        <w:t xml:space="preserve">based tax, these other indirect taxes are levied on specific goods and services. </w:t>
      </w:r>
      <w:r w:rsidR="00872E07" w:rsidRPr="003047BE">
        <w:t xml:space="preserve">This chapter considers the main </w:t>
      </w:r>
      <w:r w:rsidR="006119A5" w:rsidRPr="003047BE">
        <w:t>Australian</w:t>
      </w:r>
      <w:r w:rsidR="00872E07" w:rsidRPr="003047BE">
        <w:t xml:space="preserve"> </w:t>
      </w:r>
      <w:r w:rsidR="00117A28" w:rsidRPr="003047BE">
        <w:t>G</w:t>
      </w:r>
      <w:r w:rsidR="00872E07" w:rsidRPr="003047BE">
        <w:t>overnment specific indirect taxes including</w:t>
      </w:r>
      <w:r w:rsidR="00041E59" w:rsidRPr="003047BE">
        <w:t xml:space="preserve"> fuel taxes, alcohol taxes, tobacco tax, the </w:t>
      </w:r>
      <w:r w:rsidR="000D5C5E">
        <w:t>L</w:t>
      </w:r>
      <w:r w:rsidR="00041E59" w:rsidRPr="003047BE">
        <w:t xml:space="preserve">uxury </w:t>
      </w:r>
      <w:r w:rsidR="000D5C5E">
        <w:t>C</w:t>
      </w:r>
      <w:r w:rsidR="00041E59" w:rsidRPr="003047BE">
        <w:t xml:space="preserve">ar </w:t>
      </w:r>
      <w:r w:rsidR="000D5C5E">
        <w:t>T</w:t>
      </w:r>
      <w:r w:rsidR="00041E59" w:rsidRPr="003047BE">
        <w:t>ax, agricultural levies and tariffs</w:t>
      </w:r>
      <w:r w:rsidR="00872E07" w:rsidRPr="003047BE">
        <w:t xml:space="preserve">. </w:t>
      </w:r>
    </w:p>
    <w:p w14:paraId="4DC20BF6" w14:textId="2B7D87D5" w:rsidR="005C2557" w:rsidRPr="003047BE" w:rsidRDefault="00041E59" w:rsidP="00805A84">
      <w:r w:rsidRPr="003047BE">
        <w:t>The rate and method of tax imposed on these specific goods</w:t>
      </w:r>
      <w:r w:rsidR="00FA2C02" w:rsidRPr="003047BE">
        <w:t xml:space="preserve"> and services</w:t>
      </w:r>
      <w:r w:rsidRPr="003047BE">
        <w:t xml:space="preserve"> varies, </w:t>
      </w:r>
      <w:r w:rsidR="00614456" w:rsidRPr="003047BE">
        <w:t xml:space="preserve">which </w:t>
      </w:r>
      <w:r w:rsidRPr="003047BE">
        <w:t>reflect</w:t>
      </w:r>
      <w:r w:rsidR="00614456" w:rsidRPr="003047BE">
        <w:t>s</w:t>
      </w:r>
      <w:r w:rsidRPr="003047BE">
        <w:t xml:space="preserve"> a diverse range of policy rationales underpinning the different indirect taxes. </w:t>
      </w:r>
      <w:r w:rsidR="00805A84" w:rsidRPr="003047BE">
        <w:t>Traditionally, some indirect taxes have had a dual purpose of revenue generation and achievi</w:t>
      </w:r>
      <w:r w:rsidR="00662FA3" w:rsidRPr="003047BE">
        <w:t>ng desired behavioural changes.</w:t>
      </w:r>
    </w:p>
    <w:p w14:paraId="3911F100" w14:textId="7CA80570" w:rsidR="0033518E" w:rsidRPr="003047BE" w:rsidRDefault="0033518E" w:rsidP="0033518E">
      <w:r w:rsidRPr="003047BE">
        <w:lastRenderedPageBreak/>
        <w:t xml:space="preserve">Indirect taxes </w:t>
      </w:r>
      <w:r w:rsidR="00F27290" w:rsidRPr="003047BE">
        <w:t>can</w:t>
      </w:r>
      <w:r w:rsidRPr="003047BE">
        <w:t xml:space="preserve"> be an efficient way to raise </w:t>
      </w:r>
      <w:r w:rsidR="00BF0893">
        <w:t>revenue.</w:t>
      </w:r>
      <w:r w:rsidR="00F27290" w:rsidRPr="003047BE">
        <w:t xml:space="preserve"> I</w:t>
      </w:r>
      <w:r w:rsidRPr="003047BE">
        <w:t xml:space="preserve">f taxes are imposed on goods or services where demand is less responsive to price changes, then </w:t>
      </w:r>
      <w:r w:rsidR="00F27290" w:rsidRPr="003047BE">
        <w:t xml:space="preserve">they have a </w:t>
      </w:r>
      <w:r w:rsidRPr="003047BE">
        <w:t>relatively small distortion</w:t>
      </w:r>
      <w:r w:rsidR="00F27290" w:rsidRPr="003047BE">
        <w:t>ary impact</w:t>
      </w:r>
      <w:r w:rsidRPr="003047BE">
        <w:t xml:space="preserve"> on </w:t>
      </w:r>
      <w:r w:rsidR="00F27290" w:rsidRPr="003047BE">
        <w:t>behaviour</w:t>
      </w:r>
      <w:r w:rsidR="00C06634">
        <w:t>.</w:t>
      </w:r>
      <w:r w:rsidRPr="003047BE">
        <w:t xml:space="preserve"> </w:t>
      </w:r>
      <w:r w:rsidR="00F27290" w:rsidRPr="003047BE">
        <w:t>In this regard, modelling undertaken for</w:t>
      </w:r>
      <w:r w:rsidRPr="003047BE">
        <w:t xml:space="preserve"> Australia</w:t>
      </w:r>
      <w:r w:rsidR="00111EFA">
        <w:t>’</w:t>
      </w:r>
      <w:r w:rsidRPr="003047BE">
        <w:t xml:space="preserve">s Future Tax System </w:t>
      </w:r>
      <w:r w:rsidR="00F27290" w:rsidRPr="003047BE">
        <w:t>Review found</w:t>
      </w:r>
      <w:r w:rsidRPr="003047BE">
        <w:t xml:space="preserve"> fuel taxes </w:t>
      </w:r>
      <w:r w:rsidR="00F27290" w:rsidRPr="003047BE">
        <w:t>have</w:t>
      </w:r>
      <w:r w:rsidRPr="003047BE">
        <w:t xml:space="preserve"> a relatively low marginal welfare loss compared to other taxes.</w:t>
      </w:r>
      <w:r w:rsidRPr="003047BE">
        <w:rPr>
          <w:rStyle w:val="FootnoteReference"/>
        </w:rPr>
        <w:footnoteReference w:id="2"/>
      </w:r>
      <w:r w:rsidRPr="003047BE">
        <w:t xml:space="preserve"> </w:t>
      </w:r>
    </w:p>
    <w:p w14:paraId="6A0EC234" w14:textId="4E7D4B53" w:rsidR="00805A84" w:rsidRPr="003047BE" w:rsidRDefault="00805A84" w:rsidP="00805A84">
      <w:r w:rsidRPr="003047BE">
        <w:rPr>
          <w:rFonts w:cstheme="minorHAnsi"/>
        </w:rPr>
        <w:t>Indirect taxes, other than the GST, raised $</w:t>
      </w:r>
      <w:r w:rsidR="005F6C8E" w:rsidRPr="003047BE">
        <w:rPr>
          <w:rFonts w:cstheme="minorHAnsi"/>
        </w:rPr>
        <w:t xml:space="preserve">47 </w:t>
      </w:r>
      <w:r w:rsidRPr="003047BE">
        <w:rPr>
          <w:rFonts w:cstheme="minorHAnsi"/>
        </w:rPr>
        <w:t>billion in 2013</w:t>
      </w:r>
      <w:r w:rsidR="00111EFA">
        <w:rPr>
          <w:rFonts w:cstheme="minorHAnsi"/>
        </w:rPr>
        <w:noBreakHyphen/>
      </w:r>
      <w:r w:rsidRPr="003047BE">
        <w:rPr>
          <w:rFonts w:cstheme="minorHAnsi"/>
        </w:rPr>
        <w:t xml:space="preserve">14, or </w:t>
      </w:r>
      <w:r w:rsidR="005F6C8E" w:rsidRPr="003047BE">
        <w:rPr>
          <w:rFonts w:cstheme="minorHAnsi"/>
        </w:rPr>
        <w:t xml:space="preserve">13 </w:t>
      </w:r>
      <w:r w:rsidRPr="003047BE">
        <w:rPr>
          <w:rFonts w:cstheme="minorHAnsi"/>
        </w:rPr>
        <w:t xml:space="preserve">per cent of total </w:t>
      </w:r>
      <w:r w:rsidR="006119A5" w:rsidRPr="003047BE">
        <w:t>Australian</w:t>
      </w:r>
      <w:r w:rsidRPr="003047BE">
        <w:rPr>
          <w:rFonts w:cstheme="minorHAnsi"/>
        </w:rPr>
        <w:t xml:space="preserve"> Government taxation revenue. </w:t>
      </w:r>
      <w:r w:rsidRPr="003047BE">
        <w:t>Of this $</w:t>
      </w:r>
      <w:r w:rsidR="005F6C8E" w:rsidRPr="003047BE">
        <w:t xml:space="preserve">47 </w:t>
      </w:r>
      <w:r w:rsidRPr="003047BE">
        <w:t>billion, $</w:t>
      </w:r>
      <w:r w:rsidR="00265F34" w:rsidRPr="003047BE">
        <w:t>33</w:t>
      </w:r>
      <w:r w:rsidRPr="003047BE">
        <w:t xml:space="preserve"> billion came from fuel taxes, alcohol taxes and tobacco tax</w:t>
      </w:r>
      <w:r w:rsidR="0095434E" w:rsidRPr="003047BE">
        <w:t>. T</w:t>
      </w:r>
      <w:r w:rsidR="00721E24" w:rsidRPr="003047BE">
        <w:t>h</w:t>
      </w:r>
      <w:r w:rsidR="00512441" w:rsidRPr="003047BE">
        <w:t>e $47 billion</w:t>
      </w:r>
      <w:r w:rsidR="00721E24" w:rsidRPr="003047BE">
        <w:t xml:space="preserve"> includes $</w:t>
      </w:r>
      <w:r w:rsidR="00432647" w:rsidRPr="003047BE">
        <w:t>7</w:t>
      </w:r>
      <w:r w:rsidR="00721E24" w:rsidRPr="003047BE">
        <w:t xml:space="preserve"> billion from the carbon tax that the government has </w:t>
      </w:r>
      <w:r w:rsidR="0095434E" w:rsidRPr="003047BE">
        <w:t xml:space="preserve">since </w:t>
      </w:r>
      <w:r w:rsidR="00621FD4" w:rsidRPr="003047BE">
        <w:t>abolished</w:t>
      </w:r>
      <w:r w:rsidR="00721E24" w:rsidRPr="003047BE">
        <w:t>.</w:t>
      </w:r>
      <w:r w:rsidR="005F3A4C" w:rsidRPr="003047BE">
        <w:rPr>
          <w:rStyle w:val="FootnoteReference"/>
        </w:rPr>
        <w:footnoteReference w:id="3"/>
      </w:r>
    </w:p>
    <w:p w14:paraId="533D2A91" w14:textId="4AFFBE0C" w:rsidR="00805A84" w:rsidRPr="003047BE" w:rsidRDefault="006C10B4" w:rsidP="006C10B4">
      <w:pPr>
        <w:pStyle w:val="ChartMainHeading"/>
      </w:pPr>
      <w:bookmarkStart w:id="2" w:name="_Ref404261189"/>
      <w:proofErr w:type="gramStart"/>
      <w:r w:rsidRPr="003047BE">
        <w:t xml:space="preserve">Chart </w:t>
      </w:r>
      <w:fldSimple w:instr=" STYLEREF 1 \s ">
        <w:r w:rsidR="00206962">
          <w:rPr>
            <w:noProof/>
          </w:rPr>
          <w:t>9</w:t>
        </w:r>
      </w:fldSimple>
      <w:r w:rsidRPr="003047BE">
        <w:t>.</w:t>
      </w:r>
      <w:proofErr w:type="gramEnd"/>
      <w:r w:rsidR="000F1F17">
        <w:fldChar w:fldCharType="begin"/>
      </w:r>
      <w:r w:rsidR="000F1F17">
        <w:instrText xml:space="preserve"> SEQ Chart \* ARABIC \s 1 </w:instrText>
      </w:r>
      <w:r w:rsidR="000F1F17">
        <w:fldChar w:fldCharType="separate"/>
      </w:r>
      <w:r w:rsidR="00206962">
        <w:rPr>
          <w:noProof/>
        </w:rPr>
        <w:t>1</w:t>
      </w:r>
      <w:r w:rsidR="000F1F17">
        <w:rPr>
          <w:noProof/>
        </w:rPr>
        <w:fldChar w:fldCharType="end"/>
      </w:r>
      <w:bookmarkEnd w:id="2"/>
      <w:r w:rsidRPr="003047BE">
        <w:t xml:space="preserve"> </w:t>
      </w:r>
      <w:r w:rsidR="006119A5" w:rsidRPr="003047BE">
        <w:t>Australian</w:t>
      </w:r>
      <w:r w:rsidR="00805A84" w:rsidRPr="003047BE">
        <w:t xml:space="preserve"> indirect tax revenue</w:t>
      </w:r>
      <w:r w:rsidR="001E7827" w:rsidRPr="003047BE">
        <w:t>,</w:t>
      </w:r>
      <w:r w:rsidR="00805A84" w:rsidRPr="003047BE">
        <w:t xml:space="preserve"> 2013</w:t>
      </w:r>
      <w:r w:rsidR="00111EFA">
        <w:noBreakHyphen/>
      </w:r>
      <w:r w:rsidR="00805A84" w:rsidRPr="003047BE">
        <w:t>14</w:t>
      </w:r>
    </w:p>
    <w:bookmarkStart w:id="3" w:name="_1480154749"/>
    <w:bookmarkStart w:id="4" w:name="_1483966954"/>
    <w:bookmarkStart w:id="5" w:name="_1487150911"/>
    <w:bookmarkEnd w:id="3"/>
    <w:bookmarkEnd w:id="4"/>
    <w:bookmarkEnd w:id="5"/>
    <w:p w14:paraId="48683448" w14:textId="528DB5CB" w:rsidR="006237A7" w:rsidRPr="003047BE" w:rsidRDefault="00F46392" w:rsidP="001773E7">
      <w:pPr>
        <w:pStyle w:val="ChartGraphic"/>
      </w:pPr>
      <w:r>
        <w:object w:dxaOrig="8775" w:dyaOrig="4515" w14:anchorId="5110AF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9.1 Australian indirect tax revenue, 2013-14.&#10;&#10;This chart illustrates the composition of Australian Government indirect tax revenue in the year 2013-14. In that year, Australian Government indirect taxes, other than the GST, raised $47 billion. The greatest contributors to indirect tax revenue (other than GST) were fuel excises and customs duties at $18.3 billion, tobacco excise and customs duty at $8.5 billion, and alcohol excises and customs duties and the wine equalisation tax at $5.9 billion.&#10;" style="width:438.75pt;height:225.75pt" o:ole="">
            <v:imagedata r:id="rId13" o:title=""/>
          </v:shape>
          <o:OLEObject Type="Link" ProgID="Excel.Sheet.12" ShapeID="_x0000_i1025" DrawAspect="Content" r:id="rId14" UpdateMode="Always">
            <o:LinkType>EnhancedMetaFile</o:LinkType>
            <o:LockedField/>
          </o:OLEObject>
        </w:object>
      </w:r>
    </w:p>
    <w:p w14:paraId="02108654" w14:textId="43F0FC25" w:rsidR="006C10B4" w:rsidRPr="003047BE" w:rsidRDefault="006C10B4" w:rsidP="000833D7">
      <w:pPr>
        <w:pStyle w:val="ChartandTableNote"/>
        <w:ind w:left="709"/>
      </w:pPr>
      <w:r w:rsidRPr="003047BE">
        <w:t xml:space="preserve">Note: Excludes the </w:t>
      </w:r>
      <w:r w:rsidR="000A320B" w:rsidRPr="003047BE">
        <w:t>GST</w:t>
      </w:r>
      <w:r w:rsidR="00BD749E" w:rsidRPr="003047BE">
        <w:t>. Other indirect taxes include the passenger movement charge, broadcasting license fees, the carbon pricing mechanism and a range of other levies, penalties and charges.</w:t>
      </w:r>
    </w:p>
    <w:p w14:paraId="747C176C" w14:textId="10B82B38" w:rsidR="00805A84" w:rsidRPr="003047BE" w:rsidRDefault="00805A84" w:rsidP="000833D7">
      <w:pPr>
        <w:pStyle w:val="ChartandTableNote"/>
        <w:ind w:left="709"/>
      </w:pPr>
      <w:r w:rsidRPr="003047BE">
        <w:t>Source:</w:t>
      </w:r>
      <w:r w:rsidR="009968ED" w:rsidRPr="003047BE">
        <w:t xml:space="preserve"> </w:t>
      </w:r>
      <w:r w:rsidR="00D63977" w:rsidRPr="003047BE">
        <w:t xml:space="preserve">Australian Government 2014, </w:t>
      </w:r>
      <w:r w:rsidR="00A82A4A" w:rsidRPr="003047BE">
        <w:rPr>
          <w:i/>
        </w:rPr>
        <w:t>2013</w:t>
      </w:r>
      <w:r w:rsidR="00111EFA">
        <w:rPr>
          <w:i/>
        </w:rPr>
        <w:noBreakHyphen/>
      </w:r>
      <w:r w:rsidR="00A82A4A" w:rsidRPr="003047BE">
        <w:rPr>
          <w:i/>
        </w:rPr>
        <w:t xml:space="preserve">14 </w:t>
      </w:r>
      <w:r w:rsidR="00D63977" w:rsidRPr="003047BE">
        <w:rPr>
          <w:i/>
        </w:rPr>
        <w:t>Final Budget Outcome</w:t>
      </w:r>
      <w:r w:rsidR="00D63977" w:rsidRPr="003047BE">
        <w:t>, Australian Government, Canberra.</w:t>
      </w:r>
    </w:p>
    <w:p w14:paraId="1901B72A" w14:textId="77777777" w:rsidR="0026574D" w:rsidRPr="003047BE" w:rsidRDefault="0026574D" w:rsidP="0026574D"/>
    <w:p w14:paraId="4B03511B" w14:textId="77777777" w:rsidR="00805A84" w:rsidRPr="003047BE" w:rsidRDefault="00805A84" w:rsidP="00504C00">
      <w:pPr>
        <w:pStyle w:val="Heading2"/>
        <w:ind w:left="993" w:hanging="993"/>
      </w:pPr>
      <w:bookmarkStart w:id="6" w:name="_Toc402326918"/>
      <w:bookmarkStart w:id="7" w:name="_Toc402333571"/>
      <w:bookmarkStart w:id="8" w:name="_Toc402340352"/>
      <w:bookmarkStart w:id="9" w:name="_Toc402343446"/>
      <w:bookmarkStart w:id="10" w:name="_Toc402346682"/>
      <w:bookmarkStart w:id="11" w:name="_Toc402349138"/>
      <w:bookmarkStart w:id="12" w:name="_Toc402350666"/>
      <w:bookmarkStart w:id="13" w:name="_Toc402353687"/>
      <w:bookmarkStart w:id="14" w:name="_Toc402362215"/>
      <w:bookmarkStart w:id="15" w:name="_Toc402368804"/>
      <w:bookmarkStart w:id="16" w:name="_Toc402369889"/>
      <w:bookmarkStart w:id="17" w:name="_Toc402370554"/>
      <w:bookmarkStart w:id="18" w:name="_Toc402371501"/>
      <w:bookmarkStart w:id="19" w:name="_Toc404350547"/>
      <w:r w:rsidRPr="003047BE">
        <w:t>Fuel taxes</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594B4B01" w14:textId="2E8EF12B" w:rsidR="00805A84" w:rsidRPr="003047BE" w:rsidRDefault="00805A84" w:rsidP="00805A84">
      <w:r w:rsidRPr="003047BE">
        <w:t>Fuel taxes (that is, excise and excise</w:t>
      </w:r>
      <w:r w:rsidR="00111EFA">
        <w:noBreakHyphen/>
      </w:r>
      <w:r w:rsidRPr="003047BE">
        <w:t>equivalent customs duty) apply to fuels used in Australia</w:t>
      </w:r>
      <w:r w:rsidR="000A320B" w:rsidRPr="003047BE">
        <w:t xml:space="preserve">. Fuel </w:t>
      </w:r>
      <w:r w:rsidR="00A76073" w:rsidRPr="003047BE">
        <w:t>taxes raise the most revenue</w:t>
      </w:r>
      <w:r w:rsidR="00125750" w:rsidRPr="003047BE">
        <w:t xml:space="preserve"> </w:t>
      </w:r>
      <w:r w:rsidRPr="003047BE">
        <w:t>of the taxes levied on goods an</w:t>
      </w:r>
      <w:r w:rsidR="00113B71" w:rsidRPr="003047BE">
        <w:t xml:space="preserve">d services by the </w:t>
      </w:r>
      <w:r w:rsidR="006119A5" w:rsidRPr="003047BE">
        <w:t>Australian</w:t>
      </w:r>
      <w:r w:rsidR="00113B71" w:rsidRPr="003047BE">
        <w:t xml:space="preserve"> G</w:t>
      </w:r>
      <w:r w:rsidRPr="003047BE">
        <w:t>overnment</w:t>
      </w:r>
      <w:r w:rsidR="00C232BB" w:rsidRPr="003047BE">
        <w:t xml:space="preserve"> with the exception of GST (</w:t>
      </w:r>
      <w:r w:rsidR="006C10B4" w:rsidRPr="003047BE">
        <w:fldChar w:fldCharType="begin"/>
      </w:r>
      <w:r w:rsidR="006C10B4" w:rsidRPr="003047BE">
        <w:instrText xml:space="preserve"> REF _Ref404261189 \h </w:instrText>
      </w:r>
      <w:r w:rsidR="003047BE">
        <w:instrText xml:space="preserve"> \* MERGEFORMAT </w:instrText>
      </w:r>
      <w:r w:rsidR="006C10B4" w:rsidRPr="003047BE">
        <w:fldChar w:fldCharType="separate"/>
      </w:r>
      <w:r w:rsidR="00206962" w:rsidRPr="003047BE">
        <w:t xml:space="preserve">Chart </w:t>
      </w:r>
      <w:r w:rsidR="00206962">
        <w:rPr>
          <w:noProof/>
        </w:rPr>
        <w:t>9</w:t>
      </w:r>
      <w:r w:rsidR="00206962" w:rsidRPr="003047BE">
        <w:rPr>
          <w:noProof/>
        </w:rPr>
        <w:t>.</w:t>
      </w:r>
      <w:r w:rsidR="00206962">
        <w:rPr>
          <w:noProof/>
        </w:rPr>
        <w:t>1</w:t>
      </w:r>
      <w:r w:rsidR="006C10B4" w:rsidRPr="003047BE">
        <w:fldChar w:fldCharType="end"/>
      </w:r>
      <w:r w:rsidR="00C232BB" w:rsidRPr="003047BE">
        <w:t>)</w:t>
      </w:r>
      <w:r w:rsidRPr="003047BE">
        <w:t xml:space="preserve">. Fuel taxes raised $18.3 billion </w:t>
      </w:r>
      <w:proofErr w:type="gramStart"/>
      <w:r w:rsidRPr="003047BE">
        <w:t>in</w:t>
      </w:r>
      <w:proofErr w:type="gramEnd"/>
      <w:r w:rsidRPr="003047BE">
        <w:t xml:space="preserve"> </w:t>
      </w:r>
      <w:r w:rsidR="00C232BB" w:rsidRPr="003047BE">
        <w:t xml:space="preserve">tax revenue in </w:t>
      </w:r>
      <w:r w:rsidRPr="003047BE">
        <w:t>2013</w:t>
      </w:r>
      <w:r w:rsidR="00111EFA">
        <w:noBreakHyphen/>
      </w:r>
      <w:r w:rsidRPr="003047BE">
        <w:t>14</w:t>
      </w:r>
      <w:r w:rsidR="001767FD" w:rsidRPr="003047BE">
        <w:t>.</w:t>
      </w:r>
      <w:r w:rsidRPr="003047BE">
        <w:rPr>
          <w:rStyle w:val="FootnoteReference"/>
        </w:rPr>
        <w:footnoteReference w:id="4"/>
      </w:r>
      <w:r w:rsidR="006C10B4" w:rsidRPr="003047BE">
        <w:t xml:space="preserve"> </w:t>
      </w:r>
    </w:p>
    <w:p w14:paraId="388954A2" w14:textId="02B003C1" w:rsidR="00805A84" w:rsidRPr="003047BE" w:rsidRDefault="00805A84" w:rsidP="00805A84">
      <w:r w:rsidRPr="003047BE">
        <w:t>Products subject to fuel taxes include petrol, diesel, certain oils and lubricants</w:t>
      </w:r>
      <w:r w:rsidR="00235664" w:rsidRPr="003047BE">
        <w:t>,</w:t>
      </w:r>
      <w:r w:rsidRPr="003047BE">
        <w:t xml:space="preserve"> and stabilised crude petroleum oil.</w:t>
      </w:r>
    </w:p>
    <w:p w14:paraId="07809A94" w14:textId="5ED2CB8C" w:rsidR="00805A84" w:rsidRPr="003047BE" w:rsidRDefault="006209B2" w:rsidP="00805A84">
      <w:r w:rsidRPr="003047BE">
        <w:lastRenderedPageBreak/>
        <w:t>From February 2015, the</w:t>
      </w:r>
      <w:r w:rsidR="00805A84" w:rsidRPr="003047BE">
        <w:t xml:space="preserve"> rate of fuel tax that applies to petrol and diesel is 38.</w:t>
      </w:r>
      <w:r w:rsidRPr="003047BE">
        <w:t>9</w:t>
      </w:r>
      <w:r w:rsidR="00805A84" w:rsidRPr="003047BE">
        <w:t xml:space="preserve"> cents per</w:t>
      </w:r>
      <w:r w:rsidR="00E00425">
        <w:t> </w:t>
      </w:r>
      <w:r w:rsidR="00805A84" w:rsidRPr="003047BE">
        <w:t>litre. In contrast, alternative fuels (liquefied petroleum gas, compressed natural gas, liquefied natural gas</w:t>
      </w:r>
      <w:r w:rsidR="00235664" w:rsidRPr="003047BE">
        <w:t>,</w:t>
      </w:r>
      <w:r w:rsidR="00082E24" w:rsidRPr="003047BE">
        <w:t xml:space="preserve"> and domestically produced</w:t>
      </w:r>
      <w:r w:rsidR="00805A84" w:rsidRPr="003047BE">
        <w:t xml:space="preserve"> ethanol and biodiesel) are, or </w:t>
      </w:r>
      <w:r w:rsidR="00DB01C1" w:rsidRPr="003047BE">
        <w:t xml:space="preserve">will </w:t>
      </w:r>
      <w:r w:rsidR="00805A84" w:rsidRPr="003047BE">
        <w:t>be, taxed at a rate based on the energy content of these fuels in comparison to petrol and diesel</w:t>
      </w:r>
      <w:r w:rsidR="006C10B4" w:rsidRPr="003047BE">
        <w:t>, and then discounted by 50 per </w:t>
      </w:r>
      <w:r w:rsidR="00805A84" w:rsidRPr="003047BE">
        <w:t>cent.</w:t>
      </w:r>
      <w:r w:rsidR="00C41921" w:rsidRPr="003047BE">
        <w:rPr>
          <w:rStyle w:val="FootnoteReference"/>
        </w:rPr>
        <w:footnoteReference w:id="5"/>
      </w:r>
      <w:r w:rsidR="00805A84" w:rsidRPr="003047BE">
        <w:t xml:space="preserve"> This discount reflects the potential </w:t>
      </w:r>
      <w:r w:rsidR="00125750" w:rsidRPr="003047BE">
        <w:t xml:space="preserve">supplementary </w:t>
      </w:r>
      <w:r w:rsidR="00805A84" w:rsidRPr="003047BE">
        <w:t xml:space="preserve">benefits </w:t>
      </w:r>
      <w:r w:rsidR="00614456" w:rsidRPr="003047BE">
        <w:t xml:space="preserve">provided by </w:t>
      </w:r>
      <w:r w:rsidR="00805A84" w:rsidRPr="003047BE">
        <w:t xml:space="preserve">these fuels. </w:t>
      </w:r>
    </w:p>
    <w:p w14:paraId="6159B19B" w14:textId="39DCF6DB" w:rsidR="00805A84" w:rsidRPr="003047BE" w:rsidRDefault="00805A84" w:rsidP="0026574D">
      <w:pPr>
        <w:spacing w:after="120"/>
      </w:pPr>
      <w:r w:rsidRPr="003047BE">
        <w:t>Fuel tax credits (FTCs) are provided to businesses that use fuel in their business for off</w:t>
      </w:r>
      <w:r w:rsidR="00111EFA">
        <w:noBreakHyphen/>
      </w:r>
      <w:r w:rsidRPr="003047BE">
        <w:t>road activities (and partially for on</w:t>
      </w:r>
      <w:r w:rsidR="00111EFA">
        <w:noBreakHyphen/>
      </w:r>
      <w:r w:rsidRPr="003047BE">
        <w:t xml:space="preserve">road activities where the vehicle exceeds 4.5 tonnes) to remove the incidence of fuel tax. FTCs give effect to the policy objective of ensuring that fuel tax </w:t>
      </w:r>
      <w:r w:rsidR="0092135B" w:rsidRPr="003047BE">
        <w:t>on business inputs is minimised</w:t>
      </w:r>
      <w:r w:rsidRPr="003047BE">
        <w:t xml:space="preserve">. This approach avoids distorting business investment decisions and behaviour that would occur </w:t>
      </w:r>
      <w:r w:rsidR="00614456" w:rsidRPr="003047BE">
        <w:t xml:space="preserve">by </w:t>
      </w:r>
      <w:r w:rsidRPr="003047BE">
        <w:t>taxing business inputs. FTCs were worth $5.</w:t>
      </w:r>
      <w:r w:rsidR="00A03023" w:rsidRPr="003047BE">
        <w:t>7</w:t>
      </w:r>
      <w:r w:rsidRPr="003047BE">
        <w:t xml:space="preserve"> billion in 201</w:t>
      </w:r>
      <w:r w:rsidR="00A03023" w:rsidRPr="003047BE">
        <w:t>3</w:t>
      </w:r>
      <w:r w:rsidR="00111EFA">
        <w:noBreakHyphen/>
      </w:r>
      <w:r w:rsidRPr="003047BE">
        <w:t>1</w:t>
      </w:r>
      <w:r w:rsidR="00A03023" w:rsidRPr="003047BE">
        <w:t>4</w:t>
      </w:r>
      <w:r w:rsidR="008D30E9" w:rsidRPr="003047BE">
        <w:t>.</w:t>
      </w:r>
      <w:r w:rsidR="001619DF" w:rsidRPr="003047BE">
        <w:rPr>
          <w:rStyle w:val="FootnoteReference"/>
        </w:rPr>
        <w:footnoteReference w:id="6"/>
      </w:r>
      <w:r w:rsidR="001619DF" w:rsidRPr="003047BE" w:rsidDel="001619DF">
        <w:rPr>
          <w:vertAlign w:val="superscript"/>
        </w:rPr>
        <w:t xml:space="preserve"> </w:t>
      </w:r>
      <w:r w:rsidR="00F65D6E" w:rsidRPr="003047BE">
        <w:t>While the mining industry is the largest recipient of FTCs, other industries combined receive more than 60 per cent of the total value of FTCs. These other industries include transport, postal and warehousing; agriculture forestry and fishing; professional, scientific and technical services; construction; and manufacturing.</w:t>
      </w:r>
      <w:r w:rsidR="00F65D6E" w:rsidRPr="003047BE">
        <w:rPr>
          <w:rStyle w:val="FootnoteReference"/>
        </w:rPr>
        <w:footnoteReference w:id="7"/>
      </w:r>
      <w:r w:rsidR="00F65D6E" w:rsidRPr="003047BE">
        <w:t xml:space="preserve"> </w:t>
      </w:r>
    </w:p>
    <w:p w14:paraId="24322FF5" w14:textId="77777777" w:rsidR="0026574D" w:rsidRPr="003047BE" w:rsidRDefault="0026574D" w:rsidP="0026574D">
      <w:pPr>
        <w:pStyle w:val="Singleparagraph0"/>
      </w:pPr>
    </w:p>
    <w:p w14:paraId="48FF6FAF" w14:textId="58948698" w:rsidR="00805A84" w:rsidRPr="003047BE" w:rsidRDefault="00805A84" w:rsidP="00504C00">
      <w:pPr>
        <w:pStyle w:val="Heading2"/>
        <w:ind w:left="993" w:hanging="993"/>
      </w:pPr>
      <w:bookmarkStart w:id="20" w:name="_Toc396824786"/>
      <w:bookmarkStart w:id="21" w:name="_Toc402326919"/>
      <w:bookmarkStart w:id="22" w:name="_Toc402333572"/>
      <w:bookmarkStart w:id="23" w:name="_Toc402340353"/>
      <w:bookmarkStart w:id="24" w:name="_Toc402343447"/>
      <w:bookmarkStart w:id="25" w:name="_Toc402346683"/>
      <w:bookmarkStart w:id="26" w:name="_Toc402349139"/>
      <w:bookmarkStart w:id="27" w:name="_Toc402350667"/>
      <w:bookmarkStart w:id="28" w:name="_Toc402353688"/>
      <w:bookmarkStart w:id="29" w:name="_Toc402362216"/>
      <w:bookmarkStart w:id="30" w:name="_Toc402368805"/>
      <w:bookmarkStart w:id="31" w:name="_Toc402369890"/>
      <w:bookmarkStart w:id="32" w:name="_Toc402370555"/>
      <w:bookmarkStart w:id="33" w:name="_Toc402371502"/>
      <w:bookmarkStart w:id="34" w:name="_Toc404350548"/>
      <w:r w:rsidRPr="003047BE">
        <w:t xml:space="preserve">Alcohol </w:t>
      </w:r>
      <w:r w:rsidR="00AF10A0" w:rsidRPr="003047BE">
        <w:t>t</w:t>
      </w:r>
      <w:r w:rsidR="00D50B22" w:rsidRPr="003047BE">
        <w:t>ax</w:t>
      </w:r>
      <w:r w:rsidR="00202CD1" w:rsidRPr="003047BE">
        <w:t>es</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A6C6764" w14:textId="14E50234" w:rsidR="00805A84" w:rsidRPr="003047BE" w:rsidRDefault="00805A84" w:rsidP="0026574D">
      <w:pPr>
        <w:spacing w:after="120"/>
      </w:pPr>
      <w:r w:rsidRPr="003047BE">
        <w:t xml:space="preserve">The taxation of alcohol is complex, with rates of taxation varying considerably for different types of alcoholic beverages. This reflects policy changes over time to meet multiple objectives — raising revenue, reducing the </w:t>
      </w:r>
      <w:r w:rsidR="00AE33B9" w:rsidRPr="003047BE">
        <w:t xml:space="preserve">social </w:t>
      </w:r>
      <w:r w:rsidRPr="003047BE">
        <w:t xml:space="preserve">costs of </w:t>
      </w:r>
      <w:r w:rsidR="00123E9C" w:rsidRPr="003047BE">
        <w:t xml:space="preserve">excessive </w:t>
      </w:r>
      <w:r w:rsidRPr="003047BE">
        <w:t xml:space="preserve">alcohol </w:t>
      </w:r>
      <w:r w:rsidR="00123E9C" w:rsidRPr="003047BE">
        <w:t>consumption</w:t>
      </w:r>
      <w:r w:rsidR="00235664" w:rsidRPr="003047BE">
        <w:t>,</w:t>
      </w:r>
      <w:r w:rsidR="00123E9C" w:rsidRPr="003047BE">
        <w:t xml:space="preserve"> </w:t>
      </w:r>
      <w:r w:rsidRPr="003047BE">
        <w:t>and supporting</w:t>
      </w:r>
      <w:r w:rsidR="0098015C" w:rsidRPr="003047BE">
        <w:t xml:space="preserve"> wine producers and independent beer producers</w:t>
      </w:r>
      <w:r w:rsidR="00614456" w:rsidRPr="003047BE">
        <w:t xml:space="preserve">. </w:t>
      </w:r>
      <w:r w:rsidR="004E68CB" w:rsidRPr="003047BE">
        <w:t xml:space="preserve">Evidence suggests </w:t>
      </w:r>
      <w:r w:rsidR="00B02F80" w:rsidRPr="003047BE">
        <w:t xml:space="preserve">consumers </w:t>
      </w:r>
      <w:r w:rsidR="00125750" w:rsidRPr="003047BE">
        <w:t xml:space="preserve">are likely to </w:t>
      </w:r>
      <w:r w:rsidR="00B02F80" w:rsidRPr="003047BE">
        <w:t xml:space="preserve">change the </w:t>
      </w:r>
      <w:r w:rsidR="00C44257" w:rsidRPr="003047BE">
        <w:t xml:space="preserve">amount of </w:t>
      </w:r>
      <w:r w:rsidR="0098015C" w:rsidRPr="003047BE">
        <w:t xml:space="preserve">different types of </w:t>
      </w:r>
      <w:r w:rsidR="00B02F80" w:rsidRPr="003047BE">
        <w:t>alcohol they consume based on relative price changes of different alcohol</w:t>
      </w:r>
      <w:r w:rsidR="00721E24" w:rsidRPr="003047BE">
        <w:t>ic</w:t>
      </w:r>
      <w:r w:rsidR="00B02F80" w:rsidRPr="003047BE">
        <w:t xml:space="preserve"> products.</w:t>
      </w:r>
      <w:r w:rsidR="00B02F80" w:rsidRPr="003047BE">
        <w:rPr>
          <w:rStyle w:val="FootnoteReference"/>
        </w:rPr>
        <w:footnoteReference w:id="8"/>
      </w:r>
      <w:r w:rsidR="00B02F80" w:rsidRPr="003047BE">
        <w:t xml:space="preserve"> </w:t>
      </w:r>
      <w:r w:rsidR="00E809BD" w:rsidRPr="003047BE">
        <w:t>Chart 9.2</w:t>
      </w:r>
      <w:r w:rsidR="00062135" w:rsidRPr="003047BE">
        <w:t xml:space="preserve"> </w:t>
      </w:r>
      <w:r w:rsidR="00E90C03" w:rsidRPr="003047BE">
        <w:t>shows the difference in the amount of taxation of different alcohol</w:t>
      </w:r>
      <w:r w:rsidR="00721E24" w:rsidRPr="003047BE">
        <w:t>ic</w:t>
      </w:r>
      <w:r w:rsidR="00E90C03" w:rsidRPr="003047BE">
        <w:t xml:space="preserve"> products.</w:t>
      </w:r>
    </w:p>
    <w:p w14:paraId="781FF845" w14:textId="29809D66" w:rsidR="00E90C03" w:rsidRPr="003047BE" w:rsidRDefault="006C10B4" w:rsidP="006C10B4">
      <w:pPr>
        <w:pStyle w:val="ChartMainHeading"/>
      </w:pPr>
      <w:bookmarkStart w:id="35" w:name="_Ref404350446"/>
      <w:proofErr w:type="gramStart"/>
      <w:r w:rsidRPr="003047BE">
        <w:lastRenderedPageBreak/>
        <w:t xml:space="preserve">Chart </w:t>
      </w:r>
      <w:fldSimple w:instr=" STYLEREF 1 \s ">
        <w:r w:rsidR="00206962">
          <w:rPr>
            <w:noProof/>
          </w:rPr>
          <w:t>9</w:t>
        </w:r>
      </w:fldSimple>
      <w:r w:rsidRPr="003047BE">
        <w:t>.</w:t>
      </w:r>
      <w:proofErr w:type="gramEnd"/>
      <w:r w:rsidR="000F1F17">
        <w:fldChar w:fldCharType="begin"/>
      </w:r>
      <w:r w:rsidR="000F1F17">
        <w:instrText xml:space="preserve"> SEQ Chart \* ARABIC \s 1 </w:instrText>
      </w:r>
      <w:r w:rsidR="000F1F17">
        <w:fldChar w:fldCharType="separate"/>
      </w:r>
      <w:r w:rsidR="00206962">
        <w:rPr>
          <w:noProof/>
        </w:rPr>
        <w:t>2</w:t>
      </w:r>
      <w:r w:rsidR="000F1F17">
        <w:rPr>
          <w:noProof/>
        </w:rPr>
        <w:fldChar w:fldCharType="end"/>
      </w:r>
      <w:bookmarkEnd w:id="35"/>
      <w:r w:rsidRPr="003047BE">
        <w:t xml:space="preserve"> </w:t>
      </w:r>
      <w:r w:rsidR="00C44257" w:rsidRPr="003047BE">
        <w:t>Alcohol t</w:t>
      </w:r>
      <w:r w:rsidR="00125750" w:rsidRPr="003047BE">
        <w:t>ax paid per standard drink</w:t>
      </w:r>
      <w:r w:rsidR="009968ED" w:rsidRPr="003047BE">
        <w:t xml:space="preserve">, </w:t>
      </w:r>
      <w:r w:rsidR="00C13249" w:rsidRPr="003047BE">
        <w:t>August 2014</w:t>
      </w:r>
      <w:r w:rsidR="00E90C03" w:rsidRPr="003047BE">
        <w:t xml:space="preserve"> </w:t>
      </w:r>
    </w:p>
    <w:p w14:paraId="04D183AC" w14:textId="2C80081D" w:rsidR="00C86163" w:rsidRPr="003047BE" w:rsidRDefault="00B114DE" w:rsidP="00B114DE">
      <w:pPr>
        <w:pStyle w:val="ChartGraphic"/>
      </w:pPr>
      <w:r>
        <w:fldChar w:fldCharType="begin" w:fldLock="1"/>
      </w:r>
      <w:r>
        <w:instrText xml:space="preserve"> LINK Excel.Sheet.12 "" "" \a \p </w:instrText>
      </w:r>
      <w:r>
        <w:fldChar w:fldCharType="separate"/>
      </w:r>
      <w:r w:rsidR="005E5333">
        <w:object w:dxaOrig="11712" w:dyaOrig="6036" w14:anchorId="1A826AF0">
          <v:shape id="_x0000_i1026" type="#_x0000_t75" alt="Chart 9.2 Alcohol tax paid per standard drink, August 2014.&#10;&#10;This chart illustrates the non-GST taxation of different types of alcohol per standard drink of alcohol. The amount of taxation per standard drink varies widely for different types of alcohol. A $13 cask of wine and draught beer with low alcohol content have the lowest rates of non-GST tax, incurring $0.05 and $0.06 per standard drink respectively. Non-traditional ciders, ready-to-drink beverages and spirits have the highest rates, with each incurring $1.00 of non-GST tax per standard drink.&#10;" style="width:438.75pt;height:226.5pt;mso-position-vertical:absolute">
            <v:imagedata r:id="rId15" o:title=""/>
          </v:shape>
        </w:object>
      </w:r>
      <w:r>
        <w:fldChar w:fldCharType="end"/>
      </w:r>
    </w:p>
    <w:p w14:paraId="63B36CF3" w14:textId="4D88ED7D" w:rsidR="00E90C03" w:rsidRPr="003047BE" w:rsidRDefault="00E90C03" w:rsidP="0026574D">
      <w:pPr>
        <w:pStyle w:val="ChartandTableNote"/>
        <w:ind w:left="284"/>
      </w:pPr>
      <w:r w:rsidRPr="003047BE">
        <w:t>Source: Treasury estimates</w:t>
      </w:r>
      <w:r w:rsidR="001D4F56" w:rsidRPr="003047BE">
        <w:t>.</w:t>
      </w:r>
    </w:p>
    <w:p w14:paraId="75FA3A92" w14:textId="77777777" w:rsidR="000614B5" w:rsidRPr="003047BE" w:rsidRDefault="000614B5" w:rsidP="00C06634"/>
    <w:p w14:paraId="213698AE" w14:textId="6D336E07" w:rsidR="00805A84" w:rsidRPr="003047BE" w:rsidRDefault="00805A84" w:rsidP="0026574D">
      <w:r w:rsidRPr="003047BE">
        <w:t>Most alcoholic beverages are subject to excise or excise</w:t>
      </w:r>
      <w:r w:rsidR="00111EFA">
        <w:noBreakHyphen/>
      </w:r>
      <w:r w:rsidRPr="003047BE">
        <w:t>equivalent customs duty at one of 16 different excise categories depending on alcohol type, concentration, commercial use, and container size</w:t>
      </w:r>
      <w:r w:rsidR="00614456" w:rsidRPr="003047BE">
        <w:t xml:space="preserve">. </w:t>
      </w:r>
      <w:r w:rsidRPr="003047BE">
        <w:t xml:space="preserve">Wine </w:t>
      </w:r>
      <w:r w:rsidR="00123E9C" w:rsidRPr="003047BE">
        <w:t xml:space="preserve">and some other alcohol </w:t>
      </w:r>
      <w:r w:rsidRPr="003047BE">
        <w:t>products</w:t>
      </w:r>
      <w:r w:rsidR="00C44257" w:rsidRPr="003047BE">
        <w:t>,</w:t>
      </w:r>
      <w:r w:rsidRPr="003047BE">
        <w:t xml:space="preserve"> </w:t>
      </w:r>
      <w:r w:rsidR="00C44257" w:rsidRPr="003047BE">
        <w:t>such as traditional</w:t>
      </w:r>
      <w:r w:rsidR="00392CF4" w:rsidRPr="003047BE">
        <w:t xml:space="preserve"> cider</w:t>
      </w:r>
      <w:r w:rsidR="00C44257" w:rsidRPr="003047BE">
        <w:t>,</w:t>
      </w:r>
      <w:r w:rsidR="00392CF4" w:rsidRPr="003047BE">
        <w:t xml:space="preserve"> </w:t>
      </w:r>
      <w:r w:rsidRPr="003047BE">
        <w:t>are treated</w:t>
      </w:r>
      <w:r w:rsidR="00AF10A0" w:rsidRPr="003047BE">
        <w:t xml:space="preserve"> separately and subject to the Wine E</w:t>
      </w:r>
      <w:r w:rsidRPr="003047BE">
        <w:t xml:space="preserve">qualisation </w:t>
      </w:r>
      <w:r w:rsidR="00AF10A0" w:rsidRPr="003047BE">
        <w:t>T</w:t>
      </w:r>
      <w:r w:rsidRPr="003047BE">
        <w:t>ax (WET)</w:t>
      </w:r>
      <w:r w:rsidR="00392CF4" w:rsidRPr="003047BE">
        <w:t>. The WET</w:t>
      </w:r>
      <w:r w:rsidRPr="003047BE">
        <w:t xml:space="preserve"> was introduced as part of the GST tax reform package</w:t>
      </w:r>
      <w:r w:rsidR="00392CF4" w:rsidRPr="003047BE">
        <w:t xml:space="preserve"> with the intent of </w:t>
      </w:r>
      <w:r w:rsidR="00C44257" w:rsidRPr="003047BE">
        <w:t>equalising the amount of tax on wine, in particular cask wine, with that which existed under the wholesale sales tax system.</w:t>
      </w:r>
      <w:r w:rsidR="00C44257" w:rsidRPr="003047BE">
        <w:rPr>
          <w:rStyle w:val="FootnoteReference"/>
        </w:rPr>
        <w:footnoteReference w:id="9"/>
      </w:r>
      <w:r w:rsidRPr="003047BE">
        <w:t xml:space="preserve"> While alcohol excise is based on the alcohol content, WET is </w:t>
      </w:r>
      <w:r w:rsidR="00E12D8A" w:rsidRPr="003047BE">
        <w:t xml:space="preserve">generally </w:t>
      </w:r>
      <w:r w:rsidRPr="003047BE">
        <w:t>based on the wholesale price of the wine. WET applies at 29 per cent of the value of the wine at the last wholesale transaction, before adding GST. In some cases</w:t>
      </w:r>
      <w:r w:rsidR="00614456" w:rsidRPr="003047BE">
        <w:t>,</w:t>
      </w:r>
      <w:r w:rsidRPr="003047BE">
        <w:t xml:space="preserve"> it can be difficult to determine if a product is subject to excise or WET (see</w:t>
      </w:r>
      <w:r w:rsidR="00903E2F" w:rsidRPr="003047BE">
        <w:t xml:space="preserve"> box </w:t>
      </w:r>
      <w:r w:rsidR="00580EBA" w:rsidRPr="003047BE">
        <w:t>9</w:t>
      </w:r>
      <w:r w:rsidR="00903E2F" w:rsidRPr="003047BE">
        <w:t>.1</w:t>
      </w:r>
      <w:r w:rsidRPr="003047BE">
        <w:t xml:space="preserve"> </w:t>
      </w:r>
      <w:r w:rsidR="00111EFA">
        <w:t>‘</w:t>
      </w:r>
      <w:r w:rsidRPr="003047BE">
        <w:t>Tax Treatment of Ginger Beer</w:t>
      </w:r>
      <w:r w:rsidR="00111EFA">
        <w:t>’</w:t>
      </w:r>
      <w:r w:rsidRPr="003047BE">
        <w:t>).</w:t>
      </w:r>
      <w:r w:rsidR="00E12D8A" w:rsidRPr="003047BE">
        <w:t xml:space="preserve"> Differences in the rate of tax</w:t>
      </w:r>
      <w:r w:rsidR="000365B7" w:rsidRPr="003047BE">
        <w:t xml:space="preserve"> can also</w:t>
      </w:r>
      <w:r w:rsidR="00E12D8A" w:rsidRPr="003047BE">
        <w:t xml:space="preserve"> create incentives to engineer products to receive the more favourable tax treatment.</w:t>
      </w:r>
    </w:p>
    <w:p w14:paraId="30BEEA9B" w14:textId="29B41CD1" w:rsidR="00805A84" w:rsidRPr="003047BE" w:rsidRDefault="00805A84" w:rsidP="00805A84">
      <w:pPr>
        <w:keepNext/>
      </w:pPr>
      <w:r w:rsidRPr="003047BE">
        <w:t>In 2013</w:t>
      </w:r>
      <w:r w:rsidR="00111EFA">
        <w:noBreakHyphen/>
      </w:r>
      <w:r w:rsidRPr="003047BE">
        <w:t xml:space="preserve">14, excise </w:t>
      </w:r>
      <w:r w:rsidR="008314FB" w:rsidRPr="003047BE">
        <w:t>and excise</w:t>
      </w:r>
      <w:r w:rsidR="00111EFA">
        <w:noBreakHyphen/>
      </w:r>
      <w:r w:rsidR="008314FB" w:rsidRPr="003047BE">
        <w:t xml:space="preserve">equivalent customs duty </w:t>
      </w:r>
      <w:r w:rsidRPr="003047BE">
        <w:t>on beer, spirits and other excisable beverages raised $5.1 billion</w:t>
      </w:r>
      <w:r w:rsidR="00C232BB" w:rsidRPr="003047BE">
        <w:t xml:space="preserve"> in tax revenue</w:t>
      </w:r>
      <w:r w:rsidRPr="003047BE">
        <w:t>. WET revenue amounted to $826 million in 2013</w:t>
      </w:r>
      <w:r w:rsidR="00111EFA">
        <w:noBreakHyphen/>
      </w:r>
      <w:r w:rsidRPr="003047BE">
        <w:t>14, net of producer rebates</w:t>
      </w:r>
      <w:r w:rsidR="00614456" w:rsidRPr="003047BE">
        <w:t>,</w:t>
      </w:r>
      <w:r w:rsidRPr="003047BE">
        <w:t xml:space="preserve"> which </w:t>
      </w:r>
      <w:r w:rsidR="00614456" w:rsidRPr="003047BE">
        <w:t xml:space="preserve">are </w:t>
      </w:r>
      <w:r w:rsidRPr="003047BE">
        <w:t>typically around 25 per cent of total WET.</w:t>
      </w:r>
      <w:r w:rsidR="009968ED" w:rsidRPr="003047BE">
        <w:rPr>
          <w:rStyle w:val="FootnoteReference"/>
        </w:rPr>
        <w:footnoteReference w:id="10"/>
      </w:r>
    </w:p>
    <w:p w14:paraId="273B121A" w14:textId="1F2D1FBD" w:rsidR="00805A84" w:rsidRPr="003047BE" w:rsidRDefault="00805A84" w:rsidP="00805A84">
      <w:r w:rsidRPr="003047BE">
        <w:t xml:space="preserve">There are two tax concession schemes for producers of alcoholic beverages. The brewery refund scheme provides </w:t>
      </w:r>
      <w:r w:rsidR="00AD68A2" w:rsidRPr="003047BE">
        <w:t xml:space="preserve">eligible </w:t>
      </w:r>
      <w:r w:rsidRPr="003047BE">
        <w:t xml:space="preserve">independent breweries with a refund up to a maximum of $30,000 per financial year, while the WET producer rebate provides </w:t>
      </w:r>
      <w:r w:rsidR="00AD68A2" w:rsidRPr="003047BE">
        <w:t xml:space="preserve">eligible </w:t>
      </w:r>
      <w:r w:rsidRPr="003047BE">
        <w:t>wine producers with a rebate up to a maximum of $500,000 per financial year</w:t>
      </w:r>
      <w:r w:rsidR="00AD68A2" w:rsidRPr="003047BE">
        <w:t>, regardless of whether they are independent or not</w:t>
      </w:r>
      <w:r w:rsidRPr="003047BE">
        <w:t>. The significant variations in concessions, in conjunction with the favourable tax treatment afforded to specific types of alcohol, particularly low</w:t>
      </w:r>
      <w:r w:rsidR="00111EFA">
        <w:noBreakHyphen/>
      </w:r>
      <w:r w:rsidRPr="003047BE">
        <w:t xml:space="preserve">value wine, </w:t>
      </w:r>
      <w:r w:rsidR="00392CF4" w:rsidRPr="003047BE">
        <w:t xml:space="preserve">can influence </w:t>
      </w:r>
      <w:r w:rsidRPr="003047BE">
        <w:t>produc</w:t>
      </w:r>
      <w:r w:rsidR="00BB5B6A" w:rsidRPr="003047BE">
        <w:t>tion and consumption decisions.</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26574D" w:rsidRPr="003047BE" w14:paraId="73F0A28D" w14:textId="77777777" w:rsidTr="000833D7">
        <w:tc>
          <w:tcPr>
            <w:tcW w:w="9384" w:type="dxa"/>
            <w:tcBorders>
              <w:top w:val="nil"/>
              <w:left w:val="nil"/>
              <w:bottom w:val="nil"/>
              <w:right w:val="nil"/>
            </w:tcBorders>
            <w:shd w:val="clear" w:color="auto" w:fill="EBEAEA" w:themeFill="accent6" w:themeFillTint="33"/>
          </w:tcPr>
          <w:p w14:paraId="0F6F3A47" w14:textId="0BD0FC39" w:rsidR="0026574D" w:rsidRPr="003047BE" w:rsidRDefault="0026574D" w:rsidP="007D499D">
            <w:pPr>
              <w:pStyle w:val="BoxHeading"/>
            </w:pPr>
            <w:r w:rsidRPr="003047BE">
              <w:lastRenderedPageBreak/>
              <w:t xml:space="preserve">Box </w:t>
            </w:r>
            <w:fldSimple w:instr=" STYLEREF 1 \s ">
              <w:r w:rsidR="00206962">
                <w:rPr>
                  <w:noProof/>
                </w:rPr>
                <w:t>9</w:t>
              </w:r>
            </w:fldSimple>
            <w:r w:rsidRPr="003047BE">
              <w:t>.</w:t>
            </w:r>
            <w:fldSimple w:instr=" SEQ Box \* ARABIC \s 1 ">
              <w:r w:rsidR="00206962">
                <w:rPr>
                  <w:noProof/>
                </w:rPr>
                <w:t>1</w:t>
              </w:r>
            </w:fldSimple>
            <w:r w:rsidRPr="003047BE">
              <w:t xml:space="preserve"> Tax </w:t>
            </w:r>
            <w:r w:rsidR="00AF10A0" w:rsidRPr="003047BE">
              <w:t>t</w:t>
            </w:r>
            <w:r w:rsidRPr="003047BE">
              <w:t xml:space="preserve">reatment of </w:t>
            </w:r>
            <w:r w:rsidR="00AF10A0" w:rsidRPr="003047BE">
              <w:t>g</w:t>
            </w:r>
            <w:r w:rsidRPr="003047BE">
              <w:t xml:space="preserve">inger </w:t>
            </w:r>
            <w:r w:rsidR="00AF10A0" w:rsidRPr="003047BE">
              <w:t>b</w:t>
            </w:r>
            <w:r w:rsidRPr="003047BE">
              <w:t>eer</w:t>
            </w:r>
          </w:p>
          <w:p w14:paraId="62337432" w14:textId="77777777" w:rsidR="0026574D" w:rsidRPr="001E2CE0" w:rsidRDefault="0026574D" w:rsidP="0026574D">
            <w:pPr>
              <w:pStyle w:val="BoxText"/>
            </w:pPr>
            <w:r w:rsidRPr="003047BE">
              <w:t xml:space="preserve">The tax treatment of ginger beer demonstrates the inconsistencies in the current tax arrangements for alcohol, with </w:t>
            </w:r>
            <w:r w:rsidRPr="001E2CE0">
              <w:t xml:space="preserve">the tax treatment dependent on alcohol content. </w:t>
            </w:r>
          </w:p>
          <w:p w14:paraId="6AFD8046" w14:textId="44E4CFE0" w:rsidR="0026574D" w:rsidRPr="001E2CE0" w:rsidRDefault="0026574D" w:rsidP="0026574D">
            <w:pPr>
              <w:pStyle w:val="BoxText"/>
            </w:pPr>
            <w:r w:rsidRPr="001E2CE0">
              <w:t xml:space="preserve">For example, a ginger beer with 4.5 per cent alcohol by volume is taxed as a </w:t>
            </w:r>
            <w:r w:rsidR="00111EFA">
              <w:t>‘</w:t>
            </w:r>
            <w:r w:rsidRPr="001E2CE0">
              <w:t>ready to drink</w:t>
            </w:r>
            <w:r w:rsidR="00111EFA">
              <w:t>’</w:t>
            </w:r>
            <w:r w:rsidR="003545BC" w:rsidRPr="001E2CE0">
              <w:t xml:space="preserve"> (RTD)</w:t>
            </w:r>
            <w:r w:rsidR="00AF10A0" w:rsidRPr="001E2CE0">
              <w:t xml:space="preserve"> at a rate of $1.01</w:t>
            </w:r>
            <w:r w:rsidRPr="001E2CE0">
              <w:t xml:space="preserve"> per standard drink. The tax payable on a case of twelve 500ml bottles is $21.</w:t>
            </w:r>
            <w:r w:rsidR="00AF10A0" w:rsidRPr="001E2CE0">
              <w:t>54</w:t>
            </w:r>
            <w:r w:rsidRPr="001E2CE0">
              <w:t xml:space="preserve"> under the excise regime.</w:t>
            </w:r>
          </w:p>
          <w:p w14:paraId="1A2EDCAB" w14:textId="7A2E0081" w:rsidR="0026574D" w:rsidRPr="003047BE" w:rsidRDefault="0026574D" w:rsidP="0026574D">
            <w:pPr>
              <w:pStyle w:val="BoxText"/>
            </w:pPr>
            <w:r w:rsidRPr="001E2CE0">
              <w:t>However, a ginger beer that is nearly identical</w:t>
            </w:r>
            <w:r w:rsidRPr="003047BE">
              <w:t xml:space="preserve"> except that it has 8 per cent or more alcohol by volume is</w:t>
            </w:r>
            <w:r w:rsidR="00EA6284">
              <w:t>,</w:t>
            </w:r>
            <w:r w:rsidRPr="003047BE">
              <w:t xml:space="preserve"> instead</w:t>
            </w:r>
            <w:r w:rsidR="00EA6284">
              <w:t>,</w:t>
            </w:r>
            <w:r w:rsidRPr="003047BE">
              <w:t xml:space="preserve"> taxed on its wholesale selling price because it is characterised as a fruit or vegetable wine and subject to the WET regime. At a wholesale price of $30, the tax payable on a case of twelve 500ml bottles is $8.70 under the WET regime. The producer may also be able to claim the wine producer rebate. </w:t>
            </w:r>
          </w:p>
          <w:p w14:paraId="4E6AD816" w14:textId="72D52B0C" w:rsidR="0026574D" w:rsidRPr="003047BE" w:rsidRDefault="0026574D" w:rsidP="0026574D">
            <w:pPr>
              <w:pStyle w:val="BoxText"/>
            </w:pPr>
            <w:r w:rsidRPr="003047BE">
              <w:t>This shows the significantly lower rate of taxation that can apply to beverages subject to taxation under the WET regime, despite the beverage containing more alcohol.</w:t>
            </w:r>
          </w:p>
        </w:tc>
      </w:tr>
    </w:tbl>
    <w:p w14:paraId="2CBD1220" w14:textId="77777777" w:rsidR="0026574D" w:rsidRPr="003047BE" w:rsidRDefault="0026574D" w:rsidP="00805A84"/>
    <w:p w14:paraId="4E1D6F08" w14:textId="35049A99" w:rsidR="004E68CB" w:rsidRPr="003047BE" w:rsidRDefault="00805A84" w:rsidP="00B76901">
      <w:pPr>
        <w:spacing w:after="0"/>
      </w:pPr>
      <w:r w:rsidRPr="003047BE">
        <w:t xml:space="preserve">Internationally, beer, wine and spirits are </w:t>
      </w:r>
      <w:r w:rsidR="00AD68A2" w:rsidRPr="003047BE">
        <w:t xml:space="preserve">typically </w:t>
      </w:r>
      <w:r w:rsidRPr="003047BE">
        <w:t xml:space="preserve">taxed at different rates. There </w:t>
      </w:r>
      <w:r w:rsidR="00011BF1" w:rsidRPr="003047BE">
        <w:t xml:space="preserve">is </w:t>
      </w:r>
      <w:r w:rsidRPr="003047BE">
        <w:t xml:space="preserve">a range of approaches to alcohol taxation across the OECD countries. </w:t>
      </w:r>
      <w:r w:rsidR="00CF3034" w:rsidRPr="003047BE">
        <w:t>Within t</w:t>
      </w:r>
      <w:r w:rsidRPr="003047BE">
        <w:t>he European Union</w:t>
      </w:r>
      <w:r w:rsidR="00883687" w:rsidRPr="003047BE">
        <w:t>,</w:t>
      </w:r>
      <w:r w:rsidRPr="003047BE">
        <w:t xml:space="preserve"> </w:t>
      </w:r>
      <w:r w:rsidR="00CF3034" w:rsidRPr="003047BE">
        <w:t xml:space="preserve">countries </w:t>
      </w:r>
      <w:r w:rsidRPr="003047BE">
        <w:t xml:space="preserve">tax wine on </w:t>
      </w:r>
      <w:proofErr w:type="gramStart"/>
      <w:r w:rsidRPr="003047BE">
        <w:t>a per</w:t>
      </w:r>
      <w:proofErr w:type="gramEnd"/>
      <w:r w:rsidRPr="003047BE">
        <w:t xml:space="preserve"> litre of product basis</w:t>
      </w:r>
      <w:r w:rsidR="00011BF1" w:rsidRPr="003047BE">
        <w:t>,</w:t>
      </w:r>
      <w:r w:rsidRPr="003047BE">
        <w:t xml:space="preserve"> and beer and spirits based on the percentage of alcohol. In the United States, wine and beer </w:t>
      </w:r>
      <w:r w:rsidR="007A57F8" w:rsidRPr="003047BE">
        <w:t xml:space="preserve">are </w:t>
      </w:r>
      <w:r w:rsidRPr="003047BE">
        <w:t xml:space="preserve">taxed on </w:t>
      </w:r>
      <w:proofErr w:type="gramStart"/>
      <w:r w:rsidRPr="003047BE">
        <w:t>a per</w:t>
      </w:r>
      <w:proofErr w:type="gramEnd"/>
      <w:r w:rsidRPr="003047BE">
        <w:t xml:space="preserve"> litre of product basis</w:t>
      </w:r>
      <w:r w:rsidR="00011BF1" w:rsidRPr="003047BE">
        <w:t>,</w:t>
      </w:r>
      <w:r w:rsidRPr="003047BE">
        <w:t xml:space="preserve"> and spirits are taxed based on the proportion of absolute alcohol. In both Chile and Mexico</w:t>
      </w:r>
      <w:r w:rsidR="00011BF1" w:rsidRPr="003047BE">
        <w:t>,</w:t>
      </w:r>
      <w:r w:rsidR="00767D21" w:rsidRPr="003047BE">
        <w:t xml:space="preserve"> there is a consistent taxation approach of charging a percentage of the value of alcohol on</w:t>
      </w:r>
      <w:r w:rsidRPr="003047BE">
        <w:t xml:space="preserve"> all alcohol products.</w:t>
      </w:r>
      <w:r w:rsidR="009E254D" w:rsidRPr="003047BE">
        <w:rPr>
          <w:rStyle w:val="FootnoteReference"/>
        </w:rPr>
        <w:footnoteReference w:id="11"/>
      </w:r>
      <w:r w:rsidR="009968ED" w:rsidRPr="003047BE">
        <w:t xml:space="preserve"> </w:t>
      </w:r>
    </w:p>
    <w:p w14:paraId="3A1C7476" w14:textId="77777777" w:rsidR="0026574D" w:rsidRPr="003047BE" w:rsidRDefault="0026574D" w:rsidP="00B76901"/>
    <w:p w14:paraId="05DC6044" w14:textId="77777777" w:rsidR="00805A84" w:rsidRPr="003047BE" w:rsidRDefault="00805A84" w:rsidP="00504C00">
      <w:pPr>
        <w:pStyle w:val="Heading2"/>
        <w:ind w:left="993" w:hanging="993"/>
      </w:pPr>
      <w:bookmarkStart w:id="36" w:name="_Toc404350549"/>
      <w:r w:rsidRPr="003047BE">
        <w:t>Tobacco tax</w:t>
      </w:r>
      <w:bookmarkEnd w:id="36"/>
    </w:p>
    <w:p w14:paraId="7265C42D" w14:textId="7B8F50FC" w:rsidR="00805A84" w:rsidRPr="003047BE" w:rsidRDefault="00805A84" w:rsidP="00805A84">
      <w:bookmarkStart w:id="37" w:name="_Toc396824789"/>
      <w:r w:rsidRPr="003047BE">
        <w:t>Taxes on tobacco are the second largest</w:t>
      </w:r>
      <w:r w:rsidR="00392CF4" w:rsidRPr="003047BE">
        <w:t>, in terms of revenue raised,</w:t>
      </w:r>
      <w:r w:rsidRPr="003047BE">
        <w:t xml:space="preserve"> of the </w:t>
      </w:r>
      <w:r w:rsidR="00C232BB" w:rsidRPr="003047BE">
        <w:t xml:space="preserve">indirect taxes (excluding GST) </w:t>
      </w:r>
      <w:proofErr w:type="gramStart"/>
      <w:r w:rsidRPr="003047BE">
        <w:t>raised</w:t>
      </w:r>
      <w:proofErr w:type="gramEnd"/>
      <w:r w:rsidRPr="003047BE">
        <w:t xml:space="preserve"> by the </w:t>
      </w:r>
      <w:r w:rsidR="006119A5" w:rsidRPr="003047BE">
        <w:t>Australian Government</w:t>
      </w:r>
      <w:r w:rsidR="00614456" w:rsidRPr="003047BE">
        <w:t xml:space="preserve">. </w:t>
      </w:r>
      <w:r w:rsidRPr="003047BE">
        <w:t>Tobacco taxes raised $8.5 billion in 2013</w:t>
      </w:r>
      <w:r w:rsidR="00111EFA">
        <w:noBreakHyphen/>
      </w:r>
      <w:r w:rsidRPr="003047BE">
        <w:t>14.</w:t>
      </w:r>
      <w:r w:rsidR="0037635E" w:rsidRPr="003047BE">
        <w:rPr>
          <w:rStyle w:val="FootnoteReference"/>
        </w:rPr>
        <w:footnoteReference w:id="12"/>
      </w:r>
      <w:r w:rsidRPr="003047BE">
        <w:t xml:space="preserve"> </w:t>
      </w:r>
      <w:r w:rsidR="00392CF4" w:rsidRPr="003047BE">
        <w:t>S</w:t>
      </w:r>
      <w:r w:rsidRPr="003047BE">
        <w:t>hould rates of smoking continue to decline, this could result in tobacco taxes making up a smaller share of taxes over the long</w:t>
      </w:r>
      <w:r w:rsidR="007773C3" w:rsidRPr="003047BE">
        <w:t xml:space="preserve"> </w:t>
      </w:r>
      <w:proofErr w:type="gramStart"/>
      <w:r w:rsidRPr="003047BE">
        <w:t>term.</w:t>
      </w:r>
      <w:proofErr w:type="gramEnd"/>
      <w:r w:rsidR="0086297C" w:rsidRPr="003047BE">
        <w:t xml:space="preserve"> </w:t>
      </w:r>
    </w:p>
    <w:p w14:paraId="4523F5E2" w14:textId="5CF0C908" w:rsidR="00805A84" w:rsidRPr="003047BE" w:rsidRDefault="00805A84" w:rsidP="00B76901">
      <w:pPr>
        <w:spacing w:after="0"/>
      </w:pPr>
      <w:r w:rsidRPr="003047BE">
        <w:t>Tobacco is subject to excise and excise</w:t>
      </w:r>
      <w:r w:rsidR="00111EFA">
        <w:noBreakHyphen/>
      </w:r>
      <w:r w:rsidRPr="003047BE">
        <w:t xml:space="preserve">equivalent customs duty. Cigarettes and cigars with up to 0.8 grams of tobacco per stick are taxed on a per stick basis. As at </w:t>
      </w:r>
      <w:r w:rsidR="009A2358" w:rsidRPr="003047BE">
        <w:t>March 2015</w:t>
      </w:r>
      <w:r w:rsidR="003545BC">
        <w:t xml:space="preserve">, </w:t>
      </w:r>
      <w:proofErr w:type="gramStart"/>
      <w:r w:rsidR="003545BC">
        <w:t>the per</w:t>
      </w:r>
      <w:proofErr w:type="gramEnd"/>
      <w:r w:rsidR="003545BC">
        <w:t> </w:t>
      </w:r>
      <w:r w:rsidRPr="003047BE">
        <w:t>stick excise</w:t>
      </w:r>
      <w:r w:rsidR="00F61019" w:rsidRPr="003047BE">
        <w:t xml:space="preserve"> and excise</w:t>
      </w:r>
      <w:r w:rsidR="00111EFA">
        <w:noBreakHyphen/>
      </w:r>
      <w:r w:rsidR="00F61019" w:rsidRPr="003047BE">
        <w:t>equivalent duty</w:t>
      </w:r>
      <w:r w:rsidRPr="003047BE">
        <w:t xml:space="preserve"> is $0.</w:t>
      </w:r>
      <w:r w:rsidR="00784337" w:rsidRPr="003047BE">
        <w:t>4</w:t>
      </w:r>
      <w:r w:rsidR="009A2358" w:rsidRPr="003047BE">
        <w:t>700</w:t>
      </w:r>
      <w:r w:rsidR="00784337" w:rsidRPr="003047BE">
        <w:t>8 or $11.7</w:t>
      </w:r>
      <w:r w:rsidR="009A2358" w:rsidRPr="003047BE">
        <w:t>5</w:t>
      </w:r>
      <w:r w:rsidR="00784337" w:rsidRPr="003047BE">
        <w:t xml:space="preserve"> on a pack of 25 </w:t>
      </w:r>
      <w:r w:rsidRPr="003047BE">
        <w:t xml:space="preserve">cigarettes. All other tobacco products, such as snuff and rolling tobacco, are subject to an </w:t>
      </w:r>
      <w:r w:rsidR="00F61019" w:rsidRPr="003047BE">
        <w:t xml:space="preserve">excise and </w:t>
      </w:r>
      <w:r w:rsidRPr="003047BE">
        <w:t>excise</w:t>
      </w:r>
      <w:r w:rsidR="00111EFA">
        <w:noBreakHyphen/>
      </w:r>
      <w:r w:rsidR="00F61019" w:rsidRPr="003047BE">
        <w:t xml:space="preserve">equivalent custom duty </w:t>
      </w:r>
      <w:r w:rsidRPr="003047BE">
        <w:t>rate of $5</w:t>
      </w:r>
      <w:r w:rsidR="009A2358" w:rsidRPr="003047BE">
        <w:t>87</w:t>
      </w:r>
      <w:r w:rsidRPr="003047BE">
        <w:t>.</w:t>
      </w:r>
      <w:r w:rsidR="009A2358" w:rsidRPr="003047BE">
        <w:t>62</w:t>
      </w:r>
      <w:r w:rsidRPr="003047BE">
        <w:t xml:space="preserve"> per kilogram. Rates are indexed twice a year in line with average</w:t>
      </w:r>
      <w:r w:rsidR="00C17BA2" w:rsidRPr="003047BE">
        <w:t xml:space="preserve"> weekly ordinary time earnings.</w:t>
      </w:r>
      <w:r w:rsidR="007637EF" w:rsidRPr="003047BE">
        <w:t xml:space="preserve"> </w:t>
      </w:r>
    </w:p>
    <w:p w14:paraId="4C3CD4D5" w14:textId="77777777" w:rsidR="0026574D" w:rsidRPr="003047BE" w:rsidRDefault="0026574D" w:rsidP="00B76901"/>
    <w:p w14:paraId="799DA419" w14:textId="37AAB949" w:rsidR="005C2557" w:rsidRPr="003047BE" w:rsidRDefault="00AF10A0" w:rsidP="00504C00">
      <w:pPr>
        <w:pStyle w:val="Heading2"/>
        <w:ind w:left="993" w:hanging="993"/>
      </w:pPr>
      <w:bookmarkStart w:id="38" w:name="_Toc404350550"/>
      <w:bookmarkStart w:id="39" w:name="_Toc402326922"/>
      <w:bookmarkStart w:id="40" w:name="_Toc402333575"/>
      <w:bookmarkStart w:id="41" w:name="_Toc402340356"/>
      <w:bookmarkStart w:id="42" w:name="_Toc402343450"/>
      <w:bookmarkStart w:id="43" w:name="_Toc402346686"/>
      <w:bookmarkStart w:id="44" w:name="_Toc402349142"/>
      <w:bookmarkStart w:id="45" w:name="_Toc402350670"/>
      <w:bookmarkStart w:id="46" w:name="_Toc402353691"/>
      <w:bookmarkStart w:id="47" w:name="_Toc402362219"/>
      <w:bookmarkStart w:id="48" w:name="_Toc402368808"/>
      <w:bookmarkStart w:id="49" w:name="_Toc402369893"/>
      <w:bookmarkStart w:id="50" w:name="_Toc402370558"/>
      <w:bookmarkStart w:id="51" w:name="_Toc402371505"/>
      <w:bookmarkEnd w:id="37"/>
      <w:r w:rsidRPr="003047BE">
        <w:lastRenderedPageBreak/>
        <w:t>Luxury C</w:t>
      </w:r>
      <w:r w:rsidR="005C2557" w:rsidRPr="003047BE">
        <w:t xml:space="preserve">ar </w:t>
      </w:r>
      <w:r w:rsidRPr="003047BE">
        <w:t>T</w:t>
      </w:r>
      <w:r w:rsidR="005C2557" w:rsidRPr="003047BE">
        <w:t>ax</w:t>
      </w:r>
      <w:bookmarkEnd w:id="38"/>
    </w:p>
    <w:p w14:paraId="2FAD43A0" w14:textId="5308A444" w:rsidR="005C2557" w:rsidRPr="003047BE" w:rsidRDefault="005C2557" w:rsidP="00B76901">
      <w:r w:rsidRPr="003047BE">
        <w:t xml:space="preserve">Like the WET, the </w:t>
      </w:r>
      <w:r w:rsidR="00AF10A0" w:rsidRPr="003047BE">
        <w:t>L</w:t>
      </w:r>
      <w:r w:rsidRPr="003047BE">
        <w:t xml:space="preserve">uxury </w:t>
      </w:r>
      <w:r w:rsidR="00AF10A0" w:rsidRPr="003047BE">
        <w:t>C</w:t>
      </w:r>
      <w:r w:rsidRPr="003047BE">
        <w:t xml:space="preserve">ar </w:t>
      </w:r>
      <w:r w:rsidR="00AF10A0" w:rsidRPr="003047BE">
        <w:t>T</w:t>
      </w:r>
      <w:r w:rsidRPr="003047BE">
        <w:t xml:space="preserve">ax (LCT) was introduced as a part of the GST tax reform package. The LCT has a narrow tax base, is complex and </w:t>
      </w:r>
      <w:r w:rsidR="00392CF4" w:rsidRPr="003047BE">
        <w:t>is</w:t>
      </w:r>
      <w:r w:rsidRPr="003047BE">
        <w:t xml:space="preserve"> the </w:t>
      </w:r>
      <w:r w:rsidR="006119A5" w:rsidRPr="003047BE">
        <w:t xml:space="preserve">Australian </w:t>
      </w:r>
      <w:r w:rsidR="00011BF1" w:rsidRPr="003047BE">
        <w:t>G</w:t>
      </w:r>
      <w:r w:rsidRPr="003047BE">
        <w:t>overnment</w:t>
      </w:r>
      <w:r w:rsidR="00111EFA">
        <w:t>’</w:t>
      </w:r>
      <w:r w:rsidRPr="003047BE">
        <w:t xml:space="preserve">s only luxury tax </w:t>
      </w:r>
      <w:r w:rsidR="00C17BA2" w:rsidRPr="003047BE">
        <w:t>on a specific good or service.</w:t>
      </w:r>
    </w:p>
    <w:p w14:paraId="25082439" w14:textId="7A2400FE" w:rsidR="005C2557" w:rsidRPr="003047BE" w:rsidRDefault="005C2557" w:rsidP="00B76901">
      <w:r w:rsidRPr="003047BE">
        <w:t xml:space="preserve">Before the introduction of the GST, </w:t>
      </w:r>
      <w:r w:rsidR="00C44257" w:rsidRPr="003047BE">
        <w:t>items such as expensive</w:t>
      </w:r>
      <w:r w:rsidRPr="003047BE">
        <w:t xml:space="preserve"> cars, furs, jewellery and electronics were all subject to a higher rate of wholesale sales tax.</w:t>
      </w:r>
      <w:r w:rsidR="0061548F" w:rsidRPr="003047BE">
        <w:t xml:space="preserve"> Since 1979</w:t>
      </w:r>
      <w:r w:rsidR="00EA6284">
        <w:t>,</w:t>
      </w:r>
      <w:r w:rsidR="0061548F" w:rsidRPr="003047BE">
        <w:t xml:space="preserve"> luxury cars had been subject to a wholesale sales tax of 45 per cent.</w:t>
      </w:r>
      <w:r w:rsidRPr="003047BE">
        <w:t xml:space="preserve"> Following the </w:t>
      </w:r>
      <w:r w:rsidR="0061548F" w:rsidRPr="003047BE">
        <w:t xml:space="preserve">introduction of the GST and the </w:t>
      </w:r>
      <w:r w:rsidRPr="003047BE">
        <w:t xml:space="preserve">abolition of the wholesale sales tax regime, </w:t>
      </w:r>
      <w:r w:rsidR="0061548F" w:rsidRPr="003047BE">
        <w:t>the LCT was introduced at a rate of 25 per cent of the GST</w:t>
      </w:r>
      <w:r w:rsidR="00111EFA">
        <w:noBreakHyphen/>
      </w:r>
      <w:r w:rsidR="0061548F" w:rsidRPr="003047BE">
        <w:t>exclusive value of the car to maintain the higher rate of taxation</w:t>
      </w:r>
      <w:r w:rsidR="00B76901" w:rsidRPr="003047BE">
        <w:t xml:space="preserve">. </w:t>
      </w:r>
      <w:r w:rsidR="0061548F" w:rsidRPr="003047BE">
        <w:t>The aim of this tax was to ensure that the price of luxury cars did not fall dramatically.</w:t>
      </w:r>
      <w:r w:rsidR="0061548F" w:rsidRPr="003047BE">
        <w:rPr>
          <w:rStyle w:val="FootnoteReference"/>
        </w:rPr>
        <w:footnoteReference w:id="13"/>
      </w:r>
      <w:r w:rsidR="00562EB7" w:rsidRPr="003047BE">
        <w:t xml:space="preserve"> </w:t>
      </w:r>
      <w:r w:rsidR="0061548F" w:rsidRPr="003047BE">
        <w:t>The LCT applies to a range of vehicles including passenger cars, station wagons, four</w:t>
      </w:r>
      <w:r w:rsidR="00111EFA">
        <w:noBreakHyphen/>
      </w:r>
      <w:r w:rsidR="0061548F" w:rsidRPr="003047BE">
        <w:t xml:space="preserve">wheel drives and limousines. </w:t>
      </w:r>
    </w:p>
    <w:p w14:paraId="4462630B" w14:textId="78D9AF40" w:rsidR="005C2557" w:rsidRPr="003047BE" w:rsidRDefault="0061548F" w:rsidP="005C2557">
      <w:r w:rsidRPr="003047BE">
        <w:t>Currently, t</w:t>
      </w:r>
      <w:r w:rsidR="005C2557" w:rsidRPr="003047BE">
        <w:t>he LCT applies to cars</w:t>
      </w:r>
      <w:r w:rsidRPr="003047BE">
        <w:t xml:space="preserve"> sold in or imported into</w:t>
      </w:r>
      <w:r w:rsidR="005C2557" w:rsidRPr="003047BE">
        <w:t xml:space="preserve"> Australia</w:t>
      </w:r>
      <w:r w:rsidR="00D50B22" w:rsidRPr="003047BE">
        <w:t>, with some limited exemptions,</w:t>
      </w:r>
      <w:r w:rsidR="005C2557" w:rsidRPr="003047BE">
        <w:t xml:space="preserve"> where t</w:t>
      </w:r>
      <w:r w:rsidR="00C17BA2" w:rsidRPr="003047BE">
        <w:t>he value of a car exceeds a GST</w:t>
      </w:r>
      <w:r w:rsidR="00111EFA">
        <w:noBreakHyphen/>
      </w:r>
      <w:r w:rsidR="005C2557" w:rsidRPr="003047BE">
        <w:t>inclusive threshold</w:t>
      </w:r>
      <w:r w:rsidR="00614456" w:rsidRPr="003047BE">
        <w:t xml:space="preserve">. </w:t>
      </w:r>
      <w:r w:rsidR="005C2557" w:rsidRPr="003047BE">
        <w:t>The LCT is</w:t>
      </w:r>
      <w:r w:rsidRPr="003047BE">
        <w:t xml:space="preserve"> currently</w:t>
      </w:r>
      <w:r w:rsidR="005C2557" w:rsidRPr="003047BE">
        <w:t xml:space="preserve"> applied at a rate of 33 per cent to the GST</w:t>
      </w:r>
      <w:r w:rsidR="00111EFA">
        <w:noBreakHyphen/>
      </w:r>
      <w:r w:rsidR="005C2557" w:rsidRPr="003047BE">
        <w:t xml:space="preserve">exclusive value of the car (including accessories) </w:t>
      </w:r>
      <w:r w:rsidR="00E3390B">
        <w:t>when it</w:t>
      </w:r>
      <w:r w:rsidR="00E3390B" w:rsidRPr="003047BE">
        <w:t xml:space="preserve"> </w:t>
      </w:r>
      <w:r w:rsidR="005C2557" w:rsidRPr="003047BE">
        <w:t>exceeds the LCT threshold. For the 2014</w:t>
      </w:r>
      <w:r w:rsidR="00111EFA">
        <w:noBreakHyphen/>
      </w:r>
      <w:r w:rsidR="005C2557" w:rsidRPr="003047BE">
        <w:t>15 financial year</w:t>
      </w:r>
      <w:r w:rsidR="00011BF1" w:rsidRPr="003047BE">
        <w:t>,</w:t>
      </w:r>
      <w:r w:rsidR="005C2557" w:rsidRPr="003047BE">
        <w:t xml:space="preserve"> the threshold is $61,884 for regular cars and $75,375 for fuel efficient vehicles. The LCT raised $476 million in 2013</w:t>
      </w:r>
      <w:r w:rsidR="00111EFA">
        <w:noBreakHyphen/>
      </w:r>
      <w:r w:rsidR="005C2557" w:rsidRPr="003047BE">
        <w:t>14.</w:t>
      </w:r>
      <w:r w:rsidR="000B7ABA" w:rsidRPr="003047BE">
        <w:rPr>
          <w:rStyle w:val="FootnoteReference"/>
        </w:rPr>
        <w:footnoteReference w:id="14"/>
      </w:r>
    </w:p>
    <w:p w14:paraId="0D7E69A7" w14:textId="4D93E3C3" w:rsidR="005C2557" w:rsidRPr="003047BE" w:rsidRDefault="005C2557" w:rsidP="005C2557">
      <w:r w:rsidRPr="003047BE">
        <w:t>In the past</w:t>
      </w:r>
      <w:r w:rsidR="00011BF1" w:rsidRPr="003047BE">
        <w:t>,</w:t>
      </w:r>
      <w:r w:rsidRPr="003047BE">
        <w:t xml:space="preserve"> it has been noted that the LCT</w:t>
      </w:r>
      <w:r w:rsidR="00111EFA">
        <w:t>’</w:t>
      </w:r>
      <w:r w:rsidRPr="003047BE">
        <w:t>s thresholds may not be an accurate representation of luxury in the car market</w:t>
      </w:r>
      <w:r w:rsidR="00973660" w:rsidRPr="003047BE">
        <w:t xml:space="preserve"> —</w:t>
      </w:r>
      <w:r w:rsidRPr="003047BE">
        <w:t xml:space="preserve"> </w:t>
      </w:r>
      <w:r w:rsidR="00C44257" w:rsidRPr="003047BE">
        <w:t xml:space="preserve">for example, </w:t>
      </w:r>
      <w:r w:rsidRPr="003047BE">
        <w:t>a seven</w:t>
      </w:r>
      <w:r w:rsidR="00111EFA">
        <w:noBreakHyphen/>
      </w:r>
      <w:r w:rsidRPr="003047BE">
        <w:t>seater family vehicle and a</w:t>
      </w:r>
      <w:r w:rsidR="00562EB7" w:rsidRPr="003047BE">
        <w:t> </w:t>
      </w:r>
      <w:r w:rsidRPr="003047BE">
        <w:t xml:space="preserve">small sports car may both attract </w:t>
      </w:r>
      <w:r w:rsidR="00C44257" w:rsidRPr="003047BE">
        <w:t xml:space="preserve">similar amounts of </w:t>
      </w:r>
      <w:r w:rsidRPr="003047BE">
        <w:t>LCT</w:t>
      </w:r>
      <w:r w:rsidR="00614456" w:rsidRPr="003047BE">
        <w:t xml:space="preserve">. </w:t>
      </w:r>
    </w:p>
    <w:p w14:paraId="045019A5" w14:textId="4218C6A2" w:rsidR="005C2557" w:rsidRPr="003047BE" w:rsidRDefault="00EB7B4D" w:rsidP="005C2557">
      <w:r w:rsidRPr="003047BE">
        <w:t>C</w:t>
      </w:r>
      <w:r w:rsidR="005C2557" w:rsidRPr="003047BE">
        <w:t>hanges to the LCT have increased the tax</w:t>
      </w:r>
      <w:r w:rsidR="00111EFA">
        <w:t>’</w:t>
      </w:r>
      <w:r w:rsidR="005C2557" w:rsidRPr="003047BE">
        <w:t>s complexity</w:t>
      </w:r>
      <w:r w:rsidR="00011BF1" w:rsidRPr="003047BE">
        <w:t xml:space="preserve"> over time</w:t>
      </w:r>
      <w:r w:rsidR="00B76901" w:rsidRPr="003047BE">
        <w:t xml:space="preserve">. </w:t>
      </w:r>
      <w:r w:rsidR="00721E24" w:rsidRPr="003047BE">
        <w:t>F</w:t>
      </w:r>
      <w:r w:rsidR="00FE6719" w:rsidRPr="003047BE">
        <w:t>or instance,</w:t>
      </w:r>
      <w:r w:rsidR="005C2557" w:rsidRPr="003047BE">
        <w:t xml:space="preserve"> the two</w:t>
      </w:r>
      <w:r w:rsidR="004E2FA6" w:rsidRPr="003047BE">
        <w:t> </w:t>
      </w:r>
      <w:r w:rsidR="005C2557" w:rsidRPr="003047BE">
        <w:t>thresholds are now indexed to different price indices</w:t>
      </w:r>
      <w:r w:rsidR="00011BF1" w:rsidRPr="003047BE">
        <w:t>;</w:t>
      </w:r>
      <w:r w:rsidR="005C2557" w:rsidRPr="003047BE">
        <w:t xml:space="preserve"> the thresholds are no longer aligned with the </w:t>
      </w:r>
      <w:r w:rsidR="00111EFA">
        <w:t>‘</w:t>
      </w:r>
      <w:r w:rsidR="005C2557" w:rsidRPr="003047BE">
        <w:t xml:space="preserve">car </w:t>
      </w:r>
      <w:r w:rsidR="00883687" w:rsidRPr="003047BE">
        <w:t>(</w:t>
      </w:r>
      <w:r w:rsidR="005C2557" w:rsidRPr="003047BE">
        <w:t>depreciation</w:t>
      </w:r>
      <w:r w:rsidR="00883687" w:rsidRPr="003047BE">
        <w:t>)</w:t>
      </w:r>
      <w:r w:rsidR="005C2557" w:rsidRPr="003047BE">
        <w:t xml:space="preserve"> limit</w:t>
      </w:r>
      <w:r w:rsidR="00111EFA">
        <w:t>’</w:t>
      </w:r>
      <w:r w:rsidR="00011BF1" w:rsidRPr="003047BE">
        <w:t>;</w:t>
      </w:r>
      <w:r w:rsidR="005C2557" w:rsidRPr="003047BE">
        <w:t xml:space="preserve"> some industries and vehicle types are eligible for exemptions</w:t>
      </w:r>
      <w:r w:rsidR="00FE6719" w:rsidRPr="003047BE">
        <w:t>;</w:t>
      </w:r>
      <w:r w:rsidR="005C2557" w:rsidRPr="003047BE">
        <w:t xml:space="preserve"> and the LCT</w:t>
      </w:r>
      <w:r w:rsidR="00111EFA">
        <w:t>’</w:t>
      </w:r>
      <w:r w:rsidR="005C2557" w:rsidRPr="003047BE">
        <w:t>s interaction with the GST has become more complex.</w:t>
      </w:r>
    </w:p>
    <w:p w14:paraId="1A4BA9F8" w14:textId="181FC4DD" w:rsidR="0061548F" w:rsidRPr="003047BE" w:rsidRDefault="0061548F" w:rsidP="005C2557">
      <w:r w:rsidRPr="003047BE">
        <w:t>Some stakeholders have raised concerns that the LCT falls mainly on imported cars originating from a limited number of jurisdictions and is therefore a barrier to trade</w:t>
      </w:r>
      <w:r w:rsidR="00B76901" w:rsidRPr="003047BE">
        <w:t xml:space="preserve">. </w:t>
      </w:r>
      <w:r w:rsidRPr="003047BE">
        <w:t>However, the LCT applies to all cars purchased in Australia, regardless of where the car is manufactured and therefore does not discriminate against imports.</w:t>
      </w:r>
      <w:r w:rsidR="00A54DC0" w:rsidRPr="003047BE">
        <w:t xml:space="preserve"> </w:t>
      </w:r>
    </w:p>
    <w:p w14:paraId="78BB5C15" w14:textId="4014DD2A" w:rsidR="0089680B" w:rsidRPr="003047BE" w:rsidRDefault="0089680B" w:rsidP="0089680B">
      <w:bookmarkStart w:id="52" w:name="_Toc404350551"/>
      <w:r w:rsidRPr="003047BE">
        <w:t>Whilst the LCT does not discriminate between domestic and foreign manufactured vehicles, the majority of LCT revenue is derived from imported vehicles. Industry estimates indicate that in 2014 around 94 per cent of vehicles subject to LCT were imported</w:t>
      </w:r>
      <w:r w:rsidR="00B76901" w:rsidRPr="003047BE">
        <w:t xml:space="preserve">. </w:t>
      </w:r>
      <w:r w:rsidRPr="003047BE">
        <w:t>This has increased from around 89 per cent in 2005.</w:t>
      </w:r>
      <w:r w:rsidRPr="003047BE">
        <w:rPr>
          <w:rStyle w:val="FootnoteReference"/>
        </w:rPr>
        <w:footnoteReference w:id="15"/>
      </w:r>
    </w:p>
    <w:p w14:paraId="06665128" w14:textId="77777777" w:rsidR="00B76901" w:rsidRPr="003047BE" w:rsidRDefault="00B76901" w:rsidP="0089680B"/>
    <w:p w14:paraId="0C91EEA7" w14:textId="77777777" w:rsidR="00805A84" w:rsidRPr="003047BE" w:rsidRDefault="00805A84" w:rsidP="00504C00">
      <w:pPr>
        <w:pStyle w:val="Heading2"/>
        <w:ind w:left="993" w:hanging="993"/>
      </w:pPr>
      <w:r w:rsidRPr="003047BE">
        <w:lastRenderedPageBreak/>
        <w:t>Agricultural levies</w:t>
      </w:r>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3047BE">
        <w:t xml:space="preserve"> </w:t>
      </w:r>
    </w:p>
    <w:p w14:paraId="11C4DEA7" w14:textId="73D77123" w:rsidR="00D9200E" w:rsidRPr="003047BE" w:rsidRDefault="00D9200E" w:rsidP="00D9200E">
      <w:pPr>
        <w:pStyle w:val="AlphaParagraph"/>
        <w:numPr>
          <w:ilvl w:val="0"/>
          <w:numId w:val="0"/>
        </w:numPr>
        <w:rPr>
          <w:szCs w:val="22"/>
        </w:rPr>
      </w:pPr>
      <w:r w:rsidRPr="003047BE">
        <w:t xml:space="preserve">The </w:t>
      </w:r>
      <w:r w:rsidR="006119A5" w:rsidRPr="003047BE">
        <w:t xml:space="preserve">Australian Government </w:t>
      </w:r>
      <w:r w:rsidRPr="003047BE">
        <w:t>collects agricultural levies under its taxation powers at the request of primary producer associations</w:t>
      </w:r>
      <w:r w:rsidR="00614456" w:rsidRPr="003047BE">
        <w:t xml:space="preserve">. </w:t>
      </w:r>
      <w:r w:rsidRPr="003047BE">
        <w:t xml:space="preserve">The purpose of the levies is to provide a significant, reliable and ongoing source of pooled funds for research, development and marketing of particular agricultural </w:t>
      </w:r>
      <w:r w:rsidR="00C461CF" w:rsidRPr="003047BE">
        <w:t>commodities</w:t>
      </w:r>
      <w:r w:rsidRPr="003047BE">
        <w:t>. L</w:t>
      </w:r>
      <w:r w:rsidRPr="003047BE" w:rsidDel="00903415">
        <w:t xml:space="preserve">evies </w:t>
      </w:r>
      <w:r w:rsidRPr="003047BE">
        <w:t xml:space="preserve">are considered minor taxes due to the narrow base on which </w:t>
      </w:r>
      <w:r w:rsidRPr="003047BE" w:rsidDel="00903415">
        <w:t>the</w:t>
      </w:r>
      <w:r w:rsidRPr="003047BE">
        <w:t>y are applied (usually per unit of commodity), and the relatively small amount of revenue generated by each individual levy</w:t>
      </w:r>
      <w:r w:rsidR="00614456" w:rsidRPr="003047BE">
        <w:t xml:space="preserve">. </w:t>
      </w:r>
      <w:r w:rsidR="00BD7C27" w:rsidRPr="003047BE">
        <w:rPr>
          <w:rFonts w:cs="Arial"/>
          <w:szCs w:val="22"/>
        </w:rPr>
        <w:t>According to the Department of Agriculture</w:t>
      </w:r>
      <w:r w:rsidR="00FE6719" w:rsidRPr="003047BE">
        <w:rPr>
          <w:rFonts w:cs="Arial"/>
          <w:szCs w:val="22"/>
        </w:rPr>
        <w:t>,</w:t>
      </w:r>
      <w:r w:rsidR="00BD7C27" w:rsidRPr="003047BE">
        <w:rPr>
          <w:rFonts w:cs="Arial"/>
          <w:szCs w:val="22"/>
        </w:rPr>
        <w:t xml:space="preserve"> there</w:t>
      </w:r>
      <w:r w:rsidR="00562EB7" w:rsidRPr="003047BE">
        <w:rPr>
          <w:rFonts w:cs="Arial"/>
          <w:szCs w:val="22"/>
        </w:rPr>
        <w:t xml:space="preserve"> </w:t>
      </w:r>
      <w:r w:rsidR="00BD7C27" w:rsidRPr="003047BE">
        <w:rPr>
          <w:rFonts w:cs="Arial"/>
          <w:szCs w:val="22"/>
        </w:rPr>
        <w:t xml:space="preserve">are 97 primary industry levies imposed on 73 </w:t>
      </w:r>
      <w:r w:rsidR="00C461CF" w:rsidRPr="003047BE">
        <w:rPr>
          <w:rFonts w:cs="Arial"/>
          <w:szCs w:val="22"/>
        </w:rPr>
        <w:t xml:space="preserve">agricultural </w:t>
      </w:r>
      <w:r w:rsidR="00BD7C27" w:rsidRPr="003047BE">
        <w:rPr>
          <w:rFonts w:cs="Arial"/>
          <w:szCs w:val="22"/>
        </w:rPr>
        <w:t>commodities with 18</w:t>
      </w:r>
      <w:r w:rsidR="000614B5" w:rsidRPr="003047BE">
        <w:rPr>
          <w:rFonts w:cs="Arial"/>
          <w:szCs w:val="22"/>
        </w:rPr>
        <w:t> </w:t>
      </w:r>
      <w:r w:rsidR="00BD7C27" w:rsidRPr="003047BE">
        <w:rPr>
          <w:rFonts w:cs="Arial"/>
          <w:szCs w:val="22"/>
        </w:rPr>
        <w:t>recipient bodies.</w:t>
      </w:r>
      <w:r w:rsidR="00610AC5" w:rsidRPr="003047BE">
        <w:rPr>
          <w:rStyle w:val="FootnoteReference"/>
          <w:rFonts w:cs="Arial"/>
          <w:szCs w:val="22"/>
        </w:rPr>
        <w:footnoteReference w:id="16"/>
      </w:r>
    </w:p>
    <w:p w14:paraId="489E59D9" w14:textId="612E2EB1" w:rsidR="00D9200E" w:rsidRPr="003047BE" w:rsidRDefault="00D9200E" w:rsidP="00D9200E">
      <w:pPr>
        <w:pStyle w:val="AlphaParagraph"/>
        <w:numPr>
          <w:ilvl w:val="0"/>
          <w:numId w:val="0"/>
        </w:numPr>
      </w:pPr>
      <w:r w:rsidRPr="003047BE">
        <w:t>Levies are imposed on individual producers of agricultural products</w:t>
      </w:r>
      <w:r w:rsidR="00614456" w:rsidRPr="003047BE">
        <w:t xml:space="preserve">. </w:t>
      </w:r>
      <w:r w:rsidRPr="003047BE">
        <w:t xml:space="preserve">The Department of Agriculture collects the levy funds and passes them to the relevant </w:t>
      </w:r>
      <w:r w:rsidR="00AF10A0" w:rsidRPr="003047BE">
        <w:t>R</w:t>
      </w:r>
      <w:r w:rsidR="00C461CF" w:rsidRPr="003047BE">
        <w:t>ural R</w:t>
      </w:r>
      <w:r w:rsidR="00FE6719" w:rsidRPr="003047BE">
        <w:t xml:space="preserve">esearch and </w:t>
      </w:r>
      <w:r w:rsidR="00C461CF" w:rsidRPr="003047BE">
        <w:t>D</w:t>
      </w:r>
      <w:r w:rsidR="00FE6719" w:rsidRPr="003047BE">
        <w:t>evelopment</w:t>
      </w:r>
      <w:r w:rsidRPr="003047BE">
        <w:t xml:space="preserve"> </w:t>
      </w:r>
      <w:r w:rsidR="00C461CF" w:rsidRPr="003047BE">
        <w:t xml:space="preserve">Corporations </w:t>
      </w:r>
      <w:r w:rsidRPr="003047BE">
        <w:t>and marketing bodies</w:t>
      </w:r>
      <w:r w:rsidR="00FE6719" w:rsidRPr="003047BE">
        <w:t>,</w:t>
      </w:r>
      <w:r w:rsidRPr="003047BE">
        <w:t xml:space="preserve"> as well as </w:t>
      </w:r>
      <w:r w:rsidRPr="003047BE">
        <w:rPr>
          <w:lang w:val="en"/>
        </w:rPr>
        <w:t>to Animal Health Australia, Plant Health Australia and the National Residue Survey, to fund activities that benefit levy</w:t>
      </w:r>
      <w:r w:rsidR="00111EFA">
        <w:rPr>
          <w:lang w:val="en"/>
        </w:rPr>
        <w:noBreakHyphen/>
      </w:r>
      <w:r w:rsidRPr="003047BE">
        <w:rPr>
          <w:lang w:val="en"/>
        </w:rPr>
        <w:t>paying industries</w:t>
      </w:r>
      <w:r w:rsidRPr="003047BE">
        <w:t>. The introduction of a new levy or a change in a levy requires support from a majority of the levy payers. Bodies that receive levies to conduct research, product development and marketing are accountable to levy payers and to the Government</w:t>
      </w:r>
      <w:r w:rsidR="00973660" w:rsidRPr="003047BE">
        <w:t xml:space="preserve">. </w:t>
      </w:r>
      <w:r w:rsidR="00EB7B4D" w:rsidRPr="003047BE">
        <w:t xml:space="preserve">Agricultural </w:t>
      </w:r>
      <w:r w:rsidRPr="003047BE">
        <w:t>research and development corporations receive levy funds supplemented by Government matching up to a cap of 0.5 per cent of the industry</w:t>
      </w:r>
      <w:r w:rsidR="00111EFA">
        <w:t>’</w:t>
      </w:r>
      <w:r w:rsidRPr="003047BE">
        <w:t>s gross value of production</w:t>
      </w:r>
      <w:r w:rsidR="00973660" w:rsidRPr="003047BE">
        <w:t>.</w:t>
      </w:r>
      <w:r w:rsidR="00283AFF" w:rsidRPr="003047BE">
        <w:rPr>
          <w:rStyle w:val="FootnoteReference"/>
        </w:rPr>
        <w:footnoteReference w:id="17"/>
      </w:r>
    </w:p>
    <w:p w14:paraId="7DE9C7F9" w14:textId="0C114CC0" w:rsidR="00D9200E" w:rsidRPr="003047BE" w:rsidRDefault="00D9200E" w:rsidP="00D9200E">
      <w:pPr>
        <w:pStyle w:val="AlphaParagraph"/>
        <w:numPr>
          <w:ilvl w:val="0"/>
          <w:numId w:val="0"/>
        </w:numPr>
      </w:pPr>
      <w:r w:rsidRPr="003047BE">
        <w:t>Primary industry levies may be justified in theory where they address an identified potential market failure</w:t>
      </w:r>
      <w:r w:rsidR="00973660" w:rsidRPr="003047BE">
        <w:t xml:space="preserve">. </w:t>
      </w:r>
      <w:r w:rsidRPr="003047BE">
        <w:t>When used effectively, they can assist</w:t>
      </w:r>
      <w:r w:rsidR="00FE6719" w:rsidRPr="003047BE">
        <w:t xml:space="preserve"> </w:t>
      </w:r>
      <w:r w:rsidRPr="003047BE">
        <w:t>producers to pool their effort</w:t>
      </w:r>
      <w:r w:rsidR="00C461CF" w:rsidRPr="003047BE">
        <w:t>s</w:t>
      </w:r>
      <w:r w:rsidRPr="003047BE">
        <w:t xml:space="preserve"> and resources, enabling greater levels of investment in activities that may otherwise be undersupplied </w:t>
      </w:r>
      <w:r w:rsidR="007A57F8" w:rsidRPr="003047BE">
        <w:t>as</w:t>
      </w:r>
      <w:r w:rsidR="001D7B09" w:rsidRPr="003047BE">
        <w:t>,</w:t>
      </w:r>
      <w:r w:rsidR="007A57F8" w:rsidRPr="003047BE">
        <w:t xml:space="preserve"> </w:t>
      </w:r>
      <w:r w:rsidRPr="003047BE">
        <w:t>due to the free</w:t>
      </w:r>
      <w:r w:rsidR="00111EFA">
        <w:noBreakHyphen/>
      </w:r>
      <w:r w:rsidRPr="003047BE">
        <w:t>rider problem</w:t>
      </w:r>
      <w:r w:rsidR="007A57F8" w:rsidRPr="003047BE">
        <w:t>,</w:t>
      </w:r>
      <w:r w:rsidR="0093211F" w:rsidRPr="003047BE">
        <w:rPr>
          <w:rStyle w:val="FootnoteReference"/>
        </w:rPr>
        <w:footnoteReference w:id="18"/>
      </w:r>
      <w:r w:rsidR="00973660" w:rsidRPr="003047BE">
        <w:t xml:space="preserve"> </w:t>
      </w:r>
      <w:r w:rsidR="007A57F8" w:rsidRPr="003047BE">
        <w:t>p</w:t>
      </w:r>
      <w:r w:rsidRPr="003047BE">
        <w:t>roducers do not have the same incentive to invest when act</w:t>
      </w:r>
      <w:r w:rsidR="00FE6719" w:rsidRPr="003047BE">
        <w:t>ing</w:t>
      </w:r>
      <w:r w:rsidRPr="003047BE">
        <w:t xml:space="preserve"> individually as they do when act</w:t>
      </w:r>
      <w:r w:rsidR="00FE6719" w:rsidRPr="003047BE">
        <w:t>ing</w:t>
      </w:r>
      <w:r w:rsidRPr="003047BE">
        <w:t xml:space="preserve"> collectively</w:t>
      </w:r>
      <w:r w:rsidR="00973660" w:rsidRPr="003047BE">
        <w:t xml:space="preserve">. </w:t>
      </w:r>
    </w:p>
    <w:p w14:paraId="300C1C96" w14:textId="12D02F20" w:rsidR="00D9200E" w:rsidRPr="003047BE" w:rsidRDefault="00EB7B4D" w:rsidP="00B76901">
      <w:pPr>
        <w:spacing w:after="120"/>
      </w:pPr>
      <w:r w:rsidRPr="003047BE">
        <w:t xml:space="preserve">Government </w:t>
      </w:r>
      <w:r w:rsidR="001D7B09" w:rsidRPr="003047BE">
        <w:t xml:space="preserve">support in the form of matching funds for research and development </w:t>
      </w:r>
      <w:r w:rsidRPr="003047BE">
        <w:t>is</w:t>
      </w:r>
      <w:r w:rsidR="001D7B09" w:rsidRPr="003047BE">
        <w:t xml:space="preserve"> </w:t>
      </w:r>
      <w:r w:rsidR="00721E24" w:rsidRPr="003047BE">
        <w:t xml:space="preserve">provided </w:t>
      </w:r>
      <w:r w:rsidRPr="003047BE">
        <w:t xml:space="preserve">on the </w:t>
      </w:r>
      <w:r w:rsidR="00721E24" w:rsidRPr="003047BE">
        <w:t xml:space="preserve">expectation </w:t>
      </w:r>
      <w:r w:rsidRPr="003047BE">
        <w:t xml:space="preserve">that </w:t>
      </w:r>
      <w:r w:rsidR="001D7B09" w:rsidRPr="003047BE">
        <w:t xml:space="preserve">the combination of the </w:t>
      </w:r>
      <w:r w:rsidR="00721E24" w:rsidRPr="003047BE">
        <w:t xml:space="preserve">anticipated </w:t>
      </w:r>
      <w:r w:rsidR="001D7B09" w:rsidRPr="003047BE">
        <w:t xml:space="preserve">benefits for an industry and any positive </w:t>
      </w:r>
      <w:proofErr w:type="spellStart"/>
      <w:r w:rsidR="001D7B09" w:rsidRPr="003047BE">
        <w:t>spillovers</w:t>
      </w:r>
      <w:proofErr w:type="spellEnd"/>
      <w:r w:rsidR="001D7B09" w:rsidRPr="003047BE">
        <w:t xml:space="preserve"> outweigh the total costs. </w:t>
      </w:r>
      <w:r w:rsidR="00D9200E" w:rsidRPr="003047BE">
        <w:t>Levies are not the complete solution to address under</w:t>
      </w:r>
      <w:r w:rsidR="00111EFA">
        <w:noBreakHyphen/>
      </w:r>
      <w:r w:rsidR="00D9200E" w:rsidRPr="003047BE">
        <w:t xml:space="preserve">investment in rural </w:t>
      </w:r>
      <w:r w:rsidR="00FE6719" w:rsidRPr="003047BE">
        <w:t>research and development</w:t>
      </w:r>
      <w:r w:rsidR="00D9200E" w:rsidRPr="003047BE">
        <w:t xml:space="preserve"> as they are unlikely to facilitate investment in research where the benefits are spread thinly across a wide range of industries or mainly accrue to the wider community.</w:t>
      </w:r>
    </w:p>
    <w:p w14:paraId="3E06574E" w14:textId="77777777" w:rsidR="00B76901" w:rsidRPr="003047BE" w:rsidRDefault="00B76901" w:rsidP="00D9200E"/>
    <w:p w14:paraId="07B01A91" w14:textId="77777777" w:rsidR="00805A84" w:rsidRPr="003047BE" w:rsidRDefault="00805A84" w:rsidP="00504C00">
      <w:pPr>
        <w:pStyle w:val="Heading2"/>
        <w:ind w:left="993" w:hanging="993"/>
      </w:pPr>
      <w:bookmarkStart w:id="53" w:name="_Toc402326923"/>
      <w:bookmarkStart w:id="54" w:name="_Toc402333576"/>
      <w:bookmarkStart w:id="55" w:name="_Toc402340357"/>
      <w:bookmarkStart w:id="56" w:name="_Toc402343451"/>
      <w:bookmarkStart w:id="57" w:name="_Toc402346687"/>
      <w:bookmarkStart w:id="58" w:name="_Toc402349143"/>
      <w:bookmarkStart w:id="59" w:name="_Toc402350671"/>
      <w:bookmarkStart w:id="60" w:name="_Toc402353692"/>
      <w:bookmarkStart w:id="61" w:name="_Toc402362220"/>
      <w:bookmarkStart w:id="62" w:name="_Toc402368809"/>
      <w:bookmarkStart w:id="63" w:name="_Toc402369894"/>
      <w:bookmarkStart w:id="64" w:name="_Toc402370559"/>
      <w:bookmarkStart w:id="65" w:name="_Toc402371506"/>
      <w:bookmarkStart w:id="66" w:name="_Toc404350552"/>
      <w:r w:rsidRPr="003047BE">
        <w:lastRenderedPageBreak/>
        <w:t>Tariffs</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3047BE">
        <w:t xml:space="preserve"> </w:t>
      </w:r>
    </w:p>
    <w:p w14:paraId="09F7D058" w14:textId="52466B8A" w:rsidR="00805A84" w:rsidRPr="003047BE" w:rsidRDefault="00805A84" w:rsidP="00805A84">
      <w:r w:rsidRPr="003047BE">
        <w:t>Tariffs are taxes applied to goods imported into Australia. In 2013</w:t>
      </w:r>
      <w:r w:rsidR="00111EFA">
        <w:noBreakHyphen/>
      </w:r>
      <w:r w:rsidRPr="003047BE">
        <w:t xml:space="preserve">14, revenue from </w:t>
      </w:r>
      <w:r w:rsidR="00111EFA">
        <w:t>‘</w:t>
      </w:r>
      <w:r w:rsidRPr="003047BE">
        <w:t>other customs duty</w:t>
      </w:r>
      <w:r w:rsidR="00111EFA">
        <w:t>’</w:t>
      </w:r>
      <w:r w:rsidRPr="003047BE">
        <w:t xml:space="preserve"> was $3.0 billion.</w:t>
      </w:r>
      <w:r w:rsidRPr="003047BE">
        <w:rPr>
          <w:rStyle w:val="FootnoteReference"/>
        </w:rPr>
        <w:footnoteReference w:id="19"/>
      </w:r>
      <w:r w:rsidRPr="003047BE">
        <w:t xml:space="preserve"> </w:t>
      </w:r>
      <w:r w:rsidR="00EB7B4D" w:rsidRPr="003047BE">
        <w:t>T</w:t>
      </w:r>
      <w:r w:rsidRPr="003047BE">
        <w:t>ariffs are usually imposed in order to protect domestic industr</w:t>
      </w:r>
      <w:r w:rsidR="00FE6719" w:rsidRPr="003047BE">
        <w:t>ies</w:t>
      </w:r>
      <w:r w:rsidRPr="003047BE">
        <w:t>, rather than to raise revenue. In general, zero tariffs</w:t>
      </w:r>
      <w:r w:rsidR="00EB7B4D" w:rsidRPr="003047BE">
        <w:t xml:space="preserve"> are expected to</w:t>
      </w:r>
      <w:r w:rsidRPr="003047BE">
        <w:t xml:space="preserve"> </w:t>
      </w:r>
      <w:r w:rsidR="00177C93" w:rsidRPr="003047BE">
        <w:t>lead to higher living standards</w:t>
      </w:r>
      <w:r w:rsidRPr="003047BE">
        <w:t xml:space="preserve">, regardless of tariffs imposed on Australian goods exported to other countries. </w:t>
      </w:r>
    </w:p>
    <w:p w14:paraId="03008522" w14:textId="0CA178B1" w:rsidR="00805A84" w:rsidRPr="003047BE" w:rsidRDefault="00FE6719" w:rsidP="00805A84">
      <w:r w:rsidRPr="003047BE">
        <w:t>All import tariffs, except for</w:t>
      </w:r>
      <w:r w:rsidR="00805A84" w:rsidRPr="003047BE">
        <w:t xml:space="preserve"> those applying to textiles and motor vehicles and components, were progressively reduced from up to 19 per cent in</w:t>
      </w:r>
      <w:r w:rsidR="00111EFA">
        <w:t xml:space="preserve"> 1988 to five per cent in 1996. </w:t>
      </w:r>
      <w:r w:rsidR="00805A84" w:rsidRPr="003047BE">
        <w:t>Tariffs on motor vehicles and components were reduced from 45 per cent to five per cent between 1988 and 2010. For textiles, clothing and footwear, tariffs are being reduced from up to 89</w:t>
      </w:r>
      <w:r w:rsidR="000614B5" w:rsidRPr="003047BE">
        <w:t> </w:t>
      </w:r>
      <w:r w:rsidR="00805A84" w:rsidRPr="003047BE">
        <w:t>per cent in 1988 to five per cent in 2015.</w:t>
      </w:r>
      <w:r w:rsidR="007824F7" w:rsidRPr="003047BE">
        <w:rPr>
          <w:rStyle w:val="FootnoteReference"/>
        </w:rPr>
        <w:footnoteReference w:id="20"/>
      </w:r>
    </w:p>
    <w:p w14:paraId="0B61F996" w14:textId="5AB91B61" w:rsidR="00805A84" w:rsidRPr="003047BE" w:rsidRDefault="00805A84" w:rsidP="00805A84">
      <w:r w:rsidRPr="003047BE">
        <w:t>As tariff revenue declines, the cost of collecting tariffs is increasing as a proportio</w:t>
      </w:r>
      <w:r w:rsidR="008D3A63" w:rsidRPr="003047BE">
        <w:t>n of revenue raised.</w:t>
      </w:r>
      <w:r w:rsidR="00EB7B4D" w:rsidRPr="003047BE">
        <w:t xml:space="preserve"> </w:t>
      </w:r>
      <w:r w:rsidRPr="003047BE">
        <w:t xml:space="preserve">Tariffs raise costs for all </w:t>
      </w:r>
      <w:r w:rsidR="00235664" w:rsidRPr="003047BE">
        <w:t>businesses</w:t>
      </w:r>
      <w:r w:rsidRPr="003047BE">
        <w:t xml:space="preserve">. </w:t>
      </w:r>
      <w:r w:rsidR="00721E24" w:rsidRPr="003047BE">
        <w:t>The Productivity Commission estimates that</w:t>
      </w:r>
      <w:r w:rsidR="00E3390B">
        <w:t>,</w:t>
      </w:r>
      <w:r w:rsidR="00721E24" w:rsidRPr="003047BE">
        <w:t xml:space="preserve"> i</w:t>
      </w:r>
      <w:r w:rsidRPr="003047BE">
        <w:t>n 2012</w:t>
      </w:r>
      <w:r w:rsidR="00111EFA">
        <w:noBreakHyphen/>
      </w:r>
      <w:r w:rsidRPr="003047BE">
        <w:t>13, Australia</w:t>
      </w:r>
      <w:r w:rsidR="00111EFA">
        <w:t>’</w:t>
      </w:r>
      <w:r w:rsidRPr="003047BE">
        <w:t xml:space="preserve">s tariff system imposed an aggregate cost on Australian </w:t>
      </w:r>
      <w:r w:rsidR="00235664" w:rsidRPr="003047BE">
        <w:t>businesse</w:t>
      </w:r>
      <w:r w:rsidRPr="003047BE">
        <w:t xml:space="preserve">s of $7.1 billion by increasing the price of imported inputs and allowing domestic </w:t>
      </w:r>
      <w:r w:rsidR="00235664" w:rsidRPr="003047BE">
        <w:t>businesses</w:t>
      </w:r>
      <w:r w:rsidRPr="003047BE">
        <w:t xml:space="preserve"> to charge higher prices than they otherwise could.</w:t>
      </w:r>
      <w:r w:rsidR="009B5CC7" w:rsidRPr="003047BE">
        <w:rPr>
          <w:rStyle w:val="FootnoteReference"/>
        </w:rPr>
        <w:footnoteReference w:id="21"/>
      </w:r>
      <w:r w:rsidR="00562EB7" w:rsidRPr="003047BE">
        <w:t xml:space="preserve"> </w:t>
      </w:r>
      <w:r w:rsidRPr="003047BE">
        <w:t>This cost is ult</w:t>
      </w:r>
      <w:r w:rsidR="008D3A63" w:rsidRPr="003047BE">
        <w:t xml:space="preserve">imately passed on to </w:t>
      </w:r>
      <w:r w:rsidR="00EB7B4D" w:rsidRPr="003047BE">
        <w:t xml:space="preserve">domestic </w:t>
      </w:r>
      <w:r w:rsidR="008D3A63" w:rsidRPr="003047BE">
        <w:t>consumers.</w:t>
      </w:r>
    </w:p>
    <w:p w14:paraId="48B093AF" w14:textId="4EAAE616" w:rsidR="00805A84" w:rsidRPr="003047BE" w:rsidRDefault="00805A84" w:rsidP="00805A84">
      <w:r w:rsidRPr="003047BE">
        <w:t>The general tariff rate in Australia is five per cent</w:t>
      </w:r>
      <w:r w:rsidR="0021621B" w:rsidRPr="003047BE">
        <w:t xml:space="preserve"> and</w:t>
      </w:r>
      <w:r w:rsidR="00E8758B" w:rsidRPr="003047BE">
        <w:t xml:space="preserve">, prior to </w:t>
      </w:r>
      <w:r w:rsidR="00A10CC5" w:rsidRPr="003047BE">
        <w:t>the commencement</w:t>
      </w:r>
      <w:r w:rsidR="00E8758B" w:rsidRPr="003047BE">
        <w:t xml:space="preserve"> of the Korea Free Trade Agreement and the Japan Economic Partnership Agreement,</w:t>
      </w:r>
      <w:r w:rsidRPr="003047BE">
        <w:t xml:space="preserve"> applie</w:t>
      </w:r>
      <w:r w:rsidR="0021621B" w:rsidRPr="003047BE">
        <w:t>d</w:t>
      </w:r>
      <w:r w:rsidRPr="003047BE">
        <w:t xml:space="preserve"> to around 53 per cent of imports by value.</w:t>
      </w:r>
      <w:r w:rsidR="007824F7" w:rsidRPr="003047BE">
        <w:rPr>
          <w:rStyle w:val="FootnoteReference"/>
        </w:rPr>
        <w:footnoteReference w:id="22"/>
      </w:r>
      <w:r w:rsidRPr="003047BE">
        <w:t xml:space="preserve"> A Tariff Concession Scheme provides exemptions on application for imports for which no locally made substitute exists.</w:t>
      </w:r>
      <w:r w:rsidR="00562EB7" w:rsidRPr="003047BE">
        <w:t xml:space="preserve"> </w:t>
      </w:r>
      <w:r w:rsidRPr="003047BE">
        <w:t>Other tariff concessions also exist. Most goods imported from countries with which Australia has a free trade agreement attract no tariff, with the exception of certain automotive, steel and textile goods where the agreements provide for phased elimination.</w:t>
      </w:r>
    </w:p>
    <w:p w14:paraId="391E7026" w14:textId="75ADCB22" w:rsidR="00805A84" w:rsidRPr="003047BE" w:rsidRDefault="00805A84" w:rsidP="00B76901">
      <w:pPr>
        <w:spacing w:after="120"/>
      </w:pPr>
      <w:r w:rsidRPr="003047BE">
        <w:t xml:space="preserve">Determining the tariff payable on imported goods, establishing whether any exemptions apply or proving that the goods meet the requirements </w:t>
      </w:r>
      <w:r w:rsidR="00E3390B">
        <w:t>for</w:t>
      </w:r>
      <w:r w:rsidR="00E3390B" w:rsidRPr="003047BE">
        <w:t xml:space="preserve"> </w:t>
      </w:r>
      <w:r w:rsidRPr="003047BE">
        <w:t>be</w:t>
      </w:r>
      <w:r w:rsidR="00E3390B">
        <w:t>ing</w:t>
      </w:r>
      <w:r w:rsidRPr="003047BE">
        <w:t xml:space="preserve"> eligible under free trade agreements can impose a significant compliance burden on some importers, a cost that is also passed on</w:t>
      </w:r>
      <w:r w:rsidR="00E3390B">
        <w:t xml:space="preserve"> </w:t>
      </w:r>
      <w:r w:rsidRPr="003047BE">
        <w:t>to consumers.</w:t>
      </w:r>
      <w:r w:rsidR="0031538F" w:rsidRPr="003047BE">
        <w:t xml:space="preserve"> However, some level of compliance is necessary </w:t>
      </w:r>
      <w:r w:rsidR="000E1463" w:rsidRPr="003047BE">
        <w:t xml:space="preserve">for government data collection and </w:t>
      </w:r>
      <w:r w:rsidR="0031538F" w:rsidRPr="003047BE">
        <w:t xml:space="preserve">law enforcement purposes. </w:t>
      </w:r>
    </w:p>
    <w:p w14:paraId="2FC3B073" w14:textId="77777777" w:rsidR="00B76901" w:rsidRPr="003047BE" w:rsidRDefault="00B76901" w:rsidP="00805A84"/>
    <w:p w14:paraId="5FC137E5" w14:textId="77777777" w:rsidR="00805A84" w:rsidRPr="003047BE" w:rsidRDefault="00805A84" w:rsidP="00504C00">
      <w:pPr>
        <w:pStyle w:val="Heading2"/>
        <w:ind w:left="993" w:hanging="993"/>
      </w:pPr>
      <w:bookmarkStart w:id="67" w:name="_Toc397931108"/>
      <w:bookmarkStart w:id="68" w:name="_Toc402326924"/>
      <w:bookmarkStart w:id="69" w:name="_Toc402333577"/>
      <w:bookmarkStart w:id="70" w:name="_Toc402340358"/>
      <w:bookmarkStart w:id="71" w:name="_Toc402343452"/>
      <w:bookmarkStart w:id="72" w:name="_Toc402346688"/>
      <w:bookmarkStart w:id="73" w:name="_Toc402349144"/>
      <w:bookmarkStart w:id="74" w:name="_Toc402350672"/>
      <w:bookmarkStart w:id="75" w:name="_Toc402353693"/>
      <w:bookmarkStart w:id="76" w:name="_Toc402362221"/>
      <w:bookmarkStart w:id="77" w:name="_Toc402368810"/>
      <w:bookmarkStart w:id="78" w:name="_Toc402369895"/>
      <w:bookmarkStart w:id="79" w:name="_Toc402370560"/>
      <w:bookmarkStart w:id="80" w:name="_Toc402371507"/>
      <w:bookmarkStart w:id="81" w:name="_Toc404350553"/>
      <w:r w:rsidRPr="003047BE">
        <w:lastRenderedPageBreak/>
        <w:t>Financial transaction taxes</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28A4115" w14:textId="133D9A3A" w:rsidR="00805A84" w:rsidRPr="003047BE" w:rsidRDefault="00805A84" w:rsidP="00805A84">
      <w:r w:rsidRPr="003047BE">
        <w:t xml:space="preserve">As the name suggests, transaction taxes are imposed on prescribed transactions, and are generally determined as a proportion of the value of the transaction. Examples of transaction taxes in Australia include stamp duties on property and insurance taxes levied by </w:t>
      </w:r>
      <w:r w:rsidR="001E32DA">
        <w:t>s</w:t>
      </w:r>
      <w:r w:rsidRPr="003047BE">
        <w:t xml:space="preserve">tate and </w:t>
      </w:r>
      <w:r w:rsidR="001E32DA">
        <w:t>t</w:t>
      </w:r>
      <w:r w:rsidRPr="003047BE">
        <w:t>erritor</w:t>
      </w:r>
      <w:r w:rsidR="008D3A63" w:rsidRPr="003047BE">
        <w:t xml:space="preserve">y governments (see chapter </w:t>
      </w:r>
      <w:r w:rsidR="00D029B6" w:rsidRPr="003047BE">
        <w:t>8</w:t>
      </w:r>
      <w:r w:rsidR="008D3A63" w:rsidRPr="003047BE">
        <w:t>).</w:t>
      </w:r>
    </w:p>
    <w:p w14:paraId="5CEF83E4" w14:textId="60B98DF9" w:rsidR="00805A84" w:rsidRPr="003047BE" w:rsidRDefault="00805A84" w:rsidP="00805A84">
      <w:r w:rsidRPr="003047BE">
        <w:t xml:space="preserve">Financial transaction taxes (FTTs) impose a tax on transactions levied on a broad range of financial trading instruments, such as stocks, fixed income securities, derivatives and foreign exchange — the </w:t>
      </w:r>
      <w:r w:rsidR="001E32DA">
        <w:t>latter</w:t>
      </w:r>
      <w:r w:rsidRPr="003047BE">
        <w:t xml:space="preserve"> more popularly known as a Tobin tax.</w:t>
      </w:r>
    </w:p>
    <w:p w14:paraId="363A4783" w14:textId="0FE864B2" w:rsidR="00805A84" w:rsidRPr="003047BE" w:rsidRDefault="00805A84" w:rsidP="00B76901">
      <w:pPr>
        <w:spacing w:after="120"/>
      </w:pPr>
      <w:r w:rsidRPr="003047BE">
        <w:t>The arguments against FTTs are similar to those against other stamp duties</w:t>
      </w:r>
      <w:r w:rsidR="00973660" w:rsidRPr="003047BE">
        <w:t xml:space="preserve"> — </w:t>
      </w:r>
      <w:r w:rsidRPr="003047BE">
        <w:t xml:space="preserve">taxes on FTTs add to the costs of buying and selling financial products and, as a result, can distort decisions about mutually beneficial transactions. </w:t>
      </w:r>
      <w:r w:rsidR="001A7CA0" w:rsidRPr="003047BE">
        <w:t>Rather than being based on economic grounds, the revenue intake is a function of how often transact</w:t>
      </w:r>
      <w:r w:rsidR="00562EB7" w:rsidRPr="003047BE">
        <w:t>ions take place, and those that </w:t>
      </w:r>
      <w:r w:rsidR="001A7CA0" w:rsidRPr="003047BE">
        <w:t xml:space="preserve">frequently engage in transactions will be taxed more heavily even if they </w:t>
      </w:r>
      <w:r w:rsidR="00D60B7C" w:rsidRPr="003047BE">
        <w:t>are</w:t>
      </w:r>
      <w:r w:rsidR="001A7CA0" w:rsidRPr="003047BE">
        <w:t xml:space="preserve"> in a similar position to other taxpayers. </w:t>
      </w:r>
      <w:r w:rsidRPr="003047BE">
        <w:t xml:space="preserve">In addition, the </w:t>
      </w:r>
      <w:r w:rsidR="001E32DA" w:rsidRPr="001E32DA">
        <w:t>Australia</w:t>
      </w:r>
      <w:r w:rsidR="00111EFA">
        <w:t>’</w:t>
      </w:r>
      <w:r w:rsidR="001E32DA" w:rsidRPr="001E32DA">
        <w:t>s Futur</w:t>
      </w:r>
      <w:r w:rsidR="001E32DA">
        <w:t>e Tax System Review (Henry</w:t>
      </w:r>
      <w:r w:rsidR="00E00425">
        <w:t> </w:t>
      </w:r>
      <w:r w:rsidR="001E32DA">
        <w:t>Tax R</w:t>
      </w:r>
      <w:r w:rsidR="001E32DA" w:rsidRPr="001E32DA">
        <w:t>eview)</w:t>
      </w:r>
      <w:r w:rsidR="001E32DA">
        <w:t xml:space="preserve"> </w:t>
      </w:r>
      <w:r w:rsidRPr="003047BE">
        <w:t>concluded that FTTs can increase, rather than decrease, financial instability.</w:t>
      </w:r>
      <w:r w:rsidR="00117A28" w:rsidRPr="003047BE">
        <w:rPr>
          <w:rStyle w:val="FootnoteReference"/>
        </w:rPr>
        <w:footnoteReference w:id="23"/>
      </w:r>
      <w:r w:rsidRPr="003047BE">
        <w:t xml:space="preserve"> </w:t>
      </w:r>
      <w:r w:rsidR="00520872" w:rsidRPr="003047BE">
        <w:t xml:space="preserve">This is because hedging activity (that is, transactions to disperse risk) could be impeded, or </w:t>
      </w:r>
      <w:r w:rsidR="00721E24" w:rsidRPr="003047BE">
        <w:t xml:space="preserve">market liquidity </w:t>
      </w:r>
      <w:r w:rsidR="00520872" w:rsidRPr="003047BE">
        <w:t xml:space="preserve">could </w:t>
      </w:r>
      <w:r w:rsidR="00721E24" w:rsidRPr="003047BE">
        <w:t>be reduced</w:t>
      </w:r>
      <w:r w:rsidR="00520872" w:rsidRPr="003047BE">
        <w:t xml:space="preserve">, resulting in prices becoming more volatile. </w:t>
      </w:r>
    </w:p>
    <w:p w14:paraId="5892B21E" w14:textId="77777777" w:rsidR="00B76901" w:rsidRPr="003047BE" w:rsidRDefault="00B76901" w:rsidP="00805A84"/>
    <w:p w14:paraId="74D64394" w14:textId="6BC9F580" w:rsidR="00805A84" w:rsidRPr="003047BE" w:rsidRDefault="00111EFA" w:rsidP="00504C00">
      <w:pPr>
        <w:pStyle w:val="Heading2"/>
        <w:ind w:left="993" w:hanging="993"/>
      </w:pPr>
      <w:bookmarkStart w:id="82" w:name="_Toc397931109"/>
      <w:bookmarkStart w:id="83" w:name="_Toc402326925"/>
      <w:bookmarkStart w:id="84" w:name="_Toc402333578"/>
      <w:bookmarkStart w:id="85" w:name="_Toc402340359"/>
      <w:bookmarkStart w:id="86" w:name="_Toc402343453"/>
      <w:bookmarkStart w:id="87" w:name="_Toc402346689"/>
      <w:bookmarkStart w:id="88" w:name="_Toc402349145"/>
      <w:bookmarkStart w:id="89" w:name="_Toc402350673"/>
      <w:bookmarkStart w:id="90" w:name="_Toc402353694"/>
      <w:bookmarkStart w:id="91" w:name="_Toc402362222"/>
      <w:bookmarkStart w:id="92" w:name="_Toc402368811"/>
      <w:bookmarkStart w:id="93" w:name="_Toc402369896"/>
      <w:bookmarkStart w:id="94" w:name="_Toc402370561"/>
      <w:bookmarkStart w:id="95" w:name="_Toc402371508"/>
      <w:bookmarkStart w:id="96" w:name="_Toc404350554"/>
      <w:r>
        <w:t>‘</w:t>
      </w:r>
      <w:r w:rsidR="00805A84" w:rsidRPr="003047BE">
        <w:t>Corrective</w:t>
      </w:r>
      <w:r>
        <w:t>’</w:t>
      </w:r>
      <w:r w:rsidR="00805A84" w:rsidRPr="003047BE">
        <w:t xml:space="preserve"> taxes</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5AEB808C" w14:textId="39E977AA" w:rsidR="00805A84" w:rsidRPr="003047BE" w:rsidRDefault="00EB7B4D" w:rsidP="00805A84">
      <w:r w:rsidRPr="003047BE">
        <w:t>Some t</w:t>
      </w:r>
      <w:r w:rsidR="006C2BCF" w:rsidRPr="003047BE">
        <w:t xml:space="preserve">axes are </w:t>
      </w:r>
      <w:r w:rsidRPr="003047BE">
        <w:t>introduced</w:t>
      </w:r>
      <w:r w:rsidR="00805A84" w:rsidRPr="003047BE">
        <w:t xml:space="preserve"> not as a means to collect revenue, but as a way to change behaviour. These are called corrective taxes. They are sometimes used instead of, or in addition to, information provision, regulation or fiscal measures, as a way of encouraging </w:t>
      </w:r>
      <w:r w:rsidR="00721E24" w:rsidRPr="003047BE">
        <w:t xml:space="preserve">behaviour </w:t>
      </w:r>
      <w:r w:rsidR="003377B7" w:rsidRPr="003047BE">
        <w:t xml:space="preserve">deemed </w:t>
      </w:r>
      <w:r w:rsidR="00805A84" w:rsidRPr="003047BE">
        <w:t>socially desirable.</w:t>
      </w:r>
    </w:p>
    <w:p w14:paraId="17AF5766" w14:textId="4308E195" w:rsidR="00805A84" w:rsidRPr="003047BE" w:rsidRDefault="00805A84" w:rsidP="00805A84">
      <w:r w:rsidRPr="003047BE">
        <w:t xml:space="preserve">Using economic terms, corrective taxes might be imposed when a particular </w:t>
      </w:r>
      <w:r w:rsidR="00D60B7C" w:rsidRPr="003047BE">
        <w:t xml:space="preserve">activity by an individual generates negative externalities for other people. </w:t>
      </w:r>
      <w:r w:rsidRPr="003047BE">
        <w:t>Corrective taxes add to the costs of the activity borne by the individual</w:t>
      </w:r>
      <w:r w:rsidR="00973660" w:rsidRPr="003047BE">
        <w:t xml:space="preserve"> — </w:t>
      </w:r>
      <w:r w:rsidRPr="003047BE">
        <w:t xml:space="preserve">they aim to </w:t>
      </w:r>
      <w:r w:rsidR="00111EFA">
        <w:t>‘</w:t>
      </w:r>
      <w:r w:rsidRPr="003047BE">
        <w:t>internalise</w:t>
      </w:r>
      <w:r w:rsidR="00111EFA">
        <w:t>’</w:t>
      </w:r>
      <w:r w:rsidRPr="003047BE">
        <w:t xml:space="preserve"> the costs of the wider</w:t>
      </w:r>
      <w:r w:rsidR="00C1640F" w:rsidRPr="003047BE">
        <w:t xml:space="preserve"> harm caused by their activity.</w:t>
      </w:r>
    </w:p>
    <w:p w14:paraId="3CB8A40B" w14:textId="18DDCAF9" w:rsidR="00805A84" w:rsidRPr="003047BE" w:rsidRDefault="00805A84" w:rsidP="00805A84">
      <w:r w:rsidRPr="003047BE">
        <w:t>Corrective taxes are usually advocated as a response to environmental or social concerns</w:t>
      </w:r>
      <w:r w:rsidR="00614456" w:rsidRPr="003047BE">
        <w:t xml:space="preserve">. </w:t>
      </w:r>
      <w:r w:rsidRPr="003047BE">
        <w:t>In Australia, tobacco</w:t>
      </w:r>
      <w:r w:rsidR="00483A1B" w:rsidRPr="003047BE">
        <w:t>,</w:t>
      </w:r>
      <w:r w:rsidRPr="003047BE">
        <w:t xml:space="preserve"> alcohol </w:t>
      </w:r>
      <w:r w:rsidR="00483A1B" w:rsidRPr="003047BE">
        <w:t xml:space="preserve">and some motor vehicle </w:t>
      </w:r>
      <w:r w:rsidRPr="003047BE">
        <w:t xml:space="preserve">taxes </w:t>
      </w:r>
      <w:r w:rsidR="00483A1B" w:rsidRPr="003047BE">
        <w:t xml:space="preserve">(such as annual vehicle registration fees) </w:t>
      </w:r>
      <w:r w:rsidRPr="003047BE">
        <w:t>have some features of corrective taxes. Other corrective taxes used around the world include taxes on sugary drinks (to reduce obesity) and taxes on driving in specific areas o</w:t>
      </w:r>
      <w:r w:rsidR="00C1640F" w:rsidRPr="003047BE">
        <w:t>r times (to reduce congestion).</w:t>
      </w:r>
    </w:p>
    <w:p w14:paraId="75559473" w14:textId="1A22168F" w:rsidR="000536D5" w:rsidRPr="003047BE" w:rsidRDefault="000536D5" w:rsidP="000536D5">
      <w:pPr>
        <w:pStyle w:val="Heading2"/>
        <w:ind w:left="624" w:hanging="624"/>
      </w:pPr>
      <w:r w:rsidRPr="003047BE">
        <w:lastRenderedPageBreak/>
        <w:t>User charges</w:t>
      </w:r>
    </w:p>
    <w:p w14:paraId="1489D23C" w14:textId="155D6002" w:rsidR="00BD0635" w:rsidRPr="003047BE" w:rsidRDefault="00BD0635" w:rsidP="00805A84">
      <w:r w:rsidRPr="003047BE">
        <w:t>U</w:t>
      </w:r>
      <w:r w:rsidR="00805A84" w:rsidRPr="003047BE">
        <w:t xml:space="preserve">ser charges can also be used instead of taxes to fund the provision of services. </w:t>
      </w:r>
      <w:r w:rsidRPr="003047BE">
        <w:t>A user charge is not a tax</w:t>
      </w:r>
      <w:r w:rsidR="00111EFA">
        <w:t xml:space="preserve">. </w:t>
      </w:r>
      <w:r w:rsidRPr="003047BE">
        <w:t>Instead, it is a</w:t>
      </w:r>
      <w:r w:rsidR="00805A84" w:rsidRPr="003047BE">
        <w:t xml:space="preserve"> fee for a good or service </w:t>
      </w:r>
      <w:r w:rsidR="00D60B7C" w:rsidRPr="003047BE">
        <w:t>provided by</w:t>
      </w:r>
      <w:r w:rsidR="00805A84" w:rsidRPr="003047BE">
        <w:t xml:space="preserve"> government where the user receives a distinct benefit. To the extent that such charges are appropriate, they </w:t>
      </w:r>
      <w:r w:rsidR="00856D30" w:rsidRPr="003047BE">
        <w:t xml:space="preserve">can </w:t>
      </w:r>
      <w:r w:rsidR="00805A84" w:rsidRPr="003047BE">
        <w:t>lower the cost to society of providing service</w:t>
      </w:r>
      <w:r w:rsidR="00856D30" w:rsidRPr="003047BE">
        <w:t>s,</w:t>
      </w:r>
      <w:r w:rsidR="00805A84" w:rsidRPr="003047BE">
        <w:t xml:space="preserve"> give the community greater say over whether they wish to </w:t>
      </w:r>
      <w:r w:rsidR="00856D30" w:rsidRPr="003047BE">
        <w:t xml:space="preserve">consume </w:t>
      </w:r>
      <w:r w:rsidR="00805A84" w:rsidRPr="003047BE">
        <w:t>(and pay</w:t>
      </w:r>
      <w:r w:rsidR="00856D30" w:rsidRPr="003047BE">
        <w:t xml:space="preserve"> for</w:t>
      </w:r>
      <w:r w:rsidR="00805A84" w:rsidRPr="003047BE">
        <w:t>)</w:t>
      </w:r>
      <w:r w:rsidR="00856D30" w:rsidRPr="003047BE">
        <w:t xml:space="preserve"> the services and more directly influence the standard of service provided</w:t>
      </w:r>
      <w:r w:rsidR="00805A84" w:rsidRPr="003047BE">
        <w:t xml:space="preserve">. </w:t>
      </w:r>
      <w:r w:rsidR="00856D30" w:rsidRPr="003047BE">
        <w:t>In this way, u</w:t>
      </w:r>
      <w:r w:rsidR="00805A84" w:rsidRPr="003047BE">
        <w:t xml:space="preserve">ser charges can be a useful way to help balance supply and demand for </w:t>
      </w:r>
      <w:r w:rsidR="0055505E" w:rsidRPr="003047BE">
        <w:t>publicly</w:t>
      </w:r>
      <w:r w:rsidR="00111EFA">
        <w:noBreakHyphen/>
      </w:r>
      <w:r w:rsidR="0055505E" w:rsidRPr="003047BE">
        <w:t>provided</w:t>
      </w:r>
      <w:r w:rsidR="00805A84" w:rsidRPr="003047BE">
        <w:t xml:space="preserve"> services.</w:t>
      </w:r>
      <w:r w:rsidR="008F6910" w:rsidRPr="003047BE">
        <w:t xml:space="preserve"> </w:t>
      </w:r>
    </w:p>
    <w:p w14:paraId="6BA62514" w14:textId="476A762F" w:rsidR="0055505E" w:rsidRPr="003047BE" w:rsidRDefault="00BD0635" w:rsidP="00805A84">
      <w:pPr>
        <w:rPr>
          <w:color w:val="1F497D"/>
        </w:rPr>
      </w:pPr>
      <w:r w:rsidRPr="003047BE">
        <w:t>Cost</w:t>
      </w:r>
      <w:r w:rsidR="00111EFA">
        <w:noBreakHyphen/>
      </w:r>
      <w:r w:rsidRPr="003047BE">
        <w:t xml:space="preserve">reflective road pricing (or user charging) has been supported as a means to promote efficient investment in road transport, improve congestion and reduce vehicle </w:t>
      </w:r>
      <w:r w:rsidR="00850D08" w:rsidRPr="003047BE">
        <w:t>costs</w:t>
      </w:r>
      <w:r w:rsidRPr="003047BE">
        <w:t>.</w:t>
      </w:r>
      <w:r w:rsidRPr="003047BE">
        <w:rPr>
          <w:rStyle w:val="FootnoteReference"/>
        </w:rPr>
        <w:footnoteReference w:id="24"/>
      </w:r>
      <w:r w:rsidR="00C06634">
        <w:t xml:space="preserve"> </w:t>
      </w:r>
      <w:r w:rsidR="00856D30" w:rsidRPr="003047BE">
        <w:t>T</w:t>
      </w:r>
      <w:r w:rsidR="0055505E" w:rsidRPr="003047BE">
        <w:t>he Productivity Commission in its inquiry into Public Infrastructure recommended that the Australian Government actively encourage state and territory governments to undertake pilot studies of user charging for light vehicles.</w:t>
      </w:r>
      <w:r w:rsidR="0085739F" w:rsidRPr="003047BE">
        <w:rPr>
          <w:rStyle w:val="FootnoteReference"/>
        </w:rPr>
        <w:footnoteReference w:id="25"/>
      </w:r>
      <w:r w:rsidR="0055505E" w:rsidRPr="003047BE">
        <w:t xml:space="preserve"> The Government supported this recommendation in principl</w:t>
      </w:r>
      <w:r w:rsidR="00C06634">
        <w:t>e as a long</w:t>
      </w:r>
      <w:r w:rsidR="00111EFA">
        <w:noBreakHyphen/>
      </w:r>
      <w:r w:rsidR="00C06634">
        <w:t>term reform option.</w:t>
      </w:r>
      <w:r w:rsidR="0055505E" w:rsidRPr="003047BE">
        <w:t xml:space="preserve"> However, it also noted that user charging for roads was a complex issue and that matters like equity, </w:t>
      </w:r>
      <w:r w:rsidR="001E32DA">
        <w:t xml:space="preserve">as well as </w:t>
      </w:r>
      <w:r w:rsidR="0055505E" w:rsidRPr="003047BE">
        <w:t xml:space="preserve">technological and privacy </w:t>
      </w:r>
      <w:proofErr w:type="gramStart"/>
      <w:r w:rsidR="0055505E" w:rsidRPr="003047BE">
        <w:t>implications</w:t>
      </w:r>
      <w:r w:rsidR="001E32DA">
        <w:t>,</w:t>
      </w:r>
      <w:proofErr w:type="gramEnd"/>
      <w:r w:rsidR="0055505E" w:rsidRPr="003047BE">
        <w:t xml:space="preserve"> would also need to be considered</w:t>
      </w:r>
      <w:r w:rsidR="0055505E" w:rsidRPr="003047BE">
        <w:rPr>
          <w:color w:val="1F497D"/>
        </w:rPr>
        <w:t xml:space="preserve">. </w:t>
      </w:r>
    </w:p>
    <w:p w14:paraId="127A187C" w14:textId="19E548F8" w:rsidR="00805A84" w:rsidRPr="003047BE" w:rsidRDefault="0085739F" w:rsidP="00805A84">
      <w:r w:rsidRPr="003047BE">
        <w:t>Most recently</w:t>
      </w:r>
      <w:r w:rsidR="00DE5D9C" w:rsidRPr="003047BE">
        <w:t>, t</w:t>
      </w:r>
      <w:r w:rsidR="00712FA3" w:rsidRPr="003047BE">
        <w:t xml:space="preserve">he </w:t>
      </w:r>
      <w:r w:rsidR="008F6910" w:rsidRPr="003047BE">
        <w:t>Competition Policy Review</w:t>
      </w:r>
      <w:r w:rsidR="00E239AB" w:rsidRPr="003047BE">
        <w:t xml:space="preserve"> </w:t>
      </w:r>
      <w:r w:rsidR="00203321">
        <w:t>Draft Report</w:t>
      </w:r>
      <w:r w:rsidR="008F6910" w:rsidRPr="003047BE">
        <w:t xml:space="preserve"> </w:t>
      </w:r>
      <w:r w:rsidR="006E174B" w:rsidRPr="003047BE">
        <w:t>recommended governments introduce cost</w:t>
      </w:r>
      <w:r w:rsidR="00111EFA">
        <w:noBreakHyphen/>
      </w:r>
      <w:r w:rsidR="006E174B" w:rsidRPr="003047BE">
        <w:t>reflective road pricing</w:t>
      </w:r>
      <w:r w:rsidR="00DE5D9C" w:rsidRPr="003047BE">
        <w:t xml:space="preserve"> </w:t>
      </w:r>
      <w:r w:rsidRPr="003047BE">
        <w:t>and work</w:t>
      </w:r>
      <w:r w:rsidR="006E174B" w:rsidRPr="003047BE">
        <w:t xml:space="preserve"> across jurisdictions to reduce indirect charges and taxes on road users, as direct pricing is introduced</w:t>
      </w:r>
      <w:r w:rsidR="00203321">
        <w:t xml:space="preserve"> (Draft Recommendation 3)</w:t>
      </w:r>
      <w:r w:rsidR="006E174B" w:rsidRPr="003047BE">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B76901" w14:paraId="4A9CCC24" w14:textId="77777777" w:rsidTr="007D499D">
        <w:tc>
          <w:tcPr>
            <w:tcW w:w="9384" w:type="dxa"/>
          </w:tcPr>
          <w:p w14:paraId="03B3078A" w14:textId="3FA54D8C" w:rsidR="00B76901" w:rsidRPr="003047BE" w:rsidRDefault="00B76901" w:rsidP="007D499D">
            <w:pPr>
              <w:pStyle w:val="Questionheading"/>
              <w:ind w:right="113"/>
            </w:pPr>
            <w:r w:rsidRPr="003047BE">
              <w:t xml:space="preserve">Discussion questions: </w:t>
            </w:r>
          </w:p>
          <w:p w14:paraId="0634F18F" w14:textId="05B13D3D" w:rsidR="00B76901" w:rsidRPr="003047BE" w:rsidRDefault="00B76901" w:rsidP="00C15B5C">
            <w:pPr>
              <w:pStyle w:val="Questiontext"/>
            </w:pPr>
            <w:r w:rsidRPr="003047BE">
              <w:t>To what extent does Australia have the appropriate mix of taxes o</w:t>
            </w:r>
            <w:r w:rsidR="00562EB7" w:rsidRPr="003047BE">
              <w:t>n specific goods and services?</w:t>
            </w:r>
            <w:r w:rsidRPr="003047BE">
              <w:t xml:space="preserve"> What changes, if any, could improve this mix?</w:t>
            </w:r>
          </w:p>
          <w:p w14:paraId="3823A5CF" w14:textId="035BB3F9" w:rsidR="00B76901" w:rsidRPr="003047BE" w:rsidRDefault="00B76901" w:rsidP="00B76901">
            <w:pPr>
              <w:pStyle w:val="Questiontext"/>
            </w:pPr>
            <w:r w:rsidRPr="003047BE">
              <w:t>To what extent are the tax settings (i.e. the rates and bases and the administration) for each of th</w:t>
            </w:r>
            <w:r w:rsidR="00562EB7" w:rsidRPr="003047BE">
              <w:t>ese indirect taxes appropriate?</w:t>
            </w:r>
            <w:r w:rsidRPr="003047BE">
              <w:t xml:space="preserve"> What changes, if any, could be made to these indirect tax settings to make a better tax system to deliver taxes that are lower, simpler, </w:t>
            </w:r>
            <w:proofErr w:type="gramStart"/>
            <w:r w:rsidRPr="003047BE">
              <w:t>fairer</w:t>
            </w:r>
            <w:proofErr w:type="gramEnd"/>
            <w:r w:rsidRPr="003047BE">
              <w:t>?</w:t>
            </w:r>
          </w:p>
        </w:tc>
      </w:tr>
    </w:tbl>
    <w:p w14:paraId="5B0EDE3D" w14:textId="139DD9F5" w:rsidR="00B05E42" w:rsidRDefault="00B05E42" w:rsidP="009525AC">
      <w:pPr>
        <w:tabs>
          <w:tab w:val="left" w:pos="1500"/>
        </w:tabs>
        <w:spacing w:after="0"/>
      </w:pPr>
    </w:p>
    <w:p w14:paraId="6944790A" w14:textId="1C4D42F8" w:rsidR="00B05E42" w:rsidRDefault="00B05E42" w:rsidP="00805A84"/>
    <w:sectPr w:rsidR="00B05E42" w:rsidSect="00504C00">
      <w:headerReference w:type="even" r:id="rId16"/>
      <w:headerReference w:type="default" r:id="rId17"/>
      <w:footerReference w:type="even" r:id="rId18"/>
      <w:footerReference w:type="default" r:id="rId19"/>
      <w:headerReference w:type="first" r:id="rId20"/>
      <w:footerReference w:type="first" r:id="rId21"/>
      <w:footnotePr>
        <w:numStart w:val="202"/>
      </w:footnotePr>
      <w:pgSz w:w="11906" w:h="16838" w:code="9"/>
      <w:pgMar w:top="1418" w:right="1418" w:bottom="1418" w:left="1418" w:header="709" w:footer="709" w:gutter="0"/>
      <w:pgNumType w:start="15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68D5F" w14:textId="77777777" w:rsidR="00A034DC" w:rsidRDefault="00A034DC">
      <w:r>
        <w:separator/>
      </w:r>
    </w:p>
  </w:endnote>
  <w:endnote w:type="continuationSeparator" w:id="0">
    <w:p w14:paraId="18797367" w14:textId="77777777" w:rsidR="00A034DC" w:rsidRDefault="00A034DC">
      <w:r>
        <w:continuationSeparator/>
      </w:r>
    </w:p>
  </w:endnote>
  <w:endnote w:type="continuationNotice" w:id="1">
    <w:p w14:paraId="51EEEE42" w14:textId="77777777" w:rsidR="00A034DC" w:rsidRDefault="00A034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034DC" w14:paraId="1E1E12AF" w14:textId="77777777" w:rsidTr="00653155">
      <w:tc>
        <w:tcPr>
          <w:tcW w:w="4643" w:type="dxa"/>
          <w:vAlign w:val="bottom"/>
        </w:tcPr>
        <w:p w14:paraId="154C4418" w14:textId="62FBC5AC" w:rsidR="00A034DC" w:rsidRDefault="00A034DC" w:rsidP="00653155">
          <w:pPr>
            <w:pStyle w:val="FooterOdd"/>
          </w:pPr>
          <w:r w:rsidRPr="000217EE">
            <w:fldChar w:fldCharType="begin"/>
          </w:r>
          <w:r w:rsidRPr="000217EE">
            <w:instrText xml:space="preserve"> PAGE   \* MERGEFORMAT </w:instrText>
          </w:r>
          <w:r w:rsidRPr="000217EE">
            <w:fldChar w:fldCharType="separate"/>
          </w:r>
          <w:r w:rsidR="005E5333">
            <w:rPr>
              <w:noProof/>
            </w:rPr>
            <w:t>158</w:t>
          </w:r>
          <w:r w:rsidRPr="000217EE">
            <w:fldChar w:fldCharType="end"/>
          </w:r>
        </w:p>
      </w:tc>
      <w:tc>
        <w:tcPr>
          <w:tcW w:w="4643" w:type="dxa"/>
          <w:vAlign w:val="bottom"/>
        </w:tcPr>
        <w:p w14:paraId="29DCFE8C" w14:textId="451927CC" w:rsidR="00A034DC" w:rsidRDefault="00084B98" w:rsidP="00653155">
          <w:pPr>
            <w:pStyle w:val="FooterOdd"/>
            <w:jc w:val="right"/>
          </w:pPr>
          <w:r>
            <w:rPr>
              <w:noProof/>
            </w:rPr>
            <w:drawing>
              <wp:inline distT="0" distB="0" distL="0" distR="0" wp14:anchorId="71189380" wp14:editId="56DF7FE6">
                <wp:extent cx="1008000" cy="28765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47BDA118" w14:textId="52EAD077" w:rsidR="00A034DC" w:rsidRPr="00A83218" w:rsidRDefault="00A034DC" w:rsidP="00A83218">
    <w:pPr>
      <w:pStyle w:val="Foote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034DC" w14:paraId="5471BE51" w14:textId="77777777" w:rsidTr="00653155">
      <w:tc>
        <w:tcPr>
          <w:tcW w:w="4643" w:type="dxa"/>
          <w:vAlign w:val="bottom"/>
        </w:tcPr>
        <w:p w14:paraId="064C3259" w14:textId="78289D04" w:rsidR="00A034DC" w:rsidRDefault="00084B98" w:rsidP="00653155">
          <w:pPr>
            <w:pStyle w:val="FooterOdd"/>
          </w:pPr>
          <w:r>
            <w:rPr>
              <w:noProof/>
            </w:rPr>
            <w:drawing>
              <wp:inline distT="0" distB="0" distL="0" distR="0" wp14:anchorId="491C9D1C" wp14:editId="69C42259">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34344617" w14:textId="77777777" w:rsidR="00A034DC" w:rsidRDefault="00A034DC" w:rsidP="00653155">
          <w:pPr>
            <w:pStyle w:val="FooterOdd"/>
            <w:jc w:val="right"/>
          </w:pPr>
          <w:r w:rsidRPr="000217EE">
            <w:fldChar w:fldCharType="begin"/>
          </w:r>
          <w:r w:rsidRPr="000217EE">
            <w:instrText xml:space="preserve"> PAGE   \* MERGEFORMAT </w:instrText>
          </w:r>
          <w:r w:rsidRPr="000217EE">
            <w:fldChar w:fldCharType="separate"/>
          </w:r>
          <w:r w:rsidR="005E5333">
            <w:rPr>
              <w:noProof/>
            </w:rPr>
            <w:t>165</w:t>
          </w:r>
          <w:r w:rsidRPr="000217EE">
            <w:fldChar w:fldCharType="end"/>
          </w:r>
        </w:p>
      </w:tc>
    </w:tr>
  </w:tbl>
  <w:p w14:paraId="5E3F662D" w14:textId="76431366" w:rsidR="00A034DC" w:rsidRPr="00A83218" w:rsidRDefault="00A034DC" w:rsidP="00A83218">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034DC" w14:paraId="57A61F9F" w14:textId="77777777" w:rsidTr="00653155">
      <w:tc>
        <w:tcPr>
          <w:tcW w:w="4643" w:type="dxa"/>
          <w:vAlign w:val="bottom"/>
        </w:tcPr>
        <w:p w14:paraId="4EE5B4D0" w14:textId="5DB3C9B2" w:rsidR="00A034DC" w:rsidRDefault="00084B98" w:rsidP="00653155">
          <w:pPr>
            <w:pStyle w:val="FooterOdd"/>
          </w:pPr>
          <w:r>
            <w:rPr>
              <w:noProof/>
            </w:rPr>
            <w:drawing>
              <wp:inline distT="0" distB="0" distL="0" distR="0" wp14:anchorId="554D96E4" wp14:editId="69C41E09">
                <wp:extent cx="1008000" cy="287658"/>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5D566D25" w14:textId="77777777" w:rsidR="00A034DC" w:rsidRDefault="00A034DC" w:rsidP="00653155">
          <w:pPr>
            <w:pStyle w:val="FooterOdd"/>
            <w:jc w:val="right"/>
          </w:pPr>
          <w:r w:rsidRPr="000217EE">
            <w:fldChar w:fldCharType="begin"/>
          </w:r>
          <w:r w:rsidRPr="000217EE">
            <w:instrText xml:space="preserve"> PAGE   \* MERGEFORMAT </w:instrText>
          </w:r>
          <w:r w:rsidRPr="000217EE">
            <w:fldChar w:fldCharType="separate"/>
          </w:r>
          <w:r w:rsidR="005E5333">
            <w:rPr>
              <w:noProof/>
            </w:rPr>
            <w:t>157</w:t>
          </w:r>
          <w:r w:rsidRPr="000217EE">
            <w:fldChar w:fldCharType="end"/>
          </w:r>
        </w:p>
      </w:tc>
    </w:tr>
  </w:tbl>
  <w:p w14:paraId="69C7E7B2" w14:textId="5A7829BA" w:rsidR="00A034DC" w:rsidRPr="00A83218" w:rsidRDefault="00A034DC" w:rsidP="00A83218">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3EBA9" w14:textId="77777777" w:rsidR="00A034DC" w:rsidRDefault="00A034DC" w:rsidP="006C10B4">
      <w:pPr>
        <w:spacing w:after="0"/>
      </w:pPr>
      <w:r>
        <w:separator/>
      </w:r>
    </w:p>
  </w:footnote>
  <w:footnote w:type="continuationSeparator" w:id="0">
    <w:p w14:paraId="165AD0E3" w14:textId="77777777" w:rsidR="00A034DC" w:rsidRDefault="00A034DC">
      <w:r>
        <w:continuationSeparator/>
      </w:r>
    </w:p>
  </w:footnote>
  <w:footnote w:type="continuationNotice" w:id="1">
    <w:p w14:paraId="3513A47F" w14:textId="77777777" w:rsidR="00A034DC" w:rsidRDefault="00A034DC">
      <w:pPr>
        <w:spacing w:after="0"/>
      </w:pPr>
    </w:p>
  </w:footnote>
  <w:footnote w:id="2">
    <w:p w14:paraId="33E157E9" w14:textId="2FB58B70" w:rsidR="00A034DC" w:rsidRDefault="00111EFA">
      <w:pPr>
        <w:pStyle w:val="FootnoteText"/>
      </w:pPr>
      <w:r w:rsidRPr="00111EFA">
        <w:rPr>
          <w:rStyle w:val="FootnoteReference"/>
          <w:vertAlign w:val="baseline"/>
        </w:rPr>
        <w:footnoteRef/>
      </w:r>
      <w:r w:rsidR="00A034DC">
        <w:t xml:space="preserve"> </w:t>
      </w:r>
      <w:r w:rsidR="00A034DC">
        <w:tab/>
      </w:r>
      <w:r w:rsidR="00A034DC" w:rsidRPr="003047BE">
        <w:t>A</w:t>
      </w:r>
      <w:r w:rsidR="00A034DC" w:rsidRPr="003047BE">
        <w:rPr>
          <w:rStyle w:val="FootnoteReference"/>
          <w:vertAlign w:val="baseline"/>
        </w:rPr>
        <w:t>us</w:t>
      </w:r>
      <w:r w:rsidR="00A034DC" w:rsidRPr="003047BE">
        <w:t xml:space="preserve">tralian Government 2010, </w:t>
      </w:r>
      <w:r w:rsidR="00A034DC" w:rsidRPr="003047BE">
        <w:rPr>
          <w:rStyle w:val="Emphasis"/>
        </w:rPr>
        <w:t>Australia</w:t>
      </w:r>
      <w:r>
        <w:rPr>
          <w:rStyle w:val="Emphasis"/>
        </w:rPr>
        <w:t>’</w:t>
      </w:r>
      <w:r w:rsidR="00A034DC" w:rsidRPr="003047BE">
        <w:rPr>
          <w:rStyle w:val="Emphasis"/>
        </w:rPr>
        <w:t>s Future Tax System Review</w:t>
      </w:r>
      <w:r w:rsidR="00A034DC" w:rsidRPr="003047BE">
        <w:t xml:space="preserve"> </w:t>
      </w:r>
      <w:r w:rsidR="00A034DC" w:rsidRPr="003047BE">
        <w:rPr>
          <w:i/>
        </w:rPr>
        <w:t>(Henry Tax Review)</w:t>
      </w:r>
      <w:r w:rsidR="00A034DC" w:rsidRPr="003047BE">
        <w:t>, Australian Government, Canberra, page 13.</w:t>
      </w:r>
    </w:p>
  </w:footnote>
  <w:footnote w:id="3">
    <w:p w14:paraId="7D25D846" w14:textId="055B0961" w:rsidR="00A034DC" w:rsidRDefault="00111EFA">
      <w:pPr>
        <w:pStyle w:val="FootnoteText"/>
      </w:pPr>
      <w:r w:rsidRPr="00111EFA">
        <w:rPr>
          <w:rStyle w:val="FootnoteReference"/>
          <w:vertAlign w:val="baseline"/>
        </w:rPr>
        <w:footnoteRef/>
      </w:r>
      <w:r w:rsidR="00A034DC">
        <w:tab/>
        <w:t xml:space="preserve">Australian Government 2014, </w:t>
      </w:r>
      <w:r w:rsidR="00A034DC" w:rsidRPr="00D1155B">
        <w:rPr>
          <w:i/>
        </w:rPr>
        <w:t>201</w:t>
      </w:r>
      <w:r w:rsidR="00A034DC">
        <w:rPr>
          <w:i/>
        </w:rPr>
        <w:t>3</w:t>
      </w:r>
      <w:r>
        <w:rPr>
          <w:i/>
        </w:rPr>
        <w:noBreakHyphen/>
      </w:r>
      <w:r w:rsidR="00A034DC" w:rsidRPr="00D1155B">
        <w:rPr>
          <w:i/>
        </w:rPr>
        <w:t>1</w:t>
      </w:r>
      <w:r w:rsidR="00A034DC">
        <w:rPr>
          <w:i/>
        </w:rPr>
        <w:t>4 Final Budget Outcome</w:t>
      </w:r>
      <w:r w:rsidR="00A034DC">
        <w:t xml:space="preserve">, Australian Government, page 9. </w:t>
      </w:r>
    </w:p>
  </w:footnote>
  <w:footnote w:id="4">
    <w:p w14:paraId="55F4899D" w14:textId="2540C853" w:rsidR="00A034DC" w:rsidRDefault="00111EFA" w:rsidP="00805A84">
      <w:pPr>
        <w:pStyle w:val="FootnoteText"/>
      </w:pPr>
      <w:r w:rsidRPr="00111EFA">
        <w:rPr>
          <w:rStyle w:val="FootnoteReference"/>
          <w:vertAlign w:val="baseline"/>
        </w:rPr>
        <w:footnoteRef/>
      </w:r>
      <w:r w:rsidR="00A034DC">
        <w:t xml:space="preserve"> </w:t>
      </w:r>
      <w:r w:rsidR="00A034DC">
        <w:tab/>
      </w:r>
      <w:proofErr w:type="gramStart"/>
      <w:r w:rsidR="00A034DC">
        <w:t xml:space="preserve">Australian Government 2014, </w:t>
      </w:r>
      <w:r w:rsidR="00A034DC" w:rsidRPr="00D1155B">
        <w:rPr>
          <w:i/>
        </w:rPr>
        <w:t>201</w:t>
      </w:r>
      <w:r w:rsidR="00A034DC">
        <w:rPr>
          <w:i/>
        </w:rPr>
        <w:t>3</w:t>
      </w:r>
      <w:r>
        <w:rPr>
          <w:i/>
        </w:rPr>
        <w:noBreakHyphen/>
      </w:r>
      <w:r w:rsidR="00A034DC" w:rsidRPr="00D1155B">
        <w:rPr>
          <w:i/>
        </w:rPr>
        <w:t>1</w:t>
      </w:r>
      <w:r w:rsidR="00A034DC">
        <w:rPr>
          <w:i/>
        </w:rPr>
        <w:t>4 Final Budget Outcome</w:t>
      </w:r>
      <w:r w:rsidR="00A034DC">
        <w:t>, Australian Government.</w:t>
      </w:r>
      <w:proofErr w:type="gramEnd"/>
    </w:p>
  </w:footnote>
  <w:footnote w:id="5">
    <w:p w14:paraId="434A44F4" w14:textId="621774E0" w:rsidR="00A034DC" w:rsidRDefault="00111EFA">
      <w:pPr>
        <w:pStyle w:val="FootnoteText"/>
      </w:pPr>
      <w:r w:rsidRPr="00111EFA">
        <w:rPr>
          <w:rStyle w:val="FootnoteReference"/>
          <w:vertAlign w:val="baseline"/>
        </w:rPr>
        <w:footnoteRef/>
      </w:r>
      <w:r w:rsidR="00A034DC">
        <w:t xml:space="preserve"> </w:t>
      </w:r>
      <w:r w:rsidR="00A034DC">
        <w:tab/>
        <w:t>I</w:t>
      </w:r>
      <w:r w:rsidR="00A034DC" w:rsidRPr="00D63977">
        <w:t>mported ethanol and biodiesel will b</w:t>
      </w:r>
      <w:r w:rsidR="00A034DC">
        <w:t xml:space="preserve">e taxed at 38.6 cents per litre, as noted in Australian Government 2014, </w:t>
      </w:r>
      <w:r w:rsidR="00A034DC" w:rsidRPr="00D1155B">
        <w:rPr>
          <w:i/>
        </w:rPr>
        <w:t>201</w:t>
      </w:r>
      <w:r w:rsidR="00A034DC">
        <w:rPr>
          <w:i/>
        </w:rPr>
        <w:t>4</w:t>
      </w:r>
      <w:r>
        <w:rPr>
          <w:i/>
        </w:rPr>
        <w:noBreakHyphen/>
      </w:r>
      <w:r w:rsidR="00A034DC" w:rsidRPr="00D1155B">
        <w:rPr>
          <w:i/>
        </w:rPr>
        <w:t>1</w:t>
      </w:r>
      <w:r w:rsidR="00A034DC">
        <w:rPr>
          <w:i/>
        </w:rPr>
        <w:t>5 Budget</w:t>
      </w:r>
      <w:r w:rsidR="00A034DC">
        <w:t>, Australian Government, Canberra.</w:t>
      </w:r>
    </w:p>
  </w:footnote>
  <w:footnote w:id="6">
    <w:p w14:paraId="208817DC" w14:textId="23CDEEC6" w:rsidR="00A034DC" w:rsidRDefault="00111EFA" w:rsidP="000F1F17">
      <w:pPr>
        <w:pStyle w:val="FootnoteText"/>
      </w:pPr>
      <w:r w:rsidRPr="00111EFA">
        <w:rPr>
          <w:rStyle w:val="FootnoteReference"/>
          <w:vertAlign w:val="baseline"/>
        </w:rPr>
        <w:footnoteRef/>
      </w:r>
      <w:r w:rsidR="00A034DC" w:rsidRPr="00A034DC">
        <w:tab/>
      </w:r>
      <w:proofErr w:type="gramStart"/>
      <w:r w:rsidR="00A034DC" w:rsidRPr="00A034DC">
        <w:t xml:space="preserve">Australian Taxation Office (ATO) 2014, </w:t>
      </w:r>
      <w:r w:rsidR="00A034DC" w:rsidRPr="00A034DC">
        <w:rPr>
          <w:i/>
          <w:iCs/>
        </w:rPr>
        <w:t>Commissioner of Taxation Annual Report 2013</w:t>
      </w:r>
      <w:r>
        <w:rPr>
          <w:i/>
          <w:iCs/>
        </w:rPr>
        <w:noBreakHyphen/>
      </w:r>
      <w:r w:rsidR="00A034DC" w:rsidRPr="00A034DC">
        <w:rPr>
          <w:i/>
          <w:iCs/>
        </w:rPr>
        <w:t>14</w:t>
      </w:r>
      <w:r w:rsidR="00A034DC" w:rsidRPr="00A034DC">
        <w:t>, ATO, Canberra.</w:t>
      </w:r>
      <w:proofErr w:type="gramEnd"/>
    </w:p>
  </w:footnote>
  <w:footnote w:id="7">
    <w:p w14:paraId="1A5D4CDC" w14:textId="24ACB2DB" w:rsidR="00A034DC" w:rsidRPr="003047BE" w:rsidRDefault="00111EFA">
      <w:pPr>
        <w:pStyle w:val="FootnoteText"/>
      </w:pPr>
      <w:r w:rsidRPr="00111EFA">
        <w:rPr>
          <w:rStyle w:val="FootnoteReference"/>
          <w:vertAlign w:val="baseline"/>
        </w:rPr>
        <w:footnoteRef/>
      </w:r>
      <w:r w:rsidR="00A034DC" w:rsidRPr="003047BE">
        <w:rPr>
          <w:rStyle w:val="FootnoteReference"/>
          <w:vertAlign w:val="baseline"/>
        </w:rPr>
        <w:t xml:space="preserve"> </w:t>
      </w:r>
      <w:r w:rsidR="00A034DC" w:rsidRPr="003047BE">
        <w:tab/>
      </w:r>
      <w:r w:rsidR="00A034DC" w:rsidRPr="003047BE">
        <w:rPr>
          <w:rStyle w:val="FootnoteReference"/>
          <w:vertAlign w:val="baseline"/>
        </w:rPr>
        <w:t xml:space="preserve">Australian Taxation Office (ATO) 2014, </w:t>
      </w:r>
      <w:r w:rsidR="00A034DC" w:rsidRPr="003047BE">
        <w:rPr>
          <w:rStyle w:val="FootnoteReference"/>
          <w:i/>
          <w:vertAlign w:val="baseline"/>
        </w:rPr>
        <w:t>Excise and Fuel schemes:  Fuel tax credits scheme — claims paid, by fine industry, 2006</w:t>
      </w:r>
      <w:r>
        <w:rPr>
          <w:rStyle w:val="FootnoteReference"/>
          <w:i/>
          <w:vertAlign w:val="baseline"/>
        </w:rPr>
        <w:noBreakHyphen/>
      </w:r>
      <w:r w:rsidR="00A034DC" w:rsidRPr="003047BE">
        <w:rPr>
          <w:rStyle w:val="FootnoteReference"/>
          <w:i/>
          <w:vertAlign w:val="baseline"/>
        </w:rPr>
        <w:t>07 to 2012</w:t>
      </w:r>
      <w:r>
        <w:rPr>
          <w:rStyle w:val="FootnoteReference"/>
          <w:i/>
          <w:vertAlign w:val="baseline"/>
        </w:rPr>
        <w:noBreakHyphen/>
      </w:r>
      <w:r w:rsidR="00A034DC" w:rsidRPr="003047BE">
        <w:rPr>
          <w:rStyle w:val="FootnoteReference"/>
          <w:i/>
          <w:vertAlign w:val="baseline"/>
        </w:rPr>
        <w:t>13 financial years</w:t>
      </w:r>
      <w:r w:rsidR="00A034DC" w:rsidRPr="003047BE">
        <w:rPr>
          <w:rStyle w:val="FootnoteReference"/>
          <w:vertAlign w:val="baseline"/>
        </w:rPr>
        <w:t>, Taxation Statistics 2011</w:t>
      </w:r>
      <w:r>
        <w:rPr>
          <w:rStyle w:val="FootnoteReference"/>
          <w:vertAlign w:val="baseline"/>
        </w:rPr>
        <w:noBreakHyphen/>
      </w:r>
      <w:r w:rsidR="00A034DC" w:rsidRPr="003047BE">
        <w:rPr>
          <w:rStyle w:val="FootnoteReference"/>
          <w:vertAlign w:val="baseline"/>
        </w:rPr>
        <w:t>12, ATO, Canberra.</w:t>
      </w:r>
    </w:p>
  </w:footnote>
  <w:footnote w:id="8">
    <w:p w14:paraId="01C488CF" w14:textId="1C5D651A" w:rsidR="00A034DC" w:rsidRDefault="00111EFA" w:rsidP="006C10B4">
      <w:pPr>
        <w:pStyle w:val="FootnoteText"/>
      </w:pPr>
      <w:r w:rsidRPr="00111EFA">
        <w:rPr>
          <w:rStyle w:val="FootnoteReference"/>
          <w:vertAlign w:val="baseline"/>
        </w:rPr>
        <w:footnoteRef/>
      </w:r>
      <w:r w:rsidR="00A034DC" w:rsidRPr="003047BE">
        <w:t xml:space="preserve"> </w:t>
      </w:r>
      <w:r w:rsidR="00A034DC" w:rsidRPr="003047BE">
        <w:tab/>
        <w:t xml:space="preserve">Clark, J and Hollis, A 2013, </w:t>
      </w:r>
      <w:r>
        <w:t>‘</w:t>
      </w:r>
      <w:r w:rsidR="00A034DC" w:rsidRPr="003047BE">
        <w:t>Tax</w:t>
      </w:r>
      <w:r>
        <w:noBreakHyphen/>
      </w:r>
      <w:r w:rsidR="00A034DC" w:rsidRPr="003047BE">
        <w:t>to</w:t>
      </w:r>
      <w:r>
        <w:noBreakHyphen/>
      </w:r>
      <w:r w:rsidR="00A034DC" w:rsidRPr="003047BE">
        <w:t>GDP: Past and Prospective Developments</w:t>
      </w:r>
      <w:r>
        <w:t>’</w:t>
      </w:r>
      <w:r w:rsidR="00A034DC" w:rsidRPr="003047BE">
        <w:t xml:space="preserve">, </w:t>
      </w:r>
      <w:r w:rsidR="00A034DC" w:rsidRPr="003047BE">
        <w:rPr>
          <w:i/>
        </w:rPr>
        <w:t>Economic Roundup</w:t>
      </w:r>
      <w:r w:rsidR="00A034DC" w:rsidRPr="003047BE">
        <w:t>, Issue 2, 2013, pages 29</w:t>
      </w:r>
      <w:r>
        <w:noBreakHyphen/>
      </w:r>
      <w:r w:rsidR="00A034DC" w:rsidRPr="003047BE">
        <w:t>30.</w:t>
      </w:r>
      <w:r w:rsidR="00A034DC">
        <w:t xml:space="preserve"> </w:t>
      </w:r>
    </w:p>
  </w:footnote>
  <w:footnote w:id="9">
    <w:p w14:paraId="5188F6C0" w14:textId="2CE4CAE4" w:rsidR="00A034DC" w:rsidRDefault="00111EFA">
      <w:pPr>
        <w:pStyle w:val="FootnoteText"/>
      </w:pPr>
      <w:r w:rsidRPr="00111EFA">
        <w:rPr>
          <w:rStyle w:val="FootnoteReference"/>
          <w:vertAlign w:val="baseline"/>
        </w:rPr>
        <w:footnoteRef/>
      </w:r>
      <w:r w:rsidR="00A034DC">
        <w:tab/>
        <w:t xml:space="preserve">Australian Government 1998, </w:t>
      </w:r>
      <w:r w:rsidR="00A034DC" w:rsidRPr="00870EC4">
        <w:rPr>
          <w:i/>
        </w:rPr>
        <w:t>Tax reform: Not a new tax, a new tax system</w:t>
      </w:r>
      <w:r w:rsidR="00A034DC">
        <w:t>, Australian Government, Canberra.</w:t>
      </w:r>
    </w:p>
  </w:footnote>
  <w:footnote w:id="10">
    <w:p w14:paraId="2EBC66D7" w14:textId="0A0387E9" w:rsidR="00A034DC" w:rsidRDefault="00111EFA" w:rsidP="009968ED">
      <w:pPr>
        <w:pStyle w:val="FootnoteText"/>
      </w:pPr>
      <w:r w:rsidRPr="00111EFA">
        <w:rPr>
          <w:rStyle w:val="FootnoteReference"/>
          <w:vertAlign w:val="baseline"/>
        </w:rPr>
        <w:footnoteRef/>
      </w:r>
      <w:r w:rsidR="00A034DC">
        <w:tab/>
        <w:t xml:space="preserve">Australian Government 2014, </w:t>
      </w:r>
      <w:r w:rsidR="00A034DC" w:rsidRPr="00D1155B">
        <w:rPr>
          <w:i/>
        </w:rPr>
        <w:t>201</w:t>
      </w:r>
      <w:r w:rsidR="00A034DC">
        <w:rPr>
          <w:i/>
        </w:rPr>
        <w:t>3</w:t>
      </w:r>
      <w:r>
        <w:rPr>
          <w:i/>
        </w:rPr>
        <w:noBreakHyphen/>
      </w:r>
      <w:r w:rsidR="00A034DC" w:rsidRPr="00D1155B">
        <w:rPr>
          <w:i/>
        </w:rPr>
        <w:t>1</w:t>
      </w:r>
      <w:r w:rsidR="00A034DC">
        <w:rPr>
          <w:i/>
        </w:rPr>
        <w:t>4 Final Budget Outcome</w:t>
      </w:r>
      <w:r w:rsidR="00A034DC">
        <w:t xml:space="preserve">, Australian Government, Canberra; and ATO 2013, </w:t>
      </w:r>
      <w:r w:rsidR="00A034DC" w:rsidRPr="009B723D">
        <w:rPr>
          <w:i/>
        </w:rPr>
        <w:t>Taxation Statistics</w:t>
      </w:r>
      <w:r w:rsidR="00A034DC">
        <w:rPr>
          <w:i/>
        </w:rPr>
        <w:t xml:space="preserve"> </w:t>
      </w:r>
      <w:r w:rsidR="00A034DC" w:rsidRPr="009B723D">
        <w:rPr>
          <w:i/>
        </w:rPr>
        <w:t>2011</w:t>
      </w:r>
      <w:r>
        <w:rPr>
          <w:i/>
        </w:rPr>
        <w:noBreakHyphen/>
      </w:r>
      <w:r w:rsidR="00A034DC" w:rsidRPr="009B723D">
        <w:rPr>
          <w:i/>
        </w:rPr>
        <w:t>12</w:t>
      </w:r>
      <w:r w:rsidR="00A034DC">
        <w:t>, ATO, Canberra.</w:t>
      </w:r>
    </w:p>
  </w:footnote>
  <w:footnote w:id="11">
    <w:p w14:paraId="6F4B10DF" w14:textId="0EA10C95" w:rsidR="00A034DC" w:rsidRDefault="00111EFA">
      <w:pPr>
        <w:pStyle w:val="FootnoteText"/>
      </w:pPr>
      <w:r w:rsidRPr="00111EFA">
        <w:rPr>
          <w:rStyle w:val="FootnoteReference"/>
          <w:vertAlign w:val="baseline"/>
        </w:rPr>
        <w:footnoteRef/>
      </w:r>
      <w:r w:rsidR="00A034DC">
        <w:t xml:space="preserve"> </w:t>
      </w:r>
      <w:r w:rsidR="00A034DC">
        <w:tab/>
        <w:t xml:space="preserve">OECD 2012, </w:t>
      </w:r>
      <w:r w:rsidR="00A034DC" w:rsidRPr="009B723D">
        <w:rPr>
          <w:i/>
        </w:rPr>
        <w:t>Consumption Tax Trends 2012L VAT</w:t>
      </w:r>
      <w:r w:rsidR="00A034DC">
        <w:rPr>
          <w:i/>
        </w:rPr>
        <w:t>/</w:t>
      </w:r>
      <w:r w:rsidR="00A034DC" w:rsidRPr="009B723D">
        <w:rPr>
          <w:i/>
        </w:rPr>
        <w:t>GST and Excise Rates, Trends and Administration Issues</w:t>
      </w:r>
      <w:r w:rsidR="00A034DC">
        <w:t>, OECD, Paris.</w:t>
      </w:r>
    </w:p>
  </w:footnote>
  <w:footnote w:id="12">
    <w:p w14:paraId="593B732A" w14:textId="1787CE92" w:rsidR="00A034DC" w:rsidRDefault="00111EFA" w:rsidP="0037635E">
      <w:pPr>
        <w:pStyle w:val="FootnoteText"/>
      </w:pPr>
      <w:r w:rsidRPr="00111EFA">
        <w:rPr>
          <w:rStyle w:val="FootnoteReference"/>
          <w:vertAlign w:val="baseline"/>
        </w:rPr>
        <w:footnoteRef/>
      </w:r>
      <w:r w:rsidR="00A034DC" w:rsidRPr="00870EC4">
        <w:rPr>
          <w:rStyle w:val="FootnoteReference"/>
          <w:vertAlign w:val="baseline"/>
        </w:rPr>
        <w:t xml:space="preserve"> </w:t>
      </w:r>
      <w:r w:rsidR="00A034DC">
        <w:tab/>
        <w:t xml:space="preserve">Australian Government 2014, </w:t>
      </w:r>
      <w:r w:rsidR="00A034DC" w:rsidRPr="003564A5">
        <w:rPr>
          <w:i/>
        </w:rPr>
        <w:t>2013</w:t>
      </w:r>
      <w:r>
        <w:rPr>
          <w:i/>
        </w:rPr>
        <w:noBreakHyphen/>
      </w:r>
      <w:r w:rsidR="00A034DC" w:rsidRPr="003564A5">
        <w:rPr>
          <w:i/>
        </w:rPr>
        <w:t>14</w:t>
      </w:r>
      <w:r w:rsidR="00A034DC">
        <w:rPr>
          <w:i/>
        </w:rPr>
        <w:t xml:space="preserve"> </w:t>
      </w:r>
      <w:r w:rsidR="00A034DC" w:rsidRPr="003564A5">
        <w:rPr>
          <w:i/>
        </w:rPr>
        <w:t>Final Budget Outcome</w:t>
      </w:r>
      <w:r w:rsidR="00A034DC">
        <w:t>, Australian Government, Canberra, page 5.</w:t>
      </w:r>
    </w:p>
  </w:footnote>
  <w:footnote w:id="13">
    <w:p w14:paraId="62324C16" w14:textId="0FDCCABA" w:rsidR="00A034DC" w:rsidRPr="0061548F" w:rsidRDefault="00111EFA">
      <w:pPr>
        <w:pStyle w:val="FootnoteText"/>
      </w:pPr>
      <w:r w:rsidRPr="00111EFA">
        <w:rPr>
          <w:rStyle w:val="FootnoteReference"/>
          <w:vertAlign w:val="baseline"/>
        </w:rPr>
        <w:footnoteRef/>
      </w:r>
      <w:r w:rsidR="00A034DC" w:rsidRPr="0061548F">
        <w:rPr>
          <w:rStyle w:val="FootnoteReference"/>
          <w:vertAlign w:val="baseline"/>
        </w:rPr>
        <w:t xml:space="preserve"> </w:t>
      </w:r>
      <w:r w:rsidR="00A034DC">
        <w:tab/>
      </w:r>
      <w:r w:rsidR="00A034DC" w:rsidRPr="0061548F">
        <w:rPr>
          <w:rStyle w:val="FootnoteReference"/>
          <w:vertAlign w:val="baseline"/>
        </w:rPr>
        <w:t xml:space="preserve">Australian Government 1998, </w:t>
      </w:r>
      <w:r w:rsidR="00A034DC" w:rsidRPr="00AF10A0">
        <w:rPr>
          <w:rStyle w:val="FootnoteReference"/>
          <w:i/>
          <w:vertAlign w:val="baseline"/>
        </w:rPr>
        <w:t>Tax Reform:  Not a New Tax, A New Tax System — the Howard Government</w:t>
      </w:r>
      <w:r>
        <w:rPr>
          <w:rStyle w:val="FootnoteReference"/>
          <w:i/>
          <w:vertAlign w:val="baseline"/>
        </w:rPr>
        <w:t>’</w:t>
      </w:r>
      <w:r w:rsidR="00A034DC" w:rsidRPr="00AF10A0">
        <w:rPr>
          <w:rStyle w:val="FootnoteReference"/>
          <w:i/>
          <w:vertAlign w:val="baseline"/>
        </w:rPr>
        <w:t>s Plan for a New Tax System</w:t>
      </w:r>
      <w:r w:rsidR="00A034DC" w:rsidRPr="0061548F">
        <w:rPr>
          <w:rStyle w:val="FootnoteReference"/>
          <w:vertAlign w:val="baseline"/>
        </w:rPr>
        <w:t>, Australian Government, Canberra.</w:t>
      </w:r>
    </w:p>
  </w:footnote>
  <w:footnote w:id="14">
    <w:p w14:paraId="63D61142" w14:textId="5BA42CED" w:rsidR="00A034DC" w:rsidRPr="003047BE" w:rsidRDefault="00111EFA" w:rsidP="000B7ABA">
      <w:pPr>
        <w:pStyle w:val="FootnoteText"/>
      </w:pPr>
      <w:r w:rsidRPr="00111EFA">
        <w:rPr>
          <w:rStyle w:val="FootnoteReference"/>
          <w:vertAlign w:val="baseline"/>
        </w:rPr>
        <w:footnoteRef/>
      </w:r>
      <w:r w:rsidR="00A034DC" w:rsidRPr="003047BE">
        <w:tab/>
      </w:r>
      <w:proofErr w:type="gramStart"/>
      <w:r w:rsidR="00A034DC" w:rsidRPr="003047BE">
        <w:t xml:space="preserve">Australian Government 2014, </w:t>
      </w:r>
      <w:r w:rsidR="00A034DC" w:rsidRPr="003047BE">
        <w:rPr>
          <w:i/>
        </w:rPr>
        <w:t>2013</w:t>
      </w:r>
      <w:r>
        <w:rPr>
          <w:i/>
        </w:rPr>
        <w:noBreakHyphen/>
      </w:r>
      <w:r w:rsidR="00A034DC" w:rsidRPr="003047BE">
        <w:rPr>
          <w:i/>
        </w:rPr>
        <w:t>14 Final Budget Outcome</w:t>
      </w:r>
      <w:r w:rsidR="00A034DC" w:rsidRPr="003047BE">
        <w:t>, Australian Government, Canberra.</w:t>
      </w:r>
      <w:proofErr w:type="gramEnd"/>
      <w:r w:rsidR="00A034DC" w:rsidRPr="003047BE" w:rsidDel="009E254D">
        <w:t xml:space="preserve"> </w:t>
      </w:r>
    </w:p>
  </w:footnote>
  <w:footnote w:id="15">
    <w:p w14:paraId="46C89521" w14:textId="1A8CA364" w:rsidR="00A034DC" w:rsidRPr="00D2745D" w:rsidRDefault="00111EFA" w:rsidP="0089680B">
      <w:pPr>
        <w:pStyle w:val="FootnoteText"/>
      </w:pPr>
      <w:r w:rsidRPr="00111EFA">
        <w:rPr>
          <w:rStyle w:val="FootnoteReference"/>
          <w:vertAlign w:val="baseline"/>
        </w:rPr>
        <w:footnoteRef/>
      </w:r>
      <w:r w:rsidR="00A034DC" w:rsidRPr="003047BE">
        <w:tab/>
      </w:r>
      <w:proofErr w:type="gramStart"/>
      <w:r w:rsidR="00A034DC" w:rsidRPr="003047BE">
        <w:rPr>
          <w:szCs w:val="18"/>
        </w:rPr>
        <w:t xml:space="preserve">Federal Chamber of Automotive Industries 2014, </w:t>
      </w:r>
      <w:r w:rsidR="00A034DC" w:rsidRPr="003047BE">
        <w:rPr>
          <w:i/>
          <w:szCs w:val="18"/>
        </w:rPr>
        <w:t>VFACTS Data</w:t>
      </w:r>
      <w:r w:rsidR="00A034DC" w:rsidRPr="003047BE">
        <w:rPr>
          <w:szCs w:val="18"/>
        </w:rPr>
        <w:t>, Federal Chamber of Automotive Industries, Canberra.</w:t>
      </w:r>
      <w:proofErr w:type="gramEnd"/>
      <w:r w:rsidR="00A034DC">
        <w:rPr>
          <w:szCs w:val="18"/>
        </w:rPr>
        <w:t xml:space="preserve"> </w:t>
      </w:r>
    </w:p>
  </w:footnote>
  <w:footnote w:id="16">
    <w:p w14:paraId="6A3D023C" w14:textId="563D8EEA" w:rsidR="00A034DC" w:rsidRDefault="00111EFA">
      <w:pPr>
        <w:pStyle w:val="FootnoteText"/>
      </w:pPr>
      <w:r w:rsidRPr="00111EFA">
        <w:rPr>
          <w:rStyle w:val="FootnoteReference"/>
          <w:vertAlign w:val="baseline"/>
        </w:rPr>
        <w:footnoteRef/>
      </w:r>
      <w:r w:rsidR="00A034DC">
        <w:tab/>
        <w:t xml:space="preserve">Information provided by the Department of Agriculture. </w:t>
      </w:r>
    </w:p>
  </w:footnote>
  <w:footnote w:id="17">
    <w:p w14:paraId="0804E969" w14:textId="74282F8A" w:rsidR="00A034DC" w:rsidRDefault="00111EFA">
      <w:pPr>
        <w:pStyle w:val="FootnoteText"/>
      </w:pPr>
      <w:r w:rsidRPr="00111EFA">
        <w:rPr>
          <w:rStyle w:val="FootnoteReference"/>
          <w:vertAlign w:val="baseline"/>
        </w:rPr>
        <w:footnoteRef/>
      </w:r>
      <w:r w:rsidR="00A034DC">
        <w:tab/>
      </w:r>
      <w:r w:rsidR="00A034DC" w:rsidRPr="00283AFF">
        <w:t xml:space="preserve">Productivity Commission 2011, </w:t>
      </w:r>
      <w:r w:rsidR="00A034DC" w:rsidRPr="00870EC4">
        <w:rPr>
          <w:i/>
        </w:rPr>
        <w:t>Rural Research and Development Corporations</w:t>
      </w:r>
      <w:r w:rsidR="00A034DC" w:rsidRPr="00283AFF">
        <w:t xml:space="preserve">, </w:t>
      </w:r>
      <w:r w:rsidR="00A034DC">
        <w:t>final inquiry r</w:t>
      </w:r>
      <w:r w:rsidR="00A034DC" w:rsidRPr="00283AFF">
        <w:t xml:space="preserve">eport </w:t>
      </w:r>
      <w:r w:rsidR="00A034DC">
        <w:t>n</w:t>
      </w:r>
      <w:r w:rsidR="00A034DC" w:rsidRPr="00283AFF">
        <w:t>o.</w:t>
      </w:r>
      <w:r w:rsidR="00A034DC">
        <w:t> </w:t>
      </w:r>
      <w:r w:rsidR="00A034DC" w:rsidRPr="00283AFF">
        <w:t xml:space="preserve">52, </w:t>
      </w:r>
      <w:r w:rsidR="00A034DC">
        <w:t xml:space="preserve">Productivity Commission, </w:t>
      </w:r>
      <w:r w:rsidR="00A034DC" w:rsidRPr="00283AFF">
        <w:t>Canberra</w:t>
      </w:r>
      <w:r w:rsidR="00A034DC">
        <w:t>.</w:t>
      </w:r>
    </w:p>
  </w:footnote>
  <w:footnote w:id="18">
    <w:p w14:paraId="4F7F0EBA" w14:textId="28F7CB2D" w:rsidR="00A034DC" w:rsidRDefault="00111EFA">
      <w:pPr>
        <w:pStyle w:val="FootnoteText"/>
      </w:pPr>
      <w:r w:rsidRPr="00111EFA">
        <w:rPr>
          <w:rStyle w:val="FootnoteReference"/>
          <w:vertAlign w:val="baseline"/>
        </w:rPr>
        <w:footnoteRef/>
      </w:r>
      <w:r w:rsidR="00A034DC">
        <w:t xml:space="preserve"> </w:t>
      </w:r>
      <w:r w:rsidR="00A034DC">
        <w:tab/>
        <w:t>In this context, the free</w:t>
      </w:r>
      <w:r>
        <w:noBreakHyphen/>
      </w:r>
      <w:r w:rsidR="00A034DC">
        <w:t>rider problem refers to a situation where some producers would be able to receive the benefits of investment by other producers without having to make any investment themselves.</w:t>
      </w:r>
    </w:p>
  </w:footnote>
  <w:footnote w:id="19">
    <w:p w14:paraId="3FEC3B6D" w14:textId="630A4FEC" w:rsidR="00A034DC" w:rsidRDefault="00111EFA" w:rsidP="00805A84">
      <w:pPr>
        <w:pStyle w:val="FootnoteText"/>
      </w:pPr>
      <w:r w:rsidRPr="00111EFA">
        <w:rPr>
          <w:rStyle w:val="FootnoteReference"/>
          <w:vertAlign w:val="baseline"/>
        </w:rPr>
        <w:footnoteRef/>
      </w:r>
      <w:r w:rsidR="00A034DC">
        <w:t xml:space="preserve"> </w:t>
      </w:r>
      <w:r w:rsidR="00A034DC">
        <w:tab/>
        <w:t xml:space="preserve">Australian Government 2014, </w:t>
      </w:r>
      <w:r w:rsidR="00A034DC" w:rsidRPr="00D1155B">
        <w:rPr>
          <w:i/>
        </w:rPr>
        <w:t>201</w:t>
      </w:r>
      <w:r w:rsidR="00A034DC">
        <w:rPr>
          <w:i/>
        </w:rPr>
        <w:t>3</w:t>
      </w:r>
      <w:r>
        <w:rPr>
          <w:i/>
        </w:rPr>
        <w:noBreakHyphen/>
      </w:r>
      <w:r w:rsidR="00A034DC" w:rsidRPr="00D1155B">
        <w:rPr>
          <w:i/>
        </w:rPr>
        <w:t>1</w:t>
      </w:r>
      <w:r w:rsidR="00A034DC">
        <w:rPr>
          <w:i/>
        </w:rPr>
        <w:t>4 Final Budget Outcome</w:t>
      </w:r>
      <w:r w:rsidR="00A034DC">
        <w:t>, Australian Government, Canberra, Table 4, page 9</w:t>
      </w:r>
      <w:r w:rsidR="00A034DC" w:rsidRPr="00B63DEE">
        <w:t>. Note</w:t>
      </w:r>
      <w:r w:rsidR="00A034DC">
        <w:t>:</w:t>
      </w:r>
      <w:r w:rsidR="00A034DC" w:rsidRPr="00B63DEE">
        <w:t xml:space="preserve"> this figure does not include tariffs applied to imported fuel, tobacco or alcohol as Table </w:t>
      </w:r>
      <w:r w:rsidR="00A034DC">
        <w:t>4</w:t>
      </w:r>
      <w:r w:rsidR="00A034DC" w:rsidRPr="00B63DEE">
        <w:t xml:space="preserve"> aggregates excise and tariff revenue for these items.</w:t>
      </w:r>
    </w:p>
  </w:footnote>
  <w:footnote w:id="20">
    <w:p w14:paraId="0C9E6B3B" w14:textId="3CEA2144" w:rsidR="00A034DC" w:rsidRDefault="00111EFA">
      <w:pPr>
        <w:pStyle w:val="FootnoteText"/>
      </w:pPr>
      <w:r w:rsidRPr="00111EFA">
        <w:rPr>
          <w:rStyle w:val="FootnoteReference"/>
          <w:vertAlign w:val="baseline"/>
        </w:rPr>
        <w:footnoteRef/>
      </w:r>
      <w:r w:rsidR="00A034DC" w:rsidRPr="0037635E">
        <w:rPr>
          <w:rStyle w:val="FootnoteReference"/>
          <w:vertAlign w:val="baseline"/>
        </w:rPr>
        <w:t xml:space="preserve">  </w:t>
      </w:r>
      <w:r w:rsidR="00A034DC">
        <w:t xml:space="preserve">Centre for International Economics 2009, </w:t>
      </w:r>
      <w:r w:rsidR="00A034DC">
        <w:rPr>
          <w:i/>
        </w:rPr>
        <w:t>Benefits of trade and trade liberalisation</w:t>
      </w:r>
      <w:r w:rsidR="00A034DC">
        <w:t xml:space="preserve">, Centre for International Economics, Canberra. Note: historical tariff rates for textiles, clothing and footwear include the effect of import quotas; </w:t>
      </w:r>
      <w:r w:rsidR="00A034DC">
        <w:rPr>
          <w:i/>
        </w:rPr>
        <w:t>Customs Tariff Act 1995</w:t>
      </w:r>
      <w:r w:rsidR="00A034DC">
        <w:t>.</w:t>
      </w:r>
    </w:p>
  </w:footnote>
  <w:footnote w:id="21">
    <w:p w14:paraId="6174AF47" w14:textId="00AD27BC" w:rsidR="00A034DC" w:rsidRDefault="00111EFA">
      <w:pPr>
        <w:pStyle w:val="FootnoteText"/>
      </w:pPr>
      <w:r w:rsidRPr="00111EFA">
        <w:rPr>
          <w:rStyle w:val="FootnoteReference"/>
          <w:vertAlign w:val="baseline"/>
        </w:rPr>
        <w:footnoteRef/>
      </w:r>
      <w:r w:rsidR="00A034DC">
        <w:t xml:space="preserve"> </w:t>
      </w:r>
      <w:r w:rsidR="00A034DC">
        <w:tab/>
      </w:r>
      <w:proofErr w:type="gramStart"/>
      <w:r w:rsidR="00A034DC" w:rsidRPr="009B5CC7">
        <w:t xml:space="preserve">Productivity Commission 2014, </w:t>
      </w:r>
      <w:r w:rsidR="00A034DC" w:rsidRPr="00466882">
        <w:rPr>
          <w:i/>
        </w:rPr>
        <w:t xml:space="preserve">Trade </w:t>
      </w:r>
      <w:r w:rsidR="00A034DC">
        <w:rPr>
          <w:i/>
        </w:rPr>
        <w:t>&amp;</w:t>
      </w:r>
      <w:r w:rsidR="00A034DC" w:rsidRPr="00466882">
        <w:rPr>
          <w:i/>
        </w:rPr>
        <w:t xml:space="preserve"> Assistance Review 2012</w:t>
      </w:r>
      <w:r>
        <w:rPr>
          <w:i/>
        </w:rPr>
        <w:noBreakHyphen/>
      </w:r>
      <w:r w:rsidR="00A034DC" w:rsidRPr="00466882">
        <w:rPr>
          <w:i/>
        </w:rPr>
        <w:t>13, Annual Report Series</w:t>
      </w:r>
      <w:r w:rsidR="00A034DC" w:rsidRPr="009B5CC7">
        <w:t>, Productivity Commission, Canberra.</w:t>
      </w:r>
      <w:proofErr w:type="gramEnd"/>
    </w:p>
  </w:footnote>
  <w:footnote w:id="22">
    <w:p w14:paraId="41A57BB6" w14:textId="74B0BB83" w:rsidR="00A034DC" w:rsidRDefault="00111EFA">
      <w:pPr>
        <w:pStyle w:val="FootnoteText"/>
      </w:pPr>
      <w:r w:rsidRPr="00111EFA">
        <w:rPr>
          <w:rStyle w:val="FootnoteReference"/>
          <w:vertAlign w:val="baseline"/>
        </w:rPr>
        <w:footnoteRef/>
      </w:r>
      <w:r w:rsidR="00A034DC" w:rsidRPr="0037635E">
        <w:rPr>
          <w:rStyle w:val="FootnoteReference"/>
          <w:vertAlign w:val="baseline"/>
        </w:rPr>
        <w:t xml:space="preserve"> </w:t>
      </w:r>
      <w:r w:rsidR="00A034DC">
        <w:tab/>
        <w:t xml:space="preserve">Information supplied by the Department of Foreign Affairs and Trade. </w:t>
      </w:r>
    </w:p>
  </w:footnote>
  <w:footnote w:id="23">
    <w:p w14:paraId="2D930154" w14:textId="02DD6106" w:rsidR="00A034DC" w:rsidRDefault="00111EFA">
      <w:pPr>
        <w:pStyle w:val="FootnoteText"/>
      </w:pPr>
      <w:r w:rsidRPr="00111EFA">
        <w:rPr>
          <w:rStyle w:val="FootnoteReference"/>
          <w:vertAlign w:val="baseline"/>
        </w:rPr>
        <w:footnoteRef/>
      </w:r>
      <w:r w:rsidR="00A034DC">
        <w:tab/>
      </w:r>
      <w:proofErr w:type="gramStart"/>
      <w:r w:rsidR="00A034DC" w:rsidRPr="00A34CC4">
        <w:t>A</w:t>
      </w:r>
      <w:r w:rsidR="00A034DC" w:rsidRPr="00117A28">
        <w:rPr>
          <w:rStyle w:val="FootnoteReference"/>
          <w:vertAlign w:val="baseline"/>
        </w:rPr>
        <w:t>us</w:t>
      </w:r>
      <w:r w:rsidR="00A034DC" w:rsidRPr="00A34CC4">
        <w:t xml:space="preserve">tralian Government 2010, </w:t>
      </w:r>
      <w:r w:rsidR="00A034DC" w:rsidRPr="00984299">
        <w:rPr>
          <w:rStyle w:val="Emphasis"/>
        </w:rPr>
        <w:t>Australia</w:t>
      </w:r>
      <w:r>
        <w:rPr>
          <w:rStyle w:val="Emphasis"/>
        </w:rPr>
        <w:t>’</w:t>
      </w:r>
      <w:r w:rsidR="00A034DC" w:rsidRPr="00984299">
        <w:rPr>
          <w:rStyle w:val="Emphasis"/>
        </w:rPr>
        <w:t>s Future Tax System Review</w:t>
      </w:r>
      <w:r w:rsidR="00A034DC" w:rsidRPr="00984299">
        <w:t xml:space="preserve"> </w:t>
      </w:r>
      <w:r w:rsidR="00A034DC" w:rsidRPr="00984299">
        <w:rPr>
          <w:i/>
        </w:rPr>
        <w:t>(Henry Tax Review)</w:t>
      </w:r>
      <w:r w:rsidR="00A034DC" w:rsidRPr="00A34CC4">
        <w:t>, Australian Government, Canberra.</w:t>
      </w:r>
      <w:proofErr w:type="gramEnd"/>
    </w:p>
  </w:footnote>
  <w:footnote w:id="24">
    <w:p w14:paraId="6206D674" w14:textId="6A0CAB8E" w:rsidR="00A034DC" w:rsidRPr="003047BE" w:rsidRDefault="00111EFA">
      <w:pPr>
        <w:pStyle w:val="FootnoteText"/>
      </w:pPr>
      <w:r w:rsidRPr="00111EFA">
        <w:footnoteRef/>
      </w:r>
      <w:r w:rsidR="00A034DC" w:rsidRPr="0019783D">
        <w:t xml:space="preserve"> </w:t>
      </w:r>
      <w:r w:rsidR="00A034DC">
        <w:tab/>
      </w:r>
      <w:r w:rsidR="00A034DC" w:rsidRPr="0019783D">
        <w:t>F</w:t>
      </w:r>
      <w:r w:rsidR="00A034DC">
        <w:t xml:space="preserve">or example, </w:t>
      </w:r>
      <w:r w:rsidR="00A034DC" w:rsidRPr="003047BE">
        <w:t xml:space="preserve">see Australian Government 2010, </w:t>
      </w:r>
      <w:r w:rsidR="00A034DC" w:rsidRPr="003047BE">
        <w:rPr>
          <w:i/>
        </w:rPr>
        <w:t>Australia</w:t>
      </w:r>
      <w:r>
        <w:rPr>
          <w:i/>
        </w:rPr>
        <w:t>’</w:t>
      </w:r>
      <w:r w:rsidR="00A034DC" w:rsidRPr="003047BE">
        <w:rPr>
          <w:i/>
        </w:rPr>
        <w:t>s Future Tax System Review</w:t>
      </w:r>
      <w:r w:rsidR="00A034DC" w:rsidRPr="003047BE">
        <w:t xml:space="preserve"> </w:t>
      </w:r>
      <w:r w:rsidR="00A034DC" w:rsidRPr="005F4CF1">
        <w:rPr>
          <w:i/>
        </w:rPr>
        <w:t>(Henry Tax Review)</w:t>
      </w:r>
      <w:r w:rsidR="00A034DC" w:rsidRPr="003047BE">
        <w:t>, Australian Government, Canberra, page 374</w:t>
      </w:r>
    </w:p>
  </w:footnote>
  <w:footnote w:id="25">
    <w:p w14:paraId="3DE12D10" w14:textId="498B1C67" w:rsidR="00A034DC" w:rsidRDefault="00111EFA">
      <w:pPr>
        <w:pStyle w:val="FootnoteText"/>
      </w:pPr>
      <w:r w:rsidRPr="00111EFA">
        <w:footnoteRef/>
      </w:r>
      <w:r w:rsidR="00A034DC" w:rsidRPr="0019783D">
        <w:t xml:space="preserve"> </w:t>
      </w:r>
      <w:r w:rsidR="00A034DC">
        <w:tab/>
      </w:r>
      <w:proofErr w:type="gramStart"/>
      <w:r w:rsidR="00A034DC" w:rsidRPr="0019783D">
        <w:t>Pro</w:t>
      </w:r>
      <w:r w:rsidR="00A034DC" w:rsidRPr="003047BE">
        <w:t xml:space="preserve">ductivity Commission, 2014, </w:t>
      </w:r>
      <w:r w:rsidR="00A034DC" w:rsidRPr="003047BE">
        <w:rPr>
          <w:i/>
        </w:rPr>
        <w:t>Public Infrastructure</w:t>
      </w:r>
      <w:r w:rsidR="00A034DC" w:rsidRPr="003047BE">
        <w:t>,</w:t>
      </w:r>
      <w:r w:rsidR="00A034DC">
        <w:t xml:space="preserve"> Report no. 71, Canberra.</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7ED36" w14:textId="59BEDBD4" w:rsidR="00A034DC" w:rsidRPr="00E00425" w:rsidRDefault="00CA2E70" w:rsidP="00E00425">
    <w:pPr>
      <w:pStyle w:val="HeaderEven"/>
    </w:pPr>
    <w:fldSimple w:instr=" TITLE   \* MERGEFORMAT ">
      <w:r w:rsidR="00206962">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12B0B" w14:textId="5099A1FD" w:rsidR="00A034DC" w:rsidRDefault="00A034DC" w:rsidP="00334D73">
    <w:pPr>
      <w:pStyle w:val="HeaderOdd"/>
    </w:pPr>
    <w:r>
      <w:fldChar w:fldCharType="begin"/>
    </w:r>
    <w:r w:rsidRPr="00334D73">
      <w:instrText xml:space="preserve"> STYLEREF  "Heading 1"  \* MERGEFORMAT </w:instrText>
    </w:r>
    <w:r>
      <w:fldChar w:fldCharType="separate"/>
    </w:r>
    <w:r w:rsidR="005E5333">
      <w:t>Indirect taxes</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B111D" w14:textId="51337F05" w:rsidR="00A034DC" w:rsidRPr="000256EB" w:rsidRDefault="00A034DC" w:rsidP="000256EB">
    <w:pPr>
      <w:pStyle w:val="Header"/>
    </w:pPr>
    <w:r>
      <w:rPr>
        <w:noProof/>
      </w:rPr>
      <mc:AlternateContent>
        <mc:Choice Requires="wps">
          <w:drawing>
            <wp:anchor distT="0" distB="0" distL="114300" distR="114300" simplePos="0" relativeHeight="251658240" behindDoc="0" locked="0" layoutInCell="1" allowOverlap="1" wp14:anchorId="3F9CD66F" wp14:editId="62F70FED">
              <wp:simplePos x="0" y="0"/>
              <wp:positionH relativeFrom="column">
                <wp:posOffset>-919480</wp:posOffset>
              </wp:positionH>
              <wp:positionV relativeFrom="paragraph">
                <wp:posOffset>-459740</wp:posOffset>
              </wp:positionV>
              <wp:extent cx="7596000" cy="1656000"/>
              <wp:effectExtent l="0" t="0" r="5080" b="1905"/>
              <wp:wrapNone/>
              <wp:docPr id="7" name="Rectangle 7"/>
              <wp:cNvGraphicFramePr/>
              <a:graphic xmlns:a="http://schemas.openxmlformats.org/drawingml/2006/main">
                <a:graphicData uri="http://schemas.microsoft.com/office/word/2010/wordprocessingShape">
                  <wps:wsp>
                    <wps:cNvSpPr/>
                    <wps:spPr>
                      <a:xfrm>
                        <a:off x="0" y="0"/>
                        <a:ext cx="7596000" cy="1656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72.4pt;margin-top:-36.2pt;width:598.1pt;height:13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" fillcolor="#31a7d4 [3204]"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8722DC"/>
    <w:multiLevelType w:val="hybridMultilevel"/>
    <w:tmpl w:val="7E62D2A2"/>
    <w:name w:val="StandardNumberedList22"/>
    <w:lvl w:ilvl="0" w:tplc="1DA827CC">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B26652"/>
    <w:multiLevelType w:val="multilevel"/>
    <w:tmpl w:val="401CE9E8"/>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8.%2"/>
      <w:lvlJc w:val="left"/>
      <w:pPr>
        <w:ind w:left="714" w:hanging="357"/>
      </w:pPr>
      <w:rPr>
        <w:rFonts w:ascii="Calibri" w:hAnsi="Calibri" w:hint="default"/>
        <w:b/>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5">
    <w:nsid w:val="18313C8F"/>
    <w:multiLevelType w:val="multilevel"/>
    <w:tmpl w:val="77A6A4C4"/>
    <w:name w:val="StandardNumberedList23"/>
    <w:lvl w:ilvl="0">
      <w:start w:val="9"/>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0">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1">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3">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4">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8">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8D163C6"/>
    <w:multiLevelType w:val="hybridMultilevel"/>
    <w:tmpl w:val="DAEE5646"/>
    <w:name w:val="HeadingList22332"/>
    <w:lvl w:ilvl="0" w:tplc="31060E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33A59A1"/>
    <w:multiLevelType w:val="hybridMultilevel"/>
    <w:tmpl w:val="83BE92F0"/>
    <w:lvl w:ilvl="0" w:tplc="79F87BFA">
      <w:start w:val="54"/>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13"/>
  </w:num>
  <w:num w:numId="3">
    <w:abstractNumId w:val="17"/>
  </w:num>
  <w:num w:numId="4">
    <w:abstractNumId w:val="18"/>
  </w:num>
  <w:num w:numId="5">
    <w:abstractNumId w:val="6"/>
  </w:num>
  <w:num w:numId="6">
    <w:abstractNumId w:val="19"/>
  </w:num>
  <w:num w:numId="7">
    <w:abstractNumId w:val="10"/>
  </w:num>
  <w:num w:numId="8">
    <w:abstractNumId w:val="12"/>
  </w:num>
  <w:num w:numId="9">
    <w:abstractNumId w:val="7"/>
  </w:num>
  <w:num w:numId="10">
    <w:abstractNumId w:val="3"/>
  </w:num>
  <w:num w:numId="11">
    <w:abstractNumId w:val="25"/>
  </w:num>
  <w:num w:numId="12">
    <w:abstractNumId w:val="1"/>
  </w:num>
  <w:num w:numId="13">
    <w:abstractNumId w:val="20"/>
  </w:num>
  <w:num w:numId="14">
    <w:abstractNumId w:val="22"/>
  </w:num>
  <w:num w:numId="15">
    <w:abstractNumId w:val="5"/>
  </w:num>
  <w:num w:numId="16">
    <w:abstractNumId w:val="8"/>
  </w:num>
  <w:num w:numId="1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268289"/>
  </w:hdrShapeDefaults>
  <w:footnotePr>
    <w:numStart w:val="202"/>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6F7E"/>
    <w:rsid w:val="0000739F"/>
    <w:rsid w:val="00011BF1"/>
    <w:rsid w:val="0001723D"/>
    <w:rsid w:val="000256EB"/>
    <w:rsid w:val="00032D0F"/>
    <w:rsid w:val="000365B7"/>
    <w:rsid w:val="00041E59"/>
    <w:rsid w:val="00042675"/>
    <w:rsid w:val="0004481B"/>
    <w:rsid w:val="0004529F"/>
    <w:rsid w:val="00046BF5"/>
    <w:rsid w:val="00051712"/>
    <w:rsid w:val="000536D5"/>
    <w:rsid w:val="00057308"/>
    <w:rsid w:val="00060E6B"/>
    <w:rsid w:val="000614B5"/>
    <w:rsid w:val="00062135"/>
    <w:rsid w:val="0006363B"/>
    <w:rsid w:val="00074C7E"/>
    <w:rsid w:val="00082E24"/>
    <w:rsid w:val="000833D7"/>
    <w:rsid w:val="00084B98"/>
    <w:rsid w:val="00090377"/>
    <w:rsid w:val="000A2DD7"/>
    <w:rsid w:val="000A2F1F"/>
    <w:rsid w:val="000A320B"/>
    <w:rsid w:val="000B0C6A"/>
    <w:rsid w:val="000B4C24"/>
    <w:rsid w:val="000B7ABA"/>
    <w:rsid w:val="000C50CF"/>
    <w:rsid w:val="000C7C18"/>
    <w:rsid w:val="000D0FE0"/>
    <w:rsid w:val="000D2C8B"/>
    <w:rsid w:val="000D5C5E"/>
    <w:rsid w:val="000E1463"/>
    <w:rsid w:val="000E684F"/>
    <w:rsid w:val="000F021C"/>
    <w:rsid w:val="000F1F17"/>
    <w:rsid w:val="00103EE9"/>
    <w:rsid w:val="0010418B"/>
    <w:rsid w:val="001060CC"/>
    <w:rsid w:val="00111EFA"/>
    <w:rsid w:val="00113B71"/>
    <w:rsid w:val="00116CCA"/>
    <w:rsid w:val="00117A28"/>
    <w:rsid w:val="00123E9C"/>
    <w:rsid w:val="00125750"/>
    <w:rsid w:val="0012637D"/>
    <w:rsid w:val="001312AF"/>
    <w:rsid w:val="0013313C"/>
    <w:rsid w:val="00136552"/>
    <w:rsid w:val="00137D56"/>
    <w:rsid w:val="00141A3B"/>
    <w:rsid w:val="001456F2"/>
    <w:rsid w:val="00145986"/>
    <w:rsid w:val="0015326D"/>
    <w:rsid w:val="00155095"/>
    <w:rsid w:val="001619DF"/>
    <w:rsid w:val="00163EBC"/>
    <w:rsid w:val="00163F01"/>
    <w:rsid w:val="00164B58"/>
    <w:rsid w:val="00165095"/>
    <w:rsid w:val="00167010"/>
    <w:rsid w:val="001756D9"/>
    <w:rsid w:val="001767FD"/>
    <w:rsid w:val="001773E7"/>
    <w:rsid w:val="00177C93"/>
    <w:rsid w:val="00181542"/>
    <w:rsid w:val="001828D7"/>
    <w:rsid w:val="00194CEA"/>
    <w:rsid w:val="00195F0E"/>
    <w:rsid w:val="0019783D"/>
    <w:rsid w:val="001A26D5"/>
    <w:rsid w:val="001A3DAD"/>
    <w:rsid w:val="001A73F8"/>
    <w:rsid w:val="001A7CA0"/>
    <w:rsid w:val="001B07F9"/>
    <w:rsid w:val="001B220D"/>
    <w:rsid w:val="001C4510"/>
    <w:rsid w:val="001D4F56"/>
    <w:rsid w:val="001D7B09"/>
    <w:rsid w:val="001E2CE0"/>
    <w:rsid w:val="001E2DFA"/>
    <w:rsid w:val="001E32DA"/>
    <w:rsid w:val="001E3CD2"/>
    <w:rsid w:val="001E6460"/>
    <w:rsid w:val="001E7827"/>
    <w:rsid w:val="00202CD1"/>
    <w:rsid w:val="00203321"/>
    <w:rsid w:val="00203C47"/>
    <w:rsid w:val="00206962"/>
    <w:rsid w:val="00206F18"/>
    <w:rsid w:val="002149AD"/>
    <w:rsid w:val="0021621B"/>
    <w:rsid w:val="00222253"/>
    <w:rsid w:val="00224A32"/>
    <w:rsid w:val="0023397A"/>
    <w:rsid w:val="00235664"/>
    <w:rsid w:val="002371CE"/>
    <w:rsid w:val="00240AAC"/>
    <w:rsid w:val="0024227C"/>
    <w:rsid w:val="00245CA3"/>
    <w:rsid w:val="00252B74"/>
    <w:rsid w:val="00257D66"/>
    <w:rsid w:val="00263D79"/>
    <w:rsid w:val="002652FF"/>
    <w:rsid w:val="0026574D"/>
    <w:rsid w:val="00265F34"/>
    <w:rsid w:val="002677F8"/>
    <w:rsid w:val="00272D89"/>
    <w:rsid w:val="00274816"/>
    <w:rsid w:val="0028210D"/>
    <w:rsid w:val="0028318C"/>
    <w:rsid w:val="002831DD"/>
    <w:rsid w:val="00283AFF"/>
    <w:rsid w:val="002845BF"/>
    <w:rsid w:val="00285298"/>
    <w:rsid w:val="0028550C"/>
    <w:rsid w:val="00285777"/>
    <w:rsid w:val="002A0E02"/>
    <w:rsid w:val="002A1A8B"/>
    <w:rsid w:val="002A1FB4"/>
    <w:rsid w:val="002A2C88"/>
    <w:rsid w:val="002A2FC5"/>
    <w:rsid w:val="002B26AD"/>
    <w:rsid w:val="002B5EE9"/>
    <w:rsid w:val="002B7426"/>
    <w:rsid w:val="002C1E4E"/>
    <w:rsid w:val="002D2743"/>
    <w:rsid w:val="002D2B81"/>
    <w:rsid w:val="002D3ABE"/>
    <w:rsid w:val="002D5AA5"/>
    <w:rsid w:val="002E2494"/>
    <w:rsid w:val="002F354C"/>
    <w:rsid w:val="002F377B"/>
    <w:rsid w:val="002F3D8E"/>
    <w:rsid w:val="00300CAF"/>
    <w:rsid w:val="00303E0D"/>
    <w:rsid w:val="003041BA"/>
    <w:rsid w:val="003047BE"/>
    <w:rsid w:val="00304A0F"/>
    <w:rsid w:val="00312095"/>
    <w:rsid w:val="00313C84"/>
    <w:rsid w:val="003145DF"/>
    <w:rsid w:val="0031538F"/>
    <w:rsid w:val="0033013B"/>
    <w:rsid w:val="0033172C"/>
    <w:rsid w:val="00334D73"/>
    <w:rsid w:val="0033518E"/>
    <w:rsid w:val="003377B7"/>
    <w:rsid w:val="00342835"/>
    <w:rsid w:val="003447B0"/>
    <w:rsid w:val="00347E3F"/>
    <w:rsid w:val="00351E6A"/>
    <w:rsid w:val="003520BD"/>
    <w:rsid w:val="00352F43"/>
    <w:rsid w:val="00353B1D"/>
    <w:rsid w:val="003545BC"/>
    <w:rsid w:val="00357E2F"/>
    <w:rsid w:val="00362982"/>
    <w:rsid w:val="003707CD"/>
    <w:rsid w:val="00373F9B"/>
    <w:rsid w:val="0037635E"/>
    <w:rsid w:val="00382588"/>
    <w:rsid w:val="00386878"/>
    <w:rsid w:val="00392CF4"/>
    <w:rsid w:val="00396F50"/>
    <w:rsid w:val="003A0B58"/>
    <w:rsid w:val="003A52A6"/>
    <w:rsid w:val="003B033C"/>
    <w:rsid w:val="003C2FDF"/>
    <w:rsid w:val="003C71B5"/>
    <w:rsid w:val="003E4C46"/>
    <w:rsid w:val="003E73C6"/>
    <w:rsid w:val="003F02A9"/>
    <w:rsid w:val="0040185F"/>
    <w:rsid w:val="004018FC"/>
    <w:rsid w:val="00401E2E"/>
    <w:rsid w:val="004138B5"/>
    <w:rsid w:val="00414059"/>
    <w:rsid w:val="00415A7D"/>
    <w:rsid w:val="00420BF3"/>
    <w:rsid w:val="00421697"/>
    <w:rsid w:val="00424549"/>
    <w:rsid w:val="00432647"/>
    <w:rsid w:val="004326C4"/>
    <w:rsid w:val="0043278C"/>
    <w:rsid w:val="00437E9B"/>
    <w:rsid w:val="00441C35"/>
    <w:rsid w:val="00446751"/>
    <w:rsid w:val="00450CA5"/>
    <w:rsid w:val="0045339B"/>
    <w:rsid w:val="00466882"/>
    <w:rsid w:val="00467E7F"/>
    <w:rsid w:val="0047120F"/>
    <w:rsid w:val="00482849"/>
    <w:rsid w:val="00483A1B"/>
    <w:rsid w:val="00485663"/>
    <w:rsid w:val="0048777E"/>
    <w:rsid w:val="004A1773"/>
    <w:rsid w:val="004A46FA"/>
    <w:rsid w:val="004C0A54"/>
    <w:rsid w:val="004C3488"/>
    <w:rsid w:val="004D0588"/>
    <w:rsid w:val="004D1FCD"/>
    <w:rsid w:val="004D7203"/>
    <w:rsid w:val="004E2FA6"/>
    <w:rsid w:val="004E3997"/>
    <w:rsid w:val="004E4BB8"/>
    <w:rsid w:val="004E68CB"/>
    <w:rsid w:val="004E7E9F"/>
    <w:rsid w:val="004F4977"/>
    <w:rsid w:val="004F52D6"/>
    <w:rsid w:val="0050060F"/>
    <w:rsid w:val="00504C00"/>
    <w:rsid w:val="00512441"/>
    <w:rsid w:val="00517D15"/>
    <w:rsid w:val="00520872"/>
    <w:rsid w:val="00522228"/>
    <w:rsid w:val="005224B7"/>
    <w:rsid w:val="0052543A"/>
    <w:rsid w:val="00532E77"/>
    <w:rsid w:val="005374E0"/>
    <w:rsid w:val="0054131F"/>
    <w:rsid w:val="005413CB"/>
    <w:rsid w:val="0055505E"/>
    <w:rsid w:val="0055711F"/>
    <w:rsid w:val="00560D08"/>
    <w:rsid w:val="00562EB7"/>
    <w:rsid w:val="00564219"/>
    <w:rsid w:val="00571A2A"/>
    <w:rsid w:val="0057585B"/>
    <w:rsid w:val="005774C0"/>
    <w:rsid w:val="00580EBA"/>
    <w:rsid w:val="00587D65"/>
    <w:rsid w:val="00592097"/>
    <w:rsid w:val="00593DFD"/>
    <w:rsid w:val="00593FE6"/>
    <w:rsid w:val="0059438A"/>
    <w:rsid w:val="005A089C"/>
    <w:rsid w:val="005A30CD"/>
    <w:rsid w:val="005A3D75"/>
    <w:rsid w:val="005A514F"/>
    <w:rsid w:val="005B00BF"/>
    <w:rsid w:val="005B0484"/>
    <w:rsid w:val="005B1DEB"/>
    <w:rsid w:val="005B1DED"/>
    <w:rsid w:val="005B72CF"/>
    <w:rsid w:val="005C2557"/>
    <w:rsid w:val="005C6D8F"/>
    <w:rsid w:val="005D1685"/>
    <w:rsid w:val="005D25FF"/>
    <w:rsid w:val="005D442D"/>
    <w:rsid w:val="005D4F38"/>
    <w:rsid w:val="005D5280"/>
    <w:rsid w:val="005D7309"/>
    <w:rsid w:val="005D7CF9"/>
    <w:rsid w:val="005E22F9"/>
    <w:rsid w:val="005E5333"/>
    <w:rsid w:val="005E76C1"/>
    <w:rsid w:val="005F20D4"/>
    <w:rsid w:val="005F3A4C"/>
    <w:rsid w:val="005F3BFA"/>
    <w:rsid w:val="005F4CF1"/>
    <w:rsid w:val="005F59CA"/>
    <w:rsid w:val="005F6C8E"/>
    <w:rsid w:val="005F78AF"/>
    <w:rsid w:val="006002D8"/>
    <w:rsid w:val="00602B8F"/>
    <w:rsid w:val="006046BE"/>
    <w:rsid w:val="00610AC5"/>
    <w:rsid w:val="006119A5"/>
    <w:rsid w:val="00614456"/>
    <w:rsid w:val="0061548F"/>
    <w:rsid w:val="006208B7"/>
    <w:rsid w:val="006209B2"/>
    <w:rsid w:val="00621FD4"/>
    <w:rsid w:val="006220EC"/>
    <w:rsid w:val="006237A7"/>
    <w:rsid w:val="00626FDA"/>
    <w:rsid w:val="00627CF9"/>
    <w:rsid w:val="00634574"/>
    <w:rsid w:val="00634909"/>
    <w:rsid w:val="0063737C"/>
    <w:rsid w:val="00637EF7"/>
    <w:rsid w:val="00644F68"/>
    <w:rsid w:val="00653155"/>
    <w:rsid w:val="00656BC4"/>
    <w:rsid w:val="00660400"/>
    <w:rsid w:val="0066047A"/>
    <w:rsid w:val="00662424"/>
    <w:rsid w:val="00662FA3"/>
    <w:rsid w:val="00665FB6"/>
    <w:rsid w:val="006677B7"/>
    <w:rsid w:val="00667F8D"/>
    <w:rsid w:val="00672108"/>
    <w:rsid w:val="006728EC"/>
    <w:rsid w:val="006736B8"/>
    <w:rsid w:val="00676007"/>
    <w:rsid w:val="00691326"/>
    <w:rsid w:val="00691DB5"/>
    <w:rsid w:val="00696D2E"/>
    <w:rsid w:val="006A771D"/>
    <w:rsid w:val="006A787E"/>
    <w:rsid w:val="006B1634"/>
    <w:rsid w:val="006C10B4"/>
    <w:rsid w:val="006C2BCF"/>
    <w:rsid w:val="006C5F3B"/>
    <w:rsid w:val="006E174B"/>
    <w:rsid w:val="006F3307"/>
    <w:rsid w:val="006F7351"/>
    <w:rsid w:val="00700562"/>
    <w:rsid w:val="00707F62"/>
    <w:rsid w:val="00711E56"/>
    <w:rsid w:val="00712FA3"/>
    <w:rsid w:val="00721E24"/>
    <w:rsid w:val="00725DC9"/>
    <w:rsid w:val="007333B8"/>
    <w:rsid w:val="00735237"/>
    <w:rsid w:val="00737153"/>
    <w:rsid w:val="00745892"/>
    <w:rsid w:val="007504B4"/>
    <w:rsid w:val="007546ED"/>
    <w:rsid w:val="00763500"/>
    <w:rsid w:val="007637EF"/>
    <w:rsid w:val="00763B40"/>
    <w:rsid w:val="00767D21"/>
    <w:rsid w:val="0077523B"/>
    <w:rsid w:val="00776795"/>
    <w:rsid w:val="007773C3"/>
    <w:rsid w:val="007824F7"/>
    <w:rsid w:val="00784337"/>
    <w:rsid w:val="0078478D"/>
    <w:rsid w:val="00791CB9"/>
    <w:rsid w:val="007924B1"/>
    <w:rsid w:val="00792F6F"/>
    <w:rsid w:val="007A17AC"/>
    <w:rsid w:val="007A57F8"/>
    <w:rsid w:val="007A63C0"/>
    <w:rsid w:val="007B1577"/>
    <w:rsid w:val="007B262F"/>
    <w:rsid w:val="007B3148"/>
    <w:rsid w:val="007B5010"/>
    <w:rsid w:val="007B5A84"/>
    <w:rsid w:val="007B5B3F"/>
    <w:rsid w:val="007C057A"/>
    <w:rsid w:val="007C17B5"/>
    <w:rsid w:val="007C1AB0"/>
    <w:rsid w:val="007C2061"/>
    <w:rsid w:val="007D042B"/>
    <w:rsid w:val="007D2A9B"/>
    <w:rsid w:val="007D3FB0"/>
    <w:rsid w:val="007D499D"/>
    <w:rsid w:val="007D512D"/>
    <w:rsid w:val="007D5411"/>
    <w:rsid w:val="007D5CE7"/>
    <w:rsid w:val="007D71CE"/>
    <w:rsid w:val="007E112C"/>
    <w:rsid w:val="007E1A79"/>
    <w:rsid w:val="007E4A5E"/>
    <w:rsid w:val="007F6F2C"/>
    <w:rsid w:val="007F7C8E"/>
    <w:rsid w:val="00801849"/>
    <w:rsid w:val="00803193"/>
    <w:rsid w:val="0080477D"/>
    <w:rsid w:val="00805A84"/>
    <w:rsid w:val="00811329"/>
    <w:rsid w:val="00815210"/>
    <w:rsid w:val="00817FD0"/>
    <w:rsid w:val="00820EA2"/>
    <w:rsid w:val="00821CC3"/>
    <w:rsid w:val="00826DB3"/>
    <w:rsid w:val="00827704"/>
    <w:rsid w:val="008314FB"/>
    <w:rsid w:val="008330F7"/>
    <w:rsid w:val="00833453"/>
    <w:rsid w:val="00840A3B"/>
    <w:rsid w:val="00842070"/>
    <w:rsid w:val="00843F32"/>
    <w:rsid w:val="00847CC8"/>
    <w:rsid w:val="00850D08"/>
    <w:rsid w:val="008545AC"/>
    <w:rsid w:val="0085603D"/>
    <w:rsid w:val="00856D30"/>
    <w:rsid w:val="0085739F"/>
    <w:rsid w:val="00861116"/>
    <w:rsid w:val="0086297C"/>
    <w:rsid w:val="00864815"/>
    <w:rsid w:val="00865B4D"/>
    <w:rsid w:val="00870EC4"/>
    <w:rsid w:val="008712EF"/>
    <w:rsid w:val="008729F1"/>
    <w:rsid w:val="00872E07"/>
    <w:rsid w:val="00882640"/>
    <w:rsid w:val="00883687"/>
    <w:rsid w:val="00887232"/>
    <w:rsid w:val="00892021"/>
    <w:rsid w:val="0089621C"/>
    <w:rsid w:val="0089680B"/>
    <w:rsid w:val="008A1595"/>
    <w:rsid w:val="008B2331"/>
    <w:rsid w:val="008B39A1"/>
    <w:rsid w:val="008B4088"/>
    <w:rsid w:val="008B5519"/>
    <w:rsid w:val="008B5C63"/>
    <w:rsid w:val="008B69FA"/>
    <w:rsid w:val="008C5914"/>
    <w:rsid w:val="008C5FB5"/>
    <w:rsid w:val="008C7D42"/>
    <w:rsid w:val="008C7DBF"/>
    <w:rsid w:val="008D2E8B"/>
    <w:rsid w:val="008D30E9"/>
    <w:rsid w:val="008D3A63"/>
    <w:rsid w:val="008D5C4A"/>
    <w:rsid w:val="008D647F"/>
    <w:rsid w:val="008D6825"/>
    <w:rsid w:val="008D716A"/>
    <w:rsid w:val="008E0722"/>
    <w:rsid w:val="008E2B99"/>
    <w:rsid w:val="008E3B84"/>
    <w:rsid w:val="008E4862"/>
    <w:rsid w:val="008F0F8F"/>
    <w:rsid w:val="008F4FFE"/>
    <w:rsid w:val="008F6910"/>
    <w:rsid w:val="00900811"/>
    <w:rsid w:val="009027B8"/>
    <w:rsid w:val="00903E2F"/>
    <w:rsid w:val="009044B6"/>
    <w:rsid w:val="0090732C"/>
    <w:rsid w:val="00907834"/>
    <w:rsid w:val="00907A18"/>
    <w:rsid w:val="00911176"/>
    <w:rsid w:val="00913437"/>
    <w:rsid w:val="00917963"/>
    <w:rsid w:val="0092135B"/>
    <w:rsid w:val="00924955"/>
    <w:rsid w:val="00926FFC"/>
    <w:rsid w:val="0093211F"/>
    <w:rsid w:val="009421D7"/>
    <w:rsid w:val="00942526"/>
    <w:rsid w:val="00944C23"/>
    <w:rsid w:val="00946874"/>
    <w:rsid w:val="009525AC"/>
    <w:rsid w:val="0095434E"/>
    <w:rsid w:val="00972AAC"/>
    <w:rsid w:val="00973660"/>
    <w:rsid w:val="00973FA7"/>
    <w:rsid w:val="00976819"/>
    <w:rsid w:val="00976A8A"/>
    <w:rsid w:val="0098015C"/>
    <w:rsid w:val="00981231"/>
    <w:rsid w:val="00985C88"/>
    <w:rsid w:val="00986051"/>
    <w:rsid w:val="00987104"/>
    <w:rsid w:val="009872BD"/>
    <w:rsid w:val="00990728"/>
    <w:rsid w:val="00994BCC"/>
    <w:rsid w:val="00995D1F"/>
    <w:rsid w:val="009968ED"/>
    <w:rsid w:val="009973FB"/>
    <w:rsid w:val="009A2358"/>
    <w:rsid w:val="009A25DC"/>
    <w:rsid w:val="009A3A7D"/>
    <w:rsid w:val="009A56D0"/>
    <w:rsid w:val="009A618E"/>
    <w:rsid w:val="009B2156"/>
    <w:rsid w:val="009B4374"/>
    <w:rsid w:val="009B5CC7"/>
    <w:rsid w:val="009C0A69"/>
    <w:rsid w:val="009C2FAF"/>
    <w:rsid w:val="009C5A09"/>
    <w:rsid w:val="009C61D5"/>
    <w:rsid w:val="009C6EF8"/>
    <w:rsid w:val="009C7B57"/>
    <w:rsid w:val="009D21F1"/>
    <w:rsid w:val="009D4F25"/>
    <w:rsid w:val="009E254D"/>
    <w:rsid w:val="009E40EE"/>
    <w:rsid w:val="009E5823"/>
    <w:rsid w:val="009F150D"/>
    <w:rsid w:val="009F2A8B"/>
    <w:rsid w:val="00A00F15"/>
    <w:rsid w:val="00A03023"/>
    <w:rsid w:val="00A034DC"/>
    <w:rsid w:val="00A06A2E"/>
    <w:rsid w:val="00A10CC5"/>
    <w:rsid w:val="00A11173"/>
    <w:rsid w:val="00A11A86"/>
    <w:rsid w:val="00A12959"/>
    <w:rsid w:val="00A133B8"/>
    <w:rsid w:val="00A14C10"/>
    <w:rsid w:val="00A16C23"/>
    <w:rsid w:val="00A22AD6"/>
    <w:rsid w:val="00A23070"/>
    <w:rsid w:val="00A25415"/>
    <w:rsid w:val="00A308A9"/>
    <w:rsid w:val="00A34D55"/>
    <w:rsid w:val="00A3640E"/>
    <w:rsid w:val="00A36A0B"/>
    <w:rsid w:val="00A41E75"/>
    <w:rsid w:val="00A42802"/>
    <w:rsid w:val="00A470D0"/>
    <w:rsid w:val="00A54DC0"/>
    <w:rsid w:val="00A55A61"/>
    <w:rsid w:val="00A562C9"/>
    <w:rsid w:val="00A56F64"/>
    <w:rsid w:val="00A61250"/>
    <w:rsid w:val="00A65EFD"/>
    <w:rsid w:val="00A70D38"/>
    <w:rsid w:val="00A74F4F"/>
    <w:rsid w:val="00A76073"/>
    <w:rsid w:val="00A76F2D"/>
    <w:rsid w:val="00A82A4A"/>
    <w:rsid w:val="00A83218"/>
    <w:rsid w:val="00A83751"/>
    <w:rsid w:val="00A907F9"/>
    <w:rsid w:val="00A92E4A"/>
    <w:rsid w:val="00A94DA6"/>
    <w:rsid w:val="00A97460"/>
    <w:rsid w:val="00AC12E0"/>
    <w:rsid w:val="00AD261C"/>
    <w:rsid w:val="00AD43EA"/>
    <w:rsid w:val="00AD58C7"/>
    <w:rsid w:val="00AD68A2"/>
    <w:rsid w:val="00AE11BD"/>
    <w:rsid w:val="00AE334A"/>
    <w:rsid w:val="00AE33B9"/>
    <w:rsid w:val="00AF0602"/>
    <w:rsid w:val="00AF10A0"/>
    <w:rsid w:val="00AF4D64"/>
    <w:rsid w:val="00AF56D0"/>
    <w:rsid w:val="00AF6D5A"/>
    <w:rsid w:val="00B02979"/>
    <w:rsid w:val="00B02F80"/>
    <w:rsid w:val="00B05E42"/>
    <w:rsid w:val="00B05FF4"/>
    <w:rsid w:val="00B06500"/>
    <w:rsid w:val="00B101C3"/>
    <w:rsid w:val="00B10451"/>
    <w:rsid w:val="00B114DE"/>
    <w:rsid w:val="00B131DE"/>
    <w:rsid w:val="00B174B9"/>
    <w:rsid w:val="00B204EE"/>
    <w:rsid w:val="00B21669"/>
    <w:rsid w:val="00B23CD0"/>
    <w:rsid w:val="00B2418A"/>
    <w:rsid w:val="00B256D6"/>
    <w:rsid w:val="00B33E4A"/>
    <w:rsid w:val="00B347D9"/>
    <w:rsid w:val="00B43084"/>
    <w:rsid w:val="00B51C5F"/>
    <w:rsid w:val="00B57C3D"/>
    <w:rsid w:val="00B6525F"/>
    <w:rsid w:val="00B745B0"/>
    <w:rsid w:val="00B76901"/>
    <w:rsid w:val="00B76F28"/>
    <w:rsid w:val="00B84AD6"/>
    <w:rsid w:val="00B92C1A"/>
    <w:rsid w:val="00B97445"/>
    <w:rsid w:val="00BA67FE"/>
    <w:rsid w:val="00BB2270"/>
    <w:rsid w:val="00BB5B6A"/>
    <w:rsid w:val="00BC0477"/>
    <w:rsid w:val="00BC57B4"/>
    <w:rsid w:val="00BC71EC"/>
    <w:rsid w:val="00BD0635"/>
    <w:rsid w:val="00BD32F3"/>
    <w:rsid w:val="00BD3406"/>
    <w:rsid w:val="00BD749E"/>
    <w:rsid w:val="00BD7C27"/>
    <w:rsid w:val="00BE3949"/>
    <w:rsid w:val="00BE75E3"/>
    <w:rsid w:val="00BF0893"/>
    <w:rsid w:val="00BF239E"/>
    <w:rsid w:val="00BF3F00"/>
    <w:rsid w:val="00BF4030"/>
    <w:rsid w:val="00BF4C11"/>
    <w:rsid w:val="00C04A39"/>
    <w:rsid w:val="00C06634"/>
    <w:rsid w:val="00C121CC"/>
    <w:rsid w:val="00C13249"/>
    <w:rsid w:val="00C15B5C"/>
    <w:rsid w:val="00C1640F"/>
    <w:rsid w:val="00C17BA2"/>
    <w:rsid w:val="00C232BB"/>
    <w:rsid w:val="00C234DF"/>
    <w:rsid w:val="00C24887"/>
    <w:rsid w:val="00C31736"/>
    <w:rsid w:val="00C34FD5"/>
    <w:rsid w:val="00C368F0"/>
    <w:rsid w:val="00C40AD7"/>
    <w:rsid w:val="00C4162E"/>
    <w:rsid w:val="00C41921"/>
    <w:rsid w:val="00C43B54"/>
    <w:rsid w:val="00C44257"/>
    <w:rsid w:val="00C461CF"/>
    <w:rsid w:val="00C466C6"/>
    <w:rsid w:val="00C60A5C"/>
    <w:rsid w:val="00C61B60"/>
    <w:rsid w:val="00C622C8"/>
    <w:rsid w:val="00C6339F"/>
    <w:rsid w:val="00C63EE3"/>
    <w:rsid w:val="00C65A56"/>
    <w:rsid w:val="00C72C59"/>
    <w:rsid w:val="00C804F6"/>
    <w:rsid w:val="00C86163"/>
    <w:rsid w:val="00C869C5"/>
    <w:rsid w:val="00C92774"/>
    <w:rsid w:val="00C92EE5"/>
    <w:rsid w:val="00C934DE"/>
    <w:rsid w:val="00C95AA5"/>
    <w:rsid w:val="00CA0304"/>
    <w:rsid w:val="00CA2588"/>
    <w:rsid w:val="00CA2E70"/>
    <w:rsid w:val="00CA447F"/>
    <w:rsid w:val="00CA46D0"/>
    <w:rsid w:val="00CA7456"/>
    <w:rsid w:val="00CA78B1"/>
    <w:rsid w:val="00CB1A62"/>
    <w:rsid w:val="00CB2C00"/>
    <w:rsid w:val="00CC1E6F"/>
    <w:rsid w:val="00CC2B3C"/>
    <w:rsid w:val="00CC40CD"/>
    <w:rsid w:val="00CD2BD6"/>
    <w:rsid w:val="00CE1CAC"/>
    <w:rsid w:val="00CE2F00"/>
    <w:rsid w:val="00CE3A8B"/>
    <w:rsid w:val="00CE5998"/>
    <w:rsid w:val="00CE71FD"/>
    <w:rsid w:val="00CF1838"/>
    <w:rsid w:val="00CF2175"/>
    <w:rsid w:val="00CF2215"/>
    <w:rsid w:val="00CF23EC"/>
    <w:rsid w:val="00CF3034"/>
    <w:rsid w:val="00D029B6"/>
    <w:rsid w:val="00D03180"/>
    <w:rsid w:val="00D16916"/>
    <w:rsid w:val="00D25351"/>
    <w:rsid w:val="00D262E9"/>
    <w:rsid w:val="00D2745D"/>
    <w:rsid w:val="00D310CE"/>
    <w:rsid w:val="00D363A1"/>
    <w:rsid w:val="00D3750D"/>
    <w:rsid w:val="00D416B5"/>
    <w:rsid w:val="00D44FC5"/>
    <w:rsid w:val="00D45459"/>
    <w:rsid w:val="00D46283"/>
    <w:rsid w:val="00D50B22"/>
    <w:rsid w:val="00D51397"/>
    <w:rsid w:val="00D55A21"/>
    <w:rsid w:val="00D60B7C"/>
    <w:rsid w:val="00D61145"/>
    <w:rsid w:val="00D6281E"/>
    <w:rsid w:val="00D636A8"/>
    <w:rsid w:val="00D63977"/>
    <w:rsid w:val="00D659FF"/>
    <w:rsid w:val="00D6658B"/>
    <w:rsid w:val="00D66621"/>
    <w:rsid w:val="00D67E10"/>
    <w:rsid w:val="00D80824"/>
    <w:rsid w:val="00D84250"/>
    <w:rsid w:val="00D856CA"/>
    <w:rsid w:val="00D90E03"/>
    <w:rsid w:val="00D9200E"/>
    <w:rsid w:val="00D93494"/>
    <w:rsid w:val="00D94370"/>
    <w:rsid w:val="00D9730D"/>
    <w:rsid w:val="00D9740B"/>
    <w:rsid w:val="00DA0A60"/>
    <w:rsid w:val="00DA28D7"/>
    <w:rsid w:val="00DA5065"/>
    <w:rsid w:val="00DB01C1"/>
    <w:rsid w:val="00DB5EA2"/>
    <w:rsid w:val="00DC006E"/>
    <w:rsid w:val="00DC370C"/>
    <w:rsid w:val="00DE596F"/>
    <w:rsid w:val="00DE5D9C"/>
    <w:rsid w:val="00DE63BD"/>
    <w:rsid w:val="00DF3BF5"/>
    <w:rsid w:val="00DF71FC"/>
    <w:rsid w:val="00E00425"/>
    <w:rsid w:val="00E04F54"/>
    <w:rsid w:val="00E07793"/>
    <w:rsid w:val="00E07913"/>
    <w:rsid w:val="00E12D8A"/>
    <w:rsid w:val="00E17122"/>
    <w:rsid w:val="00E2229C"/>
    <w:rsid w:val="00E22E94"/>
    <w:rsid w:val="00E239AB"/>
    <w:rsid w:val="00E25E02"/>
    <w:rsid w:val="00E3390B"/>
    <w:rsid w:val="00E40F6F"/>
    <w:rsid w:val="00E42617"/>
    <w:rsid w:val="00E509E4"/>
    <w:rsid w:val="00E512F7"/>
    <w:rsid w:val="00E54304"/>
    <w:rsid w:val="00E63746"/>
    <w:rsid w:val="00E714D7"/>
    <w:rsid w:val="00E71862"/>
    <w:rsid w:val="00E71EA6"/>
    <w:rsid w:val="00E73797"/>
    <w:rsid w:val="00E7578F"/>
    <w:rsid w:val="00E809BD"/>
    <w:rsid w:val="00E839B4"/>
    <w:rsid w:val="00E8758B"/>
    <w:rsid w:val="00E90C03"/>
    <w:rsid w:val="00E91924"/>
    <w:rsid w:val="00E91E99"/>
    <w:rsid w:val="00EA349C"/>
    <w:rsid w:val="00EA3893"/>
    <w:rsid w:val="00EA3C73"/>
    <w:rsid w:val="00EA6284"/>
    <w:rsid w:val="00EB26CA"/>
    <w:rsid w:val="00EB2A00"/>
    <w:rsid w:val="00EB3660"/>
    <w:rsid w:val="00EB55BF"/>
    <w:rsid w:val="00EB7B4D"/>
    <w:rsid w:val="00EC158C"/>
    <w:rsid w:val="00EC187F"/>
    <w:rsid w:val="00ED53E7"/>
    <w:rsid w:val="00EE0DE0"/>
    <w:rsid w:val="00EE776C"/>
    <w:rsid w:val="00EF30B9"/>
    <w:rsid w:val="00F0238A"/>
    <w:rsid w:val="00F03A9D"/>
    <w:rsid w:val="00F04CCB"/>
    <w:rsid w:val="00F055F0"/>
    <w:rsid w:val="00F130B1"/>
    <w:rsid w:val="00F20A9D"/>
    <w:rsid w:val="00F20CA1"/>
    <w:rsid w:val="00F2202E"/>
    <w:rsid w:val="00F23AEE"/>
    <w:rsid w:val="00F27290"/>
    <w:rsid w:val="00F30528"/>
    <w:rsid w:val="00F31FE5"/>
    <w:rsid w:val="00F33FD2"/>
    <w:rsid w:val="00F35E6C"/>
    <w:rsid w:val="00F36565"/>
    <w:rsid w:val="00F44D2F"/>
    <w:rsid w:val="00F46392"/>
    <w:rsid w:val="00F468F0"/>
    <w:rsid w:val="00F521CB"/>
    <w:rsid w:val="00F555D1"/>
    <w:rsid w:val="00F578B6"/>
    <w:rsid w:val="00F61019"/>
    <w:rsid w:val="00F62C33"/>
    <w:rsid w:val="00F65A3A"/>
    <w:rsid w:val="00F65D6E"/>
    <w:rsid w:val="00F73E72"/>
    <w:rsid w:val="00F75F9E"/>
    <w:rsid w:val="00F84E30"/>
    <w:rsid w:val="00F877FB"/>
    <w:rsid w:val="00F96B4D"/>
    <w:rsid w:val="00F971BB"/>
    <w:rsid w:val="00FA0D3C"/>
    <w:rsid w:val="00FA2C02"/>
    <w:rsid w:val="00FA5F3E"/>
    <w:rsid w:val="00FA68E1"/>
    <w:rsid w:val="00FA7571"/>
    <w:rsid w:val="00FB4AC4"/>
    <w:rsid w:val="00FC21C3"/>
    <w:rsid w:val="00FC3B5D"/>
    <w:rsid w:val="00FD2648"/>
    <w:rsid w:val="00FD31CE"/>
    <w:rsid w:val="00FD6341"/>
    <w:rsid w:val="00FE4087"/>
    <w:rsid w:val="00FE6719"/>
    <w:rsid w:val="00FE674C"/>
    <w:rsid w:val="00FE72AE"/>
    <w:rsid w:val="00FF64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o:shapelayout v:ext="edit">
      <o:idmap v:ext="edit" data="1"/>
    </o:shapelayout>
  </w:shapeDefaults>
  <w:decimalSymbol w:val="."/>
  <w:listSeparator w:val=","/>
  <w14:docId w14:val="75A5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1E99"/>
    <w:pPr>
      <w:spacing w:after="240" w:line="276" w:lineRule="auto"/>
    </w:pPr>
    <w:rPr>
      <w:rFonts w:ascii="Arial" w:hAnsi="Arial"/>
      <w:sz w:val="22"/>
    </w:rPr>
  </w:style>
  <w:style w:type="paragraph" w:styleId="Heading1">
    <w:name w:val="heading 1"/>
    <w:basedOn w:val="Normal"/>
    <w:next w:val="Normal"/>
    <w:link w:val="Heading1Char"/>
    <w:qFormat/>
    <w:rsid w:val="00E91E99"/>
    <w:pPr>
      <w:keepNext/>
      <w:numPr>
        <w:numId w:val="15"/>
      </w:numPr>
      <w:spacing w:before="240" w:after="360"/>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9C61D5"/>
    <w:pPr>
      <w:numPr>
        <w:ilvl w:val="1"/>
      </w:numPr>
      <w:pBdr>
        <w:top w:val="single" w:sz="12" w:space="3" w:color="31A7D4" w:themeColor="accent1"/>
        <w:bottom w:val="single" w:sz="12" w:space="3" w:color="31A7D4" w:themeColor="accent1"/>
      </w:pBdr>
      <w:spacing w:line="240" w:lineRule="auto"/>
      <w:outlineLvl w:val="1"/>
    </w:pPr>
    <w:rPr>
      <w:sz w:val="40"/>
    </w:rPr>
  </w:style>
  <w:style w:type="paragraph" w:styleId="Heading3">
    <w:name w:val="heading 3"/>
    <w:basedOn w:val="Normal"/>
    <w:next w:val="Normal"/>
    <w:link w:val="Heading3Char"/>
    <w:unhideWhenUsed/>
    <w:qFormat/>
    <w:rsid w:val="0026574D"/>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E91E99"/>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E91E99"/>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FB4AC4"/>
    <w:pPr>
      <w:numPr>
        <w:ilvl w:val="5"/>
        <w:numId w:val="11"/>
      </w:numPr>
      <w:spacing w:after="120"/>
      <w:outlineLvl w:val="5"/>
    </w:pPr>
    <w:rPr>
      <w:bCs/>
      <w:sz w:val="22"/>
      <w:szCs w:val="22"/>
    </w:rPr>
  </w:style>
  <w:style w:type="paragraph" w:styleId="Heading7">
    <w:name w:val="heading 7"/>
    <w:basedOn w:val="HeadingBase"/>
    <w:next w:val="Normal"/>
    <w:semiHidden/>
    <w:rsid w:val="00FB4AC4"/>
    <w:pPr>
      <w:numPr>
        <w:ilvl w:val="6"/>
        <w:numId w:val="11"/>
      </w:numPr>
      <w:spacing w:after="120"/>
      <w:outlineLvl w:val="6"/>
    </w:pPr>
    <w:rPr>
      <w:szCs w:val="24"/>
    </w:rPr>
  </w:style>
  <w:style w:type="paragraph" w:styleId="Heading8">
    <w:name w:val="heading 8"/>
    <w:basedOn w:val="HeadingBase"/>
    <w:next w:val="Normal"/>
    <w:semiHidden/>
    <w:rsid w:val="00FB4AC4"/>
    <w:pPr>
      <w:numPr>
        <w:ilvl w:val="7"/>
        <w:numId w:val="11"/>
      </w:numPr>
      <w:spacing w:before="60" w:after="60"/>
      <w:jc w:val="center"/>
      <w:outlineLvl w:val="7"/>
    </w:pPr>
    <w:rPr>
      <w:iCs/>
      <w:smallCaps/>
      <w:sz w:val="22"/>
      <w:szCs w:val="24"/>
    </w:rPr>
  </w:style>
  <w:style w:type="paragraph" w:styleId="Heading9">
    <w:name w:val="heading 9"/>
    <w:basedOn w:val="HeadingBase"/>
    <w:next w:val="Normal"/>
    <w:semiHidden/>
    <w:rsid w:val="00FB4AC4"/>
    <w:pPr>
      <w:numPr>
        <w:ilvl w:val="8"/>
        <w:numId w:val="11"/>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B4AC4"/>
    <w:pPr>
      <w:spacing w:after="0"/>
    </w:pPr>
  </w:style>
  <w:style w:type="character" w:styleId="Hyperlink">
    <w:name w:val="Hyperlink"/>
    <w:basedOn w:val="DefaultParagraphFont"/>
    <w:uiPriority w:val="99"/>
    <w:unhideWhenUsed/>
    <w:rsid w:val="00FB4AC4"/>
    <w:rPr>
      <w:color w:val="31A7D4" w:themeColor="text2"/>
      <w:u w:val="none"/>
    </w:rPr>
  </w:style>
  <w:style w:type="character" w:customStyle="1" w:styleId="BoldandItalic">
    <w:name w:val="Bold and Italic"/>
    <w:basedOn w:val="DefaultParagraphFont"/>
    <w:rsid w:val="00FB4AC4"/>
    <w:rPr>
      <w:rFonts w:ascii="Calibri" w:hAnsi="Calibri"/>
      <w:b/>
      <w:i/>
    </w:rPr>
  </w:style>
  <w:style w:type="table" w:styleId="TableGrid">
    <w:name w:val="Table Grid"/>
    <w:basedOn w:val="TableNormal"/>
    <w:uiPriority w:val="59"/>
    <w:rsid w:val="00E91E99"/>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FB4AC4"/>
    <w:pPr>
      <w:spacing w:before="40" w:after="40"/>
    </w:pPr>
    <w:rPr>
      <w:b/>
      <w:color w:val="009976"/>
      <w:sz w:val="16"/>
    </w:rPr>
  </w:style>
  <w:style w:type="paragraph" w:styleId="FootnoteText">
    <w:name w:val="footnote text"/>
    <w:basedOn w:val="Normal"/>
    <w:link w:val="FootnoteTextChar"/>
    <w:uiPriority w:val="99"/>
    <w:rsid w:val="00E91E99"/>
    <w:pPr>
      <w:spacing w:before="40" w:after="0" w:line="240" w:lineRule="auto"/>
      <w:ind w:left="426" w:hanging="426"/>
    </w:pPr>
    <w:rPr>
      <w:sz w:val="18"/>
    </w:rPr>
  </w:style>
  <w:style w:type="paragraph" w:customStyle="1" w:styleId="Bullet">
    <w:name w:val="Bullet"/>
    <w:aliases w:val="b,b1,b + line,Body,level 1"/>
    <w:basedOn w:val="Normal"/>
    <w:link w:val="BulletChar"/>
    <w:rsid w:val="00FB4AC4"/>
    <w:pPr>
      <w:numPr>
        <w:numId w:val="1"/>
      </w:numPr>
      <w:ind w:left="1134" w:hanging="567"/>
    </w:pPr>
  </w:style>
  <w:style w:type="paragraph" w:customStyle="1" w:styleId="Dash">
    <w:name w:val="Dash"/>
    <w:basedOn w:val="Normal"/>
    <w:rsid w:val="00E91E99"/>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E91E99"/>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FB4AC4"/>
    <w:pPr>
      <w:numPr>
        <w:numId w:val="9"/>
      </w:numPr>
      <w:spacing w:line="280" w:lineRule="exact"/>
      <w:jc w:val="both"/>
    </w:pPr>
  </w:style>
  <w:style w:type="paragraph" w:customStyle="1" w:styleId="OutlineNumbered2">
    <w:name w:val="Outline Numbered 2"/>
    <w:basedOn w:val="Normal"/>
    <w:uiPriority w:val="2"/>
    <w:rsid w:val="00FB4AC4"/>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FB4AC4"/>
    <w:pPr>
      <w:numPr>
        <w:numId w:val="2"/>
      </w:numPr>
    </w:pPr>
  </w:style>
  <w:style w:type="paragraph" w:customStyle="1" w:styleId="HeadingBase">
    <w:name w:val="Heading Base"/>
    <w:next w:val="Normal"/>
    <w:rsid w:val="00FB4AC4"/>
    <w:pPr>
      <w:keepNext/>
    </w:pPr>
    <w:rPr>
      <w:rFonts w:ascii="Calibri" w:hAnsi="Calibri"/>
      <w:color w:val="31A7D4" w:themeColor="accent1"/>
    </w:rPr>
  </w:style>
  <w:style w:type="paragraph" w:customStyle="1" w:styleId="AppendixHeading">
    <w:name w:val="Appendix Heading"/>
    <w:basedOn w:val="HeadingBase"/>
    <w:next w:val="Normal"/>
    <w:rsid w:val="00FB4AC4"/>
    <w:pPr>
      <w:spacing w:before="720" w:after="360"/>
      <w:outlineLvl w:val="0"/>
    </w:pPr>
    <w:rPr>
      <w:b/>
      <w:smallCaps/>
      <w:sz w:val="36"/>
      <w:szCs w:val="36"/>
    </w:rPr>
  </w:style>
  <w:style w:type="character" w:customStyle="1" w:styleId="Bold">
    <w:name w:val="Bold"/>
    <w:basedOn w:val="DefaultParagraphFont"/>
    <w:rsid w:val="00FB4AC4"/>
    <w:rPr>
      <w:b/>
    </w:rPr>
  </w:style>
  <w:style w:type="paragraph" w:customStyle="1" w:styleId="BoxHeading">
    <w:name w:val="Box Heading"/>
    <w:basedOn w:val="Caption"/>
    <w:next w:val="BoxText"/>
    <w:unhideWhenUsed/>
    <w:rsid w:val="00E91E99"/>
    <w:rPr>
      <w:sz w:val="28"/>
      <w:szCs w:val="28"/>
    </w:rPr>
  </w:style>
  <w:style w:type="paragraph" w:customStyle="1" w:styleId="BoxTextBase">
    <w:name w:val="Box Text Base"/>
    <w:basedOn w:val="Normal"/>
    <w:unhideWhenUsed/>
    <w:rsid w:val="00E91E99"/>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E91E99"/>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E91E99"/>
    <w:pPr>
      <w:keepNext/>
      <w:spacing w:after="0" w:line="240" w:lineRule="auto"/>
      <w:jc w:val="center"/>
    </w:pPr>
    <w:rPr>
      <w:color w:val="636363" w:themeColor="accent2"/>
    </w:rPr>
  </w:style>
  <w:style w:type="paragraph" w:customStyle="1" w:styleId="ChartMainHeading">
    <w:name w:val="Chart Main Heading"/>
    <w:basedOn w:val="Caption"/>
    <w:next w:val="ChartGraphic"/>
    <w:rsid w:val="00E91E99"/>
    <w:pPr>
      <w:keepNext/>
      <w:spacing w:before="120" w:after="60"/>
      <w:jc w:val="center"/>
    </w:pPr>
    <w:rPr>
      <w:sz w:val="20"/>
      <w:szCs w:val="20"/>
    </w:rPr>
  </w:style>
  <w:style w:type="paragraph" w:customStyle="1" w:styleId="ChartorTableNote">
    <w:name w:val="Chart or Table Note"/>
    <w:next w:val="Normal"/>
    <w:rsid w:val="0026574D"/>
    <w:rPr>
      <w:rFonts w:ascii="Arial" w:hAnsi="Arial"/>
      <w:color w:val="000000"/>
      <w:sz w:val="18"/>
    </w:rPr>
  </w:style>
  <w:style w:type="paragraph" w:customStyle="1" w:styleId="ChartSecondHeading">
    <w:name w:val="Chart Second Heading"/>
    <w:basedOn w:val="HeadingBase"/>
    <w:next w:val="ChartGraphic"/>
    <w:rsid w:val="00FB4AC4"/>
    <w:pPr>
      <w:spacing w:after="20"/>
      <w:jc w:val="center"/>
    </w:pPr>
  </w:style>
  <w:style w:type="paragraph" w:customStyle="1" w:styleId="Classification">
    <w:name w:val="Classification"/>
    <w:basedOn w:val="HeadingBase"/>
    <w:next w:val="Footer"/>
    <w:semiHidden/>
    <w:rsid w:val="00FB4AC4"/>
    <w:pPr>
      <w:spacing w:after="120"/>
      <w:jc w:val="center"/>
    </w:pPr>
    <w:rPr>
      <w:b/>
      <w:smallCaps/>
    </w:rPr>
  </w:style>
  <w:style w:type="paragraph" w:styleId="Footer">
    <w:name w:val="footer"/>
    <w:basedOn w:val="Normal"/>
    <w:link w:val="FooterChar"/>
    <w:uiPriority w:val="99"/>
    <w:unhideWhenUsed/>
    <w:rsid w:val="00E91E99"/>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FB4AC4"/>
    <w:pPr>
      <w:spacing w:after="360"/>
      <w:jc w:val="center"/>
    </w:pPr>
    <w:rPr>
      <w:smallCaps/>
      <w:sz w:val="40"/>
      <w:szCs w:val="36"/>
    </w:rPr>
  </w:style>
  <w:style w:type="paragraph" w:customStyle="1" w:styleId="CoverTitleMain">
    <w:name w:val="Cover Title Main"/>
    <w:basedOn w:val="HeadingBase"/>
    <w:next w:val="Normal"/>
    <w:uiPriority w:val="2"/>
    <w:rsid w:val="00FB4AC4"/>
    <w:pPr>
      <w:spacing w:before="720" w:after="480"/>
    </w:pPr>
    <w:rPr>
      <w:b/>
      <w:caps/>
      <w:sz w:val="48"/>
    </w:rPr>
  </w:style>
  <w:style w:type="paragraph" w:customStyle="1" w:styleId="CoverTitleSub">
    <w:name w:val="Cover Title Sub"/>
    <w:basedOn w:val="HeadingBase"/>
    <w:uiPriority w:val="2"/>
    <w:rsid w:val="00FB4AC4"/>
    <w:pPr>
      <w:pBdr>
        <w:top w:val="single" w:sz="4" w:space="1" w:color="009976"/>
      </w:pBdr>
      <w:spacing w:after="360"/>
      <w:jc w:val="right"/>
    </w:pPr>
    <w:rPr>
      <w:sz w:val="36"/>
    </w:rPr>
  </w:style>
  <w:style w:type="paragraph" w:customStyle="1" w:styleId="FooterCentered">
    <w:name w:val="Footer Centered"/>
    <w:basedOn w:val="Footer"/>
    <w:unhideWhenUsed/>
    <w:rsid w:val="00FB4AC4"/>
    <w:pPr>
      <w:jc w:val="center"/>
    </w:pPr>
  </w:style>
  <w:style w:type="paragraph" w:customStyle="1" w:styleId="FooterEven">
    <w:name w:val="Footer Even"/>
    <w:basedOn w:val="Footer"/>
    <w:unhideWhenUsed/>
    <w:rsid w:val="00334D73"/>
  </w:style>
  <w:style w:type="paragraph" w:customStyle="1" w:styleId="FooterOdd">
    <w:name w:val="Footer Odd"/>
    <w:basedOn w:val="Footer"/>
    <w:unhideWhenUsed/>
    <w:rsid w:val="00334D73"/>
  </w:style>
  <w:style w:type="character" w:customStyle="1" w:styleId="FramedFooter">
    <w:name w:val="Framed Footer"/>
    <w:semiHidden/>
    <w:rsid w:val="00FB4AC4"/>
    <w:rPr>
      <w:rFonts w:ascii="Arial" w:hAnsi="Arial"/>
      <w:color w:val="31A7D4" w:themeColor="accent1"/>
      <w:sz w:val="18"/>
    </w:rPr>
  </w:style>
  <w:style w:type="character" w:customStyle="1" w:styleId="FramedHeader">
    <w:name w:val="Framed Header"/>
    <w:basedOn w:val="DefaultParagraphFont"/>
    <w:semiHidden/>
    <w:rsid w:val="00FB4AC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E91E99"/>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334D73"/>
    <w:pPr>
      <w:jc w:val="left"/>
    </w:pPr>
  </w:style>
  <w:style w:type="paragraph" w:customStyle="1" w:styleId="HeaderOdd">
    <w:name w:val="Header Odd"/>
    <w:basedOn w:val="Header"/>
    <w:rsid w:val="00334D73"/>
    <w:rPr>
      <w:noProof/>
    </w:rPr>
  </w:style>
  <w:style w:type="paragraph" w:styleId="NormalIndent">
    <w:name w:val="Normal Indent"/>
    <w:basedOn w:val="Normal"/>
    <w:semiHidden/>
    <w:rsid w:val="00FB4AC4"/>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FB4AC4"/>
    <w:pPr>
      <w:spacing w:after="120"/>
    </w:pPr>
  </w:style>
  <w:style w:type="paragraph" w:customStyle="1" w:styleId="RecommendationText">
    <w:name w:val="Recommendation Text"/>
    <w:basedOn w:val="Normal"/>
    <w:qFormat/>
    <w:rsid w:val="00FB4AC4"/>
    <w:pPr>
      <w:spacing w:after="120"/>
      <w:ind w:left="459" w:hanging="425"/>
    </w:pPr>
    <w:rPr>
      <w:color w:val="000000"/>
    </w:rPr>
  </w:style>
  <w:style w:type="paragraph" w:customStyle="1" w:styleId="TableTextBase">
    <w:name w:val="Table Text Base"/>
    <w:uiPriority w:val="1"/>
    <w:unhideWhenUsed/>
    <w:rsid w:val="00FB4AC4"/>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FB4AC4"/>
    <w:pPr>
      <w:jc w:val="center"/>
    </w:pPr>
  </w:style>
  <w:style w:type="paragraph" w:customStyle="1" w:styleId="TableColumnHeadingLeft">
    <w:name w:val="Table Column Heading Left"/>
    <w:basedOn w:val="TableColumnHeadingBase"/>
    <w:uiPriority w:val="1"/>
    <w:unhideWhenUsed/>
    <w:rsid w:val="00FB4AC4"/>
  </w:style>
  <w:style w:type="paragraph" w:customStyle="1" w:styleId="TableColumnHeadingRight">
    <w:name w:val="Table Column Heading Right"/>
    <w:basedOn w:val="TableColumnHeadingBase"/>
    <w:uiPriority w:val="1"/>
    <w:unhideWhenUsed/>
    <w:rsid w:val="00FB4AC4"/>
    <w:pPr>
      <w:jc w:val="right"/>
    </w:pPr>
  </w:style>
  <w:style w:type="paragraph" w:customStyle="1" w:styleId="TableGraphic">
    <w:name w:val="Table Graphic"/>
    <w:basedOn w:val="Normal"/>
    <w:next w:val="Normal"/>
    <w:rsid w:val="00E91E99"/>
    <w:pPr>
      <w:keepNext/>
      <w:spacing w:after="0" w:line="240" w:lineRule="auto"/>
    </w:pPr>
    <w:rPr>
      <w:color w:val="636363" w:themeColor="accent2"/>
    </w:rPr>
  </w:style>
  <w:style w:type="paragraph" w:customStyle="1" w:styleId="TableMainHeading">
    <w:name w:val="Table Main Heading"/>
    <w:basedOn w:val="Normal"/>
    <w:next w:val="Normal"/>
    <w:uiPriority w:val="1"/>
    <w:rsid w:val="00E91E99"/>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FB4AC4"/>
    <w:pPr>
      <w:pageBreakBefore/>
      <w:spacing w:after="20"/>
    </w:pPr>
    <w:rPr>
      <w:b/>
      <w:sz w:val="22"/>
    </w:rPr>
  </w:style>
  <w:style w:type="paragraph" w:customStyle="1" w:styleId="TableSecondHeading">
    <w:name w:val="Table Second Heading"/>
    <w:basedOn w:val="HeadingBase"/>
    <w:next w:val="TableGraphic"/>
    <w:uiPriority w:val="1"/>
    <w:unhideWhenUsed/>
    <w:rsid w:val="00FB4AC4"/>
    <w:pPr>
      <w:spacing w:after="20"/>
    </w:pPr>
  </w:style>
  <w:style w:type="paragraph" w:customStyle="1" w:styleId="TableTextCentered">
    <w:name w:val="Table Text Centered"/>
    <w:basedOn w:val="TableTextBase"/>
    <w:uiPriority w:val="1"/>
    <w:unhideWhenUsed/>
    <w:rsid w:val="00FB4AC4"/>
    <w:pPr>
      <w:jc w:val="center"/>
    </w:pPr>
  </w:style>
  <w:style w:type="paragraph" w:customStyle="1" w:styleId="TableTextIndented">
    <w:name w:val="Table Text Indented"/>
    <w:basedOn w:val="TableTextBase"/>
    <w:uiPriority w:val="1"/>
    <w:unhideWhenUsed/>
    <w:rsid w:val="00FB4AC4"/>
    <w:pPr>
      <w:ind w:left="284"/>
    </w:pPr>
  </w:style>
  <w:style w:type="paragraph" w:customStyle="1" w:styleId="TableTextLeft">
    <w:name w:val="Table Text Left"/>
    <w:basedOn w:val="Normal"/>
    <w:rsid w:val="00E91E99"/>
    <w:pPr>
      <w:spacing w:before="60" w:after="60"/>
    </w:pPr>
  </w:style>
  <w:style w:type="paragraph" w:customStyle="1" w:styleId="TableTextRight">
    <w:name w:val="Table Text Right"/>
    <w:basedOn w:val="TableTextBase"/>
    <w:uiPriority w:val="1"/>
    <w:unhideWhenUsed/>
    <w:rsid w:val="00FB4AC4"/>
    <w:pPr>
      <w:jc w:val="right"/>
    </w:pPr>
  </w:style>
  <w:style w:type="paragraph" w:styleId="TOC1">
    <w:name w:val="toc 1"/>
    <w:basedOn w:val="HeadingBase"/>
    <w:next w:val="Normal"/>
    <w:uiPriority w:val="39"/>
    <w:rsid w:val="00FB4AC4"/>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FB4AC4"/>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FB4AC4"/>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FB4AC4"/>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FB4AC4"/>
    <w:rPr>
      <w:i/>
    </w:rPr>
  </w:style>
  <w:style w:type="paragraph" w:customStyle="1" w:styleId="OneLevelNumberedParagraph">
    <w:name w:val="One Level Numbered Paragraph"/>
    <w:basedOn w:val="Normal"/>
    <w:rsid w:val="00FB4AC4"/>
    <w:pPr>
      <w:numPr>
        <w:numId w:val="5"/>
      </w:numPr>
    </w:pPr>
  </w:style>
  <w:style w:type="paragraph" w:customStyle="1" w:styleId="BoxText">
    <w:name w:val="Box Text"/>
    <w:basedOn w:val="BoxTextBase"/>
    <w:unhideWhenUsed/>
    <w:rsid w:val="00E91E99"/>
    <w:pPr>
      <w:shd w:val="clear" w:color="auto" w:fill="auto"/>
      <w:spacing w:after="120"/>
    </w:pPr>
  </w:style>
  <w:style w:type="paragraph" w:customStyle="1" w:styleId="BoxBullet">
    <w:name w:val="Box Bullet"/>
    <w:basedOn w:val="BoxTextBase"/>
    <w:unhideWhenUsed/>
    <w:rsid w:val="00E91E99"/>
    <w:pPr>
      <w:numPr>
        <w:numId w:val="4"/>
      </w:numPr>
      <w:shd w:val="clear" w:color="auto" w:fill="auto"/>
    </w:pPr>
  </w:style>
  <w:style w:type="paragraph" w:customStyle="1" w:styleId="BoxDash">
    <w:name w:val="Box Dash"/>
    <w:basedOn w:val="BoxTextBase"/>
    <w:unhideWhenUsed/>
    <w:rsid w:val="00E91E99"/>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E91E99"/>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FB4AC4"/>
    <w:pPr>
      <w:numPr>
        <w:numId w:val="6"/>
      </w:numPr>
    </w:pPr>
  </w:style>
  <w:style w:type="paragraph" w:customStyle="1" w:styleId="RecommendationDash">
    <w:name w:val="Recommendation Dash"/>
    <w:basedOn w:val="RecommendationTextBase"/>
    <w:rsid w:val="00FB4AC4"/>
    <w:pPr>
      <w:numPr>
        <w:ilvl w:val="1"/>
        <w:numId w:val="6"/>
      </w:numPr>
    </w:pPr>
  </w:style>
  <w:style w:type="paragraph" w:customStyle="1" w:styleId="RecommendationDoubleDot">
    <w:name w:val="Recommendation Double Dot"/>
    <w:basedOn w:val="RecommendationTextBase"/>
    <w:rsid w:val="00FB4AC4"/>
    <w:pPr>
      <w:numPr>
        <w:ilvl w:val="2"/>
        <w:numId w:val="6"/>
      </w:numPr>
    </w:pPr>
  </w:style>
  <w:style w:type="character" w:styleId="FollowedHyperlink">
    <w:name w:val="FollowedHyperlink"/>
    <w:basedOn w:val="DefaultParagraphFont"/>
    <w:unhideWhenUsed/>
    <w:rsid w:val="00FB4AC4"/>
    <w:rPr>
      <w:color w:val="auto"/>
      <w:u w:val="none"/>
    </w:rPr>
  </w:style>
  <w:style w:type="paragraph" w:customStyle="1" w:styleId="Heading1NotNumbered">
    <w:name w:val="Heading 1 Not Numbered"/>
    <w:basedOn w:val="HeadingBase"/>
    <w:next w:val="Normal"/>
    <w:rsid w:val="00FB4AC4"/>
    <w:pPr>
      <w:spacing w:before="720" w:after="360"/>
    </w:pPr>
    <w:rPr>
      <w:smallCaps/>
      <w:sz w:val="40"/>
      <w:szCs w:val="36"/>
    </w:rPr>
  </w:style>
  <w:style w:type="paragraph" w:customStyle="1" w:styleId="Heading2NotNumbered">
    <w:name w:val="Heading 2 Not Numbered"/>
    <w:basedOn w:val="HeadingBase"/>
    <w:next w:val="Normal"/>
    <w:rsid w:val="00FB4AC4"/>
    <w:pPr>
      <w:spacing w:before="360" w:after="180"/>
    </w:pPr>
    <w:rPr>
      <w:smallCaps/>
      <w:sz w:val="32"/>
      <w:szCs w:val="28"/>
    </w:rPr>
  </w:style>
  <w:style w:type="paragraph" w:customStyle="1" w:styleId="Heading3NotNumbered">
    <w:name w:val="Heading 3 Not Numbered"/>
    <w:basedOn w:val="HeadingBase"/>
    <w:next w:val="Normal"/>
    <w:rsid w:val="00FB4AC4"/>
    <w:pPr>
      <w:spacing w:before="240" w:after="120"/>
    </w:pPr>
    <w:rPr>
      <w:sz w:val="28"/>
      <w:szCs w:val="26"/>
    </w:rPr>
  </w:style>
  <w:style w:type="paragraph" w:customStyle="1" w:styleId="Heading4NotNumbered">
    <w:name w:val="Heading 4 Not Numbered"/>
    <w:basedOn w:val="HeadingBase"/>
    <w:unhideWhenUsed/>
    <w:rsid w:val="00FB4AC4"/>
    <w:pPr>
      <w:spacing w:before="120" w:after="120"/>
      <w:outlineLvl w:val="3"/>
    </w:pPr>
    <w:rPr>
      <w:i/>
      <w:sz w:val="26"/>
    </w:rPr>
  </w:style>
  <w:style w:type="paragraph" w:styleId="BalloonText">
    <w:name w:val="Balloon Text"/>
    <w:basedOn w:val="Normal"/>
    <w:link w:val="BalloonTextChar"/>
    <w:uiPriority w:val="99"/>
    <w:semiHidden/>
    <w:unhideWhenUsed/>
    <w:rsid w:val="00E91E99"/>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E91E99"/>
    <w:pPr>
      <w:spacing w:after="200" w:line="240" w:lineRule="auto"/>
    </w:pPr>
    <w:rPr>
      <w:b/>
      <w:bCs/>
      <w:color w:val="31A7D4" w:themeColor="accent1"/>
      <w:sz w:val="18"/>
      <w:szCs w:val="18"/>
    </w:rPr>
  </w:style>
  <w:style w:type="character" w:styleId="CommentReference">
    <w:name w:val="annotation reference"/>
    <w:basedOn w:val="DefaultParagraphFont"/>
    <w:semiHidden/>
    <w:rsid w:val="00FB4AC4"/>
    <w:rPr>
      <w:sz w:val="16"/>
      <w:szCs w:val="16"/>
    </w:rPr>
  </w:style>
  <w:style w:type="paragraph" w:styleId="CommentText">
    <w:name w:val="annotation text"/>
    <w:basedOn w:val="Normal"/>
    <w:semiHidden/>
    <w:rsid w:val="00FB4AC4"/>
  </w:style>
  <w:style w:type="paragraph" w:styleId="CommentSubject">
    <w:name w:val="annotation subject"/>
    <w:basedOn w:val="CommentText"/>
    <w:next w:val="CommentText"/>
    <w:semiHidden/>
    <w:rsid w:val="00FB4AC4"/>
    <w:rPr>
      <w:b/>
      <w:bCs/>
    </w:rPr>
  </w:style>
  <w:style w:type="paragraph" w:styleId="DocumentMap">
    <w:name w:val="Document Map"/>
    <w:basedOn w:val="Normal"/>
    <w:semiHidden/>
    <w:rsid w:val="00FB4AC4"/>
    <w:pPr>
      <w:shd w:val="clear" w:color="auto" w:fill="000080"/>
    </w:pPr>
    <w:rPr>
      <w:rFonts w:ascii="Tahoma" w:hAnsi="Tahoma" w:cs="Tahoma"/>
    </w:rPr>
  </w:style>
  <w:style w:type="character" w:styleId="EndnoteReference">
    <w:name w:val="endnote reference"/>
    <w:basedOn w:val="DefaultParagraphFont"/>
    <w:semiHidden/>
    <w:rsid w:val="00FB4AC4"/>
    <w:rPr>
      <w:vertAlign w:val="superscript"/>
    </w:rPr>
  </w:style>
  <w:style w:type="paragraph" w:styleId="EndnoteText">
    <w:name w:val="endnote text"/>
    <w:basedOn w:val="Normal"/>
    <w:semiHidden/>
    <w:rsid w:val="00FB4AC4"/>
  </w:style>
  <w:style w:type="character" w:styleId="FootnoteReference">
    <w:name w:val="footnote reference"/>
    <w:basedOn w:val="DefaultParagraphFont"/>
    <w:uiPriority w:val="99"/>
    <w:unhideWhenUsed/>
    <w:rsid w:val="00E91E99"/>
    <w:rPr>
      <w:vertAlign w:val="superscript"/>
    </w:rPr>
  </w:style>
  <w:style w:type="paragraph" w:styleId="Index1">
    <w:name w:val="index 1"/>
    <w:basedOn w:val="Normal"/>
    <w:next w:val="Normal"/>
    <w:autoRedefine/>
    <w:semiHidden/>
    <w:rsid w:val="00FB4AC4"/>
    <w:pPr>
      <w:ind w:left="200" w:hanging="200"/>
    </w:pPr>
  </w:style>
  <w:style w:type="paragraph" w:styleId="Index2">
    <w:name w:val="index 2"/>
    <w:basedOn w:val="Normal"/>
    <w:next w:val="Normal"/>
    <w:autoRedefine/>
    <w:semiHidden/>
    <w:rsid w:val="00FB4AC4"/>
    <w:pPr>
      <w:ind w:left="400" w:hanging="200"/>
    </w:pPr>
  </w:style>
  <w:style w:type="paragraph" w:styleId="Index3">
    <w:name w:val="index 3"/>
    <w:basedOn w:val="Normal"/>
    <w:next w:val="Normal"/>
    <w:autoRedefine/>
    <w:semiHidden/>
    <w:rsid w:val="00FB4AC4"/>
    <w:pPr>
      <w:ind w:left="600" w:hanging="200"/>
    </w:pPr>
  </w:style>
  <w:style w:type="paragraph" w:styleId="Index4">
    <w:name w:val="index 4"/>
    <w:basedOn w:val="Normal"/>
    <w:next w:val="Normal"/>
    <w:autoRedefine/>
    <w:semiHidden/>
    <w:rsid w:val="00FB4AC4"/>
    <w:pPr>
      <w:ind w:left="800" w:hanging="200"/>
    </w:pPr>
  </w:style>
  <w:style w:type="paragraph" w:styleId="Index5">
    <w:name w:val="index 5"/>
    <w:basedOn w:val="Normal"/>
    <w:next w:val="Normal"/>
    <w:autoRedefine/>
    <w:semiHidden/>
    <w:rsid w:val="00FB4AC4"/>
    <w:pPr>
      <w:ind w:left="1000" w:hanging="200"/>
    </w:pPr>
  </w:style>
  <w:style w:type="paragraph" w:styleId="Index6">
    <w:name w:val="index 6"/>
    <w:basedOn w:val="Normal"/>
    <w:next w:val="Normal"/>
    <w:autoRedefine/>
    <w:semiHidden/>
    <w:rsid w:val="00FB4AC4"/>
    <w:pPr>
      <w:ind w:left="1200" w:hanging="200"/>
    </w:pPr>
  </w:style>
  <w:style w:type="paragraph" w:styleId="Index7">
    <w:name w:val="index 7"/>
    <w:basedOn w:val="Normal"/>
    <w:next w:val="Normal"/>
    <w:autoRedefine/>
    <w:semiHidden/>
    <w:rsid w:val="00FB4AC4"/>
    <w:pPr>
      <w:ind w:left="1400" w:hanging="200"/>
    </w:pPr>
  </w:style>
  <w:style w:type="paragraph" w:styleId="Index8">
    <w:name w:val="index 8"/>
    <w:basedOn w:val="Normal"/>
    <w:next w:val="Normal"/>
    <w:autoRedefine/>
    <w:semiHidden/>
    <w:rsid w:val="00FB4AC4"/>
    <w:pPr>
      <w:ind w:left="1600" w:hanging="200"/>
    </w:pPr>
  </w:style>
  <w:style w:type="paragraph" w:styleId="Index9">
    <w:name w:val="index 9"/>
    <w:basedOn w:val="Normal"/>
    <w:next w:val="Normal"/>
    <w:autoRedefine/>
    <w:semiHidden/>
    <w:rsid w:val="00FB4AC4"/>
    <w:pPr>
      <w:ind w:left="1800" w:hanging="200"/>
    </w:pPr>
  </w:style>
  <w:style w:type="paragraph" w:styleId="IndexHeading">
    <w:name w:val="index heading"/>
    <w:basedOn w:val="Normal"/>
    <w:next w:val="Index1"/>
    <w:semiHidden/>
    <w:rsid w:val="00FB4AC4"/>
    <w:rPr>
      <w:rFonts w:cs="Arial"/>
      <w:b/>
      <w:bCs/>
    </w:rPr>
  </w:style>
  <w:style w:type="paragraph" w:styleId="MacroText">
    <w:name w:val="macro"/>
    <w:semiHidden/>
    <w:rsid w:val="00FB4AC4"/>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FB4AC4"/>
    <w:pPr>
      <w:ind w:left="200" w:hanging="200"/>
    </w:pPr>
  </w:style>
  <w:style w:type="paragraph" w:styleId="TableofFigures">
    <w:name w:val="table of figures"/>
    <w:basedOn w:val="Normal"/>
    <w:next w:val="Normal"/>
    <w:semiHidden/>
    <w:rsid w:val="00FB4AC4"/>
  </w:style>
  <w:style w:type="paragraph" w:styleId="TOAHeading">
    <w:name w:val="toa heading"/>
    <w:basedOn w:val="Normal"/>
    <w:next w:val="Normal"/>
    <w:semiHidden/>
    <w:rsid w:val="00FB4AC4"/>
    <w:rPr>
      <w:rFonts w:cs="Arial"/>
      <w:b/>
      <w:bCs/>
      <w:szCs w:val="24"/>
    </w:rPr>
  </w:style>
  <w:style w:type="paragraph" w:styleId="TOC5">
    <w:name w:val="toc 5"/>
    <w:basedOn w:val="Normal"/>
    <w:next w:val="Normal"/>
    <w:autoRedefine/>
    <w:semiHidden/>
    <w:rsid w:val="00FB4AC4"/>
    <w:pPr>
      <w:ind w:left="800"/>
    </w:pPr>
  </w:style>
  <w:style w:type="paragraph" w:styleId="TOC6">
    <w:name w:val="toc 6"/>
    <w:basedOn w:val="Normal"/>
    <w:next w:val="Normal"/>
    <w:autoRedefine/>
    <w:semiHidden/>
    <w:rsid w:val="00FB4AC4"/>
    <w:pPr>
      <w:ind w:left="1000"/>
    </w:pPr>
  </w:style>
  <w:style w:type="paragraph" w:styleId="TOC7">
    <w:name w:val="toc 7"/>
    <w:basedOn w:val="Normal"/>
    <w:next w:val="Normal"/>
    <w:autoRedefine/>
    <w:semiHidden/>
    <w:rsid w:val="00FB4AC4"/>
    <w:pPr>
      <w:ind w:left="1200"/>
    </w:pPr>
  </w:style>
  <w:style w:type="paragraph" w:styleId="TOC8">
    <w:name w:val="toc 8"/>
    <w:basedOn w:val="Normal"/>
    <w:next w:val="Normal"/>
    <w:autoRedefine/>
    <w:semiHidden/>
    <w:rsid w:val="00FB4AC4"/>
    <w:pPr>
      <w:ind w:left="1400"/>
    </w:pPr>
  </w:style>
  <w:style w:type="paragraph" w:styleId="TOC9">
    <w:name w:val="toc 9"/>
    <w:basedOn w:val="Normal"/>
    <w:next w:val="Normal"/>
    <w:autoRedefine/>
    <w:semiHidden/>
    <w:rsid w:val="00FB4AC4"/>
    <w:pPr>
      <w:ind w:left="1600"/>
    </w:pPr>
  </w:style>
  <w:style w:type="paragraph" w:customStyle="1" w:styleId="Heading5NotNumbered">
    <w:name w:val="Heading 5 Not Numbered"/>
    <w:basedOn w:val="HeadingBase"/>
    <w:unhideWhenUsed/>
    <w:rsid w:val="00FB4AC4"/>
    <w:pPr>
      <w:spacing w:after="120"/>
      <w:outlineLvl w:val="4"/>
    </w:pPr>
    <w:rPr>
      <w:b/>
      <w:i/>
      <w:sz w:val="22"/>
    </w:rPr>
  </w:style>
  <w:style w:type="table" w:customStyle="1" w:styleId="OptionsTable">
    <w:name w:val="Options Table"/>
    <w:basedOn w:val="TableNormal"/>
    <w:rsid w:val="00FB4AC4"/>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FB4AC4"/>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FB4AC4"/>
    <w:pPr>
      <w:numPr>
        <w:ilvl w:val="4"/>
        <w:numId w:val="9"/>
      </w:numPr>
      <w:spacing w:line="280" w:lineRule="exact"/>
      <w:jc w:val="both"/>
    </w:pPr>
  </w:style>
  <w:style w:type="paragraph" w:customStyle="1" w:styleId="Crest">
    <w:name w:val="Crest"/>
    <w:basedOn w:val="Header"/>
    <w:uiPriority w:val="2"/>
    <w:rsid w:val="00FB4AC4"/>
    <w:pPr>
      <w:spacing w:after="480"/>
    </w:pPr>
  </w:style>
  <w:style w:type="character" w:customStyle="1" w:styleId="SingleParagraphChar">
    <w:name w:val="Single Paragraph Char"/>
    <w:basedOn w:val="DefaultParagraphFont"/>
    <w:link w:val="SingleParagraph"/>
    <w:rsid w:val="00FB4AC4"/>
    <w:rPr>
      <w:rFonts w:asciiTheme="minorHAnsi" w:hAnsiTheme="minorHAnsi"/>
      <w:color w:val="000000" w:themeColor="text1"/>
      <w:sz w:val="24"/>
    </w:rPr>
  </w:style>
  <w:style w:type="character" w:customStyle="1" w:styleId="Heading5Char">
    <w:name w:val="Heading 5 Char"/>
    <w:basedOn w:val="DefaultParagraphFont"/>
    <w:link w:val="Heading5"/>
    <w:rsid w:val="00E91E99"/>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E91E99"/>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E91E99"/>
    <w:rPr>
      <w:rFonts w:ascii="Arial" w:hAnsi="Arial"/>
      <w:color w:val="31A7D4" w:themeColor="accent1"/>
      <w:sz w:val="28"/>
    </w:rPr>
  </w:style>
  <w:style w:type="paragraph" w:customStyle="1" w:styleId="SecurityClassificationFooter">
    <w:name w:val="Security Classification Footer"/>
    <w:link w:val="SecurityClassificationFooterChar"/>
    <w:rsid w:val="00FB4AC4"/>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FB4AC4"/>
    <w:rPr>
      <w:b/>
      <w:caps/>
      <w:color w:val="009976"/>
      <w:sz w:val="24"/>
    </w:rPr>
  </w:style>
  <w:style w:type="paragraph" w:customStyle="1" w:styleId="MinuteNumber">
    <w:name w:val="Minute Number"/>
    <w:basedOn w:val="Header"/>
    <w:uiPriority w:val="2"/>
    <w:rsid w:val="00FB4AC4"/>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FB4AC4"/>
    <w:pPr>
      <w:spacing w:before="120"/>
    </w:pPr>
    <w:rPr>
      <w:b w:val="0"/>
      <w:sz w:val="24"/>
    </w:rPr>
  </w:style>
  <w:style w:type="paragraph" w:customStyle="1" w:styleId="QAText">
    <w:name w:val="QA Text"/>
    <w:basedOn w:val="Normal"/>
    <w:unhideWhenUsed/>
    <w:rsid w:val="00FB4AC4"/>
    <w:pPr>
      <w:spacing w:after="120"/>
    </w:pPr>
  </w:style>
  <w:style w:type="paragraph" w:customStyle="1" w:styleId="Copyrightheadings">
    <w:name w:val="Copyright headings"/>
    <w:basedOn w:val="HeadingBase"/>
    <w:uiPriority w:val="2"/>
    <w:rsid w:val="00FB4AC4"/>
    <w:pPr>
      <w:spacing w:after="80"/>
    </w:pPr>
    <w:rPr>
      <w:b/>
      <w:color w:val="000000" w:themeColor="text1"/>
      <w:sz w:val="22"/>
    </w:rPr>
  </w:style>
  <w:style w:type="paragraph" w:customStyle="1" w:styleId="Quotes">
    <w:name w:val="Quotes"/>
    <w:basedOn w:val="Normal"/>
    <w:qFormat/>
    <w:rsid w:val="00FB4AC4"/>
    <w:pPr>
      <w:spacing w:after="120"/>
      <w:ind w:left="567" w:right="423"/>
    </w:pPr>
    <w:rPr>
      <w:color w:val="595959" w:themeColor="text1" w:themeTint="A6"/>
    </w:rPr>
  </w:style>
  <w:style w:type="paragraph" w:customStyle="1" w:styleId="Keymessageheading">
    <w:name w:val="Key message heading"/>
    <w:basedOn w:val="Questionheading"/>
    <w:uiPriority w:val="1"/>
    <w:qFormat/>
    <w:rsid w:val="00FB4AC4"/>
  </w:style>
  <w:style w:type="paragraph" w:customStyle="1" w:styleId="Keyfindingtext">
    <w:name w:val="Key finding text"/>
    <w:basedOn w:val="BoxText"/>
    <w:uiPriority w:val="1"/>
    <w:qFormat/>
    <w:rsid w:val="006C10B4"/>
    <w:pPr>
      <w:numPr>
        <w:numId w:val="12"/>
      </w:numPr>
      <w:ind w:left="459" w:hanging="459"/>
    </w:pPr>
  </w:style>
  <w:style w:type="paragraph" w:customStyle="1" w:styleId="Casestudyboxheading">
    <w:name w:val="Case study box heading"/>
    <w:basedOn w:val="Questionheading"/>
    <w:qFormat/>
    <w:rsid w:val="006C10B4"/>
    <w:pPr>
      <w:numPr>
        <w:ilvl w:val="1"/>
        <w:numId w:val="10"/>
      </w:numPr>
      <w:ind w:left="357"/>
      <w:jc w:val="both"/>
    </w:pPr>
    <w:rPr>
      <w:color w:val="31A7D4" w:themeColor="text2"/>
    </w:rPr>
  </w:style>
  <w:style w:type="paragraph" w:customStyle="1" w:styleId="Casestudyboxtext">
    <w:name w:val="Case study box text"/>
    <w:basedOn w:val="BoxText"/>
    <w:qFormat/>
    <w:rsid w:val="00FB4AC4"/>
  </w:style>
  <w:style w:type="paragraph" w:styleId="ListParagraph">
    <w:name w:val="List Paragraph"/>
    <w:basedOn w:val="Normal"/>
    <w:uiPriority w:val="34"/>
    <w:unhideWhenUsed/>
    <w:qFormat/>
    <w:rsid w:val="00E91E99"/>
    <w:pPr>
      <w:ind w:left="720"/>
      <w:contextualSpacing/>
    </w:pPr>
  </w:style>
  <w:style w:type="paragraph" w:customStyle="1" w:styleId="Copyrightheading">
    <w:name w:val="Copyright heading"/>
    <w:basedOn w:val="Normal"/>
    <w:rsid w:val="00FB4AC4"/>
    <w:pPr>
      <w:spacing w:before="200" w:after="120"/>
    </w:pPr>
    <w:rPr>
      <w:rFonts w:eastAsiaTheme="minorHAnsi" w:cstheme="minorBidi"/>
      <w:b/>
      <w:szCs w:val="22"/>
      <w:lang w:eastAsia="en-US"/>
    </w:rPr>
  </w:style>
  <w:style w:type="character" w:styleId="PageNumber">
    <w:name w:val="page number"/>
    <w:basedOn w:val="DefaultParagraphFont"/>
    <w:rsid w:val="00FB4AC4"/>
  </w:style>
  <w:style w:type="numbering" w:customStyle="1" w:styleId="BoxBulletedList">
    <w:name w:val="Box Bulleted List"/>
    <w:uiPriority w:val="99"/>
    <w:rsid w:val="00805A84"/>
  </w:style>
  <w:style w:type="numbering" w:customStyle="1" w:styleId="OneLevelList">
    <w:name w:val="OneLevelList"/>
    <w:uiPriority w:val="99"/>
    <w:rsid w:val="00805A84"/>
  </w:style>
  <w:style w:type="character" w:customStyle="1" w:styleId="FootnoteTextChar">
    <w:name w:val="Footnote Text Char"/>
    <w:basedOn w:val="DefaultParagraphFont"/>
    <w:link w:val="FootnoteText"/>
    <w:uiPriority w:val="99"/>
    <w:rsid w:val="00E91E99"/>
    <w:rPr>
      <w:rFonts w:ascii="Arial" w:hAnsi="Arial"/>
      <w:sz w:val="18"/>
    </w:rPr>
  </w:style>
  <w:style w:type="numbering" w:customStyle="1" w:styleId="BulletedList">
    <w:name w:val="Bulleted List"/>
    <w:uiPriority w:val="99"/>
    <w:rsid w:val="00805A84"/>
  </w:style>
  <w:style w:type="character" w:customStyle="1" w:styleId="BulletChar">
    <w:name w:val="Bullet Char"/>
    <w:aliases w:val="b + line Char Char,b Char,b Char Char"/>
    <w:basedOn w:val="DefaultParagraphFont"/>
    <w:link w:val="Bullet"/>
    <w:rsid w:val="00805A84"/>
    <w:rPr>
      <w:rFonts w:ascii="Arial" w:hAnsi="Arial"/>
      <w:sz w:val="22"/>
    </w:rPr>
  </w:style>
  <w:style w:type="numbering" w:customStyle="1" w:styleId="AlphaParagraphList">
    <w:name w:val="Alpha Paragraph List"/>
    <w:uiPriority w:val="99"/>
    <w:rsid w:val="00FA7571"/>
  </w:style>
  <w:style w:type="paragraph" w:customStyle="1" w:styleId="Questionheading">
    <w:name w:val="Question heading"/>
    <w:basedOn w:val="Normal"/>
    <w:qFormat/>
    <w:rsid w:val="00E91E99"/>
    <w:pPr>
      <w:spacing w:before="80" w:line="240" w:lineRule="auto"/>
    </w:pPr>
    <w:rPr>
      <w:b/>
      <w:color w:val="31A7D4" w:themeColor="accent1"/>
      <w:sz w:val="28"/>
      <w:szCs w:val="28"/>
    </w:rPr>
  </w:style>
  <w:style w:type="paragraph" w:customStyle="1" w:styleId="Questiontext">
    <w:name w:val="Question text"/>
    <w:basedOn w:val="ListParagraph"/>
    <w:qFormat/>
    <w:rsid w:val="00B76901"/>
    <w:pPr>
      <w:numPr>
        <w:numId w:val="1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E91E99"/>
    <w:pPr>
      <w:spacing w:before="20" w:after="0" w:line="240" w:lineRule="auto"/>
    </w:pPr>
    <w:rPr>
      <w:color w:val="000000" w:themeColor="text1"/>
      <w:sz w:val="20"/>
    </w:rPr>
  </w:style>
  <w:style w:type="paragraph" w:customStyle="1" w:styleId="Overviewheading">
    <w:name w:val="Overview heading"/>
    <w:basedOn w:val="Heading2"/>
    <w:qFormat/>
    <w:rsid w:val="00E91E99"/>
    <w:pPr>
      <w:numPr>
        <w:numId w:val="0"/>
      </w:numPr>
      <w:spacing w:after="240"/>
    </w:pPr>
  </w:style>
  <w:style w:type="paragraph" w:styleId="NormalWeb">
    <w:name w:val="Normal (Web)"/>
    <w:basedOn w:val="Normal"/>
    <w:semiHidden/>
    <w:rsid w:val="00973660"/>
    <w:rPr>
      <w:rFonts w:ascii="Times New Roman" w:hAnsi="Times New Roman"/>
      <w:szCs w:val="24"/>
    </w:rPr>
  </w:style>
  <w:style w:type="character" w:customStyle="1" w:styleId="OutlineNumbered1Char">
    <w:name w:val="Outline Numbered 1 Char"/>
    <w:basedOn w:val="DefaultParagraphFont"/>
    <w:link w:val="OutlineNumbered1"/>
    <w:uiPriority w:val="2"/>
    <w:rsid w:val="00415A7D"/>
    <w:rPr>
      <w:rFonts w:ascii="Arial" w:hAnsi="Arial"/>
      <w:sz w:val="22"/>
    </w:rPr>
  </w:style>
  <w:style w:type="character" w:styleId="Emphasis">
    <w:name w:val="Emphasis"/>
    <w:basedOn w:val="DefaultParagraphFont"/>
    <w:uiPriority w:val="20"/>
    <w:qFormat/>
    <w:rsid w:val="00117A28"/>
    <w:rPr>
      <w:i/>
      <w:iCs/>
    </w:rPr>
  </w:style>
  <w:style w:type="character" w:customStyle="1" w:styleId="Heading1Char">
    <w:name w:val="Heading 1 Char"/>
    <w:basedOn w:val="DefaultParagraphFont"/>
    <w:link w:val="Heading1"/>
    <w:rsid w:val="00E91E99"/>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9C61D5"/>
    <w:rPr>
      <w:rFonts w:ascii="Arial" w:hAnsi="Arial" w:cs="Arial"/>
      <w:b/>
      <w:bCs/>
      <w:color w:val="000000" w:themeColor="text1"/>
      <w:kern w:val="32"/>
      <w:sz w:val="40"/>
      <w:szCs w:val="36"/>
    </w:rPr>
  </w:style>
  <w:style w:type="paragraph" w:styleId="Title">
    <w:name w:val="Title"/>
    <w:basedOn w:val="Normal"/>
    <w:next w:val="Normal"/>
    <w:link w:val="TitleChar"/>
    <w:uiPriority w:val="10"/>
    <w:rsid w:val="00E91E99"/>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E91E99"/>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E91E99"/>
    <w:pPr>
      <w:numPr>
        <w:numId w:val="13"/>
      </w:numPr>
      <w:spacing w:after="120"/>
      <w:ind w:left="567" w:hanging="567"/>
      <w:contextualSpacing w:val="0"/>
    </w:pPr>
  </w:style>
  <w:style w:type="paragraph" w:styleId="Quote">
    <w:name w:val="Quote"/>
    <w:basedOn w:val="Normal"/>
    <w:next w:val="Normal"/>
    <w:link w:val="QuoteChar"/>
    <w:uiPriority w:val="29"/>
    <w:qFormat/>
    <w:rsid w:val="00E91E99"/>
    <w:pPr>
      <w:spacing w:before="120"/>
      <w:ind w:left="567"/>
    </w:pPr>
    <w:rPr>
      <w:iCs/>
      <w:color w:val="000000" w:themeColor="text1"/>
    </w:rPr>
  </w:style>
  <w:style w:type="character" w:customStyle="1" w:styleId="QuoteChar">
    <w:name w:val="Quote Char"/>
    <w:basedOn w:val="DefaultParagraphFont"/>
    <w:link w:val="Quote"/>
    <w:uiPriority w:val="29"/>
    <w:rsid w:val="00E91E99"/>
    <w:rPr>
      <w:rFonts w:ascii="Arial" w:hAnsi="Arial"/>
      <w:iCs/>
      <w:color w:val="000000" w:themeColor="text1"/>
      <w:sz w:val="22"/>
    </w:rPr>
  </w:style>
  <w:style w:type="character" w:customStyle="1" w:styleId="Heading3Char">
    <w:name w:val="Heading 3 Char"/>
    <w:basedOn w:val="DefaultParagraphFont"/>
    <w:link w:val="Heading3"/>
    <w:rsid w:val="0026574D"/>
    <w:rPr>
      <w:rFonts w:ascii="Arial" w:eastAsiaTheme="majorEastAsia" w:hAnsi="Arial" w:cstheme="majorBidi"/>
      <w:b/>
      <w:bCs/>
      <w:color w:val="31A7D4" w:themeColor="accent1"/>
      <w:sz w:val="30"/>
    </w:rPr>
  </w:style>
  <w:style w:type="paragraph" w:customStyle="1" w:styleId="Overviewtext">
    <w:name w:val="Overview text"/>
    <w:basedOn w:val="Normal"/>
    <w:qFormat/>
    <w:rsid w:val="00E91E99"/>
    <w:rPr>
      <w:sz w:val="32"/>
      <w:szCs w:val="32"/>
    </w:rPr>
  </w:style>
  <w:style w:type="paragraph" w:customStyle="1" w:styleId="Singleparagraph0">
    <w:name w:val="Single paragraph"/>
    <w:basedOn w:val="Normal"/>
    <w:qFormat/>
    <w:rsid w:val="00E91E99"/>
    <w:pPr>
      <w:spacing w:after="0" w:line="240" w:lineRule="auto"/>
    </w:pPr>
  </w:style>
  <w:style w:type="character" w:customStyle="1" w:styleId="HeaderChar">
    <w:name w:val="Header Char"/>
    <w:basedOn w:val="DefaultParagraphFont"/>
    <w:link w:val="Header"/>
    <w:uiPriority w:val="99"/>
    <w:rsid w:val="00E91E99"/>
    <w:rPr>
      <w:rFonts w:ascii="Arial" w:hAnsi="Arial"/>
      <w:color w:val="636363" w:themeColor="accent2"/>
      <w:sz w:val="22"/>
    </w:rPr>
  </w:style>
  <w:style w:type="paragraph" w:customStyle="1" w:styleId="Overviewheading2">
    <w:name w:val="Overview heading 2"/>
    <w:basedOn w:val="Heading2"/>
    <w:qFormat/>
    <w:rsid w:val="00E91E99"/>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E91E99"/>
    <w:rPr>
      <w:rFonts w:ascii="Tahoma" w:hAnsi="Tahoma" w:cs="Tahoma"/>
      <w:sz w:val="16"/>
      <w:szCs w:val="16"/>
    </w:rPr>
  </w:style>
  <w:style w:type="paragraph" w:customStyle="1" w:styleId="ChartandTableNote">
    <w:name w:val="Chart and Table Note"/>
    <w:next w:val="Normal"/>
    <w:rsid w:val="00E91E99"/>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1E99"/>
    <w:pPr>
      <w:spacing w:after="240" w:line="276" w:lineRule="auto"/>
    </w:pPr>
    <w:rPr>
      <w:rFonts w:ascii="Arial" w:hAnsi="Arial"/>
      <w:sz w:val="22"/>
    </w:rPr>
  </w:style>
  <w:style w:type="paragraph" w:styleId="Heading1">
    <w:name w:val="heading 1"/>
    <w:basedOn w:val="Normal"/>
    <w:next w:val="Normal"/>
    <w:link w:val="Heading1Char"/>
    <w:qFormat/>
    <w:rsid w:val="00E91E99"/>
    <w:pPr>
      <w:keepNext/>
      <w:numPr>
        <w:numId w:val="15"/>
      </w:numPr>
      <w:spacing w:before="240" w:after="360"/>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9C61D5"/>
    <w:pPr>
      <w:numPr>
        <w:ilvl w:val="1"/>
      </w:numPr>
      <w:pBdr>
        <w:top w:val="single" w:sz="12" w:space="3" w:color="31A7D4" w:themeColor="accent1"/>
        <w:bottom w:val="single" w:sz="12" w:space="3" w:color="31A7D4" w:themeColor="accent1"/>
      </w:pBdr>
      <w:spacing w:line="240" w:lineRule="auto"/>
      <w:outlineLvl w:val="1"/>
    </w:pPr>
    <w:rPr>
      <w:sz w:val="40"/>
    </w:rPr>
  </w:style>
  <w:style w:type="paragraph" w:styleId="Heading3">
    <w:name w:val="heading 3"/>
    <w:basedOn w:val="Normal"/>
    <w:next w:val="Normal"/>
    <w:link w:val="Heading3Char"/>
    <w:unhideWhenUsed/>
    <w:qFormat/>
    <w:rsid w:val="0026574D"/>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E91E99"/>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E91E99"/>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FB4AC4"/>
    <w:pPr>
      <w:numPr>
        <w:ilvl w:val="5"/>
        <w:numId w:val="11"/>
      </w:numPr>
      <w:spacing w:after="120"/>
      <w:outlineLvl w:val="5"/>
    </w:pPr>
    <w:rPr>
      <w:bCs/>
      <w:sz w:val="22"/>
      <w:szCs w:val="22"/>
    </w:rPr>
  </w:style>
  <w:style w:type="paragraph" w:styleId="Heading7">
    <w:name w:val="heading 7"/>
    <w:basedOn w:val="HeadingBase"/>
    <w:next w:val="Normal"/>
    <w:semiHidden/>
    <w:rsid w:val="00FB4AC4"/>
    <w:pPr>
      <w:numPr>
        <w:ilvl w:val="6"/>
        <w:numId w:val="11"/>
      </w:numPr>
      <w:spacing w:after="120"/>
      <w:outlineLvl w:val="6"/>
    </w:pPr>
    <w:rPr>
      <w:szCs w:val="24"/>
    </w:rPr>
  </w:style>
  <w:style w:type="paragraph" w:styleId="Heading8">
    <w:name w:val="heading 8"/>
    <w:basedOn w:val="HeadingBase"/>
    <w:next w:val="Normal"/>
    <w:semiHidden/>
    <w:rsid w:val="00FB4AC4"/>
    <w:pPr>
      <w:numPr>
        <w:ilvl w:val="7"/>
        <w:numId w:val="11"/>
      </w:numPr>
      <w:spacing w:before="60" w:after="60"/>
      <w:jc w:val="center"/>
      <w:outlineLvl w:val="7"/>
    </w:pPr>
    <w:rPr>
      <w:iCs/>
      <w:smallCaps/>
      <w:sz w:val="22"/>
      <w:szCs w:val="24"/>
    </w:rPr>
  </w:style>
  <w:style w:type="paragraph" w:styleId="Heading9">
    <w:name w:val="heading 9"/>
    <w:basedOn w:val="HeadingBase"/>
    <w:next w:val="Normal"/>
    <w:semiHidden/>
    <w:rsid w:val="00FB4AC4"/>
    <w:pPr>
      <w:numPr>
        <w:ilvl w:val="8"/>
        <w:numId w:val="11"/>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B4AC4"/>
    <w:pPr>
      <w:spacing w:after="0"/>
    </w:pPr>
  </w:style>
  <w:style w:type="character" w:styleId="Hyperlink">
    <w:name w:val="Hyperlink"/>
    <w:basedOn w:val="DefaultParagraphFont"/>
    <w:uiPriority w:val="99"/>
    <w:unhideWhenUsed/>
    <w:rsid w:val="00FB4AC4"/>
    <w:rPr>
      <w:color w:val="31A7D4" w:themeColor="text2"/>
      <w:u w:val="none"/>
    </w:rPr>
  </w:style>
  <w:style w:type="character" w:customStyle="1" w:styleId="BoldandItalic">
    <w:name w:val="Bold and Italic"/>
    <w:basedOn w:val="DefaultParagraphFont"/>
    <w:rsid w:val="00FB4AC4"/>
    <w:rPr>
      <w:rFonts w:ascii="Calibri" w:hAnsi="Calibri"/>
      <w:b/>
      <w:i/>
    </w:rPr>
  </w:style>
  <w:style w:type="table" w:styleId="TableGrid">
    <w:name w:val="Table Grid"/>
    <w:basedOn w:val="TableNormal"/>
    <w:uiPriority w:val="59"/>
    <w:rsid w:val="00E91E99"/>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FB4AC4"/>
    <w:pPr>
      <w:spacing w:before="40" w:after="40"/>
    </w:pPr>
    <w:rPr>
      <w:b/>
      <w:color w:val="009976"/>
      <w:sz w:val="16"/>
    </w:rPr>
  </w:style>
  <w:style w:type="paragraph" w:styleId="FootnoteText">
    <w:name w:val="footnote text"/>
    <w:basedOn w:val="Normal"/>
    <w:link w:val="FootnoteTextChar"/>
    <w:uiPriority w:val="99"/>
    <w:rsid w:val="00E91E99"/>
    <w:pPr>
      <w:spacing w:before="40" w:after="0" w:line="240" w:lineRule="auto"/>
      <w:ind w:left="426" w:hanging="426"/>
    </w:pPr>
    <w:rPr>
      <w:sz w:val="18"/>
    </w:rPr>
  </w:style>
  <w:style w:type="paragraph" w:customStyle="1" w:styleId="Bullet">
    <w:name w:val="Bullet"/>
    <w:aliases w:val="b,b1,b + line,Body,level 1"/>
    <w:basedOn w:val="Normal"/>
    <w:link w:val="BulletChar"/>
    <w:rsid w:val="00FB4AC4"/>
    <w:pPr>
      <w:numPr>
        <w:numId w:val="1"/>
      </w:numPr>
      <w:ind w:left="1134" w:hanging="567"/>
    </w:pPr>
  </w:style>
  <w:style w:type="paragraph" w:customStyle="1" w:styleId="Dash">
    <w:name w:val="Dash"/>
    <w:basedOn w:val="Normal"/>
    <w:rsid w:val="00E91E99"/>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E91E99"/>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FB4AC4"/>
    <w:pPr>
      <w:numPr>
        <w:numId w:val="9"/>
      </w:numPr>
      <w:spacing w:line="280" w:lineRule="exact"/>
      <w:jc w:val="both"/>
    </w:pPr>
  </w:style>
  <w:style w:type="paragraph" w:customStyle="1" w:styleId="OutlineNumbered2">
    <w:name w:val="Outline Numbered 2"/>
    <w:basedOn w:val="Normal"/>
    <w:uiPriority w:val="2"/>
    <w:rsid w:val="00FB4AC4"/>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FB4AC4"/>
    <w:pPr>
      <w:numPr>
        <w:numId w:val="2"/>
      </w:numPr>
    </w:pPr>
  </w:style>
  <w:style w:type="paragraph" w:customStyle="1" w:styleId="HeadingBase">
    <w:name w:val="Heading Base"/>
    <w:next w:val="Normal"/>
    <w:rsid w:val="00FB4AC4"/>
    <w:pPr>
      <w:keepNext/>
    </w:pPr>
    <w:rPr>
      <w:rFonts w:ascii="Calibri" w:hAnsi="Calibri"/>
      <w:color w:val="31A7D4" w:themeColor="accent1"/>
    </w:rPr>
  </w:style>
  <w:style w:type="paragraph" w:customStyle="1" w:styleId="AppendixHeading">
    <w:name w:val="Appendix Heading"/>
    <w:basedOn w:val="HeadingBase"/>
    <w:next w:val="Normal"/>
    <w:rsid w:val="00FB4AC4"/>
    <w:pPr>
      <w:spacing w:before="720" w:after="360"/>
      <w:outlineLvl w:val="0"/>
    </w:pPr>
    <w:rPr>
      <w:b/>
      <w:smallCaps/>
      <w:sz w:val="36"/>
      <w:szCs w:val="36"/>
    </w:rPr>
  </w:style>
  <w:style w:type="character" w:customStyle="1" w:styleId="Bold">
    <w:name w:val="Bold"/>
    <w:basedOn w:val="DefaultParagraphFont"/>
    <w:rsid w:val="00FB4AC4"/>
    <w:rPr>
      <w:b/>
    </w:rPr>
  </w:style>
  <w:style w:type="paragraph" w:customStyle="1" w:styleId="BoxHeading">
    <w:name w:val="Box Heading"/>
    <w:basedOn w:val="Caption"/>
    <w:next w:val="BoxText"/>
    <w:unhideWhenUsed/>
    <w:rsid w:val="00E91E99"/>
    <w:rPr>
      <w:sz w:val="28"/>
      <w:szCs w:val="28"/>
    </w:rPr>
  </w:style>
  <w:style w:type="paragraph" w:customStyle="1" w:styleId="BoxTextBase">
    <w:name w:val="Box Text Base"/>
    <w:basedOn w:val="Normal"/>
    <w:unhideWhenUsed/>
    <w:rsid w:val="00E91E99"/>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E91E99"/>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E91E99"/>
    <w:pPr>
      <w:keepNext/>
      <w:spacing w:after="0" w:line="240" w:lineRule="auto"/>
      <w:jc w:val="center"/>
    </w:pPr>
    <w:rPr>
      <w:color w:val="636363" w:themeColor="accent2"/>
    </w:rPr>
  </w:style>
  <w:style w:type="paragraph" w:customStyle="1" w:styleId="ChartMainHeading">
    <w:name w:val="Chart Main Heading"/>
    <w:basedOn w:val="Caption"/>
    <w:next w:val="ChartGraphic"/>
    <w:rsid w:val="00E91E99"/>
    <w:pPr>
      <w:keepNext/>
      <w:spacing w:before="120" w:after="60"/>
      <w:jc w:val="center"/>
    </w:pPr>
    <w:rPr>
      <w:sz w:val="20"/>
      <w:szCs w:val="20"/>
    </w:rPr>
  </w:style>
  <w:style w:type="paragraph" w:customStyle="1" w:styleId="ChartorTableNote">
    <w:name w:val="Chart or Table Note"/>
    <w:next w:val="Normal"/>
    <w:rsid w:val="0026574D"/>
    <w:rPr>
      <w:rFonts w:ascii="Arial" w:hAnsi="Arial"/>
      <w:color w:val="000000"/>
      <w:sz w:val="18"/>
    </w:rPr>
  </w:style>
  <w:style w:type="paragraph" w:customStyle="1" w:styleId="ChartSecondHeading">
    <w:name w:val="Chart Second Heading"/>
    <w:basedOn w:val="HeadingBase"/>
    <w:next w:val="ChartGraphic"/>
    <w:rsid w:val="00FB4AC4"/>
    <w:pPr>
      <w:spacing w:after="20"/>
      <w:jc w:val="center"/>
    </w:pPr>
  </w:style>
  <w:style w:type="paragraph" w:customStyle="1" w:styleId="Classification">
    <w:name w:val="Classification"/>
    <w:basedOn w:val="HeadingBase"/>
    <w:next w:val="Footer"/>
    <w:semiHidden/>
    <w:rsid w:val="00FB4AC4"/>
    <w:pPr>
      <w:spacing w:after="120"/>
      <w:jc w:val="center"/>
    </w:pPr>
    <w:rPr>
      <w:b/>
      <w:smallCaps/>
    </w:rPr>
  </w:style>
  <w:style w:type="paragraph" w:styleId="Footer">
    <w:name w:val="footer"/>
    <w:basedOn w:val="Normal"/>
    <w:link w:val="FooterChar"/>
    <w:uiPriority w:val="99"/>
    <w:unhideWhenUsed/>
    <w:rsid w:val="00E91E99"/>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FB4AC4"/>
    <w:pPr>
      <w:spacing w:after="360"/>
      <w:jc w:val="center"/>
    </w:pPr>
    <w:rPr>
      <w:smallCaps/>
      <w:sz w:val="40"/>
      <w:szCs w:val="36"/>
    </w:rPr>
  </w:style>
  <w:style w:type="paragraph" w:customStyle="1" w:styleId="CoverTitleMain">
    <w:name w:val="Cover Title Main"/>
    <w:basedOn w:val="HeadingBase"/>
    <w:next w:val="Normal"/>
    <w:uiPriority w:val="2"/>
    <w:rsid w:val="00FB4AC4"/>
    <w:pPr>
      <w:spacing w:before="720" w:after="480"/>
    </w:pPr>
    <w:rPr>
      <w:b/>
      <w:caps/>
      <w:sz w:val="48"/>
    </w:rPr>
  </w:style>
  <w:style w:type="paragraph" w:customStyle="1" w:styleId="CoverTitleSub">
    <w:name w:val="Cover Title Sub"/>
    <w:basedOn w:val="HeadingBase"/>
    <w:uiPriority w:val="2"/>
    <w:rsid w:val="00FB4AC4"/>
    <w:pPr>
      <w:pBdr>
        <w:top w:val="single" w:sz="4" w:space="1" w:color="009976"/>
      </w:pBdr>
      <w:spacing w:after="360"/>
      <w:jc w:val="right"/>
    </w:pPr>
    <w:rPr>
      <w:sz w:val="36"/>
    </w:rPr>
  </w:style>
  <w:style w:type="paragraph" w:customStyle="1" w:styleId="FooterCentered">
    <w:name w:val="Footer Centered"/>
    <w:basedOn w:val="Footer"/>
    <w:unhideWhenUsed/>
    <w:rsid w:val="00FB4AC4"/>
    <w:pPr>
      <w:jc w:val="center"/>
    </w:pPr>
  </w:style>
  <w:style w:type="paragraph" w:customStyle="1" w:styleId="FooterEven">
    <w:name w:val="Footer Even"/>
    <w:basedOn w:val="Footer"/>
    <w:unhideWhenUsed/>
    <w:rsid w:val="00334D73"/>
  </w:style>
  <w:style w:type="paragraph" w:customStyle="1" w:styleId="FooterOdd">
    <w:name w:val="Footer Odd"/>
    <w:basedOn w:val="Footer"/>
    <w:unhideWhenUsed/>
    <w:rsid w:val="00334D73"/>
  </w:style>
  <w:style w:type="character" w:customStyle="1" w:styleId="FramedFooter">
    <w:name w:val="Framed Footer"/>
    <w:semiHidden/>
    <w:rsid w:val="00FB4AC4"/>
    <w:rPr>
      <w:rFonts w:ascii="Arial" w:hAnsi="Arial"/>
      <w:color w:val="31A7D4" w:themeColor="accent1"/>
      <w:sz w:val="18"/>
    </w:rPr>
  </w:style>
  <w:style w:type="character" w:customStyle="1" w:styleId="FramedHeader">
    <w:name w:val="Framed Header"/>
    <w:basedOn w:val="DefaultParagraphFont"/>
    <w:semiHidden/>
    <w:rsid w:val="00FB4AC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E91E99"/>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334D73"/>
    <w:pPr>
      <w:jc w:val="left"/>
    </w:pPr>
  </w:style>
  <w:style w:type="paragraph" w:customStyle="1" w:styleId="HeaderOdd">
    <w:name w:val="Header Odd"/>
    <w:basedOn w:val="Header"/>
    <w:rsid w:val="00334D73"/>
    <w:rPr>
      <w:noProof/>
    </w:rPr>
  </w:style>
  <w:style w:type="paragraph" w:styleId="NormalIndent">
    <w:name w:val="Normal Indent"/>
    <w:basedOn w:val="Normal"/>
    <w:semiHidden/>
    <w:rsid w:val="00FB4AC4"/>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FB4AC4"/>
    <w:pPr>
      <w:spacing w:after="120"/>
    </w:pPr>
  </w:style>
  <w:style w:type="paragraph" w:customStyle="1" w:styleId="RecommendationText">
    <w:name w:val="Recommendation Text"/>
    <w:basedOn w:val="Normal"/>
    <w:qFormat/>
    <w:rsid w:val="00FB4AC4"/>
    <w:pPr>
      <w:spacing w:after="120"/>
      <w:ind w:left="459" w:hanging="425"/>
    </w:pPr>
    <w:rPr>
      <w:color w:val="000000"/>
    </w:rPr>
  </w:style>
  <w:style w:type="paragraph" w:customStyle="1" w:styleId="TableTextBase">
    <w:name w:val="Table Text Base"/>
    <w:uiPriority w:val="1"/>
    <w:unhideWhenUsed/>
    <w:rsid w:val="00FB4AC4"/>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FB4AC4"/>
    <w:pPr>
      <w:jc w:val="center"/>
    </w:pPr>
  </w:style>
  <w:style w:type="paragraph" w:customStyle="1" w:styleId="TableColumnHeadingLeft">
    <w:name w:val="Table Column Heading Left"/>
    <w:basedOn w:val="TableColumnHeadingBase"/>
    <w:uiPriority w:val="1"/>
    <w:unhideWhenUsed/>
    <w:rsid w:val="00FB4AC4"/>
  </w:style>
  <w:style w:type="paragraph" w:customStyle="1" w:styleId="TableColumnHeadingRight">
    <w:name w:val="Table Column Heading Right"/>
    <w:basedOn w:val="TableColumnHeadingBase"/>
    <w:uiPriority w:val="1"/>
    <w:unhideWhenUsed/>
    <w:rsid w:val="00FB4AC4"/>
    <w:pPr>
      <w:jc w:val="right"/>
    </w:pPr>
  </w:style>
  <w:style w:type="paragraph" w:customStyle="1" w:styleId="TableGraphic">
    <w:name w:val="Table Graphic"/>
    <w:basedOn w:val="Normal"/>
    <w:next w:val="Normal"/>
    <w:rsid w:val="00E91E99"/>
    <w:pPr>
      <w:keepNext/>
      <w:spacing w:after="0" w:line="240" w:lineRule="auto"/>
    </w:pPr>
    <w:rPr>
      <w:color w:val="636363" w:themeColor="accent2"/>
    </w:rPr>
  </w:style>
  <w:style w:type="paragraph" w:customStyle="1" w:styleId="TableMainHeading">
    <w:name w:val="Table Main Heading"/>
    <w:basedOn w:val="Normal"/>
    <w:next w:val="Normal"/>
    <w:uiPriority w:val="1"/>
    <w:rsid w:val="00E91E99"/>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FB4AC4"/>
    <w:pPr>
      <w:pageBreakBefore/>
      <w:spacing w:after="20"/>
    </w:pPr>
    <w:rPr>
      <w:b/>
      <w:sz w:val="22"/>
    </w:rPr>
  </w:style>
  <w:style w:type="paragraph" w:customStyle="1" w:styleId="TableSecondHeading">
    <w:name w:val="Table Second Heading"/>
    <w:basedOn w:val="HeadingBase"/>
    <w:next w:val="TableGraphic"/>
    <w:uiPriority w:val="1"/>
    <w:unhideWhenUsed/>
    <w:rsid w:val="00FB4AC4"/>
    <w:pPr>
      <w:spacing w:after="20"/>
    </w:pPr>
  </w:style>
  <w:style w:type="paragraph" w:customStyle="1" w:styleId="TableTextCentered">
    <w:name w:val="Table Text Centered"/>
    <w:basedOn w:val="TableTextBase"/>
    <w:uiPriority w:val="1"/>
    <w:unhideWhenUsed/>
    <w:rsid w:val="00FB4AC4"/>
    <w:pPr>
      <w:jc w:val="center"/>
    </w:pPr>
  </w:style>
  <w:style w:type="paragraph" w:customStyle="1" w:styleId="TableTextIndented">
    <w:name w:val="Table Text Indented"/>
    <w:basedOn w:val="TableTextBase"/>
    <w:uiPriority w:val="1"/>
    <w:unhideWhenUsed/>
    <w:rsid w:val="00FB4AC4"/>
    <w:pPr>
      <w:ind w:left="284"/>
    </w:pPr>
  </w:style>
  <w:style w:type="paragraph" w:customStyle="1" w:styleId="TableTextLeft">
    <w:name w:val="Table Text Left"/>
    <w:basedOn w:val="Normal"/>
    <w:rsid w:val="00E91E99"/>
    <w:pPr>
      <w:spacing w:before="60" w:after="60"/>
    </w:pPr>
  </w:style>
  <w:style w:type="paragraph" w:customStyle="1" w:styleId="TableTextRight">
    <w:name w:val="Table Text Right"/>
    <w:basedOn w:val="TableTextBase"/>
    <w:uiPriority w:val="1"/>
    <w:unhideWhenUsed/>
    <w:rsid w:val="00FB4AC4"/>
    <w:pPr>
      <w:jc w:val="right"/>
    </w:pPr>
  </w:style>
  <w:style w:type="paragraph" w:styleId="TOC1">
    <w:name w:val="toc 1"/>
    <w:basedOn w:val="HeadingBase"/>
    <w:next w:val="Normal"/>
    <w:uiPriority w:val="39"/>
    <w:rsid w:val="00FB4AC4"/>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FB4AC4"/>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FB4AC4"/>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FB4AC4"/>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FB4AC4"/>
    <w:rPr>
      <w:i/>
    </w:rPr>
  </w:style>
  <w:style w:type="paragraph" w:customStyle="1" w:styleId="OneLevelNumberedParagraph">
    <w:name w:val="One Level Numbered Paragraph"/>
    <w:basedOn w:val="Normal"/>
    <w:rsid w:val="00FB4AC4"/>
    <w:pPr>
      <w:numPr>
        <w:numId w:val="5"/>
      </w:numPr>
    </w:pPr>
  </w:style>
  <w:style w:type="paragraph" w:customStyle="1" w:styleId="BoxText">
    <w:name w:val="Box Text"/>
    <w:basedOn w:val="BoxTextBase"/>
    <w:unhideWhenUsed/>
    <w:rsid w:val="00E91E99"/>
    <w:pPr>
      <w:shd w:val="clear" w:color="auto" w:fill="auto"/>
      <w:spacing w:after="120"/>
    </w:pPr>
  </w:style>
  <w:style w:type="paragraph" w:customStyle="1" w:styleId="BoxBullet">
    <w:name w:val="Box Bullet"/>
    <w:basedOn w:val="BoxTextBase"/>
    <w:unhideWhenUsed/>
    <w:rsid w:val="00E91E99"/>
    <w:pPr>
      <w:numPr>
        <w:numId w:val="4"/>
      </w:numPr>
      <w:shd w:val="clear" w:color="auto" w:fill="auto"/>
    </w:pPr>
  </w:style>
  <w:style w:type="paragraph" w:customStyle="1" w:styleId="BoxDash">
    <w:name w:val="Box Dash"/>
    <w:basedOn w:val="BoxTextBase"/>
    <w:unhideWhenUsed/>
    <w:rsid w:val="00E91E99"/>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E91E99"/>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FB4AC4"/>
    <w:pPr>
      <w:numPr>
        <w:numId w:val="6"/>
      </w:numPr>
    </w:pPr>
  </w:style>
  <w:style w:type="paragraph" w:customStyle="1" w:styleId="RecommendationDash">
    <w:name w:val="Recommendation Dash"/>
    <w:basedOn w:val="RecommendationTextBase"/>
    <w:rsid w:val="00FB4AC4"/>
    <w:pPr>
      <w:numPr>
        <w:ilvl w:val="1"/>
        <w:numId w:val="6"/>
      </w:numPr>
    </w:pPr>
  </w:style>
  <w:style w:type="paragraph" w:customStyle="1" w:styleId="RecommendationDoubleDot">
    <w:name w:val="Recommendation Double Dot"/>
    <w:basedOn w:val="RecommendationTextBase"/>
    <w:rsid w:val="00FB4AC4"/>
    <w:pPr>
      <w:numPr>
        <w:ilvl w:val="2"/>
        <w:numId w:val="6"/>
      </w:numPr>
    </w:pPr>
  </w:style>
  <w:style w:type="character" w:styleId="FollowedHyperlink">
    <w:name w:val="FollowedHyperlink"/>
    <w:basedOn w:val="DefaultParagraphFont"/>
    <w:unhideWhenUsed/>
    <w:rsid w:val="00FB4AC4"/>
    <w:rPr>
      <w:color w:val="auto"/>
      <w:u w:val="none"/>
    </w:rPr>
  </w:style>
  <w:style w:type="paragraph" w:customStyle="1" w:styleId="Heading1NotNumbered">
    <w:name w:val="Heading 1 Not Numbered"/>
    <w:basedOn w:val="HeadingBase"/>
    <w:next w:val="Normal"/>
    <w:rsid w:val="00FB4AC4"/>
    <w:pPr>
      <w:spacing w:before="720" w:after="360"/>
    </w:pPr>
    <w:rPr>
      <w:smallCaps/>
      <w:sz w:val="40"/>
      <w:szCs w:val="36"/>
    </w:rPr>
  </w:style>
  <w:style w:type="paragraph" w:customStyle="1" w:styleId="Heading2NotNumbered">
    <w:name w:val="Heading 2 Not Numbered"/>
    <w:basedOn w:val="HeadingBase"/>
    <w:next w:val="Normal"/>
    <w:rsid w:val="00FB4AC4"/>
    <w:pPr>
      <w:spacing w:before="360" w:after="180"/>
    </w:pPr>
    <w:rPr>
      <w:smallCaps/>
      <w:sz w:val="32"/>
      <w:szCs w:val="28"/>
    </w:rPr>
  </w:style>
  <w:style w:type="paragraph" w:customStyle="1" w:styleId="Heading3NotNumbered">
    <w:name w:val="Heading 3 Not Numbered"/>
    <w:basedOn w:val="HeadingBase"/>
    <w:next w:val="Normal"/>
    <w:rsid w:val="00FB4AC4"/>
    <w:pPr>
      <w:spacing w:before="240" w:after="120"/>
    </w:pPr>
    <w:rPr>
      <w:sz w:val="28"/>
      <w:szCs w:val="26"/>
    </w:rPr>
  </w:style>
  <w:style w:type="paragraph" w:customStyle="1" w:styleId="Heading4NotNumbered">
    <w:name w:val="Heading 4 Not Numbered"/>
    <w:basedOn w:val="HeadingBase"/>
    <w:unhideWhenUsed/>
    <w:rsid w:val="00FB4AC4"/>
    <w:pPr>
      <w:spacing w:before="120" w:after="120"/>
      <w:outlineLvl w:val="3"/>
    </w:pPr>
    <w:rPr>
      <w:i/>
      <w:sz w:val="26"/>
    </w:rPr>
  </w:style>
  <w:style w:type="paragraph" w:styleId="BalloonText">
    <w:name w:val="Balloon Text"/>
    <w:basedOn w:val="Normal"/>
    <w:link w:val="BalloonTextChar"/>
    <w:uiPriority w:val="99"/>
    <w:semiHidden/>
    <w:unhideWhenUsed/>
    <w:rsid w:val="00E91E99"/>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E91E99"/>
    <w:pPr>
      <w:spacing w:after="200" w:line="240" w:lineRule="auto"/>
    </w:pPr>
    <w:rPr>
      <w:b/>
      <w:bCs/>
      <w:color w:val="31A7D4" w:themeColor="accent1"/>
      <w:sz w:val="18"/>
      <w:szCs w:val="18"/>
    </w:rPr>
  </w:style>
  <w:style w:type="character" w:styleId="CommentReference">
    <w:name w:val="annotation reference"/>
    <w:basedOn w:val="DefaultParagraphFont"/>
    <w:semiHidden/>
    <w:rsid w:val="00FB4AC4"/>
    <w:rPr>
      <w:sz w:val="16"/>
      <w:szCs w:val="16"/>
    </w:rPr>
  </w:style>
  <w:style w:type="paragraph" w:styleId="CommentText">
    <w:name w:val="annotation text"/>
    <w:basedOn w:val="Normal"/>
    <w:semiHidden/>
    <w:rsid w:val="00FB4AC4"/>
  </w:style>
  <w:style w:type="paragraph" w:styleId="CommentSubject">
    <w:name w:val="annotation subject"/>
    <w:basedOn w:val="CommentText"/>
    <w:next w:val="CommentText"/>
    <w:semiHidden/>
    <w:rsid w:val="00FB4AC4"/>
    <w:rPr>
      <w:b/>
      <w:bCs/>
    </w:rPr>
  </w:style>
  <w:style w:type="paragraph" w:styleId="DocumentMap">
    <w:name w:val="Document Map"/>
    <w:basedOn w:val="Normal"/>
    <w:semiHidden/>
    <w:rsid w:val="00FB4AC4"/>
    <w:pPr>
      <w:shd w:val="clear" w:color="auto" w:fill="000080"/>
    </w:pPr>
    <w:rPr>
      <w:rFonts w:ascii="Tahoma" w:hAnsi="Tahoma" w:cs="Tahoma"/>
    </w:rPr>
  </w:style>
  <w:style w:type="character" w:styleId="EndnoteReference">
    <w:name w:val="endnote reference"/>
    <w:basedOn w:val="DefaultParagraphFont"/>
    <w:semiHidden/>
    <w:rsid w:val="00FB4AC4"/>
    <w:rPr>
      <w:vertAlign w:val="superscript"/>
    </w:rPr>
  </w:style>
  <w:style w:type="paragraph" w:styleId="EndnoteText">
    <w:name w:val="endnote text"/>
    <w:basedOn w:val="Normal"/>
    <w:semiHidden/>
    <w:rsid w:val="00FB4AC4"/>
  </w:style>
  <w:style w:type="character" w:styleId="FootnoteReference">
    <w:name w:val="footnote reference"/>
    <w:basedOn w:val="DefaultParagraphFont"/>
    <w:uiPriority w:val="99"/>
    <w:unhideWhenUsed/>
    <w:rsid w:val="00E91E99"/>
    <w:rPr>
      <w:vertAlign w:val="superscript"/>
    </w:rPr>
  </w:style>
  <w:style w:type="paragraph" w:styleId="Index1">
    <w:name w:val="index 1"/>
    <w:basedOn w:val="Normal"/>
    <w:next w:val="Normal"/>
    <w:autoRedefine/>
    <w:semiHidden/>
    <w:rsid w:val="00FB4AC4"/>
    <w:pPr>
      <w:ind w:left="200" w:hanging="200"/>
    </w:pPr>
  </w:style>
  <w:style w:type="paragraph" w:styleId="Index2">
    <w:name w:val="index 2"/>
    <w:basedOn w:val="Normal"/>
    <w:next w:val="Normal"/>
    <w:autoRedefine/>
    <w:semiHidden/>
    <w:rsid w:val="00FB4AC4"/>
    <w:pPr>
      <w:ind w:left="400" w:hanging="200"/>
    </w:pPr>
  </w:style>
  <w:style w:type="paragraph" w:styleId="Index3">
    <w:name w:val="index 3"/>
    <w:basedOn w:val="Normal"/>
    <w:next w:val="Normal"/>
    <w:autoRedefine/>
    <w:semiHidden/>
    <w:rsid w:val="00FB4AC4"/>
    <w:pPr>
      <w:ind w:left="600" w:hanging="200"/>
    </w:pPr>
  </w:style>
  <w:style w:type="paragraph" w:styleId="Index4">
    <w:name w:val="index 4"/>
    <w:basedOn w:val="Normal"/>
    <w:next w:val="Normal"/>
    <w:autoRedefine/>
    <w:semiHidden/>
    <w:rsid w:val="00FB4AC4"/>
    <w:pPr>
      <w:ind w:left="800" w:hanging="200"/>
    </w:pPr>
  </w:style>
  <w:style w:type="paragraph" w:styleId="Index5">
    <w:name w:val="index 5"/>
    <w:basedOn w:val="Normal"/>
    <w:next w:val="Normal"/>
    <w:autoRedefine/>
    <w:semiHidden/>
    <w:rsid w:val="00FB4AC4"/>
    <w:pPr>
      <w:ind w:left="1000" w:hanging="200"/>
    </w:pPr>
  </w:style>
  <w:style w:type="paragraph" w:styleId="Index6">
    <w:name w:val="index 6"/>
    <w:basedOn w:val="Normal"/>
    <w:next w:val="Normal"/>
    <w:autoRedefine/>
    <w:semiHidden/>
    <w:rsid w:val="00FB4AC4"/>
    <w:pPr>
      <w:ind w:left="1200" w:hanging="200"/>
    </w:pPr>
  </w:style>
  <w:style w:type="paragraph" w:styleId="Index7">
    <w:name w:val="index 7"/>
    <w:basedOn w:val="Normal"/>
    <w:next w:val="Normal"/>
    <w:autoRedefine/>
    <w:semiHidden/>
    <w:rsid w:val="00FB4AC4"/>
    <w:pPr>
      <w:ind w:left="1400" w:hanging="200"/>
    </w:pPr>
  </w:style>
  <w:style w:type="paragraph" w:styleId="Index8">
    <w:name w:val="index 8"/>
    <w:basedOn w:val="Normal"/>
    <w:next w:val="Normal"/>
    <w:autoRedefine/>
    <w:semiHidden/>
    <w:rsid w:val="00FB4AC4"/>
    <w:pPr>
      <w:ind w:left="1600" w:hanging="200"/>
    </w:pPr>
  </w:style>
  <w:style w:type="paragraph" w:styleId="Index9">
    <w:name w:val="index 9"/>
    <w:basedOn w:val="Normal"/>
    <w:next w:val="Normal"/>
    <w:autoRedefine/>
    <w:semiHidden/>
    <w:rsid w:val="00FB4AC4"/>
    <w:pPr>
      <w:ind w:left="1800" w:hanging="200"/>
    </w:pPr>
  </w:style>
  <w:style w:type="paragraph" w:styleId="IndexHeading">
    <w:name w:val="index heading"/>
    <w:basedOn w:val="Normal"/>
    <w:next w:val="Index1"/>
    <w:semiHidden/>
    <w:rsid w:val="00FB4AC4"/>
    <w:rPr>
      <w:rFonts w:cs="Arial"/>
      <w:b/>
      <w:bCs/>
    </w:rPr>
  </w:style>
  <w:style w:type="paragraph" w:styleId="MacroText">
    <w:name w:val="macro"/>
    <w:semiHidden/>
    <w:rsid w:val="00FB4AC4"/>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FB4AC4"/>
    <w:pPr>
      <w:ind w:left="200" w:hanging="200"/>
    </w:pPr>
  </w:style>
  <w:style w:type="paragraph" w:styleId="TableofFigures">
    <w:name w:val="table of figures"/>
    <w:basedOn w:val="Normal"/>
    <w:next w:val="Normal"/>
    <w:semiHidden/>
    <w:rsid w:val="00FB4AC4"/>
  </w:style>
  <w:style w:type="paragraph" w:styleId="TOAHeading">
    <w:name w:val="toa heading"/>
    <w:basedOn w:val="Normal"/>
    <w:next w:val="Normal"/>
    <w:semiHidden/>
    <w:rsid w:val="00FB4AC4"/>
    <w:rPr>
      <w:rFonts w:cs="Arial"/>
      <w:b/>
      <w:bCs/>
      <w:szCs w:val="24"/>
    </w:rPr>
  </w:style>
  <w:style w:type="paragraph" w:styleId="TOC5">
    <w:name w:val="toc 5"/>
    <w:basedOn w:val="Normal"/>
    <w:next w:val="Normal"/>
    <w:autoRedefine/>
    <w:semiHidden/>
    <w:rsid w:val="00FB4AC4"/>
    <w:pPr>
      <w:ind w:left="800"/>
    </w:pPr>
  </w:style>
  <w:style w:type="paragraph" w:styleId="TOC6">
    <w:name w:val="toc 6"/>
    <w:basedOn w:val="Normal"/>
    <w:next w:val="Normal"/>
    <w:autoRedefine/>
    <w:semiHidden/>
    <w:rsid w:val="00FB4AC4"/>
    <w:pPr>
      <w:ind w:left="1000"/>
    </w:pPr>
  </w:style>
  <w:style w:type="paragraph" w:styleId="TOC7">
    <w:name w:val="toc 7"/>
    <w:basedOn w:val="Normal"/>
    <w:next w:val="Normal"/>
    <w:autoRedefine/>
    <w:semiHidden/>
    <w:rsid w:val="00FB4AC4"/>
    <w:pPr>
      <w:ind w:left="1200"/>
    </w:pPr>
  </w:style>
  <w:style w:type="paragraph" w:styleId="TOC8">
    <w:name w:val="toc 8"/>
    <w:basedOn w:val="Normal"/>
    <w:next w:val="Normal"/>
    <w:autoRedefine/>
    <w:semiHidden/>
    <w:rsid w:val="00FB4AC4"/>
    <w:pPr>
      <w:ind w:left="1400"/>
    </w:pPr>
  </w:style>
  <w:style w:type="paragraph" w:styleId="TOC9">
    <w:name w:val="toc 9"/>
    <w:basedOn w:val="Normal"/>
    <w:next w:val="Normal"/>
    <w:autoRedefine/>
    <w:semiHidden/>
    <w:rsid w:val="00FB4AC4"/>
    <w:pPr>
      <w:ind w:left="1600"/>
    </w:pPr>
  </w:style>
  <w:style w:type="paragraph" w:customStyle="1" w:styleId="Heading5NotNumbered">
    <w:name w:val="Heading 5 Not Numbered"/>
    <w:basedOn w:val="HeadingBase"/>
    <w:unhideWhenUsed/>
    <w:rsid w:val="00FB4AC4"/>
    <w:pPr>
      <w:spacing w:after="120"/>
      <w:outlineLvl w:val="4"/>
    </w:pPr>
    <w:rPr>
      <w:b/>
      <w:i/>
      <w:sz w:val="22"/>
    </w:rPr>
  </w:style>
  <w:style w:type="table" w:customStyle="1" w:styleId="OptionsTable">
    <w:name w:val="Options Table"/>
    <w:basedOn w:val="TableNormal"/>
    <w:rsid w:val="00FB4AC4"/>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FB4AC4"/>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FB4AC4"/>
    <w:pPr>
      <w:numPr>
        <w:ilvl w:val="4"/>
        <w:numId w:val="9"/>
      </w:numPr>
      <w:spacing w:line="280" w:lineRule="exact"/>
      <w:jc w:val="both"/>
    </w:pPr>
  </w:style>
  <w:style w:type="paragraph" w:customStyle="1" w:styleId="Crest">
    <w:name w:val="Crest"/>
    <w:basedOn w:val="Header"/>
    <w:uiPriority w:val="2"/>
    <w:rsid w:val="00FB4AC4"/>
    <w:pPr>
      <w:spacing w:after="480"/>
    </w:pPr>
  </w:style>
  <w:style w:type="character" w:customStyle="1" w:styleId="SingleParagraphChar">
    <w:name w:val="Single Paragraph Char"/>
    <w:basedOn w:val="DefaultParagraphFont"/>
    <w:link w:val="SingleParagraph"/>
    <w:rsid w:val="00FB4AC4"/>
    <w:rPr>
      <w:rFonts w:asciiTheme="minorHAnsi" w:hAnsiTheme="minorHAnsi"/>
      <w:color w:val="000000" w:themeColor="text1"/>
      <w:sz w:val="24"/>
    </w:rPr>
  </w:style>
  <w:style w:type="character" w:customStyle="1" w:styleId="Heading5Char">
    <w:name w:val="Heading 5 Char"/>
    <w:basedOn w:val="DefaultParagraphFont"/>
    <w:link w:val="Heading5"/>
    <w:rsid w:val="00E91E99"/>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E91E99"/>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E91E99"/>
    <w:rPr>
      <w:rFonts w:ascii="Arial" w:hAnsi="Arial"/>
      <w:color w:val="31A7D4" w:themeColor="accent1"/>
      <w:sz w:val="28"/>
    </w:rPr>
  </w:style>
  <w:style w:type="paragraph" w:customStyle="1" w:styleId="SecurityClassificationFooter">
    <w:name w:val="Security Classification Footer"/>
    <w:link w:val="SecurityClassificationFooterChar"/>
    <w:rsid w:val="00FB4AC4"/>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FB4AC4"/>
    <w:rPr>
      <w:b/>
      <w:caps/>
      <w:color w:val="009976"/>
      <w:sz w:val="24"/>
    </w:rPr>
  </w:style>
  <w:style w:type="paragraph" w:customStyle="1" w:styleId="MinuteNumber">
    <w:name w:val="Minute Number"/>
    <w:basedOn w:val="Header"/>
    <w:uiPriority w:val="2"/>
    <w:rsid w:val="00FB4AC4"/>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FB4AC4"/>
    <w:pPr>
      <w:spacing w:before="120"/>
    </w:pPr>
    <w:rPr>
      <w:b w:val="0"/>
      <w:sz w:val="24"/>
    </w:rPr>
  </w:style>
  <w:style w:type="paragraph" w:customStyle="1" w:styleId="QAText">
    <w:name w:val="QA Text"/>
    <w:basedOn w:val="Normal"/>
    <w:unhideWhenUsed/>
    <w:rsid w:val="00FB4AC4"/>
    <w:pPr>
      <w:spacing w:after="120"/>
    </w:pPr>
  </w:style>
  <w:style w:type="paragraph" w:customStyle="1" w:styleId="Copyrightheadings">
    <w:name w:val="Copyright headings"/>
    <w:basedOn w:val="HeadingBase"/>
    <w:uiPriority w:val="2"/>
    <w:rsid w:val="00FB4AC4"/>
    <w:pPr>
      <w:spacing w:after="80"/>
    </w:pPr>
    <w:rPr>
      <w:b/>
      <w:color w:val="000000" w:themeColor="text1"/>
      <w:sz w:val="22"/>
    </w:rPr>
  </w:style>
  <w:style w:type="paragraph" w:customStyle="1" w:styleId="Quotes">
    <w:name w:val="Quotes"/>
    <w:basedOn w:val="Normal"/>
    <w:qFormat/>
    <w:rsid w:val="00FB4AC4"/>
    <w:pPr>
      <w:spacing w:after="120"/>
      <w:ind w:left="567" w:right="423"/>
    </w:pPr>
    <w:rPr>
      <w:color w:val="595959" w:themeColor="text1" w:themeTint="A6"/>
    </w:rPr>
  </w:style>
  <w:style w:type="paragraph" w:customStyle="1" w:styleId="Keymessageheading">
    <w:name w:val="Key message heading"/>
    <w:basedOn w:val="Questionheading"/>
    <w:uiPriority w:val="1"/>
    <w:qFormat/>
    <w:rsid w:val="00FB4AC4"/>
  </w:style>
  <w:style w:type="paragraph" w:customStyle="1" w:styleId="Keyfindingtext">
    <w:name w:val="Key finding text"/>
    <w:basedOn w:val="BoxText"/>
    <w:uiPriority w:val="1"/>
    <w:qFormat/>
    <w:rsid w:val="006C10B4"/>
    <w:pPr>
      <w:numPr>
        <w:numId w:val="12"/>
      </w:numPr>
      <w:ind w:left="459" w:hanging="459"/>
    </w:pPr>
  </w:style>
  <w:style w:type="paragraph" w:customStyle="1" w:styleId="Casestudyboxheading">
    <w:name w:val="Case study box heading"/>
    <w:basedOn w:val="Questionheading"/>
    <w:qFormat/>
    <w:rsid w:val="006C10B4"/>
    <w:pPr>
      <w:numPr>
        <w:ilvl w:val="1"/>
        <w:numId w:val="10"/>
      </w:numPr>
      <w:ind w:left="357"/>
      <w:jc w:val="both"/>
    </w:pPr>
    <w:rPr>
      <w:color w:val="31A7D4" w:themeColor="text2"/>
    </w:rPr>
  </w:style>
  <w:style w:type="paragraph" w:customStyle="1" w:styleId="Casestudyboxtext">
    <w:name w:val="Case study box text"/>
    <w:basedOn w:val="BoxText"/>
    <w:qFormat/>
    <w:rsid w:val="00FB4AC4"/>
  </w:style>
  <w:style w:type="paragraph" w:styleId="ListParagraph">
    <w:name w:val="List Paragraph"/>
    <w:basedOn w:val="Normal"/>
    <w:uiPriority w:val="34"/>
    <w:unhideWhenUsed/>
    <w:qFormat/>
    <w:rsid w:val="00E91E99"/>
    <w:pPr>
      <w:ind w:left="720"/>
      <w:contextualSpacing/>
    </w:pPr>
  </w:style>
  <w:style w:type="paragraph" w:customStyle="1" w:styleId="Copyrightheading">
    <w:name w:val="Copyright heading"/>
    <w:basedOn w:val="Normal"/>
    <w:rsid w:val="00FB4AC4"/>
    <w:pPr>
      <w:spacing w:before="200" w:after="120"/>
    </w:pPr>
    <w:rPr>
      <w:rFonts w:eastAsiaTheme="minorHAnsi" w:cstheme="minorBidi"/>
      <w:b/>
      <w:szCs w:val="22"/>
      <w:lang w:eastAsia="en-US"/>
    </w:rPr>
  </w:style>
  <w:style w:type="character" w:styleId="PageNumber">
    <w:name w:val="page number"/>
    <w:basedOn w:val="DefaultParagraphFont"/>
    <w:rsid w:val="00FB4AC4"/>
  </w:style>
  <w:style w:type="numbering" w:customStyle="1" w:styleId="BoxBulletedList">
    <w:name w:val="Box Bulleted List"/>
    <w:uiPriority w:val="99"/>
    <w:rsid w:val="00805A84"/>
  </w:style>
  <w:style w:type="numbering" w:customStyle="1" w:styleId="OneLevelList">
    <w:name w:val="OneLevelList"/>
    <w:uiPriority w:val="99"/>
    <w:rsid w:val="00805A84"/>
  </w:style>
  <w:style w:type="character" w:customStyle="1" w:styleId="FootnoteTextChar">
    <w:name w:val="Footnote Text Char"/>
    <w:basedOn w:val="DefaultParagraphFont"/>
    <w:link w:val="FootnoteText"/>
    <w:uiPriority w:val="99"/>
    <w:rsid w:val="00E91E99"/>
    <w:rPr>
      <w:rFonts w:ascii="Arial" w:hAnsi="Arial"/>
      <w:sz w:val="18"/>
    </w:rPr>
  </w:style>
  <w:style w:type="numbering" w:customStyle="1" w:styleId="BulletedList">
    <w:name w:val="Bulleted List"/>
    <w:uiPriority w:val="99"/>
    <w:rsid w:val="00805A84"/>
  </w:style>
  <w:style w:type="character" w:customStyle="1" w:styleId="BulletChar">
    <w:name w:val="Bullet Char"/>
    <w:aliases w:val="b + line Char Char,b Char,b Char Char"/>
    <w:basedOn w:val="DefaultParagraphFont"/>
    <w:link w:val="Bullet"/>
    <w:rsid w:val="00805A84"/>
    <w:rPr>
      <w:rFonts w:ascii="Arial" w:hAnsi="Arial"/>
      <w:sz w:val="22"/>
    </w:rPr>
  </w:style>
  <w:style w:type="numbering" w:customStyle="1" w:styleId="AlphaParagraphList">
    <w:name w:val="Alpha Paragraph List"/>
    <w:uiPriority w:val="99"/>
    <w:rsid w:val="00FA7571"/>
  </w:style>
  <w:style w:type="paragraph" w:customStyle="1" w:styleId="Questionheading">
    <w:name w:val="Question heading"/>
    <w:basedOn w:val="Normal"/>
    <w:qFormat/>
    <w:rsid w:val="00E91E99"/>
    <w:pPr>
      <w:spacing w:before="80" w:line="240" w:lineRule="auto"/>
    </w:pPr>
    <w:rPr>
      <w:b/>
      <w:color w:val="31A7D4" w:themeColor="accent1"/>
      <w:sz w:val="28"/>
      <w:szCs w:val="28"/>
    </w:rPr>
  </w:style>
  <w:style w:type="paragraph" w:customStyle="1" w:styleId="Questiontext">
    <w:name w:val="Question text"/>
    <w:basedOn w:val="ListParagraph"/>
    <w:qFormat/>
    <w:rsid w:val="00B76901"/>
    <w:pPr>
      <w:numPr>
        <w:numId w:val="1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E91E99"/>
    <w:pPr>
      <w:spacing w:before="20" w:after="0" w:line="240" w:lineRule="auto"/>
    </w:pPr>
    <w:rPr>
      <w:color w:val="000000" w:themeColor="text1"/>
      <w:sz w:val="20"/>
    </w:rPr>
  </w:style>
  <w:style w:type="paragraph" w:customStyle="1" w:styleId="Overviewheading">
    <w:name w:val="Overview heading"/>
    <w:basedOn w:val="Heading2"/>
    <w:qFormat/>
    <w:rsid w:val="00E91E99"/>
    <w:pPr>
      <w:numPr>
        <w:numId w:val="0"/>
      </w:numPr>
      <w:spacing w:after="240"/>
    </w:pPr>
  </w:style>
  <w:style w:type="paragraph" w:styleId="NormalWeb">
    <w:name w:val="Normal (Web)"/>
    <w:basedOn w:val="Normal"/>
    <w:semiHidden/>
    <w:rsid w:val="00973660"/>
    <w:rPr>
      <w:rFonts w:ascii="Times New Roman" w:hAnsi="Times New Roman"/>
      <w:szCs w:val="24"/>
    </w:rPr>
  </w:style>
  <w:style w:type="character" w:customStyle="1" w:styleId="OutlineNumbered1Char">
    <w:name w:val="Outline Numbered 1 Char"/>
    <w:basedOn w:val="DefaultParagraphFont"/>
    <w:link w:val="OutlineNumbered1"/>
    <w:uiPriority w:val="2"/>
    <w:rsid w:val="00415A7D"/>
    <w:rPr>
      <w:rFonts w:ascii="Arial" w:hAnsi="Arial"/>
      <w:sz w:val="22"/>
    </w:rPr>
  </w:style>
  <w:style w:type="character" w:styleId="Emphasis">
    <w:name w:val="Emphasis"/>
    <w:basedOn w:val="DefaultParagraphFont"/>
    <w:uiPriority w:val="20"/>
    <w:qFormat/>
    <w:rsid w:val="00117A28"/>
    <w:rPr>
      <w:i/>
      <w:iCs/>
    </w:rPr>
  </w:style>
  <w:style w:type="character" w:customStyle="1" w:styleId="Heading1Char">
    <w:name w:val="Heading 1 Char"/>
    <w:basedOn w:val="DefaultParagraphFont"/>
    <w:link w:val="Heading1"/>
    <w:rsid w:val="00E91E99"/>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9C61D5"/>
    <w:rPr>
      <w:rFonts w:ascii="Arial" w:hAnsi="Arial" w:cs="Arial"/>
      <w:b/>
      <w:bCs/>
      <w:color w:val="000000" w:themeColor="text1"/>
      <w:kern w:val="32"/>
      <w:sz w:val="40"/>
      <w:szCs w:val="36"/>
    </w:rPr>
  </w:style>
  <w:style w:type="paragraph" w:styleId="Title">
    <w:name w:val="Title"/>
    <w:basedOn w:val="Normal"/>
    <w:next w:val="Normal"/>
    <w:link w:val="TitleChar"/>
    <w:uiPriority w:val="10"/>
    <w:rsid w:val="00E91E99"/>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E91E99"/>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E91E99"/>
    <w:pPr>
      <w:numPr>
        <w:numId w:val="13"/>
      </w:numPr>
      <w:spacing w:after="120"/>
      <w:ind w:left="567" w:hanging="567"/>
      <w:contextualSpacing w:val="0"/>
    </w:pPr>
  </w:style>
  <w:style w:type="paragraph" w:styleId="Quote">
    <w:name w:val="Quote"/>
    <w:basedOn w:val="Normal"/>
    <w:next w:val="Normal"/>
    <w:link w:val="QuoteChar"/>
    <w:uiPriority w:val="29"/>
    <w:qFormat/>
    <w:rsid w:val="00E91E99"/>
    <w:pPr>
      <w:spacing w:before="120"/>
      <w:ind w:left="567"/>
    </w:pPr>
    <w:rPr>
      <w:iCs/>
      <w:color w:val="000000" w:themeColor="text1"/>
    </w:rPr>
  </w:style>
  <w:style w:type="character" w:customStyle="1" w:styleId="QuoteChar">
    <w:name w:val="Quote Char"/>
    <w:basedOn w:val="DefaultParagraphFont"/>
    <w:link w:val="Quote"/>
    <w:uiPriority w:val="29"/>
    <w:rsid w:val="00E91E99"/>
    <w:rPr>
      <w:rFonts w:ascii="Arial" w:hAnsi="Arial"/>
      <w:iCs/>
      <w:color w:val="000000" w:themeColor="text1"/>
      <w:sz w:val="22"/>
    </w:rPr>
  </w:style>
  <w:style w:type="character" w:customStyle="1" w:styleId="Heading3Char">
    <w:name w:val="Heading 3 Char"/>
    <w:basedOn w:val="DefaultParagraphFont"/>
    <w:link w:val="Heading3"/>
    <w:rsid w:val="0026574D"/>
    <w:rPr>
      <w:rFonts w:ascii="Arial" w:eastAsiaTheme="majorEastAsia" w:hAnsi="Arial" w:cstheme="majorBidi"/>
      <w:b/>
      <w:bCs/>
      <w:color w:val="31A7D4" w:themeColor="accent1"/>
      <w:sz w:val="30"/>
    </w:rPr>
  </w:style>
  <w:style w:type="paragraph" w:customStyle="1" w:styleId="Overviewtext">
    <w:name w:val="Overview text"/>
    <w:basedOn w:val="Normal"/>
    <w:qFormat/>
    <w:rsid w:val="00E91E99"/>
    <w:rPr>
      <w:sz w:val="32"/>
      <w:szCs w:val="32"/>
    </w:rPr>
  </w:style>
  <w:style w:type="paragraph" w:customStyle="1" w:styleId="Singleparagraph0">
    <w:name w:val="Single paragraph"/>
    <w:basedOn w:val="Normal"/>
    <w:qFormat/>
    <w:rsid w:val="00E91E99"/>
    <w:pPr>
      <w:spacing w:after="0" w:line="240" w:lineRule="auto"/>
    </w:pPr>
  </w:style>
  <w:style w:type="character" w:customStyle="1" w:styleId="HeaderChar">
    <w:name w:val="Header Char"/>
    <w:basedOn w:val="DefaultParagraphFont"/>
    <w:link w:val="Header"/>
    <w:uiPriority w:val="99"/>
    <w:rsid w:val="00E91E99"/>
    <w:rPr>
      <w:rFonts w:ascii="Arial" w:hAnsi="Arial"/>
      <w:color w:val="636363" w:themeColor="accent2"/>
      <w:sz w:val="22"/>
    </w:rPr>
  </w:style>
  <w:style w:type="paragraph" w:customStyle="1" w:styleId="Overviewheading2">
    <w:name w:val="Overview heading 2"/>
    <w:basedOn w:val="Heading2"/>
    <w:qFormat/>
    <w:rsid w:val="00E91E99"/>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E91E99"/>
    <w:rPr>
      <w:rFonts w:ascii="Tahoma" w:hAnsi="Tahoma" w:cs="Tahoma"/>
      <w:sz w:val="16"/>
      <w:szCs w:val="16"/>
    </w:rPr>
  </w:style>
  <w:style w:type="paragraph" w:customStyle="1" w:styleId="ChartandTableNote">
    <w:name w:val="Chart and Table Note"/>
    <w:next w:val="Normal"/>
    <w:rsid w:val="00E91E99"/>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04427">
      <w:bodyDiv w:val="1"/>
      <w:marLeft w:val="0"/>
      <w:marRight w:val="0"/>
      <w:marTop w:val="0"/>
      <w:marBottom w:val="0"/>
      <w:divBdr>
        <w:top w:val="none" w:sz="0" w:space="0" w:color="auto"/>
        <w:left w:val="none" w:sz="0" w:space="0" w:color="auto"/>
        <w:bottom w:val="none" w:sz="0" w:space="0" w:color="auto"/>
        <w:right w:val="none" w:sz="0" w:space="0" w:color="auto"/>
      </w:divBdr>
    </w:div>
    <w:div w:id="789978914">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439564524">
      <w:bodyDiv w:val="1"/>
      <w:marLeft w:val="0"/>
      <w:marRight w:val="0"/>
      <w:marTop w:val="0"/>
      <w:marBottom w:val="0"/>
      <w:divBdr>
        <w:top w:val="none" w:sz="0" w:space="0" w:color="auto"/>
        <w:left w:val="none" w:sz="0" w:space="0" w:color="auto"/>
        <w:bottom w:val="none" w:sz="0" w:space="0" w:color="auto"/>
        <w:right w:val="none" w:sz="0" w:space="0" w:color="auto"/>
      </w:divBdr>
    </w:div>
    <w:div w:id="1468280883">
      <w:bodyDiv w:val="1"/>
      <w:marLeft w:val="0"/>
      <w:marRight w:val="0"/>
      <w:marTop w:val="0"/>
      <w:marBottom w:val="0"/>
      <w:divBdr>
        <w:top w:val="none" w:sz="0" w:space="0" w:color="auto"/>
        <w:left w:val="none" w:sz="0" w:space="0" w:color="auto"/>
        <w:bottom w:val="none" w:sz="0" w:space="0" w:color="auto"/>
        <w:right w:val="none" w:sz="0" w:space="0" w:color="auto"/>
      </w:divBdr>
    </w:div>
    <w:div w:id="1923563199">
      <w:bodyDiv w:val="1"/>
      <w:marLeft w:val="0"/>
      <w:marRight w:val="0"/>
      <w:marTop w:val="0"/>
      <w:marBottom w:val="0"/>
      <w:divBdr>
        <w:top w:val="none" w:sz="0" w:space="0" w:color="auto"/>
        <w:left w:val="none" w:sz="0" w:space="0" w:color="auto"/>
        <w:bottom w:val="none" w:sz="0" w:space="0" w:color="auto"/>
        <w:right w:val="none" w:sz="0" w:space="0" w:color="auto"/>
      </w:divBdr>
    </w:div>
    <w:div w:id="193397410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http://tweb/sites/rg/project/twptf/twp/20.%20Issues%20Paper/Issues%20Paper%20soft%20close/Charts/09.%20Indirect%20taxes/9-1%20Commonwealth%20indirect%20tax%20revenue.xlsx!Chart!%5b9-1%20Commonwealth%20indirect%20tax%20revenue.xlsx%5dChart%20Chart%201-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2014RG-82-6642</_dlc_DocId>
    <TaxCatchAll xmlns="9f7bc583-7cbe-45b9-a2bd-8bbb6543b37e">
      <Value>20</Value>
    </TaxCatchAll>
    <_dlc_DocIdUrl xmlns="9f7bc583-7cbe-45b9-a2bd-8bbb6543b37e">
      <Url>http://tweb/sites/rg/project/twptf/_layouts/15/DocIdRedir.aspx?ID=2014RG-82-6642</Url>
      <Description>2014RG-82-6642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B477F-E4DE-4542-AF80-6BCD6430D05A}">
  <ds:schemaRefs>
    <ds:schemaRef ds:uri="http://schemas.microsoft.com/sharepoint/v3/contenttype/forms"/>
  </ds:schemaRefs>
</ds:datastoreItem>
</file>

<file path=customXml/itemProps2.xml><?xml version="1.0" encoding="utf-8"?>
<ds:datastoreItem xmlns:ds="http://schemas.openxmlformats.org/officeDocument/2006/customXml" ds:itemID="{90483AFC-E678-47D8-BC25-64CFC109B710}">
  <ds:schemaRefs>
    <ds:schemaRef ds:uri="http://schemas.microsoft.com/sharepoint/events"/>
  </ds:schemaRefs>
</ds:datastoreItem>
</file>

<file path=customXml/itemProps3.xml><?xml version="1.0" encoding="utf-8"?>
<ds:datastoreItem xmlns:ds="http://schemas.openxmlformats.org/officeDocument/2006/customXml" ds:itemID="{78F66BB5-0418-454F-92DE-7D400D6283E8}">
  <ds:schemaRefs>
    <ds:schemaRef ds:uri="http://purl.org/dc/elements/1.1/"/>
    <ds:schemaRef ds:uri="9f7bc583-7cbe-45b9-a2bd-8bbb6543b37e"/>
    <ds:schemaRef ds:uri="http://purl.org/dc/terms/"/>
    <ds:schemaRef ds:uri="http://schemas.openxmlformats.org/package/2006/metadata/core-properties"/>
    <ds:schemaRef ds:uri="http://www.w3.org/XML/1998/namespace"/>
    <ds:schemaRef ds:uri="http://schemas.microsoft.com/office/2006/documentManagement/types"/>
    <ds:schemaRef ds:uri="http://schemas.microsoft.com/sharepoint/v3"/>
    <ds:schemaRef ds:uri="http://purl.org/dc/dcmitype/"/>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48651F-8F53-47B2-A642-DD9B70B03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BDB068-93FA-45BA-8C80-06E215D5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10</Pages>
  <Words>3358</Words>
  <Characters>18278</Characters>
  <Application>Microsoft Office Word</Application>
  <DocSecurity>0</DocSecurity>
  <Lines>299</Lines>
  <Paragraphs>85</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21551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9: Indirect taxes</dc:subject>
  <dc:creator/>
  <cp:lastModifiedBy/>
  <cp:revision>1</cp:revision>
  <dcterms:created xsi:type="dcterms:W3CDTF">2015-03-27T07:56:00Z</dcterms:created>
  <dcterms:modified xsi:type="dcterms:W3CDTF">2015-03-27T08:06:00Z</dcterms:modified>
  <dc:language>English</dc:language>
</cp:coreProperties>
</file>