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63" w:rsidRPr="005724D7" w:rsidRDefault="00743B63" w:rsidP="00743B63">
      <w:pPr>
        <w:spacing w:before="0" w:line="240" w:lineRule="auto"/>
        <w:ind w:left="567" w:firstLine="567"/>
        <w:jc w:val="both"/>
        <w:rPr>
          <w:rFonts w:ascii="Arial Narrow" w:hAnsi="Arial Narrow"/>
          <w:sz w:val="24"/>
        </w:rPr>
      </w:pPr>
      <w:r w:rsidRPr="005724D7">
        <w:rPr>
          <w:noProof/>
          <w:lang w:eastAsia="en-AU"/>
        </w:rPr>
        <w:drawing>
          <wp:anchor distT="0" distB="0" distL="114300" distR="114300" simplePos="0" relativeHeight="251660288" behindDoc="0" locked="0" layoutInCell="1" allowOverlap="1">
            <wp:simplePos x="0" y="0"/>
            <wp:positionH relativeFrom="column">
              <wp:posOffset>17145</wp:posOffset>
            </wp:positionH>
            <wp:positionV relativeFrom="paragraph">
              <wp:posOffset>41275</wp:posOffset>
            </wp:positionV>
            <wp:extent cx="478155" cy="53149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8155" cy="531495"/>
                    </a:xfrm>
                    <a:prstGeom prst="rect">
                      <a:avLst/>
                    </a:prstGeom>
                    <a:noFill/>
                    <a:ln w="9525">
                      <a:noFill/>
                      <a:miter lim="800000"/>
                      <a:headEnd/>
                      <a:tailEnd/>
                    </a:ln>
                  </pic:spPr>
                </pic:pic>
              </a:graphicData>
            </a:graphic>
          </wp:anchor>
        </w:drawing>
      </w:r>
      <w:r w:rsidRPr="005724D7">
        <w:rPr>
          <w:rFonts w:ascii="Arial Narrow" w:hAnsi="Arial Narrow"/>
          <w:b/>
          <w:bCs/>
          <w:sz w:val="24"/>
        </w:rPr>
        <w:t>Anglican Church Diocese of Sydney</w:t>
      </w:r>
    </w:p>
    <w:p w:rsidR="00743B63" w:rsidRPr="005724D7" w:rsidRDefault="00743B63" w:rsidP="00743B63">
      <w:pPr>
        <w:spacing w:before="0" w:line="240" w:lineRule="auto"/>
        <w:jc w:val="both"/>
        <w:rPr>
          <w:rFonts w:ascii="Arial Narrow" w:hAnsi="Arial Narrow"/>
          <w:sz w:val="22"/>
        </w:rPr>
      </w:pPr>
      <w:r w:rsidRPr="005724D7">
        <w:rPr>
          <w:rFonts w:ascii="Arial Narrow" w:hAnsi="Arial Narrow"/>
          <w:sz w:val="24"/>
        </w:rPr>
        <w:tab/>
      </w:r>
      <w:r w:rsidRPr="005724D7">
        <w:rPr>
          <w:rFonts w:ascii="Arial Narrow" w:hAnsi="Arial Narrow"/>
          <w:sz w:val="24"/>
        </w:rPr>
        <w:tab/>
      </w:r>
      <w:r w:rsidRPr="005724D7">
        <w:rPr>
          <w:rFonts w:ascii="Arial Narrow" w:hAnsi="Arial Narrow"/>
          <w:sz w:val="22"/>
        </w:rPr>
        <w:t>Level 2, St Andrew’s House</w:t>
      </w:r>
    </w:p>
    <w:p w:rsidR="00743B63" w:rsidRPr="005724D7" w:rsidRDefault="00743B63" w:rsidP="00743B63">
      <w:pPr>
        <w:spacing w:before="0" w:line="240" w:lineRule="auto"/>
        <w:jc w:val="both"/>
        <w:rPr>
          <w:rFonts w:ascii="Arial Narrow" w:hAnsi="Arial Narrow"/>
          <w:sz w:val="22"/>
        </w:rPr>
      </w:pPr>
      <w:r w:rsidRPr="005724D7">
        <w:rPr>
          <w:rFonts w:ascii="Arial Narrow" w:hAnsi="Arial Narrow"/>
          <w:sz w:val="22"/>
        </w:rPr>
        <w:tab/>
      </w:r>
      <w:r w:rsidRPr="005724D7">
        <w:rPr>
          <w:rFonts w:ascii="Arial Narrow" w:hAnsi="Arial Narrow"/>
          <w:sz w:val="22"/>
        </w:rPr>
        <w:tab/>
        <w:t xml:space="preserve">SYDNEY </w:t>
      </w:r>
      <w:proofErr w:type="gramStart"/>
      <w:r w:rsidRPr="005724D7">
        <w:rPr>
          <w:rFonts w:ascii="Arial Narrow" w:hAnsi="Arial Narrow"/>
          <w:sz w:val="22"/>
        </w:rPr>
        <w:t>SQUARE  NSW</w:t>
      </w:r>
      <w:proofErr w:type="gramEnd"/>
      <w:r w:rsidRPr="005724D7">
        <w:rPr>
          <w:rFonts w:ascii="Arial Narrow" w:hAnsi="Arial Narrow"/>
          <w:sz w:val="22"/>
        </w:rPr>
        <w:t xml:space="preserve">  2000</w:t>
      </w:r>
    </w:p>
    <w:p w:rsidR="00743B63" w:rsidRPr="005724D7" w:rsidRDefault="00743B63" w:rsidP="00743B63">
      <w:pPr>
        <w:tabs>
          <w:tab w:val="left" w:pos="1134"/>
          <w:tab w:val="left" w:pos="1985"/>
        </w:tabs>
        <w:spacing w:before="0" w:line="240" w:lineRule="auto"/>
        <w:jc w:val="both"/>
        <w:rPr>
          <w:rFonts w:ascii="Arial Narrow" w:hAnsi="Arial Narrow"/>
          <w:sz w:val="22"/>
        </w:rPr>
      </w:pPr>
      <w:r w:rsidRPr="005724D7">
        <w:rPr>
          <w:rFonts w:ascii="Arial Narrow" w:hAnsi="Arial Narrow"/>
          <w:sz w:val="22"/>
        </w:rPr>
        <w:tab/>
        <w:t>Phone:</w:t>
      </w:r>
      <w:r w:rsidRPr="005724D7">
        <w:rPr>
          <w:rFonts w:ascii="Arial Narrow" w:hAnsi="Arial Narrow"/>
          <w:sz w:val="22"/>
        </w:rPr>
        <w:tab/>
        <w:t>9265 1671</w:t>
      </w:r>
    </w:p>
    <w:p w:rsidR="00743B63" w:rsidRPr="005724D7" w:rsidRDefault="00743B63" w:rsidP="00743B63">
      <w:pPr>
        <w:tabs>
          <w:tab w:val="left" w:pos="1134"/>
          <w:tab w:val="left" w:pos="1985"/>
        </w:tabs>
        <w:spacing w:before="0" w:line="240" w:lineRule="auto"/>
        <w:jc w:val="both"/>
        <w:rPr>
          <w:rFonts w:ascii="Arial Narrow" w:hAnsi="Arial Narrow"/>
          <w:sz w:val="22"/>
        </w:rPr>
      </w:pPr>
      <w:r w:rsidRPr="005724D7">
        <w:rPr>
          <w:rFonts w:ascii="Arial Narrow" w:hAnsi="Arial Narrow"/>
          <w:sz w:val="22"/>
        </w:rPr>
        <w:tab/>
        <w:t>Fax:</w:t>
      </w:r>
      <w:r w:rsidRPr="005724D7">
        <w:rPr>
          <w:rFonts w:ascii="Arial Narrow" w:hAnsi="Arial Narrow"/>
          <w:sz w:val="22"/>
        </w:rPr>
        <w:tab/>
        <w:t>9265 1621</w:t>
      </w:r>
    </w:p>
    <w:p w:rsidR="00743B63" w:rsidRPr="005724D7" w:rsidRDefault="00743B63" w:rsidP="00743B63">
      <w:pPr>
        <w:tabs>
          <w:tab w:val="left" w:pos="1134"/>
          <w:tab w:val="left" w:pos="1985"/>
        </w:tabs>
        <w:spacing w:before="0" w:line="240" w:lineRule="auto"/>
        <w:jc w:val="both"/>
        <w:rPr>
          <w:rFonts w:ascii="Arial Narrow" w:hAnsi="Arial Narrow"/>
          <w:sz w:val="22"/>
        </w:rPr>
      </w:pPr>
      <w:r w:rsidRPr="005724D7">
        <w:rPr>
          <w:rFonts w:ascii="Arial Narrow" w:hAnsi="Arial Narrow"/>
          <w:sz w:val="22"/>
        </w:rPr>
        <w:tab/>
        <w:t>Email:</w:t>
      </w:r>
      <w:r w:rsidRPr="005724D7">
        <w:rPr>
          <w:rFonts w:ascii="Arial Narrow" w:hAnsi="Arial Narrow"/>
          <w:sz w:val="22"/>
        </w:rPr>
        <w:tab/>
      </w:r>
      <w:hyperlink r:id="rId9" w:history="1">
        <w:r w:rsidRPr="005724D7">
          <w:rPr>
            <w:rStyle w:val="Hyperlink"/>
            <w:rFonts w:ascii="Arial Narrow" w:hAnsi="Arial Narrow"/>
            <w:sz w:val="22"/>
          </w:rPr>
          <w:t>rjw@sydney.anglican.asn.au</w:t>
        </w:r>
      </w:hyperlink>
    </w:p>
    <w:p w:rsidR="00743B63" w:rsidRPr="005724D7" w:rsidRDefault="00743B63" w:rsidP="00743B63">
      <w:pPr>
        <w:tabs>
          <w:tab w:val="left" w:pos="1134"/>
          <w:tab w:val="left" w:pos="1985"/>
        </w:tabs>
        <w:spacing w:before="0" w:line="240" w:lineRule="auto"/>
        <w:jc w:val="both"/>
        <w:rPr>
          <w:rFonts w:ascii="Arial Narrow" w:hAnsi="Arial Narrow"/>
          <w:sz w:val="22"/>
        </w:rPr>
      </w:pPr>
    </w:p>
    <w:p w:rsidR="00743B63" w:rsidRPr="003A1B0E" w:rsidRDefault="00743B63" w:rsidP="00743B63">
      <w:pPr>
        <w:pStyle w:val="Heading7"/>
        <w:numPr>
          <w:ilvl w:val="0"/>
          <w:numId w:val="0"/>
        </w:numPr>
        <w:spacing w:line="240" w:lineRule="auto"/>
        <w:jc w:val="both"/>
        <w:rPr>
          <w:rFonts w:ascii="Arial" w:hAnsi="Arial" w:cs="Arial"/>
          <w:b/>
          <w:sz w:val="32"/>
          <w:szCs w:val="32"/>
        </w:rPr>
      </w:pPr>
      <w:r w:rsidRPr="005724D7">
        <w:rPr>
          <w:rFonts w:ascii="Arial" w:hAnsi="Arial" w:cs="Arial"/>
          <w:b/>
          <w:sz w:val="32"/>
          <w:szCs w:val="32"/>
        </w:rPr>
        <w:t xml:space="preserve">Submission to Treasury regarding </w:t>
      </w:r>
      <w:r w:rsidR="003A1B0E">
        <w:rPr>
          <w:rFonts w:ascii="Arial" w:hAnsi="Arial" w:cs="Arial"/>
          <w:b/>
          <w:sz w:val="32"/>
          <w:szCs w:val="32"/>
        </w:rPr>
        <w:t xml:space="preserve">the Exposure Draft for the </w:t>
      </w:r>
      <w:r w:rsidR="0098275D" w:rsidRPr="0098275D">
        <w:rPr>
          <w:rFonts w:ascii="Arial" w:hAnsi="Arial" w:cs="Arial"/>
          <w:b/>
          <w:i/>
          <w:sz w:val="32"/>
          <w:szCs w:val="32"/>
        </w:rPr>
        <w:t>Tax Laws Amendment (2012 Measures No.4) Bill 2012: tax exempt body “in Australia” requirements</w:t>
      </w:r>
    </w:p>
    <w:p w:rsidR="00743B63" w:rsidRDefault="00743B63" w:rsidP="00743B63">
      <w:pPr>
        <w:spacing w:before="120" w:after="120" w:line="240" w:lineRule="auto"/>
        <w:jc w:val="both"/>
        <w:rPr>
          <w:b/>
          <w:sz w:val="32"/>
          <w:szCs w:val="32"/>
        </w:rPr>
      </w:pPr>
      <w:r w:rsidRPr="005724D7">
        <w:rPr>
          <w:b/>
          <w:sz w:val="32"/>
          <w:szCs w:val="32"/>
        </w:rPr>
        <w:t>By the Standing Committee of the Synod of the Anglican Church Diocese of Sydney</w:t>
      </w:r>
    </w:p>
    <w:p w:rsidR="00633AF2" w:rsidRPr="005724D7" w:rsidRDefault="00C50869" w:rsidP="00743B63">
      <w:pPr>
        <w:pStyle w:val="StyleHeading1Before24ptTopSinglesolidlineGray-80"/>
        <w:jc w:val="both"/>
      </w:pPr>
      <w:r>
        <w:t>Introduction</w:t>
      </w:r>
    </w:p>
    <w:p w:rsidR="00623FB8" w:rsidRDefault="007A1147" w:rsidP="002D2354">
      <w:pPr>
        <w:pStyle w:val="Heading3"/>
        <w:jc w:val="both"/>
      </w:pPr>
      <w:r>
        <w:t>The name of our organisation is the Anglican Church Diocese of Sydney.  This submission is made by the Standing Committee of the Synod of the Diocese</w:t>
      </w:r>
      <w:r w:rsidR="00C50869">
        <w:t>.</w:t>
      </w:r>
    </w:p>
    <w:p w:rsidR="00C50869" w:rsidRDefault="00B44BDE" w:rsidP="002D2354">
      <w:pPr>
        <w:pStyle w:val="Heading3"/>
        <w:jc w:val="both"/>
      </w:pPr>
      <w:r>
        <w:t xml:space="preserve">We </w:t>
      </w:r>
      <w:r w:rsidR="007A1147">
        <w:t xml:space="preserve">note the significant changes made to the previous form of Exposure Draft in response to submissions made by us and others.  We </w:t>
      </w:r>
      <w:r w:rsidR="006449C9">
        <w:t>appreciate</w:t>
      </w:r>
      <w:r w:rsidR="007A1147">
        <w:t xml:space="preserve"> the responsiveness of Treasury and Government in making these changes which address many of the sector’s concerns with the previous </w:t>
      </w:r>
      <w:r w:rsidR="006449C9">
        <w:t>Exposure Draft</w:t>
      </w:r>
      <w:r w:rsidR="00C50869">
        <w:t>.</w:t>
      </w:r>
    </w:p>
    <w:p w:rsidR="00C50869" w:rsidRDefault="006449C9" w:rsidP="002D2354">
      <w:pPr>
        <w:pStyle w:val="Heading3"/>
        <w:jc w:val="both"/>
      </w:pPr>
      <w:r>
        <w:t>However</w:t>
      </w:r>
      <w:r w:rsidR="007A1147">
        <w:t xml:space="preserve"> </w:t>
      </w:r>
      <w:r>
        <w:t>the revised Exposure Draft raises further concerns</w:t>
      </w:r>
      <w:r w:rsidR="007A1147">
        <w:t>.  Our comments and recommendations follow</w:t>
      </w:r>
      <w:r w:rsidR="00C50869">
        <w:t>.</w:t>
      </w:r>
    </w:p>
    <w:p w:rsidR="00033C4A" w:rsidRPr="00C23076" w:rsidRDefault="004C334A" w:rsidP="00C50869">
      <w:pPr>
        <w:pStyle w:val="Heading1"/>
      </w:pPr>
      <w:bookmarkStart w:id="0" w:name="_Ref300049498"/>
      <w:bookmarkStart w:id="1" w:name="_Ref299540799"/>
      <w:r>
        <w:t xml:space="preserve">Gifts and </w:t>
      </w:r>
      <w:r w:rsidR="00033C4A" w:rsidRPr="00C23076">
        <w:t>Donations</w:t>
      </w:r>
      <w:bookmarkEnd w:id="0"/>
      <w:r w:rsidR="00033C4A" w:rsidRPr="00C23076">
        <w:t xml:space="preserve"> </w:t>
      </w:r>
    </w:p>
    <w:p w:rsidR="00E94BC1" w:rsidRDefault="00E94BC1" w:rsidP="007A1147">
      <w:pPr>
        <w:pStyle w:val="Heading3"/>
        <w:tabs>
          <w:tab w:val="clear" w:pos="-31680"/>
        </w:tabs>
        <w:jc w:val="both"/>
      </w:pPr>
      <w:r>
        <w:t>We note that t</w:t>
      </w:r>
      <w:r w:rsidR="009667AA">
        <w:t xml:space="preserve">he proscription on donations to entities that are not exempt entities </w:t>
      </w:r>
      <w:r w:rsidR="00C50869">
        <w:t xml:space="preserve">in the previous Exposure Draft </w:t>
      </w:r>
      <w:r w:rsidR="009667AA">
        <w:t>has b</w:t>
      </w:r>
      <w:r>
        <w:t xml:space="preserve">een removed and replaced with proposed subsection </w:t>
      </w:r>
      <w:r w:rsidR="00DF1737">
        <w:t xml:space="preserve">30-18(3) (for DGRs) and subsection </w:t>
      </w:r>
      <w:r>
        <w:t>50-50(4)</w:t>
      </w:r>
      <w:r w:rsidR="00DF1737">
        <w:t xml:space="preserve"> (for other exempt entities)</w:t>
      </w:r>
      <w:r>
        <w:t>.</w:t>
      </w:r>
    </w:p>
    <w:p w:rsidR="009667AA" w:rsidRDefault="00B44BDE" w:rsidP="007A1147">
      <w:pPr>
        <w:pStyle w:val="Heading3"/>
        <w:jc w:val="both"/>
      </w:pPr>
      <w:r>
        <w:t>These</w:t>
      </w:r>
      <w:r w:rsidR="00E94BC1">
        <w:t xml:space="preserve"> subsection</w:t>
      </w:r>
      <w:r>
        <w:t>s</w:t>
      </w:r>
      <w:r w:rsidR="0094480C">
        <w:t xml:space="preserve"> </w:t>
      </w:r>
      <w:r>
        <w:t>require</w:t>
      </w:r>
      <w:r w:rsidR="007A1147">
        <w:t xml:space="preserve"> that</w:t>
      </w:r>
      <w:r w:rsidR="009667AA">
        <w:t xml:space="preserve"> </w:t>
      </w:r>
      <w:r w:rsidR="00E94BC1">
        <w:t>if an exempt entity gives money or property to a</w:t>
      </w:r>
      <w:r w:rsidR="006449C9">
        <w:t>n</w:t>
      </w:r>
      <w:r w:rsidR="00E94BC1">
        <w:t xml:space="preserve"> entity that is not an exempt entity, the use of the money by the recipient (or any other entity) </w:t>
      </w:r>
      <w:r w:rsidR="0094480C">
        <w:t xml:space="preserve">be taken into account in </w:t>
      </w:r>
      <w:r w:rsidR="009667AA">
        <w:t xml:space="preserve">determining whether the </w:t>
      </w:r>
      <w:r w:rsidR="006449C9">
        <w:t>giving</w:t>
      </w:r>
      <w:r w:rsidR="00E94BC1">
        <w:t xml:space="preserve"> </w:t>
      </w:r>
      <w:r w:rsidR="006449C9">
        <w:t>entity</w:t>
      </w:r>
      <w:r w:rsidR="0094480C">
        <w:t xml:space="preserve"> </w:t>
      </w:r>
      <w:r w:rsidR="006449C9">
        <w:t>satisfies the requisite test about operating and pursuing its purposes in Australia</w:t>
      </w:r>
      <w:r w:rsidR="0094480C">
        <w:t>.</w:t>
      </w:r>
    </w:p>
    <w:p w:rsidR="00DF1737" w:rsidRDefault="006449C9" w:rsidP="007A1147">
      <w:pPr>
        <w:pStyle w:val="Heading3"/>
        <w:tabs>
          <w:tab w:val="clear" w:pos="-31680"/>
        </w:tabs>
        <w:jc w:val="both"/>
      </w:pPr>
      <w:r>
        <w:t>These changes address previous</w:t>
      </w:r>
      <w:r w:rsidR="0094480C">
        <w:t xml:space="preserve"> concerns about </w:t>
      </w:r>
      <w:r>
        <w:t xml:space="preserve">the difficulties of not being able to make </w:t>
      </w:r>
      <w:r w:rsidR="0094480C">
        <w:t xml:space="preserve">donations to </w:t>
      </w:r>
      <w:r>
        <w:t xml:space="preserve">other </w:t>
      </w:r>
      <w:r w:rsidR="00C50869">
        <w:t xml:space="preserve">entities which are not </w:t>
      </w:r>
      <w:r>
        <w:t xml:space="preserve">deductible gift recipients or </w:t>
      </w:r>
      <w:r w:rsidR="00C50869">
        <w:t>tax exempt</w:t>
      </w:r>
      <w:r w:rsidR="00B44BDE">
        <w:t>,</w:t>
      </w:r>
      <w:r w:rsidR="00C50869">
        <w:t xml:space="preserve"> such as </w:t>
      </w:r>
      <w:r w:rsidR="0094480C">
        <w:t>individuals in need.  However the new provision</w:t>
      </w:r>
      <w:r w:rsidR="00D058FC">
        <w:t>s give</w:t>
      </w:r>
      <w:r w:rsidR="0094480C">
        <w:t xml:space="preserve"> rise to other concerns.</w:t>
      </w:r>
    </w:p>
    <w:p w:rsidR="007A1147" w:rsidRDefault="007A1147">
      <w:pPr>
        <w:spacing w:before="0" w:line="240" w:lineRule="auto"/>
        <w:rPr>
          <w:rFonts w:cs="Arial"/>
          <w:b/>
          <w:bCs/>
          <w:i/>
          <w:szCs w:val="26"/>
        </w:rPr>
      </w:pPr>
      <w:r>
        <w:rPr>
          <w:b/>
          <w:i/>
        </w:rPr>
        <w:br w:type="page"/>
      </w:r>
    </w:p>
    <w:p w:rsidR="00C23076" w:rsidRPr="00CF15CE" w:rsidRDefault="004C334A" w:rsidP="00C23076">
      <w:pPr>
        <w:pStyle w:val="Heading3"/>
        <w:numPr>
          <w:ilvl w:val="0"/>
          <w:numId w:val="0"/>
        </w:numPr>
        <w:ind w:left="709"/>
        <w:jc w:val="both"/>
        <w:rPr>
          <w:b/>
          <w:i/>
        </w:rPr>
      </w:pPr>
      <w:r w:rsidRPr="00CF15CE">
        <w:rPr>
          <w:b/>
          <w:i/>
        </w:rPr>
        <w:lastRenderedPageBreak/>
        <w:t xml:space="preserve">Need for </w:t>
      </w:r>
      <w:r w:rsidR="00C50869" w:rsidRPr="00CF15CE">
        <w:rPr>
          <w:b/>
          <w:i/>
        </w:rPr>
        <w:t>reasonable limits for determining subsequent use of money</w:t>
      </w:r>
    </w:p>
    <w:p w:rsidR="006449C9" w:rsidRDefault="00CC5DE2" w:rsidP="007A1147">
      <w:pPr>
        <w:pStyle w:val="Heading3"/>
        <w:jc w:val="both"/>
      </w:pPr>
      <w:r>
        <w:t xml:space="preserve">We note there is </w:t>
      </w:r>
      <w:r w:rsidR="0094480C">
        <w:t xml:space="preserve">no limit </w:t>
      </w:r>
      <w:r w:rsidR="00C50869">
        <w:t xml:space="preserve">in </w:t>
      </w:r>
      <w:r>
        <w:t>either subsection 30-18(3) or sub</w:t>
      </w:r>
      <w:r w:rsidR="00C50869">
        <w:t xml:space="preserve">section 50-50(4) </w:t>
      </w:r>
      <w:r>
        <w:t xml:space="preserve">on the </w:t>
      </w:r>
      <w:r w:rsidR="006449C9">
        <w:t xml:space="preserve">inquiries or other </w:t>
      </w:r>
      <w:r>
        <w:t xml:space="preserve">steps that must be </w:t>
      </w:r>
      <w:r w:rsidR="006449C9">
        <w:t>undertaken by the giving</w:t>
      </w:r>
      <w:r>
        <w:t xml:space="preserve"> entity </w:t>
      </w:r>
      <w:r w:rsidR="00C50869">
        <w:t xml:space="preserve">for determining </w:t>
      </w:r>
      <w:r w:rsidR="006449C9">
        <w:t>how the recipient entity uses the given amount</w:t>
      </w:r>
      <w:r w:rsidR="00C50869">
        <w:t xml:space="preserve">.  The problem is increased with the inclusion of the words “or any other entity” in brackets </w:t>
      </w:r>
      <w:r>
        <w:t>in those</w:t>
      </w:r>
      <w:r w:rsidR="00C50869">
        <w:t xml:space="preserve"> subsection</w:t>
      </w:r>
      <w:r>
        <w:t>s</w:t>
      </w:r>
      <w:r w:rsidR="006449C9">
        <w:t>.</w:t>
      </w:r>
    </w:p>
    <w:p w:rsidR="004C334A" w:rsidRDefault="00C23076" w:rsidP="007A1147">
      <w:pPr>
        <w:pStyle w:val="Heading3"/>
        <w:jc w:val="both"/>
      </w:pPr>
      <w:r>
        <w:t xml:space="preserve">We submit that this is an unreasonable compliance burden.  </w:t>
      </w:r>
      <w:r w:rsidR="00CC5DE2">
        <w:t>In particular, it</w:t>
      </w:r>
      <w:r>
        <w:t xml:space="preserve"> leaves exempt entities exposed to the possibility of </w:t>
      </w:r>
      <w:proofErr w:type="spellStart"/>
      <w:r>
        <w:t>disendorsement</w:t>
      </w:r>
      <w:proofErr w:type="spellEnd"/>
      <w:r>
        <w:t xml:space="preserve"> on the basis of misrepresentations by others about how its gifts will be </w:t>
      </w:r>
      <w:r w:rsidR="006449C9">
        <w:t>used</w:t>
      </w:r>
      <w:r>
        <w:t xml:space="preserve">.  </w:t>
      </w:r>
    </w:p>
    <w:p w:rsidR="00CF15CE" w:rsidRPr="00CF15CE" w:rsidRDefault="00CF15CE" w:rsidP="00CF15CE">
      <w:pPr>
        <w:pStyle w:val="Heading3"/>
        <w:numPr>
          <w:ilvl w:val="0"/>
          <w:numId w:val="0"/>
        </w:numPr>
        <w:ind w:left="709"/>
        <w:jc w:val="both"/>
        <w:rPr>
          <w:i/>
        </w:rPr>
      </w:pPr>
      <w:r w:rsidRPr="00CF15CE">
        <w:rPr>
          <w:i/>
        </w:rPr>
        <w:t>Recommendation</w:t>
      </w:r>
    </w:p>
    <w:p w:rsidR="00C50869" w:rsidRDefault="0094480C" w:rsidP="007A1147">
      <w:pPr>
        <w:pStyle w:val="Heading3"/>
        <w:jc w:val="both"/>
      </w:pPr>
      <w:r>
        <w:t xml:space="preserve">We </w:t>
      </w:r>
      <w:r w:rsidR="00CF15CE">
        <w:t>recommend</w:t>
      </w:r>
      <w:r>
        <w:t xml:space="preserve"> that </w:t>
      </w:r>
      <w:r w:rsidR="006449C9">
        <w:t xml:space="preserve">the legislation provide that </w:t>
      </w:r>
      <w:r w:rsidR="00CC5DE2">
        <w:t>where</w:t>
      </w:r>
      <w:r w:rsidR="00C23076">
        <w:t xml:space="preserve"> </w:t>
      </w:r>
      <w:r w:rsidR="002B33A8">
        <w:t xml:space="preserve">the </w:t>
      </w:r>
      <w:r w:rsidR="00C23076">
        <w:t xml:space="preserve">use of money by </w:t>
      </w:r>
      <w:r w:rsidR="00C50869">
        <w:t xml:space="preserve">recipient </w:t>
      </w:r>
      <w:r w:rsidR="00C23076">
        <w:t xml:space="preserve">entities </w:t>
      </w:r>
      <w:r w:rsidR="00C50869">
        <w:t>(whether or not the initial recipient)</w:t>
      </w:r>
      <w:r w:rsidR="00C23076">
        <w:t xml:space="preserve"> is to be taken into account</w:t>
      </w:r>
      <w:r w:rsidR="002B33A8">
        <w:t xml:space="preserve"> for the purposes of subsections 30-18(3) and 50-50(4)</w:t>
      </w:r>
      <w:r w:rsidR="004C334A">
        <w:t>,</w:t>
      </w:r>
      <w:r w:rsidR="00C23076">
        <w:t xml:space="preserve"> </w:t>
      </w:r>
      <w:r w:rsidR="002B33A8">
        <w:t xml:space="preserve">the use should be determined by reference to what the </w:t>
      </w:r>
      <w:r w:rsidR="00C23076">
        <w:t xml:space="preserve">entity giving the money or property knew or ought </w:t>
      </w:r>
      <w:r w:rsidR="002B33A8">
        <w:t xml:space="preserve">reasonably </w:t>
      </w:r>
      <w:r w:rsidR="00C23076">
        <w:t xml:space="preserve">to have known </w:t>
      </w:r>
      <w:r w:rsidR="002B33A8">
        <w:t>about its use</w:t>
      </w:r>
      <w:r w:rsidR="00C50869">
        <w:t>.</w:t>
      </w:r>
    </w:p>
    <w:p w:rsidR="00D42E99" w:rsidRPr="00CF15CE" w:rsidRDefault="00354462" w:rsidP="005B289B">
      <w:pPr>
        <w:pStyle w:val="Heading3"/>
        <w:numPr>
          <w:ilvl w:val="0"/>
          <w:numId w:val="0"/>
        </w:numPr>
        <w:ind w:left="709"/>
        <w:jc w:val="both"/>
        <w:rPr>
          <w:b/>
          <w:i/>
        </w:rPr>
      </w:pPr>
      <w:r w:rsidRPr="00CF15CE">
        <w:rPr>
          <w:b/>
          <w:i/>
        </w:rPr>
        <w:t>Enquiries concerning tax status</w:t>
      </w:r>
    </w:p>
    <w:p w:rsidR="00D42E99" w:rsidRDefault="00354462" w:rsidP="007A1147">
      <w:pPr>
        <w:pStyle w:val="Heading3"/>
        <w:jc w:val="both"/>
      </w:pPr>
      <w:r>
        <w:t>In our submission on the initial exposure draft we made the point that</w:t>
      </w:r>
      <w:r w:rsidR="00E8371F" w:rsidRPr="00E8371F">
        <w:t xml:space="preserve"> the requirement that a tax exempt entity not donate money to any other entity unless the other entity is an exempt entity will require the tax status of all recipients of donations to be ascertained before any donations are made.  </w:t>
      </w:r>
      <w:r>
        <w:t>The prohibition on gifts or donations to non-exemp</w:t>
      </w:r>
      <w:r w:rsidR="0051546B">
        <w:t>t entities has now been removed.</w:t>
      </w:r>
      <w:r>
        <w:t xml:space="preserve"> </w:t>
      </w:r>
      <w:r w:rsidR="0051546B">
        <w:t xml:space="preserve"> H</w:t>
      </w:r>
      <w:r>
        <w:t xml:space="preserve">owever </w:t>
      </w:r>
      <w:r w:rsidR="00FC00A2">
        <w:t>there will continue to be a need under the revised provisions</w:t>
      </w:r>
      <w:r>
        <w:t xml:space="preserve"> to ascertain </w:t>
      </w:r>
      <w:r w:rsidR="00FC00A2">
        <w:t>whether a</w:t>
      </w:r>
      <w:r>
        <w:t xml:space="preserve"> recipient </w:t>
      </w:r>
      <w:r w:rsidR="00FC00A2">
        <w:t>is a deductible gift recipient or an tax exempt entity for the purposes of subsections 30-18(3) and 50-50(4)</w:t>
      </w:r>
      <w:r>
        <w:t>.</w:t>
      </w:r>
    </w:p>
    <w:p w:rsidR="00CF15CE" w:rsidRPr="00CF15CE" w:rsidRDefault="00CF15CE" w:rsidP="00CF15CE">
      <w:pPr>
        <w:pStyle w:val="Heading3"/>
        <w:numPr>
          <w:ilvl w:val="0"/>
          <w:numId w:val="0"/>
        </w:numPr>
        <w:ind w:left="709"/>
        <w:jc w:val="both"/>
        <w:rPr>
          <w:i/>
        </w:rPr>
      </w:pPr>
      <w:r w:rsidRPr="00CF15CE">
        <w:rPr>
          <w:i/>
        </w:rPr>
        <w:t>Recommendation</w:t>
      </w:r>
    </w:p>
    <w:p w:rsidR="00D42E99" w:rsidRPr="00DF1737" w:rsidRDefault="00CF15CE" w:rsidP="007A1147">
      <w:pPr>
        <w:pStyle w:val="Heading3"/>
        <w:jc w:val="both"/>
      </w:pPr>
      <w:r>
        <w:t>We recommend that the legislation provide that the Australian Business Register (or public information portal of the ACNC onc</w:t>
      </w:r>
      <w:r w:rsidR="00B44BDE">
        <w:t>e established) can be relied up</w:t>
      </w:r>
      <w:r>
        <w:t xml:space="preserve">on as conclusive evidence of whether an entity is </w:t>
      </w:r>
      <w:r w:rsidR="00FC00A2">
        <w:t xml:space="preserve">a deductible gift recipient or tax exempt </w:t>
      </w:r>
      <w:r>
        <w:t xml:space="preserve">entity for the purposes of </w:t>
      </w:r>
      <w:r w:rsidR="00FC00A2">
        <w:t>subsection</w:t>
      </w:r>
      <w:r w:rsidR="002B33A8">
        <w:t>s</w:t>
      </w:r>
      <w:r w:rsidR="00FC00A2">
        <w:t xml:space="preserve"> 30-18(3) and</w:t>
      </w:r>
      <w:r w:rsidR="002B33A8">
        <w:t xml:space="preserve"> </w:t>
      </w:r>
      <w:r>
        <w:t>50-50(4).</w:t>
      </w:r>
    </w:p>
    <w:p w:rsidR="005514A7" w:rsidRDefault="001C1083" w:rsidP="00CF15CE">
      <w:pPr>
        <w:pStyle w:val="Heading1"/>
      </w:pPr>
      <w:bookmarkStart w:id="2" w:name="_Ref299702096"/>
      <w:r>
        <w:t>Disregarded amounts</w:t>
      </w:r>
      <w:bookmarkEnd w:id="1"/>
      <w:bookmarkEnd w:id="2"/>
    </w:p>
    <w:p w:rsidR="00920559" w:rsidRDefault="00E8371F" w:rsidP="00AE29DD">
      <w:pPr>
        <w:pStyle w:val="Heading3"/>
        <w:jc w:val="both"/>
      </w:pPr>
      <w:r w:rsidRPr="00E8371F">
        <w:t xml:space="preserve">We </w:t>
      </w:r>
      <w:r w:rsidR="00354462">
        <w:t xml:space="preserve">note the insertion of subsection 50-50(5)(b) which provides that use of gifts or contributions received by an entity are to be disregarded in determining </w:t>
      </w:r>
      <w:r w:rsidR="00FC00A2">
        <w:t>whether</w:t>
      </w:r>
      <w:r w:rsidR="00354462">
        <w:t xml:space="preserve"> that entity operates and pursues its purposes in Australia.</w:t>
      </w:r>
      <w:r w:rsidR="002B33A8">
        <w:t xml:space="preserve">  The inclusion of this provision addresses concerns outlined in our submission on the previous Exposure Draft about the omission of a disregarded amounts provision.  </w:t>
      </w:r>
    </w:p>
    <w:p w:rsidR="00354462" w:rsidRDefault="00354462" w:rsidP="00AE29DD">
      <w:pPr>
        <w:pStyle w:val="Heading3"/>
        <w:jc w:val="both"/>
      </w:pPr>
      <w:r>
        <w:lastRenderedPageBreak/>
        <w:t>However we note that subsection 50-50(5) includes a proviso that “</w:t>
      </w:r>
      <w:r w:rsidR="00CE1582">
        <w:t>…</w:t>
      </w:r>
      <w:r>
        <w:t xml:space="preserve">the entity must comply with the conditions (if any) </w:t>
      </w:r>
      <w:r w:rsidR="00CE1582">
        <w:t>prescribed in the regulations for the purposes of this subsection…</w:t>
      </w:r>
      <w:proofErr w:type="gramStart"/>
      <w:r w:rsidR="00CE1582">
        <w:t>”.</w:t>
      </w:r>
      <w:proofErr w:type="gramEnd"/>
      <w:r w:rsidR="00CE1582">
        <w:t xml:space="preserve">  The explanatory statement does not give any indication as to what conditions may be prescribed by regulation.  </w:t>
      </w:r>
    </w:p>
    <w:p w:rsidR="00D42E99" w:rsidRDefault="006B4D9E">
      <w:pPr>
        <w:pStyle w:val="Heading3"/>
        <w:keepNext/>
        <w:numPr>
          <w:ilvl w:val="0"/>
          <w:numId w:val="0"/>
        </w:numPr>
        <w:ind w:left="709"/>
        <w:rPr>
          <w:b/>
          <w:i/>
        </w:rPr>
      </w:pPr>
      <w:r w:rsidRPr="006B4D9E">
        <w:rPr>
          <w:b/>
          <w:i/>
        </w:rPr>
        <w:t>Recommendation</w:t>
      </w:r>
      <w:r w:rsidR="003A10C2">
        <w:rPr>
          <w:b/>
          <w:i/>
        </w:rPr>
        <w:t>s</w:t>
      </w:r>
    </w:p>
    <w:p w:rsidR="00D42E99" w:rsidRDefault="00CF15CE" w:rsidP="00CF15CE">
      <w:pPr>
        <w:pStyle w:val="Heading3"/>
      </w:pPr>
      <w:r>
        <w:t>We recommend either –</w:t>
      </w:r>
    </w:p>
    <w:p w:rsidR="00CF15CE" w:rsidRDefault="00CF15CE" w:rsidP="00AE29DD">
      <w:pPr>
        <w:pStyle w:val="Heading4"/>
        <w:jc w:val="both"/>
      </w:pPr>
      <w:proofErr w:type="gramStart"/>
      <w:r>
        <w:t>the</w:t>
      </w:r>
      <w:proofErr w:type="gramEnd"/>
      <w:r>
        <w:t xml:space="preserve"> explanatory statement provide an outline of the types of issues that </w:t>
      </w:r>
      <w:r w:rsidR="00D07E0A">
        <w:t>may</w:t>
      </w:r>
      <w:r>
        <w:t xml:space="preserve"> nee</w:t>
      </w:r>
      <w:r w:rsidR="00D07E0A">
        <w:t>d to be addressed by regulation</w:t>
      </w:r>
      <w:r>
        <w:t xml:space="preserve"> under subsection 50-50(5), or</w:t>
      </w:r>
    </w:p>
    <w:p w:rsidR="00CF15CE" w:rsidRDefault="00CF15CE" w:rsidP="00AE29DD">
      <w:pPr>
        <w:pStyle w:val="Heading4"/>
        <w:jc w:val="both"/>
      </w:pPr>
      <w:proofErr w:type="gramStart"/>
      <w:r>
        <w:t>the</w:t>
      </w:r>
      <w:proofErr w:type="gramEnd"/>
      <w:r>
        <w:t xml:space="preserve"> reference to “conditions (if any) prescribed in the regulations</w:t>
      </w:r>
      <w:r w:rsidR="002B33A8">
        <w:t xml:space="preserve"> for the purposes of this subsection</w:t>
      </w:r>
      <w:r w:rsidR="00D07E0A">
        <w:t>”</w:t>
      </w:r>
      <w:r>
        <w:t xml:space="preserve"> be removed from this subsection.</w:t>
      </w:r>
    </w:p>
    <w:p w:rsidR="001C1083" w:rsidRDefault="001C1083" w:rsidP="00B12E53">
      <w:pPr>
        <w:pStyle w:val="Heading1"/>
      </w:pPr>
      <w:bookmarkStart w:id="3" w:name="_Ref299532233"/>
      <w:r>
        <w:t xml:space="preserve">Compliance with </w:t>
      </w:r>
      <w:r w:rsidR="00627DFB">
        <w:t xml:space="preserve">substantive </w:t>
      </w:r>
      <w:r>
        <w:t>governing rules</w:t>
      </w:r>
      <w:bookmarkEnd w:id="3"/>
    </w:p>
    <w:p w:rsidR="0051546B" w:rsidRDefault="0051546B" w:rsidP="00AE29DD">
      <w:pPr>
        <w:pStyle w:val="Heading3"/>
        <w:tabs>
          <w:tab w:val="clear" w:pos="-31680"/>
        </w:tabs>
        <w:jc w:val="both"/>
      </w:pPr>
      <w:r>
        <w:t>We note that proposed subsection 50-50(3</w:t>
      </w:r>
      <w:proofErr w:type="gramStart"/>
      <w:r>
        <w:t>)(</w:t>
      </w:r>
      <w:proofErr w:type="gramEnd"/>
      <w:r>
        <w:t xml:space="preserve">a) now requires compliance with “all the substantive requirements” in an </w:t>
      </w:r>
      <w:r w:rsidR="00D07E0A">
        <w:t>entity’s</w:t>
      </w:r>
      <w:r>
        <w:t xml:space="preserve"> governing rules rather than “all requirements”.  </w:t>
      </w:r>
    </w:p>
    <w:p w:rsidR="002B33A8" w:rsidRDefault="00050E31" w:rsidP="00AE29DD">
      <w:pPr>
        <w:pStyle w:val="Heading3"/>
        <w:tabs>
          <w:tab w:val="clear" w:pos="-31680"/>
        </w:tabs>
        <w:jc w:val="both"/>
      </w:pPr>
      <w:r>
        <w:t xml:space="preserve">While this change </w:t>
      </w:r>
      <w:r w:rsidR="00CF15CE">
        <w:t>goes some way to addressing the concerns expression in our previous submission</w:t>
      </w:r>
      <w:r>
        <w:t xml:space="preserve">, we </w:t>
      </w:r>
      <w:r w:rsidR="00CF15CE">
        <w:t>remain</w:t>
      </w:r>
      <w:r>
        <w:t xml:space="preserve"> concerned about the potential for uncertainty about which requirements are substantive requirements.  </w:t>
      </w:r>
      <w:r w:rsidR="002B33A8">
        <w:t>Most entities are likely to</w:t>
      </w:r>
      <w:r>
        <w:t xml:space="preserve"> have</w:t>
      </w:r>
      <w:r w:rsidR="002B33A8">
        <w:t xml:space="preserve"> substantive requirements in their governing rules which have little relevance to their tax status.</w:t>
      </w:r>
    </w:p>
    <w:p w:rsidR="0051546B" w:rsidRDefault="00050E31" w:rsidP="00AE29DD">
      <w:pPr>
        <w:pStyle w:val="Heading3"/>
        <w:tabs>
          <w:tab w:val="clear" w:pos="-31680"/>
        </w:tabs>
        <w:jc w:val="both"/>
      </w:pPr>
      <w:r>
        <w:t xml:space="preserve">We </w:t>
      </w:r>
      <w:r w:rsidR="002B33A8">
        <w:t>therefore submit</w:t>
      </w:r>
      <w:r>
        <w:t xml:space="preserve"> that the legislation </w:t>
      </w:r>
      <w:r w:rsidR="002B33A8">
        <w:t>should define “substantive requirements”</w:t>
      </w:r>
      <w:r>
        <w:t xml:space="preserve"> along the lines of </w:t>
      </w:r>
      <w:r w:rsidR="00CF15CE">
        <w:t xml:space="preserve">paragraph 1.86 of </w:t>
      </w:r>
      <w:r>
        <w:t xml:space="preserve">the explanatory statement </w:t>
      </w:r>
      <w:r w:rsidR="002B33A8">
        <w:t>to mean those</w:t>
      </w:r>
      <w:r>
        <w:t xml:space="preserve"> requirements “relating to an entity’s object and purpose and those relating to an entity’s not-for-profit” status.  </w:t>
      </w:r>
    </w:p>
    <w:p w:rsidR="0051546B" w:rsidRDefault="0051546B" w:rsidP="00AE29DD">
      <w:pPr>
        <w:pStyle w:val="Heading3"/>
        <w:tabs>
          <w:tab w:val="clear" w:pos="-31680"/>
        </w:tabs>
        <w:jc w:val="both"/>
      </w:pPr>
      <w:r w:rsidRPr="0051546B">
        <w:t xml:space="preserve">Further, we submit that a breach or failure of one person </w:t>
      </w:r>
      <w:r w:rsidR="002B33A8">
        <w:t>associated with</w:t>
      </w:r>
      <w:r w:rsidRPr="0051546B">
        <w:t xml:space="preserve"> </w:t>
      </w:r>
      <w:r w:rsidR="00D058FC">
        <w:t>a</w:t>
      </w:r>
      <w:r w:rsidR="002B33A8">
        <w:t xml:space="preserve"> tax exempt organisation</w:t>
      </w:r>
      <w:r w:rsidRPr="0051546B">
        <w:t xml:space="preserve"> or </w:t>
      </w:r>
      <w:r w:rsidR="002B33A8">
        <w:t>an isolated instance of non-compliance</w:t>
      </w:r>
      <w:r w:rsidRPr="0051546B">
        <w:t xml:space="preserve"> by an organisation should </w:t>
      </w:r>
      <w:r w:rsidR="002B33A8">
        <w:t xml:space="preserve">usually </w:t>
      </w:r>
      <w:r w:rsidRPr="0051546B">
        <w:t xml:space="preserve">not result in </w:t>
      </w:r>
      <w:r w:rsidR="002B33A8">
        <w:t xml:space="preserve">the </w:t>
      </w:r>
      <w:r w:rsidRPr="0051546B">
        <w:t>immediate loss of entitlement of the organisation to income tax exemption</w:t>
      </w:r>
      <w:r w:rsidR="00D07E0A">
        <w:t xml:space="preserve">.  </w:t>
      </w:r>
      <w:r w:rsidR="002B33A8">
        <w:t xml:space="preserve">Unless the breach is very serious, </w:t>
      </w:r>
      <w:r w:rsidRPr="0051546B">
        <w:t xml:space="preserve">the organisation should be given some ability to rectify the breach. As currently drafted this requirement is a continuing requirement and consequently a single breach would </w:t>
      </w:r>
      <w:r w:rsidR="00D058FC">
        <w:t xml:space="preserve">always </w:t>
      </w:r>
      <w:r w:rsidRPr="0051546B">
        <w:t>be sufficient to disentitle an organisation to endorsement for its entire future.</w:t>
      </w:r>
    </w:p>
    <w:p w:rsidR="00D42E99" w:rsidRDefault="006B4D9E">
      <w:pPr>
        <w:pStyle w:val="Heading3"/>
        <w:keepNext/>
        <w:numPr>
          <w:ilvl w:val="0"/>
          <w:numId w:val="0"/>
        </w:numPr>
        <w:ind w:left="709"/>
        <w:rPr>
          <w:b/>
          <w:i/>
        </w:rPr>
      </w:pPr>
      <w:r w:rsidRPr="006B4D9E">
        <w:rPr>
          <w:b/>
          <w:i/>
        </w:rPr>
        <w:t>Recommendations</w:t>
      </w:r>
    </w:p>
    <w:p w:rsidR="00D07E0A" w:rsidRDefault="00515DED" w:rsidP="00D07E0A">
      <w:pPr>
        <w:pStyle w:val="Heading3"/>
        <w:tabs>
          <w:tab w:val="clear" w:pos="-31680"/>
        </w:tabs>
        <w:jc w:val="both"/>
      </w:pPr>
      <w:r w:rsidRPr="00515DED">
        <w:t>We recommend that a definition of “substantive requirements of governing rules” be inserted along the lines of that in paragraph 1.86 of the Explanatory Memorandum.</w:t>
      </w:r>
      <w:r w:rsidR="00D07E0A" w:rsidRPr="00D07E0A">
        <w:t xml:space="preserve"> </w:t>
      </w:r>
    </w:p>
    <w:p w:rsidR="00515DED" w:rsidRPr="00515DED" w:rsidRDefault="00D07E0A" w:rsidP="00D07E0A">
      <w:pPr>
        <w:pStyle w:val="Heading3"/>
        <w:numPr>
          <w:ilvl w:val="0"/>
          <w:numId w:val="0"/>
        </w:numPr>
        <w:ind w:left="1418" w:hanging="709"/>
        <w:jc w:val="both"/>
      </w:pPr>
      <w:r>
        <w:lastRenderedPageBreak/>
        <w:t>(e)</w:t>
      </w:r>
      <w:r>
        <w:tab/>
      </w:r>
      <w:r w:rsidR="00515DED">
        <w:t xml:space="preserve">We also recommend that a </w:t>
      </w:r>
      <w:r w:rsidR="00D058FC">
        <w:t xml:space="preserve">suitable </w:t>
      </w:r>
      <w:r w:rsidR="00515DED">
        <w:t>pr</w:t>
      </w:r>
      <w:r w:rsidR="00D058FC">
        <w:t>ocess for affording an entity an</w:t>
      </w:r>
      <w:r w:rsidR="00515DED">
        <w:t xml:space="preserve"> </w:t>
      </w:r>
      <w:r w:rsidR="00D058FC">
        <w:t>opportunity to rectify a breach,</w:t>
      </w:r>
      <w:r w:rsidR="00515DED">
        <w:t xml:space="preserve"> prior to </w:t>
      </w:r>
      <w:proofErr w:type="spellStart"/>
      <w:r w:rsidR="00515DED">
        <w:t>disendorsement</w:t>
      </w:r>
      <w:proofErr w:type="spellEnd"/>
      <w:r w:rsidR="00515DED">
        <w:t xml:space="preserve"> being instituted, ought to be included in the Exposure Draft.</w:t>
      </w:r>
    </w:p>
    <w:p w:rsidR="00706D56" w:rsidRDefault="00706D56" w:rsidP="00B12E53">
      <w:pPr>
        <w:pStyle w:val="Heading1"/>
      </w:pPr>
      <w:r>
        <w:t>Use of income and assets</w:t>
      </w:r>
    </w:p>
    <w:p w:rsidR="00050E31" w:rsidRDefault="00050E31" w:rsidP="002D2354">
      <w:pPr>
        <w:pStyle w:val="Heading3"/>
        <w:jc w:val="both"/>
      </w:pPr>
      <w:r>
        <w:t xml:space="preserve">We note that </w:t>
      </w:r>
      <w:r w:rsidR="00CA2E00">
        <w:t xml:space="preserve">proposed section 50-50(3)(b) </w:t>
      </w:r>
      <w:r>
        <w:t>has been revised to require</w:t>
      </w:r>
      <w:r w:rsidR="00CA2E00">
        <w:t xml:space="preserve"> that</w:t>
      </w:r>
      <w:r>
        <w:t xml:space="preserve"> </w:t>
      </w:r>
      <w:r w:rsidR="00CA2E00">
        <w:t xml:space="preserve">an entity must </w:t>
      </w:r>
      <w:r w:rsidR="00B76F4C">
        <w:t>“</w:t>
      </w:r>
      <w:r w:rsidR="00CA2E00">
        <w:t>use its income and assets solely to pursue the purposes for which it was established</w:t>
      </w:r>
      <w:r>
        <w:t xml:space="preserve"> </w:t>
      </w:r>
      <w:r>
        <w:rPr>
          <w:i/>
        </w:rPr>
        <w:t>and for which it is entitled to be exempt from tax</w:t>
      </w:r>
      <w:r w:rsidR="00CA2E00">
        <w:t>.</w:t>
      </w:r>
      <w:r w:rsidR="00B76F4C">
        <w:t>”</w:t>
      </w:r>
    </w:p>
    <w:p w:rsidR="00050E31" w:rsidRDefault="00B12E53" w:rsidP="002D2354">
      <w:pPr>
        <w:pStyle w:val="Heading3"/>
        <w:jc w:val="both"/>
      </w:pPr>
      <w:r>
        <w:t>T</w:t>
      </w:r>
      <w:r w:rsidR="00050E31">
        <w:t xml:space="preserve">he additional words would </w:t>
      </w:r>
      <w:r>
        <w:t xml:space="preserve">appear to </w:t>
      </w:r>
      <w:r w:rsidR="00050E31">
        <w:t xml:space="preserve">prevent an entity from applying any income or assets in furtherance of incidental </w:t>
      </w:r>
      <w:r w:rsidR="00BA166C">
        <w:t xml:space="preserve">or ancillary </w:t>
      </w:r>
      <w:r w:rsidR="00050E31">
        <w:t xml:space="preserve">purposes since these are </w:t>
      </w:r>
      <w:r w:rsidR="00BA166C">
        <w:t xml:space="preserve">(perhaps) </w:t>
      </w:r>
      <w:r w:rsidR="00050E31">
        <w:t xml:space="preserve">not the purposes for which it is entitled to be exempt from tax. </w:t>
      </w:r>
      <w:r w:rsidR="00BA166C">
        <w:t xml:space="preserve"> Treasury’s Consultation Paper on </w:t>
      </w:r>
      <w:r w:rsidR="00BA166C" w:rsidRPr="00BA166C">
        <w:rPr>
          <w:i/>
        </w:rPr>
        <w:t>The Definition of Charity</w:t>
      </w:r>
      <w:r w:rsidR="00BA166C">
        <w:t xml:space="preserve"> would seem to make clear that if there is to be a statutory definition of </w:t>
      </w:r>
      <w:r>
        <w:t>‘</w:t>
      </w:r>
      <w:r w:rsidR="00BA166C">
        <w:t>charity</w:t>
      </w:r>
      <w:r>
        <w:t>’</w:t>
      </w:r>
      <w:r w:rsidR="00BA166C">
        <w:t xml:space="preserve"> </w:t>
      </w:r>
      <w:r w:rsidR="00D07E0A">
        <w:t>then</w:t>
      </w:r>
      <w:r w:rsidR="00BA166C">
        <w:t xml:space="preserve">, regardless of </w:t>
      </w:r>
      <w:r w:rsidR="00D058FC">
        <w:t>whether the test is</w:t>
      </w:r>
      <w:r>
        <w:t xml:space="preserve"> “exclusive charitable purpose</w:t>
      </w:r>
      <w:r w:rsidR="00BA166C">
        <w:t>” or “dominant</w:t>
      </w:r>
      <w:r>
        <w:t xml:space="preserve"> charitable purpose</w:t>
      </w:r>
      <w:r w:rsidR="00BA166C">
        <w:t xml:space="preserve">”, there will be allowance for non-charitable purposes which are ancillary or incidental to the charitable purpose or purposes, as the common law presently also allows.  It would be </w:t>
      </w:r>
      <w:r>
        <w:t>anomalous</w:t>
      </w:r>
      <w:r w:rsidR="00BA166C">
        <w:t xml:space="preserve"> if the definition of charity permitted a charity to have such ancillary or incidental purposes but the charity </w:t>
      </w:r>
      <w:r w:rsidR="00D058FC">
        <w:t xml:space="preserve">is not </w:t>
      </w:r>
      <w:r w:rsidR="00BA166C">
        <w:t>able to apply any resources in furtherance of those purposes.</w:t>
      </w:r>
    </w:p>
    <w:p w:rsidR="00CA2E00" w:rsidRDefault="00CA2E00" w:rsidP="00D058FC">
      <w:pPr>
        <w:pStyle w:val="Heading3"/>
        <w:tabs>
          <w:tab w:val="clear" w:pos="-31680"/>
        </w:tabs>
        <w:jc w:val="both"/>
      </w:pPr>
      <w:r>
        <w:t xml:space="preserve">Further, </w:t>
      </w:r>
      <w:r w:rsidR="00811112">
        <w:t>it is not clear how section 50-50(3</w:t>
      </w:r>
      <w:proofErr w:type="gramStart"/>
      <w:r w:rsidR="00811112">
        <w:t>)(</w:t>
      </w:r>
      <w:proofErr w:type="gramEnd"/>
      <w:r w:rsidR="00811112">
        <w:t>b) relates to</w:t>
      </w:r>
      <w:r>
        <w:t xml:space="preserve"> the proposed measures to remove tax conce</w:t>
      </w:r>
      <w:r w:rsidR="00B12E53">
        <w:t>ssions in respect of unrelated business</w:t>
      </w:r>
      <w:r>
        <w:t xml:space="preserve"> activities of charities</w:t>
      </w:r>
      <w:r w:rsidR="00811112">
        <w:t xml:space="preserve">.  In particular, it is not clear at this stage whether the retention of profits from an unrelated </w:t>
      </w:r>
      <w:r w:rsidR="00B12E53">
        <w:t>business</w:t>
      </w:r>
      <w:r w:rsidR="00811112">
        <w:t xml:space="preserve"> activity of a not-for-profit entity will be regarded</w:t>
      </w:r>
      <w:r>
        <w:t xml:space="preserve"> </w:t>
      </w:r>
      <w:r w:rsidR="00811112">
        <w:t>as a</w:t>
      </w:r>
      <w:r>
        <w:t xml:space="preserve"> failure to use </w:t>
      </w:r>
      <w:r w:rsidR="00811112">
        <w:t xml:space="preserve">its </w:t>
      </w:r>
      <w:r>
        <w:t xml:space="preserve">assets and income to pursue </w:t>
      </w:r>
      <w:r w:rsidR="00811112">
        <w:t>the</w:t>
      </w:r>
      <w:r>
        <w:t xml:space="preserve"> purpose</w:t>
      </w:r>
      <w:r w:rsidR="00811112">
        <w:t>s</w:t>
      </w:r>
      <w:r>
        <w:t xml:space="preserve"> </w:t>
      </w:r>
      <w:r w:rsidR="00811112">
        <w:t xml:space="preserve">for which it was established and hence raise the prospect of </w:t>
      </w:r>
      <w:proofErr w:type="spellStart"/>
      <w:r w:rsidR="00811112">
        <w:t>disendorsement</w:t>
      </w:r>
      <w:proofErr w:type="spellEnd"/>
      <w:r w:rsidR="00811112">
        <w:t xml:space="preserve"> of the whole entity</w:t>
      </w:r>
      <w:r>
        <w:t xml:space="preserve"> – rather than </w:t>
      </w:r>
      <w:r w:rsidR="00811112">
        <w:t xml:space="preserve">the removal of tax concessions </w:t>
      </w:r>
      <w:r>
        <w:t xml:space="preserve">just in respect of the </w:t>
      </w:r>
      <w:r w:rsidR="00811112">
        <w:t xml:space="preserve">retained profit from its unrelated </w:t>
      </w:r>
      <w:r w:rsidR="00B12E53">
        <w:t>business</w:t>
      </w:r>
      <w:r>
        <w:t xml:space="preserve"> activities.  </w:t>
      </w:r>
    </w:p>
    <w:p w:rsidR="00B12E53" w:rsidRDefault="00B12E53" w:rsidP="00B12E53">
      <w:pPr>
        <w:pStyle w:val="Heading3"/>
        <w:jc w:val="both"/>
      </w:pPr>
      <w:r>
        <w:t>In any event, we continue to question the need for this provision at all.  In order to obtain endorsement, the Commissioner of Taxation already requires that the organisation have a non-profit clause requiring the income and assets of the organisation to be used in furtherance of its objects.  Consequently, this section is unnecessary if section 50-50(3</w:t>
      </w:r>
      <w:proofErr w:type="gramStart"/>
      <w:r>
        <w:t>)(</w:t>
      </w:r>
      <w:proofErr w:type="gramEnd"/>
      <w:r>
        <w:t>a) requires compliance with the objects and non-profit clause included in the governing rules of the entity.</w:t>
      </w:r>
    </w:p>
    <w:p w:rsidR="00D42E99" w:rsidRDefault="006B4D9E">
      <w:pPr>
        <w:pStyle w:val="Heading3"/>
        <w:keepNext/>
        <w:numPr>
          <w:ilvl w:val="0"/>
          <w:numId w:val="0"/>
        </w:numPr>
        <w:ind w:left="709"/>
        <w:rPr>
          <w:b/>
          <w:i/>
        </w:rPr>
      </w:pPr>
      <w:r w:rsidRPr="006B4D9E">
        <w:rPr>
          <w:b/>
          <w:i/>
        </w:rPr>
        <w:t>Recommendation</w:t>
      </w:r>
      <w:r w:rsidR="00811112">
        <w:rPr>
          <w:b/>
          <w:i/>
        </w:rPr>
        <w:t>s</w:t>
      </w:r>
    </w:p>
    <w:p w:rsidR="00D07E0A" w:rsidRDefault="00D07E0A" w:rsidP="00D07E0A">
      <w:pPr>
        <w:pStyle w:val="Heading3"/>
        <w:tabs>
          <w:tab w:val="clear" w:pos="-31680"/>
        </w:tabs>
        <w:jc w:val="both"/>
      </w:pPr>
      <w:r>
        <w:t>W</w:t>
      </w:r>
      <w:r w:rsidRPr="008861A2">
        <w:t xml:space="preserve">e </w:t>
      </w:r>
      <w:r w:rsidR="00D058FC">
        <w:t>recommend</w:t>
      </w:r>
      <w:r w:rsidRPr="008861A2">
        <w:t xml:space="preserve"> that proposed section 50-50(3</w:t>
      </w:r>
      <w:proofErr w:type="gramStart"/>
      <w:r w:rsidRPr="008861A2">
        <w:t>)(</w:t>
      </w:r>
      <w:proofErr w:type="gramEnd"/>
      <w:r w:rsidR="00D058FC">
        <w:t xml:space="preserve">b) </w:t>
      </w:r>
      <w:r w:rsidRPr="008861A2">
        <w:t xml:space="preserve">be removed on the basis that it is unnecessary. </w:t>
      </w:r>
    </w:p>
    <w:p w:rsidR="00D07E0A" w:rsidRDefault="00D07E0A" w:rsidP="00D07E0A">
      <w:pPr>
        <w:pStyle w:val="Heading3"/>
        <w:jc w:val="both"/>
      </w:pPr>
      <w:r>
        <w:lastRenderedPageBreak/>
        <w:t>We also recommend</w:t>
      </w:r>
      <w:r w:rsidRPr="008861A2">
        <w:t xml:space="preserve"> that proposed </w:t>
      </w:r>
      <w:r>
        <w:t>sub</w:t>
      </w:r>
      <w:r w:rsidRPr="008861A2">
        <w:t>section 50-50(3)(b) be removed as it may be better addressed by the future r</w:t>
      </w:r>
      <w:r>
        <w:t xml:space="preserve">eforms in respect of unrelated business </w:t>
      </w:r>
      <w:r w:rsidRPr="008861A2">
        <w:t>activities and therefore the inclusion of this provision should be deferred until the consultation process in respect of such reforms has been completed.</w:t>
      </w:r>
    </w:p>
    <w:p w:rsidR="00B12E53" w:rsidRDefault="00D07E0A">
      <w:pPr>
        <w:pStyle w:val="Heading3"/>
        <w:jc w:val="both"/>
      </w:pPr>
      <w:r>
        <w:t>If subsection 50-50(3</w:t>
      </w:r>
      <w:proofErr w:type="gramStart"/>
      <w:r>
        <w:t>)(</w:t>
      </w:r>
      <w:proofErr w:type="gramEnd"/>
      <w:r>
        <w:t>b) is not removed</w:t>
      </w:r>
      <w:r w:rsidR="00D058FC">
        <w:t>,</w:t>
      </w:r>
      <w:r>
        <w:t xml:space="preserve"> we</w:t>
      </w:r>
      <w:r w:rsidR="00B12E53">
        <w:t xml:space="preserve"> recommend that the words “</w:t>
      </w:r>
      <w:r w:rsidR="00B12E53" w:rsidRPr="00B12E53">
        <w:t>and for which it is entitled to be exempt from tax</w:t>
      </w:r>
      <w:r w:rsidR="00B12E53">
        <w:t xml:space="preserve">” be omitted given that an entity may also have other ancillary or incidental purposes. </w:t>
      </w:r>
    </w:p>
    <w:p w:rsidR="005F6D16" w:rsidRDefault="005F6D16" w:rsidP="00515DED">
      <w:pPr>
        <w:pStyle w:val="Heading3"/>
        <w:numPr>
          <w:ilvl w:val="0"/>
          <w:numId w:val="0"/>
        </w:numPr>
        <w:jc w:val="both"/>
      </w:pPr>
    </w:p>
    <w:p w:rsidR="00515DED" w:rsidRDefault="00515DED" w:rsidP="00515DED">
      <w:pPr>
        <w:pStyle w:val="Heading3"/>
        <w:numPr>
          <w:ilvl w:val="0"/>
          <w:numId w:val="0"/>
        </w:numPr>
        <w:jc w:val="both"/>
      </w:pPr>
    </w:p>
    <w:p w:rsidR="00515DED" w:rsidRDefault="00515DED" w:rsidP="00515DED">
      <w:pPr>
        <w:pStyle w:val="Heading3"/>
        <w:numPr>
          <w:ilvl w:val="0"/>
          <w:numId w:val="0"/>
        </w:numPr>
        <w:spacing w:before="0"/>
        <w:jc w:val="both"/>
      </w:pPr>
      <w:r>
        <w:t>Mr Robert Wicks</w:t>
      </w:r>
    </w:p>
    <w:p w:rsidR="00515DED" w:rsidRDefault="00515DED" w:rsidP="00515DED">
      <w:pPr>
        <w:pStyle w:val="Heading3"/>
        <w:numPr>
          <w:ilvl w:val="0"/>
          <w:numId w:val="0"/>
        </w:numPr>
        <w:spacing w:before="0"/>
        <w:jc w:val="both"/>
      </w:pPr>
      <w:r>
        <w:t>Diocesan Secretary</w:t>
      </w:r>
    </w:p>
    <w:p w:rsidR="00515DED" w:rsidRDefault="00515DED" w:rsidP="00515DED">
      <w:pPr>
        <w:pStyle w:val="Heading3"/>
        <w:numPr>
          <w:ilvl w:val="0"/>
          <w:numId w:val="0"/>
        </w:numPr>
        <w:spacing w:before="0"/>
        <w:jc w:val="both"/>
      </w:pPr>
      <w:r>
        <w:t>Anglican Church Offices</w:t>
      </w:r>
    </w:p>
    <w:p w:rsidR="00E2365A" w:rsidRDefault="00515DED" w:rsidP="00515DED">
      <w:pPr>
        <w:pStyle w:val="Heading3"/>
        <w:numPr>
          <w:ilvl w:val="0"/>
          <w:numId w:val="0"/>
        </w:numPr>
        <w:spacing w:before="0"/>
        <w:jc w:val="both"/>
      </w:pPr>
      <w:r>
        <w:t xml:space="preserve">PO </w:t>
      </w:r>
      <w:r w:rsidR="00E2365A">
        <w:t>Box Q190</w:t>
      </w:r>
    </w:p>
    <w:p w:rsidR="00515DED" w:rsidRDefault="00515DED" w:rsidP="00515DED">
      <w:pPr>
        <w:pStyle w:val="Heading3"/>
        <w:numPr>
          <w:ilvl w:val="0"/>
          <w:numId w:val="0"/>
        </w:numPr>
        <w:spacing w:before="0"/>
        <w:jc w:val="both"/>
      </w:pPr>
      <w:r>
        <w:t xml:space="preserve">QVB </w:t>
      </w:r>
      <w:r w:rsidR="00C70DB7">
        <w:t xml:space="preserve">POST OFFICE  </w:t>
      </w:r>
      <w:r>
        <w:t xml:space="preserve">NSW </w:t>
      </w:r>
      <w:r w:rsidR="00C70DB7">
        <w:t xml:space="preserve"> </w:t>
      </w:r>
      <w:r>
        <w:t>1230</w:t>
      </w:r>
    </w:p>
    <w:p w:rsidR="00515DED" w:rsidRDefault="00515DED" w:rsidP="00515DED">
      <w:pPr>
        <w:pStyle w:val="Heading3"/>
        <w:numPr>
          <w:ilvl w:val="0"/>
          <w:numId w:val="0"/>
        </w:numPr>
        <w:spacing w:before="0"/>
        <w:jc w:val="both"/>
      </w:pPr>
      <w:r>
        <w:t>Phone: (02) 9265 1671</w:t>
      </w:r>
    </w:p>
    <w:p w:rsidR="00515DED" w:rsidRDefault="00515DED" w:rsidP="00515DED">
      <w:pPr>
        <w:pStyle w:val="Heading3"/>
        <w:numPr>
          <w:ilvl w:val="0"/>
          <w:numId w:val="0"/>
        </w:numPr>
        <w:spacing w:before="0"/>
        <w:jc w:val="both"/>
      </w:pPr>
      <w:r>
        <w:t>Fax: (02) 9265 1621</w:t>
      </w:r>
    </w:p>
    <w:p w:rsidR="00515DED" w:rsidRDefault="00515DED" w:rsidP="00515DED">
      <w:pPr>
        <w:pStyle w:val="Heading3"/>
        <w:numPr>
          <w:ilvl w:val="0"/>
          <w:numId w:val="0"/>
        </w:numPr>
        <w:spacing w:before="0"/>
        <w:jc w:val="both"/>
      </w:pPr>
      <w:r>
        <w:t>Email: rjw@sydney.anglican.asn.au</w:t>
      </w:r>
    </w:p>
    <w:p w:rsidR="00515DED" w:rsidRDefault="00515DED" w:rsidP="0069058C">
      <w:pPr>
        <w:pStyle w:val="Heading3"/>
        <w:numPr>
          <w:ilvl w:val="0"/>
          <w:numId w:val="0"/>
        </w:numPr>
      </w:pPr>
    </w:p>
    <w:p w:rsidR="0069058C" w:rsidRDefault="00DF1737" w:rsidP="0069058C">
      <w:pPr>
        <w:pStyle w:val="Heading3"/>
        <w:numPr>
          <w:ilvl w:val="0"/>
          <w:numId w:val="0"/>
        </w:numPr>
      </w:pPr>
      <w:r>
        <w:t>11 May 2012</w:t>
      </w:r>
    </w:p>
    <w:p w:rsidR="005F6D16" w:rsidRPr="0069058C" w:rsidRDefault="005F6D16" w:rsidP="0069058C">
      <w:pPr>
        <w:pStyle w:val="Heading3"/>
        <w:numPr>
          <w:ilvl w:val="0"/>
          <w:numId w:val="0"/>
        </w:numPr>
      </w:pPr>
    </w:p>
    <w:sectPr w:rsidR="005F6D16" w:rsidRPr="0069058C" w:rsidSect="00322FE5">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680" w:footer="65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60C" w:rsidRDefault="00A6460C">
      <w:r>
        <w:separator/>
      </w:r>
    </w:p>
  </w:endnote>
  <w:endnote w:type="continuationSeparator" w:id="0">
    <w:p w:rsidR="00A6460C" w:rsidRDefault="00A646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DE" w:rsidRDefault="00A754DF" w:rsidP="00A8392A">
    <w:pPr>
      <w:pStyle w:val="Footer"/>
      <w:framePr w:wrap="around" w:vAnchor="text" w:hAnchor="margin" w:xAlign="right" w:y="1"/>
      <w:rPr>
        <w:rStyle w:val="PageNumber"/>
      </w:rPr>
    </w:pPr>
    <w:r>
      <w:rPr>
        <w:rStyle w:val="PageNumber"/>
      </w:rPr>
      <w:fldChar w:fldCharType="begin"/>
    </w:r>
    <w:r w:rsidR="00B44BDE">
      <w:rPr>
        <w:rStyle w:val="PageNumber"/>
      </w:rPr>
      <w:instrText xml:space="preserve">PAGE  </w:instrText>
    </w:r>
    <w:r>
      <w:rPr>
        <w:rStyle w:val="PageNumber"/>
      </w:rPr>
      <w:fldChar w:fldCharType="separate"/>
    </w:r>
    <w:r w:rsidR="00B44BDE">
      <w:rPr>
        <w:rStyle w:val="PageNumber"/>
        <w:noProof/>
      </w:rPr>
      <w:t>8</w:t>
    </w:r>
    <w:r>
      <w:rPr>
        <w:rStyle w:val="PageNumber"/>
      </w:rPr>
      <w:fldChar w:fldCharType="end"/>
    </w:r>
  </w:p>
  <w:p w:rsidR="00B44BDE" w:rsidRDefault="00B44B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DE" w:rsidRDefault="00A754DF" w:rsidP="00A8392A">
    <w:pPr>
      <w:pStyle w:val="Footer"/>
      <w:framePr w:wrap="around" w:vAnchor="text" w:hAnchor="margin" w:xAlign="right" w:y="1"/>
      <w:rPr>
        <w:rStyle w:val="PageNumber"/>
      </w:rPr>
    </w:pPr>
    <w:r>
      <w:rPr>
        <w:rStyle w:val="PageNumber"/>
      </w:rPr>
      <w:fldChar w:fldCharType="begin"/>
    </w:r>
    <w:r w:rsidR="00B44BDE">
      <w:rPr>
        <w:rStyle w:val="PageNumber"/>
      </w:rPr>
      <w:instrText xml:space="preserve">PAGE  </w:instrText>
    </w:r>
    <w:r>
      <w:rPr>
        <w:rStyle w:val="PageNumber"/>
      </w:rPr>
      <w:fldChar w:fldCharType="separate"/>
    </w:r>
    <w:r w:rsidR="00C70DB7">
      <w:rPr>
        <w:rStyle w:val="PageNumber"/>
        <w:noProof/>
      </w:rPr>
      <w:t>5</w:t>
    </w:r>
    <w:r>
      <w:rPr>
        <w:rStyle w:val="PageNumber"/>
      </w:rPr>
      <w:fldChar w:fldCharType="end"/>
    </w:r>
  </w:p>
  <w:p w:rsidR="00B44BDE" w:rsidRDefault="00B44BDE" w:rsidP="00743B6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34" w:type="dxa"/>
      <w:tblBorders>
        <w:top w:val="single" w:sz="4" w:space="0" w:color="auto"/>
      </w:tblBorders>
      <w:tblLook w:val="01E0"/>
    </w:tblPr>
    <w:tblGrid>
      <w:gridCol w:w="2127"/>
      <w:gridCol w:w="8646"/>
    </w:tblGrid>
    <w:tr w:rsidR="00B44BDE" w:rsidTr="003C60C8">
      <w:tc>
        <w:tcPr>
          <w:tcW w:w="2127" w:type="dxa"/>
          <w:tcMar>
            <w:left w:w="0" w:type="dxa"/>
          </w:tcMar>
        </w:tcPr>
        <w:p w:rsidR="00B44BDE" w:rsidRPr="003C60C8" w:rsidRDefault="00B44BDE" w:rsidP="007537C0">
          <w:pPr>
            <w:pStyle w:val="Footer"/>
            <w:rPr>
              <w:szCs w:val="16"/>
            </w:rPr>
          </w:pPr>
        </w:p>
      </w:tc>
      <w:tc>
        <w:tcPr>
          <w:tcW w:w="8646" w:type="dxa"/>
          <w:tcMar>
            <w:left w:w="0" w:type="dxa"/>
            <w:right w:w="0" w:type="dxa"/>
          </w:tcMar>
        </w:tcPr>
        <w:p w:rsidR="00B44BDE" w:rsidRPr="003C60C8" w:rsidRDefault="00B44BDE" w:rsidP="009004C5">
          <w:pPr>
            <w:pStyle w:val="Footersecondline"/>
            <w:rPr>
              <w:szCs w:val="16"/>
            </w:rPr>
          </w:pPr>
        </w:p>
      </w:tc>
    </w:tr>
  </w:tbl>
  <w:p w:rsidR="00B44BDE" w:rsidRPr="009004C5" w:rsidRDefault="00B44BDE" w:rsidP="00900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60C" w:rsidRDefault="00A6460C">
      <w:r>
        <w:separator/>
      </w:r>
    </w:p>
  </w:footnote>
  <w:footnote w:type="continuationSeparator" w:id="0">
    <w:p w:rsidR="00A6460C" w:rsidRDefault="00A64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DE" w:rsidRDefault="00B44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DE" w:rsidRDefault="00B44BDE">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BDE" w:rsidRDefault="00B44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81AB0EE"/>
    <w:lvl w:ilvl="0">
      <w:start w:val="1"/>
      <w:numFmt w:val="bullet"/>
      <w:pStyle w:val="ListBullet"/>
      <w:lvlText w:val=""/>
      <w:lvlJc w:val="left"/>
      <w:pPr>
        <w:tabs>
          <w:tab w:val="num" w:pos="-31680"/>
        </w:tabs>
        <w:ind w:left="709" w:hanging="709"/>
      </w:pPr>
      <w:rPr>
        <w:rFonts w:ascii="Symbol" w:hAnsi="Symbol" w:hint="default"/>
        <w:color w:val="333333"/>
      </w:rPr>
    </w:lvl>
  </w:abstractNum>
  <w:abstractNum w:abstractNumId="1">
    <w:nsid w:val="0CA724E6"/>
    <w:multiLevelType w:val="multilevel"/>
    <w:tmpl w:val="DC24E044"/>
    <w:lvl w:ilvl="0">
      <w:start w:val="1"/>
      <w:numFmt w:val="decimal"/>
      <w:pStyle w:val="Heading1"/>
      <w:lvlText w:val="%1"/>
      <w:lvlJc w:val="left"/>
      <w:pPr>
        <w:tabs>
          <w:tab w:val="num" w:pos="-31680"/>
        </w:tabs>
        <w:ind w:left="709" w:hanging="709"/>
      </w:pPr>
      <w:rPr>
        <w:rFonts w:hint="default"/>
      </w:rPr>
    </w:lvl>
    <w:lvl w:ilvl="1">
      <w:start w:val="1"/>
      <w:numFmt w:val="decimal"/>
      <w:pStyle w:val="Heading2"/>
      <w:lvlText w:val="%1.%2"/>
      <w:lvlJc w:val="left"/>
      <w:pPr>
        <w:tabs>
          <w:tab w:val="num" w:pos="-31680"/>
        </w:tabs>
        <w:ind w:left="709" w:hanging="709"/>
      </w:pPr>
      <w:rPr>
        <w:rFonts w:hint="default"/>
      </w:rPr>
    </w:lvl>
    <w:lvl w:ilvl="2">
      <w:start w:val="1"/>
      <w:numFmt w:val="lowerLetter"/>
      <w:pStyle w:val="Heading3"/>
      <w:lvlText w:val="(%3)"/>
      <w:lvlJc w:val="left"/>
      <w:pPr>
        <w:tabs>
          <w:tab w:val="num" w:pos="-31680"/>
        </w:tabs>
        <w:ind w:left="1418" w:hanging="709"/>
      </w:pPr>
      <w:rPr>
        <w:rFonts w:hint="default"/>
      </w:rPr>
    </w:lvl>
    <w:lvl w:ilvl="3">
      <w:start w:val="1"/>
      <w:numFmt w:val="lowerRoman"/>
      <w:pStyle w:val="Heading4"/>
      <w:lvlText w:val="(%4)"/>
      <w:lvlJc w:val="left"/>
      <w:pPr>
        <w:tabs>
          <w:tab w:val="num" w:pos="-31680"/>
        </w:tabs>
        <w:ind w:left="2126" w:hanging="708"/>
      </w:pPr>
      <w:rPr>
        <w:rFonts w:hint="default"/>
      </w:rPr>
    </w:lvl>
    <w:lvl w:ilvl="4">
      <w:start w:val="1"/>
      <w:numFmt w:val="lowerLetter"/>
      <w:pStyle w:val="Heading5"/>
      <w:lvlText w:val="%5)"/>
      <w:lvlJc w:val="left"/>
      <w:pPr>
        <w:tabs>
          <w:tab w:val="num" w:pos="2126"/>
        </w:tabs>
        <w:ind w:left="2552" w:hanging="426"/>
      </w:pPr>
      <w:rPr>
        <w:rFonts w:hint="default"/>
      </w:rPr>
    </w:lvl>
    <w:lvl w:ilvl="5">
      <w:start w:val="1"/>
      <w:numFmt w:val="lowerRoman"/>
      <w:pStyle w:val="Heading6"/>
      <w:lvlText w:val="%6)"/>
      <w:lvlJc w:val="left"/>
      <w:pPr>
        <w:tabs>
          <w:tab w:val="num" w:pos="2552"/>
        </w:tabs>
        <w:ind w:left="2977" w:hanging="425"/>
      </w:pPr>
      <w:rPr>
        <w:rFonts w:hint="default"/>
      </w:rPr>
    </w:lvl>
    <w:lvl w:ilvl="6">
      <w:start w:val="1"/>
      <w:numFmt w:val="decimal"/>
      <w:pStyle w:val="Heading7"/>
      <w:lvlText w:val="%7)"/>
      <w:lvlJc w:val="left"/>
      <w:pPr>
        <w:tabs>
          <w:tab w:val="num" w:pos="2977"/>
        </w:tabs>
        <w:ind w:left="3402" w:hanging="425"/>
      </w:pPr>
      <w:rPr>
        <w:rFonts w:hint="default"/>
      </w:rPr>
    </w:lvl>
    <w:lvl w:ilvl="7">
      <w:start w:val="1"/>
      <w:numFmt w:val="bullet"/>
      <w:pStyle w:val="Heading8"/>
      <w:lvlText w:val=""/>
      <w:lvlJc w:val="left"/>
      <w:pPr>
        <w:tabs>
          <w:tab w:val="num" w:pos="3402"/>
        </w:tabs>
        <w:ind w:left="3827" w:hanging="425"/>
      </w:pPr>
      <w:rPr>
        <w:rFonts w:ascii="Wingdings" w:hAnsi="Wingdings" w:hint="default"/>
      </w:rPr>
    </w:lvl>
    <w:lvl w:ilvl="8">
      <w:start w:val="1"/>
      <w:numFmt w:val="bullet"/>
      <w:pStyle w:val="Heading9"/>
      <w:lvlText w:val=""/>
      <w:lvlJc w:val="left"/>
      <w:pPr>
        <w:tabs>
          <w:tab w:val="num" w:pos="3827"/>
        </w:tabs>
        <w:ind w:left="4253" w:hanging="426"/>
      </w:pPr>
      <w:rPr>
        <w:rFonts w:ascii="Symbol" w:hAnsi="Symbol" w:hint="default"/>
        <w:color w:val="auto"/>
      </w:rPr>
    </w:lvl>
  </w:abstractNum>
  <w:abstractNum w:abstractNumId="2">
    <w:nsid w:val="474847A2"/>
    <w:multiLevelType w:val="multilevel"/>
    <w:tmpl w:val="0FEAD2C0"/>
    <w:lvl w:ilvl="0">
      <w:start w:val="1"/>
      <w:numFmt w:val="lowerLetter"/>
      <w:lvlText w:val="(%1)"/>
      <w:lvlJc w:val="left"/>
      <w:pPr>
        <w:tabs>
          <w:tab w:val="num" w:pos="565"/>
        </w:tabs>
        <w:ind w:left="565" w:hanging="565"/>
      </w:pPr>
      <w:rPr>
        <w:rFonts w:hint="default"/>
        <w:b w:val="0"/>
        <w:i w:val="0"/>
        <w:sz w:val="21"/>
      </w:rPr>
    </w:lvl>
    <w:lvl w:ilvl="1">
      <w:start w:val="1"/>
      <w:numFmt w:val="lowerLetter"/>
      <w:lvlText w:val="(%2)"/>
      <w:lvlJc w:val="left"/>
      <w:pPr>
        <w:tabs>
          <w:tab w:val="num" w:pos="1134"/>
        </w:tabs>
        <w:ind w:left="1134" w:hanging="569"/>
      </w:pPr>
      <w:rPr>
        <w:rFonts w:hint="default"/>
      </w:rPr>
    </w:lvl>
    <w:lvl w:ilvl="2">
      <w:start w:val="1"/>
      <w:numFmt w:val="lowerRoman"/>
      <w:lvlText w:val="(%3)"/>
      <w:lvlJc w:val="left"/>
      <w:pPr>
        <w:tabs>
          <w:tab w:val="num" w:pos="1854"/>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545"/>
        </w:tabs>
        <w:ind w:left="3390" w:hanging="565"/>
      </w:pPr>
      <w:rPr>
        <w:rFonts w:hint="default"/>
      </w:rPr>
    </w:lvl>
    <w:lvl w:ilvl="6">
      <w:start w:val="1"/>
      <w:numFmt w:val="decimal"/>
      <w:lvlText w:val="%7)"/>
      <w:lvlJc w:val="left"/>
      <w:pPr>
        <w:tabs>
          <w:tab w:val="num" w:pos="3955"/>
        </w:tabs>
        <w:ind w:left="3955" w:hanging="565"/>
      </w:pPr>
      <w:rPr>
        <w:rFonts w:hint="default"/>
      </w:rPr>
    </w:lvl>
    <w:lvl w:ilvl="7">
      <w:start w:val="1"/>
      <w:numFmt w:val="lowerLetter"/>
      <w:lvlText w:val="%8)"/>
      <w:lvlJc w:val="left"/>
      <w:pPr>
        <w:tabs>
          <w:tab w:val="num" w:pos="4520"/>
        </w:tabs>
        <w:ind w:left="4520" w:hanging="565"/>
      </w:pPr>
      <w:rPr>
        <w:rFonts w:hint="default"/>
      </w:rPr>
    </w:lvl>
    <w:lvl w:ilvl="8">
      <w:start w:val="1"/>
      <w:numFmt w:val="lowerRoman"/>
      <w:lvlText w:val="%9"/>
      <w:lvlJc w:val="left"/>
      <w:pPr>
        <w:tabs>
          <w:tab w:val="num" w:pos="5085"/>
        </w:tabs>
        <w:ind w:left="5085" w:hanging="565"/>
      </w:pPr>
      <w:rPr>
        <w:rFonts w:hint="default"/>
      </w:rPr>
    </w:lvl>
  </w:abstractNum>
  <w:abstractNum w:abstractNumId="3">
    <w:nsid w:val="494C3E7F"/>
    <w:multiLevelType w:val="hybridMultilevel"/>
    <w:tmpl w:val="8428998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nsid w:val="51864EEA"/>
    <w:multiLevelType w:val="multilevel"/>
    <w:tmpl w:val="C24C9648"/>
    <w:lvl w:ilvl="0">
      <w:start w:val="1"/>
      <w:numFmt w:val="decimal"/>
      <w:lvlText w:val="%1."/>
      <w:lvlJc w:val="left"/>
      <w:pPr>
        <w:tabs>
          <w:tab w:val="num" w:pos="565"/>
        </w:tabs>
        <w:ind w:left="565" w:hanging="565"/>
      </w:pPr>
      <w:rPr>
        <w:rFonts w:ascii="Arial" w:hAnsi="Arial" w:hint="default"/>
        <w:b w:val="0"/>
        <w:i w:val="0"/>
        <w:sz w:val="20"/>
      </w:rPr>
    </w:lvl>
    <w:lvl w:ilvl="1">
      <w:start w:val="1"/>
      <w:numFmt w:val="lowerLetter"/>
      <w:lvlText w:val="(%2)"/>
      <w:lvlJc w:val="left"/>
      <w:pPr>
        <w:tabs>
          <w:tab w:val="num" w:pos="1134"/>
        </w:tabs>
        <w:ind w:left="1134" w:hanging="569"/>
      </w:pPr>
      <w:rPr>
        <w:rFonts w:hint="default"/>
      </w:rPr>
    </w:lvl>
    <w:lvl w:ilvl="2">
      <w:start w:val="1"/>
      <w:numFmt w:val="lowerRoman"/>
      <w:lvlText w:val="(%3)"/>
      <w:lvlJc w:val="left"/>
      <w:pPr>
        <w:tabs>
          <w:tab w:val="num" w:pos="1854"/>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545"/>
        </w:tabs>
        <w:ind w:left="3390" w:hanging="565"/>
      </w:pPr>
      <w:rPr>
        <w:rFonts w:hint="default"/>
      </w:rPr>
    </w:lvl>
    <w:lvl w:ilvl="6">
      <w:start w:val="1"/>
      <w:numFmt w:val="decimal"/>
      <w:lvlText w:val="%7)"/>
      <w:lvlJc w:val="left"/>
      <w:pPr>
        <w:tabs>
          <w:tab w:val="num" w:pos="3955"/>
        </w:tabs>
        <w:ind w:left="3955" w:hanging="565"/>
      </w:pPr>
      <w:rPr>
        <w:rFonts w:hint="default"/>
      </w:rPr>
    </w:lvl>
    <w:lvl w:ilvl="7">
      <w:start w:val="1"/>
      <w:numFmt w:val="lowerLetter"/>
      <w:lvlText w:val="%8)"/>
      <w:lvlJc w:val="left"/>
      <w:pPr>
        <w:tabs>
          <w:tab w:val="num" w:pos="4520"/>
        </w:tabs>
        <w:ind w:left="4520" w:hanging="565"/>
      </w:pPr>
      <w:rPr>
        <w:rFonts w:hint="default"/>
      </w:rPr>
    </w:lvl>
    <w:lvl w:ilvl="8">
      <w:start w:val="1"/>
      <w:numFmt w:val="lowerRoman"/>
      <w:lvlText w:val="%9"/>
      <w:lvlJc w:val="left"/>
      <w:pPr>
        <w:tabs>
          <w:tab w:val="num" w:pos="5085"/>
        </w:tabs>
        <w:ind w:left="5085" w:hanging="565"/>
      </w:pPr>
      <w:rPr>
        <w:rFonts w:hint="default"/>
      </w:rPr>
    </w:lvl>
  </w:abstractNum>
  <w:abstractNum w:abstractNumId="5">
    <w:nsid w:val="663B236B"/>
    <w:multiLevelType w:val="hybridMultilevel"/>
    <w:tmpl w:val="F578ADDA"/>
    <w:lvl w:ilvl="0" w:tplc="B7001ECE">
      <w:start w:val="1"/>
      <w:numFmt w:val="bullet"/>
      <w:lvlText w:val=""/>
      <w:lvlJc w:val="left"/>
      <w:pPr>
        <w:ind w:left="1440" w:hanging="360"/>
      </w:pPr>
      <w:rPr>
        <w:rFonts w:ascii="Wingdings" w:hAnsi="Wingdings" w:hint="default"/>
        <w:b w:val="0"/>
        <w:i w:val="0"/>
        <w:sz w:val="1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69505DAF"/>
    <w:multiLevelType w:val="hybridMultilevel"/>
    <w:tmpl w:val="30964D92"/>
    <w:lvl w:ilvl="0" w:tplc="F4C4AF3C">
      <w:start w:val="1"/>
      <w:numFmt w:val="bullet"/>
      <w:lvlText w:val=""/>
      <w:lvlJc w:val="left"/>
      <w:pPr>
        <w:ind w:left="1440" w:hanging="360"/>
      </w:pPr>
      <w:rPr>
        <w:rFonts w:ascii="Wingdings" w:hAnsi="Wingdings" w:hint="default"/>
        <w:sz w:val="1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7A86432F"/>
    <w:multiLevelType w:val="hybridMultilevel"/>
    <w:tmpl w:val="57DAA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7"/>
  </w:num>
  <w:num w:numId="13">
    <w:abstractNumId w:val="6"/>
  </w:num>
  <w:num w:numId="14">
    <w:abstractNumId w:val="5"/>
  </w:num>
  <w:num w:numId="15">
    <w:abstractNumId w:val="2"/>
  </w:num>
  <w:num w:numId="16">
    <w:abstractNumId w:val="3"/>
  </w:num>
  <w:num w:numId="17">
    <w:abstractNumId w:val="4"/>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oNotHyphenateCaps/>
  <w:drawingGridHorizontalSpacing w:val="105"/>
  <w:displayHorizontalDrawingGridEvery w:val="0"/>
  <w:displayVerticalDrawingGridEvery w:val="0"/>
  <w:doNotShadeFormData/>
  <w:noPunctuationKerning/>
  <w:characterSpacingControl w:val="doNotCompress"/>
  <w:hdrShapeDefaults>
    <o:shapedefaults v:ext="edit" spidmax="25601"/>
  </w:hdrShapeDefaults>
  <w:footnotePr>
    <w:footnote w:id="-1"/>
    <w:footnote w:id="0"/>
  </w:footnotePr>
  <w:endnotePr>
    <w:endnote w:id="-1"/>
    <w:endnote w:id="0"/>
  </w:endnotePr>
  <w:compat/>
  <w:docVars>
    <w:docVar w:name="LEAPCharacterCount" w:val="35139"/>
    <w:docVar w:name="LEAPCursorEndPosition" w:val="3001"/>
    <w:docVar w:name="LEAPCursorStartPosition" w:val="3001"/>
    <w:docVar w:name="LEAPDefaultView" w:val="3"/>
    <w:docVar w:name="LEAPFilePath" w:val="C:\Users\CJones\AppData\Local\Temp\LEAP\Cu\DRAFT Submission to Treasury re In Australia Exposure Draft 110804.doc"/>
    <w:docVar w:name="LEAPMatterCode" w:val="1036"/>
    <w:docVar w:name="LEAPMergeFilePath" w:val="C:\Users\CJones\AppData\Local\Temp\LEAP\LEAPFields80297X.dat"/>
    <w:docVar w:name="LEAPTempFilePath" w:val="C:\Users\CJones\AppData\Local\Temp\LEAP\"/>
    <w:docVar w:name="LEAPTempPath" w:val="C:\Users\CJones\AppData\Local\Temp\LEAP\"/>
    <w:docVar w:name="LEAPUniqueCode" w:val="80297"/>
  </w:docVars>
  <w:rsids>
    <w:rsidRoot w:val="006900A2"/>
    <w:rsid w:val="0000260B"/>
    <w:rsid w:val="000034C2"/>
    <w:rsid w:val="000146C0"/>
    <w:rsid w:val="00020D29"/>
    <w:rsid w:val="000219DC"/>
    <w:rsid w:val="000221F6"/>
    <w:rsid w:val="000239BA"/>
    <w:rsid w:val="00033C4A"/>
    <w:rsid w:val="0003571D"/>
    <w:rsid w:val="0004000E"/>
    <w:rsid w:val="0004381A"/>
    <w:rsid w:val="00045B63"/>
    <w:rsid w:val="000475CA"/>
    <w:rsid w:val="0004765F"/>
    <w:rsid w:val="00050E31"/>
    <w:rsid w:val="0005202F"/>
    <w:rsid w:val="00054EEF"/>
    <w:rsid w:val="000560B4"/>
    <w:rsid w:val="000677FD"/>
    <w:rsid w:val="00067B32"/>
    <w:rsid w:val="00075AB8"/>
    <w:rsid w:val="00076B70"/>
    <w:rsid w:val="00081BC6"/>
    <w:rsid w:val="00085562"/>
    <w:rsid w:val="000859F2"/>
    <w:rsid w:val="00091ABD"/>
    <w:rsid w:val="00097415"/>
    <w:rsid w:val="000B3A65"/>
    <w:rsid w:val="000B41AC"/>
    <w:rsid w:val="000B79F2"/>
    <w:rsid w:val="000C1113"/>
    <w:rsid w:val="000D3AF2"/>
    <w:rsid w:val="000D4C44"/>
    <w:rsid w:val="000E3E85"/>
    <w:rsid w:val="000F04A2"/>
    <w:rsid w:val="000F1859"/>
    <w:rsid w:val="000F2179"/>
    <w:rsid w:val="0010142B"/>
    <w:rsid w:val="00121B5F"/>
    <w:rsid w:val="001270F4"/>
    <w:rsid w:val="00130C97"/>
    <w:rsid w:val="00135790"/>
    <w:rsid w:val="0013631D"/>
    <w:rsid w:val="00140075"/>
    <w:rsid w:val="00145245"/>
    <w:rsid w:val="001604F3"/>
    <w:rsid w:val="001621F3"/>
    <w:rsid w:val="00164247"/>
    <w:rsid w:val="001644F5"/>
    <w:rsid w:val="0017330B"/>
    <w:rsid w:val="00183344"/>
    <w:rsid w:val="00197051"/>
    <w:rsid w:val="001A0367"/>
    <w:rsid w:val="001A2728"/>
    <w:rsid w:val="001A3C6F"/>
    <w:rsid w:val="001A6121"/>
    <w:rsid w:val="001B254A"/>
    <w:rsid w:val="001B307F"/>
    <w:rsid w:val="001B52B1"/>
    <w:rsid w:val="001C1083"/>
    <w:rsid w:val="001C1784"/>
    <w:rsid w:val="001E01C5"/>
    <w:rsid w:val="001E039D"/>
    <w:rsid w:val="001E1F23"/>
    <w:rsid w:val="001E6D50"/>
    <w:rsid w:val="001F4D84"/>
    <w:rsid w:val="00200E63"/>
    <w:rsid w:val="00206A1D"/>
    <w:rsid w:val="002073EC"/>
    <w:rsid w:val="002201BC"/>
    <w:rsid w:val="0022073D"/>
    <w:rsid w:val="00221F40"/>
    <w:rsid w:val="00240569"/>
    <w:rsid w:val="00252652"/>
    <w:rsid w:val="002568C7"/>
    <w:rsid w:val="00264219"/>
    <w:rsid w:val="00265D3F"/>
    <w:rsid w:val="0027353C"/>
    <w:rsid w:val="002843CB"/>
    <w:rsid w:val="00294498"/>
    <w:rsid w:val="00296B87"/>
    <w:rsid w:val="002A4D3A"/>
    <w:rsid w:val="002A7667"/>
    <w:rsid w:val="002A7B4D"/>
    <w:rsid w:val="002B33A8"/>
    <w:rsid w:val="002B5727"/>
    <w:rsid w:val="002B5E34"/>
    <w:rsid w:val="002C37AB"/>
    <w:rsid w:val="002C3C3D"/>
    <w:rsid w:val="002D2354"/>
    <w:rsid w:val="002E13B6"/>
    <w:rsid w:val="002E330E"/>
    <w:rsid w:val="002E3EAE"/>
    <w:rsid w:val="002F12E0"/>
    <w:rsid w:val="002F1ED2"/>
    <w:rsid w:val="0031045F"/>
    <w:rsid w:val="003163BE"/>
    <w:rsid w:val="00322FE5"/>
    <w:rsid w:val="00323A62"/>
    <w:rsid w:val="003256C0"/>
    <w:rsid w:val="00330199"/>
    <w:rsid w:val="00334939"/>
    <w:rsid w:val="00334AA7"/>
    <w:rsid w:val="003463DB"/>
    <w:rsid w:val="00347902"/>
    <w:rsid w:val="003538E1"/>
    <w:rsid w:val="00354462"/>
    <w:rsid w:val="00354E27"/>
    <w:rsid w:val="00355198"/>
    <w:rsid w:val="0036048E"/>
    <w:rsid w:val="00361F17"/>
    <w:rsid w:val="0036500B"/>
    <w:rsid w:val="00366289"/>
    <w:rsid w:val="00367BFC"/>
    <w:rsid w:val="00367FA1"/>
    <w:rsid w:val="003722BE"/>
    <w:rsid w:val="00372EB3"/>
    <w:rsid w:val="00375B9F"/>
    <w:rsid w:val="003772CC"/>
    <w:rsid w:val="003845DA"/>
    <w:rsid w:val="00384B3B"/>
    <w:rsid w:val="00391A73"/>
    <w:rsid w:val="003947AE"/>
    <w:rsid w:val="00394CE3"/>
    <w:rsid w:val="0039792D"/>
    <w:rsid w:val="003A10C2"/>
    <w:rsid w:val="003A1B0E"/>
    <w:rsid w:val="003A3757"/>
    <w:rsid w:val="003C014E"/>
    <w:rsid w:val="003C1F89"/>
    <w:rsid w:val="003C3865"/>
    <w:rsid w:val="003C506D"/>
    <w:rsid w:val="003C5E04"/>
    <w:rsid w:val="003C60C8"/>
    <w:rsid w:val="003D37A6"/>
    <w:rsid w:val="003E7B81"/>
    <w:rsid w:val="003F0935"/>
    <w:rsid w:val="003F1FDC"/>
    <w:rsid w:val="003F2C19"/>
    <w:rsid w:val="003F5757"/>
    <w:rsid w:val="00400F9E"/>
    <w:rsid w:val="00405C3C"/>
    <w:rsid w:val="00407844"/>
    <w:rsid w:val="00407BB4"/>
    <w:rsid w:val="00410A20"/>
    <w:rsid w:val="00432B7B"/>
    <w:rsid w:val="00434964"/>
    <w:rsid w:val="00434D6A"/>
    <w:rsid w:val="00436831"/>
    <w:rsid w:val="00437503"/>
    <w:rsid w:val="00437B47"/>
    <w:rsid w:val="00444F59"/>
    <w:rsid w:val="00445537"/>
    <w:rsid w:val="00446A12"/>
    <w:rsid w:val="00451707"/>
    <w:rsid w:val="0045392A"/>
    <w:rsid w:val="00453ABC"/>
    <w:rsid w:val="00460DCA"/>
    <w:rsid w:val="00463F43"/>
    <w:rsid w:val="00464975"/>
    <w:rsid w:val="00464FD3"/>
    <w:rsid w:val="00471F90"/>
    <w:rsid w:val="00473345"/>
    <w:rsid w:val="004746DE"/>
    <w:rsid w:val="00477967"/>
    <w:rsid w:val="00480635"/>
    <w:rsid w:val="00491B88"/>
    <w:rsid w:val="004964E9"/>
    <w:rsid w:val="004A1766"/>
    <w:rsid w:val="004A2C58"/>
    <w:rsid w:val="004A479B"/>
    <w:rsid w:val="004B2CEC"/>
    <w:rsid w:val="004B5DE2"/>
    <w:rsid w:val="004C334A"/>
    <w:rsid w:val="004C4251"/>
    <w:rsid w:val="004C516D"/>
    <w:rsid w:val="004C6BF5"/>
    <w:rsid w:val="004E0EF7"/>
    <w:rsid w:val="004E4848"/>
    <w:rsid w:val="004E6E44"/>
    <w:rsid w:val="004E75DC"/>
    <w:rsid w:val="004F2E75"/>
    <w:rsid w:val="004F4691"/>
    <w:rsid w:val="0050084A"/>
    <w:rsid w:val="00501B05"/>
    <w:rsid w:val="00504FBF"/>
    <w:rsid w:val="00510D69"/>
    <w:rsid w:val="0051155E"/>
    <w:rsid w:val="0051546B"/>
    <w:rsid w:val="00515DED"/>
    <w:rsid w:val="00517808"/>
    <w:rsid w:val="00525376"/>
    <w:rsid w:val="0052741F"/>
    <w:rsid w:val="0053358D"/>
    <w:rsid w:val="0053442D"/>
    <w:rsid w:val="005414DB"/>
    <w:rsid w:val="00541D91"/>
    <w:rsid w:val="00541F3D"/>
    <w:rsid w:val="00544A06"/>
    <w:rsid w:val="005500DB"/>
    <w:rsid w:val="005514A7"/>
    <w:rsid w:val="00555E56"/>
    <w:rsid w:val="005570D7"/>
    <w:rsid w:val="00571383"/>
    <w:rsid w:val="005721F6"/>
    <w:rsid w:val="005724D7"/>
    <w:rsid w:val="00574D9C"/>
    <w:rsid w:val="00582503"/>
    <w:rsid w:val="005839FD"/>
    <w:rsid w:val="0059493C"/>
    <w:rsid w:val="005A0700"/>
    <w:rsid w:val="005A63C1"/>
    <w:rsid w:val="005B289B"/>
    <w:rsid w:val="005B3E06"/>
    <w:rsid w:val="005C08F2"/>
    <w:rsid w:val="005C12DF"/>
    <w:rsid w:val="005C13B4"/>
    <w:rsid w:val="005C21EF"/>
    <w:rsid w:val="005C407B"/>
    <w:rsid w:val="005D1020"/>
    <w:rsid w:val="005D2909"/>
    <w:rsid w:val="005D3046"/>
    <w:rsid w:val="005D7FC9"/>
    <w:rsid w:val="005E315E"/>
    <w:rsid w:val="005E4955"/>
    <w:rsid w:val="005E616C"/>
    <w:rsid w:val="005F597E"/>
    <w:rsid w:val="005F6D16"/>
    <w:rsid w:val="005F7953"/>
    <w:rsid w:val="0060539A"/>
    <w:rsid w:val="00614B7B"/>
    <w:rsid w:val="006200CB"/>
    <w:rsid w:val="00623FB8"/>
    <w:rsid w:val="00627052"/>
    <w:rsid w:val="00627DFB"/>
    <w:rsid w:val="00633AF2"/>
    <w:rsid w:val="00634F30"/>
    <w:rsid w:val="006360D6"/>
    <w:rsid w:val="006449C9"/>
    <w:rsid w:val="00650128"/>
    <w:rsid w:val="006526DE"/>
    <w:rsid w:val="00655064"/>
    <w:rsid w:val="00656086"/>
    <w:rsid w:val="00656C50"/>
    <w:rsid w:val="00660E5F"/>
    <w:rsid w:val="006614BF"/>
    <w:rsid w:val="0066284E"/>
    <w:rsid w:val="00670307"/>
    <w:rsid w:val="00671C8C"/>
    <w:rsid w:val="006724E6"/>
    <w:rsid w:val="00677745"/>
    <w:rsid w:val="006811D5"/>
    <w:rsid w:val="006900A2"/>
    <w:rsid w:val="0069058C"/>
    <w:rsid w:val="0069113F"/>
    <w:rsid w:val="0069128C"/>
    <w:rsid w:val="006973BA"/>
    <w:rsid w:val="006A1454"/>
    <w:rsid w:val="006A5A33"/>
    <w:rsid w:val="006B4D9E"/>
    <w:rsid w:val="006B6885"/>
    <w:rsid w:val="006C0242"/>
    <w:rsid w:val="006C2679"/>
    <w:rsid w:val="006C4594"/>
    <w:rsid w:val="006C4A58"/>
    <w:rsid w:val="006C7916"/>
    <w:rsid w:val="006D0181"/>
    <w:rsid w:val="006D498B"/>
    <w:rsid w:val="006D5640"/>
    <w:rsid w:val="006D7643"/>
    <w:rsid w:val="006E0DB2"/>
    <w:rsid w:val="006E7BE1"/>
    <w:rsid w:val="006F3CE9"/>
    <w:rsid w:val="0070048F"/>
    <w:rsid w:val="00702AD0"/>
    <w:rsid w:val="00702AEC"/>
    <w:rsid w:val="00704D56"/>
    <w:rsid w:val="007063A9"/>
    <w:rsid w:val="00706D56"/>
    <w:rsid w:val="00710224"/>
    <w:rsid w:val="00711A30"/>
    <w:rsid w:val="00716331"/>
    <w:rsid w:val="00716342"/>
    <w:rsid w:val="00725515"/>
    <w:rsid w:val="007264BE"/>
    <w:rsid w:val="007315D6"/>
    <w:rsid w:val="0073778A"/>
    <w:rsid w:val="0074056E"/>
    <w:rsid w:val="00743B63"/>
    <w:rsid w:val="007459BE"/>
    <w:rsid w:val="007537C0"/>
    <w:rsid w:val="00756433"/>
    <w:rsid w:val="00762C58"/>
    <w:rsid w:val="00773568"/>
    <w:rsid w:val="007736E1"/>
    <w:rsid w:val="007752CF"/>
    <w:rsid w:val="0077594A"/>
    <w:rsid w:val="00777CC9"/>
    <w:rsid w:val="00781E86"/>
    <w:rsid w:val="00785F70"/>
    <w:rsid w:val="00786F55"/>
    <w:rsid w:val="0079628E"/>
    <w:rsid w:val="007A1147"/>
    <w:rsid w:val="007A176E"/>
    <w:rsid w:val="007B5E33"/>
    <w:rsid w:val="007C38E0"/>
    <w:rsid w:val="007C45DF"/>
    <w:rsid w:val="007D2A5E"/>
    <w:rsid w:val="007E3CA2"/>
    <w:rsid w:val="007E5BB9"/>
    <w:rsid w:val="007F0E73"/>
    <w:rsid w:val="007F4D8F"/>
    <w:rsid w:val="007F5236"/>
    <w:rsid w:val="007F7910"/>
    <w:rsid w:val="00804247"/>
    <w:rsid w:val="0080608F"/>
    <w:rsid w:val="008072E3"/>
    <w:rsid w:val="00811112"/>
    <w:rsid w:val="008112C8"/>
    <w:rsid w:val="00811939"/>
    <w:rsid w:val="008122BA"/>
    <w:rsid w:val="00820B94"/>
    <w:rsid w:val="008220DD"/>
    <w:rsid w:val="008240A6"/>
    <w:rsid w:val="00832E09"/>
    <w:rsid w:val="00841D88"/>
    <w:rsid w:val="00842A3F"/>
    <w:rsid w:val="00842B26"/>
    <w:rsid w:val="00846CB1"/>
    <w:rsid w:val="008478BB"/>
    <w:rsid w:val="00857BD3"/>
    <w:rsid w:val="00866251"/>
    <w:rsid w:val="00875291"/>
    <w:rsid w:val="00875CF4"/>
    <w:rsid w:val="008777F7"/>
    <w:rsid w:val="008861A2"/>
    <w:rsid w:val="0088626E"/>
    <w:rsid w:val="008912EE"/>
    <w:rsid w:val="00891CCF"/>
    <w:rsid w:val="0089529D"/>
    <w:rsid w:val="008B0AA2"/>
    <w:rsid w:val="008B0F19"/>
    <w:rsid w:val="008B1824"/>
    <w:rsid w:val="008B1F10"/>
    <w:rsid w:val="008B2322"/>
    <w:rsid w:val="008B5E82"/>
    <w:rsid w:val="008C1282"/>
    <w:rsid w:val="008C1BC2"/>
    <w:rsid w:val="008C2027"/>
    <w:rsid w:val="008C2A95"/>
    <w:rsid w:val="008D4ADB"/>
    <w:rsid w:val="008D6B9F"/>
    <w:rsid w:val="008D7F40"/>
    <w:rsid w:val="008E617B"/>
    <w:rsid w:val="009004C5"/>
    <w:rsid w:val="009013F1"/>
    <w:rsid w:val="00902F9B"/>
    <w:rsid w:val="00907927"/>
    <w:rsid w:val="00910EC3"/>
    <w:rsid w:val="0091767D"/>
    <w:rsid w:val="00920266"/>
    <w:rsid w:val="00920559"/>
    <w:rsid w:val="00927DE9"/>
    <w:rsid w:val="00942298"/>
    <w:rsid w:val="009428A3"/>
    <w:rsid w:val="0094480C"/>
    <w:rsid w:val="00953089"/>
    <w:rsid w:val="00955079"/>
    <w:rsid w:val="009665A2"/>
    <w:rsid w:val="00966781"/>
    <w:rsid w:val="009667AA"/>
    <w:rsid w:val="00972DC9"/>
    <w:rsid w:val="00972E6D"/>
    <w:rsid w:val="00974551"/>
    <w:rsid w:val="00976C9D"/>
    <w:rsid w:val="0098275D"/>
    <w:rsid w:val="00984370"/>
    <w:rsid w:val="00990F96"/>
    <w:rsid w:val="0099113C"/>
    <w:rsid w:val="00995F74"/>
    <w:rsid w:val="009A343D"/>
    <w:rsid w:val="009A3550"/>
    <w:rsid w:val="009A4F58"/>
    <w:rsid w:val="009A66EB"/>
    <w:rsid w:val="009A7884"/>
    <w:rsid w:val="009B2D22"/>
    <w:rsid w:val="009C1ED0"/>
    <w:rsid w:val="009C206C"/>
    <w:rsid w:val="009C2126"/>
    <w:rsid w:val="009D0043"/>
    <w:rsid w:val="009D1A0F"/>
    <w:rsid w:val="009D2C9A"/>
    <w:rsid w:val="009D7138"/>
    <w:rsid w:val="009E31CE"/>
    <w:rsid w:val="009E3C80"/>
    <w:rsid w:val="00A06796"/>
    <w:rsid w:val="00A07372"/>
    <w:rsid w:val="00A1586E"/>
    <w:rsid w:val="00A21022"/>
    <w:rsid w:val="00A2341A"/>
    <w:rsid w:val="00A23A42"/>
    <w:rsid w:val="00A25DEB"/>
    <w:rsid w:val="00A30E67"/>
    <w:rsid w:val="00A32C0A"/>
    <w:rsid w:val="00A42BBC"/>
    <w:rsid w:val="00A440B5"/>
    <w:rsid w:val="00A4645B"/>
    <w:rsid w:val="00A479CE"/>
    <w:rsid w:val="00A47AED"/>
    <w:rsid w:val="00A6460C"/>
    <w:rsid w:val="00A67FA0"/>
    <w:rsid w:val="00A7042B"/>
    <w:rsid w:val="00A70F51"/>
    <w:rsid w:val="00A7231E"/>
    <w:rsid w:val="00A725D7"/>
    <w:rsid w:val="00A754DF"/>
    <w:rsid w:val="00A82E7F"/>
    <w:rsid w:val="00A837AC"/>
    <w:rsid w:val="00A8392A"/>
    <w:rsid w:val="00A85F66"/>
    <w:rsid w:val="00AA2656"/>
    <w:rsid w:val="00AA60E3"/>
    <w:rsid w:val="00AA6A05"/>
    <w:rsid w:val="00AB0C38"/>
    <w:rsid w:val="00AB3EC7"/>
    <w:rsid w:val="00AB6629"/>
    <w:rsid w:val="00AB756B"/>
    <w:rsid w:val="00AC2D06"/>
    <w:rsid w:val="00AC43C9"/>
    <w:rsid w:val="00AC79D9"/>
    <w:rsid w:val="00AD4193"/>
    <w:rsid w:val="00AD4E7A"/>
    <w:rsid w:val="00AE29DD"/>
    <w:rsid w:val="00AE4C39"/>
    <w:rsid w:val="00AE55E0"/>
    <w:rsid w:val="00AE60FC"/>
    <w:rsid w:val="00AF4E3D"/>
    <w:rsid w:val="00B00941"/>
    <w:rsid w:val="00B0639C"/>
    <w:rsid w:val="00B065FA"/>
    <w:rsid w:val="00B06883"/>
    <w:rsid w:val="00B077E3"/>
    <w:rsid w:val="00B12E53"/>
    <w:rsid w:val="00B1329F"/>
    <w:rsid w:val="00B17A69"/>
    <w:rsid w:val="00B23371"/>
    <w:rsid w:val="00B24D7E"/>
    <w:rsid w:val="00B277F8"/>
    <w:rsid w:val="00B27FA2"/>
    <w:rsid w:val="00B410FF"/>
    <w:rsid w:val="00B41C04"/>
    <w:rsid w:val="00B44BDE"/>
    <w:rsid w:val="00B45EBF"/>
    <w:rsid w:val="00B47D28"/>
    <w:rsid w:val="00B50E78"/>
    <w:rsid w:val="00B57BA5"/>
    <w:rsid w:val="00B64330"/>
    <w:rsid w:val="00B66B49"/>
    <w:rsid w:val="00B66B5C"/>
    <w:rsid w:val="00B671A4"/>
    <w:rsid w:val="00B70359"/>
    <w:rsid w:val="00B76F4C"/>
    <w:rsid w:val="00B85AE9"/>
    <w:rsid w:val="00B93562"/>
    <w:rsid w:val="00BA166C"/>
    <w:rsid w:val="00BB26FB"/>
    <w:rsid w:val="00BB2784"/>
    <w:rsid w:val="00BB3750"/>
    <w:rsid w:val="00BB779A"/>
    <w:rsid w:val="00BC5B9F"/>
    <w:rsid w:val="00BD16C0"/>
    <w:rsid w:val="00BE7B15"/>
    <w:rsid w:val="00BF04AC"/>
    <w:rsid w:val="00C00A81"/>
    <w:rsid w:val="00C059AE"/>
    <w:rsid w:val="00C14E7F"/>
    <w:rsid w:val="00C15C6A"/>
    <w:rsid w:val="00C23076"/>
    <w:rsid w:val="00C243F6"/>
    <w:rsid w:val="00C26B91"/>
    <w:rsid w:val="00C32CA0"/>
    <w:rsid w:val="00C41ED5"/>
    <w:rsid w:val="00C50869"/>
    <w:rsid w:val="00C50C3E"/>
    <w:rsid w:val="00C60E46"/>
    <w:rsid w:val="00C616D5"/>
    <w:rsid w:val="00C6454D"/>
    <w:rsid w:val="00C70DB7"/>
    <w:rsid w:val="00C712D9"/>
    <w:rsid w:val="00C739FB"/>
    <w:rsid w:val="00C73D40"/>
    <w:rsid w:val="00C80D3F"/>
    <w:rsid w:val="00C82C7A"/>
    <w:rsid w:val="00C82CB7"/>
    <w:rsid w:val="00C83B41"/>
    <w:rsid w:val="00CA01AB"/>
    <w:rsid w:val="00CA28EF"/>
    <w:rsid w:val="00CA2E00"/>
    <w:rsid w:val="00CA3118"/>
    <w:rsid w:val="00CA6862"/>
    <w:rsid w:val="00CB0525"/>
    <w:rsid w:val="00CB7C0A"/>
    <w:rsid w:val="00CC371A"/>
    <w:rsid w:val="00CC5A25"/>
    <w:rsid w:val="00CC5DE2"/>
    <w:rsid w:val="00CC738B"/>
    <w:rsid w:val="00CD369F"/>
    <w:rsid w:val="00CD384C"/>
    <w:rsid w:val="00CD6A24"/>
    <w:rsid w:val="00CE1582"/>
    <w:rsid w:val="00CF15CE"/>
    <w:rsid w:val="00CF1A87"/>
    <w:rsid w:val="00D02440"/>
    <w:rsid w:val="00D027A2"/>
    <w:rsid w:val="00D04796"/>
    <w:rsid w:val="00D058FC"/>
    <w:rsid w:val="00D066FE"/>
    <w:rsid w:val="00D07D14"/>
    <w:rsid w:val="00D07E0A"/>
    <w:rsid w:val="00D17FAA"/>
    <w:rsid w:val="00D31C22"/>
    <w:rsid w:val="00D41927"/>
    <w:rsid w:val="00D42E64"/>
    <w:rsid w:val="00D42E99"/>
    <w:rsid w:val="00D519A2"/>
    <w:rsid w:val="00D56F7A"/>
    <w:rsid w:val="00D61127"/>
    <w:rsid w:val="00D61251"/>
    <w:rsid w:val="00D63002"/>
    <w:rsid w:val="00D65486"/>
    <w:rsid w:val="00D84782"/>
    <w:rsid w:val="00D96071"/>
    <w:rsid w:val="00D96799"/>
    <w:rsid w:val="00D9753D"/>
    <w:rsid w:val="00D9783C"/>
    <w:rsid w:val="00DA2CC3"/>
    <w:rsid w:val="00DA320F"/>
    <w:rsid w:val="00DA56CF"/>
    <w:rsid w:val="00DA7B6D"/>
    <w:rsid w:val="00DC3893"/>
    <w:rsid w:val="00DD1B5F"/>
    <w:rsid w:val="00DE344B"/>
    <w:rsid w:val="00DE44B1"/>
    <w:rsid w:val="00DF164B"/>
    <w:rsid w:val="00DF1737"/>
    <w:rsid w:val="00E017BA"/>
    <w:rsid w:val="00E02619"/>
    <w:rsid w:val="00E12286"/>
    <w:rsid w:val="00E17FFE"/>
    <w:rsid w:val="00E20373"/>
    <w:rsid w:val="00E2365A"/>
    <w:rsid w:val="00E2380C"/>
    <w:rsid w:val="00E43370"/>
    <w:rsid w:val="00E47BEE"/>
    <w:rsid w:val="00E55B83"/>
    <w:rsid w:val="00E57DC5"/>
    <w:rsid w:val="00E6406B"/>
    <w:rsid w:val="00E6418C"/>
    <w:rsid w:val="00E67C41"/>
    <w:rsid w:val="00E67E6D"/>
    <w:rsid w:val="00E7289D"/>
    <w:rsid w:val="00E7342A"/>
    <w:rsid w:val="00E76402"/>
    <w:rsid w:val="00E82DAF"/>
    <w:rsid w:val="00E8371F"/>
    <w:rsid w:val="00E842E5"/>
    <w:rsid w:val="00E85E77"/>
    <w:rsid w:val="00E87C7E"/>
    <w:rsid w:val="00E94BC1"/>
    <w:rsid w:val="00E95763"/>
    <w:rsid w:val="00E95AAF"/>
    <w:rsid w:val="00EA26D4"/>
    <w:rsid w:val="00EA2B3B"/>
    <w:rsid w:val="00EC4BCE"/>
    <w:rsid w:val="00ED5861"/>
    <w:rsid w:val="00ED7ED9"/>
    <w:rsid w:val="00EF03AD"/>
    <w:rsid w:val="00EF05A4"/>
    <w:rsid w:val="00EF09EB"/>
    <w:rsid w:val="00EF110E"/>
    <w:rsid w:val="00EF1CFF"/>
    <w:rsid w:val="00EF6124"/>
    <w:rsid w:val="00F00D94"/>
    <w:rsid w:val="00F0723F"/>
    <w:rsid w:val="00F1744E"/>
    <w:rsid w:val="00F17F8F"/>
    <w:rsid w:val="00F21517"/>
    <w:rsid w:val="00F221B0"/>
    <w:rsid w:val="00F249E3"/>
    <w:rsid w:val="00F2595F"/>
    <w:rsid w:val="00F27E48"/>
    <w:rsid w:val="00F4058B"/>
    <w:rsid w:val="00F429E9"/>
    <w:rsid w:val="00F43298"/>
    <w:rsid w:val="00F50360"/>
    <w:rsid w:val="00F54C95"/>
    <w:rsid w:val="00F6039A"/>
    <w:rsid w:val="00F6209E"/>
    <w:rsid w:val="00F66008"/>
    <w:rsid w:val="00F77AC5"/>
    <w:rsid w:val="00F8114D"/>
    <w:rsid w:val="00F81BBA"/>
    <w:rsid w:val="00F878D3"/>
    <w:rsid w:val="00F92850"/>
    <w:rsid w:val="00F936B1"/>
    <w:rsid w:val="00F96B7A"/>
    <w:rsid w:val="00FC00A2"/>
    <w:rsid w:val="00FC01D7"/>
    <w:rsid w:val="00FC5C2A"/>
    <w:rsid w:val="00FD3BB7"/>
    <w:rsid w:val="00FD5451"/>
    <w:rsid w:val="00FD74F7"/>
    <w:rsid w:val="00FE3C09"/>
    <w:rsid w:val="00FE411A"/>
    <w:rsid w:val="00FF078D"/>
    <w:rsid w:val="00FF5551"/>
    <w:rsid w:val="00FF666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640"/>
    <w:pPr>
      <w:spacing w:before="180" w:line="360" w:lineRule="auto"/>
    </w:pPr>
    <w:rPr>
      <w:rFonts w:ascii="Arial" w:hAnsi="Arial"/>
      <w:sz w:val="21"/>
      <w:lang w:eastAsia="en-US"/>
    </w:rPr>
  </w:style>
  <w:style w:type="paragraph" w:styleId="Heading1">
    <w:name w:val="heading 1"/>
    <w:basedOn w:val="Normal"/>
    <w:next w:val="Heading2"/>
    <w:qFormat/>
    <w:rsid w:val="006D5640"/>
    <w:pPr>
      <w:keepNext/>
      <w:numPr>
        <w:numId w:val="11"/>
      </w:numPr>
      <w:pBdr>
        <w:top w:val="single" w:sz="4" w:space="7" w:color="auto"/>
      </w:pBdr>
      <w:spacing w:before="480" w:after="60"/>
      <w:outlineLvl w:val="0"/>
    </w:pPr>
    <w:rPr>
      <w:rFonts w:cs="Arial"/>
      <w:b/>
      <w:bCs/>
      <w:kern w:val="32"/>
      <w:sz w:val="24"/>
      <w:szCs w:val="32"/>
    </w:rPr>
  </w:style>
  <w:style w:type="paragraph" w:styleId="Heading2">
    <w:name w:val="heading 2"/>
    <w:basedOn w:val="Normal"/>
    <w:next w:val="Heading3"/>
    <w:link w:val="Heading2Char"/>
    <w:qFormat/>
    <w:rsid w:val="006D5640"/>
    <w:pPr>
      <w:keepNext/>
      <w:numPr>
        <w:ilvl w:val="1"/>
        <w:numId w:val="11"/>
      </w:numPr>
      <w:outlineLvl w:val="1"/>
    </w:pPr>
    <w:rPr>
      <w:b/>
      <w:bCs/>
      <w:iCs/>
      <w:szCs w:val="28"/>
    </w:rPr>
  </w:style>
  <w:style w:type="paragraph" w:styleId="Heading3">
    <w:name w:val="heading 3"/>
    <w:basedOn w:val="Normal"/>
    <w:qFormat/>
    <w:rsid w:val="006D5640"/>
    <w:pPr>
      <w:numPr>
        <w:ilvl w:val="2"/>
        <w:numId w:val="11"/>
      </w:numPr>
      <w:outlineLvl w:val="2"/>
    </w:pPr>
    <w:rPr>
      <w:rFonts w:cs="Arial"/>
      <w:bCs/>
      <w:szCs w:val="26"/>
    </w:rPr>
  </w:style>
  <w:style w:type="paragraph" w:styleId="Heading4">
    <w:name w:val="heading 4"/>
    <w:basedOn w:val="Normal"/>
    <w:qFormat/>
    <w:rsid w:val="005724D7"/>
    <w:pPr>
      <w:numPr>
        <w:ilvl w:val="3"/>
        <w:numId w:val="11"/>
      </w:numPr>
      <w:outlineLvl w:val="3"/>
    </w:pPr>
    <w:rPr>
      <w:bCs/>
      <w:szCs w:val="28"/>
    </w:rPr>
  </w:style>
  <w:style w:type="paragraph" w:styleId="Heading5">
    <w:name w:val="heading 5"/>
    <w:basedOn w:val="Normal"/>
    <w:next w:val="Normal"/>
    <w:link w:val="Heading5Char"/>
    <w:unhideWhenUsed/>
    <w:qFormat/>
    <w:rsid w:val="006D5640"/>
    <w:pPr>
      <w:numPr>
        <w:ilvl w:val="4"/>
        <w:numId w:val="11"/>
      </w:numPr>
      <w:spacing w:before="240" w:after="60"/>
      <w:outlineLvl w:val="4"/>
    </w:pPr>
    <w:rPr>
      <w:bCs/>
      <w:iCs/>
      <w:szCs w:val="26"/>
    </w:rPr>
  </w:style>
  <w:style w:type="paragraph" w:styleId="Heading6">
    <w:name w:val="heading 6"/>
    <w:basedOn w:val="Normal"/>
    <w:next w:val="Normal"/>
    <w:link w:val="Heading6Char"/>
    <w:semiHidden/>
    <w:unhideWhenUsed/>
    <w:qFormat/>
    <w:rsid w:val="006D5640"/>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D5640"/>
    <w:pPr>
      <w:numPr>
        <w:ilvl w:val="6"/>
        <w:numId w:val="1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6D5640"/>
    <w:pPr>
      <w:numPr>
        <w:ilvl w:val="7"/>
        <w:numId w:val="1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6D5640"/>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6E1"/>
    <w:pPr>
      <w:tabs>
        <w:tab w:val="center" w:pos="4153"/>
        <w:tab w:val="right" w:pos="8306"/>
      </w:tabs>
    </w:pPr>
  </w:style>
  <w:style w:type="paragraph" w:styleId="Footer">
    <w:name w:val="footer"/>
    <w:basedOn w:val="Normal"/>
    <w:link w:val="FooterChar"/>
    <w:rsid w:val="00E6406B"/>
    <w:pPr>
      <w:tabs>
        <w:tab w:val="center" w:pos="4153"/>
        <w:tab w:val="right" w:pos="8306"/>
      </w:tabs>
      <w:spacing w:before="120" w:line="240" w:lineRule="auto"/>
    </w:pPr>
    <w:rPr>
      <w:sz w:val="16"/>
    </w:rPr>
  </w:style>
  <w:style w:type="character" w:styleId="PageNumber">
    <w:name w:val="page number"/>
    <w:basedOn w:val="DefaultParagraphFont"/>
    <w:rsid w:val="007736E1"/>
  </w:style>
  <w:style w:type="paragraph" w:customStyle="1" w:styleId="Recipient">
    <w:name w:val="Recipient"/>
    <w:basedOn w:val="Normal"/>
    <w:next w:val="Salutation"/>
    <w:rsid w:val="009C206C"/>
    <w:pPr>
      <w:spacing w:before="240"/>
    </w:pPr>
    <w:rPr>
      <w:szCs w:val="24"/>
      <w:lang w:val="en-US"/>
    </w:rPr>
  </w:style>
  <w:style w:type="paragraph" w:styleId="Salutation">
    <w:name w:val="Salutation"/>
    <w:basedOn w:val="Normal"/>
    <w:next w:val="Normal"/>
    <w:rsid w:val="009C206C"/>
  </w:style>
  <w:style w:type="paragraph" w:styleId="Date">
    <w:name w:val="Date"/>
    <w:basedOn w:val="Normal"/>
    <w:next w:val="Recipient"/>
    <w:rsid w:val="002C37AB"/>
    <w:pPr>
      <w:spacing w:before="1440"/>
    </w:pPr>
    <w:rPr>
      <w:szCs w:val="24"/>
      <w:lang w:val="en-US"/>
    </w:rPr>
  </w:style>
  <w:style w:type="paragraph" w:customStyle="1" w:styleId="Confidential">
    <w:name w:val="Confidential"/>
    <w:basedOn w:val="Normal"/>
    <w:next w:val="Normal"/>
    <w:rsid w:val="002C37AB"/>
    <w:pPr>
      <w:spacing w:before="240"/>
    </w:pPr>
    <w:rPr>
      <w:b/>
      <w:szCs w:val="24"/>
      <w:lang w:val="en-US"/>
    </w:rPr>
  </w:style>
  <w:style w:type="paragraph" w:customStyle="1" w:styleId="Subject">
    <w:name w:val="Subject"/>
    <w:basedOn w:val="Normal"/>
    <w:next w:val="Normal"/>
    <w:rsid w:val="002C37AB"/>
    <w:pPr>
      <w:spacing w:before="240"/>
    </w:pPr>
    <w:rPr>
      <w:b/>
      <w:sz w:val="24"/>
      <w:szCs w:val="24"/>
      <w:lang w:val="en-US"/>
    </w:rPr>
  </w:style>
  <w:style w:type="paragraph" w:styleId="Signature">
    <w:name w:val="Signature"/>
    <w:basedOn w:val="Normal"/>
    <w:rsid w:val="002C37AB"/>
    <w:pPr>
      <w:spacing w:before="1200"/>
    </w:pPr>
    <w:rPr>
      <w:b/>
      <w:sz w:val="24"/>
      <w:szCs w:val="24"/>
      <w:lang w:val="en-US"/>
    </w:rPr>
  </w:style>
  <w:style w:type="paragraph" w:customStyle="1" w:styleId="Signatory">
    <w:name w:val="Signatory"/>
    <w:basedOn w:val="Normal"/>
    <w:next w:val="Normal"/>
    <w:rsid w:val="002C37AB"/>
    <w:rPr>
      <w:b/>
      <w:szCs w:val="24"/>
      <w:lang w:val="en-US"/>
    </w:rPr>
  </w:style>
  <w:style w:type="paragraph" w:customStyle="1" w:styleId="Position">
    <w:name w:val="Position"/>
    <w:basedOn w:val="Normal"/>
    <w:rsid w:val="002C37AB"/>
    <w:rPr>
      <w:sz w:val="18"/>
      <w:szCs w:val="24"/>
      <w:lang w:val="en-US"/>
    </w:rPr>
  </w:style>
  <w:style w:type="paragraph" w:styleId="ListBullet">
    <w:name w:val="List Bullet"/>
    <w:basedOn w:val="Normal"/>
    <w:rsid w:val="009004C5"/>
    <w:pPr>
      <w:numPr>
        <w:numId w:val="2"/>
      </w:numPr>
    </w:pPr>
    <w:rPr>
      <w:szCs w:val="24"/>
      <w:lang w:val="en-US"/>
    </w:rPr>
  </w:style>
  <w:style w:type="paragraph" w:styleId="Title">
    <w:name w:val="Title"/>
    <w:basedOn w:val="Normal"/>
    <w:next w:val="Normal"/>
    <w:link w:val="TitleChar"/>
    <w:qFormat/>
    <w:rsid w:val="006D5640"/>
    <w:pPr>
      <w:spacing w:before="480" w:after="120" w:line="300" w:lineRule="atLeast"/>
      <w:outlineLvl w:val="0"/>
    </w:pPr>
    <w:rPr>
      <w:b/>
      <w:bCs/>
      <w:kern w:val="28"/>
      <w:sz w:val="32"/>
      <w:szCs w:val="32"/>
    </w:rPr>
  </w:style>
  <w:style w:type="paragraph" w:styleId="NormalIndent">
    <w:name w:val="Normal Indent"/>
    <w:basedOn w:val="Normal"/>
    <w:rsid w:val="009004C5"/>
    <w:pPr>
      <w:ind w:left="709"/>
    </w:pPr>
    <w:rPr>
      <w:szCs w:val="24"/>
      <w:lang w:val="en-US"/>
    </w:rPr>
  </w:style>
  <w:style w:type="table" w:styleId="TableGrid">
    <w:name w:val="Table Grid"/>
    <w:basedOn w:val="TableNormal"/>
    <w:rsid w:val="00900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Text">
    <w:name w:val="Address Text"/>
    <w:basedOn w:val="Normal"/>
    <w:rsid w:val="009004C5"/>
    <w:pPr>
      <w:spacing w:after="60" w:line="300" w:lineRule="atLeast"/>
    </w:pPr>
    <w:rPr>
      <w:szCs w:val="24"/>
      <w:lang w:val="en-US"/>
    </w:rPr>
  </w:style>
  <w:style w:type="paragraph" w:customStyle="1" w:styleId="AddressHeader">
    <w:name w:val="Address Header"/>
    <w:basedOn w:val="AddressText"/>
    <w:rsid w:val="009004C5"/>
    <w:rPr>
      <w:b/>
    </w:rPr>
  </w:style>
  <w:style w:type="paragraph" w:customStyle="1" w:styleId="AddressTextLast">
    <w:name w:val="Address Text Last"/>
    <w:basedOn w:val="AddressText"/>
    <w:rsid w:val="009004C5"/>
    <w:pPr>
      <w:spacing w:after="600"/>
    </w:pPr>
  </w:style>
  <w:style w:type="paragraph" w:customStyle="1" w:styleId="Footersecondline">
    <w:name w:val="Footer second line"/>
    <w:basedOn w:val="Footer"/>
    <w:rsid w:val="009004C5"/>
    <w:pPr>
      <w:tabs>
        <w:tab w:val="clear" w:pos="4153"/>
        <w:tab w:val="clear" w:pos="8306"/>
        <w:tab w:val="right" w:pos="8898"/>
      </w:tabs>
      <w:spacing w:before="40"/>
    </w:pPr>
    <w:rPr>
      <w:szCs w:val="24"/>
      <w:lang w:val="en-US"/>
    </w:rPr>
  </w:style>
  <w:style w:type="character" w:customStyle="1" w:styleId="FooterChar">
    <w:name w:val="Footer Char"/>
    <w:link w:val="Footer"/>
    <w:rsid w:val="00E6406B"/>
    <w:rPr>
      <w:rFonts w:ascii="Arial" w:hAnsi="Arial"/>
      <w:sz w:val="16"/>
      <w:lang w:val="en-AU" w:eastAsia="en-US" w:bidi="ar-SA"/>
    </w:rPr>
  </w:style>
  <w:style w:type="paragraph" w:customStyle="1" w:styleId="Tableheading">
    <w:name w:val="Table heading"/>
    <w:basedOn w:val="Normal"/>
    <w:rsid w:val="00E6406B"/>
    <w:pPr>
      <w:spacing w:after="60" w:line="300" w:lineRule="atLeast"/>
    </w:pPr>
    <w:rPr>
      <w:b/>
    </w:rPr>
  </w:style>
  <w:style w:type="paragraph" w:customStyle="1" w:styleId="tabletext">
    <w:name w:val="table text"/>
    <w:basedOn w:val="Normal"/>
    <w:rsid w:val="00E6406B"/>
    <w:pPr>
      <w:spacing w:after="60" w:line="300" w:lineRule="atLeast"/>
    </w:pPr>
    <w:rPr>
      <w:szCs w:val="22"/>
    </w:rPr>
  </w:style>
  <w:style w:type="paragraph" w:customStyle="1" w:styleId="StyleHeading1Before24ptTopSinglesolidlineGray-80">
    <w:name w:val="Style Heading 1 + Before:  24 pt Top: (Single solid line Gray-80%..."/>
    <w:basedOn w:val="Heading1"/>
    <w:autoRedefine/>
    <w:rsid w:val="008122BA"/>
    <w:pPr>
      <w:pBdr>
        <w:top w:val="single" w:sz="8" w:space="7" w:color="333333"/>
      </w:pBdr>
    </w:pPr>
    <w:rPr>
      <w:rFonts w:cs="Times New Roman"/>
      <w:szCs w:val="20"/>
    </w:rPr>
  </w:style>
  <w:style w:type="character" w:customStyle="1" w:styleId="Heading5Char">
    <w:name w:val="Heading 5 Char"/>
    <w:link w:val="Heading5"/>
    <w:rsid w:val="006D5640"/>
    <w:rPr>
      <w:rFonts w:ascii="Arial" w:hAnsi="Arial"/>
      <w:bCs/>
      <w:iCs/>
      <w:sz w:val="21"/>
      <w:szCs w:val="26"/>
      <w:lang w:eastAsia="en-US"/>
    </w:rPr>
  </w:style>
  <w:style w:type="character" w:customStyle="1" w:styleId="Heading6Char">
    <w:name w:val="Heading 6 Char"/>
    <w:link w:val="Heading6"/>
    <w:semiHidden/>
    <w:rsid w:val="006D5640"/>
    <w:rPr>
      <w:rFonts w:ascii="Calibri" w:hAnsi="Calibri"/>
      <w:b/>
      <w:bCs/>
      <w:sz w:val="22"/>
      <w:szCs w:val="22"/>
      <w:lang w:eastAsia="en-US"/>
    </w:rPr>
  </w:style>
  <w:style w:type="character" w:customStyle="1" w:styleId="Heading7Char">
    <w:name w:val="Heading 7 Char"/>
    <w:link w:val="Heading7"/>
    <w:semiHidden/>
    <w:rsid w:val="006D5640"/>
    <w:rPr>
      <w:rFonts w:ascii="Calibri" w:hAnsi="Calibri"/>
      <w:sz w:val="24"/>
      <w:szCs w:val="24"/>
      <w:lang w:eastAsia="en-US"/>
    </w:rPr>
  </w:style>
  <w:style w:type="character" w:customStyle="1" w:styleId="Heading8Char">
    <w:name w:val="Heading 8 Char"/>
    <w:link w:val="Heading8"/>
    <w:semiHidden/>
    <w:rsid w:val="006D5640"/>
    <w:rPr>
      <w:rFonts w:ascii="Calibri" w:hAnsi="Calibri"/>
      <w:i/>
      <w:iCs/>
      <w:sz w:val="24"/>
      <w:szCs w:val="24"/>
      <w:lang w:eastAsia="en-US"/>
    </w:rPr>
  </w:style>
  <w:style w:type="character" w:customStyle="1" w:styleId="Heading9Char">
    <w:name w:val="Heading 9 Char"/>
    <w:link w:val="Heading9"/>
    <w:semiHidden/>
    <w:rsid w:val="006D5640"/>
    <w:rPr>
      <w:rFonts w:ascii="Cambria" w:hAnsi="Cambria"/>
      <w:sz w:val="22"/>
      <w:szCs w:val="22"/>
      <w:lang w:eastAsia="en-US"/>
    </w:rPr>
  </w:style>
  <w:style w:type="character" w:customStyle="1" w:styleId="TitleChar">
    <w:name w:val="Title Char"/>
    <w:link w:val="Title"/>
    <w:rsid w:val="006D5640"/>
    <w:rPr>
      <w:rFonts w:ascii="Arial" w:hAnsi="Arial" w:cs="Arial"/>
      <w:b/>
      <w:bCs/>
      <w:kern w:val="28"/>
      <w:sz w:val="32"/>
      <w:szCs w:val="32"/>
      <w:lang w:eastAsia="en-US"/>
    </w:rPr>
  </w:style>
  <w:style w:type="paragraph" w:styleId="Subtitle">
    <w:name w:val="Subtitle"/>
    <w:basedOn w:val="Normal"/>
    <w:next w:val="Normal"/>
    <w:link w:val="SubtitleChar"/>
    <w:qFormat/>
    <w:rsid w:val="006D5640"/>
    <w:pPr>
      <w:spacing w:before="60"/>
      <w:outlineLvl w:val="1"/>
    </w:pPr>
    <w:rPr>
      <w:sz w:val="24"/>
      <w:szCs w:val="24"/>
    </w:rPr>
  </w:style>
  <w:style w:type="character" w:customStyle="1" w:styleId="SubtitleChar">
    <w:name w:val="Subtitle Char"/>
    <w:link w:val="Subtitle"/>
    <w:rsid w:val="006D5640"/>
    <w:rPr>
      <w:rFonts w:ascii="Arial" w:hAnsi="Arial"/>
      <w:sz w:val="24"/>
      <w:szCs w:val="24"/>
      <w:lang w:eastAsia="en-US"/>
    </w:rPr>
  </w:style>
  <w:style w:type="character" w:styleId="Strong">
    <w:name w:val="Strong"/>
    <w:qFormat/>
    <w:rsid w:val="006D5640"/>
    <w:rPr>
      <w:b/>
      <w:bCs/>
      <w:lang w:val="en-AU"/>
    </w:rPr>
  </w:style>
  <w:style w:type="character" w:styleId="Emphasis">
    <w:name w:val="Emphasis"/>
    <w:qFormat/>
    <w:rsid w:val="006D5640"/>
    <w:rPr>
      <w:i/>
      <w:iCs/>
      <w:lang w:val="en-AU"/>
    </w:rPr>
  </w:style>
  <w:style w:type="paragraph" w:styleId="NoSpacing">
    <w:name w:val="No Spacing"/>
    <w:uiPriority w:val="1"/>
    <w:qFormat/>
    <w:rsid w:val="006D5640"/>
    <w:rPr>
      <w:rFonts w:ascii="Arial" w:hAnsi="Arial"/>
      <w:sz w:val="21"/>
      <w:lang w:eastAsia="en-US"/>
    </w:rPr>
  </w:style>
  <w:style w:type="paragraph" w:styleId="ListParagraph">
    <w:name w:val="List Paragraph"/>
    <w:basedOn w:val="Normal"/>
    <w:uiPriority w:val="34"/>
    <w:qFormat/>
    <w:rsid w:val="006D5640"/>
    <w:pPr>
      <w:ind w:left="720"/>
    </w:pPr>
  </w:style>
  <w:style w:type="paragraph" w:styleId="Quote">
    <w:name w:val="Quote"/>
    <w:basedOn w:val="Normal"/>
    <w:next w:val="Normal"/>
    <w:link w:val="QuoteChar"/>
    <w:uiPriority w:val="29"/>
    <w:qFormat/>
    <w:rsid w:val="006D5640"/>
    <w:pPr>
      <w:ind w:left="720"/>
    </w:pPr>
    <w:rPr>
      <w:i/>
      <w:iCs/>
      <w:color w:val="000000"/>
    </w:rPr>
  </w:style>
  <w:style w:type="character" w:customStyle="1" w:styleId="QuoteChar">
    <w:name w:val="Quote Char"/>
    <w:link w:val="Quote"/>
    <w:uiPriority w:val="29"/>
    <w:rsid w:val="006D5640"/>
    <w:rPr>
      <w:rFonts w:ascii="Arial" w:hAnsi="Arial"/>
      <w:i/>
      <w:iCs/>
      <w:color w:val="000000"/>
      <w:sz w:val="21"/>
      <w:lang w:eastAsia="en-US"/>
    </w:rPr>
  </w:style>
  <w:style w:type="paragraph" w:styleId="IntenseQuote">
    <w:name w:val="Intense Quote"/>
    <w:basedOn w:val="Normal"/>
    <w:next w:val="Normal"/>
    <w:link w:val="IntenseQuoteChar"/>
    <w:uiPriority w:val="30"/>
    <w:qFormat/>
    <w:rsid w:val="006D564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D5640"/>
    <w:rPr>
      <w:rFonts w:ascii="Arial" w:hAnsi="Arial"/>
      <w:b/>
      <w:bCs/>
      <w:i/>
      <w:iCs/>
      <w:color w:val="4F81BD"/>
      <w:sz w:val="21"/>
      <w:lang w:eastAsia="en-US"/>
    </w:rPr>
  </w:style>
  <w:style w:type="character" w:styleId="SubtleEmphasis">
    <w:name w:val="Subtle Emphasis"/>
    <w:uiPriority w:val="19"/>
    <w:qFormat/>
    <w:rsid w:val="006D5640"/>
    <w:rPr>
      <w:i/>
      <w:iCs/>
      <w:color w:val="808080"/>
      <w:lang w:val="en-AU"/>
    </w:rPr>
  </w:style>
  <w:style w:type="character" w:styleId="IntenseEmphasis">
    <w:name w:val="Intense Emphasis"/>
    <w:uiPriority w:val="21"/>
    <w:qFormat/>
    <w:rsid w:val="006D5640"/>
    <w:rPr>
      <w:b/>
      <w:bCs/>
      <w:i/>
      <w:iCs/>
      <w:color w:val="4F81BD"/>
      <w:lang w:val="en-AU"/>
    </w:rPr>
  </w:style>
  <w:style w:type="character" w:styleId="SubtleReference">
    <w:name w:val="Subtle Reference"/>
    <w:uiPriority w:val="31"/>
    <w:qFormat/>
    <w:rsid w:val="006D5640"/>
    <w:rPr>
      <w:smallCaps/>
      <w:color w:val="C0504D"/>
      <w:u w:val="single"/>
      <w:lang w:val="en-AU"/>
    </w:rPr>
  </w:style>
  <w:style w:type="character" w:styleId="BookTitle">
    <w:name w:val="Book Title"/>
    <w:uiPriority w:val="33"/>
    <w:qFormat/>
    <w:rsid w:val="006D5640"/>
    <w:rPr>
      <w:b/>
      <w:bCs/>
      <w:smallCaps/>
      <w:spacing w:val="5"/>
      <w:lang w:val="en-AU"/>
    </w:rPr>
  </w:style>
  <w:style w:type="character" w:customStyle="1" w:styleId="Heading2Char">
    <w:name w:val="Heading 2 Char"/>
    <w:link w:val="Heading2"/>
    <w:rsid w:val="006D5640"/>
    <w:rPr>
      <w:rFonts w:ascii="Arial" w:hAnsi="Arial"/>
      <w:b/>
      <w:bCs/>
      <w:iCs/>
      <w:sz w:val="21"/>
      <w:szCs w:val="28"/>
      <w:lang w:eastAsia="en-US"/>
    </w:rPr>
  </w:style>
  <w:style w:type="character" w:styleId="Hyperlink">
    <w:name w:val="Hyperlink"/>
    <w:rsid w:val="00F429E9"/>
    <w:rPr>
      <w:color w:val="0000FF"/>
      <w:u w:val="single"/>
    </w:rPr>
  </w:style>
  <w:style w:type="paragraph" w:styleId="BalloonText">
    <w:name w:val="Balloon Text"/>
    <w:basedOn w:val="Normal"/>
    <w:link w:val="BalloonTextChar"/>
    <w:rsid w:val="004C516D"/>
    <w:pPr>
      <w:spacing w:before="0" w:line="240" w:lineRule="auto"/>
    </w:pPr>
    <w:rPr>
      <w:rFonts w:ascii="Tahoma" w:hAnsi="Tahoma"/>
      <w:sz w:val="16"/>
      <w:szCs w:val="16"/>
    </w:rPr>
  </w:style>
  <w:style w:type="character" w:customStyle="1" w:styleId="BalloonTextChar">
    <w:name w:val="Balloon Text Char"/>
    <w:link w:val="BalloonText"/>
    <w:rsid w:val="004C516D"/>
    <w:rPr>
      <w:rFonts w:ascii="Tahoma" w:hAnsi="Tahoma" w:cs="Tahoma"/>
      <w:sz w:val="16"/>
      <w:szCs w:val="16"/>
      <w:lang w:eastAsia="en-US"/>
    </w:rPr>
  </w:style>
  <w:style w:type="character" w:styleId="CommentReference">
    <w:name w:val="annotation reference"/>
    <w:rsid w:val="009C2126"/>
    <w:rPr>
      <w:sz w:val="16"/>
      <w:szCs w:val="16"/>
    </w:rPr>
  </w:style>
  <w:style w:type="paragraph" w:styleId="CommentText">
    <w:name w:val="annotation text"/>
    <w:basedOn w:val="Normal"/>
    <w:link w:val="CommentTextChar"/>
    <w:rsid w:val="009C2126"/>
    <w:rPr>
      <w:sz w:val="20"/>
    </w:rPr>
  </w:style>
  <w:style w:type="character" w:customStyle="1" w:styleId="CommentTextChar">
    <w:name w:val="Comment Text Char"/>
    <w:link w:val="CommentText"/>
    <w:rsid w:val="009C2126"/>
    <w:rPr>
      <w:rFonts w:ascii="Arial" w:hAnsi="Arial"/>
      <w:lang w:eastAsia="en-US"/>
    </w:rPr>
  </w:style>
  <w:style w:type="paragraph" w:styleId="CommentSubject">
    <w:name w:val="annotation subject"/>
    <w:basedOn w:val="CommentText"/>
    <w:next w:val="CommentText"/>
    <w:link w:val="CommentSubjectChar"/>
    <w:rsid w:val="009C2126"/>
    <w:rPr>
      <w:b/>
      <w:bCs/>
    </w:rPr>
  </w:style>
  <w:style w:type="character" w:customStyle="1" w:styleId="CommentSubjectChar">
    <w:name w:val="Comment Subject Char"/>
    <w:link w:val="CommentSubject"/>
    <w:rsid w:val="009C2126"/>
    <w:rPr>
      <w:rFonts w:ascii="Arial" w:hAnsi="Arial"/>
      <w:b/>
      <w:bCs/>
      <w:lang w:eastAsia="en-US"/>
    </w:rPr>
  </w:style>
  <w:style w:type="paragraph" w:styleId="Revision">
    <w:name w:val="Revision"/>
    <w:hidden/>
    <w:uiPriority w:val="99"/>
    <w:semiHidden/>
    <w:rsid w:val="00984370"/>
    <w:rPr>
      <w:rFonts w:ascii="Arial" w:hAnsi="Arial"/>
      <w:sz w:val="21"/>
      <w:lang w:eastAsia="en-US"/>
    </w:rPr>
  </w:style>
  <w:style w:type="paragraph" w:styleId="FootnoteText">
    <w:name w:val="footnote text"/>
    <w:basedOn w:val="Normal"/>
    <w:link w:val="FootnoteTextChar"/>
    <w:rsid w:val="00F6039A"/>
    <w:pPr>
      <w:spacing w:before="0" w:line="240" w:lineRule="auto"/>
    </w:pPr>
    <w:rPr>
      <w:rFonts w:ascii="Times New Roman" w:hAnsi="Times New Roman"/>
      <w:sz w:val="20"/>
      <w:lang w:eastAsia="en-AU"/>
    </w:rPr>
  </w:style>
  <w:style w:type="character" w:customStyle="1" w:styleId="FootnoteTextChar">
    <w:name w:val="Footnote Text Char"/>
    <w:basedOn w:val="DefaultParagraphFont"/>
    <w:link w:val="FootnoteText"/>
    <w:rsid w:val="00F6039A"/>
  </w:style>
  <w:style w:type="character" w:styleId="FootnoteReference">
    <w:name w:val="footnote reference"/>
    <w:basedOn w:val="DefaultParagraphFont"/>
    <w:rsid w:val="00F6039A"/>
    <w:rPr>
      <w:vertAlign w:val="superscript"/>
    </w:rPr>
  </w:style>
</w:styles>
</file>

<file path=word/webSettings.xml><?xml version="1.0" encoding="utf-8"?>
<w:webSettings xmlns:r="http://schemas.openxmlformats.org/officeDocument/2006/relationships" xmlns:w="http://schemas.openxmlformats.org/wordprocessingml/2006/main">
  <w:divs>
    <w:div w:id="953945513">
      <w:bodyDiv w:val="1"/>
      <w:marLeft w:val="0"/>
      <w:marRight w:val="0"/>
      <w:marTop w:val="0"/>
      <w:marBottom w:val="0"/>
      <w:divBdr>
        <w:top w:val="none" w:sz="0" w:space="0" w:color="auto"/>
        <w:left w:val="none" w:sz="0" w:space="0" w:color="auto"/>
        <w:bottom w:val="none" w:sz="0" w:space="0" w:color="auto"/>
        <w:right w:val="none" w:sz="0" w:space="0" w:color="auto"/>
      </w:divBdr>
      <w:divsChild>
        <w:div w:id="129009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jw@sydney.anglican.asn.a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nes\AppData\Local\Temp\LEAP\doc\LEAP03-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A0926-8FA2-4034-AE6A-4EA4E5CF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LEAP03-Template.dot</Template>
  <TotalTime>1</TotalTime>
  <Pages>5</Pages>
  <Words>1504</Words>
  <Characters>8110</Characters>
  <Application>Microsoft Office Word</Application>
  <DocSecurity>0</DocSecurity>
  <Lines>150</Lines>
  <Paragraphs>68</Paragraphs>
  <ScaleCrop>false</ScaleCrop>
  <HeadingPairs>
    <vt:vector size="4" baseType="variant">
      <vt:variant>
        <vt:lpstr>Title</vt:lpstr>
      </vt:variant>
      <vt:variant>
        <vt:i4>1</vt:i4>
      </vt:variant>
      <vt:variant>
        <vt:lpstr>Please Quote our Reference: KD:HB:960657</vt:lpstr>
      </vt:variant>
      <vt:variant>
        <vt:i4>0</vt:i4>
      </vt:variant>
    </vt:vector>
  </HeadingPairs>
  <TitlesOfParts>
    <vt:vector size="1" baseType="lpstr">
      <vt:lpstr>Memorandum of legal advice</vt:lpstr>
    </vt:vector>
  </TitlesOfParts>
  <Company>Sydney Diocesan Secretariat</Company>
  <LinksUpToDate>false</LinksUpToDate>
  <CharactersWithSpaces>9546</CharactersWithSpaces>
  <SharedDoc>false</SharedDoc>
  <HLinks>
    <vt:vector size="6" baseType="variant">
      <vt:variant>
        <vt:i4>1114213</vt:i4>
      </vt:variant>
      <vt:variant>
        <vt:i4>0</vt:i4>
      </vt:variant>
      <vt:variant>
        <vt:i4>0</vt:i4>
      </vt:variant>
      <vt:variant>
        <vt:i4>5</vt:i4>
      </vt:variant>
      <vt:variant>
        <vt:lpwstr>mailto:NFPReform@treasury.gov.au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legal advice</dc:title>
  <dc:creator>AdminLeap</dc:creator>
  <cp:lastModifiedBy>nkp</cp:lastModifiedBy>
  <cp:revision>4</cp:revision>
  <cp:lastPrinted>2012-05-10T06:23:00Z</cp:lastPrinted>
  <dcterms:created xsi:type="dcterms:W3CDTF">2012-05-10T22:00:00Z</dcterms:created>
  <dcterms:modified xsi:type="dcterms:W3CDTF">2012-05-11T05:48:00Z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-744065972</vt:i4>
  </property>
  <property fmtid="{D5CDD505-2E9C-101B-9397-08002B2CF9AE}" pid="3" name="_NewReviewCycle">
    <vt:lpwstr/>
  </property>
  <property fmtid="{D5CDD505-2E9C-101B-9397-08002B2CF9AE}" pid="4" name="_EmailSubject">
    <vt:lpwstr> 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ies>
</file>