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03866B" w14:textId="7A8DD9D5" w:rsidR="005F3C71" w:rsidRDefault="005F3C71" w:rsidP="00B22F2D">
      <w:pPr>
        <w:spacing w:line="240" w:lineRule="auto"/>
        <w:rPr>
          <w:lang w:val="en-AU"/>
        </w:rPr>
      </w:pPr>
      <w:bookmarkStart w:id="0" w:name="_GoBack"/>
      <w:bookmarkEnd w:id="0"/>
    </w:p>
    <w:p w14:paraId="2EEAC0A8" w14:textId="6152B6DC" w:rsidR="00AD51D2" w:rsidRDefault="00AD51D2" w:rsidP="00B22F2D">
      <w:pPr>
        <w:spacing w:line="240" w:lineRule="auto"/>
        <w:rPr>
          <w:lang w:val="en-AU"/>
        </w:rPr>
      </w:pPr>
    </w:p>
    <w:p w14:paraId="3D3E1275" w14:textId="1EA633FE" w:rsidR="00AD51D2" w:rsidRDefault="00AD51D2" w:rsidP="00B22F2D">
      <w:pPr>
        <w:spacing w:line="240" w:lineRule="auto"/>
        <w:rPr>
          <w:lang w:val="en-AU"/>
        </w:rPr>
      </w:pPr>
    </w:p>
    <w:p w14:paraId="6925687E" w14:textId="6CDFCA7B" w:rsidR="00AD51D2" w:rsidRDefault="00AD51D2" w:rsidP="00B22F2D">
      <w:pPr>
        <w:spacing w:line="240" w:lineRule="auto"/>
        <w:rPr>
          <w:lang w:val="en-AU"/>
        </w:rPr>
      </w:pPr>
    </w:p>
    <w:p w14:paraId="6067BC34" w14:textId="7089C059" w:rsidR="00AD51D2" w:rsidRDefault="00AD51D2" w:rsidP="00B22F2D">
      <w:pPr>
        <w:spacing w:line="240" w:lineRule="auto"/>
        <w:rPr>
          <w:lang w:val="en-AU"/>
        </w:rPr>
      </w:pPr>
    </w:p>
    <w:p w14:paraId="6FA50DB1" w14:textId="3AA6BE73" w:rsidR="00AD51D2" w:rsidRDefault="00AD51D2" w:rsidP="00B22F2D">
      <w:pPr>
        <w:spacing w:line="240" w:lineRule="auto"/>
        <w:rPr>
          <w:lang w:val="en-AU"/>
        </w:rPr>
      </w:pPr>
    </w:p>
    <w:p w14:paraId="29E513AE" w14:textId="42B00059" w:rsidR="00AD51D2" w:rsidRDefault="00AD51D2" w:rsidP="00B22F2D">
      <w:pPr>
        <w:spacing w:line="240" w:lineRule="auto"/>
        <w:rPr>
          <w:lang w:val="en-AU"/>
        </w:rPr>
      </w:pPr>
    </w:p>
    <w:p w14:paraId="750A3078" w14:textId="454489C5" w:rsidR="00AD51D2" w:rsidRDefault="00AD51D2" w:rsidP="00B22F2D">
      <w:pPr>
        <w:spacing w:line="240" w:lineRule="auto"/>
        <w:rPr>
          <w:lang w:val="en-AU"/>
        </w:rPr>
      </w:pPr>
    </w:p>
    <w:p w14:paraId="71662BE5" w14:textId="77777777" w:rsidR="00AD51D2" w:rsidRPr="00AD51D2" w:rsidRDefault="00AD51D2" w:rsidP="00B22F2D">
      <w:pPr>
        <w:spacing w:line="240" w:lineRule="auto"/>
        <w:rPr>
          <w:sz w:val="28"/>
          <w:lang w:val="en-AU"/>
        </w:rPr>
      </w:pPr>
    </w:p>
    <w:p w14:paraId="48F70E95" w14:textId="77777777" w:rsidR="0026758B" w:rsidRPr="00C42867" w:rsidRDefault="00D36F0B" w:rsidP="005517BD">
      <w:pPr>
        <w:spacing w:line="240" w:lineRule="auto"/>
        <w:rPr>
          <w:b/>
          <w:color w:val="155E67" w:themeColor="text2"/>
          <w:sz w:val="48"/>
          <w:szCs w:val="28"/>
          <w:lang w:val="en-AU"/>
        </w:rPr>
      </w:pPr>
      <w:r w:rsidRPr="00C42867">
        <w:rPr>
          <w:b/>
          <w:color w:val="155E67" w:themeColor="text2"/>
          <w:sz w:val="48"/>
          <w:szCs w:val="28"/>
          <w:lang w:val="en-AU"/>
        </w:rPr>
        <w:t>National Housing Fin</w:t>
      </w:r>
      <w:r w:rsidR="0026758B" w:rsidRPr="00C42867">
        <w:rPr>
          <w:b/>
          <w:color w:val="155E67" w:themeColor="text2"/>
          <w:sz w:val="48"/>
          <w:szCs w:val="28"/>
          <w:lang w:val="en-AU"/>
        </w:rPr>
        <w:t xml:space="preserve">ance </w:t>
      </w:r>
      <w:r w:rsidR="005517BD" w:rsidRPr="00C42867">
        <w:rPr>
          <w:b/>
          <w:color w:val="155E67" w:themeColor="text2"/>
          <w:sz w:val="48"/>
          <w:szCs w:val="28"/>
          <w:lang w:val="en-AU"/>
        </w:rPr>
        <w:t>and</w:t>
      </w:r>
      <w:r w:rsidR="0026758B" w:rsidRPr="00C42867">
        <w:rPr>
          <w:b/>
          <w:color w:val="155E67" w:themeColor="text2"/>
          <w:sz w:val="48"/>
          <w:szCs w:val="28"/>
          <w:lang w:val="en-AU"/>
        </w:rPr>
        <w:t xml:space="preserve">            </w:t>
      </w:r>
      <w:r w:rsidR="005517BD" w:rsidRPr="00C42867">
        <w:rPr>
          <w:b/>
          <w:color w:val="155E67" w:themeColor="text2"/>
          <w:sz w:val="48"/>
          <w:szCs w:val="28"/>
          <w:lang w:val="en-AU"/>
        </w:rPr>
        <w:t xml:space="preserve"> Investment Corporation</w:t>
      </w:r>
    </w:p>
    <w:p w14:paraId="12488EC4" w14:textId="63501573" w:rsidR="001329A3" w:rsidRPr="001861E3" w:rsidRDefault="0048465C" w:rsidP="00C42867">
      <w:pPr>
        <w:spacing w:before="240" w:line="240" w:lineRule="auto"/>
        <w:rPr>
          <w:b/>
          <w:color w:val="155E67" w:themeColor="text2"/>
          <w:sz w:val="44"/>
          <w:szCs w:val="28"/>
          <w:lang w:val="en-AU"/>
        </w:rPr>
      </w:pPr>
      <w:r>
        <w:rPr>
          <w:b/>
          <w:color w:val="155E67" w:themeColor="text2"/>
          <w:sz w:val="40"/>
          <w:szCs w:val="28"/>
          <w:lang w:val="en-AU"/>
        </w:rPr>
        <w:t>Draft Investment Mandate</w:t>
      </w:r>
    </w:p>
    <w:p w14:paraId="71A42710" w14:textId="3F30D6F7" w:rsidR="00AD51D2" w:rsidRDefault="00AD51D2" w:rsidP="00D36F0B">
      <w:pPr>
        <w:spacing w:line="240" w:lineRule="auto"/>
        <w:rPr>
          <w:color w:val="155E67" w:themeColor="text2"/>
          <w:sz w:val="28"/>
          <w:szCs w:val="28"/>
          <w:lang w:val="en-AU"/>
        </w:rPr>
      </w:pPr>
    </w:p>
    <w:p w14:paraId="4FB39161" w14:textId="77777777" w:rsidR="00AD51D2" w:rsidRDefault="00AD51D2" w:rsidP="00D36F0B">
      <w:pPr>
        <w:spacing w:line="240" w:lineRule="auto"/>
        <w:rPr>
          <w:color w:val="155E67" w:themeColor="text2"/>
          <w:sz w:val="28"/>
          <w:szCs w:val="28"/>
          <w:lang w:val="en-AU"/>
        </w:rPr>
      </w:pPr>
    </w:p>
    <w:p w14:paraId="1647C89E" w14:textId="0DA2D1AE" w:rsidR="001329A3" w:rsidRPr="00AD51D2" w:rsidRDefault="00AD51D2" w:rsidP="00B22F2D">
      <w:pPr>
        <w:spacing w:line="240" w:lineRule="auto"/>
        <w:rPr>
          <w:color w:val="155E67" w:themeColor="text2"/>
          <w:sz w:val="32"/>
          <w:szCs w:val="28"/>
          <w:lang w:val="en-AU"/>
        </w:rPr>
      </w:pPr>
      <w:r>
        <w:rPr>
          <w:color w:val="155E67" w:themeColor="text2"/>
          <w:sz w:val="32"/>
          <w:szCs w:val="28"/>
          <w:lang w:val="en-AU"/>
        </w:rPr>
        <w:t>SGCH Submission</w:t>
      </w:r>
    </w:p>
    <w:p w14:paraId="7FAF29F5" w14:textId="57DFE0D6" w:rsidR="00AD51D2" w:rsidRPr="00AD51D2" w:rsidRDefault="00B841E2" w:rsidP="00B22F2D">
      <w:pPr>
        <w:spacing w:line="240" w:lineRule="auto"/>
        <w:rPr>
          <w:color w:val="155E67" w:themeColor="text2"/>
          <w:sz w:val="32"/>
          <w:szCs w:val="28"/>
          <w:lang w:val="en-AU"/>
        </w:rPr>
      </w:pPr>
      <w:r>
        <w:rPr>
          <w:color w:val="155E67" w:themeColor="text2"/>
          <w:sz w:val="32"/>
          <w:szCs w:val="28"/>
          <w:lang w:val="en-AU"/>
        </w:rPr>
        <w:t>8</w:t>
      </w:r>
      <w:r w:rsidR="0048465C">
        <w:rPr>
          <w:color w:val="155E67" w:themeColor="text2"/>
          <w:sz w:val="32"/>
          <w:szCs w:val="28"/>
          <w:lang w:val="en-AU"/>
        </w:rPr>
        <w:t xml:space="preserve"> March 2018</w:t>
      </w:r>
    </w:p>
    <w:p w14:paraId="321063A2" w14:textId="77777777" w:rsidR="0071525A" w:rsidRPr="00AD51D2" w:rsidRDefault="0071525A">
      <w:pPr>
        <w:spacing w:before="0" w:line="240" w:lineRule="auto"/>
        <w:rPr>
          <w:color w:val="642140" w:themeColor="text1"/>
          <w:sz w:val="28"/>
          <w:lang w:val="en-AU"/>
        </w:rPr>
      </w:pPr>
      <w:r w:rsidRPr="00AD51D2">
        <w:rPr>
          <w:color w:val="642140" w:themeColor="text1"/>
          <w:sz w:val="28"/>
          <w:lang w:val="en-AU"/>
        </w:rPr>
        <w:br w:type="page"/>
      </w:r>
    </w:p>
    <w:p w14:paraId="3FC095D7" w14:textId="77777777" w:rsidR="0048465C" w:rsidRPr="00AD4AE4" w:rsidRDefault="0048465C" w:rsidP="0048465C">
      <w:pPr>
        <w:spacing w:line="240" w:lineRule="auto"/>
        <w:rPr>
          <w:b/>
          <w:color w:val="155E67" w:themeColor="text2"/>
          <w:sz w:val="28"/>
          <w:lang w:val="en-AU"/>
        </w:rPr>
      </w:pPr>
      <w:r w:rsidRPr="00AD4AE4">
        <w:rPr>
          <w:b/>
          <w:color w:val="155E67" w:themeColor="text2"/>
          <w:sz w:val="28"/>
          <w:lang w:val="en-AU"/>
        </w:rPr>
        <w:lastRenderedPageBreak/>
        <w:t>Overview of SGCH Group</w:t>
      </w:r>
    </w:p>
    <w:p w14:paraId="5A4141A1" w14:textId="77777777" w:rsidR="0048465C" w:rsidRDefault="0048465C" w:rsidP="0048465C">
      <w:pPr>
        <w:spacing w:line="240" w:lineRule="auto"/>
        <w:rPr>
          <w:lang w:val="en-AU"/>
        </w:rPr>
      </w:pPr>
      <w:r>
        <w:rPr>
          <w:lang w:val="en-AU"/>
        </w:rPr>
        <w:t>SGCH is the largest community housing provider in NSW, providing a place to call home for more than 8,900 people in 4,700 properties across the Sydney metropolitan region. We develop and manage sustainable, safe and affordable homes and work in partnership to create vibrant, inclusive communities.</w:t>
      </w:r>
    </w:p>
    <w:p w14:paraId="147FA63E" w14:textId="77777777" w:rsidR="0048465C" w:rsidRDefault="0048465C" w:rsidP="0048465C">
      <w:pPr>
        <w:spacing w:line="240" w:lineRule="auto"/>
        <w:rPr>
          <w:lang w:val="en-AU"/>
        </w:rPr>
      </w:pPr>
      <w:r>
        <w:rPr>
          <w:lang w:val="en-AU"/>
        </w:rPr>
        <w:t>Our vision is great places for everyone. Our business is people and places. We develop and manage sustainable, safe and affordable homes and work in partnership to create vibrant, inclusive communities.</w:t>
      </w:r>
    </w:p>
    <w:p w14:paraId="00194975" w14:textId="77777777" w:rsidR="0048465C" w:rsidRDefault="0048465C" w:rsidP="0048465C">
      <w:pPr>
        <w:spacing w:line="240" w:lineRule="auto"/>
        <w:rPr>
          <w:lang w:val="en-AU"/>
        </w:rPr>
      </w:pPr>
      <w:r>
        <w:rPr>
          <w:lang w:val="en-AU"/>
        </w:rPr>
        <w:t>SGCH applies commercial principles to the pursuit of our purpose of connecting people to opportunity and collaboratively shaping great places through sustainable, safe and affordable housing.</w:t>
      </w:r>
    </w:p>
    <w:p w14:paraId="6523B211" w14:textId="77777777" w:rsidR="0048465C" w:rsidRDefault="0048465C" w:rsidP="0048465C">
      <w:pPr>
        <w:spacing w:line="240" w:lineRule="auto"/>
        <w:rPr>
          <w:lang w:val="en-AU"/>
        </w:rPr>
      </w:pPr>
      <w:r>
        <w:rPr>
          <w:lang w:val="en-AU"/>
        </w:rPr>
        <w:t>The group comprises three Tier 1 entities registered under the National Regulatory System for Community Housing: St George Community Housing Limited and two wholly owned subsidiaries, SGCH Portfolio Limited and SGCH Sustainability Limited.</w:t>
      </w:r>
    </w:p>
    <w:p w14:paraId="25732898" w14:textId="56DDF8CD" w:rsidR="0048465C" w:rsidRDefault="0048465C" w:rsidP="0048465C">
      <w:pPr>
        <w:spacing w:line="240" w:lineRule="auto"/>
        <w:rPr>
          <w:lang w:val="en-AU"/>
        </w:rPr>
      </w:pPr>
      <w:r>
        <w:rPr>
          <w:lang w:val="en-AU"/>
        </w:rPr>
        <w:t xml:space="preserve">SGCH is currently delivering on a development pipeline of 802 affordable housing dwellings, of which 149 have already been completed. SGCH has an ongoing partnership with Clean Energy Finance Corporation, Westpac and </w:t>
      </w:r>
      <w:r w:rsidR="00876502">
        <w:rPr>
          <w:lang w:val="en-AU"/>
        </w:rPr>
        <w:t>Commonwealth Bank of Australia</w:t>
      </w:r>
      <w:r>
        <w:rPr>
          <w:lang w:val="en-AU"/>
        </w:rPr>
        <w:t xml:space="preserve"> th</w:t>
      </w:r>
      <w:r w:rsidR="00876502">
        <w:rPr>
          <w:lang w:val="en-AU"/>
        </w:rPr>
        <w:t>r</w:t>
      </w:r>
      <w:r>
        <w:rPr>
          <w:lang w:val="en-AU"/>
        </w:rPr>
        <w:t>ough which SGCH currently has more than $240m of committed financing to help us deliver on this substantive program.</w:t>
      </w:r>
    </w:p>
    <w:p w14:paraId="095B214B" w14:textId="77777777" w:rsidR="0048465C" w:rsidRDefault="0048465C" w:rsidP="00AD51D2">
      <w:pPr>
        <w:spacing w:line="240" w:lineRule="auto"/>
        <w:rPr>
          <w:b/>
          <w:color w:val="155E67" w:themeColor="text2"/>
          <w:sz w:val="28"/>
          <w:lang w:val="en-AU"/>
        </w:rPr>
      </w:pPr>
    </w:p>
    <w:p w14:paraId="694156EB" w14:textId="33E23D6C" w:rsidR="00AD51D2" w:rsidRPr="00AD4AE4" w:rsidRDefault="00AD51D2" w:rsidP="00AD51D2">
      <w:pPr>
        <w:spacing w:line="240" w:lineRule="auto"/>
        <w:rPr>
          <w:b/>
          <w:color w:val="155E67" w:themeColor="text2"/>
          <w:sz w:val="28"/>
          <w:lang w:val="en-AU"/>
        </w:rPr>
      </w:pPr>
      <w:r w:rsidRPr="00AD4AE4">
        <w:rPr>
          <w:b/>
          <w:color w:val="155E67" w:themeColor="text2"/>
          <w:sz w:val="28"/>
          <w:lang w:val="en-AU"/>
        </w:rPr>
        <w:t>Contact details</w:t>
      </w:r>
    </w:p>
    <w:p w14:paraId="148D188A" w14:textId="4DB291DF" w:rsidR="00AD51D2" w:rsidRDefault="00AD51D2" w:rsidP="00AD51D2">
      <w:pPr>
        <w:spacing w:line="240" w:lineRule="auto"/>
        <w:rPr>
          <w:lang w:val="en-AU"/>
        </w:rPr>
      </w:pPr>
      <w:r>
        <w:rPr>
          <w:lang w:val="en-AU"/>
        </w:rPr>
        <w:t>For further information or questions about this submission, please contact:</w:t>
      </w:r>
    </w:p>
    <w:p w14:paraId="56930076" w14:textId="53DD527F" w:rsidR="00AD51D2" w:rsidRDefault="00AD51D2" w:rsidP="00AD51D2">
      <w:pPr>
        <w:spacing w:line="240" w:lineRule="auto"/>
        <w:rPr>
          <w:lang w:val="en-AU"/>
        </w:rPr>
      </w:pPr>
    </w:p>
    <w:p w14:paraId="6CB2B078" w14:textId="6E6D48D1" w:rsidR="00AD51D2" w:rsidRDefault="00AD51D2" w:rsidP="00AD51D2">
      <w:pPr>
        <w:spacing w:before="60" w:after="60" w:line="240" w:lineRule="auto"/>
        <w:rPr>
          <w:lang w:val="en-AU"/>
        </w:rPr>
      </w:pPr>
      <w:r>
        <w:rPr>
          <w:lang w:val="en-AU"/>
        </w:rPr>
        <w:t>Scott Langford</w:t>
      </w:r>
    </w:p>
    <w:p w14:paraId="718F5D5A" w14:textId="4F3D21CA" w:rsidR="00AD51D2" w:rsidRDefault="00AD51D2" w:rsidP="00AD51D2">
      <w:pPr>
        <w:spacing w:before="60" w:after="60" w:line="240" w:lineRule="auto"/>
        <w:rPr>
          <w:lang w:val="en-AU"/>
        </w:rPr>
      </w:pPr>
      <w:r>
        <w:rPr>
          <w:lang w:val="en-AU"/>
        </w:rPr>
        <w:t>Group CEO</w:t>
      </w:r>
    </w:p>
    <w:p w14:paraId="77462775" w14:textId="59A725BD" w:rsidR="00AD51D2" w:rsidRDefault="00AD51D2" w:rsidP="00AD51D2">
      <w:pPr>
        <w:spacing w:before="60" w:after="60" w:line="240" w:lineRule="auto"/>
        <w:rPr>
          <w:lang w:val="en-AU"/>
        </w:rPr>
      </w:pPr>
      <w:r>
        <w:rPr>
          <w:lang w:val="en-AU"/>
        </w:rPr>
        <w:t>SGCH</w:t>
      </w:r>
    </w:p>
    <w:p w14:paraId="7C5FB0FA" w14:textId="4C189E98" w:rsidR="00AD51D2" w:rsidRDefault="00D61B0E" w:rsidP="00AD51D2">
      <w:pPr>
        <w:spacing w:before="60" w:after="60" w:line="240" w:lineRule="auto"/>
        <w:rPr>
          <w:lang w:val="en-AU"/>
        </w:rPr>
      </w:pPr>
      <w:hyperlink r:id="rId14" w:history="1">
        <w:r w:rsidR="00AD51D2" w:rsidRPr="00456641">
          <w:rPr>
            <w:rStyle w:val="Hyperlink"/>
            <w:lang w:val="en-AU"/>
          </w:rPr>
          <w:t>Scott.Langford@sgch.com.au</w:t>
        </w:r>
      </w:hyperlink>
    </w:p>
    <w:p w14:paraId="1D3D95AE" w14:textId="77777777" w:rsidR="00AD51D2" w:rsidRDefault="00AD51D2" w:rsidP="00AD51D2">
      <w:pPr>
        <w:spacing w:line="240" w:lineRule="auto"/>
        <w:rPr>
          <w:lang w:val="en-AU"/>
        </w:rPr>
      </w:pPr>
    </w:p>
    <w:p w14:paraId="2D30F9D2" w14:textId="47E4F7F1" w:rsidR="00AD51D2" w:rsidRDefault="00396B95" w:rsidP="00AD51D2">
      <w:pPr>
        <w:spacing w:line="240" w:lineRule="auto"/>
        <w:rPr>
          <w:lang w:val="en-AU"/>
        </w:rPr>
      </w:pPr>
      <w:r>
        <w:rPr>
          <w:lang w:val="en-AU"/>
        </w:rPr>
        <w:t>Tak Onishi</w:t>
      </w:r>
    </w:p>
    <w:p w14:paraId="3608ADE5" w14:textId="493678D9" w:rsidR="00396B95" w:rsidRDefault="0048465C" w:rsidP="00E56E78">
      <w:pPr>
        <w:spacing w:before="60" w:after="60" w:line="240" w:lineRule="auto"/>
        <w:rPr>
          <w:lang w:val="en-AU"/>
        </w:rPr>
      </w:pPr>
      <w:r>
        <w:rPr>
          <w:lang w:val="en-AU"/>
        </w:rPr>
        <w:t>Head of Strategic Finance</w:t>
      </w:r>
    </w:p>
    <w:p w14:paraId="33E36073" w14:textId="77777777" w:rsidR="00396B95" w:rsidRPr="00E56E78" w:rsidRDefault="00396B95" w:rsidP="00E56E78">
      <w:pPr>
        <w:spacing w:before="60" w:after="60" w:line="240" w:lineRule="auto"/>
        <w:rPr>
          <w:lang w:val="en-AU"/>
        </w:rPr>
      </w:pPr>
      <w:r w:rsidRPr="00E56E78">
        <w:rPr>
          <w:lang w:val="en-AU"/>
        </w:rPr>
        <w:t>SGCH</w:t>
      </w:r>
    </w:p>
    <w:p w14:paraId="3FEF3FAA" w14:textId="77777777" w:rsidR="00396B95" w:rsidRDefault="00D61B0E">
      <w:pPr>
        <w:spacing w:before="0" w:line="240" w:lineRule="auto"/>
        <w:rPr>
          <w:color w:val="642140" w:themeColor="text1"/>
          <w:lang w:val="en-AU"/>
        </w:rPr>
      </w:pPr>
      <w:hyperlink r:id="rId15" w:history="1">
        <w:r w:rsidR="00396B95" w:rsidRPr="00A24215">
          <w:rPr>
            <w:rStyle w:val="Hyperlink"/>
            <w:lang w:val="en-AU"/>
          </w:rPr>
          <w:t>Tak.Onishi@sgch.com.au</w:t>
        </w:r>
      </w:hyperlink>
      <w:r w:rsidR="00396B95">
        <w:rPr>
          <w:color w:val="642140" w:themeColor="text1"/>
          <w:lang w:val="en-AU"/>
        </w:rPr>
        <w:t xml:space="preserve"> </w:t>
      </w:r>
    </w:p>
    <w:p w14:paraId="53AA75FA" w14:textId="72E1BE50" w:rsidR="007A2F5B" w:rsidRPr="0048465C" w:rsidRDefault="007A2F5B" w:rsidP="0048465C">
      <w:pPr>
        <w:spacing w:before="60" w:after="60" w:line="240" w:lineRule="auto"/>
        <w:rPr>
          <w:color w:val="642140" w:themeColor="text1"/>
          <w:lang w:val="en-AU"/>
        </w:rPr>
      </w:pPr>
    </w:p>
    <w:p w14:paraId="1FF4A656" w14:textId="77777777" w:rsidR="00D36F0B" w:rsidRDefault="00D36F0B" w:rsidP="00B22F2D">
      <w:pPr>
        <w:spacing w:line="240" w:lineRule="auto"/>
        <w:rPr>
          <w:lang w:val="en-AU"/>
        </w:rPr>
      </w:pPr>
    </w:p>
    <w:p w14:paraId="10566414" w14:textId="77777777" w:rsidR="00575F33" w:rsidRDefault="00575F33" w:rsidP="00575F33">
      <w:pPr>
        <w:spacing w:line="240" w:lineRule="auto"/>
        <w:rPr>
          <w:b/>
          <w:color w:val="642140" w:themeColor="text1"/>
          <w:lang w:val="en-AU"/>
        </w:rPr>
      </w:pPr>
    </w:p>
    <w:p w14:paraId="1F47E876" w14:textId="7B10C6CE" w:rsidR="00575F33" w:rsidRPr="0048465C" w:rsidRDefault="00575F33" w:rsidP="0048465C">
      <w:pPr>
        <w:spacing w:before="0" w:line="240" w:lineRule="auto"/>
        <w:rPr>
          <w:b/>
          <w:color w:val="642140" w:themeColor="text1"/>
          <w:lang w:val="en-AU"/>
        </w:rPr>
      </w:pPr>
      <w:r>
        <w:rPr>
          <w:b/>
          <w:color w:val="642140" w:themeColor="text1"/>
          <w:lang w:val="en-AU"/>
        </w:rPr>
        <w:br w:type="page"/>
      </w:r>
      <w:r w:rsidR="00836DEC">
        <w:rPr>
          <w:b/>
          <w:color w:val="155E67" w:themeColor="text2"/>
          <w:sz w:val="28"/>
          <w:lang w:val="en-AU"/>
        </w:rPr>
        <w:lastRenderedPageBreak/>
        <w:t>NHFIC D</w:t>
      </w:r>
      <w:r w:rsidR="00876502">
        <w:rPr>
          <w:b/>
          <w:color w:val="155E67" w:themeColor="text2"/>
          <w:sz w:val="28"/>
          <w:lang w:val="en-AU"/>
        </w:rPr>
        <w:t>raft Invest</w:t>
      </w:r>
      <w:r w:rsidR="000A6F61">
        <w:rPr>
          <w:b/>
          <w:color w:val="155E67" w:themeColor="text2"/>
          <w:sz w:val="28"/>
          <w:lang w:val="en-AU"/>
        </w:rPr>
        <w:t>ment Mandate</w:t>
      </w:r>
    </w:p>
    <w:p w14:paraId="6138BF83" w14:textId="7DA5CDA8" w:rsidR="00876502" w:rsidRDefault="00876502" w:rsidP="00015600">
      <w:pPr>
        <w:spacing w:line="240" w:lineRule="auto"/>
        <w:rPr>
          <w:lang w:val="en-AU"/>
        </w:rPr>
      </w:pPr>
      <w:r>
        <w:rPr>
          <w:lang w:val="en-AU"/>
        </w:rPr>
        <w:t xml:space="preserve">SGCH welcomes the </w:t>
      </w:r>
      <w:r w:rsidR="00AF62B8">
        <w:rPr>
          <w:lang w:val="en-AU"/>
        </w:rPr>
        <w:t xml:space="preserve">Australian </w:t>
      </w:r>
      <w:r>
        <w:rPr>
          <w:lang w:val="en-AU"/>
        </w:rPr>
        <w:t xml:space="preserve">Government’s commitment to establishing the National Housing Finance and Investment Corporation (NHFIC) and the opportunity to participate in the ongoing consultation process around the </w:t>
      </w:r>
      <w:r w:rsidR="00B3572B">
        <w:rPr>
          <w:lang w:val="en-AU"/>
        </w:rPr>
        <w:t xml:space="preserve">Affordable Housing </w:t>
      </w:r>
      <w:r>
        <w:rPr>
          <w:lang w:val="en-AU"/>
        </w:rPr>
        <w:t>Bond Aggregator (</w:t>
      </w:r>
      <w:r w:rsidR="00B3572B">
        <w:rPr>
          <w:lang w:val="en-AU"/>
        </w:rPr>
        <w:t>AH</w:t>
      </w:r>
      <w:r>
        <w:rPr>
          <w:lang w:val="en-AU"/>
        </w:rPr>
        <w:t>BA)</w:t>
      </w:r>
      <w:r w:rsidR="00B3572B">
        <w:rPr>
          <w:lang w:val="en-AU"/>
        </w:rPr>
        <w:t xml:space="preserve"> and the National Housing Infrastructure Facility (NHIF)</w:t>
      </w:r>
      <w:r>
        <w:rPr>
          <w:lang w:val="en-AU"/>
        </w:rPr>
        <w:t>.</w:t>
      </w:r>
    </w:p>
    <w:p w14:paraId="7E164C43" w14:textId="69CE3CA2" w:rsidR="00B3572B" w:rsidRDefault="00AF62B8" w:rsidP="00015600">
      <w:pPr>
        <w:spacing w:line="240" w:lineRule="auto"/>
        <w:rPr>
          <w:lang w:val="en-AU"/>
        </w:rPr>
      </w:pPr>
      <w:r>
        <w:rPr>
          <w:lang w:val="en-AU"/>
        </w:rPr>
        <w:t xml:space="preserve">Further, we are </w:t>
      </w:r>
      <w:r w:rsidR="005B54BA">
        <w:rPr>
          <w:lang w:val="en-AU"/>
        </w:rPr>
        <w:t xml:space="preserve">broadly </w:t>
      </w:r>
      <w:r>
        <w:rPr>
          <w:lang w:val="en-AU"/>
        </w:rPr>
        <w:t>supportive of the draft Investment Mandate</w:t>
      </w:r>
      <w:r w:rsidR="005B54BA">
        <w:rPr>
          <w:lang w:val="en-AU"/>
        </w:rPr>
        <w:t xml:space="preserve"> in its current form and the Government’s approach to maintaining flexibility for the NHFIC Board to consider the specifics around how </w:t>
      </w:r>
      <w:r w:rsidR="00D27714">
        <w:rPr>
          <w:lang w:val="en-AU"/>
        </w:rPr>
        <w:t>bot</w:t>
      </w:r>
      <w:r w:rsidR="00D038D6">
        <w:rPr>
          <w:lang w:val="en-AU"/>
        </w:rPr>
        <w:t>h functions under the NHFIC should</w:t>
      </w:r>
      <w:r w:rsidR="005B54BA">
        <w:rPr>
          <w:lang w:val="en-AU"/>
        </w:rPr>
        <w:t xml:space="preserve"> operate.</w:t>
      </w:r>
    </w:p>
    <w:p w14:paraId="7B36A208" w14:textId="3C2066D3" w:rsidR="0083736D" w:rsidRDefault="0083736D" w:rsidP="00015600">
      <w:pPr>
        <w:spacing w:line="240" w:lineRule="auto"/>
        <w:rPr>
          <w:lang w:val="en-AU"/>
        </w:rPr>
      </w:pPr>
      <w:r>
        <w:rPr>
          <w:lang w:val="en-AU"/>
        </w:rPr>
        <w:t>In order to best facilitate the provision of additional social and affordable housing stock</w:t>
      </w:r>
      <w:r w:rsidR="003B0895">
        <w:rPr>
          <w:lang w:val="en-AU"/>
        </w:rPr>
        <w:t xml:space="preserve"> and increase the scale of the community housing sector</w:t>
      </w:r>
      <w:r>
        <w:rPr>
          <w:lang w:val="en-AU"/>
        </w:rPr>
        <w:t>, our view is that the main objective of the AHBA should be to provide financing which is cost efficient</w:t>
      </w:r>
      <w:r w:rsidR="009730ED">
        <w:rPr>
          <w:lang w:val="en-AU"/>
        </w:rPr>
        <w:t xml:space="preserve">, </w:t>
      </w:r>
      <w:r w:rsidR="003B0895">
        <w:rPr>
          <w:lang w:val="en-AU"/>
        </w:rPr>
        <w:t>at scale</w:t>
      </w:r>
      <w:r w:rsidR="009730ED">
        <w:rPr>
          <w:lang w:val="en-AU"/>
        </w:rPr>
        <w:t xml:space="preserve"> and replicable</w:t>
      </w:r>
      <w:r w:rsidR="003B0895">
        <w:rPr>
          <w:lang w:val="en-AU"/>
        </w:rPr>
        <w:t>.</w:t>
      </w:r>
    </w:p>
    <w:p w14:paraId="09535E6C" w14:textId="24F1DF43" w:rsidR="00D27714" w:rsidRDefault="003B0895" w:rsidP="003A0F38">
      <w:pPr>
        <w:spacing w:line="240" w:lineRule="auto"/>
        <w:rPr>
          <w:lang w:val="en-AU"/>
        </w:rPr>
      </w:pPr>
      <w:r>
        <w:rPr>
          <w:lang w:val="en-AU"/>
        </w:rPr>
        <w:t>With this in mind and as we move closer to the commencement of NHFIC operations</w:t>
      </w:r>
      <w:r w:rsidR="003A0F38">
        <w:rPr>
          <w:lang w:val="en-AU"/>
        </w:rPr>
        <w:t>, our feedback below is aimed at ensuring the objectives of the AHBA</w:t>
      </w:r>
      <w:r w:rsidR="00D66B43">
        <w:rPr>
          <w:lang w:val="en-AU"/>
        </w:rPr>
        <w:t xml:space="preserve"> </w:t>
      </w:r>
      <w:r w:rsidR="003A0F38">
        <w:rPr>
          <w:lang w:val="en-AU"/>
        </w:rPr>
        <w:t>are met</w:t>
      </w:r>
      <w:r w:rsidR="00670AC9">
        <w:rPr>
          <w:lang w:val="en-AU"/>
        </w:rPr>
        <w:t xml:space="preserve"> and anticipate any barriers to SGCH’s involvement in the early stages of </w:t>
      </w:r>
      <w:r w:rsidR="0048207C">
        <w:rPr>
          <w:lang w:val="en-AU"/>
        </w:rPr>
        <w:t xml:space="preserve">both </w:t>
      </w:r>
      <w:r w:rsidR="00670AC9">
        <w:rPr>
          <w:lang w:val="en-AU"/>
        </w:rPr>
        <w:t xml:space="preserve">the </w:t>
      </w:r>
      <w:r w:rsidR="00A144D3">
        <w:rPr>
          <w:lang w:val="en-AU"/>
        </w:rPr>
        <w:t>AHBA and the NHIF.</w:t>
      </w:r>
    </w:p>
    <w:p w14:paraId="589F5B5A" w14:textId="77777777" w:rsidR="00245D6C" w:rsidRPr="00245D6C" w:rsidRDefault="00D66B43" w:rsidP="00245D6C">
      <w:pPr>
        <w:spacing w:before="240"/>
        <w:rPr>
          <w:b/>
          <w:color w:val="642140" w:themeColor="text1"/>
          <w:lang w:val="en-AU"/>
        </w:rPr>
      </w:pPr>
      <w:r w:rsidRPr="00245D6C">
        <w:rPr>
          <w:b/>
          <w:color w:val="642140" w:themeColor="text1"/>
          <w:lang w:val="en-AU"/>
        </w:rPr>
        <w:t>AHBA initial reserve</w:t>
      </w:r>
      <w:r w:rsidR="00A144D3" w:rsidRPr="00245D6C">
        <w:rPr>
          <w:b/>
          <w:color w:val="642140" w:themeColor="text1"/>
          <w:lang w:val="en-AU"/>
        </w:rPr>
        <w:t xml:space="preserve"> (Item 11)</w:t>
      </w:r>
    </w:p>
    <w:p w14:paraId="623A4C32" w14:textId="77777777" w:rsidR="00245D6C" w:rsidRDefault="00245D6C" w:rsidP="00245D6C">
      <w:pPr>
        <w:spacing w:before="60" w:line="240" w:lineRule="auto"/>
        <w:rPr>
          <w:lang w:val="en-AU"/>
        </w:rPr>
      </w:pPr>
      <w:r>
        <w:rPr>
          <w:lang w:val="en-AU"/>
        </w:rPr>
        <w:t>A</w:t>
      </w:r>
      <w:r w:rsidR="00D66B43" w:rsidRPr="00245D6C">
        <w:rPr>
          <w:lang w:val="en-AU"/>
        </w:rPr>
        <w:t xml:space="preserve">s highlighted in the explanatory statement, our understanding is that the $150 million reserve which may be allocated to NHFIC is to be used as a warehousing facility for CHPs between </w:t>
      </w:r>
      <w:r>
        <w:rPr>
          <w:lang w:val="en-AU"/>
        </w:rPr>
        <w:t>bond issuances.</w:t>
      </w:r>
    </w:p>
    <w:p w14:paraId="002B354F" w14:textId="78A017CA" w:rsidR="00245D6C" w:rsidRPr="00245D6C" w:rsidRDefault="003D1EB1" w:rsidP="00245D6C">
      <w:pPr>
        <w:spacing w:line="240" w:lineRule="auto"/>
        <w:rPr>
          <w:lang w:val="en-AU"/>
        </w:rPr>
      </w:pPr>
      <w:r>
        <w:rPr>
          <w:lang w:val="en-AU"/>
        </w:rPr>
        <w:t xml:space="preserve">In our view, we do not see the </w:t>
      </w:r>
      <w:r w:rsidR="00A144D3" w:rsidRPr="00245D6C">
        <w:rPr>
          <w:lang w:val="en-AU"/>
        </w:rPr>
        <w:t xml:space="preserve">requirement for the AHBA to maintain any </w:t>
      </w:r>
      <w:r w:rsidR="009B2D53">
        <w:rPr>
          <w:lang w:val="en-AU"/>
        </w:rPr>
        <w:t xml:space="preserve">other </w:t>
      </w:r>
      <w:r w:rsidR="00A144D3" w:rsidRPr="00245D6C">
        <w:rPr>
          <w:lang w:val="en-AU"/>
        </w:rPr>
        <w:t>capital reserve</w:t>
      </w:r>
      <w:r w:rsidR="00EA307A">
        <w:rPr>
          <w:lang w:val="en-AU"/>
        </w:rPr>
        <w:t>s</w:t>
      </w:r>
      <w:r>
        <w:rPr>
          <w:lang w:val="en-AU"/>
        </w:rPr>
        <w:t xml:space="preserve">. As such, we question whether the </w:t>
      </w:r>
      <w:r w:rsidRPr="00245D6C">
        <w:rPr>
          <w:lang w:val="en-AU"/>
        </w:rPr>
        <w:t xml:space="preserve">use of this money for </w:t>
      </w:r>
      <w:r>
        <w:rPr>
          <w:lang w:val="en-AU"/>
        </w:rPr>
        <w:t xml:space="preserve">a warehousing facility </w:t>
      </w:r>
      <w:r w:rsidRPr="00245D6C">
        <w:rPr>
          <w:lang w:val="en-AU"/>
        </w:rPr>
        <w:t>should be specified in the Investment Mandate</w:t>
      </w:r>
      <w:r w:rsidR="00A144D3" w:rsidRPr="00245D6C">
        <w:rPr>
          <w:lang w:val="en-AU"/>
        </w:rPr>
        <w:t xml:space="preserve">. To the extent that investors require some form of debt service reserve, this should be passed down to each </w:t>
      </w:r>
      <w:r w:rsidR="009730ED" w:rsidRPr="00245D6C">
        <w:rPr>
          <w:lang w:val="en-AU"/>
        </w:rPr>
        <w:t>Community Housing Provider (</w:t>
      </w:r>
      <w:r w:rsidR="00A144D3" w:rsidRPr="00245D6C">
        <w:rPr>
          <w:lang w:val="en-AU"/>
        </w:rPr>
        <w:t>CHP</w:t>
      </w:r>
      <w:r w:rsidR="009730ED" w:rsidRPr="00245D6C">
        <w:rPr>
          <w:lang w:val="en-AU"/>
        </w:rPr>
        <w:t>)</w:t>
      </w:r>
      <w:r w:rsidR="00A144D3" w:rsidRPr="00245D6C">
        <w:rPr>
          <w:lang w:val="en-AU"/>
        </w:rPr>
        <w:t xml:space="preserve">, particularly where reserve requirements may differ for each CHP </w:t>
      </w:r>
      <w:r w:rsidR="009730ED" w:rsidRPr="00245D6C">
        <w:rPr>
          <w:lang w:val="en-AU"/>
        </w:rPr>
        <w:t xml:space="preserve">(varying risk profiles) </w:t>
      </w:r>
      <w:r w:rsidR="00A144D3" w:rsidRPr="00245D6C">
        <w:rPr>
          <w:lang w:val="en-AU"/>
        </w:rPr>
        <w:t>to ensure there is no cross subsidisation of costs in this regard.</w:t>
      </w:r>
    </w:p>
    <w:p w14:paraId="4383D90E" w14:textId="77777777" w:rsidR="00245D6C" w:rsidRPr="00245D6C" w:rsidRDefault="00D104C8" w:rsidP="00245D6C">
      <w:pPr>
        <w:spacing w:before="240"/>
        <w:rPr>
          <w:b/>
          <w:color w:val="642140" w:themeColor="text1"/>
          <w:lang w:val="en-AU"/>
        </w:rPr>
      </w:pPr>
      <w:r w:rsidRPr="00245D6C">
        <w:rPr>
          <w:b/>
          <w:color w:val="642140" w:themeColor="text1"/>
          <w:lang w:val="en-AU"/>
        </w:rPr>
        <w:t>Security for loans (Item 17</w:t>
      </w:r>
      <w:r w:rsidR="00CF4C2A" w:rsidRPr="00245D6C">
        <w:rPr>
          <w:b/>
          <w:color w:val="642140" w:themeColor="text1"/>
          <w:lang w:val="en-AU"/>
        </w:rPr>
        <w:t xml:space="preserve"> &amp; 24</w:t>
      </w:r>
      <w:r w:rsidRPr="00245D6C">
        <w:rPr>
          <w:b/>
          <w:color w:val="642140" w:themeColor="text1"/>
          <w:lang w:val="en-AU"/>
        </w:rPr>
        <w:t>)</w:t>
      </w:r>
    </w:p>
    <w:p w14:paraId="62AE75D9" w14:textId="3F57F59C" w:rsidR="00245D6C" w:rsidRDefault="00245D6C" w:rsidP="00245D6C">
      <w:pPr>
        <w:spacing w:before="60" w:line="240" w:lineRule="auto"/>
        <w:rPr>
          <w:lang w:val="en-AU"/>
        </w:rPr>
      </w:pPr>
      <w:r>
        <w:rPr>
          <w:lang w:val="en-AU"/>
        </w:rPr>
        <w:t>T</w:t>
      </w:r>
      <w:r w:rsidR="00CF4C2A" w:rsidRPr="00245D6C">
        <w:rPr>
          <w:lang w:val="en-AU"/>
        </w:rPr>
        <w:t>he draft Investment Mandate requires NHFIC to seek security from CHPs which is at least commensurate with existing security arrangement with Commercial Financiers.</w:t>
      </w:r>
      <w:r>
        <w:rPr>
          <w:lang w:val="en-AU"/>
        </w:rPr>
        <w:t xml:space="preserve"> However, the </w:t>
      </w:r>
      <w:r w:rsidR="009730ED" w:rsidRPr="00245D6C">
        <w:rPr>
          <w:lang w:val="en-AU"/>
        </w:rPr>
        <w:t xml:space="preserve">existence of the Government guarantee and loan concessions </w:t>
      </w:r>
      <w:r w:rsidRPr="00245D6C">
        <w:rPr>
          <w:lang w:val="en-AU"/>
        </w:rPr>
        <w:t xml:space="preserve">envisaged </w:t>
      </w:r>
      <w:r w:rsidR="00123048">
        <w:rPr>
          <w:lang w:val="en-AU"/>
        </w:rPr>
        <w:t>in item 24(2) clearly outline</w:t>
      </w:r>
      <w:r w:rsidR="009730ED" w:rsidRPr="00245D6C">
        <w:rPr>
          <w:lang w:val="en-AU"/>
        </w:rPr>
        <w:t xml:space="preserve"> the Government’s intention to</w:t>
      </w:r>
      <w:r>
        <w:rPr>
          <w:lang w:val="en-AU"/>
        </w:rPr>
        <w:t xml:space="preserve"> provide strong support to </w:t>
      </w:r>
      <w:r w:rsidRPr="00245D6C">
        <w:rPr>
          <w:lang w:val="en-AU"/>
        </w:rPr>
        <w:t xml:space="preserve">the CHP sector and </w:t>
      </w:r>
      <w:r w:rsidR="009730ED" w:rsidRPr="00245D6C">
        <w:rPr>
          <w:lang w:val="en-AU"/>
        </w:rPr>
        <w:t>assist in bridging the yield gap to the exte</w:t>
      </w:r>
      <w:r w:rsidRPr="00245D6C">
        <w:rPr>
          <w:lang w:val="en-AU"/>
        </w:rPr>
        <w:t>nt possibl</w:t>
      </w:r>
      <w:r w:rsidR="00123048">
        <w:rPr>
          <w:lang w:val="en-AU"/>
        </w:rPr>
        <w:t>e</w:t>
      </w:r>
      <w:r w:rsidR="000A6F61">
        <w:rPr>
          <w:lang w:val="en-AU"/>
        </w:rPr>
        <w:t xml:space="preserve"> th</w:t>
      </w:r>
      <w:r w:rsidR="003B56BE">
        <w:rPr>
          <w:lang w:val="en-AU"/>
        </w:rPr>
        <w:t>rough this lever</w:t>
      </w:r>
      <w:r>
        <w:rPr>
          <w:lang w:val="en-AU"/>
        </w:rPr>
        <w:t>.</w:t>
      </w:r>
    </w:p>
    <w:p w14:paraId="338C9690" w14:textId="00FCD93D" w:rsidR="009B2D53" w:rsidRDefault="002E5E21" w:rsidP="00245D6C">
      <w:pPr>
        <w:spacing w:line="240" w:lineRule="auto"/>
        <w:rPr>
          <w:lang w:val="en-AU"/>
        </w:rPr>
      </w:pPr>
      <w:r>
        <w:rPr>
          <w:lang w:val="en-AU"/>
        </w:rPr>
        <w:t xml:space="preserve">From a financing perspective, we see Government as being in a position to provide support in the areas of pricing, tenor and security. </w:t>
      </w:r>
      <w:r w:rsidR="009B2D53">
        <w:rPr>
          <w:lang w:val="en-AU"/>
        </w:rPr>
        <w:t xml:space="preserve">In our experience, the </w:t>
      </w:r>
      <w:r w:rsidR="003B56BE">
        <w:rPr>
          <w:lang w:val="en-AU"/>
        </w:rPr>
        <w:t xml:space="preserve">missing piece of the puzzle to getting a number of deals across the line </w:t>
      </w:r>
      <w:r w:rsidR="00EA307A">
        <w:rPr>
          <w:lang w:val="en-AU"/>
        </w:rPr>
        <w:t xml:space="preserve">in this sector </w:t>
      </w:r>
      <w:r w:rsidR="003B56BE">
        <w:rPr>
          <w:lang w:val="en-AU"/>
        </w:rPr>
        <w:t xml:space="preserve">has been the </w:t>
      </w:r>
      <w:r w:rsidR="009B2D53">
        <w:rPr>
          <w:lang w:val="en-AU"/>
        </w:rPr>
        <w:t>ability to structure in a subordinated / mezzanine debt layer</w:t>
      </w:r>
      <w:r w:rsidR="003B56BE">
        <w:rPr>
          <w:lang w:val="en-AU"/>
        </w:rPr>
        <w:t xml:space="preserve"> with the appropriate balance of pricing, tenor and security.</w:t>
      </w:r>
    </w:p>
    <w:p w14:paraId="1F662382" w14:textId="22DA80D1" w:rsidR="002E5E21" w:rsidRDefault="002E5E21" w:rsidP="00245D6C">
      <w:pPr>
        <w:spacing w:line="240" w:lineRule="auto"/>
        <w:rPr>
          <w:lang w:val="en-AU"/>
        </w:rPr>
      </w:pPr>
      <w:r>
        <w:rPr>
          <w:lang w:val="en-AU"/>
        </w:rPr>
        <w:t xml:space="preserve">As such, we would ask that the aspect of security be further considered as an area for concession </w:t>
      </w:r>
      <w:r w:rsidR="00123048">
        <w:rPr>
          <w:lang w:val="en-AU"/>
        </w:rPr>
        <w:t>or as a minimum, not r</w:t>
      </w:r>
      <w:r>
        <w:rPr>
          <w:lang w:val="en-AU"/>
        </w:rPr>
        <w:t xml:space="preserve">estrict the NHFIC from considering this as a form of concession </w:t>
      </w:r>
      <w:r w:rsidR="00066946">
        <w:rPr>
          <w:lang w:val="en-AU"/>
        </w:rPr>
        <w:t xml:space="preserve">at this stage (particularly </w:t>
      </w:r>
      <w:r>
        <w:rPr>
          <w:lang w:val="en-AU"/>
        </w:rPr>
        <w:t>given the complexities around the national regulatory frame work and tri-partite security arrangements involving State governments</w:t>
      </w:r>
      <w:r w:rsidR="00066946">
        <w:rPr>
          <w:lang w:val="en-AU"/>
        </w:rPr>
        <w:t>)</w:t>
      </w:r>
      <w:r w:rsidR="00123048">
        <w:rPr>
          <w:lang w:val="en-AU"/>
        </w:rPr>
        <w:t>.</w:t>
      </w:r>
    </w:p>
    <w:p w14:paraId="55293BC0" w14:textId="2A68E45A" w:rsidR="00CF4C2A" w:rsidRPr="00245D6C" w:rsidRDefault="00123048" w:rsidP="00245D6C">
      <w:pPr>
        <w:spacing w:line="240" w:lineRule="auto"/>
        <w:rPr>
          <w:lang w:val="en-AU"/>
        </w:rPr>
      </w:pPr>
      <w:r>
        <w:rPr>
          <w:lang w:val="en-AU"/>
        </w:rPr>
        <w:t xml:space="preserve">Our participation in the AHBA and NHIF hinges on the ability of these sources of finance to complement our existing forms of finance and in particular, how the AHBA and the NHIF </w:t>
      </w:r>
      <w:r w:rsidR="005241A2">
        <w:rPr>
          <w:lang w:val="en-AU"/>
        </w:rPr>
        <w:t>will operate in</w:t>
      </w:r>
      <w:r w:rsidR="00066946">
        <w:rPr>
          <w:lang w:val="en-AU"/>
        </w:rPr>
        <w:t xml:space="preserve"> a financing vehicle with </w:t>
      </w:r>
      <w:r>
        <w:rPr>
          <w:lang w:val="en-AU"/>
        </w:rPr>
        <w:t>multiple secured creditors.</w:t>
      </w:r>
      <w:r w:rsidR="00066946">
        <w:rPr>
          <w:lang w:val="en-AU"/>
        </w:rPr>
        <w:t xml:space="preserve"> We would welcome further consultation / clarification around this issue of security and what form the security may take, noting</w:t>
      </w:r>
      <w:r w:rsidR="009730ED" w:rsidRPr="00245D6C">
        <w:rPr>
          <w:lang w:val="en-AU"/>
        </w:rPr>
        <w:t>:</w:t>
      </w:r>
    </w:p>
    <w:p w14:paraId="77650141" w14:textId="6A938242" w:rsidR="00396059" w:rsidRDefault="00066946" w:rsidP="00610E9B">
      <w:pPr>
        <w:pStyle w:val="Bullet1"/>
      </w:pPr>
      <w:r>
        <w:t xml:space="preserve">examples </w:t>
      </w:r>
      <w:r w:rsidR="003D1EB1">
        <w:t xml:space="preserve">of </w:t>
      </w:r>
      <w:r>
        <w:t xml:space="preserve">bond issuances </w:t>
      </w:r>
      <w:r w:rsidR="003D1EB1">
        <w:t xml:space="preserve">where security has not been required </w:t>
      </w:r>
      <w:r>
        <w:t>for investment grade issuers</w:t>
      </w:r>
    </w:p>
    <w:p w14:paraId="4F968D52" w14:textId="01E4D9CE" w:rsidR="00396059" w:rsidRDefault="00396059" w:rsidP="00610E9B">
      <w:pPr>
        <w:pStyle w:val="Bullet1"/>
      </w:pPr>
      <w:r>
        <w:t>underlying security can be protected by imposing financial and other covenants without taking out formal security such as mortgage</w:t>
      </w:r>
      <w:r w:rsidR="003D1EB1">
        <w:t xml:space="preserve"> over properties</w:t>
      </w:r>
    </w:p>
    <w:p w14:paraId="3BF3D0E7" w14:textId="16902153" w:rsidR="00066946" w:rsidRDefault="006A0625" w:rsidP="00066946">
      <w:pPr>
        <w:spacing w:line="240" w:lineRule="auto"/>
        <w:rPr>
          <w:lang w:val="en-AU"/>
        </w:rPr>
      </w:pPr>
      <w:r>
        <w:rPr>
          <w:lang w:val="en-AU"/>
        </w:rPr>
        <w:t>Notwithstanding the above, i</w:t>
      </w:r>
      <w:r w:rsidR="00066946">
        <w:rPr>
          <w:lang w:val="en-AU"/>
        </w:rPr>
        <w:t xml:space="preserve">f NHFIC requires formal security over CHP assets, </w:t>
      </w:r>
      <w:r>
        <w:rPr>
          <w:lang w:val="en-AU"/>
        </w:rPr>
        <w:t xml:space="preserve">we would encourage early consultation with </w:t>
      </w:r>
      <w:r w:rsidR="005241A2">
        <w:rPr>
          <w:lang w:val="en-AU"/>
        </w:rPr>
        <w:t xml:space="preserve">CHPs, </w:t>
      </w:r>
      <w:r>
        <w:rPr>
          <w:lang w:val="en-AU"/>
        </w:rPr>
        <w:t xml:space="preserve">banks and State governments to ensure </w:t>
      </w:r>
      <w:r w:rsidR="00970291">
        <w:rPr>
          <w:lang w:val="en-AU"/>
        </w:rPr>
        <w:t xml:space="preserve">broad </w:t>
      </w:r>
      <w:r>
        <w:rPr>
          <w:lang w:val="en-AU"/>
        </w:rPr>
        <w:t xml:space="preserve">agreement has been reached ahead of 1 July 2018 on how security arrangements and </w:t>
      </w:r>
      <w:r w:rsidR="00970291">
        <w:rPr>
          <w:lang w:val="en-AU"/>
        </w:rPr>
        <w:t>related documents</w:t>
      </w:r>
      <w:r>
        <w:rPr>
          <w:lang w:val="en-AU"/>
        </w:rPr>
        <w:t xml:space="preserve"> (e.g. inter-creditor arrangements, tripartite deeds etc.)</w:t>
      </w:r>
      <w:r w:rsidR="00970291" w:rsidRPr="00970291">
        <w:rPr>
          <w:lang w:val="en-AU"/>
        </w:rPr>
        <w:t xml:space="preserve"> </w:t>
      </w:r>
      <w:r w:rsidR="00970291">
        <w:rPr>
          <w:lang w:val="en-AU"/>
        </w:rPr>
        <w:t>would operate</w:t>
      </w:r>
      <w:r>
        <w:rPr>
          <w:lang w:val="en-AU"/>
        </w:rPr>
        <w:t xml:space="preserve">. </w:t>
      </w:r>
    </w:p>
    <w:p w14:paraId="0A8E1DC8" w14:textId="626D105D" w:rsidR="00066946" w:rsidRDefault="00066946" w:rsidP="006A0625">
      <w:pPr>
        <w:spacing w:before="240" w:line="240" w:lineRule="auto"/>
        <w:rPr>
          <w:b/>
          <w:color w:val="642140" w:themeColor="text1"/>
          <w:lang w:val="en-AU"/>
        </w:rPr>
      </w:pPr>
      <w:r>
        <w:rPr>
          <w:b/>
          <w:color w:val="642140" w:themeColor="text1"/>
          <w:lang w:val="en-AU"/>
        </w:rPr>
        <w:t>Next steps</w:t>
      </w:r>
    </w:p>
    <w:p w14:paraId="51AF3C8F" w14:textId="681AF725" w:rsidR="00970291" w:rsidRDefault="00970291" w:rsidP="00CF4C2A">
      <w:pPr>
        <w:pStyle w:val="Bullet1"/>
        <w:numPr>
          <w:ilvl w:val="0"/>
          <w:numId w:val="0"/>
        </w:numPr>
        <w:spacing w:before="120" w:after="120"/>
        <w:contextualSpacing w:val="0"/>
      </w:pPr>
      <w:r>
        <w:t xml:space="preserve">In recognising the advantages to providing flexibility for the NHFIC Board around operational details, a consultation process around the key requirements and </w:t>
      </w:r>
      <w:r w:rsidR="00610E9B">
        <w:t xml:space="preserve">anticipated </w:t>
      </w:r>
      <w:r>
        <w:t xml:space="preserve">terms (including financial covenants) </w:t>
      </w:r>
      <w:r w:rsidR="00610E9B">
        <w:t xml:space="preserve">in the lead up to NHFIC operations </w:t>
      </w:r>
      <w:r>
        <w:t xml:space="preserve">will be key to ensuring a timely take-up of the financing on offer. </w:t>
      </w:r>
      <w:r w:rsidR="00F101FB">
        <w:t>This will be e</w:t>
      </w:r>
      <w:r w:rsidR="00610E9B">
        <w:t xml:space="preserve">ssential from an SGCH perspective </w:t>
      </w:r>
      <w:r w:rsidR="003B56BE">
        <w:t xml:space="preserve">(and likely many other CHPs) </w:t>
      </w:r>
      <w:r w:rsidR="00610E9B">
        <w:t>to ensure:</w:t>
      </w:r>
    </w:p>
    <w:p w14:paraId="38AA4CE8" w14:textId="258CD4FC" w:rsidR="00610E9B" w:rsidRDefault="00610E9B" w:rsidP="00610E9B">
      <w:pPr>
        <w:pStyle w:val="Bullet1"/>
      </w:pPr>
      <w:r>
        <w:t>necessary forward planning and financial assessment can be undertaken</w:t>
      </w:r>
    </w:p>
    <w:p w14:paraId="232037BA" w14:textId="527EB954" w:rsidR="00610E9B" w:rsidRDefault="00610E9B" w:rsidP="00610E9B">
      <w:pPr>
        <w:pStyle w:val="Bullet1"/>
      </w:pPr>
      <w:r>
        <w:t>this time now is used constructively to resolve issues such as how security for loans would operate (which has the potential to cause significant delays to our participation)</w:t>
      </w:r>
    </w:p>
    <w:p w14:paraId="1C45AC65" w14:textId="0F7E75C9" w:rsidR="00CF4C2A" w:rsidRDefault="006F2FC4" w:rsidP="00CF4C2A">
      <w:pPr>
        <w:pStyle w:val="Bullet1"/>
        <w:numPr>
          <w:ilvl w:val="0"/>
          <w:numId w:val="0"/>
        </w:numPr>
        <w:spacing w:before="120" w:after="120"/>
        <w:contextualSpacing w:val="0"/>
      </w:pPr>
      <w:r>
        <w:t xml:space="preserve">SGCH would be pleased to contribute to the ongoing consultation process as you plan for operational commencement. </w:t>
      </w:r>
    </w:p>
    <w:sectPr w:rsidR="00CF4C2A" w:rsidSect="00E77111">
      <w:headerReference w:type="default" r:id="rId16"/>
      <w:footerReference w:type="even" r:id="rId17"/>
      <w:footerReference w:type="default" r:id="rId18"/>
      <w:headerReference w:type="first" r:id="rId19"/>
      <w:footerReference w:type="first" r:id="rId20"/>
      <w:pgSz w:w="11900" w:h="16840"/>
      <w:pgMar w:top="2160" w:right="1268" w:bottom="2448" w:left="1440" w:header="720" w:footer="8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F6BC23" w14:textId="77777777" w:rsidR="00FE5481" w:rsidRDefault="00FE5481" w:rsidP="00975DCD">
      <w:r>
        <w:separator/>
      </w:r>
    </w:p>
  </w:endnote>
  <w:endnote w:type="continuationSeparator" w:id="0">
    <w:p w14:paraId="43E6A96F" w14:textId="77777777" w:rsidR="00FE5481" w:rsidRDefault="00FE5481" w:rsidP="00975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84F2B" w14:textId="77777777" w:rsidR="00F10B24" w:rsidRDefault="00F10B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20EF6" w14:textId="16DAB8A3" w:rsidR="00F10B24" w:rsidRPr="00C42867" w:rsidRDefault="001C7212" w:rsidP="001C7212">
    <w:pPr>
      <w:pStyle w:val="Footer"/>
      <w:tabs>
        <w:tab w:val="clear" w:pos="4320"/>
        <w:tab w:val="clear" w:pos="8640"/>
        <w:tab w:val="right" w:pos="9000"/>
      </w:tabs>
      <w:spacing w:line="240" w:lineRule="auto"/>
      <w:jc w:val="right"/>
      <w:rPr>
        <w:color w:val="A6A6A6" w:themeColor="background1" w:themeShade="A6"/>
        <w:sz w:val="20"/>
        <w:szCs w:val="20"/>
      </w:rPr>
    </w:pPr>
    <w:r w:rsidRPr="00C42867">
      <w:rPr>
        <w:color w:val="A6A6A6" w:themeColor="background1" w:themeShade="A6"/>
        <w:sz w:val="20"/>
        <w:szCs w:val="20"/>
      </w:rPr>
      <w:t xml:space="preserve">Page </w:t>
    </w:r>
    <w:r w:rsidRPr="00C42867">
      <w:rPr>
        <w:color w:val="A6A6A6" w:themeColor="background1" w:themeShade="A6"/>
        <w:sz w:val="20"/>
        <w:szCs w:val="20"/>
      </w:rPr>
      <w:fldChar w:fldCharType="begin"/>
    </w:r>
    <w:r w:rsidRPr="00C42867">
      <w:rPr>
        <w:color w:val="A6A6A6" w:themeColor="background1" w:themeShade="A6"/>
        <w:sz w:val="20"/>
        <w:szCs w:val="20"/>
      </w:rPr>
      <w:instrText xml:space="preserve"> PAGE   \* MERGEFORMAT </w:instrText>
    </w:r>
    <w:r w:rsidRPr="00C42867">
      <w:rPr>
        <w:color w:val="A6A6A6" w:themeColor="background1" w:themeShade="A6"/>
        <w:sz w:val="20"/>
        <w:szCs w:val="20"/>
      </w:rPr>
      <w:fldChar w:fldCharType="separate"/>
    </w:r>
    <w:r w:rsidR="00D61B0E">
      <w:rPr>
        <w:noProof/>
        <w:color w:val="A6A6A6" w:themeColor="background1" w:themeShade="A6"/>
        <w:sz w:val="20"/>
        <w:szCs w:val="20"/>
      </w:rPr>
      <w:t>1</w:t>
    </w:r>
    <w:r w:rsidRPr="00C42867">
      <w:rPr>
        <w:color w:val="A6A6A6" w:themeColor="background1" w:themeShade="A6"/>
        <w:sz w:val="20"/>
        <w:szCs w:val="20"/>
      </w:rPr>
      <w:fldChar w:fldCharType="end"/>
    </w:r>
    <w:r w:rsidR="00F10B24" w:rsidRPr="00A64ADB">
      <w:rPr>
        <w:noProof/>
        <w:color w:val="A6A6A6" w:themeColor="background1" w:themeShade="A6"/>
        <w:sz w:val="20"/>
        <w:szCs w:val="20"/>
        <w:lang w:val="en-AU" w:eastAsia="en-AU"/>
      </w:rPr>
      <w:drawing>
        <wp:anchor distT="0" distB="0" distL="114300" distR="114300" simplePos="0" relativeHeight="251664384" behindDoc="1" locked="0" layoutInCell="1" allowOverlap="1" wp14:anchorId="52DBF7F2" wp14:editId="5BC3DA7A">
          <wp:simplePos x="0" y="0"/>
          <wp:positionH relativeFrom="column">
            <wp:posOffset>-914400</wp:posOffset>
          </wp:positionH>
          <wp:positionV relativeFrom="page">
            <wp:posOffset>10172700</wp:posOffset>
          </wp:positionV>
          <wp:extent cx="7560310" cy="514350"/>
          <wp:effectExtent l="19050" t="0" r="2540" b="0"/>
          <wp:wrapNone/>
          <wp:docPr id="2" name="Picture 1" descr="C:\Users\lindim\AppData\Local\Microsoft\Windows\Temporary Internet Files\Content.Outlook\R949G29M\foot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ndim\AppData\Local\Microsoft\Windows\Temporary Internet Files\Content.Outlook\R949G29M\footer2.png"/>
                  <pic:cNvPicPr>
                    <a:picLocks noChangeAspect="1" noChangeArrowheads="1"/>
                  </pic:cNvPicPr>
                </pic:nvPicPr>
                <pic:blipFill>
                  <a:blip r:embed="rId1"/>
                  <a:srcRect/>
                  <a:stretch>
                    <a:fillRect/>
                  </a:stretch>
                </pic:blipFill>
                <pic:spPr bwMode="auto">
                  <a:xfrm>
                    <a:off x="0" y="0"/>
                    <a:ext cx="7560310" cy="514350"/>
                  </a:xfrm>
                  <a:prstGeom prst="rect">
                    <a:avLst/>
                  </a:prstGeom>
                  <a:noFill/>
                  <a:ln w="9525">
                    <a:noFill/>
                    <a:miter lim="800000"/>
                    <a:headEnd/>
                    <a:tailEnd/>
                  </a:ln>
                </pic:spPr>
              </pic:pic>
            </a:graphicData>
          </a:graphic>
        </wp:anchor>
      </w:drawing>
    </w:r>
    <w:r w:rsidRPr="00C42867">
      <w:rPr>
        <w:color w:val="A6A6A6" w:themeColor="background1" w:themeShade="A6"/>
        <w:sz w:val="20"/>
        <w:szCs w:val="20"/>
      </w:rPr>
      <w:t xml:space="preserve"> of </w:t>
    </w:r>
    <w:r w:rsidRPr="00C42867">
      <w:rPr>
        <w:color w:val="A6A6A6" w:themeColor="background1" w:themeShade="A6"/>
        <w:sz w:val="20"/>
        <w:szCs w:val="20"/>
      </w:rPr>
      <w:fldChar w:fldCharType="begin"/>
    </w:r>
    <w:r w:rsidRPr="00C42867">
      <w:rPr>
        <w:color w:val="A6A6A6" w:themeColor="background1" w:themeShade="A6"/>
        <w:sz w:val="20"/>
        <w:szCs w:val="20"/>
      </w:rPr>
      <w:instrText xml:space="preserve"> NUMPAGES   \* MERGEFORMAT </w:instrText>
    </w:r>
    <w:r w:rsidRPr="00C42867">
      <w:rPr>
        <w:color w:val="A6A6A6" w:themeColor="background1" w:themeShade="A6"/>
        <w:sz w:val="20"/>
        <w:szCs w:val="20"/>
      </w:rPr>
      <w:fldChar w:fldCharType="separate"/>
    </w:r>
    <w:r w:rsidR="00D61B0E">
      <w:rPr>
        <w:noProof/>
        <w:color w:val="A6A6A6" w:themeColor="background1" w:themeShade="A6"/>
        <w:sz w:val="20"/>
        <w:szCs w:val="20"/>
      </w:rPr>
      <w:t>3</w:t>
    </w:r>
    <w:r w:rsidRPr="00C42867">
      <w:rPr>
        <w:color w:val="A6A6A6" w:themeColor="background1" w:themeShade="A6"/>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4D4A4" w14:textId="77777777" w:rsidR="00F10B24" w:rsidRPr="006638F6" w:rsidRDefault="00F10B24" w:rsidP="006638F6">
    <w:pPr>
      <w:pStyle w:val="Footer"/>
      <w:spacing w:line="240" w:lineRule="auto"/>
      <w:rPr>
        <w:sz w:val="20"/>
        <w:szCs w:val="20"/>
      </w:rPr>
    </w:pPr>
    <w:r>
      <w:rPr>
        <w:noProof/>
        <w:sz w:val="20"/>
        <w:szCs w:val="20"/>
        <w:lang w:val="en-AU" w:eastAsia="en-AU"/>
      </w:rPr>
      <w:drawing>
        <wp:anchor distT="0" distB="0" distL="114300" distR="114300" simplePos="0" relativeHeight="251676672" behindDoc="1" locked="0" layoutInCell="1" allowOverlap="1" wp14:anchorId="21457409" wp14:editId="008144C1">
          <wp:simplePos x="0" y="0"/>
          <wp:positionH relativeFrom="page">
            <wp:align>left</wp:align>
          </wp:positionH>
          <wp:positionV relativeFrom="page">
            <wp:align>bottom</wp:align>
          </wp:positionV>
          <wp:extent cx="7560310" cy="514350"/>
          <wp:effectExtent l="0" t="0" r="2540" b="0"/>
          <wp:wrapNone/>
          <wp:docPr id="4" name="Picture 1" descr="C:\Users\lindim\AppData\Local\Microsoft\Windows\Temporary Internet Files\Content.Outlook\R949G29M\foot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ndim\AppData\Local\Microsoft\Windows\Temporary Internet Files\Content.Outlook\R949G29M\footer2.png"/>
                  <pic:cNvPicPr>
                    <a:picLocks noChangeAspect="1" noChangeArrowheads="1"/>
                  </pic:cNvPicPr>
                </pic:nvPicPr>
                <pic:blipFill>
                  <a:blip r:embed="rId1"/>
                  <a:srcRect/>
                  <a:stretch>
                    <a:fillRect/>
                  </a:stretch>
                </pic:blipFill>
                <pic:spPr bwMode="auto">
                  <a:xfrm>
                    <a:off x="0" y="0"/>
                    <a:ext cx="7560310" cy="5143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F160B3" w14:textId="77777777" w:rsidR="00FE5481" w:rsidRDefault="00FE5481" w:rsidP="00975DCD">
      <w:r>
        <w:separator/>
      </w:r>
    </w:p>
  </w:footnote>
  <w:footnote w:type="continuationSeparator" w:id="0">
    <w:p w14:paraId="4286D231" w14:textId="77777777" w:rsidR="00FE5481" w:rsidRDefault="00FE5481" w:rsidP="00975D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32D65" w14:textId="77777777" w:rsidR="00F10B24" w:rsidRPr="00AA2688" w:rsidRDefault="00F10B24" w:rsidP="00AA2688">
    <w:pPr>
      <w:pStyle w:val="Header"/>
      <w:tabs>
        <w:tab w:val="clear" w:pos="4320"/>
        <w:tab w:val="clear" w:pos="8640"/>
      </w:tabs>
      <w:spacing w:line="240" w:lineRule="auto"/>
      <w:rPr>
        <w:sz w:val="20"/>
        <w:szCs w:val="20"/>
      </w:rPr>
    </w:pPr>
    <w:r>
      <w:rPr>
        <w:noProof/>
        <w:lang w:val="en-AU" w:eastAsia="en-AU"/>
      </w:rPr>
      <w:drawing>
        <wp:anchor distT="0" distB="0" distL="114300" distR="114300" simplePos="0" relativeHeight="251674624" behindDoc="0" locked="0" layoutInCell="1" allowOverlap="1" wp14:anchorId="7BEEADD9" wp14:editId="0E905A11">
          <wp:simplePos x="0" y="0"/>
          <wp:positionH relativeFrom="page">
            <wp:align>left</wp:align>
          </wp:positionH>
          <wp:positionV relativeFrom="page">
            <wp:posOffset>258661</wp:posOffset>
          </wp:positionV>
          <wp:extent cx="7562850" cy="101790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frontpage-Hurstville_head.gif"/>
                  <pic:cNvPicPr/>
                </pic:nvPicPr>
                <pic:blipFill rotWithShape="1">
                  <a:blip r:embed="rId1">
                    <a:extLst>
                      <a:ext uri="{28A0092B-C50C-407E-A947-70E740481C1C}">
                        <a14:useLocalDpi xmlns:a14="http://schemas.microsoft.com/office/drawing/2010/main" val="0"/>
                      </a:ext>
                    </a:extLst>
                  </a:blip>
                  <a:srcRect b="20838"/>
                  <a:stretch/>
                </pic:blipFill>
                <pic:spPr bwMode="auto">
                  <a:xfrm>
                    <a:off x="0" y="0"/>
                    <a:ext cx="7562850" cy="1017917"/>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5F25C" w14:textId="77777777" w:rsidR="00F10B24" w:rsidRDefault="00F10B24">
    <w:pPr>
      <w:pStyle w:val="Header"/>
    </w:pPr>
    <w:r>
      <w:rPr>
        <w:noProof/>
        <w:lang w:val="en-AU" w:eastAsia="en-AU"/>
      </w:rPr>
      <w:drawing>
        <wp:anchor distT="0" distB="0" distL="114300" distR="114300" simplePos="0" relativeHeight="251660288" behindDoc="0" locked="0" layoutInCell="1" allowOverlap="1" wp14:anchorId="03A152D1" wp14:editId="5EF2BCE5">
          <wp:simplePos x="0" y="0"/>
          <wp:positionH relativeFrom="column">
            <wp:align>center</wp:align>
          </wp:positionH>
          <wp:positionV relativeFrom="page">
            <wp:posOffset>152400</wp:posOffset>
          </wp:positionV>
          <wp:extent cx="7562850" cy="1285875"/>
          <wp:effectExtent l="1905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frontpage-Hurstville_head.gif"/>
                  <pic:cNvPicPr/>
                </pic:nvPicPr>
                <pic:blipFill>
                  <a:blip r:embed="rId1">
                    <a:extLst>
                      <a:ext uri="{28A0092B-C50C-407E-A947-70E740481C1C}">
                        <a14:useLocalDpi xmlns:a14="http://schemas.microsoft.com/office/drawing/2010/main" val="0"/>
                      </a:ext>
                    </a:extLst>
                  </a:blip>
                  <a:stretch>
                    <a:fillRect/>
                  </a:stretch>
                </pic:blipFill>
                <pic:spPr>
                  <a:xfrm>
                    <a:off x="0" y="0"/>
                    <a:ext cx="7562850" cy="128587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22A8"/>
    <w:multiLevelType w:val="hybridMultilevel"/>
    <w:tmpl w:val="9F44A418"/>
    <w:lvl w:ilvl="0" w:tplc="B3B6DC7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5B821F9"/>
    <w:multiLevelType w:val="hybridMultilevel"/>
    <w:tmpl w:val="01AA42F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nsid w:val="090823A9"/>
    <w:multiLevelType w:val="hybridMultilevel"/>
    <w:tmpl w:val="9F44A418"/>
    <w:lvl w:ilvl="0" w:tplc="B3B6DC7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A773846"/>
    <w:multiLevelType w:val="hybridMultilevel"/>
    <w:tmpl w:val="9F44A418"/>
    <w:lvl w:ilvl="0" w:tplc="B3B6DC7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CA5406F"/>
    <w:multiLevelType w:val="hybridMultilevel"/>
    <w:tmpl w:val="23E68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F846EEE"/>
    <w:multiLevelType w:val="hybridMultilevel"/>
    <w:tmpl w:val="9F44A418"/>
    <w:lvl w:ilvl="0" w:tplc="B3B6DC7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7460867"/>
    <w:multiLevelType w:val="hybridMultilevel"/>
    <w:tmpl w:val="9F44A418"/>
    <w:lvl w:ilvl="0" w:tplc="B3B6DC7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7B358E9"/>
    <w:multiLevelType w:val="hybridMultilevel"/>
    <w:tmpl w:val="A4803936"/>
    <w:lvl w:ilvl="0" w:tplc="B562EBB0">
      <w:start w:val="1"/>
      <w:numFmt w:val="bullet"/>
      <w:pStyle w:val="Bullet1"/>
      <w:lvlText w:val=""/>
      <w:lvlJc w:val="left"/>
      <w:pPr>
        <w:ind w:left="720" w:hanging="360"/>
      </w:pPr>
      <w:rPr>
        <w:rFonts w:ascii="Symbol" w:hAnsi="Symbol" w:hint="default"/>
      </w:rPr>
    </w:lvl>
    <w:lvl w:ilvl="1" w:tplc="0C090005">
      <w:start w:val="1"/>
      <w:numFmt w:val="bullet"/>
      <w:pStyle w:val="Bullet2"/>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BC043BE"/>
    <w:multiLevelType w:val="hybridMultilevel"/>
    <w:tmpl w:val="2786B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C6E6A05"/>
    <w:multiLevelType w:val="hybridMultilevel"/>
    <w:tmpl w:val="9F44A418"/>
    <w:lvl w:ilvl="0" w:tplc="B3B6DC7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C937A3F"/>
    <w:multiLevelType w:val="hybridMultilevel"/>
    <w:tmpl w:val="9F44A418"/>
    <w:lvl w:ilvl="0" w:tplc="B3B6DC7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E5445C8"/>
    <w:multiLevelType w:val="hybridMultilevel"/>
    <w:tmpl w:val="9F44A418"/>
    <w:lvl w:ilvl="0" w:tplc="B3B6DC7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5F96BE5"/>
    <w:multiLevelType w:val="hybridMultilevel"/>
    <w:tmpl w:val="9F44A418"/>
    <w:lvl w:ilvl="0" w:tplc="B3B6DC7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76F19E6"/>
    <w:multiLevelType w:val="hybridMultilevel"/>
    <w:tmpl w:val="9F44A418"/>
    <w:lvl w:ilvl="0" w:tplc="B3B6DC7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82B3C64"/>
    <w:multiLevelType w:val="hybridMultilevel"/>
    <w:tmpl w:val="9F44A418"/>
    <w:lvl w:ilvl="0" w:tplc="B3B6DC7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88F3EF4"/>
    <w:multiLevelType w:val="hybridMultilevel"/>
    <w:tmpl w:val="357889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E0B260A"/>
    <w:multiLevelType w:val="hybridMultilevel"/>
    <w:tmpl w:val="9F44A418"/>
    <w:lvl w:ilvl="0" w:tplc="B3B6DC7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FD54DE4"/>
    <w:multiLevelType w:val="hybridMultilevel"/>
    <w:tmpl w:val="9F44A418"/>
    <w:lvl w:ilvl="0" w:tplc="B3B6DC7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99B388E"/>
    <w:multiLevelType w:val="hybridMultilevel"/>
    <w:tmpl w:val="9F44A418"/>
    <w:lvl w:ilvl="0" w:tplc="B3B6DC7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CD90549"/>
    <w:multiLevelType w:val="hybridMultilevel"/>
    <w:tmpl w:val="00B800F4"/>
    <w:lvl w:ilvl="0" w:tplc="F168BBB2">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B5D6E50"/>
    <w:multiLevelType w:val="hybridMultilevel"/>
    <w:tmpl w:val="9F44A418"/>
    <w:lvl w:ilvl="0" w:tplc="B3B6DC7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BE519DE"/>
    <w:multiLevelType w:val="hybridMultilevel"/>
    <w:tmpl w:val="9F44A418"/>
    <w:lvl w:ilvl="0" w:tplc="B3B6DC7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FF91F8F"/>
    <w:multiLevelType w:val="hybridMultilevel"/>
    <w:tmpl w:val="9F44A418"/>
    <w:lvl w:ilvl="0" w:tplc="B3B6DC7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606D78FF"/>
    <w:multiLevelType w:val="hybridMultilevel"/>
    <w:tmpl w:val="9F44A418"/>
    <w:lvl w:ilvl="0" w:tplc="B3B6DC7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60EB6841"/>
    <w:multiLevelType w:val="hybridMultilevel"/>
    <w:tmpl w:val="9F44A418"/>
    <w:lvl w:ilvl="0" w:tplc="B3B6DC7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6ECC64A1"/>
    <w:multiLevelType w:val="hybridMultilevel"/>
    <w:tmpl w:val="20826A78"/>
    <w:lvl w:ilvl="0" w:tplc="F168BBB2">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21"/>
  </w:num>
  <w:num w:numId="4">
    <w:abstractNumId w:val="9"/>
  </w:num>
  <w:num w:numId="5">
    <w:abstractNumId w:val="23"/>
  </w:num>
  <w:num w:numId="6">
    <w:abstractNumId w:val="13"/>
  </w:num>
  <w:num w:numId="7">
    <w:abstractNumId w:val="2"/>
  </w:num>
  <w:num w:numId="8">
    <w:abstractNumId w:val="5"/>
  </w:num>
  <w:num w:numId="9">
    <w:abstractNumId w:val="22"/>
  </w:num>
  <w:num w:numId="10">
    <w:abstractNumId w:val="12"/>
  </w:num>
  <w:num w:numId="11">
    <w:abstractNumId w:val="8"/>
  </w:num>
  <w:num w:numId="12">
    <w:abstractNumId w:val="4"/>
  </w:num>
  <w:num w:numId="13">
    <w:abstractNumId w:val="1"/>
  </w:num>
  <w:num w:numId="14">
    <w:abstractNumId w:val="16"/>
  </w:num>
  <w:num w:numId="15">
    <w:abstractNumId w:val="17"/>
  </w:num>
  <w:num w:numId="16">
    <w:abstractNumId w:val="20"/>
  </w:num>
  <w:num w:numId="17">
    <w:abstractNumId w:val="24"/>
  </w:num>
  <w:num w:numId="18">
    <w:abstractNumId w:val="11"/>
  </w:num>
  <w:num w:numId="19">
    <w:abstractNumId w:val="10"/>
  </w:num>
  <w:num w:numId="20">
    <w:abstractNumId w:val="0"/>
  </w:num>
  <w:num w:numId="21">
    <w:abstractNumId w:val="18"/>
  </w:num>
  <w:num w:numId="22">
    <w:abstractNumId w:val="3"/>
  </w:num>
  <w:num w:numId="23">
    <w:abstractNumId w:val="6"/>
  </w:num>
  <w:num w:numId="24">
    <w:abstractNumId w:val="14"/>
  </w:num>
  <w:num w:numId="25">
    <w:abstractNumId w:val="7"/>
  </w:num>
  <w:num w:numId="26">
    <w:abstractNumId w:val="25"/>
  </w:num>
  <w:num w:numId="27">
    <w:abstractNumId w:val="19"/>
  </w:num>
  <w:num w:numId="28">
    <w:abstractNumId w:val="7"/>
  </w:num>
  <w:num w:numId="29">
    <w:abstractNumId w:val="7"/>
  </w:num>
  <w:num w:numId="30">
    <w:abstractNumId w:val="7"/>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defaultTabStop w:val="34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7B2"/>
    <w:rsid w:val="00003FA8"/>
    <w:rsid w:val="00015600"/>
    <w:rsid w:val="0003427F"/>
    <w:rsid w:val="00044630"/>
    <w:rsid w:val="00060A13"/>
    <w:rsid w:val="00066946"/>
    <w:rsid w:val="00093D58"/>
    <w:rsid w:val="00097BBD"/>
    <w:rsid w:val="00097F51"/>
    <w:rsid w:val="000A6F61"/>
    <w:rsid w:val="000A7B1A"/>
    <w:rsid w:val="000D2B73"/>
    <w:rsid w:val="000E0B32"/>
    <w:rsid w:val="000F0F12"/>
    <w:rsid w:val="000F222D"/>
    <w:rsid w:val="000F542B"/>
    <w:rsid w:val="000F63F8"/>
    <w:rsid w:val="00123048"/>
    <w:rsid w:val="001273A6"/>
    <w:rsid w:val="001303CD"/>
    <w:rsid w:val="001329A3"/>
    <w:rsid w:val="00166EEC"/>
    <w:rsid w:val="0018059B"/>
    <w:rsid w:val="00181004"/>
    <w:rsid w:val="001861E3"/>
    <w:rsid w:val="00187B9B"/>
    <w:rsid w:val="001B0D48"/>
    <w:rsid w:val="001B5F74"/>
    <w:rsid w:val="001B6ABC"/>
    <w:rsid w:val="001C22DC"/>
    <w:rsid w:val="001C7212"/>
    <w:rsid w:val="001D0FEA"/>
    <w:rsid w:val="001D3AD7"/>
    <w:rsid w:val="001E2EA5"/>
    <w:rsid w:val="001E727A"/>
    <w:rsid w:val="001F034F"/>
    <w:rsid w:val="001F22CD"/>
    <w:rsid w:val="001F3CC7"/>
    <w:rsid w:val="002059FB"/>
    <w:rsid w:val="002123D5"/>
    <w:rsid w:val="002169F9"/>
    <w:rsid w:val="00217875"/>
    <w:rsid w:val="0022455D"/>
    <w:rsid w:val="002340A5"/>
    <w:rsid w:val="00237FC4"/>
    <w:rsid w:val="00245D6C"/>
    <w:rsid w:val="00245F6E"/>
    <w:rsid w:val="00252BB6"/>
    <w:rsid w:val="00253173"/>
    <w:rsid w:val="00257692"/>
    <w:rsid w:val="00267550"/>
    <w:rsid w:val="0026758B"/>
    <w:rsid w:val="00267820"/>
    <w:rsid w:val="002753E7"/>
    <w:rsid w:val="00277B19"/>
    <w:rsid w:val="002811AE"/>
    <w:rsid w:val="00284ABB"/>
    <w:rsid w:val="002A2745"/>
    <w:rsid w:val="002A6F1B"/>
    <w:rsid w:val="002B48AF"/>
    <w:rsid w:val="002C0463"/>
    <w:rsid w:val="002C2302"/>
    <w:rsid w:val="002D1797"/>
    <w:rsid w:val="002D7C89"/>
    <w:rsid w:val="002E092E"/>
    <w:rsid w:val="002E5E21"/>
    <w:rsid w:val="002F46A8"/>
    <w:rsid w:val="002F70C1"/>
    <w:rsid w:val="00341545"/>
    <w:rsid w:val="00365290"/>
    <w:rsid w:val="0037428E"/>
    <w:rsid w:val="00376357"/>
    <w:rsid w:val="003814BE"/>
    <w:rsid w:val="00394152"/>
    <w:rsid w:val="00396059"/>
    <w:rsid w:val="00396B95"/>
    <w:rsid w:val="003A0F38"/>
    <w:rsid w:val="003A40E1"/>
    <w:rsid w:val="003B0895"/>
    <w:rsid w:val="003B56BE"/>
    <w:rsid w:val="003C351A"/>
    <w:rsid w:val="003C4401"/>
    <w:rsid w:val="003C475C"/>
    <w:rsid w:val="003D1EB1"/>
    <w:rsid w:val="003D443B"/>
    <w:rsid w:val="003D5EAE"/>
    <w:rsid w:val="003F251A"/>
    <w:rsid w:val="00410C9D"/>
    <w:rsid w:val="0041461C"/>
    <w:rsid w:val="00415675"/>
    <w:rsid w:val="004418B5"/>
    <w:rsid w:val="0048207C"/>
    <w:rsid w:val="0048465C"/>
    <w:rsid w:val="004A557D"/>
    <w:rsid w:val="004B283B"/>
    <w:rsid w:val="004C0405"/>
    <w:rsid w:val="004C1648"/>
    <w:rsid w:val="004E2CFF"/>
    <w:rsid w:val="004E7EE2"/>
    <w:rsid w:val="004F6C83"/>
    <w:rsid w:val="00521EFD"/>
    <w:rsid w:val="005241A2"/>
    <w:rsid w:val="00525135"/>
    <w:rsid w:val="00527915"/>
    <w:rsid w:val="00530E74"/>
    <w:rsid w:val="00530F09"/>
    <w:rsid w:val="00535B2C"/>
    <w:rsid w:val="005517BD"/>
    <w:rsid w:val="0057565F"/>
    <w:rsid w:val="00575F33"/>
    <w:rsid w:val="00581595"/>
    <w:rsid w:val="005870E7"/>
    <w:rsid w:val="005A1D17"/>
    <w:rsid w:val="005B138C"/>
    <w:rsid w:val="005B54BA"/>
    <w:rsid w:val="005C3B02"/>
    <w:rsid w:val="005D0900"/>
    <w:rsid w:val="005D2735"/>
    <w:rsid w:val="005F3C71"/>
    <w:rsid w:val="00601509"/>
    <w:rsid w:val="00610E9B"/>
    <w:rsid w:val="00612AF8"/>
    <w:rsid w:val="00613656"/>
    <w:rsid w:val="006479E8"/>
    <w:rsid w:val="00647F4E"/>
    <w:rsid w:val="006556A3"/>
    <w:rsid w:val="006564B2"/>
    <w:rsid w:val="006615BA"/>
    <w:rsid w:val="00661DED"/>
    <w:rsid w:val="006638F6"/>
    <w:rsid w:val="00667DD2"/>
    <w:rsid w:val="00670AC9"/>
    <w:rsid w:val="00677515"/>
    <w:rsid w:val="00684E49"/>
    <w:rsid w:val="00685A1E"/>
    <w:rsid w:val="006A0625"/>
    <w:rsid w:val="006A207F"/>
    <w:rsid w:val="006E08EC"/>
    <w:rsid w:val="006E5283"/>
    <w:rsid w:val="006E77C9"/>
    <w:rsid w:val="006F2FC4"/>
    <w:rsid w:val="006F3A63"/>
    <w:rsid w:val="006F763E"/>
    <w:rsid w:val="00701CD8"/>
    <w:rsid w:val="0071525A"/>
    <w:rsid w:val="00732C28"/>
    <w:rsid w:val="007471F2"/>
    <w:rsid w:val="007762DD"/>
    <w:rsid w:val="0079785A"/>
    <w:rsid w:val="007A199C"/>
    <w:rsid w:val="007A2F5B"/>
    <w:rsid w:val="007B0958"/>
    <w:rsid w:val="007B1F82"/>
    <w:rsid w:val="007C1BC8"/>
    <w:rsid w:val="007C275F"/>
    <w:rsid w:val="007C283D"/>
    <w:rsid w:val="007C2BA7"/>
    <w:rsid w:val="007C5197"/>
    <w:rsid w:val="007C6936"/>
    <w:rsid w:val="007D5763"/>
    <w:rsid w:val="0080589C"/>
    <w:rsid w:val="0083119B"/>
    <w:rsid w:val="00832B0F"/>
    <w:rsid w:val="00836DEC"/>
    <w:rsid w:val="0083736D"/>
    <w:rsid w:val="00840B4A"/>
    <w:rsid w:val="00841B8C"/>
    <w:rsid w:val="0085179B"/>
    <w:rsid w:val="00857819"/>
    <w:rsid w:val="00862F9A"/>
    <w:rsid w:val="00876502"/>
    <w:rsid w:val="00893BEF"/>
    <w:rsid w:val="00896BD7"/>
    <w:rsid w:val="008A3D9E"/>
    <w:rsid w:val="008A5951"/>
    <w:rsid w:val="008B311F"/>
    <w:rsid w:val="008C055F"/>
    <w:rsid w:val="008C62CB"/>
    <w:rsid w:val="008D53A8"/>
    <w:rsid w:val="008F2555"/>
    <w:rsid w:val="00904F1E"/>
    <w:rsid w:val="009065CF"/>
    <w:rsid w:val="009117C4"/>
    <w:rsid w:val="009119E3"/>
    <w:rsid w:val="00912507"/>
    <w:rsid w:val="00922906"/>
    <w:rsid w:val="00923703"/>
    <w:rsid w:val="00927664"/>
    <w:rsid w:val="00940E93"/>
    <w:rsid w:val="00944CE0"/>
    <w:rsid w:val="00970291"/>
    <w:rsid w:val="009730ED"/>
    <w:rsid w:val="00975DCD"/>
    <w:rsid w:val="00981A9D"/>
    <w:rsid w:val="009871EC"/>
    <w:rsid w:val="009A28F8"/>
    <w:rsid w:val="009B2D53"/>
    <w:rsid w:val="009C1ECE"/>
    <w:rsid w:val="009C33AD"/>
    <w:rsid w:val="009D1953"/>
    <w:rsid w:val="009D55E0"/>
    <w:rsid w:val="009E49F9"/>
    <w:rsid w:val="009F430E"/>
    <w:rsid w:val="00A01E6E"/>
    <w:rsid w:val="00A1402E"/>
    <w:rsid w:val="00A144D3"/>
    <w:rsid w:val="00A15A22"/>
    <w:rsid w:val="00A35406"/>
    <w:rsid w:val="00A35E9D"/>
    <w:rsid w:val="00A64ADB"/>
    <w:rsid w:val="00A70C14"/>
    <w:rsid w:val="00AA2688"/>
    <w:rsid w:val="00AA3B99"/>
    <w:rsid w:val="00AB7243"/>
    <w:rsid w:val="00AD42D2"/>
    <w:rsid w:val="00AD440B"/>
    <w:rsid w:val="00AD4AE4"/>
    <w:rsid w:val="00AD51D2"/>
    <w:rsid w:val="00AD5CA5"/>
    <w:rsid w:val="00AE5E5F"/>
    <w:rsid w:val="00AF5A2A"/>
    <w:rsid w:val="00AF62B8"/>
    <w:rsid w:val="00B047BB"/>
    <w:rsid w:val="00B22F2D"/>
    <w:rsid w:val="00B3523A"/>
    <w:rsid w:val="00B3572B"/>
    <w:rsid w:val="00B440FF"/>
    <w:rsid w:val="00B449AB"/>
    <w:rsid w:val="00B54274"/>
    <w:rsid w:val="00B7145D"/>
    <w:rsid w:val="00B812D2"/>
    <w:rsid w:val="00B841E2"/>
    <w:rsid w:val="00B86F4D"/>
    <w:rsid w:val="00B912EC"/>
    <w:rsid w:val="00BA17EF"/>
    <w:rsid w:val="00BB42B2"/>
    <w:rsid w:val="00BD1C12"/>
    <w:rsid w:val="00BD558F"/>
    <w:rsid w:val="00C12699"/>
    <w:rsid w:val="00C20D73"/>
    <w:rsid w:val="00C239FA"/>
    <w:rsid w:val="00C3527E"/>
    <w:rsid w:val="00C42867"/>
    <w:rsid w:val="00C47228"/>
    <w:rsid w:val="00C624E2"/>
    <w:rsid w:val="00C648D0"/>
    <w:rsid w:val="00C64DA7"/>
    <w:rsid w:val="00C66DF4"/>
    <w:rsid w:val="00C66E25"/>
    <w:rsid w:val="00C70425"/>
    <w:rsid w:val="00C72E3D"/>
    <w:rsid w:val="00C73420"/>
    <w:rsid w:val="00C7381D"/>
    <w:rsid w:val="00C91D2C"/>
    <w:rsid w:val="00C93D57"/>
    <w:rsid w:val="00C943C6"/>
    <w:rsid w:val="00CB6737"/>
    <w:rsid w:val="00CE5CF6"/>
    <w:rsid w:val="00CE7440"/>
    <w:rsid w:val="00CF2D1B"/>
    <w:rsid w:val="00CF4C2A"/>
    <w:rsid w:val="00D038D6"/>
    <w:rsid w:val="00D0633A"/>
    <w:rsid w:val="00D06F0D"/>
    <w:rsid w:val="00D06F63"/>
    <w:rsid w:val="00D104C8"/>
    <w:rsid w:val="00D17E58"/>
    <w:rsid w:val="00D27714"/>
    <w:rsid w:val="00D366D6"/>
    <w:rsid w:val="00D36F0B"/>
    <w:rsid w:val="00D45930"/>
    <w:rsid w:val="00D47279"/>
    <w:rsid w:val="00D50DC4"/>
    <w:rsid w:val="00D54ECE"/>
    <w:rsid w:val="00D61B0E"/>
    <w:rsid w:val="00D636FA"/>
    <w:rsid w:val="00D6671B"/>
    <w:rsid w:val="00D66B43"/>
    <w:rsid w:val="00D70D67"/>
    <w:rsid w:val="00D71120"/>
    <w:rsid w:val="00DA0398"/>
    <w:rsid w:val="00DB29F6"/>
    <w:rsid w:val="00DD6B7F"/>
    <w:rsid w:val="00DE2484"/>
    <w:rsid w:val="00E119E9"/>
    <w:rsid w:val="00E12409"/>
    <w:rsid w:val="00E127B2"/>
    <w:rsid w:val="00E24CE3"/>
    <w:rsid w:val="00E42356"/>
    <w:rsid w:val="00E4741D"/>
    <w:rsid w:val="00E50D0C"/>
    <w:rsid w:val="00E5580F"/>
    <w:rsid w:val="00E56E78"/>
    <w:rsid w:val="00E57FFD"/>
    <w:rsid w:val="00E77111"/>
    <w:rsid w:val="00E86570"/>
    <w:rsid w:val="00E94D50"/>
    <w:rsid w:val="00EA307A"/>
    <w:rsid w:val="00EB6254"/>
    <w:rsid w:val="00ED0A58"/>
    <w:rsid w:val="00ED369B"/>
    <w:rsid w:val="00F00B08"/>
    <w:rsid w:val="00F101FB"/>
    <w:rsid w:val="00F10B24"/>
    <w:rsid w:val="00F64BF3"/>
    <w:rsid w:val="00F8243C"/>
    <w:rsid w:val="00FA13D1"/>
    <w:rsid w:val="00FC04CD"/>
    <w:rsid w:val="00FC052B"/>
    <w:rsid w:val="00FE5481"/>
    <w:rsid w:val="00FF1815"/>
    <w:rsid w:val="00FF2E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E97D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text"/>
    <w:qFormat/>
    <w:rsid w:val="004418B5"/>
    <w:pPr>
      <w:spacing w:before="120" w:line="276" w:lineRule="auto"/>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DCD"/>
    <w:pPr>
      <w:tabs>
        <w:tab w:val="center" w:pos="4320"/>
        <w:tab w:val="right" w:pos="8640"/>
      </w:tabs>
    </w:pPr>
  </w:style>
  <w:style w:type="character" w:customStyle="1" w:styleId="HeaderChar">
    <w:name w:val="Header Char"/>
    <w:basedOn w:val="DefaultParagraphFont"/>
    <w:link w:val="Header"/>
    <w:uiPriority w:val="99"/>
    <w:rsid w:val="00975DCD"/>
  </w:style>
  <w:style w:type="paragraph" w:styleId="Footer">
    <w:name w:val="footer"/>
    <w:basedOn w:val="Normal"/>
    <w:link w:val="FooterChar"/>
    <w:uiPriority w:val="99"/>
    <w:unhideWhenUsed/>
    <w:rsid w:val="00975DCD"/>
    <w:pPr>
      <w:tabs>
        <w:tab w:val="center" w:pos="4320"/>
        <w:tab w:val="right" w:pos="8640"/>
      </w:tabs>
    </w:pPr>
  </w:style>
  <w:style w:type="character" w:customStyle="1" w:styleId="FooterChar">
    <w:name w:val="Footer Char"/>
    <w:basedOn w:val="DefaultParagraphFont"/>
    <w:link w:val="Footer"/>
    <w:uiPriority w:val="99"/>
    <w:rsid w:val="00975DCD"/>
  </w:style>
  <w:style w:type="paragraph" w:styleId="Quote">
    <w:name w:val="Quote"/>
    <w:basedOn w:val="Normal"/>
    <w:next w:val="Normal"/>
    <w:link w:val="QuoteChar"/>
    <w:uiPriority w:val="29"/>
    <w:rsid w:val="00C72E3D"/>
    <w:rPr>
      <w:i/>
      <w:iCs/>
      <w:color w:val="642140" w:themeColor="text1"/>
    </w:rPr>
  </w:style>
  <w:style w:type="character" w:customStyle="1" w:styleId="QuoteChar">
    <w:name w:val="Quote Char"/>
    <w:basedOn w:val="DefaultParagraphFont"/>
    <w:link w:val="Quote"/>
    <w:uiPriority w:val="29"/>
    <w:rsid w:val="00C72E3D"/>
    <w:rPr>
      <w:i/>
      <w:iCs/>
      <w:color w:val="642140" w:themeColor="text1"/>
    </w:rPr>
  </w:style>
  <w:style w:type="paragraph" w:styleId="BalloonText">
    <w:name w:val="Balloon Text"/>
    <w:basedOn w:val="Normal"/>
    <w:link w:val="BalloonTextChar"/>
    <w:uiPriority w:val="99"/>
    <w:semiHidden/>
    <w:unhideWhenUsed/>
    <w:rsid w:val="001B6A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6ABC"/>
    <w:rPr>
      <w:rFonts w:ascii="Lucida Grande" w:hAnsi="Lucida Grande" w:cs="Lucida Grande"/>
      <w:sz w:val="18"/>
      <w:szCs w:val="18"/>
    </w:rPr>
  </w:style>
  <w:style w:type="table" w:styleId="TableGrid">
    <w:name w:val="Table Grid"/>
    <w:basedOn w:val="TableNormal"/>
    <w:uiPriority w:val="59"/>
    <w:rsid w:val="000F0F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4">
    <w:name w:val="List Table 3 Accent 4"/>
    <w:basedOn w:val="TableNormal"/>
    <w:uiPriority w:val="48"/>
    <w:rsid w:val="000F0F12"/>
    <w:tblPr>
      <w:tblStyleRowBandSize w:val="1"/>
      <w:tblStyleColBandSize w:val="1"/>
      <w:tblBorders>
        <w:top w:val="single" w:sz="4" w:space="0" w:color="209A8C" w:themeColor="accent4"/>
        <w:left w:val="single" w:sz="4" w:space="0" w:color="209A8C" w:themeColor="accent4"/>
        <w:bottom w:val="single" w:sz="4" w:space="0" w:color="209A8C" w:themeColor="accent4"/>
        <w:right w:val="single" w:sz="4" w:space="0" w:color="209A8C" w:themeColor="accent4"/>
      </w:tblBorders>
    </w:tblPr>
    <w:tblStylePr w:type="firstRow">
      <w:rPr>
        <w:b/>
        <w:bCs/>
        <w:color w:val="FFFFFF" w:themeColor="background1"/>
      </w:rPr>
      <w:tblPr/>
      <w:tcPr>
        <w:shd w:val="clear" w:color="auto" w:fill="209A8C" w:themeFill="accent4"/>
      </w:tcPr>
    </w:tblStylePr>
    <w:tblStylePr w:type="lastRow">
      <w:rPr>
        <w:b/>
        <w:bCs/>
      </w:rPr>
      <w:tblPr/>
      <w:tcPr>
        <w:tcBorders>
          <w:top w:val="double" w:sz="4" w:space="0" w:color="209A8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9A8C" w:themeColor="accent4"/>
          <w:right w:val="single" w:sz="4" w:space="0" w:color="209A8C" w:themeColor="accent4"/>
        </w:tcBorders>
      </w:tcPr>
    </w:tblStylePr>
    <w:tblStylePr w:type="band1Horz">
      <w:tblPr/>
      <w:tcPr>
        <w:tcBorders>
          <w:top w:val="single" w:sz="4" w:space="0" w:color="209A8C" w:themeColor="accent4"/>
          <w:bottom w:val="single" w:sz="4" w:space="0" w:color="209A8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9A8C" w:themeColor="accent4"/>
          <w:left w:val="nil"/>
        </w:tcBorders>
      </w:tcPr>
    </w:tblStylePr>
    <w:tblStylePr w:type="swCell">
      <w:tblPr/>
      <w:tcPr>
        <w:tcBorders>
          <w:top w:val="double" w:sz="4" w:space="0" w:color="209A8C" w:themeColor="accent4"/>
          <w:right w:val="nil"/>
        </w:tcBorders>
      </w:tcPr>
    </w:tblStylePr>
  </w:style>
  <w:style w:type="table" w:customStyle="1" w:styleId="ListTable3Accent1">
    <w:name w:val="List Table 3 Accent 1"/>
    <w:basedOn w:val="TableNormal"/>
    <w:uiPriority w:val="48"/>
    <w:rsid w:val="000F0F12"/>
    <w:tblPr>
      <w:tblStyleRowBandSize w:val="1"/>
      <w:tblStyleColBandSize w:val="1"/>
      <w:tblBorders>
        <w:top w:val="single" w:sz="4" w:space="0" w:color="B03865" w:themeColor="accent1"/>
        <w:left w:val="single" w:sz="4" w:space="0" w:color="B03865" w:themeColor="accent1"/>
        <w:bottom w:val="single" w:sz="4" w:space="0" w:color="B03865" w:themeColor="accent1"/>
        <w:right w:val="single" w:sz="4" w:space="0" w:color="B03865" w:themeColor="accent1"/>
      </w:tblBorders>
    </w:tblPr>
    <w:tblStylePr w:type="firstRow">
      <w:rPr>
        <w:b/>
        <w:bCs/>
        <w:color w:val="FFFFFF" w:themeColor="background1"/>
      </w:rPr>
      <w:tblPr/>
      <w:tcPr>
        <w:shd w:val="clear" w:color="auto" w:fill="B03865" w:themeFill="accent1"/>
      </w:tcPr>
    </w:tblStylePr>
    <w:tblStylePr w:type="lastRow">
      <w:rPr>
        <w:b/>
        <w:bCs/>
      </w:rPr>
      <w:tblPr/>
      <w:tcPr>
        <w:tcBorders>
          <w:top w:val="double" w:sz="4" w:space="0" w:color="B0386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03865" w:themeColor="accent1"/>
          <w:right w:val="single" w:sz="4" w:space="0" w:color="B03865" w:themeColor="accent1"/>
        </w:tcBorders>
      </w:tcPr>
    </w:tblStylePr>
    <w:tblStylePr w:type="band1Horz">
      <w:tblPr/>
      <w:tcPr>
        <w:tcBorders>
          <w:top w:val="single" w:sz="4" w:space="0" w:color="B03865" w:themeColor="accent1"/>
          <w:bottom w:val="single" w:sz="4" w:space="0" w:color="B0386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03865" w:themeColor="accent1"/>
          <w:left w:val="nil"/>
        </w:tcBorders>
      </w:tcPr>
    </w:tblStylePr>
    <w:tblStylePr w:type="swCell">
      <w:tblPr/>
      <w:tcPr>
        <w:tcBorders>
          <w:top w:val="double" w:sz="4" w:space="0" w:color="B03865" w:themeColor="accent1"/>
          <w:right w:val="nil"/>
        </w:tcBorders>
      </w:tcPr>
    </w:tblStylePr>
  </w:style>
  <w:style w:type="table" w:customStyle="1" w:styleId="ListTable3Accent5">
    <w:name w:val="List Table 3 Accent 5"/>
    <w:basedOn w:val="TableNormal"/>
    <w:uiPriority w:val="48"/>
    <w:rsid w:val="000F0F12"/>
    <w:tblPr>
      <w:tblStyleRowBandSize w:val="1"/>
      <w:tblStyleColBandSize w:val="1"/>
      <w:tblBorders>
        <w:top w:val="single" w:sz="4" w:space="0" w:color="66C8C7" w:themeColor="accent5"/>
        <w:left w:val="single" w:sz="4" w:space="0" w:color="66C8C7" w:themeColor="accent5"/>
        <w:bottom w:val="single" w:sz="4" w:space="0" w:color="66C8C7" w:themeColor="accent5"/>
        <w:right w:val="single" w:sz="4" w:space="0" w:color="66C8C7" w:themeColor="accent5"/>
      </w:tblBorders>
    </w:tblPr>
    <w:tblStylePr w:type="firstRow">
      <w:rPr>
        <w:b/>
        <w:bCs/>
        <w:color w:val="FFFFFF" w:themeColor="background1"/>
      </w:rPr>
      <w:tblPr/>
      <w:tcPr>
        <w:shd w:val="clear" w:color="auto" w:fill="66C8C7" w:themeFill="accent5"/>
      </w:tcPr>
    </w:tblStylePr>
    <w:tblStylePr w:type="lastRow">
      <w:rPr>
        <w:b/>
        <w:bCs/>
      </w:rPr>
      <w:tblPr/>
      <w:tcPr>
        <w:tcBorders>
          <w:top w:val="double" w:sz="4" w:space="0" w:color="66C8C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C8C7" w:themeColor="accent5"/>
          <w:right w:val="single" w:sz="4" w:space="0" w:color="66C8C7" w:themeColor="accent5"/>
        </w:tcBorders>
      </w:tcPr>
    </w:tblStylePr>
    <w:tblStylePr w:type="band1Horz">
      <w:tblPr/>
      <w:tcPr>
        <w:tcBorders>
          <w:top w:val="single" w:sz="4" w:space="0" w:color="66C8C7" w:themeColor="accent5"/>
          <w:bottom w:val="single" w:sz="4" w:space="0" w:color="66C8C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C8C7" w:themeColor="accent5"/>
          <w:left w:val="nil"/>
        </w:tcBorders>
      </w:tcPr>
    </w:tblStylePr>
    <w:tblStylePr w:type="swCell">
      <w:tblPr/>
      <w:tcPr>
        <w:tcBorders>
          <w:top w:val="double" w:sz="4" w:space="0" w:color="66C8C7" w:themeColor="accent5"/>
          <w:right w:val="nil"/>
        </w:tcBorders>
      </w:tcPr>
    </w:tblStylePr>
  </w:style>
  <w:style w:type="paragraph" w:styleId="ListParagraph">
    <w:name w:val="List Paragraph"/>
    <w:basedOn w:val="Normal"/>
    <w:uiPriority w:val="34"/>
    <w:rsid w:val="000F0F12"/>
    <w:pPr>
      <w:ind w:left="720"/>
      <w:contextualSpacing/>
    </w:pPr>
  </w:style>
  <w:style w:type="character" w:styleId="CommentReference">
    <w:name w:val="annotation reference"/>
    <w:basedOn w:val="DefaultParagraphFont"/>
    <w:uiPriority w:val="99"/>
    <w:semiHidden/>
    <w:unhideWhenUsed/>
    <w:rsid w:val="00A1402E"/>
    <w:rPr>
      <w:sz w:val="16"/>
      <w:szCs w:val="16"/>
    </w:rPr>
  </w:style>
  <w:style w:type="paragraph" w:styleId="CommentText">
    <w:name w:val="annotation text"/>
    <w:basedOn w:val="Normal"/>
    <w:link w:val="CommentTextChar"/>
    <w:uiPriority w:val="99"/>
    <w:semiHidden/>
    <w:unhideWhenUsed/>
    <w:rsid w:val="00A1402E"/>
    <w:pPr>
      <w:spacing w:line="240" w:lineRule="auto"/>
    </w:pPr>
    <w:rPr>
      <w:sz w:val="20"/>
      <w:szCs w:val="20"/>
    </w:rPr>
  </w:style>
  <w:style w:type="character" w:customStyle="1" w:styleId="CommentTextChar">
    <w:name w:val="Comment Text Char"/>
    <w:basedOn w:val="DefaultParagraphFont"/>
    <w:link w:val="CommentText"/>
    <w:uiPriority w:val="99"/>
    <w:semiHidden/>
    <w:rsid w:val="00A1402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1402E"/>
    <w:rPr>
      <w:b/>
      <w:bCs/>
    </w:rPr>
  </w:style>
  <w:style w:type="character" w:customStyle="1" w:styleId="CommentSubjectChar">
    <w:name w:val="Comment Subject Char"/>
    <w:basedOn w:val="CommentTextChar"/>
    <w:link w:val="CommentSubject"/>
    <w:uiPriority w:val="99"/>
    <w:semiHidden/>
    <w:rsid w:val="00A1402E"/>
    <w:rPr>
      <w:rFonts w:ascii="Arial" w:hAnsi="Arial"/>
      <w:b/>
      <w:bCs/>
      <w:sz w:val="20"/>
      <w:szCs w:val="20"/>
    </w:rPr>
  </w:style>
  <w:style w:type="paragraph" w:customStyle="1" w:styleId="Bullet1">
    <w:name w:val="Bullet 1"/>
    <w:basedOn w:val="ListParagraph"/>
    <w:qFormat/>
    <w:rsid w:val="00BD558F"/>
    <w:pPr>
      <w:numPr>
        <w:numId w:val="2"/>
      </w:numPr>
      <w:spacing w:before="0"/>
    </w:pPr>
    <w:rPr>
      <w:lang w:val="en-AU"/>
    </w:rPr>
  </w:style>
  <w:style w:type="paragraph" w:customStyle="1" w:styleId="Bullet2">
    <w:name w:val="Bullet 2"/>
    <w:basedOn w:val="ListParagraph"/>
    <w:qFormat/>
    <w:rsid w:val="00BD558F"/>
    <w:pPr>
      <w:numPr>
        <w:ilvl w:val="1"/>
        <w:numId w:val="2"/>
      </w:numPr>
      <w:spacing w:before="0"/>
    </w:pPr>
    <w:rPr>
      <w:lang w:val="en-AU"/>
    </w:rPr>
  </w:style>
  <w:style w:type="character" w:styleId="Hyperlink">
    <w:name w:val="Hyperlink"/>
    <w:basedOn w:val="DefaultParagraphFont"/>
    <w:uiPriority w:val="99"/>
    <w:unhideWhenUsed/>
    <w:rsid w:val="00AD51D2"/>
    <w:rPr>
      <w:color w:val="0000FF" w:themeColor="hyperlink"/>
      <w:u w:val="single"/>
    </w:rPr>
  </w:style>
  <w:style w:type="character" w:customStyle="1" w:styleId="UnresolvedMention">
    <w:name w:val="Unresolved Mention"/>
    <w:basedOn w:val="DefaultParagraphFont"/>
    <w:uiPriority w:val="99"/>
    <w:semiHidden/>
    <w:unhideWhenUsed/>
    <w:rsid w:val="00AD51D2"/>
    <w:rPr>
      <w:color w:val="808080"/>
      <w:shd w:val="clear" w:color="auto" w:fill="E6E6E6"/>
    </w:rPr>
  </w:style>
  <w:style w:type="paragraph" w:styleId="Revision">
    <w:name w:val="Revision"/>
    <w:hidden/>
    <w:uiPriority w:val="99"/>
    <w:semiHidden/>
    <w:rsid w:val="00AF5A2A"/>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text"/>
    <w:qFormat/>
    <w:rsid w:val="004418B5"/>
    <w:pPr>
      <w:spacing w:before="120" w:line="276" w:lineRule="auto"/>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DCD"/>
    <w:pPr>
      <w:tabs>
        <w:tab w:val="center" w:pos="4320"/>
        <w:tab w:val="right" w:pos="8640"/>
      </w:tabs>
    </w:pPr>
  </w:style>
  <w:style w:type="character" w:customStyle="1" w:styleId="HeaderChar">
    <w:name w:val="Header Char"/>
    <w:basedOn w:val="DefaultParagraphFont"/>
    <w:link w:val="Header"/>
    <w:uiPriority w:val="99"/>
    <w:rsid w:val="00975DCD"/>
  </w:style>
  <w:style w:type="paragraph" w:styleId="Footer">
    <w:name w:val="footer"/>
    <w:basedOn w:val="Normal"/>
    <w:link w:val="FooterChar"/>
    <w:uiPriority w:val="99"/>
    <w:unhideWhenUsed/>
    <w:rsid w:val="00975DCD"/>
    <w:pPr>
      <w:tabs>
        <w:tab w:val="center" w:pos="4320"/>
        <w:tab w:val="right" w:pos="8640"/>
      </w:tabs>
    </w:pPr>
  </w:style>
  <w:style w:type="character" w:customStyle="1" w:styleId="FooterChar">
    <w:name w:val="Footer Char"/>
    <w:basedOn w:val="DefaultParagraphFont"/>
    <w:link w:val="Footer"/>
    <w:uiPriority w:val="99"/>
    <w:rsid w:val="00975DCD"/>
  </w:style>
  <w:style w:type="paragraph" w:styleId="Quote">
    <w:name w:val="Quote"/>
    <w:basedOn w:val="Normal"/>
    <w:next w:val="Normal"/>
    <w:link w:val="QuoteChar"/>
    <w:uiPriority w:val="29"/>
    <w:rsid w:val="00C72E3D"/>
    <w:rPr>
      <w:i/>
      <w:iCs/>
      <w:color w:val="642140" w:themeColor="text1"/>
    </w:rPr>
  </w:style>
  <w:style w:type="character" w:customStyle="1" w:styleId="QuoteChar">
    <w:name w:val="Quote Char"/>
    <w:basedOn w:val="DefaultParagraphFont"/>
    <w:link w:val="Quote"/>
    <w:uiPriority w:val="29"/>
    <w:rsid w:val="00C72E3D"/>
    <w:rPr>
      <w:i/>
      <w:iCs/>
      <w:color w:val="642140" w:themeColor="text1"/>
    </w:rPr>
  </w:style>
  <w:style w:type="paragraph" w:styleId="BalloonText">
    <w:name w:val="Balloon Text"/>
    <w:basedOn w:val="Normal"/>
    <w:link w:val="BalloonTextChar"/>
    <w:uiPriority w:val="99"/>
    <w:semiHidden/>
    <w:unhideWhenUsed/>
    <w:rsid w:val="001B6A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6ABC"/>
    <w:rPr>
      <w:rFonts w:ascii="Lucida Grande" w:hAnsi="Lucida Grande" w:cs="Lucida Grande"/>
      <w:sz w:val="18"/>
      <w:szCs w:val="18"/>
    </w:rPr>
  </w:style>
  <w:style w:type="table" w:styleId="TableGrid">
    <w:name w:val="Table Grid"/>
    <w:basedOn w:val="TableNormal"/>
    <w:uiPriority w:val="59"/>
    <w:rsid w:val="000F0F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4">
    <w:name w:val="List Table 3 Accent 4"/>
    <w:basedOn w:val="TableNormal"/>
    <w:uiPriority w:val="48"/>
    <w:rsid w:val="000F0F12"/>
    <w:tblPr>
      <w:tblStyleRowBandSize w:val="1"/>
      <w:tblStyleColBandSize w:val="1"/>
      <w:tblBorders>
        <w:top w:val="single" w:sz="4" w:space="0" w:color="209A8C" w:themeColor="accent4"/>
        <w:left w:val="single" w:sz="4" w:space="0" w:color="209A8C" w:themeColor="accent4"/>
        <w:bottom w:val="single" w:sz="4" w:space="0" w:color="209A8C" w:themeColor="accent4"/>
        <w:right w:val="single" w:sz="4" w:space="0" w:color="209A8C" w:themeColor="accent4"/>
      </w:tblBorders>
    </w:tblPr>
    <w:tblStylePr w:type="firstRow">
      <w:rPr>
        <w:b/>
        <w:bCs/>
        <w:color w:val="FFFFFF" w:themeColor="background1"/>
      </w:rPr>
      <w:tblPr/>
      <w:tcPr>
        <w:shd w:val="clear" w:color="auto" w:fill="209A8C" w:themeFill="accent4"/>
      </w:tcPr>
    </w:tblStylePr>
    <w:tblStylePr w:type="lastRow">
      <w:rPr>
        <w:b/>
        <w:bCs/>
      </w:rPr>
      <w:tblPr/>
      <w:tcPr>
        <w:tcBorders>
          <w:top w:val="double" w:sz="4" w:space="0" w:color="209A8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9A8C" w:themeColor="accent4"/>
          <w:right w:val="single" w:sz="4" w:space="0" w:color="209A8C" w:themeColor="accent4"/>
        </w:tcBorders>
      </w:tcPr>
    </w:tblStylePr>
    <w:tblStylePr w:type="band1Horz">
      <w:tblPr/>
      <w:tcPr>
        <w:tcBorders>
          <w:top w:val="single" w:sz="4" w:space="0" w:color="209A8C" w:themeColor="accent4"/>
          <w:bottom w:val="single" w:sz="4" w:space="0" w:color="209A8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9A8C" w:themeColor="accent4"/>
          <w:left w:val="nil"/>
        </w:tcBorders>
      </w:tcPr>
    </w:tblStylePr>
    <w:tblStylePr w:type="swCell">
      <w:tblPr/>
      <w:tcPr>
        <w:tcBorders>
          <w:top w:val="double" w:sz="4" w:space="0" w:color="209A8C" w:themeColor="accent4"/>
          <w:right w:val="nil"/>
        </w:tcBorders>
      </w:tcPr>
    </w:tblStylePr>
  </w:style>
  <w:style w:type="table" w:customStyle="1" w:styleId="ListTable3Accent1">
    <w:name w:val="List Table 3 Accent 1"/>
    <w:basedOn w:val="TableNormal"/>
    <w:uiPriority w:val="48"/>
    <w:rsid w:val="000F0F12"/>
    <w:tblPr>
      <w:tblStyleRowBandSize w:val="1"/>
      <w:tblStyleColBandSize w:val="1"/>
      <w:tblBorders>
        <w:top w:val="single" w:sz="4" w:space="0" w:color="B03865" w:themeColor="accent1"/>
        <w:left w:val="single" w:sz="4" w:space="0" w:color="B03865" w:themeColor="accent1"/>
        <w:bottom w:val="single" w:sz="4" w:space="0" w:color="B03865" w:themeColor="accent1"/>
        <w:right w:val="single" w:sz="4" w:space="0" w:color="B03865" w:themeColor="accent1"/>
      </w:tblBorders>
    </w:tblPr>
    <w:tblStylePr w:type="firstRow">
      <w:rPr>
        <w:b/>
        <w:bCs/>
        <w:color w:val="FFFFFF" w:themeColor="background1"/>
      </w:rPr>
      <w:tblPr/>
      <w:tcPr>
        <w:shd w:val="clear" w:color="auto" w:fill="B03865" w:themeFill="accent1"/>
      </w:tcPr>
    </w:tblStylePr>
    <w:tblStylePr w:type="lastRow">
      <w:rPr>
        <w:b/>
        <w:bCs/>
      </w:rPr>
      <w:tblPr/>
      <w:tcPr>
        <w:tcBorders>
          <w:top w:val="double" w:sz="4" w:space="0" w:color="B0386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03865" w:themeColor="accent1"/>
          <w:right w:val="single" w:sz="4" w:space="0" w:color="B03865" w:themeColor="accent1"/>
        </w:tcBorders>
      </w:tcPr>
    </w:tblStylePr>
    <w:tblStylePr w:type="band1Horz">
      <w:tblPr/>
      <w:tcPr>
        <w:tcBorders>
          <w:top w:val="single" w:sz="4" w:space="0" w:color="B03865" w:themeColor="accent1"/>
          <w:bottom w:val="single" w:sz="4" w:space="0" w:color="B0386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03865" w:themeColor="accent1"/>
          <w:left w:val="nil"/>
        </w:tcBorders>
      </w:tcPr>
    </w:tblStylePr>
    <w:tblStylePr w:type="swCell">
      <w:tblPr/>
      <w:tcPr>
        <w:tcBorders>
          <w:top w:val="double" w:sz="4" w:space="0" w:color="B03865" w:themeColor="accent1"/>
          <w:right w:val="nil"/>
        </w:tcBorders>
      </w:tcPr>
    </w:tblStylePr>
  </w:style>
  <w:style w:type="table" w:customStyle="1" w:styleId="ListTable3Accent5">
    <w:name w:val="List Table 3 Accent 5"/>
    <w:basedOn w:val="TableNormal"/>
    <w:uiPriority w:val="48"/>
    <w:rsid w:val="000F0F12"/>
    <w:tblPr>
      <w:tblStyleRowBandSize w:val="1"/>
      <w:tblStyleColBandSize w:val="1"/>
      <w:tblBorders>
        <w:top w:val="single" w:sz="4" w:space="0" w:color="66C8C7" w:themeColor="accent5"/>
        <w:left w:val="single" w:sz="4" w:space="0" w:color="66C8C7" w:themeColor="accent5"/>
        <w:bottom w:val="single" w:sz="4" w:space="0" w:color="66C8C7" w:themeColor="accent5"/>
        <w:right w:val="single" w:sz="4" w:space="0" w:color="66C8C7" w:themeColor="accent5"/>
      </w:tblBorders>
    </w:tblPr>
    <w:tblStylePr w:type="firstRow">
      <w:rPr>
        <w:b/>
        <w:bCs/>
        <w:color w:val="FFFFFF" w:themeColor="background1"/>
      </w:rPr>
      <w:tblPr/>
      <w:tcPr>
        <w:shd w:val="clear" w:color="auto" w:fill="66C8C7" w:themeFill="accent5"/>
      </w:tcPr>
    </w:tblStylePr>
    <w:tblStylePr w:type="lastRow">
      <w:rPr>
        <w:b/>
        <w:bCs/>
      </w:rPr>
      <w:tblPr/>
      <w:tcPr>
        <w:tcBorders>
          <w:top w:val="double" w:sz="4" w:space="0" w:color="66C8C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C8C7" w:themeColor="accent5"/>
          <w:right w:val="single" w:sz="4" w:space="0" w:color="66C8C7" w:themeColor="accent5"/>
        </w:tcBorders>
      </w:tcPr>
    </w:tblStylePr>
    <w:tblStylePr w:type="band1Horz">
      <w:tblPr/>
      <w:tcPr>
        <w:tcBorders>
          <w:top w:val="single" w:sz="4" w:space="0" w:color="66C8C7" w:themeColor="accent5"/>
          <w:bottom w:val="single" w:sz="4" w:space="0" w:color="66C8C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C8C7" w:themeColor="accent5"/>
          <w:left w:val="nil"/>
        </w:tcBorders>
      </w:tcPr>
    </w:tblStylePr>
    <w:tblStylePr w:type="swCell">
      <w:tblPr/>
      <w:tcPr>
        <w:tcBorders>
          <w:top w:val="double" w:sz="4" w:space="0" w:color="66C8C7" w:themeColor="accent5"/>
          <w:right w:val="nil"/>
        </w:tcBorders>
      </w:tcPr>
    </w:tblStylePr>
  </w:style>
  <w:style w:type="paragraph" w:styleId="ListParagraph">
    <w:name w:val="List Paragraph"/>
    <w:basedOn w:val="Normal"/>
    <w:uiPriority w:val="34"/>
    <w:rsid w:val="000F0F12"/>
    <w:pPr>
      <w:ind w:left="720"/>
      <w:contextualSpacing/>
    </w:pPr>
  </w:style>
  <w:style w:type="character" w:styleId="CommentReference">
    <w:name w:val="annotation reference"/>
    <w:basedOn w:val="DefaultParagraphFont"/>
    <w:uiPriority w:val="99"/>
    <w:semiHidden/>
    <w:unhideWhenUsed/>
    <w:rsid w:val="00A1402E"/>
    <w:rPr>
      <w:sz w:val="16"/>
      <w:szCs w:val="16"/>
    </w:rPr>
  </w:style>
  <w:style w:type="paragraph" w:styleId="CommentText">
    <w:name w:val="annotation text"/>
    <w:basedOn w:val="Normal"/>
    <w:link w:val="CommentTextChar"/>
    <w:uiPriority w:val="99"/>
    <w:semiHidden/>
    <w:unhideWhenUsed/>
    <w:rsid w:val="00A1402E"/>
    <w:pPr>
      <w:spacing w:line="240" w:lineRule="auto"/>
    </w:pPr>
    <w:rPr>
      <w:sz w:val="20"/>
      <w:szCs w:val="20"/>
    </w:rPr>
  </w:style>
  <w:style w:type="character" w:customStyle="1" w:styleId="CommentTextChar">
    <w:name w:val="Comment Text Char"/>
    <w:basedOn w:val="DefaultParagraphFont"/>
    <w:link w:val="CommentText"/>
    <w:uiPriority w:val="99"/>
    <w:semiHidden/>
    <w:rsid w:val="00A1402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1402E"/>
    <w:rPr>
      <w:b/>
      <w:bCs/>
    </w:rPr>
  </w:style>
  <w:style w:type="character" w:customStyle="1" w:styleId="CommentSubjectChar">
    <w:name w:val="Comment Subject Char"/>
    <w:basedOn w:val="CommentTextChar"/>
    <w:link w:val="CommentSubject"/>
    <w:uiPriority w:val="99"/>
    <w:semiHidden/>
    <w:rsid w:val="00A1402E"/>
    <w:rPr>
      <w:rFonts w:ascii="Arial" w:hAnsi="Arial"/>
      <w:b/>
      <w:bCs/>
      <w:sz w:val="20"/>
      <w:szCs w:val="20"/>
    </w:rPr>
  </w:style>
  <w:style w:type="paragraph" w:customStyle="1" w:styleId="Bullet1">
    <w:name w:val="Bullet 1"/>
    <w:basedOn w:val="ListParagraph"/>
    <w:qFormat/>
    <w:rsid w:val="00BD558F"/>
    <w:pPr>
      <w:numPr>
        <w:numId w:val="2"/>
      </w:numPr>
      <w:spacing w:before="0"/>
    </w:pPr>
    <w:rPr>
      <w:lang w:val="en-AU"/>
    </w:rPr>
  </w:style>
  <w:style w:type="paragraph" w:customStyle="1" w:styleId="Bullet2">
    <w:name w:val="Bullet 2"/>
    <w:basedOn w:val="ListParagraph"/>
    <w:qFormat/>
    <w:rsid w:val="00BD558F"/>
    <w:pPr>
      <w:numPr>
        <w:ilvl w:val="1"/>
        <w:numId w:val="2"/>
      </w:numPr>
      <w:spacing w:before="0"/>
    </w:pPr>
    <w:rPr>
      <w:lang w:val="en-AU"/>
    </w:rPr>
  </w:style>
  <w:style w:type="character" w:styleId="Hyperlink">
    <w:name w:val="Hyperlink"/>
    <w:basedOn w:val="DefaultParagraphFont"/>
    <w:uiPriority w:val="99"/>
    <w:unhideWhenUsed/>
    <w:rsid w:val="00AD51D2"/>
    <w:rPr>
      <w:color w:val="0000FF" w:themeColor="hyperlink"/>
      <w:u w:val="single"/>
    </w:rPr>
  </w:style>
  <w:style w:type="character" w:customStyle="1" w:styleId="UnresolvedMention">
    <w:name w:val="Unresolved Mention"/>
    <w:basedOn w:val="DefaultParagraphFont"/>
    <w:uiPriority w:val="99"/>
    <w:semiHidden/>
    <w:unhideWhenUsed/>
    <w:rsid w:val="00AD51D2"/>
    <w:rPr>
      <w:color w:val="808080"/>
      <w:shd w:val="clear" w:color="auto" w:fill="E6E6E6"/>
    </w:rPr>
  </w:style>
  <w:style w:type="paragraph" w:styleId="Revision">
    <w:name w:val="Revision"/>
    <w:hidden/>
    <w:uiPriority w:val="99"/>
    <w:semiHidden/>
    <w:rsid w:val="00AF5A2A"/>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Tak.Onishi@sgch.com.au" TargetMode="Externa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Scott.Langford@sgch.com.au"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SGCH">
  <a:themeElements>
    <a:clrScheme name="SGCH">
      <a:dk1>
        <a:srgbClr val="642140"/>
      </a:dk1>
      <a:lt1>
        <a:sysClr val="window" lastClr="FFFFFF"/>
      </a:lt1>
      <a:dk2>
        <a:srgbClr val="155E67"/>
      </a:dk2>
      <a:lt2>
        <a:srgbClr val="EEECE1"/>
      </a:lt2>
      <a:accent1>
        <a:srgbClr val="B03865"/>
      </a:accent1>
      <a:accent2>
        <a:srgbClr val="F68D2D"/>
      </a:accent2>
      <a:accent3>
        <a:srgbClr val="81BE41"/>
      </a:accent3>
      <a:accent4>
        <a:srgbClr val="209A8C"/>
      </a:accent4>
      <a:accent5>
        <a:srgbClr val="66C8C7"/>
      </a:accent5>
      <a:accent6>
        <a:srgbClr val="C53B33"/>
      </a:accent6>
      <a:hlink>
        <a:srgbClr val="0000FF"/>
      </a:hlink>
      <a:folHlink>
        <a:srgbClr val="64214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xmlns="" name="SGCH" id="{A5140EFB-98F0-4F80-ADA4-F5C82F6F3044}" vid="{C863FF7D-70EC-406C-8508-ACFDEC57460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8C939C4C7631664591E4B2408A6EC687" ma:contentTypeVersion="10429" ma:contentTypeDescription=" " ma:contentTypeScope="" ma:versionID="1e560f79fb33ae8681b32a2c490bbb58">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6fc9648085c5b8b265982a2727a66703"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e544e5cc-ab70-42e1-849e-1a0f8bb1f4ef">2018FG-73-10100</_dlc_DocId>
    <_dlc_DocIdUrl xmlns="e544e5cc-ab70-42e1-849e-1a0f8bb1f4ef">
      <Url>http://tweb/sites/fg/spd/_layouts/15/DocIdRedir.aspx?ID=2018FG-73-10100</Url>
      <Description>2018FG-73-10100</Description>
    </_dlc_DocIdUrl>
    <IconOverlay xmlns="http://schemas.microsoft.com/sharepoint/v4" xsi:nil="true"/>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TaxCatchAll xmlns="e544e5cc-ab70-42e1-849e-1a0f8bb1f4ef">
      <Value>2</Value>
    </TaxCatchAll>
  </documentManagement>
</p:properties>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81B2D-4174-4264-803A-A8BF8A27460A}">
  <ds:schemaRefs>
    <ds:schemaRef ds:uri="http://schemas.microsoft.com/sharepoint/v3/contenttype/forms"/>
  </ds:schemaRefs>
</ds:datastoreItem>
</file>

<file path=customXml/itemProps2.xml><?xml version="1.0" encoding="utf-8"?>
<ds:datastoreItem xmlns:ds="http://schemas.openxmlformats.org/officeDocument/2006/customXml" ds:itemID="{91830621-908B-41AC-947D-9F85BE50043B}">
  <ds:schemaRefs>
    <ds:schemaRef ds:uri="office.server.policy"/>
  </ds:schemaRefs>
</ds:datastoreItem>
</file>

<file path=customXml/itemProps3.xml><?xml version="1.0" encoding="utf-8"?>
<ds:datastoreItem xmlns:ds="http://schemas.openxmlformats.org/officeDocument/2006/customXml" ds:itemID="{4E50BF2C-2F5D-46F9-A859-8D311CD8C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85DA5D-4C7E-499D-A762-7F195A70F227}">
  <ds:schemaRefs>
    <ds:schemaRef ds:uri="5da2d2b1-c952-40ad-b328-848dd71fea89"/>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1807debc-4138-409e-a099-d60040044335"/>
    <ds:schemaRef ds:uri="http://www.w3.org/XML/1998/namespace"/>
    <ds:schemaRef ds:uri="e544e5cc-ab70-42e1-849e-1a0f8bb1f4ef"/>
    <ds:schemaRef ds:uri="http://schemas.microsoft.com/sharepoint/v4"/>
  </ds:schemaRefs>
</ds:datastoreItem>
</file>

<file path=customXml/itemProps5.xml><?xml version="1.0" encoding="utf-8"?>
<ds:datastoreItem xmlns:ds="http://schemas.openxmlformats.org/officeDocument/2006/customXml" ds:itemID="{7EE25EB9-CE7F-45BB-A809-74C4C975FC8E}">
  <ds:schemaRefs>
    <ds:schemaRef ds:uri="http://schemas.microsoft.com/sharepoint/events"/>
  </ds:schemaRefs>
</ds:datastoreItem>
</file>

<file path=customXml/itemProps6.xml><?xml version="1.0" encoding="utf-8"?>
<ds:datastoreItem xmlns:ds="http://schemas.openxmlformats.org/officeDocument/2006/customXml" ds:itemID="{3753D0A1-F058-4DC7-8ED1-6B98C149F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989</Words>
  <Characters>5453</Characters>
  <Application>Microsoft Office Word</Application>
  <DocSecurity>0</DocSecurity>
  <Lines>116</Lines>
  <Paragraphs>41</Paragraphs>
  <ScaleCrop>false</ScaleCrop>
  <Company/>
  <LinksUpToDate>false</LinksUpToDate>
  <CharactersWithSpaces>6420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George Community Housing Group - National Housing Finance and Investment Corporation – draft Investment Mandate</dc:title>
  <dc:creator/>
  <cp:lastModifiedBy/>
  <cp:revision>1</cp:revision>
  <dcterms:created xsi:type="dcterms:W3CDTF">2018-04-12T02:28:00Z</dcterms:created>
  <dcterms:modified xsi:type="dcterms:W3CDTF">2018-04-12T02:28:00Z</dcterms:modified>
  <dc:language>English</dc:language>
</cp:coreProperties>
</file>