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134" w:rsidRDefault="00986134" w:rsidP="00503460">
      <w:pPr>
        <w:pStyle w:val="PABodyText"/>
      </w:pPr>
      <w:bookmarkStart w:id="0" w:name="_GoBack"/>
      <w:bookmarkEnd w:id="0"/>
    </w:p>
    <w:p w:rsidR="00503460" w:rsidRDefault="00986134" w:rsidP="00503460">
      <w:pPr>
        <w:pStyle w:val="PABodyText"/>
      </w:pPr>
      <w:r>
        <w:t>2 May</w:t>
      </w:r>
      <w:r w:rsidR="00AB42AB">
        <w:t xml:space="preserve"> 2013</w:t>
      </w:r>
    </w:p>
    <w:p w:rsidR="00503460" w:rsidRDefault="00503460" w:rsidP="00503460">
      <w:pPr>
        <w:pStyle w:val="PABodyText"/>
      </w:pPr>
    </w:p>
    <w:p w:rsidR="00986134" w:rsidRDefault="00986134" w:rsidP="00503460">
      <w:pPr>
        <w:pStyle w:val="PABodyText"/>
      </w:pPr>
    </w:p>
    <w:p w:rsidR="00BC2A0D" w:rsidRDefault="00BC2A0D" w:rsidP="00503460">
      <w:pPr>
        <w:pStyle w:val="PABodyText"/>
      </w:pPr>
    </w:p>
    <w:p w:rsidR="00986134" w:rsidRDefault="00986134" w:rsidP="00986134">
      <w:pPr>
        <w:pStyle w:val="PABodyText"/>
      </w:pPr>
      <w:r>
        <w:t>Manager</w:t>
      </w:r>
    </w:p>
    <w:p w:rsidR="00986134" w:rsidRDefault="00986134" w:rsidP="00986134">
      <w:pPr>
        <w:pStyle w:val="PABodyText"/>
      </w:pPr>
      <w:r>
        <w:t>Philanthropy and Exemptions Unit</w:t>
      </w:r>
    </w:p>
    <w:p w:rsidR="00986134" w:rsidRDefault="00986134" w:rsidP="00986134">
      <w:pPr>
        <w:pStyle w:val="PABodyText"/>
      </w:pPr>
      <w:r>
        <w:t>Indirect Philanthropy and Resource Tax Division</w:t>
      </w:r>
    </w:p>
    <w:p w:rsidR="00986134" w:rsidRDefault="00986134" w:rsidP="00986134">
      <w:pPr>
        <w:pStyle w:val="PABodyText"/>
      </w:pPr>
      <w:r>
        <w:t>The Treasury</w:t>
      </w:r>
    </w:p>
    <w:p w:rsidR="00986134" w:rsidRDefault="00986134" w:rsidP="00986134">
      <w:pPr>
        <w:pStyle w:val="PABodyText"/>
      </w:pPr>
      <w:r>
        <w:t>Langton Crescent</w:t>
      </w:r>
    </w:p>
    <w:p w:rsidR="00503460" w:rsidRDefault="00986134" w:rsidP="00986134">
      <w:pPr>
        <w:pStyle w:val="PABodyText"/>
      </w:pPr>
      <w:r>
        <w:t>PARKES ACT 2600</w:t>
      </w:r>
    </w:p>
    <w:p w:rsidR="00503460" w:rsidRDefault="00503460" w:rsidP="00503460">
      <w:pPr>
        <w:pStyle w:val="PABodyText"/>
      </w:pPr>
    </w:p>
    <w:p w:rsidR="00503460" w:rsidRDefault="00503460" w:rsidP="00503460">
      <w:pPr>
        <w:pStyle w:val="PABodyText"/>
      </w:pPr>
    </w:p>
    <w:p w:rsidR="00503460" w:rsidRDefault="00503460" w:rsidP="00503460">
      <w:pPr>
        <w:pStyle w:val="PABodyText"/>
      </w:pPr>
    </w:p>
    <w:p w:rsidR="00503460" w:rsidRDefault="00503460" w:rsidP="00503460">
      <w:pPr>
        <w:pStyle w:val="PABodyText"/>
      </w:pPr>
    </w:p>
    <w:p w:rsidR="00986134" w:rsidRDefault="00AB42AB" w:rsidP="00503460">
      <w:pPr>
        <w:pStyle w:val="PABodyText"/>
        <w:rPr>
          <w:rFonts w:ascii="Calibri" w:eastAsia="Calibri" w:hAnsi="Calibri"/>
          <w:sz w:val="22"/>
          <w:szCs w:val="22"/>
        </w:rPr>
      </w:pPr>
      <w:r>
        <w:rPr>
          <w:b/>
        </w:rPr>
        <w:t xml:space="preserve">Re: </w:t>
      </w:r>
      <w:r w:rsidR="00986134" w:rsidRPr="00986134">
        <w:rPr>
          <w:rFonts w:ascii="Calibri" w:eastAsia="Calibri" w:hAnsi="Calibri"/>
          <w:b/>
          <w:sz w:val="22"/>
          <w:szCs w:val="22"/>
        </w:rPr>
        <w:t xml:space="preserve">Exposure Draft: </w:t>
      </w:r>
      <w:r w:rsidR="00986134" w:rsidRPr="00986134">
        <w:rPr>
          <w:rFonts w:ascii="Calibri" w:eastAsia="Calibri" w:hAnsi="Calibri"/>
          <w:b/>
          <w:i/>
          <w:sz w:val="22"/>
          <w:szCs w:val="22"/>
        </w:rPr>
        <w:t>Charities Bill 201</w:t>
      </w:r>
      <w:r w:rsidR="00986134">
        <w:rPr>
          <w:rFonts w:ascii="Calibri" w:eastAsia="Calibri" w:hAnsi="Calibri"/>
          <w:b/>
          <w:i/>
          <w:sz w:val="22"/>
          <w:szCs w:val="22"/>
        </w:rPr>
        <w:t xml:space="preserve">3; </w:t>
      </w:r>
      <w:r w:rsidR="00986134" w:rsidRPr="00986134">
        <w:rPr>
          <w:rFonts w:ascii="Calibri" w:eastAsia="Calibri" w:hAnsi="Calibri"/>
          <w:b/>
          <w:sz w:val="22"/>
          <w:szCs w:val="22"/>
        </w:rPr>
        <w:t>and</w:t>
      </w:r>
    </w:p>
    <w:p w:rsidR="00503460" w:rsidRPr="004B5124" w:rsidRDefault="00986134" w:rsidP="00503460">
      <w:pPr>
        <w:pStyle w:val="PABodyText"/>
        <w:rPr>
          <w:b/>
        </w:rPr>
      </w:pPr>
      <w:r>
        <w:rPr>
          <w:rFonts w:ascii="Calibri" w:eastAsia="Calibri" w:hAnsi="Calibri"/>
          <w:b/>
          <w:sz w:val="22"/>
          <w:szCs w:val="22"/>
        </w:rPr>
        <w:t xml:space="preserve">       Exposure Draft: </w:t>
      </w:r>
      <w:r w:rsidRPr="00986134">
        <w:rPr>
          <w:rFonts w:ascii="Calibri" w:eastAsia="Calibri" w:hAnsi="Calibri"/>
          <w:b/>
          <w:sz w:val="22"/>
          <w:szCs w:val="22"/>
        </w:rPr>
        <w:t xml:space="preserve"> </w:t>
      </w:r>
      <w:r w:rsidRPr="00986134">
        <w:rPr>
          <w:rFonts w:ascii="Calibri" w:eastAsia="Calibri" w:hAnsi="Calibri"/>
          <w:b/>
          <w:i/>
          <w:sz w:val="22"/>
          <w:szCs w:val="22"/>
        </w:rPr>
        <w:t>Charities (Consequential Amendments and Transitional Provisions) Bill 2013</w:t>
      </w:r>
      <w:r>
        <w:rPr>
          <w:rFonts w:ascii="Calibri" w:eastAsia="Calibri" w:hAnsi="Calibri"/>
          <w:b/>
          <w:i/>
          <w:sz w:val="22"/>
          <w:szCs w:val="22"/>
        </w:rPr>
        <w:t xml:space="preserve"> </w:t>
      </w:r>
    </w:p>
    <w:p w:rsidR="00503460" w:rsidRDefault="00503460" w:rsidP="00503460">
      <w:pPr>
        <w:pStyle w:val="PABodyText"/>
      </w:pPr>
    </w:p>
    <w:p w:rsidR="00986134" w:rsidRPr="00986134" w:rsidRDefault="00986134" w:rsidP="00986134">
      <w:pPr>
        <w:spacing w:after="200" w:line="276" w:lineRule="auto"/>
        <w:rPr>
          <w:rFonts w:ascii="Calibri" w:eastAsia="Calibri" w:hAnsi="Calibri"/>
          <w:sz w:val="22"/>
          <w:szCs w:val="22"/>
        </w:rPr>
      </w:pPr>
      <w:r w:rsidRPr="00986134">
        <w:rPr>
          <w:rFonts w:ascii="Calibri" w:eastAsia="Calibri" w:hAnsi="Calibri"/>
          <w:sz w:val="22"/>
          <w:szCs w:val="22"/>
        </w:rPr>
        <w:t>Thank you for the opportunity to comment on the draft Charities Bill</w:t>
      </w:r>
      <w:r>
        <w:rPr>
          <w:rFonts w:ascii="Calibri" w:eastAsia="Calibri" w:hAnsi="Calibri"/>
          <w:sz w:val="22"/>
          <w:szCs w:val="22"/>
        </w:rPr>
        <w:t>s</w:t>
      </w:r>
      <w:r w:rsidRPr="00986134">
        <w:rPr>
          <w:rFonts w:ascii="Calibri" w:eastAsia="Calibri" w:hAnsi="Calibri"/>
          <w:sz w:val="22"/>
          <w:szCs w:val="22"/>
        </w:rPr>
        <w:t xml:space="preserve"> 2013. Given the short time frame, Philanthropy Australia will comment only on those provisions in the Bill which have most impact on our Members and the philanthropic sector in general.</w:t>
      </w:r>
    </w:p>
    <w:p w:rsidR="00986134" w:rsidRPr="00986134" w:rsidRDefault="00986134" w:rsidP="00986134">
      <w:pPr>
        <w:spacing w:after="200" w:line="276" w:lineRule="auto"/>
        <w:rPr>
          <w:rFonts w:ascii="Calibri" w:eastAsia="Calibri" w:hAnsi="Calibri"/>
          <w:b/>
          <w:sz w:val="22"/>
          <w:szCs w:val="22"/>
        </w:rPr>
      </w:pPr>
      <w:r w:rsidRPr="00986134">
        <w:rPr>
          <w:rFonts w:ascii="Calibri" w:eastAsia="Calibri" w:hAnsi="Calibri"/>
          <w:b/>
          <w:sz w:val="22"/>
          <w:szCs w:val="22"/>
        </w:rPr>
        <w:t>Part Two, Division 2, Section 6 - Purposes for the public benefit</w:t>
      </w:r>
    </w:p>
    <w:p w:rsidR="00986134" w:rsidRPr="00986134" w:rsidRDefault="00986134" w:rsidP="00986134">
      <w:pPr>
        <w:spacing w:after="200" w:line="276" w:lineRule="auto"/>
        <w:rPr>
          <w:rFonts w:ascii="Calibri" w:eastAsia="Calibri" w:hAnsi="Calibri"/>
          <w:sz w:val="22"/>
          <w:szCs w:val="22"/>
        </w:rPr>
      </w:pPr>
      <w:r w:rsidRPr="00986134">
        <w:rPr>
          <w:rFonts w:ascii="Calibri" w:eastAsia="Calibri" w:hAnsi="Calibri"/>
          <w:sz w:val="22"/>
          <w:szCs w:val="22"/>
        </w:rPr>
        <w:t xml:space="preserve">This section of the Bill introduces new concepts which do not exist in common law and which are not adequately explained in the Bill or explanatory material. They are: </w:t>
      </w:r>
    </w:p>
    <w:p w:rsidR="00986134" w:rsidRPr="00986134" w:rsidRDefault="00986134" w:rsidP="00986134">
      <w:pPr>
        <w:numPr>
          <w:ilvl w:val="0"/>
          <w:numId w:val="4"/>
        </w:numPr>
        <w:spacing w:after="200" w:line="276" w:lineRule="auto"/>
        <w:contextualSpacing/>
        <w:rPr>
          <w:rFonts w:ascii="Calibri" w:eastAsia="Calibri" w:hAnsi="Calibri"/>
          <w:sz w:val="22"/>
          <w:szCs w:val="22"/>
        </w:rPr>
      </w:pPr>
      <w:r w:rsidRPr="00986134">
        <w:rPr>
          <w:rFonts w:ascii="Calibri" w:eastAsia="Calibri" w:hAnsi="Calibri"/>
          <w:sz w:val="22"/>
          <w:szCs w:val="22"/>
        </w:rPr>
        <w:t>“a universal or common good” (6(1)b)</w:t>
      </w:r>
    </w:p>
    <w:p w:rsidR="00986134" w:rsidRPr="00986134" w:rsidRDefault="00986134" w:rsidP="00986134">
      <w:pPr>
        <w:numPr>
          <w:ilvl w:val="0"/>
          <w:numId w:val="4"/>
        </w:numPr>
        <w:spacing w:after="200" w:line="276" w:lineRule="auto"/>
        <w:contextualSpacing/>
        <w:rPr>
          <w:rFonts w:ascii="Calibri" w:eastAsia="Calibri" w:hAnsi="Calibri"/>
          <w:sz w:val="22"/>
          <w:szCs w:val="22"/>
        </w:rPr>
      </w:pPr>
      <w:r w:rsidRPr="00986134">
        <w:rPr>
          <w:rFonts w:ascii="Calibri" w:eastAsia="Calibri" w:hAnsi="Calibri"/>
          <w:sz w:val="22"/>
          <w:szCs w:val="22"/>
        </w:rPr>
        <w:t>“real overall value to the public” (6 (5))</w:t>
      </w:r>
    </w:p>
    <w:p w:rsidR="00A20CBA" w:rsidRDefault="00A20CBA" w:rsidP="00986134">
      <w:pPr>
        <w:spacing w:after="200" w:line="276" w:lineRule="auto"/>
        <w:rPr>
          <w:rFonts w:ascii="Calibri" w:eastAsia="Calibri" w:hAnsi="Calibri"/>
          <w:sz w:val="22"/>
          <w:szCs w:val="22"/>
        </w:rPr>
      </w:pPr>
    </w:p>
    <w:p w:rsidR="00986134" w:rsidRPr="00986134" w:rsidRDefault="00986134" w:rsidP="00986134">
      <w:pPr>
        <w:spacing w:after="200" w:line="276" w:lineRule="auto"/>
        <w:rPr>
          <w:rFonts w:ascii="Calibri" w:eastAsia="Calibri" w:hAnsi="Calibri"/>
          <w:sz w:val="22"/>
          <w:szCs w:val="22"/>
        </w:rPr>
      </w:pPr>
      <w:r w:rsidRPr="00986134">
        <w:rPr>
          <w:rFonts w:ascii="Calibri" w:eastAsia="Calibri" w:hAnsi="Calibri"/>
          <w:sz w:val="22"/>
          <w:szCs w:val="22"/>
        </w:rPr>
        <w:t xml:space="preserve">Creating these new concepts will lead to a necessity for extensive guidance and possible challenges for individual organisational clarification. Philanthropy Australia recommends that this section of the Bill be redrafted to remove paragraphs 6(1)(b) and 6(5). </w:t>
      </w:r>
    </w:p>
    <w:p w:rsidR="00986134" w:rsidRPr="00986134" w:rsidRDefault="00986134" w:rsidP="00986134">
      <w:pPr>
        <w:spacing w:after="200" w:line="276" w:lineRule="auto"/>
        <w:rPr>
          <w:rFonts w:ascii="Calibri" w:eastAsia="Calibri" w:hAnsi="Calibri"/>
          <w:b/>
          <w:sz w:val="22"/>
          <w:szCs w:val="22"/>
        </w:rPr>
      </w:pPr>
      <w:r w:rsidRPr="00986134">
        <w:rPr>
          <w:rFonts w:ascii="Calibri" w:eastAsia="Calibri" w:hAnsi="Calibri"/>
          <w:b/>
          <w:sz w:val="22"/>
          <w:szCs w:val="22"/>
        </w:rPr>
        <w:t>Part Two, Division 2, Section 7 – Certain purposes presumed to be for the public benefit</w:t>
      </w:r>
    </w:p>
    <w:p w:rsidR="00986134" w:rsidRPr="00986134" w:rsidRDefault="00986134" w:rsidP="00986134">
      <w:pPr>
        <w:spacing w:after="200" w:line="276" w:lineRule="auto"/>
        <w:rPr>
          <w:rFonts w:ascii="Calibri" w:eastAsia="Calibri" w:hAnsi="Calibri"/>
          <w:sz w:val="22"/>
          <w:szCs w:val="22"/>
        </w:rPr>
      </w:pPr>
      <w:r w:rsidRPr="00986134">
        <w:rPr>
          <w:rFonts w:ascii="Calibri" w:eastAsia="Calibri" w:hAnsi="Calibri"/>
          <w:sz w:val="22"/>
          <w:szCs w:val="22"/>
        </w:rPr>
        <w:t xml:space="preserve">This section is somewhat confusing because the wording makes it clear that the presumption is of </w:t>
      </w:r>
      <w:r w:rsidRPr="00986134">
        <w:rPr>
          <w:rFonts w:ascii="Calibri" w:eastAsia="Calibri" w:hAnsi="Calibri"/>
          <w:i/>
          <w:sz w:val="22"/>
          <w:szCs w:val="22"/>
        </w:rPr>
        <w:t>benefit</w:t>
      </w:r>
      <w:r w:rsidRPr="00986134">
        <w:rPr>
          <w:rFonts w:ascii="Calibri" w:eastAsia="Calibri" w:hAnsi="Calibri"/>
          <w:sz w:val="22"/>
          <w:szCs w:val="22"/>
        </w:rPr>
        <w:t xml:space="preserve"> and not of the benefit’s </w:t>
      </w:r>
      <w:r w:rsidRPr="00986134">
        <w:rPr>
          <w:rFonts w:ascii="Calibri" w:eastAsia="Calibri" w:hAnsi="Calibri"/>
          <w:i/>
          <w:sz w:val="22"/>
          <w:szCs w:val="22"/>
        </w:rPr>
        <w:t>public nature</w:t>
      </w:r>
      <w:r w:rsidRPr="00986134">
        <w:rPr>
          <w:rFonts w:ascii="Calibri" w:eastAsia="Calibri" w:hAnsi="Calibri"/>
          <w:sz w:val="22"/>
          <w:szCs w:val="22"/>
        </w:rPr>
        <w:t xml:space="preserve">. The definition of </w:t>
      </w:r>
      <w:r w:rsidRPr="00986134">
        <w:rPr>
          <w:rFonts w:ascii="Calibri" w:eastAsia="Calibri" w:hAnsi="Calibri"/>
          <w:i/>
          <w:sz w:val="22"/>
          <w:szCs w:val="22"/>
        </w:rPr>
        <w:t>public</w:t>
      </w:r>
      <w:r w:rsidRPr="00986134">
        <w:rPr>
          <w:rFonts w:ascii="Calibri" w:eastAsia="Calibri" w:hAnsi="Calibri"/>
          <w:sz w:val="22"/>
          <w:szCs w:val="22"/>
        </w:rPr>
        <w:t xml:space="preserve"> is covered in section 6. Philanthropy Australia suggests that a redrafting of section 6 of the Bill would make both sections 6 and 7 clearer, section 6 then being about the definition of </w:t>
      </w:r>
      <w:r w:rsidRPr="00986134">
        <w:rPr>
          <w:rFonts w:ascii="Calibri" w:eastAsia="Calibri" w:hAnsi="Calibri"/>
          <w:i/>
          <w:sz w:val="22"/>
          <w:szCs w:val="22"/>
        </w:rPr>
        <w:t>public</w:t>
      </w:r>
      <w:r w:rsidRPr="00986134">
        <w:rPr>
          <w:rFonts w:ascii="Calibri" w:eastAsia="Calibri" w:hAnsi="Calibri"/>
          <w:sz w:val="22"/>
          <w:szCs w:val="22"/>
        </w:rPr>
        <w:t xml:space="preserve"> and section 7 about situations where a benefit is presumed.</w:t>
      </w:r>
    </w:p>
    <w:p w:rsidR="00986134" w:rsidRPr="00986134" w:rsidRDefault="00986134" w:rsidP="00986134">
      <w:pPr>
        <w:spacing w:after="200" w:line="276" w:lineRule="auto"/>
        <w:rPr>
          <w:rFonts w:ascii="Calibri" w:eastAsia="Calibri" w:hAnsi="Calibri"/>
          <w:b/>
          <w:sz w:val="22"/>
          <w:szCs w:val="22"/>
        </w:rPr>
      </w:pPr>
      <w:r w:rsidRPr="00986134">
        <w:rPr>
          <w:rFonts w:ascii="Calibri" w:eastAsia="Calibri" w:hAnsi="Calibri"/>
          <w:b/>
          <w:sz w:val="22"/>
          <w:szCs w:val="22"/>
        </w:rPr>
        <w:t>Part Two, Division 2, section 8 – Purposes of native title holding entities that are directed to the benefit of Indigenous persons who are related</w:t>
      </w:r>
    </w:p>
    <w:p w:rsidR="00986134" w:rsidRPr="00986134" w:rsidRDefault="00986134" w:rsidP="00986134">
      <w:pPr>
        <w:spacing w:after="200" w:line="276" w:lineRule="auto"/>
        <w:rPr>
          <w:rFonts w:ascii="Calibri" w:eastAsia="Calibri" w:hAnsi="Calibri"/>
          <w:sz w:val="22"/>
          <w:szCs w:val="22"/>
        </w:rPr>
      </w:pPr>
      <w:r w:rsidRPr="00986134">
        <w:rPr>
          <w:rFonts w:ascii="Calibri" w:eastAsia="Calibri" w:hAnsi="Calibri"/>
          <w:sz w:val="22"/>
          <w:szCs w:val="22"/>
        </w:rPr>
        <w:t>Philanthropy Australia endorses enabling charitable entities (including trusts) to be established for the benefit of native title groups and suggests that the drafting of this section should be reworded to better reflect the policy intention of removing the public benefit test where the purposes are charitable and are directed to a native title group. Philanthropy Australia considers this section would be better included in section 9 as it is one of the situations where the public benefit test does not apply.</w:t>
      </w:r>
    </w:p>
    <w:p w:rsidR="00986134" w:rsidRPr="00986134" w:rsidRDefault="00986134" w:rsidP="00986134">
      <w:pPr>
        <w:spacing w:after="200" w:line="276" w:lineRule="auto"/>
        <w:rPr>
          <w:rFonts w:ascii="Calibri" w:eastAsia="Calibri" w:hAnsi="Calibri"/>
          <w:b/>
          <w:sz w:val="22"/>
          <w:szCs w:val="22"/>
        </w:rPr>
      </w:pPr>
      <w:r w:rsidRPr="00986134">
        <w:rPr>
          <w:rFonts w:ascii="Calibri" w:eastAsia="Calibri" w:hAnsi="Calibri"/>
          <w:b/>
          <w:sz w:val="22"/>
          <w:szCs w:val="22"/>
        </w:rPr>
        <w:lastRenderedPageBreak/>
        <w:t>Part Two, Division 2, section 9 – When public benefit test does not apply</w:t>
      </w:r>
    </w:p>
    <w:p w:rsidR="00986134" w:rsidRPr="00986134" w:rsidRDefault="00986134" w:rsidP="00986134">
      <w:pPr>
        <w:spacing w:after="200" w:line="276" w:lineRule="auto"/>
        <w:rPr>
          <w:rFonts w:ascii="Calibri" w:eastAsia="Calibri" w:hAnsi="Calibri"/>
          <w:sz w:val="22"/>
          <w:szCs w:val="22"/>
        </w:rPr>
      </w:pPr>
      <w:r w:rsidRPr="00986134">
        <w:rPr>
          <w:rFonts w:ascii="Calibri" w:eastAsia="Calibri" w:hAnsi="Calibri"/>
          <w:sz w:val="22"/>
          <w:szCs w:val="22"/>
        </w:rPr>
        <w:t>Philanthropy Australia draws the attention of Treasury to the existence of necessitous circumstances funds, as well as charitable trusts which exist for the relief of poverty for family groups, employer connections or for certain sections of the public. Many such trusts have been in existence for decades and may not be able to prove a public benefit. Philanthropy Australia suggests that there should be grandfathering provisions to preserve the charitable status of those current trusts as well as wills that have been drafted on that basis.</w:t>
      </w:r>
    </w:p>
    <w:p w:rsidR="00986134" w:rsidRPr="00986134" w:rsidRDefault="00986134" w:rsidP="00986134">
      <w:pPr>
        <w:spacing w:after="200" w:line="276" w:lineRule="auto"/>
        <w:rPr>
          <w:rFonts w:ascii="Calibri" w:eastAsia="Calibri" w:hAnsi="Calibri"/>
          <w:b/>
          <w:sz w:val="22"/>
          <w:szCs w:val="22"/>
        </w:rPr>
      </w:pPr>
      <w:r w:rsidRPr="00986134">
        <w:rPr>
          <w:rFonts w:ascii="Calibri" w:eastAsia="Calibri" w:hAnsi="Calibri"/>
          <w:b/>
          <w:sz w:val="22"/>
          <w:szCs w:val="22"/>
        </w:rPr>
        <w:t>Part Two, Division 3, section 10 – Disqualifying purpose</w:t>
      </w:r>
    </w:p>
    <w:p w:rsidR="00986134" w:rsidRPr="00986134" w:rsidRDefault="00986134" w:rsidP="00986134">
      <w:pPr>
        <w:spacing w:after="200" w:line="276" w:lineRule="auto"/>
        <w:rPr>
          <w:rFonts w:ascii="Calibri" w:eastAsia="Calibri" w:hAnsi="Calibri"/>
          <w:sz w:val="22"/>
          <w:szCs w:val="22"/>
        </w:rPr>
      </w:pPr>
      <w:r w:rsidRPr="00986134">
        <w:rPr>
          <w:rFonts w:ascii="Calibri" w:eastAsia="Calibri" w:hAnsi="Calibri"/>
          <w:sz w:val="22"/>
          <w:szCs w:val="22"/>
        </w:rPr>
        <w:t>Philanthropy Australia disagrees that “the purpose of promoting or opposing a political party or a candidate for public office” (10(b)) should be a disqualifying purpose. Certainly a charity’s sole purpose should not be to promote or oppose a candidate or political party; however, Philanthropy Australia cannot see any reason why a charity should not be permitted to advocate support of a particular candidate for public office, or a particular party, if the candidate’s policies will directly further the charity’s charitable purposes - or equally to oppose a candidate whose policies would run counter to the charitable purpose of the organisation.</w:t>
      </w:r>
    </w:p>
    <w:p w:rsidR="00986134" w:rsidRPr="00986134" w:rsidRDefault="00986134" w:rsidP="00986134">
      <w:pPr>
        <w:spacing w:after="200" w:line="276" w:lineRule="auto"/>
        <w:rPr>
          <w:rFonts w:ascii="Calibri" w:eastAsia="Calibri" w:hAnsi="Calibri"/>
          <w:b/>
          <w:sz w:val="22"/>
          <w:szCs w:val="22"/>
        </w:rPr>
      </w:pPr>
      <w:r w:rsidRPr="00986134">
        <w:rPr>
          <w:rFonts w:ascii="Calibri" w:eastAsia="Calibri" w:hAnsi="Calibri"/>
          <w:b/>
          <w:sz w:val="22"/>
          <w:szCs w:val="22"/>
        </w:rPr>
        <w:t>Part 3, section 11 – Definition of charitable purpose</w:t>
      </w:r>
    </w:p>
    <w:p w:rsidR="00986134" w:rsidRPr="00986134" w:rsidRDefault="00986134" w:rsidP="00986134">
      <w:pPr>
        <w:spacing w:after="200" w:line="276" w:lineRule="auto"/>
        <w:rPr>
          <w:rFonts w:ascii="Calibri" w:eastAsia="Calibri" w:hAnsi="Calibri"/>
          <w:sz w:val="22"/>
          <w:szCs w:val="22"/>
        </w:rPr>
      </w:pPr>
      <w:r w:rsidRPr="00986134">
        <w:rPr>
          <w:rFonts w:ascii="Calibri" w:eastAsia="Calibri" w:hAnsi="Calibri"/>
          <w:sz w:val="22"/>
          <w:szCs w:val="22"/>
        </w:rPr>
        <w:t>Philanthropy Australia believes that line 5 should be redrafted to read “</w:t>
      </w:r>
      <w:r w:rsidRPr="00986134">
        <w:rPr>
          <w:rFonts w:ascii="Calibri" w:eastAsia="Calibri" w:hAnsi="Calibri"/>
          <w:i/>
          <w:sz w:val="22"/>
          <w:szCs w:val="22"/>
        </w:rPr>
        <w:t>charitable purpose</w:t>
      </w:r>
      <w:r w:rsidRPr="00986134">
        <w:rPr>
          <w:rFonts w:ascii="Calibri" w:eastAsia="Calibri" w:hAnsi="Calibri"/>
          <w:sz w:val="22"/>
          <w:szCs w:val="22"/>
        </w:rPr>
        <w:t xml:space="preserve"> includes any of the following:” and that item (k) should also be redrafted to read “any other purpose for the public benefit”. As currently drafted, the wording does not fully capture the current fourth head of charity and there is the potential for uncertainty around some of the existing entities which have been endorsed under the fourth head. As one of the principles behind the statutory definition of charity is that it will preserve the common law, Philanthropy Australia suggests that redrafting the section to “include” rather than “mean” items (a) to (l) will ensure that the current law is preserved.</w:t>
      </w:r>
    </w:p>
    <w:p w:rsidR="00986134" w:rsidRPr="00986134" w:rsidRDefault="00986134" w:rsidP="00986134">
      <w:pPr>
        <w:spacing w:after="200" w:line="276" w:lineRule="auto"/>
        <w:rPr>
          <w:rFonts w:ascii="Calibri" w:eastAsia="Calibri" w:hAnsi="Calibri"/>
          <w:b/>
          <w:sz w:val="22"/>
          <w:szCs w:val="22"/>
        </w:rPr>
      </w:pPr>
      <w:r w:rsidRPr="00986134">
        <w:rPr>
          <w:rFonts w:ascii="Calibri" w:eastAsia="Calibri" w:hAnsi="Calibri"/>
          <w:b/>
          <w:sz w:val="22"/>
          <w:szCs w:val="22"/>
        </w:rPr>
        <w:t>Part 3, section 12 – Funding charity-like government entities</w:t>
      </w:r>
    </w:p>
    <w:p w:rsidR="00986134" w:rsidRPr="00986134" w:rsidRDefault="00986134" w:rsidP="00986134">
      <w:pPr>
        <w:spacing w:after="200" w:line="276" w:lineRule="auto"/>
        <w:rPr>
          <w:rFonts w:ascii="Calibri" w:eastAsia="Calibri" w:hAnsi="Calibri"/>
          <w:sz w:val="22"/>
          <w:szCs w:val="22"/>
        </w:rPr>
      </w:pPr>
      <w:r w:rsidRPr="00986134">
        <w:rPr>
          <w:rFonts w:ascii="Calibri" w:eastAsia="Calibri" w:hAnsi="Calibri"/>
          <w:sz w:val="22"/>
          <w:szCs w:val="22"/>
        </w:rPr>
        <w:t xml:space="preserve">This section is clearly intended to enable charitable trusts to retain their own charitable status even if they fund charity-like government entities. The intention seems to be to clear up some of the complication surrounding the existence and funding arrangements of Income Tax Exempt Funds (ITEFs). Accordingly, the </w:t>
      </w:r>
      <w:r w:rsidRPr="00986134">
        <w:rPr>
          <w:rFonts w:ascii="Calibri" w:eastAsia="Calibri" w:hAnsi="Calibri"/>
          <w:i/>
          <w:sz w:val="22"/>
          <w:szCs w:val="22"/>
        </w:rPr>
        <w:t>Charities (Consequential Amendments and Transitional Provisions) Bill 2013</w:t>
      </w:r>
      <w:r w:rsidRPr="00986134">
        <w:rPr>
          <w:rFonts w:ascii="Calibri" w:eastAsia="Calibri" w:hAnsi="Calibri"/>
          <w:sz w:val="22"/>
          <w:szCs w:val="22"/>
        </w:rPr>
        <w:t xml:space="preserve"> repeals Section 50-20 of the </w:t>
      </w:r>
      <w:r w:rsidRPr="00986134">
        <w:rPr>
          <w:rFonts w:ascii="Calibri" w:eastAsia="Calibri" w:hAnsi="Calibri"/>
          <w:i/>
          <w:sz w:val="22"/>
          <w:szCs w:val="22"/>
        </w:rPr>
        <w:t>Income Tax Assessment Act 1997</w:t>
      </w:r>
      <w:r w:rsidRPr="00986134">
        <w:rPr>
          <w:rFonts w:ascii="Calibri" w:eastAsia="Calibri" w:hAnsi="Calibri"/>
          <w:sz w:val="22"/>
          <w:szCs w:val="22"/>
        </w:rPr>
        <w:t xml:space="preserve"> which provides income tax exemption to non-charitable public and private ancillary funds which provide money, property and benefits to income tax exempt deductible gift recipients (DGRs), and under the transitional provisions in Division 2 of Schedule 2, ITEFs will be treated as registered charities.  Paragraph 2.23 of the Explanatory Material implies that ITEF status will no longer be necessary once the Charities Bill becomes law.</w:t>
      </w:r>
    </w:p>
    <w:p w:rsidR="00986134" w:rsidRPr="00986134" w:rsidRDefault="00986134" w:rsidP="00986134">
      <w:pPr>
        <w:spacing w:after="200" w:line="276" w:lineRule="auto"/>
        <w:rPr>
          <w:rFonts w:ascii="Calibri" w:eastAsia="Calibri" w:hAnsi="Calibri"/>
          <w:sz w:val="22"/>
          <w:szCs w:val="22"/>
        </w:rPr>
      </w:pPr>
      <w:r w:rsidRPr="00986134">
        <w:rPr>
          <w:rFonts w:ascii="Calibri" w:eastAsia="Calibri" w:hAnsi="Calibri"/>
          <w:sz w:val="22"/>
          <w:szCs w:val="22"/>
        </w:rPr>
        <w:t>While Philanthropy Australia appreciates the government’s intentions in including this provision, as drafted it is likely to cause widespread confusion and complication and will not achieve its apparent intended aims. We identify the following issues:</w:t>
      </w:r>
    </w:p>
    <w:p w:rsidR="00986134" w:rsidRPr="00986134" w:rsidRDefault="00986134" w:rsidP="00986134">
      <w:pPr>
        <w:numPr>
          <w:ilvl w:val="0"/>
          <w:numId w:val="5"/>
        </w:numPr>
        <w:spacing w:after="200" w:line="276" w:lineRule="auto"/>
        <w:contextualSpacing/>
        <w:rPr>
          <w:rFonts w:ascii="Calibri" w:eastAsia="Calibri" w:hAnsi="Calibri"/>
          <w:b/>
          <w:sz w:val="22"/>
          <w:szCs w:val="22"/>
        </w:rPr>
      </w:pPr>
      <w:r w:rsidRPr="00986134">
        <w:rPr>
          <w:rFonts w:ascii="Calibri" w:eastAsia="Calibri" w:hAnsi="Calibri"/>
          <w:sz w:val="22"/>
          <w:szCs w:val="22"/>
        </w:rPr>
        <w:t xml:space="preserve">Firstly, the current drafting of section 12 states that an entity is to be treated as not a government entity if “the purpose includes the purpose of providing money, property or benefits to the government entity, or for the establishment of the government entity”.  Philanthropy Australia’s reading of this section is that a trust’s purposes must explicitly include the purpose of funding the government entity. This means that in order to take advantage of this provision, existing charitable ancillary funds and non-DGR trusts will need to amend their trust deeds to broaden their purposes in this way. They will, however, not be charitable in their State for perpetuity, stamp duty, payroll and other State taxes unless they still opt in, in </w:t>
      </w:r>
      <w:r w:rsidRPr="00986134">
        <w:rPr>
          <w:rFonts w:ascii="Calibri" w:eastAsia="Calibri" w:hAnsi="Calibri"/>
          <w:sz w:val="22"/>
          <w:szCs w:val="22"/>
        </w:rPr>
        <w:lastRenderedPageBreak/>
        <w:t>a manner consistent with state law. The Explanatory Material does not make this clear, or indeed touch on it at all.</w:t>
      </w:r>
    </w:p>
    <w:p w:rsidR="00986134" w:rsidRPr="00986134" w:rsidRDefault="00986134" w:rsidP="00986134">
      <w:pPr>
        <w:numPr>
          <w:ilvl w:val="0"/>
          <w:numId w:val="5"/>
        </w:numPr>
        <w:spacing w:after="200" w:line="276" w:lineRule="auto"/>
        <w:contextualSpacing/>
        <w:rPr>
          <w:rFonts w:ascii="Calibri" w:eastAsia="Calibri" w:hAnsi="Calibri"/>
          <w:b/>
          <w:sz w:val="22"/>
          <w:szCs w:val="22"/>
        </w:rPr>
      </w:pPr>
      <w:r w:rsidRPr="00986134">
        <w:rPr>
          <w:rFonts w:ascii="Calibri" w:eastAsia="Calibri" w:hAnsi="Calibri"/>
          <w:sz w:val="22"/>
          <w:szCs w:val="22"/>
        </w:rPr>
        <w:t xml:space="preserve">Secondly, there is a lack of consistency between the “opt-in” provisions in different States, some being able to fund any item 1 DGR whether or not it is “charitable but for its connection to government”.  Section 12 of the Charities Bill 2013 is therefore likely to increase confusion as entities navigate the different provisions in different States. Additionally, many ITEFs which have opted in the appropriate manner in their state (including those in NSW and Queensland) and are currently able to distribute to all item 1 DGRs will now be restricted under the </w:t>
      </w:r>
      <w:r w:rsidRPr="00986134">
        <w:rPr>
          <w:rFonts w:ascii="Calibri" w:eastAsia="Calibri" w:hAnsi="Calibri"/>
          <w:i/>
          <w:sz w:val="22"/>
          <w:szCs w:val="22"/>
        </w:rPr>
        <w:t>Charities Bill 2013,</w:t>
      </w:r>
      <w:r w:rsidRPr="00986134">
        <w:rPr>
          <w:rFonts w:ascii="Calibri" w:eastAsia="Calibri" w:hAnsi="Calibri"/>
          <w:sz w:val="22"/>
          <w:szCs w:val="22"/>
        </w:rPr>
        <w:t xml:space="preserve"> effectively penalising non-charitable DGRs. This will be a major disincentive for the sector; in some cases it will require further trust deed amendment and in the majority of cases it will cause confusion. Philanthropy Australia recommends that the current distribution authority for existing ITEFs should be grandfathered.</w:t>
      </w:r>
    </w:p>
    <w:p w:rsidR="00986134" w:rsidRPr="00986134" w:rsidRDefault="00986134" w:rsidP="00986134">
      <w:pPr>
        <w:numPr>
          <w:ilvl w:val="0"/>
          <w:numId w:val="5"/>
        </w:numPr>
        <w:spacing w:after="200" w:line="276" w:lineRule="auto"/>
        <w:contextualSpacing/>
        <w:rPr>
          <w:rFonts w:ascii="Calibri" w:eastAsia="Calibri" w:hAnsi="Calibri"/>
          <w:sz w:val="22"/>
          <w:szCs w:val="22"/>
        </w:rPr>
      </w:pPr>
      <w:r w:rsidRPr="00986134">
        <w:rPr>
          <w:rFonts w:ascii="Calibri" w:eastAsia="Calibri" w:hAnsi="Calibri"/>
          <w:sz w:val="22"/>
          <w:szCs w:val="22"/>
        </w:rPr>
        <w:t xml:space="preserve">Thirdly, “government entity” in the </w:t>
      </w:r>
      <w:r w:rsidRPr="00986134">
        <w:rPr>
          <w:rFonts w:ascii="Calibri" w:eastAsia="Calibri" w:hAnsi="Calibri"/>
          <w:i/>
          <w:sz w:val="22"/>
          <w:szCs w:val="22"/>
        </w:rPr>
        <w:t>Charities Bill 2013</w:t>
      </w:r>
      <w:r w:rsidRPr="00986134">
        <w:rPr>
          <w:rFonts w:ascii="Calibri" w:eastAsia="Calibri" w:hAnsi="Calibri"/>
          <w:sz w:val="22"/>
          <w:szCs w:val="22"/>
        </w:rPr>
        <w:t xml:space="preserve"> is defined as “a government entity (within the meaning of the </w:t>
      </w:r>
      <w:r w:rsidRPr="00986134">
        <w:rPr>
          <w:rFonts w:ascii="Calibri" w:eastAsia="Calibri" w:hAnsi="Calibri"/>
          <w:i/>
          <w:sz w:val="22"/>
          <w:szCs w:val="22"/>
        </w:rPr>
        <w:t>A New Tax System (Australian Business Number) Act 1999</w:t>
      </w:r>
      <w:r w:rsidRPr="00986134">
        <w:rPr>
          <w:rFonts w:ascii="Calibri" w:eastAsia="Calibri" w:hAnsi="Calibri"/>
          <w:sz w:val="22"/>
          <w:szCs w:val="22"/>
        </w:rPr>
        <w:t xml:space="preserve">)”. This is much more restrictive than the current wording in the </w:t>
      </w:r>
      <w:r w:rsidRPr="00986134">
        <w:rPr>
          <w:rFonts w:ascii="Calibri" w:eastAsia="Calibri" w:hAnsi="Calibri"/>
          <w:i/>
          <w:sz w:val="22"/>
          <w:szCs w:val="22"/>
        </w:rPr>
        <w:t>Charities Amendment Bill 2006</w:t>
      </w:r>
      <w:r w:rsidRPr="00986134">
        <w:rPr>
          <w:rFonts w:ascii="Calibri" w:eastAsia="Calibri" w:hAnsi="Calibri"/>
          <w:sz w:val="22"/>
          <w:szCs w:val="22"/>
        </w:rPr>
        <w:t xml:space="preserve"> (Victoria) which takes into account a number of factors to determine whether an entity is connected to government, including the extent to which an entity is under government direction or control. By contrast, the meaning in the </w:t>
      </w:r>
      <w:r w:rsidRPr="00986134">
        <w:rPr>
          <w:rFonts w:ascii="Calibri" w:eastAsia="Calibri" w:hAnsi="Calibri"/>
          <w:i/>
          <w:sz w:val="22"/>
          <w:szCs w:val="22"/>
        </w:rPr>
        <w:t>A New Tax System (Australian Business Number) Act 1999</w:t>
      </w:r>
      <w:r w:rsidRPr="00986134">
        <w:rPr>
          <w:rFonts w:ascii="Calibri" w:eastAsia="Calibri" w:hAnsi="Calibri"/>
          <w:sz w:val="22"/>
          <w:szCs w:val="22"/>
        </w:rPr>
        <w:t xml:space="preserve"> is far more restrictive, defining “government entity” as: </w:t>
      </w:r>
    </w:p>
    <w:p w:rsidR="00986134" w:rsidRPr="00986134" w:rsidRDefault="00986134" w:rsidP="00986134">
      <w:pPr>
        <w:spacing w:line="276" w:lineRule="auto"/>
        <w:ind w:left="1440"/>
        <w:rPr>
          <w:rFonts w:ascii="Calibri" w:eastAsia="Calibri" w:hAnsi="Calibri"/>
          <w:i/>
          <w:sz w:val="22"/>
          <w:szCs w:val="22"/>
        </w:rPr>
      </w:pPr>
      <w:r w:rsidRPr="00986134">
        <w:rPr>
          <w:rFonts w:ascii="Calibri" w:eastAsia="Calibri" w:hAnsi="Calibri"/>
          <w:i/>
          <w:sz w:val="22"/>
          <w:szCs w:val="22"/>
        </w:rPr>
        <w:t xml:space="preserve">(a) a Department of State of the Commonwealth; or </w:t>
      </w:r>
    </w:p>
    <w:p w:rsidR="00986134" w:rsidRPr="00986134" w:rsidRDefault="00986134" w:rsidP="00986134">
      <w:pPr>
        <w:spacing w:line="276" w:lineRule="auto"/>
        <w:ind w:left="1440"/>
        <w:rPr>
          <w:rFonts w:ascii="Calibri" w:eastAsia="Calibri" w:hAnsi="Calibri"/>
          <w:i/>
          <w:sz w:val="22"/>
          <w:szCs w:val="22"/>
        </w:rPr>
      </w:pPr>
      <w:r w:rsidRPr="00986134">
        <w:rPr>
          <w:rFonts w:ascii="Calibri" w:eastAsia="Calibri" w:hAnsi="Calibri"/>
          <w:i/>
          <w:sz w:val="22"/>
          <w:szCs w:val="22"/>
        </w:rPr>
        <w:t xml:space="preserve">(b) a Department of the Parliament established under the Parliamentary Service Act 1999 ; or </w:t>
      </w:r>
    </w:p>
    <w:p w:rsidR="00986134" w:rsidRPr="00986134" w:rsidRDefault="00986134" w:rsidP="00986134">
      <w:pPr>
        <w:spacing w:line="276" w:lineRule="auto"/>
        <w:ind w:left="1440"/>
        <w:rPr>
          <w:rFonts w:ascii="Calibri" w:eastAsia="Calibri" w:hAnsi="Calibri"/>
          <w:i/>
          <w:sz w:val="22"/>
          <w:szCs w:val="22"/>
        </w:rPr>
      </w:pPr>
      <w:r w:rsidRPr="00986134">
        <w:rPr>
          <w:rFonts w:ascii="Calibri" w:eastAsia="Calibri" w:hAnsi="Calibri"/>
          <w:i/>
          <w:sz w:val="22"/>
          <w:szCs w:val="22"/>
        </w:rPr>
        <w:t xml:space="preserve">(c) an Executive Agency, or Statutory Agency, within the meaning of the Public Service Act 1999 ; or </w:t>
      </w:r>
    </w:p>
    <w:p w:rsidR="00986134" w:rsidRPr="00986134" w:rsidRDefault="00986134" w:rsidP="00986134">
      <w:pPr>
        <w:spacing w:line="276" w:lineRule="auto"/>
        <w:ind w:left="1440"/>
        <w:rPr>
          <w:rFonts w:ascii="Calibri" w:eastAsia="Calibri" w:hAnsi="Calibri"/>
          <w:i/>
          <w:sz w:val="22"/>
          <w:szCs w:val="22"/>
        </w:rPr>
      </w:pPr>
      <w:r w:rsidRPr="00986134">
        <w:rPr>
          <w:rFonts w:ascii="Calibri" w:eastAsia="Calibri" w:hAnsi="Calibri"/>
          <w:i/>
          <w:sz w:val="22"/>
          <w:szCs w:val="22"/>
        </w:rPr>
        <w:t xml:space="preserve">(d) a Department of State of a State or Territory; or </w:t>
      </w:r>
    </w:p>
    <w:p w:rsidR="00986134" w:rsidRPr="00986134" w:rsidRDefault="00986134" w:rsidP="00986134">
      <w:pPr>
        <w:spacing w:line="276" w:lineRule="auto"/>
        <w:ind w:left="1440"/>
        <w:rPr>
          <w:rFonts w:ascii="Calibri" w:eastAsia="Calibri" w:hAnsi="Calibri"/>
          <w:i/>
          <w:sz w:val="22"/>
          <w:szCs w:val="22"/>
        </w:rPr>
      </w:pPr>
      <w:r w:rsidRPr="00986134">
        <w:rPr>
          <w:rFonts w:ascii="Calibri" w:eastAsia="Calibri" w:hAnsi="Calibri"/>
          <w:i/>
          <w:sz w:val="22"/>
          <w:szCs w:val="22"/>
        </w:rPr>
        <w:t xml:space="preserve">(e) an organisation that: </w:t>
      </w:r>
    </w:p>
    <w:p w:rsidR="00986134" w:rsidRPr="00986134" w:rsidRDefault="00986134" w:rsidP="00986134">
      <w:pPr>
        <w:spacing w:line="276" w:lineRule="auto"/>
        <w:ind w:left="1440"/>
        <w:rPr>
          <w:rFonts w:ascii="Calibri" w:eastAsia="Calibri" w:hAnsi="Calibri"/>
          <w:i/>
          <w:sz w:val="22"/>
          <w:szCs w:val="22"/>
        </w:rPr>
      </w:pPr>
      <w:r w:rsidRPr="00986134">
        <w:rPr>
          <w:rFonts w:ascii="Calibri" w:eastAsia="Calibri" w:hAnsi="Calibri"/>
          <w:i/>
          <w:sz w:val="22"/>
          <w:szCs w:val="22"/>
        </w:rPr>
        <w:t xml:space="preserve">(i) is not an entity; and </w:t>
      </w:r>
    </w:p>
    <w:p w:rsidR="00986134" w:rsidRPr="00986134" w:rsidRDefault="00986134" w:rsidP="00986134">
      <w:pPr>
        <w:spacing w:line="276" w:lineRule="auto"/>
        <w:ind w:left="1440"/>
        <w:rPr>
          <w:rFonts w:ascii="Calibri" w:eastAsia="Calibri" w:hAnsi="Calibri"/>
          <w:i/>
          <w:sz w:val="22"/>
          <w:szCs w:val="22"/>
        </w:rPr>
      </w:pPr>
      <w:r w:rsidRPr="00986134">
        <w:rPr>
          <w:rFonts w:ascii="Calibri" w:eastAsia="Calibri" w:hAnsi="Calibri"/>
          <w:i/>
          <w:sz w:val="22"/>
          <w:szCs w:val="22"/>
        </w:rPr>
        <w:t xml:space="preserve">(ii) is either established by the Commonwealth, a State or a Territory (whether under a law or not) to carry on an * enterprise or established for a public purpose by an * Australian law; and </w:t>
      </w:r>
    </w:p>
    <w:p w:rsidR="00986134" w:rsidRPr="00986134" w:rsidRDefault="00986134" w:rsidP="00986134">
      <w:pPr>
        <w:spacing w:line="276" w:lineRule="auto"/>
        <w:ind w:left="1440"/>
        <w:rPr>
          <w:rFonts w:ascii="Calibri" w:eastAsia="Calibri" w:hAnsi="Calibri"/>
          <w:i/>
          <w:sz w:val="22"/>
          <w:szCs w:val="22"/>
        </w:rPr>
      </w:pPr>
      <w:r w:rsidRPr="00986134">
        <w:rPr>
          <w:rFonts w:ascii="Calibri" w:eastAsia="Calibri" w:hAnsi="Calibri"/>
          <w:i/>
          <w:sz w:val="22"/>
          <w:szCs w:val="22"/>
        </w:rPr>
        <w:t xml:space="preserve">(iii) can be separately identified by reference to the nature of the activities carried on through the organisation or the location of the organisation; </w:t>
      </w:r>
    </w:p>
    <w:p w:rsidR="00986134" w:rsidRPr="00986134" w:rsidRDefault="00986134" w:rsidP="00986134">
      <w:pPr>
        <w:spacing w:line="276" w:lineRule="auto"/>
        <w:ind w:left="1440"/>
        <w:rPr>
          <w:rFonts w:ascii="Calibri" w:eastAsia="Calibri" w:hAnsi="Calibri"/>
          <w:sz w:val="22"/>
          <w:szCs w:val="22"/>
        </w:rPr>
      </w:pPr>
      <w:r w:rsidRPr="00986134">
        <w:rPr>
          <w:rFonts w:ascii="Calibri" w:eastAsia="Calibri" w:hAnsi="Calibri"/>
          <w:i/>
          <w:sz w:val="22"/>
          <w:szCs w:val="22"/>
        </w:rPr>
        <w:t>whether or not the organisation is part of a Department or branch described in paragraph (a), (b), (c) or (d) or of another organisation of the kind described in this paragraph</w:t>
      </w:r>
      <w:r w:rsidRPr="00986134">
        <w:rPr>
          <w:rFonts w:ascii="Calibri" w:eastAsia="Calibri" w:hAnsi="Calibri"/>
          <w:sz w:val="22"/>
          <w:szCs w:val="22"/>
        </w:rPr>
        <w:t xml:space="preserve">. </w:t>
      </w:r>
    </w:p>
    <w:p w:rsidR="00986134" w:rsidRPr="00986134" w:rsidRDefault="00986134" w:rsidP="00986134">
      <w:pPr>
        <w:spacing w:line="276" w:lineRule="auto"/>
        <w:ind w:left="1440"/>
        <w:rPr>
          <w:rFonts w:ascii="Calibri" w:eastAsia="Calibri" w:hAnsi="Calibri"/>
          <w:sz w:val="22"/>
          <w:szCs w:val="22"/>
        </w:rPr>
      </w:pPr>
    </w:p>
    <w:p w:rsidR="00986134" w:rsidRPr="00986134" w:rsidRDefault="00986134" w:rsidP="00986134">
      <w:pPr>
        <w:spacing w:line="276" w:lineRule="auto"/>
        <w:ind w:left="720"/>
        <w:rPr>
          <w:rFonts w:ascii="Calibri" w:eastAsia="Calibri" w:hAnsi="Calibri"/>
          <w:sz w:val="22"/>
          <w:szCs w:val="22"/>
        </w:rPr>
      </w:pPr>
      <w:r w:rsidRPr="00986134">
        <w:rPr>
          <w:rFonts w:ascii="Calibri" w:eastAsia="Calibri" w:hAnsi="Calibri"/>
          <w:sz w:val="22"/>
          <w:szCs w:val="22"/>
        </w:rPr>
        <w:t xml:space="preserve">This definition will not include entities set up under statute and controlled by government such as public hospitals. Philanthropy Australia’s reading of this is that such entities will need to be prescribed in order for charitable trusts to be able to fund them with confidence.  We understand that a process of identifying entities which would be charitable but for their link to government is under way and are in favour of this process being completed before the definition comes into effect on 1 January 2014. </w:t>
      </w:r>
    </w:p>
    <w:p w:rsidR="00986134" w:rsidRPr="00986134" w:rsidRDefault="00986134" w:rsidP="00986134">
      <w:pPr>
        <w:numPr>
          <w:ilvl w:val="0"/>
          <w:numId w:val="5"/>
        </w:numPr>
        <w:spacing w:after="200" w:line="276" w:lineRule="auto"/>
        <w:contextualSpacing/>
        <w:rPr>
          <w:rFonts w:ascii="Calibri" w:eastAsia="Calibri" w:hAnsi="Calibri"/>
          <w:sz w:val="22"/>
          <w:szCs w:val="22"/>
        </w:rPr>
      </w:pPr>
      <w:r w:rsidRPr="00986134">
        <w:rPr>
          <w:rFonts w:ascii="Calibri" w:eastAsia="Calibri" w:hAnsi="Calibri"/>
          <w:sz w:val="22"/>
          <w:szCs w:val="22"/>
        </w:rPr>
        <w:t>And finally, there will be immense confusion about which Private and Public Ancillary Funds have “opted in” as this information will not appear on the ABR, on the ACNC Register, nor in their trust deeds. This may cause problems in later years if corporate history is not carefully curated.</w:t>
      </w:r>
    </w:p>
    <w:p w:rsidR="00986134" w:rsidRPr="00986134" w:rsidRDefault="00986134" w:rsidP="00986134">
      <w:pPr>
        <w:spacing w:after="200" w:line="276" w:lineRule="auto"/>
        <w:rPr>
          <w:rFonts w:ascii="Calibri" w:eastAsia="Calibri" w:hAnsi="Calibri"/>
          <w:b/>
          <w:sz w:val="22"/>
          <w:szCs w:val="22"/>
        </w:rPr>
      </w:pPr>
      <w:r w:rsidRPr="00986134">
        <w:rPr>
          <w:rFonts w:ascii="Calibri" w:eastAsia="Calibri" w:hAnsi="Calibri"/>
          <w:sz w:val="22"/>
          <w:szCs w:val="22"/>
        </w:rPr>
        <w:t xml:space="preserve">Philanthropy Australia suggests that significant redrafting of this section is needed and that one way to simplify this task would be to allow charitable funds to retain their charitable status if they distribution to any Deductible Gift Recipients (DGRs), whether or not they would be “charitable but for their connection to government”. </w:t>
      </w:r>
    </w:p>
    <w:p w:rsidR="00986134" w:rsidRPr="00986134" w:rsidRDefault="00986134" w:rsidP="00986134">
      <w:pPr>
        <w:spacing w:after="200" w:line="276" w:lineRule="auto"/>
        <w:rPr>
          <w:rFonts w:ascii="Calibri" w:eastAsia="Calibri" w:hAnsi="Calibri"/>
          <w:b/>
          <w:sz w:val="22"/>
          <w:szCs w:val="22"/>
        </w:rPr>
      </w:pPr>
      <w:r w:rsidRPr="00986134">
        <w:rPr>
          <w:rFonts w:ascii="Calibri" w:eastAsia="Calibri" w:hAnsi="Calibri"/>
          <w:b/>
          <w:sz w:val="22"/>
          <w:szCs w:val="22"/>
        </w:rPr>
        <w:t>Part 3, section 13 – Purpose of advancing social or public welfare</w:t>
      </w:r>
    </w:p>
    <w:p w:rsidR="00986134" w:rsidRPr="00986134" w:rsidRDefault="00986134" w:rsidP="00986134">
      <w:pPr>
        <w:spacing w:after="200" w:line="276" w:lineRule="auto"/>
        <w:rPr>
          <w:rFonts w:ascii="Calibri" w:eastAsia="Calibri" w:hAnsi="Calibri"/>
          <w:sz w:val="22"/>
          <w:szCs w:val="22"/>
        </w:rPr>
      </w:pPr>
      <w:r w:rsidRPr="00986134">
        <w:rPr>
          <w:rFonts w:ascii="Calibri" w:eastAsia="Calibri" w:hAnsi="Calibri"/>
          <w:sz w:val="22"/>
          <w:szCs w:val="22"/>
        </w:rPr>
        <w:t xml:space="preserve">Item (2) of section 13 is overly complicated and will not necessarily achieve the policy aims of this section. Philanthropy Australia suggests that a better way of achieving the aims of this section would be to include community development as a charitable purpose. Furthermore, Philanthropy Australia suggests that the word “building” should be inserted before “rebuilding”. It is likely that post-disaster situations may arise where a community needs to not just rebuild existing infrastructure but to build something entirely new. For example, after a disaster which caused widespread serious injuries and other physical suffering, a community may need to build a health clinic where it was previously serviced by mobile health services. </w:t>
      </w:r>
    </w:p>
    <w:p w:rsidR="00986134" w:rsidRPr="00986134" w:rsidRDefault="00986134" w:rsidP="00986134">
      <w:pPr>
        <w:spacing w:after="200" w:line="276" w:lineRule="auto"/>
        <w:rPr>
          <w:rFonts w:ascii="Calibri" w:eastAsia="Calibri" w:hAnsi="Calibri"/>
          <w:b/>
          <w:sz w:val="22"/>
          <w:szCs w:val="22"/>
        </w:rPr>
      </w:pPr>
      <w:r w:rsidRPr="00986134">
        <w:rPr>
          <w:rFonts w:ascii="Calibri" w:eastAsia="Calibri" w:hAnsi="Calibri"/>
          <w:b/>
          <w:sz w:val="22"/>
          <w:szCs w:val="22"/>
        </w:rPr>
        <w:t>Part 4, section 14 – Cy pres schemes</w:t>
      </w:r>
    </w:p>
    <w:p w:rsidR="00986134" w:rsidRPr="00986134" w:rsidRDefault="00986134" w:rsidP="00986134">
      <w:pPr>
        <w:spacing w:after="200" w:line="276" w:lineRule="auto"/>
        <w:rPr>
          <w:rFonts w:ascii="Calibri" w:eastAsia="Calibri" w:hAnsi="Calibri"/>
          <w:sz w:val="22"/>
          <w:szCs w:val="22"/>
        </w:rPr>
      </w:pPr>
      <w:r w:rsidRPr="00986134">
        <w:rPr>
          <w:rFonts w:ascii="Calibri" w:eastAsia="Calibri" w:hAnsi="Calibri"/>
          <w:sz w:val="22"/>
          <w:szCs w:val="22"/>
        </w:rPr>
        <w:t xml:space="preserve">This section notes that “Trust law may, in certain circumstances, allow the purposes of a trust to be altered to remove purposes that are not charitable purposes”. It should also recognise that state trust law also provides a power for non-charitable purposes to be ignored. </w:t>
      </w:r>
    </w:p>
    <w:p w:rsidR="00AB42AB" w:rsidRDefault="00AB42AB" w:rsidP="00AB42AB">
      <w:pPr>
        <w:spacing w:after="200" w:line="276" w:lineRule="auto"/>
        <w:rPr>
          <w:rFonts w:ascii="Calibri" w:eastAsia="Calibri" w:hAnsi="Calibri"/>
          <w:sz w:val="22"/>
          <w:szCs w:val="22"/>
        </w:rPr>
      </w:pPr>
      <w:r>
        <w:rPr>
          <w:rFonts w:ascii="Calibri" w:eastAsia="Calibri" w:hAnsi="Calibri"/>
          <w:sz w:val="22"/>
          <w:szCs w:val="22"/>
        </w:rPr>
        <w:t xml:space="preserve">Thank you again for the opportunity to provide comment. </w:t>
      </w:r>
    </w:p>
    <w:p w:rsidR="00AB42AB" w:rsidRDefault="00AB42AB" w:rsidP="00AB42AB">
      <w:pPr>
        <w:pStyle w:val="PABodyText"/>
      </w:pPr>
      <w:r>
        <w:t>Yours sincerely</w:t>
      </w:r>
    </w:p>
    <w:p w:rsidR="00AB42AB" w:rsidRDefault="00AB42AB" w:rsidP="00AB42AB">
      <w:pPr>
        <w:pStyle w:val="PABodyText"/>
      </w:pPr>
    </w:p>
    <w:p w:rsidR="00AB42AB" w:rsidRDefault="00AB42AB" w:rsidP="00AB42AB">
      <w:pPr>
        <w:pStyle w:val="PABodyText"/>
      </w:pPr>
      <w:r>
        <w:rPr>
          <w:noProof/>
          <w:lang w:val="en-US"/>
        </w:rPr>
        <w:drawing>
          <wp:inline distT="0" distB="0" distL="0" distR="0" wp14:anchorId="00849108" wp14:editId="78BC9F25">
            <wp:extent cx="1943100" cy="1421239"/>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uise-walsh-signature.png"/>
                    <pic:cNvPicPr/>
                  </pic:nvPicPr>
                  <pic:blipFill>
                    <a:blip r:embed="rId8">
                      <a:extLst>
                        <a:ext uri="{28A0092B-C50C-407E-A947-70E740481C1C}">
                          <a14:useLocalDpi xmlns:a14="http://schemas.microsoft.com/office/drawing/2010/main" val="0"/>
                        </a:ext>
                      </a:extLst>
                    </a:blip>
                    <a:stretch>
                      <a:fillRect/>
                    </a:stretch>
                  </pic:blipFill>
                  <pic:spPr>
                    <a:xfrm>
                      <a:off x="0" y="0"/>
                      <a:ext cx="1943100" cy="1421239"/>
                    </a:xfrm>
                    <a:prstGeom prst="rect">
                      <a:avLst/>
                    </a:prstGeom>
                  </pic:spPr>
                </pic:pic>
              </a:graphicData>
            </a:graphic>
          </wp:inline>
        </w:drawing>
      </w:r>
    </w:p>
    <w:p w:rsidR="00AB42AB" w:rsidRDefault="00AB42AB" w:rsidP="00AB42AB">
      <w:pPr>
        <w:pStyle w:val="PABodyText"/>
      </w:pPr>
    </w:p>
    <w:p w:rsidR="00AB42AB" w:rsidRDefault="00AB42AB" w:rsidP="00AB42AB">
      <w:pPr>
        <w:pStyle w:val="PABodyText"/>
      </w:pPr>
    </w:p>
    <w:p w:rsidR="00AB42AB" w:rsidRDefault="00AB42AB" w:rsidP="00AB42AB">
      <w:pPr>
        <w:pStyle w:val="PABodyText"/>
      </w:pPr>
    </w:p>
    <w:p w:rsidR="00AB42AB" w:rsidRDefault="00AB42AB" w:rsidP="00AB42AB">
      <w:pPr>
        <w:pStyle w:val="PABodyText"/>
      </w:pPr>
      <w:r>
        <w:t>Louise Walsh</w:t>
      </w:r>
    </w:p>
    <w:p w:rsidR="00AB42AB" w:rsidRDefault="00AB42AB" w:rsidP="00AB42AB">
      <w:pPr>
        <w:pStyle w:val="PABodyText"/>
      </w:pPr>
      <w:r>
        <w:t>Chief Executive Officer</w:t>
      </w:r>
    </w:p>
    <w:sectPr w:rsidR="00AB42AB" w:rsidSect="00011357">
      <w:headerReference w:type="default" r:id="rId9"/>
      <w:footerReference w:type="even" r:id="rId10"/>
      <w:footerReference w:type="default" r:id="rId11"/>
      <w:headerReference w:type="first" r:id="rId12"/>
      <w:footerReference w:type="first" r:id="rId13"/>
      <w:pgSz w:w="11907" w:h="16840"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2AB" w:rsidRDefault="00AB42AB">
      <w:r>
        <w:separator/>
      </w:r>
    </w:p>
  </w:endnote>
  <w:endnote w:type="continuationSeparator" w:id="0">
    <w:p w:rsidR="00AB42AB" w:rsidRDefault="00AB4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2FF" w:rsidRDefault="00F142FF" w:rsidP="00916FB9">
    <w:pPr>
      <w:framePr w:wrap="around" w:vAnchor="text" w:hAnchor="margin" w:xAlign="right" w:y="1"/>
    </w:pPr>
    <w:r>
      <w:fldChar w:fldCharType="begin"/>
    </w:r>
    <w:r>
      <w:instrText xml:space="preserve">PAGE  </w:instrText>
    </w:r>
    <w:r>
      <w:fldChar w:fldCharType="end"/>
    </w:r>
  </w:p>
  <w:p w:rsidR="00F142FF" w:rsidRDefault="00F142FF" w:rsidP="00E47800">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124" w:rsidRDefault="004B5124">
    <w:pPr>
      <w:pStyle w:val="Footer"/>
    </w:pPr>
  </w:p>
  <w:p w:rsidR="00946ED4" w:rsidRDefault="005A3047">
    <w:pPr>
      <w:pStyle w:val="Footer"/>
    </w:pPr>
    <w:r>
      <w:rPr>
        <w:noProof/>
        <w:lang w:val="en-US"/>
      </w:rPr>
      <mc:AlternateContent>
        <mc:Choice Requires="wps">
          <w:drawing>
            <wp:anchor distT="0" distB="0" distL="114300" distR="114300" simplePos="0" relativeHeight="251657728" behindDoc="0" locked="0" layoutInCell="1" allowOverlap="1" wp14:anchorId="2BE2E9A4" wp14:editId="3B29F33F">
              <wp:simplePos x="0" y="0"/>
              <wp:positionH relativeFrom="column">
                <wp:posOffset>5602605</wp:posOffset>
              </wp:positionH>
              <wp:positionV relativeFrom="paragraph">
                <wp:posOffset>148590</wp:posOffset>
              </wp:positionV>
              <wp:extent cx="914400" cy="306070"/>
              <wp:effectExtent l="1905" t="0" r="0" b="2540"/>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6070"/>
                      </a:xfrm>
                      <a:prstGeom prst="rect">
                        <a:avLst/>
                      </a:prstGeom>
                      <a:noFill/>
                      <a:ln>
                        <a:noFill/>
                      </a:ln>
                      <a:extLst>
                        <a:ext uri="{909E8E84-426E-40DD-AFC4-6F175D3DCCD1}">
                          <a14:hiddenFill xmlns:a14="http://schemas.microsoft.com/office/drawing/2010/main">
                            <a:gradFill rotWithShape="1">
                              <a:gsLst>
                                <a:gs pos="0">
                                  <a:srgbClr val="FFFFFF"/>
                                </a:gs>
                                <a:gs pos="100000">
                                  <a:srgbClr val="E7F2FF"/>
                                </a:gs>
                              </a:gsLst>
                              <a:lin ang="0" scaled="1"/>
                            </a:gra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ED4" w:rsidRPr="00946ED4" w:rsidRDefault="00946ED4" w:rsidP="00946ED4">
                          <w:pPr>
                            <w:pStyle w:val="PAPageNumbers"/>
                            <w:rPr>
                              <w:rFonts w:ascii="Times New Roman" w:hAnsi="Times New Roman" w:cs="Times New Roman"/>
                              <w:sz w:val="22"/>
                              <w:szCs w:val="22"/>
                            </w:rPr>
                          </w:pPr>
                          <w:r w:rsidRPr="00946ED4">
                            <w:rPr>
                              <w:rFonts w:ascii="Times New Roman" w:hAnsi="Times New Roman" w:cs="Times New Roman"/>
                              <w:sz w:val="22"/>
                              <w:szCs w:val="22"/>
                            </w:rPr>
                            <w:t xml:space="preserve">Page </w:t>
                          </w:r>
                          <w:r w:rsidRPr="00946ED4">
                            <w:rPr>
                              <w:rFonts w:ascii="Times New Roman" w:hAnsi="Times New Roman" w:cs="Times New Roman"/>
                              <w:sz w:val="22"/>
                              <w:szCs w:val="22"/>
                            </w:rPr>
                            <w:fldChar w:fldCharType="begin"/>
                          </w:r>
                          <w:r w:rsidRPr="00946ED4">
                            <w:rPr>
                              <w:rFonts w:ascii="Times New Roman" w:hAnsi="Times New Roman" w:cs="Times New Roman"/>
                              <w:sz w:val="22"/>
                              <w:szCs w:val="22"/>
                            </w:rPr>
                            <w:instrText xml:space="preserve"> PAGE </w:instrText>
                          </w:r>
                          <w:r w:rsidRPr="00946ED4">
                            <w:rPr>
                              <w:rFonts w:ascii="Times New Roman" w:hAnsi="Times New Roman" w:cs="Times New Roman"/>
                              <w:sz w:val="22"/>
                              <w:szCs w:val="22"/>
                            </w:rPr>
                            <w:fldChar w:fldCharType="separate"/>
                          </w:r>
                          <w:r w:rsidR="001B62AA">
                            <w:rPr>
                              <w:rFonts w:ascii="Times New Roman" w:hAnsi="Times New Roman" w:cs="Times New Roman"/>
                              <w:noProof/>
                              <w:sz w:val="22"/>
                              <w:szCs w:val="22"/>
                            </w:rPr>
                            <w:t>2</w:t>
                          </w:r>
                          <w:r w:rsidRPr="00946ED4">
                            <w:rPr>
                              <w:rFonts w:ascii="Times New Roman" w:hAnsi="Times New Roman" w:cs="Times New Roman"/>
                              <w:sz w:val="22"/>
                              <w:szCs w:val="22"/>
                            </w:rPr>
                            <w:fldChar w:fldCharType="end"/>
                          </w:r>
                          <w:r w:rsidRPr="00946ED4">
                            <w:rPr>
                              <w:rFonts w:ascii="Times New Roman" w:hAnsi="Times New Roman" w:cs="Times New Roman"/>
                              <w:sz w:val="22"/>
                              <w:szCs w:val="22"/>
                            </w:rPr>
                            <w:t xml:space="preserve"> of </w:t>
                          </w:r>
                          <w:r w:rsidRPr="00946ED4">
                            <w:rPr>
                              <w:rFonts w:ascii="Times New Roman" w:hAnsi="Times New Roman" w:cs="Times New Roman"/>
                              <w:sz w:val="22"/>
                              <w:szCs w:val="22"/>
                            </w:rPr>
                            <w:fldChar w:fldCharType="begin"/>
                          </w:r>
                          <w:r w:rsidRPr="00946ED4">
                            <w:rPr>
                              <w:rFonts w:ascii="Times New Roman" w:hAnsi="Times New Roman" w:cs="Times New Roman"/>
                              <w:sz w:val="22"/>
                              <w:szCs w:val="22"/>
                            </w:rPr>
                            <w:instrText xml:space="preserve"> NUMPAGES </w:instrText>
                          </w:r>
                          <w:r w:rsidRPr="00946ED4">
                            <w:rPr>
                              <w:rFonts w:ascii="Times New Roman" w:hAnsi="Times New Roman" w:cs="Times New Roman"/>
                              <w:sz w:val="22"/>
                              <w:szCs w:val="22"/>
                            </w:rPr>
                            <w:fldChar w:fldCharType="separate"/>
                          </w:r>
                          <w:r w:rsidR="001B62AA">
                            <w:rPr>
                              <w:rFonts w:ascii="Times New Roman" w:hAnsi="Times New Roman" w:cs="Times New Roman"/>
                              <w:noProof/>
                              <w:sz w:val="22"/>
                              <w:szCs w:val="22"/>
                            </w:rPr>
                            <w:t>2</w:t>
                          </w:r>
                          <w:r w:rsidRPr="00946ED4">
                            <w:rPr>
                              <w:rFonts w:ascii="Times New Roman" w:hAnsi="Times New Roman" w:cs="Times New Roman"/>
                              <w:sz w:val="22"/>
                              <w:szCs w:val="22"/>
                            </w:rPr>
                            <w:fldChar w:fldCharType="end"/>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margin-left:441.15pt;margin-top:11.7pt;width:1in;height:2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" filled="f" stroked="f">
              <v:fill color2="#e7f2ff" rotate="t" angle="90" focus="100%" type="gradient"/>
              <v:textbox inset="0,2mm,0,0">
                <w:txbxContent>
                  <w:p w:rsidR="00946ED4" w:rsidRPr="00946ED4" w:rsidRDefault="00946ED4" w:rsidP="00946ED4">
                    <w:pPr>
                      <w:pStyle w:val="PAPageNumbers"/>
                      <w:rPr>
                        <w:rFonts w:ascii="Times New Roman" w:hAnsi="Times New Roman" w:cs="Times New Roman"/>
                        <w:sz w:val="22"/>
                        <w:szCs w:val="22"/>
                      </w:rPr>
                    </w:pPr>
                    <w:r w:rsidRPr="00946ED4">
                      <w:rPr>
                        <w:rFonts w:ascii="Times New Roman" w:hAnsi="Times New Roman" w:cs="Times New Roman"/>
                        <w:sz w:val="22"/>
                        <w:szCs w:val="22"/>
                      </w:rPr>
                      <w:t xml:space="preserve">Page </w:t>
                    </w:r>
                    <w:r w:rsidRPr="00946ED4">
                      <w:rPr>
                        <w:rFonts w:ascii="Times New Roman" w:hAnsi="Times New Roman" w:cs="Times New Roman"/>
                        <w:sz w:val="22"/>
                        <w:szCs w:val="22"/>
                      </w:rPr>
                      <w:fldChar w:fldCharType="begin"/>
                    </w:r>
                    <w:r w:rsidRPr="00946ED4">
                      <w:rPr>
                        <w:rFonts w:ascii="Times New Roman" w:hAnsi="Times New Roman" w:cs="Times New Roman"/>
                        <w:sz w:val="22"/>
                        <w:szCs w:val="22"/>
                      </w:rPr>
                      <w:instrText xml:space="preserve"> PAGE </w:instrText>
                    </w:r>
                    <w:r w:rsidRPr="00946ED4">
                      <w:rPr>
                        <w:rFonts w:ascii="Times New Roman" w:hAnsi="Times New Roman" w:cs="Times New Roman"/>
                        <w:sz w:val="22"/>
                        <w:szCs w:val="22"/>
                      </w:rPr>
                      <w:fldChar w:fldCharType="separate"/>
                    </w:r>
                    <w:r w:rsidR="001B62AA">
                      <w:rPr>
                        <w:rFonts w:ascii="Times New Roman" w:hAnsi="Times New Roman" w:cs="Times New Roman"/>
                        <w:noProof/>
                        <w:sz w:val="22"/>
                        <w:szCs w:val="22"/>
                      </w:rPr>
                      <w:t>2</w:t>
                    </w:r>
                    <w:r w:rsidRPr="00946ED4">
                      <w:rPr>
                        <w:rFonts w:ascii="Times New Roman" w:hAnsi="Times New Roman" w:cs="Times New Roman"/>
                        <w:sz w:val="22"/>
                        <w:szCs w:val="22"/>
                      </w:rPr>
                      <w:fldChar w:fldCharType="end"/>
                    </w:r>
                    <w:r w:rsidRPr="00946ED4">
                      <w:rPr>
                        <w:rFonts w:ascii="Times New Roman" w:hAnsi="Times New Roman" w:cs="Times New Roman"/>
                        <w:sz w:val="22"/>
                        <w:szCs w:val="22"/>
                      </w:rPr>
                      <w:t xml:space="preserve"> of </w:t>
                    </w:r>
                    <w:r w:rsidRPr="00946ED4">
                      <w:rPr>
                        <w:rFonts w:ascii="Times New Roman" w:hAnsi="Times New Roman" w:cs="Times New Roman"/>
                        <w:sz w:val="22"/>
                        <w:szCs w:val="22"/>
                      </w:rPr>
                      <w:fldChar w:fldCharType="begin"/>
                    </w:r>
                    <w:r w:rsidRPr="00946ED4">
                      <w:rPr>
                        <w:rFonts w:ascii="Times New Roman" w:hAnsi="Times New Roman" w:cs="Times New Roman"/>
                        <w:sz w:val="22"/>
                        <w:szCs w:val="22"/>
                      </w:rPr>
                      <w:instrText xml:space="preserve"> NUMPAGES </w:instrText>
                    </w:r>
                    <w:r w:rsidRPr="00946ED4">
                      <w:rPr>
                        <w:rFonts w:ascii="Times New Roman" w:hAnsi="Times New Roman" w:cs="Times New Roman"/>
                        <w:sz w:val="22"/>
                        <w:szCs w:val="22"/>
                      </w:rPr>
                      <w:fldChar w:fldCharType="separate"/>
                    </w:r>
                    <w:r w:rsidR="001B62AA">
                      <w:rPr>
                        <w:rFonts w:ascii="Times New Roman" w:hAnsi="Times New Roman" w:cs="Times New Roman"/>
                        <w:noProof/>
                        <w:sz w:val="22"/>
                        <w:szCs w:val="22"/>
                      </w:rPr>
                      <w:t>2</w:t>
                    </w:r>
                    <w:r w:rsidRPr="00946ED4">
                      <w:rPr>
                        <w:rFonts w:ascii="Times New Roman" w:hAnsi="Times New Roman" w:cs="Times New Roman"/>
                        <w:sz w:val="22"/>
                        <w:szCs w:val="2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124" w:rsidRDefault="004B5124">
    <w:pPr>
      <w:pStyle w:val="Footer"/>
    </w:pPr>
  </w:p>
  <w:p w:rsidR="00946ED4" w:rsidRDefault="00946E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2AB" w:rsidRDefault="00AB42AB">
      <w:r>
        <w:separator/>
      </w:r>
    </w:p>
  </w:footnote>
  <w:footnote w:type="continuationSeparator" w:id="0">
    <w:p w:rsidR="00AB42AB" w:rsidRDefault="00AB42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5F2" w:rsidRPr="00A90F30" w:rsidRDefault="005A3047">
    <w:pPr>
      <w:rPr>
        <w:rFonts w:ascii="Arial" w:hAnsi="Arial" w:cs="Arial"/>
      </w:rPr>
    </w:pPr>
    <w:r>
      <w:rPr>
        <w:rFonts w:ascii="Arial" w:hAnsi="Arial" w:cs="Arial"/>
        <w:noProof/>
        <w:lang w:val="en-US"/>
      </w:rPr>
      <mc:AlternateContent>
        <mc:Choice Requires="wps">
          <w:drawing>
            <wp:anchor distT="0" distB="0" distL="114300" distR="114300" simplePos="0" relativeHeight="251656704" behindDoc="0" locked="0" layoutInCell="1" allowOverlap="1" wp14:anchorId="75FFDFC3" wp14:editId="743838AB">
              <wp:simplePos x="0" y="0"/>
              <wp:positionH relativeFrom="column">
                <wp:posOffset>5143500</wp:posOffset>
              </wp:positionH>
              <wp:positionV relativeFrom="paragraph">
                <wp:posOffset>135890</wp:posOffset>
              </wp:positionV>
              <wp:extent cx="1828800" cy="2400300"/>
              <wp:effectExtent l="0" t="2540" r="0" b="0"/>
              <wp:wrapNone/>
              <wp:docPr id="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400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405pt;margin-top:10.7pt;width:2in;height:1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" strok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5F2" w:rsidRDefault="00A30A90" w:rsidP="004C6043">
    <w:pPr>
      <w:pStyle w:val="PAHeader"/>
    </w:pPr>
    <w:r>
      <w:rPr>
        <w:noProof/>
        <w:lang w:val="en-US"/>
      </w:rPr>
      <w:drawing>
        <wp:anchor distT="0" distB="0" distL="114300" distR="114300" simplePos="0" relativeHeight="251659776" behindDoc="1" locked="0" layoutInCell="1" allowOverlap="1" wp14:anchorId="53659A57" wp14:editId="7BDEEF5E">
          <wp:simplePos x="0" y="0"/>
          <wp:positionH relativeFrom="column">
            <wp:posOffset>-559435</wp:posOffset>
          </wp:positionH>
          <wp:positionV relativeFrom="paragraph">
            <wp:posOffset>-478790</wp:posOffset>
          </wp:positionV>
          <wp:extent cx="5000625" cy="10739708"/>
          <wp:effectExtent l="0" t="0" r="0" b="5080"/>
          <wp:wrapNone/>
          <wp:docPr id="4" name="Picture 4" descr="PA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A Letterhead"/>
                  <pic:cNvPicPr>
                    <a:picLocks noChangeAspect="1" noChangeArrowheads="1"/>
                  </pic:cNvPicPr>
                </pic:nvPicPr>
                <pic:blipFill rotWithShape="1">
                  <a:blip r:embed="rId1">
                    <a:extLst>
                      <a:ext uri="{28A0092B-C50C-407E-A947-70E740481C1C}">
                        <a14:useLocalDpi xmlns:a14="http://schemas.microsoft.com/office/drawing/2010/main" val="0"/>
                      </a:ext>
                    </a:extLst>
                  </a:blip>
                  <a:srcRect r="34128"/>
                  <a:stretch/>
                </pic:blipFill>
                <pic:spPr bwMode="auto">
                  <a:xfrm>
                    <a:off x="0" y="0"/>
                    <a:ext cx="5002716" cy="10744200"/>
                  </a:xfrm>
                  <a:prstGeom prst="rect">
                    <a:avLst/>
                  </a:prstGeom>
                  <a:noFill/>
                  <a:ln w="9525" cap="flat" cmpd="sng" algn="ctr">
                    <a:noFill/>
                    <a:prstDash val="solid"/>
                    <a:miter lim="800000"/>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142FF" w:rsidRDefault="00F142FF" w:rsidP="004C6043">
    <w:pPr>
      <w:pStyle w:val="PAHeader"/>
    </w:pPr>
  </w:p>
  <w:p w:rsidR="003055F2" w:rsidRDefault="003055F2" w:rsidP="004C6043">
    <w:pPr>
      <w:pStyle w:val="PAHeader"/>
    </w:pPr>
  </w:p>
  <w:p w:rsidR="003055F2" w:rsidRDefault="003055F2" w:rsidP="004C6043">
    <w:pPr>
      <w:pStyle w:val="PAHeader"/>
    </w:pPr>
  </w:p>
  <w:p w:rsidR="003055F2" w:rsidRDefault="003055F2" w:rsidP="004C6043">
    <w:pPr>
      <w:pStyle w:val="PAHeader"/>
    </w:pPr>
  </w:p>
  <w:p w:rsidR="003055F2" w:rsidRDefault="005A3047" w:rsidP="004C6043">
    <w:pPr>
      <w:pStyle w:val="PAHeader"/>
    </w:pPr>
    <w:r>
      <w:rPr>
        <w:noProof/>
        <w:lang w:val="en-US"/>
      </w:rPr>
      <mc:AlternateContent>
        <mc:Choice Requires="wps">
          <w:drawing>
            <wp:anchor distT="0" distB="0" distL="114300" distR="114300" simplePos="0" relativeHeight="251658752" behindDoc="0" locked="0" layoutInCell="1" allowOverlap="1" wp14:anchorId="3291DB57" wp14:editId="20986B8E">
              <wp:simplePos x="0" y="0"/>
              <wp:positionH relativeFrom="column">
                <wp:posOffset>5488940</wp:posOffset>
              </wp:positionH>
              <wp:positionV relativeFrom="paragraph">
                <wp:posOffset>16510</wp:posOffset>
              </wp:positionV>
              <wp:extent cx="2181225" cy="5286375"/>
              <wp:effectExtent l="2540" t="0" r="0" b="2540"/>
              <wp:wrapNone/>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5286375"/>
                      </a:xfrm>
                      <a:prstGeom prst="rect">
                        <a:avLst/>
                      </a:prstGeom>
                      <a:noFill/>
                      <a:ln>
                        <a:noFill/>
                      </a:ln>
                      <a:effectLst/>
                      <a:extLst>
                        <a:ext uri="{909E8E84-426E-40DD-AFC4-6F175D3DCCD1}">
                          <a14:hiddenFill xmlns:a14="http://schemas.microsoft.com/office/drawing/2010/main">
                            <a:gradFill rotWithShape="1">
                              <a:gsLst>
                                <a:gs pos="0">
                                  <a:srgbClr val="FFFFFF"/>
                                </a:gs>
                                <a:gs pos="100000">
                                  <a:srgbClr val="E7F2FF"/>
                                </a:gs>
                              </a:gsLst>
                              <a:lin ang="0" scaled="1"/>
                            </a:gra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3E2C" w:rsidRPr="00982BB5" w:rsidRDefault="00353E2C" w:rsidP="00353E2C">
                          <w:pPr>
                            <w:spacing w:line="204" w:lineRule="auto"/>
                            <w:rPr>
                              <w:b/>
                              <w:color w:val="003F87"/>
                              <w:w w:val="99"/>
                              <w:kern w:val="17"/>
                              <w:sz w:val="18"/>
                              <w:szCs w:val="18"/>
                            </w:rPr>
                          </w:pPr>
                          <w:r w:rsidRPr="00982BB5">
                            <w:rPr>
                              <w:b/>
                              <w:color w:val="003F87"/>
                              <w:w w:val="99"/>
                              <w:kern w:val="17"/>
                              <w:sz w:val="18"/>
                              <w:szCs w:val="18"/>
                            </w:rPr>
                            <w:t>Philanthropy Australia Inc</w:t>
                          </w:r>
                        </w:p>
                        <w:p w:rsidR="00353E2C" w:rsidRPr="00982BB5" w:rsidRDefault="00353E2C" w:rsidP="00353E2C">
                          <w:pPr>
                            <w:spacing w:line="204" w:lineRule="auto"/>
                            <w:rPr>
                              <w:color w:val="003F87"/>
                              <w:w w:val="99"/>
                              <w:kern w:val="17"/>
                              <w:sz w:val="18"/>
                              <w:szCs w:val="18"/>
                            </w:rPr>
                          </w:pPr>
                        </w:p>
                        <w:p w:rsidR="00353E2C" w:rsidRPr="00982BB5" w:rsidRDefault="00353E2C" w:rsidP="00353E2C">
                          <w:pPr>
                            <w:spacing w:line="204" w:lineRule="auto"/>
                            <w:rPr>
                              <w:color w:val="003F87"/>
                              <w:w w:val="99"/>
                              <w:kern w:val="17"/>
                              <w:sz w:val="18"/>
                              <w:szCs w:val="18"/>
                            </w:rPr>
                          </w:pPr>
                          <w:r w:rsidRPr="00982BB5">
                            <w:rPr>
                              <w:color w:val="003F87"/>
                              <w:w w:val="99"/>
                              <w:kern w:val="17"/>
                              <w:sz w:val="18"/>
                              <w:szCs w:val="18"/>
                            </w:rPr>
                            <w:t>Assn. No. A0014980 T</w:t>
                          </w:r>
                        </w:p>
                        <w:p w:rsidR="00353E2C" w:rsidRPr="00982BB5" w:rsidRDefault="00353E2C" w:rsidP="00353E2C">
                          <w:pPr>
                            <w:spacing w:line="204" w:lineRule="auto"/>
                            <w:rPr>
                              <w:color w:val="003F87"/>
                              <w:w w:val="99"/>
                              <w:kern w:val="17"/>
                              <w:sz w:val="18"/>
                              <w:szCs w:val="18"/>
                            </w:rPr>
                          </w:pPr>
                          <w:r w:rsidRPr="00982BB5">
                            <w:rPr>
                              <w:color w:val="003F87"/>
                              <w:w w:val="99"/>
                              <w:kern w:val="17"/>
                              <w:sz w:val="18"/>
                              <w:szCs w:val="18"/>
                            </w:rPr>
                            <w:t>ABN 79 578 875 531</w:t>
                          </w:r>
                        </w:p>
                        <w:p w:rsidR="00353E2C" w:rsidRPr="00982BB5" w:rsidRDefault="00353E2C" w:rsidP="00353E2C">
                          <w:pPr>
                            <w:spacing w:line="204" w:lineRule="auto"/>
                            <w:rPr>
                              <w:color w:val="003F87"/>
                              <w:w w:val="99"/>
                              <w:kern w:val="17"/>
                              <w:sz w:val="18"/>
                              <w:szCs w:val="18"/>
                            </w:rPr>
                          </w:pPr>
                        </w:p>
                        <w:p w:rsidR="00353E2C" w:rsidRPr="00982BB5" w:rsidRDefault="00353E2C" w:rsidP="00353E2C">
                          <w:pPr>
                            <w:spacing w:line="204" w:lineRule="auto"/>
                            <w:rPr>
                              <w:b/>
                              <w:color w:val="003F87"/>
                              <w:w w:val="99"/>
                              <w:kern w:val="17"/>
                              <w:sz w:val="18"/>
                              <w:szCs w:val="18"/>
                            </w:rPr>
                          </w:pPr>
                          <w:r>
                            <w:rPr>
                              <w:b/>
                              <w:color w:val="003F87"/>
                              <w:w w:val="99"/>
                              <w:kern w:val="17"/>
                              <w:sz w:val="18"/>
                              <w:szCs w:val="18"/>
                            </w:rPr>
                            <w:t>Melbourne Office</w:t>
                          </w:r>
                        </w:p>
                        <w:p w:rsidR="00353E2C" w:rsidRDefault="00353E2C" w:rsidP="00353E2C">
                          <w:pPr>
                            <w:spacing w:line="204" w:lineRule="auto"/>
                            <w:rPr>
                              <w:color w:val="003F87"/>
                              <w:w w:val="99"/>
                              <w:kern w:val="17"/>
                              <w:sz w:val="18"/>
                              <w:szCs w:val="18"/>
                            </w:rPr>
                          </w:pPr>
                          <w:r>
                            <w:rPr>
                              <w:color w:val="003F87"/>
                              <w:w w:val="99"/>
                              <w:kern w:val="17"/>
                              <w:sz w:val="18"/>
                              <w:szCs w:val="18"/>
                            </w:rPr>
                            <w:t>Level 2</w:t>
                          </w:r>
                        </w:p>
                        <w:p w:rsidR="00353E2C" w:rsidRPr="00982BB5" w:rsidRDefault="00353E2C" w:rsidP="00353E2C">
                          <w:pPr>
                            <w:spacing w:line="204" w:lineRule="auto"/>
                            <w:rPr>
                              <w:color w:val="003F87"/>
                              <w:w w:val="99"/>
                              <w:kern w:val="17"/>
                              <w:sz w:val="18"/>
                              <w:szCs w:val="18"/>
                            </w:rPr>
                          </w:pPr>
                          <w:r>
                            <w:rPr>
                              <w:color w:val="003F87"/>
                              <w:w w:val="99"/>
                              <w:kern w:val="17"/>
                              <w:sz w:val="18"/>
                              <w:szCs w:val="18"/>
                            </w:rPr>
                            <w:t>55 Collins Street</w:t>
                          </w:r>
                        </w:p>
                        <w:p w:rsidR="00353E2C" w:rsidRPr="00982BB5" w:rsidRDefault="00353E2C" w:rsidP="00353E2C">
                          <w:pPr>
                            <w:spacing w:line="204" w:lineRule="auto"/>
                            <w:rPr>
                              <w:color w:val="003F87"/>
                              <w:w w:val="99"/>
                              <w:kern w:val="17"/>
                              <w:sz w:val="18"/>
                              <w:szCs w:val="18"/>
                            </w:rPr>
                          </w:pPr>
                          <w:r>
                            <w:rPr>
                              <w:color w:val="003F87"/>
                              <w:w w:val="99"/>
                              <w:kern w:val="17"/>
                              <w:sz w:val="18"/>
                              <w:szCs w:val="18"/>
                            </w:rPr>
                            <w:t>Melbourne VIC 3000</w:t>
                          </w:r>
                        </w:p>
                        <w:p w:rsidR="00353E2C" w:rsidRPr="00982BB5" w:rsidRDefault="00353E2C" w:rsidP="00353E2C">
                          <w:pPr>
                            <w:spacing w:line="204" w:lineRule="auto"/>
                            <w:rPr>
                              <w:color w:val="003F87"/>
                              <w:w w:val="99"/>
                              <w:kern w:val="17"/>
                              <w:sz w:val="18"/>
                              <w:szCs w:val="18"/>
                            </w:rPr>
                          </w:pPr>
                          <w:r w:rsidRPr="00982BB5">
                            <w:rPr>
                              <w:color w:val="003F87"/>
                              <w:w w:val="99"/>
                              <w:kern w:val="17"/>
                              <w:sz w:val="18"/>
                              <w:szCs w:val="18"/>
                            </w:rPr>
                            <w:t>Australia</w:t>
                          </w:r>
                        </w:p>
                        <w:p w:rsidR="00353E2C" w:rsidRPr="00982BB5" w:rsidRDefault="00353E2C" w:rsidP="00353E2C">
                          <w:pPr>
                            <w:spacing w:line="204" w:lineRule="auto"/>
                            <w:rPr>
                              <w:color w:val="003F87"/>
                              <w:w w:val="99"/>
                              <w:kern w:val="17"/>
                              <w:sz w:val="12"/>
                              <w:szCs w:val="16"/>
                            </w:rPr>
                          </w:pPr>
                        </w:p>
                        <w:p w:rsidR="00353E2C" w:rsidRPr="00982BB5" w:rsidRDefault="00353E2C" w:rsidP="00353E2C">
                          <w:pPr>
                            <w:spacing w:line="204" w:lineRule="auto"/>
                            <w:rPr>
                              <w:color w:val="003F87"/>
                              <w:w w:val="99"/>
                              <w:kern w:val="17"/>
                              <w:sz w:val="18"/>
                              <w:szCs w:val="18"/>
                            </w:rPr>
                          </w:pPr>
                          <w:r w:rsidRPr="00982BB5">
                            <w:rPr>
                              <w:color w:val="003F87"/>
                              <w:w w:val="99"/>
                              <w:kern w:val="17"/>
                              <w:sz w:val="18"/>
                              <w:szCs w:val="18"/>
                            </w:rPr>
                            <w:t xml:space="preserve">Tel (61 </w:t>
                          </w:r>
                          <w:r>
                            <w:rPr>
                              <w:color w:val="003F87"/>
                              <w:w w:val="99"/>
                              <w:kern w:val="17"/>
                              <w:sz w:val="18"/>
                              <w:szCs w:val="18"/>
                            </w:rPr>
                            <w:t>0</w:t>
                          </w:r>
                          <w:r w:rsidRPr="00982BB5">
                            <w:rPr>
                              <w:color w:val="003F87"/>
                              <w:w w:val="99"/>
                              <w:kern w:val="17"/>
                              <w:sz w:val="18"/>
                              <w:szCs w:val="18"/>
                            </w:rPr>
                            <w:t>)</w:t>
                          </w:r>
                          <w:r>
                            <w:rPr>
                              <w:color w:val="003F87"/>
                              <w:w w:val="99"/>
                              <w:kern w:val="17"/>
                              <w:sz w:val="18"/>
                              <w:szCs w:val="18"/>
                            </w:rPr>
                            <w:t xml:space="preserve"> 3 9662 9299</w:t>
                          </w:r>
                        </w:p>
                        <w:p w:rsidR="00353E2C" w:rsidRPr="00982BB5" w:rsidRDefault="00353E2C" w:rsidP="00353E2C">
                          <w:pPr>
                            <w:spacing w:line="204" w:lineRule="auto"/>
                            <w:rPr>
                              <w:color w:val="003F87"/>
                              <w:w w:val="99"/>
                              <w:kern w:val="17"/>
                              <w:sz w:val="12"/>
                              <w:szCs w:val="18"/>
                            </w:rPr>
                          </w:pPr>
                        </w:p>
                        <w:p w:rsidR="00353E2C" w:rsidRPr="00982BB5" w:rsidRDefault="00353E2C" w:rsidP="00353E2C">
                          <w:pPr>
                            <w:spacing w:line="204" w:lineRule="auto"/>
                            <w:rPr>
                              <w:color w:val="003F87"/>
                              <w:w w:val="99"/>
                              <w:kern w:val="17"/>
                              <w:sz w:val="18"/>
                              <w:szCs w:val="18"/>
                            </w:rPr>
                          </w:pPr>
                          <w:r>
                            <w:rPr>
                              <w:color w:val="003F87"/>
                              <w:w w:val="99"/>
                              <w:kern w:val="17"/>
                              <w:sz w:val="18"/>
                              <w:szCs w:val="18"/>
                            </w:rPr>
                            <w:t>info</w:t>
                          </w:r>
                          <w:r w:rsidRPr="00982BB5">
                            <w:rPr>
                              <w:color w:val="003F87"/>
                              <w:w w:val="99"/>
                              <w:kern w:val="17"/>
                              <w:sz w:val="18"/>
                              <w:szCs w:val="18"/>
                            </w:rPr>
                            <w:t>@philanthropy.org.au</w:t>
                          </w:r>
                        </w:p>
                        <w:p w:rsidR="00353E2C" w:rsidRPr="00982BB5" w:rsidRDefault="00353E2C" w:rsidP="00353E2C">
                          <w:pPr>
                            <w:spacing w:line="204" w:lineRule="auto"/>
                            <w:rPr>
                              <w:color w:val="003F87"/>
                              <w:w w:val="99"/>
                              <w:kern w:val="17"/>
                              <w:sz w:val="18"/>
                              <w:szCs w:val="18"/>
                            </w:rPr>
                          </w:pPr>
                          <w:r w:rsidRPr="00982BB5">
                            <w:rPr>
                              <w:color w:val="003F87"/>
                              <w:w w:val="99"/>
                              <w:kern w:val="17"/>
                              <w:sz w:val="18"/>
                              <w:szCs w:val="18"/>
                            </w:rPr>
                            <w:t>www.philanthropy.org.au</w:t>
                          </w:r>
                        </w:p>
                        <w:p w:rsidR="00353E2C" w:rsidRPr="00982BB5" w:rsidRDefault="00353E2C" w:rsidP="00353E2C">
                          <w:pPr>
                            <w:spacing w:line="204" w:lineRule="auto"/>
                            <w:rPr>
                              <w:color w:val="003F87"/>
                              <w:w w:val="99"/>
                              <w:kern w:val="17"/>
                              <w:sz w:val="18"/>
                              <w:szCs w:val="18"/>
                            </w:rPr>
                          </w:pPr>
                        </w:p>
                        <w:p w:rsidR="00353E2C" w:rsidRPr="00982BB5" w:rsidRDefault="00353E2C" w:rsidP="00353E2C">
                          <w:pPr>
                            <w:spacing w:line="204" w:lineRule="auto"/>
                            <w:rPr>
                              <w:color w:val="003F87"/>
                              <w:w w:val="99"/>
                              <w:kern w:val="17"/>
                              <w:sz w:val="18"/>
                              <w:szCs w:val="18"/>
                            </w:rPr>
                          </w:pPr>
                          <w:r w:rsidRPr="00982BB5">
                            <w:rPr>
                              <w:b/>
                              <w:color w:val="003F87"/>
                              <w:w w:val="99"/>
                              <w:kern w:val="17"/>
                              <w:sz w:val="18"/>
                              <w:szCs w:val="18"/>
                            </w:rPr>
                            <w:t>Patrons</w:t>
                          </w:r>
                        </w:p>
                        <w:p w:rsidR="00353E2C" w:rsidRPr="00982BB5" w:rsidRDefault="00353E2C" w:rsidP="00353E2C">
                          <w:pPr>
                            <w:spacing w:line="204" w:lineRule="auto"/>
                            <w:rPr>
                              <w:color w:val="003F87"/>
                              <w:w w:val="99"/>
                              <w:kern w:val="17"/>
                              <w:sz w:val="18"/>
                              <w:szCs w:val="18"/>
                            </w:rPr>
                          </w:pPr>
                          <w:r w:rsidRPr="00982BB5">
                            <w:rPr>
                              <w:color w:val="003F87"/>
                              <w:w w:val="99"/>
                              <w:kern w:val="17"/>
                              <w:sz w:val="18"/>
                              <w:szCs w:val="18"/>
                            </w:rPr>
                            <w:t>Sir Gustav Nossal AC CBE</w:t>
                          </w:r>
                        </w:p>
                        <w:p w:rsidR="00353E2C" w:rsidRPr="00982BB5" w:rsidRDefault="00353E2C" w:rsidP="00353E2C">
                          <w:pPr>
                            <w:spacing w:line="204" w:lineRule="auto"/>
                            <w:rPr>
                              <w:color w:val="003F87"/>
                              <w:w w:val="99"/>
                              <w:kern w:val="17"/>
                              <w:sz w:val="18"/>
                              <w:szCs w:val="18"/>
                            </w:rPr>
                          </w:pPr>
                          <w:r w:rsidRPr="00982BB5">
                            <w:rPr>
                              <w:color w:val="003F87"/>
                              <w:w w:val="99"/>
                              <w:kern w:val="17"/>
                              <w:sz w:val="18"/>
                              <w:szCs w:val="18"/>
                            </w:rPr>
                            <w:t>Lady Southey AC</w:t>
                          </w:r>
                        </w:p>
                        <w:p w:rsidR="00982BB5" w:rsidRPr="00982BB5" w:rsidRDefault="00982BB5" w:rsidP="00982BB5">
                          <w:pPr>
                            <w:spacing w:line="204" w:lineRule="auto"/>
                            <w:rPr>
                              <w:color w:val="003F87"/>
                              <w:w w:val="99"/>
                              <w:kern w:val="17"/>
                              <w:sz w:val="18"/>
                              <w:szCs w:val="18"/>
                            </w:rPr>
                          </w:pP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7" type="#_x0000_t202" style="position:absolute;margin-left:432.2pt;margin-top:1.3pt;width:171.75pt;height:41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" filled="f" stroked="f">
              <v:fill color2="#e7f2ff" rotate="t" angle="90" focus="100%" type="gradient"/>
              <v:textbox inset="0,2mm,0,0">
                <w:txbxContent>
                  <w:p w:rsidR="00353E2C" w:rsidRPr="00982BB5" w:rsidRDefault="00353E2C" w:rsidP="00353E2C">
                    <w:pPr>
                      <w:spacing w:line="204" w:lineRule="auto"/>
                      <w:rPr>
                        <w:b/>
                        <w:color w:val="003F87"/>
                        <w:w w:val="99"/>
                        <w:kern w:val="17"/>
                        <w:sz w:val="18"/>
                        <w:szCs w:val="18"/>
                      </w:rPr>
                    </w:pPr>
                    <w:r w:rsidRPr="00982BB5">
                      <w:rPr>
                        <w:b/>
                        <w:color w:val="003F87"/>
                        <w:w w:val="99"/>
                        <w:kern w:val="17"/>
                        <w:sz w:val="18"/>
                        <w:szCs w:val="18"/>
                      </w:rPr>
                      <w:t>Philanthropy Australia Inc</w:t>
                    </w:r>
                  </w:p>
                  <w:p w:rsidR="00353E2C" w:rsidRPr="00982BB5" w:rsidRDefault="00353E2C" w:rsidP="00353E2C">
                    <w:pPr>
                      <w:spacing w:line="204" w:lineRule="auto"/>
                      <w:rPr>
                        <w:color w:val="003F87"/>
                        <w:w w:val="99"/>
                        <w:kern w:val="17"/>
                        <w:sz w:val="18"/>
                        <w:szCs w:val="18"/>
                      </w:rPr>
                    </w:pPr>
                  </w:p>
                  <w:p w:rsidR="00353E2C" w:rsidRPr="00982BB5" w:rsidRDefault="00353E2C" w:rsidP="00353E2C">
                    <w:pPr>
                      <w:spacing w:line="204" w:lineRule="auto"/>
                      <w:rPr>
                        <w:color w:val="003F87"/>
                        <w:w w:val="99"/>
                        <w:kern w:val="17"/>
                        <w:sz w:val="18"/>
                        <w:szCs w:val="18"/>
                      </w:rPr>
                    </w:pPr>
                    <w:r w:rsidRPr="00982BB5">
                      <w:rPr>
                        <w:color w:val="003F87"/>
                        <w:w w:val="99"/>
                        <w:kern w:val="17"/>
                        <w:sz w:val="18"/>
                        <w:szCs w:val="18"/>
                      </w:rPr>
                      <w:t>Assn. No. A0014980 T</w:t>
                    </w:r>
                  </w:p>
                  <w:p w:rsidR="00353E2C" w:rsidRPr="00982BB5" w:rsidRDefault="00353E2C" w:rsidP="00353E2C">
                    <w:pPr>
                      <w:spacing w:line="204" w:lineRule="auto"/>
                      <w:rPr>
                        <w:color w:val="003F87"/>
                        <w:w w:val="99"/>
                        <w:kern w:val="17"/>
                        <w:sz w:val="18"/>
                        <w:szCs w:val="18"/>
                      </w:rPr>
                    </w:pPr>
                    <w:r w:rsidRPr="00982BB5">
                      <w:rPr>
                        <w:color w:val="003F87"/>
                        <w:w w:val="99"/>
                        <w:kern w:val="17"/>
                        <w:sz w:val="18"/>
                        <w:szCs w:val="18"/>
                      </w:rPr>
                      <w:t>ABN 79 578 875 531</w:t>
                    </w:r>
                  </w:p>
                  <w:p w:rsidR="00353E2C" w:rsidRPr="00982BB5" w:rsidRDefault="00353E2C" w:rsidP="00353E2C">
                    <w:pPr>
                      <w:spacing w:line="204" w:lineRule="auto"/>
                      <w:rPr>
                        <w:color w:val="003F87"/>
                        <w:w w:val="99"/>
                        <w:kern w:val="17"/>
                        <w:sz w:val="18"/>
                        <w:szCs w:val="18"/>
                      </w:rPr>
                    </w:pPr>
                  </w:p>
                  <w:p w:rsidR="00353E2C" w:rsidRPr="00982BB5" w:rsidRDefault="00353E2C" w:rsidP="00353E2C">
                    <w:pPr>
                      <w:spacing w:line="204" w:lineRule="auto"/>
                      <w:rPr>
                        <w:b/>
                        <w:color w:val="003F87"/>
                        <w:w w:val="99"/>
                        <w:kern w:val="17"/>
                        <w:sz w:val="18"/>
                        <w:szCs w:val="18"/>
                      </w:rPr>
                    </w:pPr>
                    <w:r>
                      <w:rPr>
                        <w:b/>
                        <w:color w:val="003F87"/>
                        <w:w w:val="99"/>
                        <w:kern w:val="17"/>
                        <w:sz w:val="18"/>
                        <w:szCs w:val="18"/>
                      </w:rPr>
                      <w:t>Melbourne Office</w:t>
                    </w:r>
                  </w:p>
                  <w:p w:rsidR="00353E2C" w:rsidRDefault="00353E2C" w:rsidP="00353E2C">
                    <w:pPr>
                      <w:spacing w:line="204" w:lineRule="auto"/>
                      <w:rPr>
                        <w:color w:val="003F87"/>
                        <w:w w:val="99"/>
                        <w:kern w:val="17"/>
                        <w:sz w:val="18"/>
                        <w:szCs w:val="18"/>
                      </w:rPr>
                    </w:pPr>
                    <w:r>
                      <w:rPr>
                        <w:color w:val="003F87"/>
                        <w:w w:val="99"/>
                        <w:kern w:val="17"/>
                        <w:sz w:val="18"/>
                        <w:szCs w:val="18"/>
                      </w:rPr>
                      <w:t>Level 2</w:t>
                    </w:r>
                  </w:p>
                  <w:p w:rsidR="00353E2C" w:rsidRPr="00982BB5" w:rsidRDefault="00353E2C" w:rsidP="00353E2C">
                    <w:pPr>
                      <w:spacing w:line="204" w:lineRule="auto"/>
                      <w:rPr>
                        <w:color w:val="003F87"/>
                        <w:w w:val="99"/>
                        <w:kern w:val="17"/>
                        <w:sz w:val="18"/>
                        <w:szCs w:val="18"/>
                      </w:rPr>
                    </w:pPr>
                    <w:r>
                      <w:rPr>
                        <w:color w:val="003F87"/>
                        <w:w w:val="99"/>
                        <w:kern w:val="17"/>
                        <w:sz w:val="18"/>
                        <w:szCs w:val="18"/>
                      </w:rPr>
                      <w:t>55 Collins Street</w:t>
                    </w:r>
                  </w:p>
                  <w:p w:rsidR="00353E2C" w:rsidRPr="00982BB5" w:rsidRDefault="00353E2C" w:rsidP="00353E2C">
                    <w:pPr>
                      <w:spacing w:line="204" w:lineRule="auto"/>
                      <w:rPr>
                        <w:color w:val="003F87"/>
                        <w:w w:val="99"/>
                        <w:kern w:val="17"/>
                        <w:sz w:val="18"/>
                        <w:szCs w:val="18"/>
                      </w:rPr>
                    </w:pPr>
                    <w:r>
                      <w:rPr>
                        <w:color w:val="003F87"/>
                        <w:w w:val="99"/>
                        <w:kern w:val="17"/>
                        <w:sz w:val="18"/>
                        <w:szCs w:val="18"/>
                      </w:rPr>
                      <w:t>Melbourne VIC 3000</w:t>
                    </w:r>
                  </w:p>
                  <w:p w:rsidR="00353E2C" w:rsidRPr="00982BB5" w:rsidRDefault="00353E2C" w:rsidP="00353E2C">
                    <w:pPr>
                      <w:spacing w:line="204" w:lineRule="auto"/>
                      <w:rPr>
                        <w:color w:val="003F87"/>
                        <w:w w:val="99"/>
                        <w:kern w:val="17"/>
                        <w:sz w:val="18"/>
                        <w:szCs w:val="18"/>
                      </w:rPr>
                    </w:pPr>
                    <w:r w:rsidRPr="00982BB5">
                      <w:rPr>
                        <w:color w:val="003F87"/>
                        <w:w w:val="99"/>
                        <w:kern w:val="17"/>
                        <w:sz w:val="18"/>
                        <w:szCs w:val="18"/>
                      </w:rPr>
                      <w:t>Australia</w:t>
                    </w:r>
                  </w:p>
                  <w:p w:rsidR="00353E2C" w:rsidRPr="00982BB5" w:rsidRDefault="00353E2C" w:rsidP="00353E2C">
                    <w:pPr>
                      <w:spacing w:line="204" w:lineRule="auto"/>
                      <w:rPr>
                        <w:color w:val="003F87"/>
                        <w:w w:val="99"/>
                        <w:kern w:val="17"/>
                        <w:sz w:val="12"/>
                        <w:szCs w:val="16"/>
                      </w:rPr>
                    </w:pPr>
                  </w:p>
                  <w:p w:rsidR="00353E2C" w:rsidRPr="00982BB5" w:rsidRDefault="00353E2C" w:rsidP="00353E2C">
                    <w:pPr>
                      <w:spacing w:line="204" w:lineRule="auto"/>
                      <w:rPr>
                        <w:color w:val="003F87"/>
                        <w:w w:val="99"/>
                        <w:kern w:val="17"/>
                        <w:sz w:val="18"/>
                        <w:szCs w:val="18"/>
                      </w:rPr>
                    </w:pPr>
                    <w:r w:rsidRPr="00982BB5">
                      <w:rPr>
                        <w:color w:val="003F87"/>
                        <w:w w:val="99"/>
                        <w:kern w:val="17"/>
                        <w:sz w:val="18"/>
                        <w:szCs w:val="18"/>
                      </w:rPr>
                      <w:t xml:space="preserve">Tel (61 </w:t>
                    </w:r>
                    <w:r>
                      <w:rPr>
                        <w:color w:val="003F87"/>
                        <w:w w:val="99"/>
                        <w:kern w:val="17"/>
                        <w:sz w:val="18"/>
                        <w:szCs w:val="18"/>
                      </w:rPr>
                      <w:t>0</w:t>
                    </w:r>
                    <w:r w:rsidRPr="00982BB5">
                      <w:rPr>
                        <w:color w:val="003F87"/>
                        <w:w w:val="99"/>
                        <w:kern w:val="17"/>
                        <w:sz w:val="18"/>
                        <w:szCs w:val="18"/>
                      </w:rPr>
                      <w:t>)</w:t>
                    </w:r>
                    <w:r>
                      <w:rPr>
                        <w:color w:val="003F87"/>
                        <w:w w:val="99"/>
                        <w:kern w:val="17"/>
                        <w:sz w:val="18"/>
                        <w:szCs w:val="18"/>
                      </w:rPr>
                      <w:t xml:space="preserve"> 3 9662 9299</w:t>
                    </w:r>
                  </w:p>
                  <w:p w:rsidR="00353E2C" w:rsidRPr="00982BB5" w:rsidRDefault="00353E2C" w:rsidP="00353E2C">
                    <w:pPr>
                      <w:spacing w:line="204" w:lineRule="auto"/>
                      <w:rPr>
                        <w:color w:val="003F87"/>
                        <w:w w:val="99"/>
                        <w:kern w:val="17"/>
                        <w:sz w:val="12"/>
                        <w:szCs w:val="18"/>
                      </w:rPr>
                    </w:pPr>
                  </w:p>
                  <w:p w:rsidR="00353E2C" w:rsidRPr="00982BB5" w:rsidRDefault="00353E2C" w:rsidP="00353E2C">
                    <w:pPr>
                      <w:spacing w:line="204" w:lineRule="auto"/>
                      <w:rPr>
                        <w:color w:val="003F87"/>
                        <w:w w:val="99"/>
                        <w:kern w:val="17"/>
                        <w:sz w:val="18"/>
                        <w:szCs w:val="18"/>
                      </w:rPr>
                    </w:pPr>
                    <w:r>
                      <w:rPr>
                        <w:color w:val="003F87"/>
                        <w:w w:val="99"/>
                        <w:kern w:val="17"/>
                        <w:sz w:val="18"/>
                        <w:szCs w:val="18"/>
                      </w:rPr>
                      <w:t>info</w:t>
                    </w:r>
                    <w:r w:rsidRPr="00982BB5">
                      <w:rPr>
                        <w:color w:val="003F87"/>
                        <w:w w:val="99"/>
                        <w:kern w:val="17"/>
                        <w:sz w:val="18"/>
                        <w:szCs w:val="18"/>
                      </w:rPr>
                      <w:t>@philanthropy.org.au</w:t>
                    </w:r>
                  </w:p>
                  <w:p w:rsidR="00353E2C" w:rsidRPr="00982BB5" w:rsidRDefault="00353E2C" w:rsidP="00353E2C">
                    <w:pPr>
                      <w:spacing w:line="204" w:lineRule="auto"/>
                      <w:rPr>
                        <w:color w:val="003F87"/>
                        <w:w w:val="99"/>
                        <w:kern w:val="17"/>
                        <w:sz w:val="18"/>
                        <w:szCs w:val="18"/>
                      </w:rPr>
                    </w:pPr>
                    <w:r w:rsidRPr="00982BB5">
                      <w:rPr>
                        <w:color w:val="003F87"/>
                        <w:w w:val="99"/>
                        <w:kern w:val="17"/>
                        <w:sz w:val="18"/>
                        <w:szCs w:val="18"/>
                      </w:rPr>
                      <w:t>www.philanthropy.org.au</w:t>
                    </w:r>
                  </w:p>
                  <w:p w:rsidR="00353E2C" w:rsidRPr="00982BB5" w:rsidRDefault="00353E2C" w:rsidP="00353E2C">
                    <w:pPr>
                      <w:spacing w:line="204" w:lineRule="auto"/>
                      <w:rPr>
                        <w:color w:val="003F87"/>
                        <w:w w:val="99"/>
                        <w:kern w:val="17"/>
                        <w:sz w:val="18"/>
                        <w:szCs w:val="18"/>
                      </w:rPr>
                    </w:pPr>
                  </w:p>
                  <w:p w:rsidR="00353E2C" w:rsidRPr="00982BB5" w:rsidRDefault="00353E2C" w:rsidP="00353E2C">
                    <w:pPr>
                      <w:spacing w:line="204" w:lineRule="auto"/>
                      <w:rPr>
                        <w:color w:val="003F87"/>
                        <w:w w:val="99"/>
                        <w:kern w:val="17"/>
                        <w:sz w:val="18"/>
                        <w:szCs w:val="18"/>
                      </w:rPr>
                    </w:pPr>
                    <w:r w:rsidRPr="00982BB5">
                      <w:rPr>
                        <w:b/>
                        <w:color w:val="003F87"/>
                        <w:w w:val="99"/>
                        <w:kern w:val="17"/>
                        <w:sz w:val="18"/>
                        <w:szCs w:val="18"/>
                      </w:rPr>
                      <w:t>Patrons</w:t>
                    </w:r>
                  </w:p>
                  <w:p w:rsidR="00353E2C" w:rsidRPr="00982BB5" w:rsidRDefault="00353E2C" w:rsidP="00353E2C">
                    <w:pPr>
                      <w:spacing w:line="204" w:lineRule="auto"/>
                      <w:rPr>
                        <w:color w:val="003F87"/>
                        <w:w w:val="99"/>
                        <w:kern w:val="17"/>
                        <w:sz w:val="18"/>
                        <w:szCs w:val="18"/>
                      </w:rPr>
                    </w:pPr>
                    <w:r w:rsidRPr="00982BB5">
                      <w:rPr>
                        <w:color w:val="003F87"/>
                        <w:w w:val="99"/>
                        <w:kern w:val="17"/>
                        <w:sz w:val="18"/>
                        <w:szCs w:val="18"/>
                      </w:rPr>
                      <w:t>Sir Gustav Nossal AC CBE</w:t>
                    </w:r>
                  </w:p>
                  <w:p w:rsidR="00353E2C" w:rsidRPr="00982BB5" w:rsidRDefault="00353E2C" w:rsidP="00353E2C">
                    <w:pPr>
                      <w:spacing w:line="204" w:lineRule="auto"/>
                      <w:rPr>
                        <w:color w:val="003F87"/>
                        <w:w w:val="99"/>
                        <w:kern w:val="17"/>
                        <w:sz w:val="18"/>
                        <w:szCs w:val="18"/>
                      </w:rPr>
                    </w:pPr>
                    <w:r w:rsidRPr="00982BB5">
                      <w:rPr>
                        <w:color w:val="003F87"/>
                        <w:w w:val="99"/>
                        <w:kern w:val="17"/>
                        <w:sz w:val="18"/>
                        <w:szCs w:val="18"/>
                      </w:rPr>
                      <w:t>Lady Southey AC</w:t>
                    </w:r>
                  </w:p>
                  <w:p w:rsidR="00982BB5" w:rsidRPr="00982BB5" w:rsidRDefault="00982BB5" w:rsidP="00982BB5">
                    <w:pPr>
                      <w:spacing w:line="204" w:lineRule="auto"/>
                      <w:rPr>
                        <w:color w:val="003F87"/>
                        <w:w w:val="99"/>
                        <w:kern w:val="17"/>
                        <w:sz w:val="18"/>
                        <w:szCs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E30DA"/>
    <w:multiLevelType w:val="multilevel"/>
    <w:tmpl w:val="ECAE57A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A5A2E2C"/>
    <w:multiLevelType w:val="hybridMultilevel"/>
    <w:tmpl w:val="1EDA1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F6C4280"/>
    <w:multiLevelType w:val="hybridMultilevel"/>
    <w:tmpl w:val="ECAE57AA"/>
    <w:lvl w:ilvl="0" w:tplc="9F18FB66">
      <w:start w:val="1"/>
      <w:numFmt w:val="bullet"/>
      <w:pStyle w:val="PABulletedLis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2CA70FA"/>
    <w:multiLevelType w:val="hybridMultilevel"/>
    <w:tmpl w:val="F244B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5122612"/>
    <w:multiLevelType w:val="hybridMultilevel"/>
    <w:tmpl w:val="3444A6D6"/>
    <w:lvl w:ilvl="0" w:tplc="E81CF642">
      <w:start w:val="1"/>
      <w:numFmt w:val="decimal"/>
      <w:pStyle w:val="PANumberedLis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fillcolor="#e7f2ff" stroke="f">
      <v:fill color="#e7f2ff" rotate="t" angle="-90" type="gradient"/>
      <v:stroke on="f"/>
      <v:textbox inset="0,2mm,0,0"/>
      <o:colormru v:ext="edit" colors="#003f87,#c1dfff,#d5e9ff,#e7f2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2AB"/>
    <w:rsid w:val="00011357"/>
    <w:rsid w:val="00036831"/>
    <w:rsid w:val="00037506"/>
    <w:rsid w:val="00061A59"/>
    <w:rsid w:val="000F5E40"/>
    <w:rsid w:val="000F7E81"/>
    <w:rsid w:val="00107AB0"/>
    <w:rsid w:val="0013481E"/>
    <w:rsid w:val="001465A2"/>
    <w:rsid w:val="001B62AA"/>
    <w:rsid w:val="00216349"/>
    <w:rsid w:val="00233A25"/>
    <w:rsid w:val="00254C9A"/>
    <w:rsid w:val="00274E5E"/>
    <w:rsid w:val="003055F2"/>
    <w:rsid w:val="00323670"/>
    <w:rsid w:val="0034609E"/>
    <w:rsid w:val="00353E2C"/>
    <w:rsid w:val="00386AE2"/>
    <w:rsid w:val="003A7572"/>
    <w:rsid w:val="003B1FD6"/>
    <w:rsid w:val="003B51BF"/>
    <w:rsid w:val="003F3CEB"/>
    <w:rsid w:val="0042154D"/>
    <w:rsid w:val="00443F80"/>
    <w:rsid w:val="004726E0"/>
    <w:rsid w:val="00493C6D"/>
    <w:rsid w:val="004A4029"/>
    <w:rsid w:val="004B0A33"/>
    <w:rsid w:val="004B5124"/>
    <w:rsid w:val="004B78F0"/>
    <w:rsid w:val="004C5462"/>
    <w:rsid w:val="004C6043"/>
    <w:rsid w:val="004F510A"/>
    <w:rsid w:val="00503460"/>
    <w:rsid w:val="0059209F"/>
    <w:rsid w:val="005A3047"/>
    <w:rsid w:val="005B25BB"/>
    <w:rsid w:val="005B54B2"/>
    <w:rsid w:val="005E5580"/>
    <w:rsid w:val="006140C9"/>
    <w:rsid w:val="006321DF"/>
    <w:rsid w:val="00635CAC"/>
    <w:rsid w:val="006447DC"/>
    <w:rsid w:val="006452A1"/>
    <w:rsid w:val="00671BB8"/>
    <w:rsid w:val="006D7D9F"/>
    <w:rsid w:val="00705A71"/>
    <w:rsid w:val="00754B74"/>
    <w:rsid w:val="00756B1A"/>
    <w:rsid w:val="007739BC"/>
    <w:rsid w:val="007F6732"/>
    <w:rsid w:val="008F6BDB"/>
    <w:rsid w:val="00916FB9"/>
    <w:rsid w:val="00923AA4"/>
    <w:rsid w:val="00946ED4"/>
    <w:rsid w:val="00963DC5"/>
    <w:rsid w:val="00982BB5"/>
    <w:rsid w:val="00986134"/>
    <w:rsid w:val="00987BCB"/>
    <w:rsid w:val="00994E19"/>
    <w:rsid w:val="009A43FA"/>
    <w:rsid w:val="009B5AD3"/>
    <w:rsid w:val="009D62C7"/>
    <w:rsid w:val="009D7B3E"/>
    <w:rsid w:val="00A176F6"/>
    <w:rsid w:val="00A17C81"/>
    <w:rsid w:val="00A20CBA"/>
    <w:rsid w:val="00A30A90"/>
    <w:rsid w:val="00A36523"/>
    <w:rsid w:val="00A90F30"/>
    <w:rsid w:val="00AB42AB"/>
    <w:rsid w:val="00AD0306"/>
    <w:rsid w:val="00AD3B6F"/>
    <w:rsid w:val="00AD724E"/>
    <w:rsid w:val="00BC2A0D"/>
    <w:rsid w:val="00BF7D90"/>
    <w:rsid w:val="00C34610"/>
    <w:rsid w:val="00C7092E"/>
    <w:rsid w:val="00C72035"/>
    <w:rsid w:val="00CA5D33"/>
    <w:rsid w:val="00D550DF"/>
    <w:rsid w:val="00D57A4D"/>
    <w:rsid w:val="00D85E8F"/>
    <w:rsid w:val="00DB5B14"/>
    <w:rsid w:val="00DF7156"/>
    <w:rsid w:val="00E225BB"/>
    <w:rsid w:val="00E30332"/>
    <w:rsid w:val="00E47800"/>
    <w:rsid w:val="00E50D87"/>
    <w:rsid w:val="00E57EE0"/>
    <w:rsid w:val="00E91771"/>
    <w:rsid w:val="00EE174E"/>
    <w:rsid w:val="00F142FF"/>
    <w:rsid w:val="00F155E0"/>
    <w:rsid w:val="00F57FED"/>
    <w:rsid w:val="00FA789C"/>
    <w:rsid w:val="00FB51B9"/>
    <w:rsid w:val="00FE2F1A"/>
    <w:rsid w:val="00FE64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e7f2ff" stroke="f">
      <v:fill color="#e7f2ff" rotate="t" angle="-90" type="gradient"/>
      <v:stroke on="f"/>
      <v:textbox inset="0,2mm,0,0"/>
      <o:colormru v:ext="edit" colors="#003f87,#c1dfff,#d5e9ff,#e7f2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rsid w:val="00DB5B1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B5B1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5B1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DocumentSub-Title">
    <w:name w:val="PA Document Sub-Title"/>
    <w:basedOn w:val="Normal"/>
    <w:rsid w:val="006447DC"/>
    <w:pPr>
      <w:ind w:left="180" w:firstLine="360"/>
    </w:pPr>
    <w:rPr>
      <w:rFonts w:ascii="Arial" w:hAnsi="Arial" w:cs="Arial"/>
      <w:color w:val="003F87"/>
      <w:sz w:val="20"/>
      <w:szCs w:val="20"/>
    </w:rPr>
  </w:style>
  <w:style w:type="paragraph" w:customStyle="1" w:styleId="PAPageNumbers">
    <w:name w:val="PA Page Numbers"/>
    <w:basedOn w:val="Normal"/>
    <w:rsid w:val="00705A71"/>
    <w:pPr>
      <w:framePr w:wrap="around" w:vAnchor="text" w:hAnchor="page" w:x="10392" w:y="-17778"/>
      <w:jc w:val="center"/>
    </w:pPr>
    <w:rPr>
      <w:rFonts w:ascii="Arial" w:hAnsi="Arial" w:cs="Arial"/>
      <w:color w:val="003F87"/>
      <w:sz w:val="20"/>
    </w:rPr>
  </w:style>
  <w:style w:type="paragraph" w:styleId="Header">
    <w:name w:val="header"/>
    <w:basedOn w:val="Normal"/>
    <w:rsid w:val="00D85E8F"/>
    <w:pPr>
      <w:tabs>
        <w:tab w:val="center" w:pos="4320"/>
        <w:tab w:val="right" w:pos="8640"/>
      </w:tabs>
    </w:pPr>
  </w:style>
  <w:style w:type="paragraph" w:customStyle="1" w:styleId="PAHeader">
    <w:name w:val="PA Header"/>
    <w:basedOn w:val="Normal"/>
    <w:rsid w:val="004B78F0"/>
    <w:rPr>
      <w:rFonts w:ascii="Arial" w:hAnsi="Arial" w:cs="Arial"/>
    </w:rPr>
  </w:style>
  <w:style w:type="paragraph" w:customStyle="1" w:styleId="PAHeading1">
    <w:name w:val="PA Heading 1"/>
    <w:basedOn w:val="Heading1"/>
    <w:rsid w:val="00635CAC"/>
    <w:rPr>
      <w:b w:val="0"/>
    </w:rPr>
  </w:style>
  <w:style w:type="paragraph" w:customStyle="1" w:styleId="PAHeading2">
    <w:name w:val="PA Heading 2"/>
    <w:basedOn w:val="Heading3"/>
    <w:rsid w:val="00635CAC"/>
    <w:rPr>
      <w:b w:val="0"/>
    </w:rPr>
  </w:style>
  <w:style w:type="paragraph" w:customStyle="1" w:styleId="PABodyText">
    <w:name w:val="PA Body Text"/>
    <w:basedOn w:val="Normal"/>
    <w:rsid w:val="00635CAC"/>
    <w:rPr>
      <w:rFonts w:ascii="Arial" w:hAnsi="Arial"/>
      <w:sz w:val="20"/>
      <w:szCs w:val="20"/>
    </w:rPr>
  </w:style>
  <w:style w:type="paragraph" w:customStyle="1" w:styleId="PAFooter">
    <w:name w:val="PA Footer"/>
    <w:basedOn w:val="Normal"/>
    <w:rsid w:val="000F5E40"/>
    <w:pPr>
      <w:ind w:right="1565"/>
      <w:jc w:val="right"/>
    </w:pPr>
    <w:rPr>
      <w:rFonts w:ascii="Arial" w:hAnsi="Arial" w:cs="Arial"/>
      <w:b/>
      <w:color w:val="003F87"/>
      <w:sz w:val="18"/>
      <w:szCs w:val="18"/>
    </w:rPr>
  </w:style>
  <w:style w:type="paragraph" w:customStyle="1" w:styleId="PADocumentHeadingLine1">
    <w:name w:val="PA Document Heading Line 1"/>
    <w:basedOn w:val="Normal"/>
    <w:rsid w:val="00EE174E"/>
    <w:pPr>
      <w:ind w:left="180" w:firstLine="360"/>
    </w:pPr>
    <w:rPr>
      <w:rFonts w:ascii="Arial" w:hAnsi="Arial" w:cs="Arial"/>
      <w:color w:val="003F87"/>
      <w:sz w:val="52"/>
      <w:szCs w:val="52"/>
    </w:rPr>
  </w:style>
  <w:style w:type="paragraph" w:styleId="Footer">
    <w:name w:val="footer"/>
    <w:basedOn w:val="Normal"/>
    <w:rsid w:val="003055F2"/>
    <w:pPr>
      <w:tabs>
        <w:tab w:val="center" w:pos="4320"/>
        <w:tab w:val="right" w:pos="8640"/>
      </w:tabs>
    </w:pPr>
  </w:style>
  <w:style w:type="paragraph" w:customStyle="1" w:styleId="PABulletedList">
    <w:name w:val="PA Bulleted List"/>
    <w:basedOn w:val="PABodyText"/>
    <w:rsid w:val="009D62C7"/>
    <w:pPr>
      <w:numPr>
        <w:numId w:val="1"/>
      </w:numPr>
    </w:pPr>
  </w:style>
  <w:style w:type="paragraph" w:customStyle="1" w:styleId="PANumberedList">
    <w:name w:val="PA Numbered List"/>
    <w:basedOn w:val="PABulletedList"/>
    <w:rsid w:val="009D62C7"/>
    <w:pPr>
      <w:numPr>
        <w:numId w:val="3"/>
      </w:numPr>
    </w:pPr>
  </w:style>
  <w:style w:type="character" w:styleId="Hyperlink">
    <w:name w:val="Hyperlink"/>
    <w:basedOn w:val="DefaultParagraphFont"/>
    <w:rsid w:val="00705A71"/>
    <w:rPr>
      <w:color w:val="333399"/>
      <w:u w:val="single"/>
    </w:rPr>
  </w:style>
  <w:style w:type="paragraph" w:customStyle="1" w:styleId="PADocumentHeadingLine2">
    <w:name w:val="PA Document Heading Line 2"/>
    <w:basedOn w:val="Normal"/>
    <w:rsid w:val="00EE174E"/>
    <w:pPr>
      <w:spacing w:after="120" w:line="192" w:lineRule="auto"/>
      <w:ind w:left="181" w:firstLine="360"/>
    </w:pPr>
    <w:rPr>
      <w:rFonts w:ascii="Arial" w:hAnsi="Arial" w:cs="Arial"/>
      <w:color w:val="003F87"/>
      <w:sz w:val="76"/>
      <w:szCs w:val="72"/>
    </w:rPr>
  </w:style>
  <w:style w:type="paragraph" w:styleId="BalloonText">
    <w:name w:val="Balloon Text"/>
    <w:basedOn w:val="Normal"/>
    <w:link w:val="BalloonTextChar"/>
    <w:rsid w:val="00AB42AB"/>
    <w:rPr>
      <w:rFonts w:ascii="Tahoma" w:hAnsi="Tahoma" w:cs="Tahoma"/>
      <w:sz w:val="16"/>
      <w:szCs w:val="16"/>
    </w:rPr>
  </w:style>
  <w:style w:type="character" w:customStyle="1" w:styleId="BalloonTextChar">
    <w:name w:val="Balloon Text Char"/>
    <w:basedOn w:val="DefaultParagraphFont"/>
    <w:link w:val="BalloonText"/>
    <w:rsid w:val="00AB42A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rsid w:val="00DB5B1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B5B1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5B1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DocumentSub-Title">
    <w:name w:val="PA Document Sub-Title"/>
    <w:basedOn w:val="Normal"/>
    <w:rsid w:val="006447DC"/>
    <w:pPr>
      <w:ind w:left="180" w:firstLine="360"/>
    </w:pPr>
    <w:rPr>
      <w:rFonts w:ascii="Arial" w:hAnsi="Arial" w:cs="Arial"/>
      <w:color w:val="003F87"/>
      <w:sz w:val="20"/>
      <w:szCs w:val="20"/>
    </w:rPr>
  </w:style>
  <w:style w:type="paragraph" w:customStyle="1" w:styleId="PAPageNumbers">
    <w:name w:val="PA Page Numbers"/>
    <w:basedOn w:val="Normal"/>
    <w:rsid w:val="00705A71"/>
    <w:pPr>
      <w:framePr w:wrap="around" w:vAnchor="text" w:hAnchor="page" w:x="10392" w:y="-17778"/>
      <w:jc w:val="center"/>
    </w:pPr>
    <w:rPr>
      <w:rFonts w:ascii="Arial" w:hAnsi="Arial" w:cs="Arial"/>
      <w:color w:val="003F87"/>
      <w:sz w:val="20"/>
    </w:rPr>
  </w:style>
  <w:style w:type="paragraph" w:styleId="Header">
    <w:name w:val="header"/>
    <w:basedOn w:val="Normal"/>
    <w:rsid w:val="00D85E8F"/>
    <w:pPr>
      <w:tabs>
        <w:tab w:val="center" w:pos="4320"/>
        <w:tab w:val="right" w:pos="8640"/>
      </w:tabs>
    </w:pPr>
  </w:style>
  <w:style w:type="paragraph" w:customStyle="1" w:styleId="PAHeader">
    <w:name w:val="PA Header"/>
    <w:basedOn w:val="Normal"/>
    <w:rsid w:val="004B78F0"/>
    <w:rPr>
      <w:rFonts w:ascii="Arial" w:hAnsi="Arial" w:cs="Arial"/>
    </w:rPr>
  </w:style>
  <w:style w:type="paragraph" w:customStyle="1" w:styleId="PAHeading1">
    <w:name w:val="PA Heading 1"/>
    <w:basedOn w:val="Heading1"/>
    <w:rsid w:val="00635CAC"/>
    <w:rPr>
      <w:b w:val="0"/>
    </w:rPr>
  </w:style>
  <w:style w:type="paragraph" w:customStyle="1" w:styleId="PAHeading2">
    <w:name w:val="PA Heading 2"/>
    <w:basedOn w:val="Heading3"/>
    <w:rsid w:val="00635CAC"/>
    <w:rPr>
      <w:b w:val="0"/>
    </w:rPr>
  </w:style>
  <w:style w:type="paragraph" w:customStyle="1" w:styleId="PABodyText">
    <w:name w:val="PA Body Text"/>
    <w:basedOn w:val="Normal"/>
    <w:rsid w:val="00635CAC"/>
    <w:rPr>
      <w:rFonts w:ascii="Arial" w:hAnsi="Arial"/>
      <w:sz w:val="20"/>
      <w:szCs w:val="20"/>
    </w:rPr>
  </w:style>
  <w:style w:type="paragraph" w:customStyle="1" w:styleId="PAFooter">
    <w:name w:val="PA Footer"/>
    <w:basedOn w:val="Normal"/>
    <w:rsid w:val="000F5E40"/>
    <w:pPr>
      <w:ind w:right="1565"/>
      <w:jc w:val="right"/>
    </w:pPr>
    <w:rPr>
      <w:rFonts w:ascii="Arial" w:hAnsi="Arial" w:cs="Arial"/>
      <w:b/>
      <w:color w:val="003F87"/>
      <w:sz w:val="18"/>
      <w:szCs w:val="18"/>
    </w:rPr>
  </w:style>
  <w:style w:type="paragraph" w:customStyle="1" w:styleId="PADocumentHeadingLine1">
    <w:name w:val="PA Document Heading Line 1"/>
    <w:basedOn w:val="Normal"/>
    <w:rsid w:val="00EE174E"/>
    <w:pPr>
      <w:ind w:left="180" w:firstLine="360"/>
    </w:pPr>
    <w:rPr>
      <w:rFonts w:ascii="Arial" w:hAnsi="Arial" w:cs="Arial"/>
      <w:color w:val="003F87"/>
      <w:sz w:val="52"/>
      <w:szCs w:val="52"/>
    </w:rPr>
  </w:style>
  <w:style w:type="paragraph" w:styleId="Footer">
    <w:name w:val="footer"/>
    <w:basedOn w:val="Normal"/>
    <w:rsid w:val="003055F2"/>
    <w:pPr>
      <w:tabs>
        <w:tab w:val="center" w:pos="4320"/>
        <w:tab w:val="right" w:pos="8640"/>
      </w:tabs>
    </w:pPr>
  </w:style>
  <w:style w:type="paragraph" w:customStyle="1" w:styleId="PABulletedList">
    <w:name w:val="PA Bulleted List"/>
    <w:basedOn w:val="PABodyText"/>
    <w:rsid w:val="009D62C7"/>
    <w:pPr>
      <w:numPr>
        <w:numId w:val="1"/>
      </w:numPr>
    </w:pPr>
  </w:style>
  <w:style w:type="paragraph" w:customStyle="1" w:styleId="PANumberedList">
    <w:name w:val="PA Numbered List"/>
    <w:basedOn w:val="PABulletedList"/>
    <w:rsid w:val="009D62C7"/>
    <w:pPr>
      <w:numPr>
        <w:numId w:val="3"/>
      </w:numPr>
    </w:pPr>
  </w:style>
  <w:style w:type="character" w:styleId="Hyperlink">
    <w:name w:val="Hyperlink"/>
    <w:basedOn w:val="DefaultParagraphFont"/>
    <w:rsid w:val="00705A71"/>
    <w:rPr>
      <w:color w:val="333399"/>
      <w:u w:val="single"/>
    </w:rPr>
  </w:style>
  <w:style w:type="paragraph" w:customStyle="1" w:styleId="PADocumentHeadingLine2">
    <w:name w:val="PA Document Heading Line 2"/>
    <w:basedOn w:val="Normal"/>
    <w:rsid w:val="00EE174E"/>
    <w:pPr>
      <w:spacing w:after="120" w:line="192" w:lineRule="auto"/>
      <w:ind w:left="181" w:firstLine="360"/>
    </w:pPr>
    <w:rPr>
      <w:rFonts w:ascii="Arial" w:hAnsi="Arial" w:cs="Arial"/>
      <w:color w:val="003F87"/>
      <w:sz w:val="76"/>
      <w:szCs w:val="72"/>
    </w:rPr>
  </w:style>
  <w:style w:type="paragraph" w:styleId="BalloonText">
    <w:name w:val="Balloon Text"/>
    <w:basedOn w:val="Normal"/>
    <w:link w:val="BalloonTextChar"/>
    <w:rsid w:val="00AB42AB"/>
    <w:rPr>
      <w:rFonts w:ascii="Tahoma" w:hAnsi="Tahoma" w:cs="Tahoma"/>
      <w:sz w:val="16"/>
      <w:szCs w:val="16"/>
    </w:rPr>
  </w:style>
  <w:style w:type="character" w:customStyle="1" w:styleId="BalloonTextChar">
    <w:name w:val="Balloon Text Char"/>
    <w:basedOn w:val="DefaultParagraphFont"/>
    <w:link w:val="BalloonText"/>
    <w:rsid w:val="00AB42A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H:\Administration\Templates\Office%20-%20Melbourne\PA%20Letterhead%20Logo%20-%20Melbour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 Letterhead Logo - Melbourne</Template>
  <TotalTime>0</TotalTime>
  <Pages>3</Pages>
  <Words>1763</Words>
  <Characters>9487</Characters>
  <Application>Microsoft Office Word</Application>
  <DocSecurity>0</DocSecurity>
  <Lines>153</Lines>
  <Paragraphs>47</Paragraphs>
  <ScaleCrop>false</ScaleCrop>
  <HeadingPairs>
    <vt:vector size="2" baseType="variant">
      <vt:variant>
        <vt:lpstr>Title</vt:lpstr>
      </vt:variant>
      <vt:variant>
        <vt:i4>1</vt:i4>
      </vt:variant>
    </vt:vector>
  </HeadingPairs>
  <TitlesOfParts>
    <vt:vector size="1" baseType="lpstr">
      <vt:lpstr>Document  </vt:lpstr>
    </vt:vector>
  </TitlesOfParts>
  <Company>Philanthropy Australia</Company>
  <LinksUpToDate>false</LinksUpToDate>
  <CharactersWithSpaces>11203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statutory definition of charity</dc:title>
  <dc:subject/>
  <dc:creator>Philanthropy Australia</dc:creator>
  <cp:keywords/>
  <dc:description/>
  <cp:lastModifiedBy>treasury</cp:lastModifiedBy>
  <cp:revision>2</cp:revision>
  <cp:lastPrinted>2009-10-22T05:40:00Z</cp:lastPrinted>
  <dcterms:created xsi:type="dcterms:W3CDTF">2013-06-04T06:30:00Z</dcterms:created>
  <dcterms:modified xsi:type="dcterms:W3CDTF">2013-06-04T06:30:00Z</dcterms:modified>
</cp:coreProperties>
</file>