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B65" w:rsidRPr="00620D25" w:rsidRDefault="00ED10A7" w:rsidP="00FB2175">
      <w:pPr>
        <w:pStyle w:val="Title"/>
        <w:jc w:val="both"/>
        <w:rPr>
          <w:b/>
          <w:color w:val="auto"/>
        </w:rPr>
      </w:pPr>
      <w:bookmarkStart w:id="0" w:name="_GoBack"/>
      <w:bookmarkEnd w:id="0"/>
      <w:r>
        <w:rPr>
          <w:rFonts w:cs="Tahoma"/>
          <w:noProof/>
          <w:color w:val="0000FF"/>
          <w:sz w:val="60"/>
          <w:szCs w:val="60"/>
          <w:lang w:eastAsia="en-AU"/>
        </w:rPr>
        <w:drawing>
          <wp:anchor distT="0" distB="0" distL="114300" distR="114300" simplePos="0" relativeHeight="251659264" behindDoc="0" locked="0" layoutInCell="1" allowOverlap="1" wp14:anchorId="4E68BF2A" wp14:editId="237A8314">
            <wp:simplePos x="0" y="0"/>
            <wp:positionH relativeFrom="column">
              <wp:posOffset>-419418</wp:posOffset>
            </wp:positionH>
            <wp:positionV relativeFrom="paragraph">
              <wp:posOffset>-468947</wp:posOffset>
            </wp:positionV>
            <wp:extent cx="1363915" cy="866775"/>
            <wp:effectExtent l="0" t="0" r="8255"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64914" cy="867410"/>
                    </a:xfrm>
                    <a:prstGeom prst="rect">
                      <a:avLst/>
                    </a:prstGeom>
                    <a:noFill/>
                  </pic:spPr>
                </pic:pic>
              </a:graphicData>
            </a:graphic>
            <wp14:sizeRelH relativeFrom="page">
              <wp14:pctWidth>0</wp14:pctWidth>
            </wp14:sizeRelH>
            <wp14:sizeRelV relativeFrom="page">
              <wp14:pctHeight>0</wp14:pctHeight>
            </wp14:sizeRelV>
          </wp:anchor>
        </w:drawing>
      </w:r>
      <w:r>
        <w:rPr>
          <w:rFonts w:cs="Tahoma"/>
          <w:noProof/>
          <w:color w:val="0000FF"/>
          <w:sz w:val="60"/>
          <w:szCs w:val="60"/>
          <w:lang w:eastAsia="en-AU"/>
        </w:rPr>
        <mc:AlternateContent>
          <mc:Choice Requires="wps">
            <w:drawing>
              <wp:anchor distT="0" distB="0" distL="114300" distR="114300" simplePos="0" relativeHeight="251660288" behindDoc="1" locked="0" layoutInCell="1" allowOverlap="1" wp14:anchorId="2E03616C" wp14:editId="52BD26D4">
                <wp:simplePos x="0" y="0"/>
                <wp:positionH relativeFrom="column">
                  <wp:posOffset>-443230</wp:posOffset>
                </wp:positionH>
                <wp:positionV relativeFrom="paragraph">
                  <wp:posOffset>-683260</wp:posOffset>
                </wp:positionV>
                <wp:extent cx="1400175" cy="9334500"/>
                <wp:effectExtent l="0" t="0" r="9525" b="0"/>
                <wp:wrapNone/>
                <wp:docPr id="38" name="Rectangle 38"/>
                <wp:cNvGraphicFramePr/>
                <a:graphic xmlns:a="http://schemas.openxmlformats.org/drawingml/2006/main">
                  <a:graphicData uri="http://schemas.microsoft.com/office/word/2010/wordprocessingShape">
                    <wps:wsp>
                      <wps:cNvSpPr/>
                      <wps:spPr>
                        <a:xfrm>
                          <a:off x="0" y="0"/>
                          <a:ext cx="1400175" cy="9334500"/>
                        </a:xfrm>
                        <a:prstGeom prst="rect">
                          <a:avLst/>
                        </a:prstGeom>
                        <a:gradFill flip="none" rotWithShape="1">
                          <a:gsLst>
                            <a:gs pos="40000">
                              <a:srgbClr val="0000FF"/>
                            </a:gs>
                            <a:gs pos="0">
                              <a:sysClr val="windowText" lastClr="000000">
                                <a:lumMod val="75000"/>
                                <a:lumOff val="25000"/>
                              </a:sysClr>
                            </a:gs>
                          </a:gsLst>
                          <a:lin ang="162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8" o:spid="_x0000_s1026" style="position:absolute;margin-left:-34.9pt;margin-top:-53.8pt;width:110.25pt;height:73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" fillcolor="#404040" stroked="f" strokeweight="2pt">
                <v:fill color2="blue" rotate="t" angle="180" colors="0 #404040;26214f blue" focus="100%" type="gradient"/>
              </v:rect>
            </w:pict>
          </mc:Fallback>
        </mc:AlternateContent>
      </w:r>
    </w:p>
    <w:p w:rsidR="00E03CF2" w:rsidRPr="00965416" w:rsidRDefault="00E03CF2" w:rsidP="00E03CF2">
      <w:pPr>
        <w:spacing w:line="600" w:lineRule="exact"/>
        <w:jc w:val="left"/>
        <w:rPr>
          <w:rFonts w:ascii="Tahoma" w:hAnsi="Tahoma" w:cs="Tahoma"/>
          <w:color w:val="0000FF"/>
          <w:sz w:val="60"/>
          <w:szCs w:val="60"/>
          <w14:textOutline w14:w="9525" w14:cap="rnd" w14:cmpd="sng" w14:algn="ctr">
            <w14:noFill/>
            <w14:prstDash w14:val="solid"/>
            <w14:bevel/>
          </w14:textOutline>
        </w:rPr>
      </w:pPr>
    </w:p>
    <w:p w:rsidR="00E03CF2" w:rsidRPr="00965416" w:rsidRDefault="00E03CF2" w:rsidP="00E03CF2">
      <w:pPr>
        <w:spacing w:line="600" w:lineRule="exact"/>
        <w:jc w:val="left"/>
        <w:rPr>
          <w:rFonts w:ascii="Tahoma" w:hAnsi="Tahoma" w:cs="Tahoma"/>
          <w:color w:val="0000FF"/>
          <w:sz w:val="60"/>
          <w:szCs w:val="60"/>
          <w14:textOutline w14:w="9525" w14:cap="rnd" w14:cmpd="sng" w14:algn="ctr">
            <w14:noFill/>
            <w14:prstDash w14:val="solid"/>
            <w14:bevel/>
          </w14:textOutline>
        </w:rPr>
      </w:pPr>
    </w:p>
    <w:p w:rsidR="00A83694" w:rsidRDefault="00A83694" w:rsidP="00ED10A7">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p>
    <w:p w:rsidR="00A83694" w:rsidRDefault="00A83694" w:rsidP="00ED10A7">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p>
    <w:p w:rsidR="00E03CF2" w:rsidRPr="00965416" w:rsidRDefault="00E03CF2" w:rsidP="00ED10A7">
      <w:pPr>
        <w:spacing w:line="600" w:lineRule="exact"/>
        <w:ind w:left="2127"/>
        <w:jc w:val="left"/>
        <w:rPr>
          <w:rFonts w:ascii="Tahoma" w:hAnsi="Tahoma" w:cs="Tahoma"/>
          <w:color w:val="0000FF"/>
          <w:sz w:val="60"/>
          <w:szCs w:val="60"/>
          <w14:textOutline w14:w="9525" w14:cap="rnd" w14:cmpd="sng" w14:algn="ctr">
            <w14:noFill/>
            <w14:prstDash w14:val="solid"/>
            <w14:bevel/>
          </w14:textOutline>
        </w:rPr>
      </w:pPr>
      <w:r w:rsidRPr="00965416">
        <w:rPr>
          <w:rFonts w:ascii="Tahoma" w:hAnsi="Tahoma" w:cs="Tahoma"/>
          <w:color w:val="0000FF"/>
          <w:sz w:val="60"/>
          <w:szCs w:val="60"/>
          <w14:textOutline w14:w="9525" w14:cap="rnd" w14:cmpd="sng" w14:algn="ctr">
            <w14:noFill/>
            <w14:prstDash w14:val="solid"/>
            <w14:bevel/>
          </w14:textOutline>
        </w:rPr>
        <w:t>JOINT ECONOMIC FORECASTING GROUP REPORT</w:t>
      </w:r>
    </w:p>
    <w:p w:rsidR="00E03CF2" w:rsidRPr="00965416" w:rsidRDefault="00E03CF2" w:rsidP="00ED10A7">
      <w:pPr>
        <w:ind w:left="2127"/>
        <w:jc w:val="right"/>
        <w:rPr>
          <w:rFonts w:asciiTheme="minorHAnsi" w:hAnsiTheme="minorHAnsi" w:cs="Arial"/>
          <w:b/>
          <w:color w:val="0000FF"/>
          <w:sz w:val="22"/>
          <w:szCs w:val="22"/>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965416" w:rsidRPr="00965416" w:rsidRDefault="00F66A9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r>
        <w:rPr>
          <w:rFonts w:asciiTheme="minorHAnsi" w:hAnsiTheme="minorHAnsi" w:cs="Arial"/>
          <w:color w:val="0000FF"/>
          <w:sz w:val="40"/>
          <w:szCs w:val="40"/>
          <w14:textOutline w14:w="9525" w14:cap="rnd" w14:cmpd="sng" w14:algn="ctr">
            <w14:noFill/>
            <w14:prstDash w14:val="solid"/>
            <w14:bevel/>
          </w14:textOutline>
        </w:rPr>
        <w:t>E</w:t>
      </w:r>
      <w:r w:rsidR="00965416" w:rsidRPr="00965416">
        <w:rPr>
          <w:rFonts w:asciiTheme="minorHAnsi" w:hAnsiTheme="minorHAnsi" w:cs="Arial"/>
          <w:color w:val="0000FF"/>
          <w:sz w:val="40"/>
          <w:szCs w:val="40"/>
          <w14:textOutline w14:w="9525" w14:cap="rnd" w14:cmpd="sng" w14:algn="ctr">
            <w14:noFill/>
            <w14:prstDash w14:val="solid"/>
            <w14:bevel/>
          </w14:textOutline>
        </w:rPr>
        <w:t xml:space="preserve">CONOMIC OUTLOOK FOR </w:t>
      </w:r>
      <w:r w:rsidR="00965416">
        <w:rPr>
          <w:rFonts w:asciiTheme="minorHAnsi" w:hAnsiTheme="minorHAnsi" w:cs="Arial"/>
          <w:color w:val="0000FF"/>
          <w:sz w:val="40"/>
          <w:szCs w:val="40"/>
          <w14:textOutline w14:w="9525" w14:cap="rnd" w14:cmpd="sng" w14:algn="ctr">
            <w14:noFill/>
            <w14:prstDash w14:val="solid"/>
            <w14:bevel/>
          </w14:textOutline>
        </w:rPr>
        <w:br/>
      </w:r>
      <w:r w:rsidR="00965416" w:rsidRPr="00965416">
        <w:rPr>
          <w:rFonts w:asciiTheme="minorHAnsi" w:hAnsiTheme="minorHAnsi" w:cs="Arial"/>
          <w:color w:val="0000FF"/>
          <w:sz w:val="40"/>
          <w:szCs w:val="40"/>
          <w14:textOutline w14:w="9525" w14:cap="rnd" w14:cmpd="sng" w14:algn="ctr">
            <w14:noFill/>
            <w14:prstDash w14:val="solid"/>
            <w14:bevel/>
          </w14:textOutline>
        </w:rPr>
        <w:t>2013-14 AND 2014-15</w:t>
      </w:r>
    </w:p>
    <w:p w:rsidR="00965416" w:rsidRPr="00965416" w:rsidRDefault="00CE0760"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r>
        <w:rPr>
          <w:rFonts w:asciiTheme="minorHAnsi" w:hAnsiTheme="minorHAnsi" w:cs="Arial"/>
          <w:color w:val="0000FF"/>
          <w:sz w:val="40"/>
          <w:szCs w:val="40"/>
          <w14:textOutline w14:w="9525" w14:cap="rnd" w14:cmpd="sng" w14:algn="ctr">
            <w14:noFill/>
            <w14:prstDash w14:val="solid"/>
            <w14:bevel/>
          </w14:textOutline>
        </w:rPr>
        <w:t>SEPTEMBER</w:t>
      </w:r>
      <w:r w:rsidR="00965416" w:rsidRPr="00965416">
        <w:rPr>
          <w:rFonts w:asciiTheme="minorHAnsi" w:hAnsiTheme="minorHAnsi" w:cs="Arial"/>
          <w:color w:val="0000FF"/>
          <w:sz w:val="40"/>
          <w:szCs w:val="40"/>
          <w14:textOutline w14:w="9525" w14:cap="rnd" w14:cmpd="sng" w14:algn="ctr">
            <w14:noFill/>
            <w14:prstDash w14:val="solid"/>
            <w14:bevel/>
          </w14:textOutline>
        </w:rPr>
        <w:t xml:space="preserve"> 2013</w:t>
      </w: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0000FF"/>
          <w:sz w:val="40"/>
          <w:szCs w:val="40"/>
          <w14:textOutline w14:w="9525" w14:cap="rnd" w14:cmpd="sng" w14:algn="ctr">
            <w14:noFill/>
            <w14:prstDash w14:val="solid"/>
            <w14:bevel/>
          </w14:textOutline>
        </w:rPr>
      </w:pPr>
    </w:p>
    <w:p w:rsidR="00E03CF2" w:rsidRPr="00965416" w:rsidRDefault="00E03CF2" w:rsidP="00ED10A7">
      <w:pPr>
        <w:spacing w:line="400" w:lineRule="exact"/>
        <w:ind w:left="2127"/>
        <w:jc w:val="left"/>
        <w:rPr>
          <w:rFonts w:asciiTheme="minorHAnsi" w:hAnsiTheme="minorHAnsi" w:cs="Arial"/>
          <w:color w:val="404040" w:themeColor="text1" w:themeTint="BF"/>
          <w:sz w:val="28"/>
          <w:szCs w:val="28"/>
          <w14:textOutline w14:w="9525" w14:cap="rnd" w14:cmpd="sng" w14:algn="ctr">
            <w14:noFill/>
            <w14:prstDash w14:val="solid"/>
            <w14:bevel/>
          </w14:textOutline>
        </w:rPr>
      </w:pPr>
      <w:r w:rsidRPr="00965416">
        <w:rPr>
          <w:rFonts w:asciiTheme="minorHAnsi" w:hAnsiTheme="minorHAnsi" w:cs="Arial"/>
          <w:color w:val="404040" w:themeColor="text1" w:themeTint="BF"/>
          <w:sz w:val="28"/>
          <w:szCs w:val="28"/>
          <w14:textOutline w14:w="9525" w14:cap="rnd" w14:cmpd="sng" w14:algn="ctr">
            <w14:noFill/>
            <w14:prstDash w14:val="solid"/>
            <w14:bevel/>
          </w14:textOutline>
        </w:rPr>
        <w:t xml:space="preserve">This report incorporates domestic and international data </w:t>
      </w:r>
      <w:r w:rsidRPr="00965416">
        <w:rPr>
          <w:rFonts w:asciiTheme="minorHAnsi" w:hAnsiTheme="minorHAnsi" w:cs="Arial"/>
          <w:color w:val="404040" w:themeColor="text1" w:themeTint="BF"/>
          <w:sz w:val="28"/>
          <w:szCs w:val="28"/>
          <w14:textOutline w14:w="9525" w14:cap="rnd" w14:cmpd="sng" w14:algn="ctr">
            <w14:noFill/>
            <w14:prstDash w14:val="solid"/>
            <w14:bevel/>
          </w14:textOutline>
        </w:rPr>
        <w:br/>
        <w:t xml:space="preserve">released up to </w:t>
      </w:r>
      <w:r w:rsidR="00F97C1D">
        <w:rPr>
          <w:rFonts w:asciiTheme="minorHAnsi" w:hAnsiTheme="minorHAnsi" w:cs="Arial"/>
          <w:color w:val="404040" w:themeColor="text1" w:themeTint="BF"/>
          <w:sz w:val="28"/>
          <w:szCs w:val="28"/>
          <w14:textOutline w14:w="9525" w14:cap="rnd" w14:cmpd="sng" w14:algn="ctr">
            <w14:noFill/>
            <w14:prstDash w14:val="solid"/>
            <w14:bevel/>
          </w14:textOutline>
        </w:rPr>
        <w:t>9</w:t>
      </w:r>
      <w:r w:rsidRPr="00965416">
        <w:rPr>
          <w:rFonts w:asciiTheme="minorHAnsi" w:hAnsiTheme="minorHAnsi" w:cs="Arial"/>
          <w:color w:val="404040" w:themeColor="text1" w:themeTint="BF"/>
          <w:sz w:val="28"/>
          <w:szCs w:val="28"/>
          <w14:textOutline w14:w="9525" w14:cap="rnd" w14:cmpd="sng" w14:algn="ctr">
            <w14:noFill/>
            <w14:prstDash w14:val="solid"/>
            <w14:bevel/>
          </w14:textOutline>
        </w:rPr>
        <w:t xml:space="preserve"> October 2013.</w:t>
      </w:r>
    </w:p>
    <w:p w:rsidR="00E03CF2" w:rsidRPr="00E03CF2" w:rsidRDefault="00E03CF2" w:rsidP="00E03CF2">
      <w:pPr>
        <w:rPr>
          <w:highlight w:val="yellow"/>
        </w:rPr>
        <w:sectPr w:rsidR="00E03CF2" w:rsidRPr="00E03CF2" w:rsidSect="00965416">
          <w:headerReference w:type="even" r:id="rId10"/>
          <w:headerReference w:type="default" r:id="rId11"/>
          <w:footerReference w:type="even" r:id="rId12"/>
          <w:footerReference w:type="default" r:id="rId13"/>
          <w:headerReference w:type="first" r:id="rId14"/>
          <w:footerReference w:type="first" r:id="rId15"/>
          <w:pgSz w:w="11907" w:h="16840" w:code="9"/>
          <w:pgMar w:top="1961" w:right="1418" w:bottom="1276" w:left="1418" w:header="567" w:footer="567" w:gutter="0"/>
          <w:cols w:space="720"/>
          <w:titlePg/>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0" w:color="auto" w:fill="auto"/>
        <w:tblLook w:val="04A0" w:firstRow="1" w:lastRow="0" w:firstColumn="1" w:lastColumn="0" w:noHBand="0" w:noVBand="1"/>
      </w:tblPr>
      <w:tblGrid>
        <w:gridCol w:w="9242"/>
      </w:tblGrid>
      <w:tr w:rsidR="00851710" w:rsidRPr="00587BCC" w:rsidTr="00851710">
        <w:tc>
          <w:tcPr>
            <w:tcW w:w="9242" w:type="dxa"/>
            <w:shd w:val="pct10" w:color="auto" w:fill="auto"/>
          </w:tcPr>
          <w:p w:rsidR="00F07B76" w:rsidRPr="00926CCD" w:rsidRDefault="00851710" w:rsidP="00F07B76">
            <w:pPr>
              <w:pStyle w:val="IntenseQuote"/>
              <w:spacing w:after="0"/>
              <w:ind w:left="0"/>
              <w:rPr>
                <w:i w:val="0"/>
                <w:color w:val="0000FF"/>
                <w:sz w:val="28"/>
                <w:szCs w:val="28"/>
              </w:rPr>
            </w:pPr>
            <w:bookmarkStart w:id="1" w:name="_Toc336420544"/>
            <w:bookmarkStart w:id="2" w:name="_Toc361746136"/>
            <w:bookmarkStart w:id="3" w:name="_Toc90977883"/>
            <w:bookmarkStart w:id="4" w:name="_Toc185498655"/>
            <w:r w:rsidRPr="00926CCD">
              <w:rPr>
                <w:i w:val="0"/>
                <w:color w:val="0000FF"/>
                <w:sz w:val="28"/>
                <w:szCs w:val="28"/>
              </w:rPr>
              <w:lastRenderedPageBreak/>
              <w:t>EXECUTIVE SUMMARY</w:t>
            </w:r>
          </w:p>
          <w:p w:rsidR="00036FF1" w:rsidRPr="00F66A92" w:rsidRDefault="00F07B76" w:rsidP="00C46E5E">
            <w:pPr>
              <w:pStyle w:val="Bullet"/>
              <w:numPr>
                <w:ilvl w:val="0"/>
                <w:numId w:val="0"/>
              </w:numPr>
              <w:spacing w:before="120"/>
              <w:rPr>
                <w:rFonts w:asciiTheme="minorHAnsi" w:hAnsiTheme="minorHAnsi"/>
                <w:i/>
                <w:szCs w:val="20"/>
              </w:rPr>
            </w:pPr>
            <w:r w:rsidRPr="00587BCC">
              <w:rPr>
                <w:rFonts w:asciiTheme="minorHAnsi" w:hAnsiTheme="minorHAnsi"/>
                <w:i/>
              </w:rPr>
              <w:t>The Austral</w:t>
            </w:r>
            <w:r w:rsidR="00C549A8" w:rsidRPr="00587BCC">
              <w:rPr>
                <w:rFonts w:asciiTheme="minorHAnsi" w:hAnsiTheme="minorHAnsi"/>
                <w:i/>
              </w:rPr>
              <w:t xml:space="preserve">ian economy is forecast to grow steadily, </w:t>
            </w:r>
            <w:r w:rsidR="005B4308" w:rsidRPr="00587BCC">
              <w:rPr>
                <w:rFonts w:asciiTheme="minorHAnsi" w:hAnsiTheme="minorHAnsi"/>
                <w:i/>
              </w:rPr>
              <w:t>albeit</w:t>
            </w:r>
            <w:r w:rsidR="00C549A8" w:rsidRPr="00587BCC">
              <w:rPr>
                <w:rFonts w:asciiTheme="minorHAnsi" w:hAnsiTheme="minorHAnsi"/>
                <w:i/>
              </w:rPr>
              <w:t xml:space="preserve"> at a rate a little below trend,</w:t>
            </w:r>
            <w:r w:rsidR="00F50A94" w:rsidRPr="00587BCC">
              <w:rPr>
                <w:rFonts w:asciiTheme="minorHAnsi" w:hAnsiTheme="minorHAnsi"/>
                <w:i/>
              </w:rPr>
              <w:t xml:space="preserve"> as </w:t>
            </w:r>
            <w:r w:rsidRPr="00587BCC">
              <w:rPr>
                <w:rFonts w:asciiTheme="minorHAnsi" w:hAnsiTheme="minorHAnsi"/>
                <w:i/>
              </w:rPr>
              <w:t xml:space="preserve">the economy </w:t>
            </w:r>
            <w:r w:rsidRPr="00F66A92">
              <w:rPr>
                <w:rFonts w:asciiTheme="minorHAnsi" w:hAnsiTheme="minorHAnsi"/>
                <w:i/>
                <w:szCs w:val="20"/>
              </w:rPr>
              <w:t xml:space="preserve">transitions away </w:t>
            </w:r>
            <w:r w:rsidR="00C549A8" w:rsidRPr="00F66A92">
              <w:rPr>
                <w:rFonts w:asciiTheme="minorHAnsi" w:hAnsiTheme="minorHAnsi"/>
                <w:i/>
                <w:szCs w:val="20"/>
              </w:rPr>
              <w:t xml:space="preserve">from resources </w:t>
            </w:r>
            <w:r w:rsidRPr="00F66A92">
              <w:rPr>
                <w:rFonts w:asciiTheme="minorHAnsi" w:hAnsiTheme="minorHAnsi"/>
                <w:i/>
                <w:szCs w:val="20"/>
              </w:rPr>
              <w:t xml:space="preserve">investment </w:t>
            </w:r>
            <w:r w:rsidR="00F50A94" w:rsidRPr="00F66A92">
              <w:rPr>
                <w:rFonts w:asciiTheme="minorHAnsi" w:hAnsiTheme="minorHAnsi"/>
                <w:i/>
                <w:szCs w:val="20"/>
              </w:rPr>
              <w:t>towards stronger resource exports and broader-based growth</w:t>
            </w:r>
            <w:r w:rsidRPr="00F66A92">
              <w:rPr>
                <w:rFonts w:asciiTheme="minorHAnsi" w:hAnsiTheme="minorHAnsi"/>
                <w:i/>
                <w:szCs w:val="20"/>
              </w:rPr>
              <w:t xml:space="preserve">. </w:t>
            </w:r>
          </w:p>
          <w:p w:rsidR="00E75512" w:rsidRPr="00F66A92" w:rsidRDefault="001759C4" w:rsidP="00C46E5E">
            <w:pPr>
              <w:pStyle w:val="Bullet"/>
              <w:numPr>
                <w:ilvl w:val="0"/>
                <w:numId w:val="0"/>
              </w:numPr>
              <w:spacing w:before="120"/>
              <w:rPr>
                <w:rFonts w:asciiTheme="minorHAnsi" w:hAnsiTheme="minorHAnsi"/>
                <w:b/>
                <w:i/>
                <w:szCs w:val="20"/>
              </w:rPr>
            </w:pPr>
            <w:r w:rsidRPr="00F66A92">
              <w:rPr>
                <w:rFonts w:asciiTheme="minorHAnsi" w:hAnsiTheme="minorHAnsi"/>
                <w:i/>
                <w:szCs w:val="20"/>
              </w:rPr>
              <w:t>R</w:t>
            </w:r>
            <w:r w:rsidR="00E75512" w:rsidRPr="00F66A92">
              <w:rPr>
                <w:rFonts w:asciiTheme="minorHAnsi" w:hAnsiTheme="minorHAnsi"/>
                <w:i/>
                <w:szCs w:val="20"/>
              </w:rPr>
              <w:t>esources investment</w:t>
            </w:r>
            <w:r w:rsidR="00B81C0D" w:rsidRPr="00F66A92">
              <w:rPr>
                <w:rFonts w:asciiTheme="minorHAnsi" w:hAnsiTheme="minorHAnsi"/>
                <w:i/>
                <w:szCs w:val="20"/>
              </w:rPr>
              <w:t xml:space="preserve"> is expected to fall more sharply than expected</w:t>
            </w:r>
            <w:r w:rsidRPr="00F66A92">
              <w:rPr>
                <w:rFonts w:asciiTheme="minorHAnsi" w:hAnsiTheme="minorHAnsi"/>
                <w:i/>
                <w:szCs w:val="20"/>
              </w:rPr>
              <w:t xml:space="preserve"> at PEFO, but the transition towards stronger resources exports remains firmly underway</w:t>
            </w:r>
            <w:r w:rsidR="00E71FBE" w:rsidRPr="00F66A92">
              <w:rPr>
                <w:rFonts w:asciiTheme="minorHAnsi" w:hAnsiTheme="minorHAnsi"/>
                <w:i/>
                <w:szCs w:val="20"/>
              </w:rPr>
              <w:t>.</w:t>
            </w:r>
          </w:p>
          <w:p w:rsidR="00B81C0D" w:rsidRPr="00F66A92" w:rsidRDefault="00B81C0D" w:rsidP="00C46E5E">
            <w:pPr>
              <w:pStyle w:val="Bullet"/>
              <w:numPr>
                <w:ilvl w:val="0"/>
                <w:numId w:val="0"/>
              </w:numPr>
              <w:spacing w:before="120"/>
              <w:rPr>
                <w:rFonts w:asciiTheme="minorHAnsi" w:hAnsiTheme="minorHAnsi"/>
                <w:i/>
                <w:szCs w:val="20"/>
              </w:rPr>
            </w:pPr>
            <w:r w:rsidRPr="00F66A92">
              <w:rPr>
                <w:rFonts w:asciiTheme="minorHAnsi" w:hAnsiTheme="minorHAnsi"/>
                <w:i/>
                <w:szCs w:val="20"/>
              </w:rPr>
              <w:t xml:space="preserve">In contrast, the transition to broader-based growth has been slower than expected, with the positive signs mostly limited to the established housing market and surveys of consumer and business sentiment. </w:t>
            </w:r>
          </w:p>
          <w:p w:rsidR="002838BC" w:rsidRPr="00F66A92" w:rsidRDefault="00036FF1" w:rsidP="00C46E5E">
            <w:pPr>
              <w:pStyle w:val="Bullet"/>
              <w:numPr>
                <w:ilvl w:val="0"/>
                <w:numId w:val="0"/>
              </w:numPr>
              <w:spacing w:before="120"/>
              <w:rPr>
                <w:rFonts w:asciiTheme="minorHAnsi" w:hAnsiTheme="minorHAnsi"/>
                <w:i/>
                <w:szCs w:val="20"/>
              </w:rPr>
            </w:pPr>
            <w:r w:rsidRPr="00F66A92">
              <w:rPr>
                <w:rFonts w:asciiTheme="minorHAnsi" w:hAnsiTheme="minorHAnsi"/>
                <w:i/>
                <w:szCs w:val="20"/>
              </w:rPr>
              <w:t xml:space="preserve">As a consequence, real GDP is expected to grow at a below-trend pace for longer than forecast at PEFO, with </w:t>
            </w:r>
            <w:r w:rsidR="00536266" w:rsidRPr="00F66A92">
              <w:rPr>
                <w:rFonts w:asciiTheme="minorHAnsi" w:hAnsiTheme="minorHAnsi"/>
                <w:i/>
                <w:szCs w:val="20"/>
              </w:rPr>
              <w:t xml:space="preserve">forecast </w:t>
            </w:r>
            <w:r w:rsidRPr="00F66A92">
              <w:rPr>
                <w:rFonts w:asciiTheme="minorHAnsi" w:hAnsiTheme="minorHAnsi"/>
                <w:i/>
                <w:szCs w:val="20"/>
              </w:rPr>
              <w:t xml:space="preserve">growth in 2014-15 revised </w:t>
            </w:r>
            <w:r w:rsidR="00C31056" w:rsidRPr="00F66A92">
              <w:rPr>
                <w:rFonts w:asciiTheme="minorHAnsi" w:hAnsiTheme="minorHAnsi"/>
                <w:i/>
                <w:szCs w:val="20"/>
              </w:rPr>
              <w:t>down by ¼ of a percentage point</w:t>
            </w:r>
            <w:r w:rsidRPr="00F66A92">
              <w:rPr>
                <w:rFonts w:asciiTheme="minorHAnsi" w:hAnsiTheme="minorHAnsi"/>
                <w:i/>
                <w:szCs w:val="20"/>
              </w:rPr>
              <w:t xml:space="preserve"> to 2¾ per cent.</w:t>
            </w:r>
            <w:r w:rsidR="00997B5C" w:rsidRPr="00F66A92">
              <w:rPr>
                <w:rFonts w:asciiTheme="minorHAnsi" w:hAnsiTheme="minorHAnsi"/>
                <w:i/>
                <w:szCs w:val="20"/>
              </w:rPr>
              <w:t xml:space="preserve"> </w:t>
            </w:r>
          </w:p>
          <w:p w:rsidR="00F66A92" w:rsidRPr="00F66A92" w:rsidRDefault="00F66A92" w:rsidP="00F66A92">
            <w:pPr>
              <w:pStyle w:val="Bullet"/>
              <w:numPr>
                <w:ilvl w:val="0"/>
                <w:numId w:val="0"/>
              </w:numPr>
              <w:spacing w:before="120"/>
              <w:rPr>
                <w:rFonts w:asciiTheme="minorHAnsi" w:hAnsiTheme="minorHAnsi"/>
                <w:i/>
                <w:szCs w:val="20"/>
              </w:rPr>
            </w:pPr>
            <w:r w:rsidRPr="00F66A92">
              <w:rPr>
                <w:rFonts w:asciiTheme="minorHAnsi" w:hAnsiTheme="minorHAnsi"/>
                <w:i/>
                <w:szCs w:val="20"/>
              </w:rPr>
              <w:t xml:space="preserve">Despite a lower participation rate, the unemployment rate is expected to rise gradually to 6¼ per cent by </w:t>
            </w:r>
            <w:r w:rsidRPr="00F66A92">
              <w:rPr>
                <w:rFonts w:asciiTheme="minorHAnsi" w:hAnsiTheme="minorHAnsi"/>
                <w:i/>
                <w:szCs w:val="20"/>
              </w:rPr>
              <w:br/>
              <w:t>mid-2014 before stabilising at this level, with lower forecast wage growth helping to limit the impact on employment from softer real GDP growth.</w:t>
            </w:r>
          </w:p>
          <w:p w:rsidR="00F66A92" w:rsidRPr="00F66A92" w:rsidRDefault="00F66A92" w:rsidP="00F66A92">
            <w:pPr>
              <w:pStyle w:val="Bullet"/>
              <w:numPr>
                <w:ilvl w:val="0"/>
                <w:numId w:val="0"/>
              </w:numPr>
              <w:spacing w:before="120"/>
              <w:rPr>
                <w:rFonts w:asciiTheme="minorHAnsi" w:hAnsiTheme="minorHAnsi"/>
                <w:i/>
                <w:szCs w:val="20"/>
              </w:rPr>
            </w:pPr>
            <w:r w:rsidRPr="00F66A92">
              <w:rPr>
                <w:rFonts w:asciiTheme="minorHAnsi" w:hAnsiTheme="minorHAnsi"/>
                <w:i/>
                <w:szCs w:val="20"/>
              </w:rPr>
              <w:t>Nominal GDP growth has been revised lower in both 2013-14 and 2014-15. Lower wage growth will limit growth in domestic prices, and the recent strength in some commodity prices is expected to be only temporary.</w:t>
            </w:r>
          </w:p>
          <w:p w:rsidR="00F66A92" w:rsidRPr="00F66A92" w:rsidRDefault="00F66A92" w:rsidP="00F66A92">
            <w:pPr>
              <w:pStyle w:val="Bullet"/>
              <w:numPr>
                <w:ilvl w:val="0"/>
                <w:numId w:val="0"/>
              </w:numPr>
              <w:spacing w:before="120"/>
              <w:rPr>
                <w:rFonts w:asciiTheme="minorHAnsi" w:hAnsiTheme="minorHAnsi"/>
                <w:i/>
                <w:szCs w:val="20"/>
              </w:rPr>
            </w:pPr>
            <w:r w:rsidRPr="00F66A92">
              <w:rPr>
                <w:rFonts w:asciiTheme="minorHAnsi" w:hAnsiTheme="minorHAnsi"/>
                <w:i/>
                <w:szCs w:val="20"/>
              </w:rPr>
              <w:t xml:space="preserve">There are significant risks to the outlook including the possibility that the transition to broader-based growth will continue to disappoint. Further falls in the exchange rate would assist with the transition. </w:t>
            </w:r>
          </w:p>
          <w:p w:rsidR="00F66A92" w:rsidRPr="00F66A92" w:rsidRDefault="00F66A92" w:rsidP="00F66A92">
            <w:pPr>
              <w:pStyle w:val="Bullet"/>
              <w:numPr>
                <w:ilvl w:val="0"/>
                <w:numId w:val="0"/>
              </w:numPr>
              <w:spacing w:before="120"/>
              <w:rPr>
                <w:rFonts w:asciiTheme="minorHAnsi" w:hAnsiTheme="minorHAnsi"/>
                <w:i/>
                <w:szCs w:val="20"/>
              </w:rPr>
            </w:pPr>
            <w:r w:rsidRPr="00F66A92">
              <w:rPr>
                <w:rFonts w:asciiTheme="minorHAnsi" w:hAnsiTheme="minorHAnsi"/>
                <w:i/>
                <w:szCs w:val="20"/>
              </w:rPr>
              <w:t>There is also a related risk that sustained weakness in national income growth owing to the falling terms of trade will weigh more heavily on domestic demand than currently expected.</w:t>
            </w:r>
          </w:p>
          <w:p w:rsidR="00F66A92" w:rsidRPr="00F66A92" w:rsidRDefault="00F66A92" w:rsidP="00F66A92">
            <w:pPr>
              <w:pStyle w:val="Bullet"/>
              <w:numPr>
                <w:ilvl w:val="0"/>
                <w:numId w:val="0"/>
              </w:numPr>
              <w:spacing w:before="120"/>
              <w:rPr>
                <w:rFonts w:asciiTheme="minorHAnsi" w:hAnsiTheme="minorHAnsi"/>
                <w:i/>
                <w:szCs w:val="20"/>
              </w:rPr>
            </w:pPr>
            <w:r w:rsidRPr="00F66A92">
              <w:rPr>
                <w:rFonts w:asciiTheme="minorHAnsi" w:hAnsiTheme="minorHAnsi"/>
                <w:i/>
                <w:szCs w:val="20"/>
              </w:rPr>
              <w:t>The external environment continues to pose risks</w:t>
            </w:r>
            <w:r w:rsidR="00A2672B">
              <w:rPr>
                <w:rFonts w:asciiTheme="minorHAnsi" w:hAnsiTheme="minorHAnsi"/>
                <w:i/>
                <w:szCs w:val="20"/>
              </w:rPr>
              <w:t xml:space="preserve">. </w:t>
            </w:r>
            <w:r w:rsidR="00A85D7B">
              <w:rPr>
                <w:rFonts w:asciiTheme="minorHAnsi" w:hAnsiTheme="minorHAnsi"/>
                <w:i/>
                <w:szCs w:val="20"/>
              </w:rPr>
              <w:t>T</w:t>
            </w:r>
            <w:r w:rsidR="00A2672B">
              <w:rPr>
                <w:rFonts w:asciiTheme="minorHAnsi" w:hAnsiTheme="minorHAnsi"/>
                <w:i/>
                <w:szCs w:val="20"/>
              </w:rPr>
              <w:t>he October</w:t>
            </w:r>
            <w:r w:rsidR="00B05208">
              <w:rPr>
                <w:rFonts w:asciiTheme="minorHAnsi" w:hAnsiTheme="minorHAnsi"/>
                <w:i/>
                <w:szCs w:val="20"/>
              </w:rPr>
              <w:t xml:space="preserve"> government shutdown and</w:t>
            </w:r>
            <w:r w:rsidR="00A2672B">
              <w:rPr>
                <w:rFonts w:asciiTheme="minorHAnsi" w:hAnsiTheme="minorHAnsi"/>
                <w:i/>
                <w:szCs w:val="20"/>
              </w:rPr>
              <w:t xml:space="preserve"> debt ceiling impasse ha</w:t>
            </w:r>
            <w:r w:rsidR="00FC7708">
              <w:rPr>
                <w:rFonts w:asciiTheme="minorHAnsi" w:hAnsiTheme="minorHAnsi"/>
                <w:i/>
                <w:szCs w:val="20"/>
              </w:rPr>
              <w:t>ve</w:t>
            </w:r>
            <w:r w:rsidR="00B05208">
              <w:rPr>
                <w:rFonts w:asciiTheme="minorHAnsi" w:hAnsiTheme="minorHAnsi"/>
                <w:i/>
                <w:szCs w:val="20"/>
              </w:rPr>
              <w:t xml:space="preserve"> only been</w:t>
            </w:r>
            <w:r w:rsidR="00A2672B">
              <w:rPr>
                <w:rFonts w:asciiTheme="minorHAnsi" w:hAnsiTheme="minorHAnsi"/>
                <w:i/>
                <w:szCs w:val="20"/>
              </w:rPr>
              <w:t xml:space="preserve"> </w:t>
            </w:r>
            <w:r w:rsidR="00FA130A">
              <w:rPr>
                <w:rFonts w:asciiTheme="minorHAnsi" w:hAnsiTheme="minorHAnsi"/>
                <w:i/>
                <w:szCs w:val="20"/>
              </w:rPr>
              <w:t>temporarily resolved and therefore</w:t>
            </w:r>
            <w:r w:rsidR="00A2672B">
              <w:rPr>
                <w:rFonts w:asciiTheme="minorHAnsi" w:hAnsiTheme="minorHAnsi"/>
                <w:i/>
                <w:szCs w:val="20"/>
              </w:rPr>
              <w:t xml:space="preserve"> US fiscal policy</w:t>
            </w:r>
            <w:r w:rsidR="00B05208">
              <w:rPr>
                <w:rFonts w:asciiTheme="minorHAnsi" w:hAnsiTheme="minorHAnsi"/>
                <w:i/>
                <w:szCs w:val="20"/>
              </w:rPr>
              <w:t xml:space="preserve"> </w:t>
            </w:r>
            <w:r w:rsidR="00FA130A">
              <w:rPr>
                <w:rFonts w:asciiTheme="minorHAnsi" w:hAnsiTheme="minorHAnsi"/>
                <w:i/>
                <w:szCs w:val="20"/>
              </w:rPr>
              <w:t>is expec</w:t>
            </w:r>
            <w:r w:rsidR="00B05208">
              <w:rPr>
                <w:rFonts w:asciiTheme="minorHAnsi" w:hAnsiTheme="minorHAnsi"/>
                <w:i/>
                <w:szCs w:val="20"/>
              </w:rPr>
              <w:t>ted to</w:t>
            </w:r>
            <w:r w:rsidR="00A2672B">
              <w:rPr>
                <w:rFonts w:asciiTheme="minorHAnsi" w:hAnsiTheme="minorHAnsi"/>
                <w:i/>
                <w:szCs w:val="20"/>
              </w:rPr>
              <w:t xml:space="preserve"> </w:t>
            </w:r>
            <w:r w:rsidR="00A85D7B">
              <w:rPr>
                <w:rFonts w:asciiTheme="minorHAnsi" w:hAnsiTheme="minorHAnsi"/>
                <w:i/>
                <w:szCs w:val="20"/>
              </w:rPr>
              <w:t xml:space="preserve">re-emerge as a risk in </w:t>
            </w:r>
            <w:r w:rsidR="00DB5DB0">
              <w:rPr>
                <w:rFonts w:asciiTheme="minorHAnsi" w:hAnsiTheme="minorHAnsi"/>
                <w:i/>
                <w:szCs w:val="20"/>
              </w:rPr>
              <w:t>early 2014</w:t>
            </w:r>
            <w:r w:rsidR="00A2672B">
              <w:rPr>
                <w:rFonts w:asciiTheme="minorHAnsi" w:hAnsiTheme="minorHAnsi"/>
                <w:i/>
                <w:szCs w:val="20"/>
              </w:rPr>
              <w:t xml:space="preserve">. </w:t>
            </w:r>
            <w:r w:rsidR="00FC7708" w:rsidRPr="00F66A92">
              <w:rPr>
                <w:rFonts w:asciiTheme="minorHAnsi" w:hAnsiTheme="minorHAnsi"/>
                <w:i/>
                <w:szCs w:val="20"/>
              </w:rPr>
              <w:t>The eventual ‘tapering’ of asset purchases by the US Federal Reser</w:t>
            </w:r>
            <w:r w:rsidR="00FC7708">
              <w:rPr>
                <w:rFonts w:asciiTheme="minorHAnsi" w:hAnsiTheme="minorHAnsi"/>
                <w:i/>
                <w:szCs w:val="20"/>
              </w:rPr>
              <w:t>ve is also creating uncertainty</w:t>
            </w:r>
            <w:r w:rsidRPr="00F66A92">
              <w:rPr>
                <w:rFonts w:asciiTheme="minorHAnsi" w:hAnsiTheme="minorHAnsi"/>
                <w:i/>
                <w:szCs w:val="20"/>
              </w:rPr>
              <w:t>.</w:t>
            </w:r>
          </w:p>
          <w:p w:rsidR="00F66A92" w:rsidRPr="00F66A92" w:rsidRDefault="00F66A92" w:rsidP="00F66A92">
            <w:pPr>
              <w:pStyle w:val="Bullet"/>
              <w:numPr>
                <w:ilvl w:val="0"/>
                <w:numId w:val="0"/>
              </w:numPr>
              <w:spacing w:before="120"/>
              <w:rPr>
                <w:rFonts w:asciiTheme="minorHAnsi" w:hAnsiTheme="minorHAnsi"/>
                <w:i/>
                <w:szCs w:val="20"/>
              </w:rPr>
            </w:pPr>
            <w:r w:rsidRPr="00F66A92">
              <w:rPr>
                <w:rFonts w:asciiTheme="minorHAnsi" w:hAnsiTheme="minorHAnsi"/>
                <w:i/>
                <w:szCs w:val="20"/>
              </w:rPr>
              <w:t>Still, the outlook remains positive. Global growth is forecast to strengthen and sustained low interest rates, particularly if combined with further falls in the exchange rate, should support solid rates of domestic growth.</w:t>
            </w:r>
          </w:p>
          <w:p w:rsidR="00E2081F" w:rsidRPr="00587BCC" w:rsidRDefault="00E2081F" w:rsidP="00926CCD">
            <w:pPr>
              <w:spacing w:after="200" w:line="276" w:lineRule="auto"/>
              <w:jc w:val="left"/>
              <w:rPr>
                <w:rFonts w:asciiTheme="minorHAnsi" w:hAnsiTheme="minorHAnsi" w:cstheme="minorBidi"/>
                <w:i/>
              </w:rPr>
            </w:pPr>
            <w:r w:rsidRPr="00587BCC">
              <w:rPr>
                <w:rFonts w:asciiTheme="minorHAnsi" w:hAnsiTheme="minorHAnsi" w:cs="Tahoma"/>
                <w:b/>
                <w:kern w:val="2"/>
              </w:rPr>
              <w:t xml:space="preserve">Table 1: Key </w:t>
            </w:r>
            <w:r w:rsidR="00E71FBE" w:rsidRPr="00587BCC">
              <w:rPr>
                <w:rFonts w:asciiTheme="minorHAnsi" w:hAnsiTheme="minorHAnsi" w:cs="Tahoma"/>
                <w:b/>
                <w:kern w:val="2"/>
              </w:rPr>
              <w:t>d</w:t>
            </w:r>
            <w:r w:rsidRPr="00587BCC">
              <w:rPr>
                <w:rFonts w:asciiTheme="minorHAnsi" w:hAnsiTheme="minorHAnsi" w:cs="Tahoma"/>
                <w:b/>
                <w:kern w:val="2"/>
              </w:rPr>
              <w:t>omestic</w:t>
            </w:r>
            <w:r w:rsidR="00F5083C" w:rsidRPr="00587BCC">
              <w:rPr>
                <w:rFonts w:asciiTheme="minorHAnsi" w:hAnsiTheme="minorHAnsi" w:cs="Tahoma"/>
                <w:b/>
                <w:kern w:val="2"/>
              </w:rPr>
              <w:t xml:space="preserve"> and </w:t>
            </w:r>
            <w:r w:rsidR="00E71FBE" w:rsidRPr="00587BCC">
              <w:rPr>
                <w:rFonts w:asciiTheme="minorHAnsi" w:hAnsiTheme="minorHAnsi" w:cs="Tahoma"/>
                <w:b/>
                <w:kern w:val="2"/>
              </w:rPr>
              <w:t>i</w:t>
            </w:r>
            <w:r w:rsidR="00F5083C" w:rsidRPr="00587BCC">
              <w:rPr>
                <w:rFonts w:asciiTheme="minorHAnsi" w:hAnsiTheme="minorHAnsi" w:cs="Tahoma"/>
                <w:b/>
                <w:kern w:val="2"/>
              </w:rPr>
              <w:t>nternational</w:t>
            </w:r>
            <w:r w:rsidR="00E71FBE" w:rsidRPr="00587BCC">
              <w:rPr>
                <w:rFonts w:asciiTheme="minorHAnsi" w:hAnsiTheme="minorHAnsi" w:cs="Tahoma"/>
                <w:b/>
                <w:kern w:val="2"/>
              </w:rPr>
              <w:t xml:space="preserve"> f</w:t>
            </w:r>
            <w:r w:rsidRPr="00587BCC">
              <w:rPr>
                <w:rFonts w:asciiTheme="minorHAnsi" w:hAnsiTheme="minorHAnsi" w:cs="Tahoma"/>
                <w:b/>
                <w:kern w:val="2"/>
              </w:rPr>
              <w:t>orecasts</w:t>
            </w:r>
            <w:r w:rsidRPr="00587BCC">
              <w:rPr>
                <w:rFonts w:asciiTheme="minorHAnsi" w:hAnsiTheme="minorHAnsi" w:cs="Tahoma"/>
                <w:b/>
                <w:kern w:val="2"/>
                <w:vertAlign w:val="superscript"/>
              </w:rPr>
              <w:t>(a)</w:t>
            </w:r>
          </w:p>
          <w:p w:rsidR="00B05208" w:rsidRPr="00FC7708" w:rsidRDefault="002B0AB5" w:rsidP="00B05208">
            <w:pPr>
              <w:pStyle w:val="ChartandTableFootnoteAlpha"/>
              <w:keepNext/>
              <w:keepLines/>
              <w:tabs>
                <w:tab w:val="clear" w:pos="283"/>
              </w:tabs>
              <w:spacing w:line="240" w:lineRule="auto"/>
              <w:ind w:left="0" w:firstLine="0"/>
              <w:jc w:val="left"/>
              <w:rPr>
                <w:rFonts w:asciiTheme="minorHAnsi" w:hAnsiTheme="minorHAnsi"/>
                <w:kern w:val="2"/>
                <w:sz w:val="4"/>
                <w:szCs w:val="4"/>
              </w:rPr>
            </w:pPr>
            <w:r>
              <w:rPr>
                <w:rFonts w:asciiTheme="minorHAnsi" w:hAnsiTheme="minorHAnsi"/>
                <w:kern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150pt">
                  <v:imagedata r:id="rId16" o:title=""/>
                </v:shape>
              </w:pict>
            </w:r>
          </w:p>
          <w:p w:rsidR="00F043B9" w:rsidRPr="00587BCC" w:rsidRDefault="00F043B9" w:rsidP="00B05208">
            <w:pPr>
              <w:pStyle w:val="ChartandTableFootnoteAlpha"/>
              <w:keepNext/>
              <w:keepLines/>
              <w:tabs>
                <w:tab w:val="clear" w:pos="283"/>
              </w:tabs>
              <w:spacing w:line="240" w:lineRule="auto"/>
              <w:ind w:left="0" w:firstLine="0"/>
              <w:jc w:val="left"/>
              <w:rPr>
                <w:rFonts w:asciiTheme="minorHAnsi" w:hAnsiTheme="minorHAnsi"/>
                <w:kern w:val="2"/>
              </w:rPr>
            </w:pPr>
            <w:r w:rsidRPr="00587BCC">
              <w:rPr>
                <w:rFonts w:asciiTheme="minorHAnsi" w:hAnsiTheme="minorHAnsi"/>
                <w:kern w:val="2"/>
              </w:rPr>
              <w:t>Note: Text in blue indicates a forecast upgrade, while red text indicates a forecast downgrade.</w:t>
            </w:r>
            <w:r w:rsidR="006209D7">
              <w:rPr>
                <w:rFonts w:asciiTheme="minorHAnsi" w:hAnsiTheme="minorHAnsi"/>
                <w:kern w:val="2"/>
              </w:rPr>
              <w:t xml:space="preserve"> Forecasts for the domestic economy are based on the assumption of a </w:t>
            </w:r>
            <w:r w:rsidR="006209D7" w:rsidRPr="006209D7">
              <w:rPr>
                <w:rFonts w:asciiTheme="minorHAnsi" w:hAnsiTheme="minorHAnsi"/>
                <w:kern w:val="2"/>
              </w:rPr>
              <w:t>trade weighted index of around 72 and $US exchange rate of around 94 US cents</w:t>
            </w:r>
            <w:r w:rsidR="006209D7">
              <w:rPr>
                <w:rFonts w:asciiTheme="minorHAnsi" w:hAnsiTheme="minorHAnsi"/>
                <w:kern w:val="2"/>
              </w:rPr>
              <w:t>.</w:t>
            </w:r>
          </w:p>
          <w:p w:rsidR="00E2081F" w:rsidRPr="00587BCC" w:rsidRDefault="00E2081F" w:rsidP="00E2081F">
            <w:pPr>
              <w:pStyle w:val="ChartandTableFootnoteAlpha"/>
              <w:keepNext/>
              <w:keepLines/>
              <w:tabs>
                <w:tab w:val="clear" w:pos="283"/>
              </w:tabs>
              <w:spacing w:line="240" w:lineRule="auto"/>
              <w:ind w:left="0" w:firstLine="0"/>
              <w:jc w:val="left"/>
              <w:rPr>
                <w:rFonts w:asciiTheme="minorHAnsi" w:hAnsiTheme="minorHAnsi"/>
                <w:kern w:val="2"/>
                <w:szCs w:val="16"/>
              </w:rPr>
            </w:pPr>
            <w:r w:rsidRPr="00587BCC">
              <w:rPr>
                <w:rFonts w:asciiTheme="minorHAnsi" w:hAnsiTheme="minorHAnsi"/>
                <w:kern w:val="2"/>
              </w:rPr>
              <w:t>(a) Real GDP, nominal GDP</w:t>
            </w:r>
            <w:r w:rsidR="00E02C53" w:rsidRPr="00587BCC">
              <w:rPr>
                <w:rFonts w:asciiTheme="minorHAnsi" w:hAnsiTheme="minorHAnsi"/>
                <w:kern w:val="2"/>
              </w:rPr>
              <w:t>,</w:t>
            </w:r>
            <w:r w:rsidRPr="00587BCC">
              <w:rPr>
                <w:rFonts w:asciiTheme="minorHAnsi" w:hAnsiTheme="minorHAnsi"/>
                <w:kern w:val="2"/>
              </w:rPr>
              <w:t xml:space="preserve"> the terms of trade</w:t>
            </w:r>
            <w:r w:rsidR="00E02C53" w:rsidRPr="00587BCC">
              <w:rPr>
                <w:rFonts w:asciiTheme="minorHAnsi" w:hAnsiTheme="minorHAnsi"/>
                <w:kern w:val="2"/>
              </w:rPr>
              <w:t xml:space="preserve">, </w:t>
            </w:r>
            <w:r w:rsidR="00F5083C" w:rsidRPr="00587BCC">
              <w:rPr>
                <w:rFonts w:asciiTheme="minorHAnsi" w:hAnsiTheme="minorHAnsi"/>
                <w:kern w:val="2"/>
              </w:rPr>
              <w:t>w</w:t>
            </w:r>
            <w:r w:rsidR="00E02C53" w:rsidRPr="00587BCC">
              <w:rPr>
                <w:rFonts w:asciiTheme="minorHAnsi" w:hAnsiTheme="minorHAnsi"/>
                <w:kern w:val="2"/>
              </w:rPr>
              <w:t xml:space="preserve">orld GDP, </w:t>
            </w:r>
            <w:r w:rsidR="00F5083C" w:rsidRPr="00587BCC">
              <w:rPr>
                <w:rFonts w:asciiTheme="minorHAnsi" w:hAnsiTheme="minorHAnsi"/>
                <w:kern w:val="2"/>
              </w:rPr>
              <w:t>m</w:t>
            </w:r>
            <w:r w:rsidR="00E02C53" w:rsidRPr="00587BCC">
              <w:rPr>
                <w:rFonts w:asciiTheme="minorHAnsi" w:hAnsiTheme="minorHAnsi"/>
                <w:kern w:val="2"/>
              </w:rPr>
              <w:t xml:space="preserve">ajor trading partner </w:t>
            </w:r>
            <w:r w:rsidR="00F5083C" w:rsidRPr="00587BCC">
              <w:rPr>
                <w:rFonts w:asciiTheme="minorHAnsi" w:hAnsiTheme="minorHAnsi"/>
                <w:kern w:val="2"/>
              </w:rPr>
              <w:t>GDP, China and United States</w:t>
            </w:r>
            <w:r w:rsidRPr="00587BCC">
              <w:rPr>
                <w:rFonts w:asciiTheme="minorHAnsi" w:hAnsiTheme="minorHAnsi"/>
                <w:kern w:val="2"/>
              </w:rPr>
              <w:t xml:space="preserve"> are year-average growth. </w:t>
            </w:r>
            <w:r w:rsidR="00E02C53" w:rsidRPr="00587BCC">
              <w:rPr>
                <w:rFonts w:asciiTheme="minorHAnsi" w:hAnsiTheme="minorHAnsi"/>
                <w:kern w:val="2"/>
              </w:rPr>
              <w:t>U</w:t>
            </w:r>
            <w:r w:rsidRPr="00587BCC">
              <w:rPr>
                <w:rFonts w:asciiTheme="minorHAnsi" w:hAnsiTheme="minorHAnsi"/>
                <w:kern w:val="2"/>
              </w:rPr>
              <w:t xml:space="preserve">nderlying inflation and the </w:t>
            </w:r>
            <w:r w:rsidRPr="00587BCC">
              <w:rPr>
                <w:rFonts w:asciiTheme="minorHAnsi" w:hAnsiTheme="minorHAnsi"/>
                <w:kern w:val="2"/>
                <w:szCs w:val="16"/>
              </w:rPr>
              <w:t>WPI are through-the-year growth to the June quarter. The unemployment rate is the rate for the June quarter.</w:t>
            </w:r>
          </w:p>
          <w:p w:rsidR="00F043B9" w:rsidRPr="00587BCC" w:rsidRDefault="00F043B9" w:rsidP="00E2081F">
            <w:pPr>
              <w:pStyle w:val="ChartandTableFootnoteAlpha"/>
              <w:keepNext/>
              <w:keepLines/>
              <w:tabs>
                <w:tab w:val="clear" w:pos="283"/>
              </w:tabs>
              <w:spacing w:line="240" w:lineRule="auto"/>
              <w:ind w:left="0" w:firstLine="0"/>
              <w:jc w:val="left"/>
              <w:rPr>
                <w:rFonts w:asciiTheme="minorHAnsi" w:hAnsiTheme="minorHAnsi"/>
                <w:kern w:val="2"/>
                <w:szCs w:val="16"/>
              </w:rPr>
            </w:pPr>
            <w:r w:rsidRPr="00587BCC">
              <w:rPr>
                <w:rFonts w:asciiTheme="minorHAnsi" w:hAnsiTheme="minorHAnsi"/>
                <w:kern w:val="2"/>
                <w:szCs w:val="16"/>
              </w:rPr>
              <w:t>(b) International GDP figures are calendar year average growth for 2012, 2013 and 2014.</w:t>
            </w:r>
          </w:p>
          <w:p w:rsidR="00851710" w:rsidRDefault="00E2081F" w:rsidP="00E71FBE">
            <w:pPr>
              <w:spacing w:after="0" w:line="240" w:lineRule="auto"/>
              <w:rPr>
                <w:rFonts w:asciiTheme="minorHAnsi" w:hAnsiTheme="minorHAnsi" w:cs="Arial"/>
                <w:kern w:val="2"/>
                <w:sz w:val="16"/>
              </w:rPr>
            </w:pPr>
            <w:r w:rsidRPr="00587BCC">
              <w:rPr>
                <w:rFonts w:asciiTheme="minorHAnsi" w:hAnsiTheme="minorHAnsi" w:cs="Arial"/>
                <w:kern w:val="2"/>
                <w:sz w:val="16"/>
              </w:rPr>
              <w:t xml:space="preserve">Source:  ABS cat. </w:t>
            </w:r>
            <w:r w:rsidR="00E71FBE" w:rsidRPr="00587BCC">
              <w:rPr>
                <w:rFonts w:asciiTheme="minorHAnsi" w:hAnsiTheme="minorHAnsi" w:cs="Arial"/>
                <w:kern w:val="2"/>
                <w:sz w:val="16"/>
              </w:rPr>
              <w:t>n</w:t>
            </w:r>
            <w:r w:rsidRPr="00587BCC">
              <w:rPr>
                <w:rFonts w:asciiTheme="minorHAnsi" w:hAnsiTheme="minorHAnsi" w:cs="Arial"/>
                <w:kern w:val="2"/>
                <w:sz w:val="16"/>
              </w:rPr>
              <w:t>o. 5206.0, 5302.0, 6202.0, 6345.0, 6401.0 and Treasury.</w:t>
            </w:r>
          </w:p>
          <w:p w:rsidR="00926CCD" w:rsidRPr="00587BCC" w:rsidRDefault="00926CCD" w:rsidP="00E71FBE">
            <w:pPr>
              <w:spacing w:after="0" w:line="240" w:lineRule="auto"/>
              <w:rPr>
                <w:rFonts w:asciiTheme="minorHAnsi" w:hAnsiTheme="minorHAnsi"/>
              </w:rPr>
            </w:pPr>
          </w:p>
        </w:tc>
      </w:tr>
    </w:tbl>
    <w:p w:rsidR="00851710" w:rsidRPr="00587BCC" w:rsidRDefault="00851710" w:rsidP="00851710">
      <w:pPr>
        <w:pStyle w:val="Heading3"/>
        <w:rPr>
          <w:rFonts w:asciiTheme="minorHAnsi" w:hAnsiTheme="minorHAnsi"/>
        </w:rPr>
        <w:sectPr w:rsidR="00851710" w:rsidRPr="00587BCC" w:rsidSect="00C75446">
          <w:footerReference w:type="default" r:id="rId17"/>
          <w:headerReference w:type="first" r:id="rId18"/>
          <w:pgSz w:w="11906" w:h="16838"/>
          <w:pgMar w:top="1440" w:right="1440" w:bottom="1440" w:left="1440" w:header="709" w:footer="709" w:gutter="0"/>
          <w:cols w:space="708"/>
          <w:titlePg/>
          <w:docGrid w:linePitch="360"/>
        </w:sectPr>
      </w:pPr>
    </w:p>
    <w:p w:rsidR="00926CCD" w:rsidRPr="001E61ED" w:rsidRDefault="00926CCD" w:rsidP="00926CCD">
      <w:pPr>
        <w:pStyle w:val="IntenseQuote"/>
        <w:ind w:left="0"/>
        <w:rPr>
          <w:i w:val="0"/>
          <w:color w:val="0000FF"/>
          <w:sz w:val="28"/>
          <w:szCs w:val="24"/>
        </w:rPr>
      </w:pPr>
      <w:r w:rsidRPr="001E61ED">
        <w:rPr>
          <w:i w:val="0"/>
          <w:color w:val="0000FF"/>
          <w:sz w:val="28"/>
          <w:szCs w:val="24"/>
        </w:rPr>
        <w:lastRenderedPageBreak/>
        <w:t>Outlook for the International Economy</w:t>
      </w:r>
    </w:p>
    <w:p w:rsidR="00F91A92" w:rsidRPr="00587BCC" w:rsidRDefault="00F91A92" w:rsidP="00F91A92">
      <w:pPr>
        <w:rPr>
          <w:rFonts w:asciiTheme="minorHAnsi" w:hAnsiTheme="minorHAnsi"/>
          <w:b/>
        </w:rPr>
      </w:pPr>
      <w:r w:rsidRPr="00587BCC">
        <w:rPr>
          <w:rFonts w:asciiTheme="minorHAnsi" w:hAnsiTheme="minorHAnsi"/>
          <w:b/>
        </w:rPr>
        <w:t>Table</w:t>
      </w:r>
      <w:r w:rsidR="00E71FBE" w:rsidRPr="00587BCC">
        <w:rPr>
          <w:rFonts w:asciiTheme="minorHAnsi" w:hAnsiTheme="minorHAnsi"/>
          <w:b/>
        </w:rPr>
        <w:t xml:space="preserve"> 2: Key i</w:t>
      </w:r>
      <w:r w:rsidR="00275E93" w:rsidRPr="00587BCC">
        <w:rPr>
          <w:rFonts w:asciiTheme="minorHAnsi" w:hAnsiTheme="minorHAnsi"/>
          <w:b/>
        </w:rPr>
        <w:t xml:space="preserve">nternational </w:t>
      </w:r>
      <w:r w:rsidR="00E71FBE" w:rsidRPr="00587BCC">
        <w:rPr>
          <w:rFonts w:asciiTheme="minorHAnsi" w:hAnsiTheme="minorHAnsi"/>
          <w:b/>
        </w:rPr>
        <w:t>f</w:t>
      </w:r>
      <w:r w:rsidR="00275E93" w:rsidRPr="00587BCC">
        <w:rPr>
          <w:rFonts w:asciiTheme="minorHAnsi" w:hAnsiTheme="minorHAnsi"/>
          <w:b/>
        </w:rPr>
        <w:t>orecasts</w:t>
      </w:r>
    </w:p>
    <w:p w:rsidR="00236B60" w:rsidRPr="00236B60" w:rsidRDefault="002B0AB5" w:rsidP="00B05208">
      <w:pPr>
        <w:pStyle w:val="TableGraphic0"/>
        <w:rPr>
          <w:rFonts w:asciiTheme="minorHAnsi" w:hAnsiTheme="minorHAnsi"/>
          <w:sz w:val="16"/>
          <w:szCs w:val="16"/>
        </w:rPr>
      </w:pPr>
      <w:r>
        <w:rPr>
          <w:noProof/>
        </w:rPr>
        <w:pict>
          <v:shape id="_x0000_i1026" type="#_x0000_t75" style="width:500.25pt;height:169.5pt">
            <v:imagedata r:id="rId19" o:title=""/>
          </v:shape>
        </w:pict>
      </w:r>
      <w:r w:rsidR="00236B60" w:rsidRPr="00236B60">
        <w:rPr>
          <w:rFonts w:asciiTheme="minorHAnsi" w:hAnsiTheme="minorHAnsi"/>
          <w:sz w:val="16"/>
          <w:szCs w:val="16"/>
        </w:rPr>
        <w:t>Note: Text in blue indicates a forecast upgrade, while red indicates a forecast downgrade.</w:t>
      </w:r>
      <w:r w:rsidR="00236B60" w:rsidRPr="00236B60">
        <w:rPr>
          <w:rFonts w:asciiTheme="minorHAnsi" w:hAnsiTheme="minorHAnsi"/>
          <w:sz w:val="16"/>
          <w:szCs w:val="16"/>
        </w:rPr>
        <w:tab/>
      </w:r>
      <w:r w:rsidR="00236B60" w:rsidRPr="00236B60">
        <w:rPr>
          <w:rFonts w:asciiTheme="minorHAnsi" w:hAnsiTheme="minorHAnsi"/>
          <w:sz w:val="16"/>
          <w:szCs w:val="16"/>
        </w:rPr>
        <w:tab/>
      </w:r>
      <w:r w:rsidR="00236B60" w:rsidRPr="00236B60">
        <w:rPr>
          <w:rFonts w:asciiTheme="minorHAnsi" w:hAnsiTheme="minorHAnsi"/>
          <w:sz w:val="16"/>
          <w:szCs w:val="16"/>
        </w:rPr>
        <w:tab/>
      </w:r>
      <w:r w:rsidR="00236B60" w:rsidRPr="00236B60">
        <w:rPr>
          <w:rFonts w:asciiTheme="minorHAnsi" w:hAnsiTheme="minorHAnsi"/>
          <w:sz w:val="16"/>
          <w:szCs w:val="16"/>
        </w:rPr>
        <w:tab/>
      </w:r>
      <w:r w:rsidR="00236B60" w:rsidRPr="00236B60">
        <w:rPr>
          <w:rFonts w:asciiTheme="minorHAnsi" w:hAnsiTheme="minorHAnsi"/>
          <w:sz w:val="16"/>
          <w:szCs w:val="16"/>
        </w:rPr>
        <w:tab/>
      </w:r>
      <w:r w:rsidR="00236B60" w:rsidRPr="00236B60">
        <w:rPr>
          <w:rFonts w:asciiTheme="minorHAnsi" w:hAnsiTheme="minorHAnsi"/>
          <w:sz w:val="16"/>
          <w:szCs w:val="16"/>
        </w:rPr>
        <w:tab/>
      </w:r>
      <w:r w:rsidR="00236B60" w:rsidRPr="00236B60">
        <w:rPr>
          <w:rFonts w:asciiTheme="minorHAnsi" w:hAnsiTheme="minorHAnsi"/>
          <w:sz w:val="16"/>
          <w:szCs w:val="16"/>
        </w:rPr>
        <w:tab/>
      </w:r>
    </w:p>
    <w:p w:rsidR="00236B60" w:rsidRPr="00236B60" w:rsidRDefault="00236B60" w:rsidP="00B05208">
      <w:pPr>
        <w:pStyle w:val="Bullet"/>
        <w:numPr>
          <w:ilvl w:val="0"/>
          <w:numId w:val="0"/>
        </w:numPr>
        <w:spacing w:after="0" w:line="240" w:lineRule="auto"/>
        <w:ind w:right="-113"/>
        <w:rPr>
          <w:rFonts w:asciiTheme="minorHAnsi" w:hAnsiTheme="minorHAnsi"/>
          <w:sz w:val="16"/>
          <w:szCs w:val="16"/>
        </w:rPr>
      </w:pPr>
      <w:r w:rsidRPr="00236B60">
        <w:rPr>
          <w:rFonts w:asciiTheme="minorHAnsi" w:hAnsiTheme="minorHAnsi"/>
          <w:sz w:val="16"/>
          <w:szCs w:val="16"/>
        </w:rPr>
        <w:t>(a) Calculations for World, euro area and other East Asia growth rates use GDP weights based on purchasing power parity (PPP). Calculations for Major Trading Partners use export trade weights.</w:t>
      </w:r>
      <w:r w:rsidRPr="00236B60">
        <w:rPr>
          <w:rFonts w:asciiTheme="minorHAnsi" w:hAnsiTheme="minorHAnsi"/>
          <w:sz w:val="16"/>
          <w:szCs w:val="16"/>
        </w:rPr>
        <w:tab/>
      </w:r>
      <w:r w:rsidRPr="00236B60">
        <w:rPr>
          <w:rFonts w:asciiTheme="minorHAnsi" w:hAnsiTheme="minorHAnsi"/>
          <w:sz w:val="16"/>
          <w:szCs w:val="16"/>
        </w:rPr>
        <w:tab/>
      </w:r>
      <w:r w:rsidRPr="00236B60">
        <w:rPr>
          <w:rFonts w:asciiTheme="minorHAnsi" w:hAnsiTheme="minorHAnsi"/>
          <w:sz w:val="16"/>
          <w:szCs w:val="16"/>
        </w:rPr>
        <w:tab/>
      </w:r>
      <w:r w:rsidRPr="00236B60">
        <w:rPr>
          <w:rFonts w:asciiTheme="minorHAnsi" w:hAnsiTheme="minorHAnsi"/>
          <w:sz w:val="16"/>
          <w:szCs w:val="16"/>
        </w:rPr>
        <w:tab/>
      </w:r>
      <w:r w:rsidRPr="00236B60">
        <w:rPr>
          <w:rFonts w:asciiTheme="minorHAnsi" w:hAnsiTheme="minorHAnsi"/>
          <w:sz w:val="16"/>
          <w:szCs w:val="16"/>
        </w:rPr>
        <w:tab/>
      </w:r>
      <w:r w:rsidRPr="00236B60">
        <w:rPr>
          <w:rFonts w:asciiTheme="minorHAnsi" w:hAnsiTheme="minorHAnsi"/>
          <w:sz w:val="16"/>
          <w:szCs w:val="16"/>
        </w:rPr>
        <w:tab/>
      </w:r>
      <w:r w:rsidRPr="00236B60">
        <w:rPr>
          <w:rFonts w:asciiTheme="minorHAnsi" w:hAnsiTheme="minorHAnsi"/>
          <w:sz w:val="16"/>
          <w:szCs w:val="16"/>
        </w:rPr>
        <w:tab/>
      </w:r>
    </w:p>
    <w:p w:rsidR="00236B60" w:rsidRPr="00236B60" w:rsidRDefault="00236B60" w:rsidP="00B05208">
      <w:pPr>
        <w:pStyle w:val="Bullet"/>
        <w:numPr>
          <w:ilvl w:val="0"/>
          <w:numId w:val="0"/>
        </w:numPr>
        <w:spacing w:after="0" w:line="240" w:lineRule="auto"/>
        <w:ind w:right="-113"/>
        <w:rPr>
          <w:rFonts w:asciiTheme="minorHAnsi" w:hAnsiTheme="minorHAnsi"/>
          <w:sz w:val="16"/>
          <w:szCs w:val="16"/>
        </w:rPr>
      </w:pPr>
      <w:r w:rsidRPr="00236B60">
        <w:rPr>
          <w:rFonts w:asciiTheme="minorHAnsi" w:hAnsiTheme="minorHAnsi"/>
          <w:sz w:val="16"/>
          <w:szCs w:val="16"/>
        </w:rPr>
        <w:t>(b) Production-based measure of GDP.</w:t>
      </w:r>
      <w:r w:rsidRPr="00236B60">
        <w:rPr>
          <w:rFonts w:asciiTheme="minorHAnsi" w:hAnsiTheme="minorHAnsi"/>
          <w:sz w:val="16"/>
          <w:szCs w:val="16"/>
        </w:rPr>
        <w:tab/>
      </w:r>
      <w:r w:rsidRPr="00236B60">
        <w:rPr>
          <w:rFonts w:asciiTheme="minorHAnsi" w:hAnsiTheme="minorHAnsi"/>
          <w:sz w:val="16"/>
          <w:szCs w:val="16"/>
        </w:rPr>
        <w:tab/>
      </w:r>
      <w:r w:rsidRPr="00236B60">
        <w:rPr>
          <w:rFonts w:asciiTheme="minorHAnsi" w:hAnsiTheme="minorHAnsi"/>
          <w:sz w:val="16"/>
          <w:szCs w:val="16"/>
        </w:rPr>
        <w:tab/>
      </w:r>
      <w:r w:rsidRPr="00236B60">
        <w:rPr>
          <w:rFonts w:asciiTheme="minorHAnsi" w:hAnsiTheme="minorHAnsi"/>
          <w:sz w:val="16"/>
          <w:szCs w:val="16"/>
        </w:rPr>
        <w:tab/>
      </w:r>
      <w:r w:rsidRPr="00236B60">
        <w:rPr>
          <w:rFonts w:asciiTheme="minorHAnsi" w:hAnsiTheme="minorHAnsi"/>
          <w:sz w:val="16"/>
          <w:szCs w:val="16"/>
        </w:rPr>
        <w:tab/>
      </w:r>
      <w:r w:rsidRPr="00236B60">
        <w:rPr>
          <w:rFonts w:asciiTheme="minorHAnsi" w:hAnsiTheme="minorHAnsi"/>
          <w:sz w:val="16"/>
          <w:szCs w:val="16"/>
        </w:rPr>
        <w:tab/>
      </w:r>
      <w:r w:rsidRPr="00236B60">
        <w:rPr>
          <w:rFonts w:asciiTheme="minorHAnsi" w:hAnsiTheme="minorHAnsi"/>
          <w:sz w:val="16"/>
          <w:szCs w:val="16"/>
        </w:rPr>
        <w:tab/>
      </w:r>
    </w:p>
    <w:p w:rsidR="00236B60" w:rsidRPr="00236B60" w:rsidRDefault="00236B60" w:rsidP="00B05208">
      <w:pPr>
        <w:pStyle w:val="Bullet"/>
        <w:numPr>
          <w:ilvl w:val="0"/>
          <w:numId w:val="0"/>
        </w:numPr>
        <w:spacing w:after="0" w:line="240" w:lineRule="auto"/>
        <w:ind w:right="-113"/>
        <w:rPr>
          <w:rFonts w:asciiTheme="minorHAnsi" w:hAnsiTheme="minorHAnsi"/>
          <w:sz w:val="16"/>
          <w:szCs w:val="16"/>
        </w:rPr>
      </w:pPr>
      <w:r w:rsidRPr="00236B60">
        <w:rPr>
          <w:rFonts w:asciiTheme="minorHAnsi" w:hAnsiTheme="minorHAnsi"/>
          <w:sz w:val="16"/>
          <w:szCs w:val="16"/>
        </w:rPr>
        <w:t>(c) Other East Asia comprises the newly industrialised economies (NIEs) of Hong Kong, South Korea, Singapore and Taiwan and the Association of Southeast Asian Nations group of five (ASEAN-5), which comprises Indonesia, Malaysia, the Philipp</w:t>
      </w:r>
      <w:r>
        <w:rPr>
          <w:rFonts w:asciiTheme="minorHAnsi" w:hAnsiTheme="minorHAnsi"/>
          <w:sz w:val="16"/>
          <w:szCs w:val="16"/>
        </w:rPr>
        <w:t>ines, Thailand and Vietnam.</w:t>
      </w:r>
      <w:r>
        <w:rPr>
          <w:rFonts w:asciiTheme="minorHAnsi" w:hAnsiTheme="minorHAnsi"/>
          <w:sz w:val="16"/>
          <w:szCs w:val="16"/>
        </w:rPr>
        <w:tab/>
      </w:r>
      <w:r>
        <w:rPr>
          <w:rFonts w:asciiTheme="minorHAnsi" w:hAnsiTheme="minorHAnsi"/>
          <w:sz w:val="16"/>
          <w:szCs w:val="16"/>
        </w:rPr>
        <w:tab/>
      </w:r>
      <w:r>
        <w:rPr>
          <w:rFonts w:asciiTheme="minorHAnsi" w:hAnsiTheme="minorHAnsi"/>
          <w:sz w:val="16"/>
          <w:szCs w:val="16"/>
        </w:rPr>
        <w:tab/>
      </w:r>
    </w:p>
    <w:p w:rsidR="001E61ED" w:rsidRPr="00587BCC" w:rsidRDefault="00236B60" w:rsidP="00FC7708">
      <w:pPr>
        <w:pStyle w:val="Bullet"/>
        <w:numPr>
          <w:ilvl w:val="0"/>
          <w:numId w:val="0"/>
        </w:numPr>
        <w:spacing w:line="240" w:lineRule="auto"/>
        <w:jc w:val="left"/>
        <w:rPr>
          <w:rFonts w:asciiTheme="minorHAnsi" w:hAnsiTheme="minorHAnsi"/>
          <w:b/>
          <w:color w:val="003399"/>
          <w:sz w:val="24"/>
        </w:rPr>
        <w:sectPr w:rsidR="001E61ED" w:rsidRPr="00587BCC" w:rsidSect="007D67FC">
          <w:headerReference w:type="default" r:id="rId20"/>
          <w:footerReference w:type="even" r:id="rId21"/>
          <w:footerReference w:type="default" r:id="rId22"/>
          <w:pgSz w:w="11907" w:h="16840" w:code="9"/>
          <w:pgMar w:top="1418" w:right="1100" w:bottom="1418" w:left="1100" w:header="567" w:footer="709" w:gutter="0"/>
          <w:cols w:space="709"/>
          <w:docGrid w:linePitch="272"/>
        </w:sectPr>
      </w:pPr>
      <w:r w:rsidRPr="00236B60">
        <w:rPr>
          <w:rFonts w:asciiTheme="minorHAnsi" w:hAnsiTheme="minorHAnsi"/>
          <w:sz w:val="16"/>
          <w:szCs w:val="16"/>
        </w:rPr>
        <w:t>Source: National statistical publications, IMF, Haver Analytics and Treasury.</w:t>
      </w:r>
      <w:r w:rsidRPr="00236B60">
        <w:rPr>
          <w:rFonts w:asciiTheme="minorHAnsi" w:hAnsiTheme="minorHAnsi"/>
          <w:sz w:val="16"/>
          <w:szCs w:val="16"/>
        </w:rPr>
        <w:tab/>
      </w:r>
      <w:r w:rsidRPr="00236B60">
        <w:rPr>
          <w:rFonts w:asciiTheme="minorHAnsi" w:hAnsiTheme="minorHAnsi"/>
          <w:b/>
          <w:color w:val="003399"/>
          <w:sz w:val="24"/>
        </w:rPr>
        <w:tab/>
      </w:r>
      <w:r w:rsidRPr="00236B60">
        <w:rPr>
          <w:rFonts w:asciiTheme="minorHAnsi" w:hAnsiTheme="minorHAnsi"/>
          <w:b/>
          <w:color w:val="003399"/>
          <w:sz w:val="24"/>
        </w:rPr>
        <w:tab/>
      </w:r>
      <w:r w:rsidRPr="00236B60">
        <w:rPr>
          <w:rFonts w:asciiTheme="minorHAnsi" w:hAnsiTheme="minorHAnsi"/>
          <w:b/>
          <w:color w:val="003399"/>
          <w:sz w:val="24"/>
        </w:rPr>
        <w:tab/>
      </w:r>
      <w:r w:rsidRPr="00236B60">
        <w:rPr>
          <w:rFonts w:asciiTheme="minorHAnsi" w:hAnsiTheme="minorHAnsi"/>
          <w:b/>
          <w:color w:val="003399"/>
          <w:sz w:val="24"/>
        </w:rPr>
        <w:tab/>
      </w:r>
      <w:r w:rsidRPr="00236B60">
        <w:rPr>
          <w:rFonts w:asciiTheme="minorHAnsi" w:hAnsiTheme="minorHAnsi"/>
          <w:b/>
          <w:color w:val="003399"/>
          <w:sz w:val="24"/>
        </w:rPr>
        <w:tab/>
      </w:r>
      <w:r w:rsidRPr="00236B60">
        <w:rPr>
          <w:rFonts w:asciiTheme="minorHAnsi" w:hAnsiTheme="minorHAnsi"/>
          <w:b/>
          <w:color w:val="003399"/>
          <w:sz w:val="24"/>
        </w:rPr>
        <w:tab/>
      </w:r>
    </w:p>
    <w:p w:rsidR="009E6989" w:rsidRPr="00755AF7" w:rsidRDefault="009E6989" w:rsidP="009E6989">
      <w:pPr>
        <w:pStyle w:val="Bullet"/>
        <w:numPr>
          <w:ilvl w:val="0"/>
          <w:numId w:val="0"/>
        </w:numPr>
        <w:spacing w:line="240" w:lineRule="auto"/>
        <w:jc w:val="left"/>
        <w:rPr>
          <w:rFonts w:asciiTheme="minorHAnsi" w:hAnsiTheme="minorHAnsi"/>
          <w:b/>
          <w:color w:val="0000FF"/>
          <w:sz w:val="24"/>
        </w:rPr>
      </w:pPr>
      <w:r w:rsidRPr="00755AF7">
        <w:rPr>
          <w:rFonts w:asciiTheme="minorHAnsi" w:hAnsiTheme="minorHAnsi"/>
          <w:b/>
          <w:color w:val="0000FF"/>
          <w:sz w:val="24"/>
        </w:rPr>
        <w:lastRenderedPageBreak/>
        <w:t>Global growth remains subdued…</w:t>
      </w:r>
    </w:p>
    <w:p w:rsidR="00054F4F" w:rsidRPr="00587BCC" w:rsidRDefault="00054F4F" w:rsidP="00054F4F">
      <w:pPr>
        <w:rPr>
          <w:rFonts w:asciiTheme="minorHAnsi" w:hAnsiTheme="minorHAnsi"/>
        </w:rPr>
      </w:pPr>
      <w:r w:rsidRPr="00587BCC">
        <w:rPr>
          <w:rFonts w:asciiTheme="minorHAnsi" w:hAnsiTheme="minorHAnsi"/>
        </w:rPr>
        <w:t xml:space="preserve">As forecast at </w:t>
      </w:r>
      <w:r w:rsidR="00C549A8" w:rsidRPr="00587BCC">
        <w:rPr>
          <w:rFonts w:asciiTheme="minorHAnsi" w:hAnsiTheme="minorHAnsi"/>
        </w:rPr>
        <w:t>PEFO</w:t>
      </w:r>
      <w:r w:rsidRPr="00587BCC">
        <w:rPr>
          <w:rFonts w:asciiTheme="minorHAnsi" w:hAnsiTheme="minorHAnsi"/>
        </w:rPr>
        <w:t>, global growth is expected to remain well below trend in 2013 before picking up gradually in 2014. Australia’s major trading partners in aggregate are forecast to grow at around their long</w:t>
      </w:r>
      <w:r w:rsidRPr="00587BCC">
        <w:rPr>
          <w:rFonts w:asciiTheme="minorHAnsi" w:hAnsiTheme="minorHAnsi"/>
        </w:rPr>
        <w:noBreakHyphen/>
        <w:t xml:space="preserve">term average. While there have been substantial downgrades to the forecasts for India’s growth, the 2013 downgrade is partly offset by slight upgrades to growth in Japan and the euro area. </w:t>
      </w:r>
      <w:r w:rsidR="00CA0D83" w:rsidRPr="00CA0D83">
        <w:rPr>
          <w:rFonts w:asciiTheme="minorHAnsi" w:hAnsiTheme="minorHAnsi"/>
        </w:rPr>
        <w:t>Fiscal policy uncertainty in the US has offset what had been tentative signs of building momentum in the US economy in mid</w:t>
      </w:r>
      <w:r w:rsidR="00CA0D83" w:rsidRPr="00CA0D83">
        <w:rPr>
          <w:rFonts w:asciiTheme="minorHAnsi" w:hAnsiTheme="minorHAnsi"/>
        </w:rPr>
        <w:noBreakHyphen/>
        <w:t>2013.</w:t>
      </w:r>
    </w:p>
    <w:p w:rsidR="009E6989" w:rsidRPr="00755AF7" w:rsidRDefault="009E6989" w:rsidP="00C549A8">
      <w:pPr>
        <w:pStyle w:val="Bullet"/>
        <w:numPr>
          <w:ilvl w:val="0"/>
          <w:numId w:val="0"/>
        </w:numPr>
        <w:spacing w:line="240" w:lineRule="auto"/>
        <w:rPr>
          <w:rFonts w:asciiTheme="minorHAnsi" w:hAnsiTheme="minorHAnsi"/>
          <w:color w:val="0000FF"/>
        </w:rPr>
      </w:pPr>
      <w:r w:rsidRPr="00755AF7">
        <w:rPr>
          <w:rFonts w:asciiTheme="minorHAnsi" w:hAnsiTheme="minorHAnsi"/>
          <w:b/>
          <w:color w:val="0000FF"/>
          <w:sz w:val="24"/>
        </w:rPr>
        <w:t xml:space="preserve">…with </w:t>
      </w:r>
      <w:r w:rsidR="00DE01B0" w:rsidRPr="00755AF7">
        <w:rPr>
          <w:rFonts w:asciiTheme="minorHAnsi" w:hAnsiTheme="minorHAnsi"/>
          <w:b/>
          <w:color w:val="0000FF"/>
          <w:sz w:val="24"/>
        </w:rPr>
        <w:t xml:space="preserve">growth in </w:t>
      </w:r>
      <w:r w:rsidRPr="00755AF7">
        <w:rPr>
          <w:rFonts w:asciiTheme="minorHAnsi" w:hAnsiTheme="minorHAnsi"/>
          <w:b/>
          <w:color w:val="0000FF"/>
          <w:sz w:val="24"/>
        </w:rPr>
        <w:t>emerging economies having moderated…</w:t>
      </w:r>
    </w:p>
    <w:p w:rsidR="00054F4F" w:rsidRPr="00587BCC" w:rsidRDefault="00054F4F" w:rsidP="00054F4F">
      <w:pPr>
        <w:rPr>
          <w:rFonts w:asciiTheme="minorHAnsi" w:hAnsiTheme="minorHAnsi"/>
        </w:rPr>
      </w:pPr>
      <w:r w:rsidRPr="00587BCC">
        <w:rPr>
          <w:rFonts w:asciiTheme="minorHAnsi" w:hAnsiTheme="minorHAnsi"/>
        </w:rPr>
        <w:t xml:space="preserve">Subdued global growth has increasingly reflected a moderation in a number of key emerging economies (Chart </w:t>
      </w:r>
      <w:r w:rsidR="00D868E2" w:rsidRPr="00587BCC">
        <w:rPr>
          <w:rFonts w:asciiTheme="minorHAnsi" w:hAnsiTheme="minorHAnsi"/>
        </w:rPr>
        <w:t>1</w:t>
      </w:r>
      <w:r w:rsidRPr="00587BCC">
        <w:rPr>
          <w:rFonts w:asciiTheme="minorHAnsi" w:hAnsiTheme="minorHAnsi"/>
        </w:rPr>
        <w:t xml:space="preserve">). In China, the large expansion of credit earlier in the year did not provide the anticipated level of support to the real economy, while ongoing softness in advanced economies weighed on Chinese exports. </w:t>
      </w:r>
    </w:p>
    <w:p w:rsidR="009E6989" w:rsidRDefault="00054F4F" w:rsidP="00054F4F">
      <w:pPr>
        <w:rPr>
          <w:rFonts w:asciiTheme="minorHAnsi" w:hAnsiTheme="minorHAnsi"/>
        </w:rPr>
      </w:pPr>
      <w:r w:rsidRPr="00587BCC">
        <w:rPr>
          <w:rFonts w:asciiTheme="minorHAnsi" w:hAnsiTheme="minorHAnsi"/>
        </w:rPr>
        <w:t>India’s growth has been dampened by structural bottlenecks and an unpredictable policymaking environment which has increasingly deterred much</w:t>
      </w:r>
      <w:r w:rsidRPr="00587BCC">
        <w:rPr>
          <w:rFonts w:asciiTheme="minorHAnsi" w:hAnsiTheme="minorHAnsi"/>
        </w:rPr>
        <w:noBreakHyphen/>
        <w:t>needed private domestic and foreign investment. With forward</w:t>
      </w:r>
      <w:r w:rsidRPr="00587BCC">
        <w:rPr>
          <w:rFonts w:asciiTheme="minorHAnsi" w:hAnsiTheme="minorHAnsi"/>
        </w:rPr>
        <w:noBreakHyphen/>
        <w:t xml:space="preserve">looking indicators implying </w:t>
      </w:r>
      <w:r w:rsidRPr="00587BCC">
        <w:rPr>
          <w:rFonts w:asciiTheme="minorHAnsi" w:hAnsiTheme="minorHAnsi"/>
        </w:rPr>
        <w:lastRenderedPageBreak/>
        <w:t>continued weakness, growth forecasts for India have been revised down substantially for 2013 and 2014.</w:t>
      </w:r>
    </w:p>
    <w:p w:rsidR="009E6989" w:rsidRPr="00587BCC" w:rsidRDefault="009E6989" w:rsidP="00896059">
      <w:pPr>
        <w:spacing w:after="0"/>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1</w:t>
      </w:r>
      <w:r w:rsidRPr="00587BCC">
        <w:rPr>
          <w:rFonts w:asciiTheme="minorHAnsi" w:hAnsiTheme="minorHAnsi"/>
          <w:b/>
        </w:rPr>
        <w:t>: GDP growth in selected emerging economies</w:t>
      </w:r>
    </w:p>
    <w:p w:rsidR="009E6989" w:rsidRPr="00587BCC" w:rsidRDefault="002B0AB5" w:rsidP="00D32B81">
      <w:pPr>
        <w:spacing w:line="240" w:lineRule="auto"/>
        <w:jc w:val="left"/>
        <w:rPr>
          <w:rFonts w:asciiTheme="minorHAnsi" w:hAnsiTheme="minorHAnsi"/>
        </w:rPr>
      </w:pPr>
      <w:r>
        <w:rPr>
          <w:rFonts w:asciiTheme="minorHAnsi" w:hAnsiTheme="minorHAnsi"/>
        </w:rPr>
        <w:pict>
          <v:shape id="_x0000_i1027" type="#_x0000_t75" style="width:225pt;height:225.75pt">
            <v:imagedata r:id="rId23" o:title=""/>
          </v:shape>
        </w:pict>
      </w:r>
      <w:r w:rsidR="009E6989" w:rsidRPr="00587BCC">
        <w:rPr>
          <w:rFonts w:asciiTheme="minorHAnsi" w:hAnsiTheme="minorHAnsi"/>
          <w:sz w:val="16"/>
          <w:szCs w:val="16"/>
        </w:rPr>
        <w:t>Source: Haver Analytics.</w:t>
      </w:r>
    </w:p>
    <w:p w:rsidR="00CA0D83" w:rsidRPr="00587BCC" w:rsidRDefault="00CA0D83" w:rsidP="009E6989">
      <w:pPr>
        <w:rPr>
          <w:rFonts w:asciiTheme="minorHAnsi" w:hAnsiTheme="minorHAnsi"/>
        </w:rPr>
      </w:pPr>
      <w:r w:rsidRPr="00CA0D83">
        <w:rPr>
          <w:rFonts w:asciiTheme="minorHAnsi" w:hAnsiTheme="minorHAnsi"/>
        </w:rPr>
        <w:t>Since mid</w:t>
      </w:r>
      <w:r w:rsidRPr="00CA0D83">
        <w:rPr>
          <w:rFonts w:asciiTheme="minorHAnsi" w:hAnsiTheme="minorHAnsi"/>
        </w:rPr>
        <w:noBreakHyphen/>
        <w:t xml:space="preserve">2013, investors have scaled back their emerging market exposures. This has had a profound impact, particularly for those emerging markets running large and persistent current account deficits, and which are therefore reliant on foreign capital. India and Indonesia were particularly hard hit, with </w:t>
      </w:r>
      <w:r w:rsidRPr="00CA0D83">
        <w:rPr>
          <w:rFonts w:asciiTheme="minorHAnsi" w:hAnsiTheme="minorHAnsi"/>
        </w:rPr>
        <w:lastRenderedPageBreak/>
        <w:t xml:space="preserve">their currencies depreciating significantly as investment flows retreated (Chart </w:t>
      </w:r>
      <w:r>
        <w:rPr>
          <w:rFonts w:asciiTheme="minorHAnsi" w:hAnsiTheme="minorHAnsi"/>
        </w:rPr>
        <w:t>2</w:t>
      </w:r>
      <w:r w:rsidRPr="00CA0D83">
        <w:rPr>
          <w:rFonts w:asciiTheme="minorHAnsi" w:hAnsiTheme="minorHAnsi"/>
        </w:rPr>
        <w:t xml:space="preserve">). </w:t>
      </w:r>
    </w:p>
    <w:p w:rsidR="0005542F" w:rsidRPr="00587BCC" w:rsidRDefault="00054F4F" w:rsidP="00054F4F">
      <w:pPr>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2</w:t>
      </w:r>
      <w:r w:rsidRPr="00587BCC">
        <w:rPr>
          <w:rFonts w:asciiTheme="minorHAnsi" w:hAnsiTheme="minorHAnsi"/>
          <w:b/>
        </w:rPr>
        <w:t xml:space="preserve">: Currency depreciation since </w:t>
      </w:r>
      <w:r w:rsidR="0005542F" w:rsidRPr="00587BCC">
        <w:rPr>
          <w:rFonts w:asciiTheme="minorHAnsi" w:hAnsiTheme="minorHAnsi"/>
          <w:b/>
        </w:rPr>
        <w:t xml:space="preserve">the </w:t>
      </w:r>
      <w:r w:rsidRPr="00587BCC">
        <w:rPr>
          <w:rFonts w:asciiTheme="minorHAnsi" w:hAnsiTheme="minorHAnsi"/>
          <w:b/>
        </w:rPr>
        <w:t xml:space="preserve">start of Fed tapering speculation </w:t>
      </w:r>
    </w:p>
    <w:p w:rsidR="00054F4F" w:rsidRPr="00587BCC" w:rsidRDefault="00054F4F" w:rsidP="00054F4F">
      <w:pPr>
        <w:spacing w:after="0"/>
        <w:jc w:val="center"/>
        <w:rPr>
          <w:rFonts w:asciiTheme="minorHAnsi" w:hAnsiTheme="minorHAnsi"/>
          <w:b/>
        </w:rPr>
      </w:pPr>
      <w:r w:rsidRPr="00587BCC">
        <w:rPr>
          <w:rFonts w:asciiTheme="minorHAnsi" w:hAnsiTheme="minorHAnsi"/>
          <w:b/>
        </w:rPr>
        <w:t>(2 May 2013</w:t>
      </w:r>
      <w:r w:rsidR="0005542F" w:rsidRPr="00587BCC">
        <w:rPr>
          <w:rFonts w:asciiTheme="minorHAnsi" w:hAnsiTheme="minorHAnsi"/>
          <w:b/>
        </w:rPr>
        <w:t xml:space="preserve"> to </w:t>
      </w:r>
      <w:r w:rsidR="00CE0760">
        <w:rPr>
          <w:rFonts w:asciiTheme="minorHAnsi" w:hAnsiTheme="minorHAnsi"/>
          <w:b/>
        </w:rPr>
        <w:t>4</w:t>
      </w:r>
      <w:r w:rsidR="0005542F" w:rsidRPr="00587BCC">
        <w:rPr>
          <w:rFonts w:asciiTheme="minorHAnsi" w:hAnsiTheme="minorHAnsi"/>
          <w:b/>
        </w:rPr>
        <w:t xml:space="preserve"> October</w:t>
      </w:r>
      <w:r w:rsidRPr="00587BCC">
        <w:rPr>
          <w:rFonts w:asciiTheme="minorHAnsi" w:hAnsiTheme="minorHAnsi"/>
          <w:b/>
        </w:rPr>
        <w:t>)</w:t>
      </w:r>
    </w:p>
    <w:p w:rsidR="00054F4F" w:rsidRPr="00587BCC" w:rsidRDefault="002B0AB5" w:rsidP="00054F4F">
      <w:pPr>
        <w:spacing w:line="240" w:lineRule="auto"/>
        <w:jc w:val="left"/>
        <w:rPr>
          <w:rFonts w:asciiTheme="minorHAnsi" w:hAnsiTheme="minorHAnsi"/>
        </w:rPr>
      </w:pPr>
      <w:r>
        <w:rPr>
          <w:rFonts w:asciiTheme="minorHAnsi" w:hAnsiTheme="minorHAnsi"/>
        </w:rPr>
        <w:pict>
          <v:shape id="_x0000_i1028" type="#_x0000_t75" style="width:225.75pt;height:225.75pt">
            <v:imagedata r:id="rId24" o:title=""/>
          </v:shape>
        </w:pict>
      </w:r>
      <w:r w:rsidR="00054F4F" w:rsidRPr="00587BCC">
        <w:rPr>
          <w:rFonts w:asciiTheme="minorHAnsi" w:hAnsiTheme="minorHAnsi"/>
          <w:sz w:val="16"/>
          <w:szCs w:val="16"/>
        </w:rPr>
        <w:t>Source: Bloomberg.</w:t>
      </w:r>
    </w:p>
    <w:p w:rsidR="00CA0D83" w:rsidRPr="00C911D6" w:rsidRDefault="00CA0D83" w:rsidP="009E6989">
      <w:pPr>
        <w:rPr>
          <w:rFonts w:asciiTheme="minorHAnsi" w:hAnsiTheme="minorHAnsi"/>
        </w:rPr>
      </w:pPr>
      <w:r w:rsidRPr="00C911D6">
        <w:rPr>
          <w:rFonts w:asciiTheme="minorHAnsi" w:hAnsiTheme="minorHAnsi"/>
        </w:rPr>
        <w:t>These investment outflows reflected market concerns over how these economies will fund their current account deficits, as well as a broad reappraisal of relative asset returns for emerging markets. They also reflected market expectations, prior to the recent US government shutdown and debt ceiling impasse, that the US Federal Reserve could soon start ‘tapering’ its asset purchases under its quantitative easing program, which have raised interest rates and relative asset returns for the US and a number of other countries</w:t>
      </w:r>
      <w:r w:rsidR="00CA6BDE">
        <w:rPr>
          <w:rFonts w:asciiTheme="minorHAnsi" w:hAnsiTheme="minorHAnsi"/>
        </w:rPr>
        <w:t>.</w:t>
      </w:r>
    </w:p>
    <w:p w:rsidR="009E6989" w:rsidRPr="00755AF7" w:rsidRDefault="00E71FBE" w:rsidP="009E6989">
      <w:pPr>
        <w:rPr>
          <w:rFonts w:asciiTheme="minorHAnsi" w:hAnsiTheme="minorHAnsi"/>
          <w:color w:val="0000FF"/>
        </w:rPr>
      </w:pPr>
      <w:r w:rsidRPr="00755AF7">
        <w:rPr>
          <w:rFonts w:asciiTheme="minorHAnsi" w:hAnsiTheme="minorHAnsi"/>
          <w:b/>
          <w:color w:val="0000FF"/>
          <w:sz w:val="24"/>
        </w:rPr>
        <w:t>…</w:t>
      </w:r>
      <w:r w:rsidR="009E6989" w:rsidRPr="00755AF7">
        <w:rPr>
          <w:rFonts w:asciiTheme="minorHAnsi" w:hAnsiTheme="minorHAnsi"/>
          <w:b/>
          <w:color w:val="0000FF"/>
          <w:sz w:val="24"/>
        </w:rPr>
        <w:t>although the most recent data from China have been better</w:t>
      </w:r>
    </w:p>
    <w:p w:rsidR="00F66A92" w:rsidRDefault="00F66A92" w:rsidP="00B05208">
      <w:pPr>
        <w:spacing w:after="480"/>
        <w:rPr>
          <w:rFonts w:asciiTheme="minorHAnsi" w:hAnsiTheme="minorHAnsi"/>
          <w:szCs w:val="20"/>
        </w:rPr>
      </w:pPr>
      <w:r w:rsidRPr="00F33530">
        <w:rPr>
          <w:rFonts w:asciiTheme="minorHAnsi" w:hAnsiTheme="minorHAnsi"/>
          <w:szCs w:val="20"/>
        </w:rPr>
        <w:t>Since PEFO, improving external demand and policy fine-tuning by the Chinese authorities to support growth saw a rebound in real activity in July and August. This is despite the People’s Bank of China (China’s central bank) raising inter-bank lending rates since June to curb excessive credit growth in the shadow banking system. The forecasts for China’s growth are unchanged, although strong partial data for the September quarter tilt the risks to the 2013 growth outlook to the upside.</w:t>
      </w:r>
    </w:p>
    <w:p w:rsidR="00CA0D83" w:rsidRPr="00CA0D83" w:rsidRDefault="00CA0D83" w:rsidP="00CA0D83">
      <w:pPr>
        <w:pStyle w:val="Bullet"/>
        <w:numPr>
          <w:ilvl w:val="0"/>
          <w:numId w:val="0"/>
        </w:numPr>
        <w:spacing w:line="240" w:lineRule="auto"/>
        <w:jc w:val="left"/>
        <w:rPr>
          <w:rFonts w:asciiTheme="minorHAnsi" w:hAnsiTheme="minorHAnsi"/>
          <w:b/>
          <w:color w:val="0000FF"/>
          <w:sz w:val="24"/>
        </w:rPr>
      </w:pPr>
      <w:r w:rsidRPr="00CA0D83">
        <w:rPr>
          <w:rFonts w:asciiTheme="minorHAnsi" w:hAnsiTheme="minorHAnsi"/>
          <w:b/>
          <w:color w:val="0000FF"/>
          <w:sz w:val="24"/>
        </w:rPr>
        <w:lastRenderedPageBreak/>
        <w:t>The US outlook has become clouded, while the  Japanese recovery is building some momentum…</w:t>
      </w:r>
    </w:p>
    <w:p w:rsidR="00CA0D83" w:rsidRPr="00C911D6" w:rsidRDefault="00CA0D83" w:rsidP="00B32428">
      <w:pPr>
        <w:pStyle w:val="Bullet"/>
        <w:numPr>
          <w:ilvl w:val="0"/>
          <w:numId w:val="0"/>
        </w:numPr>
        <w:spacing w:line="240" w:lineRule="auto"/>
        <w:rPr>
          <w:rFonts w:asciiTheme="minorHAnsi" w:hAnsiTheme="minorHAnsi"/>
        </w:rPr>
      </w:pPr>
      <w:r w:rsidRPr="00C911D6">
        <w:rPr>
          <w:rFonts w:asciiTheme="minorHAnsi" w:hAnsiTheme="minorHAnsi"/>
        </w:rPr>
        <w:t>Notwithstanding the recent government shutdown, the United States has continued its steady but modest recovery, underpinned by solid domestic demand set against considerable fiscal drag. GDP growth has picked up since the start of the year, the housing and labour markets have continued to improve. However, while the two</w:t>
      </w:r>
      <w:r w:rsidRPr="00C911D6">
        <w:rPr>
          <w:rFonts w:asciiTheme="minorHAnsi" w:hAnsiTheme="minorHAnsi"/>
        </w:rPr>
        <w:noBreakHyphen/>
        <w:t>week government shutdown and the debt ceiling impasse have recently been resolved, the shutdown and uncertainty over whether the debt ceiling would be raised in time are expected to slightly reduce previous forecasts for December quarter growth. A previous upward revision to June quarter GDP growth has somewhat offset the subsequent negative impact on the forecast from the government shutdown. The forecast for 2013 thus remains unchanged. The expected impacts of the shutdown and potential for further fiscal policy disruptions early next year continue to cloud the outlook for 2014 but are not presently considered sufficient to justify downgrading the US 2014 forecast.</w:t>
      </w:r>
    </w:p>
    <w:p w:rsidR="00CA0D83" w:rsidRPr="00CA0D83" w:rsidRDefault="00CA0D83" w:rsidP="00CA0D83">
      <w:pPr>
        <w:rPr>
          <w:rFonts w:asciiTheme="minorHAnsi" w:hAnsiTheme="minorHAnsi"/>
          <w:szCs w:val="20"/>
        </w:rPr>
      </w:pPr>
      <w:r w:rsidRPr="00CA0D83">
        <w:rPr>
          <w:rFonts w:asciiTheme="minorHAnsi" w:hAnsiTheme="minorHAnsi"/>
          <w:szCs w:val="20"/>
        </w:rPr>
        <w:t>In contrast, fiscal and monetary stimulus has markedly boosted Japan’s short</w:t>
      </w:r>
      <w:r w:rsidRPr="00CA0D83">
        <w:rPr>
          <w:rFonts w:asciiTheme="minorHAnsi" w:hAnsiTheme="minorHAnsi"/>
          <w:szCs w:val="20"/>
        </w:rPr>
        <w:noBreakHyphen/>
        <w:t xml:space="preserve">term growth. There are also tentative signs that deflationary pressures in Japan are easing. The forecast for Japanese growth for 2013 has been revised up a ¼ percentage point reflecting a stronger than expected June quarter outcome. Prime Minister Abe’s 1 October announcement that the planned increase in the consumption tax will take place on 1 April 2014, is an important step towards greater fiscal sustainability. Its transitory impact on consumption growth will be offset by additional fiscal stimulus measures.  </w:t>
      </w:r>
    </w:p>
    <w:p w:rsidR="009E6989" w:rsidRPr="00755AF7" w:rsidRDefault="00E71FBE" w:rsidP="009E6989">
      <w:pPr>
        <w:pStyle w:val="Bullet"/>
        <w:numPr>
          <w:ilvl w:val="0"/>
          <w:numId w:val="0"/>
        </w:numPr>
        <w:spacing w:line="240" w:lineRule="auto"/>
        <w:jc w:val="left"/>
        <w:rPr>
          <w:rFonts w:asciiTheme="minorHAnsi" w:hAnsiTheme="minorHAnsi"/>
          <w:b/>
          <w:color w:val="0000FF"/>
          <w:sz w:val="24"/>
        </w:rPr>
      </w:pPr>
      <w:r w:rsidRPr="00755AF7">
        <w:rPr>
          <w:rFonts w:asciiTheme="minorHAnsi" w:hAnsiTheme="minorHAnsi"/>
          <w:b/>
          <w:color w:val="0000FF"/>
          <w:sz w:val="24"/>
        </w:rPr>
        <w:t>…</w:t>
      </w:r>
      <w:r w:rsidR="009E6989" w:rsidRPr="00755AF7">
        <w:rPr>
          <w:rFonts w:asciiTheme="minorHAnsi" w:hAnsiTheme="minorHAnsi"/>
          <w:b/>
          <w:color w:val="0000FF"/>
          <w:sz w:val="24"/>
        </w:rPr>
        <w:t>but prospects for a euro area recovery remain uncertain</w:t>
      </w:r>
    </w:p>
    <w:p w:rsidR="00F66A92" w:rsidRPr="00F33530" w:rsidRDefault="00F66A92" w:rsidP="00F66A92">
      <w:pPr>
        <w:rPr>
          <w:rFonts w:asciiTheme="minorHAnsi" w:hAnsiTheme="minorHAnsi"/>
          <w:szCs w:val="20"/>
        </w:rPr>
      </w:pPr>
      <w:r w:rsidRPr="00F33530">
        <w:rPr>
          <w:rFonts w:asciiTheme="minorHAnsi" w:hAnsiTheme="minorHAnsi"/>
          <w:szCs w:val="20"/>
        </w:rPr>
        <w:t>The euro area returned to growth in the June quarter for the first time since September 2011, with the better than expected result (and slight upward revisions to other recent quarters) leading to an upward revision to the forecast for 2013 of a ¼ percentage point to a contraction of ½ a per cent. Nonetheless, the outlook for the region remains weak and fragile. The June quarter result was boosted by some temporary weather</w:t>
      </w:r>
      <w:r w:rsidRPr="00F33530">
        <w:rPr>
          <w:rFonts w:asciiTheme="minorHAnsi" w:hAnsiTheme="minorHAnsi"/>
          <w:szCs w:val="20"/>
        </w:rPr>
        <w:noBreakHyphen/>
        <w:t xml:space="preserve">related factors, unemployment remains historically high, and credit conditions are still weak and highly divergent across the euro area. Further, there are persistent risks to the </w:t>
      </w:r>
      <w:r w:rsidRPr="00F33530">
        <w:rPr>
          <w:rFonts w:asciiTheme="minorHAnsi" w:hAnsiTheme="minorHAnsi"/>
          <w:szCs w:val="20"/>
        </w:rPr>
        <w:lastRenderedPageBreak/>
        <w:t xml:space="preserve">implementation of the reforms necessary to comprehensively resolve the crisis.   </w:t>
      </w:r>
    </w:p>
    <w:p w:rsidR="009E6989" w:rsidRPr="00755AF7" w:rsidRDefault="009E6989" w:rsidP="009E6989">
      <w:pPr>
        <w:rPr>
          <w:rFonts w:asciiTheme="minorHAnsi" w:hAnsiTheme="minorHAnsi"/>
          <w:b/>
          <w:color w:val="0000FF"/>
          <w:sz w:val="24"/>
        </w:rPr>
      </w:pPr>
      <w:r w:rsidRPr="00755AF7">
        <w:rPr>
          <w:rFonts w:asciiTheme="minorHAnsi" w:hAnsiTheme="minorHAnsi"/>
          <w:b/>
          <w:color w:val="0000FF"/>
          <w:sz w:val="24"/>
        </w:rPr>
        <w:t xml:space="preserve">Downside risks remain prevalent </w:t>
      </w:r>
    </w:p>
    <w:p w:rsidR="00CA0D83" w:rsidRPr="00C911D6" w:rsidRDefault="00CA0D83" w:rsidP="00CA0D83">
      <w:pPr>
        <w:rPr>
          <w:rFonts w:asciiTheme="minorHAnsi" w:hAnsiTheme="minorHAnsi"/>
          <w:szCs w:val="20"/>
        </w:rPr>
      </w:pPr>
      <w:r w:rsidRPr="00C911D6">
        <w:rPr>
          <w:rFonts w:asciiTheme="minorHAnsi" w:hAnsiTheme="minorHAnsi"/>
          <w:szCs w:val="20"/>
        </w:rPr>
        <w:t>The key risk of a failure to raise the debt ceiling in the US and the threat of a ‘technical default’ has been averted. While the government shutdown has also ended after two weeks, this will nonetheless impact near</w:t>
      </w:r>
      <w:r w:rsidRPr="00C911D6">
        <w:rPr>
          <w:rFonts w:asciiTheme="minorHAnsi" w:hAnsiTheme="minorHAnsi"/>
          <w:szCs w:val="20"/>
        </w:rPr>
        <w:noBreakHyphen/>
        <w:t>term growth. Further, with the recent agreement to raise the debt ceiling and re-open the government only extending to early 2014, further political battles over fiscal policy issues may re</w:t>
      </w:r>
      <w:r w:rsidRPr="00C911D6">
        <w:rPr>
          <w:rFonts w:asciiTheme="minorHAnsi" w:hAnsiTheme="minorHAnsi"/>
          <w:szCs w:val="20"/>
        </w:rPr>
        <w:noBreakHyphen/>
        <w:t>emerge early next year and continue to cloud near</w:t>
      </w:r>
      <w:r w:rsidRPr="00C911D6">
        <w:rPr>
          <w:rFonts w:asciiTheme="minorHAnsi" w:hAnsiTheme="minorHAnsi"/>
          <w:szCs w:val="20"/>
        </w:rPr>
        <w:noBreakHyphen/>
        <w:t xml:space="preserve">term prospects. </w:t>
      </w:r>
    </w:p>
    <w:p w:rsidR="00CA0D83" w:rsidRPr="00C911D6" w:rsidRDefault="00CA0D83" w:rsidP="00CA0D83">
      <w:pPr>
        <w:rPr>
          <w:rFonts w:asciiTheme="minorHAnsi" w:hAnsiTheme="minorHAnsi"/>
          <w:szCs w:val="20"/>
        </w:rPr>
      </w:pPr>
      <w:r w:rsidRPr="00C911D6">
        <w:rPr>
          <w:rFonts w:asciiTheme="minorHAnsi" w:hAnsiTheme="minorHAnsi"/>
          <w:szCs w:val="20"/>
        </w:rPr>
        <w:t xml:space="preserve">The recent uncertainty over fiscal policy, the potential for such issues to occur again in early 2014, and the government shutdown delaying the release of key economic data, have led markets to expect a further deferral of  the commencement of a ‘tapering’ of asset purchases by the US Federal Reserve. Despite this, previous expectations have led to a significant increase in market interest rates in the US which could dampen recovery prospects for the housing market.   </w:t>
      </w:r>
    </w:p>
    <w:p w:rsidR="00CA0D83" w:rsidRPr="00C911D6" w:rsidRDefault="00CA0D83" w:rsidP="00CA0D83">
      <w:pPr>
        <w:rPr>
          <w:rFonts w:asciiTheme="minorHAnsi" w:hAnsiTheme="minorHAnsi"/>
          <w:szCs w:val="20"/>
        </w:rPr>
      </w:pPr>
      <w:r w:rsidRPr="00C911D6">
        <w:rPr>
          <w:rFonts w:asciiTheme="minorHAnsi" w:hAnsiTheme="minorHAnsi"/>
          <w:szCs w:val="20"/>
        </w:rPr>
        <w:t>With the eventual normalisation of US monetary policy likely to take some time to occur, any volatility in emerging markets stemming from this issue, while likely to abate in the near term, could be similarly persistent and could hamper emerging economies’ growth prospects over the medium term.</w:t>
      </w:r>
    </w:p>
    <w:p w:rsidR="00CA0D83" w:rsidRPr="00C911D6" w:rsidRDefault="00CA0D83" w:rsidP="00CA0D83">
      <w:pPr>
        <w:rPr>
          <w:rFonts w:asciiTheme="minorHAnsi" w:hAnsiTheme="minorHAnsi"/>
          <w:szCs w:val="20"/>
        </w:rPr>
      </w:pPr>
      <w:r w:rsidRPr="00C911D6">
        <w:rPr>
          <w:rFonts w:asciiTheme="minorHAnsi" w:hAnsiTheme="minorHAnsi"/>
          <w:szCs w:val="20"/>
        </w:rPr>
        <w:t xml:space="preserve">While China’s growth outlook remains positive, instability in China’s evolving financial system and the Government’s ability to manage a smooth transition to a more sustainable pattern of growth remain the key downside risks to the outlook. </w:t>
      </w:r>
    </w:p>
    <w:p w:rsidR="00CA0D83" w:rsidRPr="00C911D6" w:rsidRDefault="00CA0D83" w:rsidP="00CA0D83">
      <w:pPr>
        <w:rPr>
          <w:rFonts w:asciiTheme="minorHAnsi" w:hAnsiTheme="minorHAnsi"/>
          <w:szCs w:val="20"/>
        </w:rPr>
      </w:pPr>
      <w:r w:rsidRPr="00C911D6">
        <w:rPr>
          <w:rFonts w:asciiTheme="minorHAnsi" w:hAnsiTheme="minorHAnsi"/>
          <w:szCs w:val="20"/>
        </w:rPr>
        <w:t>Japan’s medium-term outlook remains uncertain, due to a lack of detail on much</w:t>
      </w:r>
      <w:r w:rsidRPr="00C911D6">
        <w:rPr>
          <w:rFonts w:asciiTheme="minorHAnsi" w:hAnsiTheme="minorHAnsi"/>
          <w:szCs w:val="20"/>
        </w:rPr>
        <w:noBreakHyphen/>
        <w:t>needed structural reforms, and with fiscal headwinds from medium</w:t>
      </w:r>
      <w:r w:rsidRPr="00C911D6">
        <w:rPr>
          <w:rFonts w:asciiTheme="minorHAnsi" w:hAnsiTheme="minorHAnsi"/>
          <w:szCs w:val="20"/>
        </w:rPr>
        <w:noBreakHyphen/>
        <w:t xml:space="preserve">term consolidation requirements a potential risk, particularly if the government’s growth strategy is unsuccessful.  </w:t>
      </w:r>
    </w:p>
    <w:p w:rsidR="00CA0D83" w:rsidRPr="00C911D6" w:rsidRDefault="00CA0D83" w:rsidP="00CA0D83">
      <w:pPr>
        <w:rPr>
          <w:rFonts w:asciiTheme="minorHAnsi" w:hAnsiTheme="minorHAnsi"/>
          <w:szCs w:val="20"/>
        </w:rPr>
      </w:pPr>
      <w:r w:rsidRPr="00C911D6">
        <w:rPr>
          <w:rFonts w:asciiTheme="minorHAnsi" w:hAnsiTheme="minorHAnsi"/>
          <w:szCs w:val="20"/>
        </w:rPr>
        <w:t>Despite the euro area’s return to growth in the June quarter, the region’s crisis lingers. Political impediments to necessary reforms persist, and the euro area’s heavily impeded banking sector remains a major vulnerability.</w:t>
      </w: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755AF7" w:rsidRDefault="00755AF7" w:rsidP="00054F4F">
      <w:pPr>
        <w:rPr>
          <w:rFonts w:asciiTheme="minorHAnsi" w:hAnsiTheme="minorHAnsi"/>
        </w:rPr>
      </w:pPr>
    </w:p>
    <w:p w:rsidR="00825BEE" w:rsidRDefault="00825BEE" w:rsidP="00054F4F">
      <w:pPr>
        <w:rPr>
          <w:rFonts w:asciiTheme="minorHAnsi" w:hAnsiTheme="minorHAnsi"/>
        </w:rPr>
      </w:pPr>
    </w:p>
    <w:p w:rsidR="00825BEE" w:rsidRDefault="00825BEE" w:rsidP="00054F4F">
      <w:pPr>
        <w:rPr>
          <w:rFonts w:asciiTheme="minorHAnsi" w:hAnsiTheme="minorHAnsi"/>
        </w:rPr>
      </w:pPr>
    </w:p>
    <w:p w:rsidR="00825BEE" w:rsidRDefault="00825BEE" w:rsidP="00054F4F">
      <w:pPr>
        <w:rPr>
          <w:rFonts w:asciiTheme="minorHAnsi" w:hAnsiTheme="minorHAnsi"/>
        </w:rPr>
      </w:pPr>
    </w:p>
    <w:p w:rsidR="00755AF7" w:rsidRDefault="00755AF7" w:rsidP="00054F4F">
      <w:pPr>
        <w:rPr>
          <w:rFonts w:asciiTheme="minorHAnsi" w:hAnsiTheme="minorHAnsi"/>
        </w:rPr>
      </w:pPr>
    </w:p>
    <w:p w:rsidR="00755AF7" w:rsidRPr="00587BCC" w:rsidRDefault="00755AF7" w:rsidP="00054F4F">
      <w:pPr>
        <w:rPr>
          <w:rFonts w:asciiTheme="minorHAnsi" w:hAnsiTheme="minorHAnsi"/>
        </w:rPr>
      </w:pPr>
    </w:p>
    <w:p w:rsidR="009E6989" w:rsidRPr="00587BCC" w:rsidRDefault="009E6989" w:rsidP="00F23396">
      <w:pPr>
        <w:rPr>
          <w:rFonts w:asciiTheme="minorHAnsi" w:hAnsiTheme="minorHAnsi"/>
        </w:rPr>
        <w:sectPr w:rsidR="009E6989" w:rsidRPr="00587BCC" w:rsidSect="009E6989">
          <w:type w:val="continuous"/>
          <w:pgSz w:w="11907" w:h="16840" w:code="9"/>
          <w:pgMar w:top="1418" w:right="1100" w:bottom="1418" w:left="1100" w:header="567" w:footer="709" w:gutter="0"/>
          <w:cols w:num="2" w:space="709"/>
          <w:docGrid w:linePitch="272"/>
        </w:sectPr>
      </w:pPr>
    </w:p>
    <w:p w:rsidR="00F23396" w:rsidRPr="00587BCC" w:rsidRDefault="00F23396" w:rsidP="00F23396">
      <w:pPr>
        <w:rPr>
          <w:rFonts w:asciiTheme="minorHAnsi" w:hAnsiTheme="minorHAnsi"/>
        </w:rPr>
      </w:pPr>
    </w:p>
    <w:p w:rsidR="00F0788A" w:rsidRPr="00755AF7" w:rsidRDefault="00851710" w:rsidP="00F0788A">
      <w:pPr>
        <w:pStyle w:val="IntenseQuote"/>
        <w:ind w:left="0"/>
        <w:rPr>
          <w:i w:val="0"/>
          <w:color w:val="0000FF"/>
          <w:sz w:val="28"/>
          <w:szCs w:val="24"/>
        </w:rPr>
      </w:pPr>
      <w:r w:rsidRPr="00755AF7">
        <w:rPr>
          <w:i w:val="0"/>
          <w:color w:val="0000FF"/>
          <w:sz w:val="28"/>
          <w:szCs w:val="24"/>
        </w:rPr>
        <w:t xml:space="preserve">Outlook for the </w:t>
      </w:r>
      <w:r w:rsidR="003268F4" w:rsidRPr="00755AF7">
        <w:rPr>
          <w:i w:val="0"/>
          <w:color w:val="0000FF"/>
          <w:sz w:val="28"/>
          <w:szCs w:val="24"/>
        </w:rPr>
        <w:t xml:space="preserve">Domestic </w:t>
      </w:r>
      <w:r w:rsidR="00E71FBE" w:rsidRPr="00755AF7">
        <w:rPr>
          <w:i w:val="0"/>
          <w:color w:val="0000FF"/>
          <w:sz w:val="28"/>
          <w:szCs w:val="24"/>
        </w:rPr>
        <w:t>E</w:t>
      </w:r>
      <w:r w:rsidRPr="00755AF7">
        <w:rPr>
          <w:i w:val="0"/>
          <w:color w:val="0000FF"/>
          <w:sz w:val="28"/>
          <w:szCs w:val="24"/>
        </w:rPr>
        <w:t>conomy</w:t>
      </w:r>
    </w:p>
    <w:p w:rsidR="00F0788A" w:rsidRPr="00587BCC" w:rsidRDefault="00F0788A" w:rsidP="00FB1B2F">
      <w:pPr>
        <w:pStyle w:val="Bullet"/>
        <w:numPr>
          <w:ilvl w:val="0"/>
          <w:numId w:val="0"/>
        </w:numPr>
        <w:spacing w:line="240" w:lineRule="auto"/>
        <w:jc w:val="left"/>
        <w:rPr>
          <w:rFonts w:asciiTheme="minorHAnsi" w:hAnsiTheme="minorHAnsi"/>
          <w:b/>
          <w:color w:val="003399"/>
          <w:sz w:val="24"/>
        </w:rPr>
        <w:sectPr w:rsidR="00F0788A" w:rsidRPr="00587BCC" w:rsidSect="00F0788A">
          <w:headerReference w:type="default" r:id="rId25"/>
          <w:footerReference w:type="even" r:id="rId26"/>
          <w:footerReference w:type="default" r:id="rId27"/>
          <w:pgSz w:w="11907" w:h="16840" w:code="9"/>
          <w:pgMar w:top="1418" w:right="1100" w:bottom="1418" w:left="1100" w:header="567" w:footer="709" w:gutter="0"/>
          <w:cols w:space="709"/>
          <w:docGrid w:linePitch="272"/>
        </w:sectPr>
      </w:pPr>
    </w:p>
    <w:p w:rsidR="00FB1B2F" w:rsidRPr="00755AF7" w:rsidRDefault="00A12A19" w:rsidP="00181FB1">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lastRenderedPageBreak/>
        <w:t>Below trend growth is expected to continue until at least 2014-15</w:t>
      </w:r>
    </w:p>
    <w:p w:rsidR="00F66A92" w:rsidRPr="00F33530" w:rsidRDefault="00F66A92" w:rsidP="00F66A92">
      <w:pPr>
        <w:pStyle w:val="Bullet"/>
        <w:numPr>
          <w:ilvl w:val="0"/>
          <w:numId w:val="0"/>
        </w:numPr>
        <w:rPr>
          <w:rFonts w:asciiTheme="minorHAnsi" w:eastAsiaTheme="minorEastAsia" w:hAnsiTheme="minorHAnsi"/>
          <w:szCs w:val="20"/>
          <w:lang w:eastAsia="ja-JP"/>
        </w:rPr>
      </w:pPr>
      <w:r w:rsidRPr="00F33530">
        <w:rPr>
          <w:rFonts w:asciiTheme="minorHAnsi" w:eastAsiaTheme="minorEastAsia" w:hAnsiTheme="minorHAnsi"/>
          <w:szCs w:val="20"/>
          <w:lang w:eastAsia="ja-JP"/>
        </w:rPr>
        <w:t>The Australian economy is forecast to grow steadily, albeit at a rate a little below trend, as the economy transitions away from resources investment led growth. Real GDP is expected to increase by 2½ per cent in 2013-14 before picking up to 2¾ per cent in 2014</w:t>
      </w:r>
      <w:r w:rsidRPr="00F33530">
        <w:rPr>
          <w:rFonts w:asciiTheme="minorHAnsi" w:eastAsiaTheme="minorEastAsia" w:hAnsiTheme="minorHAnsi"/>
          <w:szCs w:val="20"/>
          <w:lang w:eastAsia="ja-JP"/>
        </w:rPr>
        <w:noBreakHyphen/>
        <w:t xml:space="preserve">15 (Chart 3). </w:t>
      </w:r>
    </w:p>
    <w:p w:rsidR="00F66A92" w:rsidRPr="00F33530" w:rsidRDefault="00F66A92" w:rsidP="00F66A92">
      <w:pPr>
        <w:pStyle w:val="Bullet"/>
        <w:numPr>
          <w:ilvl w:val="0"/>
          <w:numId w:val="0"/>
        </w:numPr>
        <w:rPr>
          <w:rFonts w:asciiTheme="minorHAnsi" w:eastAsiaTheme="minorEastAsia" w:hAnsiTheme="minorHAnsi"/>
          <w:szCs w:val="20"/>
          <w:lang w:eastAsia="ja-JP"/>
        </w:rPr>
      </w:pPr>
      <w:r w:rsidRPr="00F33530">
        <w:rPr>
          <w:rFonts w:asciiTheme="minorHAnsi" w:eastAsiaTheme="minorEastAsia" w:hAnsiTheme="minorHAnsi"/>
          <w:szCs w:val="20"/>
          <w:lang w:eastAsia="ja-JP"/>
        </w:rPr>
        <w:t>Forecast growth in 2014-15 is slightly lower than at PEFO, owing to a sharper forecast fall in resources investment and the transition to broader-based growth progressing more slowly than previously expected. Households continue to exercise caution and investment intentions in the non-resources sectors remain weak.</w:t>
      </w:r>
    </w:p>
    <w:p w:rsidR="00A12A19" w:rsidRPr="00587BCC" w:rsidRDefault="00F66A92" w:rsidP="00F66A92">
      <w:pPr>
        <w:pStyle w:val="Bullet"/>
        <w:numPr>
          <w:ilvl w:val="0"/>
          <w:numId w:val="0"/>
        </w:numPr>
        <w:rPr>
          <w:rFonts w:asciiTheme="minorHAnsi" w:eastAsiaTheme="minorEastAsia" w:hAnsiTheme="minorHAnsi"/>
          <w:lang w:eastAsia="ja-JP"/>
        </w:rPr>
      </w:pPr>
      <w:r w:rsidRPr="00F33530">
        <w:rPr>
          <w:rFonts w:asciiTheme="minorHAnsi" w:eastAsiaTheme="minorEastAsia" w:hAnsiTheme="minorHAnsi"/>
          <w:szCs w:val="20"/>
          <w:lang w:eastAsia="ja-JP"/>
        </w:rPr>
        <w:t>Nevertheless, there are some tentative signs of rebalancing occurring, including buoyant conditions in the established housing market and improved consumer and business confidence. It will be important for these positive signs to translate into increased spending by households and businesses.</w:t>
      </w:r>
    </w:p>
    <w:p w:rsidR="00160B0E" w:rsidRPr="00587BCC" w:rsidRDefault="00160B0E" w:rsidP="00160B0E">
      <w:pPr>
        <w:keepNext/>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3</w:t>
      </w:r>
      <w:r w:rsidRPr="00587BCC">
        <w:rPr>
          <w:rFonts w:asciiTheme="minorHAnsi" w:hAnsiTheme="minorHAnsi"/>
          <w:b/>
        </w:rPr>
        <w:t>: Real GDP forecasts</w:t>
      </w:r>
    </w:p>
    <w:p w:rsidR="00160B0E" w:rsidRPr="00587BCC" w:rsidRDefault="002B0AB5" w:rsidP="00160B0E">
      <w:pPr>
        <w:pStyle w:val="ChartGraphic0"/>
        <w:spacing w:after="240"/>
        <w:jc w:val="left"/>
        <w:rPr>
          <w:rFonts w:asciiTheme="minorHAnsi" w:hAnsiTheme="minorHAnsi"/>
        </w:rPr>
      </w:pPr>
      <w:r>
        <w:rPr>
          <w:rFonts w:asciiTheme="minorHAnsi" w:hAnsiTheme="minorHAnsi"/>
        </w:rPr>
        <w:pict>
          <v:shape id="_x0000_i1029" type="#_x0000_t75" style="width:225pt;height:225pt">
            <v:imagedata r:id="rId28" o:title=""/>
          </v:shape>
        </w:pict>
      </w:r>
      <w:r w:rsidR="00160B0E" w:rsidRPr="00587BCC">
        <w:rPr>
          <w:rFonts w:asciiTheme="minorHAnsi" w:hAnsiTheme="minorHAnsi"/>
          <w:color w:val="auto"/>
          <w:kern w:val="2"/>
          <w:sz w:val="16"/>
        </w:rPr>
        <w:t>Source:  ABS cat. no. 5206.0 and Treasury.</w:t>
      </w:r>
    </w:p>
    <w:p w:rsidR="002113E9" w:rsidRPr="00587BCC" w:rsidRDefault="00F66A92" w:rsidP="00B73661">
      <w:pPr>
        <w:pStyle w:val="Bullet"/>
        <w:numPr>
          <w:ilvl w:val="0"/>
          <w:numId w:val="0"/>
        </w:numPr>
        <w:rPr>
          <w:rFonts w:asciiTheme="minorHAnsi" w:eastAsiaTheme="minorEastAsia" w:hAnsiTheme="minorHAnsi"/>
          <w:lang w:eastAsia="ja-JP"/>
        </w:rPr>
      </w:pPr>
      <w:r w:rsidRPr="00F33530">
        <w:rPr>
          <w:rFonts w:asciiTheme="minorHAnsi" w:eastAsiaTheme="minorEastAsia" w:hAnsiTheme="minorHAnsi"/>
          <w:szCs w:val="20"/>
          <w:lang w:eastAsia="ja-JP"/>
        </w:rPr>
        <w:t xml:space="preserve">As always, there is a degree of uncertainty around the forecasts. The degree of uncertainty can be estimated based on past forecast errors and presented using confidence intervals. The average annualised real GDP </w:t>
      </w:r>
      <w:r w:rsidRPr="00F33530">
        <w:rPr>
          <w:rFonts w:asciiTheme="minorHAnsi" w:eastAsiaTheme="minorEastAsia" w:hAnsiTheme="minorHAnsi"/>
          <w:szCs w:val="20"/>
          <w:lang w:eastAsia="ja-JP"/>
        </w:rPr>
        <w:lastRenderedPageBreak/>
        <w:t xml:space="preserve">growth over the two years 2012-13 to 2014-15 is expected to be 2.6 per cent, with the 70 per cent confidence interval from </w:t>
      </w:r>
      <w:r w:rsidR="00241CF6">
        <w:rPr>
          <w:rFonts w:asciiTheme="minorHAnsi" w:eastAsiaTheme="minorEastAsia" w:hAnsiTheme="minorHAnsi"/>
          <w:szCs w:val="20"/>
          <w:lang w:eastAsia="ja-JP"/>
        </w:rPr>
        <w:t>1.8</w:t>
      </w:r>
      <w:r w:rsidRPr="00F33530">
        <w:rPr>
          <w:rFonts w:asciiTheme="minorHAnsi" w:eastAsiaTheme="minorEastAsia" w:hAnsiTheme="minorHAnsi"/>
          <w:szCs w:val="20"/>
          <w:lang w:eastAsia="ja-JP"/>
        </w:rPr>
        <w:t xml:space="preserve"> to </w:t>
      </w:r>
      <w:r w:rsidR="00241CF6">
        <w:rPr>
          <w:rFonts w:asciiTheme="minorHAnsi" w:eastAsiaTheme="minorEastAsia" w:hAnsiTheme="minorHAnsi"/>
          <w:szCs w:val="20"/>
          <w:lang w:eastAsia="ja-JP"/>
        </w:rPr>
        <w:t>3.4</w:t>
      </w:r>
      <w:r w:rsidRPr="00F33530">
        <w:rPr>
          <w:rFonts w:asciiTheme="minorHAnsi" w:eastAsiaTheme="minorEastAsia" w:hAnsiTheme="minorHAnsi"/>
          <w:szCs w:val="20"/>
          <w:lang w:eastAsia="ja-JP"/>
        </w:rPr>
        <w:t xml:space="preserve"> per cent (Chart 4). See Appendix A for an explanation of the confidence interval methodology and its interpretation</w:t>
      </w:r>
      <w:r>
        <w:rPr>
          <w:rFonts w:asciiTheme="minorHAnsi" w:eastAsiaTheme="minorEastAsia" w:hAnsiTheme="minorHAnsi"/>
          <w:szCs w:val="20"/>
          <w:lang w:eastAsia="ja-JP"/>
        </w:rPr>
        <w:t>.</w:t>
      </w:r>
    </w:p>
    <w:p w:rsidR="00B73661" w:rsidRPr="00587BCC" w:rsidRDefault="00B73661" w:rsidP="00B73661">
      <w:pPr>
        <w:keepNext/>
        <w:autoSpaceDE w:val="0"/>
        <w:autoSpaceDN w:val="0"/>
        <w:spacing w:after="0"/>
        <w:jc w:val="center"/>
        <w:rPr>
          <w:rFonts w:asciiTheme="minorHAnsi" w:hAnsiTheme="minorHAnsi"/>
          <w:b/>
          <w:szCs w:val="20"/>
        </w:rPr>
      </w:pPr>
      <w:r w:rsidRPr="00587BCC">
        <w:rPr>
          <w:rFonts w:asciiTheme="minorHAnsi" w:hAnsiTheme="minorHAnsi"/>
          <w:b/>
          <w:szCs w:val="20"/>
        </w:rPr>
        <w:t xml:space="preserve">Chart </w:t>
      </w:r>
      <w:r w:rsidR="00D868E2" w:rsidRPr="00587BCC">
        <w:rPr>
          <w:rFonts w:asciiTheme="minorHAnsi" w:hAnsiTheme="minorHAnsi"/>
          <w:b/>
          <w:szCs w:val="20"/>
        </w:rPr>
        <w:t>4</w:t>
      </w:r>
      <w:r w:rsidRPr="00587BCC">
        <w:rPr>
          <w:rFonts w:asciiTheme="minorHAnsi" w:hAnsiTheme="minorHAnsi"/>
          <w:b/>
          <w:szCs w:val="20"/>
        </w:rPr>
        <w:t>: Confidence intervals around forecast real GDP</w:t>
      </w:r>
    </w:p>
    <w:p w:rsidR="00503D4C" w:rsidRPr="00503D4C" w:rsidRDefault="002B0AB5" w:rsidP="00DD00E3">
      <w:pPr>
        <w:autoSpaceDE w:val="0"/>
        <w:autoSpaceDN w:val="0"/>
        <w:spacing w:after="0" w:line="240" w:lineRule="auto"/>
        <w:jc w:val="left"/>
        <w:rPr>
          <w:rFonts w:asciiTheme="minorHAnsi" w:hAnsiTheme="minorHAnsi"/>
          <w:sz w:val="16"/>
          <w:szCs w:val="16"/>
        </w:rPr>
      </w:pPr>
      <w:r>
        <w:rPr>
          <w:rFonts w:asciiTheme="minorHAnsi" w:hAnsiTheme="minorHAnsi"/>
        </w:rPr>
        <w:pict>
          <v:shape id="_x0000_i1030" type="#_x0000_t75" style="width:225pt;height:225pt">
            <v:imagedata r:id="rId29" o:title=""/>
          </v:shape>
        </w:pict>
      </w:r>
      <w:r w:rsidR="00503D4C" w:rsidRPr="00503D4C">
        <w:rPr>
          <w:rFonts w:asciiTheme="minorHAnsi" w:hAnsiTheme="minorHAnsi"/>
          <w:sz w:val="16"/>
          <w:szCs w:val="16"/>
        </w:rPr>
        <w:t xml:space="preserve"> </w:t>
      </w:r>
      <w:r w:rsidR="00503D4C" w:rsidRPr="00603A05">
        <w:rPr>
          <w:rFonts w:asciiTheme="minorHAnsi" w:hAnsiTheme="minorHAnsi"/>
          <w:sz w:val="16"/>
          <w:szCs w:val="16"/>
        </w:rPr>
        <w:t xml:space="preserve">Note: </w:t>
      </w:r>
      <w:r w:rsidR="00DD00E3" w:rsidRPr="00603A05">
        <w:rPr>
          <w:rFonts w:asciiTheme="minorHAnsi" w:hAnsiTheme="minorHAnsi"/>
          <w:sz w:val="16"/>
          <w:szCs w:val="16"/>
        </w:rPr>
        <w:t>Confidence intervals are based</w:t>
      </w:r>
      <w:r w:rsidR="00DD00E3">
        <w:rPr>
          <w:rFonts w:asciiTheme="minorHAnsi" w:hAnsiTheme="minorHAnsi"/>
          <w:sz w:val="16"/>
          <w:szCs w:val="16"/>
        </w:rPr>
        <w:t xml:space="preserve"> on</w:t>
      </w:r>
      <w:r w:rsidR="00DD00E3" w:rsidRPr="00603A05">
        <w:rPr>
          <w:rFonts w:asciiTheme="minorHAnsi" w:hAnsiTheme="minorHAnsi"/>
          <w:sz w:val="16"/>
          <w:szCs w:val="16"/>
        </w:rPr>
        <w:t xml:space="preserve"> </w:t>
      </w:r>
      <w:r w:rsidR="00DD00E3">
        <w:rPr>
          <w:rFonts w:asciiTheme="minorHAnsi" w:hAnsiTheme="minorHAnsi"/>
          <w:sz w:val="16"/>
          <w:szCs w:val="16"/>
        </w:rPr>
        <w:t>B</w:t>
      </w:r>
      <w:r w:rsidR="00DD00E3" w:rsidRPr="00603A05">
        <w:rPr>
          <w:rFonts w:asciiTheme="minorHAnsi" w:hAnsiTheme="minorHAnsi"/>
          <w:sz w:val="16"/>
          <w:szCs w:val="16"/>
        </w:rPr>
        <w:t xml:space="preserve">udget </w:t>
      </w:r>
      <w:r w:rsidR="00DD00E3">
        <w:rPr>
          <w:rFonts w:asciiTheme="minorHAnsi" w:hAnsiTheme="minorHAnsi"/>
          <w:sz w:val="16"/>
          <w:szCs w:val="16"/>
        </w:rPr>
        <w:t>forecast errors</w:t>
      </w:r>
      <w:r w:rsidR="00503D4C">
        <w:rPr>
          <w:rFonts w:asciiTheme="minorHAnsi" w:hAnsiTheme="minorHAnsi"/>
          <w:sz w:val="16"/>
          <w:szCs w:val="16"/>
        </w:rPr>
        <w:t xml:space="preserve"> (please see Appendix A for further information).</w:t>
      </w:r>
    </w:p>
    <w:p w:rsidR="00B73661" w:rsidRDefault="00FB00A1" w:rsidP="00503D4C">
      <w:pPr>
        <w:spacing w:line="240" w:lineRule="auto"/>
        <w:jc w:val="left"/>
        <w:rPr>
          <w:rFonts w:asciiTheme="minorHAnsi" w:hAnsiTheme="minorHAnsi"/>
          <w:sz w:val="16"/>
          <w:szCs w:val="16"/>
        </w:rPr>
      </w:pPr>
      <w:r w:rsidRPr="00587BCC">
        <w:rPr>
          <w:rFonts w:asciiTheme="minorHAnsi" w:hAnsiTheme="minorHAnsi"/>
          <w:sz w:val="16"/>
          <w:szCs w:val="16"/>
        </w:rPr>
        <w:t>Source: ABS cat. no. 5206.0, Budget papers and Treasury.</w:t>
      </w:r>
    </w:p>
    <w:p w:rsidR="00A12A19" w:rsidRPr="00587BCC" w:rsidRDefault="00F66A92" w:rsidP="00A12A19">
      <w:pPr>
        <w:pStyle w:val="Bullet"/>
        <w:numPr>
          <w:ilvl w:val="0"/>
          <w:numId w:val="0"/>
        </w:numPr>
        <w:rPr>
          <w:rFonts w:asciiTheme="minorHAnsi" w:eastAsiaTheme="minorEastAsia" w:hAnsiTheme="minorHAnsi"/>
          <w:lang w:eastAsia="ja-JP"/>
        </w:rPr>
      </w:pPr>
      <w:r w:rsidRPr="00F33530">
        <w:rPr>
          <w:rFonts w:asciiTheme="minorHAnsi" w:eastAsiaTheme="minorEastAsia" w:hAnsiTheme="minorHAnsi"/>
          <w:szCs w:val="20"/>
          <w:lang w:eastAsia="ja-JP"/>
        </w:rPr>
        <w:t>The JEFG forecasts are broadly consistent with Consensus and the International Monetary Fund (see Appendix B). Forecast real GDP growth is broadly in line with the Consensus median forecast, while the forecast unemployment rate and commodity prices are below median expectations</w:t>
      </w:r>
      <w:r w:rsidR="00974BAD" w:rsidRPr="00587BCC">
        <w:rPr>
          <w:rFonts w:asciiTheme="minorHAnsi" w:eastAsiaTheme="minorEastAsia" w:hAnsiTheme="minorHAnsi"/>
          <w:lang w:eastAsia="ja-JP"/>
        </w:rPr>
        <w:t xml:space="preserve">. </w:t>
      </w:r>
    </w:p>
    <w:p w:rsidR="009B2504" w:rsidRPr="00755AF7" w:rsidRDefault="00974BAD" w:rsidP="00181FB1">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R</w:t>
      </w:r>
      <w:r w:rsidR="00E96A58" w:rsidRPr="00755AF7">
        <w:rPr>
          <w:rFonts w:asciiTheme="minorHAnsi" w:hAnsiTheme="minorHAnsi"/>
          <w:b/>
          <w:color w:val="0000FF"/>
          <w:sz w:val="24"/>
        </w:rPr>
        <w:t>esource</w:t>
      </w:r>
      <w:r w:rsidR="00E06122" w:rsidRPr="00755AF7">
        <w:rPr>
          <w:rFonts w:asciiTheme="minorHAnsi" w:hAnsiTheme="minorHAnsi"/>
          <w:b/>
          <w:color w:val="0000FF"/>
          <w:sz w:val="24"/>
        </w:rPr>
        <w:t>s</w:t>
      </w:r>
      <w:r w:rsidR="00E96A58" w:rsidRPr="00755AF7">
        <w:rPr>
          <w:rFonts w:asciiTheme="minorHAnsi" w:hAnsiTheme="minorHAnsi"/>
          <w:b/>
          <w:color w:val="0000FF"/>
          <w:sz w:val="24"/>
        </w:rPr>
        <w:t xml:space="preserve"> investment peaks and begins its descent</w:t>
      </w:r>
      <w:r w:rsidR="00181FB1" w:rsidRPr="00755AF7">
        <w:rPr>
          <w:rFonts w:asciiTheme="minorHAnsi" w:hAnsiTheme="minorHAnsi"/>
          <w:b/>
          <w:color w:val="0000FF"/>
          <w:sz w:val="24"/>
        </w:rPr>
        <w:t>…</w:t>
      </w:r>
    </w:p>
    <w:p w:rsidR="00160B0E" w:rsidRPr="00587BCC" w:rsidRDefault="00F66A92" w:rsidP="000765B4">
      <w:pPr>
        <w:pStyle w:val="Bullet"/>
        <w:numPr>
          <w:ilvl w:val="0"/>
          <w:numId w:val="0"/>
        </w:numPr>
        <w:rPr>
          <w:rFonts w:asciiTheme="minorHAnsi" w:hAnsiTheme="minorHAnsi"/>
        </w:rPr>
      </w:pPr>
      <w:r w:rsidRPr="00F33530">
        <w:rPr>
          <w:rFonts w:asciiTheme="minorHAnsi" w:hAnsiTheme="minorHAnsi"/>
          <w:szCs w:val="20"/>
        </w:rPr>
        <w:t>LNG projects currently under construction should keep overall investment at elevated levels in 2013</w:t>
      </w:r>
      <w:r w:rsidRPr="00F33530">
        <w:rPr>
          <w:rFonts w:asciiTheme="minorHAnsi" w:hAnsiTheme="minorHAnsi"/>
          <w:szCs w:val="20"/>
        </w:rPr>
        <w:noBreakHyphen/>
        <w:t>14. However, resources investment is expected to fall significantly as these projects move towards completion around the middle of the decade (Chart 5). The fall could be sharper still if projects under consideration, but not yet committed to, do not proceed</w:t>
      </w:r>
      <w:r>
        <w:rPr>
          <w:rFonts w:asciiTheme="minorHAnsi" w:hAnsiTheme="minorHAnsi"/>
          <w:szCs w:val="20"/>
        </w:rPr>
        <w:t>.</w:t>
      </w:r>
      <w:r w:rsidR="008D5C20" w:rsidRPr="00587BCC">
        <w:rPr>
          <w:rFonts w:asciiTheme="minorHAnsi" w:hAnsiTheme="minorHAnsi"/>
        </w:rPr>
        <w:t xml:space="preserve"> </w:t>
      </w:r>
    </w:p>
    <w:p w:rsidR="00160B0E" w:rsidRPr="00587BCC" w:rsidRDefault="00160B0E" w:rsidP="00160B0E">
      <w:pPr>
        <w:keepNext/>
        <w:spacing w:after="0"/>
        <w:jc w:val="center"/>
        <w:rPr>
          <w:rFonts w:asciiTheme="minorHAnsi" w:hAnsiTheme="minorHAnsi"/>
          <w:b/>
        </w:rPr>
      </w:pPr>
      <w:r w:rsidRPr="00587BCC">
        <w:rPr>
          <w:rFonts w:asciiTheme="minorHAnsi" w:hAnsiTheme="minorHAnsi"/>
          <w:b/>
        </w:rPr>
        <w:lastRenderedPageBreak/>
        <w:t xml:space="preserve">Chart </w:t>
      </w:r>
      <w:r w:rsidR="00D868E2" w:rsidRPr="00587BCC">
        <w:rPr>
          <w:rFonts w:asciiTheme="minorHAnsi" w:hAnsiTheme="minorHAnsi"/>
          <w:b/>
        </w:rPr>
        <w:t>5</w:t>
      </w:r>
      <w:r w:rsidRPr="00587BCC">
        <w:rPr>
          <w:rFonts w:asciiTheme="minorHAnsi" w:hAnsiTheme="minorHAnsi"/>
          <w:b/>
        </w:rPr>
        <w:t>: Resources investment</w:t>
      </w:r>
      <w:r w:rsidR="00EB71AB" w:rsidRPr="00587BCC">
        <w:rPr>
          <w:rFonts w:asciiTheme="minorHAnsi" w:hAnsiTheme="minorHAnsi"/>
          <w:b/>
        </w:rPr>
        <w:t xml:space="preserve"> – major projects</w:t>
      </w:r>
    </w:p>
    <w:p w:rsidR="00160B0E" w:rsidRPr="00587BCC" w:rsidRDefault="002B0AB5" w:rsidP="00160B0E">
      <w:pPr>
        <w:pStyle w:val="ChartGraphic0"/>
        <w:spacing w:after="240"/>
        <w:jc w:val="left"/>
        <w:rPr>
          <w:rFonts w:asciiTheme="minorHAnsi" w:hAnsiTheme="minorHAnsi"/>
        </w:rPr>
      </w:pPr>
      <w:r>
        <w:rPr>
          <w:rFonts w:asciiTheme="minorHAnsi" w:hAnsiTheme="minorHAnsi"/>
        </w:rPr>
        <w:pict>
          <v:shape id="_x0000_i1031" type="#_x0000_t75" style="width:225pt;height:226.5pt">
            <v:imagedata r:id="rId30" o:title=""/>
          </v:shape>
        </w:pict>
      </w:r>
      <w:r w:rsidR="00160B0E" w:rsidRPr="00587BCC">
        <w:rPr>
          <w:rFonts w:asciiTheme="minorHAnsi" w:hAnsiTheme="minorHAnsi"/>
          <w:color w:val="auto"/>
          <w:kern w:val="2"/>
          <w:sz w:val="16"/>
        </w:rPr>
        <w:t>Source:  Treasury.</w:t>
      </w:r>
    </w:p>
    <w:p w:rsidR="008D5C20" w:rsidRPr="00587BCC" w:rsidRDefault="00F66A92" w:rsidP="000765B4">
      <w:pPr>
        <w:pStyle w:val="Bullet"/>
        <w:numPr>
          <w:ilvl w:val="0"/>
          <w:numId w:val="0"/>
        </w:numPr>
        <w:rPr>
          <w:rFonts w:asciiTheme="minorHAnsi" w:hAnsiTheme="minorHAnsi"/>
        </w:rPr>
      </w:pPr>
      <w:r w:rsidRPr="00F33530">
        <w:rPr>
          <w:rFonts w:asciiTheme="minorHAnsi" w:hAnsiTheme="minorHAnsi"/>
          <w:szCs w:val="20"/>
        </w:rPr>
        <w:t>The forecast decline in resources investment is more pronounced than expected at PEFO. Further cost cutting programs within the industry have led to lower forecast growth in machinery and equipment investment. A number of future coal and smaller iron ore projects have also been removed from the list of likely projects following company announcements and Treasury liaison</w:t>
      </w:r>
      <w:r w:rsidR="008D5C20" w:rsidRPr="00587BCC">
        <w:rPr>
          <w:rFonts w:asciiTheme="minorHAnsi" w:hAnsiTheme="minorHAnsi"/>
        </w:rPr>
        <w:t>.</w:t>
      </w:r>
    </w:p>
    <w:p w:rsidR="008D5C20" w:rsidRPr="00755AF7" w:rsidRDefault="008D5C20" w:rsidP="008D5C20">
      <w:pPr>
        <w:pStyle w:val="Bullet"/>
        <w:numPr>
          <w:ilvl w:val="0"/>
          <w:numId w:val="0"/>
        </w:numPr>
        <w:rPr>
          <w:rFonts w:asciiTheme="minorHAnsi" w:hAnsiTheme="minorHAnsi"/>
          <w:b/>
          <w:color w:val="0000FF"/>
          <w:sz w:val="24"/>
        </w:rPr>
      </w:pPr>
      <w:r w:rsidRPr="00755AF7">
        <w:rPr>
          <w:rFonts w:asciiTheme="minorHAnsi" w:hAnsiTheme="minorHAnsi"/>
          <w:b/>
          <w:color w:val="0000FF"/>
          <w:sz w:val="24"/>
        </w:rPr>
        <w:t>…as the transition to stronger resource exports continues…</w:t>
      </w:r>
    </w:p>
    <w:p w:rsidR="00F66A92" w:rsidRPr="00F33530" w:rsidRDefault="00F66A92" w:rsidP="00F66A92">
      <w:pPr>
        <w:pStyle w:val="Bullet"/>
        <w:numPr>
          <w:ilvl w:val="0"/>
          <w:numId w:val="0"/>
        </w:numPr>
        <w:rPr>
          <w:rFonts w:asciiTheme="minorHAnsi" w:eastAsiaTheme="minorEastAsia" w:hAnsiTheme="minorHAnsi"/>
          <w:kern w:val="2"/>
          <w:szCs w:val="20"/>
          <w:lang w:eastAsia="ja-JP"/>
        </w:rPr>
      </w:pPr>
      <w:r w:rsidRPr="00F33530">
        <w:rPr>
          <w:rFonts w:asciiTheme="minorHAnsi" w:eastAsiaTheme="minorEastAsia" w:hAnsiTheme="minorHAnsi"/>
          <w:kern w:val="2"/>
          <w:szCs w:val="20"/>
          <w:lang w:eastAsia="ja-JP"/>
        </w:rPr>
        <w:t>Resources exports have been making an increasingly strong contribution to real GDP growth as resources projects have progressively moved to their production and export phase (Chart 6). In the near term, export growth will continue to be underpinned by rapidly expanding iron ore exports, with LNG exports making a more significant contribution from around the middle of the decade.</w:t>
      </w:r>
    </w:p>
    <w:p w:rsidR="00DA5CD2" w:rsidRPr="00587BCC" w:rsidRDefault="00F66A92" w:rsidP="00F66A92">
      <w:pPr>
        <w:pStyle w:val="Bullet"/>
        <w:numPr>
          <w:ilvl w:val="0"/>
          <w:numId w:val="0"/>
        </w:numPr>
        <w:rPr>
          <w:rFonts w:asciiTheme="minorHAnsi" w:eastAsiaTheme="minorEastAsia" w:hAnsiTheme="minorHAnsi"/>
          <w:kern w:val="2"/>
          <w:szCs w:val="20"/>
          <w:lang w:eastAsia="ja-JP"/>
        </w:rPr>
      </w:pPr>
      <w:r w:rsidRPr="00F33530">
        <w:rPr>
          <w:rFonts w:asciiTheme="minorHAnsi" w:eastAsiaTheme="minorEastAsia" w:hAnsiTheme="minorHAnsi"/>
          <w:kern w:val="2"/>
          <w:szCs w:val="20"/>
          <w:lang w:eastAsia="ja-JP"/>
        </w:rPr>
        <w:t>However, resources exports have been revised lower since PEFO with lower production guidance from coal producers and a weaker outlook for non-bulk resources exports more than offsetting higher iron ore volumes. The downgrade to non-bulk resources exports reflects the latest Bureau of Resources and Energy Economics forecasts, which significantly lower expected exports of gold, oil and metal ores in 2013-14. In addition, LNG export volumes have been revised down in 2014-15 reflecting ongoing uncertainty around the pace with which new projects will reach production</w:t>
      </w:r>
      <w:r w:rsidR="00AB0063" w:rsidRPr="00587BCC">
        <w:rPr>
          <w:rFonts w:asciiTheme="minorHAnsi" w:eastAsiaTheme="minorEastAsia" w:hAnsiTheme="minorHAnsi"/>
          <w:kern w:val="2"/>
          <w:szCs w:val="20"/>
          <w:lang w:eastAsia="ja-JP"/>
        </w:rPr>
        <w:t>.</w:t>
      </w:r>
    </w:p>
    <w:p w:rsidR="00000421" w:rsidRPr="00587BCC" w:rsidRDefault="00AB0063" w:rsidP="00000421">
      <w:pPr>
        <w:pStyle w:val="Bullet"/>
        <w:numPr>
          <w:ilvl w:val="0"/>
          <w:numId w:val="0"/>
        </w:numPr>
        <w:rPr>
          <w:rFonts w:asciiTheme="minorHAnsi" w:eastAsiaTheme="minorEastAsia" w:hAnsiTheme="minorHAnsi"/>
          <w:kern w:val="2"/>
          <w:szCs w:val="20"/>
          <w:lang w:eastAsia="ja-JP"/>
        </w:rPr>
      </w:pPr>
      <w:r w:rsidRPr="00587BCC">
        <w:rPr>
          <w:rFonts w:asciiTheme="minorHAnsi" w:eastAsiaTheme="minorEastAsia" w:hAnsiTheme="minorHAnsi"/>
          <w:kern w:val="2"/>
          <w:szCs w:val="20"/>
          <w:lang w:eastAsia="ja-JP"/>
        </w:rPr>
        <w:lastRenderedPageBreak/>
        <w:t>Despite this, t</w:t>
      </w:r>
      <w:r w:rsidR="00DA5CD2" w:rsidRPr="00587BCC">
        <w:rPr>
          <w:rFonts w:asciiTheme="minorHAnsi" w:eastAsiaTheme="minorEastAsia" w:hAnsiTheme="minorHAnsi"/>
          <w:kern w:val="2"/>
          <w:szCs w:val="20"/>
          <w:lang w:eastAsia="ja-JP"/>
        </w:rPr>
        <w:t>otal exports</w:t>
      </w:r>
      <w:r w:rsidRPr="00587BCC">
        <w:rPr>
          <w:rFonts w:asciiTheme="minorHAnsi" w:eastAsiaTheme="minorEastAsia" w:hAnsiTheme="minorHAnsi"/>
          <w:kern w:val="2"/>
          <w:szCs w:val="20"/>
          <w:lang w:eastAsia="ja-JP"/>
        </w:rPr>
        <w:t xml:space="preserve"> will</w:t>
      </w:r>
      <w:r w:rsidR="00DA5CD2" w:rsidRPr="00587BCC">
        <w:rPr>
          <w:rFonts w:asciiTheme="minorHAnsi" w:eastAsiaTheme="minorEastAsia" w:hAnsiTheme="minorHAnsi"/>
          <w:kern w:val="2"/>
          <w:szCs w:val="20"/>
          <w:lang w:eastAsia="ja-JP"/>
        </w:rPr>
        <w:t xml:space="preserve"> account for over </w:t>
      </w:r>
      <w:r w:rsidR="003467D3" w:rsidRPr="00587BCC">
        <w:rPr>
          <w:rFonts w:asciiTheme="minorHAnsi" w:eastAsiaTheme="minorEastAsia" w:hAnsiTheme="minorHAnsi"/>
          <w:kern w:val="2"/>
          <w:szCs w:val="20"/>
          <w:lang w:eastAsia="ja-JP"/>
        </w:rPr>
        <w:t xml:space="preserve">a </w:t>
      </w:r>
      <w:r w:rsidR="00DA5CD2" w:rsidRPr="00587BCC">
        <w:rPr>
          <w:rFonts w:asciiTheme="minorHAnsi" w:eastAsiaTheme="minorEastAsia" w:hAnsiTheme="minorHAnsi"/>
          <w:kern w:val="2"/>
          <w:szCs w:val="20"/>
          <w:lang w:eastAsia="ja-JP"/>
        </w:rPr>
        <w:t>half of real GDP growth in 2013-14 and</w:t>
      </w:r>
      <w:r w:rsidR="00B05208">
        <w:rPr>
          <w:rFonts w:asciiTheme="minorHAnsi" w:eastAsiaTheme="minorEastAsia" w:hAnsiTheme="minorHAnsi"/>
          <w:kern w:val="2"/>
          <w:szCs w:val="20"/>
          <w:lang w:eastAsia="ja-JP"/>
        </w:rPr>
        <w:t xml:space="preserve"> </w:t>
      </w:r>
      <w:r w:rsidR="00DA5CD2" w:rsidRPr="00587BCC">
        <w:rPr>
          <w:rFonts w:asciiTheme="minorHAnsi" w:eastAsiaTheme="minorEastAsia" w:hAnsiTheme="minorHAnsi"/>
          <w:kern w:val="2"/>
          <w:szCs w:val="20"/>
          <w:lang w:eastAsia="ja-JP"/>
        </w:rPr>
        <w:t xml:space="preserve">2014-15. </w:t>
      </w:r>
    </w:p>
    <w:p w:rsidR="008D5C20" w:rsidRPr="00587BCC" w:rsidRDefault="008D5C20" w:rsidP="008D5C20">
      <w:pPr>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6</w:t>
      </w:r>
      <w:r w:rsidRPr="00587BCC">
        <w:rPr>
          <w:rFonts w:asciiTheme="minorHAnsi" w:hAnsiTheme="minorHAnsi"/>
          <w:b/>
        </w:rPr>
        <w:t xml:space="preserve">: Resources exports </w:t>
      </w:r>
    </w:p>
    <w:p w:rsidR="00F85FE0" w:rsidRDefault="002B0AB5" w:rsidP="00F85FE0">
      <w:pPr>
        <w:pStyle w:val="TableGraphic0"/>
        <w:rPr>
          <w:rFonts w:asciiTheme="minorHAnsi" w:hAnsiTheme="minorHAnsi"/>
          <w:sz w:val="16"/>
          <w:szCs w:val="16"/>
        </w:rPr>
      </w:pPr>
      <w:r>
        <w:rPr>
          <w:noProof/>
        </w:rPr>
        <w:pict>
          <v:shape id="_x0000_s1083" type="#_x0000_t75" style="position:absolute;left:0;text-align:left;margin-left:.3pt;margin-top:0;width:225pt;height:226.4pt;z-index:251664384;mso-position-horizontal:absolute;mso-position-horizontal-relative:text;mso-position-vertical:absolute;mso-position-vertical-relative:text" wrapcoords="2664 501 360 787 360 1430 1944 1645 1944 3934 360 4434 360 5007 1944 5078 1944 7367 576 8011 288 8225 432 8511 1872 9656 1944 10800 720 11515 288 11873 288 12159 1656 13089 1944 13089 1944 14233 288 15377 288 15735 1440 16522 1944 16522 1944 18811 72 18954 72 19383 2592 19955 2376 20313 2448 20670 2808 21099 2736 21171 18504 21171 18648 21099 19152 20170 19080 19955 21384 19526 21456 18882 19656 18811 19656 16522 20160 16522 21312 15735 21240 15377 19656 14233 19656 13089 19944 13089 21168 12159 21312 11873 21096 11658 19656 10800 19728 9656 21240 8511 21384 8297 21024 8011 19656 7367 19656 5078 21168 5007 21168 4363 19656 3934 19656 1645 21240 1359 21168 858 18648 501 2664 501">
            <v:imagedata r:id="rId31" o:title=""/>
            <w10:wrap type="tight"/>
          </v:shape>
        </w:pict>
      </w:r>
      <w:r w:rsidR="008D5C20" w:rsidRPr="00F85FE0">
        <w:rPr>
          <w:rFonts w:asciiTheme="minorHAnsi" w:hAnsiTheme="minorHAnsi"/>
          <w:sz w:val="16"/>
          <w:szCs w:val="16"/>
        </w:rPr>
        <w:t>Source:  ABS cat. no. 8731.0  and Treasury.</w:t>
      </w:r>
    </w:p>
    <w:p w:rsidR="00F85FE0" w:rsidRPr="00F85FE0" w:rsidRDefault="00F85FE0" w:rsidP="00F85FE0">
      <w:pPr>
        <w:pStyle w:val="TableGraphic0"/>
        <w:rPr>
          <w:rFonts w:asciiTheme="minorHAnsi" w:hAnsiTheme="minorHAnsi"/>
          <w:sz w:val="16"/>
          <w:szCs w:val="16"/>
        </w:rPr>
      </w:pPr>
    </w:p>
    <w:p w:rsidR="00000421" w:rsidRPr="00587BCC" w:rsidRDefault="00000421" w:rsidP="00000421">
      <w:pPr>
        <w:pStyle w:val="Bullet"/>
        <w:numPr>
          <w:ilvl w:val="0"/>
          <w:numId w:val="0"/>
        </w:numPr>
        <w:spacing w:line="240" w:lineRule="auto"/>
        <w:rPr>
          <w:rFonts w:asciiTheme="minorHAnsi" w:hAnsiTheme="minorHAnsi"/>
          <w:b/>
          <w:color w:val="003399"/>
          <w:sz w:val="24"/>
        </w:rPr>
      </w:pPr>
      <w:r w:rsidRPr="00755AF7">
        <w:rPr>
          <w:rFonts w:asciiTheme="minorHAnsi" w:hAnsiTheme="minorHAnsi"/>
          <w:b/>
          <w:color w:val="0000FF"/>
          <w:sz w:val="24"/>
        </w:rPr>
        <w:t>…with lower imports mitigating the impact of falling resources investment…</w:t>
      </w:r>
    </w:p>
    <w:p w:rsidR="00000421" w:rsidRPr="00587BCC" w:rsidRDefault="00F66A92" w:rsidP="00000421">
      <w:pPr>
        <w:pStyle w:val="Bullet"/>
        <w:numPr>
          <w:ilvl w:val="0"/>
          <w:numId w:val="0"/>
        </w:numPr>
        <w:spacing w:line="240" w:lineRule="auto"/>
        <w:rPr>
          <w:rFonts w:asciiTheme="minorHAnsi" w:eastAsiaTheme="minorEastAsia" w:hAnsiTheme="minorHAnsi"/>
          <w:kern w:val="2"/>
          <w:szCs w:val="20"/>
          <w:lang w:eastAsia="ja-JP"/>
        </w:rPr>
      </w:pPr>
      <w:r w:rsidRPr="00F33530">
        <w:rPr>
          <w:rFonts w:asciiTheme="minorHAnsi" w:eastAsiaTheme="minorEastAsia" w:hAnsiTheme="minorHAnsi"/>
          <w:kern w:val="2"/>
          <w:szCs w:val="20"/>
          <w:lang w:eastAsia="ja-JP"/>
        </w:rPr>
        <w:t>Capital imports are an important input to resources investment, particularly for LNG projects which dominate the investment pipeline. Consistent with this, forecast import growth is quite moderate, and has been downgraded since PEFO in line with lower resources investment, and more modest domestic demand. Imports are expected to grow 3 per cent in 2013-14 and 2 per cent in 2014-15</w:t>
      </w:r>
      <w:r w:rsidR="00000421" w:rsidRPr="00587BCC">
        <w:rPr>
          <w:rFonts w:asciiTheme="minorHAnsi" w:eastAsiaTheme="minorEastAsia" w:hAnsiTheme="minorHAnsi"/>
          <w:kern w:val="2"/>
          <w:szCs w:val="20"/>
          <w:lang w:eastAsia="ja-JP"/>
        </w:rPr>
        <w:t>.</w:t>
      </w:r>
    </w:p>
    <w:p w:rsidR="004E1073" w:rsidRPr="00755AF7" w:rsidRDefault="00000421" w:rsidP="00181FB1">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…giving rise to a decline in the net contribution from the resources sector.</w:t>
      </w:r>
    </w:p>
    <w:p w:rsidR="00F66A92" w:rsidRPr="00F33530" w:rsidRDefault="00F66A92" w:rsidP="00F66A92">
      <w:pPr>
        <w:pStyle w:val="Bullet"/>
        <w:numPr>
          <w:ilvl w:val="0"/>
          <w:numId w:val="0"/>
        </w:numPr>
        <w:spacing w:line="240" w:lineRule="auto"/>
        <w:rPr>
          <w:rFonts w:asciiTheme="minorHAnsi" w:eastAsiaTheme="minorEastAsia" w:hAnsiTheme="minorHAnsi"/>
          <w:kern w:val="2"/>
          <w:szCs w:val="20"/>
          <w:lang w:eastAsia="ja-JP"/>
        </w:rPr>
      </w:pPr>
      <w:r w:rsidRPr="00F33530">
        <w:rPr>
          <w:rFonts w:asciiTheme="minorHAnsi" w:eastAsiaTheme="minorEastAsia" w:hAnsiTheme="minorHAnsi"/>
          <w:kern w:val="2"/>
          <w:szCs w:val="20"/>
          <w:lang w:eastAsia="ja-JP"/>
        </w:rPr>
        <w:t xml:space="preserve">The rise in exports is expected to only partly fill the gap created by the fall in resources investment net of imports. To estimate the net contribution to growth from the resources sector, it is necessary to take into account resources-related activity, which includes the vast array of services that support the resources industry in both its investment (such as construction services) and export (such as transport) phase. </w:t>
      </w:r>
    </w:p>
    <w:p w:rsidR="004E1073" w:rsidRPr="00587BCC" w:rsidRDefault="00F66A92" w:rsidP="00F66A92">
      <w:pPr>
        <w:pStyle w:val="Bullet"/>
        <w:numPr>
          <w:ilvl w:val="0"/>
          <w:numId w:val="0"/>
        </w:numPr>
        <w:spacing w:line="240" w:lineRule="auto"/>
        <w:rPr>
          <w:rFonts w:asciiTheme="minorHAnsi" w:eastAsiaTheme="minorEastAsia" w:hAnsiTheme="minorHAnsi"/>
          <w:kern w:val="2"/>
          <w:szCs w:val="20"/>
          <w:lang w:eastAsia="ja-JP"/>
        </w:rPr>
      </w:pPr>
      <w:r w:rsidRPr="00F33530">
        <w:rPr>
          <w:rFonts w:asciiTheme="minorHAnsi" w:eastAsiaTheme="minorEastAsia" w:hAnsiTheme="minorHAnsi"/>
          <w:kern w:val="2"/>
          <w:szCs w:val="20"/>
          <w:lang w:eastAsia="ja-JP"/>
        </w:rPr>
        <w:t xml:space="preserve">This analysis indicates that in order to achieve real GDP growth of 2¾ per cent in 2014-15, the </w:t>
      </w:r>
      <w:r w:rsidRPr="00F33530">
        <w:rPr>
          <w:rFonts w:asciiTheme="minorHAnsi" w:eastAsiaTheme="minorEastAsia" w:hAnsiTheme="minorHAnsi"/>
          <w:kern w:val="2"/>
          <w:szCs w:val="20"/>
          <w:lang w:eastAsia="ja-JP"/>
        </w:rPr>
        <w:br/>
        <w:t>non-resources sector will need to grow at its fastest rate since before the global financial crisis (Chart 7). Similarly strong growth will be needed immediately beyond the forecast period to deliver projected real GDP growth of 3 per cent in 2015-16 and 2016-17</w:t>
      </w:r>
      <w:r>
        <w:rPr>
          <w:rFonts w:asciiTheme="minorHAnsi" w:eastAsiaTheme="minorEastAsia" w:hAnsiTheme="minorHAnsi"/>
          <w:kern w:val="2"/>
          <w:szCs w:val="20"/>
          <w:lang w:eastAsia="ja-JP"/>
        </w:rPr>
        <w:t>.</w:t>
      </w:r>
    </w:p>
    <w:p w:rsidR="00313598" w:rsidRPr="00587BCC" w:rsidRDefault="00313598" w:rsidP="00313598">
      <w:pPr>
        <w:keepNext/>
        <w:autoSpaceDE w:val="0"/>
        <w:autoSpaceDN w:val="0"/>
        <w:spacing w:after="0"/>
        <w:jc w:val="center"/>
        <w:rPr>
          <w:rFonts w:asciiTheme="minorHAnsi" w:hAnsiTheme="minorHAnsi"/>
          <w:b/>
          <w:szCs w:val="20"/>
        </w:rPr>
      </w:pPr>
      <w:r w:rsidRPr="00587BCC">
        <w:rPr>
          <w:rFonts w:asciiTheme="minorHAnsi" w:hAnsiTheme="minorHAnsi"/>
          <w:b/>
          <w:szCs w:val="20"/>
        </w:rPr>
        <w:lastRenderedPageBreak/>
        <w:t xml:space="preserve">Chart </w:t>
      </w:r>
      <w:r w:rsidR="00D868E2" w:rsidRPr="00587BCC">
        <w:rPr>
          <w:rFonts w:asciiTheme="minorHAnsi" w:hAnsiTheme="minorHAnsi"/>
          <w:b/>
          <w:szCs w:val="20"/>
        </w:rPr>
        <w:t>7</w:t>
      </w:r>
      <w:r w:rsidRPr="00587BCC">
        <w:rPr>
          <w:rFonts w:asciiTheme="minorHAnsi" w:hAnsiTheme="minorHAnsi"/>
          <w:b/>
          <w:szCs w:val="20"/>
        </w:rPr>
        <w:t>: Composition of real GDP growth</w:t>
      </w:r>
    </w:p>
    <w:p w:rsidR="00313598" w:rsidRPr="00587BCC" w:rsidRDefault="002B0AB5" w:rsidP="00313598">
      <w:pPr>
        <w:spacing w:line="240" w:lineRule="auto"/>
        <w:jc w:val="left"/>
        <w:rPr>
          <w:rFonts w:asciiTheme="minorHAnsi" w:hAnsiTheme="minorHAnsi"/>
          <w:sz w:val="16"/>
          <w:szCs w:val="16"/>
        </w:rPr>
      </w:pPr>
      <w:r>
        <w:rPr>
          <w:rFonts w:asciiTheme="minorHAnsi" w:hAnsiTheme="minorHAnsi"/>
          <w:sz w:val="16"/>
          <w:szCs w:val="16"/>
        </w:rPr>
        <w:pict>
          <v:shape id="_x0000_i1032" type="#_x0000_t75" style="width:226.5pt;height:225pt">
            <v:imagedata r:id="rId32" o:title=""/>
          </v:shape>
        </w:pict>
      </w:r>
      <w:r w:rsidR="00313598" w:rsidRPr="00587BCC">
        <w:rPr>
          <w:rFonts w:asciiTheme="minorHAnsi" w:hAnsiTheme="minorHAnsi"/>
          <w:sz w:val="16"/>
          <w:szCs w:val="16"/>
        </w:rPr>
        <w:t xml:space="preserve">Source: ABS cat. no. </w:t>
      </w:r>
      <w:r w:rsidR="00690DD3" w:rsidRPr="00587BCC">
        <w:rPr>
          <w:rFonts w:asciiTheme="minorHAnsi" w:hAnsiTheme="minorHAnsi"/>
          <w:sz w:val="16"/>
          <w:szCs w:val="16"/>
        </w:rPr>
        <w:t xml:space="preserve">5204.0, </w:t>
      </w:r>
      <w:r w:rsidR="00313598" w:rsidRPr="00587BCC">
        <w:rPr>
          <w:rFonts w:asciiTheme="minorHAnsi" w:hAnsiTheme="minorHAnsi"/>
          <w:sz w:val="16"/>
          <w:szCs w:val="16"/>
        </w:rPr>
        <w:t>5206.0</w:t>
      </w:r>
      <w:r w:rsidR="00690DD3" w:rsidRPr="00587BCC">
        <w:rPr>
          <w:rFonts w:asciiTheme="minorHAnsi" w:hAnsiTheme="minorHAnsi"/>
          <w:sz w:val="16"/>
          <w:szCs w:val="16"/>
        </w:rPr>
        <w:t>, 5209.0.55.001</w:t>
      </w:r>
      <w:r w:rsidR="00313598" w:rsidRPr="00587BCC">
        <w:rPr>
          <w:rFonts w:asciiTheme="minorHAnsi" w:hAnsiTheme="minorHAnsi"/>
          <w:sz w:val="16"/>
          <w:szCs w:val="16"/>
        </w:rPr>
        <w:t xml:space="preserve"> and Treasury.</w:t>
      </w:r>
    </w:p>
    <w:p w:rsidR="00313598" w:rsidRPr="00755AF7" w:rsidRDefault="00313598" w:rsidP="00313598">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The path of household consumption will be key to how the transition unfolds…</w:t>
      </w:r>
    </w:p>
    <w:p w:rsidR="00F66A92" w:rsidRPr="00F33530" w:rsidRDefault="00F66A92" w:rsidP="00F66A92">
      <w:pPr>
        <w:pStyle w:val="Bullet"/>
        <w:numPr>
          <w:ilvl w:val="0"/>
          <w:numId w:val="0"/>
        </w:numPr>
        <w:rPr>
          <w:rFonts w:asciiTheme="minorHAnsi" w:hAnsiTheme="minorHAnsi"/>
          <w:szCs w:val="20"/>
        </w:rPr>
      </w:pPr>
      <w:r w:rsidRPr="00F33530">
        <w:rPr>
          <w:rFonts w:asciiTheme="minorHAnsi" w:hAnsiTheme="minorHAnsi"/>
          <w:szCs w:val="20"/>
        </w:rPr>
        <w:t>While rising house prices and equity markets have boosted household wealth, slowing wage growth and concerns around rising unemployment are restraining consumer spending. The recent improvement in consumer sentiment is encouraging, although it is not yet clear whether this will translate into higher spending.</w:t>
      </w:r>
    </w:p>
    <w:p w:rsidR="00F66A92" w:rsidRPr="00F33530" w:rsidRDefault="00F66A92" w:rsidP="00F66A92">
      <w:pPr>
        <w:pStyle w:val="Bullet"/>
        <w:numPr>
          <w:ilvl w:val="0"/>
          <w:numId w:val="0"/>
        </w:numPr>
        <w:rPr>
          <w:rFonts w:asciiTheme="minorHAnsi" w:hAnsiTheme="minorHAnsi"/>
          <w:szCs w:val="20"/>
        </w:rPr>
      </w:pPr>
      <w:r w:rsidRPr="00F33530">
        <w:rPr>
          <w:rFonts w:asciiTheme="minorHAnsi" w:hAnsiTheme="minorHAnsi"/>
          <w:szCs w:val="20"/>
        </w:rPr>
        <w:t>Forecast consumption growth in 2013</w:t>
      </w:r>
      <w:r w:rsidRPr="00F33530">
        <w:rPr>
          <w:rFonts w:asciiTheme="minorHAnsi" w:hAnsiTheme="minorHAnsi"/>
          <w:szCs w:val="20"/>
        </w:rPr>
        <w:noBreakHyphen/>
        <w:t>14 has been revised down since PEFO, reflecting subdued spending in the middle of the year and weaker forecast income growth. The forecast for 2014-15 is unchanged, although should households choose to remain cautious and maintain elevated rates of savings, consumption growth might not pick up as strongly as forecast (Cha</w:t>
      </w:r>
      <w:r w:rsidR="00CA6BDE">
        <w:rPr>
          <w:rFonts w:asciiTheme="minorHAnsi" w:hAnsiTheme="minorHAnsi"/>
          <w:szCs w:val="20"/>
        </w:rPr>
        <w:t>rt </w:t>
      </w:r>
      <w:r w:rsidRPr="00F33530">
        <w:rPr>
          <w:rFonts w:asciiTheme="minorHAnsi" w:hAnsiTheme="minorHAnsi"/>
          <w:szCs w:val="20"/>
        </w:rPr>
        <w:t>8).</w:t>
      </w:r>
    </w:p>
    <w:p w:rsidR="00DA5CD2" w:rsidRPr="00587BCC" w:rsidRDefault="00F66A92" w:rsidP="00F66A92">
      <w:pPr>
        <w:pStyle w:val="Bullet"/>
        <w:numPr>
          <w:ilvl w:val="0"/>
          <w:numId w:val="0"/>
        </w:numPr>
        <w:rPr>
          <w:rFonts w:asciiTheme="minorHAnsi" w:hAnsiTheme="minorHAnsi"/>
        </w:rPr>
      </w:pPr>
      <w:r w:rsidRPr="00F33530">
        <w:rPr>
          <w:rFonts w:asciiTheme="minorHAnsi" w:hAnsiTheme="minorHAnsi"/>
          <w:szCs w:val="20"/>
        </w:rPr>
        <w:t>Household consumptio</w:t>
      </w:r>
      <w:r w:rsidR="00CA6BDE">
        <w:rPr>
          <w:rFonts w:asciiTheme="minorHAnsi" w:hAnsiTheme="minorHAnsi"/>
          <w:szCs w:val="20"/>
        </w:rPr>
        <w:t>n is forecast to grow by 2¼ per </w:t>
      </w:r>
      <w:r w:rsidRPr="00F33530">
        <w:rPr>
          <w:rFonts w:asciiTheme="minorHAnsi" w:hAnsiTheme="minorHAnsi"/>
          <w:szCs w:val="20"/>
        </w:rPr>
        <w:t>cent in 2013-14 and 3 per cent in 2014-15.</w:t>
      </w:r>
      <w:r w:rsidR="00DA5CD2" w:rsidRPr="00587BCC">
        <w:rPr>
          <w:rFonts w:asciiTheme="minorHAnsi" w:hAnsiTheme="minorHAnsi"/>
        </w:rPr>
        <w:t xml:space="preserve"> </w:t>
      </w:r>
    </w:p>
    <w:p w:rsidR="00313598" w:rsidRPr="00587BCC" w:rsidRDefault="00313598" w:rsidP="00313598">
      <w:pPr>
        <w:keepNext/>
        <w:autoSpaceDE w:val="0"/>
        <w:autoSpaceDN w:val="0"/>
        <w:spacing w:after="0"/>
        <w:jc w:val="center"/>
        <w:rPr>
          <w:rFonts w:asciiTheme="minorHAnsi" w:hAnsiTheme="minorHAnsi"/>
          <w:b/>
          <w:szCs w:val="20"/>
        </w:rPr>
      </w:pPr>
      <w:r w:rsidRPr="00587BCC">
        <w:rPr>
          <w:rFonts w:asciiTheme="minorHAnsi" w:hAnsiTheme="minorHAnsi"/>
          <w:b/>
          <w:szCs w:val="20"/>
        </w:rPr>
        <w:lastRenderedPageBreak/>
        <w:t xml:space="preserve">Chart </w:t>
      </w:r>
      <w:r w:rsidR="005C1738" w:rsidRPr="00587BCC">
        <w:rPr>
          <w:rFonts w:asciiTheme="minorHAnsi" w:hAnsiTheme="minorHAnsi"/>
          <w:b/>
          <w:szCs w:val="20"/>
        </w:rPr>
        <w:t>8</w:t>
      </w:r>
      <w:r w:rsidRPr="00587BCC">
        <w:rPr>
          <w:rFonts w:asciiTheme="minorHAnsi" w:hAnsiTheme="minorHAnsi"/>
          <w:b/>
          <w:szCs w:val="20"/>
        </w:rPr>
        <w:t>: Household saving rate</w:t>
      </w:r>
    </w:p>
    <w:p w:rsidR="00313598" w:rsidRPr="00587BCC" w:rsidRDefault="002B0AB5" w:rsidP="00313598">
      <w:pPr>
        <w:pStyle w:val="ChartGraphic0"/>
        <w:spacing w:after="240"/>
        <w:jc w:val="left"/>
        <w:rPr>
          <w:rFonts w:asciiTheme="minorHAnsi" w:hAnsiTheme="minorHAnsi" w:cs="Tahoma"/>
          <w:sz w:val="16"/>
          <w:szCs w:val="16"/>
        </w:rPr>
      </w:pPr>
      <w:r>
        <w:rPr>
          <w:rFonts w:asciiTheme="minorHAnsi" w:hAnsiTheme="minorHAnsi"/>
          <w:color w:val="auto"/>
          <w:kern w:val="2"/>
          <w:sz w:val="16"/>
        </w:rPr>
        <w:pict>
          <v:shape id="_x0000_i1033" type="#_x0000_t75" style="width:225pt;height:225pt">
            <v:imagedata r:id="rId33" o:title=""/>
          </v:shape>
        </w:pict>
      </w:r>
      <w:r w:rsidR="00313598" w:rsidRPr="00587BCC">
        <w:rPr>
          <w:rFonts w:asciiTheme="minorHAnsi" w:hAnsiTheme="minorHAnsi"/>
          <w:color w:val="auto"/>
          <w:kern w:val="2"/>
          <w:sz w:val="16"/>
        </w:rPr>
        <w:t>Source:  ABS cat. no. 5206.0.</w:t>
      </w:r>
    </w:p>
    <w:p w:rsidR="00313598" w:rsidRPr="00755AF7" w:rsidRDefault="00313598" w:rsidP="00313598">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…with the recovery in dwelling investment expected to be modest…</w:t>
      </w:r>
    </w:p>
    <w:p w:rsidR="00F66A92" w:rsidRPr="00F33530" w:rsidRDefault="00F66A92" w:rsidP="00F66A92">
      <w:pPr>
        <w:pStyle w:val="Bullet"/>
        <w:numPr>
          <w:ilvl w:val="0"/>
          <w:numId w:val="0"/>
        </w:numPr>
        <w:rPr>
          <w:rFonts w:asciiTheme="minorHAnsi" w:hAnsiTheme="minorHAnsi"/>
          <w:szCs w:val="20"/>
        </w:rPr>
      </w:pPr>
      <w:r w:rsidRPr="00F33530">
        <w:rPr>
          <w:rFonts w:asciiTheme="minorHAnsi" w:hAnsiTheme="minorHAnsi"/>
          <w:szCs w:val="20"/>
        </w:rPr>
        <w:t xml:space="preserve">To date, the clearest sign of transition to </w:t>
      </w:r>
      <w:r w:rsidRPr="00F33530">
        <w:rPr>
          <w:rFonts w:asciiTheme="minorHAnsi" w:hAnsiTheme="minorHAnsi"/>
          <w:szCs w:val="20"/>
        </w:rPr>
        <w:br/>
        <w:t xml:space="preserve">non-resources based growth drivers has been in the housing market, particularly for established homes. Established house prices, auction clearance rates and housing finance have all grown strongly over recent months. Activity in the new housing construction market has been more moderate but has been trending up and key fundamentals, such as population growth and interest rates, remain supportive. </w:t>
      </w:r>
    </w:p>
    <w:p w:rsidR="00313598" w:rsidRPr="00587BCC" w:rsidRDefault="00F66A92" w:rsidP="00F66A92">
      <w:pPr>
        <w:pStyle w:val="Bullet"/>
        <w:numPr>
          <w:ilvl w:val="0"/>
          <w:numId w:val="0"/>
        </w:numPr>
        <w:spacing w:after="1800"/>
        <w:rPr>
          <w:rFonts w:asciiTheme="minorHAnsi" w:hAnsiTheme="minorHAnsi"/>
        </w:rPr>
      </w:pPr>
      <w:r w:rsidRPr="00F33530">
        <w:rPr>
          <w:rFonts w:asciiTheme="minorHAnsi" w:hAnsiTheme="minorHAnsi"/>
          <w:szCs w:val="20"/>
        </w:rPr>
        <w:t>While some concerns have been raised around the pace of house price increases, at this stage the nationwide movements do not appear out of line with expected responses to sustained low interest rates. House prices are still below their previous peaks in many locations (Chart 9). Similarly, house prices as a ratio of household income or rents are also below previous peaks, and household credit growth remains restrained. For now, risks to the outlook for house prices remain modest, with developments in the housing market being closely monitored</w:t>
      </w:r>
      <w:r w:rsidR="00313598" w:rsidRPr="00587BCC">
        <w:rPr>
          <w:rFonts w:asciiTheme="minorHAnsi" w:hAnsiTheme="minorHAnsi"/>
        </w:rPr>
        <w:t xml:space="preserve">. </w:t>
      </w:r>
    </w:p>
    <w:p w:rsidR="00755AF7" w:rsidRDefault="00755AF7" w:rsidP="00313598">
      <w:pPr>
        <w:spacing w:after="0"/>
        <w:jc w:val="center"/>
        <w:rPr>
          <w:rFonts w:asciiTheme="minorHAnsi" w:hAnsiTheme="minorHAnsi"/>
          <w:b/>
        </w:rPr>
      </w:pPr>
    </w:p>
    <w:p w:rsidR="00755AF7" w:rsidRDefault="00755AF7" w:rsidP="00313598">
      <w:pPr>
        <w:spacing w:after="0"/>
        <w:jc w:val="center"/>
        <w:rPr>
          <w:rFonts w:asciiTheme="minorHAnsi" w:hAnsiTheme="minorHAnsi"/>
          <w:b/>
        </w:rPr>
      </w:pPr>
    </w:p>
    <w:p w:rsidR="00C641DD" w:rsidRDefault="00C641DD" w:rsidP="00313598">
      <w:pPr>
        <w:spacing w:after="0"/>
        <w:jc w:val="center"/>
        <w:rPr>
          <w:rFonts w:asciiTheme="minorHAnsi" w:hAnsiTheme="minorHAnsi"/>
          <w:b/>
        </w:rPr>
      </w:pPr>
    </w:p>
    <w:p w:rsidR="00313598" w:rsidRPr="00587BCC" w:rsidRDefault="00313598" w:rsidP="00313598">
      <w:pPr>
        <w:spacing w:after="0"/>
        <w:jc w:val="center"/>
        <w:rPr>
          <w:rFonts w:asciiTheme="minorHAnsi" w:hAnsiTheme="minorHAnsi"/>
          <w:b/>
        </w:rPr>
      </w:pPr>
      <w:r w:rsidRPr="00587BCC">
        <w:rPr>
          <w:rFonts w:asciiTheme="minorHAnsi" w:hAnsiTheme="minorHAnsi"/>
          <w:b/>
        </w:rPr>
        <w:lastRenderedPageBreak/>
        <w:t xml:space="preserve">Chart </w:t>
      </w:r>
      <w:r w:rsidR="005C1738" w:rsidRPr="00587BCC">
        <w:rPr>
          <w:rFonts w:asciiTheme="minorHAnsi" w:hAnsiTheme="minorHAnsi"/>
          <w:b/>
        </w:rPr>
        <w:t>9</w:t>
      </w:r>
      <w:r w:rsidRPr="00587BCC">
        <w:rPr>
          <w:rFonts w:asciiTheme="minorHAnsi" w:hAnsiTheme="minorHAnsi"/>
          <w:b/>
        </w:rPr>
        <w:t xml:space="preserve">: House prices </w:t>
      </w:r>
    </w:p>
    <w:p w:rsidR="00313598" w:rsidRPr="00587BCC" w:rsidRDefault="002B0AB5" w:rsidP="00313598">
      <w:pPr>
        <w:pStyle w:val="ChartGraphic0"/>
        <w:spacing w:after="200"/>
        <w:jc w:val="left"/>
        <w:rPr>
          <w:rFonts w:asciiTheme="minorHAnsi" w:hAnsiTheme="minorHAnsi"/>
          <w:color w:val="auto"/>
          <w:kern w:val="2"/>
          <w:sz w:val="16"/>
        </w:rPr>
      </w:pPr>
      <w:r>
        <w:rPr>
          <w:rFonts w:asciiTheme="minorHAnsi" w:hAnsiTheme="minorHAnsi"/>
        </w:rPr>
        <w:pict>
          <v:shape id="_x0000_i1034" type="#_x0000_t75" style="width:226.5pt;height:225pt">
            <v:imagedata r:id="rId34" o:title=""/>
          </v:shape>
        </w:pict>
      </w:r>
      <w:r w:rsidR="00313598" w:rsidRPr="00587BCC">
        <w:rPr>
          <w:rFonts w:asciiTheme="minorHAnsi" w:hAnsiTheme="minorHAnsi"/>
          <w:color w:val="auto"/>
          <w:kern w:val="2"/>
          <w:sz w:val="16"/>
        </w:rPr>
        <w:t xml:space="preserve">Source:  </w:t>
      </w:r>
      <w:r w:rsidR="005C1738" w:rsidRPr="00587BCC">
        <w:rPr>
          <w:rFonts w:asciiTheme="minorHAnsi" w:hAnsiTheme="minorHAnsi"/>
          <w:color w:val="auto"/>
          <w:kern w:val="2"/>
          <w:sz w:val="16"/>
        </w:rPr>
        <w:t>RP-Data Rismark</w:t>
      </w:r>
      <w:r w:rsidR="00313598" w:rsidRPr="00587BCC">
        <w:rPr>
          <w:rFonts w:asciiTheme="minorHAnsi" w:hAnsiTheme="minorHAnsi"/>
          <w:color w:val="auto"/>
          <w:kern w:val="2"/>
          <w:sz w:val="16"/>
        </w:rPr>
        <w:t xml:space="preserve"> and Treasury.</w:t>
      </w:r>
    </w:p>
    <w:p w:rsidR="00313598" w:rsidRPr="00587BCC" w:rsidRDefault="00313598" w:rsidP="00ED5074">
      <w:pPr>
        <w:pStyle w:val="Bullet"/>
        <w:numPr>
          <w:ilvl w:val="0"/>
          <w:numId w:val="0"/>
        </w:numPr>
        <w:spacing w:after="200"/>
        <w:rPr>
          <w:rFonts w:asciiTheme="minorHAnsi" w:hAnsiTheme="minorHAnsi"/>
        </w:rPr>
      </w:pPr>
      <w:r w:rsidRPr="00587BCC">
        <w:rPr>
          <w:rFonts w:asciiTheme="minorHAnsi" w:hAnsiTheme="minorHAnsi"/>
        </w:rPr>
        <w:t xml:space="preserve">Despite the strength in the established housing market, </w:t>
      </w:r>
      <w:r w:rsidR="00ED5074" w:rsidRPr="00587BCC">
        <w:rPr>
          <w:rFonts w:asciiTheme="minorHAnsi" w:hAnsiTheme="minorHAnsi"/>
        </w:rPr>
        <w:t xml:space="preserve">caution by developers and owner-builders continues to restrain </w:t>
      </w:r>
      <w:r w:rsidR="00BF6A01" w:rsidRPr="00587BCC">
        <w:rPr>
          <w:rFonts w:asciiTheme="minorHAnsi" w:hAnsiTheme="minorHAnsi"/>
        </w:rPr>
        <w:t>dwelling</w:t>
      </w:r>
      <w:r w:rsidR="00ED5074" w:rsidRPr="00587BCC">
        <w:rPr>
          <w:rFonts w:asciiTheme="minorHAnsi" w:hAnsiTheme="minorHAnsi"/>
        </w:rPr>
        <w:t xml:space="preserve"> investment. </w:t>
      </w:r>
      <w:r w:rsidRPr="00587BCC">
        <w:rPr>
          <w:rFonts w:asciiTheme="minorHAnsi" w:hAnsiTheme="minorHAnsi"/>
        </w:rPr>
        <w:t xml:space="preserve">Higher house prices could initiate a stronger response in part through encouraging the development of existing land holdings. Building approvals data, while volatile, is trending higher, with </w:t>
      </w:r>
      <w:r w:rsidR="00EA1A2B" w:rsidRPr="00587BCC">
        <w:rPr>
          <w:rFonts w:asciiTheme="minorHAnsi" w:hAnsiTheme="minorHAnsi"/>
        </w:rPr>
        <w:t>private houses growing strongly over recent months</w:t>
      </w:r>
      <w:r w:rsidRPr="00587BCC">
        <w:rPr>
          <w:rFonts w:asciiTheme="minorHAnsi" w:hAnsiTheme="minorHAnsi"/>
        </w:rPr>
        <w:t xml:space="preserve"> (Chart </w:t>
      </w:r>
      <w:r w:rsidR="00D868E2" w:rsidRPr="00587BCC">
        <w:rPr>
          <w:rFonts w:asciiTheme="minorHAnsi" w:hAnsiTheme="minorHAnsi"/>
        </w:rPr>
        <w:t>1</w:t>
      </w:r>
      <w:r w:rsidR="005C1738" w:rsidRPr="00587BCC">
        <w:rPr>
          <w:rFonts w:asciiTheme="minorHAnsi" w:hAnsiTheme="minorHAnsi"/>
        </w:rPr>
        <w:t>0</w:t>
      </w:r>
      <w:r w:rsidRPr="00587BCC">
        <w:rPr>
          <w:rFonts w:asciiTheme="minorHAnsi" w:hAnsiTheme="minorHAnsi"/>
        </w:rPr>
        <w:t xml:space="preserve">). </w:t>
      </w:r>
    </w:p>
    <w:p w:rsidR="00313598" w:rsidRPr="00587BCC" w:rsidRDefault="00313598" w:rsidP="00691F98">
      <w:pPr>
        <w:pStyle w:val="Bullet"/>
        <w:numPr>
          <w:ilvl w:val="0"/>
          <w:numId w:val="0"/>
        </w:numPr>
        <w:rPr>
          <w:rFonts w:asciiTheme="minorHAnsi" w:hAnsiTheme="minorHAnsi"/>
          <w:kern w:val="2"/>
          <w:szCs w:val="20"/>
        </w:rPr>
      </w:pPr>
      <w:r w:rsidRPr="00587BCC">
        <w:rPr>
          <w:rFonts w:asciiTheme="minorHAnsi" w:hAnsiTheme="minorHAnsi"/>
        </w:rPr>
        <w:t>Dwelling investment is forecast to grow by 4½</w:t>
      </w:r>
      <w:r w:rsidR="00E71FBE" w:rsidRPr="00587BCC">
        <w:rPr>
          <w:rFonts w:asciiTheme="minorHAnsi" w:hAnsiTheme="minorHAnsi"/>
        </w:rPr>
        <w:t> </w:t>
      </w:r>
      <w:r w:rsidRPr="00587BCC">
        <w:rPr>
          <w:rFonts w:asciiTheme="minorHAnsi" w:hAnsiTheme="minorHAnsi"/>
        </w:rPr>
        <w:t>per</w:t>
      </w:r>
      <w:r w:rsidR="00E71FBE" w:rsidRPr="00587BCC">
        <w:rPr>
          <w:rFonts w:asciiTheme="minorHAnsi" w:hAnsiTheme="minorHAnsi"/>
        </w:rPr>
        <w:t> </w:t>
      </w:r>
      <w:r w:rsidRPr="00587BCC">
        <w:rPr>
          <w:rFonts w:asciiTheme="minorHAnsi" w:hAnsiTheme="minorHAnsi"/>
        </w:rPr>
        <w:t xml:space="preserve">cent in 2013-14 and 6½ per cent </w:t>
      </w:r>
      <w:r w:rsidR="00DA5CD2" w:rsidRPr="00587BCC">
        <w:rPr>
          <w:rFonts w:asciiTheme="minorHAnsi" w:hAnsiTheme="minorHAnsi"/>
        </w:rPr>
        <w:t>in 2014-15.</w:t>
      </w:r>
    </w:p>
    <w:p w:rsidR="00313598" w:rsidRPr="00587BCC" w:rsidRDefault="00313598" w:rsidP="00313598">
      <w:pPr>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1</w:t>
      </w:r>
      <w:r w:rsidR="005C1738" w:rsidRPr="00587BCC">
        <w:rPr>
          <w:rFonts w:asciiTheme="minorHAnsi" w:hAnsiTheme="minorHAnsi"/>
          <w:b/>
        </w:rPr>
        <w:t>0</w:t>
      </w:r>
      <w:r w:rsidRPr="00587BCC">
        <w:rPr>
          <w:rFonts w:asciiTheme="minorHAnsi" w:hAnsiTheme="minorHAnsi"/>
          <w:b/>
        </w:rPr>
        <w:t xml:space="preserve">: Leading housing market indicators </w:t>
      </w:r>
    </w:p>
    <w:p w:rsidR="00313598" w:rsidRPr="00587BCC" w:rsidRDefault="002B0AB5" w:rsidP="00865C67">
      <w:pPr>
        <w:pStyle w:val="ChartGraphic0"/>
        <w:spacing w:after="240"/>
        <w:jc w:val="left"/>
        <w:rPr>
          <w:rFonts w:asciiTheme="minorHAnsi" w:hAnsiTheme="minorHAnsi"/>
          <w:color w:val="auto"/>
          <w:kern w:val="2"/>
          <w:sz w:val="16"/>
        </w:rPr>
      </w:pPr>
      <w:r>
        <w:rPr>
          <w:rFonts w:asciiTheme="minorHAnsi" w:hAnsiTheme="minorHAnsi"/>
        </w:rPr>
        <w:pict>
          <v:shape id="_x0000_i1035" type="#_x0000_t75" style="width:225pt;height:226.5pt">
            <v:imagedata r:id="rId35" o:title=""/>
          </v:shape>
        </w:pict>
      </w:r>
      <w:r w:rsidR="00313598" w:rsidRPr="00587BCC">
        <w:rPr>
          <w:rFonts w:asciiTheme="minorHAnsi" w:hAnsiTheme="minorHAnsi"/>
          <w:color w:val="auto"/>
          <w:kern w:val="2"/>
          <w:sz w:val="16"/>
        </w:rPr>
        <w:t>Source:  ABS cat. no. 8731.0  and Treasury.</w:t>
      </w:r>
    </w:p>
    <w:p w:rsidR="00C641DD" w:rsidRDefault="00C641DD" w:rsidP="00181FB1">
      <w:pPr>
        <w:pStyle w:val="Bullet"/>
        <w:numPr>
          <w:ilvl w:val="0"/>
          <w:numId w:val="0"/>
        </w:numPr>
        <w:spacing w:line="240" w:lineRule="auto"/>
        <w:rPr>
          <w:rFonts w:asciiTheme="minorHAnsi" w:hAnsiTheme="minorHAnsi"/>
          <w:b/>
          <w:color w:val="0000FF"/>
          <w:sz w:val="24"/>
        </w:rPr>
      </w:pPr>
    </w:p>
    <w:p w:rsidR="00181FB1" w:rsidRPr="00755AF7" w:rsidRDefault="00597EAF" w:rsidP="00181FB1">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lastRenderedPageBreak/>
        <w:t xml:space="preserve">…and </w:t>
      </w:r>
      <w:r w:rsidR="00ED5074" w:rsidRPr="00755AF7">
        <w:rPr>
          <w:rFonts w:asciiTheme="minorHAnsi" w:hAnsiTheme="minorHAnsi"/>
          <w:b/>
          <w:color w:val="0000FF"/>
          <w:sz w:val="24"/>
        </w:rPr>
        <w:t>i</w:t>
      </w:r>
      <w:r w:rsidR="00181FB1" w:rsidRPr="00755AF7">
        <w:rPr>
          <w:rFonts w:asciiTheme="minorHAnsi" w:hAnsiTheme="minorHAnsi"/>
          <w:b/>
          <w:color w:val="0000FF"/>
          <w:sz w:val="24"/>
        </w:rPr>
        <w:t xml:space="preserve">nvestment </w:t>
      </w:r>
      <w:r w:rsidR="00ED5074" w:rsidRPr="00755AF7">
        <w:rPr>
          <w:rFonts w:asciiTheme="minorHAnsi" w:hAnsiTheme="minorHAnsi"/>
          <w:b/>
          <w:color w:val="0000FF"/>
          <w:sz w:val="24"/>
        </w:rPr>
        <w:t>in</w:t>
      </w:r>
      <w:r w:rsidR="00181FB1" w:rsidRPr="00755AF7">
        <w:rPr>
          <w:rFonts w:asciiTheme="minorHAnsi" w:hAnsiTheme="minorHAnsi"/>
          <w:b/>
          <w:color w:val="0000FF"/>
          <w:sz w:val="24"/>
        </w:rPr>
        <w:t xml:space="preserve"> the</w:t>
      </w:r>
      <w:r w:rsidR="003467D3" w:rsidRPr="00755AF7">
        <w:rPr>
          <w:rFonts w:asciiTheme="minorHAnsi" w:hAnsiTheme="minorHAnsi"/>
          <w:b/>
          <w:color w:val="0000FF"/>
          <w:sz w:val="24"/>
        </w:rPr>
        <w:t xml:space="preserve"> </w:t>
      </w:r>
      <w:r w:rsidR="00ED5074" w:rsidRPr="00755AF7">
        <w:rPr>
          <w:rFonts w:asciiTheme="minorHAnsi" w:hAnsiTheme="minorHAnsi"/>
          <w:b/>
          <w:color w:val="0000FF"/>
          <w:sz w:val="24"/>
        </w:rPr>
        <w:t>non-</w:t>
      </w:r>
      <w:r w:rsidR="00181FB1" w:rsidRPr="00755AF7">
        <w:rPr>
          <w:rFonts w:asciiTheme="minorHAnsi" w:hAnsiTheme="minorHAnsi"/>
          <w:b/>
          <w:color w:val="0000FF"/>
          <w:sz w:val="24"/>
        </w:rPr>
        <w:t>resources</w:t>
      </w:r>
      <w:r w:rsidR="003467D3" w:rsidRPr="00755AF7">
        <w:rPr>
          <w:rFonts w:asciiTheme="minorHAnsi" w:hAnsiTheme="minorHAnsi"/>
          <w:b/>
          <w:color w:val="0000FF"/>
          <w:sz w:val="24"/>
        </w:rPr>
        <w:t xml:space="preserve"> </w:t>
      </w:r>
      <w:r w:rsidR="00181FB1" w:rsidRPr="00755AF7">
        <w:rPr>
          <w:rFonts w:asciiTheme="minorHAnsi" w:hAnsiTheme="minorHAnsi"/>
          <w:b/>
          <w:color w:val="0000FF"/>
          <w:sz w:val="24"/>
        </w:rPr>
        <w:t>sector</w:t>
      </w:r>
      <w:r w:rsidR="00DA5CD2" w:rsidRPr="00755AF7">
        <w:rPr>
          <w:rFonts w:asciiTheme="minorHAnsi" w:hAnsiTheme="minorHAnsi"/>
          <w:b/>
          <w:color w:val="0000FF"/>
          <w:sz w:val="24"/>
        </w:rPr>
        <w:t xml:space="preserve"> remaining</w:t>
      </w:r>
      <w:r w:rsidR="003467D3" w:rsidRPr="00755AF7">
        <w:rPr>
          <w:rFonts w:asciiTheme="minorHAnsi" w:hAnsiTheme="minorHAnsi"/>
          <w:b/>
          <w:color w:val="0000FF"/>
          <w:sz w:val="24"/>
        </w:rPr>
        <w:t xml:space="preserve"> subdued…</w:t>
      </w:r>
    </w:p>
    <w:p w:rsidR="00576D3F" w:rsidRPr="00587BCC" w:rsidRDefault="0000078B" w:rsidP="00F41BEB">
      <w:pPr>
        <w:pStyle w:val="Bullet"/>
        <w:numPr>
          <w:ilvl w:val="0"/>
          <w:numId w:val="0"/>
        </w:numPr>
        <w:spacing w:after="220"/>
        <w:rPr>
          <w:rFonts w:asciiTheme="minorHAnsi" w:eastAsiaTheme="minorEastAsia" w:hAnsiTheme="minorHAnsi"/>
          <w:lang w:eastAsia="ja-JP"/>
        </w:rPr>
      </w:pPr>
      <w:r w:rsidRPr="00587BCC">
        <w:rPr>
          <w:rFonts w:asciiTheme="minorHAnsi" w:hAnsiTheme="minorHAnsi"/>
        </w:rPr>
        <w:t>While business confidence has improved recently, i</w:t>
      </w:r>
      <w:r w:rsidR="00BC45CD" w:rsidRPr="00587BCC">
        <w:rPr>
          <w:rFonts w:asciiTheme="minorHAnsi" w:hAnsiTheme="minorHAnsi"/>
        </w:rPr>
        <w:t xml:space="preserve">nvestment intentions </w:t>
      </w:r>
      <w:r w:rsidR="00C218AB" w:rsidRPr="00587BCC">
        <w:rPr>
          <w:rFonts w:asciiTheme="minorHAnsi" w:hAnsiTheme="minorHAnsi"/>
        </w:rPr>
        <w:t xml:space="preserve">remain </w:t>
      </w:r>
      <w:r w:rsidR="003577D6" w:rsidRPr="00587BCC">
        <w:rPr>
          <w:rFonts w:asciiTheme="minorHAnsi" w:hAnsiTheme="minorHAnsi"/>
        </w:rPr>
        <w:t>subdued</w:t>
      </w:r>
      <w:r w:rsidR="00ED5074" w:rsidRPr="00587BCC">
        <w:rPr>
          <w:rFonts w:asciiTheme="minorHAnsi" w:hAnsiTheme="minorHAnsi"/>
        </w:rPr>
        <w:t xml:space="preserve"> in the </w:t>
      </w:r>
      <w:r w:rsidR="003467D3" w:rsidRPr="00587BCC">
        <w:rPr>
          <w:rFonts w:asciiTheme="minorHAnsi" w:hAnsiTheme="minorHAnsi"/>
        </w:rPr>
        <w:br/>
      </w:r>
      <w:r w:rsidR="00ED5074" w:rsidRPr="00587BCC">
        <w:rPr>
          <w:rFonts w:asciiTheme="minorHAnsi" w:hAnsiTheme="minorHAnsi"/>
        </w:rPr>
        <w:t>non-resources sector</w:t>
      </w:r>
      <w:r w:rsidR="00181FB1" w:rsidRPr="00587BCC">
        <w:rPr>
          <w:rFonts w:asciiTheme="minorHAnsi" w:hAnsiTheme="minorHAnsi"/>
        </w:rPr>
        <w:t xml:space="preserve"> (Chart </w:t>
      </w:r>
      <w:r w:rsidR="00D868E2" w:rsidRPr="00587BCC">
        <w:rPr>
          <w:rFonts w:asciiTheme="minorHAnsi" w:hAnsiTheme="minorHAnsi"/>
        </w:rPr>
        <w:t>1</w:t>
      </w:r>
      <w:r w:rsidR="005C1738" w:rsidRPr="00587BCC">
        <w:rPr>
          <w:rFonts w:asciiTheme="minorHAnsi" w:hAnsiTheme="minorHAnsi"/>
        </w:rPr>
        <w:t>1</w:t>
      </w:r>
      <w:r w:rsidR="00181FB1" w:rsidRPr="00587BCC">
        <w:rPr>
          <w:rFonts w:asciiTheme="minorHAnsi" w:hAnsiTheme="minorHAnsi"/>
        </w:rPr>
        <w:t>)</w:t>
      </w:r>
      <w:r w:rsidR="00BC45CD" w:rsidRPr="00587BCC">
        <w:rPr>
          <w:rFonts w:asciiTheme="minorHAnsi" w:hAnsiTheme="minorHAnsi"/>
        </w:rPr>
        <w:t xml:space="preserve">. </w:t>
      </w:r>
      <w:r w:rsidR="00ED5074" w:rsidRPr="00587BCC">
        <w:rPr>
          <w:rFonts w:asciiTheme="minorHAnsi" w:hAnsiTheme="minorHAnsi"/>
        </w:rPr>
        <w:t>Business conditions remai</w:t>
      </w:r>
      <w:r w:rsidR="00597EAF" w:rsidRPr="00587BCC">
        <w:rPr>
          <w:rFonts w:asciiTheme="minorHAnsi" w:hAnsiTheme="minorHAnsi"/>
        </w:rPr>
        <w:t>n</w:t>
      </w:r>
      <w:r w:rsidR="00ED5074" w:rsidRPr="00587BCC">
        <w:rPr>
          <w:rFonts w:asciiTheme="minorHAnsi" w:hAnsiTheme="minorHAnsi"/>
        </w:rPr>
        <w:t xml:space="preserve"> well below </w:t>
      </w:r>
      <w:r w:rsidR="0082192F" w:rsidRPr="00587BCC">
        <w:rPr>
          <w:rFonts w:asciiTheme="minorHAnsi" w:hAnsiTheme="minorHAnsi"/>
        </w:rPr>
        <w:t>long run averages</w:t>
      </w:r>
      <w:r w:rsidR="00ED5074" w:rsidRPr="00587BCC">
        <w:rPr>
          <w:rFonts w:asciiTheme="minorHAnsi" w:hAnsiTheme="minorHAnsi"/>
        </w:rPr>
        <w:t xml:space="preserve"> and t</w:t>
      </w:r>
      <w:r w:rsidR="00BC45CD" w:rsidRPr="00587BCC">
        <w:rPr>
          <w:rFonts w:asciiTheme="minorHAnsi" w:hAnsiTheme="minorHAnsi"/>
        </w:rPr>
        <w:t>he most recent CAPEX survey suggested non-resources investment may fall in 2013-14</w:t>
      </w:r>
      <w:r w:rsidR="00ED5074" w:rsidRPr="00587BCC">
        <w:rPr>
          <w:rFonts w:asciiTheme="minorHAnsi" w:hAnsiTheme="minorHAnsi"/>
        </w:rPr>
        <w:t xml:space="preserve">. </w:t>
      </w:r>
      <w:r w:rsidR="00BC45CD" w:rsidRPr="00587BCC">
        <w:rPr>
          <w:rFonts w:asciiTheme="minorHAnsi" w:hAnsiTheme="minorHAnsi"/>
        </w:rPr>
        <w:t>W</w:t>
      </w:r>
      <w:r w:rsidR="00BC45CD" w:rsidRPr="00587BCC">
        <w:rPr>
          <w:rFonts w:asciiTheme="minorHAnsi" w:eastAsiaTheme="minorEastAsia" w:hAnsiTheme="minorHAnsi"/>
          <w:lang w:eastAsia="ja-JP"/>
        </w:rPr>
        <w:t xml:space="preserve">ith capacity utilisation </w:t>
      </w:r>
      <w:r w:rsidR="003577D6" w:rsidRPr="00587BCC">
        <w:rPr>
          <w:rFonts w:asciiTheme="minorHAnsi" w:eastAsiaTheme="minorEastAsia" w:hAnsiTheme="minorHAnsi"/>
          <w:lang w:eastAsia="ja-JP"/>
        </w:rPr>
        <w:t xml:space="preserve">well below </w:t>
      </w:r>
      <w:r w:rsidR="0082192F" w:rsidRPr="00587BCC">
        <w:rPr>
          <w:rFonts w:asciiTheme="minorHAnsi" w:eastAsiaTheme="minorEastAsia" w:hAnsiTheme="minorHAnsi"/>
          <w:lang w:eastAsia="ja-JP"/>
        </w:rPr>
        <w:t>long run averages</w:t>
      </w:r>
      <w:r w:rsidR="003577D6" w:rsidRPr="00587BCC">
        <w:rPr>
          <w:rFonts w:asciiTheme="minorHAnsi" w:eastAsiaTheme="minorEastAsia" w:hAnsiTheme="minorHAnsi"/>
          <w:lang w:eastAsia="ja-JP"/>
        </w:rPr>
        <w:t>, clear</w:t>
      </w:r>
      <w:r w:rsidR="00436856" w:rsidRPr="00587BCC">
        <w:rPr>
          <w:rFonts w:asciiTheme="minorHAnsi" w:eastAsiaTheme="minorEastAsia" w:hAnsiTheme="minorHAnsi"/>
          <w:lang w:eastAsia="ja-JP"/>
        </w:rPr>
        <w:t>er</w:t>
      </w:r>
      <w:r w:rsidR="003577D6" w:rsidRPr="00587BCC">
        <w:rPr>
          <w:rFonts w:asciiTheme="minorHAnsi" w:eastAsiaTheme="minorEastAsia" w:hAnsiTheme="minorHAnsi"/>
          <w:lang w:eastAsia="ja-JP"/>
        </w:rPr>
        <w:t xml:space="preserve"> signs of improving demand</w:t>
      </w:r>
      <w:r w:rsidR="00436856" w:rsidRPr="00587BCC">
        <w:rPr>
          <w:rFonts w:asciiTheme="minorHAnsi" w:eastAsiaTheme="minorEastAsia" w:hAnsiTheme="minorHAnsi"/>
          <w:lang w:eastAsia="ja-JP"/>
        </w:rPr>
        <w:t xml:space="preserve"> may be needed</w:t>
      </w:r>
      <w:r w:rsidR="003577D6" w:rsidRPr="00587BCC">
        <w:rPr>
          <w:rFonts w:asciiTheme="minorHAnsi" w:eastAsiaTheme="minorEastAsia" w:hAnsiTheme="minorHAnsi"/>
          <w:lang w:eastAsia="ja-JP"/>
        </w:rPr>
        <w:t xml:space="preserve"> before</w:t>
      </w:r>
      <w:r w:rsidR="00BC45CD" w:rsidRPr="00587BCC">
        <w:rPr>
          <w:rFonts w:asciiTheme="minorHAnsi" w:hAnsiTheme="minorHAnsi"/>
        </w:rPr>
        <w:t xml:space="preserve"> businesses</w:t>
      </w:r>
      <w:r w:rsidR="00BC45CD" w:rsidRPr="00587BCC">
        <w:rPr>
          <w:rFonts w:asciiTheme="minorHAnsi" w:eastAsiaTheme="minorEastAsia" w:hAnsiTheme="minorHAnsi"/>
          <w:lang w:eastAsia="ja-JP"/>
        </w:rPr>
        <w:t xml:space="preserve"> </w:t>
      </w:r>
      <w:r w:rsidR="00436856" w:rsidRPr="00587BCC">
        <w:rPr>
          <w:rFonts w:asciiTheme="minorHAnsi" w:eastAsiaTheme="minorEastAsia" w:hAnsiTheme="minorHAnsi"/>
          <w:lang w:eastAsia="ja-JP"/>
        </w:rPr>
        <w:t>significantly</w:t>
      </w:r>
      <w:r w:rsidR="00BC45CD" w:rsidRPr="00587BCC">
        <w:rPr>
          <w:rFonts w:asciiTheme="minorHAnsi" w:hAnsiTheme="minorHAnsi"/>
        </w:rPr>
        <w:t xml:space="preserve"> increase their level of investment</w:t>
      </w:r>
      <w:r w:rsidR="00BC45CD" w:rsidRPr="00587BCC">
        <w:rPr>
          <w:rFonts w:asciiTheme="minorHAnsi" w:eastAsiaTheme="minorEastAsia" w:hAnsiTheme="minorHAnsi"/>
          <w:lang w:eastAsia="ja-JP"/>
        </w:rPr>
        <w:t>.</w:t>
      </w:r>
    </w:p>
    <w:p w:rsidR="00576D3F" w:rsidRPr="00587BCC" w:rsidRDefault="00576D3F" w:rsidP="00576D3F">
      <w:pPr>
        <w:keepNext/>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1</w:t>
      </w:r>
      <w:r w:rsidR="005C1738" w:rsidRPr="00587BCC">
        <w:rPr>
          <w:rFonts w:asciiTheme="minorHAnsi" w:hAnsiTheme="minorHAnsi"/>
          <w:b/>
        </w:rPr>
        <w:t>1</w:t>
      </w:r>
      <w:r w:rsidRPr="00587BCC">
        <w:rPr>
          <w:rFonts w:asciiTheme="minorHAnsi" w:hAnsiTheme="minorHAnsi"/>
          <w:b/>
        </w:rPr>
        <w:t>: Business confidence and conditions</w:t>
      </w:r>
    </w:p>
    <w:p w:rsidR="00576D3F" w:rsidRPr="00587BCC" w:rsidRDefault="002B0AB5" w:rsidP="004D3327">
      <w:pPr>
        <w:pStyle w:val="ChartGraphic0"/>
        <w:spacing w:after="240"/>
        <w:jc w:val="left"/>
        <w:rPr>
          <w:rFonts w:asciiTheme="minorHAnsi" w:hAnsiTheme="minorHAnsi"/>
        </w:rPr>
      </w:pPr>
      <w:r>
        <w:rPr>
          <w:rFonts w:asciiTheme="minorHAnsi" w:hAnsiTheme="minorHAnsi"/>
        </w:rPr>
        <w:pict>
          <v:shape id="_x0000_i1036" type="#_x0000_t75" style="width:225pt;height:225pt">
            <v:imagedata r:id="rId36" o:title=""/>
          </v:shape>
        </w:pict>
      </w:r>
      <w:r w:rsidR="00576D3F" w:rsidRPr="00587BCC">
        <w:rPr>
          <w:rFonts w:asciiTheme="minorHAnsi" w:hAnsiTheme="minorHAnsi"/>
          <w:color w:val="auto"/>
          <w:kern w:val="2"/>
          <w:sz w:val="16"/>
        </w:rPr>
        <w:t xml:space="preserve">Source:  </w:t>
      </w:r>
      <w:r w:rsidR="0093540A" w:rsidRPr="00587BCC">
        <w:rPr>
          <w:rFonts w:asciiTheme="minorHAnsi" w:hAnsiTheme="minorHAnsi"/>
          <w:color w:val="auto"/>
          <w:kern w:val="2"/>
          <w:sz w:val="16"/>
        </w:rPr>
        <w:t>NAB Monthly Business Survey</w:t>
      </w:r>
      <w:r w:rsidR="00576D3F" w:rsidRPr="00587BCC">
        <w:rPr>
          <w:rFonts w:asciiTheme="minorHAnsi" w:hAnsiTheme="minorHAnsi"/>
          <w:color w:val="auto"/>
          <w:kern w:val="2"/>
          <w:sz w:val="16"/>
        </w:rPr>
        <w:t>.</w:t>
      </w:r>
    </w:p>
    <w:p w:rsidR="009B2504" w:rsidRPr="00587BCC" w:rsidRDefault="00597EAF" w:rsidP="00597EAF">
      <w:pPr>
        <w:pStyle w:val="Bullet"/>
        <w:numPr>
          <w:ilvl w:val="0"/>
          <w:numId w:val="0"/>
        </w:numPr>
        <w:rPr>
          <w:rFonts w:asciiTheme="minorHAnsi" w:eastAsiaTheme="minorEastAsia" w:hAnsiTheme="minorHAnsi"/>
          <w:lang w:eastAsia="ja-JP"/>
        </w:rPr>
      </w:pPr>
      <w:r w:rsidRPr="00587BCC">
        <w:rPr>
          <w:rFonts w:asciiTheme="minorHAnsi" w:hAnsiTheme="minorHAnsi"/>
        </w:rPr>
        <w:t xml:space="preserve">Forecast business investment in the non-resources sector has been downgraded since PEFO. Together with the decline in forecast resources investment, total business investment </w:t>
      </w:r>
      <w:r w:rsidR="00BC45CD" w:rsidRPr="00587BCC">
        <w:rPr>
          <w:rFonts w:asciiTheme="minorHAnsi" w:hAnsiTheme="minorHAnsi"/>
        </w:rPr>
        <w:t xml:space="preserve">is now expected to fall by </w:t>
      </w:r>
      <w:r w:rsidR="0082192F" w:rsidRPr="00587BCC">
        <w:rPr>
          <w:rFonts w:asciiTheme="minorHAnsi" w:hAnsiTheme="minorHAnsi"/>
        </w:rPr>
        <w:t>1</w:t>
      </w:r>
      <w:r w:rsidR="00BC45CD" w:rsidRPr="00587BCC">
        <w:rPr>
          <w:rFonts w:asciiTheme="minorHAnsi" w:hAnsiTheme="minorHAnsi"/>
        </w:rPr>
        <w:t xml:space="preserve"> per cent in 201</w:t>
      </w:r>
      <w:r w:rsidR="009D5A13" w:rsidRPr="00587BCC">
        <w:rPr>
          <w:rFonts w:asciiTheme="minorHAnsi" w:hAnsiTheme="minorHAnsi"/>
        </w:rPr>
        <w:t xml:space="preserve">3-14 and 1½ per cent in </w:t>
      </w:r>
      <w:r w:rsidR="00F86606" w:rsidRPr="00587BCC">
        <w:rPr>
          <w:rFonts w:asciiTheme="minorHAnsi" w:hAnsiTheme="minorHAnsi"/>
        </w:rPr>
        <w:br/>
      </w:r>
      <w:r w:rsidR="009D5A13" w:rsidRPr="00587BCC">
        <w:rPr>
          <w:rFonts w:asciiTheme="minorHAnsi" w:hAnsiTheme="minorHAnsi"/>
        </w:rPr>
        <w:t>2014-15</w:t>
      </w:r>
      <w:r w:rsidR="009D48E1" w:rsidRPr="00587BCC">
        <w:rPr>
          <w:rFonts w:asciiTheme="minorHAnsi" w:hAnsiTheme="minorHAnsi"/>
        </w:rPr>
        <w:t xml:space="preserve">. There is </w:t>
      </w:r>
      <w:r w:rsidR="009D5A13" w:rsidRPr="00587BCC">
        <w:rPr>
          <w:rFonts w:asciiTheme="minorHAnsi" w:hAnsiTheme="minorHAnsi"/>
        </w:rPr>
        <w:t xml:space="preserve">the risk that the decline in </w:t>
      </w:r>
      <w:r w:rsidR="009D48E1" w:rsidRPr="00587BCC">
        <w:rPr>
          <w:rFonts w:asciiTheme="minorHAnsi" w:hAnsiTheme="minorHAnsi"/>
        </w:rPr>
        <w:br/>
      </w:r>
      <w:r w:rsidR="009D5A13" w:rsidRPr="00587BCC">
        <w:rPr>
          <w:rFonts w:asciiTheme="minorHAnsi" w:hAnsiTheme="minorHAnsi"/>
        </w:rPr>
        <w:t>2014-15 could be sharper if the recent</w:t>
      </w:r>
      <w:r w:rsidR="00BC45CD" w:rsidRPr="00587BCC">
        <w:rPr>
          <w:rFonts w:asciiTheme="minorHAnsi" w:hAnsiTheme="minorHAnsi"/>
        </w:rPr>
        <w:t xml:space="preserve"> </w:t>
      </w:r>
      <w:r w:rsidR="009D5A13" w:rsidRPr="00587BCC">
        <w:rPr>
          <w:rFonts w:asciiTheme="minorHAnsi" w:hAnsiTheme="minorHAnsi"/>
        </w:rPr>
        <w:t>improvement in business confidence is not followed by improved conditions in the non-resource</w:t>
      </w:r>
      <w:r w:rsidR="00CF1F92" w:rsidRPr="00587BCC">
        <w:rPr>
          <w:rFonts w:asciiTheme="minorHAnsi" w:hAnsiTheme="minorHAnsi"/>
        </w:rPr>
        <w:t>s</w:t>
      </w:r>
      <w:r w:rsidR="009D5A13" w:rsidRPr="00587BCC">
        <w:rPr>
          <w:rFonts w:asciiTheme="minorHAnsi" w:hAnsiTheme="minorHAnsi"/>
        </w:rPr>
        <w:t xml:space="preserve"> sector (Chart </w:t>
      </w:r>
      <w:r w:rsidR="00D868E2" w:rsidRPr="00587BCC">
        <w:rPr>
          <w:rFonts w:asciiTheme="minorHAnsi" w:hAnsiTheme="minorHAnsi"/>
        </w:rPr>
        <w:t>1</w:t>
      </w:r>
      <w:r w:rsidR="005C1738" w:rsidRPr="00587BCC">
        <w:rPr>
          <w:rFonts w:asciiTheme="minorHAnsi" w:hAnsiTheme="minorHAnsi"/>
        </w:rPr>
        <w:t>2</w:t>
      </w:r>
      <w:r w:rsidR="009D5A13" w:rsidRPr="00587BCC">
        <w:rPr>
          <w:rFonts w:asciiTheme="minorHAnsi" w:hAnsiTheme="minorHAnsi"/>
        </w:rPr>
        <w:t xml:space="preserve">). </w:t>
      </w:r>
      <w:r w:rsidR="00BC45CD" w:rsidRPr="00587BCC">
        <w:rPr>
          <w:rFonts w:asciiTheme="minorHAnsi" w:hAnsiTheme="minorHAnsi"/>
        </w:rPr>
        <w:t xml:space="preserve"> </w:t>
      </w:r>
    </w:p>
    <w:p w:rsidR="00851710" w:rsidRPr="00587BCC" w:rsidRDefault="00851710" w:rsidP="00851710">
      <w:pPr>
        <w:keepNext/>
        <w:autoSpaceDE w:val="0"/>
        <w:autoSpaceDN w:val="0"/>
        <w:spacing w:after="0"/>
        <w:jc w:val="center"/>
        <w:rPr>
          <w:rFonts w:asciiTheme="minorHAnsi" w:hAnsiTheme="minorHAnsi"/>
          <w:b/>
          <w:szCs w:val="20"/>
        </w:rPr>
      </w:pPr>
      <w:r w:rsidRPr="00587BCC">
        <w:rPr>
          <w:rFonts w:asciiTheme="minorHAnsi" w:hAnsiTheme="minorHAnsi"/>
          <w:b/>
          <w:szCs w:val="20"/>
        </w:rPr>
        <w:lastRenderedPageBreak/>
        <w:t xml:space="preserve">Chart </w:t>
      </w:r>
      <w:r w:rsidR="00D868E2" w:rsidRPr="00587BCC">
        <w:rPr>
          <w:rFonts w:asciiTheme="minorHAnsi" w:hAnsiTheme="minorHAnsi"/>
          <w:b/>
          <w:szCs w:val="20"/>
        </w:rPr>
        <w:t>1</w:t>
      </w:r>
      <w:r w:rsidR="005C1738" w:rsidRPr="00587BCC">
        <w:rPr>
          <w:rFonts w:asciiTheme="minorHAnsi" w:hAnsiTheme="minorHAnsi"/>
          <w:b/>
          <w:szCs w:val="20"/>
        </w:rPr>
        <w:t>2</w:t>
      </w:r>
      <w:r w:rsidRPr="00587BCC">
        <w:rPr>
          <w:rFonts w:asciiTheme="minorHAnsi" w:hAnsiTheme="minorHAnsi"/>
          <w:b/>
          <w:szCs w:val="20"/>
        </w:rPr>
        <w:t xml:space="preserve">: </w:t>
      </w:r>
      <w:r w:rsidR="00416B3D" w:rsidRPr="00587BCC">
        <w:rPr>
          <w:rFonts w:asciiTheme="minorHAnsi" w:hAnsiTheme="minorHAnsi"/>
          <w:b/>
          <w:szCs w:val="20"/>
        </w:rPr>
        <w:t xml:space="preserve">Business investment </w:t>
      </w:r>
    </w:p>
    <w:p w:rsidR="00597EAF" w:rsidRPr="00587BCC" w:rsidRDefault="002B0AB5" w:rsidP="00865C67">
      <w:pPr>
        <w:pStyle w:val="ChartGraphic0"/>
        <w:spacing w:after="240"/>
        <w:jc w:val="left"/>
        <w:rPr>
          <w:rFonts w:asciiTheme="minorHAnsi" w:hAnsiTheme="minorHAnsi"/>
          <w:color w:val="auto"/>
          <w:kern w:val="2"/>
          <w:sz w:val="16"/>
        </w:rPr>
      </w:pPr>
      <w:r>
        <w:rPr>
          <w:rFonts w:asciiTheme="minorHAnsi" w:hAnsiTheme="minorHAnsi"/>
        </w:rPr>
        <w:pict>
          <v:shape id="_x0000_i1037" type="#_x0000_t75" style="width:225pt;height:225pt">
            <v:imagedata r:id="rId37" o:title=""/>
          </v:shape>
        </w:pict>
      </w:r>
      <w:r w:rsidR="00851710" w:rsidRPr="00587BCC">
        <w:rPr>
          <w:rFonts w:asciiTheme="minorHAnsi" w:hAnsiTheme="minorHAnsi"/>
          <w:color w:val="auto"/>
          <w:kern w:val="2"/>
          <w:sz w:val="16"/>
        </w:rPr>
        <w:t>Source:  ABS cat. no. 520</w:t>
      </w:r>
      <w:r w:rsidR="00995A94" w:rsidRPr="00587BCC">
        <w:rPr>
          <w:rFonts w:asciiTheme="minorHAnsi" w:hAnsiTheme="minorHAnsi"/>
          <w:color w:val="auto"/>
          <w:kern w:val="2"/>
          <w:sz w:val="16"/>
        </w:rPr>
        <w:t>4</w:t>
      </w:r>
      <w:r w:rsidR="00851710" w:rsidRPr="00587BCC">
        <w:rPr>
          <w:rFonts w:asciiTheme="minorHAnsi" w:hAnsiTheme="minorHAnsi"/>
          <w:color w:val="auto"/>
          <w:kern w:val="2"/>
          <w:sz w:val="16"/>
        </w:rPr>
        <w:t xml:space="preserve">.0 </w:t>
      </w:r>
      <w:r w:rsidR="00C82216">
        <w:rPr>
          <w:rFonts w:asciiTheme="minorHAnsi" w:hAnsiTheme="minorHAnsi"/>
          <w:color w:val="auto"/>
          <w:kern w:val="2"/>
          <w:sz w:val="16"/>
        </w:rPr>
        <w:t xml:space="preserve">and 5206.0 </w:t>
      </w:r>
      <w:r w:rsidR="00851710" w:rsidRPr="00587BCC">
        <w:rPr>
          <w:rFonts w:asciiTheme="minorHAnsi" w:hAnsiTheme="minorHAnsi"/>
          <w:color w:val="auto"/>
          <w:kern w:val="2"/>
          <w:sz w:val="16"/>
        </w:rPr>
        <w:t>and Treasury.</w:t>
      </w:r>
    </w:p>
    <w:p w:rsidR="00E53A34" w:rsidRPr="00755AF7" w:rsidRDefault="003C7693" w:rsidP="003C7693">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…and f</w:t>
      </w:r>
      <w:r w:rsidR="00E53A34" w:rsidRPr="00755AF7">
        <w:rPr>
          <w:rFonts w:asciiTheme="minorHAnsi" w:hAnsiTheme="minorHAnsi"/>
          <w:b/>
          <w:color w:val="0000FF"/>
          <w:sz w:val="24"/>
        </w:rPr>
        <w:t xml:space="preserve">iscal consolidation </w:t>
      </w:r>
      <w:r w:rsidRPr="00755AF7">
        <w:rPr>
          <w:rFonts w:asciiTheme="minorHAnsi" w:hAnsiTheme="minorHAnsi"/>
          <w:b/>
          <w:color w:val="0000FF"/>
          <w:sz w:val="24"/>
        </w:rPr>
        <w:t>constraining public final demand</w:t>
      </w:r>
      <w:r w:rsidR="00DA5CD2" w:rsidRPr="00755AF7">
        <w:rPr>
          <w:rFonts w:asciiTheme="minorHAnsi" w:hAnsiTheme="minorHAnsi"/>
          <w:b/>
          <w:color w:val="0000FF"/>
          <w:sz w:val="24"/>
        </w:rPr>
        <w:t>.</w:t>
      </w:r>
    </w:p>
    <w:p w:rsidR="000D36FA" w:rsidRPr="00587BCC" w:rsidRDefault="00E669BE" w:rsidP="00F66A92">
      <w:pPr>
        <w:rPr>
          <w:rFonts w:asciiTheme="minorHAnsi" w:hAnsiTheme="minorHAnsi"/>
        </w:rPr>
      </w:pPr>
      <w:r w:rsidRPr="00587BCC">
        <w:rPr>
          <w:rFonts w:asciiTheme="minorHAnsi" w:hAnsiTheme="minorHAnsi"/>
        </w:rPr>
        <w:t xml:space="preserve">The fiscal consolidation underway at all levels of government </w:t>
      </w:r>
      <w:r w:rsidR="000D36FA" w:rsidRPr="00587BCC">
        <w:rPr>
          <w:rFonts w:asciiTheme="minorHAnsi" w:hAnsiTheme="minorHAnsi"/>
        </w:rPr>
        <w:t>continues to</w:t>
      </w:r>
      <w:r w:rsidRPr="00587BCC">
        <w:rPr>
          <w:rFonts w:asciiTheme="minorHAnsi" w:hAnsiTheme="minorHAnsi"/>
        </w:rPr>
        <w:t xml:space="preserve"> constrain public final demand.</w:t>
      </w:r>
      <w:r w:rsidR="000D36FA" w:rsidRPr="00587BCC">
        <w:rPr>
          <w:rFonts w:asciiTheme="minorHAnsi" w:hAnsiTheme="minorHAnsi"/>
        </w:rPr>
        <w:t xml:space="preserve"> Since PEFO, forecast public final demand has been revised higher in 2013-14 and lower in 2014-15, in line with updated State budget estimates and the announced policies of the Commonwealth Government. </w:t>
      </w:r>
    </w:p>
    <w:p w:rsidR="00E53A34" w:rsidRPr="00587BCC" w:rsidRDefault="009B429E" w:rsidP="00E53A34">
      <w:pPr>
        <w:rPr>
          <w:rFonts w:asciiTheme="minorHAnsi" w:hAnsiTheme="minorHAnsi"/>
        </w:rPr>
      </w:pPr>
      <w:r w:rsidRPr="00587BCC">
        <w:rPr>
          <w:rFonts w:asciiTheme="minorHAnsi" w:hAnsiTheme="minorHAnsi"/>
        </w:rPr>
        <w:t xml:space="preserve">Public final demand is forecast to grow by </w:t>
      </w:r>
      <w:r w:rsidR="00995A94" w:rsidRPr="00587BCC">
        <w:rPr>
          <w:rFonts w:asciiTheme="minorHAnsi" w:hAnsiTheme="minorHAnsi"/>
        </w:rPr>
        <w:t>¾ </w:t>
      </w:r>
      <w:r w:rsidRPr="00587BCC">
        <w:rPr>
          <w:rFonts w:asciiTheme="minorHAnsi" w:hAnsiTheme="minorHAnsi"/>
        </w:rPr>
        <w:t>per</w:t>
      </w:r>
      <w:r w:rsidR="00984D92" w:rsidRPr="00587BCC">
        <w:rPr>
          <w:rFonts w:asciiTheme="minorHAnsi" w:hAnsiTheme="minorHAnsi"/>
        </w:rPr>
        <w:t> </w:t>
      </w:r>
      <w:r w:rsidRPr="00587BCC">
        <w:rPr>
          <w:rFonts w:asciiTheme="minorHAnsi" w:hAnsiTheme="minorHAnsi"/>
        </w:rPr>
        <w:t>cent in 2013-14 and 2014-15.</w:t>
      </w:r>
    </w:p>
    <w:p w:rsidR="000D36FA" w:rsidRPr="00755AF7" w:rsidRDefault="000D36FA" w:rsidP="000D36FA">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The unemployment rate is expected to drift higher…</w:t>
      </w:r>
    </w:p>
    <w:p w:rsidR="007E1212" w:rsidRPr="00587BCC" w:rsidRDefault="00F66A92" w:rsidP="00597EAF">
      <w:pPr>
        <w:pStyle w:val="Bullet"/>
        <w:numPr>
          <w:ilvl w:val="0"/>
          <w:numId w:val="0"/>
        </w:numPr>
        <w:rPr>
          <w:rFonts w:asciiTheme="minorHAnsi" w:eastAsiaTheme="minorEastAsia" w:hAnsiTheme="minorHAnsi"/>
          <w:kern w:val="2"/>
          <w:szCs w:val="20"/>
          <w:lang w:eastAsia="ja-JP"/>
        </w:rPr>
      </w:pPr>
      <w:r w:rsidRPr="00F33530">
        <w:rPr>
          <w:rFonts w:asciiTheme="minorHAnsi" w:eastAsiaTheme="minorEastAsia" w:hAnsiTheme="minorHAnsi"/>
          <w:kern w:val="2"/>
          <w:szCs w:val="20"/>
          <w:lang w:eastAsia="ja-JP"/>
        </w:rPr>
        <w:t>Employment rose a subdued 0.9 per cent through the year to September. In the quarter itself, employment fell but aggregate hours worked rose, reflecting an increase in average hours worked (Chart 13). There are many possible explanations for the divergence between employment growth and total hours worked, but one possibility would appear to be the effort by firms to constrain costs by reducing ‘heads’ and increasing average hours worked by remaining employees</w:t>
      </w:r>
      <w:r w:rsidR="009459C0" w:rsidRPr="00587BCC">
        <w:rPr>
          <w:rFonts w:asciiTheme="minorHAnsi" w:eastAsiaTheme="minorEastAsia" w:hAnsiTheme="minorHAnsi"/>
          <w:kern w:val="2"/>
          <w:szCs w:val="20"/>
          <w:lang w:eastAsia="ja-JP"/>
        </w:rPr>
        <w:t>.</w:t>
      </w:r>
    </w:p>
    <w:p w:rsidR="009459C0" w:rsidRPr="00587BCC" w:rsidRDefault="009459C0" w:rsidP="009459C0">
      <w:pPr>
        <w:keepNext/>
        <w:autoSpaceDE w:val="0"/>
        <w:autoSpaceDN w:val="0"/>
        <w:spacing w:after="0"/>
        <w:jc w:val="center"/>
        <w:rPr>
          <w:rFonts w:asciiTheme="minorHAnsi" w:hAnsiTheme="minorHAnsi"/>
          <w:b/>
        </w:rPr>
      </w:pPr>
      <w:r w:rsidRPr="00587BCC">
        <w:rPr>
          <w:rFonts w:asciiTheme="minorHAnsi" w:hAnsiTheme="minorHAnsi"/>
          <w:b/>
        </w:rPr>
        <w:lastRenderedPageBreak/>
        <w:t xml:space="preserve">Chart </w:t>
      </w:r>
      <w:r w:rsidR="00D868E2" w:rsidRPr="00587BCC">
        <w:rPr>
          <w:rFonts w:asciiTheme="minorHAnsi" w:hAnsiTheme="minorHAnsi"/>
          <w:b/>
        </w:rPr>
        <w:t>1</w:t>
      </w:r>
      <w:r w:rsidR="005C1738" w:rsidRPr="00587BCC">
        <w:rPr>
          <w:rFonts w:asciiTheme="minorHAnsi" w:hAnsiTheme="minorHAnsi"/>
          <w:b/>
        </w:rPr>
        <w:t>3</w:t>
      </w:r>
      <w:r w:rsidRPr="00587BCC">
        <w:rPr>
          <w:rFonts w:asciiTheme="minorHAnsi" w:hAnsiTheme="minorHAnsi"/>
          <w:b/>
        </w:rPr>
        <w:t>: Employment and hours worked</w:t>
      </w:r>
    </w:p>
    <w:p w:rsidR="009459C0" w:rsidRPr="00587BCC" w:rsidRDefault="002B0AB5" w:rsidP="009459C0">
      <w:pPr>
        <w:pStyle w:val="ChartGraphic0"/>
        <w:spacing w:after="240"/>
        <w:jc w:val="left"/>
        <w:rPr>
          <w:rFonts w:asciiTheme="minorHAnsi" w:eastAsiaTheme="minorEastAsia" w:hAnsiTheme="minorHAnsi"/>
          <w:lang w:eastAsia="ja-JP"/>
        </w:rPr>
      </w:pPr>
      <w:r>
        <w:rPr>
          <w:rFonts w:asciiTheme="minorHAnsi" w:hAnsiTheme="minorHAnsi"/>
          <w:color w:val="auto"/>
          <w:kern w:val="2"/>
          <w:sz w:val="16"/>
        </w:rPr>
        <w:pict>
          <v:shape id="_x0000_i1038" type="#_x0000_t75" style="width:225pt;height:225pt">
            <v:imagedata r:id="rId38" o:title=""/>
          </v:shape>
        </w:pict>
      </w:r>
      <w:r w:rsidR="009459C0" w:rsidRPr="00587BCC">
        <w:rPr>
          <w:rFonts w:asciiTheme="minorHAnsi" w:hAnsiTheme="minorHAnsi"/>
          <w:color w:val="auto"/>
          <w:kern w:val="2"/>
          <w:sz w:val="16"/>
        </w:rPr>
        <w:t>Source: ABS cat. no. 6202.0 and Treasury.</w:t>
      </w:r>
    </w:p>
    <w:p w:rsidR="00F66A92" w:rsidRPr="00F33530" w:rsidRDefault="00F66A92" w:rsidP="00F66A92">
      <w:pPr>
        <w:pStyle w:val="Bullet"/>
        <w:numPr>
          <w:ilvl w:val="0"/>
          <w:numId w:val="0"/>
        </w:numPr>
        <w:rPr>
          <w:rFonts w:asciiTheme="minorHAnsi" w:eastAsiaTheme="minorEastAsia" w:hAnsiTheme="minorHAnsi"/>
          <w:kern w:val="2"/>
          <w:szCs w:val="20"/>
          <w:lang w:eastAsia="ja-JP"/>
        </w:rPr>
      </w:pPr>
      <w:r w:rsidRPr="00F33530">
        <w:rPr>
          <w:rFonts w:asciiTheme="minorHAnsi" w:eastAsiaTheme="minorEastAsia" w:hAnsiTheme="minorHAnsi"/>
          <w:kern w:val="2"/>
          <w:szCs w:val="20"/>
          <w:lang w:eastAsia="ja-JP"/>
        </w:rPr>
        <w:t>Forecast employment growth has been revised down to</w:t>
      </w:r>
      <w:r w:rsidRPr="00F33530">
        <w:rPr>
          <w:rFonts w:asciiTheme="minorHAnsi" w:hAnsiTheme="minorHAnsi"/>
          <w:kern w:val="2"/>
          <w:szCs w:val="20"/>
        </w:rPr>
        <w:t xml:space="preserve"> ¾ of a per cent through the year to the June quarter 2014, reflecting the recent softness in the number of employed. Employment growth is still expected to pick up </w:t>
      </w:r>
      <w:r w:rsidRPr="00F33530">
        <w:rPr>
          <w:rFonts w:asciiTheme="minorHAnsi" w:eastAsiaTheme="minorEastAsia" w:hAnsiTheme="minorHAnsi"/>
          <w:kern w:val="2"/>
          <w:szCs w:val="20"/>
          <w:lang w:eastAsia="ja-JP"/>
        </w:rPr>
        <w:t xml:space="preserve">to </w:t>
      </w:r>
      <w:r w:rsidRPr="00F33530">
        <w:rPr>
          <w:rFonts w:asciiTheme="minorHAnsi" w:hAnsiTheme="minorHAnsi"/>
          <w:kern w:val="2"/>
          <w:szCs w:val="20"/>
        </w:rPr>
        <w:t>1½ per cent to the June quarter 2015 as economic growth improves</w:t>
      </w:r>
      <w:r w:rsidRPr="00F33530">
        <w:rPr>
          <w:rFonts w:asciiTheme="minorHAnsi" w:eastAsiaTheme="minorEastAsia" w:hAnsiTheme="minorHAnsi"/>
          <w:kern w:val="2"/>
          <w:szCs w:val="20"/>
          <w:lang w:eastAsia="ja-JP"/>
        </w:rPr>
        <w:t xml:space="preserve"> and wage growth remains moderate (see below).  </w:t>
      </w:r>
    </w:p>
    <w:p w:rsidR="00DA5CD2" w:rsidRPr="00587BCC" w:rsidRDefault="00F66A92" w:rsidP="00F66A92">
      <w:pPr>
        <w:pStyle w:val="Bullet"/>
        <w:numPr>
          <w:ilvl w:val="0"/>
          <w:numId w:val="0"/>
        </w:numPr>
        <w:rPr>
          <w:rFonts w:asciiTheme="minorHAnsi" w:eastAsiaTheme="minorEastAsia" w:hAnsiTheme="minorHAnsi"/>
          <w:lang w:eastAsia="ja-JP"/>
        </w:rPr>
      </w:pPr>
      <w:r w:rsidRPr="00F33530">
        <w:rPr>
          <w:rFonts w:asciiTheme="minorHAnsi" w:eastAsiaTheme="minorEastAsia" w:hAnsiTheme="minorHAnsi"/>
          <w:szCs w:val="20"/>
          <w:lang w:eastAsia="ja-JP"/>
        </w:rPr>
        <w:t>The unemployment rate fell to 5.6 per cent in the month of September, largely reflecting a fall in the participation rate to 64.9 per cent, its lowest level since October 2006. Despite this, the unemployment rate is still expected to gradually rise to 6¼ per cent by mid-2014 before stabilising at this level, although it could peak at a lower rate if the participation rate falls further</w:t>
      </w:r>
      <w:r w:rsidR="00DD1F5C" w:rsidRPr="00587BCC">
        <w:rPr>
          <w:rFonts w:asciiTheme="minorHAnsi" w:eastAsiaTheme="minorEastAsia" w:hAnsiTheme="minorHAnsi"/>
          <w:lang w:eastAsia="ja-JP"/>
        </w:rPr>
        <w:t>.</w:t>
      </w:r>
      <w:r w:rsidR="00DA5CD2" w:rsidRPr="00587BCC">
        <w:rPr>
          <w:rFonts w:asciiTheme="minorHAnsi" w:eastAsiaTheme="minorEastAsia" w:hAnsiTheme="minorHAnsi"/>
          <w:lang w:eastAsia="ja-JP"/>
        </w:rPr>
        <w:t xml:space="preserve"> </w:t>
      </w:r>
    </w:p>
    <w:p w:rsidR="000D36FA" w:rsidRPr="00755AF7" w:rsidRDefault="000D36FA" w:rsidP="000D36FA">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…with lower wage growth supporting the labour market adjustment</w:t>
      </w:r>
      <w:r w:rsidR="005F4A22" w:rsidRPr="00755AF7">
        <w:rPr>
          <w:rFonts w:asciiTheme="minorHAnsi" w:hAnsiTheme="minorHAnsi"/>
          <w:b/>
          <w:color w:val="0000FF"/>
          <w:sz w:val="24"/>
        </w:rPr>
        <w:t>…</w:t>
      </w:r>
    </w:p>
    <w:p w:rsidR="00F66A92" w:rsidRPr="00F33530" w:rsidRDefault="00F66A92" w:rsidP="00F66A92">
      <w:pPr>
        <w:pStyle w:val="Bullet"/>
        <w:numPr>
          <w:ilvl w:val="0"/>
          <w:numId w:val="0"/>
        </w:numPr>
        <w:rPr>
          <w:rFonts w:asciiTheme="minorHAnsi" w:eastAsiaTheme="minorEastAsia" w:hAnsiTheme="minorHAnsi"/>
          <w:szCs w:val="20"/>
          <w:lang w:eastAsia="ja-JP"/>
        </w:rPr>
      </w:pPr>
      <w:r w:rsidRPr="00F33530">
        <w:rPr>
          <w:rFonts w:asciiTheme="minorHAnsi" w:eastAsiaTheme="minorEastAsia" w:hAnsiTheme="minorHAnsi"/>
          <w:szCs w:val="20"/>
          <w:lang w:eastAsia="ja-JP"/>
        </w:rPr>
        <w:t>Wage growth has eased and is expected to remain subdued consistent with continuing spare capacity in the labour market, contained inflation, and feedback from business liaison (Chart 14). Forecast wage growth has been revised down to 3 per cent through the year to the June quarters of 2014 and 2015.</w:t>
      </w:r>
    </w:p>
    <w:p w:rsidR="00B51D50" w:rsidRPr="00587BCC" w:rsidRDefault="00F66A92" w:rsidP="00F66A92">
      <w:pPr>
        <w:pStyle w:val="Bullet"/>
        <w:numPr>
          <w:ilvl w:val="0"/>
          <w:numId w:val="0"/>
        </w:numPr>
        <w:rPr>
          <w:rFonts w:asciiTheme="minorHAnsi" w:eastAsiaTheme="minorEastAsia" w:hAnsiTheme="minorHAnsi"/>
          <w:lang w:eastAsia="ja-JP"/>
        </w:rPr>
      </w:pPr>
      <w:r w:rsidRPr="00F33530">
        <w:rPr>
          <w:rFonts w:asciiTheme="minorHAnsi" w:eastAsiaTheme="minorEastAsia" w:hAnsiTheme="minorHAnsi"/>
          <w:szCs w:val="20"/>
          <w:lang w:eastAsia="ja-JP"/>
        </w:rPr>
        <w:t>While the softer outlook for wage growth will weigh on household income, wage flexibility is an important adjustment mechanism for supporting employment growth as the economy transitions. The current slowing in wage growth is in contrast to the experience in the mid-2000s when wages grew strongly as capacity constraints emerged</w:t>
      </w:r>
      <w:r w:rsidR="00B51D50" w:rsidRPr="00587BCC">
        <w:rPr>
          <w:rFonts w:asciiTheme="minorHAnsi" w:eastAsiaTheme="minorEastAsia" w:hAnsiTheme="minorHAnsi"/>
          <w:lang w:eastAsia="ja-JP"/>
        </w:rPr>
        <w:t>.</w:t>
      </w:r>
    </w:p>
    <w:p w:rsidR="001624E9" w:rsidRPr="00587BCC" w:rsidRDefault="001624E9" w:rsidP="001624E9">
      <w:pPr>
        <w:keepNext/>
        <w:autoSpaceDE w:val="0"/>
        <w:autoSpaceDN w:val="0"/>
        <w:spacing w:after="0"/>
        <w:jc w:val="center"/>
        <w:rPr>
          <w:rFonts w:asciiTheme="minorHAnsi" w:hAnsiTheme="minorHAnsi"/>
          <w:b/>
        </w:rPr>
      </w:pPr>
      <w:r w:rsidRPr="00587BCC">
        <w:rPr>
          <w:rFonts w:asciiTheme="minorHAnsi" w:hAnsiTheme="minorHAnsi"/>
          <w:b/>
        </w:rPr>
        <w:lastRenderedPageBreak/>
        <w:t xml:space="preserve">Chart </w:t>
      </w:r>
      <w:r w:rsidR="00D868E2" w:rsidRPr="00587BCC">
        <w:rPr>
          <w:rFonts w:asciiTheme="minorHAnsi" w:hAnsiTheme="minorHAnsi"/>
          <w:b/>
        </w:rPr>
        <w:t>1</w:t>
      </w:r>
      <w:r w:rsidR="005C1738" w:rsidRPr="00587BCC">
        <w:rPr>
          <w:rFonts w:asciiTheme="minorHAnsi" w:hAnsiTheme="minorHAnsi"/>
          <w:b/>
        </w:rPr>
        <w:t>4</w:t>
      </w:r>
      <w:r w:rsidRPr="00587BCC">
        <w:rPr>
          <w:rFonts w:asciiTheme="minorHAnsi" w:hAnsiTheme="minorHAnsi"/>
          <w:b/>
        </w:rPr>
        <w:t xml:space="preserve">: </w:t>
      </w:r>
      <w:r w:rsidR="009E61F6" w:rsidRPr="00587BCC">
        <w:rPr>
          <w:rFonts w:asciiTheme="minorHAnsi" w:hAnsiTheme="minorHAnsi"/>
          <w:b/>
        </w:rPr>
        <w:t>Wage Price Index by sector</w:t>
      </w:r>
    </w:p>
    <w:p w:rsidR="001624E9" w:rsidRPr="00587BCC" w:rsidRDefault="002B0AB5" w:rsidP="00BA6BEC">
      <w:pPr>
        <w:pStyle w:val="ChartGraphic0"/>
        <w:spacing w:after="240"/>
        <w:jc w:val="left"/>
        <w:rPr>
          <w:rFonts w:asciiTheme="minorHAnsi" w:eastAsiaTheme="minorEastAsia" w:hAnsiTheme="minorHAnsi"/>
          <w:kern w:val="2"/>
          <w:szCs w:val="20"/>
          <w:lang w:eastAsia="ja-JP"/>
        </w:rPr>
      </w:pPr>
      <w:r>
        <w:rPr>
          <w:rFonts w:asciiTheme="minorHAnsi" w:hAnsiTheme="minorHAnsi"/>
        </w:rPr>
        <w:pict>
          <v:shape id="_x0000_i1039" type="#_x0000_t75" style="width:225pt;height:225pt">
            <v:imagedata r:id="rId39" o:title=""/>
          </v:shape>
        </w:pict>
      </w:r>
      <w:r w:rsidR="001624E9" w:rsidRPr="00587BCC">
        <w:rPr>
          <w:rFonts w:asciiTheme="minorHAnsi" w:hAnsiTheme="minorHAnsi"/>
          <w:color w:val="auto"/>
          <w:kern w:val="2"/>
          <w:sz w:val="16"/>
        </w:rPr>
        <w:t>Source: ABS cat. no. 6</w:t>
      </w:r>
      <w:r w:rsidR="00EA1A2B" w:rsidRPr="00587BCC">
        <w:rPr>
          <w:rFonts w:asciiTheme="minorHAnsi" w:hAnsiTheme="minorHAnsi"/>
          <w:color w:val="auto"/>
          <w:kern w:val="2"/>
          <w:sz w:val="16"/>
        </w:rPr>
        <w:t>345</w:t>
      </w:r>
      <w:r w:rsidR="001624E9" w:rsidRPr="00587BCC">
        <w:rPr>
          <w:rFonts w:asciiTheme="minorHAnsi" w:hAnsiTheme="minorHAnsi"/>
          <w:color w:val="auto"/>
          <w:kern w:val="2"/>
          <w:sz w:val="16"/>
        </w:rPr>
        <w:t>.0 and Treasury.</w:t>
      </w:r>
    </w:p>
    <w:p w:rsidR="001624E9" w:rsidRPr="00755AF7" w:rsidRDefault="005F4A22" w:rsidP="00B51D50">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…and helping to contain inflationary pressures.</w:t>
      </w:r>
    </w:p>
    <w:p w:rsidR="001624E9" w:rsidRPr="00587BCC" w:rsidRDefault="00F66A92" w:rsidP="00C23ACD">
      <w:pPr>
        <w:pStyle w:val="Bullet"/>
        <w:numPr>
          <w:ilvl w:val="0"/>
          <w:numId w:val="0"/>
        </w:numPr>
        <w:rPr>
          <w:rFonts w:asciiTheme="minorHAnsi" w:hAnsiTheme="minorHAnsi"/>
          <w:kern w:val="2"/>
          <w:szCs w:val="20"/>
        </w:rPr>
      </w:pPr>
      <w:r w:rsidRPr="00F33530">
        <w:rPr>
          <w:rFonts w:asciiTheme="minorHAnsi" w:eastAsiaTheme="minorEastAsia" w:hAnsiTheme="minorHAnsi"/>
          <w:kern w:val="2"/>
          <w:szCs w:val="20"/>
          <w:lang w:eastAsia="ja-JP"/>
        </w:rPr>
        <w:t>Domestic price pressures remain modest</w:t>
      </w:r>
      <w:r w:rsidRPr="00F33530">
        <w:rPr>
          <w:rFonts w:asciiTheme="minorHAnsi" w:hAnsiTheme="minorHAnsi"/>
          <w:kern w:val="2"/>
          <w:szCs w:val="20"/>
        </w:rPr>
        <w:t xml:space="preserve">. Headline and underlying inflation are expected to be 2½ per cent </w:t>
      </w:r>
      <w:r w:rsidRPr="00F33530">
        <w:rPr>
          <w:rFonts w:asciiTheme="minorHAnsi" w:eastAsiaTheme="minorEastAsia" w:hAnsiTheme="minorHAnsi"/>
          <w:kern w:val="2"/>
          <w:szCs w:val="20"/>
          <w:lang w:eastAsia="ja-JP"/>
        </w:rPr>
        <w:t>through the year</w:t>
      </w:r>
      <w:r w:rsidRPr="00F33530">
        <w:rPr>
          <w:rFonts w:asciiTheme="minorHAnsi" w:hAnsiTheme="minorHAnsi"/>
          <w:kern w:val="2"/>
          <w:szCs w:val="20"/>
        </w:rPr>
        <w:t xml:space="preserve"> to the June quarter </w:t>
      </w:r>
      <w:r w:rsidRPr="00F33530">
        <w:rPr>
          <w:rFonts w:asciiTheme="minorHAnsi" w:eastAsiaTheme="minorEastAsia" w:hAnsiTheme="minorHAnsi"/>
          <w:kern w:val="2"/>
          <w:szCs w:val="20"/>
          <w:lang w:eastAsia="ja-JP"/>
        </w:rPr>
        <w:t xml:space="preserve">of </w:t>
      </w:r>
      <w:r w:rsidRPr="00F33530">
        <w:rPr>
          <w:rFonts w:asciiTheme="minorHAnsi" w:hAnsiTheme="minorHAnsi"/>
          <w:kern w:val="2"/>
          <w:szCs w:val="20"/>
        </w:rPr>
        <w:t>2014, unchanged since PEFO (Chart 15). The removal of the carbon price in 2014-15 is expected to lower headline and underlying inflation by less than ¼ of a percentage point through the year to the June quarter 2015</w:t>
      </w:r>
      <w:r w:rsidRPr="00F33530">
        <w:rPr>
          <w:rStyle w:val="FootnoteReference"/>
          <w:rFonts w:asciiTheme="minorHAnsi" w:hAnsiTheme="minorHAnsi"/>
          <w:kern w:val="2"/>
          <w:szCs w:val="20"/>
        </w:rPr>
        <w:footnoteReference w:id="1"/>
      </w:r>
      <w:r w:rsidRPr="00F33530">
        <w:rPr>
          <w:rFonts w:asciiTheme="minorHAnsi" w:hAnsiTheme="minorHAnsi"/>
          <w:kern w:val="2"/>
          <w:szCs w:val="20"/>
        </w:rPr>
        <w:t>.  Headline and underlying inflation are expected to be 2 per cent through the year to the June quarter 2015</w:t>
      </w:r>
      <w:r w:rsidR="001624E9" w:rsidRPr="00587BCC">
        <w:rPr>
          <w:rFonts w:asciiTheme="minorHAnsi" w:hAnsiTheme="minorHAnsi"/>
          <w:kern w:val="2"/>
          <w:szCs w:val="20"/>
        </w:rPr>
        <w:t>.</w:t>
      </w:r>
    </w:p>
    <w:p w:rsidR="00191B9A" w:rsidRPr="00587BCC" w:rsidRDefault="00191B9A" w:rsidP="00191B9A">
      <w:pPr>
        <w:keepNext/>
        <w:autoSpaceDE w:val="0"/>
        <w:autoSpaceDN w:val="0"/>
        <w:spacing w:after="0"/>
        <w:jc w:val="center"/>
        <w:rPr>
          <w:rFonts w:asciiTheme="minorHAnsi" w:hAnsiTheme="minorHAnsi"/>
          <w:b/>
        </w:rPr>
      </w:pPr>
      <w:r w:rsidRPr="00587BCC">
        <w:rPr>
          <w:rFonts w:asciiTheme="minorHAnsi" w:hAnsiTheme="minorHAnsi"/>
          <w:b/>
        </w:rPr>
        <w:lastRenderedPageBreak/>
        <w:t xml:space="preserve">Chart </w:t>
      </w:r>
      <w:r w:rsidR="00D868E2" w:rsidRPr="00587BCC">
        <w:rPr>
          <w:rFonts w:asciiTheme="minorHAnsi" w:hAnsiTheme="minorHAnsi"/>
          <w:b/>
        </w:rPr>
        <w:t>1</w:t>
      </w:r>
      <w:r w:rsidR="005C1738" w:rsidRPr="00587BCC">
        <w:rPr>
          <w:rFonts w:asciiTheme="minorHAnsi" w:hAnsiTheme="minorHAnsi"/>
          <w:b/>
        </w:rPr>
        <w:t>5</w:t>
      </w:r>
      <w:r w:rsidRPr="00587BCC">
        <w:rPr>
          <w:rFonts w:asciiTheme="minorHAnsi" w:hAnsiTheme="minorHAnsi"/>
          <w:b/>
        </w:rPr>
        <w:t xml:space="preserve">: </w:t>
      </w:r>
      <w:r w:rsidR="005C1738" w:rsidRPr="00587BCC">
        <w:rPr>
          <w:rFonts w:asciiTheme="minorHAnsi" w:hAnsiTheme="minorHAnsi"/>
          <w:b/>
        </w:rPr>
        <w:t>Headline i</w:t>
      </w:r>
      <w:r w:rsidR="009E61F6" w:rsidRPr="00587BCC">
        <w:rPr>
          <w:rFonts w:asciiTheme="minorHAnsi" w:hAnsiTheme="minorHAnsi"/>
          <w:b/>
        </w:rPr>
        <w:t>nflation</w:t>
      </w:r>
    </w:p>
    <w:p w:rsidR="00191B9A" w:rsidRPr="00587BCC" w:rsidRDefault="002B0AB5" w:rsidP="00C3132B">
      <w:pPr>
        <w:pStyle w:val="ChartGraphic0"/>
        <w:spacing w:after="240"/>
        <w:jc w:val="left"/>
        <w:rPr>
          <w:rFonts w:asciiTheme="minorHAnsi" w:eastAsiaTheme="minorEastAsia" w:hAnsiTheme="minorHAnsi"/>
          <w:kern w:val="2"/>
          <w:szCs w:val="20"/>
          <w:lang w:eastAsia="ja-JP"/>
        </w:rPr>
      </w:pPr>
      <w:r>
        <w:rPr>
          <w:rFonts w:asciiTheme="minorHAnsi" w:hAnsiTheme="minorHAnsi"/>
        </w:rPr>
        <w:pict>
          <v:shape id="_x0000_i1040" type="#_x0000_t75" style="width:225.75pt;height:225.75pt">
            <v:imagedata r:id="rId40" o:title=""/>
          </v:shape>
        </w:pict>
      </w:r>
      <w:r w:rsidR="00191B9A" w:rsidRPr="00587BCC">
        <w:rPr>
          <w:rFonts w:asciiTheme="minorHAnsi" w:hAnsiTheme="minorHAnsi"/>
          <w:color w:val="auto"/>
          <w:kern w:val="2"/>
          <w:sz w:val="16"/>
        </w:rPr>
        <w:t>Source: ABS cat. no. 6</w:t>
      </w:r>
      <w:r w:rsidR="005C1738" w:rsidRPr="00587BCC">
        <w:rPr>
          <w:rFonts w:asciiTheme="minorHAnsi" w:hAnsiTheme="minorHAnsi"/>
          <w:color w:val="auto"/>
          <w:kern w:val="2"/>
          <w:sz w:val="16"/>
        </w:rPr>
        <w:t>401</w:t>
      </w:r>
      <w:r w:rsidR="00191B9A" w:rsidRPr="00587BCC">
        <w:rPr>
          <w:rFonts w:asciiTheme="minorHAnsi" w:hAnsiTheme="minorHAnsi"/>
          <w:color w:val="auto"/>
          <w:kern w:val="2"/>
          <w:sz w:val="16"/>
        </w:rPr>
        <w:t>.0 and Treasury.</w:t>
      </w:r>
    </w:p>
    <w:p w:rsidR="002811AD" w:rsidRPr="00755AF7" w:rsidRDefault="008E5CB3" w:rsidP="008E5CB3">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T</w:t>
      </w:r>
      <w:r w:rsidR="002811AD" w:rsidRPr="00755AF7">
        <w:rPr>
          <w:rFonts w:asciiTheme="minorHAnsi" w:hAnsiTheme="minorHAnsi"/>
          <w:b/>
          <w:color w:val="0000FF"/>
          <w:sz w:val="24"/>
        </w:rPr>
        <w:t xml:space="preserve">he terms of trade are </w:t>
      </w:r>
      <w:r w:rsidRPr="00755AF7">
        <w:rPr>
          <w:rFonts w:asciiTheme="minorHAnsi" w:hAnsiTheme="minorHAnsi"/>
          <w:b/>
          <w:color w:val="0000FF"/>
          <w:sz w:val="24"/>
        </w:rPr>
        <w:t xml:space="preserve">still expected to </w:t>
      </w:r>
      <w:r w:rsidR="002811AD" w:rsidRPr="00755AF7">
        <w:rPr>
          <w:rFonts w:asciiTheme="minorHAnsi" w:hAnsiTheme="minorHAnsi"/>
          <w:b/>
          <w:color w:val="0000FF"/>
          <w:sz w:val="24"/>
        </w:rPr>
        <w:t>fall</w:t>
      </w:r>
      <w:r w:rsidRPr="00755AF7">
        <w:rPr>
          <w:rFonts w:asciiTheme="minorHAnsi" w:hAnsiTheme="minorHAnsi"/>
          <w:b/>
          <w:color w:val="0000FF"/>
          <w:sz w:val="24"/>
        </w:rPr>
        <w:t>…</w:t>
      </w:r>
    </w:p>
    <w:p w:rsidR="00F66A92" w:rsidRPr="00F33530" w:rsidRDefault="00F66A92" w:rsidP="00F66A92">
      <w:pPr>
        <w:pStyle w:val="Bullet"/>
        <w:numPr>
          <w:ilvl w:val="0"/>
          <w:numId w:val="0"/>
        </w:numPr>
        <w:rPr>
          <w:rFonts w:asciiTheme="minorHAnsi" w:hAnsiTheme="minorHAnsi"/>
          <w:kern w:val="2"/>
          <w:szCs w:val="20"/>
        </w:rPr>
      </w:pPr>
      <w:r w:rsidRPr="00F33530">
        <w:rPr>
          <w:rFonts w:asciiTheme="minorHAnsi" w:hAnsiTheme="minorHAnsi"/>
          <w:kern w:val="2"/>
          <w:szCs w:val="20"/>
        </w:rPr>
        <w:t>Near-term forecasts for the terms of trade have been revised up since PEFO, reflecting recent strength in commodity prices. Policy fine-tuning by Chinese authorities to support near-term economic activity have resulted in</w:t>
      </w:r>
      <w:r w:rsidR="00B05208">
        <w:rPr>
          <w:rFonts w:asciiTheme="minorHAnsi" w:hAnsiTheme="minorHAnsi"/>
          <w:kern w:val="2"/>
          <w:szCs w:val="20"/>
        </w:rPr>
        <w:t xml:space="preserve"> faster growth in</w:t>
      </w:r>
      <w:r w:rsidRPr="00F33530">
        <w:rPr>
          <w:rFonts w:asciiTheme="minorHAnsi" w:hAnsiTheme="minorHAnsi"/>
          <w:kern w:val="2"/>
          <w:szCs w:val="20"/>
        </w:rPr>
        <w:t xml:space="preserve"> industrial production and </w:t>
      </w:r>
      <w:r w:rsidR="00B05208">
        <w:rPr>
          <w:rFonts w:asciiTheme="minorHAnsi" w:hAnsiTheme="minorHAnsi"/>
          <w:kern w:val="2"/>
          <w:szCs w:val="20"/>
        </w:rPr>
        <w:t>infrastructure investment</w:t>
      </w:r>
      <w:r w:rsidRPr="00F33530">
        <w:rPr>
          <w:rFonts w:asciiTheme="minorHAnsi" w:hAnsiTheme="minorHAnsi"/>
          <w:kern w:val="2"/>
          <w:szCs w:val="20"/>
        </w:rPr>
        <w:t xml:space="preserve">. These resource intensive sectors have supported demand for iron ore and metallurgical coal over recent months. </w:t>
      </w:r>
    </w:p>
    <w:p w:rsidR="00F66A92" w:rsidRPr="00F33530" w:rsidRDefault="00F66A92" w:rsidP="00F66A92">
      <w:pPr>
        <w:pStyle w:val="Bullet"/>
        <w:numPr>
          <w:ilvl w:val="0"/>
          <w:numId w:val="0"/>
        </w:numPr>
        <w:rPr>
          <w:rFonts w:asciiTheme="minorHAnsi" w:hAnsiTheme="minorHAnsi"/>
          <w:kern w:val="2"/>
          <w:szCs w:val="20"/>
        </w:rPr>
      </w:pPr>
      <w:r w:rsidRPr="00F33530">
        <w:rPr>
          <w:rFonts w:asciiTheme="minorHAnsi" w:hAnsiTheme="minorHAnsi"/>
          <w:kern w:val="2"/>
          <w:szCs w:val="20"/>
        </w:rPr>
        <w:t xml:space="preserve">However, the outlook for China over the next two years remains unchanged since PEFO. As a result, we have not changed our view on the medium term outlook for commodity demand or prices, which remain below consensus forecasts (Appendix B). Strong growth in iron ore supply, particularly from Australia, is expected to weigh on prices over coming years, and increasing global supply of metallurgical and thermal coal should limit their price growth. </w:t>
      </w:r>
    </w:p>
    <w:p w:rsidR="001667AC" w:rsidRPr="00587BCC" w:rsidRDefault="00F66A92" w:rsidP="00F66A92">
      <w:pPr>
        <w:pStyle w:val="Bullet"/>
        <w:numPr>
          <w:ilvl w:val="0"/>
          <w:numId w:val="0"/>
        </w:numPr>
        <w:rPr>
          <w:rFonts w:asciiTheme="minorHAnsi" w:hAnsiTheme="minorHAnsi"/>
          <w:kern w:val="2"/>
          <w:szCs w:val="20"/>
        </w:rPr>
      </w:pPr>
      <w:r w:rsidRPr="00F33530">
        <w:rPr>
          <w:rFonts w:asciiTheme="minorHAnsi" w:hAnsiTheme="minorHAnsi"/>
          <w:kern w:val="2"/>
          <w:szCs w:val="20"/>
        </w:rPr>
        <w:t>The terms of trade are expected to fall 5¼ per cent in 2013-14 and 4¾ per cent in 2014-15, returning to around the same level at the end of the forecast period as expected at PEFO</w:t>
      </w:r>
      <w:r w:rsidR="001667AC" w:rsidRPr="00587BCC">
        <w:rPr>
          <w:rFonts w:asciiTheme="minorHAnsi" w:hAnsiTheme="minorHAnsi"/>
          <w:kern w:val="2"/>
          <w:szCs w:val="20"/>
        </w:rPr>
        <w:t xml:space="preserve">. </w:t>
      </w:r>
    </w:p>
    <w:p w:rsidR="005B4308" w:rsidRDefault="005B4308" w:rsidP="002113E9">
      <w:pPr>
        <w:pStyle w:val="Bullet"/>
        <w:numPr>
          <w:ilvl w:val="0"/>
          <w:numId w:val="0"/>
        </w:numPr>
        <w:spacing w:line="240" w:lineRule="auto"/>
        <w:rPr>
          <w:rFonts w:asciiTheme="minorHAnsi" w:hAnsiTheme="minorHAnsi"/>
          <w:b/>
          <w:color w:val="003399"/>
          <w:sz w:val="24"/>
        </w:rPr>
      </w:pPr>
    </w:p>
    <w:p w:rsidR="00B05208" w:rsidRPr="00587BCC" w:rsidRDefault="00B05208" w:rsidP="002113E9">
      <w:pPr>
        <w:pStyle w:val="Bullet"/>
        <w:numPr>
          <w:ilvl w:val="0"/>
          <w:numId w:val="0"/>
        </w:numPr>
        <w:spacing w:line="240" w:lineRule="auto"/>
        <w:rPr>
          <w:rFonts w:asciiTheme="minorHAnsi" w:hAnsiTheme="minorHAnsi"/>
          <w:b/>
          <w:color w:val="003399"/>
          <w:sz w:val="24"/>
        </w:rPr>
      </w:pPr>
    </w:p>
    <w:p w:rsidR="005B4308" w:rsidRDefault="005B4308" w:rsidP="002113E9">
      <w:pPr>
        <w:pStyle w:val="Bullet"/>
        <w:numPr>
          <w:ilvl w:val="0"/>
          <w:numId w:val="0"/>
        </w:numPr>
        <w:spacing w:line="240" w:lineRule="auto"/>
        <w:rPr>
          <w:rFonts w:asciiTheme="minorHAnsi" w:hAnsiTheme="minorHAnsi"/>
          <w:b/>
          <w:color w:val="003399"/>
          <w:sz w:val="24"/>
        </w:rPr>
      </w:pPr>
    </w:p>
    <w:p w:rsidR="00755AF7" w:rsidRPr="00587BCC" w:rsidRDefault="00755AF7" w:rsidP="002113E9">
      <w:pPr>
        <w:pStyle w:val="Bullet"/>
        <w:numPr>
          <w:ilvl w:val="0"/>
          <w:numId w:val="0"/>
        </w:numPr>
        <w:spacing w:line="240" w:lineRule="auto"/>
        <w:rPr>
          <w:rFonts w:asciiTheme="minorHAnsi" w:hAnsiTheme="minorHAnsi"/>
          <w:b/>
          <w:color w:val="003399"/>
          <w:sz w:val="24"/>
        </w:rPr>
      </w:pPr>
    </w:p>
    <w:p w:rsidR="002113E9" w:rsidRPr="00755AF7" w:rsidRDefault="002113E9" w:rsidP="002113E9">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lastRenderedPageBreak/>
        <w:t xml:space="preserve">…and together with slower wage growth is constraining nominal GDP growth </w:t>
      </w:r>
    </w:p>
    <w:p w:rsidR="00F66A92" w:rsidRDefault="00F66A92" w:rsidP="00AE7D41">
      <w:pPr>
        <w:keepNext/>
        <w:autoSpaceDE w:val="0"/>
        <w:autoSpaceDN w:val="0"/>
        <w:spacing w:after="0"/>
        <w:rPr>
          <w:rFonts w:asciiTheme="minorHAnsi" w:eastAsiaTheme="minorEastAsia" w:hAnsiTheme="minorHAnsi"/>
          <w:kern w:val="2"/>
          <w:szCs w:val="20"/>
          <w:lang w:eastAsia="ja-JP"/>
        </w:rPr>
      </w:pPr>
      <w:r w:rsidRPr="00F33530">
        <w:rPr>
          <w:rFonts w:asciiTheme="minorHAnsi" w:eastAsiaTheme="minorEastAsia" w:hAnsiTheme="minorHAnsi"/>
          <w:kern w:val="2"/>
          <w:szCs w:val="20"/>
          <w:lang w:eastAsia="ja-JP"/>
        </w:rPr>
        <w:t>Forecast nominal GDP growth has been revised lower since PEFO, reflecting the weaker outlook for real GDP, wages and domestic prices, partially offset by the higher terms of trade in the near term. Nominal GDP is expected to grow by 3¼ per cent in 2013-14 and 3¾ per cent in 2014-15, downgrades of ½ of a percentage point in 2013-14 and ¾ of a percentage point in 2014-15 (Chart 16).</w:t>
      </w:r>
      <w:r w:rsidRPr="00F33530">
        <w:rPr>
          <w:rStyle w:val="FootnoteReference"/>
          <w:rFonts w:asciiTheme="minorHAnsi" w:eastAsiaTheme="minorEastAsia" w:hAnsiTheme="minorHAnsi"/>
          <w:kern w:val="2"/>
          <w:szCs w:val="20"/>
          <w:lang w:eastAsia="ja-JP"/>
        </w:rPr>
        <w:footnoteReference w:id="2"/>
      </w:r>
    </w:p>
    <w:p w:rsidR="00F66A92" w:rsidRDefault="00F66A92" w:rsidP="002113E9">
      <w:pPr>
        <w:keepNext/>
        <w:autoSpaceDE w:val="0"/>
        <w:autoSpaceDN w:val="0"/>
        <w:spacing w:after="0"/>
        <w:jc w:val="center"/>
        <w:rPr>
          <w:rFonts w:asciiTheme="minorHAnsi" w:eastAsiaTheme="minorEastAsia" w:hAnsiTheme="minorHAnsi"/>
          <w:kern w:val="2"/>
          <w:szCs w:val="20"/>
          <w:lang w:eastAsia="ja-JP"/>
        </w:rPr>
      </w:pPr>
    </w:p>
    <w:p w:rsidR="002113E9" w:rsidRPr="00587BCC" w:rsidRDefault="002113E9" w:rsidP="002113E9">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1</w:t>
      </w:r>
      <w:r w:rsidR="005C1738" w:rsidRPr="00587BCC">
        <w:rPr>
          <w:rFonts w:asciiTheme="minorHAnsi" w:hAnsiTheme="minorHAnsi"/>
          <w:b/>
        </w:rPr>
        <w:t>6</w:t>
      </w:r>
      <w:r w:rsidRPr="00587BCC">
        <w:rPr>
          <w:rFonts w:asciiTheme="minorHAnsi" w:hAnsiTheme="minorHAnsi"/>
          <w:b/>
        </w:rPr>
        <w:t xml:space="preserve">: </w:t>
      </w:r>
      <w:r w:rsidR="00C6309D" w:rsidRPr="00587BCC">
        <w:rPr>
          <w:rFonts w:asciiTheme="minorHAnsi" w:hAnsiTheme="minorHAnsi"/>
          <w:b/>
        </w:rPr>
        <w:t>N</w:t>
      </w:r>
      <w:r w:rsidRPr="00587BCC">
        <w:rPr>
          <w:rFonts w:asciiTheme="minorHAnsi" w:hAnsiTheme="minorHAnsi"/>
          <w:b/>
        </w:rPr>
        <w:t>ominal GDP</w:t>
      </w:r>
      <w:r w:rsidR="00C6309D" w:rsidRPr="00587BCC">
        <w:rPr>
          <w:rFonts w:asciiTheme="minorHAnsi" w:hAnsiTheme="minorHAnsi"/>
          <w:b/>
        </w:rPr>
        <w:t xml:space="preserve"> growth</w:t>
      </w:r>
    </w:p>
    <w:p w:rsidR="002113E9" w:rsidRPr="00587BCC" w:rsidRDefault="002B0AB5" w:rsidP="00C6309D">
      <w:pPr>
        <w:pStyle w:val="ChartGraphic0"/>
        <w:spacing w:after="240"/>
        <w:jc w:val="left"/>
        <w:rPr>
          <w:rFonts w:asciiTheme="minorHAnsi" w:eastAsiaTheme="minorEastAsia" w:hAnsiTheme="minorHAnsi"/>
          <w:kern w:val="2"/>
          <w:szCs w:val="20"/>
          <w:lang w:eastAsia="ja-JP"/>
        </w:rPr>
      </w:pPr>
      <w:r>
        <w:rPr>
          <w:rFonts w:asciiTheme="minorHAnsi" w:hAnsiTheme="minorHAnsi"/>
        </w:rPr>
        <w:pict>
          <v:shape id="_x0000_i1041" type="#_x0000_t75" style="width:225pt;height:226.5pt">
            <v:imagedata r:id="rId41" o:title=""/>
          </v:shape>
        </w:pict>
      </w:r>
      <w:r w:rsidR="002113E9" w:rsidRPr="00587BCC">
        <w:rPr>
          <w:rFonts w:asciiTheme="minorHAnsi" w:hAnsiTheme="minorHAnsi"/>
          <w:color w:val="auto"/>
          <w:kern w:val="2"/>
          <w:sz w:val="16"/>
        </w:rPr>
        <w:t>Source: ABS cat. no</w:t>
      </w:r>
      <w:r w:rsidR="00984D92" w:rsidRPr="00587BCC">
        <w:rPr>
          <w:rFonts w:asciiTheme="minorHAnsi" w:hAnsiTheme="minorHAnsi"/>
          <w:color w:val="auto"/>
          <w:kern w:val="2"/>
          <w:sz w:val="16"/>
        </w:rPr>
        <w:t>.</w:t>
      </w:r>
      <w:r w:rsidR="002113E9" w:rsidRPr="00587BCC">
        <w:rPr>
          <w:rFonts w:asciiTheme="minorHAnsi" w:hAnsiTheme="minorHAnsi"/>
          <w:color w:val="auto"/>
          <w:kern w:val="2"/>
          <w:sz w:val="16"/>
        </w:rPr>
        <w:t xml:space="preserve"> 5206.0 and Treasury.</w:t>
      </w:r>
    </w:p>
    <w:p w:rsidR="002113E9" w:rsidRPr="00587BCC" w:rsidRDefault="00F66A92" w:rsidP="002113E9">
      <w:pPr>
        <w:pStyle w:val="Bullet"/>
        <w:numPr>
          <w:ilvl w:val="0"/>
          <w:numId w:val="0"/>
        </w:numPr>
        <w:rPr>
          <w:rFonts w:asciiTheme="minorHAnsi" w:hAnsiTheme="minorHAnsi"/>
          <w:kern w:val="2"/>
          <w:szCs w:val="20"/>
        </w:rPr>
      </w:pPr>
      <w:r w:rsidRPr="00F33530">
        <w:rPr>
          <w:rFonts w:asciiTheme="minorHAnsi" w:hAnsiTheme="minorHAnsi"/>
          <w:kern w:val="2"/>
          <w:szCs w:val="20"/>
        </w:rPr>
        <w:t xml:space="preserve">The uncertainty around nominal GDP growth forecasts is larger than around real GDP growth forecasts, reflecting the compounding nature of two sources of uncertainty: the outlook for real GDP and the outlook for prices or the GDP deflator. The average annualised nominal GDP growth over the two years 2012-13 to 2014-15 is expected to be 3.6 per cent, with the 70 per cent confidence interval over the two years from </w:t>
      </w:r>
      <w:r w:rsidR="001D0D39">
        <w:rPr>
          <w:rFonts w:asciiTheme="minorHAnsi" w:hAnsiTheme="minorHAnsi"/>
          <w:kern w:val="2"/>
          <w:szCs w:val="20"/>
        </w:rPr>
        <w:t>2.2</w:t>
      </w:r>
      <w:r w:rsidRPr="00F33530">
        <w:rPr>
          <w:rFonts w:asciiTheme="minorHAnsi" w:hAnsiTheme="minorHAnsi"/>
          <w:kern w:val="2"/>
          <w:szCs w:val="20"/>
        </w:rPr>
        <w:t xml:space="preserve"> to 5.</w:t>
      </w:r>
      <w:r w:rsidR="001D0D39">
        <w:rPr>
          <w:rFonts w:asciiTheme="minorHAnsi" w:hAnsiTheme="minorHAnsi"/>
          <w:kern w:val="2"/>
          <w:szCs w:val="20"/>
        </w:rPr>
        <w:t>0</w:t>
      </w:r>
      <w:r w:rsidRPr="00F33530">
        <w:rPr>
          <w:rFonts w:asciiTheme="minorHAnsi" w:hAnsiTheme="minorHAnsi"/>
          <w:kern w:val="2"/>
          <w:szCs w:val="20"/>
        </w:rPr>
        <w:t xml:space="preserve"> per cent (Chart 17 and Appendix A)</w:t>
      </w:r>
      <w:r>
        <w:rPr>
          <w:rFonts w:asciiTheme="minorHAnsi" w:hAnsiTheme="minorHAnsi"/>
          <w:kern w:val="2"/>
          <w:szCs w:val="20"/>
        </w:rPr>
        <w:t>.</w:t>
      </w:r>
    </w:p>
    <w:p w:rsidR="00DD4555" w:rsidRPr="00587BCC" w:rsidRDefault="00DD4555" w:rsidP="00DD4555">
      <w:pPr>
        <w:keepNext/>
        <w:autoSpaceDE w:val="0"/>
        <w:autoSpaceDN w:val="0"/>
        <w:spacing w:after="0"/>
        <w:jc w:val="center"/>
        <w:rPr>
          <w:rFonts w:asciiTheme="minorHAnsi" w:hAnsiTheme="minorHAnsi"/>
          <w:b/>
          <w:szCs w:val="20"/>
        </w:rPr>
      </w:pPr>
      <w:r w:rsidRPr="00587BCC">
        <w:rPr>
          <w:rFonts w:asciiTheme="minorHAnsi" w:hAnsiTheme="minorHAnsi"/>
          <w:b/>
          <w:szCs w:val="20"/>
        </w:rPr>
        <w:lastRenderedPageBreak/>
        <w:t xml:space="preserve">Chart </w:t>
      </w:r>
      <w:r w:rsidR="00D868E2" w:rsidRPr="00587BCC">
        <w:rPr>
          <w:rFonts w:asciiTheme="minorHAnsi" w:hAnsiTheme="minorHAnsi"/>
          <w:b/>
          <w:szCs w:val="20"/>
        </w:rPr>
        <w:t>1</w:t>
      </w:r>
      <w:r w:rsidR="005C1738" w:rsidRPr="00587BCC">
        <w:rPr>
          <w:rFonts w:asciiTheme="minorHAnsi" w:hAnsiTheme="minorHAnsi"/>
          <w:b/>
          <w:szCs w:val="20"/>
        </w:rPr>
        <w:t>7</w:t>
      </w:r>
      <w:r w:rsidRPr="00587BCC">
        <w:rPr>
          <w:rFonts w:asciiTheme="minorHAnsi" w:hAnsiTheme="minorHAnsi"/>
          <w:b/>
          <w:szCs w:val="20"/>
        </w:rPr>
        <w:t>: Confidence intervals around forecast nominal GDP</w:t>
      </w:r>
    </w:p>
    <w:p w:rsidR="00503D4C" w:rsidRPr="00503D4C" w:rsidRDefault="002B0AB5" w:rsidP="00DD00E3">
      <w:pPr>
        <w:autoSpaceDE w:val="0"/>
        <w:autoSpaceDN w:val="0"/>
        <w:spacing w:after="0" w:line="240" w:lineRule="auto"/>
        <w:jc w:val="left"/>
        <w:rPr>
          <w:rFonts w:asciiTheme="minorHAnsi" w:hAnsiTheme="minorHAnsi"/>
          <w:sz w:val="16"/>
          <w:szCs w:val="16"/>
        </w:rPr>
      </w:pPr>
      <w:r>
        <w:rPr>
          <w:rFonts w:asciiTheme="minorHAnsi" w:hAnsiTheme="minorHAnsi"/>
        </w:rPr>
        <w:pict>
          <v:shape id="_x0000_i1042" type="#_x0000_t75" style="width:225.75pt;height:225.75pt">
            <v:imagedata r:id="rId42" o:title=""/>
          </v:shape>
        </w:pict>
      </w:r>
      <w:r w:rsidR="00503D4C" w:rsidRPr="00603A05">
        <w:rPr>
          <w:rFonts w:asciiTheme="minorHAnsi" w:hAnsiTheme="minorHAnsi"/>
          <w:sz w:val="16"/>
          <w:szCs w:val="16"/>
        </w:rPr>
        <w:t>Note: Confidence intervals are based</w:t>
      </w:r>
      <w:r w:rsidR="00DD00E3">
        <w:rPr>
          <w:rFonts w:asciiTheme="minorHAnsi" w:hAnsiTheme="minorHAnsi"/>
          <w:sz w:val="16"/>
          <w:szCs w:val="16"/>
        </w:rPr>
        <w:t xml:space="preserve"> on</w:t>
      </w:r>
      <w:r w:rsidR="00503D4C" w:rsidRPr="00603A05">
        <w:rPr>
          <w:rFonts w:asciiTheme="minorHAnsi" w:hAnsiTheme="minorHAnsi"/>
          <w:sz w:val="16"/>
          <w:szCs w:val="16"/>
        </w:rPr>
        <w:t xml:space="preserve"> </w:t>
      </w:r>
      <w:r w:rsidR="00DD00E3">
        <w:rPr>
          <w:rFonts w:asciiTheme="minorHAnsi" w:hAnsiTheme="minorHAnsi"/>
          <w:sz w:val="16"/>
          <w:szCs w:val="16"/>
        </w:rPr>
        <w:t>B</w:t>
      </w:r>
      <w:r w:rsidR="00503D4C" w:rsidRPr="00603A05">
        <w:rPr>
          <w:rFonts w:asciiTheme="minorHAnsi" w:hAnsiTheme="minorHAnsi"/>
          <w:sz w:val="16"/>
          <w:szCs w:val="16"/>
        </w:rPr>
        <w:t xml:space="preserve">udget </w:t>
      </w:r>
      <w:r w:rsidR="00DD00E3">
        <w:rPr>
          <w:rFonts w:asciiTheme="minorHAnsi" w:hAnsiTheme="minorHAnsi"/>
          <w:sz w:val="16"/>
          <w:szCs w:val="16"/>
        </w:rPr>
        <w:t>forecast errors</w:t>
      </w:r>
      <w:r w:rsidR="00503D4C">
        <w:rPr>
          <w:rFonts w:asciiTheme="minorHAnsi" w:hAnsiTheme="minorHAnsi"/>
          <w:sz w:val="16"/>
          <w:szCs w:val="16"/>
        </w:rPr>
        <w:t xml:space="preserve"> (please see Appendix A for further information).</w:t>
      </w:r>
    </w:p>
    <w:p w:rsidR="00503D4C" w:rsidRDefault="00503D4C" w:rsidP="00503D4C">
      <w:pPr>
        <w:spacing w:line="240" w:lineRule="auto"/>
        <w:jc w:val="left"/>
        <w:rPr>
          <w:rFonts w:asciiTheme="minorHAnsi" w:hAnsiTheme="minorHAnsi"/>
          <w:sz w:val="16"/>
          <w:szCs w:val="16"/>
        </w:rPr>
      </w:pPr>
      <w:r w:rsidRPr="00587BCC">
        <w:rPr>
          <w:rFonts w:asciiTheme="minorHAnsi" w:hAnsiTheme="minorHAnsi"/>
          <w:sz w:val="16"/>
          <w:szCs w:val="16"/>
        </w:rPr>
        <w:t>Source: ABS cat. no. 5206.0, Budget papers and Treasury.</w:t>
      </w:r>
    </w:p>
    <w:p w:rsidR="002113E9" w:rsidRPr="00755AF7" w:rsidRDefault="002113E9" w:rsidP="002113E9">
      <w:pPr>
        <w:pStyle w:val="Bullet"/>
        <w:numPr>
          <w:ilvl w:val="0"/>
          <w:numId w:val="0"/>
        </w:numPr>
        <w:spacing w:line="240" w:lineRule="auto"/>
        <w:rPr>
          <w:rFonts w:asciiTheme="minorHAnsi" w:hAnsiTheme="minorHAnsi"/>
          <w:b/>
          <w:color w:val="0000FF"/>
          <w:sz w:val="24"/>
        </w:rPr>
      </w:pPr>
      <w:r w:rsidRPr="00755AF7">
        <w:rPr>
          <w:rFonts w:asciiTheme="minorHAnsi" w:hAnsiTheme="minorHAnsi"/>
          <w:b/>
          <w:color w:val="0000FF"/>
          <w:sz w:val="24"/>
        </w:rPr>
        <w:t>There are significant domestic risks to the outlook…</w:t>
      </w:r>
    </w:p>
    <w:p w:rsidR="00F66A92" w:rsidRPr="00F33530" w:rsidRDefault="00F66A92" w:rsidP="00F66A92">
      <w:pPr>
        <w:rPr>
          <w:rFonts w:asciiTheme="minorHAnsi" w:eastAsiaTheme="minorEastAsia" w:hAnsiTheme="minorHAnsi"/>
          <w:szCs w:val="20"/>
          <w:lang w:eastAsia="ja-JP"/>
        </w:rPr>
      </w:pPr>
      <w:r w:rsidRPr="00F33530">
        <w:rPr>
          <w:rFonts w:asciiTheme="minorHAnsi" w:eastAsiaTheme="minorEastAsia" w:hAnsiTheme="minorHAnsi"/>
          <w:szCs w:val="20"/>
          <w:lang w:eastAsia="ja-JP"/>
        </w:rPr>
        <w:t xml:space="preserve">The forecasts are consistent with a relatively smooth transition to broader based growth drivers over the forecast period. However, should the pace of rebalancing continue to disappoint, the period of below-trend growth could be more pronounced and/or protracted. </w:t>
      </w:r>
    </w:p>
    <w:p w:rsidR="00F66A92" w:rsidRPr="00F33530" w:rsidRDefault="00F66A92" w:rsidP="00F66A92">
      <w:pPr>
        <w:rPr>
          <w:rFonts w:asciiTheme="minorHAnsi" w:eastAsiaTheme="minorEastAsia" w:hAnsiTheme="minorHAnsi"/>
          <w:szCs w:val="20"/>
          <w:lang w:eastAsia="ja-JP"/>
        </w:rPr>
      </w:pPr>
      <w:r w:rsidRPr="00F33530">
        <w:rPr>
          <w:rFonts w:asciiTheme="minorHAnsi" w:eastAsiaTheme="minorEastAsia" w:hAnsiTheme="minorHAnsi"/>
          <w:szCs w:val="20"/>
          <w:lang w:eastAsia="ja-JP"/>
        </w:rPr>
        <w:t xml:space="preserve">In 2014-15, the non-resources sector is forecast to grow at its fastest rate since before the global financial crisis. Should consumers continue to remain cautious and not provide the expected boost to demand needed for businesses to increase investment, growth may not meet forecast rates. </w:t>
      </w:r>
    </w:p>
    <w:p w:rsidR="00F66A92" w:rsidRPr="00F33530" w:rsidRDefault="00F66A92" w:rsidP="00F66A92">
      <w:pPr>
        <w:rPr>
          <w:rFonts w:asciiTheme="minorHAnsi" w:eastAsiaTheme="minorEastAsia" w:hAnsiTheme="minorHAnsi"/>
          <w:szCs w:val="20"/>
          <w:lang w:eastAsia="ja-JP"/>
        </w:rPr>
      </w:pPr>
      <w:r w:rsidRPr="00F33530">
        <w:rPr>
          <w:rFonts w:asciiTheme="minorHAnsi" w:eastAsiaTheme="minorEastAsia" w:hAnsiTheme="minorHAnsi"/>
          <w:szCs w:val="20"/>
          <w:lang w:eastAsia="ja-JP"/>
        </w:rPr>
        <w:t>Additionally, the anticipated fall in resources investment could be sharper than currently expected necessitating a greater contribution from the non-resources sector to help bring growth back towards trend.</w:t>
      </w:r>
    </w:p>
    <w:p w:rsidR="00F66A92" w:rsidRPr="00F33530" w:rsidRDefault="00F66A92" w:rsidP="00F66A92">
      <w:pPr>
        <w:rPr>
          <w:rFonts w:asciiTheme="minorHAnsi" w:eastAsiaTheme="minorEastAsia" w:hAnsiTheme="minorHAnsi"/>
          <w:kern w:val="2"/>
          <w:szCs w:val="20"/>
          <w:lang w:eastAsia="ja-JP"/>
        </w:rPr>
      </w:pPr>
      <w:r w:rsidRPr="00F33530">
        <w:rPr>
          <w:rFonts w:asciiTheme="minorHAnsi" w:hAnsiTheme="minorHAnsi"/>
          <w:szCs w:val="20"/>
        </w:rPr>
        <w:t xml:space="preserve">It is also possible that the forecast weakness in national income growth may weigh more heavily on domestic demand than currently expected. </w:t>
      </w:r>
      <w:r w:rsidRPr="00F33530">
        <w:rPr>
          <w:rFonts w:asciiTheme="minorHAnsi" w:eastAsiaTheme="minorEastAsia" w:hAnsiTheme="minorHAnsi"/>
          <w:kern w:val="2"/>
          <w:szCs w:val="20"/>
          <w:lang w:eastAsia="ja-JP"/>
        </w:rPr>
        <w:t>The income shock to the Australian economy from the falling terms of terms is forcing households and businesses to adjust their expenditure decisions. While low interest rates are helping to partially offset this shock, to date, they have not been enough.</w:t>
      </w:r>
    </w:p>
    <w:p w:rsidR="00F66A92" w:rsidRPr="00F33530" w:rsidRDefault="00F66A92" w:rsidP="00F66A92">
      <w:pPr>
        <w:rPr>
          <w:rFonts w:asciiTheme="minorHAnsi" w:eastAsiaTheme="minorEastAsia" w:hAnsiTheme="minorHAnsi"/>
          <w:kern w:val="2"/>
          <w:szCs w:val="20"/>
          <w:lang w:eastAsia="ja-JP"/>
        </w:rPr>
      </w:pPr>
      <w:r w:rsidRPr="00F33530">
        <w:rPr>
          <w:rFonts w:asciiTheme="minorHAnsi" w:eastAsiaTheme="minorEastAsia" w:hAnsiTheme="minorHAnsi"/>
          <w:kern w:val="2"/>
          <w:szCs w:val="20"/>
          <w:lang w:eastAsia="ja-JP"/>
        </w:rPr>
        <w:lastRenderedPageBreak/>
        <w:t>The falls in the exchange rate over the past six months will also help the economy adjust to the income shock (Chart 18). However, a lower exchange rate could initially reduce the purchasing power of households where domestic substitutes are not readily available for higher priced imports. Household expenditure available for domestically produced goods may therefore decrease.</w:t>
      </w:r>
    </w:p>
    <w:p w:rsidR="00F00109" w:rsidRPr="00587BCC" w:rsidRDefault="00F66A92" w:rsidP="00F66A92">
      <w:pPr>
        <w:rPr>
          <w:rFonts w:asciiTheme="minorHAnsi" w:eastAsiaTheme="minorEastAsia" w:hAnsiTheme="minorHAnsi"/>
          <w:kern w:val="2"/>
          <w:szCs w:val="20"/>
          <w:lang w:eastAsia="ja-JP"/>
        </w:rPr>
      </w:pPr>
      <w:r w:rsidRPr="00F33530">
        <w:rPr>
          <w:rFonts w:asciiTheme="minorHAnsi" w:eastAsiaTheme="minorEastAsia" w:hAnsiTheme="minorHAnsi"/>
          <w:kern w:val="2"/>
          <w:szCs w:val="20"/>
          <w:lang w:eastAsia="ja-JP"/>
        </w:rPr>
        <w:t xml:space="preserve">Over time </w:t>
      </w:r>
      <w:r w:rsidRPr="00F33530">
        <w:rPr>
          <w:rFonts w:asciiTheme="minorHAnsi" w:eastAsiaTheme="minorEastAsia" w:hAnsiTheme="minorHAnsi"/>
          <w:szCs w:val="20"/>
          <w:lang w:eastAsia="ja-JP"/>
        </w:rPr>
        <w:t>households are likely to identify more competitive domestic alternatives, thus boosting their demand and also helping to boost the income of domestic producers. But this may take a number of quarters to play out.</w:t>
      </w:r>
      <w:r w:rsidRPr="00F33530">
        <w:rPr>
          <w:rFonts w:asciiTheme="minorHAnsi" w:hAnsiTheme="minorHAnsi"/>
          <w:szCs w:val="20"/>
        </w:rPr>
        <w:t xml:space="preserve"> </w:t>
      </w:r>
      <w:r w:rsidRPr="00F33530">
        <w:rPr>
          <w:rFonts w:asciiTheme="minorHAnsi" w:eastAsiaTheme="minorEastAsia" w:hAnsiTheme="minorHAnsi"/>
          <w:kern w:val="2"/>
          <w:szCs w:val="20"/>
          <w:lang w:eastAsia="ja-JP"/>
        </w:rPr>
        <w:t>Further falls in the exchange rate may be necessary to provide the boost to demand and income which will support a sustained recovery in the non-mining economy</w:t>
      </w:r>
      <w:r w:rsidR="00B50303" w:rsidRPr="00587BCC">
        <w:rPr>
          <w:rFonts w:asciiTheme="minorHAnsi" w:eastAsiaTheme="minorEastAsia" w:hAnsiTheme="minorHAnsi"/>
          <w:kern w:val="2"/>
          <w:szCs w:val="20"/>
          <w:lang w:eastAsia="ja-JP"/>
        </w:rPr>
        <w:t>.</w:t>
      </w:r>
    </w:p>
    <w:p w:rsidR="008F688A" w:rsidRPr="00587BCC" w:rsidRDefault="008F688A" w:rsidP="008F688A">
      <w:pPr>
        <w:keepNext/>
        <w:autoSpaceDE w:val="0"/>
        <w:autoSpaceDN w:val="0"/>
        <w:spacing w:after="0"/>
        <w:jc w:val="center"/>
        <w:rPr>
          <w:rFonts w:asciiTheme="minorHAnsi" w:hAnsiTheme="minorHAnsi"/>
          <w:b/>
          <w:szCs w:val="20"/>
        </w:rPr>
      </w:pPr>
      <w:r w:rsidRPr="00587BCC">
        <w:rPr>
          <w:rFonts w:asciiTheme="minorHAnsi" w:hAnsiTheme="minorHAnsi"/>
          <w:b/>
          <w:szCs w:val="20"/>
        </w:rPr>
        <w:t>Chart 18: Exchange rate movements</w:t>
      </w:r>
    </w:p>
    <w:p w:rsidR="008F688A" w:rsidRDefault="002B0AB5" w:rsidP="00C92C0C">
      <w:pPr>
        <w:spacing w:after="0" w:line="240" w:lineRule="auto"/>
        <w:jc w:val="left"/>
        <w:rPr>
          <w:rFonts w:asciiTheme="minorHAnsi" w:hAnsiTheme="minorHAnsi"/>
          <w:sz w:val="16"/>
          <w:szCs w:val="16"/>
        </w:rPr>
      </w:pPr>
      <w:r>
        <w:rPr>
          <w:rFonts w:asciiTheme="minorHAnsi" w:hAnsiTheme="minorHAnsi"/>
        </w:rPr>
        <w:pict>
          <v:shape id="_x0000_i1043" type="#_x0000_t75" style="width:226.5pt;height:225pt">
            <v:imagedata r:id="rId43" o:title=""/>
          </v:shape>
        </w:pict>
      </w:r>
      <w:r w:rsidR="008F688A" w:rsidRPr="00587BCC">
        <w:rPr>
          <w:rFonts w:asciiTheme="minorHAnsi" w:hAnsiTheme="minorHAnsi"/>
          <w:sz w:val="16"/>
          <w:szCs w:val="16"/>
        </w:rPr>
        <w:t xml:space="preserve">Source: </w:t>
      </w:r>
      <w:r w:rsidR="009E697F" w:rsidRPr="00587BCC">
        <w:rPr>
          <w:rFonts w:asciiTheme="minorHAnsi" w:hAnsiTheme="minorHAnsi"/>
          <w:sz w:val="16"/>
          <w:szCs w:val="16"/>
        </w:rPr>
        <w:t>RBA</w:t>
      </w:r>
      <w:r w:rsidR="008F688A" w:rsidRPr="00587BCC">
        <w:rPr>
          <w:rFonts w:asciiTheme="minorHAnsi" w:hAnsiTheme="minorHAnsi"/>
          <w:sz w:val="16"/>
          <w:szCs w:val="16"/>
        </w:rPr>
        <w:t>.</w:t>
      </w:r>
    </w:p>
    <w:p w:rsidR="00C92C0C" w:rsidRPr="00587BCC" w:rsidRDefault="00C92C0C" w:rsidP="00C92C0C">
      <w:pPr>
        <w:spacing w:after="0" w:line="240" w:lineRule="auto"/>
        <w:jc w:val="left"/>
        <w:rPr>
          <w:rFonts w:asciiTheme="minorHAnsi" w:hAnsiTheme="minorHAnsi" w:cs="Arial"/>
          <w:kern w:val="2"/>
          <w:sz w:val="16"/>
          <w:szCs w:val="16"/>
        </w:rPr>
      </w:pPr>
    </w:p>
    <w:p w:rsidR="00755AF7" w:rsidRPr="00755AF7" w:rsidRDefault="00755AF7" w:rsidP="00755AF7">
      <w:pPr>
        <w:rPr>
          <w:rFonts w:asciiTheme="minorHAnsi" w:hAnsiTheme="minorHAnsi"/>
          <w:b/>
          <w:color w:val="0000FF"/>
          <w:sz w:val="24"/>
        </w:rPr>
      </w:pPr>
      <w:r w:rsidRPr="00755AF7">
        <w:rPr>
          <w:rFonts w:asciiTheme="minorHAnsi" w:hAnsiTheme="minorHAnsi"/>
          <w:b/>
          <w:color w:val="0000FF"/>
          <w:sz w:val="24"/>
        </w:rPr>
        <w:t>…as well as international risks</w:t>
      </w:r>
    </w:p>
    <w:p w:rsidR="00F66A92" w:rsidRPr="00F33530" w:rsidRDefault="00F66A92" w:rsidP="00F66A92">
      <w:pPr>
        <w:spacing w:after="0"/>
        <w:rPr>
          <w:rFonts w:asciiTheme="minorHAnsi" w:eastAsiaTheme="minorEastAsia" w:hAnsiTheme="minorHAnsi"/>
          <w:szCs w:val="20"/>
          <w:lang w:eastAsia="ja-JP"/>
        </w:rPr>
      </w:pPr>
      <w:r w:rsidRPr="00F33530">
        <w:rPr>
          <w:rFonts w:asciiTheme="minorHAnsi" w:eastAsiaTheme="minorEastAsia" w:hAnsiTheme="minorHAnsi"/>
          <w:szCs w:val="20"/>
          <w:lang w:eastAsia="ja-JP"/>
        </w:rPr>
        <w:t xml:space="preserve">Any misstep in the ongoing fiscal battle in the United States could cause significant disruption in global financial markets. This would be expected to flow through to the Australian economy through financial and confidence channels. Additionally, the crisis in the euro area remains far from resolved. </w:t>
      </w:r>
    </w:p>
    <w:p w:rsidR="00F66A92" w:rsidRPr="00F33530" w:rsidRDefault="00F66A92" w:rsidP="00F66A92">
      <w:pPr>
        <w:spacing w:after="0"/>
        <w:rPr>
          <w:rFonts w:asciiTheme="minorHAnsi" w:eastAsiaTheme="minorEastAsia" w:hAnsiTheme="minorHAnsi"/>
          <w:szCs w:val="20"/>
          <w:lang w:eastAsia="ja-JP"/>
        </w:rPr>
      </w:pPr>
    </w:p>
    <w:p w:rsidR="00C92C0C" w:rsidRDefault="00F66A92" w:rsidP="00F66A92">
      <w:pPr>
        <w:spacing w:after="0"/>
        <w:rPr>
          <w:rFonts w:asciiTheme="minorHAnsi" w:eastAsiaTheme="minorEastAsia" w:hAnsiTheme="minorHAnsi"/>
          <w:lang w:eastAsia="ja-JP"/>
        </w:rPr>
      </w:pPr>
      <w:r w:rsidRPr="00F33530">
        <w:rPr>
          <w:rFonts w:asciiTheme="minorHAnsi" w:eastAsiaTheme="minorEastAsia" w:hAnsiTheme="minorHAnsi"/>
          <w:szCs w:val="20"/>
          <w:lang w:eastAsia="ja-JP"/>
        </w:rPr>
        <w:t xml:space="preserve">Recent economic data from China suggests a strengthening in economic activity. This </w:t>
      </w:r>
      <w:r w:rsidR="00AB7FC6">
        <w:rPr>
          <w:rFonts w:asciiTheme="minorHAnsi" w:eastAsiaTheme="minorEastAsia" w:hAnsiTheme="minorHAnsi"/>
          <w:szCs w:val="20"/>
          <w:lang w:eastAsia="ja-JP"/>
        </w:rPr>
        <w:t xml:space="preserve">could </w:t>
      </w:r>
      <w:r w:rsidRPr="00F33530">
        <w:rPr>
          <w:rFonts w:asciiTheme="minorHAnsi" w:eastAsiaTheme="minorEastAsia" w:hAnsiTheme="minorHAnsi"/>
          <w:szCs w:val="20"/>
          <w:lang w:eastAsia="ja-JP"/>
        </w:rPr>
        <w:t xml:space="preserve">provide </w:t>
      </w:r>
      <w:r w:rsidR="00AB7FC6">
        <w:rPr>
          <w:rFonts w:asciiTheme="minorHAnsi" w:eastAsiaTheme="minorEastAsia" w:hAnsiTheme="minorHAnsi"/>
          <w:szCs w:val="20"/>
          <w:lang w:eastAsia="ja-JP"/>
        </w:rPr>
        <w:t xml:space="preserve">near-term support </w:t>
      </w:r>
      <w:r w:rsidRPr="00F33530">
        <w:rPr>
          <w:rFonts w:asciiTheme="minorHAnsi" w:eastAsiaTheme="minorEastAsia" w:hAnsiTheme="minorHAnsi"/>
          <w:szCs w:val="20"/>
          <w:lang w:eastAsia="ja-JP"/>
        </w:rPr>
        <w:t xml:space="preserve">to Australian commodity prices and exports. However, </w:t>
      </w:r>
      <w:r w:rsidRPr="00F33530">
        <w:rPr>
          <w:rFonts w:asciiTheme="minorHAnsi" w:hAnsiTheme="minorHAnsi"/>
          <w:szCs w:val="20"/>
        </w:rPr>
        <w:t xml:space="preserve">how the </w:t>
      </w:r>
      <w:r w:rsidRPr="00F33530">
        <w:rPr>
          <w:rFonts w:asciiTheme="minorHAnsi" w:eastAsiaTheme="minorEastAsia" w:hAnsiTheme="minorHAnsi"/>
          <w:szCs w:val="20"/>
          <w:lang w:eastAsia="ja-JP"/>
        </w:rPr>
        <w:t>transition currently underway in the Chinese economy towards a</w:t>
      </w:r>
      <w:r w:rsidRPr="00F33530">
        <w:rPr>
          <w:rFonts w:asciiTheme="minorHAnsi" w:hAnsiTheme="minorHAnsi"/>
          <w:szCs w:val="20"/>
        </w:rPr>
        <w:t xml:space="preserve"> more sustainable pattern of growth</w:t>
      </w:r>
      <w:r w:rsidRPr="00F33530">
        <w:rPr>
          <w:rFonts w:asciiTheme="minorHAnsi" w:eastAsiaTheme="minorEastAsia" w:hAnsiTheme="minorHAnsi"/>
          <w:szCs w:val="20"/>
          <w:lang w:eastAsia="ja-JP"/>
        </w:rPr>
        <w:t xml:space="preserve"> unfolds will be key for the Australian economy</w:t>
      </w:r>
      <w:r w:rsidR="00755AF7" w:rsidRPr="00587BCC">
        <w:rPr>
          <w:rFonts w:asciiTheme="minorHAnsi" w:eastAsiaTheme="minorEastAsia" w:hAnsiTheme="minorHAnsi"/>
          <w:lang w:eastAsia="ja-JP"/>
        </w:rPr>
        <w:t>.</w:t>
      </w:r>
    </w:p>
    <w:p w:rsidR="00C92C0C" w:rsidRDefault="00C92C0C" w:rsidP="00755AF7">
      <w:pPr>
        <w:spacing w:after="0"/>
        <w:rPr>
          <w:rFonts w:asciiTheme="minorHAnsi" w:eastAsiaTheme="minorEastAsia" w:hAnsiTheme="minorHAnsi"/>
          <w:lang w:eastAsia="ja-JP"/>
        </w:rPr>
      </w:pPr>
    </w:p>
    <w:p w:rsidR="00C92C0C" w:rsidRDefault="00C92C0C" w:rsidP="00755AF7">
      <w:pPr>
        <w:spacing w:after="0"/>
        <w:rPr>
          <w:rFonts w:asciiTheme="minorHAnsi" w:eastAsiaTheme="minorEastAsia" w:hAnsiTheme="minorHAnsi"/>
          <w:lang w:eastAsia="ja-JP"/>
        </w:rPr>
      </w:pPr>
    </w:p>
    <w:p w:rsidR="00C92C0C" w:rsidRDefault="00C92C0C" w:rsidP="00755AF7">
      <w:pPr>
        <w:spacing w:after="0"/>
        <w:rPr>
          <w:rFonts w:asciiTheme="minorHAnsi" w:eastAsiaTheme="minorEastAsia" w:hAnsiTheme="minorHAnsi"/>
          <w:lang w:eastAsia="ja-JP"/>
        </w:rPr>
      </w:pPr>
    </w:p>
    <w:p w:rsidR="00C92C0C" w:rsidRDefault="00C92C0C" w:rsidP="00755AF7">
      <w:pPr>
        <w:spacing w:after="0"/>
        <w:rPr>
          <w:rFonts w:asciiTheme="minorHAnsi" w:eastAsiaTheme="minorEastAsia" w:hAnsiTheme="minorHAnsi"/>
          <w:lang w:eastAsia="ja-JP"/>
        </w:rPr>
      </w:pPr>
    </w:p>
    <w:p w:rsidR="00C92C0C" w:rsidRDefault="00C92C0C" w:rsidP="00755AF7">
      <w:pPr>
        <w:spacing w:after="0"/>
        <w:rPr>
          <w:rFonts w:asciiTheme="minorHAnsi" w:eastAsiaTheme="minorEastAsia" w:hAnsiTheme="minorHAnsi"/>
          <w:lang w:eastAsia="ja-JP"/>
        </w:rPr>
      </w:pPr>
    </w:p>
    <w:p w:rsidR="00C92C0C" w:rsidRDefault="00C92C0C" w:rsidP="00755AF7">
      <w:pPr>
        <w:spacing w:after="0"/>
        <w:rPr>
          <w:rFonts w:asciiTheme="minorHAnsi" w:eastAsiaTheme="minorEastAsia" w:hAnsiTheme="minorHAnsi"/>
          <w:lang w:eastAsia="ja-JP"/>
        </w:rPr>
      </w:pPr>
    </w:p>
    <w:p w:rsidR="00C92C0C" w:rsidRDefault="00C92C0C" w:rsidP="00755AF7">
      <w:pPr>
        <w:spacing w:after="0"/>
        <w:rPr>
          <w:rFonts w:asciiTheme="minorHAnsi" w:eastAsiaTheme="minorEastAsia" w:hAnsiTheme="minorHAnsi"/>
          <w:lang w:eastAsia="ja-JP"/>
        </w:rPr>
      </w:pPr>
    </w:p>
    <w:p w:rsidR="00C92C0C" w:rsidRDefault="00C92C0C" w:rsidP="00755AF7">
      <w:pPr>
        <w:spacing w:after="0"/>
        <w:rPr>
          <w:rFonts w:asciiTheme="minorHAnsi" w:eastAsiaTheme="minorEastAsia" w:hAnsiTheme="minorHAnsi"/>
          <w:lang w:eastAsia="ja-JP"/>
        </w:rPr>
      </w:pPr>
    </w:p>
    <w:p w:rsidR="00C92C0C" w:rsidRDefault="00C92C0C" w:rsidP="00755AF7">
      <w:pPr>
        <w:spacing w:after="0"/>
        <w:rPr>
          <w:rFonts w:asciiTheme="minorHAnsi" w:eastAsiaTheme="minorEastAsia" w:hAnsiTheme="minorHAnsi"/>
          <w:lang w:eastAsia="ja-JP"/>
        </w:rPr>
      </w:pPr>
    </w:p>
    <w:p w:rsidR="00C92C0C" w:rsidRDefault="00C92C0C" w:rsidP="00755AF7">
      <w:pPr>
        <w:spacing w:after="0"/>
        <w:rPr>
          <w:rFonts w:asciiTheme="minorHAnsi" w:eastAsiaTheme="minorEastAsia" w:hAnsiTheme="minorHAnsi"/>
          <w:lang w:eastAsia="ja-JP"/>
        </w:rPr>
      </w:pPr>
    </w:p>
    <w:p w:rsidR="00C92C0C" w:rsidRPr="00C92C0C" w:rsidRDefault="00C92C0C">
      <w:pPr>
        <w:spacing w:after="0" w:line="240" w:lineRule="auto"/>
        <w:jc w:val="left"/>
        <w:rPr>
          <w:rFonts w:asciiTheme="minorHAnsi" w:eastAsiaTheme="minorEastAsia" w:hAnsiTheme="minorHAnsi"/>
          <w:lang w:eastAsia="ja-JP"/>
        </w:rPr>
      </w:pPr>
      <w:r>
        <w:rPr>
          <w:rFonts w:asciiTheme="minorHAnsi" w:eastAsiaTheme="minorEastAsia" w:hAnsiTheme="minorHAnsi"/>
          <w:lang w:eastAsia="ja-JP"/>
        </w:rPr>
        <w:br w:type="page"/>
      </w:r>
    </w:p>
    <w:p w:rsidR="00C92C0C" w:rsidRDefault="00C92C0C">
      <w:pPr>
        <w:spacing w:after="0" w:line="240" w:lineRule="auto"/>
        <w:jc w:val="left"/>
        <w:rPr>
          <w:rFonts w:asciiTheme="minorHAnsi" w:eastAsiaTheme="minorEastAsia" w:hAnsiTheme="minorHAnsi"/>
          <w:kern w:val="2"/>
          <w:szCs w:val="20"/>
          <w:lang w:eastAsia="ja-JP"/>
        </w:rPr>
      </w:pPr>
    </w:p>
    <w:p w:rsidR="00C92C0C" w:rsidRDefault="00C92C0C">
      <w:pPr>
        <w:spacing w:after="0" w:line="240" w:lineRule="auto"/>
        <w:jc w:val="left"/>
        <w:rPr>
          <w:rFonts w:asciiTheme="minorHAnsi" w:eastAsiaTheme="minorEastAsia" w:hAnsiTheme="minorHAnsi"/>
          <w:kern w:val="2"/>
          <w:szCs w:val="20"/>
          <w:lang w:eastAsia="ja-JP"/>
        </w:rPr>
        <w:sectPr w:rsidR="00C92C0C" w:rsidSect="00755AF7">
          <w:headerReference w:type="default" r:id="rId44"/>
          <w:footerReference w:type="even" r:id="rId45"/>
          <w:footerReference w:type="default" r:id="rId46"/>
          <w:footnotePr>
            <w:pos w:val="beneathText"/>
          </w:footnotePr>
          <w:type w:val="continuous"/>
          <w:pgSz w:w="11907" w:h="16840" w:code="9"/>
          <w:pgMar w:top="1418" w:right="1100" w:bottom="1276" w:left="1100" w:header="567" w:footer="709" w:gutter="0"/>
          <w:cols w:num="2" w:space="709"/>
          <w:docGrid w:linePitch="272"/>
        </w:sectPr>
      </w:pPr>
    </w:p>
    <w:p w:rsidR="00C641DD" w:rsidRDefault="00C641DD" w:rsidP="00C641DD">
      <w:pPr>
        <w:rPr>
          <w:rFonts w:asciiTheme="minorHAnsi" w:hAnsiTheme="minorHAnsi"/>
          <w:color w:val="003399"/>
          <w:sz w:val="28"/>
        </w:rPr>
      </w:pPr>
      <w:r w:rsidRPr="00587BCC">
        <w:rPr>
          <w:rFonts w:asciiTheme="minorHAnsi" w:hAnsiTheme="minorHAnsi"/>
          <w:b/>
        </w:rPr>
        <w:lastRenderedPageBreak/>
        <w:t>Table</w:t>
      </w:r>
      <w:r>
        <w:rPr>
          <w:rFonts w:asciiTheme="minorHAnsi" w:hAnsiTheme="minorHAnsi"/>
          <w:b/>
        </w:rPr>
        <w:t xml:space="preserve"> 3</w:t>
      </w:r>
      <w:r w:rsidRPr="00587BCC">
        <w:rPr>
          <w:rFonts w:asciiTheme="minorHAnsi" w:hAnsiTheme="minorHAnsi"/>
          <w:b/>
        </w:rPr>
        <w:t xml:space="preserve">: </w:t>
      </w:r>
      <w:r>
        <w:rPr>
          <w:rFonts w:asciiTheme="minorHAnsi" w:hAnsiTheme="minorHAnsi"/>
          <w:b/>
        </w:rPr>
        <w:t xml:space="preserve">Domestic economy forecasts </w:t>
      </w:r>
      <w:r w:rsidRPr="00C641DD">
        <w:rPr>
          <w:rFonts w:asciiTheme="minorHAnsi" w:hAnsiTheme="minorHAnsi"/>
          <w:b/>
          <w:sz w:val="16"/>
          <w:szCs w:val="16"/>
        </w:rPr>
        <w:t>(a)</w:t>
      </w:r>
    </w:p>
    <w:p w:rsidR="00275E93" w:rsidRDefault="002B0AB5">
      <w:pPr>
        <w:spacing w:after="0" w:line="240" w:lineRule="auto"/>
        <w:jc w:val="left"/>
        <w:rPr>
          <w:rFonts w:asciiTheme="minorHAnsi" w:hAnsiTheme="minorHAnsi"/>
          <w:color w:val="003399"/>
          <w:sz w:val="28"/>
        </w:rPr>
      </w:pPr>
      <w:r>
        <w:rPr>
          <w:rFonts w:asciiTheme="minorHAnsi" w:hAnsiTheme="minorHAnsi"/>
          <w:color w:val="003399"/>
          <w:sz w:val="28"/>
        </w:rPr>
        <w:pict>
          <v:shape id="_x0000_i1044" type="#_x0000_t75" style="width:461.25pt;height:460.5pt">
            <v:imagedata r:id="rId47" o:title=""/>
          </v:shape>
        </w:pict>
      </w:r>
    </w:p>
    <w:p w:rsidR="00D74257" w:rsidRPr="00587BCC" w:rsidRDefault="00D74257">
      <w:pPr>
        <w:spacing w:after="0" w:line="240" w:lineRule="auto"/>
        <w:jc w:val="left"/>
        <w:rPr>
          <w:rFonts w:asciiTheme="minorHAnsi" w:hAnsiTheme="minorHAnsi"/>
          <w:color w:val="003399"/>
          <w:sz w:val="28"/>
        </w:rPr>
      </w:pP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Percentage change on preceding year unless otherwise indicated.</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Calculated using original data unless otherwise indicated.</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Chain volume measures except for nominal gross domestic product which is in current prices.</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Excluding second</w:t>
      </w:r>
      <w:r w:rsidRPr="00F33530">
        <w:rPr>
          <w:rFonts w:asciiTheme="minorHAnsi" w:hAnsiTheme="minorHAnsi"/>
          <w:kern w:val="2"/>
          <w:sz w:val="20"/>
          <w:szCs w:val="20"/>
        </w:rPr>
        <w:noBreakHyphen/>
        <w:t>hand asset sales from the public sector to the private sector.</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 xml:space="preserve">Percentage point contribution to growth in GDP. </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Seasonally adjusted, through</w:t>
      </w:r>
      <w:r w:rsidRPr="00F33530">
        <w:rPr>
          <w:rFonts w:asciiTheme="minorHAnsi" w:hAnsiTheme="minorHAnsi"/>
          <w:kern w:val="2"/>
          <w:sz w:val="20"/>
          <w:szCs w:val="20"/>
        </w:rPr>
        <w:noBreakHyphen/>
        <w:t>the</w:t>
      </w:r>
      <w:r w:rsidRPr="00F33530">
        <w:rPr>
          <w:rFonts w:asciiTheme="minorHAnsi" w:hAnsiTheme="minorHAnsi"/>
          <w:kern w:val="2"/>
          <w:sz w:val="20"/>
          <w:szCs w:val="20"/>
        </w:rPr>
        <w:noBreakHyphen/>
        <w:t>year growth rate to the June quarter.</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Seasonally adjusted rate for the June quarter.</w:t>
      </w:r>
    </w:p>
    <w:p w:rsidR="00F66A92" w:rsidRPr="00F33530" w:rsidRDefault="00F66A92" w:rsidP="00F66A92">
      <w:pPr>
        <w:pStyle w:val="ChartandTableFootnoteAlpha"/>
        <w:numPr>
          <w:ilvl w:val="0"/>
          <w:numId w:val="18"/>
        </w:numPr>
        <w:spacing w:line="240" w:lineRule="auto"/>
        <w:rPr>
          <w:rFonts w:asciiTheme="minorHAnsi" w:hAnsiTheme="minorHAnsi"/>
          <w:kern w:val="2"/>
          <w:sz w:val="20"/>
          <w:szCs w:val="20"/>
        </w:rPr>
      </w:pPr>
      <w:r w:rsidRPr="00F33530">
        <w:rPr>
          <w:rFonts w:asciiTheme="minorHAnsi" w:hAnsiTheme="minorHAnsi"/>
          <w:kern w:val="2"/>
          <w:sz w:val="20"/>
          <w:szCs w:val="20"/>
        </w:rPr>
        <w:t>Through</w:t>
      </w:r>
      <w:r w:rsidRPr="00F33530">
        <w:rPr>
          <w:rFonts w:asciiTheme="minorHAnsi" w:hAnsiTheme="minorHAnsi"/>
          <w:kern w:val="2"/>
          <w:sz w:val="20"/>
          <w:szCs w:val="20"/>
        </w:rPr>
        <w:noBreakHyphen/>
        <w:t>the</w:t>
      </w:r>
      <w:r w:rsidRPr="00F33530">
        <w:rPr>
          <w:rFonts w:asciiTheme="minorHAnsi" w:hAnsiTheme="minorHAnsi"/>
          <w:kern w:val="2"/>
          <w:sz w:val="20"/>
          <w:szCs w:val="20"/>
        </w:rPr>
        <w:noBreakHyphen/>
        <w:t>year growth rate to the June quarter.</w:t>
      </w:r>
    </w:p>
    <w:p w:rsidR="00F66A92" w:rsidRPr="00F33530" w:rsidRDefault="00F66A92" w:rsidP="00F66A92">
      <w:pPr>
        <w:pStyle w:val="ChartandTableFootnoteAlpha"/>
        <w:tabs>
          <w:tab w:val="clear" w:pos="283"/>
        </w:tabs>
        <w:spacing w:line="240" w:lineRule="auto"/>
        <w:ind w:left="0" w:firstLine="0"/>
        <w:rPr>
          <w:rFonts w:asciiTheme="minorHAnsi" w:hAnsiTheme="minorHAnsi"/>
          <w:kern w:val="2"/>
          <w:sz w:val="20"/>
          <w:szCs w:val="20"/>
        </w:rPr>
      </w:pPr>
      <w:r w:rsidRPr="00F33530">
        <w:rPr>
          <w:rFonts w:asciiTheme="minorHAnsi" w:hAnsiTheme="minorHAnsi"/>
          <w:kern w:val="2"/>
          <w:sz w:val="20"/>
          <w:szCs w:val="20"/>
        </w:rPr>
        <w:t>Note: The forecasts for the domestic economy are based on several technical assumptions. The exchange rate is assumed to remain around its recent average level — a trade</w:t>
      </w:r>
      <w:r w:rsidRPr="00F33530">
        <w:rPr>
          <w:rFonts w:asciiTheme="minorHAnsi" w:hAnsiTheme="minorHAnsi"/>
          <w:kern w:val="2"/>
          <w:sz w:val="20"/>
          <w:szCs w:val="20"/>
        </w:rPr>
        <w:noBreakHyphen/>
        <w:t>weighted index of around 72 and a $US exchange rate of around 94 US cents. Interest rates are assumed to move broadly in line with market expectations. World oil prices (Malaysian Tapis) are assumed to remain around US$118 per barrel. The farm sector forecasts for 2014-15 are based on an assumption of average seasonal conditions.</w:t>
      </w:r>
    </w:p>
    <w:p w:rsidR="00C549A8" w:rsidRPr="00587BCC" w:rsidRDefault="00F66A92" w:rsidP="00F66A92">
      <w:pPr>
        <w:spacing w:after="0" w:line="240" w:lineRule="auto"/>
        <w:jc w:val="left"/>
        <w:rPr>
          <w:rFonts w:asciiTheme="minorHAnsi" w:eastAsiaTheme="minorHAnsi" w:hAnsiTheme="minorHAnsi" w:cstheme="minorBidi"/>
          <w:b/>
          <w:bCs/>
          <w:iCs/>
          <w:color w:val="003399"/>
          <w:sz w:val="16"/>
          <w:szCs w:val="16"/>
        </w:rPr>
      </w:pPr>
      <w:r w:rsidRPr="00F33530">
        <w:rPr>
          <w:rFonts w:asciiTheme="minorHAnsi" w:hAnsiTheme="minorHAnsi" w:cs="Arial"/>
          <w:kern w:val="2"/>
          <w:szCs w:val="20"/>
        </w:rPr>
        <w:t>Source: ABS cat. no. 5206.0, 5302.0, 6202.0, 6345.0, 6401.0, unpublished ABS data and Treasury</w:t>
      </w:r>
      <w:r w:rsidR="00275E93" w:rsidRPr="00587BCC">
        <w:rPr>
          <w:rFonts w:asciiTheme="minorHAnsi" w:hAnsiTheme="minorHAnsi" w:cs="Arial"/>
          <w:kern w:val="2"/>
          <w:sz w:val="16"/>
          <w:szCs w:val="16"/>
        </w:rPr>
        <w:t>.</w:t>
      </w:r>
      <w:r w:rsidR="00C549A8" w:rsidRPr="00587BCC">
        <w:rPr>
          <w:rFonts w:asciiTheme="minorHAnsi" w:hAnsiTheme="minorHAnsi"/>
          <w:i/>
          <w:color w:val="003399"/>
          <w:sz w:val="16"/>
          <w:szCs w:val="16"/>
        </w:rPr>
        <w:br w:type="page"/>
      </w:r>
    </w:p>
    <w:p w:rsidR="00C549A8" w:rsidRPr="00190E46" w:rsidRDefault="00C549A8" w:rsidP="00C549A8">
      <w:pPr>
        <w:pStyle w:val="IntenseQuote"/>
        <w:ind w:left="0"/>
        <w:rPr>
          <w:i w:val="0"/>
          <w:color w:val="0000FF"/>
          <w:sz w:val="28"/>
          <w:szCs w:val="24"/>
        </w:rPr>
      </w:pPr>
      <w:r w:rsidRPr="00190E46">
        <w:rPr>
          <w:i w:val="0"/>
          <w:color w:val="0000FF"/>
          <w:sz w:val="28"/>
          <w:szCs w:val="24"/>
        </w:rPr>
        <w:lastRenderedPageBreak/>
        <w:t>Appendix A – Confidence intervals</w:t>
      </w:r>
    </w:p>
    <w:p w:rsidR="00C549A8" w:rsidRPr="00587BCC" w:rsidRDefault="00C549A8" w:rsidP="00C549A8">
      <w:pPr>
        <w:pStyle w:val="Bullet"/>
        <w:numPr>
          <w:ilvl w:val="0"/>
          <w:numId w:val="0"/>
        </w:numPr>
        <w:spacing w:before="200" w:after="280" w:line="240" w:lineRule="auto"/>
        <w:jc w:val="left"/>
        <w:rPr>
          <w:rFonts w:asciiTheme="minorHAnsi" w:hAnsiTheme="minorHAnsi"/>
          <w:b/>
          <w:color w:val="003399"/>
          <w:sz w:val="24"/>
        </w:rPr>
        <w:sectPr w:rsidR="00C549A8" w:rsidRPr="00587BCC" w:rsidSect="00190E46">
          <w:type w:val="continuous"/>
          <w:pgSz w:w="11907" w:h="16840" w:code="9"/>
          <w:pgMar w:top="1418" w:right="1100" w:bottom="1134" w:left="1100" w:header="567" w:footer="709" w:gutter="0"/>
          <w:cols w:space="709"/>
          <w:docGrid w:linePitch="272"/>
        </w:sectPr>
      </w:pPr>
    </w:p>
    <w:p w:rsidR="00F66A92" w:rsidRPr="00F33530" w:rsidRDefault="00F66A92" w:rsidP="00F66A92">
      <w:pPr>
        <w:rPr>
          <w:rFonts w:asciiTheme="minorHAnsi" w:hAnsiTheme="minorHAnsi"/>
          <w:szCs w:val="20"/>
        </w:rPr>
      </w:pPr>
      <w:r w:rsidRPr="00F33530">
        <w:rPr>
          <w:rFonts w:asciiTheme="minorHAnsi" w:hAnsiTheme="minorHAnsi"/>
          <w:szCs w:val="20"/>
        </w:rPr>
        <w:lastRenderedPageBreak/>
        <w:t>At PEFO, confidence intervals around two key economic variables, real and nominal GDP, were introduced to reflect the forecast uncertainty of Treasury’s estimates. This was done to help convey to readers a better appreciation of the risks associated with the economic outlook and also improve the credibility and transparency of the forecasting process.</w:t>
      </w:r>
    </w:p>
    <w:p w:rsidR="00F66A92" w:rsidRPr="00F33530" w:rsidRDefault="00F66A92" w:rsidP="00F66A92">
      <w:pPr>
        <w:rPr>
          <w:rFonts w:asciiTheme="minorHAnsi" w:hAnsiTheme="minorHAnsi"/>
          <w:szCs w:val="20"/>
        </w:rPr>
      </w:pPr>
      <w:r w:rsidRPr="00F33530">
        <w:rPr>
          <w:rFonts w:asciiTheme="minorHAnsi" w:hAnsiTheme="minorHAnsi"/>
          <w:szCs w:val="20"/>
        </w:rPr>
        <w:t xml:space="preserve">The degree of uncertainty around forecasts can be estimated based on past forecast errors. For GDP forecasts, confidence intervals can be presented around forecasts of annual growth rates or average annualised growth rates. While both measures have merit, providing a reasonable forecast of the level of GDP is important for fiscal variables. The average annualised growth rate is a better summary statistic, as it reflects cumulative growth. </w:t>
      </w:r>
    </w:p>
    <w:p w:rsidR="00F66A92" w:rsidRPr="00F33530" w:rsidRDefault="00F66A92" w:rsidP="00F66A92">
      <w:pPr>
        <w:rPr>
          <w:rFonts w:asciiTheme="minorHAnsi" w:hAnsiTheme="minorHAnsi"/>
          <w:szCs w:val="20"/>
        </w:rPr>
      </w:pPr>
      <w:r w:rsidRPr="00F33530">
        <w:rPr>
          <w:rFonts w:asciiTheme="minorHAnsi" w:hAnsiTheme="minorHAnsi"/>
          <w:szCs w:val="20"/>
        </w:rPr>
        <w:t>For a hypothetical example, if GDP is forecast to grow by 2 per cent in one year and 5 per cent in the next, the level of GDP will be forecast to be roughly 7 per cent higher after two years. This is more effectively summarised by the 3½ per cent average annualised growth rate over the two years than by the two separate annual growth rates.</w:t>
      </w:r>
    </w:p>
    <w:p w:rsidR="00820182" w:rsidRDefault="00F66A92" w:rsidP="00F66A92">
      <w:pPr>
        <w:rPr>
          <w:rFonts w:asciiTheme="minorHAnsi" w:hAnsiTheme="minorHAnsi"/>
          <w:szCs w:val="20"/>
        </w:rPr>
      </w:pPr>
      <w:r w:rsidRPr="00F33530">
        <w:rPr>
          <w:rFonts w:asciiTheme="minorHAnsi" w:hAnsiTheme="minorHAnsi"/>
          <w:szCs w:val="20"/>
        </w:rPr>
        <w:t xml:space="preserve">The confidence intervals in the September JEFG are derived from forecast errors based on budget forecasts from the 1998-99 Budget onwards, with outcomes based on the June quarter 2013 National Accounts data. </w:t>
      </w:r>
      <w:r w:rsidR="00DD00E3">
        <w:rPr>
          <w:rFonts w:asciiTheme="minorHAnsi" w:hAnsiTheme="minorHAnsi"/>
          <w:szCs w:val="20"/>
        </w:rPr>
        <w:t xml:space="preserve">Forecast errors are calculated using the root mean square error of budget percentage growth rate. </w:t>
      </w:r>
      <w:r w:rsidR="00820182">
        <w:rPr>
          <w:rFonts w:asciiTheme="minorHAnsi" w:hAnsiTheme="minorHAnsi"/>
          <w:szCs w:val="20"/>
        </w:rPr>
        <w:t>Separate forecast errors are calculated for budget forecasts of the estimate year and the Budget year.</w:t>
      </w:r>
    </w:p>
    <w:p w:rsidR="00F66A92" w:rsidRPr="00F33530" w:rsidRDefault="00F66A92" w:rsidP="00F66A92">
      <w:pPr>
        <w:rPr>
          <w:rFonts w:asciiTheme="minorHAnsi" w:hAnsiTheme="minorHAnsi"/>
          <w:szCs w:val="20"/>
        </w:rPr>
      </w:pPr>
      <w:r w:rsidRPr="00F33530">
        <w:rPr>
          <w:rFonts w:asciiTheme="minorHAnsi" w:hAnsiTheme="minorHAnsi"/>
          <w:szCs w:val="20"/>
        </w:rPr>
        <w:t xml:space="preserve">In the charts, the central line shows the outcomes and September JEFG forecasts with annual growth reported for outcomes and annualised average growth rates from 2012-13 reported from 2013-14 onwards. </w:t>
      </w:r>
      <w:r w:rsidR="00820182">
        <w:rPr>
          <w:rFonts w:asciiTheme="minorHAnsi" w:hAnsiTheme="minorHAnsi"/>
          <w:szCs w:val="20"/>
        </w:rPr>
        <w:t>For 2013-14,</w:t>
      </w:r>
      <w:r w:rsidR="00503D4C" w:rsidRPr="00503D4C">
        <w:rPr>
          <w:rFonts w:asciiTheme="minorHAnsi" w:hAnsiTheme="minorHAnsi"/>
          <w:szCs w:val="20"/>
        </w:rPr>
        <w:t xml:space="preserve"> estimate year confidence intervals </w:t>
      </w:r>
      <w:r w:rsidR="00820182">
        <w:rPr>
          <w:rFonts w:asciiTheme="minorHAnsi" w:hAnsiTheme="minorHAnsi"/>
          <w:szCs w:val="20"/>
        </w:rPr>
        <w:t xml:space="preserve">have been used while for 2014-15, </w:t>
      </w:r>
      <w:r w:rsidR="00503D4C" w:rsidRPr="00503D4C">
        <w:rPr>
          <w:rFonts w:asciiTheme="minorHAnsi" w:hAnsiTheme="minorHAnsi"/>
          <w:szCs w:val="20"/>
        </w:rPr>
        <w:t xml:space="preserve">Budget year confidence intervals </w:t>
      </w:r>
      <w:r w:rsidR="00820182">
        <w:rPr>
          <w:rFonts w:asciiTheme="minorHAnsi" w:hAnsiTheme="minorHAnsi"/>
          <w:szCs w:val="20"/>
        </w:rPr>
        <w:t>were used. The use of these errors</w:t>
      </w:r>
      <w:r w:rsidR="00503D4C" w:rsidRPr="00503D4C">
        <w:rPr>
          <w:rFonts w:asciiTheme="minorHAnsi" w:hAnsiTheme="minorHAnsi"/>
          <w:szCs w:val="20"/>
        </w:rPr>
        <w:t xml:space="preserve"> may understate the uncertainty associated with the forecasts, given the timing of </w:t>
      </w:r>
      <w:r w:rsidR="00820182">
        <w:rPr>
          <w:rFonts w:asciiTheme="minorHAnsi" w:hAnsiTheme="minorHAnsi"/>
          <w:szCs w:val="20"/>
        </w:rPr>
        <w:t>Budget and the September JEFG.</w:t>
      </w:r>
    </w:p>
    <w:p w:rsidR="00F66A92" w:rsidRDefault="00F66A92" w:rsidP="00F66A92">
      <w:pPr>
        <w:rPr>
          <w:rFonts w:asciiTheme="minorHAnsi" w:hAnsiTheme="minorHAnsi"/>
          <w:szCs w:val="20"/>
        </w:rPr>
      </w:pPr>
    </w:p>
    <w:p w:rsidR="00843A5C" w:rsidRDefault="00843A5C" w:rsidP="00F66A92">
      <w:pPr>
        <w:rPr>
          <w:rFonts w:asciiTheme="minorHAnsi" w:hAnsiTheme="minorHAnsi"/>
          <w:szCs w:val="20"/>
        </w:rPr>
      </w:pPr>
    </w:p>
    <w:p w:rsidR="00843A5C" w:rsidRDefault="00843A5C" w:rsidP="00F66A92">
      <w:pPr>
        <w:rPr>
          <w:rFonts w:asciiTheme="minorHAnsi" w:hAnsiTheme="minorHAnsi"/>
          <w:szCs w:val="20"/>
        </w:rPr>
      </w:pPr>
    </w:p>
    <w:p w:rsidR="00843A5C" w:rsidRDefault="00843A5C" w:rsidP="00F66A92">
      <w:pPr>
        <w:rPr>
          <w:rFonts w:asciiTheme="minorHAnsi" w:hAnsiTheme="minorHAnsi"/>
          <w:szCs w:val="20"/>
        </w:rPr>
      </w:pPr>
    </w:p>
    <w:p w:rsidR="00843A5C" w:rsidRDefault="00843A5C"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F66A92" w:rsidRDefault="00F66A92" w:rsidP="00F66A92">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Default="00C92C0C" w:rsidP="00190E46">
      <w:pPr>
        <w:rPr>
          <w:rFonts w:asciiTheme="minorHAnsi" w:hAnsiTheme="minorHAnsi"/>
          <w:szCs w:val="20"/>
        </w:rPr>
      </w:pPr>
    </w:p>
    <w:p w:rsidR="00C92C0C" w:rsidRPr="00587BCC" w:rsidRDefault="00C92C0C" w:rsidP="00190E46">
      <w:pPr>
        <w:rPr>
          <w:rFonts w:asciiTheme="minorHAnsi" w:hAnsiTheme="minorHAnsi"/>
        </w:rPr>
      </w:pPr>
    </w:p>
    <w:p w:rsidR="00C92C0C" w:rsidRDefault="00C92C0C" w:rsidP="00553DAC">
      <w:pPr>
        <w:pStyle w:val="IntenseQuote"/>
        <w:spacing w:line="260" w:lineRule="exact"/>
        <w:ind w:left="0"/>
        <w:rPr>
          <w:i w:val="0"/>
          <w:color w:val="003399"/>
          <w:sz w:val="28"/>
          <w:szCs w:val="24"/>
        </w:rPr>
        <w:sectPr w:rsidR="00C92C0C" w:rsidSect="00C92C0C">
          <w:type w:val="continuous"/>
          <w:pgSz w:w="11907" w:h="16840" w:code="9"/>
          <w:pgMar w:top="1418" w:right="1100" w:bottom="1418" w:left="1100" w:header="567" w:footer="709" w:gutter="0"/>
          <w:cols w:num="2" w:space="709"/>
          <w:docGrid w:linePitch="272"/>
        </w:sectPr>
      </w:pPr>
    </w:p>
    <w:p w:rsidR="0077790C" w:rsidRPr="00C92C0C" w:rsidRDefault="0077790C" w:rsidP="00553DAC">
      <w:pPr>
        <w:pStyle w:val="IntenseQuote"/>
        <w:spacing w:line="260" w:lineRule="exact"/>
        <w:ind w:left="0"/>
        <w:rPr>
          <w:i w:val="0"/>
          <w:color w:val="0000FF"/>
          <w:sz w:val="28"/>
          <w:szCs w:val="24"/>
        </w:rPr>
      </w:pPr>
      <w:r w:rsidRPr="00C92C0C">
        <w:rPr>
          <w:i w:val="0"/>
          <w:color w:val="0000FF"/>
          <w:sz w:val="28"/>
          <w:szCs w:val="24"/>
        </w:rPr>
        <w:lastRenderedPageBreak/>
        <w:t xml:space="preserve">Appendix </w:t>
      </w:r>
      <w:r w:rsidR="00C549A8" w:rsidRPr="00C92C0C">
        <w:rPr>
          <w:i w:val="0"/>
          <w:color w:val="0000FF"/>
          <w:sz w:val="28"/>
          <w:szCs w:val="24"/>
        </w:rPr>
        <w:t xml:space="preserve">B </w:t>
      </w:r>
      <w:r w:rsidRPr="00C92C0C">
        <w:rPr>
          <w:i w:val="0"/>
          <w:color w:val="0000FF"/>
          <w:sz w:val="28"/>
          <w:szCs w:val="24"/>
        </w:rPr>
        <w:t xml:space="preserve">– </w:t>
      </w:r>
      <w:r w:rsidR="007B17C2" w:rsidRPr="00C92C0C">
        <w:rPr>
          <w:i w:val="0"/>
          <w:color w:val="0000FF"/>
          <w:sz w:val="28"/>
          <w:szCs w:val="24"/>
        </w:rPr>
        <w:t>F</w:t>
      </w:r>
      <w:r w:rsidRPr="00C92C0C">
        <w:rPr>
          <w:i w:val="0"/>
          <w:color w:val="0000FF"/>
          <w:sz w:val="28"/>
          <w:szCs w:val="24"/>
        </w:rPr>
        <w:t>orecast comparison</w:t>
      </w:r>
    </w:p>
    <w:p w:rsidR="0077790C" w:rsidRPr="00C92C0C" w:rsidRDefault="0077790C" w:rsidP="00124E19">
      <w:pPr>
        <w:pStyle w:val="Bullet"/>
        <w:numPr>
          <w:ilvl w:val="0"/>
          <w:numId w:val="0"/>
        </w:numPr>
        <w:spacing w:before="200" w:after="280" w:line="240" w:lineRule="auto"/>
        <w:jc w:val="left"/>
        <w:rPr>
          <w:rFonts w:asciiTheme="minorHAnsi" w:hAnsiTheme="minorHAnsi"/>
          <w:b/>
          <w:color w:val="0000FF"/>
          <w:sz w:val="24"/>
        </w:rPr>
        <w:sectPr w:rsidR="0077790C" w:rsidRPr="00C92C0C" w:rsidSect="0077790C">
          <w:type w:val="continuous"/>
          <w:pgSz w:w="11907" w:h="16840" w:code="9"/>
          <w:pgMar w:top="1418" w:right="1100" w:bottom="1418" w:left="1100" w:header="567" w:footer="709" w:gutter="0"/>
          <w:cols w:space="709"/>
          <w:docGrid w:linePitch="272"/>
        </w:sectPr>
      </w:pPr>
    </w:p>
    <w:p w:rsidR="00C04BC4" w:rsidRPr="00C92C0C" w:rsidRDefault="00380524" w:rsidP="00124E19">
      <w:pPr>
        <w:pStyle w:val="Bullet"/>
        <w:numPr>
          <w:ilvl w:val="0"/>
          <w:numId w:val="0"/>
        </w:numPr>
        <w:spacing w:line="240" w:lineRule="auto"/>
        <w:jc w:val="left"/>
        <w:rPr>
          <w:rFonts w:asciiTheme="minorHAnsi" w:eastAsiaTheme="minorHAnsi" w:hAnsiTheme="minorHAnsi"/>
          <w:b/>
          <w:color w:val="0000FF"/>
          <w:sz w:val="24"/>
        </w:rPr>
      </w:pPr>
      <w:r w:rsidRPr="00C92C0C">
        <w:rPr>
          <w:rFonts w:asciiTheme="minorHAnsi" w:eastAsiaTheme="minorHAnsi" w:hAnsiTheme="minorHAnsi"/>
          <w:b/>
          <w:color w:val="0000FF"/>
          <w:sz w:val="24"/>
        </w:rPr>
        <w:lastRenderedPageBreak/>
        <w:t>Real GD</w:t>
      </w:r>
      <w:r w:rsidR="0077790C" w:rsidRPr="00C92C0C">
        <w:rPr>
          <w:rFonts w:asciiTheme="minorHAnsi" w:eastAsiaTheme="minorHAnsi" w:hAnsiTheme="minorHAnsi"/>
          <w:b/>
          <w:color w:val="0000FF"/>
          <w:sz w:val="24"/>
        </w:rPr>
        <w:t>P forecasts are broadly in line</w:t>
      </w:r>
      <w:r w:rsidR="007B17C2" w:rsidRPr="00C92C0C">
        <w:rPr>
          <w:rFonts w:asciiTheme="minorHAnsi" w:eastAsiaTheme="minorHAnsi" w:hAnsiTheme="minorHAnsi"/>
          <w:b/>
          <w:color w:val="0000FF"/>
          <w:sz w:val="24"/>
        </w:rPr>
        <w:t xml:space="preserve"> with consensus…</w:t>
      </w:r>
    </w:p>
    <w:p w:rsidR="004E5763" w:rsidRPr="00587BCC" w:rsidRDefault="004E5763" w:rsidP="004E576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1</w:t>
      </w:r>
      <w:r w:rsidRPr="00587BCC">
        <w:rPr>
          <w:rFonts w:asciiTheme="minorHAnsi" w:hAnsiTheme="minorHAnsi"/>
          <w:b/>
        </w:rPr>
        <w:t xml:space="preserve">: Consensus real GDP forecasts for </w:t>
      </w:r>
      <w:r w:rsidR="009F5663" w:rsidRPr="00587BCC">
        <w:rPr>
          <w:rFonts w:asciiTheme="minorHAnsi" w:hAnsiTheme="minorHAnsi"/>
          <w:b/>
        </w:rPr>
        <w:t xml:space="preserve">calendar year </w:t>
      </w:r>
      <w:r w:rsidRPr="00587BCC">
        <w:rPr>
          <w:rFonts w:asciiTheme="minorHAnsi" w:hAnsiTheme="minorHAnsi"/>
          <w:b/>
        </w:rPr>
        <w:t>2013</w:t>
      </w:r>
    </w:p>
    <w:p w:rsidR="00E70312" w:rsidRPr="00587BCC" w:rsidRDefault="002B0AB5" w:rsidP="00835484">
      <w:pPr>
        <w:pStyle w:val="ChartGraphic0"/>
        <w:jc w:val="left"/>
        <w:rPr>
          <w:rFonts w:asciiTheme="minorHAnsi" w:hAnsiTheme="minorHAnsi"/>
          <w:kern w:val="2"/>
          <w:sz w:val="16"/>
        </w:rPr>
      </w:pPr>
      <w:r>
        <w:rPr>
          <w:rFonts w:asciiTheme="minorHAnsi" w:hAnsiTheme="minorHAnsi"/>
        </w:rPr>
        <w:pict>
          <v:shape id="_x0000_i1045" type="#_x0000_t75" style="width:225pt;height:226.5pt">
            <v:imagedata r:id="rId48" o:title=""/>
          </v:shape>
        </w:pict>
      </w:r>
      <w:r w:rsidR="00E70312" w:rsidRPr="00587BCC">
        <w:rPr>
          <w:rFonts w:asciiTheme="minorHAnsi" w:hAnsiTheme="minorHAnsi"/>
          <w:color w:val="auto"/>
          <w:kern w:val="2"/>
          <w:sz w:val="16"/>
        </w:rPr>
        <w:t>Note: Top and bottom line represent range of Consensus forecasts. Centre line represents Consensus me</w:t>
      </w:r>
      <w:r w:rsidR="009F5663" w:rsidRPr="00587BCC">
        <w:rPr>
          <w:rFonts w:asciiTheme="minorHAnsi" w:hAnsiTheme="minorHAnsi"/>
          <w:color w:val="auto"/>
          <w:kern w:val="2"/>
          <w:sz w:val="16"/>
        </w:rPr>
        <w:t>a</w:t>
      </w:r>
      <w:r w:rsidR="00E70312" w:rsidRPr="00587BCC">
        <w:rPr>
          <w:rFonts w:asciiTheme="minorHAnsi" w:hAnsiTheme="minorHAnsi"/>
          <w:color w:val="auto"/>
          <w:kern w:val="2"/>
          <w:sz w:val="16"/>
        </w:rPr>
        <w:t>n forecast.</w:t>
      </w:r>
    </w:p>
    <w:p w:rsidR="007F380C" w:rsidRDefault="004E5763" w:rsidP="006A7558">
      <w:pPr>
        <w:spacing w:line="240" w:lineRule="auto"/>
        <w:rPr>
          <w:rFonts w:asciiTheme="minorHAnsi" w:hAnsiTheme="minorHAnsi" w:cs="Arial"/>
          <w:kern w:val="2"/>
          <w:sz w:val="16"/>
        </w:rPr>
      </w:pPr>
      <w:r w:rsidRPr="00587BCC">
        <w:rPr>
          <w:rFonts w:asciiTheme="minorHAnsi" w:hAnsiTheme="minorHAnsi" w:cs="Arial"/>
          <w:kern w:val="2"/>
          <w:sz w:val="16"/>
        </w:rPr>
        <w:t xml:space="preserve">Source: </w:t>
      </w:r>
      <w:r w:rsidR="00E70312" w:rsidRPr="00587BCC">
        <w:rPr>
          <w:rFonts w:asciiTheme="minorHAnsi" w:hAnsiTheme="minorHAnsi" w:cs="Arial"/>
          <w:kern w:val="2"/>
          <w:sz w:val="16"/>
        </w:rPr>
        <w:t>Consensus Economics</w:t>
      </w:r>
      <w:r w:rsidR="007F380C" w:rsidRPr="00587BCC">
        <w:rPr>
          <w:rStyle w:val="EndnoteReference"/>
          <w:rFonts w:asciiTheme="minorHAnsi" w:hAnsiTheme="minorHAnsi" w:cs="Arial"/>
          <w:kern w:val="2"/>
        </w:rPr>
        <w:endnoteReference w:id="1"/>
      </w:r>
      <w:r w:rsidR="000C0BA8" w:rsidRPr="00587BCC">
        <w:rPr>
          <w:rFonts w:asciiTheme="minorHAnsi" w:hAnsiTheme="minorHAnsi" w:cs="Arial"/>
          <w:kern w:val="2"/>
          <w:sz w:val="16"/>
        </w:rPr>
        <w:t xml:space="preserve"> </w:t>
      </w:r>
      <w:r w:rsidRPr="00587BCC">
        <w:rPr>
          <w:rFonts w:asciiTheme="minorHAnsi" w:hAnsiTheme="minorHAnsi" w:cs="Arial"/>
          <w:kern w:val="2"/>
          <w:sz w:val="16"/>
        </w:rPr>
        <w:t>and Treasury.</w:t>
      </w:r>
    </w:p>
    <w:p w:rsidR="000C0BA8" w:rsidRDefault="000C0BA8" w:rsidP="004E5763">
      <w:pPr>
        <w:keepNext/>
        <w:autoSpaceDE w:val="0"/>
        <w:autoSpaceDN w:val="0"/>
        <w:spacing w:after="0"/>
        <w:jc w:val="center"/>
        <w:rPr>
          <w:rFonts w:asciiTheme="minorHAnsi" w:hAnsiTheme="minorHAnsi"/>
          <w:b/>
        </w:rPr>
      </w:pPr>
    </w:p>
    <w:p w:rsidR="004E5763" w:rsidRPr="00587BCC" w:rsidRDefault="004E5763" w:rsidP="004E576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2</w:t>
      </w:r>
      <w:r w:rsidRPr="00587BCC">
        <w:rPr>
          <w:rFonts w:asciiTheme="minorHAnsi" w:hAnsiTheme="minorHAnsi"/>
          <w:b/>
        </w:rPr>
        <w:t xml:space="preserve">: Consensus real GDP forecasts for </w:t>
      </w:r>
      <w:r w:rsidR="009F5663" w:rsidRPr="00587BCC">
        <w:rPr>
          <w:rFonts w:asciiTheme="minorHAnsi" w:hAnsiTheme="minorHAnsi"/>
          <w:b/>
        </w:rPr>
        <w:t xml:space="preserve">calendar year </w:t>
      </w:r>
      <w:r w:rsidRPr="00587BCC">
        <w:rPr>
          <w:rFonts w:asciiTheme="minorHAnsi" w:hAnsiTheme="minorHAnsi"/>
          <w:b/>
        </w:rPr>
        <w:t>2014</w:t>
      </w:r>
    </w:p>
    <w:p w:rsidR="00E70312" w:rsidRPr="00587BCC" w:rsidRDefault="002B0AB5" w:rsidP="00835484">
      <w:pPr>
        <w:pStyle w:val="ChartGraphic0"/>
        <w:jc w:val="left"/>
        <w:rPr>
          <w:rFonts w:asciiTheme="minorHAnsi" w:hAnsiTheme="minorHAnsi"/>
          <w:kern w:val="2"/>
          <w:sz w:val="16"/>
        </w:rPr>
      </w:pPr>
      <w:r>
        <w:rPr>
          <w:rFonts w:asciiTheme="minorHAnsi" w:hAnsiTheme="minorHAnsi"/>
        </w:rPr>
        <w:pict>
          <v:shape id="_x0000_i1046" type="#_x0000_t75" style="width:225pt;height:225pt">
            <v:imagedata r:id="rId49" o:title=""/>
          </v:shape>
        </w:pict>
      </w:r>
      <w:r w:rsidR="00E70312" w:rsidRPr="00587BCC">
        <w:rPr>
          <w:rFonts w:asciiTheme="minorHAnsi" w:hAnsiTheme="minorHAnsi"/>
          <w:color w:val="auto"/>
          <w:kern w:val="2"/>
          <w:sz w:val="16"/>
        </w:rPr>
        <w:t>Note: Top and bottom line represent range of Consensus forecasts. Centre line represents Consensus mean forecast.</w:t>
      </w:r>
    </w:p>
    <w:p w:rsidR="004E5763" w:rsidRPr="00587BCC" w:rsidRDefault="00E70312" w:rsidP="00DE01B0">
      <w:pPr>
        <w:spacing w:line="240" w:lineRule="auto"/>
        <w:jc w:val="left"/>
        <w:rPr>
          <w:rFonts w:asciiTheme="minorHAnsi" w:hAnsiTheme="minorHAnsi" w:cs="Arial"/>
          <w:kern w:val="2"/>
          <w:sz w:val="16"/>
        </w:rPr>
      </w:pPr>
      <w:r w:rsidRPr="00587BCC">
        <w:rPr>
          <w:rFonts w:asciiTheme="minorHAnsi" w:hAnsiTheme="minorHAnsi" w:cs="Arial"/>
          <w:kern w:val="2"/>
          <w:sz w:val="16"/>
        </w:rPr>
        <w:t>Source: Consensus Economics and Treasury</w:t>
      </w:r>
      <w:r w:rsidR="004E5763" w:rsidRPr="00587BCC">
        <w:rPr>
          <w:rFonts w:asciiTheme="minorHAnsi" w:hAnsiTheme="minorHAnsi" w:cs="Arial"/>
          <w:kern w:val="2"/>
          <w:sz w:val="16"/>
        </w:rPr>
        <w:t>.</w:t>
      </w:r>
    </w:p>
    <w:p w:rsidR="000C7500" w:rsidRPr="00C92C0C" w:rsidRDefault="007B17C2" w:rsidP="00124E19">
      <w:pPr>
        <w:pStyle w:val="Bullet"/>
        <w:numPr>
          <w:ilvl w:val="0"/>
          <w:numId w:val="0"/>
        </w:numPr>
        <w:spacing w:line="240" w:lineRule="auto"/>
        <w:rPr>
          <w:rFonts w:asciiTheme="minorHAnsi" w:eastAsiaTheme="minorHAnsi" w:hAnsiTheme="minorHAnsi"/>
          <w:b/>
          <w:color w:val="0000FF"/>
          <w:sz w:val="24"/>
        </w:rPr>
      </w:pPr>
      <w:r w:rsidRPr="00C92C0C">
        <w:rPr>
          <w:rFonts w:asciiTheme="minorHAnsi" w:eastAsiaTheme="minorHAnsi" w:hAnsiTheme="minorHAnsi"/>
          <w:b/>
          <w:color w:val="0000FF"/>
          <w:sz w:val="24"/>
        </w:rPr>
        <w:lastRenderedPageBreak/>
        <w:t>…although the forecast u</w:t>
      </w:r>
      <w:r w:rsidR="000C7500" w:rsidRPr="00C92C0C">
        <w:rPr>
          <w:rFonts w:asciiTheme="minorHAnsi" w:eastAsiaTheme="minorHAnsi" w:hAnsiTheme="minorHAnsi"/>
          <w:b/>
          <w:color w:val="0000FF"/>
          <w:sz w:val="24"/>
        </w:rPr>
        <w:t xml:space="preserve">nemployment rate </w:t>
      </w:r>
      <w:r w:rsidR="00BF6A01" w:rsidRPr="00C92C0C">
        <w:rPr>
          <w:rFonts w:asciiTheme="minorHAnsi" w:eastAsiaTheme="minorHAnsi" w:hAnsiTheme="minorHAnsi"/>
          <w:b/>
          <w:color w:val="0000FF"/>
          <w:sz w:val="24"/>
        </w:rPr>
        <w:t>is a little above the median…</w:t>
      </w:r>
    </w:p>
    <w:p w:rsidR="006A7558" w:rsidRPr="00587BCC" w:rsidRDefault="006A7558" w:rsidP="006A7558">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3</w:t>
      </w:r>
      <w:r w:rsidRPr="00587BCC">
        <w:rPr>
          <w:rFonts w:asciiTheme="minorHAnsi" w:hAnsiTheme="minorHAnsi"/>
          <w:b/>
        </w:rPr>
        <w:t xml:space="preserve">: Consensus unemployment rate forecasts for </w:t>
      </w:r>
      <w:r w:rsidR="009F5663" w:rsidRPr="00587BCC">
        <w:rPr>
          <w:rFonts w:asciiTheme="minorHAnsi" w:hAnsiTheme="minorHAnsi"/>
          <w:b/>
        </w:rPr>
        <w:t xml:space="preserve">calendar year </w:t>
      </w:r>
      <w:r w:rsidRPr="00587BCC">
        <w:rPr>
          <w:rFonts w:asciiTheme="minorHAnsi" w:hAnsiTheme="minorHAnsi"/>
          <w:b/>
        </w:rPr>
        <w:t>2013</w:t>
      </w:r>
    </w:p>
    <w:p w:rsidR="006A7558" w:rsidRPr="00587BCC" w:rsidRDefault="002B0AB5" w:rsidP="006A7558">
      <w:pPr>
        <w:pStyle w:val="ChartGraphic0"/>
        <w:jc w:val="left"/>
        <w:rPr>
          <w:rFonts w:asciiTheme="minorHAnsi" w:hAnsiTheme="minorHAnsi"/>
          <w:kern w:val="2"/>
          <w:sz w:val="16"/>
        </w:rPr>
      </w:pPr>
      <w:r>
        <w:rPr>
          <w:rFonts w:asciiTheme="minorHAnsi" w:hAnsiTheme="minorHAnsi"/>
        </w:rPr>
        <w:pict>
          <v:shape id="_x0000_i1047" type="#_x0000_t75" style="width:225pt;height:226.5pt">
            <v:imagedata r:id="rId50" o:title=""/>
          </v:shape>
        </w:pict>
      </w:r>
      <w:r w:rsidR="006A7558" w:rsidRPr="00587BCC">
        <w:rPr>
          <w:rFonts w:asciiTheme="minorHAnsi" w:hAnsiTheme="minorHAnsi"/>
          <w:color w:val="auto"/>
          <w:kern w:val="2"/>
          <w:sz w:val="16"/>
        </w:rPr>
        <w:t>Note: Top and bottom line represent range of Consensus forecasts. Centre line represents Consensus me</w:t>
      </w:r>
      <w:r w:rsidR="009F5663" w:rsidRPr="00587BCC">
        <w:rPr>
          <w:rFonts w:asciiTheme="minorHAnsi" w:hAnsiTheme="minorHAnsi"/>
          <w:color w:val="auto"/>
          <w:kern w:val="2"/>
          <w:sz w:val="16"/>
        </w:rPr>
        <w:t>a</w:t>
      </w:r>
      <w:r w:rsidR="006A7558" w:rsidRPr="00587BCC">
        <w:rPr>
          <w:rFonts w:asciiTheme="minorHAnsi" w:hAnsiTheme="minorHAnsi"/>
          <w:color w:val="auto"/>
          <w:kern w:val="2"/>
          <w:sz w:val="16"/>
        </w:rPr>
        <w:t>n forecast.</w:t>
      </w:r>
    </w:p>
    <w:p w:rsidR="00E96A58" w:rsidRPr="00587BCC" w:rsidRDefault="006A7558" w:rsidP="00124E19">
      <w:pPr>
        <w:spacing w:line="240" w:lineRule="auto"/>
        <w:jc w:val="left"/>
        <w:rPr>
          <w:rFonts w:asciiTheme="minorHAnsi" w:hAnsiTheme="minorHAnsi" w:cs="Arial"/>
          <w:kern w:val="2"/>
          <w:sz w:val="16"/>
        </w:rPr>
      </w:pPr>
      <w:r w:rsidRPr="00587BCC">
        <w:rPr>
          <w:rFonts w:asciiTheme="minorHAnsi" w:hAnsiTheme="minorHAnsi" w:cs="Arial"/>
          <w:kern w:val="2"/>
          <w:sz w:val="16"/>
        </w:rPr>
        <w:t>Source: Consensus Economics and Treasury.</w:t>
      </w:r>
    </w:p>
    <w:p w:rsidR="000C0BA8" w:rsidRDefault="000C0BA8" w:rsidP="006A7558">
      <w:pPr>
        <w:keepNext/>
        <w:autoSpaceDE w:val="0"/>
        <w:autoSpaceDN w:val="0"/>
        <w:spacing w:after="0"/>
        <w:jc w:val="center"/>
        <w:rPr>
          <w:rFonts w:asciiTheme="minorHAnsi" w:hAnsiTheme="minorHAnsi"/>
          <w:b/>
        </w:rPr>
      </w:pPr>
    </w:p>
    <w:p w:rsidR="006A7558" w:rsidRPr="00587BCC" w:rsidRDefault="006A7558" w:rsidP="006A7558">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4</w:t>
      </w:r>
      <w:r w:rsidRPr="00587BCC">
        <w:rPr>
          <w:rFonts w:asciiTheme="minorHAnsi" w:hAnsiTheme="minorHAnsi"/>
          <w:b/>
        </w:rPr>
        <w:t>: Consensus unemployment rate forecasts for</w:t>
      </w:r>
      <w:r w:rsidR="009F5663" w:rsidRPr="00587BCC">
        <w:rPr>
          <w:rFonts w:asciiTheme="minorHAnsi" w:hAnsiTheme="minorHAnsi"/>
          <w:b/>
        </w:rPr>
        <w:t xml:space="preserve"> calendar year</w:t>
      </w:r>
      <w:r w:rsidRPr="00587BCC">
        <w:rPr>
          <w:rFonts w:asciiTheme="minorHAnsi" w:hAnsiTheme="minorHAnsi"/>
          <w:b/>
        </w:rPr>
        <w:t xml:space="preserve"> 2014</w:t>
      </w:r>
    </w:p>
    <w:p w:rsidR="006A7558" w:rsidRPr="00587BCC" w:rsidRDefault="002B0AB5" w:rsidP="006A7558">
      <w:pPr>
        <w:pStyle w:val="ChartGraphic0"/>
        <w:jc w:val="left"/>
        <w:rPr>
          <w:rFonts w:asciiTheme="minorHAnsi" w:hAnsiTheme="minorHAnsi"/>
          <w:kern w:val="2"/>
          <w:sz w:val="16"/>
        </w:rPr>
      </w:pPr>
      <w:r>
        <w:rPr>
          <w:rFonts w:asciiTheme="minorHAnsi" w:hAnsiTheme="minorHAnsi"/>
        </w:rPr>
        <w:pict>
          <v:shape id="_x0000_i1048" type="#_x0000_t75" style="width:225pt;height:225pt">
            <v:imagedata r:id="rId51" o:title=""/>
          </v:shape>
        </w:pict>
      </w:r>
      <w:r w:rsidR="006A7558" w:rsidRPr="00587BCC">
        <w:rPr>
          <w:rFonts w:asciiTheme="minorHAnsi" w:hAnsiTheme="minorHAnsi"/>
          <w:color w:val="auto"/>
          <w:kern w:val="2"/>
          <w:sz w:val="16"/>
        </w:rPr>
        <w:t>Note: Top and bottom line represent range of Consensus forecasts. Centre line represents Consensus mean forecast.</w:t>
      </w:r>
    </w:p>
    <w:p w:rsidR="006A7558" w:rsidRPr="00587BCC" w:rsidRDefault="006A7558" w:rsidP="009F5663">
      <w:pPr>
        <w:spacing w:line="240" w:lineRule="auto"/>
        <w:jc w:val="left"/>
        <w:rPr>
          <w:rFonts w:asciiTheme="minorHAnsi" w:hAnsiTheme="minorHAnsi" w:cs="Arial"/>
          <w:kern w:val="2"/>
          <w:sz w:val="16"/>
        </w:rPr>
      </w:pPr>
      <w:r w:rsidRPr="00587BCC">
        <w:rPr>
          <w:rFonts w:asciiTheme="minorHAnsi" w:hAnsiTheme="minorHAnsi" w:cs="Arial"/>
          <w:kern w:val="2"/>
          <w:sz w:val="16"/>
        </w:rPr>
        <w:t>Source: Consensus Economics and Treasury.</w:t>
      </w:r>
    </w:p>
    <w:p w:rsidR="00BE15CD" w:rsidRPr="00C92C0C" w:rsidRDefault="00BF6A01" w:rsidP="00BF6A01">
      <w:pPr>
        <w:pStyle w:val="Bullet"/>
        <w:numPr>
          <w:ilvl w:val="0"/>
          <w:numId w:val="0"/>
        </w:numPr>
        <w:spacing w:line="240" w:lineRule="auto"/>
        <w:rPr>
          <w:rFonts w:asciiTheme="minorHAnsi" w:eastAsiaTheme="minorHAnsi" w:hAnsiTheme="minorHAnsi"/>
          <w:b/>
          <w:color w:val="0000FF"/>
          <w:sz w:val="24"/>
        </w:rPr>
      </w:pPr>
      <w:r w:rsidRPr="00C92C0C">
        <w:rPr>
          <w:rFonts w:asciiTheme="minorHAnsi" w:eastAsiaTheme="minorHAnsi" w:hAnsiTheme="minorHAnsi"/>
          <w:b/>
          <w:color w:val="0000FF"/>
          <w:sz w:val="24"/>
        </w:rPr>
        <w:lastRenderedPageBreak/>
        <w:t>…while b</w:t>
      </w:r>
      <w:r w:rsidR="00CE3728" w:rsidRPr="00C92C0C">
        <w:rPr>
          <w:rFonts w:asciiTheme="minorHAnsi" w:eastAsiaTheme="minorHAnsi" w:hAnsiTheme="minorHAnsi"/>
          <w:b/>
          <w:color w:val="0000FF"/>
          <w:sz w:val="24"/>
        </w:rPr>
        <w:t>ulk c</w:t>
      </w:r>
      <w:r w:rsidR="00BE15CD" w:rsidRPr="00C92C0C">
        <w:rPr>
          <w:rFonts w:asciiTheme="minorHAnsi" w:eastAsiaTheme="minorHAnsi" w:hAnsiTheme="minorHAnsi"/>
          <w:b/>
          <w:color w:val="0000FF"/>
          <w:sz w:val="24"/>
        </w:rPr>
        <w:t>ommodity price forecasts are at the lower end of consensus</w:t>
      </w:r>
      <w:r w:rsidRPr="00C92C0C">
        <w:rPr>
          <w:rFonts w:asciiTheme="minorHAnsi" w:eastAsiaTheme="minorHAnsi" w:hAnsiTheme="minorHAnsi"/>
          <w:b/>
          <w:color w:val="0000FF"/>
          <w:sz w:val="24"/>
        </w:rPr>
        <w:t>.</w:t>
      </w:r>
    </w:p>
    <w:p w:rsidR="00BE15CD" w:rsidRPr="00587BCC" w:rsidRDefault="00BE15CD" w:rsidP="00BE15CD">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5</w:t>
      </w:r>
      <w:r w:rsidRPr="00587BCC">
        <w:rPr>
          <w:rFonts w:asciiTheme="minorHAnsi" w:hAnsiTheme="minorHAnsi"/>
          <w:b/>
        </w:rPr>
        <w:t xml:space="preserve">: </w:t>
      </w:r>
      <w:r w:rsidR="00CC3123" w:rsidRPr="00587BCC">
        <w:rPr>
          <w:rFonts w:asciiTheme="minorHAnsi" w:hAnsiTheme="minorHAnsi"/>
          <w:b/>
        </w:rPr>
        <w:t>Iron ore price forecasts</w:t>
      </w:r>
      <w:r w:rsidR="00A3038F">
        <w:rPr>
          <w:rFonts w:asciiTheme="minorHAnsi" w:hAnsiTheme="minorHAnsi"/>
          <w:b/>
        </w:rPr>
        <w:t xml:space="preserve"> for June 2015</w:t>
      </w:r>
    </w:p>
    <w:p w:rsidR="00BE15CD" w:rsidRPr="00587BCC" w:rsidRDefault="002B0AB5" w:rsidP="00BE15CD">
      <w:pPr>
        <w:pStyle w:val="ChartGraphic0"/>
        <w:jc w:val="left"/>
        <w:rPr>
          <w:rFonts w:asciiTheme="minorHAnsi" w:hAnsiTheme="minorHAnsi"/>
          <w:kern w:val="2"/>
          <w:sz w:val="16"/>
        </w:rPr>
      </w:pPr>
      <w:r>
        <w:rPr>
          <w:rFonts w:asciiTheme="minorHAnsi" w:hAnsiTheme="minorHAnsi"/>
        </w:rPr>
        <w:pict>
          <v:shape id="_x0000_i1049" type="#_x0000_t75" style="width:225pt;height:225pt">
            <v:imagedata r:id="rId52" o:title=""/>
          </v:shape>
        </w:pict>
      </w:r>
      <w:r w:rsidR="00BE15CD" w:rsidRPr="00587BCC">
        <w:rPr>
          <w:rFonts w:asciiTheme="minorHAnsi" w:hAnsiTheme="minorHAnsi"/>
          <w:color w:val="auto"/>
          <w:kern w:val="2"/>
          <w:sz w:val="16"/>
        </w:rPr>
        <w:t xml:space="preserve">Note: Top and bottom line represent range of </w:t>
      </w:r>
      <w:r w:rsidR="00C75446" w:rsidRPr="00587BCC">
        <w:rPr>
          <w:rFonts w:asciiTheme="minorHAnsi" w:hAnsiTheme="minorHAnsi"/>
          <w:color w:val="auto"/>
          <w:kern w:val="2"/>
          <w:sz w:val="16"/>
        </w:rPr>
        <w:t>c</w:t>
      </w:r>
      <w:r w:rsidR="00BE15CD" w:rsidRPr="00587BCC">
        <w:rPr>
          <w:rFonts w:asciiTheme="minorHAnsi" w:hAnsiTheme="minorHAnsi"/>
          <w:color w:val="auto"/>
          <w:kern w:val="2"/>
          <w:sz w:val="16"/>
        </w:rPr>
        <w:t xml:space="preserve">onsensus forecasts. </w:t>
      </w:r>
      <w:r w:rsidR="00C26546" w:rsidRPr="00587BCC">
        <w:rPr>
          <w:rFonts w:asciiTheme="minorHAnsi" w:hAnsiTheme="minorHAnsi"/>
          <w:color w:val="auto"/>
          <w:kern w:val="2"/>
          <w:sz w:val="16"/>
        </w:rPr>
        <w:t>Centre line represents Consensus median forecast.</w:t>
      </w:r>
    </w:p>
    <w:p w:rsidR="00BE15CD" w:rsidRPr="00587BCC" w:rsidRDefault="00BE15CD" w:rsidP="00C75446">
      <w:pPr>
        <w:spacing w:line="240" w:lineRule="auto"/>
        <w:rPr>
          <w:rFonts w:asciiTheme="minorHAnsi" w:hAnsiTheme="minorHAnsi" w:cs="Arial"/>
          <w:kern w:val="2"/>
          <w:sz w:val="16"/>
        </w:rPr>
      </w:pPr>
      <w:r w:rsidRPr="00587BCC">
        <w:rPr>
          <w:rFonts w:asciiTheme="minorHAnsi" w:hAnsiTheme="minorHAnsi" w:cs="Arial"/>
          <w:kern w:val="2"/>
          <w:sz w:val="16"/>
        </w:rPr>
        <w:t>Source: Consensus Economics</w:t>
      </w:r>
      <w:r w:rsidR="00A3038F">
        <w:rPr>
          <w:rStyle w:val="EndnoteReference"/>
          <w:rFonts w:asciiTheme="minorHAnsi" w:hAnsiTheme="minorHAnsi" w:cs="Arial"/>
          <w:kern w:val="2"/>
          <w:sz w:val="16"/>
        </w:rPr>
        <w:endnoteReference w:id="2"/>
      </w:r>
      <w:r w:rsidRPr="00587BCC">
        <w:rPr>
          <w:rFonts w:asciiTheme="minorHAnsi" w:hAnsiTheme="minorHAnsi" w:cs="Arial"/>
          <w:kern w:val="2"/>
          <w:sz w:val="16"/>
        </w:rPr>
        <w:t xml:space="preserve"> and Treasury.</w:t>
      </w:r>
    </w:p>
    <w:p w:rsidR="00C76C2E" w:rsidRDefault="00C76C2E" w:rsidP="002F39A3">
      <w:pPr>
        <w:keepNext/>
        <w:autoSpaceDE w:val="0"/>
        <w:autoSpaceDN w:val="0"/>
        <w:spacing w:after="0"/>
        <w:jc w:val="center"/>
        <w:rPr>
          <w:rFonts w:asciiTheme="minorHAnsi" w:hAnsiTheme="minorHAnsi"/>
          <w:b/>
        </w:rPr>
      </w:pPr>
    </w:p>
    <w:p w:rsidR="00CC3123" w:rsidRDefault="00CC3123" w:rsidP="002F39A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6</w:t>
      </w:r>
      <w:r w:rsidRPr="00587BCC">
        <w:rPr>
          <w:rFonts w:asciiTheme="minorHAnsi" w:hAnsiTheme="minorHAnsi"/>
          <w:b/>
        </w:rPr>
        <w:t>: Metallurgical coal price forecasts</w:t>
      </w:r>
      <w:r w:rsidR="00A3038F">
        <w:rPr>
          <w:rFonts w:asciiTheme="minorHAnsi" w:hAnsiTheme="minorHAnsi"/>
          <w:b/>
        </w:rPr>
        <w:t xml:space="preserve"> for </w:t>
      </w:r>
      <w:r w:rsidR="00A3038F">
        <w:rPr>
          <w:rFonts w:asciiTheme="minorHAnsi" w:hAnsiTheme="minorHAnsi"/>
          <w:b/>
        </w:rPr>
        <w:br/>
        <w:t>June 2015</w:t>
      </w:r>
    </w:p>
    <w:p w:rsidR="002F39A3" w:rsidRPr="00587BCC" w:rsidRDefault="002F39A3" w:rsidP="002F39A3">
      <w:pPr>
        <w:keepNext/>
        <w:autoSpaceDE w:val="0"/>
        <w:autoSpaceDN w:val="0"/>
        <w:spacing w:after="0"/>
        <w:jc w:val="center"/>
        <w:rPr>
          <w:rFonts w:asciiTheme="minorHAnsi" w:hAnsiTheme="minorHAnsi"/>
          <w:b/>
        </w:rPr>
      </w:pPr>
    </w:p>
    <w:p w:rsidR="00CC3123" w:rsidRPr="00587BCC" w:rsidRDefault="002B0AB5" w:rsidP="00CC3123">
      <w:pPr>
        <w:pStyle w:val="ChartGraphic0"/>
        <w:jc w:val="left"/>
        <w:rPr>
          <w:rFonts w:asciiTheme="minorHAnsi" w:hAnsiTheme="minorHAnsi"/>
          <w:kern w:val="2"/>
          <w:sz w:val="16"/>
        </w:rPr>
      </w:pPr>
      <w:r>
        <w:rPr>
          <w:rFonts w:asciiTheme="minorHAnsi" w:hAnsiTheme="minorHAnsi"/>
          <w:color w:val="auto"/>
          <w:kern w:val="2"/>
          <w:sz w:val="16"/>
        </w:rPr>
        <w:pict>
          <v:shape id="_x0000_i1050" type="#_x0000_t75" style="width:225.75pt;height:225.75pt">
            <v:imagedata r:id="rId53" o:title=""/>
          </v:shape>
        </w:pict>
      </w:r>
      <w:r w:rsidR="00CC3123" w:rsidRPr="00587BCC">
        <w:rPr>
          <w:rFonts w:asciiTheme="minorHAnsi" w:hAnsiTheme="minorHAnsi"/>
          <w:color w:val="auto"/>
          <w:kern w:val="2"/>
          <w:sz w:val="16"/>
        </w:rPr>
        <w:t xml:space="preserve">Note: Top and bottom line represent range of Consensus forecasts. </w:t>
      </w:r>
      <w:r w:rsidR="00C26546" w:rsidRPr="00587BCC">
        <w:rPr>
          <w:rFonts w:asciiTheme="minorHAnsi" w:hAnsiTheme="minorHAnsi"/>
          <w:color w:val="auto"/>
          <w:kern w:val="2"/>
          <w:sz w:val="16"/>
        </w:rPr>
        <w:t>Centre line represents Consensus median forecast.</w:t>
      </w:r>
    </w:p>
    <w:p w:rsidR="00CC3123" w:rsidRPr="00587BCC" w:rsidRDefault="00CC3123" w:rsidP="00CC3123">
      <w:pPr>
        <w:spacing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p>
    <w:p w:rsidR="002F39A3" w:rsidRDefault="002F39A3" w:rsidP="00CC3123">
      <w:pPr>
        <w:keepNext/>
        <w:autoSpaceDE w:val="0"/>
        <w:autoSpaceDN w:val="0"/>
        <w:spacing w:after="0"/>
        <w:jc w:val="center"/>
        <w:rPr>
          <w:rFonts w:asciiTheme="minorHAnsi" w:hAnsiTheme="minorHAnsi"/>
          <w:b/>
        </w:rPr>
      </w:pPr>
    </w:p>
    <w:p w:rsidR="0026375B" w:rsidRDefault="0026375B" w:rsidP="00CC3123">
      <w:pPr>
        <w:keepNext/>
        <w:autoSpaceDE w:val="0"/>
        <w:autoSpaceDN w:val="0"/>
        <w:spacing w:after="0"/>
        <w:jc w:val="center"/>
        <w:rPr>
          <w:rFonts w:asciiTheme="minorHAnsi" w:hAnsiTheme="minorHAnsi"/>
          <w:b/>
        </w:rPr>
      </w:pPr>
    </w:p>
    <w:p w:rsidR="0026375B" w:rsidRDefault="0026375B" w:rsidP="00CC3123">
      <w:pPr>
        <w:keepNext/>
        <w:autoSpaceDE w:val="0"/>
        <w:autoSpaceDN w:val="0"/>
        <w:spacing w:after="0"/>
        <w:jc w:val="center"/>
        <w:rPr>
          <w:rFonts w:asciiTheme="minorHAnsi" w:hAnsiTheme="minorHAnsi"/>
          <w:b/>
        </w:rPr>
      </w:pPr>
    </w:p>
    <w:p w:rsidR="00CC3123" w:rsidRPr="00587BCC" w:rsidRDefault="00CC3123" w:rsidP="00CC3123">
      <w:pPr>
        <w:keepNext/>
        <w:autoSpaceDE w:val="0"/>
        <w:autoSpaceDN w:val="0"/>
        <w:spacing w:after="0"/>
        <w:jc w:val="center"/>
        <w:rPr>
          <w:rFonts w:asciiTheme="minorHAnsi" w:hAnsiTheme="minorHAnsi"/>
          <w:b/>
        </w:rPr>
      </w:pPr>
      <w:r w:rsidRPr="00587BCC">
        <w:rPr>
          <w:rFonts w:asciiTheme="minorHAnsi" w:hAnsiTheme="minorHAnsi"/>
          <w:b/>
        </w:rPr>
        <w:t xml:space="preserve">Chart </w:t>
      </w:r>
      <w:r w:rsidR="00D868E2" w:rsidRPr="00587BCC">
        <w:rPr>
          <w:rFonts w:asciiTheme="minorHAnsi" w:hAnsiTheme="minorHAnsi"/>
          <w:b/>
        </w:rPr>
        <w:t>7</w:t>
      </w:r>
      <w:r w:rsidRPr="00587BCC">
        <w:rPr>
          <w:rFonts w:asciiTheme="minorHAnsi" w:hAnsiTheme="minorHAnsi"/>
          <w:b/>
        </w:rPr>
        <w:t>: Thermal coal price forecasts</w:t>
      </w:r>
      <w:r w:rsidR="00A3038F">
        <w:rPr>
          <w:rFonts w:asciiTheme="minorHAnsi" w:hAnsiTheme="minorHAnsi"/>
          <w:b/>
        </w:rPr>
        <w:t xml:space="preserve"> for June 2015</w:t>
      </w:r>
    </w:p>
    <w:p w:rsidR="00CC3123" w:rsidRPr="00587BCC" w:rsidRDefault="002B0AB5" w:rsidP="00CC3123">
      <w:pPr>
        <w:pStyle w:val="ChartGraphic0"/>
        <w:jc w:val="left"/>
        <w:rPr>
          <w:rFonts w:asciiTheme="minorHAnsi" w:hAnsiTheme="minorHAnsi"/>
          <w:kern w:val="2"/>
          <w:sz w:val="16"/>
        </w:rPr>
      </w:pPr>
      <w:r>
        <w:rPr>
          <w:rFonts w:asciiTheme="minorHAnsi" w:hAnsiTheme="minorHAnsi"/>
          <w:color w:val="auto"/>
          <w:kern w:val="2"/>
          <w:sz w:val="16"/>
        </w:rPr>
        <w:pict>
          <v:shape id="_x0000_i1051" type="#_x0000_t75" style="width:225pt;height:225pt">
            <v:imagedata r:id="rId54" o:title=""/>
          </v:shape>
        </w:pict>
      </w:r>
      <w:r w:rsidR="006E482A" w:rsidRPr="00587BCC">
        <w:rPr>
          <w:rFonts w:asciiTheme="minorHAnsi" w:hAnsiTheme="minorHAnsi"/>
          <w:color w:val="auto"/>
          <w:kern w:val="2"/>
          <w:sz w:val="16"/>
        </w:rPr>
        <w:t xml:space="preserve">Note: Top and bottom line represent range of consensus forecasts. </w:t>
      </w:r>
      <w:r w:rsidR="00C26546" w:rsidRPr="00587BCC">
        <w:rPr>
          <w:rFonts w:asciiTheme="minorHAnsi" w:hAnsiTheme="minorHAnsi"/>
          <w:color w:val="auto"/>
          <w:kern w:val="2"/>
          <w:sz w:val="16"/>
        </w:rPr>
        <w:t>Centre line represents Consensus median forecast.</w:t>
      </w:r>
    </w:p>
    <w:p w:rsidR="00BE15CD" w:rsidRPr="00587BCC" w:rsidRDefault="00CC3123" w:rsidP="004038C0">
      <w:pPr>
        <w:spacing w:after="0" w:line="240" w:lineRule="auto"/>
        <w:rPr>
          <w:rFonts w:asciiTheme="minorHAnsi" w:hAnsiTheme="minorHAnsi" w:cs="Arial"/>
          <w:kern w:val="2"/>
          <w:sz w:val="16"/>
        </w:rPr>
      </w:pPr>
      <w:r w:rsidRPr="00587BCC">
        <w:rPr>
          <w:rFonts w:asciiTheme="minorHAnsi" w:hAnsiTheme="minorHAnsi" w:cs="Arial"/>
          <w:kern w:val="2"/>
          <w:sz w:val="16"/>
        </w:rPr>
        <w:t>Source: Consensus Economics and Treasury.</w:t>
      </w:r>
      <w:r w:rsidR="00935486" w:rsidRPr="00935486">
        <w:rPr>
          <w:rStyle w:val="FootnoteReference"/>
          <w:rFonts w:asciiTheme="minorHAnsi" w:hAnsiTheme="minorHAnsi" w:cs="Arial"/>
          <w:kern w:val="2"/>
        </w:rPr>
        <w:t xml:space="preserve"> </w:t>
      </w:r>
    </w:p>
    <w:bookmarkEnd w:id="1"/>
    <w:bookmarkEnd w:id="2"/>
    <w:bookmarkEnd w:id="3"/>
    <w:bookmarkEnd w:id="4"/>
    <w:p w:rsidR="006A7558" w:rsidRPr="00587BCC" w:rsidRDefault="006A7558" w:rsidP="006A7558">
      <w:pPr>
        <w:spacing w:line="240" w:lineRule="auto"/>
        <w:jc w:val="left"/>
        <w:rPr>
          <w:rFonts w:asciiTheme="minorHAnsi" w:hAnsiTheme="minorHAnsi" w:cs="Arial"/>
          <w:kern w:val="2"/>
          <w:sz w:val="16"/>
        </w:rPr>
      </w:pPr>
    </w:p>
    <w:sectPr w:rsidR="006A7558" w:rsidRPr="00587BCC" w:rsidSect="00C92C0C">
      <w:footnotePr>
        <w:pos w:val="beneathText"/>
      </w:footnotePr>
      <w:endnotePr>
        <w:numFmt w:val="decimal"/>
        <w:numStart w:val="3"/>
      </w:endnotePr>
      <w:type w:val="continuous"/>
      <w:pgSz w:w="11907" w:h="16840" w:code="9"/>
      <w:pgMar w:top="1418" w:right="1100" w:bottom="1418" w:left="1100" w:header="567" w:footer="709" w:gutter="0"/>
      <w:cols w:num="2" w:space="709"/>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A7" w:rsidRDefault="00ED10A7">
      <w:r>
        <w:separator/>
      </w:r>
    </w:p>
  </w:endnote>
  <w:endnote w:type="continuationSeparator" w:id="0">
    <w:p w:rsidR="00ED10A7" w:rsidRDefault="00ED10A7">
      <w:r>
        <w:continuationSeparator/>
      </w:r>
    </w:p>
  </w:endnote>
  <w:endnote w:id="1">
    <w:p w:rsidR="007F380C" w:rsidRPr="00C92C0C" w:rsidRDefault="007F380C" w:rsidP="007F380C">
      <w:pPr>
        <w:pStyle w:val="EndnoteText"/>
        <w:rPr>
          <w:rFonts w:asciiTheme="minorHAnsi" w:hAnsiTheme="minorHAnsi"/>
          <w:i/>
        </w:rPr>
      </w:pPr>
      <w:r w:rsidRPr="00C92C0C">
        <w:rPr>
          <w:rStyle w:val="EndnoteReference"/>
          <w:rFonts w:asciiTheme="minorHAnsi" w:hAnsiTheme="minorHAnsi"/>
          <w:i/>
        </w:rPr>
        <w:endnoteRef/>
      </w:r>
      <w:r w:rsidRPr="00C92C0C">
        <w:rPr>
          <w:rFonts w:asciiTheme="minorHAnsi" w:hAnsiTheme="minorHAnsi"/>
          <w:i/>
        </w:rPr>
        <w:t xml:space="preserve"> </w:t>
      </w:r>
      <w:r w:rsidRPr="00C92C0C">
        <w:rPr>
          <w:rFonts w:asciiTheme="minorHAnsi" w:hAnsiTheme="minorHAnsi"/>
          <w:i/>
        </w:rPr>
        <w:tab/>
        <w:t>Every month, Consensus Economics surveys a range of prominent Australian financial and economic forecasters (while the range varies from month to month, it is usually around 15-20 forecasters) for their estimates of a range of variables, including future growth, inflation, exchange rates and commodity prices.</w:t>
      </w:r>
    </w:p>
  </w:endnote>
  <w:endnote w:id="2">
    <w:p w:rsidR="00A3038F" w:rsidRDefault="00A3038F">
      <w:pPr>
        <w:pStyle w:val="EndnoteText"/>
      </w:pPr>
      <w:r>
        <w:rPr>
          <w:rStyle w:val="EndnoteReference"/>
        </w:rPr>
        <w:endnoteRef/>
      </w:r>
      <w:r>
        <w:t xml:space="preserve"> </w:t>
      </w:r>
      <w:r>
        <w:tab/>
      </w:r>
      <w:r w:rsidRPr="00A3038F">
        <w:rPr>
          <w:rFonts w:asciiTheme="minorHAnsi" w:hAnsiTheme="minorHAnsi"/>
          <w:i/>
        </w:rPr>
        <w:t>Consensus Economic</w:t>
      </w:r>
      <w:r>
        <w:rPr>
          <w:rFonts w:asciiTheme="minorHAnsi" w:hAnsiTheme="minorHAnsi"/>
          <w:i/>
        </w:rPr>
        <w:t>s</w:t>
      </w:r>
      <w:r w:rsidRPr="00A3038F">
        <w:rPr>
          <w:rFonts w:asciiTheme="minorHAnsi" w:hAnsiTheme="minorHAnsi"/>
          <w:i/>
        </w:rPr>
        <w:t xml:space="preserve"> survey</w:t>
      </w:r>
      <w:r>
        <w:rPr>
          <w:rFonts w:asciiTheme="minorHAnsi" w:hAnsiTheme="minorHAnsi"/>
          <w:i/>
        </w:rPr>
        <w:t>s</w:t>
      </w:r>
      <w:r w:rsidRPr="00A3038F">
        <w:rPr>
          <w:rFonts w:asciiTheme="minorHAnsi" w:hAnsiTheme="minorHAnsi"/>
          <w:i/>
        </w:rPr>
        <w:t xml:space="preserve"> commodity price </w:t>
      </w:r>
      <w:r>
        <w:rPr>
          <w:rFonts w:asciiTheme="minorHAnsi" w:hAnsiTheme="minorHAnsi"/>
          <w:i/>
        </w:rPr>
        <w:t xml:space="preserve">forecasters </w:t>
      </w:r>
      <w:r w:rsidRPr="00A3038F">
        <w:rPr>
          <w:rFonts w:asciiTheme="minorHAnsi" w:hAnsiTheme="minorHAnsi"/>
          <w:i/>
        </w:rPr>
        <w:t>every three months.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ED10A7" w:rsidP="00A377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D10A7" w:rsidRDefault="00ED10A7" w:rsidP="0060744E">
    <w:pPr>
      <w:pStyle w:val="Footer"/>
      <w:ind w:right="360" w:firstLine="360"/>
      <w:jc w:val="center"/>
    </w:pPr>
    <w:r>
      <w:t>PROTECTED</w:t>
    </w:r>
    <w:r>
      <w:fldChar w:fldCharType="begin"/>
    </w:r>
    <w:r>
      <w:instrText xml:space="preserve"> COMMENTS  \* MERGEFORMAT </w:instrText>
    </w:r>
    <w:r>
      <w:fldChar w:fldCharType="end"/>
    </w:r>
  </w:p>
  <w:p w:rsidR="00ED10A7" w:rsidRDefault="00ED10A7"/>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ED10A7">
    <w:pPr>
      <w:pStyle w:val="Footer"/>
      <w:ind w:right="360"/>
      <w:jc w:val="right"/>
    </w:pPr>
    <w:r>
      <w:rPr>
        <w:noProof/>
        <w:lang w:eastAsia="en-AU"/>
      </w:rPr>
      <mc:AlternateContent>
        <mc:Choice Requires="wps">
          <w:drawing>
            <wp:anchor distT="0" distB="0" distL="114300" distR="114300" simplePos="0" relativeHeight="251686912" behindDoc="0" locked="0" layoutInCell="1" allowOverlap="1" wp14:anchorId="2AD62794" wp14:editId="74B92484">
              <wp:simplePos x="0" y="0"/>
              <wp:positionH relativeFrom="column">
                <wp:posOffset>-292100</wp:posOffset>
              </wp:positionH>
              <wp:positionV relativeFrom="paragraph">
                <wp:posOffset>-24765</wp:posOffset>
              </wp:positionV>
              <wp:extent cx="6819900" cy="330200"/>
              <wp:effectExtent l="0" t="0" r="0" b="0"/>
              <wp:wrapNone/>
              <wp:docPr id="25" name="Rectangle 25"/>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rsidR="00ED10A7" w:rsidRPr="001E61ED" w:rsidRDefault="00CE0760"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w:t>
                          </w:r>
                          <w:r w:rsidR="00ED10A7">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 xml:space="preserve"> 2013 JEFG Report</w:t>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00ED10A7"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2B0AB5">
                            <w:rPr>
                              <w:rFonts w:asciiTheme="minorHAnsi" w:hAnsiTheme="minorHAnsi" w:cs="Arial"/>
                              <w:b/>
                              <w:noProof/>
                              <w:sz w:val="24"/>
                              <w14:props3d w14:extrusionH="57150" w14:contourW="0" w14:prstMaterial="warmMatte">
                                <w14:bevelT w14:w="0" w14:h="0" w14:prst="circle"/>
                                <w14:bevelB w14:w="0" w14:h="0" w14:prst="circle"/>
                              </w14:props3d>
                            </w:rPr>
                            <w:t>13</w:t>
                          </w:r>
                          <w:r w:rsidR="00ED10A7"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5" o:spid="_x0000_s1029" style="position:absolute;left:0;text-align:left;margin-left:-23pt;margin-top:-1.95pt;width:537pt;height:2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" fillcolor="#404040 [2429]" stroked="f" strokeweight="2pt">
              <v:fill color2="blue" rotate="t" focusposition="1,1" focussize="" colors="0 #404040;11141f window;11141f window;1 blue" focus="100%" type="gradientRadial"/>
              <v:textbox>
                <w:txbxContent>
                  <w:p w:rsidR="00ED10A7" w:rsidRPr="001E61ED" w:rsidRDefault="00CE0760"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w:t>
                    </w:r>
                    <w:r w:rsidR="00ED10A7">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 xml:space="preserve"> 2013 JEFG Report</w:t>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00ED10A7"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2B0AB5">
                      <w:rPr>
                        <w:rFonts w:asciiTheme="minorHAnsi" w:hAnsiTheme="minorHAnsi" w:cs="Arial"/>
                        <w:b/>
                        <w:noProof/>
                        <w:sz w:val="24"/>
                        <w14:props3d w14:extrusionH="57150" w14:contourW="0" w14:prstMaterial="warmMatte">
                          <w14:bevelT w14:w="0" w14:h="0" w14:prst="circle"/>
                          <w14:bevelB w14:w="0" w14:h="0" w14:prst="circle"/>
                        </w14:props3d>
                      </w:rPr>
                      <w:t>13</w:t>
                    </w:r>
                    <w:r w:rsidR="00ED10A7"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ED10A7" w:rsidP="00BC45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D10A7" w:rsidRPr="00704E0D" w:rsidRDefault="00ED10A7" w:rsidP="00704E0D">
    <w:pPr>
      <w:pStyle w:val="Classification"/>
    </w:pPr>
    <w:r w:rsidRPr="00704E0D">
      <w:t>PROTECTED</w:t>
    </w:r>
  </w:p>
  <w:p w:rsidR="00ED10A7" w:rsidRDefault="00ED10A7"/>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AB5" w:rsidRDefault="002B0AB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ED10A7">
    <w:pPr>
      <w:pStyle w:val="Footer"/>
      <w:rPr>
        <w:color w:val="000000" w:themeColor="text1"/>
        <w:sz w:val="24"/>
      </w:rPr>
    </w:pPr>
    <w:r>
      <w:rPr>
        <w:noProof/>
        <w:lang w:eastAsia="en-AU"/>
      </w:rPr>
      <mc:AlternateContent>
        <mc:Choice Requires="wps">
          <w:drawing>
            <wp:anchor distT="0" distB="0" distL="114300" distR="114300" simplePos="0" relativeHeight="251659264" behindDoc="0" locked="0" layoutInCell="1" allowOverlap="1" wp14:anchorId="4526CA07" wp14:editId="7C215A83">
              <wp:simplePos x="0" y="0"/>
              <wp:positionH relativeFrom="margin">
                <wp:align>right</wp:align>
              </wp:positionH>
              <wp:positionV relativeFrom="bottomMargin">
                <wp:align>top</wp:align>
              </wp:positionV>
              <wp:extent cx="1508760" cy="37147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71475"/>
                      </a:xfrm>
                      <a:prstGeom prst="rect">
                        <a:avLst/>
                      </a:prstGeom>
                      <a:noFill/>
                      <a:ln w="6350">
                        <a:noFill/>
                      </a:ln>
                      <a:effectLst/>
                    </wps:spPr>
                    <wps:txbx>
                      <w:txbxContent>
                        <w:p w:rsidR="00ED10A7" w:rsidRDefault="00ED10A7" w:rsidP="003268F4">
                          <w:pPr>
                            <w:pStyle w:val="Footer"/>
                            <w:spacing w:before="120"/>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B0520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6" type="#_x0000_t202" style="position:absolute;left:0;text-align:left;margin-left:67.6pt;margin-top:0;width:118.8pt;height:29.2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" filled="f" stroked="f" strokeweight=".5pt">
              <v:textbox>
                <w:txbxContent>
                  <w:p w:rsidR="00ED10A7" w:rsidRDefault="00ED10A7" w:rsidP="003268F4">
                    <w:pPr>
                      <w:pStyle w:val="Footer"/>
                      <w:spacing w:before="120"/>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 xml:space="preserve"> PAGE  \* Arabic  \* MERGEFORMAT </w:instrText>
                    </w:r>
                    <w:r>
                      <w:rPr>
                        <w:rFonts w:asciiTheme="majorHAnsi" w:hAnsiTheme="majorHAnsi"/>
                        <w:color w:val="000000" w:themeColor="text1"/>
                        <w:sz w:val="40"/>
                        <w:szCs w:val="40"/>
                      </w:rPr>
                      <w:fldChar w:fldCharType="separate"/>
                    </w:r>
                    <w:r w:rsidR="00B05208">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Pr>
        <w:color w:val="000000" w:themeColor="text1"/>
        <w:sz w:val="24"/>
      </w:rPr>
      <w:t>September 2013 JEFG Report</w:t>
    </w:r>
  </w:p>
  <w:p w:rsidR="00ED10A7" w:rsidRDefault="00ED10A7">
    <w:pPr>
      <w:pStyle w:val="Footer"/>
    </w:pPr>
    <w:r>
      <w:rPr>
        <w:noProof/>
        <w:color w:val="4F81BD" w:themeColor="accent1"/>
        <w:lang w:eastAsia="en-AU"/>
      </w:rPr>
      <mc:AlternateContent>
        <mc:Choice Requires="wps">
          <w:drawing>
            <wp:anchor distT="91440" distB="91440" distL="114300" distR="114300" simplePos="0" relativeHeight="251660288" behindDoc="1" locked="0" layoutInCell="1" allowOverlap="1" wp14:anchorId="269A49FA" wp14:editId="0814D55D">
              <wp:simplePos x="0" y="0"/>
              <wp:positionH relativeFrom="margin">
                <wp:align>center</wp:align>
              </wp:positionH>
              <wp:positionV relativeFrom="bottomMargin">
                <wp:align>top</wp:align>
              </wp:positionV>
              <wp:extent cx="5943600" cy="36195"/>
              <wp:effectExtent l="0" t="0" r="0" b="0"/>
              <wp:wrapSquare wrapText="bothSides"/>
              <wp:docPr id="58" name="Rectangle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id="Rectangle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" fillcolor="#4f81bd [3204]" stroked="f" strokeweight="2pt">
              <w10:wrap type="square" anchorx="margin" anchory="margin"/>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ED1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D10A7" w:rsidRDefault="00ED10A7">
    <w:pPr>
      <w:pStyle w:val="Footer"/>
      <w:ind w:right="360"/>
      <w:jc w:val="right"/>
    </w:pPr>
    <w:r>
      <w:fldChar w:fldCharType="begin"/>
    </w:r>
    <w:r>
      <w:instrText xml:space="preserve"> COMMENTS  \* MERGEFORMAT </w:instrTex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ED10A7" w:rsidP="001E61ED">
    <w:pPr>
      <w:pStyle w:val="Footer"/>
    </w:pPr>
    <w:r>
      <w:rPr>
        <w:noProof/>
        <w:lang w:eastAsia="en-AU"/>
      </w:rPr>
      <mc:AlternateContent>
        <mc:Choice Requires="wps">
          <w:drawing>
            <wp:anchor distT="0" distB="0" distL="114300" distR="114300" simplePos="0" relativeHeight="251680768" behindDoc="0" locked="0" layoutInCell="1" allowOverlap="1" wp14:anchorId="3E9B2F17" wp14:editId="626A5F31">
              <wp:simplePos x="0" y="0"/>
              <wp:positionH relativeFrom="column">
                <wp:posOffset>-339725</wp:posOffset>
              </wp:positionH>
              <wp:positionV relativeFrom="paragraph">
                <wp:posOffset>-5715</wp:posOffset>
              </wp:positionV>
              <wp:extent cx="6819900" cy="330200"/>
              <wp:effectExtent l="0" t="0" r="0" b="0"/>
              <wp:wrapNone/>
              <wp:docPr id="22" name="Rectangle 22"/>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rsidR="00ED10A7" w:rsidRPr="001E61ED" w:rsidRDefault="00CE0760" w:rsidP="001E61ED">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w:t>
                          </w:r>
                          <w:r w:rsidR="00ED10A7">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 xml:space="preserve"> 2013 JEFG Report</w:t>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00ED10A7"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2B0AB5">
                            <w:rPr>
                              <w:rFonts w:asciiTheme="minorHAnsi" w:hAnsiTheme="minorHAnsi" w:cs="Arial"/>
                              <w:b/>
                              <w:noProof/>
                              <w:sz w:val="24"/>
                              <w14:props3d w14:extrusionH="57150" w14:contourW="0" w14:prstMaterial="warmMatte">
                                <w14:bevelT w14:w="0" w14:h="0" w14:prst="circle"/>
                                <w14:bevelB w14:w="0" w14:h="0" w14:prst="circle"/>
                              </w14:props3d>
                            </w:rPr>
                            <w:t>4</w:t>
                          </w:r>
                          <w:r w:rsidR="00ED10A7"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2" o:spid="_x0000_s1027" style="position:absolute;left:0;text-align:left;margin-left:-26.75pt;margin-top:-.45pt;width:537pt;height:2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" fillcolor="#404040 [2429]" stroked="f" strokeweight="2pt">
              <v:fill color2="blue" rotate="t" focusposition="1,1" focussize="" colors="0 #404040;11141f window;11141f window;1 blue" focus="100%" type="gradientRadial"/>
              <v:textbox>
                <w:txbxContent>
                  <w:p w:rsidR="00ED10A7" w:rsidRPr="001E61ED" w:rsidRDefault="00CE0760" w:rsidP="001E61ED">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w:t>
                    </w:r>
                    <w:r w:rsidR="00ED10A7">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 xml:space="preserve"> 2013 JEFG Report</w:t>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00ED10A7"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2B0AB5">
                      <w:rPr>
                        <w:rFonts w:asciiTheme="minorHAnsi" w:hAnsiTheme="minorHAnsi" w:cs="Arial"/>
                        <w:b/>
                        <w:noProof/>
                        <w:sz w:val="24"/>
                        <w14:props3d w14:extrusionH="57150" w14:contourW="0" w14:prstMaterial="warmMatte">
                          <w14:bevelT w14:w="0" w14:h="0" w14:prst="circle"/>
                          <w14:bevelB w14:w="0" w14:h="0" w14:prst="circle"/>
                        </w14:props3d>
                      </w:rPr>
                      <w:t>4</w:t>
                    </w:r>
                    <w:r w:rsidR="00ED10A7"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ED1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D10A7" w:rsidRDefault="00ED10A7">
    <w:pPr>
      <w:pStyle w:val="Footer"/>
      <w:ind w:right="360"/>
      <w:jc w:val="right"/>
    </w:pPr>
    <w:r>
      <w:fldChar w:fldCharType="begin"/>
    </w:r>
    <w:r>
      <w:instrText xml:space="preserve"> COMMENTS  \* MERGEFORMAT </w:instrTex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ED10A7">
    <w:pPr>
      <w:pStyle w:val="Footer"/>
      <w:ind w:right="360"/>
      <w:jc w:val="right"/>
    </w:pPr>
    <w:r>
      <w:rPr>
        <w:noProof/>
        <w:lang w:eastAsia="en-AU"/>
      </w:rPr>
      <mc:AlternateContent>
        <mc:Choice Requires="wps">
          <w:drawing>
            <wp:anchor distT="0" distB="0" distL="114300" distR="114300" simplePos="0" relativeHeight="251682816" behindDoc="0" locked="0" layoutInCell="1" allowOverlap="1" wp14:anchorId="25D2D2D6" wp14:editId="23EF3522">
              <wp:simplePos x="0" y="0"/>
              <wp:positionH relativeFrom="column">
                <wp:posOffset>-349250</wp:posOffset>
              </wp:positionH>
              <wp:positionV relativeFrom="paragraph">
                <wp:posOffset>-34290</wp:posOffset>
              </wp:positionV>
              <wp:extent cx="6819900" cy="330200"/>
              <wp:effectExtent l="0" t="0" r="0" b="0"/>
              <wp:wrapNone/>
              <wp:docPr id="23" name="Rectangle 23"/>
              <wp:cNvGraphicFramePr/>
              <a:graphic xmlns:a="http://schemas.openxmlformats.org/drawingml/2006/main">
                <a:graphicData uri="http://schemas.microsoft.com/office/word/2010/wordprocessingShape">
                  <wps:wsp>
                    <wps:cNvSpPr/>
                    <wps:spPr>
                      <a:xfrm>
                        <a:off x="0" y="0"/>
                        <a:ext cx="6819900" cy="330200"/>
                      </a:xfrm>
                      <a:prstGeom prst="rect">
                        <a:avLst/>
                      </a:prstGeom>
                      <a:gradFill flip="none" rotWithShape="1">
                        <a:gsLst>
                          <a:gs pos="100000">
                            <a:srgbClr val="0000FF"/>
                          </a:gs>
                          <a:gs pos="0">
                            <a:schemeClr val="tx1">
                              <a:lumMod val="75000"/>
                              <a:lumOff val="25000"/>
                            </a:schemeClr>
                          </a:gs>
                          <a:gs pos="17000">
                            <a:sysClr val="window" lastClr="FFFFFF"/>
                          </a:gs>
                          <a:gs pos="17000">
                            <a:sysClr val="window" lastClr="FFFFFF"/>
                          </a:gs>
                        </a:gsLst>
                        <a:path path="circle">
                          <a:fillToRect l="100000" t="100000"/>
                        </a:path>
                        <a:tileRect r="-100000" b="-100000"/>
                      </a:gradFill>
                      <a:ln w="25400" cap="flat" cmpd="sng" algn="ctr">
                        <a:noFill/>
                        <a:prstDash val="solid"/>
                      </a:ln>
                      <a:effectLst/>
                    </wps:spPr>
                    <wps:txbx>
                      <w:txbxContent>
                        <w:p w:rsidR="00ED10A7" w:rsidRPr="001E61ED" w:rsidRDefault="00CE0760"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w:t>
                          </w:r>
                          <w:r w:rsidR="00ED10A7">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 xml:space="preserve"> 2013 JEFG Report</w:t>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00ED10A7"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2B0AB5">
                            <w:rPr>
                              <w:rFonts w:asciiTheme="minorHAnsi" w:hAnsiTheme="minorHAnsi" w:cs="Arial"/>
                              <w:b/>
                              <w:noProof/>
                              <w:sz w:val="24"/>
                              <w14:props3d w14:extrusionH="57150" w14:contourW="0" w14:prstMaterial="warmMatte">
                                <w14:bevelT w14:w="0" w14:h="0" w14:prst="circle"/>
                                <w14:bevelB w14:w="0" w14:h="0" w14:prst="circle"/>
                              </w14:props3d>
                            </w:rPr>
                            <w:t>6</w:t>
                          </w:r>
                          <w:r w:rsidR="00ED10A7"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a:sp3d extrusionH="57150">
                        <a:bevelT w="0" h="0"/>
                        <a:bevelB w="0" h="0"/>
                      </a:sp3d>
                    </wps:bodyPr>
                  </wps:wsp>
                </a:graphicData>
              </a:graphic>
              <wp14:sizeRelH relativeFrom="margin">
                <wp14:pctWidth>0</wp14:pctWidth>
              </wp14:sizeRelH>
              <wp14:sizeRelV relativeFrom="margin">
                <wp14:pctHeight>0</wp14:pctHeight>
              </wp14:sizeRelV>
            </wp:anchor>
          </w:drawing>
        </mc:Choice>
        <mc:Fallback>
          <w:pict>
            <v:rect id="Rectangle 23" o:spid="_x0000_s1028" style="position:absolute;left:0;text-align:left;margin-left:-27.5pt;margin-top:-2.7pt;width:537pt;height:2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" fillcolor="#404040 [2429]" stroked="f" strokeweight="2pt">
              <v:fill color2="blue" rotate="t" focusposition="1,1" focussize="" colors="0 #404040;11141f window;11141f window;1 blue" focus="100%" type="gradientRadial"/>
              <v:textbox>
                <w:txbxContent>
                  <w:p w:rsidR="00ED10A7" w:rsidRPr="001E61ED" w:rsidRDefault="00CE0760" w:rsidP="00755AF7">
                    <w:pPr>
                      <w:tabs>
                        <w:tab w:val="left" w:pos="7513"/>
                      </w:tabs>
                      <w:spacing w:after="0"/>
                      <w:ind w:firstLine="142"/>
                      <w:rPr>
                        <w:rFonts w:asciiTheme="minorHAnsi" w:hAnsiTheme="minorHAnsi" w:cs="Arial"/>
                        <w:b/>
                        <w:sz w:val="24"/>
                        <w14:props3d w14:extrusionH="57150" w14:contourW="0" w14:prstMaterial="warmMatte">
                          <w14:bevelT w14:w="0" w14:h="0" w14:prst="circle"/>
                          <w14:bevelB w14:w="0" w14:h="0" w14:prst="circle"/>
                        </w14:props3d>
                      </w:rPr>
                    </w:pPr>
                    <w:r>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September</w:t>
                    </w:r>
                    <w:r w:rsidR="00ED10A7">
                      <w:rPr>
                        <w:rFonts w:asciiTheme="minorHAnsi" w:hAnsiTheme="minorHAnsi" w:cs="Arial"/>
                        <w:b/>
                        <w:color w:val="FFFFFF" w:themeColor="background1"/>
                        <w:szCs w:val="20"/>
                        <w14:props3d w14:extrusionH="57150" w14:contourW="0" w14:prstMaterial="warmMatte">
                          <w14:bevelT w14:w="0" w14:h="0" w14:prst="circle"/>
                          <w14:bevelB w14:w="0" w14:h="0" w14:prst="circle"/>
                        </w14:props3d>
                      </w:rPr>
                      <w:t xml:space="preserve"> 2013 JEFG Report</w:t>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Pr>
                        <w:rFonts w:ascii="Arial Bold" w:hAnsi="Arial Bold" w:cs="Arial"/>
                        <w:b/>
                        <w:color w:val="7F7F7F" w:themeColor="text1" w:themeTint="80"/>
                        <w14:props3d w14:extrusionH="57150" w14:contourW="0" w14:prstMaterial="warmMatte">
                          <w14:bevelT w14:w="0" w14:h="0" w14:prst="circle"/>
                          <w14:bevelB w14:w="0" w14:h="0" w14:prst="circle"/>
                        </w14:props3d>
                      </w:rPr>
                      <w:tab/>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begin"/>
                    </w:r>
                    <w:r w:rsidR="00ED10A7" w:rsidRPr="001E61ED">
                      <w:rPr>
                        <w:rFonts w:asciiTheme="minorHAnsi" w:hAnsiTheme="minorHAnsi" w:cs="Arial"/>
                        <w:b/>
                        <w:sz w:val="24"/>
                        <w14:props3d w14:extrusionH="57150" w14:contourW="0" w14:prstMaterial="warmMatte">
                          <w14:bevelT w14:w="0" w14:h="0" w14:prst="circle"/>
                          <w14:bevelB w14:w="0" w14:h="0" w14:prst="circle"/>
                        </w14:props3d>
                      </w:rPr>
                      <w:instrText xml:space="preserve"> PAGE   \* MERGEFORMAT </w:instrText>
                    </w:r>
                    <w:r w:rsidR="00ED10A7" w:rsidRPr="001E61ED">
                      <w:rPr>
                        <w:rFonts w:asciiTheme="minorHAnsi" w:hAnsiTheme="minorHAnsi" w:cs="Arial"/>
                        <w:b/>
                        <w:sz w:val="24"/>
                        <w14:props3d w14:extrusionH="57150" w14:contourW="0" w14:prstMaterial="warmMatte">
                          <w14:bevelT w14:w="0" w14:h="0" w14:prst="circle"/>
                          <w14:bevelB w14:w="0" w14:h="0" w14:prst="circle"/>
                        </w14:props3d>
                      </w:rPr>
                      <w:fldChar w:fldCharType="separate"/>
                    </w:r>
                    <w:r w:rsidR="002B0AB5">
                      <w:rPr>
                        <w:rFonts w:asciiTheme="minorHAnsi" w:hAnsiTheme="minorHAnsi" w:cs="Arial"/>
                        <w:b/>
                        <w:noProof/>
                        <w:sz w:val="24"/>
                        <w14:props3d w14:extrusionH="57150" w14:contourW="0" w14:prstMaterial="warmMatte">
                          <w14:bevelT w14:w="0" w14:h="0" w14:prst="circle"/>
                          <w14:bevelB w14:w="0" w14:h="0" w14:prst="circle"/>
                        </w14:props3d>
                      </w:rPr>
                      <w:t>6</w:t>
                    </w:r>
                    <w:r w:rsidR="00ED10A7" w:rsidRPr="001E61ED">
                      <w:rPr>
                        <w:rFonts w:asciiTheme="minorHAnsi" w:hAnsiTheme="minorHAnsi" w:cs="Arial"/>
                        <w:b/>
                        <w:noProof/>
                        <w:sz w:val="24"/>
                        <w14:props3d w14:extrusionH="57150" w14:contourW="0" w14:prstMaterial="warmMatte">
                          <w14:bevelT w14:w="0" w14:h="0" w14:prst="circle"/>
                          <w14:bevelB w14:w="0" w14:h="0" w14:prst="circle"/>
                        </w14:props3d>
                      </w:rPr>
                      <w:fldChar w:fldCharType="end"/>
                    </w:r>
                  </w:p>
                </w:txbxContent>
              </v:textbox>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ED10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D10A7" w:rsidRDefault="00ED10A7">
    <w:pPr>
      <w:pStyle w:val="Footer"/>
      <w:ind w:right="360"/>
      <w:jc w:val="right"/>
    </w:pPr>
    <w:r>
      <w:fldChar w:fldCharType="begin"/>
    </w:r>
    <w:r>
      <w:instrText xml:space="preserve"> COMMENTS  \* MERGEFORMAT </w:instrTex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A7" w:rsidRDefault="00ED10A7">
      <w:pPr>
        <w:pStyle w:val="TableBodyText"/>
        <w:spacing w:before="120" w:after="120"/>
      </w:pPr>
      <w:r>
        <w:separator/>
      </w:r>
    </w:p>
  </w:footnote>
  <w:footnote w:type="continuationSeparator" w:id="0">
    <w:p w:rsidR="00ED10A7" w:rsidRDefault="00ED10A7">
      <w:r>
        <w:continuationSeparator/>
      </w:r>
    </w:p>
  </w:footnote>
  <w:footnote w:id="1">
    <w:p w:rsidR="00ED10A7" w:rsidRDefault="00ED10A7" w:rsidP="00F66A92">
      <w:pPr>
        <w:pStyle w:val="FootnoteText"/>
      </w:pPr>
      <w:r>
        <w:rPr>
          <w:rStyle w:val="FootnoteReference"/>
        </w:rPr>
        <w:footnoteRef/>
      </w:r>
      <w:r>
        <w:t xml:space="preserve"> </w:t>
      </w:r>
      <w:r>
        <w:tab/>
      </w:r>
      <w:r w:rsidRPr="00F66A92">
        <w:rPr>
          <w:rFonts w:asciiTheme="minorHAnsi" w:hAnsiTheme="minorHAnsi"/>
          <w:i/>
        </w:rPr>
        <w:t>This reflects the impact of moving from the assumption of a $6 per tonne (floating) carbon price (included in PEFO) to a zero price. Moving from the initial carbon tax to zero is estimated to lower headline inflation by around ¾ of a percentage point and underlying inflation by around ¼ of a percentage point through the year to the June quarter 2015</w:t>
      </w:r>
      <w:r>
        <w:t xml:space="preserve">. </w:t>
      </w:r>
    </w:p>
  </w:footnote>
  <w:footnote w:id="2">
    <w:p w:rsidR="00ED10A7" w:rsidRPr="00F66A92" w:rsidRDefault="00ED10A7" w:rsidP="00F66A92">
      <w:pPr>
        <w:pStyle w:val="FootnoteText"/>
        <w:rPr>
          <w:rFonts w:asciiTheme="minorHAnsi" w:hAnsiTheme="minorHAnsi"/>
          <w:i/>
        </w:rPr>
      </w:pPr>
      <w:r>
        <w:rPr>
          <w:rStyle w:val="FootnoteReference"/>
        </w:rPr>
        <w:footnoteRef/>
      </w:r>
      <w:r>
        <w:t xml:space="preserve"> </w:t>
      </w:r>
      <w:r>
        <w:tab/>
      </w:r>
      <w:r w:rsidRPr="00F66A92">
        <w:rPr>
          <w:rFonts w:asciiTheme="minorHAnsi" w:hAnsiTheme="minorHAnsi"/>
          <w:i/>
        </w:rPr>
        <w:t xml:space="preserve">Part of the lower nominal GDP growth in 2014-15 reflects the removal of the carbon tax. However, its removal does not affect the taxable revenue base.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AB5" w:rsidRDefault="002B0A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Pr="00704E0D" w:rsidRDefault="00ED10A7" w:rsidP="00704E0D">
    <w:pPr>
      <w:pStyle w:val="StatementContentsHeading"/>
      <w:rPr>
        <w:sz w:val="20"/>
        <w:szCs w:val="20"/>
      </w:rPr>
    </w:pPr>
    <w:r w:rsidRPr="00704E0D">
      <w:rPr>
        <w:sz w:val="20"/>
        <w:szCs w:val="20"/>
      </w:rPr>
      <w:t xml:space="preserve">PROTECTED </w:t>
    </w:r>
  </w:p>
  <w:p w:rsidR="00ED10A7" w:rsidRDefault="00ED10A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0AB5" w:rsidRDefault="002B0A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ED10A7">
    <w:pPr>
      <w:pStyle w:val="Header"/>
    </w:pPr>
    <w:r>
      <w:rPr>
        <w:noProof/>
        <w:lang w:eastAsia="en-AU"/>
      </w:rPr>
      <w:drawing>
        <wp:anchor distT="0" distB="0" distL="114300" distR="114300" simplePos="0" relativeHeight="251678720" behindDoc="0" locked="0" layoutInCell="1" allowOverlap="1" wp14:anchorId="224A0696" wp14:editId="0CEB6C02">
          <wp:simplePos x="0" y="0"/>
          <wp:positionH relativeFrom="column">
            <wp:posOffset>-158597</wp:posOffset>
          </wp:positionH>
          <wp:positionV relativeFrom="paragraph">
            <wp:posOffset>41275</wp:posOffset>
          </wp:positionV>
          <wp:extent cx="1228725" cy="765259"/>
          <wp:effectExtent l="0" t="0" r="0" b="0"/>
          <wp:wrapNone/>
          <wp:docPr id="1" name="Picture 1" descr="H:\MCD\Publishing\Graphic Design Services Team\Digital_Assets\Logos\The Treasury\STACKED\PC\The Treasury_stacked_R.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MCD\Publishing\Graphic Design Services Team\Digital_Assets\Logos\The Treasury\STACKED\PC\The Treasury_stacked_R.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765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9F4E34">
    <w:pPr>
      <w:framePr w:wrap="around" w:vAnchor="page" w:hAnchor="margin" w:x="14460" w:y="7939" w:anchorLock="1"/>
      <w:rPr>
        <w:rStyle w:val="FramedHeader"/>
      </w:rPr>
    </w:pPr>
    <w:fldSimple w:instr=" TITLE  \* MERGEFORMAT ">
      <w:r w:rsidRPr="009F4E34">
        <w:rPr>
          <w:rStyle w:val="FramedHeader"/>
        </w:rPr>
        <w:t>March 06 Forecasting Report</w:t>
      </w:r>
    </w:fldSimple>
  </w:p>
  <w:p w:rsidR="00ED10A7" w:rsidRDefault="00ED10A7" w:rsidP="004C37BE">
    <w:pPr>
      <w:pStyle w:val="Header"/>
      <w:jc w:val="center"/>
      <w:rPr>
        <w:b/>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9F4E34">
    <w:pPr>
      <w:framePr w:wrap="around" w:vAnchor="page" w:hAnchor="margin" w:x="14460" w:y="7939" w:anchorLock="1"/>
      <w:rPr>
        <w:rStyle w:val="FramedHeader"/>
      </w:rPr>
    </w:pPr>
    <w:fldSimple w:instr=" TITLE  \* MERGEFORMAT ">
      <w:r w:rsidRPr="009F4E34">
        <w:rPr>
          <w:rStyle w:val="FramedHeader"/>
        </w:rPr>
        <w:t>March 06 Forecasting Report</w:t>
      </w:r>
    </w:fldSimple>
  </w:p>
  <w:p w:rsidR="00ED10A7" w:rsidRDefault="00ED10A7" w:rsidP="004C37BE">
    <w:pPr>
      <w:pStyle w:val="Header"/>
      <w:jc w:val="center"/>
      <w:rPr>
        <w:b/>
        <w:sz w:val="24"/>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0A7" w:rsidRDefault="009F4E34">
    <w:pPr>
      <w:framePr w:wrap="around" w:vAnchor="page" w:hAnchor="margin" w:x="14460" w:y="7939" w:anchorLock="1"/>
      <w:rPr>
        <w:rStyle w:val="FramedHeader"/>
      </w:rPr>
    </w:pPr>
    <w:fldSimple w:instr=" TITLE  \* MERGEFORMAT ">
      <w:r w:rsidRPr="009F4E34">
        <w:rPr>
          <w:rStyle w:val="FramedHeader"/>
        </w:rPr>
        <w:t>March 06 Forecasting Report</w:t>
      </w:r>
    </w:fldSimple>
  </w:p>
  <w:p w:rsidR="00ED10A7" w:rsidRDefault="00ED10A7" w:rsidP="004C37BE">
    <w:pPr>
      <w:pStyle w:val="Header"/>
      <w:jc w:val="center"/>
      <w:rPr>
        <w:b/>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E3003"/>
    <w:multiLevelType w:val="multilevel"/>
    <w:tmpl w:val="08E6A296"/>
    <w:name w:val="StandardBulletedList"/>
    <w:lvl w:ilvl="0">
      <w:start w:val="1"/>
      <w:numFmt w:val="bullet"/>
      <w:pStyle w:val="Bullet"/>
      <w:lvlText w:val="•"/>
      <w:lvlJc w:val="left"/>
      <w:pPr>
        <w:tabs>
          <w:tab w:val="num" w:pos="472"/>
        </w:tabs>
        <w:ind w:left="472" w:hanging="472"/>
      </w:pPr>
      <w:rPr>
        <w:rFonts w:ascii="Times New Roman" w:hAnsi="Times New Roman" w:cs="Times New Roman"/>
      </w:rPr>
    </w:lvl>
    <w:lvl w:ilvl="1">
      <w:start w:val="1"/>
      <w:numFmt w:val="bullet"/>
      <w:pStyle w:val="Dash"/>
      <w:lvlText w:val="–"/>
      <w:lvlJc w:val="left"/>
      <w:pPr>
        <w:tabs>
          <w:tab w:val="num" w:pos="944"/>
        </w:tabs>
        <w:ind w:left="944" w:hanging="472"/>
      </w:pPr>
      <w:rPr>
        <w:rFonts w:ascii="Times New Roman" w:hAnsi="Times New Roman" w:cs="Times New Roman"/>
      </w:rPr>
    </w:lvl>
    <w:lvl w:ilvl="2">
      <w:start w:val="1"/>
      <w:numFmt w:val="bullet"/>
      <w:pStyle w:val="DoubleDo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4891232E"/>
    <w:multiLevelType w:val="singleLevel"/>
    <w:tmpl w:val="C4EE5A3C"/>
    <w:lvl w:ilvl="0">
      <w:start w:val="1"/>
      <w:numFmt w:val="lowerLetter"/>
      <w:lvlText w:val="(%1)"/>
      <w:lvlJc w:val="left"/>
      <w:pPr>
        <w:tabs>
          <w:tab w:val="num" w:pos="284"/>
        </w:tabs>
        <w:ind w:left="284" w:hanging="284"/>
      </w:pPr>
      <w:rPr>
        <w:rFonts w:ascii="Arial" w:hAnsi="Arial" w:cs="Arial"/>
        <w:b w:val="0"/>
        <w:i w:val="0"/>
        <w:color w:val="000000"/>
        <w:sz w:val="16"/>
      </w:rPr>
    </w:lvl>
  </w:abstractNum>
  <w:abstractNum w:abstractNumId="2">
    <w:nsid w:val="66022277"/>
    <w:multiLevelType w:val="singleLevel"/>
    <w:tmpl w:val="644063B8"/>
    <w:name w:val="StandardNumberedParagraphList"/>
    <w:lvl w:ilvl="0">
      <w:start w:val="1"/>
      <w:numFmt w:val="lowerLetter"/>
      <w:lvlRestart w:val="0"/>
      <w:lvlText w:val="(%1)"/>
      <w:lvlJc w:val="left"/>
      <w:pPr>
        <w:tabs>
          <w:tab w:val="num" w:pos="283"/>
        </w:tabs>
        <w:ind w:left="283" w:hanging="283"/>
      </w:pPr>
      <w:rPr>
        <w:rFonts w:ascii="Arial" w:hAnsi="Arial" w:hint="default"/>
      </w:rPr>
    </w:lvl>
  </w:abstractNum>
  <w:abstractNum w:abstractNumId="3">
    <w:nsid w:val="6A3F4C17"/>
    <w:multiLevelType w:val="multilevel"/>
    <w:tmpl w:val="4BEAABEE"/>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68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EE6"/>
    <w:rsid w:val="00000421"/>
    <w:rsid w:val="0000078B"/>
    <w:rsid w:val="000007E9"/>
    <w:rsid w:val="00000A26"/>
    <w:rsid w:val="00000E3B"/>
    <w:rsid w:val="00000F89"/>
    <w:rsid w:val="00000FF6"/>
    <w:rsid w:val="0000168C"/>
    <w:rsid w:val="00001847"/>
    <w:rsid w:val="00001ECA"/>
    <w:rsid w:val="00001ED7"/>
    <w:rsid w:val="00001F20"/>
    <w:rsid w:val="000024DE"/>
    <w:rsid w:val="00002B6E"/>
    <w:rsid w:val="000032D9"/>
    <w:rsid w:val="0000336A"/>
    <w:rsid w:val="00003654"/>
    <w:rsid w:val="0000396B"/>
    <w:rsid w:val="00003AB4"/>
    <w:rsid w:val="00003CA8"/>
    <w:rsid w:val="00003D87"/>
    <w:rsid w:val="0000421E"/>
    <w:rsid w:val="000044D9"/>
    <w:rsid w:val="000048F1"/>
    <w:rsid w:val="00004D90"/>
    <w:rsid w:val="00004DC8"/>
    <w:rsid w:val="00004F72"/>
    <w:rsid w:val="000051F3"/>
    <w:rsid w:val="0000520C"/>
    <w:rsid w:val="00005608"/>
    <w:rsid w:val="000058E4"/>
    <w:rsid w:val="00005A9F"/>
    <w:rsid w:val="00005D3C"/>
    <w:rsid w:val="0000609E"/>
    <w:rsid w:val="00006587"/>
    <w:rsid w:val="000066FC"/>
    <w:rsid w:val="00006910"/>
    <w:rsid w:val="00006A6A"/>
    <w:rsid w:val="00006E4D"/>
    <w:rsid w:val="00007037"/>
    <w:rsid w:val="00007138"/>
    <w:rsid w:val="0000744F"/>
    <w:rsid w:val="00007475"/>
    <w:rsid w:val="0000776A"/>
    <w:rsid w:val="00007813"/>
    <w:rsid w:val="0000785F"/>
    <w:rsid w:val="00007DA9"/>
    <w:rsid w:val="0001006B"/>
    <w:rsid w:val="00010F75"/>
    <w:rsid w:val="00010FD8"/>
    <w:rsid w:val="000111F8"/>
    <w:rsid w:val="0001176F"/>
    <w:rsid w:val="00011C71"/>
    <w:rsid w:val="00012704"/>
    <w:rsid w:val="00012A49"/>
    <w:rsid w:val="00012B6C"/>
    <w:rsid w:val="00012B77"/>
    <w:rsid w:val="00012D40"/>
    <w:rsid w:val="00013369"/>
    <w:rsid w:val="000133E2"/>
    <w:rsid w:val="000144FD"/>
    <w:rsid w:val="0001469E"/>
    <w:rsid w:val="00014930"/>
    <w:rsid w:val="00014D9D"/>
    <w:rsid w:val="00014F14"/>
    <w:rsid w:val="00015306"/>
    <w:rsid w:val="000154D0"/>
    <w:rsid w:val="000157E8"/>
    <w:rsid w:val="0001590F"/>
    <w:rsid w:val="00015E50"/>
    <w:rsid w:val="00015F4B"/>
    <w:rsid w:val="000164DE"/>
    <w:rsid w:val="00016578"/>
    <w:rsid w:val="0001662D"/>
    <w:rsid w:val="00016694"/>
    <w:rsid w:val="00016799"/>
    <w:rsid w:val="000168A0"/>
    <w:rsid w:val="00017156"/>
    <w:rsid w:val="0001742B"/>
    <w:rsid w:val="000179D9"/>
    <w:rsid w:val="00017A31"/>
    <w:rsid w:val="00017BF6"/>
    <w:rsid w:val="00017C34"/>
    <w:rsid w:val="00017D72"/>
    <w:rsid w:val="00017F7B"/>
    <w:rsid w:val="00020529"/>
    <w:rsid w:val="000209D4"/>
    <w:rsid w:val="00020A12"/>
    <w:rsid w:val="00020BE0"/>
    <w:rsid w:val="00020C26"/>
    <w:rsid w:val="00020EF0"/>
    <w:rsid w:val="000215D4"/>
    <w:rsid w:val="00021840"/>
    <w:rsid w:val="00021D40"/>
    <w:rsid w:val="00021FD2"/>
    <w:rsid w:val="0002203F"/>
    <w:rsid w:val="00022821"/>
    <w:rsid w:val="00022ABD"/>
    <w:rsid w:val="00022BBD"/>
    <w:rsid w:val="00022DE1"/>
    <w:rsid w:val="00023203"/>
    <w:rsid w:val="00023403"/>
    <w:rsid w:val="0002345B"/>
    <w:rsid w:val="000237FC"/>
    <w:rsid w:val="00024381"/>
    <w:rsid w:val="000243A7"/>
    <w:rsid w:val="0002477A"/>
    <w:rsid w:val="00024D6D"/>
    <w:rsid w:val="000250E5"/>
    <w:rsid w:val="00025281"/>
    <w:rsid w:val="000258BF"/>
    <w:rsid w:val="000258CC"/>
    <w:rsid w:val="00025946"/>
    <w:rsid w:val="00025AC6"/>
    <w:rsid w:val="00025AF2"/>
    <w:rsid w:val="00025B16"/>
    <w:rsid w:val="00026305"/>
    <w:rsid w:val="0002670C"/>
    <w:rsid w:val="000268F1"/>
    <w:rsid w:val="00026F4A"/>
    <w:rsid w:val="000278EB"/>
    <w:rsid w:val="00027E91"/>
    <w:rsid w:val="0003024F"/>
    <w:rsid w:val="00030895"/>
    <w:rsid w:val="00030A75"/>
    <w:rsid w:val="00030FEC"/>
    <w:rsid w:val="000312DD"/>
    <w:rsid w:val="000313E0"/>
    <w:rsid w:val="00031628"/>
    <w:rsid w:val="00031965"/>
    <w:rsid w:val="00031BB7"/>
    <w:rsid w:val="00031BF9"/>
    <w:rsid w:val="00032191"/>
    <w:rsid w:val="00032A80"/>
    <w:rsid w:val="00032DA2"/>
    <w:rsid w:val="00032F38"/>
    <w:rsid w:val="000339CA"/>
    <w:rsid w:val="00033B05"/>
    <w:rsid w:val="00033D2A"/>
    <w:rsid w:val="00033DDD"/>
    <w:rsid w:val="0003423D"/>
    <w:rsid w:val="00034450"/>
    <w:rsid w:val="00034755"/>
    <w:rsid w:val="00034B13"/>
    <w:rsid w:val="00034D5E"/>
    <w:rsid w:val="000353BA"/>
    <w:rsid w:val="00035930"/>
    <w:rsid w:val="00035C48"/>
    <w:rsid w:val="00035D8E"/>
    <w:rsid w:val="00035E67"/>
    <w:rsid w:val="00035EA0"/>
    <w:rsid w:val="00035F2D"/>
    <w:rsid w:val="00035F8B"/>
    <w:rsid w:val="00035FCB"/>
    <w:rsid w:val="000360C1"/>
    <w:rsid w:val="000364AD"/>
    <w:rsid w:val="0003672D"/>
    <w:rsid w:val="00036879"/>
    <w:rsid w:val="00036E11"/>
    <w:rsid w:val="00036EEC"/>
    <w:rsid w:val="00036FF1"/>
    <w:rsid w:val="000373FA"/>
    <w:rsid w:val="0003768F"/>
    <w:rsid w:val="0003784F"/>
    <w:rsid w:val="00037861"/>
    <w:rsid w:val="00037DDD"/>
    <w:rsid w:val="000401BC"/>
    <w:rsid w:val="000401DE"/>
    <w:rsid w:val="000403CD"/>
    <w:rsid w:val="000405C7"/>
    <w:rsid w:val="0004081C"/>
    <w:rsid w:val="0004100A"/>
    <w:rsid w:val="000410EF"/>
    <w:rsid w:val="000419A9"/>
    <w:rsid w:val="00041AA5"/>
    <w:rsid w:val="00041E62"/>
    <w:rsid w:val="000426EA"/>
    <w:rsid w:val="00042D41"/>
    <w:rsid w:val="00042E8C"/>
    <w:rsid w:val="00043018"/>
    <w:rsid w:val="000430A2"/>
    <w:rsid w:val="00043EBF"/>
    <w:rsid w:val="00044569"/>
    <w:rsid w:val="00044A73"/>
    <w:rsid w:val="0004510F"/>
    <w:rsid w:val="00045533"/>
    <w:rsid w:val="0004566C"/>
    <w:rsid w:val="000458F6"/>
    <w:rsid w:val="00045976"/>
    <w:rsid w:val="000459F5"/>
    <w:rsid w:val="00046D2C"/>
    <w:rsid w:val="00047102"/>
    <w:rsid w:val="00047449"/>
    <w:rsid w:val="00047628"/>
    <w:rsid w:val="00047F8E"/>
    <w:rsid w:val="0005012C"/>
    <w:rsid w:val="000501BB"/>
    <w:rsid w:val="000501DE"/>
    <w:rsid w:val="00050A71"/>
    <w:rsid w:val="00050FB5"/>
    <w:rsid w:val="0005100D"/>
    <w:rsid w:val="000510A0"/>
    <w:rsid w:val="00051203"/>
    <w:rsid w:val="000516B9"/>
    <w:rsid w:val="00051A70"/>
    <w:rsid w:val="00052210"/>
    <w:rsid w:val="000523D3"/>
    <w:rsid w:val="00052BA9"/>
    <w:rsid w:val="00052D8C"/>
    <w:rsid w:val="00052EAF"/>
    <w:rsid w:val="0005334E"/>
    <w:rsid w:val="000534CA"/>
    <w:rsid w:val="000537A7"/>
    <w:rsid w:val="000537E4"/>
    <w:rsid w:val="0005389A"/>
    <w:rsid w:val="00053DC6"/>
    <w:rsid w:val="00053E4E"/>
    <w:rsid w:val="000544A2"/>
    <w:rsid w:val="00054888"/>
    <w:rsid w:val="000549BC"/>
    <w:rsid w:val="00054D0B"/>
    <w:rsid w:val="00054F4F"/>
    <w:rsid w:val="00055305"/>
    <w:rsid w:val="00055377"/>
    <w:rsid w:val="0005542F"/>
    <w:rsid w:val="00055F8E"/>
    <w:rsid w:val="000561D9"/>
    <w:rsid w:val="0005639B"/>
    <w:rsid w:val="000566BD"/>
    <w:rsid w:val="0005699F"/>
    <w:rsid w:val="000569C4"/>
    <w:rsid w:val="00056D2B"/>
    <w:rsid w:val="00056DD5"/>
    <w:rsid w:val="00056ECD"/>
    <w:rsid w:val="00056FA0"/>
    <w:rsid w:val="000570B8"/>
    <w:rsid w:val="00057219"/>
    <w:rsid w:val="00057619"/>
    <w:rsid w:val="00057FEB"/>
    <w:rsid w:val="00061239"/>
    <w:rsid w:val="000617F6"/>
    <w:rsid w:val="000618C5"/>
    <w:rsid w:val="000619FA"/>
    <w:rsid w:val="00061E7E"/>
    <w:rsid w:val="00061F06"/>
    <w:rsid w:val="00062179"/>
    <w:rsid w:val="00062296"/>
    <w:rsid w:val="0006236F"/>
    <w:rsid w:val="0006295A"/>
    <w:rsid w:val="00062C40"/>
    <w:rsid w:val="00063A9F"/>
    <w:rsid w:val="00063E62"/>
    <w:rsid w:val="00063FE2"/>
    <w:rsid w:val="00064071"/>
    <w:rsid w:val="00064179"/>
    <w:rsid w:val="00064362"/>
    <w:rsid w:val="00064748"/>
    <w:rsid w:val="00064AB4"/>
    <w:rsid w:val="00065168"/>
    <w:rsid w:val="000656FF"/>
    <w:rsid w:val="000657E9"/>
    <w:rsid w:val="00065811"/>
    <w:rsid w:val="00065CCB"/>
    <w:rsid w:val="00065D28"/>
    <w:rsid w:val="00065EC5"/>
    <w:rsid w:val="000660EC"/>
    <w:rsid w:val="000664B6"/>
    <w:rsid w:val="00066565"/>
    <w:rsid w:val="00066F39"/>
    <w:rsid w:val="00066F40"/>
    <w:rsid w:val="00067383"/>
    <w:rsid w:val="00067981"/>
    <w:rsid w:val="000679BF"/>
    <w:rsid w:val="00067CA6"/>
    <w:rsid w:val="00070767"/>
    <w:rsid w:val="000707BB"/>
    <w:rsid w:val="000709C8"/>
    <w:rsid w:val="00070B41"/>
    <w:rsid w:val="00070E1C"/>
    <w:rsid w:val="00071129"/>
    <w:rsid w:val="00071AF8"/>
    <w:rsid w:val="00071D8C"/>
    <w:rsid w:val="00073003"/>
    <w:rsid w:val="000736F9"/>
    <w:rsid w:val="00073E40"/>
    <w:rsid w:val="00074186"/>
    <w:rsid w:val="00074216"/>
    <w:rsid w:val="0007428B"/>
    <w:rsid w:val="000742DD"/>
    <w:rsid w:val="0007438D"/>
    <w:rsid w:val="0007444C"/>
    <w:rsid w:val="0007453A"/>
    <w:rsid w:val="0007456F"/>
    <w:rsid w:val="000747B3"/>
    <w:rsid w:val="00074D26"/>
    <w:rsid w:val="000753F5"/>
    <w:rsid w:val="00075889"/>
    <w:rsid w:val="000763A2"/>
    <w:rsid w:val="000765B4"/>
    <w:rsid w:val="000769DE"/>
    <w:rsid w:val="00076B12"/>
    <w:rsid w:val="00076B2B"/>
    <w:rsid w:val="00076EF4"/>
    <w:rsid w:val="0007712B"/>
    <w:rsid w:val="000773F4"/>
    <w:rsid w:val="000779E7"/>
    <w:rsid w:val="0008026B"/>
    <w:rsid w:val="00080673"/>
    <w:rsid w:val="0008103D"/>
    <w:rsid w:val="00081333"/>
    <w:rsid w:val="0008183C"/>
    <w:rsid w:val="00081C5A"/>
    <w:rsid w:val="00082638"/>
    <w:rsid w:val="00082A9F"/>
    <w:rsid w:val="00082E6A"/>
    <w:rsid w:val="00083320"/>
    <w:rsid w:val="000839BF"/>
    <w:rsid w:val="000839C7"/>
    <w:rsid w:val="00083DC9"/>
    <w:rsid w:val="00083EB5"/>
    <w:rsid w:val="00083EC2"/>
    <w:rsid w:val="00083F62"/>
    <w:rsid w:val="000847D7"/>
    <w:rsid w:val="00084887"/>
    <w:rsid w:val="00084AA3"/>
    <w:rsid w:val="00085741"/>
    <w:rsid w:val="00085A30"/>
    <w:rsid w:val="00085D16"/>
    <w:rsid w:val="00085FEA"/>
    <w:rsid w:val="00086191"/>
    <w:rsid w:val="00086271"/>
    <w:rsid w:val="0008641A"/>
    <w:rsid w:val="000868D7"/>
    <w:rsid w:val="00086BDC"/>
    <w:rsid w:val="00086D25"/>
    <w:rsid w:val="00086D69"/>
    <w:rsid w:val="00087675"/>
    <w:rsid w:val="000903B0"/>
    <w:rsid w:val="00090E63"/>
    <w:rsid w:val="00090F1C"/>
    <w:rsid w:val="0009108E"/>
    <w:rsid w:val="00091161"/>
    <w:rsid w:val="000911BE"/>
    <w:rsid w:val="000912DF"/>
    <w:rsid w:val="000914F6"/>
    <w:rsid w:val="00091589"/>
    <w:rsid w:val="0009171F"/>
    <w:rsid w:val="000918B2"/>
    <w:rsid w:val="000919AA"/>
    <w:rsid w:val="00091E39"/>
    <w:rsid w:val="00092818"/>
    <w:rsid w:val="00092E11"/>
    <w:rsid w:val="00092EFD"/>
    <w:rsid w:val="00093064"/>
    <w:rsid w:val="0009345A"/>
    <w:rsid w:val="000935EE"/>
    <w:rsid w:val="00093778"/>
    <w:rsid w:val="00093BC7"/>
    <w:rsid w:val="00094375"/>
    <w:rsid w:val="00094ABB"/>
    <w:rsid w:val="00094F7A"/>
    <w:rsid w:val="000956B3"/>
    <w:rsid w:val="00095781"/>
    <w:rsid w:val="00095839"/>
    <w:rsid w:val="00095F2B"/>
    <w:rsid w:val="000962B5"/>
    <w:rsid w:val="00096343"/>
    <w:rsid w:val="000967A8"/>
    <w:rsid w:val="00096846"/>
    <w:rsid w:val="00096D8E"/>
    <w:rsid w:val="0009720F"/>
    <w:rsid w:val="00097478"/>
    <w:rsid w:val="0009771A"/>
    <w:rsid w:val="00097B8F"/>
    <w:rsid w:val="00097EE8"/>
    <w:rsid w:val="000A00EB"/>
    <w:rsid w:val="000A03AA"/>
    <w:rsid w:val="000A0B46"/>
    <w:rsid w:val="000A1CA8"/>
    <w:rsid w:val="000A1E38"/>
    <w:rsid w:val="000A2D08"/>
    <w:rsid w:val="000A2F3B"/>
    <w:rsid w:val="000A3014"/>
    <w:rsid w:val="000A341E"/>
    <w:rsid w:val="000A351A"/>
    <w:rsid w:val="000A35C5"/>
    <w:rsid w:val="000A3E05"/>
    <w:rsid w:val="000A3E4C"/>
    <w:rsid w:val="000A4079"/>
    <w:rsid w:val="000A4C88"/>
    <w:rsid w:val="000A52FF"/>
    <w:rsid w:val="000A53A4"/>
    <w:rsid w:val="000A541C"/>
    <w:rsid w:val="000A5514"/>
    <w:rsid w:val="000A5E00"/>
    <w:rsid w:val="000A5F56"/>
    <w:rsid w:val="000A620D"/>
    <w:rsid w:val="000A63CE"/>
    <w:rsid w:val="000A6C7C"/>
    <w:rsid w:val="000A6E3C"/>
    <w:rsid w:val="000A747F"/>
    <w:rsid w:val="000A74D4"/>
    <w:rsid w:val="000A7696"/>
    <w:rsid w:val="000A77F9"/>
    <w:rsid w:val="000A79FB"/>
    <w:rsid w:val="000A7D5E"/>
    <w:rsid w:val="000B00A1"/>
    <w:rsid w:val="000B050B"/>
    <w:rsid w:val="000B1226"/>
    <w:rsid w:val="000B1CCF"/>
    <w:rsid w:val="000B1DBB"/>
    <w:rsid w:val="000B1DEF"/>
    <w:rsid w:val="000B1E70"/>
    <w:rsid w:val="000B1FEF"/>
    <w:rsid w:val="000B2079"/>
    <w:rsid w:val="000B24BC"/>
    <w:rsid w:val="000B24D3"/>
    <w:rsid w:val="000B2636"/>
    <w:rsid w:val="000B2788"/>
    <w:rsid w:val="000B286A"/>
    <w:rsid w:val="000B2CCF"/>
    <w:rsid w:val="000B3011"/>
    <w:rsid w:val="000B36EC"/>
    <w:rsid w:val="000B3C04"/>
    <w:rsid w:val="000B3ED5"/>
    <w:rsid w:val="000B413C"/>
    <w:rsid w:val="000B4418"/>
    <w:rsid w:val="000B4B20"/>
    <w:rsid w:val="000B5084"/>
    <w:rsid w:val="000B5B92"/>
    <w:rsid w:val="000B5C5B"/>
    <w:rsid w:val="000B5C6E"/>
    <w:rsid w:val="000B5D54"/>
    <w:rsid w:val="000B5D87"/>
    <w:rsid w:val="000B5ED5"/>
    <w:rsid w:val="000B629A"/>
    <w:rsid w:val="000B62E0"/>
    <w:rsid w:val="000B65B3"/>
    <w:rsid w:val="000B679B"/>
    <w:rsid w:val="000B67AB"/>
    <w:rsid w:val="000B69FC"/>
    <w:rsid w:val="000B6D16"/>
    <w:rsid w:val="000B6E9D"/>
    <w:rsid w:val="000B74B0"/>
    <w:rsid w:val="000C05BC"/>
    <w:rsid w:val="000C0BA8"/>
    <w:rsid w:val="000C0C48"/>
    <w:rsid w:val="000C0F2C"/>
    <w:rsid w:val="000C13C7"/>
    <w:rsid w:val="000C191E"/>
    <w:rsid w:val="000C1AF1"/>
    <w:rsid w:val="000C1EE1"/>
    <w:rsid w:val="000C212D"/>
    <w:rsid w:val="000C2181"/>
    <w:rsid w:val="000C218E"/>
    <w:rsid w:val="000C29AB"/>
    <w:rsid w:val="000C2E96"/>
    <w:rsid w:val="000C3083"/>
    <w:rsid w:val="000C30AE"/>
    <w:rsid w:val="000C376B"/>
    <w:rsid w:val="000C3B3D"/>
    <w:rsid w:val="000C3CCF"/>
    <w:rsid w:val="000C3E1D"/>
    <w:rsid w:val="000C3F0A"/>
    <w:rsid w:val="000C487A"/>
    <w:rsid w:val="000C4B88"/>
    <w:rsid w:val="000C4E37"/>
    <w:rsid w:val="000C4FF9"/>
    <w:rsid w:val="000C5211"/>
    <w:rsid w:val="000C54DC"/>
    <w:rsid w:val="000C5715"/>
    <w:rsid w:val="000C596E"/>
    <w:rsid w:val="000C5A7B"/>
    <w:rsid w:val="000C61DD"/>
    <w:rsid w:val="000C6596"/>
    <w:rsid w:val="000C6D74"/>
    <w:rsid w:val="000C740B"/>
    <w:rsid w:val="000C7500"/>
    <w:rsid w:val="000C78F1"/>
    <w:rsid w:val="000C7B2E"/>
    <w:rsid w:val="000C7B94"/>
    <w:rsid w:val="000C7C6B"/>
    <w:rsid w:val="000C7D72"/>
    <w:rsid w:val="000C7E81"/>
    <w:rsid w:val="000C7FCE"/>
    <w:rsid w:val="000D01E9"/>
    <w:rsid w:val="000D12E7"/>
    <w:rsid w:val="000D2038"/>
    <w:rsid w:val="000D21D4"/>
    <w:rsid w:val="000D27F6"/>
    <w:rsid w:val="000D2A4B"/>
    <w:rsid w:val="000D335F"/>
    <w:rsid w:val="000D36FA"/>
    <w:rsid w:val="000D3F3F"/>
    <w:rsid w:val="000D48F2"/>
    <w:rsid w:val="000D4A23"/>
    <w:rsid w:val="000D5271"/>
    <w:rsid w:val="000D59B8"/>
    <w:rsid w:val="000D59D3"/>
    <w:rsid w:val="000D5CA0"/>
    <w:rsid w:val="000D5F9F"/>
    <w:rsid w:val="000D63AD"/>
    <w:rsid w:val="000D63DA"/>
    <w:rsid w:val="000D6430"/>
    <w:rsid w:val="000D6697"/>
    <w:rsid w:val="000D66DB"/>
    <w:rsid w:val="000D6AA5"/>
    <w:rsid w:val="000D6D5A"/>
    <w:rsid w:val="000D6F29"/>
    <w:rsid w:val="000D6F30"/>
    <w:rsid w:val="000D73E5"/>
    <w:rsid w:val="000D79EB"/>
    <w:rsid w:val="000D7A43"/>
    <w:rsid w:val="000D7D91"/>
    <w:rsid w:val="000E008D"/>
    <w:rsid w:val="000E01E2"/>
    <w:rsid w:val="000E0420"/>
    <w:rsid w:val="000E06FF"/>
    <w:rsid w:val="000E08F9"/>
    <w:rsid w:val="000E1586"/>
    <w:rsid w:val="000E1758"/>
    <w:rsid w:val="000E1BEF"/>
    <w:rsid w:val="000E20D7"/>
    <w:rsid w:val="000E23B5"/>
    <w:rsid w:val="000E24C2"/>
    <w:rsid w:val="000E2D9C"/>
    <w:rsid w:val="000E3149"/>
    <w:rsid w:val="000E32E7"/>
    <w:rsid w:val="000E39CB"/>
    <w:rsid w:val="000E3F46"/>
    <w:rsid w:val="000E446B"/>
    <w:rsid w:val="000E4560"/>
    <w:rsid w:val="000E457E"/>
    <w:rsid w:val="000E4649"/>
    <w:rsid w:val="000E4655"/>
    <w:rsid w:val="000E4ECF"/>
    <w:rsid w:val="000E531D"/>
    <w:rsid w:val="000E5DD8"/>
    <w:rsid w:val="000E60BD"/>
    <w:rsid w:val="000E6802"/>
    <w:rsid w:val="000E6E1A"/>
    <w:rsid w:val="000E6EE6"/>
    <w:rsid w:val="000E7334"/>
    <w:rsid w:val="000E7C00"/>
    <w:rsid w:val="000E7D54"/>
    <w:rsid w:val="000F024D"/>
    <w:rsid w:val="000F03D7"/>
    <w:rsid w:val="000F0522"/>
    <w:rsid w:val="000F139B"/>
    <w:rsid w:val="000F13F7"/>
    <w:rsid w:val="000F18A2"/>
    <w:rsid w:val="000F1C6E"/>
    <w:rsid w:val="000F212F"/>
    <w:rsid w:val="000F2232"/>
    <w:rsid w:val="000F23F0"/>
    <w:rsid w:val="000F246A"/>
    <w:rsid w:val="000F2749"/>
    <w:rsid w:val="000F2994"/>
    <w:rsid w:val="000F303D"/>
    <w:rsid w:val="000F30C2"/>
    <w:rsid w:val="000F3549"/>
    <w:rsid w:val="000F369B"/>
    <w:rsid w:val="000F3B9E"/>
    <w:rsid w:val="000F3DE4"/>
    <w:rsid w:val="000F40BE"/>
    <w:rsid w:val="000F4480"/>
    <w:rsid w:val="000F4AC6"/>
    <w:rsid w:val="000F4C12"/>
    <w:rsid w:val="000F5299"/>
    <w:rsid w:val="000F5600"/>
    <w:rsid w:val="000F59C1"/>
    <w:rsid w:val="000F59DC"/>
    <w:rsid w:val="000F5C54"/>
    <w:rsid w:val="000F5CD5"/>
    <w:rsid w:val="000F5DFE"/>
    <w:rsid w:val="000F608E"/>
    <w:rsid w:val="000F7767"/>
    <w:rsid w:val="000F7B6B"/>
    <w:rsid w:val="001002BA"/>
    <w:rsid w:val="001009BC"/>
    <w:rsid w:val="00100C13"/>
    <w:rsid w:val="00100C44"/>
    <w:rsid w:val="00100CC8"/>
    <w:rsid w:val="0010113D"/>
    <w:rsid w:val="0010175B"/>
    <w:rsid w:val="00101870"/>
    <w:rsid w:val="00101A29"/>
    <w:rsid w:val="00101C87"/>
    <w:rsid w:val="00101DA1"/>
    <w:rsid w:val="00101DE7"/>
    <w:rsid w:val="00101FBE"/>
    <w:rsid w:val="001020BD"/>
    <w:rsid w:val="001022EC"/>
    <w:rsid w:val="0010234C"/>
    <w:rsid w:val="001028D9"/>
    <w:rsid w:val="00102AC8"/>
    <w:rsid w:val="00102F40"/>
    <w:rsid w:val="00102FFE"/>
    <w:rsid w:val="0010366A"/>
    <w:rsid w:val="00103CE5"/>
    <w:rsid w:val="001040A3"/>
    <w:rsid w:val="001043FB"/>
    <w:rsid w:val="0010446B"/>
    <w:rsid w:val="0010447D"/>
    <w:rsid w:val="0010466C"/>
    <w:rsid w:val="0010476D"/>
    <w:rsid w:val="001047B5"/>
    <w:rsid w:val="00104C74"/>
    <w:rsid w:val="00104F45"/>
    <w:rsid w:val="00104FD0"/>
    <w:rsid w:val="00105300"/>
    <w:rsid w:val="00105306"/>
    <w:rsid w:val="001058A9"/>
    <w:rsid w:val="001068FA"/>
    <w:rsid w:val="00106AE7"/>
    <w:rsid w:val="00106D95"/>
    <w:rsid w:val="00107297"/>
    <w:rsid w:val="001072B2"/>
    <w:rsid w:val="00107593"/>
    <w:rsid w:val="00107901"/>
    <w:rsid w:val="00107C65"/>
    <w:rsid w:val="00110B97"/>
    <w:rsid w:val="00110E11"/>
    <w:rsid w:val="00110E60"/>
    <w:rsid w:val="00110F33"/>
    <w:rsid w:val="00111018"/>
    <w:rsid w:val="00111227"/>
    <w:rsid w:val="0011147D"/>
    <w:rsid w:val="001116C7"/>
    <w:rsid w:val="00111721"/>
    <w:rsid w:val="00111C85"/>
    <w:rsid w:val="00111EBC"/>
    <w:rsid w:val="0011200D"/>
    <w:rsid w:val="001121DD"/>
    <w:rsid w:val="001121E2"/>
    <w:rsid w:val="00112274"/>
    <w:rsid w:val="00112576"/>
    <w:rsid w:val="00112D4D"/>
    <w:rsid w:val="00113390"/>
    <w:rsid w:val="00113519"/>
    <w:rsid w:val="00113590"/>
    <w:rsid w:val="001138AE"/>
    <w:rsid w:val="00113C02"/>
    <w:rsid w:val="00113DC1"/>
    <w:rsid w:val="00114BBB"/>
    <w:rsid w:val="00115129"/>
    <w:rsid w:val="0011517C"/>
    <w:rsid w:val="001156FC"/>
    <w:rsid w:val="001157E3"/>
    <w:rsid w:val="00115AD5"/>
    <w:rsid w:val="00115F68"/>
    <w:rsid w:val="00116561"/>
    <w:rsid w:val="001166D8"/>
    <w:rsid w:val="00116B99"/>
    <w:rsid w:val="00116D4D"/>
    <w:rsid w:val="00116F5A"/>
    <w:rsid w:val="00116F8E"/>
    <w:rsid w:val="00117382"/>
    <w:rsid w:val="00117D6D"/>
    <w:rsid w:val="00117EFB"/>
    <w:rsid w:val="00120E68"/>
    <w:rsid w:val="001216D7"/>
    <w:rsid w:val="00121AC6"/>
    <w:rsid w:val="00122236"/>
    <w:rsid w:val="001225EB"/>
    <w:rsid w:val="00122747"/>
    <w:rsid w:val="00122CFE"/>
    <w:rsid w:val="00122EFA"/>
    <w:rsid w:val="00123AF5"/>
    <w:rsid w:val="00123C56"/>
    <w:rsid w:val="00123F25"/>
    <w:rsid w:val="00124243"/>
    <w:rsid w:val="00124A24"/>
    <w:rsid w:val="00124CAF"/>
    <w:rsid w:val="00124E19"/>
    <w:rsid w:val="001255A6"/>
    <w:rsid w:val="0012560B"/>
    <w:rsid w:val="00125CC7"/>
    <w:rsid w:val="00125E26"/>
    <w:rsid w:val="001260CC"/>
    <w:rsid w:val="001265E2"/>
    <w:rsid w:val="00126623"/>
    <w:rsid w:val="0012674A"/>
    <w:rsid w:val="00126B2C"/>
    <w:rsid w:val="00126C9C"/>
    <w:rsid w:val="00126EA6"/>
    <w:rsid w:val="00126EEE"/>
    <w:rsid w:val="001270BC"/>
    <w:rsid w:val="0012767B"/>
    <w:rsid w:val="00130004"/>
    <w:rsid w:val="00130221"/>
    <w:rsid w:val="0013065D"/>
    <w:rsid w:val="00131171"/>
    <w:rsid w:val="001311BF"/>
    <w:rsid w:val="001314FE"/>
    <w:rsid w:val="00131818"/>
    <w:rsid w:val="00131D73"/>
    <w:rsid w:val="00132233"/>
    <w:rsid w:val="0013229B"/>
    <w:rsid w:val="00132619"/>
    <w:rsid w:val="00132842"/>
    <w:rsid w:val="00132C59"/>
    <w:rsid w:val="001334AE"/>
    <w:rsid w:val="0013377E"/>
    <w:rsid w:val="001338A1"/>
    <w:rsid w:val="00133985"/>
    <w:rsid w:val="001339AC"/>
    <w:rsid w:val="00133E4A"/>
    <w:rsid w:val="00133FE3"/>
    <w:rsid w:val="00134230"/>
    <w:rsid w:val="00134299"/>
    <w:rsid w:val="0013438D"/>
    <w:rsid w:val="00134486"/>
    <w:rsid w:val="0013465B"/>
    <w:rsid w:val="00134663"/>
    <w:rsid w:val="001348EC"/>
    <w:rsid w:val="00134AEA"/>
    <w:rsid w:val="00135047"/>
    <w:rsid w:val="0013558E"/>
    <w:rsid w:val="001355E1"/>
    <w:rsid w:val="00135FBC"/>
    <w:rsid w:val="00136207"/>
    <w:rsid w:val="0013654B"/>
    <w:rsid w:val="001368E2"/>
    <w:rsid w:val="00136BFF"/>
    <w:rsid w:val="001370D9"/>
    <w:rsid w:val="001370DE"/>
    <w:rsid w:val="00137318"/>
    <w:rsid w:val="001373BC"/>
    <w:rsid w:val="001376F7"/>
    <w:rsid w:val="00137B03"/>
    <w:rsid w:val="00137DB7"/>
    <w:rsid w:val="00137E4E"/>
    <w:rsid w:val="00137FBF"/>
    <w:rsid w:val="00140023"/>
    <w:rsid w:val="001404B4"/>
    <w:rsid w:val="00140C94"/>
    <w:rsid w:val="00141DEC"/>
    <w:rsid w:val="00142CB5"/>
    <w:rsid w:val="00142CCD"/>
    <w:rsid w:val="00142CE6"/>
    <w:rsid w:val="00143827"/>
    <w:rsid w:val="001440B4"/>
    <w:rsid w:val="00144393"/>
    <w:rsid w:val="00144455"/>
    <w:rsid w:val="00144866"/>
    <w:rsid w:val="0014491F"/>
    <w:rsid w:val="00145115"/>
    <w:rsid w:val="00145169"/>
    <w:rsid w:val="0014581D"/>
    <w:rsid w:val="001459BF"/>
    <w:rsid w:val="00145ACD"/>
    <w:rsid w:val="00145F56"/>
    <w:rsid w:val="00146192"/>
    <w:rsid w:val="001469B0"/>
    <w:rsid w:val="00146B6B"/>
    <w:rsid w:val="00147314"/>
    <w:rsid w:val="00147841"/>
    <w:rsid w:val="00147AF3"/>
    <w:rsid w:val="00147E10"/>
    <w:rsid w:val="00147EEC"/>
    <w:rsid w:val="00150650"/>
    <w:rsid w:val="00150B9F"/>
    <w:rsid w:val="00151150"/>
    <w:rsid w:val="001515AC"/>
    <w:rsid w:val="00151833"/>
    <w:rsid w:val="001518AF"/>
    <w:rsid w:val="00151958"/>
    <w:rsid w:val="00152144"/>
    <w:rsid w:val="00152592"/>
    <w:rsid w:val="001527DC"/>
    <w:rsid w:val="0015290B"/>
    <w:rsid w:val="00153069"/>
    <w:rsid w:val="00153940"/>
    <w:rsid w:val="00154110"/>
    <w:rsid w:val="001543A4"/>
    <w:rsid w:val="00154807"/>
    <w:rsid w:val="0015498C"/>
    <w:rsid w:val="0015540F"/>
    <w:rsid w:val="001560BA"/>
    <w:rsid w:val="001561EB"/>
    <w:rsid w:val="001571E2"/>
    <w:rsid w:val="001577EB"/>
    <w:rsid w:val="001578A8"/>
    <w:rsid w:val="00157F35"/>
    <w:rsid w:val="00160830"/>
    <w:rsid w:val="00160A54"/>
    <w:rsid w:val="00160B0E"/>
    <w:rsid w:val="00160EFE"/>
    <w:rsid w:val="00161069"/>
    <w:rsid w:val="00161A99"/>
    <w:rsid w:val="00162046"/>
    <w:rsid w:val="0016242C"/>
    <w:rsid w:val="001624E9"/>
    <w:rsid w:val="001625F1"/>
    <w:rsid w:val="00162649"/>
    <w:rsid w:val="0016298D"/>
    <w:rsid w:val="00162B76"/>
    <w:rsid w:val="0016342F"/>
    <w:rsid w:val="00163896"/>
    <w:rsid w:val="00163ABD"/>
    <w:rsid w:val="00163E47"/>
    <w:rsid w:val="00164316"/>
    <w:rsid w:val="001647A1"/>
    <w:rsid w:val="001648FE"/>
    <w:rsid w:val="00164AE8"/>
    <w:rsid w:val="00164C98"/>
    <w:rsid w:val="001652F2"/>
    <w:rsid w:val="001654A9"/>
    <w:rsid w:val="00165860"/>
    <w:rsid w:val="00165CDE"/>
    <w:rsid w:val="00166004"/>
    <w:rsid w:val="00166108"/>
    <w:rsid w:val="00166576"/>
    <w:rsid w:val="001667AC"/>
    <w:rsid w:val="001669BB"/>
    <w:rsid w:val="00166A67"/>
    <w:rsid w:val="001672F6"/>
    <w:rsid w:val="0016771B"/>
    <w:rsid w:val="00167EA5"/>
    <w:rsid w:val="0017044D"/>
    <w:rsid w:val="00170868"/>
    <w:rsid w:val="0017192A"/>
    <w:rsid w:val="00171930"/>
    <w:rsid w:val="00171A03"/>
    <w:rsid w:val="001720C8"/>
    <w:rsid w:val="001724FC"/>
    <w:rsid w:val="00172A53"/>
    <w:rsid w:val="00172A57"/>
    <w:rsid w:val="00172AA9"/>
    <w:rsid w:val="001734AE"/>
    <w:rsid w:val="00173AFD"/>
    <w:rsid w:val="001740DF"/>
    <w:rsid w:val="00174314"/>
    <w:rsid w:val="00174351"/>
    <w:rsid w:val="001743CB"/>
    <w:rsid w:val="00174563"/>
    <w:rsid w:val="001747C0"/>
    <w:rsid w:val="00174BCA"/>
    <w:rsid w:val="00174D62"/>
    <w:rsid w:val="00175934"/>
    <w:rsid w:val="001759C4"/>
    <w:rsid w:val="00175C6B"/>
    <w:rsid w:val="0017614D"/>
    <w:rsid w:val="001763B9"/>
    <w:rsid w:val="00176700"/>
    <w:rsid w:val="001769D4"/>
    <w:rsid w:val="00176D21"/>
    <w:rsid w:val="001771F7"/>
    <w:rsid w:val="00177899"/>
    <w:rsid w:val="00177A89"/>
    <w:rsid w:val="00180213"/>
    <w:rsid w:val="00180BC5"/>
    <w:rsid w:val="00181017"/>
    <w:rsid w:val="001814C4"/>
    <w:rsid w:val="0018175C"/>
    <w:rsid w:val="00181CC2"/>
    <w:rsid w:val="00181FB1"/>
    <w:rsid w:val="0018269D"/>
    <w:rsid w:val="00182BE5"/>
    <w:rsid w:val="00182FEC"/>
    <w:rsid w:val="00183487"/>
    <w:rsid w:val="00183791"/>
    <w:rsid w:val="001839A5"/>
    <w:rsid w:val="00183BE1"/>
    <w:rsid w:val="00183CCA"/>
    <w:rsid w:val="00184161"/>
    <w:rsid w:val="0018431A"/>
    <w:rsid w:val="001844AA"/>
    <w:rsid w:val="00184C5F"/>
    <w:rsid w:val="00184E3D"/>
    <w:rsid w:val="00184FBD"/>
    <w:rsid w:val="00184FF7"/>
    <w:rsid w:val="001850CB"/>
    <w:rsid w:val="001850FF"/>
    <w:rsid w:val="00185794"/>
    <w:rsid w:val="00185BEE"/>
    <w:rsid w:val="00185DA7"/>
    <w:rsid w:val="00185FEA"/>
    <w:rsid w:val="00186A5A"/>
    <w:rsid w:val="00186B21"/>
    <w:rsid w:val="00186D1D"/>
    <w:rsid w:val="001870A3"/>
    <w:rsid w:val="001902A1"/>
    <w:rsid w:val="00190428"/>
    <w:rsid w:val="0019086F"/>
    <w:rsid w:val="001908CC"/>
    <w:rsid w:val="00190BEC"/>
    <w:rsid w:val="00190C8D"/>
    <w:rsid w:val="00190D60"/>
    <w:rsid w:val="00190D6F"/>
    <w:rsid w:val="00190E46"/>
    <w:rsid w:val="00190E86"/>
    <w:rsid w:val="0019163C"/>
    <w:rsid w:val="00191B9A"/>
    <w:rsid w:val="00191D10"/>
    <w:rsid w:val="00191DE5"/>
    <w:rsid w:val="00191E76"/>
    <w:rsid w:val="001921FE"/>
    <w:rsid w:val="001928FD"/>
    <w:rsid w:val="00192B96"/>
    <w:rsid w:val="00192EC8"/>
    <w:rsid w:val="00192F45"/>
    <w:rsid w:val="001937D4"/>
    <w:rsid w:val="001937F9"/>
    <w:rsid w:val="00193846"/>
    <w:rsid w:val="00193BA0"/>
    <w:rsid w:val="00194364"/>
    <w:rsid w:val="0019479D"/>
    <w:rsid w:val="0019482D"/>
    <w:rsid w:val="00194A9B"/>
    <w:rsid w:val="00194B60"/>
    <w:rsid w:val="00195060"/>
    <w:rsid w:val="00195218"/>
    <w:rsid w:val="001954D2"/>
    <w:rsid w:val="00195643"/>
    <w:rsid w:val="0019582D"/>
    <w:rsid w:val="00195D78"/>
    <w:rsid w:val="001963AD"/>
    <w:rsid w:val="00196498"/>
    <w:rsid w:val="001966BE"/>
    <w:rsid w:val="00197163"/>
    <w:rsid w:val="001971D5"/>
    <w:rsid w:val="00197342"/>
    <w:rsid w:val="00197E3D"/>
    <w:rsid w:val="00197F16"/>
    <w:rsid w:val="001A08AA"/>
    <w:rsid w:val="001A0DC9"/>
    <w:rsid w:val="001A0F83"/>
    <w:rsid w:val="001A1408"/>
    <w:rsid w:val="001A14A8"/>
    <w:rsid w:val="001A1678"/>
    <w:rsid w:val="001A1B95"/>
    <w:rsid w:val="001A1C88"/>
    <w:rsid w:val="001A1E6F"/>
    <w:rsid w:val="001A2128"/>
    <w:rsid w:val="001A2430"/>
    <w:rsid w:val="001A246E"/>
    <w:rsid w:val="001A2488"/>
    <w:rsid w:val="001A2F84"/>
    <w:rsid w:val="001A3014"/>
    <w:rsid w:val="001A32A6"/>
    <w:rsid w:val="001A3532"/>
    <w:rsid w:val="001A3755"/>
    <w:rsid w:val="001A3AAA"/>
    <w:rsid w:val="001A40C2"/>
    <w:rsid w:val="001A4307"/>
    <w:rsid w:val="001A43BF"/>
    <w:rsid w:val="001A474C"/>
    <w:rsid w:val="001A4774"/>
    <w:rsid w:val="001A4888"/>
    <w:rsid w:val="001A4B9F"/>
    <w:rsid w:val="001A6537"/>
    <w:rsid w:val="001A6734"/>
    <w:rsid w:val="001A67AA"/>
    <w:rsid w:val="001A68C2"/>
    <w:rsid w:val="001A6B24"/>
    <w:rsid w:val="001A6DA3"/>
    <w:rsid w:val="001A71B5"/>
    <w:rsid w:val="001A7540"/>
    <w:rsid w:val="001A7754"/>
    <w:rsid w:val="001A7EE0"/>
    <w:rsid w:val="001B0055"/>
    <w:rsid w:val="001B0169"/>
    <w:rsid w:val="001B046D"/>
    <w:rsid w:val="001B08FF"/>
    <w:rsid w:val="001B0CCF"/>
    <w:rsid w:val="001B0DEB"/>
    <w:rsid w:val="001B0E64"/>
    <w:rsid w:val="001B0FCC"/>
    <w:rsid w:val="001B127E"/>
    <w:rsid w:val="001B175E"/>
    <w:rsid w:val="001B22DE"/>
    <w:rsid w:val="001B29DC"/>
    <w:rsid w:val="001B2C06"/>
    <w:rsid w:val="001B2D0A"/>
    <w:rsid w:val="001B353B"/>
    <w:rsid w:val="001B3687"/>
    <w:rsid w:val="001B372F"/>
    <w:rsid w:val="001B3FE1"/>
    <w:rsid w:val="001B4965"/>
    <w:rsid w:val="001B4CAC"/>
    <w:rsid w:val="001B4E1C"/>
    <w:rsid w:val="001B4E89"/>
    <w:rsid w:val="001B4F4D"/>
    <w:rsid w:val="001B55F4"/>
    <w:rsid w:val="001B55FE"/>
    <w:rsid w:val="001B573B"/>
    <w:rsid w:val="001B5C13"/>
    <w:rsid w:val="001B5F39"/>
    <w:rsid w:val="001B604C"/>
    <w:rsid w:val="001B61EC"/>
    <w:rsid w:val="001B6400"/>
    <w:rsid w:val="001B6598"/>
    <w:rsid w:val="001B6765"/>
    <w:rsid w:val="001B6B51"/>
    <w:rsid w:val="001B6DBD"/>
    <w:rsid w:val="001B70D9"/>
    <w:rsid w:val="001B7643"/>
    <w:rsid w:val="001B7970"/>
    <w:rsid w:val="001B7AA2"/>
    <w:rsid w:val="001B7B5E"/>
    <w:rsid w:val="001C0049"/>
    <w:rsid w:val="001C04FA"/>
    <w:rsid w:val="001C0875"/>
    <w:rsid w:val="001C0A89"/>
    <w:rsid w:val="001C0C34"/>
    <w:rsid w:val="001C0EEA"/>
    <w:rsid w:val="001C13C2"/>
    <w:rsid w:val="001C1480"/>
    <w:rsid w:val="001C16A0"/>
    <w:rsid w:val="001C1AF3"/>
    <w:rsid w:val="001C1B89"/>
    <w:rsid w:val="001C1CC6"/>
    <w:rsid w:val="001C1DD8"/>
    <w:rsid w:val="001C2299"/>
    <w:rsid w:val="001C2373"/>
    <w:rsid w:val="001C2A96"/>
    <w:rsid w:val="001C3896"/>
    <w:rsid w:val="001C3D6E"/>
    <w:rsid w:val="001C3E87"/>
    <w:rsid w:val="001C4277"/>
    <w:rsid w:val="001C43DD"/>
    <w:rsid w:val="001C4BB4"/>
    <w:rsid w:val="001C4CF6"/>
    <w:rsid w:val="001C4D67"/>
    <w:rsid w:val="001C4F40"/>
    <w:rsid w:val="001C520E"/>
    <w:rsid w:val="001C59EC"/>
    <w:rsid w:val="001C5CC5"/>
    <w:rsid w:val="001C63CA"/>
    <w:rsid w:val="001C64DA"/>
    <w:rsid w:val="001C6DA8"/>
    <w:rsid w:val="001C726F"/>
    <w:rsid w:val="001C7606"/>
    <w:rsid w:val="001C79F3"/>
    <w:rsid w:val="001D034C"/>
    <w:rsid w:val="001D0350"/>
    <w:rsid w:val="001D052C"/>
    <w:rsid w:val="001D06F2"/>
    <w:rsid w:val="001D0BC0"/>
    <w:rsid w:val="001D0D39"/>
    <w:rsid w:val="001D0D9F"/>
    <w:rsid w:val="001D1223"/>
    <w:rsid w:val="001D122E"/>
    <w:rsid w:val="001D15C4"/>
    <w:rsid w:val="001D170A"/>
    <w:rsid w:val="001D1D4F"/>
    <w:rsid w:val="001D1DAA"/>
    <w:rsid w:val="001D1EC1"/>
    <w:rsid w:val="001D3124"/>
    <w:rsid w:val="001D318D"/>
    <w:rsid w:val="001D35AA"/>
    <w:rsid w:val="001D372E"/>
    <w:rsid w:val="001D3749"/>
    <w:rsid w:val="001D3CC0"/>
    <w:rsid w:val="001D4DEA"/>
    <w:rsid w:val="001D4E61"/>
    <w:rsid w:val="001D4E67"/>
    <w:rsid w:val="001D505A"/>
    <w:rsid w:val="001D56BF"/>
    <w:rsid w:val="001D5775"/>
    <w:rsid w:val="001D5A2A"/>
    <w:rsid w:val="001D5ADC"/>
    <w:rsid w:val="001D5C7B"/>
    <w:rsid w:val="001D5EA6"/>
    <w:rsid w:val="001D6453"/>
    <w:rsid w:val="001D749E"/>
    <w:rsid w:val="001D7A21"/>
    <w:rsid w:val="001E0180"/>
    <w:rsid w:val="001E01BD"/>
    <w:rsid w:val="001E02C4"/>
    <w:rsid w:val="001E02EC"/>
    <w:rsid w:val="001E06F7"/>
    <w:rsid w:val="001E098E"/>
    <w:rsid w:val="001E1162"/>
    <w:rsid w:val="001E1202"/>
    <w:rsid w:val="001E12A8"/>
    <w:rsid w:val="001E16CF"/>
    <w:rsid w:val="001E1860"/>
    <w:rsid w:val="001E1A5B"/>
    <w:rsid w:val="001E1D32"/>
    <w:rsid w:val="001E21DB"/>
    <w:rsid w:val="001E234F"/>
    <w:rsid w:val="001E2971"/>
    <w:rsid w:val="001E2DFD"/>
    <w:rsid w:val="001E31BA"/>
    <w:rsid w:val="001E3D6E"/>
    <w:rsid w:val="001E41D6"/>
    <w:rsid w:val="001E47F3"/>
    <w:rsid w:val="001E4C74"/>
    <w:rsid w:val="001E4D11"/>
    <w:rsid w:val="001E4EF3"/>
    <w:rsid w:val="001E5878"/>
    <w:rsid w:val="001E5917"/>
    <w:rsid w:val="001E61ED"/>
    <w:rsid w:val="001E6346"/>
    <w:rsid w:val="001E6493"/>
    <w:rsid w:val="001E68AE"/>
    <w:rsid w:val="001E6967"/>
    <w:rsid w:val="001E6E6B"/>
    <w:rsid w:val="001E6FAD"/>
    <w:rsid w:val="001E723F"/>
    <w:rsid w:val="001E7371"/>
    <w:rsid w:val="001E79AA"/>
    <w:rsid w:val="001E7E88"/>
    <w:rsid w:val="001E7FD2"/>
    <w:rsid w:val="001F02EB"/>
    <w:rsid w:val="001F0384"/>
    <w:rsid w:val="001F099D"/>
    <w:rsid w:val="001F0AF0"/>
    <w:rsid w:val="001F0B75"/>
    <w:rsid w:val="001F100E"/>
    <w:rsid w:val="001F1298"/>
    <w:rsid w:val="001F133A"/>
    <w:rsid w:val="001F1719"/>
    <w:rsid w:val="001F18CE"/>
    <w:rsid w:val="001F1C53"/>
    <w:rsid w:val="001F23AE"/>
    <w:rsid w:val="001F3AED"/>
    <w:rsid w:val="001F4E9F"/>
    <w:rsid w:val="001F5265"/>
    <w:rsid w:val="001F5C86"/>
    <w:rsid w:val="001F5F51"/>
    <w:rsid w:val="001F64A6"/>
    <w:rsid w:val="001F6A86"/>
    <w:rsid w:val="001F6B2C"/>
    <w:rsid w:val="001F6BC4"/>
    <w:rsid w:val="001F7193"/>
    <w:rsid w:val="001F72DE"/>
    <w:rsid w:val="001F7388"/>
    <w:rsid w:val="001F783E"/>
    <w:rsid w:val="001F79AC"/>
    <w:rsid w:val="001F79DF"/>
    <w:rsid w:val="00201146"/>
    <w:rsid w:val="00201224"/>
    <w:rsid w:val="00201370"/>
    <w:rsid w:val="002019E6"/>
    <w:rsid w:val="00201C28"/>
    <w:rsid w:val="00201C89"/>
    <w:rsid w:val="00201ED5"/>
    <w:rsid w:val="002020D5"/>
    <w:rsid w:val="002023D2"/>
    <w:rsid w:val="002031C0"/>
    <w:rsid w:val="0020347C"/>
    <w:rsid w:val="002035E5"/>
    <w:rsid w:val="00203901"/>
    <w:rsid w:val="00203AF4"/>
    <w:rsid w:val="00203B13"/>
    <w:rsid w:val="0020425D"/>
    <w:rsid w:val="00204936"/>
    <w:rsid w:val="00204DD1"/>
    <w:rsid w:val="00204E7F"/>
    <w:rsid w:val="00205469"/>
    <w:rsid w:val="002057EB"/>
    <w:rsid w:val="00205831"/>
    <w:rsid w:val="002059DC"/>
    <w:rsid w:val="00206663"/>
    <w:rsid w:val="00206876"/>
    <w:rsid w:val="00206D9B"/>
    <w:rsid w:val="002072F1"/>
    <w:rsid w:val="00207323"/>
    <w:rsid w:val="00207765"/>
    <w:rsid w:val="00207AE5"/>
    <w:rsid w:val="00207D99"/>
    <w:rsid w:val="00210019"/>
    <w:rsid w:val="00210627"/>
    <w:rsid w:val="00210C3C"/>
    <w:rsid w:val="002113E9"/>
    <w:rsid w:val="0021228C"/>
    <w:rsid w:val="0021244C"/>
    <w:rsid w:val="002124A9"/>
    <w:rsid w:val="002125DE"/>
    <w:rsid w:val="002128D6"/>
    <w:rsid w:val="00212CA9"/>
    <w:rsid w:val="00212F0F"/>
    <w:rsid w:val="002134BC"/>
    <w:rsid w:val="00213B70"/>
    <w:rsid w:val="00213C29"/>
    <w:rsid w:val="00213C62"/>
    <w:rsid w:val="00214453"/>
    <w:rsid w:val="0021508E"/>
    <w:rsid w:val="002155F4"/>
    <w:rsid w:val="0021594E"/>
    <w:rsid w:val="0021603A"/>
    <w:rsid w:val="002161EE"/>
    <w:rsid w:val="00216355"/>
    <w:rsid w:val="00216767"/>
    <w:rsid w:val="002169C5"/>
    <w:rsid w:val="00216C30"/>
    <w:rsid w:val="00217722"/>
    <w:rsid w:val="002179EA"/>
    <w:rsid w:val="00217B46"/>
    <w:rsid w:val="00220229"/>
    <w:rsid w:val="002203F0"/>
    <w:rsid w:val="00220690"/>
    <w:rsid w:val="0022086A"/>
    <w:rsid w:val="00220DA7"/>
    <w:rsid w:val="0022108D"/>
    <w:rsid w:val="00221519"/>
    <w:rsid w:val="0022163F"/>
    <w:rsid w:val="002219FA"/>
    <w:rsid w:val="00221CA0"/>
    <w:rsid w:val="00221CCD"/>
    <w:rsid w:val="00221DD8"/>
    <w:rsid w:val="00221EFB"/>
    <w:rsid w:val="00222746"/>
    <w:rsid w:val="0022289A"/>
    <w:rsid w:val="002234D3"/>
    <w:rsid w:val="002237FE"/>
    <w:rsid w:val="002238A2"/>
    <w:rsid w:val="0022412C"/>
    <w:rsid w:val="002241D9"/>
    <w:rsid w:val="00224407"/>
    <w:rsid w:val="0022440C"/>
    <w:rsid w:val="00224D22"/>
    <w:rsid w:val="00225149"/>
    <w:rsid w:val="002256E7"/>
    <w:rsid w:val="002259EA"/>
    <w:rsid w:val="00226397"/>
    <w:rsid w:val="0022679D"/>
    <w:rsid w:val="002267E4"/>
    <w:rsid w:val="00226951"/>
    <w:rsid w:val="00226CB5"/>
    <w:rsid w:val="00226EBA"/>
    <w:rsid w:val="0022716D"/>
    <w:rsid w:val="002271E7"/>
    <w:rsid w:val="00227ABC"/>
    <w:rsid w:val="0023006E"/>
    <w:rsid w:val="002308F0"/>
    <w:rsid w:val="00230ED9"/>
    <w:rsid w:val="00231228"/>
    <w:rsid w:val="0023150F"/>
    <w:rsid w:val="00231C43"/>
    <w:rsid w:val="00231CAF"/>
    <w:rsid w:val="00231DAB"/>
    <w:rsid w:val="002320EF"/>
    <w:rsid w:val="00232184"/>
    <w:rsid w:val="00232A93"/>
    <w:rsid w:val="00233109"/>
    <w:rsid w:val="00233267"/>
    <w:rsid w:val="00233350"/>
    <w:rsid w:val="00233784"/>
    <w:rsid w:val="0023378D"/>
    <w:rsid w:val="00233BA1"/>
    <w:rsid w:val="002344D1"/>
    <w:rsid w:val="00234998"/>
    <w:rsid w:val="00234BDD"/>
    <w:rsid w:val="00234C45"/>
    <w:rsid w:val="00234D4B"/>
    <w:rsid w:val="00235237"/>
    <w:rsid w:val="00235280"/>
    <w:rsid w:val="0023557E"/>
    <w:rsid w:val="00235759"/>
    <w:rsid w:val="00235DC0"/>
    <w:rsid w:val="002366BD"/>
    <w:rsid w:val="00236852"/>
    <w:rsid w:val="002369A3"/>
    <w:rsid w:val="00236B0C"/>
    <w:rsid w:val="00236B60"/>
    <w:rsid w:val="00237635"/>
    <w:rsid w:val="00237A1E"/>
    <w:rsid w:val="00237B5E"/>
    <w:rsid w:val="00237BA9"/>
    <w:rsid w:val="002409B0"/>
    <w:rsid w:val="00240A1D"/>
    <w:rsid w:val="00240AF9"/>
    <w:rsid w:val="00240EC4"/>
    <w:rsid w:val="0024153C"/>
    <w:rsid w:val="002418F9"/>
    <w:rsid w:val="00241B19"/>
    <w:rsid w:val="00241BB5"/>
    <w:rsid w:val="00241CF6"/>
    <w:rsid w:val="00241D24"/>
    <w:rsid w:val="00242470"/>
    <w:rsid w:val="002425BE"/>
    <w:rsid w:val="002426CB"/>
    <w:rsid w:val="0024287D"/>
    <w:rsid w:val="00242CEE"/>
    <w:rsid w:val="00243428"/>
    <w:rsid w:val="00243506"/>
    <w:rsid w:val="00243964"/>
    <w:rsid w:val="00243B7C"/>
    <w:rsid w:val="00243C9D"/>
    <w:rsid w:val="00243EC4"/>
    <w:rsid w:val="00243EC5"/>
    <w:rsid w:val="002446F9"/>
    <w:rsid w:val="00244FF9"/>
    <w:rsid w:val="00245046"/>
    <w:rsid w:val="002451FA"/>
    <w:rsid w:val="00245339"/>
    <w:rsid w:val="00245C33"/>
    <w:rsid w:val="002460DD"/>
    <w:rsid w:val="002462F1"/>
    <w:rsid w:val="00246F35"/>
    <w:rsid w:val="002471EC"/>
    <w:rsid w:val="0024743D"/>
    <w:rsid w:val="002478FF"/>
    <w:rsid w:val="00247CE2"/>
    <w:rsid w:val="0025019E"/>
    <w:rsid w:val="002501F1"/>
    <w:rsid w:val="002502F9"/>
    <w:rsid w:val="00250634"/>
    <w:rsid w:val="0025082F"/>
    <w:rsid w:val="00250ADF"/>
    <w:rsid w:val="0025101E"/>
    <w:rsid w:val="002516B1"/>
    <w:rsid w:val="00251CAC"/>
    <w:rsid w:val="00251E31"/>
    <w:rsid w:val="0025246E"/>
    <w:rsid w:val="00252704"/>
    <w:rsid w:val="00252DCD"/>
    <w:rsid w:val="00252E8E"/>
    <w:rsid w:val="00253393"/>
    <w:rsid w:val="00253655"/>
    <w:rsid w:val="00253E0D"/>
    <w:rsid w:val="00253F78"/>
    <w:rsid w:val="00254068"/>
    <w:rsid w:val="00254337"/>
    <w:rsid w:val="002543DA"/>
    <w:rsid w:val="0025454A"/>
    <w:rsid w:val="002546A6"/>
    <w:rsid w:val="0025492C"/>
    <w:rsid w:val="00254ADC"/>
    <w:rsid w:val="00254CF9"/>
    <w:rsid w:val="00254CFE"/>
    <w:rsid w:val="00254D75"/>
    <w:rsid w:val="00254E89"/>
    <w:rsid w:val="002550A9"/>
    <w:rsid w:val="002556B2"/>
    <w:rsid w:val="00255A0A"/>
    <w:rsid w:val="00256279"/>
    <w:rsid w:val="00256983"/>
    <w:rsid w:val="002571F3"/>
    <w:rsid w:val="002578C0"/>
    <w:rsid w:val="0025799B"/>
    <w:rsid w:val="00257A2D"/>
    <w:rsid w:val="00257B0C"/>
    <w:rsid w:val="00257C51"/>
    <w:rsid w:val="00257E74"/>
    <w:rsid w:val="002602DC"/>
    <w:rsid w:val="00260371"/>
    <w:rsid w:val="00260428"/>
    <w:rsid w:val="002608C9"/>
    <w:rsid w:val="00260AFE"/>
    <w:rsid w:val="00261200"/>
    <w:rsid w:val="00261478"/>
    <w:rsid w:val="0026167C"/>
    <w:rsid w:val="00261729"/>
    <w:rsid w:val="00261A69"/>
    <w:rsid w:val="00261CC1"/>
    <w:rsid w:val="0026247A"/>
    <w:rsid w:val="0026297E"/>
    <w:rsid w:val="00263088"/>
    <w:rsid w:val="0026375B"/>
    <w:rsid w:val="00263767"/>
    <w:rsid w:val="00263B3E"/>
    <w:rsid w:val="00263DF0"/>
    <w:rsid w:val="002643BE"/>
    <w:rsid w:val="00264992"/>
    <w:rsid w:val="00264BF5"/>
    <w:rsid w:val="00264F69"/>
    <w:rsid w:val="00265379"/>
    <w:rsid w:val="00265494"/>
    <w:rsid w:val="00265C5F"/>
    <w:rsid w:val="0026606D"/>
    <w:rsid w:val="002660ED"/>
    <w:rsid w:val="0026620E"/>
    <w:rsid w:val="00266315"/>
    <w:rsid w:val="0026661D"/>
    <w:rsid w:val="00266C59"/>
    <w:rsid w:val="002670A4"/>
    <w:rsid w:val="00267168"/>
    <w:rsid w:val="002677E8"/>
    <w:rsid w:val="00267A48"/>
    <w:rsid w:val="00267BD5"/>
    <w:rsid w:val="00267E41"/>
    <w:rsid w:val="0027087A"/>
    <w:rsid w:val="00270CEF"/>
    <w:rsid w:val="00270F5E"/>
    <w:rsid w:val="00271494"/>
    <w:rsid w:val="002714BA"/>
    <w:rsid w:val="0027160A"/>
    <w:rsid w:val="00271C65"/>
    <w:rsid w:val="00272246"/>
    <w:rsid w:val="00272443"/>
    <w:rsid w:val="002726FA"/>
    <w:rsid w:val="002728E7"/>
    <w:rsid w:val="00272A1D"/>
    <w:rsid w:val="00272A51"/>
    <w:rsid w:val="00272F28"/>
    <w:rsid w:val="0027352A"/>
    <w:rsid w:val="00273759"/>
    <w:rsid w:val="002739C4"/>
    <w:rsid w:val="00273A21"/>
    <w:rsid w:val="00274017"/>
    <w:rsid w:val="00274141"/>
    <w:rsid w:val="002741C2"/>
    <w:rsid w:val="0027461D"/>
    <w:rsid w:val="0027465D"/>
    <w:rsid w:val="00274997"/>
    <w:rsid w:val="002749BA"/>
    <w:rsid w:val="00274A9B"/>
    <w:rsid w:val="00274BA3"/>
    <w:rsid w:val="002750F9"/>
    <w:rsid w:val="00275399"/>
    <w:rsid w:val="00275740"/>
    <w:rsid w:val="00275BBA"/>
    <w:rsid w:val="00275E93"/>
    <w:rsid w:val="002766ED"/>
    <w:rsid w:val="00276BD4"/>
    <w:rsid w:val="00276D87"/>
    <w:rsid w:val="0027709D"/>
    <w:rsid w:val="002775DA"/>
    <w:rsid w:val="002779E9"/>
    <w:rsid w:val="00280408"/>
    <w:rsid w:val="002807E3"/>
    <w:rsid w:val="00280EEC"/>
    <w:rsid w:val="0028117F"/>
    <w:rsid w:val="002811AD"/>
    <w:rsid w:val="00281343"/>
    <w:rsid w:val="00281466"/>
    <w:rsid w:val="00281543"/>
    <w:rsid w:val="00281BDD"/>
    <w:rsid w:val="00281D69"/>
    <w:rsid w:val="0028263C"/>
    <w:rsid w:val="002827A1"/>
    <w:rsid w:val="00282DF2"/>
    <w:rsid w:val="00282F6A"/>
    <w:rsid w:val="002831FB"/>
    <w:rsid w:val="00283701"/>
    <w:rsid w:val="002838BC"/>
    <w:rsid w:val="00283C45"/>
    <w:rsid w:val="00284338"/>
    <w:rsid w:val="002843AF"/>
    <w:rsid w:val="00284409"/>
    <w:rsid w:val="00284565"/>
    <w:rsid w:val="002846EF"/>
    <w:rsid w:val="00284707"/>
    <w:rsid w:val="00284724"/>
    <w:rsid w:val="00284812"/>
    <w:rsid w:val="00284FA5"/>
    <w:rsid w:val="0028544B"/>
    <w:rsid w:val="00285FDE"/>
    <w:rsid w:val="00286036"/>
    <w:rsid w:val="00286222"/>
    <w:rsid w:val="002863A7"/>
    <w:rsid w:val="0028648D"/>
    <w:rsid w:val="002868BF"/>
    <w:rsid w:val="0028724A"/>
    <w:rsid w:val="00287508"/>
    <w:rsid w:val="00287CA7"/>
    <w:rsid w:val="00287F52"/>
    <w:rsid w:val="0029042A"/>
    <w:rsid w:val="002906E6"/>
    <w:rsid w:val="00290C60"/>
    <w:rsid w:val="00290CBB"/>
    <w:rsid w:val="00290D7A"/>
    <w:rsid w:val="002918D5"/>
    <w:rsid w:val="00291A4B"/>
    <w:rsid w:val="00291E8B"/>
    <w:rsid w:val="00291EDD"/>
    <w:rsid w:val="00291F39"/>
    <w:rsid w:val="00291F94"/>
    <w:rsid w:val="00292048"/>
    <w:rsid w:val="0029279F"/>
    <w:rsid w:val="00293562"/>
    <w:rsid w:val="002936DE"/>
    <w:rsid w:val="002939F0"/>
    <w:rsid w:val="002940D6"/>
    <w:rsid w:val="00294545"/>
    <w:rsid w:val="00294889"/>
    <w:rsid w:val="00294BBD"/>
    <w:rsid w:val="00295181"/>
    <w:rsid w:val="0029529A"/>
    <w:rsid w:val="00295641"/>
    <w:rsid w:val="00295A99"/>
    <w:rsid w:val="00296249"/>
    <w:rsid w:val="002964B0"/>
    <w:rsid w:val="002965C5"/>
    <w:rsid w:val="002965DF"/>
    <w:rsid w:val="00296DCF"/>
    <w:rsid w:val="002975BA"/>
    <w:rsid w:val="002978F0"/>
    <w:rsid w:val="00297A54"/>
    <w:rsid w:val="00297ED0"/>
    <w:rsid w:val="002A01CB"/>
    <w:rsid w:val="002A04A4"/>
    <w:rsid w:val="002A07FB"/>
    <w:rsid w:val="002A0B33"/>
    <w:rsid w:val="002A0F01"/>
    <w:rsid w:val="002A158B"/>
    <w:rsid w:val="002A1687"/>
    <w:rsid w:val="002A18A0"/>
    <w:rsid w:val="002A18E4"/>
    <w:rsid w:val="002A1C98"/>
    <w:rsid w:val="002A264C"/>
    <w:rsid w:val="002A2950"/>
    <w:rsid w:val="002A30C2"/>
    <w:rsid w:val="002A3483"/>
    <w:rsid w:val="002A3AF2"/>
    <w:rsid w:val="002A45F6"/>
    <w:rsid w:val="002A4E24"/>
    <w:rsid w:val="002A5297"/>
    <w:rsid w:val="002A5A73"/>
    <w:rsid w:val="002A5B24"/>
    <w:rsid w:val="002A6204"/>
    <w:rsid w:val="002A629C"/>
    <w:rsid w:val="002A643B"/>
    <w:rsid w:val="002A649C"/>
    <w:rsid w:val="002A6AAC"/>
    <w:rsid w:val="002A6B09"/>
    <w:rsid w:val="002A6DC4"/>
    <w:rsid w:val="002A6EC6"/>
    <w:rsid w:val="002A7173"/>
    <w:rsid w:val="002A71FE"/>
    <w:rsid w:val="002A7345"/>
    <w:rsid w:val="002B00A3"/>
    <w:rsid w:val="002B0236"/>
    <w:rsid w:val="002B025E"/>
    <w:rsid w:val="002B0374"/>
    <w:rsid w:val="002B06F6"/>
    <w:rsid w:val="002B0946"/>
    <w:rsid w:val="002B0AB5"/>
    <w:rsid w:val="002B0D0E"/>
    <w:rsid w:val="002B0D75"/>
    <w:rsid w:val="002B0E50"/>
    <w:rsid w:val="002B12C4"/>
    <w:rsid w:val="002B12F4"/>
    <w:rsid w:val="002B1FBB"/>
    <w:rsid w:val="002B21B1"/>
    <w:rsid w:val="002B2212"/>
    <w:rsid w:val="002B22C7"/>
    <w:rsid w:val="002B2422"/>
    <w:rsid w:val="002B24D2"/>
    <w:rsid w:val="002B270C"/>
    <w:rsid w:val="002B28E2"/>
    <w:rsid w:val="002B2951"/>
    <w:rsid w:val="002B2A67"/>
    <w:rsid w:val="002B2B70"/>
    <w:rsid w:val="002B2CC6"/>
    <w:rsid w:val="002B2D9B"/>
    <w:rsid w:val="002B2E82"/>
    <w:rsid w:val="002B3249"/>
    <w:rsid w:val="002B336A"/>
    <w:rsid w:val="002B3882"/>
    <w:rsid w:val="002B4975"/>
    <w:rsid w:val="002B50D3"/>
    <w:rsid w:val="002B5111"/>
    <w:rsid w:val="002B512A"/>
    <w:rsid w:val="002B521A"/>
    <w:rsid w:val="002B56D5"/>
    <w:rsid w:val="002B5888"/>
    <w:rsid w:val="002B5AAE"/>
    <w:rsid w:val="002B6C55"/>
    <w:rsid w:val="002B79DF"/>
    <w:rsid w:val="002C001B"/>
    <w:rsid w:val="002C065E"/>
    <w:rsid w:val="002C0705"/>
    <w:rsid w:val="002C07B9"/>
    <w:rsid w:val="002C0B45"/>
    <w:rsid w:val="002C1997"/>
    <w:rsid w:val="002C1B0D"/>
    <w:rsid w:val="002C207D"/>
    <w:rsid w:val="002C24C8"/>
    <w:rsid w:val="002C3123"/>
    <w:rsid w:val="002C3A5A"/>
    <w:rsid w:val="002C3D66"/>
    <w:rsid w:val="002C4092"/>
    <w:rsid w:val="002C4620"/>
    <w:rsid w:val="002C473E"/>
    <w:rsid w:val="002C4771"/>
    <w:rsid w:val="002C4ACB"/>
    <w:rsid w:val="002C4E32"/>
    <w:rsid w:val="002C4F3E"/>
    <w:rsid w:val="002C51A6"/>
    <w:rsid w:val="002C56B0"/>
    <w:rsid w:val="002C5989"/>
    <w:rsid w:val="002C5A92"/>
    <w:rsid w:val="002C6015"/>
    <w:rsid w:val="002C716D"/>
    <w:rsid w:val="002C792E"/>
    <w:rsid w:val="002C7FBC"/>
    <w:rsid w:val="002D0039"/>
    <w:rsid w:val="002D028A"/>
    <w:rsid w:val="002D0359"/>
    <w:rsid w:val="002D03C3"/>
    <w:rsid w:val="002D0465"/>
    <w:rsid w:val="002D05BE"/>
    <w:rsid w:val="002D07A2"/>
    <w:rsid w:val="002D0D8F"/>
    <w:rsid w:val="002D11C4"/>
    <w:rsid w:val="002D129C"/>
    <w:rsid w:val="002D164F"/>
    <w:rsid w:val="002D235B"/>
    <w:rsid w:val="002D2788"/>
    <w:rsid w:val="002D283B"/>
    <w:rsid w:val="002D2A0A"/>
    <w:rsid w:val="002D2B00"/>
    <w:rsid w:val="002D3066"/>
    <w:rsid w:val="002D3BED"/>
    <w:rsid w:val="002D3D0F"/>
    <w:rsid w:val="002D4433"/>
    <w:rsid w:val="002D4CB3"/>
    <w:rsid w:val="002D4E04"/>
    <w:rsid w:val="002D4F40"/>
    <w:rsid w:val="002D5269"/>
    <w:rsid w:val="002D54A5"/>
    <w:rsid w:val="002D5EBC"/>
    <w:rsid w:val="002D5ED8"/>
    <w:rsid w:val="002D6310"/>
    <w:rsid w:val="002D666E"/>
    <w:rsid w:val="002D6C2C"/>
    <w:rsid w:val="002D718C"/>
    <w:rsid w:val="002D71D0"/>
    <w:rsid w:val="002D7962"/>
    <w:rsid w:val="002D7DA0"/>
    <w:rsid w:val="002E010C"/>
    <w:rsid w:val="002E051F"/>
    <w:rsid w:val="002E060D"/>
    <w:rsid w:val="002E0718"/>
    <w:rsid w:val="002E077C"/>
    <w:rsid w:val="002E0B3C"/>
    <w:rsid w:val="002E1285"/>
    <w:rsid w:val="002E1883"/>
    <w:rsid w:val="002E199E"/>
    <w:rsid w:val="002E1C88"/>
    <w:rsid w:val="002E20E6"/>
    <w:rsid w:val="002E2444"/>
    <w:rsid w:val="002E2DE1"/>
    <w:rsid w:val="002E2E14"/>
    <w:rsid w:val="002E315F"/>
    <w:rsid w:val="002E31A0"/>
    <w:rsid w:val="002E39F6"/>
    <w:rsid w:val="002E4119"/>
    <w:rsid w:val="002E446C"/>
    <w:rsid w:val="002E465C"/>
    <w:rsid w:val="002E4735"/>
    <w:rsid w:val="002E4D36"/>
    <w:rsid w:val="002E4D3D"/>
    <w:rsid w:val="002E4E77"/>
    <w:rsid w:val="002E4FEE"/>
    <w:rsid w:val="002E5132"/>
    <w:rsid w:val="002E5576"/>
    <w:rsid w:val="002E568A"/>
    <w:rsid w:val="002E5742"/>
    <w:rsid w:val="002E5A20"/>
    <w:rsid w:val="002E5AC5"/>
    <w:rsid w:val="002E6D48"/>
    <w:rsid w:val="002E6E9B"/>
    <w:rsid w:val="002E6FB8"/>
    <w:rsid w:val="002E73FB"/>
    <w:rsid w:val="002E757D"/>
    <w:rsid w:val="002E77F4"/>
    <w:rsid w:val="002E7B62"/>
    <w:rsid w:val="002E7D04"/>
    <w:rsid w:val="002E7D46"/>
    <w:rsid w:val="002F004C"/>
    <w:rsid w:val="002F0A49"/>
    <w:rsid w:val="002F0AC7"/>
    <w:rsid w:val="002F1275"/>
    <w:rsid w:val="002F1396"/>
    <w:rsid w:val="002F1602"/>
    <w:rsid w:val="002F1742"/>
    <w:rsid w:val="002F1D6E"/>
    <w:rsid w:val="002F271E"/>
    <w:rsid w:val="002F27FE"/>
    <w:rsid w:val="002F2837"/>
    <w:rsid w:val="002F28A7"/>
    <w:rsid w:val="002F3952"/>
    <w:rsid w:val="002F39A3"/>
    <w:rsid w:val="002F406A"/>
    <w:rsid w:val="002F4544"/>
    <w:rsid w:val="002F46A5"/>
    <w:rsid w:val="002F49DE"/>
    <w:rsid w:val="002F4C87"/>
    <w:rsid w:val="002F5249"/>
    <w:rsid w:val="002F5A20"/>
    <w:rsid w:val="002F629B"/>
    <w:rsid w:val="002F6550"/>
    <w:rsid w:val="002F65C6"/>
    <w:rsid w:val="002F6658"/>
    <w:rsid w:val="002F66E9"/>
    <w:rsid w:val="002F67DC"/>
    <w:rsid w:val="002F6AD9"/>
    <w:rsid w:val="002F6C56"/>
    <w:rsid w:val="002F70A3"/>
    <w:rsid w:val="002F77A3"/>
    <w:rsid w:val="002F78EA"/>
    <w:rsid w:val="002F7DE5"/>
    <w:rsid w:val="002F7F30"/>
    <w:rsid w:val="002F7F34"/>
    <w:rsid w:val="002F7F4A"/>
    <w:rsid w:val="003001E5"/>
    <w:rsid w:val="00300B2B"/>
    <w:rsid w:val="00300EA9"/>
    <w:rsid w:val="00301020"/>
    <w:rsid w:val="00301274"/>
    <w:rsid w:val="00301560"/>
    <w:rsid w:val="00301670"/>
    <w:rsid w:val="00301DC7"/>
    <w:rsid w:val="00301EE2"/>
    <w:rsid w:val="0030202F"/>
    <w:rsid w:val="003022B5"/>
    <w:rsid w:val="00302435"/>
    <w:rsid w:val="00302446"/>
    <w:rsid w:val="00302831"/>
    <w:rsid w:val="0030297A"/>
    <w:rsid w:val="00302B18"/>
    <w:rsid w:val="00302D6F"/>
    <w:rsid w:val="00303037"/>
    <w:rsid w:val="0030305C"/>
    <w:rsid w:val="003036E7"/>
    <w:rsid w:val="00303B2D"/>
    <w:rsid w:val="00304B0A"/>
    <w:rsid w:val="00304FBB"/>
    <w:rsid w:val="0030573E"/>
    <w:rsid w:val="003059FF"/>
    <w:rsid w:val="00305E5E"/>
    <w:rsid w:val="00305EB4"/>
    <w:rsid w:val="0030604E"/>
    <w:rsid w:val="003060E6"/>
    <w:rsid w:val="00306292"/>
    <w:rsid w:val="00306357"/>
    <w:rsid w:val="003069D5"/>
    <w:rsid w:val="00306D87"/>
    <w:rsid w:val="003075E9"/>
    <w:rsid w:val="00307800"/>
    <w:rsid w:val="003103E6"/>
    <w:rsid w:val="003104D7"/>
    <w:rsid w:val="003107CF"/>
    <w:rsid w:val="003108EE"/>
    <w:rsid w:val="00310F59"/>
    <w:rsid w:val="0031113A"/>
    <w:rsid w:val="00311556"/>
    <w:rsid w:val="0031167F"/>
    <w:rsid w:val="00311880"/>
    <w:rsid w:val="00311A8F"/>
    <w:rsid w:val="00311F6A"/>
    <w:rsid w:val="003121F6"/>
    <w:rsid w:val="00312203"/>
    <w:rsid w:val="0031229F"/>
    <w:rsid w:val="00312873"/>
    <w:rsid w:val="00312925"/>
    <w:rsid w:val="003129C1"/>
    <w:rsid w:val="00312DF6"/>
    <w:rsid w:val="00313172"/>
    <w:rsid w:val="003132D1"/>
    <w:rsid w:val="0031339E"/>
    <w:rsid w:val="003133B8"/>
    <w:rsid w:val="00313598"/>
    <w:rsid w:val="0031364D"/>
    <w:rsid w:val="00314453"/>
    <w:rsid w:val="003144ED"/>
    <w:rsid w:val="00314A22"/>
    <w:rsid w:val="00314C61"/>
    <w:rsid w:val="003150C0"/>
    <w:rsid w:val="0031510F"/>
    <w:rsid w:val="00315490"/>
    <w:rsid w:val="003156B1"/>
    <w:rsid w:val="00315B07"/>
    <w:rsid w:val="00315D18"/>
    <w:rsid w:val="00315D88"/>
    <w:rsid w:val="0031600F"/>
    <w:rsid w:val="00316A38"/>
    <w:rsid w:val="00316BCA"/>
    <w:rsid w:val="00316CFC"/>
    <w:rsid w:val="00316EEF"/>
    <w:rsid w:val="00316FB5"/>
    <w:rsid w:val="00317596"/>
    <w:rsid w:val="003175C3"/>
    <w:rsid w:val="0031793F"/>
    <w:rsid w:val="0031794F"/>
    <w:rsid w:val="00317CB1"/>
    <w:rsid w:val="00317D8F"/>
    <w:rsid w:val="0032069A"/>
    <w:rsid w:val="003208D8"/>
    <w:rsid w:val="00320C0F"/>
    <w:rsid w:val="00320C29"/>
    <w:rsid w:val="0032157D"/>
    <w:rsid w:val="003219D3"/>
    <w:rsid w:val="00321A1C"/>
    <w:rsid w:val="00321B44"/>
    <w:rsid w:val="00321D8C"/>
    <w:rsid w:val="00321DD4"/>
    <w:rsid w:val="003223FC"/>
    <w:rsid w:val="00322523"/>
    <w:rsid w:val="0032271A"/>
    <w:rsid w:val="00322BB5"/>
    <w:rsid w:val="003235CB"/>
    <w:rsid w:val="00323F36"/>
    <w:rsid w:val="0032410C"/>
    <w:rsid w:val="00324679"/>
    <w:rsid w:val="00324795"/>
    <w:rsid w:val="00324923"/>
    <w:rsid w:val="00324B7A"/>
    <w:rsid w:val="003252CD"/>
    <w:rsid w:val="00325B0C"/>
    <w:rsid w:val="003265A8"/>
    <w:rsid w:val="00326804"/>
    <w:rsid w:val="003268B8"/>
    <w:rsid w:val="003268F4"/>
    <w:rsid w:val="00326D40"/>
    <w:rsid w:val="00327789"/>
    <w:rsid w:val="00327F79"/>
    <w:rsid w:val="003301C2"/>
    <w:rsid w:val="003304CE"/>
    <w:rsid w:val="00330763"/>
    <w:rsid w:val="00330A71"/>
    <w:rsid w:val="00330BA2"/>
    <w:rsid w:val="00330D37"/>
    <w:rsid w:val="00330F6D"/>
    <w:rsid w:val="00331197"/>
    <w:rsid w:val="003312EF"/>
    <w:rsid w:val="00331336"/>
    <w:rsid w:val="0033148A"/>
    <w:rsid w:val="0033153C"/>
    <w:rsid w:val="003319C1"/>
    <w:rsid w:val="0033205D"/>
    <w:rsid w:val="00332066"/>
    <w:rsid w:val="0033223F"/>
    <w:rsid w:val="003326A1"/>
    <w:rsid w:val="00332921"/>
    <w:rsid w:val="00333097"/>
    <w:rsid w:val="003335F0"/>
    <w:rsid w:val="00333926"/>
    <w:rsid w:val="00333DE4"/>
    <w:rsid w:val="00334401"/>
    <w:rsid w:val="003344B0"/>
    <w:rsid w:val="00334D00"/>
    <w:rsid w:val="00335539"/>
    <w:rsid w:val="00336AF3"/>
    <w:rsid w:val="00336E1C"/>
    <w:rsid w:val="00336F88"/>
    <w:rsid w:val="003378E6"/>
    <w:rsid w:val="00337CCA"/>
    <w:rsid w:val="00337E31"/>
    <w:rsid w:val="00340150"/>
    <w:rsid w:val="0034065A"/>
    <w:rsid w:val="00340C74"/>
    <w:rsid w:val="00340D88"/>
    <w:rsid w:val="00340DC9"/>
    <w:rsid w:val="00341215"/>
    <w:rsid w:val="003413E9"/>
    <w:rsid w:val="003418E5"/>
    <w:rsid w:val="00342640"/>
    <w:rsid w:val="00342ED0"/>
    <w:rsid w:val="00343481"/>
    <w:rsid w:val="003434B3"/>
    <w:rsid w:val="0034357B"/>
    <w:rsid w:val="003436BE"/>
    <w:rsid w:val="00343B11"/>
    <w:rsid w:val="00343BF8"/>
    <w:rsid w:val="00343DD3"/>
    <w:rsid w:val="00343DFE"/>
    <w:rsid w:val="00344306"/>
    <w:rsid w:val="00344617"/>
    <w:rsid w:val="00344EF7"/>
    <w:rsid w:val="0034513D"/>
    <w:rsid w:val="0034677C"/>
    <w:rsid w:val="003467D3"/>
    <w:rsid w:val="003468EB"/>
    <w:rsid w:val="003469B5"/>
    <w:rsid w:val="00346B70"/>
    <w:rsid w:val="00347078"/>
    <w:rsid w:val="003472B7"/>
    <w:rsid w:val="00347564"/>
    <w:rsid w:val="003477B2"/>
    <w:rsid w:val="003477EB"/>
    <w:rsid w:val="003478C2"/>
    <w:rsid w:val="0035048A"/>
    <w:rsid w:val="00350764"/>
    <w:rsid w:val="00350802"/>
    <w:rsid w:val="00350955"/>
    <w:rsid w:val="003510F3"/>
    <w:rsid w:val="0035112A"/>
    <w:rsid w:val="00351458"/>
    <w:rsid w:val="00351AEA"/>
    <w:rsid w:val="00351BDA"/>
    <w:rsid w:val="00351DC8"/>
    <w:rsid w:val="00352389"/>
    <w:rsid w:val="003525BD"/>
    <w:rsid w:val="003527E2"/>
    <w:rsid w:val="00352999"/>
    <w:rsid w:val="00352AAF"/>
    <w:rsid w:val="00352D25"/>
    <w:rsid w:val="00352E49"/>
    <w:rsid w:val="00352EE0"/>
    <w:rsid w:val="00352F36"/>
    <w:rsid w:val="00352F3C"/>
    <w:rsid w:val="0035354C"/>
    <w:rsid w:val="00353835"/>
    <w:rsid w:val="003543A1"/>
    <w:rsid w:val="00354A09"/>
    <w:rsid w:val="00354C03"/>
    <w:rsid w:val="00354D9F"/>
    <w:rsid w:val="003551AC"/>
    <w:rsid w:val="00355740"/>
    <w:rsid w:val="00355CC0"/>
    <w:rsid w:val="00355DA5"/>
    <w:rsid w:val="003563C2"/>
    <w:rsid w:val="003565DD"/>
    <w:rsid w:val="00356850"/>
    <w:rsid w:val="00356CFF"/>
    <w:rsid w:val="00356DAE"/>
    <w:rsid w:val="003573C9"/>
    <w:rsid w:val="00357630"/>
    <w:rsid w:val="003577D6"/>
    <w:rsid w:val="00357D5B"/>
    <w:rsid w:val="00360468"/>
    <w:rsid w:val="003604B1"/>
    <w:rsid w:val="00360B06"/>
    <w:rsid w:val="003611E0"/>
    <w:rsid w:val="0036123E"/>
    <w:rsid w:val="003614B0"/>
    <w:rsid w:val="0036156F"/>
    <w:rsid w:val="00362478"/>
    <w:rsid w:val="003628AD"/>
    <w:rsid w:val="00362988"/>
    <w:rsid w:val="003629D7"/>
    <w:rsid w:val="00362B16"/>
    <w:rsid w:val="00362D9D"/>
    <w:rsid w:val="00362F86"/>
    <w:rsid w:val="0036388B"/>
    <w:rsid w:val="00363A4F"/>
    <w:rsid w:val="00364425"/>
    <w:rsid w:val="00364472"/>
    <w:rsid w:val="0036449F"/>
    <w:rsid w:val="0036504F"/>
    <w:rsid w:val="0036522A"/>
    <w:rsid w:val="0036528D"/>
    <w:rsid w:val="00365836"/>
    <w:rsid w:val="00365A93"/>
    <w:rsid w:val="00365C11"/>
    <w:rsid w:val="0036620C"/>
    <w:rsid w:val="0036635A"/>
    <w:rsid w:val="00366661"/>
    <w:rsid w:val="00366A80"/>
    <w:rsid w:val="00366C32"/>
    <w:rsid w:val="00366C38"/>
    <w:rsid w:val="00366DA0"/>
    <w:rsid w:val="00367621"/>
    <w:rsid w:val="00367A7C"/>
    <w:rsid w:val="00367E97"/>
    <w:rsid w:val="00370116"/>
    <w:rsid w:val="003707EF"/>
    <w:rsid w:val="00370BBB"/>
    <w:rsid w:val="00370C02"/>
    <w:rsid w:val="00370C21"/>
    <w:rsid w:val="00370C7E"/>
    <w:rsid w:val="003714BF"/>
    <w:rsid w:val="00371518"/>
    <w:rsid w:val="00371549"/>
    <w:rsid w:val="0037162D"/>
    <w:rsid w:val="00371770"/>
    <w:rsid w:val="00371EB5"/>
    <w:rsid w:val="00372189"/>
    <w:rsid w:val="003722A0"/>
    <w:rsid w:val="00372BFA"/>
    <w:rsid w:val="00372D4A"/>
    <w:rsid w:val="00372DB4"/>
    <w:rsid w:val="00372F8E"/>
    <w:rsid w:val="00373087"/>
    <w:rsid w:val="0037375A"/>
    <w:rsid w:val="003738C8"/>
    <w:rsid w:val="00373DCE"/>
    <w:rsid w:val="00374548"/>
    <w:rsid w:val="00374903"/>
    <w:rsid w:val="00375108"/>
    <w:rsid w:val="00375201"/>
    <w:rsid w:val="00375D85"/>
    <w:rsid w:val="00375E2A"/>
    <w:rsid w:val="0037665A"/>
    <w:rsid w:val="00376665"/>
    <w:rsid w:val="0037669C"/>
    <w:rsid w:val="00376783"/>
    <w:rsid w:val="003768DC"/>
    <w:rsid w:val="0037700A"/>
    <w:rsid w:val="00377BB7"/>
    <w:rsid w:val="00377F0B"/>
    <w:rsid w:val="00377F1E"/>
    <w:rsid w:val="003803A1"/>
    <w:rsid w:val="00380524"/>
    <w:rsid w:val="003806BA"/>
    <w:rsid w:val="00380DD5"/>
    <w:rsid w:val="00380F20"/>
    <w:rsid w:val="003810FE"/>
    <w:rsid w:val="0038125C"/>
    <w:rsid w:val="003818CA"/>
    <w:rsid w:val="00382174"/>
    <w:rsid w:val="0038252A"/>
    <w:rsid w:val="003826D3"/>
    <w:rsid w:val="003829A8"/>
    <w:rsid w:val="00382CEE"/>
    <w:rsid w:val="00383034"/>
    <w:rsid w:val="0038366F"/>
    <w:rsid w:val="00383989"/>
    <w:rsid w:val="00383BF7"/>
    <w:rsid w:val="0038449A"/>
    <w:rsid w:val="00384808"/>
    <w:rsid w:val="003848FB"/>
    <w:rsid w:val="00384A79"/>
    <w:rsid w:val="00384A87"/>
    <w:rsid w:val="00385048"/>
    <w:rsid w:val="00385758"/>
    <w:rsid w:val="00385FB7"/>
    <w:rsid w:val="00386615"/>
    <w:rsid w:val="0038758E"/>
    <w:rsid w:val="003876AF"/>
    <w:rsid w:val="00387D5A"/>
    <w:rsid w:val="003907CE"/>
    <w:rsid w:val="0039093B"/>
    <w:rsid w:val="00390AE8"/>
    <w:rsid w:val="003914DC"/>
    <w:rsid w:val="00391792"/>
    <w:rsid w:val="00391ADB"/>
    <w:rsid w:val="00391E08"/>
    <w:rsid w:val="00391FBF"/>
    <w:rsid w:val="0039211C"/>
    <w:rsid w:val="003921C7"/>
    <w:rsid w:val="003923F4"/>
    <w:rsid w:val="003927A5"/>
    <w:rsid w:val="003927EA"/>
    <w:rsid w:val="00392891"/>
    <w:rsid w:val="00393618"/>
    <w:rsid w:val="00393992"/>
    <w:rsid w:val="00393C5F"/>
    <w:rsid w:val="00393EEC"/>
    <w:rsid w:val="003940DF"/>
    <w:rsid w:val="0039486B"/>
    <w:rsid w:val="003948F1"/>
    <w:rsid w:val="00394A52"/>
    <w:rsid w:val="00394E9A"/>
    <w:rsid w:val="00395164"/>
    <w:rsid w:val="00395AAA"/>
    <w:rsid w:val="0039627A"/>
    <w:rsid w:val="003963B6"/>
    <w:rsid w:val="003963E9"/>
    <w:rsid w:val="003965D3"/>
    <w:rsid w:val="00396B3D"/>
    <w:rsid w:val="00397423"/>
    <w:rsid w:val="00397653"/>
    <w:rsid w:val="0039780D"/>
    <w:rsid w:val="003979E8"/>
    <w:rsid w:val="00397AEC"/>
    <w:rsid w:val="003A0607"/>
    <w:rsid w:val="003A08E5"/>
    <w:rsid w:val="003A1956"/>
    <w:rsid w:val="003A1F2E"/>
    <w:rsid w:val="003A1F4D"/>
    <w:rsid w:val="003A1FAE"/>
    <w:rsid w:val="003A2A86"/>
    <w:rsid w:val="003A341D"/>
    <w:rsid w:val="003A3887"/>
    <w:rsid w:val="003A3AFB"/>
    <w:rsid w:val="003A3C9C"/>
    <w:rsid w:val="003A3FD7"/>
    <w:rsid w:val="003A4C6E"/>
    <w:rsid w:val="003A54B1"/>
    <w:rsid w:val="003A5505"/>
    <w:rsid w:val="003A5B80"/>
    <w:rsid w:val="003A5D91"/>
    <w:rsid w:val="003A6A9C"/>
    <w:rsid w:val="003A6B8E"/>
    <w:rsid w:val="003A6C18"/>
    <w:rsid w:val="003A7C56"/>
    <w:rsid w:val="003A7DBE"/>
    <w:rsid w:val="003B03C9"/>
    <w:rsid w:val="003B04DE"/>
    <w:rsid w:val="003B0A76"/>
    <w:rsid w:val="003B0BB8"/>
    <w:rsid w:val="003B0C33"/>
    <w:rsid w:val="003B0D8F"/>
    <w:rsid w:val="003B0EA4"/>
    <w:rsid w:val="003B0FC8"/>
    <w:rsid w:val="003B1284"/>
    <w:rsid w:val="003B1759"/>
    <w:rsid w:val="003B178E"/>
    <w:rsid w:val="003B1B69"/>
    <w:rsid w:val="003B1EB3"/>
    <w:rsid w:val="003B22FE"/>
    <w:rsid w:val="003B2480"/>
    <w:rsid w:val="003B2AA1"/>
    <w:rsid w:val="003B2C63"/>
    <w:rsid w:val="003B2DDE"/>
    <w:rsid w:val="003B2F1F"/>
    <w:rsid w:val="003B31B4"/>
    <w:rsid w:val="003B34AF"/>
    <w:rsid w:val="003B3A9A"/>
    <w:rsid w:val="003B4052"/>
    <w:rsid w:val="003B437B"/>
    <w:rsid w:val="003B4AD0"/>
    <w:rsid w:val="003B5183"/>
    <w:rsid w:val="003B52DF"/>
    <w:rsid w:val="003B535D"/>
    <w:rsid w:val="003B536B"/>
    <w:rsid w:val="003B5489"/>
    <w:rsid w:val="003B550E"/>
    <w:rsid w:val="003B5867"/>
    <w:rsid w:val="003B5B3C"/>
    <w:rsid w:val="003B645E"/>
    <w:rsid w:val="003B6E79"/>
    <w:rsid w:val="003B6F0F"/>
    <w:rsid w:val="003B6FC1"/>
    <w:rsid w:val="003B76F3"/>
    <w:rsid w:val="003B7AD1"/>
    <w:rsid w:val="003B7F63"/>
    <w:rsid w:val="003B7FA6"/>
    <w:rsid w:val="003C094D"/>
    <w:rsid w:val="003C09B6"/>
    <w:rsid w:val="003C1157"/>
    <w:rsid w:val="003C1864"/>
    <w:rsid w:val="003C1E88"/>
    <w:rsid w:val="003C2376"/>
    <w:rsid w:val="003C2378"/>
    <w:rsid w:val="003C280F"/>
    <w:rsid w:val="003C293C"/>
    <w:rsid w:val="003C2E18"/>
    <w:rsid w:val="003C2E93"/>
    <w:rsid w:val="003C38D4"/>
    <w:rsid w:val="003C3930"/>
    <w:rsid w:val="003C3BE7"/>
    <w:rsid w:val="003C4110"/>
    <w:rsid w:val="003C4408"/>
    <w:rsid w:val="003C4D13"/>
    <w:rsid w:val="003C519E"/>
    <w:rsid w:val="003C5528"/>
    <w:rsid w:val="003C55E4"/>
    <w:rsid w:val="003C57C0"/>
    <w:rsid w:val="003C588C"/>
    <w:rsid w:val="003C5F8D"/>
    <w:rsid w:val="003C6A94"/>
    <w:rsid w:val="003C6E0B"/>
    <w:rsid w:val="003C7224"/>
    <w:rsid w:val="003C73B6"/>
    <w:rsid w:val="003C7693"/>
    <w:rsid w:val="003D0585"/>
    <w:rsid w:val="003D0970"/>
    <w:rsid w:val="003D0A09"/>
    <w:rsid w:val="003D0B0A"/>
    <w:rsid w:val="003D16F6"/>
    <w:rsid w:val="003D188D"/>
    <w:rsid w:val="003D18BA"/>
    <w:rsid w:val="003D1A27"/>
    <w:rsid w:val="003D1C26"/>
    <w:rsid w:val="003D1F3E"/>
    <w:rsid w:val="003D2633"/>
    <w:rsid w:val="003D26D2"/>
    <w:rsid w:val="003D2E26"/>
    <w:rsid w:val="003D34C0"/>
    <w:rsid w:val="003D3648"/>
    <w:rsid w:val="003D397E"/>
    <w:rsid w:val="003D3B4E"/>
    <w:rsid w:val="003D5200"/>
    <w:rsid w:val="003D579B"/>
    <w:rsid w:val="003D5868"/>
    <w:rsid w:val="003D59D1"/>
    <w:rsid w:val="003D5A65"/>
    <w:rsid w:val="003D5B58"/>
    <w:rsid w:val="003D5BA0"/>
    <w:rsid w:val="003D622E"/>
    <w:rsid w:val="003D69BE"/>
    <w:rsid w:val="003D7409"/>
    <w:rsid w:val="003D7469"/>
    <w:rsid w:val="003D7CAA"/>
    <w:rsid w:val="003D7E44"/>
    <w:rsid w:val="003D7F99"/>
    <w:rsid w:val="003E02A0"/>
    <w:rsid w:val="003E0308"/>
    <w:rsid w:val="003E0833"/>
    <w:rsid w:val="003E0C86"/>
    <w:rsid w:val="003E10EE"/>
    <w:rsid w:val="003E1175"/>
    <w:rsid w:val="003E1459"/>
    <w:rsid w:val="003E176F"/>
    <w:rsid w:val="003E1E5F"/>
    <w:rsid w:val="003E1F3A"/>
    <w:rsid w:val="003E20D0"/>
    <w:rsid w:val="003E21CE"/>
    <w:rsid w:val="003E2554"/>
    <w:rsid w:val="003E297C"/>
    <w:rsid w:val="003E3686"/>
    <w:rsid w:val="003E3EDE"/>
    <w:rsid w:val="003E46AF"/>
    <w:rsid w:val="003E4AC5"/>
    <w:rsid w:val="003E4BA1"/>
    <w:rsid w:val="003E528C"/>
    <w:rsid w:val="003E5766"/>
    <w:rsid w:val="003E57A6"/>
    <w:rsid w:val="003E6258"/>
    <w:rsid w:val="003E663C"/>
    <w:rsid w:val="003E696D"/>
    <w:rsid w:val="003E6B2F"/>
    <w:rsid w:val="003E6C4F"/>
    <w:rsid w:val="003E785E"/>
    <w:rsid w:val="003F00CC"/>
    <w:rsid w:val="003F0187"/>
    <w:rsid w:val="003F069D"/>
    <w:rsid w:val="003F07AE"/>
    <w:rsid w:val="003F0F13"/>
    <w:rsid w:val="003F129A"/>
    <w:rsid w:val="003F1470"/>
    <w:rsid w:val="003F168F"/>
    <w:rsid w:val="003F18A5"/>
    <w:rsid w:val="003F18A9"/>
    <w:rsid w:val="003F31C9"/>
    <w:rsid w:val="003F3315"/>
    <w:rsid w:val="003F33A5"/>
    <w:rsid w:val="003F3446"/>
    <w:rsid w:val="003F35ED"/>
    <w:rsid w:val="003F36D3"/>
    <w:rsid w:val="003F37D5"/>
    <w:rsid w:val="003F385C"/>
    <w:rsid w:val="003F3B46"/>
    <w:rsid w:val="003F3C5E"/>
    <w:rsid w:val="003F3FB4"/>
    <w:rsid w:val="003F40AC"/>
    <w:rsid w:val="003F44F2"/>
    <w:rsid w:val="003F45E1"/>
    <w:rsid w:val="003F45F3"/>
    <w:rsid w:val="003F473B"/>
    <w:rsid w:val="003F4F81"/>
    <w:rsid w:val="003F4FA1"/>
    <w:rsid w:val="003F59D4"/>
    <w:rsid w:val="003F6407"/>
    <w:rsid w:val="003F65D1"/>
    <w:rsid w:val="003F70B4"/>
    <w:rsid w:val="003F7143"/>
    <w:rsid w:val="003F76AF"/>
    <w:rsid w:val="003F7AB1"/>
    <w:rsid w:val="0040020E"/>
    <w:rsid w:val="004003F0"/>
    <w:rsid w:val="0040085F"/>
    <w:rsid w:val="00400984"/>
    <w:rsid w:val="004012A4"/>
    <w:rsid w:val="0040136A"/>
    <w:rsid w:val="0040156C"/>
    <w:rsid w:val="00401602"/>
    <w:rsid w:val="004017FB"/>
    <w:rsid w:val="0040199C"/>
    <w:rsid w:val="00401F86"/>
    <w:rsid w:val="0040267F"/>
    <w:rsid w:val="00402C7B"/>
    <w:rsid w:val="004036D1"/>
    <w:rsid w:val="004038C0"/>
    <w:rsid w:val="00404D4F"/>
    <w:rsid w:val="00404F12"/>
    <w:rsid w:val="004050AA"/>
    <w:rsid w:val="004052B3"/>
    <w:rsid w:val="00405AAA"/>
    <w:rsid w:val="00405D5E"/>
    <w:rsid w:val="00405DE2"/>
    <w:rsid w:val="004070DA"/>
    <w:rsid w:val="004073B6"/>
    <w:rsid w:val="00407C5C"/>
    <w:rsid w:val="00407E3D"/>
    <w:rsid w:val="00407ECB"/>
    <w:rsid w:val="00410070"/>
    <w:rsid w:val="004103D0"/>
    <w:rsid w:val="0041062E"/>
    <w:rsid w:val="0041076E"/>
    <w:rsid w:val="0041089F"/>
    <w:rsid w:val="00410A22"/>
    <w:rsid w:val="00410B5D"/>
    <w:rsid w:val="0041121B"/>
    <w:rsid w:val="004112CA"/>
    <w:rsid w:val="0041159C"/>
    <w:rsid w:val="004115AE"/>
    <w:rsid w:val="00411B10"/>
    <w:rsid w:val="00412563"/>
    <w:rsid w:val="00412877"/>
    <w:rsid w:val="00412A18"/>
    <w:rsid w:val="00412C66"/>
    <w:rsid w:val="00413524"/>
    <w:rsid w:val="004135AE"/>
    <w:rsid w:val="004135D0"/>
    <w:rsid w:val="00413668"/>
    <w:rsid w:val="00413E01"/>
    <w:rsid w:val="004142A8"/>
    <w:rsid w:val="00414A16"/>
    <w:rsid w:val="00414D56"/>
    <w:rsid w:val="00414E38"/>
    <w:rsid w:val="00415DB9"/>
    <w:rsid w:val="00415F7C"/>
    <w:rsid w:val="00416762"/>
    <w:rsid w:val="00416A70"/>
    <w:rsid w:val="00416B3D"/>
    <w:rsid w:val="00416E67"/>
    <w:rsid w:val="0041715A"/>
    <w:rsid w:val="0041786C"/>
    <w:rsid w:val="004202E7"/>
    <w:rsid w:val="0042030F"/>
    <w:rsid w:val="004205AC"/>
    <w:rsid w:val="004214C0"/>
    <w:rsid w:val="004216FE"/>
    <w:rsid w:val="00421D33"/>
    <w:rsid w:val="0042264F"/>
    <w:rsid w:val="00422ED3"/>
    <w:rsid w:val="004235B8"/>
    <w:rsid w:val="00423837"/>
    <w:rsid w:val="0042387B"/>
    <w:rsid w:val="004239E1"/>
    <w:rsid w:val="00423A2A"/>
    <w:rsid w:val="00423ADE"/>
    <w:rsid w:val="0042408A"/>
    <w:rsid w:val="00424329"/>
    <w:rsid w:val="00424E37"/>
    <w:rsid w:val="00425A64"/>
    <w:rsid w:val="00425BCC"/>
    <w:rsid w:val="00425EC3"/>
    <w:rsid w:val="00425F0B"/>
    <w:rsid w:val="004262C0"/>
    <w:rsid w:val="0042672A"/>
    <w:rsid w:val="004268EB"/>
    <w:rsid w:val="00426A6A"/>
    <w:rsid w:val="00426D77"/>
    <w:rsid w:val="0042763F"/>
    <w:rsid w:val="00427697"/>
    <w:rsid w:val="004278A8"/>
    <w:rsid w:val="00427A33"/>
    <w:rsid w:val="00427AB7"/>
    <w:rsid w:val="00427B6A"/>
    <w:rsid w:val="0043045A"/>
    <w:rsid w:val="00430A26"/>
    <w:rsid w:val="00431C4B"/>
    <w:rsid w:val="00432179"/>
    <w:rsid w:val="0043324D"/>
    <w:rsid w:val="00433A60"/>
    <w:rsid w:val="00433AB9"/>
    <w:rsid w:val="00433D06"/>
    <w:rsid w:val="00433F81"/>
    <w:rsid w:val="00434249"/>
    <w:rsid w:val="00434628"/>
    <w:rsid w:val="00434638"/>
    <w:rsid w:val="00434A76"/>
    <w:rsid w:val="0043529A"/>
    <w:rsid w:val="00435307"/>
    <w:rsid w:val="004362B5"/>
    <w:rsid w:val="004363CD"/>
    <w:rsid w:val="00436534"/>
    <w:rsid w:val="004365FD"/>
    <w:rsid w:val="00436856"/>
    <w:rsid w:val="00436AC8"/>
    <w:rsid w:val="00436DF4"/>
    <w:rsid w:val="00437518"/>
    <w:rsid w:val="004376CA"/>
    <w:rsid w:val="004378D9"/>
    <w:rsid w:val="00440B6C"/>
    <w:rsid w:val="00440B9E"/>
    <w:rsid w:val="00440E10"/>
    <w:rsid w:val="00440E81"/>
    <w:rsid w:val="00440EDC"/>
    <w:rsid w:val="00441337"/>
    <w:rsid w:val="004414DB"/>
    <w:rsid w:val="00441812"/>
    <w:rsid w:val="004421A7"/>
    <w:rsid w:val="0044237F"/>
    <w:rsid w:val="00442483"/>
    <w:rsid w:val="00442770"/>
    <w:rsid w:val="00442C6E"/>
    <w:rsid w:val="00442CDB"/>
    <w:rsid w:val="0044312A"/>
    <w:rsid w:val="004432ED"/>
    <w:rsid w:val="00443443"/>
    <w:rsid w:val="004434C3"/>
    <w:rsid w:val="004440EE"/>
    <w:rsid w:val="004444E7"/>
    <w:rsid w:val="004445C7"/>
    <w:rsid w:val="004445CF"/>
    <w:rsid w:val="004445D3"/>
    <w:rsid w:val="00444631"/>
    <w:rsid w:val="00445033"/>
    <w:rsid w:val="00445531"/>
    <w:rsid w:val="00445681"/>
    <w:rsid w:val="00445856"/>
    <w:rsid w:val="00445B80"/>
    <w:rsid w:val="00445C47"/>
    <w:rsid w:val="00445FE7"/>
    <w:rsid w:val="00446174"/>
    <w:rsid w:val="0044622D"/>
    <w:rsid w:val="0044652B"/>
    <w:rsid w:val="004466C5"/>
    <w:rsid w:val="00446C1B"/>
    <w:rsid w:val="00446C77"/>
    <w:rsid w:val="00446F0D"/>
    <w:rsid w:val="0044702E"/>
    <w:rsid w:val="0044722B"/>
    <w:rsid w:val="00447D5B"/>
    <w:rsid w:val="00447F2D"/>
    <w:rsid w:val="00450099"/>
    <w:rsid w:val="004504D4"/>
    <w:rsid w:val="004505F1"/>
    <w:rsid w:val="00450714"/>
    <w:rsid w:val="00450877"/>
    <w:rsid w:val="00450D66"/>
    <w:rsid w:val="0045113B"/>
    <w:rsid w:val="00451442"/>
    <w:rsid w:val="004517D3"/>
    <w:rsid w:val="00451C82"/>
    <w:rsid w:val="00452510"/>
    <w:rsid w:val="0045274A"/>
    <w:rsid w:val="00452ACC"/>
    <w:rsid w:val="00453A46"/>
    <w:rsid w:val="0045438E"/>
    <w:rsid w:val="00454685"/>
    <w:rsid w:val="00454788"/>
    <w:rsid w:val="00455280"/>
    <w:rsid w:val="004554D6"/>
    <w:rsid w:val="00455C1C"/>
    <w:rsid w:val="00455C6C"/>
    <w:rsid w:val="00455CB8"/>
    <w:rsid w:val="004562DB"/>
    <w:rsid w:val="00456C0F"/>
    <w:rsid w:val="00457167"/>
    <w:rsid w:val="004573FB"/>
    <w:rsid w:val="00457654"/>
    <w:rsid w:val="00460EF3"/>
    <w:rsid w:val="00460F96"/>
    <w:rsid w:val="00461095"/>
    <w:rsid w:val="004616EB"/>
    <w:rsid w:val="004618A5"/>
    <w:rsid w:val="004621C9"/>
    <w:rsid w:val="00462729"/>
    <w:rsid w:val="00462FB7"/>
    <w:rsid w:val="00463219"/>
    <w:rsid w:val="0046322E"/>
    <w:rsid w:val="0046333F"/>
    <w:rsid w:val="00463EF9"/>
    <w:rsid w:val="004642C0"/>
    <w:rsid w:val="00464400"/>
    <w:rsid w:val="004646EB"/>
    <w:rsid w:val="00464833"/>
    <w:rsid w:val="00464B24"/>
    <w:rsid w:val="00465098"/>
    <w:rsid w:val="00465134"/>
    <w:rsid w:val="0046578B"/>
    <w:rsid w:val="00465DD7"/>
    <w:rsid w:val="00465E01"/>
    <w:rsid w:val="00465FDE"/>
    <w:rsid w:val="004660F8"/>
    <w:rsid w:val="004662DC"/>
    <w:rsid w:val="004664F1"/>
    <w:rsid w:val="004665DD"/>
    <w:rsid w:val="00466741"/>
    <w:rsid w:val="00466956"/>
    <w:rsid w:val="00466DAD"/>
    <w:rsid w:val="00466EC0"/>
    <w:rsid w:val="0046707B"/>
    <w:rsid w:val="004671AB"/>
    <w:rsid w:val="00467C6B"/>
    <w:rsid w:val="00467E76"/>
    <w:rsid w:val="00467FCF"/>
    <w:rsid w:val="004700D7"/>
    <w:rsid w:val="0047026A"/>
    <w:rsid w:val="004706A5"/>
    <w:rsid w:val="00471471"/>
    <w:rsid w:val="00471750"/>
    <w:rsid w:val="00471B0A"/>
    <w:rsid w:val="00471CF3"/>
    <w:rsid w:val="0047218A"/>
    <w:rsid w:val="004722D4"/>
    <w:rsid w:val="0047255E"/>
    <w:rsid w:val="004726BB"/>
    <w:rsid w:val="0047271B"/>
    <w:rsid w:val="00472852"/>
    <w:rsid w:val="00472D97"/>
    <w:rsid w:val="00472FA0"/>
    <w:rsid w:val="00472FAA"/>
    <w:rsid w:val="00473026"/>
    <w:rsid w:val="004739BF"/>
    <w:rsid w:val="004740D8"/>
    <w:rsid w:val="004746B5"/>
    <w:rsid w:val="004748BE"/>
    <w:rsid w:val="004748DA"/>
    <w:rsid w:val="00474B34"/>
    <w:rsid w:val="00474BCF"/>
    <w:rsid w:val="00474C3B"/>
    <w:rsid w:val="00474D83"/>
    <w:rsid w:val="004753AB"/>
    <w:rsid w:val="004755A7"/>
    <w:rsid w:val="004755DC"/>
    <w:rsid w:val="00475A90"/>
    <w:rsid w:val="00476187"/>
    <w:rsid w:val="0047686B"/>
    <w:rsid w:val="00476903"/>
    <w:rsid w:val="00476983"/>
    <w:rsid w:val="0047781B"/>
    <w:rsid w:val="00477D09"/>
    <w:rsid w:val="00477D6E"/>
    <w:rsid w:val="00477F08"/>
    <w:rsid w:val="004801B1"/>
    <w:rsid w:val="00480AF7"/>
    <w:rsid w:val="00480D56"/>
    <w:rsid w:val="0048121F"/>
    <w:rsid w:val="00481452"/>
    <w:rsid w:val="0048178D"/>
    <w:rsid w:val="00481947"/>
    <w:rsid w:val="00481B00"/>
    <w:rsid w:val="00481E7A"/>
    <w:rsid w:val="00481F3B"/>
    <w:rsid w:val="004827AE"/>
    <w:rsid w:val="004828C9"/>
    <w:rsid w:val="00482F0C"/>
    <w:rsid w:val="004832C5"/>
    <w:rsid w:val="004832E5"/>
    <w:rsid w:val="004838EC"/>
    <w:rsid w:val="00483D71"/>
    <w:rsid w:val="004840E9"/>
    <w:rsid w:val="004842C8"/>
    <w:rsid w:val="00484310"/>
    <w:rsid w:val="00484377"/>
    <w:rsid w:val="0048443B"/>
    <w:rsid w:val="00484CAF"/>
    <w:rsid w:val="00484FA7"/>
    <w:rsid w:val="00485970"/>
    <w:rsid w:val="00485B66"/>
    <w:rsid w:val="00485BE6"/>
    <w:rsid w:val="004864EF"/>
    <w:rsid w:val="00486FBD"/>
    <w:rsid w:val="00487131"/>
    <w:rsid w:val="0048743C"/>
    <w:rsid w:val="0048755A"/>
    <w:rsid w:val="00487C12"/>
    <w:rsid w:val="00487CA0"/>
    <w:rsid w:val="00487D60"/>
    <w:rsid w:val="00487EBA"/>
    <w:rsid w:val="004902A5"/>
    <w:rsid w:val="00490304"/>
    <w:rsid w:val="004909A0"/>
    <w:rsid w:val="00490E20"/>
    <w:rsid w:val="0049110A"/>
    <w:rsid w:val="00491189"/>
    <w:rsid w:val="0049140D"/>
    <w:rsid w:val="004917AA"/>
    <w:rsid w:val="00491C99"/>
    <w:rsid w:val="00491D57"/>
    <w:rsid w:val="004922CC"/>
    <w:rsid w:val="004923D6"/>
    <w:rsid w:val="00492A91"/>
    <w:rsid w:val="00492C22"/>
    <w:rsid w:val="00493D49"/>
    <w:rsid w:val="00493E85"/>
    <w:rsid w:val="00493FAF"/>
    <w:rsid w:val="0049408D"/>
    <w:rsid w:val="004947C5"/>
    <w:rsid w:val="004956B4"/>
    <w:rsid w:val="004956FB"/>
    <w:rsid w:val="00495B8D"/>
    <w:rsid w:val="00495C13"/>
    <w:rsid w:val="00495C42"/>
    <w:rsid w:val="00496377"/>
    <w:rsid w:val="00496AA1"/>
    <w:rsid w:val="00496BCA"/>
    <w:rsid w:val="00496FEF"/>
    <w:rsid w:val="00497693"/>
    <w:rsid w:val="0049774F"/>
    <w:rsid w:val="00497786"/>
    <w:rsid w:val="004978A0"/>
    <w:rsid w:val="00497A7E"/>
    <w:rsid w:val="00497D67"/>
    <w:rsid w:val="00497D68"/>
    <w:rsid w:val="004A03F3"/>
    <w:rsid w:val="004A0513"/>
    <w:rsid w:val="004A0D7C"/>
    <w:rsid w:val="004A0E5D"/>
    <w:rsid w:val="004A1047"/>
    <w:rsid w:val="004A11E2"/>
    <w:rsid w:val="004A16E1"/>
    <w:rsid w:val="004A1DC2"/>
    <w:rsid w:val="004A1F17"/>
    <w:rsid w:val="004A1FCF"/>
    <w:rsid w:val="004A247B"/>
    <w:rsid w:val="004A2B47"/>
    <w:rsid w:val="004A2C74"/>
    <w:rsid w:val="004A2D24"/>
    <w:rsid w:val="004A3211"/>
    <w:rsid w:val="004A3B0E"/>
    <w:rsid w:val="004A3E9A"/>
    <w:rsid w:val="004A3F90"/>
    <w:rsid w:val="004A3FB6"/>
    <w:rsid w:val="004A4276"/>
    <w:rsid w:val="004A42C0"/>
    <w:rsid w:val="004A447F"/>
    <w:rsid w:val="004A4608"/>
    <w:rsid w:val="004A57A9"/>
    <w:rsid w:val="004A5E8A"/>
    <w:rsid w:val="004A6246"/>
    <w:rsid w:val="004A6885"/>
    <w:rsid w:val="004A6A27"/>
    <w:rsid w:val="004A6DED"/>
    <w:rsid w:val="004A6E71"/>
    <w:rsid w:val="004A71BC"/>
    <w:rsid w:val="004A72CC"/>
    <w:rsid w:val="004A739C"/>
    <w:rsid w:val="004A73ED"/>
    <w:rsid w:val="004A758A"/>
    <w:rsid w:val="004A76A0"/>
    <w:rsid w:val="004A76E4"/>
    <w:rsid w:val="004A77DB"/>
    <w:rsid w:val="004A7946"/>
    <w:rsid w:val="004A79AC"/>
    <w:rsid w:val="004B0755"/>
    <w:rsid w:val="004B0896"/>
    <w:rsid w:val="004B0930"/>
    <w:rsid w:val="004B1686"/>
    <w:rsid w:val="004B1BB0"/>
    <w:rsid w:val="004B1E25"/>
    <w:rsid w:val="004B1F38"/>
    <w:rsid w:val="004B2217"/>
    <w:rsid w:val="004B2A54"/>
    <w:rsid w:val="004B2C4B"/>
    <w:rsid w:val="004B2D20"/>
    <w:rsid w:val="004B2EBD"/>
    <w:rsid w:val="004B30BC"/>
    <w:rsid w:val="004B3132"/>
    <w:rsid w:val="004B3835"/>
    <w:rsid w:val="004B3B35"/>
    <w:rsid w:val="004B3E6A"/>
    <w:rsid w:val="004B42B7"/>
    <w:rsid w:val="004B4464"/>
    <w:rsid w:val="004B44DC"/>
    <w:rsid w:val="004B485C"/>
    <w:rsid w:val="004B4A0A"/>
    <w:rsid w:val="004B4D2F"/>
    <w:rsid w:val="004B4E21"/>
    <w:rsid w:val="004B4FE1"/>
    <w:rsid w:val="004B51AF"/>
    <w:rsid w:val="004B530F"/>
    <w:rsid w:val="004B5B04"/>
    <w:rsid w:val="004B607D"/>
    <w:rsid w:val="004B662F"/>
    <w:rsid w:val="004B6712"/>
    <w:rsid w:val="004B7149"/>
    <w:rsid w:val="004B76F0"/>
    <w:rsid w:val="004B779F"/>
    <w:rsid w:val="004B78DC"/>
    <w:rsid w:val="004B797E"/>
    <w:rsid w:val="004B7A52"/>
    <w:rsid w:val="004C03E7"/>
    <w:rsid w:val="004C0813"/>
    <w:rsid w:val="004C0C0B"/>
    <w:rsid w:val="004C10C5"/>
    <w:rsid w:val="004C1335"/>
    <w:rsid w:val="004C1430"/>
    <w:rsid w:val="004C17DF"/>
    <w:rsid w:val="004C1BFA"/>
    <w:rsid w:val="004C238D"/>
    <w:rsid w:val="004C25DF"/>
    <w:rsid w:val="004C308B"/>
    <w:rsid w:val="004C30A9"/>
    <w:rsid w:val="004C351F"/>
    <w:rsid w:val="004C353D"/>
    <w:rsid w:val="004C354D"/>
    <w:rsid w:val="004C37BE"/>
    <w:rsid w:val="004C38D7"/>
    <w:rsid w:val="004C39EA"/>
    <w:rsid w:val="004C3A81"/>
    <w:rsid w:val="004C3EEC"/>
    <w:rsid w:val="004C3F1E"/>
    <w:rsid w:val="004C43D4"/>
    <w:rsid w:val="004C457E"/>
    <w:rsid w:val="004C4AE1"/>
    <w:rsid w:val="004C537F"/>
    <w:rsid w:val="004C5875"/>
    <w:rsid w:val="004C59F6"/>
    <w:rsid w:val="004C5CA3"/>
    <w:rsid w:val="004C5DFD"/>
    <w:rsid w:val="004C6155"/>
    <w:rsid w:val="004C644C"/>
    <w:rsid w:val="004C6E83"/>
    <w:rsid w:val="004C7A05"/>
    <w:rsid w:val="004C7A39"/>
    <w:rsid w:val="004C7E07"/>
    <w:rsid w:val="004C7E8D"/>
    <w:rsid w:val="004C7F01"/>
    <w:rsid w:val="004C7F6D"/>
    <w:rsid w:val="004D004A"/>
    <w:rsid w:val="004D0F00"/>
    <w:rsid w:val="004D101E"/>
    <w:rsid w:val="004D115F"/>
    <w:rsid w:val="004D1283"/>
    <w:rsid w:val="004D1463"/>
    <w:rsid w:val="004D1CB3"/>
    <w:rsid w:val="004D1DE2"/>
    <w:rsid w:val="004D1DF2"/>
    <w:rsid w:val="004D1E24"/>
    <w:rsid w:val="004D20D9"/>
    <w:rsid w:val="004D2159"/>
    <w:rsid w:val="004D21FE"/>
    <w:rsid w:val="004D293F"/>
    <w:rsid w:val="004D2950"/>
    <w:rsid w:val="004D2D1D"/>
    <w:rsid w:val="004D2D76"/>
    <w:rsid w:val="004D3327"/>
    <w:rsid w:val="004D3379"/>
    <w:rsid w:val="004D3612"/>
    <w:rsid w:val="004D3864"/>
    <w:rsid w:val="004D3A87"/>
    <w:rsid w:val="004D3D53"/>
    <w:rsid w:val="004D4246"/>
    <w:rsid w:val="004D4273"/>
    <w:rsid w:val="004D44A8"/>
    <w:rsid w:val="004D45F6"/>
    <w:rsid w:val="004D47F2"/>
    <w:rsid w:val="004D5414"/>
    <w:rsid w:val="004D5757"/>
    <w:rsid w:val="004D5819"/>
    <w:rsid w:val="004D585F"/>
    <w:rsid w:val="004D5A97"/>
    <w:rsid w:val="004D6046"/>
    <w:rsid w:val="004D61FA"/>
    <w:rsid w:val="004D6EC1"/>
    <w:rsid w:val="004D6F04"/>
    <w:rsid w:val="004D7062"/>
    <w:rsid w:val="004D71FE"/>
    <w:rsid w:val="004D739B"/>
    <w:rsid w:val="004D7910"/>
    <w:rsid w:val="004E094D"/>
    <w:rsid w:val="004E0BA0"/>
    <w:rsid w:val="004E0CA7"/>
    <w:rsid w:val="004E1021"/>
    <w:rsid w:val="004E1073"/>
    <w:rsid w:val="004E112B"/>
    <w:rsid w:val="004E14B0"/>
    <w:rsid w:val="004E1562"/>
    <w:rsid w:val="004E15C9"/>
    <w:rsid w:val="004E1829"/>
    <w:rsid w:val="004E19C9"/>
    <w:rsid w:val="004E1C22"/>
    <w:rsid w:val="004E1DFA"/>
    <w:rsid w:val="004E1F3A"/>
    <w:rsid w:val="004E2153"/>
    <w:rsid w:val="004E43A0"/>
    <w:rsid w:val="004E4558"/>
    <w:rsid w:val="004E4846"/>
    <w:rsid w:val="004E492C"/>
    <w:rsid w:val="004E4C4F"/>
    <w:rsid w:val="004E4D3E"/>
    <w:rsid w:val="004E5002"/>
    <w:rsid w:val="004E51C8"/>
    <w:rsid w:val="004E5763"/>
    <w:rsid w:val="004E5830"/>
    <w:rsid w:val="004E5C50"/>
    <w:rsid w:val="004E5D1D"/>
    <w:rsid w:val="004E5D60"/>
    <w:rsid w:val="004E5E7A"/>
    <w:rsid w:val="004E5FD5"/>
    <w:rsid w:val="004E6675"/>
    <w:rsid w:val="004E66ED"/>
    <w:rsid w:val="004E67ED"/>
    <w:rsid w:val="004E6815"/>
    <w:rsid w:val="004E6B4D"/>
    <w:rsid w:val="004E6C5C"/>
    <w:rsid w:val="004E7007"/>
    <w:rsid w:val="004E70AA"/>
    <w:rsid w:val="004E7386"/>
    <w:rsid w:val="004E7516"/>
    <w:rsid w:val="004E7EB0"/>
    <w:rsid w:val="004F07D9"/>
    <w:rsid w:val="004F0AC5"/>
    <w:rsid w:val="004F0D23"/>
    <w:rsid w:val="004F103C"/>
    <w:rsid w:val="004F10E7"/>
    <w:rsid w:val="004F1319"/>
    <w:rsid w:val="004F1525"/>
    <w:rsid w:val="004F1843"/>
    <w:rsid w:val="004F1953"/>
    <w:rsid w:val="004F1CE0"/>
    <w:rsid w:val="004F2206"/>
    <w:rsid w:val="004F2C6E"/>
    <w:rsid w:val="004F2F86"/>
    <w:rsid w:val="004F3EC5"/>
    <w:rsid w:val="004F3F60"/>
    <w:rsid w:val="004F41FE"/>
    <w:rsid w:val="004F506E"/>
    <w:rsid w:val="004F52BB"/>
    <w:rsid w:val="004F54DC"/>
    <w:rsid w:val="004F5649"/>
    <w:rsid w:val="004F59B0"/>
    <w:rsid w:val="004F60F5"/>
    <w:rsid w:val="004F63A2"/>
    <w:rsid w:val="004F6466"/>
    <w:rsid w:val="004F6AC8"/>
    <w:rsid w:val="004F6EE4"/>
    <w:rsid w:val="004F713A"/>
    <w:rsid w:val="004F79CB"/>
    <w:rsid w:val="004F7A2F"/>
    <w:rsid w:val="004F7E84"/>
    <w:rsid w:val="00500002"/>
    <w:rsid w:val="00500463"/>
    <w:rsid w:val="00500817"/>
    <w:rsid w:val="00500A0E"/>
    <w:rsid w:val="00500C3F"/>
    <w:rsid w:val="005014AB"/>
    <w:rsid w:val="0050197A"/>
    <w:rsid w:val="00501ABB"/>
    <w:rsid w:val="00501DBB"/>
    <w:rsid w:val="00501F6F"/>
    <w:rsid w:val="005023B0"/>
    <w:rsid w:val="005023E8"/>
    <w:rsid w:val="0050250C"/>
    <w:rsid w:val="00502686"/>
    <w:rsid w:val="00502F45"/>
    <w:rsid w:val="005030CF"/>
    <w:rsid w:val="005033C2"/>
    <w:rsid w:val="0050344B"/>
    <w:rsid w:val="005038F6"/>
    <w:rsid w:val="00503B5F"/>
    <w:rsid w:val="00503B82"/>
    <w:rsid w:val="00503D4C"/>
    <w:rsid w:val="00504156"/>
    <w:rsid w:val="0050460A"/>
    <w:rsid w:val="005047E1"/>
    <w:rsid w:val="00504882"/>
    <w:rsid w:val="00505551"/>
    <w:rsid w:val="0050566D"/>
    <w:rsid w:val="00505A53"/>
    <w:rsid w:val="00505F4C"/>
    <w:rsid w:val="0050609C"/>
    <w:rsid w:val="005060CB"/>
    <w:rsid w:val="0050610B"/>
    <w:rsid w:val="00506307"/>
    <w:rsid w:val="005063B9"/>
    <w:rsid w:val="00506AC0"/>
    <w:rsid w:val="00506D31"/>
    <w:rsid w:val="00506E9C"/>
    <w:rsid w:val="0050711A"/>
    <w:rsid w:val="005072C9"/>
    <w:rsid w:val="00507D19"/>
    <w:rsid w:val="00507D22"/>
    <w:rsid w:val="00510395"/>
    <w:rsid w:val="00510894"/>
    <w:rsid w:val="00510C1E"/>
    <w:rsid w:val="00510CEB"/>
    <w:rsid w:val="00510D01"/>
    <w:rsid w:val="00510DF0"/>
    <w:rsid w:val="00511321"/>
    <w:rsid w:val="00511600"/>
    <w:rsid w:val="0051167B"/>
    <w:rsid w:val="005116EB"/>
    <w:rsid w:val="00511787"/>
    <w:rsid w:val="005119AD"/>
    <w:rsid w:val="00511BA0"/>
    <w:rsid w:val="00511D11"/>
    <w:rsid w:val="00511D31"/>
    <w:rsid w:val="00511E7E"/>
    <w:rsid w:val="00512224"/>
    <w:rsid w:val="00512484"/>
    <w:rsid w:val="00512653"/>
    <w:rsid w:val="005129AB"/>
    <w:rsid w:val="00512BD9"/>
    <w:rsid w:val="00512E29"/>
    <w:rsid w:val="0051322E"/>
    <w:rsid w:val="005134D6"/>
    <w:rsid w:val="005137A4"/>
    <w:rsid w:val="00513822"/>
    <w:rsid w:val="00513E08"/>
    <w:rsid w:val="00513E16"/>
    <w:rsid w:val="00513F68"/>
    <w:rsid w:val="005142DD"/>
    <w:rsid w:val="0051532F"/>
    <w:rsid w:val="00515AA5"/>
    <w:rsid w:val="00515CB9"/>
    <w:rsid w:val="00517820"/>
    <w:rsid w:val="005179E2"/>
    <w:rsid w:val="00517CFC"/>
    <w:rsid w:val="005202E6"/>
    <w:rsid w:val="00520991"/>
    <w:rsid w:val="00520BB5"/>
    <w:rsid w:val="00521231"/>
    <w:rsid w:val="0052126C"/>
    <w:rsid w:val="00521E2E"/>
    <w:rsid w:val="00521F32"/>
    <w:rsid w:val="005224FD"/>
    <w:rsid w:val="005225F4"/>
    <w:rsid w:val="005226A5"/>
    <w:rsid w:val="005228C2"/>
    <w:rsid w:val="00523374"/>
    <w:rsid w:val="0052390F"/>
    <w:rsid w:val="0052398D"/>
    <w:rsid w:val="0052463C"/>
    <w:rsid w:val="00524DE0"/>
    <w:rsid w:val="00524EE5"/>
    <w:rsid w:val="00524F2B"/>
    <w:rsid w:val="0052501C"/>
    <w:rsid w:val="00525576"/>
    <w:rsid w:val="00525718"/>
    <w:rsid w:val="005257C1"/>
    <w:rsid w:val="00525808"/>
    <w:rsid w:val="00525D42"/>
    <w:rsid w:val="00525E77"/>
    <w:rsid w:val="00525F10"/>
    <w:rsid w:val="005263BC"/>
    <w:rsid w:val="0052658B"/>
    <w:rsid w:val="005265EA"/>
    <w:rsid w:val="005266AE"/>
    <w:rsid w:val="00526791"/>
    <w:rsid w:val="00526CEA"/>
    <w:rsid w:val="00527048"/>
    <w:rsid w:val="0052762C"/>
    <w:rsid w:val="00527D14"/>
    <w:rsid w:val="00527DCF"/>
    <w:rsid w:val="00527EB8"/>
    <w:rsid w:val="005303A3"/>
    <w:rsid w:val="0053091D"/>
    <w:rsid w:val="005309B3"/>
    <w:rsid w:val="00530A29"/>
    <w:rsid w:val="00530E7C"/>
    <w:rsid w:val="00531176"/>
    <w:rsid w:val="00531311"/>
    <w:rsid w:val="00531533"/>
    <w:rsid w:val="00531694"/>
    <w:rsid w:val="00531B53"/>
    <w:rsid w:val="00531CD8"/>
    <w:rsid w:val="00531E0C"/>
    <w:rsid w:val="00532043"/>
    <w:rsid w:val="0053251E"/>
    <w:rsid w:val="0053293F"/>
    <w:rsid w:val="00532952"/>
    <w:rsid w:val="00532D4A"/>
    <w:rsid w:val="00532D62"/>
    <w:rsid w:val="00532E3F"/>
    <w:rsid w:val="00532E69"/>
    <w:rsid w:val="00533A87"/>
    <w:rsid w:val="005343AC"/>
    <w:rsid w:val="005346B0"/>
    <w:rsid w:val="00534B65"/>
    <w:rsid w:val="00534D9A"/>
    <w:rsid w:val="00534DA0"/>
    <w:rsid w:val="00534E42"/>
    <w:rsid w:val="00534E63"/>
    <w:rsid w:val="00535588"/>
    <w:rsid w:val="00535CED"/>
    <w:rsid w:val="00535D79"/>
    <w:rsid w:val="0053617A"/>
    <w:rsid w:val="00536266"/>
    <w:rsid w:val="005364CB"/>
    <w:rsid w:val="00536916"/>
    <w:rsid w:val="00537566"/>
    <w:rsid w:val="00537AF3"/>
    <w:rsid w:val="00537D58"/>
    <w:rsid w:val="00540013"/>
    <w:rsid w:val="0054059F"/>
    <w:rsid w:val="005408A2"/>
    <w:rsid w:val="00540D48"/>
    <w:rsid w:val="00540FE4"/>
    <w:rsid w:val="0054165D"/>
    <w:rsid w:val="005420BC"/>
    <w:rsid w:val="0054262E"/>
    <w:rsid w:val="0054289F"/>
    <w:rsid w:val="00542912"/>
    <w:rsid w:val="0054293C"/>
    <w:rsid w:val="00542C20"/>
    <w:rsid w:val="00543267"/>
    <w:rsid w:val="0054345C"/>
    <w:rsid w:val="0054364A"/>
    <w:rsid w:val="005438A2"/>
    <w:rsid w:val="005441D8"/>
    <w:rsid w:val="0054427E"/>
    <w:rsid w:val="005442CA"/>
    <w:rsid w:val="00544BE5"/>
    <w:rsid w:val="00544FE2"/>
    <w:rsid w:val="00545045"/>
    <w:rsid w:val="0054523E"/>
    <w:rsid w:val="00545EA4"/>
    <w:rsid w:val="00546EDE"/>
    <w:rsid w:val="005474C7"/>
    <w:rsid w:val="00547703"/>
    <w:rsid w:val="00547782"/>
    <w:rsid w:val="005479CA"/>
    <w:rsid w:val="00547A76"/>
    <w:rsid w:val="00547B58"/>
    <w:rsid w:val="00547B8B"/>
    <w:rsid w:val="00547E4A"/>
    <w:rsid w:val="00547F9D"/>
    <w:rsid w:val="005504DA"/>
    <w:rsid w:val="0055068A"/>
    <w:rsid w:val="0055079F"/>
    <w:rsid w:val="00550F7B"/>
    <w:rsid w:val="00551813"/>
    <w:rsid w:val="00551945"/>
    <w:rsid w:val="005522E4"/>
    <w:rsid w:val="00552407"/>
    <w:rsid w:val="00552827"/>
    <w:rsid w:val="00552CBF"/>
    <w:rsid w:val="00553773"/>
    <w:rsid w:val="005539BF"/>
    <w:rsid w:val="00553A2F"/>
    <w:rsid w:val="00553DAC"/>
    <w:rsid w:val="005543CC"/>
    <w:rsid w:val="00554541"/>
    <w:rsid w:val="00554CA0"/>
    <w:rsid w:val="00554D9E"/>
    <w:rsid w:val="00554F69"/>
    <w:rsid w:val="00555471"/>
    <w:rsid w:val="00555F43"/>
    <w:rsid w:val="00556835"/>
    <w:rsid w:val="005568EC"/>
    <w:rsid w:val="00556C93"/>
    <w:rsid w:val="005571CA"/>
    <w:rsid w:val="005571F3"/>
    <w:rsid w:val="0055723B"/>
    <w:rsid w:val="0055771B"/>
    <w:rsid w:val="00557A13"/>
    <w:rsid w:val="00557A8B"/>
    <w:rsid w:val="00557C58"/>
    <w:rsid w:val="00557F2F"/>
    <w:rsid w:val="00557FE0"/>
    <w:rsid w:val="005601EF"/>
    <w:rsid w:val="0056036E"/>
    <w:rsid w:val="005605FE"/>
    <w:rsid w:val="00560866"/>
    <w:rsid w:val="00560A05"/>
    <w:rsid w:val="00561599"/>
    <w:rsid w:val="0056194B"/>
    <w:rsid w:val="00561A73"/>
    <w:rsid w:val="0056263D"/>
    <w:rsid w:val="005628FA"/>
    <w:rsid w:val="0056297B"/>
    <w:rsid w:val="00562A3F"/>
    <w:rsid w:val="005633A7"/>
    <w:rsid w:val="00563825"/>
    <w:rsid w:val="00563DC0"/>
    <w:rsid w:val="00563FEC"/>
    <w:rsid w:val="00564419"/>
    <w:rsid w:val="00564A71"/>
    <w:rsid w:val="00564E8E"/>
    <w:rsid w:val="00565027"/>
    <w:rsid w:val="005650C9"/>
    <w:rsid w:val="00565336"/>
    <w:rsid w:val="005658D4"/>
    <w:rsid w:val="005662B2"/>
    <w:rsid w:val="005664AD"/>
    <w:rsid w:val="005668E0"/>
    <w:rsid w:val="00566A8E"/>
    <w:rsid w:val="00566D89"/>
    <w:rsid w:val="00566EDA"/>
    <w:rsid w:val="005674C3"/>
    <w:rsid w:val="00567C72"/>
    <w:rsid w:val="00567DA3"/>
    <w:rsid w:val="005706BA"/>
    <w:rsid w:val="0057083F"/>
    <w:rsid w:val="005709A3"/>
    <w:rsid w:val="00570F1F"/>
    <w:rsid w:val="005713EF"/>
    <w:rsid w:val="00571772"/>
    <w:rsid w:val="005719AE"/>
    <w:rsid w:val="00571A68"/>
    <w:rsid w:val="00572362"/>
    <w:rsid w:val="005726F8"/>
    <w:rsid w:val="00573493"/>
    <w:rsid w:val="0057368F"/>
    <w:rsid w:val="0057393F"/>
    <w:rsid w:val="00573AC2"/>
    <w:rsid w:val="00573BA3"/>
    <w:rsid w:val="00574246"/>
    <w:rsid w:val="005745F1"/>
    <w:rsid w:val="0057469C"/>
    <w:rsid w:val="005748A0"/>
    <w:rsid w:val="00574AF2"/>
    <w:rsid w:val="00574BF1"/>
    <w:rsid w:val="00574CE5"/>
    <w:rsid w:val="00575164"/>
    <w:rsid w:val="005756C7"/>
    <w:rsid w:val="005760E9"/>
    <w:rsid w:val="00576310"/>
    <w:rsid w:val="005768C1"/>
    <w:rsid w:val="00576D3F"/>
    <w:rsid w:val="0057732F"/>
    <w:rsid w:val="00577992"/>
    <w:rsid w:val="00577F9F"/>
    <w:rsid w:val="005801BF"/>
    <w:rsid w:val="0058028B"/>
    <w:rsid w:val="005802B7"/>
    <w:rsid w:val="005803F7"/>
    <w:rsid w:val="00580E78"/>
    <w:rsid w:val="00581002"/>
    <w:rsid w:val="00581081"/>
    <w:rsid w:val="00581084"/>
    <w:rsid w:val="00581295"/>
    <w:rsid w:val="00581BEB"/>
    <w:rsid w:val="00581DC5"/>
    <w:rsid w:val="00582373"/>
    <w:rsid w:val="00582B4B"/>
    <w:rsid w:val="00582E6D"/>
    <w:rsid w:val="005834AC"/>
    <w:rsid w:val="005836E4"/>
    <w:rsid w:val="00583EFE"/>
    <w:rsid w:val="00584084"/>
    <w:rsid w:val="005843AD"/>
    <w:rsid w:val="0058486B"/>
    <w:rsid w:val="00584997"/>
    <w:rsid w:val="00584BE7"/>
    <w:rsid w:val="00584CC2"/>
    <w:rsid w:val="00584DEA"/>
    <w:rsid w:val="00585195"/>
    <w:rsid w:val="0058526A"/>
    <w:rsid w:val="00585865"/>
    <w:rsid w:val="00585F10"/>
    <w:rsid w:val="00586097"/>
    <w:rsid w:val="0058615E"/>
    <w:rsid w:val="005866D1"/>
    <w:rsid w:val="005868C6"/>
    <w:rsid w:val="00586A3D"/>
    <w:rsid w:val="00586D76"/>
    <w:rsid w:val="005875B2"/>
    <w:rsid w:val="00587BCC"/>
    <w:rsid w:val="00587EC3"/>
    <w:rsid w:val="00587FEB"/>
    <w:rsid w:val="005903D6"/>
    <w:rsid w:val="00590409"/>
    <w:rsid w:val="005909A9"/>
    <w:rsid w:val="00590AF4"/>
    <w:rsid w:val="00590E7E"/>
    <w:rsid w:val="005914E3"/>
    <w:rsid w:val="00591CDB"/>
    <w:rsid w:val="00591D26"/>
    <w:rsid w:val="00591D8F"/>
    <w:rsid w:val="00592028"/>
    <w:rsid w:val="005924B9"/>
    <w:rsid w:val="005924CF"/>
    <w:rsid w:val="00592BE3"/>
    <w:rsid w:val="00592C4F"/>
    <w:rsid w:val="0059309A"/>
    <w:rsid w:val="00593C31"/>
    <w:rsid w:val="00593D49"/>
    <w:rsid w:val="00594077"/>
    <w:rsid w:val="005944C9"/>
    <w:rsid w:val="0059455A"/>
    <w:rsid w:val="00594727"/>
    <w:rsid w:val="00594937"/>
    <w:rsid w:val="00594BAD"/>
    <w:rsid w:val="00594C8A"/>
    <w:rsid w:val="00594E64"/>
    <w:rsid w:val="00594FF6"/>
    <w:rsid w:val="005952AB"/>
    <w:rsid w:val="0059533B"/>
    <w:rsid w:val="005953FC"/>
    <w:rsid w:val="00595402"/>
    <w:rsid w:val="005955AB"/>
    <w:rsid w:val="00595613"/>
    <w:rsid w:val="00595D66"/>
    <w:rsid w:val="00596063"/>
    <w:rsid w:val="0059625B"/>
    <w:rsid w:val="005964C3"/>
    <w:rsid w:val="00596551"/>
    <w:rsid w:val="005968BF"/>
    <w:rsid w:val="00596948"/>
    <w:rsid w:val="00596AB5"/>
    <w:rsid w:val="00596C41"/>
    <w:rsid w:val="00597060"/>
    <w:rsid w:val="005972D0"/>
    <w:rsid w:val="00597309"/>
    <w:rsid w:val="00597516"/>
    <w:rsid w:val="00597915"/>
    <w:rsid w:val="00597D52"/>
    <w:rsid w:val="00597DC0"/>
    <w:rsid w:val="00597EAF"/>
    <w:rsid w:val="005A024A"/>
    <w:rsid w:val="005A08DF"/>
    <w:rsid w:val="005A1086"/>
    <w:rsid w:val="005A1E0F"/>
    <w:rsid w:val="005A1E19"/>
    <w:rsid w:val="005A2168"/>
    <w:rsid w:val="005A2371"/>
    <w:rsid w:val="005A2798"/>
    <w:rsid w:val="005A2D06"/>
    <w:rsid w:val="005A2D42"/>
    <w:rsid w:val="005A2D4A"/>
    <w:rsid w:val="005A2D9F"/>
    <w:rsid w:val="005A35D3"/>
    <w:rsid w:val="005A3F69"/>
    <w:rsid w:val="005A4378"/>
    <w:rsid w:val="005A4467"/>
    <w:rsid w:val="005A44FB"/>
    <w:rsid w:val="005A4725"/>
    <w:rsid w:val="005A56F0"/>
    <w:rsid w:val="005A5713"/>
    <w:rsid w:val="005A5747"/>
    <w:rsid w:val="005A5977"/>
    <w:rsid w:val="005A643D"/>
    <w:rsid w:val="005A6538"/>
    <w:rsid w:val="005A66E0"/>
    <w:rsid w:val="005A68F9"/>
    <w:rsid w:val="005A6B65"/>
    <w:rsid w:val="005A6D61"/>
    <w:rsid w:val="005A7019"/>
    <w:rsid w:val="005A7134"/>
    <w:rsid w:val="005A71D0"/>
    <w:rsid w:val="005A7276"/>
    <w:rsid w:val="005A76BA"/>
    <w:rsid w:val="005A7EAA"/>
    <w:rsid w:val="005B0603"/>
    <w:rsid w:val="005B103B"/>
    <w:rsid w:val="005B10F6"/>
    <w:rsid w:val="005B1134"/>
    <w:rsid w:val="005B130B"/>
    <w:rsid w:val="005B154F"/>
    <w:rsid w:val="005B1562"/>
    <w:rsid w:val="005B18EA"/>
    <w:rsid w:val="005B1A2D"/>
    <w:rsid w:val="005B1BB7"/>
    <w:rsid w:val="005B26D6"/>
    <w:rsid w:val="005B27FC"/>
    <w:rsid w:val="005B29B5"/>
    <w:rsid w:val="005B2A90"/>
    <w:rsid w:val="005B2E64"/>
    <w:rsid w:val="005B354C"/>
    <w:rsid w:val="005B376B"/>
    <w:rsid w:val="005B389D"/>
    <w:rsid w:val="005B38CF"/>
    <w:rsid w:val="005B3C03"/>
    <w:rsid w:val="005B3CD5"/>
    <w:rsid w:val="005B4308"/>
    <w:rsid w:val="005B4376"/>
    <w:rsid w:val="005B442B"/>
    <w:rsid w:val="005B4DE2"/>
    <w:rsid w:val="005B4F59"/>
    <w:rsid w:val="005B5027"/>
    <w:rsid w:val="005B5440"/>
    <w:rsid w:val="005B54C0"/>
    <w:rsid w:val="005B5522"/>
    <w:rsid w:val="005B5B49"/>
    <w:rsid w:val="005B5F38"/>
    <w:rsid w:val="005B64EE"/>
    <w:rsid w:val="005B6B9C"/>
    <w:rsid w:val="005B6FC4"/>
    <w:rsid w:val="005B757A"/>
    <w:rsid w:val="005B7625"/>
    <w:rsid w:val="005B7639"/>
    <w:rsid w:val="005B79E3"/>
    <w:rsid w:val="005C0013"/>
    <w:rsid w:val="005C01EF"/>
    <w:rsid w:val="005C05B5"/>
    <w:rsid w:val="005C06B5"/>
    <w:rsid w:val="005C089D"/>
    <w:rsid w:val="005C11B4"/>
    <w:rsid w:val="005C143D"/>
    <w:rsid w:val="005C1738"/>
    <w:rsid w:val="005C1756"/>
    <w:rsid w:val="005C1BCF"/>
    <w:rsid w:val="005C2127"/>
    <w:rsid w:val="005C2309"/>
    <w:rsid w:val="005C23CF"/>
    <w:rsid w:val="005C257E"/>
    <w:rsid w:val="005C2F7E"/>
    <w:rsid w:val="005C34C2"/>
    <w:rsid w:val="005C3B77"/>
    <w:rsid w:val="005C3D6A"/>
    <w:rsid w:val="005C40DA"/>
    <w:rsid w:val="005C4306"/>
    <w:rsid w:val="005C46B1"/>
    <w:rsid w:val="005C506D"/>
    <w:rsid w:val="005C5586"/>
    <w:rsid w:val="005C56DE"/>
    <w:rsid w:val="005C5761"/>
    <w:rsid w:val="005C655F"/>
    <w:rsid w:val="005C665A"/>
    <w:rsid w:val="005C667B"/>
    <w:rsid w:val="005C6885"/>
    <w:rsid w:val="005C6C33"/>
    <w:rsid w:val="005C708F"/>
    <w:rsid w:val="005C766D"/>
    <w:rsid w:val="005C7750"/>
    <w:rsid w:val="005C7BD0"/>
    <w:rsid w:val="005D007D"/>
    <w:rsid w:val="005D0198"/>
    <w:rsid w:val="005D0CEC"/>
    <w:rsid w:val="005D0CFF"/>
    <w:rsid w:val="005D148D"/>
    <w:rsid w:val="005D1705"/>
    <w:rsid w:val="005D1828"/>
    <w:rsid w:val="005D206F"/>
    <w:rsid w:val="005D2233"/>
    <w:rsid w:val="005D225C"/>
    <w:rsid w:val="005D2266"/>
    <w:rsid w:val="005D232E"/>
    <w:rsid w:val="005D24E7"/>
    <w:rsid w:val="005D2665"/>
    <w:rsid w:val="005D2D11"/>
    <w:rsid w:val="005D2DDE"/>
    <w:rsid w:val="005D323A"/>
    <w:rsid w:val="005D32CB"/>
    <w:rsid w:val="005D34E7"/>
    <w:rsid w:val="005D3A16"/>
    <w:rsid w:val="005D3EAB"/>
    <w:rsid w:val="005D452F"/>
    <w:rsid w:val="005D47E7"/>
    <w:rsid w:val="005D4CB8"/>
    <w:rsid w:val="005D4D47"/>
    <w:rsid w:val="005D52B3"/>
    <w:rsid w:val="005D5A8D"/>
    <w:rsid w:val="005D5D7D"/>
    <w:rsid w:val="005D6798"/>
    <w:rsid w:val="005D6990"/>
    <w:rsid w:val="005D6CD1"/>
    <w:rsid w:val="005D7849"/>
    <w:rsid w:val="005D796D"/>
    <w:rsid w:val="005E045B"/>
    <w:rsid w:val="005E0FBD"/>
    <w:rsid w:val="005E1672"/>
    <w:rsid w:val="005E170F"/>
    <w:rsid w:val="005E2079"/>
    <w:rsid w:val="005E2957"/>
    <w:rsid w:val="005E2CA6"/>
    <w:rsid w:val="005E2D6F"/>
    <w:rsid w:val="005E2D77"/>
    <w:rsid w:val="005E3137"/>
    <w:rsid w:val="005E316F"/>
    <w:rsid w:val="005E3181"/>
    <w:rsid w:val="005E346F"/>
    <w:rsid w:val="005E355F"/>
    <w:rsid w:val="005E3724"/>
    <w:rsid w:val="005E37D8"/>
    <w:rsid w:val="005E3983"/>
    <w:rsid w:val="005E4518"/>
    <w:rsid w:val="005E4871"/>
    <w:rsid w:val="005E4A87"/>
    <w:rsid w:val="005E4ABB"/>
    <w:rsid w:val="005E4DA8"/>
    <w:rsid w:val="005E4F69"/>
    <w:rsid w:val="005E4FFB"/>
    <w:rsid w:val="005E520B"/>
    <w:rsid w:val="005E53E1"/>
    <w:rsid w:val="005E6551"/>
    <w:rsid w:val="005E7AAA"/>
    <w:rsid w:val="005F0650"/>
    <w:rsid w:val="005F0982"/>
    <w:rsid w:val="005F0A18"/>
    <w:rsid w:val="005F0A88"/>
    <w:rsid w:val="005F0F33"/>
    <w:rsid w:val="005F15B6"/>
    <w:rsid w:val="005F1D8F"/>
    <w:rsid w:val="005F2026"/>
    <w:rsid w:val="005F2729"/>
    <w:rsid w:val="005F2937"/>
    <w:rsid w:val="005F2B29"/>
    <w:rsid w:val="005F2D7D"/>
    <w:rsid w:val="005F2DCE"/>
    <w:rsid w:val="005F3364"/>
    <w:rsid w:val="005F371B"/>
    <w:rsid w:val="005F3AB5"/>
    <w:rsid w:val="005F3D56"/>
    <w:rsid w:val="005F3F59"/>
    <w:rsid w:val="005F4450"/>
    <w:rsid w:val="005F467C"/>
    <w:rsid w:val="005F471E"/>
    <w:rsid w:val="005F48F3"/>
    <w:rsid w:val="005F4A22"/>
    <w:rsid w:val="005F4CA7"/>
    <w:rsid w:val="005F503B"/>
    <w:rsid w:val="005F5688"/>
    <w:rsid w:val="005F591B"/>
    <w:rsid w:val="005F59AE"/>
    <w:rsid w:val="005F5E67"/>
    <w:rsid w:val="005F60DC"/>
    <w:rsid w:val="005F669E"/>
    <w:rsid w:val="005F66A1"/>
    <w:rsid w:val="005F700D"/>
    <w:rsid w:val="005F7AA0"/>
    <w:rsid w:val="005F7BC0"/>
    <w:rsid w:val="005F7DAE"/>
    <w:rsid w:val="00600044"/>
    <w:rsid w:val="006000EE"/>
    <w:rsid w:val="0060045C"/>
    <w:rsid w:val="00600570"/>
    <w:rsid w:val="006005BC"/>
    <w:rsid w:val="006008E4"/>
    <w:rsid w:val="00600BB1"/>
    <w:rsid w:val="00600CD3"/>
    <w:rsid w:val="006013C6"/>
    <w:rsid w:val="006013E9"/>
    <w:rsid w:val="00601FC5"/>
    <w:rsid w:val="00602387"/>
    <w:rsid w:val="00602445"/>
    <w:rsid w:val="0060260E"/>
    <w:rsid w:val="006028EF"/>
    <w:rsid w:val="00602BA3"/>
    <w:rsid w:val="00603003"/>
    <w:rsid w:val="0060341F"/>
    <w:rsid w:val="006039C5"/>
    <w:rsid w:val="00603A05"/>
    <w:rsid w:val="00603AC0"/>
    <w:rsid w:val="00603D84"/>
    <w:rsid w:val="00603ECB"/>
    <w:rsid w:val="0060438F"/>
    <w:rsid w:val="00604C18"/>
    <w:rsid w:val="00604FE3"/>
    <w:rsid w:val="006053C2"/>
    <w:rsid w:val="0060569C"/>
    <w:rsid w:val="00605ABA"/>
    <w:rsid w:val="00605BEB"/>
    <w:rsid w:val="00605DFA"/>
    <w:rsid w:val="00605F25"/>
    <w:rsid w:val="00605FFE"/>
    <w:rsid w:val="006065D8"/>
    <w:rsid w:val="00606A15"/>
    <w:rsid w:val="00606CBD"/>
    <w:rsid w:val="0060744E"/>
    <w:rsid w:val="00607466"/>
    <w:rsid w:val="00607CA9"/>
    <w:rsid w:val="00607D7F"/>
    <w:rsid w:val="006100D1"/>
    <w:rsid w:val="006101FD"/>
    <w:rsid w:val="006104E4"/>
    <w:rsid w:val="00610580"/>
    <w:rsid w:val="00610E0C"/>
    <w:rsid w:val="00611300"/>
    <w:rsid w:val="006118E9"/>
    <w:rsid w:val="00611971"/>
    <w:rsid w:val="006119D4"/>
    <w:rsid w:val="00611AEA"/>
    <w:rsid w:val="00611D49"/>
    <w:rsid w:val="00611DD7"/>
    <w:rsid w:val="0061214C"/>
    <w:rsid w:val="006128B0"/>
    <w:rsid w:val="00612DED"/>
    <w:rsid w:val="00613622"/>
    <w:rsid w:val="00613827"/>
    <w:rsid w:val="00613AFF"/>
    <w:rsid w:val="00614081"/>
    <w:rsid w:val="00614863"/>
    <w:rsid w:val="00614BD9"/>
    <w:rsid w:val="00614D36"/>
    <w:rsid w:val="00614D6C"/>
    <w:rsid w:val="0061517A"/>
    <w:rsid w:val="0061522F"/>
    <w:rsid w:val="00615344"/>
    <w:rsid w:val="00615527"/>
    <w:rsid w:val="006157BF"/>
    <w:rsid w:val="00615CFE"/>
    <w:rsid w:val="00615DB2"/>
    <w:rsid w:val="00616838"/>
    <w:rsid w:val="00616864"/>
    <w:rsid w:val="0061719F"/>
    <w:rsid w:val="006171D1"/>
    <w:rsid w:val="006175B3"/>
    <w:rsid w:val="00617869"/>
    <w:rsid w:val="0061789D"/>
    <w:rsid w:val="006179AC"/>
    <w:rsid w:val="006179D7"/>
    <w:rsid w:val="006204B7"/>
    <w:rsid w:val="0062084A"/>
    <w:rsid w:val="006209D7"/>
    <w:rsid w:val="00620D25"/>
    <w:rsid w:val="0062116B"/>
    <w:rsid w:val="0062124A"/>
    <w:rsid w:val="006213E6"/>
    <w:rsid w:val="006218B8"/>
    <w:rsid w:val="00621A66"/>
    <w:rsid w:val="00621E9F"/>
    <w:rsid w:val="006225CF"/>
    <w:rsid w:val="006226D2"/>
    <w:rsid w:val="00622908"/>
    <w:rsid w:val="00622FF3"/>
    <w:rsid w:val="00623133"/>
    <w:rsid w:val="00623456"/>
    <w:rsid w:val="00623B3A"/>
    <w:rsid w:val="00623BB0"/>
    <w:rsid w:val="00623CBD"/>
    <w:rsid w:val="00623E53"/>
    <w:rsid w:val="00623F5F"/>
    <w:rsid w:val="0062404D"/>
    <w:rsid w:val="00624180"/>
    <w:rsid w:val="0062432D"/>
    <w:rsid w:val="006244D4"/>
    <w:rsid w:val="006246D5"/>
    <w:rsid w:val="00624827"/>
    <w:rsid w:val="00624B5B"/>
    <w:rsid w:val="00625123"/>
    <w:rsid w:val="00625553"/>
    <w:rsid w:val="00625953"/>
    <w:rsid w:val="00625A27"/>
    <w:rsid w:val="00625DE8"/>
    <w:rsid w:val="00625E4D"/>
    <w:rsid w:val="00625EC8"/>
    <w:rsid w:val="00625F55"/>
    <w:rsid w:val="00626031"/>
    <w:rsid w:val="00626681"/>
    <w:rsid w:val="006269E0"/>
    <w:rsid w:val="0062704E"/>
    <w:rsid w:val="0062774D"/>
    <w:rsid w:val="00627DE2"/>
    <w:rsid w:val="00627FC1"/>
    <w:rsid w:val="00630839"/>
    <w:rsid w:val="00630BCC"/>
    <w:rsid w:val="00630E44"/>
    <w:rsid w:val="00630EFF"/>
    <w:rsid w:val="0063102B"/>
    <w:rsid w:val="0063165E"/>
    <w:rsid w:val="00631766"/>
    <w:rsid w:val="00631A39"/>
    <w:rsid w:val="00631E91"/>
    <w:rsid w:val="006322DA"/>
    <w:rsid w:val="0063266B"/>
    <w:rsid w:val="00632A99"/>
    <w:rsid w:val="00632E2F"/>
    <w:rsid w:val="00633169"/>
    <w:rsid w:val="006331D7"/>
    <w:rsid w:val="00633B09"/>
    <w:rsid w:val="00633CB0"/>
    <w:rsid w:val="0063452D"/>
    <w:rsid w:val="00634856"/>
    <w:rsid w:val="006348F0"/>
    <w:rsid w:val="00634917"/>
    <w:rsid w:val="006349BD"/>
    <w:rsid w:val="00634B44"/>
    <w:rsid w:val="00634C20"/>
    <w:rsid w:val="00635435"/>
    <w:rsid w:val="0063548E"/>
    <w:rsid w:val="00635FCD"/>
    <w:rsid w:val="00636159"/>
    <w:rsid w:val="0063622F"/>
    <w:rsid w:val="0063656A"/>
    <w:rsid w:val="0063661C"/>
    <w:rsid w:val="00636AA2"/>
    <w:rsid w:val="00637638"/>
    <w:rsid w:val="00637801"/>
    <w:rsid w:val="0063784B"/>
    <w:rsid w:val="006378CC"/>
    <w:rsid w:val="00637965"/>
    <w:rsid w:val="00637CBE"/>
    <w:rsid w:val="00637E2D"/>
    <w:rsid w:val="006404AC"/>
    <w:rsid w:val="006406CE"/>
    <w:rsid w:val="00640D70"/>
    <w:rsid w:val="00640E6B"/>
    <w:rsid w:val="006414B8"/>
    <w:rsid w:val="0064163F"/>
    <w:rsid w:val="00641705"/>
    <w:rsid w:val="006419FE"/>
    <w:rsid w:val="00641A39"/>
    <w:rsid w:val="00641FD7"/>
    <w:rsid w:val="0064248A"/>
    <w:rsid w:val="00642649"/>
    <w:rsid w:val="00642B65"/>
    <w:rsid w:val="00643036"/>
    <w:rsid w:val="006436AA"/>
    <w:rsid w:val="00643889"/>
    <w:rsid w:val="00643DB1"/>
    <w:rsid w:val="00643F65"/>
    <w:rsid w:val="00644083"/>
    <w:rsid w:val="00644138"/>
    <w:rsid w:val="00644708"/>
    <w:rsid w:val="00644EE6"/>
    <w:rsid w:val="0064528D"/>
    <w:rsid w:val="006453DD"/>
    <w:rsid w:val="0064580D"/>
    <w:rsid w:val="006458CB"/>
    <w:rsid w:val="00645983"/>
    <w:rsid w:val="00645A33"/>
    <w:rsid w:val="00645BC1"/>
    <w:rsid w:val="00646367"/>
    <w:rsid w:val="00646383"/>
    <w:rsid w:val="00646487"/>
    <w:rsid w:val="00646545"/>
    <w:rsid w:val="00646851"/>
    <w:rsid w:val="00646E33"/>
    <w:rsid w:val="00646E69"/>
    <w:rsid w:val="00647574"/>
    <w:rsid w:val="00647BDC"/>
    <w:rsid w:val="00647CD7"/>
    <w:rsid w:val="00647F60"/>
    <w:rsid w:val="00650112"/>
    <w:rsid w:val="0065012A"/>
    <w:rsid w:val="006506F8"/>
    <w:rsid w:val="006509F2"/>
    <w:rsid w:val="00650B2D"/>
    <w:rsid w:val="00650EFC"/>
    <w:rsid w:val="00651256"/>
    <w:rsid w:val="00651970"/>
    <w:rsid w:val="006519EA"/>
    <w:rsid w:val="00651BA5"/>
    <w:rsid w:val="00651C88"/>
    <w:rsid w:val="00651D3C"/>
    <w:rsid w:val="00651DF1"/>
    <w:rsid w:val="00652082"/>
    <w:rsid w:val="0065243D"/>
    <w:rsid w:val="0065279F"/>
    <w:rsid w:val="00652CF3"/>
    <w:rsid w:val="00653424"/>
    <w:rsid w:val="006535F8"/>
    <w:rsid w:val="00653748"/>
    <w:rsid w:val="00653762"/>
    <w:rsid w:val="006538C5"/>
    <w:rsid w:val="00653AF8"/>
    <w:rsid w:val="00653C3C"/>
    <w:rsid w:val="00653E70"/>
    <w:rsid w:val="00653E9E"/>
    <w:rsid w:val="0065410E"/>
    <w:rsid w:val="00654463"/>
    <w:rsid w:val="00654523"/>
    <w:rsid w:val="0065480B"/>
    <w:rsid w:val="0065483C"/>
    <w:rsid w:val="00654D47"/>
    <w:rsid w:val="006552E8"/>
    <w:rsid w:val="0065572F"/>
    <w:rsid w:val="006557ED"/>
    <w:rsid w:val="00655B05"/>
    <w:rsid w:val="006568F4"/>
    <w:rsid w:val="006569E0"/>
    <w:rsid w:val="00656B1D"/>
    <w:rsid w:val="00656EA7"/>
    <w:rsid w:val="00657138"/>
    <w:rsid w:val="0065715B"/>
    <w:rsid w:val="00657A4A"/>
    <w:rsid w:val="00660084"/>
    <w:rsid w:val="00660166"/>
    <w:rsid w:val="0066024F"/>
    <w:rsid w:val="00660B84"/>
    <w:rsid w:val="006615DF"/>
    <w:rsid w:val="00661CC7"/>
    <w:rsid w:val="00661F1E"/>
    <w:rsid w:val="00662087"/>
    <w:rsid w:val="00662458"/>
    <w:rsid w:val="006624E3"/>
    <w:rsid w:val="00662DC3"/>
    <w:rsid w:val="00663457"/>
    <w:rsid w:val="006636A4"/>
    <w:rsid w:val="00663A6F"/>
    <w:rsid w:val="00663C54"/>
    <w:rsid w:val="00663D3C"/>
    <w:rsid w:val="00663F8B"/>
    <w:rsid w:val="006640CF"/>
    <w:rsid w:val="006640EA"/>
    <w:rsid w:val="0066423F"/>
    <w:rsid w:val="00664545"/>
    <w:rsid w:val="00664AB1"/>
    <w:rsid w:val="00664ADF"/>
    <w:rsid w:val="00664C44"/>
    <w:rsid w:val="00664D95"/>
    <w:rsid w:val="006650E5"/>
    <w:rsid w:val="006653DD"/>
    <w:rsid w:val="00665730"/>
    <w:rsid w:val="00665C06"/>
    <w:rsid w:val="00666C2A"/>
    <w:rsid w:val="00666D89"/>
    <w:rsid w:val="00667614"/>
    <w:rsid w:val="0066769C"/>
    <w:rsid w:val="006679B2"/>
    <w:rsid w:val="00667DFF"/>
    <w:rsid w:val="006704B4"/>
    <w:rsid w:val="006710AC"/>
    <w:rsid w:val="006710CC"/>
    <w:rsid w:val="00671334"/>
    <w:rsid w:val="0067148E"/>
    <w:rsid w:val="0067193F"/>
    <w:rsid w:val="00671977"/>
    <w:rsid w:val="00671B86"/>
    <w:rsid w:val="00671CB2"/>
    <w:rsid w:val="00671ED7"/>
    <w:rsid w:val="006723D7"/>
    <w:rsid w:val="00672479"/>
    <w:rsid w:val="006726B6"/>
    <w:rsid w:val="00672B14"/>
    <w:rsid w:val="00672D4C"/>
    <w:rsid w:val="00672FBB"/>
    <w:rsid w:val="006732C2"/>
    <w:rsid w:val="006734B0"/>
    <w:rsid w:val="006734B3"/>
    <w:rsid w:val="00673C3C"/>
    <w:rsid w:val="00673FAD"/>
    <w:rsid w:val="006740BF"/>
    <w:rsid w:val="006742EE"/>
    <w:rsid w:val="00674F90"/>
    <w:rsid w:val="006756F1"/>
    <w:rsid w:val="00675B28"/>
    <w:rsid w:val="006761A5"/>
    <w:rsid w:val="006766EA"/>
    <w:rsid w:val="00676D78"/>
    <w:rsid w:val="006775AB"/>
    <w:rsid w:val="006777F6"/>
    <w:rsid w:val="00677B1C"/>
    <w:rsid w:val="00680205"/>
    <w:rsid w:val="00680273"/>
    <w:rsid w:val="00680747"/>
    <w:rsid w:val="00680DA1"/>
    <w:rsid w:val="00680E41"/>
    <w:rsid w:val="006811C2"/>
    <w:rsid w:val="00681283"/>
    <w:rsid w:val="00681653"/>
    <w:rsid w:val="0068166A"/>
    <w:rsid w:val="00681751"/>
    <w:rsid w:val="00681EE3"/>
    <w:rsid w:val="0068202D"/>
    <w:rsid w:val="0068279E"/>
    <w:rsid w:val="006831C1"/>
    <w:rsid w:val="0068368A"/>
    <w:rsid w:val="00684022"/>
    <w:rsid w:val="00684167"/>
    <w:rsid w:val="006842E5"/>
    <w:rsid w:val="00684734"/>
    <w:rsid w:val="0068481F"/>
    <w:rsid w:val="0068494F"/>
    <w:rsid w:val="00684D55"/>
    <w:rsid w:val="00685973"/>
    <w:rsid w:val="00685A4B"/>
    <w:rsid w:val="00685C43"/>
    <w:rsid w:val="00685CA1"/>
    <w:rsid w:val="00685D7D"/>
    <w:rsid w:val="0068635D"/>
    <w:rsid w:val="00686459"/>
    <w:rsid w:val="00686E57"/>
    <w:rsid w:val="00686F13"/>
    <w:rsid w:val="00686F7C"/>
    <w:rsid w:val="0068755D"/>
    <w:rsid w:val="00687596"/>
    <w:rsid w:val="00687947"/>
    <w:rsid w:val="006879C4"/>
    <w:rsid w:val="0069048A"/>
    <w:rsid w:val="00690DD3"/>
    <w:rsid w:val="00690DF0"/>
    <w:rsid w:val="00690F8C"/>
    <w:rsid w:val="006915CB"/>
    <w:rsid w:val="00691ADF"/>
    <w:rsid w:val="00691B50"/>
    <w:rsid w:val="00691F98"/>
    <w:rsid w:val="0069227D"/>
    <w:rsid w:val="00692333"/>
    <w:rsid w:val="0069243E"/>
    <w:rsid w:val="00692A82"/>
    <w:rsid w:val="00692B16"/>
    <w:rsid w:val="00692F4B"/>
    <w:rsid w:val="00693047"/>
    <w:rsid w:val="006932BD"/>
    <w:rsid w:val="00693467"/>
    <w:rsid w:val="0069391B"/>
    <w:rsid w:val="00693AAB"/>
    <w:rsid w:val="0069424D"/>
    <w:rsid w:val="0069454C"/>
    <w:rsid w:val="00695200"/>
    <w:rsid w:val="00695219"/>
    <w:rsid w:val="0069528C"/>
    <w:rsid w:val="00695431"/>
    <w:rsid w:val="006955FB"/>
    <w:rsid w:val="006956D5"/>
    <w:rsid w:val="006957D5"/>
    <w:rsid w:val="006958C2"/>
    <w:rsid w:val="00695A04"/>
    <w:rsid w:val="00695EFF"/>
    <w:rsid w:val="00695F3B"/>
    <w:rsid w:val="00696298"/>
    <w:rsid w:val="006965BA"/>
    <w:rsid w:val="0069694D"/>
    <w:rsid w:val="00697082"/>
    <w:rsid w:val="00697273"/>
    <w:rsid w:val="00697483"/>
    <w:rsid w:val="006978ED"/>
    <w:rsid w:val="006979D2"/>
    <w:rsid w:val="00697B8D"/>
    <w:rsid w:val="00697C21"/>
    <w:rsid w:val="00697FE0"/>
    <w:rsid w:val="006A0055"/>
    <w:rsid w:val="006A0B7F"/>
    <w:rsid w:val="006A15E5"/>
    <w:rsid w:val="006A1C19"/>
    <w:rsid w:val="006A22FA"/>
    <w:rsid w:val="006A2304"/>
    <w:rsid w:val="006A230B"/>
    <w:rsid w:val="006A2DB8"/>
    <w:rsid w:val="006A2DDE"/>
    <w:rsid w:val="006A34E1"/>
    <w:rsid w:val="006A3D49"/>
    <w:rsid w:val="006A3D51"/>
    <w:rsid w:val="006A41DB"/>
    <w:rsid w:val="006A429C"/>
    <w:rsid w:val="006A4377"/>
    <w:rsid w:val="006A4626"/>
    <w:rsid w:val="006A46E0"/>
    <w:rsid w:val="006A5252"/>
    <w:rsid w:val="006A53D4"/>
    <w:rsid w:val="006A5631"/>
    <w:rsid w:val="006A610A"/>
    <w:rsid w:val="006A611E"/>
    <w:rsid w:val="006A6467"/>
    <w:rsid w:val="006A69F8"/>
    <w:rsid w:val="006A6C5C"/>
    <w:rsid w:val="006A6F7B"/>
    <w:rsid w:val="006A7558"/>
    <w:rsid w:val="006A7BA1"/>
    <w:rsid w:val="006A7E8D"/>
    <w:rsid w:val="006B0116"/>
    <w:rsid w:val="006B0689"/>
    <w:rsid w:val="006B0FB4"/>
    <w:rsid w:val="006B1311"/>
    <w:rsid w:val="006B1665"/>
    <w:rsid w:val="006B19B5"/>
    <w:rsid w:val="006B1C72"/>
    <w:rsid w:val="006B1E1B"/>
    <w:rsid w:val="006B21C3"/>
    <w:rsid w:val="006B22E8"/>
    <w:rsid w:val="006B2B19"/>
    <w:rsid w:val="006B30FE"/>
    <w:rsid w:val="006B3178"/>
    <w:rsid w:val="006B31E6"/>
    <w:rsid w:val="006B321F"/>
    <w:rsid w:val="006B3A74"/>
    <w:rsid w:val="006B3FDC"/>
    <w:rsid w:val="006B4231"/>
    <w:rsid w:val="006B4699"/>
    <w:rsid w:val="006B4D6C"/>
    <w:rsid w:val="006B4DF6"/>
    <w:rsid w:val="006B4E4E"/>
    <w:rsid w:val="006B4FDC"/>
    <w:rsid w:val="006B57E0"/>
    <w:rsid w:val="006B5818"/>
    <w:rsid w:val="006B5977"/>
    <w:rsid w:val="006B5B1C"/>
    <w:rsid w:val="006B60B1"/>
    <w:rsid w:val="006B63C6"/>
    <w:rsid w:val="006B7351"/>
    <w:rsid w:val="006B75E4"/>
    <w:rsid w:val="006C0075"/>
    <w:rsid w:val="006C061C"/>
    <w:rsid w:val="006C0AF8"/>
    <w:rsid w:val="006C1303"/>
    <w:rsid w:val="006C1B20"/>
    <w:rsid w:val="006C1CDF"/>
    <w:rsid w:val="006C1E52"/>
    <w:rsid w:val="006C1EB3"/>
    <w:rsid w:val="006C2561"/>
    <w:rsid w:val="006C257B"/>
    <w:rsid w:val="006C29CC"/>
    <w:rsid w:val="006C2BD6"/>
    <w:rsid w:val="006C2C3D"/>
    <w:rsid w:val="006C30D8"/>
    <w:rsid w:val="006C39DA"/>
    <w:rsid w:val="006C3B49"/>
    <w:rsid w:val="006C3B75"/>
    <w:rsid w:val="006C3DE3"/>
    <w:rsid w:val="006C4089"/>
    <w:rsid w:val="006C4813"/>
    <w:rsid w:val="006C4B0B"/>
    <w:rsid w:val="006C4EE4"/>
    <w:rsid w:val="006C4F23"/>
    <w:rsid w:val="006C5332"/>
    <w:rsid w:val="006C56F7"/>
    <w:rsid w:val="006C575A"/>
    <w:rsid w:val="006C597C"/>
    <w:rsid w:val="006C63D3"/>
    <w:rsid w:val="006C6597"/>
    <w:rsid w:val="006C6DE2"/>
    <w:rsid w:val="006C702F"/>
    <w:rsid w:val="006C7B48"/>
    <w:rsid w:val="006C7CB9"/>
    <w:rsid w:val="006C7CE7"/>
    <w:rsid w:val="006C7F42"/>
    <w:rsid w:val="006C7FF7"/>
    <w:rsid w:val="006D01E0"/>
    <w:rsid w:val="006D0297"/>
    <w:rsid w:val="006D04A6"/>
    <w:rsid w:val="006D04F5"/>
    <w:rsid w:val="006D088A"/>
    <w:rsid w:val="006D09DF"/>
    <w:rsid w:val="006D09E2"/>
    <w:rsid w:val="006D0ADD"/>
    <w:rsid w:val="006D0F8A"/>
    <w:rsid w:val="006D1159"/>
    <w:rsid w:val="006D1384"/>
    <w:rsid w:val="006D19DC"/>
    <w:rsid w:val="006D1A02"/>
    <w:rsid w:val="006D1A7F"/>
    <w:rsid w:val="006D1C07"/>
    <w:rsid w:val="006D1CCC"/>
    <w:rsid w:val="006D1E88"/>
    <w:rsid w:val="006D208B"/>
    <w:rsid w:val="006D22EF"/>
    <w:rsid w:val="006D28AF"/>
    <w:rsid w:val="006D321F"/>
    <w:rsid w:val="006D38F1"/>
    <w:rsid w:val="006D420C"/>
    <w:rsid w:val="006D455F"/>
    <w:rsid w:val="006D4A06"/>
    <w:rsid w:val="006D4E22"/>
    <w:rsid w:val="006D5041"/>
    <w:rsid w:val="006D50F8"/>
    <w:rsid w:val="006D5323"/>
    <w:rsid w:val="006D5944"/>
    <w:rsid w:val="006D5A6E"/>
    <w:rsid w:val="006D5C44"/>
    <w:rsid w:val="006D5E1F"/>
    <w:rsid w:val="006D5E44"/>
    <w:rsid w:val="006D6145"/>
    <w:rsid w:val="006D696A"/>
    <w:rsid w:val="006D6AE3"/>
    <w:rsid w:val="006D6BF8"/>
    <w:rsid w:val="006D6D83"/>
    <w:rsid w:val="006D7295"/>
    <w:rsid w:val="006D7A3D"/>
    <w:rsid w:val="006D7A8F"/>
    <w:rsid w:val="006D7BD8"/>
    <w:rsid w:val="006E0252"/>
    <w:rsid w:val="006E0B5E"/>
    <w:rsid w:val="006E1007"/>
    <w:rsid w:val="006E12F7"/>
    <w:rsid w:val="006E1862"/>
    <w:rsid w:val="006E1ECF"/>
    <w:rsid w:val="006E1FF6"/>
    <w:rsid w:val="006E2260"/>
    <w:rsid w:val="006E2B7D"/>
    <w:rsid w:val="006E3ACE"/>
    <w:rsid w:val="006E3B0B"/>
    <w:rsid w:val="006E4296"/>
    <w:rsid w:val="006E482A"/>
    <w:rsid w:val="006E5278"/>
    <w:rsid w:val="006E530F"/>
    <w:rsid w:val="006E544E"/>
    <w:rsid w:val="006E57CB"/>
    <w:rsid w:val="006E5A32"/>
    <w:rsid w:val="006E5A96"/>
    <w:rsid w:val="006E5D53"/>
    <w:rsid w:val="006E5EF9"/>
    <w:rsid w:val="006E6019"/>
    <w:rsid w:val="006E6152"/>
    <w:rsid w:val="006E6242"/>
    <w:rsid w:val="006E63C4"/>
    <w:rsid w:val="006E6CF2"/>
    <w:rsid w:val="006E70AF"/>
    <w:rsid w:val="006E72E7"/>
    <w:rsid w:val="006E7640"/>
    <w:rsid w:val="006E7D53"/>
    <w:rsid w:val="006F020B"/>
    <w:rsid w:val="006F09D0"/>
    <w:rsid w:val="006F09E5"/>
    <w:rsid w:val="006F0CD2"/>
    <w:rsid w:val="006F0FAA"/>
    <w:rsid w:val="006F1649"/>
    <w:rsid w:val="006F1982"/>
    <w:rsid w:val="006F1FB9"/>
    <w:rsid w:val="006F2002"/>
    <w:rsid w:val="006F2237"/>
    <w:rsid w:val="006F2292"/>
    <w:rsid w:val="006F23A2"/>
    <w:rsid w:val="006F23AC"/>
    <w:rsid w:val="006F2870"/>
    <w:rsid w:val="006F2A4F"/>
    <w:rsid w:val="006F3770"/>
    <w:rsid w:val="006F3849"/>
    <w:rsid w:val="006F3A57"/>
    <w:rsid w:val="006F3ADF"/>
    <w:rsid w:val="006F3B83"/>
    <w:rsid w:val="006F3D9B"/>
    <w:rsid w:val="006F40B2"/>
    <w:rsid w:val="006F42A3"/>
    <w:rsid w:val="006F4CD9"/>
    <w:rsid w:val="006F51F9"/>
    <w:rsid w:val="006F53F1"/>
    <w:rsid w:val="006F5903"/>
    <w:rsid w:val="006F5A6E"/>
    <w:rsid w:val="006F5AB5"/>
    <w:rsid w:val="006F5B56"/>
    <w:rsid w:val="006F5BA7"/>
    <w:rsid w:val="006F5D82"/>
    <w:rsid w:val="006F612E"/>
    <w:rsid w:val="006F6727"/>
    <w:rsid w:val="006F6F78"/>
    <w:rsid w:val="006F752C"/>
    <w:rsid w:val="006F7DE7"/>
    <w:rsid w:val="006F7E2B"/>
    <w:rsid w:val="0070033A"/>
    <w:rsid w:val="0070045E"/>
    <w:rsid w:val="007008C8"/>
    <w:rsid w:val="00700D19"/>
    <w:rsid w:val="00700FB0"/>
    <w:rsid w:val="00701309"/>
    <w:rsid w:val="007019D3"/>
    <w:rsid w:val="00701C64"/>
    <w:rsid w:val="00701E44"/>
    <w:rsid w:val="007021E8"/>
    <w:rsid w:val="00703043"/>
    <w:rsid w:val="00703B5C"/>
    <w:rsid w:val="00703D43"/>
    <w:rsid w:val="007040D1"/>
    <w:rsid w:val="0070418D"/>
    <w:rsid w:val="0070497B"/>
    <w:rsid w:val="00704E0D"/>
    <w:rsid w:val="0070529C"/>
    <w:rsid w:val="00705400"/>
    <w:rsid w:val="00705A22"/>
    <w:rsid w:val="00705F1D"/>
    <w:rsid w:val="007060B5"/>
    <w:rsid w:val="0070611B"/>
    <w:rsid w:val="00706203"/>
    <w:rsid w:val="007066CB"/>
    <w:rsid w:val="00707129"/>
    <w:rsid w:val="00707591"/>
    <w:rsid w:val="00707A47"/>
    <w:rsid w:val="00707D7B"/>
    <w:rsid w:val="00707FED"/>
    <w:rsid w:val="00710033"/>
    <w:rsid w:val="00710095"/>
    <w:rsid w:val="00710201"/>
    <w:rsid w:val="00710D34"/>
    <w:rsid w:val="00711548"/>
    <w:rsid w:val="007116A7"/>
    <w:rsid w:val="00711F96"/>
    <w:rsid w:val="00712524"/>
    <w:rsid w:val="007127F4"/>
    <w:rsid w:val="00712D7A"/>
    <w:rsid w:val="007131AB"/>
    <w:rsid w:val="00713328"/>
    <w:rsid w:val="00713578"/>
    <w:rsid w:val="0071371E"/>
    <w:rsid w:val="007137B3"/>
    <w:rsid w:val="007139FF"/>
    <w:rsid w:val="00713B01"/>
    <w:rsid w:val="00713E7C"/>
    <w:rsid w:val="00714AB3"/>
    <w:rsid w:val="00714C81"/>
    <w:rsid w:val="00714D0C"/>
    <w:rsid w:val="00714DC2"/>
    <w:rsid w:val="00714DED"/>
    <w:rsid w:val="007150C9"/>
    <w:rsid w:val="00715628"/>
    <w:rsid w:val="00715BB5"/>
    <w:rsid w:val="00715F8C"/>
    <w:rsid w:val="007163BB"/>
    <w:rsid w:val="00716BA0"/>
    <w:rsid w:val="00716C92"/>
    <w:rsid w:val="007170E0"/>
    <w:rsid w:val="007172FF"/>
    <w:rsid w:val="00717710"/>
    <w:rsid w:val="00717E0E"/>
    <w:rsid w:val="00717F58"/>
    <w:rsid w:val="00720A9A"/>
    <w:rsid w:val="00720AD9"/>
    <w:rsid w:val="00720D39"/>
    <w:rsid w:val="00720D6E"/>
    <w:rsid w:val="00721085"/>
    <w:rsid w:val="0072111B"/>
    <w:rsid w:val="0072121B"/>
    <w:rsid w:val="00721988"/>
    <w:rsid w:val="00722142"/>
    <w:rsid w:val="0072289D"/>
    <w:rsid w:val="00722D31"/>
    <w:rsid w:val="00722E09"/>
    <w:rsid w:val="007230FE"/>
    <w:rsid w:val="0072338D"/>
    <w:rsid w:val="007235DD"/>
    <w:rsid w:val="00724109"/>
    <w:rsid w:val="00724112"/>
    <w:rsid w:val="00724409"/>
    <w:rsid w:val="00724440"/>
    <w:rsid w:val="0072453A"/>
    <w:rsid w:val="00724672"/>
    <w:rsid w:val="0072485A"/>
    <w:rsid w:val="0072495C"/>
    <w:rsid w:val="00724A08"/>
    <w:rsid w:val="0072540A"/>
    <w:rsid w:val="00725423"/>
    <w:rsid w:val="0072590B"/>
    <w:rsid w:val="00725A3D"/>
    <w:rsid w:val="00725D34"/>
    <w:rsid w:val="00726038"/>
    <w:rsid w:val="0072625C"/>
    <w:rsid w:val="00726682"/>
    <w:rsid w:val="007267C5"/>
    <w:rsid w:val="00726B4C"/>
    <w:rsid w:val="00727767"/>
    <w:rsid w:val="007300EA"/>
    <w:rsid w:val="0073046A"/>
    <w:rsid w:val="00730546"/>
    <w:rsid w:val="007308CA"/>
    <w:rsid w:val="00730E45"/>
    <w:rsid w:val="007310C3"/>
    <w:rsid w:val="00731111"/>
    <w:rsid w:val="0073137E"/>
    <w:rsid w:val="007313C9"/>
    <w:rsid w:val="00731B84"/>
    <w:rsid w:val="00731BEB"/>
    <w:rsid w:val="00731D7F"/>
    <w:rsid w:val="00731F48"/>
    <w:rsid w:val="0073246D"/>
    <w:rsid w:val="007324A9"/>
    <w:rsid w:val="00732704"/>
    <w:rsid w:val="00732716"/>
    <w:rsid w:val="0073293E"/>
    <w:rsid w:val="007331A9"/>
    <w:rsid w:val="00733423"/>
    <w:rsid w:val="00733810"/>
    <w:rsid w:val="00733D67"/>
    <w:rsid w:val="007340C7"/>
    <w:rsid w:val="00734238"/>
    <w:rsid w:val="00734498"/>
    <w:rsid w:val="007346F6"/>
    <w:rsid w:val="00734A59"/>
    <w:rsid w:val="0073584B"/>
    <w:rsid w:val="007358DC"/>
    <w:rsid w:val="007359BF"/>
    <w:rsid w:val="00735DA1"/>
    <w:rsid w:val="00735DED"/>
    <w:rsid w:val="00735F82"/>
    <w:rsid w:val="007363DD"/>
    <w:rsid w:val="00736A29"/>
    <w:rsid w:val="00736BAC"/>
    <w:rsid w:val="00736EB3"/>
    <w:rsid w:val="00736F1C"/>
    <w:rsid w:val="00736F39"/>
    <w:rsid w:val="00737151"/>
    <w:rsid w:val="00737238"/>
    <w:rsid w:val="007372D9"/>
    <w:rsid w:val="00737704"/>
    <w:rsid w:val="00740894"/>
    <w:rsid w:val="00740A49"/>
    <w:rsid w:val="00741122"/>
    <w:rsid w:val="0074132B"/>
    <w:rsid w:val="007419AC"/>
    <w:rsid w:val="007419EC"/>
    <w:rsid w:val="00741E40"/>
    <w:rsid w:val="00742B57"/>
    <w:rsid w:val="00742C0C"/>
    <w:rsid w:val="0074305D"/>
    <w:rsid w:val="0074307F"/>
    <w:rsid w:val="0074328D"/>
    <w:rsid w:val="0074363F"/>
    <w:rsid w:val="00743C42"/>
    <w:rsid w:val="00743D32"/>
    <w:rsid w:val="00744537"/>
    <w:rsid w:val="00744F45"/>
    <w:rsid w:val="00745280"/>
    <w:rsid w:val="0074554B"/>
    <w:rsid w:val="00745583"/>
    <w:rsid w:val="007456E8"/>
    <w:rsid w:val="00745939"/>
    <w:rsid w:val="007459B2"/>
    <w:rsid w:val="00745F71"/>
    <w:rsid w:val="00745FB1"/>
    <w:rsid w:val="00746B91"/>
    <w:rsid w:val="00746D8B"/>
    <w:rsid w:val="0074740E"/>
    <w:rsid w:val="00747663"/>
    <w:rsid w:val="00747CDD"/>
    <w:rsid w:val="00747FC8"/>
    <w:rsid w:val="00750717"/>
    <w:rsid w:val="00750A72"/>
    <w:rsid w:val="00750F54"/>
    <w:rsid w:val="00751528"/>
    <w:rsid w:val="00751618"/>
    <w:rsid w:val="007518CB"/>
    <w:rsid w:val="007519CB"/>
    <w:rsid w:val="00752394"/>
    <w:rsid w:val="00752499"/>
    <w:rsid w:val="007525CC"/>
    <w:rsid w:val="00752853"/>
    <w:rsid w:val="00752EA4"/>
    <w:rsid w:val="0075342F"/>
    <w:rsid w:val="00754689"/>
    <w:rsid w:val="00754983"/>
    <w:rsid w:val="00754A69"/>
    <w:rsid w:val="00754D6C"/>
    <w:rsid w:val="00754E5E"/>
    <w:rsid w:val="00755198"/>
    <w:rsid w:val="00755211"/>
    <w:rsid w:val="007552A7"/>
    <w:rsid w:val="007559C2"/>
    <w:rsid w:val="00755A00"/>
    <w:rsid w:val="00755AF7"/>
    <w:rsid w:val="00756ABB"/>
    <w:rsid w:val="00756C0A"/>
    <w:rsid w:val="00757112"/>
    <w:rsid w:val="00757399"/>
    <w:rsid w:val="00757833"/>
    <w:rsid w:val="007578AF"/>
    <w:rsid w:val="00757CAE"/>
    <w:rsid w:val="00757F0A"/>
    <w:rsid w:val="00760371"/>
    <w:rsid w:val="007607A5"/>
    <w:rsid w:val="0076085D"/>
    <w:rsid w:val="00760B26"/>
    <w:rsid w:val="00760BEE"/>
    <w:rsid w:val="0076145C"/>
    <w:rsid w:val="00761B1D"/>
    <w:rsid w:val="00761D1D"/>
    <w:rsid w:val="007622AE"/>
    <w:rsid w:val="00762479"/>
    <w:rsid w:val="007629F2"/>
    <w:rsid w:val="007632B2"/>
    <w:rsid w:val="007634B2"/>
    <w:rsid w:val="007637DF"/>
    <w:rsid w:val="00763EB1"/>
    <w:rsid w:val="00763F66"/>
    <w:rsid w:val="00764154"/>
    <w:rsid w:val="0076448E"/>
    <w:rsid w:val="00764804"/>
    <w:rsid w:val="00764907"/>
    <w:rsid w:val="00764CB7"/>
    <w:rsid w:val="00764F43"/>
    <w:rsid w:val="0076515E"/>
    <w:rsid w:val="00765181"/>
    <w:rsid w:val="007652E9"/>
    <w:rsid w:val="007653FA"/>
    <w:rsid w:val="00765437"/>
    <w:rsid w:val="007655DD"/>
    <w:rsid w:val="0076565E"/>
    <w:rsid w:val="00765909"/>
    <w:rsid w:val="00765E2C"/>
    <w:rsid w:val="007663C8"/>
    <w:rsid w:val="00766762"/>
    <w:rsid w:val="00766B7A"/>
    <w:rsid w:val="00766F6D"/>
    <w:rsid w:val="00767494"/>
    <w:rsid w:val="007675D5"/>
    <w:rsid w:val="00767B52"/>
    <w:rsid w:val="00767C30"/>
    <w:rsid w:val="00770B5F"/>
    <w:rsid w:val="007710EE"/>
    <w:rsid w:val="0077119D"/>
    <w:rsid w:val="007711BC"/>
    <w:rsid w:val="007712E3"/>
    <w:rsid w:val="00771375"/>
    <w:rsid w:val="007717B1"/>
    <w:rsid w:val="00771E01"/>
    <w:rsid w:val="00771F47"/>
    <w:rsid w:val="007724A6"/>
    <w:rsid w:val="00772759"/>
    <w:rsid w:val="007728F1"/>
    <w:rsid w:val="0077297F"/>
    <w:rsid w:val="00772993"/>
    <w:rsid w:val="00772B18"/>
    <w:rsid w:val="00773413"/>
    <w:rsid w:val="00773537"/>
    <w:rsid w:val="007736B4"/>
    <w:rsid w:val="007737E8"/>
    <w:rsid w:val="0077458C"/>
    <w:rsid w:val="0077487C"/>
    <w:rsid w:val="0077488B"/>
    <w:rsid w:val="00774A16"/>
    <w:rsid w:val="00775014"/>
    <w:rsid w:val="007755BF"/>
    <w:rsid w:val="007757C8"/>
    <w:rsid w:val="007759D9"/>
    <w:rsid w:val="007759E5"/>
    <w:rsid w:val="00775F35"/>
    <w:rsid w:val="007760EF"/>
    <w:rsid w:val="00776264"/>
    <w:rsid w:val="0077633C"/>
    <w:rsid w:val="007764FF"/>
    <w:rsid w:val="007766EB"/>
    <w:rsid w:val="007768BC"/>
    <w:rsid w:val="007772AC"/>
    <w:rsid w:val="007776F0"/>
    <w:rsid w:val="0077790C"/>
    <w:rsid w:val="00777A28"/>
    <w:rsid w:val="00777E59"/>
    <w:rsid w:val="00777F11"/>
    <w:rsid w:val="00780223"/>
    <w:rsid w:val="0078028D"/>
    <w:rsid w:val="007802AC"/>
    <w:rsid w:val="00780F28"/>
    <w:rsid w:val="007811D0"/>
    <w:rsid w:val="007815CE"/>
    <w:rsid w:val="00781F92"/>
    <w:rsid w:val="00782680"/>
    <w:rsid w:val="007829E9"/>
    <w:rsid w:val="007830E5"/>
    <w:rsid w:val="0078387D"/>
    <w:rsid w:val="007839AD"/>
    <w:rsid w:val="00783C6C"/>
    <w:rsid w:val="00784493"/>
    <w:rsid w:val="0078450A"/>
    <w:rsid w:val="007846E7"/>
    <w:rsid w:val="00784712"/>
    <w:rsid w:val="00784E88"/>
    <w:rsid w:val="007850AD"/>
    <w:rsid w:val="00785633"/>
    <w:rsid w:val="0078564D"/>
    <w:rsid w:val="007858FF"/>
    <w:rsid w:val="00785955"/>
    <w:rsid w:val="00785C4A"/>
    <w:rsid w:val="0078676A"/>
    <w:rsid w:val="00786867"/>
    <w:rsid w:val="00786FA9"/>
    <w:rsid w:val="0078722A"/>
    <w:rsid w:val="00787246"/>
    <w:rsid w:val="007877AF"/>
    <w:rsid w:val="007879DC"/>
    <w:rsid w:val="00787A78"/>
    <w:rsid w:val="0079057E"/>
    <w:rsid w:val="007905BF"/>
    <w:rsid w:val="00790DA9"/>
    <w:rsid w:val="00791727"/>
    <w:rsid w:val="0079173A"/>
    <w:rsid w:val="0079197F"/>
    <w:rsid w:val="00791E3E"/>
    <w:rsid w:val="00791F1C"/>
    <w:rsid w:val="00792505"/>
    <w:rsid w:val="00792527"/>
    <w:rsid w:val="007926F9"/>
    <w:rsid w:val="00792A26"/>
    <w:rsid w:val="00792B1A"/>
    <w:rsid w:val="00792C0A"/>
    <w:rsid w:val="0079304A"/>
    <w:rsid w:val="0079375A"/>
    <w:rsid w:val="00793953"/>
    <w:rsid w:val="007939C9"/>
    <w:rsid w:val="00793A3C"/>
    <w:rsid w:val="00793EB3"/>
    <w:rsid w:val="00793EF7"/>
    <w:rsid w:val="00793FD4"/>
    <w:rsid w:val="007945AF"/>
    <w:rsid w:val="00794653"/>
    <w:rsid w:val="00794D7F"/>
    <w:rsid w:val="00794EDA"/>
    <w:rsid w:val="00795310"/>
    <w:rsid w:val="00795586"/>
    <w:rsid w:val="00795660"/>
    <w:rsid w:val="00795770"/>
    <w:rsid w:val="0079594B"/>
    <w:rsid w:val="00795C5D"/>
    <w:rsid w:val="007965DA"/>
    <w:rsid w:val="0079668F"/>
    <w:rsid w:val="00796708"/>
    <w:rsid w:val="007970E4"/>
    <w:rsid w:val="00797531"/>
    <w:rsid w:val="00797D4B"/>
    <w:rsid w:val="007A0A4D"/>
    <w:rsid w:val="007A0CFD"/>
    <w:rsid w:val="007A0D65"/>
    <w:rsid w:val="007A0EC1"/>
    <w:rsid w:val="007A1981"/>
    <w:rsid w:val="007A1ACC"/>
    <w:rsid w:val="007A1E35"/>
    <w:rsid w:val="007A1E96"/>
    <w:rsid w:val="007A1EAF"/>
    <w:rsid w:val="007A2013"/>
    <w:rsid w:val="007A2225"/>
    <w:rsid w:val="007A2354"/>
    <w:rsid w:val="007A26AC"/>
    <w:rsid w:val="007A26BA"/>
    <w:rsid w:val="007A2B2A"/>
    <w:rsid w:val="007A2D52"/>
    <w:rsid w:val="007A2F3D"/>
    <w:rsid w:val="007A30E2"/>
    <w:rsid w:val="007A3714"/>
    <w:rsid w:val="007A3D29"/>
    <w:rsid w:val="007A40AD"/>
    <w:rsid w:val="007A40E3"/>
    <w:rsid w:val="007A4456"/>
    <w:rsid w:val="007A45A3"/>
    <w:rsid w:val="007A4EF1"/>
    <w:rsid w:val="007A5017"/>
    <w:rsid w:val="007A507A"/>
    <w:rsid w:val="007A513F"/>
    <w:rsid w:val="007A52CA"/>
    <w:rsid w:val="007A5548"/>
    <w:rsid w:val="007A5C5E"/>
    <w:rsid w:val="007A5D63"/>
    <w:rsid w:val="007A6553"/>
    <w:rsid w:val="007A6C8A"/>
    <w:rsid w:val="007A6D9A"/>
    <w:rsid w:val="007A6E35"/>
    <w:rsid w:val="007A729E"/>
    <w:rsid w:val="007A79F1"/>
    <w:rsid w:val="007A7A7B"/>
    <w:rsid w:val="007A7CD8"/>
    <w:rsid w:val="007B00CD"/>
    <w:rsid w:val="007B0439"/>
    <w:rsid w:val="007B0881"/>
    <w:rsid w:val="007B08B5"/>
    <w:rsid w:val="007B13E7"/>
    <w:rsid w:val="007B15B0"/>
    <w:rsid w:val="007B15C9"/>
    <w:rsid w:val="007B1647"/>
    <w:rsid w:val="007B17C2"/>
    <w:rsid w:val="007B1B32"/>
    <w:rsid w:val="007B1E26"/>
    <w:rsid w:val="007B1E93"/>
    <w:rsid w:val="007B2134"/>
    <w:rsid w:val="007B3074"/>
    <w:rsid w:val="007B3B76"/>
    <w:rsid w:val="007B3DB4"/>
    <w:rsid w:val="007B41DD"/>
    <w:rsid w:val="007B47D5"/>
    <w:rsid w:val="007B4CDA"/>
    <w:rsid w:val="007B4F8F"/>
    <w:rsid w:val="007B52C3"/>
    <w:rsid w:val="007B57B7"/>
    <w:rsid w:val="007B5A5F"/>
    <w:rsid w:val="007B5C3D"/>
    <w:rsid w:val="007B5F05"/>
    <w:rsid w:val="007B62AE"/>
    <w:rsid w:val="007B68CB"/>
    <w:rsid w:val="007B6ACA"/>
    <w:rsid w:val="007B6DF8"/>
    <w:rsid w:val="007B6E0D"/>
    <w:rsid w:val="007B7096"/>
    <w:rsid w:val="007B710E"/>
    <w:rsid w:val="007B7DC8"/>
    <w:rsid w:val="007C01C2"/>
    <w:rsid w:val="007C0381"/>
    <w:rsid w:val="007C0655"/>
    <w:rsid w:val="007C0784"/>
    <w:rsid w:val="007C09B4"/>
    <w:rsid w:val="007C0D8D"/>
    <w:rsid w:val="007C0E3C"/>
    <w:rsid w:val="007C0E9A"/>
    <w:rsid w:val="007C1042"/>
    <w:rsid w:val="007C1562"/>
    <w:rsid w:val="007C1B81"/>
    <w:rsid w:val="007C1DA8"/>
    <w:rsid w:val="007C230B"/>
    <w:rsid w:val="007C25C9"/>
    <w:rsid w:val="007C3220"/>
    <w:rsid w:val="007C322F"/>
    <w:rsid w:val="007C3298"/>
    <w:rsid w:val="007C33A9"/>
    <w:rsid w:val="007C3517"/>
    <w:rsid w:val="007C3D9A"/>
    <w:rsid w:val="007C3E8A"/>
    <w:rsid w:val="007C412E"/>
    <w:rsid w:val="007C47C7"/>
    <w:rsid w:val="007C49C3"/>
    <w:rsid w:val="007C4FDD"/>
    <w:rsid w:val="007C52E1"/>
    <w:rsid w:val="007C55E2"/>
    <w:rsid w:val="007C567E"/>
    <w:rsid w:val="007C5781"/>
    <w:rsid w:val="007C579D"/>
    <w:rsid w:val="007C59D6"/>
    <w:rsid w:val="007C5B34"/>
    <w:rsid w:val="007C5D3D"/>
    <w:rsid w:val="007C5DE3"/>
    <w:rsid w:val="007C5F5B"/>
    <w:rsid w:val="007C6010"/>
    <w:rsid w:val="007C65A0"/>
    <w:rsid w:val="007C6EA0"/>
    <w:rsid w:val="007C6EA5"/>
    <w:rsid w:val="007C7058"/>
    <w:rsid w:val="007C77E8"/>
    <w:rsid w:val="007C7830"/>
    <w:rsid w:val="007C7F3F"/>
    <w:rsid w:val="007D0590"/>
    <w:rsid w:val="007D05E3"/>
    <w:rsid w:val="007D0AA7"/>
    <w:rsid w:val="007D1255"/>
    <w:rsid w:val="007D1A9F"/>
    <w:rsid w:val="007D2A1D"/>
    <w:rsid w:val="007D2A53"/>
    <w:rsid w:val="007D3697"/>
    <w:rsid w:val="007D441A"/>
    <w:rsid w:val="007D443E"/>
    <w:rsid w:val="007D44FA"/>
    <w:rsid w:val="007D48CA"/>
    <w:rsid w:val="007D4ABB"/>
    <w:rsid w:val="007D4B10"/>
    <w:rsid w:val="007D4D0B"/>
    <w:rsid w:val="007D5AC1"/>
    <w:rsid w:val="007D5DE9"/>
    <w:rsid w:val="007D6192"/>
    <w:rsid w:val="007D67FC"/>
    <w:rsid w:val="007D68D1"/>
    <w:rsid w:val="007D6B49"/>
    <w:rsid w:val="007D7561"/>
    <w:rsid w:val="007D75BA"/>
    <w:rsid w:val="007D789B"/>
    <w:rsid w:val="007D7B43"/>
    <w:rsid w:val="007D7B53"/>
    <w:rsid w:val="007D7BFD"/>
    <w:rsid w:val="007D7E0B"/>
    <w:rsid w:val="007D7F92"/>
    <w:rsid w:val="007E00B4"/>
    <w:rsid w:val="007E02F6"/>
    <w:rsid w:val="007E08BA"/>
    <w:rsid w:val="007E08DE"/>
    <w:rsid w:val="007E1212"/>
    <w:rsid w:val="007E1527"/>
    <w:rsid w:val="007E168A"/>
    <w:rsid w:val="007E1A9A"/>
    <w:rsid w:val="007E1D51"/>
    <w:rsid w:val="007E1F32"/>
    <w:rsid w:val="007E25C7"/>
    <w:rsid w:val="007E2719"/>
    <w:rsid w:val="007E2724"/>
    <w:rsid w:val="007E2AA2"/>
    <w:rsid w:val="007E3599"/>
    <w:rsid w:val="007E382D"/>
    <w:rsid w:val="007E3C76"/>
    <w:rsid w:val="007E3CAB"/>
    <w:rsid w:val="007E4053"/>
    <w:rsid w:val="007E425C"/>
    <w:rsid w:val="007E4954"/>
    <w:rsid w:val="007E4A5D"/>
    <w:rsid w:val="007E4BEE"/>
    <w:rsid w:val="007E4E69"/>
    <w:rsid w:val="007E56DF"/>
    <w:rsid w:val="007E5865"/>
    <w:rsid w:val="007E59B2"/>
    <w:rsid w:val="007E5B25"/>
    <w:rsid w:val="007E6CE6"/>
    <w:rsid w:val="007E6F97"/>
    <w:rsid w:val="007E74F8"/>
    <w:rsid w:val="007E7AE5"/>
    <w:rsid w:val="007E7D9E"/>
    <w:rsid w:val="007E7F30"/>
    <w:rsid w:val="007F055B"/>
    <w:rsid w:val="007F10D6"/>
    <w:rsid w:val="007F10EC"/>
    <w:rsid w:val="007F1275"/>
    <w:rsid w:val="007F1E59"/>
    <w:rsid w:val="007F1FF2"/>
    <w:rsid w:val="007F2197"/>
    <w:rsid w:val="007F288B"/>
    <w:rsid w:val="007F2D99"/>
    <w:rsid w:val="007F379B"/>
    <w:rsid w:val="007F380C"/>
    <w:rsid w:val="007F3849"/>
    <w:rsid w:val="007F3EC4"/>
    <w:rsid w:val="007F3F7E"/>
    <w:rsid w:val="007F4456"/>
    <w:rsid w:val="007F4B36"/>
    <w:rsid w:val="007F4C05"/>
    <w:rsid w:val="007F4C2E"/>
    <w:rsid w:val="007F4F9B"/>
    <w:rsid w:val="007F531A"/>
    <w:rsid w:val="007F53EE"/>
    <w:rsid w:val="007F548A"/>
    <w:rsid w:val="007F588D"/>
    <w:rsid w:val="007F58AA"/>
    <w:rsid w:val="007F5A4C"/>
    <w:rsid w:val="007F5B11"/>
    <w:rsid w:val="007F5C32"/>
    <w:rsid w:val="007F63A6"/>
    <w:rsid w:val="007F67A6"/>
    <w:rsid w:val="007F6C41"/>
    <w:rsid w:val="007F6D2C"/>
    <w:rsid w:val="007F6E29"/>
    <w:rsid w:val="007F7324"/>
    <w:rsid w:val="007F7B19"/>
    <w:rsid w:val="007F7BC2"/>
    <w:rsid w:val="00800627"/>
    <w:rsid w:val="00800AB0"/>
    <w:rsid w:val="008011B9"/>
    <w:rsid w:val="008011E0"/>
    <w:rsid w:val="008012FF"/>
    <w:rsid w:val="008014A4"/>
    <w:rsid w:val="00801601"/>
    <w:rsid w:val="00801833"/>
    <w:rsid w:val="00801A02"/>
    <w:rsid w:val="00801D67"/>
    <w:rsid w:val="00801D89"/>
    <w:rsid w:val="0080252F"/>
    <w:rsid w:val="008028B6"/>
    <w:rsid w:val="0080298A"/>
    <w:rsid w:val="00802DCE"/>
    <w:rsid w:val="00803464"/>
    <w:rsid w:val="0080367F"/>
    <w:rsid w:val="008043A8"/>
    <w:rsid w:val="00804A3E"/>
    <w:rsid w:val="00804C8B"/>
    <w:rsid w:val="0080524E"/>
    <w:rsid w:val="00805492"/>
    <w:rsid w:val="00805788"/>
    <w:rsid w:val="00805EE7"/>
    <w:rsid w:val="00806414"/>
    <w:rsid w:val="008064E4"/>
    <w:rsid w:val="00806BA9"/>
    <w:rsid w:val="008072A1"/>
    <w:rsid w:val="00807394"/>
    <w:rsid w:val="00807AEA"/>
    <w:rsid w:val="00810EB3"/>
    <w:rsid w:val="00810FE7"/>
    <w:rsid w:val="008110D9"/>
    <w:rsid w:val="0081119C"/>
    <w:rsid w:val="00811EB1"/>
    <w:rsid w:val="008120DF"/>
    <w:rsid w:val="008124CA"/>
    <w:rsid w:val="00812C0B"/>
    <w:rsid w:val="00812E15"/>
    <w:rsid w:val="00812E7B"/>
    <w:rsid w:val="00813083"/>
    <w:rsid w:val="00813288"/>
    <w:rsid w:val="008132D0"/>
    <w:rsid w:val="0081366E"/>
    <w:rsid w:val="008138B6"/>
    <w:rsid w:val="00813DF8"/>
    <w:rsid w:val="0081446E"/>
    <w:rsid w:val="00814983"/>
    <w:rsid w:val="00814FDF"/>
    <w:rsid w:val="00815018"/>
    <w:rsid w:val="008155F2"/>
    <w:rsid w:val="0081576E"/>
    <w:rsid w:val="00816124"/>
    <w:rsid w:val="008162B3"/>
    <w:rsid w:val="008165D5"/>
    <w:rsid w:val="00816710"/>
    <w:rsid w:val="0081677E"/>
    <w:rsid w:val="008169C0"/>
    <w:rsid w:val="00816B1A"/>
    <w:rsid w:val="0081739D"/>
    <w:rsid w:val="008174C6"/>
    <w:rsid w:val="008176F4"/>
    <w:rsid w:val="008177D1"/>
    <w:rsid w:val="00817940"/>
    <w:rsid w:val="00817A68"/>
    <w:rsid w:val="00817F63"/>
    <w:rsid w:val="00820182"/>
    <w:rsid w:val="008207ED"/>
    <w:rsid w:val="00821313"/>
    <w:rsid w:val="00821326"/>
    <w:rsid w:val="00821560"/>
    <w:rsid w:val="0082192F"/>
    <w:rsid w:val="00821BC3"/>
    <w:rsid w:val="00822366"/>
    <w:rsid w:val="00822B06"/>
    <w:rsid w:val="00823198"/>
    <w:rsid w:val="00823784"/>
    <w:rsid w:val="00823868"/>
    <w:rsid w:val="00823F1E"/>
    <w:rsid w:val="0082426E"/>
    <w:rsid w:val="00824412"/>
    <w:rsid w:val="0082443B"/>
    <w:rsid w:val="0082456C"/>
    <w:rsid w:val="0082480C"/>
    <w:rsid w:val="00824B36"/>
    <w:rsid w:val="00825476"/>
    <w:rsid w:val="008257D2"/>
    <w:rsid w:val="0082592D"/>
    <w:rsid w:val="00825B08"/>
    <w:rsid w:val="00825BEE"/>
    <w:rsid w:val="00826650"/>
    <w:rsid w:val="00826DE5"/>
    <w:rsid w:val="008272BB"/>
    <w:rsid w:val="00827742"/>
    <w:rsid w:val="008279A9"/>
    <w:rsid w:val="00827EC1"/>
    <w:rsid w:val="00830600"/>
    <w:rsid w:val="00830638"/>
    <w:rsid w:val="008311C4"/>
    <w:rsid w:val="00831A49"/>
    <w:rsid w:val="00831BCF"/>
    <w:rsid w:val="00831D5C"/>
    <w:rsid w:val="00831DF0"/>
    <w:rsid w:val="00831E7A"/>
    <w:rsid w:val="00832985"/>
    <w:rsid w:val="008337B5"/>
    <w:rsid w:val="008339F3"/>
    <w:rsid w:val="00833A5D"/>
    <w:rsid w:val="00833B59"/>
    <w:rsid w:val="00834236"/>
    <w:rsid w:val="0083538A"/>
    <w:rsid w:val="00835484"/>
    <w:rsid w:val="008359F2"/>
    <w:rsid w:val="00835BC5"/>
    <w:rsid w:val="00835C0E"/>
    <w:rsid w:val="008364C3"/>
    <w:rsid w:val="0083657F"/>
    <w:rsid w:val="00836C79"/>
    <w:rsid w:val="00837204"/>
    <w:rsid w:val="00837930"/>
    <w:rsid w:val="00837AE6"/>
    <w:rsid w:val="00837AF8"/>
    <w:rsid w:val="00837B8D"/>
    <w:rsid w:val="00840805"/>
    <w:rsid w:val="00840908"/>
    <w:rsid w:val="008409C0"/>
    <w:rsid w:val="008409E5"/>
    <w:rsid w:val="00840D65"/>
    <w:rsid w:val="00840D76"/>
    <w:rsid w:val="00841198"/>
    <w:rsid w:val="0084125B"/>
    <w:rsid w:val="00841780"/>
    <w:rsid w:val="0084243D"/>
    <w:rsid w:val="00842500"/>
    <w:rsid w:val="00842DE7"/>
    <w:rsid w:val="00842DF2"/>
    <w:rsid w:val="00842E14"/>
    <w:rsid w:val="008436BA"/>
    <w:rsid w:val="00843993"/>
    <w:rsid w:val="008439C9"/>
    <w:rsid w:val="00843A5C"/>
    <w:rsid w:val="00843AF8"/>
    <w:rsid w:val="0084405D"/>
    <w:rsid w:val="008441C7"/>
    <w:rsid w:val="00844B27"/>
    <w:rsid w:val="00844C36"/>
    <w:rsid w:val="008450A8"/>
    <w:rsid w:val="008454C4"/>
    <w:rsid w:val="00845F1E"/>
    <w:rsid w:val="008461CF"/>
    <w:rsid w:val="00846481"/>
    <w:rsid w:val="00846862"/>
    <w:rsid w:val="00846C16"/>
    <w:rsid w:val="00846E5C"/>
    <w:rsid w:val="0084741D"/>
    <w:rsid w:val="00847467"/>
    <w:rsid w:val="00847AC0"/>
    <w:rsid w:val="00847EB8"/>
    <w:rsid w:val="00850138"/>
    <w:rsid w:val="008502D1"/>
    <w:rsid w:val="0085034E"/>
    <w:rsid w:val="00850B25"/>
    <w:rsid w:val="00850C98"/>
    <w:rsid w:val="00850D65"/>
    <w:rsid w:val="00850F2D"/>
    <w:rsid w:val="00851132"/>
    <w:rsid w:val="00851710"/>
    <w:rsid w:val="00851C2E"/>
    <w:rsid w:val="00851D4D"/>
    <w:rsid w:val="00852137"/>
    <w:rsid w:val="0085214D"/>
    <w:rsid w:val="00852197"/>
    <w:rsid w:val="008528CD"/>
    <w:rsid w:val="00852904"/>
    <w:rsid w:val="00853371"/>
    <w:rsid w:val="008533B7"/>
    <w:rsid w:val="00853485"/>
    <w:rsid w:val="00853666"/>
    <w:rsid w:val="00853CFB"/>
    <w:rsid w:val="008540DE"/>
    <w:rsid w:val="008540E2"/>
    <w:rsid w:val="008547A1"/>
    <w:rsid w:val="0085534B"/>
    <w:rsid w:val="0085537A"/>
    <w:rsid w:val="008555A9"/>
    <w:rsid w:val="00855DBC"/>
    <w:rsid w:val="00855F82"/>
    <w:rsid w:val="0085605A"/>
    <w:rsid w:val="008565BC"/>
    <w:rsid w:val="00856909"/>
    <w:rsid w:val="00856BF5"/>
    <w:rsid w:val="00856EF6"/>
    <w:rsid w:val="008570BC"/>
    <w:rsid w:val="008570E1"/>
    <w:rsid w:val="00857813"/>
    <w:rsid w:val="00857873"/>
    <w:rsid w:val="00857980"/>
    <w:rsid w:val="00860568"/>
    <w:rsid w:val="0086089A"/>
    <w:rsid w:val="00860CD2"/>
    <w:rsid w:val="00860E30"/>
    <w:rsid w:val="00860E4B"/>
    <w:rsid w:val="008616B1"/>
    <w:rsid w:val="008617CE"/>
    <w:rsid w:val="008619F0"/>
    <w:rsid w:val="0086264D"/>
    <w:rsid w:val="00862784"/>
    <w:rsid w:val="00862D87"/>
    <w:rsid w:val="00862F48"/>
    <w:rsid w:val="0086331D"/>
    <w:rsid w:val="008638BD"/>
    <w:rsid w:val="00863AC1"/>
    <w:rsid w:val="00863CB8"/>
    <w:rsid w:val="00864A42"/>
    <w:rsid w:val="00865007"/>
    <w:rsid w:val="0086506E"/>
    <w:rsid w:val="0086526F"/>
    <w:rsid w:val="008653BB"/>
    <w:rsid w:val="00865B6E"/>
    <w:rsid w:val="00865C67"/>
    <w:rsid w:val="00865C92"/>
    <w:rsid w:val="008662BA"/>
    <w:rsid w:val="008665D6"/>
    <w:rsid w:val="00866667"/>
    <w:rsid w:val="00866981"/>
    <w:rsid w:val="00866A7D"/>
    <w:rsid w:val="00866FB2"/>
    <w:rsid w:val="00867010"/>
    <w:rsid w:val="00867121"/>
    <w:rsid w:val="00867369"/>
    <w:rsid w:val="008676CD"/>
    <w:rsid w:val="00867889"/>
    <w:rsid w:val="00867B5F"/>
    <w:rsid w:val="00867E3F"/>
    <w:rsid w:val="00867F5F"/>
    <w:rsid w:val="00870A8B"/>
    <w:rsid w:val="00871073"/>
    <w:rsid w:val="008717C0"/>
    <w:rsid w:val="00871ED9"/>
    <w:rsid w:val="00872443"/>
    <w:rsid w:val="008724F8"/>
    <w:rsid w:val="00872811"/>
    <w:rsid w:val="008728F2"/>
    <w:rsid w:val="00872A88"/>
    <w:rsid w:val="00872BB3"/>
    <w:rsid w:val="00872D5A"/>
    <w:rsid w:val="00872FCA"/>
    <w:rsid w:val="0087345A"/>
    <w:rsid w:val="0087351F"/>
    <w:rsid w:val="0087363C"/>
    <w:rsid w:val="008738E4"/>
    <w:rsid w:val="00873EF2"/>
    <w:rsid w:val="00874096"/>
    <w:rsid w:val="008746E8"/>
    <w:rsid w:val="008748DD"/>
    <w:rsid w:val="00874C95"/>
    <w:rsid w:val="00874DFD"/>
    <w:rsid w:val="00875210"/>
    <w:rsid w:val="0087592C"/>
    <w:rsid w:val="00875991"/>
    <w:rsid w:val="00876030"/>
    <w:rsid w:val="0087639C"/>
    <w:rsid w:val="008763EE"/>
    <w:rsid w:val="00876A1F"/>
    <w:rsid w:val="00876BC1"/>
    <w:rsid w:val="00877090"/>
    <w:rsid w:val="008775AD"/>
    <w:rsid w:val="00877784"/>
    <w:rsid w:val="008778AE"/>
    <w:rsid w:val="00877948"/>
    <w:rsid w:val="00877A05"/>
    <w:rsid w:val="008805DB"/>
    <w:rsid w:val="008807FE"/>
    <w:rsid w:val="00880C0A"/>
    <w:rsid w:val="00880D51"/>
    <w:rsid w:val="00880D71"/>
    <w:rsid w:val="0088100A"/>
    <w:rsid w:val="0088125A"/>
    <w:rsid w:val="008812E8"/>
    <w:rsid w:val="00881418"/>
    <w:rsid w:val="008814EC"/>
    <w:rsid w:val="0088177D"/>
    <w:rsid w:val="00881D03"/>
    <w:rsid w:val="008821CC"/>
    <w:rsid w:val="008825D3"/>
    <w:rsid w:val="00882BF0"/>
    <w:rsid w:val="008830F3"/>
    <w:rsid w:val="008833DF"/>
    <w:rsid w:val="00883A05"/>
    <w:rsid w:val="0088426B"/>
    <w:rsid w:val="0088460B"/>
    <w:rsid w:val="008846A4"/>
    <w:rsid w:val="00885129"/>
    <w:rsid w:val="00885161"/>
    <w:rsid w:val="00885305"/>
    <w:rsid w:val="008853EA"/>
    <w:rsid w:val="00885589"/>
    <w:rsid w:val="00885764"/>
    <w:rsid w:val="00885784"/>
    <w:rsid w:val="008857CF"/>
    <w:rsid w:val="00885807"/>
    <w:rsid w:val="00885987"/>
    <w:rsid w:val="00885A8D"/>
    <w:rsid w:val="00885DAA"/>
    <w:rsid w:val="00885DE9"/>
    <w:rsid w:val="00886002"/>
    <w:rsid w:val="008860CF"/>
    <w:rsid w:val="0088611C"/>
    <w:rsid w:val="008864C4"/>
    <w:rsid w:val="008864ED"/>
    <w:rsid w:val="0088653D"/>
    <w:rsid w:val="00886971"/>
    <w:rsid w:val="00886A4E"/>
    <w:rsid w:val="00886C57"/>
    <w:rsid w:val="008871E3"/>
    <w:rsid w:val="00887223"/>
    <w:rsid w:val="008873A7"/>
    <w:rsid w:val="008878D7"/>
    <w:rsid w:val="008879AB"/>
    <w:rsid w:val="00887A37"/>
    <w:rsid w:val="00887CCD"/>
    <w:rsid w:val="00887EEB"/>
    <w:rsid w:val="0089003C"/>
    <w:rsid w:val="00890681"/>
    <w:rsid w:val="008909B6"/>
    <w:rsid w:val="008909E4"/>
    <w:rsid w:val="00891215"/>
    <w:rsid w:val="00891360"/>
    <w:rsid w:val="00891807"/>
    <w:rsid w:val="00891992"/>
    <w:rsid w:val="00892989"/>
    <w:rsid w:val="00892D54"/>
    <w:rsid w:val="008930B9"/>
    <w:rsid w:val="00893AC9"/>
    <w:rsid w:val="00893BBA"/>
    <w:rsid w:val="008941DE"/>
    <w:rsid w:val="00894524"/>
    <w:rsid w:val="0089481C"/>
    <w:rsid w:val="00894C98"/>
    <w:rsid w:val="00894D2F"/>
    <w:rsid w:val="00895483"/>
    <w:rsid w:val="00895691"/>
    <w:rsid w:val="00895807"/>
    <w:rsid w:val="00895DF3"/>
    <w:rsid w:val="00896059"/>
    <w:rsid w:val="00896132"/>
    <w:rsid w:val="008964EA"/>
    <w:rsid w:val="008966B6"/>
    <w:rsid w:val="008967D1"/>
    <w:rsid w:val="00896907"/>
    <w:rsid w:val="00896E2D"/>
    <w:rsid w:val="008971A7"/>
    <w:rsid w:val="008971F8"/>
    <w:rsid w:val="008974CD"/>
    <w:rsid w:val="00897852"/>
    <w:rsid w:val="00897E6E"/>
    <w:rsid w:val="008A03BC"/>
    <w:rsid w:val="008A08F5"/>
    <w:rsid w:val="008A1761"/>
    <w:rsid w:val="008A1964"/>
    <w:rsid w:val="008A1CB0"/>
    <w:rsid w:val="008A1D76"/>
    <w:rsid w:val="008A23D6"/>
    <w:rsid w:val="008A2473"/>
    <w:rsid w:val="008A2780"/>
    <w:rsid w:val="008A2917"/>
    <w:rsid w:val="008A2C46"/>
    <w:rsid w:val="008A39F8"/>
    <w:rsid w:val="008A4533"/>
    <w:rsid w:val="008A4A43"/>
    <w:rsid w:val="008A4B01"/>
    <w:rsid w:val="008A4CB9"/>
    <w:rsid w:val="008A4D4A"/>
    <w:rsid w:val="008A534D"/>
    <w:rsid w:val="008A69FA"/>
    <w:rsid w:val="008A6C7B"/>
    <w:rsid w:val="008A6D25"/>
    <w:rsid w:val="008A6DC6"/>
    <w:rsid w:val="008A70C6"/>
    <w:rsid w:val="008A71CC"/>
    <w:rsid w:val="008A7371"/>
    <w:rsid w:val="008A7848"/>
    <w:rsid w:val="008B0C13"/>
    <w:rsid w:val="008B123E"/>
    <w:rsid w:val="008B14F2"/>
    <w:rsid w:val="008B2063"/>
    <w:rsid w:val="008B218E"/>
    <w:rsid w:val="008B27AF"/>
    <w:rsid w:val="008B29D5"/>
    <w:rsid w:val="008B35E0"/>
    <w:rsid w:val="008B364E"/>
    <w:rsid w:val="008B369A"/>
    <w:rsid w:val="008B36E5"/>
    <w:rsid w:val="008B3993"/>
    <w:rsid w:val="008B3B2B"/>
    <w:rsid w:val="008B4BD2"/>
    <w:rsid w:val="008B4CD9"/>
    <w:rsid w:val="008B51FA"/>
    <w:rsid w:val="008B542E"/>
    <w:rsid w:val="008B5792"/>
    <w:rsid w:val="008B58D3"/>
    <w:rsid w:val="008B58F6"/>
    <w:rsid w:val="008B5C63"/>
    <w:rsid w:val="008B5D90"/>
    <w:rsid w:val="008B6102"/>
    <w:rsid w:val="008B68AF"/>
    <w:rsid w:val="008B7729"/>
    <w:rsid w:val="008B78B7"/>
    <w:rsid w:val="008B7D99"/>
    <w:rsid w:val="008C06EF"/>
    <w:rsid w:val="008C09DD"/>
    <w:rsid w:val="008C1229"/>
    <w:rsid w:val="008C1687"/>
    <w:rsid w:val="008C1B16"/>
    <w:rsid w:val="008C1BE5"/>
    <w:rsid w:val="008C1C40"/>
    <w:rsid w:val="008C1F34"/>
    <w:rsid w:val="008C252F"/>
    <w:rsid w:val="008C2981"/>
    <w:rsid w:val="008C3A94"/>
    <w:rsid w:val="008C3C1C"/>
    <w:rsid w:val="008C3D09"/>
    <w:rsid w:val="008C3F37"/>
    <w:rsid w:val="008C47AE"/>
    <w:rsid w:val="008C497F"/>
    <w:rsid w:val="008C49EB"/>
    <w:rsid w:val="008C4BC8"/>
    <w:rsid w:val="008C4E98"/>
    <w:rsid w:val="008C5251"/>
    <w:rsid w:val="008C56BD"/>
    <w:rsid w:val="008C58DA"/>
    <w:rsid w:val="008C5E13"/>
    <w:rsid w:val="008C5E68"/>
    <w:rsid w:val="008C6146"/>
    <w:rsid w:val="008C6251"/>
    <w:rsid w:val="008C637A"/>
    <w:rsid w:val="008C6601"/>
    <w:rsid w:val="008C6D8F"/>
    <w:rsid w:val="008C74AA"/>
    <w:rsid w:val="008C7533"/>
    <w:rsid w:val="008C7731"/>
    <w:rsid w:val="008C7DBC"/>
    <w:rsid w:val="008C7E21"/>
    <w:rsid w:val="008C7FE2"/>
    <w:rsid w:val="008D03EB"/>
    <w:rsid w:val="008D0AE3"/>
    <w:rsid w:val="008D12D5"/>
    <w:rsid w:val="008D196A"/>
    <w:rsid w:val="008D1970"/>
    <w:rsid w:val="008D1D09"/>
    <w:rsid w:val="008D1F6F"/>
    <w:rsid w:val="008D27DE"/>
    <w:rsid w:val="008D3179"/>
    <w:rsid w:val="008D3ADA"/>
    <w:rsid w:val="008D3D2C"/>
    <w:rsid w:val="008D3D4B"/>
    <w:rsid w:val="008D3DF2"/>
    <w:rsid w:val="008D40F6"/>
    <w:rsid w:val="008D4A99"/>
    <w:rsid w:val="008D4B8E"/>
    <w:rsid w:val="008D507A"/>
    <w:rsid w:val="008D55A3"/>
    <w:rsid w:val="008D5B11"/>
    <w:rsid w:val="008D5C20"/>
    <w:rsid w:val="008D5DEC"/>
    <w:rsid w:val="008D5FD4"/>
    <w:rsid w:val="008D61B6"/>
    <w:rsid w:val="008D61EB"/>
    <w:rsid w:val="008D64FA"/>
    <w:rsid w:val="008D6501"/>
    <w:rsid w:val="008D6788"/>
    <w:rsid w:val="008D6BBA"/>
    <w:rsid w:val="008D7386"/>
    <w:rsid w:val="008D76C0"/>
    <w:rsid w:val="008D7784"/>
    <w:rsid w:val="008E0000"/>
    <w:rsid w:val="008E063A"/>
    <w:rsid w:val="008E0A4C"/>
    <w:rsid w:val="008E1385"/>
    <w:rsid w:val="008E15E4"/>
    <w:rsid w:val="008E1744"/>
    <w:rsid w:val="008E183D"/>
    <w:rsid w:val="008E1AFA"/>
    <w:rsid w:val="008E1C53"/>
    <w:rsid w:val="008E23C7"/>
    <w:rsid w:val="008E264E"/>
    <w:rsid w:val="008E28DB"/>
    <w:rsid w:val="008E2947"/>
    <w:rsid w:val="008E2A47"/>
    <w:rsid w:val="008E2D38"/>
    <w:rsid w:val="008E3A8E"/>
    <w:rsid w:val="008E3C3F"/>
    <w:rsid w:val="008E4210"/>
    <w:rsid w:val="008E441F"/>
    <w:rsid w:val="008E4646"/>
    <w:rsid w:val="008E4870"/>
    <w:rsid w:val="008E4BBA"/>
    <w:rsid w:val="008E4D7E"/>
    <w:rsid w:val="008E519E"/>
    <w:rsid w:val="008E52E6"/>
    <w:rsid w:val="008E58F1"/>
    <w:rsid w:val="008E5ADF"/>
    <w:rsid w:val="008E5CB3"/>
    <w:rsid w:val="008E5DC2"/>
    <w:rsid w:val="008E5DFF"/>
    <w:rsid w:val="008E65A1"/>
    <w:rsid w:val="008E6A40"/>
    <w:rsid w:val="008E6FBD"/>
    <w:rsid w:val="008E7284"/>
    <w:rsid w:val="008E7348"/>
    <w:rsid w:val="008E74BF"/>
    <w:rsid w:val="008E75DD"/>
    <w:rsid w:val="008E7895"/>
    <w:rsid w:val="008E7948"/>
    <w:rsid w:val="008E7FD6"/>
    <w:rsid w:val="008F0229"/>
    <w:rsid w:val="008F025D"/>
    <w:rsid w:val="008F02A1"/>
    <w:rsid w:val="008F043B"/>
    <w:rsid w:val="008F07C0"/>
    <w:rsid w:val="008F1225"/>
    <w:rsid w:val="008F13CC"/>
    <w:rsid w:val="008F1425"/>
    <w:rsid w:val="008F14E1"/>
    <w:rsid w:val="008F16B2"/>
    <w:rsid w:val="008F1A28"/>
    <w:rsid w:val="008F1D9C"/>
    <w:rsid w:val="008F20F1"/>
    <w:rsid w:val="008F280C"/>
    <w:rsid w:val="008F2B23"/>
    <w:rsid w:val="008F2DE8"/>
    <w:rsid w:val="008F307F"/>
    <w:rsid w:val="008F3B21"/>
    <w:rsid w:val="008F3F33"/>
    <w:rsid w:val="008F3F92"/>
    <w:rsid w:val="008F4108"/>
    <w:rsid w:val="008F424A"/>
    <w:rsid w:val="008F4947"/>
    <w:rsid w:val="008F4BC6"/>
    <w:rsid w:val="008F526E"/>
    <w:rsid w:val="008F52AD"/>
    <w:rsid w:val="008F57CC"/>
    <w:rsid w:val="008F5D23"/>
    <w:rsid w:val="008F60F2"/>
    <w:rsid w:val="008F6555"/>
    <w:rsid w:val="008F6656"/>
    <w:rsid w:val="008F686F"/>
    <w:rsid w:val="008F688A"/>
    <w:rsid w:val="008F6973"/>
    <w:rsid w:val="008F72BF"/>
    <w:rsid w:val="008F77AD"/>
    <w:rsid w:val="008F7C5A"/>
    <w:rsid w:val="009001C6"/>
    <w:rsid w:val="009001DE"/>
    <w:rsid w:val="009005BC"/>
    <w:rsid w:val="0090076E"/>
    <w:rsid w:val="009008DD"/>
    <w:rsid w:val="00900E60"/>
    <w:rsid w:val="00900FA9"/>
    <w:rsid w:val="0090101C"/>
    <w:rsid w:val="009016AE"/>
    <w:rsid w:val="0090175B"/>
    <w:rsid w:val="00901803"/>
    <w:rsid w:val="00901EDD"/>
    <w:rsid w:val="00902509"/>
    <w:rsid w:val="009026B8"/>
    <w:rsid w:val="0090274D"/>
    <w:rsid w:val="00902805"/>
    <w:rsid w:val="00902FD7"/>
    <w:rsid w:val="00903157"/>
    <w:rsid w:val="00903484"/>
    <w:rsid w:val="009034BF"/>
    <w:rsid w:val="00903692"/>
    <w:rsid w:val="00903A01"/>
    <w:rsid w:val="00903AEA"/>
    <w:rsid w:val="00903B2F"/>
    <w:rsid w:val="00903BBA"/>
    <w:rsid w:val="00903E1D"/>
    <w:rsid w:val="00904888"/>
    <w:rsid w:val="009048F7"/>
    <w:rsid w:val="00904A91"/>
    <w:rsid w:val="00904AB7"/>
    <w:rsid w:val="00904FDD"/>
    <w:rsid w:val="009059C3"/>
    <w:rsid w:val="009060EB"/>
    <w:rsid w:val="009065B5"/>
    <w:rsid w:val="00906779"/>
    <w:rsid w:val="009068F0"/>
    <w:rsid w:val="00906B85"/>
    <w:rsid w:val="0090764B"/>
    <w:rsid w:val="0090769A"/>
    <w:rsid w:val="009079D9"/>
    <w:rsid w:val="009079F8"/>
    <w:rsid w:val="00907CF3"/>
    <w:rsid w:val="00907CFA"/>
    <w:rsid w:val="00907D61"/>
    <w:rsid w:val="0091023F"/>
    <w:rsid w:val="00910358"/>
    <w:rsid w:val="0091056D"/>
    <w:rsid w:val="0091081E"/>
    <w:rsid w:val="0091117E"/>
    <w:rsid w:val="00911450"/>
    <w:rsid w:val="009116C4"/>
    <w:rsid w:val="00911947"/>
    <w:rsid w:val="0091223F"/>
    <w:rsid w:val="00912EF6"/>
    <w:rsid w:val="00912F2F"/>
    <w:rsid w:val="009130CD"/>
    <w:rsid w:val="009137A4"/>
    <w:rsid w:val="009137EE"/>
    <w:rsid w:val="00913C45"/>
    <w:rsid w:val="009146FE"/>
    <w:rsid w:val="00914853"/>
    <w:rsid w:val="00914D5F"/>
    <w:rsid w:val="00915036"/>
    <w:rsid w:val="00915064"/>
    <w:rsid w:val="009150BD"/>
    <w:rsid w:val="009150F0"/>
    <w:rsid w:val="00915DCF"/>
    <w:rsid w:val="00916B39"/>
    <w:rsid w:val="00916EA9"/>
    <w:rsid w:val="00920588"/>
    <w:rsid w:val="009206EA"/>
    <w:rsid w:val="00920A18"/>
    <w:rsid w:val="00920DC4"/>
    <w:rsid w:val="00920E50"/>
    <w:rsid w:val="009211FB"/>
    <w:rsid w:val="009213B9"/>
    <w:rsid w:val="00921430"/>
    <w:rsid w:val="00921445"/>
    <w:rsid w:val="00921CA1"/>
    <w:rsid w:val="00921FBE"/>
    <w:rsid w:val="00922022"/>
    <w:rsid w:val="00922ECF"/>
    <w:rsid w:val="00923519"/>
    <w:rsid w:val="009241E5"/>
    <w:rsid w:val="009242E9"/>
    <w:rsid w:val="0092433C"/>
    <w:rsid w:val="00924407"/>
    <w:rsid w:val="009245B4"/>
    <w:rsid w:val="009245EB"/>
    <w:rsid w:val="00924981"/>
    <w:rsid w:val="00924A32"/>
    <w:rsid w:val="00924F92"/>
    <w:rsid w:val="00925222"/>
    <w:rsid w:val="00925619"/>
    <w:rsid w:val="009260AD"/>
    <w:rsid w:val="00926132"/>
    <w:rsid w:val="0092613B"/>
    <w:rsid w:val="00926329"/>
    <w:rsid w:val="00926CCD"/>
    <w:rsid w:val="00927110"/>
    <w:rsid w:val="009273C7"/>
    <w:rsid w:val="00927749"/>
    <w:rsid w:val="00927C01"/>
    <w:rsid w:val="00927DE2"/>
    <w:rsid w:val="00930260"/>
    <w:rsid w:val="0093044E"/>
    <w:rsid w:val="0093074A"/>
    <w:rsid w:val="00930A1F"/>
    <w:rsid w:val="00930CF7"/>
    <w:rsid w:val="009313A9"/>
    <w:rsid w:val="009313D7"/>
    <w:rsid w:val="00931653"/>
    <w:rsid w:val="00931F50"/>
    <w:rsid w:val="00932098"/>
    <w:rsid w:val="009325FB"/>
    <w:rsid w:val="00932662"/>
    <w:rsid w:val="00932767"/>
    <w:rsid w:val="00932818"/>
    <w:rsid w:val="009328D0"/>
    <w:rsid w:val="00932985"/>
    <w:rsid w:val="00932E57"/>
    <w:rsid w:val="0093351D"/>
    <w:rsid w:val="009339EB"/>
    <w:rsid w:val="00933B5A"/>
    <w:rsid w:val="00933CAD"/>
    <w:rsid w:val="00934062"/>
    <w:rsid w:val="0093479D"/>
    <w:rsid w:val="00934829"/>
    <w:rsid w:val="00934A2E"/>
    <w:rsid w:val="00934D4C"/>
    <w:rsid w:val="0093540A"/>
    <w:rsid w:val="00935486"/>
    <w:rsid w:val="00935520"/>
    <w:rsid w:val="00935840"/>
    <w:rsid w:val="00935896"/>
    <w:rsid w:val="00935897"/>
    <w:rsid w:val="00936095"/>
    <w:rsid w:val="00936461"/>
    <w:rsid w:val="00936B35"/>
    <w:rsid w:val="0093709D"/>
    <w:rsid w:val="009371BB"/>
    <w:rsid w:val="00937399"/>
    <w:rsid w:val="00937935"/>
    <w:rsid w:val="009379AF"/>
    <w:rsid w:val="009379F4"/>
    <w:rsid w:val="009401DE"/>
    <w:rsid w:val="009401ED"/>
    <w:rsid w:val="00940453"/>
    <w:rsid w:val="009404DA"/>
    <w:rsid w:val="00940523"/>
    <w:rsid w:val="009407F9"/>
    <w:rsid w:val="00940856"/>
    <w:rsid w:val="00940A90"/>
    <w:rsid w:val="00940DB9"/>
    <w:rsid w:val="00941A29"/>
    <w:rsid w:val="00942543"/>
    <w:rsid w:val="00942730"/>
    <w:rsid w:val="0094291F"/>
    <w:rsid w:val="00942BB9"/>
    <w:rsid w:val="00942BBE"/>
    <w:rsid w:val="00942D2B"/>
    <w:rsid w:val="0094363D"/>
    <w:rsid w:val="00943A2E"/>
    <w:rsid w:val="00944110"/>
    <w:rsid w:val="009442CC"/>
    <w:rsid w:val="009442D0"/>
    <w:rsid w:val="009447A6"/>
    <w:rsid w:val="00944FC2"/>
    <w:rsid w:val="0094529B"/>
    <w:rsid w:val="009452DF"/>
    <w:rsid w:val="00945330"/>
    <w:rsid w:val="00945365"/>
    <w:rsid w:val="0094580E"/>
    <w:rsid w:val="009459C0"/>
    <w:rsid w:val="00946027"/>
    <w:rsid w:val="009462D4"/>
    <w:rsid w:val="0094639B"/>
    <w:rsid w:val="00946A41"/>
    <w:rsid w:val="00946B9D"/>
    <w:rsid w:val="0094725A"/>
    <w:rsid w:val="00950096"/>
    <w:rsid w:val="00950433"/>
    <w:rsid w:val="009508B3"/>
    <w:rsid w:val="00950A26"/>
    <w:rsid w:val="00950C97"/>
    <w:rsid w:val="00950E17"/>
    <w:rsid w:val="00950FDD"/>
    <w:rsid w:val="009513B7"/>
    <w:rsid w:val="009514F5"/>
    <w:rsid w:val="0095154B"/>
    <w:rsid w:val="00951BD0"/>
    <w:rsid w:val="00951D3D"/>
    <w:rsid w:val="00951ED2"/>
    <w:rsid w:val="009522F5"/>
    <w:rsid w:val="00952B16"/>
    <w:rsid w:val="009530A8"/>
    <w:rsid w:val="009531B9"/>
    <w:rsid w:val="00953840"/>
    <w:rsid w:val="00953B74"/>
    <w:rsid w:val="009549CC"/>
    <w:rsid w:val="00954D0A"/>
    <w:rsid w:val="00955465"/>
    <w:rsid w:val="009557F2"/>
    <w:rsid w:val="00955E59"/>
    <w:rsid w:val="00956577"/>
    <w:rsid w:val="0095677B"/>
    <w:rsid w:val="009567CF"/>
    <w:rsid w:val="00956E7A"/>
    <w:rsid w:val="0095727F"/>
    <w:rsid w:val="00960064"/>
    <w:rsid w:val="009606C6"/>
    <w:rsid w:val="00960AAB"/>
    <w:rsid w:val="00960AC0"/>
    <w:rsid w:val="009617BD"/>
    <w:rsid w:val="00961831"/>
    <w:rsid w:val="0096202B"/>
    <w:rsid w:val="009626DB"/>
    <w:rsid w:val="009627EF"/>
    <w:rsid w:val="0096294B"/>
    <w:rsid w:val="00963177"/>
    <w:rsid w:val="0096351E"/>
    <w:rsid w:val="0096420C"/>
    <w:rsid w:val="00964752"/>
    <w:rsid w:val="00964A51"/>
    <w:rsid w:val="00964EF8"/>
    <w:rsid w:val="0096501C"/>
    <w:rsid w:val="0096530D"/>
    <w:rsid w:val="00965416"/>
    <w:rsid w:val="009654B1"/>
    <w:rsid w:val="009655E8"/>
    <w:rsid w:val="00965735"/>
    <w:rsid w:val="00965FAD"/>
    <w:rsid w:val="0096605D"/>
    <w:rsid w:val="009662BE"/>
    <w:rsid w:val="009665D6"/>
    <w:rsid w:val="00966630"/>
    <w:rsid w:val="0096665C"/>
    <w:rsid w:val="009666BD"/>
    <w:rsid w:val="00966700"/>
    <w:rsid w:val="00966776"/>
    <w:rsid w:val="00966944"/>
    <w:rsid w:val="00966CFB"/>
    <w:rsid w:val="00966D63"/>
    <w:rsid w:val="0096776D"/>
    <w:rsid w:val="00967DD4"/>
    <w:rsid w:val="00967FB4"/>
    <w:rsid w:val="00970D37"/>
    <w:rsid w:val="00970FC0"/>
    <w:rsid w:val="00970FED"/>
    <w:rsid w:val="00971189"/>
    <w:rsid w:val="009711AD"/>
    <w:rsid w:val="00971350"/>
    <w:rsid w:val="009717C0"/>
    <w:rsid w:val="00971B20"/>
    <w:rsid w:val="00971EC9"/>
    <w:rsid w:val="00971F61"/>
    <w:rsid w:val="0097202B"/>
    <w:rsid w:val="009720C7"/>
    <w:rsid w:val="0097216D"/>
    <w:rsid w:val="00972467"/>
    <w:rsid w:val="00972660"/>
    <w:rsid w:val="0097292A"/>
    <w:rsid w:val="00972BF5"/>
    <w:rsid w:val="00972E3F"/>
    <w:rsid w:val="00972E75"/>
    <w:rsid w:val="00973D63"/>
    <w:rsid w:val="00974223"/>
    <w:rsid w:val="009743A7"/>
    <w:rsid w:val="00974531"/>
    <w:rsid w:val="00974623"/>
    <w:rsid w:val="009747AA"/>
    <w:rsid w:val="00974BAD"/>
    <w:rsid w:val="00974E04"/>
    <w:rsid w:val="009752BD"/>
    <w:rsid w:val="00975560"/>
    <w:rsid w:val="0097558A"/>
    <w:rsid w:val="009759FF"/>
    <w:rsid w:val="00975A03"/>
    <w:rsid w:val="00975A8C"/>
    <w:rsid w:val="00975AAD"/>
    <w:rsid w:val="00976272"/>
    <w:rsid w:val="009769B3"/>
    <w:rsid w:val="00976B4E"/>
    <w:rsid w:val="00976C29"/>
    <w:rsid w:val="00977DA6"/>
    <w:rsid w:val="009806A3"/>
    <w:rsid w:val="00980DD9"/>
    <w:rsid w:val="00981253"/>
    <w:rsid w:val="009816FD"/>
    <w:rsid w:val="00981DDD"/>
    <w:rsid w:val="00981EE6"/>
    <w:rsid w:val="009828EA"/>
    <w:rsid w:val="00982950"/>
    <w:rsid w:val="00982C6B"/>
    <w:rsid w:val="00982EF8"/>
    <w:rsid w:val="0098300A"/>
    <w:rsid w:val="00983354"/>
    <w:rsid w:val="00983B3E"/>
    <w:rsid w:val="00983B5A"/>
    <w:rsid w:val="00983E2C"/>
    <w:rsid w:val="00984065"/>
    <w:rsid w:val="00984256"/>
    <w:rsid w:val="00984D4C"/>
    <w:rsid w:val="00984D92"/>
    <w:rsid w:val="00986019"/>
    <w:rsid w:val="00986514"/>
    <w:rsid w:val="009865D0"/>
    <w:rsid w:val="00986953"/>
    <w:rsid w:val="00986AF8"/>
    <w:rsid w:val="00986F5A"/>
    <w:rsid w:val="00987172"/>
    <w:rsid w:val="0098734C"/>
    <w:rsid w:val="00987543"/>
    <w:rsid w:val="00987838"/>
    <w:rsid w:val="00987A06"/>
    <w:rsid w:val="00990C1B"/>
    <w:rsid w:val="00990F4F"/>
    <w:rsid w:val="00991A15"/>
    <w:rsid w:val="00991D21"/>
    <w:rsid w:val="00991E93"/>
    <w:rsid w:val="00992158"/>
    <w:rsid w:val="00992499"/>
    <w:rsid w:val="009924E5"/>
    <w:rsid w:val="00992CA8"/>
    <w:rsid w:val="00992F50"/>
    <w:rsid w:val="0099350C"/>
    <w:rsid w:val="009935AB"/>
    <w:rsid w:val="00993862"/>
    <w:rsid w:val="00993A64"/>
    <w:rsid w:val="00993ADA"/>
    <w:rsid w:val="00994547"/>
    <w:rsid w:val="00994654"/>
    <w:rsid w:val="009949A7"/>
    <w:rsid w:val="0099500B"/>
    <w:rsid w:val="00995893"/>
    <w:rsid w:val="00995A94"/>
    <w:rsid w:val="00995CE3"/>
    <w:rsid w:val="009961E4"/>
    <w:rsid w:val="00996304"/>
    <w:rsid w:val="00996312"/>
    <w:rsid w:val="0099716C"/>
    <w:rsid w:val="00997561"/>
    <w:rsid w:val="009975DC"/>
    <w:rsid w:val="00997B5C"/>
    <w:rsid w:val="00997D2B"/>
    <w:rsid w:val="00997DD1"/>
    <w:rsid w:val="009A05A3"/>
    <w:rsid w:val="009A0AC1"/>
    <w:rsid w:val="009A0DAB"/>
    <w:rsid w:val="009A1216"/>
    <w:rsid w:val="009A210D"/>
    <w:rsid w:val="009A2385"/>
    <w:rsid w:val="009A23CD"/>
    <w:rsid w:val="009A28FA"/>
    <w:rsid w:val="009A2BA4"/>
    <w:rsid w:val="009A2E43"/>
    <w:rsid w:val="009A38A4"/>
    <w:rsid w:val="009A394C"/>
    <w:rsid w:val="009A3B1E"/>
    <w:rsid w:val="009A3D37"/>
    <w:rsid w:val="009A3D4E"/>
    <w:rsid w:val="009A42C5"/>
    <w:rsid w:val="009A4470"/>
    <w:rsid w:val="009A44D2"/>
    <w:rsid w:val="009A4A9A"/>
    <w:rsid w:val="009A4AAD"/>
    <w:rsid w:val="009A4B3A"/>
    <w:rsid w:val="009A4BC8"/>
    <w:rsid w:val="009A50FF"/>
    <w:rsid w:val="009A5CAC"/>
    <w:rsid w:val="009A6110"/>
    <w:rsid w:val="009A657E"/>
    <w:rsid w:val="009A6676"/>
    <w:rsid w:val="009A6DB4"/>
    <w:rsid w:val="009A79E9"/>
    <w:rsid w:val="009B0933"/>
    <w:rsid w:val="009B0B08"/>
    <w:rsid w:val="009B0C53"/>
    <w:rsid w:val="009B0E66"/>
    <w:rsid w:val="009B0F02"/>
    <w:rsid w:val="009B10AA"/>
    <w:rsid w:val="009B12EB"/>
    <w:rsid w:val="009B173F"/>
    <w:rsid w:val="009B24D6"/>
    <w:rsid w:val="009B2504"/>
    <w:rsid w:val="009B26CA"/>
    <w:rsid w:val="009B29B5"/>
    <w:rsid w:val="009B2D98"/>
    <w:rsid w:val="009B2E69"/>
    <w:rsid w:val="009B2FF4"/>
    <w:rsid w:val="009B2FFD"/>
    <w:rsid w:val="009B3306"/>
    <w:rsid w:val="009B39D1"/>
    <w:rsid w:val="009B3AA1"/>
    <w:rsid w:val="009B3BCE"/>
    <w:rsid w:val="009B429E"/>
    <w:rsid w:val="009B43D0"/>
    <w:rsid w:val="009B4B61"/>
    <w:rsid w:val="009B4C6E"/>
    <w:rsid w:val="009B5ADE"/>
    <w:rsid w:val="009B5B3F"/>
    <w:rsid w:val="009B63D1"/>
    <w:rsid w:val="009B63DA"/>
    <w:rsid w:val="009B6736"/>
    <w:rsid w:val="009B695C"/>
    <w:rsid w:val="009B6BD3"/>
    <w:rsid w:val="009B6BDB"/>
    <w:rsid w:val="009B714D"/>
    <w:rsid w:val="009B756A"/>
    <w:rsid w:val="009B7591"/>
    <w:rsid w:val="009B77F2"/>
    <w:rsid w:val="009B7ABF"/>
    <w:rsid w:val="009B7BA7"/>
    <w:rsid w:val="009C08BD"/>
    <w:rsid w:val="009C09C2"/>
    <w:rsid w:val="009C0BAB"/>
    <w:rsid w:val="009C0BBE"/>
    <w:rsid w:val="009C0F2C"/>
    <w:rsid w:val="009C0F43"/>
    <w:rsid w:val="009C1D69"/>
    <w:rsid w:val="009C1EAD"/>
    <w:rsid w:val="009C223D"/>
    <w:rsid w:val="009C246A"/>
    <w:rsid w:val="009C2625"/>
    <w:rsid w:val="009C281D"/>
    <w:rsid w:val="009C2837"/>
    <w:rsid w:val="009C2FF5"/>
    <w:rsid w:val="009C3047"/>
    <w:rsid w:val="009C30E9"/>
    <w:rsid w:val="009C316F"/>
    <w:rsid w:val="009C34DD"/>
    <w:rsid w:val="009C3590"/>
    <w:rsid w:val="009C399F"/>
    <w:rsid w:val="009C3B3D"/>
    <w:rsid w:val="009C3CD5"/>
    <w:rsid w:val="009C3DF9"/>
    <w:rsid w:val="009C49BA"/>
    <w:rsid w:val="009C4B28"/>
    <w:rsid w:val="009C514D"/>
    <w:rsid w:val="009C5C87"/>
    <w:rsid w:val="009C5ED3"/>
    <w:rsid w:val="009C6772"/>
    <w:rsid w:val="009C692C"/>
    <w:rsid w:val="009C71E4"/>
    <w:rsid w:val="009C7500"/>
    <w:rsid w:val="009C7650"/>
    <w:rsid w:val="009C76C8"/>
    <w:rsid w:val="009C7809"/>
    <w:rsid w:val="009C7C5C"/>
    <w:rsid w:val="009C7C9A"/>
    <w:rsid w:val="009D01E5"/>
    <w:rsid w:val="009D0732"/>
    <w:rsid w:val="009D0D33"/>
    <w:rsid w:val="009D1366"/>
    <w:rsid w:val="009D1912"/>
    <w:rsid w:val="009D19ED"/>
    <w:rsid w:val="009D1B2F"/>
    <w:rsid w:val="009D21E6"/>
    <w:rsid w:val="009D2BE8"/>
    <w:rsid w:val="009D2EC9"/>
    <w:rsid w:val="009D321F"/>
    <w:rsid w:val="009D35BC"/>
    <w:rsid w:val="009D3669"/>
    <w:rsid w:val="009D378C"/>
    <w:rsid w:val="009D3926"/>
    <w:rsid w:val="009D48E1"/>
    <w:rsid w:val="009D4D7B"/>
    <w:rsid w:val="009D5719"/>
    <w:rsid w:val="009D5A13"/>
    <w:rsid w:val="009D64B3"/>
    <w:rsid w:val="009D6610"/>
    <w:rsid w:val="009D66FC"/>
    <w:rsid w:val="009D6A07"/>
    <w:rsid w:val="009D6A3A"/>
    <w:rsid w:val="009D6AA8"/>
    <w:rsid w:val="009D6B0E"/>
    <w:rsid w:val="009D6BB3"/>
    <w:rsid w:val="009D6EFA"/>
    <w:rsid w:val="009D7552"/>
    <w:rsid w:val="009D75AE"/>
    <w:rsid w:val="009D7882"/>
    <w:rsid w:val="009D78C7"/>
    <w:rsid w:val="009D78FA"/>
    <w:rsid w:val="009D7BEB"/>
    <w:rsid w:val="009D7C02"/>
    <w:rsid w:val="009D7DF9"/>
    <w:rsid w:val="009D7E94"/>
    <w:rsid w:val="009E03C0"/>
    <w:rsid w:val="009E0963"/>
    <w:rsid w:val="009E0C31"/>
    <w:rsid w:val="009E0D19"/>
    <w:rsid w:val="009E0D2B"/>
    <w:rsid w:val="009E0EC3"/>
    <w:rsid w:val="009E0F24"/>
    <w:rsid w:val="009E118C"/>
    <w:rsid w:val="009E1263"/>
    <w:rsid w:val="009E16CD"/>
    <w:rsid w:val="009E1B89"/>
    <w:rsid w:val="009E2071"/>
    <w:rsid w:val="009E24BB"/>
    <w:rsid w:val="009E2B57"/>
    <w:rsid w:val="009E31A2"/>
    <w:rsid w:val="009E32BE"/>
    <w:rsid w:val="009E3373"/>
    <w:rsid w:val="009E348B"/>
    <w:rsid w:val="009E3943"/>
    <w:rsid w:val="009E39B7"/>
    <w:rsid w:val="009E3A74"/>
    <w:rsid w:val="009E4476"/>
    <w:rsid w:val="009E47AF"/>
    <w:rsid w:val="009E4957"/>
    <w:rsid w:val="009E49C4"/>
    <w:rsid w:val="009E5056"/>
    <w:rsid w:val="009E51FF"/>
    <w:rsid w:val="009E5464"/>
    <w:rsid w:val="009E546D"/>
    <w:rsid w:val="009E5634"/>
    <w:rsid w:val="009E5DA6"/>
    <w:rsid w:val="009E5DB2"/>
    <w:rsid w:val="009E60CF"/>
    <w:rsid w:val="009E60D5"/>
    <w:rsid w:val="009E61F6"/>
    <w:rsid w:val="009E6315"/>
    <w:rsid w:val="009E6787"/>
    <w:rsid w:val="009E697F"/>
    <w:rsid w:val="009E6989"/>
    <w:rsid w:val="009E6E4D"/>
    <w:rsid w:val="009E7271"/>
    <w:rsid w:val="009E72ED"/>
    <w:rsid w:val="009E77E1"/>
    <w:rsid w:val="009E7F55"/>
    <w:rsid w:val="009F011A"/>
    <w:rsid w:val="009F0286"/>
    <w:rsid w:val="009F036F"/>
    <w:rsid w:val="009F040F"/>
    <w:rsid w:val="009F12CC"/>
    <w:rsid w:val="009F1931"/>
    <w:rsid w:val="009F1BE6"/>
    <w:rsid w:val="009F1CE1"/>
    <w:rsid w:val="009F2A72"/>
    <w:rsid w:val="009F2A84"/>
    <w:rsid w:val="009F2DE4"/>
    <w:rsid w:val="009F30FB"/>
    <w:rsid w:val="009F312E"/>
    <w:rsid w:val="009F33C3"/>
    <w:rsid w:val="009F366F"/>
    <w:rsid w:val="009F3AE5"/>
    <w:rsid w:val="009F455B"/>
    <w:rsid w:val="009F4BB0"/>
    <w:rsid w:val="009F4BBA"/>
    <w:rsid w:val="009F4E0D"/>
    <w:rsid w:val="009F4E34"/>
    <w:rsid w:val="009F4E89"/>
    <w:rsid w:val="009F53E8"/>
    <w:rsid w:val="009F55AD"/>
    <w:rsid w:val="009F5663"/>
    <w:rsid w:val="009F5D43"/>
    <w:rsid w:val="009F705E"/>
    <w:rsid w:val="009F70A8"/>
    <w:rsid w:val="009F7390"/>
    <w:rsid w:val="009F749F"/>
    <w:rsid w:val="009F75D5"/>
    <w:rsid w:val="009F7676"/>
    <w:rsid w:val="009F7CAC"/>
    <w:rsid w:val="00A00C3F"/>
    <w:rsid w:val="00A00DC8"/>
    <w:rsid w:val="00A00F4C"/>
    <w:rsid w:val="00A0128F"/>
    <w:rsid w:val="00A012F4"/>
    <w:rsid w:val="00A01787"/>
    <w:rsid w:val="00A01B7B"/>
    <w:rsid w:val="00A02038"/>
    <w:rsid w:val="00A023DE"/>
    <w:rsid w:val="00A02996"/>
    <w:rsid w:val="00A02C1A"/>
    <w:rsid w:val="00A031C0"/>
    <w:rsid w:val="00A033D4"/>
    <w:rsid w:val="00A034F9"/>
    <w:rsid w:val="00A03CF2"/>
    <w:rsid w:val="00A03D61"/>
    <w:rsid w:val="00A043AB"/>
    <w:rsid w:val="00A043FD"/>
    <w:rsid w:val="00A04402"/>
    <w:rsid w:val="00A049AE"/>
    <w:rsid w:val="00A04AB5"/>
    <w:rsid w:val="00A04FA1"/>
    <w:rsid w:val="00A05006"/>
    <w:rsid w:val="00A05A87"/>
    <w:rsid w:val="00A06086"/>
    <w:rsid w:val="00A060ED"/>
    <w:rsid w:val="00A064D8"/>
    <w:rsid w:val="00A064D9"/>
    <w:rsid w:val="00A06546"/>
    <w:rsid w:val="00A06A5C"/>
    <w:rsid w:val="00A06AA5"/>
    <w:rsid w:val="00A06EA7"/>
    <w:rsid w:val="00A06F58"/>
    <w:rsid w:val="00A075BA"/>
    <w:rsid w:val="00A07715"/>
    <w:rsid w:val="00A079AA"/>
    <w:rsid w:val="00A07ABC"/>
    <w:rsid w:val="00A07CD2"/>
    <w:rsid w:val="00A10445"/>
    <w:rsid w:val="00A10847"/>
    <w:rsid w:val="00A1193E"/>
    <w:rsid w:val="00A11A17"/>
    <w:rsid w:val="00A11A8C"/>
    <w:rsid w:val="00A11DA3"/>
    <w:rsid w:val="00A11F96"/>
    <w:rsid w:val="00A123DC"/>
    <w:rsid w:val="00A1246A"/>
    <w:rsid w:val="00A12637"/>
    <w:rsid w:val="00A12A19"/>
    <w:rsid w:val="00A12CAC"/>
    <w:rsid w:val="00A12EA4"/>
    <w:rsid w:val="00A138CF"/>
    <w:rsid w:val="00A139AE"/>
    <w:rsid w:val="00A14166"/>
    <w:rsid w:val="00A1421B"/>
    <w:rsid w:val="00A144C0"/>
    <w:rsid w:val="00A14660"/>
    <w:rsid w:val="00A14797"/>
    <w:rsid w:val="00A14C9C"/>
    <w:rsid w:val="00A15942"/>
    <w:rsid w:val="00A165A3"/>
    <w:rsid w:val="00A16CF7"/>
    <w:rsid w:val="00A16D2B"/>
    <w:rsid w:val="00A16F7F"/>
    <w:rsid w:val="00A17241"/>
    <w:rsid w:val="00A17378"/>
    <w:rsid w:val="00A17668"/>
    <w:rsid w:val="00A178D4"/>
    <w:rsid w:val="00A17908"/>
    <w:rsid w:val="00A17919"/>
    <w:rsid w:val="00A17AA8"/>
    <w:rsid w:val="00A20204"/>
    <w:rsid w:val="00A20290"/>
    <w:rsid w:val="00A2040F"/>
    <w:rsid w:val="00A20F9A"/>
    <w:rsid w:val="00A21102"/>
    <w:rsid w:val="00A216F0"/>
    <w:rsid w:val="00A219EB"/>
    <w:rsid w:val="00A22190"/>
    <w:rsid w:val="00A22430"/>
    <w:rsid w:val="00A22D06"/>
    <w:rsid w:val="00A231C6"/>
    <w:rsid w:val="00A23259"/>
    <w:rsid w:val="00A233EA"/>
    <w:rsid w:val="00A2358E"/>
    <w:rsid w:val="00A2471F"/>
    <w:rsid w:val="00A247ED"/>
    <w:rsid w:val="00A2490D"/>
    <w:rsid w:val="00A24931"/>
    <w:rsid w:val="00A24FC3"/>
    <w:rsid w:val="00A25300"/>
    <w:rsid w:val="00A2543E"/>
    <w:rsid w:val="00A25BD9"/>
    <w:rsid w:val="00A262F2"/>
    <w:rsid w:val="00A263DF"/>
    <w:rsid w:val="00A2672B"/>
    <w:rsid w:val="00A26793"/>
    <w:rsid w:val="00A267F3"/>
    <w:rsid w:val="00A26A5B"/>
    <w:rsid w:val="00A26B6A"/>
    <w:rsid w:val="00A26B95"/>
    <w:rsid w:val="00A274F7"/>
    <w:rsid w:val="00A2770B"/>
    <w:rsid w:val="00A27F33"/>
    <w:rsid w:val="00A30063"/>
    <w:rsid w:val="00A301FE"/>
    <w:rsid w:val="00A3038F"/>
    <w:rsid w:val="00A310A7"/>
    <w:rsid w:val="00A310F0"/>
    <w:rsid w:val="00A31704"/>
    <w:rsid w:val="00A31718"/>
    <w:rsid w:val="00A32042"/>
    <w:rsid w:val="00A32173"/>
    <w:rsid w:val="00A323E3"/>
    <w:rsid w:val="00A324E2"/>
    <w:rsid w:val="00A32672"/>
    <w:rsid w:val="00A33AE0"/>
    <w:rsid w:val="00A33DD4"/>
    <w:rsid w:val="00A347FA"/>
    <w:rsid w:val="00A3496A"/>
    <w:rsid w:val="00A34D96"/>
    <w:rsid w:val="00A34DED"/>
    <w:rsid w:val="00A34F40"/>
    <w:rsid w:val="00A35202"/>
    <w:rsid w:val="00A35963"/>
    <w:rsid w:val="00A35FC0"/>
    <w:rsid w:val="00A36315"/>
    <w:rsid w:val="00A363B0"/>
    <w:rsid w:val="00A363C6"/>
    <w:rsid w:val="00A36572"/>
    <w:rsid w:val="00A365D9"/>
    <w:rsid w:val="00A36D68"/>
    <w:rsid w:val="00A36DC1"/>
    <w:rsid w:val="00A370C5"/>
    <w:rsid w:val="00A372E8"/>
    <w:rsid w:val="00A37539"/>
    <w:rsid w:val="00A37748"/>
    <w:rsid w:val="00A37CCD"/>
    <w:rsid w:val="00A40C4F"/>
    <w:rsid w:val="00A40F25"/>
    <w:rsid w:val="00A4143E"/>
    <w:rsid w:val="00A41751"/>
    <w:rsid w:val="00A4187E"/>
    <w:rsid w:val="00A41A89"/>
    <w:rsid w:val="00A428D1"/>
    <w:rsid w:val="00A42956"/>
    <w:rsid w:val="00A42B48"/>
    <w:rsid w:val="00A42E52"/>
    <w:rsid w:val="00A42FEC"/>
    <w:rsid w:val="00A4368F"/>
    <w:rsid w:val="00A4391A"/>
    <w:rsid w:val="00A43CB7"/>
    <w:rsid w:val="00A43DCA"/>
    <w:rsid w:val="00A440BE"/>
    <w:rsid w:val="00A4471D"/>
    <w:rsid w:val="00A448E1"/>
    <w:rsid w:val="00A44E7B"/>
    <w:rsid w:val="00A452B3"/>
    <w:rsid w:val="00A4550D"/>
    <w:rsid w:val="00A458F5"/>
    <w:rsid w:val="00A45DD8"/>
    <w:rsid w:val="00A46223"/>
    <w:rsid w:val="00A463DF"/>
    <w:rsid w:val="00A4643E"/>
    <w:rsid w:val="00A46590"/>
    <w:rsid w:val="00A46683"/>
    <w:rsid w:val="00A46CC6"/>
    <w:rsid w:val="00A46EC5"/>
    <w:rsid w:val="00A4721E"/>
    <w:rsid w:val="00A472A1"/>
    <w:rsid w:val="00A473F8"/>
    <w:rsid w:val="00A475F5"/>
    <w:rsid w:val="00A478E8"/>
    <w:rsid w:val="00A500C0"/>
    <w:rsid w:val="00A5076D"/>
    <w:rsid w:val="00A507C2"/>
    <w:rsid w:val="00A5082C"/>
    <w:rsid w:val="00A50B2D"/>
    <w:rsid w:val="00A50C94"/>
    <w:rsid w:val="00A5146B"/>
    <w:rsid w:val="00A514F4"/>
    <w:rsid w:val="00A518CF"/>
    <w:rsid w:val="00A51C1E"/>
    <w:rsid w:val="00A51CFB"/>
    <w:rsid w:val="00A51E3C"/>
    <w:rsid w:val="00A52155"/>
    <w:rsid w:val="00A52401"/>
    <w:rsid w:val="00A52A7B"/>
    <w:rsid w:val="00A52EB3"/>
    <w:rsid w:val="00A53012"/>
    <w:rsid w:val="00A530DF"/>
    <w:rsid w:val="00A5313B"/>
    <w:rsid w:val="00A533A3"/>
    <w:rsid w:val="00A5396B"/>
    <w:rsid w:val="00A53993"/>
    <w:rsid w:val="00A5411F"/>
    <w:rsid w:val="00A542A2"/>
    <w:rsid w:val="00A544FD"/>
    <w:rsid w:val="00A54663"/>
    <w:rsid w:val="00A54766"/>
    <w:rsid w:val="00A5492D"/>
    <w:rsid w:val="00A54B30"/>
    <w:rsid w:val="00A54C3A"/>
    <w:rsid w:val="00A55216"/>
    <w:rsid w:val="00A56210"/>
    <w:rsid w:val="00A56225"/>
    <w:rsid w:val="00A56688"/>
    <w:rsid w:val="00A56A22"/>
    <w:rsid w:val="00A56D88"/>
    <w:rsid w:val="00A572B4"/>
    <w:rsid w:val="00A57314"/>
    <w:rsid w:val="00A57411"/>
    <w:rsid w:val="00A57812"/>
    <w:rsid w:val="00A605E4"/>
    <w:rsid w:val="00A605F4"/>
    <w:rsid w:val="00A60B01"/>
    <w:rsid w:val="00A60E1A"/>
    <w:rsid w:val="00A618DC"/>
    <w:rsid w:val="00A61BEA"/>
    <w:rsid w:val="00A62637"/>
    <w:rsid w:val="00A627DA"/>
    <w:rsid w:val="00A62D46"/>
    <w:rsid w:val="00A63156"/>
    <w:rsid w:val="00A63178"/>
    <w:rsid w:val="00A63840"/>
    <w:rsid w:val="00A63B36"/>
    <w:rsid w:val="00A63E68"/>
    <w:rsid w:val="00A640F1"/>
    <w:rsid w:val="00A642DA"/>
    <w:rsid w:val="00A64748"/>
    <w:rsid w:val="00A647D5"/>
    <w:rsid w:val="00A64892"/>
    <w:rsid w:val="00A65160"/>
    <w:rsid w:val="00A652C0"/>
    <w:rsid w:val="00A65490"/>
    <w:rsid w:val="00A65CB1"/>
    <w:rsid w:val="00A65F2E"/>
    <w:rsid w:val="00A66435"/>
    <w:rsid w:val="00A66857"/>
    <w:rsid w:val="00A66C5E"/>
    <w:rsid w:val="00A670E2"/>
    <w:rsid w:val="00A674A2"/>
    <w:rsid w:val="00A67838"/>
    <w:rsid w:val="00A678D2"/>
    <w:rsid w:val="00A67D31"/>
    <w:rsid w:val="00A70276"/>
    <w:rsid w:val="00A704A0"/>
    <w:rsid w:val="00A70860"/>
    <w:rsid w:val="00A70992"/>
    <w:rsid w:val="00A70CF3"/>
    <w:rsid w:val="00A70E0A"/>
    <w:rsid w:val="00A716C0"/>
    <w:rsid w:val="00A71736"/>
    <w:rsid w:val="00A718B6"/>
    <w:rsid w:val="00A7215C"/>
    <w:rsid w:val="00A72807"/>
    <w:rsid w:val="00A72907"/>
    <w:rsid w:val="00A72B0D"/>
    <w:rsid w:val="00A730F7"/>
    <w:rsid w:val="00A731FC"/>
    <w:rsid w:val="00A73557"/>
    <w:rsid w:val="00A740B8"/>
    <w:rsid w:val="00A74256"/>
    <w:rsid w:val="00A74974"/>
    <w:rsid w:val="00A74B2F"/>
    <w:rsid w:val="00A74FDF"/>
    <w:rsid w:val="00A75396"/>
    <w:rsid w:val="00A7539B"/>
    <w:rsid w:val="00A755C1"/>
    <w:rsid w:val="00A75DE8"/>
    <w:rsid w:val="00A75EF3"/>
    <w:rsid w:val="00A7629F"/>
    <w:rsid w:val="00A7646D"/>
    <w:rsid w:val="00A76851"/>
    <w:rsid w:val="00A76CDF"/>
    <w:rsid w:val="00A7707D"/>
    <w:rsid w:val="00A775E9"/>
    <w:rsid w:val="00A776BC"/>
    <w:rsid w:val="00A77A1E"/>
    <w:rsid w:val="00A77A20"/>
    <w:rsid w:val="00A77EB2"/>
    <w:rsid w:val="00A8031F"/>
    <w:rsid w:val="00A804DA"/>
    <w:rsid w:val="00A804FE"/>
    <w:rsid w:val="00A80E3F"/>
    <w:rsid w:val="00A819C2"/>
    <w:rsid w:val="00A81CA0"/>
    <w:rsid w:val="00A81D95"/>
    <w:rsid w:val="00A81DF5"/>
    <w:rsid w:val="00A82404"/>
    <w:rsid w:val="00A827BB"/>
    <w:rsid w:val="00A829C4"/>
    <w:rsid w:val="00A8311A"/>
    <w:rsid w:val="00A832B0"/>
    <w:rsid w:val="00A8334E"/>
    <w:rsid w:val="00A8359A"/>
    <w:rsid w:val="00A83694"/>
    <w:rsid w:val="00A83DAF"/>
    <w:rsid w:val="00A83E41"/>
    <w:rsid w:val="00A83EF4"/>
    <w:rsid w:val="00A8403D"/>
    <w:rsid w:val="00A84205"/>
    <w:rsid w:val="00A842C6"/>
    <w:rsid w:val="00A8436F"/>
    <w:rsid w:val="00A84FCC"/>
    <w:rsid w:val="00A8511B"/>
    <w:rsid w:val="00A85AE2"/>
    <w:rsid w:val="00A85C13"/>
    <w:rsid w:val="00A85C63"/>
    <w:rsid w:val="00A85D7B"/>
    <w:rsid w:val="00A85FD5"/>
    <w:rsid w:val="00A86221"/>
    <w:rsid w:val="00A864CE"/>
    <w:rsid w:val="00A8671C"/>
    <w:rsid w:val="00A86EC7"/>
    <w:rsid w:val="00A87003"/>
    <w:rsid w:val="00A87105"/>
    <w:rsid w:val="00A87EDA"/>
    <w:rsid w:val="00A90753"/>
    <w:rsid w:val="00A90A45"/>
    <w:rsid w:val="00A90F36"/>
    <w:rsid w:val="00A91507"/>
    <w:rsid w:val="00A91C99"/>
    <w:rsid w:val="00A920EB"/>
    <w:rsid w:val="00A921C8"/>
    <w:rsid w:val="00A9238C"/>
    <w:rsid w:val="00A92885"/>
    <w:rsid w:val="00A92AE2"/>
    <w:rsid w:val="00A92F66"/>
    <w:rsid w:val="00A932CE"/>
    <w:rsid w:val="00A937B9"/>
    <w:rsid w:val="00A93BBF"/>
    <w:rsid w:val="00A93CFA"/>
    <w:rsid w:val="00A93FF2"/>
    <w:rsid w:val="00A9438C"/>
    <w:rsid w:val="00A94C6C"/>
    <w:rsid w:val="00A94DFB"/>
    <w:rsid w:val="00A94FF6"/>
    <w:rsid w:val="00A951DB"/>
    <w:rsid w:val="00A95B4D"/>
    <w:rsid w:val="00A96474"/>
    <w:rsid w:val="00A964ED"/>
    <w:rsid w:val="00A969D1"/>
    <w:rsid w:val="00A9729B"/>
    <w:rsid w:val="00A9792F"/>
    <w:rsid w:val="00A97AB6"/>
    <w:rsid w:val="00A97BE3"/>
    <w:rsid w:val="00A97F8E"/>
    <w:rsid w:val="00AA03BC"/>
    <w:rsid w:val="00AA0905"/>
    <w:rsid w:val="00AA2709"/>
    <w:rsid w:val="00AA28E8"/>
    <w:rsid w:val="00AA2958"/>
    <w:rsid w:val="00AA393E"/>
    <w:rsid w:val="00AA39B5"/>
    <w:rsid w:val="00AA430F"/>
    <w:rsid w:val="00AA4571"/>
    <w:rsid w:val="00AA462B"/>
    <w:rsid w:val="00AA4B8D"/>
    <w:rsid w:val="00AA4CBA"/>
    <w:rsid w:val="00AA4DD2"/>
    <w:rsid w:val="00AA5053"/>
    <w:rsid w:val="00AA506F"/>
    <w:rsid w:val="00AA6C60"/>
    <w:rsid w:val="00AA6EF2"/>
    <w:rsid w:val="00AA6F15"/>
    <w:rsid w:val="00AA78B9"/>
    <w:rsid w:val="00AA7A07"/>
    <w:rsid w:val="00AA7C6D"/>
    <w:rsid w:val="00AB0063"/>
    <w:rsid w:val="00AB0583"/>
    <w:rsid w:val="00AB0E2B"/>
    <w:rsid w:val="00AB0EA3"/>
    <w:rsid w:val="00AB104A"/>
    <w:rsid w:val="00AB17F9"/>
    <w:rsid w:val="00AB18D9"/>
    <w:rsid w:val="00AB1BA8"/>
    <w:rsid w:val="00AB1C6B"/>
    <w:rsid w:val="00AB1E50"/>
    <w:rsid w:val="00AB20DE"/>
    <w:rsid w:val="00AB2666"/>
    <w:rsid w:val="00AB27A0"/>
    <w:rsid w:val="00AB2D5F"/>
    <w:rsid w:val="00AB316A"/>
    <w:rsid w:val="00AB31E8"/>
    <w:rsid w:val="00AB344F"/>
    <w:rsid w:val="00AB3527"/>
    <w:rsid w:val="00AB35AB"/>
    <w:rsid w:val="00AB38F0"/>
    <w:rsid w:val="00AB38FB"/>
    <w:rsid w:val="00AB3966"/>
    <w:rsid w:val="00AB3C22"/>
    <w:rsid w:val="00AB3DA2"/>
    <w:rsid w:val="00AB3F3B"/>
    <w:rsid w:val="00AB41EC"/>
    <w:rsid w:val="00AB4A4B"/>
    <w:rsid w:val="00AB4B55"/>
    <w:rsid w:val="00AB50CF"/>
    <w:rsid w:val="00AB5193"/>
    <w:rsid w:val="00AB5FB8"/>
    <w:rsid w:val="00AB60E5"/>
    <w:rsid w:val="00AB617F"/>
    <w:rsid w:val="00AB64FC"/>
    <w:rsid w:val="00AB6592"/>
    <w:rsid w:val="00AB67CA"/>
    <w:rsid w:val="00AB6918"/>
    <w:rsid w:val="00AB692A"/>
    <w:rsid w:val="00AB6D92"/>
    <w:rsid w:val="00AB75CA"/>
    <w:rsid w:val="00AB767F"/>
    <w:rsid w:val="00AB76CC"/>
    <w:rsid w:val="00AB79A2"/>
    <w:rsid w:val="00AB7FC6"/>
    <w:rsid w:val="00AC02EA"/>
    <w:rsid w:val="00AC047B"/>
    <w:rsid w:val="00AC09F0"/>
    <w:rsid w:val="00AC0EAB"/>
    <w:rsid w:val="00AC1616"/>
    <w:rsid w:val="00AC19B3"/>
    <w:rsid w:val="00AC206F"/>
    <w:rsid w:val="00AC239F"/>
    <w:rsid w:val="00AC26A6"/>
    <w:rsid w:val="00AC2AD6"/>
    <w:rsid w:val="00AC2E0A"/>
    <w:rsid w:val="00AC2F3B"/>
    <w:rsid w:val="00AC3241"/>
    <w:rsid w:val="00AC36C4"/>
    <w:rsid w:val="00AC38C1"/>
    <w:rsid w:val="00AC461C"/>
    <w:rsid w:val="00AC49E3"/>
    <w:rsid w:val="00AC4B2A"/>
    <w:rsid w:val="00AC50B4"/>
    <w:rsid w:val="00AC512C"/>
    <w:rsid w:val="00AC5D6C"/>
    <w:rsid w:val="00AC5F66"/>
    <w:rsid w:val="00AC62C4"/>
    <w:rsid w:val="00AC72AF"/>
    <w:rsid w:val="00AC7550"/>
    <w:rsid w:val="00AC78BB"/>
    <w:rsid w:val="00AC7C30"/>
    <w:rsid w:val="00AD0501"/>
    <w:rsid w:val="00AD05AE"/>
    <w:rsid w:val="00AD0BC2"/>
    <w:rsid w:val="00AD0CDE"/>
    <w:rsid w:val="00AD0CED"/>
    <w:rsid w:val="00AD0DD4"/>
    <w:rsid w:val="00AD1595"/>
    <w:rsid w:val="00AD1CF7"/>
    <w:rsid w:val="00AD2D11"/>
    <w:rsid w:val="00AD2FB7"/>
    <w:rsid w:val="00AD2FED"/>
    <w:rsid w:val="00AD30FF"/>
    <w:rsid w:val="00AD380A"/>
    <w:rsid w:val="00AD3D30"/>
    <w:rsid w:val="00AD3D7E"/>
    <w:rsid w:val="00AD3FA2"/>
    <w:rsid w:val="00AD4780"/>
    <w:rsid w:val="00AD4877"/>
    <w:rsid w:val="00AD4C81"/>
    <w:rsid w:val="00AD5190"/>
    <w:rsid w:val="00AD52E7"/>
    <w:rsid w:val="00AD5439"/>
    <w:rsid w:val="00AD54A1"/>
    <w:rsid w:val="00AD55D2"/>
    <w:rsid w:val="00AD5959"/>
    <w:rsid w:val="00AD5AD9"/>
    <w:rsid w:val="00AD5BE4"/>
    <w:rsid w:val="00AD6001"/>
    <w:rsid w:val="00AD6D50"/>
    <w:rsid w:val="00AD6E06"/>
    <w:rsid w:val="00AD6F71"/>
    <w:rsid w:val="00AD72E8"/>
    <w:rsid w:val="00AD747B"/>
    <w:rsid w:val="00AD74F4"/>
    <w:rsid w:val="00AD7549"/>
    <w:rsid w:val="00AD7703"/>
    <w:rsid w:val="00AD773F"/>
    <w:rsid w:val="00AD7762"/>
    <w:rsid w:val="00AD7961"/>
    <w:rsid w:val="00AD7A24"/>
    <w:rsid w:val="00AE0691"/>
    <w:rsid w:val="00AE0C5B"/>
    <w:rsid w:val="00AE11E0"/>
    <w:rsid w:val="00AE1991"/>
    <w:rsid w:val="00AE1F71"/>
    <w:rsid w:val="00AE20D3"/>
    <w:rsid w:val="00AE22FF"/>
    <w:rsid w:val="00AE2B41"/>
    <w:rsid w:val="00AE2F26"/>
    <w:rsid w:val="00AE309A"/>
    <w:rsid w:val="00AE334F"/>
    <w:rsid w:val="00AE354E"/>
    <w:rsid w:val="00AE3745"/>
    <w:rsid w:val="00AE3859"/>
    <w:rsid w:val="00AE3C29"/>
    <w:rsid w:val="00AE3FAB"/>
    <w:rsid w:val="00AE4122"/>
    <w:rsid w:val="00AE4383"/>
    <w:rsid w:val="00AE43E5"/>
    <w:rsid w:val="00AE45E3"/>
    <w:rsid w:val="00AE4970"/>
    <w:rsid w:val="00AE4C0A"/>
    <w:rsid w:val="00AE55D2"/>
    <w:rsid w:val="00AE59C8"/>
    <w:rsid w:val="00AE5A70"/>
    <w:rsid w:val="00AE5B12"/>
    <w:rsid w:val="00AE5B4E"/>
    <w:rsid w:val="00AE5FB4"/>
    <w:rsid w:val="00AE608B"/>
    <w:rsid w:val="00AE6152"/>
    <w:rsid w:val="00AE651F"/>
    <w:rsid w:val="00AE653F"/>
    <w:rsid w:val="00AE6543"/>
    <w:rsid w:val="00AE72CF"/>
    <w:rsid w:val="00AE73F4"/>
    <w:rsid w:val="00AE7419"/>
    <w:rsid w:val="00AE7704"/>
    <w:rsid w:val="00AE7822"/>
    <w:rsid w:val="00AE78F4"/>
    <w:rsid w:val="00AE7957"/>
    <w:rsid w:val="00AE79D1"/>
    <w:rsid w:val="00AE7C3A"/>
    <w:rsid w:val="00AE7D41"/>
    <w:rsid w:val="00AE7E12"/>
    <w:rsid w:val="00AE7E1F"/>
    <w:rsid w:val="00AE7EC5"/>
    <w:rsid w:val="00AF0172"/>
    <w:rsid w:val="00AF038D"/>
    <w:rsid w:val="00AF0A5A"/>
    <w:rsid w:val="00AF0B5C"/>
    <w:rsid w:val="00AF101F"/>
    <w:rsid w:val="00AF15D2"/>
    <w:rsid w:val="00AF19B7"/>
    <w:rsid w:val="00AF1D19"/>
    <w:rsid w:val="00AF1E0B"/>
    <w:rsid w:val="00AF24A3"/>
    <w:rsid w:val="00AF2CFE"/>
    <w:rsid w:val="00AF2F17"/>
    <w:rsid w:val="00AF33E2"/>
    <w:rsid w:val="00AF3413"/>
    <w:rsid w:val="00AF3475"/>
    <w:rsid w:val="00AF3628"/>
    <w:rsid w:val="00AF3E3A"/>
    <w:rsid w:val="00AF4084"/>
    <w:rsid w:val="00AF48D7"/>
    <w:rsid w:val="00AF48F5"/>
    <w:rsid w:val="00AF4C4E"/>
    <w:rsid w:val="00AF55BC"/>
    <w:rsid w:val="00AF57FF"/>
    <w:rsid w:val="00AF59F2"/>
    <w:rsid w:val="00AF6BBE"/>
    <w:rsid w:val="00AF7193"/>
    <w:rsid w:val="00AF7497"/>
    <w:rsid w:val="00AF7582"/>
    <w:rsid w:val="00AF75E3"/>
    <w:rsid w:val="00AF7DED"/>
    <w:rsid w:val="00AF7EDA"/>
    <w:rsid w:val="00AF7FC9"/>
    <w:rsid w:val="00B000CD"/>
    <w:rsid w:val="00B001D9"/>
    <w:rsid w:val="00B007E9"/>
    <w:rsid w:val="00B00998"/>
    <w:rsid w:val="00B01707"/>
    <w:rsid w:val="00B01C0A"/>
    <w:rsid w:val="00B01FB2"/>
    <w:rsid w:val="00B027F0"/>
    <w:rsid w:val="00B02A99"/>
    <w:rsid w:val="00B02B00"/>
    <w:rsid w:val="00B02E36"/>
    <w:rsid w:val="00B03079"/>
    <w:rsid w:val="00B031BB"/>
    <w:rsid w:val="00B031E9"/>
    <w:rsid w:val="00B032B7"/>
    <w:rsid w:val="00B03A76"/>
    <w:rsid w:val="00B03B24"/>
    <w:rsid w:val="00B04570"/>
    <w:rsid w:val="00B0461A"/>
    <w:rsid w:val="00B046A4"/>
    <w:rsid w:val="00B05208"/>
    <w:rsid w:val="00B05EDF"/>
    <w:rsid w:val="00B06B38"/>
    <w:rsid w:val="00B06BD5"/>
    <w:rsid w:val="00B06C2B"/>
    <w:rsid w:val="00B06F6A"/>
    <w:rsid w:val="00B10500"/>
    <w:rsid w:val="00B106D9"/>
    <w:rsid w:val="00B10ED8"/>
    <w:rsid w:val="00B11651"/>
    <w:rsid w:val="00B11933"/>
    <w:rsid w:val="00B11C22"/>
    <w:rsid w:val="00B11E54"/>
    <w:rsid w:val="00B11E9F"/>
    <w:rsid w:val="00B12933"/>
    <w:rsid w:val="00B12978"/>
    <w:rsid w:val="00B12D84"/>
    <w:rsid w:val="00B12FF7"/>
    <w:rsid w:val="00B12FFA"/>
    <w:rsid w:val="00B13EB6"/>
    <w:rsid w:val="00B13F3D"/>
    <w:rsid w:val="00B149F3"/>
    <w:rsid w:val="00B149F8"/>
    <w:rsid w:val="00B15289"/>
    <w:rsid w:val="00B1547A"/>
    <w:rsid w:val="00B1549B"/>
    <w:rsid w:val="00B1577B"/>
    <w:rsid w:val="00B15D39"/>
    <w:rsid w:val="00B15D73"/>
    <w:rsid w:val="00B160EA"/>
    <w:rsid w:val="00B162C1"/>
    <w:rsid w:val="00B16CB7"/>
    <w:rsid w:val="00B1710C"/>
    <w:rsid w:val="00B171A6"/>
    <w:rsid w:val="00B17382"/>
    <w:rsid w:val="00B17CBD"/>
    <w:rsid w:val="00B17DC6"/>
    <w:rsid w:val="00B17E12"/>
    <w:rsid w:val="00B20790"/>
    <w:rsid w:val="00B208D8"/>
    <w:rsid w:val="00B20B9F"/>
    <w:rsid w:val="00B20D78"/>
    <w:rsid w:val="00B20F2E"/>
    <w:rsid w:val="00B2136D"/>
    <w:rsid w:val="00B2187E"/>
    <w:rsid w:val="00B2194D"/>
    <w:rsid w:val="00B219C1"/>
    <w:rsid w:val="00B21DF9"/>
    <w:rsid w:val="00B21F02"/>
    <w:rsid w:val="00B2283A"/>
    <w:rsid w:val="00B229CC"/>
    <w:rsid w:val="00B234C4"/>
    <w:rsid w:val="00B23540"/>
    <w:rsid w:val="00B237EE"/>
    <w:rsid w:val="00B23BE8"/>
    <w:rsid w:val="00B23D7E"/>
    <w:rsid w:val="00B24559"/>
    <w:rsid w:val="00B24A16"/>
    <w:rsid w:val="00B24C6D"/>
    <w:rsid w:val="00B24DD8"/>
    <w:rsid w:val="00B25416"/>
    <w:rsid w:val="00B2551A"/>
    <w:rsid w:val="00B25B2B"/>
    <w:rsid w:val="00B25B4F"/>
    <w:rsid w:val="00B260AE"/>
    <w:rsid w:val="00B26F05"/>
    <w:rsid w:val="00B27030"/>
    <w:rsid w:val="00B275A0"/>
    <w:rsid w:val="00B27A68"/>
    <w:rsid w:val="00B27BC5"/>
    <w:rsid w:val="00B3078E"/>
    <w:rsid w:val="00B30AAD"/>
    <w:rsid w:val="00B310D4"/>
    <w:rsid w:val="00B31276"/>
    <w:rsid w:val="00B31885"/>
    <w:rsid w:val="00B323E8"/>
    <w:rsid w:val="00B323F7"/>
    <w:rsid w:val="00B32428"/>
    <w:rsid w:val="00B326AD"/>
    <w:rsid w:val="00B32D6B"/>
    <w:rsid w:val="00B33273"/>
    <w:rsid w:val="00B33700"/>
    <w:rsid w:val="00B3383B"/>
    <w:rsid w:val="00B33C88"/>
    <w:rsid w:val="00B33EC4"/>
    <w:rsid w:val="00B34444"/>
    <w:rsid w:val="00B34AAC"/>
    <w:rsid w:val="00B34E13"/>
    <w:rsid w:val="00B3506C"/>
    <w:rsid w:val="00B35588"/>
    <w:rsid w:val="00B35BE8"/>
    <w:rsid w:val="00B363D8"/>
    <w:rsid w:val="00B365E4"/>
    <w:rsid w:val="00B36A7B"/>
    <w:rsid w:val="00B36B86"/>
    <w:rsid w:val="00B370E8"/>
    <w:rsid w:val="00B37904"/>
    <w:rsid w:val="00B37BCF"/>
    <w:rsid w:val="00B37C34"/>
    <w:rsid w:val="00B40204"/>
    <w:rsid w:val="00B4064E"/>
    <w:rsid w:val="00B407CD"/>
    <w:rsid w:val="00B40A36"/>
    <w:rsid w:val="00B40AA4"/>
    <w:rsid w:val="00B40EEA"/>
    <w:rsid w:val="00B41347"/>
    <w:rsid w:val="00B41475"/>
    <w:rsid w:val="00B42036"/>
    <w:rsid w:val="00B424D3"/>
    <w:rsid w:val="00B42595"/>
    <w:rsid w:val="00B4276C"/>
    <w:rsid w:val="00B429A3"/>
    <w:rsid w:val="00B42DB1"/>
    <w:rsid w:val="00B42F8B"/>
    <w:rsid w:val="00B430E0"/>
    <w:rsid w:val="00B442B0"/>
    <w:rsid w:val="00B443D0"/>
    <w:rsid w:val="00B444BF"/>
    <w:rsid w:val="00B4465B"/>
    <w:rsid w:val="00B4467D"/>
    <w:rsid w:val="00B446BD"/>
    <w:rsid w:val="00B449AD"/>
    <w:rsid w:val="00B44B36"/>
    <w:rsid w:val="00B451D3"/>
    <w:rsid w:val="00B453A2"/>
    <w:rsid w:val="00B456A3"/>
    <w:rsid w:val="00B45A54"/>
    <w:rsid w:val="00B45BF6"/>
    <w:rsid w:val="00B45F03"/>
    <w:rsid w:val="00B46086"/>
    <w:rsid w:val="00B460DF"/>
    <w:rsid w:val="00B4650A"/>
    <w:rsid w:val="00B46523"/>
    <w:rsid w:val="00B46759"/>
    <w:rsid w:val="00B467D1"/>
    <w:rsid w:val="00B468B0"/>
    <w:rsid w:val="00B46D2C"/>
    <w:rsid w:val="00B47395"/>
    <w:rsid w:val="00B47B98"/>
    <w:rsid w:val="00B47E13"/>
    <w:rsid w:val="00B500D0"/>
    <w:rsid w:val="00B5019A"/>
    <w:rsid w:val="00B50303"/>
    <w:rsid w:val="00B5052D"/>
    <w:rsid w:val="00B5073C"/>
    <w:rsid w:val="00B5080B"/>
    <w:rsid w:val="00B50919"/>
    <w:rsid w:val="00B51022"/>
    <w:rsid w:val="00B51129"/>
    <w:rsid w:val="00B5180B"/>
    <w:rsid w:val="00B51840"/>
    <w:rsid w:val="00B51A08"/>
    <w:rsid w:val="00B51AF0"/>
    <w:rsid w:val="00B51D50"/>
    <w:rsid w:val="00B51D59"/>
    <w:rsid w:val="00B51E29"/>
    <w:rsid w:val="00B52294"/>
    <w:rsid w:val="00B52D5C"/>
    <w:rsid w:val="00B52FE9"/>
    <w:rsid w:val="00B5344E"/>
    <w:rsid w:val="00B5358E"/>
    <w:rsid w:val="00B536B7"/>
    <w:rsid w:val="00B53730"/>
    <w:rsid w:val="00B5385E"/>
    <w:rsid w:val="00B53AE5"/>
    <w:rsid w:val="00B53B21"/>
    <w:rsid w:val="00B53BB2"/>
    <w:rsid w:val="00B53BE3"/>
    <w:rsid w:val="00B53D89"/>
    <w:rsid w:val="00B544B7"/>
    <w:rsid w:val="00B545A2"/>
    <w:rsid w:val="00B54EF7"/>
    <w:rsid w:val="00B55069"/>
    <w:rsid w:val="00B5556F"/>
    <w:rsid w:val="00B5562C"/>
    <w:rsid w:val="00B5584A"/>
    <w:rsid w:val="00B55CCC"/>
    <w:rsid w:val="00B56929"/>
    <w:rsid w:val="00B56C44"/>
    <w:rsid w:val="00B571EB"/>
    <w:rsid w:val="00B57277"/>
    <w:rsid w:val="00B579BD"/>
    <w:rsid w:val="00B57E19"/>
    <w:rsid w:val="00B57F51"/>
    <w:rsid w:val="00B6000E"/>
    <w:rsid w:val="00B6031F"/>
    <w:rsid w:val="00B60863"/>
    <w:rsid w:val="00B6151A"/>
    <w:rsid w:val="00B6186E"/>
    <w:rsid w:val="00B6307B"/>
    <w:rsid w:val="00B63639"/>
    <w:rsid w:val="00B63DE3"/>
    <w:rsid w:val="00B640E4"/>
    <w:rsid w:val="00B647F5"/>
    <w:rsid w:val="00B649C8"/>
    <w:rsid w:val="00B64AAD"/>
    <w:rsid w:val="00B64BFA"/>
    <w:rsid w:val="00B64CAA"/>
    <w:rsid w:val="00B6506E"/>
    <w:rsid w:val="00B65764"/>
    <w:rsid w:val="00B65A6B"/>
    <w:rsid w:val="00B65D9E"/>
    <w:rsid w:val="00B65DDD"/>
    <w:rsid w:val="00B660C9"/>
    <w:rsid w:val="00B66396"/>
    <w:rsid w:val="00B66B90"/>
    <w:rsid w:val="00B67183"/>
    <w:rsid w:val="00B6764C"/>
    <w:rsid w:val="00B6791D"/>
    <w:rsid w:val="00B67A67"/>
    <w:rsid w:val="00B70033"/>
    <w:rsid w:val="00B7047D"/>
    <w:rsid w:val="00B706C8"/>
    <w:rsid w:val="00B70886"/>
    <w:rsid w:val="00B7091D"/>
    <w:rsid w:val="00B70B1A"/>
    <w:rsid w:val="00B71112"/>
    <w:rsid w:val="00B7210F"/>
    <w:rsid w:val="00B72520"/>
    <w:rsid w:val="00B72ABA"/>
    <w:rsid w:val="00B72EA7"/>
    <w:rsid w:val="00B72FAF"/>
    <w:rsid w:val="00B7340E"/>
    <w:rsid w:val="00B73661"/>
    <w:rsid w:val="00B73974"/>
    <w:rsid w:val="00B740B5"/>
    <w:rsid w:val="00B74987"/>
    <w:rsid w:val="00B74DD4"/>
    <w:rsid w:val="00B75031"/>
    <w:rsid w:val="00B753E0"/>
    <w:rsid w:val="00B75A5D"/>
    <w:rsid w:val="00B75EF4"/>
    <w:rsid w:val="00B75FB9"/>
    <w:rsid w:val="00B7613C"/>
    <w:rsid w:val="00B76268"/>
    <w:rsid w:val="00B766B9"/>
    <w:rsid w:val="00B768DA"/>
    <w:rsid w:val="00B772C4"/>
    <w:rsid w:val="00B7764E"/>
    <w:rsid w:val="00B77CBB"/>
    <w:rsid w:val="00B77F2F"/>
    <w:rsid w:val="00B8091A"/>
    <w:rsid w:val="00B80AA5"/>
    <w:rsid w:val="00B80E1F"/>
    <w:rsid w:val="00B81937"/>
    <w:rsid w:val="00B8193F"/>
    <w:rsid w:val="00B819A0"/>
    <w:rsid w:val="00B81B65"/>
    <w:rsid w:val="00B81BF1"/>
    <w:rsid w:val="00B81C0D"/>
    <w:rsid w:val="00B81C67"/>
    <w:rsid w:val="00B81CA0"/>
    <w:rsid w:val="00B81E31"/>
    <w:rsid w:val="00B81ED1"/>
    <w:rsid w:val="00B81FA8"/>
    <w:rsid w:val="00B81FD5"/>
    <w:rsid w:val="00B82086"/>
    <w:rsid w:val="00B82350"/>
    <w:rsid w:val="00B82D50"/>
    <w:rsid w:val="00B83369"/>
    <w:rsid w:val="00B834D5"/>
    <w:rsid w:val="00B83AAC"/>
    <w:rsid w:val="00B8412B"/>
    <w:rsid w:val="00B8421F"/>
    <w:rsid w:val="00B842DF"/>
    <w:rsid w:val="00B845F5"/>
    <w:rsid w:val="00B84C65"/>
    <w:rsid w:val="00B85151"/>
    <w:rsid w:val="00B8519A"/>
    <w:rsid w:val="00B85354"/>
    <w:rsid w:val="00B85359"/>
    <w:rsid w:val="00B85E50"/>
    <w:rsid w:val="00B860FF"/>
    <w:rsid w:val="00B86547"/>
    <w:rsid w:val="00B86570"/>
    <w:rsid w:val="00B867CF"/>
    <w:rsid w:val="00B86885"/>
    <w:rsid w:val="00B86B07"/>
    <w:rsid w:val="00B86E63"/>
    <w:rsid w:val="00B8717B"/>
    <w:rsid w:val="00B87A2B"/>
    <w:rsid w:val="00B87E38"/>
    <w:rsid w:val="00B90393"/>
    <w:rsid w:val="00B9119C"/>
    <w:rsid w:val="00B912B8"/>
    <w:rsid w:val="00B919E5"/>
    <w:rsid w:val="00B91D51"/>
    <w:rsid w:val="00B91E3E"/>
    <w:rsid w:val="00B9252F"/>
    <w:rsid w:val="00B9256A"/>
    <w:rsid w:val="00B93ABA"/>
    <w:rsid w:val="00B93B03"/>
    <w:rsid w:val="00B93B9D"/>
    <w:rsid w:val="00B93C54"/>
    <w:rsid w:val="00B94015"/>
    <w:rsid w:val="00B941CB"/>
    <w:rsid w:val="00B9434F"/>
    <w:rsid w:val="00B94389"/>
    <w:rsid w:val="00B948D2"/>
    <w:rsid w:val="00B94B78"/>
    <w:rsid w:val="00B94F23"/>
    <w:rsid w:val="00B956E2"/>
    <w:rsid w:val="00B95C93"/>
    <w:rsid w:val="00B95CFE"/>
    <w:rsid w:val="00B95EB9"/>
    <w:rsid w:val="00B95F13"/>
    <w:rsid w:val="00B95F88"/>
    <w:rsid w:val="00B96732"/>
    <w:rsid w:val="00B9695D"/>
    <w:rsid w:val="00B969C8"/>
    <w:rsid w:val="00B96C41"/>
    <w:rsid w:val="00B9712D"/>
    <w:rsid w:val="00B9797F"/>
    <w:rsid w:val="00B97B95"/>
    <w:rsid w:val="00B97D07"/>
    <w:rsid w:val="00B97D9A"/>
    <w:rsid w:val="00B97F08"/>
    <w:rsid w:val="00BA08C9"/>
    <w:rsid w:val="00BA0BFB"/>
    <w:rsid w:val="00BA11F2"/>
    <w:rsid w:val="00BA12E8"/>
    <w:rsid w:val="00BA152B"/>
    <w:rsid w:val="00BA1678"/>
    <w:rsid w:val="00BA1EF2"/>
    <w:rsid w:val="00BA23E1"/>
    <w:rsid w:val="00BA246A"/>
    <w:rsid w:val="00BA340C"/>
    <w:rsid w:val="00BA376F"/>
    <w:rsid w:val="00BA3ABD"/>
    <w:rsid w:val="00BA3B80"/>
    <w:rsid w:val="00BA3FAA"/>
    <w:rsid w:val="00BA423C"/>
    <w:rsid w:val="00BA45C7"/>
    <w:rsid w:val="00BA45EB"/>
    <w:rsid w:val="00BA46A9"/>
    <w:rsid w:val="00BA48C5"/>
    <w:rsid w:val="00BA4E06"/>
    <w:rsid w:val="00BA50EA"/>
    <w:rsid w:val="00BA5233"/>
    <w:rsid w:val="00BA52BC"/>
    <w:rsid w:val="00BA539D"/>
    <w:rsid w:val="00BA53F3"/>
    <w:rsid w:val="00BA54CB"/>
    <w:rsid w:val="00BA5A1C"/>
    <w:rsid w:val="00BA5B9E"/>
    <w:rsid w:val="00BA60D1"/>
    <w:rsid w:val="00BA61F2"/>
    <w:rsid w:val="00BA6308"/>
    <w:rsid w:val="00BA651B"/>
    <w:rsid w:val="00BA667B"/>
    <w:rsid w:val="00BA6BEC"/>
    <w:rsid w:val="00BA72BC"/>
    <w:rsid w:val="00BA7414"/>
    <w:rsid w:val="00BA7B99"/>
    <w:rsid w:val="00BA7CC6"/>
    <w:rsid w:val="00BB0029"/>
    <w:rsid w:val="00BB09AA"/>
    <w:rsid w:val="00BB0A68"/>
    <w:rsid w:val="00BB0C4F"/>
    <w:rsid w:val="00BB0FEB"/>
    <w:rsid w:val="00BB0FEF"/>
    <w:rsid w:val="00BB1209"/>
    <w:rsid w:val="00BB1301"/>
    <w:rsid w:val="00BB1479"/>
    <w:rsid w:val="00BB15C1"/>
    <w:rsid w:val="00BB192A"/>
    <w:rsid w:val="00BB1CC8"/>
    <w:rsid w:val="00BB1E31"/>
    <w:rsid w:val="00BB2616"/>
    <w:rsid w:val="00BB2CE9"/>
    <w:rsid w:val="00BB2D45"/>
    <w:rsid w:val="00BB2F6A"/>
    <w:rsid w:val="00BB305D"/>
    <w:rsid w:val="00BB359D"/>
    <w:rsid w:val="00BB3961"/>
    <w:rsid w:val="00BB3E97"/>
    <w:rsid w:val="00BB4DC4"/>
    <w:rsid w:val="00BB4E3E"/>
    <w:rsid w:val="00BB4FFA"/>
    <w:rsid w:val="00BB53D9"/>
    <w:rsid w:val="00BB55F2"/>
    <w:rsid w:val="00BB5C0B"/>
    <w:rsid w:val="00BB6B84"/>
    <w:rsid w:val="00BB6D1A"/>
    <w:rsid w:val="00BB6EF9"/>
    <w:rsid w:val="00BB766E"/>
    <w:rsid w:val="00BB7732"/>
    <w:rsid w:val="00BB773C"/>
    <w:rsid w:val="00BB77E8"/>
    <w:rsid w:val="00BB79C6"/>
    <w:rsid w:val="00BB7DCA"/>
    <w:rsid w:val="00BC0043"/>
    <w:rsid w:val="00BC1283"/>
    <w:rsid w:val="00BC1887"/>
    <w:rsid w:val="00BC1894"/>
    <w:rsid w:val="00BC1943"/>
    <w:rsid w:val="00BC1A15"/>
    <w:rsid w:val="00BC1B6D"/>
    <w:rsid w:val="00BC1F06"/>
    <w:rsid w:val="00BC1FF8"/>
    <w:rsid w:val="00BC235A"/>
    <w:rsid w:val="00BC2405"/>
    <w:rsid w:val="00BC2868"/>
    <w:rsid w:val="00BC2D22"/>
    <w:rsid w:val="00BC2FD9"/>
    <w:rsid w:val="00BC310E"/>
    <w:rsid w:val="00BC3327"/>
    <w:rsid w:val="00BC41F2"/>
    <w:rsid w:val="00BC450E"/>
    <w:rsid w:val="00BC45CD"/>
    <w:rsid w:val="00BC45FB"/>
    <w:rsid w:val="00BC47A6"/>
    <w:rsid w:val="00BC4AE8"/>
    <w:rsid w:val="00BC4B41"/>
    <w:rsid w:val="00BC4C8D"/>
    <w:rsid w:val="00BC55E5"/>
    <w:rsid w:val="00BC58B6"/>
    <w:rsid w:val="00BC59B9"/>
    <w:rsid w:val="00BC5ABE"/>
    <w:rsid w:val="00BC5C7E"/>
    <w:rsid w:val="00BC5E3E"/>
    <w:rsid w:val="00BC5EBB"/>
    <w:rsid w:val="00BC6291"/>
    <w:rsid w:val="00BC64A5"/>
    <w:rsid w:val="00BC6640"/>
    <w:rsid w:val="00BC68FB"/>
    <w:rsid w:val="00BC76D7"/>
    <w:rsid w:val="00BC7923"/>
    <w:rsid w:val="00BD08E5"/>
    <w:rsid w:val="00BD11FA"/>
    <w:rsid w:val="00BD1380"/>
    <w:rsid w:val="00BD14F5"/>
    <w:rsid w:val="00BD186E"/>
    <w:rsid w:val="00BD1DFE"/>
    <w:rsid w:val="00BD257E"/>
    <w:rsid w:val="00BD2833"/>
    <w:rsid w:val="00BD295A"/>
    <w:rsid w:val="00BD2BE6"/>
    <w:rsid w:val="00BD2E27"/>
    <w:rsid w:val="00BD2FC5"/>
    <w:rsid w:val="00BD3483"/>
    <w:rsid w:val="00BD3BCF"/>
    <w:rsid w:val="00BD3D97"/>
    <w:rsid w:val="00BD4341"/>
    <w:rsid w:val="00BD43F5"/>
    <w:rsid w:val="00BD46CF"/>
    <w:rsid w:val="00BD4924"/>
    <w:rsid w:val="00BD52EE"/>
    <w:rsid w:val="00BD536A"/>
    <w:rsid w:val="00BD5701"/>
    <w:rsid w:val="00BD63DE"/>
    <w:rsid w:val="00BD65DA"/>
    <w:rsid w:val="00BD6C2F"/>
    <w:rsid w:val="00BD6C8C"/>
    <w:rsid w:val="00BD6D77"/>
    <w:rsid w:val="00BD6E45"/>
    <w:rsid w:val="00BD70DE"/>
    <w:rsid w:val="00BD795A"/>
    <w:rsid w:val="00BD7F86"/>
    <w:rsid w:val="00BE0465"/>
    <w:rsid w:val="00BE05DD"/>
    <w:rsid w:val="00BE0766"/>
    <w:rsid w:val="00BE1007"/>
    <w:rsid w:val="00BE1482"/>
    <w:rsid w:val="00BE154C"/>
    <w:rsid w:val="00BE15CD"/>
    <w:rsid w:val="00BE2A25"/>
    <w:rsid w:val="00BE2C46"/>
    <w:rsid w:val="00BE2F37"/>
    <w:rsid w:val="00BE3807"/>
    <w:rsid w:val="00BE3BFC"/>
    <w:rsid w:val="00BE40AB"/>
    <w:rsid w:val="00BE4809"/>
    <w:rsid w:val="00BE48B9"/>
    <w:rsid w:val="00BE4B99"/>
    <w:rsid w:val="00BE4BE9"/>
    <w:rsid w:val="00BE4F21"/>
    <w:rsid w:val="00BE5148"/>
    <w:rsid w:val="00BE5E67"/>
    <w:rsid w:val="00BE6061"/>
    <w:rsid w:val="00BE6B3B"/>
    <w:rsid w:val="00BE753C"/>
    <w:rsid w:val="00BE787D"/>
    <w:rsid w:val="00BE7935"/>
    <w:rsid w:val="00BE7AC4"/>
    <w:rsid w:val="00BE7B50"/>
    <w:rsid w:val="00BE7C72"/>
    <w:rsid w:val="00BE7E7F"/>
    <w:rsid w:val="00BF1080"/>
    <w:rsid w:val="00BF1AF4"/>
    <w:rsid w:val="00BF1BBA"/>
    <w:rsid w:val="00BF21CA"/>
    <w:rsid w:val="00BF224A"/>
    <w:rsid w:val="00BF2262"/>
    <w:rsid w:val="00BF34C0"/>
    <w:rsid w:val="00BF3FF9"/>
    <w:rsid w:val="00BF4ADF"/>
    <w:rsid w:val="00BF4F19"/>
    <w:rsid w:val="00BF4F7A"/>
    <w:rsid w:val="00BF4FF6"/>
    <w:rsid w:val="00BF51AB"/>
    <w:rsid w:val="00BF5315"/>
    <w:rsid w:val="00BF5BD4"/>
    <w:rsid w:val="00BF5BFC"/>
    <w:rsid w:val="00BF607A"/>
    <w:rsid w:val="00BF607D"/>
    <w:rsid w:val="00BF6142"/>
    <w:rsid w:val="00BF6148"/>
    <w:rsid w:val="00BF64D4"/>
    <w:rsid w:val="00BF667B"/>
    <w:rsid w:val="00BF677F"/>
    <w:rsid w:val="00BF699B"/>
    <w:rsid w:val="00BF6A01"/>
    <w:rsid w:val="00BF6F55"/>
    <w:rsid w:val="00BF7429"/>
    <w:rsid w:val="00BF752F"/>
    <w:rsid w:val="00BF7E25"/>
    <w:rsid w:val="00C000D4"/>
    <w:rsid w:val="00C00220"/>
    <w:rsid w:val="00C00AB9"/>
    <w:rsid w:val="00C00BFB"/>
    <w:rsid w:val="00C01486"/>
    <w:rsid w:val="00C014D8"/>
    <w:rsid w:val="00C01A7B"/>
    <w:rsid w:val="00C01BF1"/>
    <w:rsid w:val="00C01E4A"/>
    <w:rsid w:val="00C021B0"/>
    <w:rsid w:val="00C02301"/>
    <w:rsid w:val="00C02613"/>
    <w:rsid w:val="00C02A89"/>
    <w:rsid w:val="00C035BF"/>
    <w:rsid w:val="00C039C2"/>
    <w:rsid w:val="00C041B8"/>
    <w:rsid w:val="00C0425B"/>
    <w:rsid w:val="00C04261"/>
    <w:rsid w:val="00C04319"/>
    <w:rsid w:val="00C04BC4"/>
    <w:rsid w:val="00C05066"/>
    <w:rsid w:val="00C05258"/>
    <w:rsid w:val="00C05369"/>
    <w:rsid w:val="00C057C4"/>
    <w:rsid w:val="00C059FB"/>
    <w:rsid w:val="00C05ED2"/>
    <w:rsid w:val="00C060DA"/>
    <w:rsid w:val="00C06860"/>
    <w:rsid w:val="00C068B2"/>
    <w:rsid w:val="00C06939"/>
    <w:rsid w:val="00C06B8B"/>
    <w:rsid w:val="00C06FEC"/>
    <w:rsid w:val="00C07206"/>
    <w:rsid w:val="00C07431"/>
    <w:rsid w:val="00C07566"/>
    <w:rsid w:val="00C07606"/>
    <w:rsid w:val="00C07717"/>
    <w:rsid w:val="00C077C5"/>
    <w:rsid w:val="00C07A94"/>
    <w:rsid w:val="00C07E4C"/>
    <w:rsid w:val="00C07EDF"/>
    <w:rsid w:val="00C1023F"/>
    <w:rsid w:val="00C1042E"/>
    <w:rsid w:val="00C106CC"/>
    <w:rsid w:val="00C1166A"/>
    <w:rsid w:val="00C117C0"/>
    <w:rsid w:val="00C118D7"/>
    <w:rsid w:val="00C11BBC"/>
    <w:rsid w:val="00C124F7"/>
    <w:rsid w:val="00C127CC"/>
    <w:rsid w:val="00C12C6C"/>
    <w:rsid w:val="00C12E79"/>
    <w:rsid w:val="00C1329F"/>
    <w:rsid w:val="00C132AB"/>
    <w:rsid w:val="00C136DE"/>
    <w:rsid w:val="00C13A3C"/>
    <w:rsid w:val="00C13E58"/>
    <w:rsid w:val="00C13E68"/>
    <w:rsid w:val="00C1411E"/>
    <w:rsid w:val="00C14207"/>
    <w:rsid w:val="00C143AC"/>
    <w:rsid w:val="00C143E2"/>
    <w:rsid w:val="00C14479"/>
    <w:rsid w:val="00C146F0"/>
    <w:rsid w:val="00C14E46"/>
    <w:rsid w:val="00C1535E"/>
    <w:rsid w:val="00C15ABB"/>
    <w:rsid w:val="00C15FC0"/>
    <w:rsid w:val="00C161FD"/>
    <w:rsid w:val="00C162A0"/>
    <w:rsid w:val="00C16720"/>
    <w:rsid w:val="00C16ADD"/>
    <w:rsid w:val="00C16BF0"/>
    <w:rsid w:val="00C16E79"/>
    <w:rsid w:val="00C171BA"/>
    <w:rsid w:val="00C1796F"/>
    <w:rsid w:val="00C17C56"/>
    <w:rsid w:val="00C20253"/>
    <w:rsid w:val="00C2034B"/>
    <w:rsid w:val="00C20371"/>
    <w:rsid w:val="00C2045D"/>
    <w:rsid w:val="00C20732"/>
    <w:rsid w:val="00C20CD9"/>
    <w:rsid w:val="00C210FA"/>
    <w:rsid w:val="00C21418"/>
    <w:rsid w:val="00C21550"/>
    <w:rsid w:val="00C21789"/>
    <w:rsid w:val="00C217B8"/>
    <w:rsid w:val="00C218AB"/>
    <w:rsid w:val="00C218E4"/>
    <w:rsid w:val="00C21E95"/>
    <w:rsid w:val="00C227EE"/>
    <w:rsid w:val="00C2311E"/>
    <w:rsid w:val="00C235AD"/>
    <w:rsid w:val="00C238C3"/>
    <w:rsid w:val="00C23ABF"/>
    <w:rsid w:val="00C23ACD"/>
    <w:rsid w:val="00C23B71"/>
    <w:rsid w:val="00C24063"/>
    <w:rsid w:val="00C24902"/>
    <w:rsid w:val="00C24B39"/>
    <w:rsid w:val="00C24BA0"/>
    <w:rsid w:val="00C24D90"/>
    <w:rsid w:val="00C24FBC"/>
    <w:rsid w:val="00C25260"/>
    <w:rsid w:val="00C253E6"/>
    <w:rsid w:val="00C25475"/>
    <w:rsid w:val="00C2586D"/>
    <w:rsid w:val="00C2653B"/>
    <w:rsid w:val="00C26546"/>
    <w:rsid w:val="00C26980"/>
    <w:rsid w:val="00C26FB5"/>
    <w:rsid w:val="00C27616"/>
    <w:rsid w:val="00C278D0"/>
    <w:rsid w:val="00C2799E"/>
    <w:rsid w:val="00C27F01"/>
    <w:rsid w:val="00C30604"/>
    <w:rsid w:val="00C3067B"/>
    <w:rsid w:val="00C3081C"/>
    <w:rsid w:val="00C3092B"/>
    <w:rsid w:val="00C30993"/>
    <w:rsid w:val="00C30C3F"/>
    <w:rsid w:val="00C30D15"/>
    <w:rsid w:val="00C30D36"/>
    <w:rsid w:val="00C30E15"/>
    <w:rsid w:val="00C30E7D"/>
    <w:rsid w:val="00C31056"/>
    <w:rsid w:val="00C310A7"/>
    <w:rsid w:val="00C312FB"/>
    <w:rsid w:val="00C3132B"/>
    <w:rsid w:val="00C3153E"/>
    <w:rsid w:val="00C315CA"/>
    <w:rsid w:val="00C3185F"/>
    <w:rsid w:val="00C3186B"/>
    <w:rsid w:val="00C31B83"/>
    <w:rsid w:val="00C31D37"/>
    <w:rsid w:val="00C3206C"/>
    <w:rsid w:val="00C32224"/>
    <w:rsid w:val="00C324B1"/>
    <w:rsid w:val="00C32B3A"/>
    <w:rsid w:val="00C33020"/>
    <w:rsid w:val="00C33691"/>
    <w:rsid w:val="00C338B4"/>
    <w:rsid w:val="00C3395D"/>
    <w:rsid w:val="00C33F6B"/>
    <w:rsid w:val="00C33FBE"/>
    <w:rsid w:val="00C34435"/>
    <w:rsid w:val="00C34607"/>
    <w:rsid w:val="00C346D2"/>
    <w:rsid w:val="00C3485A"/>
    <w:rsid w:val="00C34DB1"/>
    <w:rsid w:val="00C34DEE"/>
    <w:rsid w:val="00C3580A"/>
    <w:rsid w:val="00C35905"/>
    <w:rsid w:val="00C35D05"/>
    <w:rsid w:val="00C35E4C"/>
    <w:rsid w:val="00C36479"/>
    <w:rsid w:val="00C36574"/>
    <w:rsid w:val="00C36796"/>
    <w:rsid w:val="00C36844"/>
    <w:rsid w:val="00C40384"/>
    <w:rsid w:val="00C40675"/>
    <w:rsid w:val="00C4074D"/>
    <w:rsid w:val="00C40CDB"/>
    <w:rsid w:val="00C40D4E"/>
    <w:rsid w:val="00C41161"/>
    <w:rsid w:val="00C4126F"/>
    <w:rsid w:val="00C412A3"/>
    <w:rsid w:val="00C412D1"/>
    <w:rsid w:val="00C417FB"/>
    <w:rsid w:val="00C41CA9"/>
    <w:rsid w:val="00C41FA0"/>
    <w:rsid w:val="00C41FC4"/>
    <w:rsid w:val="00C426E2"/>
    <w:rsid w:val="00C42966"/>
    <w:rsid w:val="00C42A8A"/>
    <w:rsid w:val="00C42DAF"/>
    <w:rsid w:val="00C433C2"/>
    <w:rsid w:val="00C4402A"/>
    <w:rsid w:val="00C444E3"/>
    <w:rsid w:val="00C446E3"/>
    <w:rsid w:val="00C447A6"/>
    <w:rsid w:val="00C44D5F"/>
    <w:rsid w:val="00C44F33"/>
    <w:rsid w:val="00C4583A"/>
    <w:rsid w:val="00C46055"/>
    <w:rsid w:val="00C462A2"/>
    <w:rsid w:val="00C4664F"/>
    <w:rsid w:val="00C469EB"/>
    <w:rsid w:val="00C46D85"/>
    <w:rsid w:val="00C46E5E"/>
    <w:rsid w:val="00C46F39"/>
    <w:rsid w:val="00C471D9"/>
    <w:rsid w:val="00C4721B"/>
    <w:rsid w:val="00C472FB"/>
    <w:rsid w:val="00C474A3"/>
    <w:rsid w:val="00C474C7"/>
    <w:rsid w:val="00C47572"/>
    <w:rsid w:val="00C476FA"/>
    <w:rsid w:val="00C47782"/>
    <w:rsid w:val="00C47DEC"/>
    <w:rsid w:val="00C502E1"/>
    <w:rsid w:val="00C5076C"/>
    <w:rsid w:val="00C50874"/>
    <w:rsid w:val="00C50BD9"/>
    <w:rsid w:val="00C50F5E"/>
    <w:rsid w:val="00C50F91"/>
    <w:rsid w:val="00C50FB3"/>
    <w:rsid w:val="00C51530"/>
    <w:rsid w:val="00C517E4"/>
    <w:rsid w:val="00C518A4"/>
    <w:rsid w:val="00C51D21"/>
    <w:rsid w:val="00C52BC1"/>
    <w:rsid w:val="00C52C5A"/>
    <w:rsid w:val="00C533EA"/>
    <w:rsid w:val="00C53420"/>
    <w:rsid w:val="00C5388D"/>
    <w:rsid w:val="00C53B23"/>
    <w:rsid w:val="00C53E34"/>
    <w:rsid w:val="00C5424B"/>
    <w:rsid w:val="00C542D0"/>
    <w:rsid w:val="00C5469A"/>
    <w:rsid w:val="00C548BF"/>
    <w:rsid w:val="00C549A8"/>
    <w:rsid w:val="00C54BCC"/>
    <w:rsid w:val="00C54C6F"/>
    <w:rsid w:val="00C5506D"/>
    <w:rsid w:val="00C5511F"/>
    <w:rsid w:val="00C55179"/>
    <w:rsid w:val="00C554D3"/>
    <w:rsid w:val="00C5573C"/>
    <w:rsid w:val="00C5586F"/>
    <w:rsid w:val="00C56322"/>
    <w:rsid w:val="00C5666E"/>
    <w:rsid w:val="00C56705"/>
    <w:rsid w:val="00C577C8"/>
    <w:rsid w:val="00C5786D"/>
    <w:rsid w:val="00C578AA"/>
    <w:rsid w:val="00C57C2C"/>
    <w:rsid w:val="00C60143"/>
    <w:rsid w:val="00C60163"/>
    <w:rsid w:val="00C608B3"/>
    <w:rsid w:val="00C60A2E"/>
    <w:rsid w:val="00C60C82"/>
    <w:rsid w:val="00C60FD9"/>
    <w:rsid w:val="00C6105E"/>
    <w:rsid w:val="00C61AB8"/>
    <w:rsid w:val="00C61FA2"/>
    <w:rsid w:val="00C620F2"/>
    <w:rsid w:val="00C6222D"/>
    <w:rsid w:val="00C622D3"/>
    <w:rsid w:val="00C623C2"/>
    <w:rsid w:val="00C62787"/>
    <w:rsid w:val="00C62987"/>
    <w:rsid w:val="00C6309D"/>
    <w:rsid w:val="00C630F8"/>
    <w:rsid w:val="00C63B8A"/>
    <w:rsid w:val="00C63C44"/>
    <w:rsid w:val="00C6410E"/>
    <w:rsid w:val="00C641A1"/>
    <w:rsid w:val="00C641DD"/>
    <w:rsid w:val="00C64355"/>
    <w:rsid w:val="00C64918"/>
    <w:rsid w:val="00C64FD5"/>
    <w:rsid w:val="00C65025"/>
    <w:rsid w:val="00C653B2"/>
    <w:rsid w:val="00C655B9"/>
    <w:rsid w:val="00C65769"/>
    <w:rsid w:val="00C6578E"/>
    <w:rsid w:val="00C657F0"/>
    <w:rsid w:val="00C65AB3"/>
    <w:rsid w:val="00C65AE5"/>
    <w:rsid w:val="00C660BA"/>
    <w:rsid w:val="00C66116"/>
    <w:rsid w:val="00C664C9"/>
    <w:rsid w:val="00C66670"/>
    <w:rsid w:val="00C667D9"/>
    <w:rsid w:val="00C66F73"/>
    <w:rsid w:val="00C701D6"/>
    <w:rsid w:val="00C708CC"/>
    <w:rsid w:val="00C71419"/>
    <w:rsid w:val="00C717CD"/>
    <w:rsid w:val="00C718A1"/>
    <w:rsid w:val="00C71BDA"/>
    <w:rsid w:val="00C71DAC"/>
    <w:rsid w:val="00C7206E"/>
    <w:rsid w:val="00C720CF"/>
    <w:rsid w:val="00C722B2"/>
    <w:rsid w:val="00C73836"/>
    <w:rsid w:val="00C738A1"/>
    <w:rsid w:val="00C738F2"/>
    <w:rsid w:val="00C73D1F"/>
    <w:rsid w:val="00C74148"/>
    <w:rsid w:val="00C74ED6"/>
    <w:rsid w:val="00C750D3"/>
    <w:rsid w:val="00C75446"/>
    <w:rsid w:val="00C75D25"/>
    <w:rsid w:val="00C76409"/>
    <w:rsid w:val="00C7650E"/>
    <w:rsid w:val="00C7680E"/>
    <w:rsid w:val="00C76A1A"/>
    <w:rsid w:val="00C76C2E"/>
    <w:rsid w:val="00C77232"/>
    <w:rsid w:val="00C77A62"/>
    <w:rsid w:val="00C77BE9"/>
    <w:rsid w:val="00C80029"/>
    <w:rsid w:val="00C801FC"/>
    <w:rsid w:val="00C803D5"/>
    <w:rsid w:val="00C808A1"/>
    <w:rsid w:val="00C80B89"/>
    <w:rsid w:val="00C81115"/>
    <w:rsid w:val="00C81228"/>
    <w:rsid w:val="00C818C4"/>
    <w:rsid w:val="00C81A02"/>
    <w:rsid w:val="00C81EA7"/>
    <w:rsid w:val="00C82216"/>
    <w:rsid w:val="00C822B2"/>
    <w:rsid w:val="00C825B7"/>
    <w:rsid w:val="00C82C01"/>
    <w:rsid w:val="00C82EEF"/>
    <w:rsid w:val="00C82F1F"/>
    <w:rsid w:val="00C8300C"/>
    <w:rsid w:val="00C83018"/>
    <w:rsid w:val="00C833CA"/>
    <w:rsid w:val="00C83450"/>
    <w:rsid w:val="00C836B8"/>
    <w:rsid w:val="00C84430"/>
    <w:rsid w:val="00C844BC"/>
    <w:rsid w:val="00C84856"/>
    <w:rsid w:val="00C84882"/>
    <w:rsid w:val="00C8488F"/>
    <w:rsid w:val="00C84C2D"/>
    <w:rsid w:val="00C84CF7"/>
    <w:rsid w:val="00C8521E"/>
    <w:rsid w:val="00C85397"/>
    <w:rsid w:val="00C85596"/>
    <w:rsid w:val="00C855A6"/>
    <w:rsid w:val="00C85C6A"/>
    <w:rsid w:val="00C85CDC"/>
    <w:rsid w:val="00C86561"/>
    <w:rsid w:val="00C86C34"/>
    <w:rsid w:val="00C870C0"/>
    <w:rsid w:val="00C870E8"/>
    <w:rsid w:val="00C8728B"/>
    <w:rsid w:val="00C873D7"/>
    <w:rsid w:val="00C876AA"/>
    <w:rsid w:val="00C87946"/>
    <w:rsid w:val="00C87B77"/>
    <w:rsid w:val="00C9024D"/>
    <w:rsid w:val="00C902E3"/>
    <w:rsid w:val="00C904FD"/>
    <w:rsid w:val="00C9050F"/>
    <w:rsid w:val="00C9076B"/>
    <w:rsid w:val="00C907D6"/>
    <w:rsid w:val="00C90857"/>
    <w:rsid w:val="00C90BAA"/>
    <w:rsid w:val="00C910D2"/>
    <w:rsid w:val="00C91128"/>
    <w:rsid w:val="00C911D6"/>
    <w:rsid w:val="00C913A5"/>
    <w:rsid w:val="00C9178F"/>
    <w:rsid w:val="00C920B1"/>
    <w:rsid w:val="00C92262"/>
    <w:rsid w:val="00C9289F"/>
    <w:rsid w:val="00C92C0C"/>
    <w:rsid w:val="00C9406D"/>
    <w:rsid w:val="00C94135"/>
    <w:rsid w:val="00C942A9"/>
    <w:rsid w:val="00C9443B"/>
    <w:rsid w:val="00C945DA"/>
    <w:rsid w:val="00C95715"/>
    <w:rsid w:val="00C95766"/>
    <w:rsid w:val="00C960DD"/>
    <w:rsid w:val="00C960E5"/>
    <w:rsid w:val="00C960F2"/>
    <w:rsid w:val="00C96211"/>
    <w:rsid w:val="00C963E5"/>
    <w:rsid w:val="00C9645A"/>
    <w:rsid w:val="00C96936"/>
    <w:rsid w:val="00C96F22"/>
    <w:rsid w:val="00C973E3"/>
    <w:rsid w:val="00C97A46"/>
    <w:rsid w:val="00C97DBC"/>
    <w:rsid w:val="00CA05D4"/>
    <w:rsid w:val="00CA0D83"/>
    <w:rsid w:val="00CA11B9"/>
    <w:rsid w:val="00CA1401"/>
    <w:rsid w:val="00CA310D"/>
    <w:rsid w:val="00CA343D"/>
    <w:rsid w:val="00CA38F0"/>
    <w:rsid w:val="00CA3919"/>
    <w:rsid w:val="00CA3FB1"/>
    <w:rsid w:val="00CA40A3"/>
    <w:rsid w:val="00CA4244"/>
    <w:rsid w:val="00CA4A44"/>
    <w:rsid w:val="00CA4B93"/>
    <w:rsid w:val="00CA4D3B"/>
    <w:rsid w:val="00CA5B55"/>
    <w:rsid w:val="00CA6032"/>
    <w:rsid w:val="00CA6A2E"/>
    <w:rsid w:val="00CA6BDE"/>
    <w:rsid w:val="00CA6F89"/>
    <w:rsid w:val="00CA7430"/>
    <w:rsid w:val="00CA7ACD"/>
    <w:rsid w:val="00CA7C5C"/>
    <w:rsid w:val="00CB01AB"/>
    <w:rsid w:val="00CB01BD"/>
    <w:rsid w:val="00CB0474"/>
    <w:rsid w:val="00CB090E"/>
    <w:rsid w:val="00CB10C1"/>
    <w:rsid w:val="00CB11B3"/>
    <w:rsid w:val="00CB12ED"/>
    <w:rsid w:val="00CB1797"/>
    <w:rsid w:val="00CB19E4"/>
    <w:rsid w:val="00CB2022"/>
    <w:rsid w:val="00CB2497"/>
    <w:rsid w:val="00CB2C39"/>
    <w:rsid w:val="00CB3081"/>
    <w:rsid w:val="00CB34B5"/>
    <w:rsid w:val="00CB3D99"/>
    <w:rsid w:val="00CB412A"/>
    <w:rsid w:val="00CB414D"/>
    <w:rsid w:val="00CB416D"/>
    <w:rsid w:val="00CB4193"/>
    <w:rsid w:val="00CB438A"/>
    <w:rsid w:val="00CB495F"/>
    <w:rsid w:val="00CB49CF"/>
    <w:rsid w:val="00CB4DA3"/>
    <w:rsid w:val="00CB536D"/>
    <w:rsid w:val="00CB541E"/>
    <w:rsid w:val="00CB5743"/>
    <w:rsid w:val="00CB5F40"/>
    <w:rsid w:val="00CB5F73"/>
    <w:rsid w:val="00CB6102"/>
    <w:rsid w:val="00CB6775"/>
    <w:rsid w:val="00CB6C49"/>
    <w:rsid w:val="00CB6F56"/>
    <w:rsid w:val="00CB7B7F"/>
    <w:rsid w:val="00CB7F18"/>
    <w:rsid w:val="00CC0059"/>
    <w:rsid w:val="00CC05A0"/>
    <w:rsid w:val="00CC0AD3"/>
    <w:rsid w:val="00CC0E59"/>
    <w:rsid w:val="00CC1135"/>
    <w:rsid w:val="00CC14F9"/>
    <w:rsid w:val="00CC171B"/>
    <w:rsid w:val="00CC255F"/>
    <w:rsid w:val="00CC25FD"/>
    <w:rsid w:val="00CC2CE5"/>
    <w:rsid w:val="00CC2FFB"/>
    <w:rsid w:val="00CC3123"/>
    <w:rsid w:val="00CC34E0"/>
    <w:rsid w:val="00CC36E4"/>
    <w:rsid w:val="00CC38C8"/>
    <w:rsid w:val="00CC3967"/>
    <w:rsid w:val="00CC3CE9"/>
    <w:rsid w:val="00CC3D3B"/>
    <w:rsid w:val="00CC3F4B"/>
    <w:rsid w:val="00CC3F6B"/>
    <w:rsid w:val="00CC417D"/>
    <w:rsid w:val="00CC42CA"/>
    <w:rsid w:val="00CC42DA"/>
    <w:rsid w:val="00CC5023"/>
    <w:rsid w:val="00CC5379"/>
    <w:rsid w:val="00CC53CC"/>
    <w:rsid w:val="00CC58BA"/>
    <w:rsid w:val="00CC5DA6"/>
    <w:rsid w:val="00CC5DC9"/>
    <w:rsid w:val="00CC638E"/>
    <w:rsid w:val="00CC6564"/>
    <w:rsid w:val="00CC670B"/>
    <w:rsid w:val="00CC6A91"/>
    <w:rsid w:val="00CC6F49"/>
    <w:rsid w:val="00CC6F7F"/>
    <w:rsid w:val="00CC7915"/>
    <w:rsid w:val="00CC79FB"/>
    <w:rsid w:val="00CC7C10"/>
    <w:rsid w:val="00CD00E9"/>
    <w:rsid w:val="00CD017D"/>
    <w:rsid w:val="00CD0287"/>
    <w:rsid w:val="00CD030B"/>
    <w:rsid w:val="00CD0641"/>
    <w:rsid w:val="00CD07C1"/>
    <w:rsid w:val="00CD09F8"/>
    <w:rsid w:val="00CD0CAC"/>
    <w:rsid w:val="00CD134F"/>
    <w:rsid w:val="00CD14C3"/>
    <w:rsid w:val="00CD1653"/>
    <w:rsid w:val="00CD1696"/>
    <w:rsid w:val="00CD18CB"/>
    <w:rsid w:val="00CD1909"/>
    <w:rsid w:val="00CD199C"/>
    <w:rsid w:val="00CD1D52"/>
    <w:rsid w:val="00CD1E75"/>
    <w:rsid w:val="00CD1EA2"/>
    <w:rsid w:val="00CD2DF7"/>
    <w:rsid w:val="00CD30F6"/>
    <w:rsid w:val="00CD3211"/>
    <w:rsid w:val="00CD399E"/>
    <w:rsid w:val="00CD3C37"/>
    <w:rsid w:val="00CD3DBA"/>
    <w:rsid w:val="00CD3F8B"/>
    <w:rsid w:val="00CD4023"/>
    <w:rsid w:val="00CD435D"/>
    <w:rsid w:val="00CD4BB2"/>
    <w:rsid w:val="00CD4C49"/>
    <w:rsid w:val="00CD4D36"/>
    <w:rsid w:val="00CD52D5"/>
    <w:rsid w:val="00CD5467"/>
    <w:rsid w:val="00CD5633"/>
    <w:rsid w:val="00CD5684"/>
    <w:rsid w:val="00CD56CB"/>
    <w:rsid w:val="00CD5881"/>
    <w:rsid w:val="00CD6336"/>
    <w:rsid w:val="00CD6378"/>
    <w:rsid w:val="00CD7009"/>
    <w:rsid w:val="00CD7223"/>
    <w:rsid w:val="00CD76FD"/>
    <w:rsid w:val="00CD7999"/>
    <w:rsid w:val="00CD7D71"/>
    <w:rsid w:val="00CD7FDD"/>
    <w:rsid w:val="00CE02FE"/>
    <w:rsid w:val="00CE0760"/>
    <w:rsid w:val="00CE0A68"/>
    <w:rsid w:val="00CE0B07"/>
    <w:rsid w:val="00CE0C1B"/>
    <w:rsid w:val="00CE150D"/>
    <w:rsid w:val="00CE1669"/>
    <w:rsid w:val="00CE1823"/>
    <w:rsid w:val="00CE193F"/>
    <w:rsid w:val="00CE1BE3"/>
    <w:rsid w:val="00CE1FDA"/>
    <w:rsid w:val="00CE2DCE"/>
    <w:rsid w:val="00CE2F3B"/>
    <w:rsid w:val="00CE2F58"/>
    <w:rsid w:val="00CE3728"/>
    <w:rsid w:val="00CE3CB9"/>
    <w:rsid w:val="00CE3E0F"/>
    <w:rsid w:val="00CE40A2"/>
    <w:rsid w:val="00CE4447"/>
    <w:rsid w:val="00CE4BAF"/>
    <w:rsid w:val="00CE4CB1"/>
    <w:rsid w:val="00CE5479"/>
    <w:rsid w:val="00CE5636"/>
    <w:rsid w:val="00CE5C00"/>
    <w:rsid w:val="00CE606B"/>
    <w:rsid w:val="00CE60D2"/>
    <w:rsid w:val="00CE60EF"/>
    <w:rsid w:val="00CE62CA"/>
    <w:rsid w:val="00CE6776"/>
    <w:rsid w:val="00CE6E3F"/>
    <w:rsid w:val="00CE734B"/>
    <w:rsid w:val="00CE7AE6"/>
    <w:rsid w:val="00CE7EDD"/>
    <w:rsid w:val="00CF00B1"/>
    <w:rsid w:val="00CF05B4"/>
    <w:rsid w:val="00CF05C9"/>
    <w:rsid w:val="00CF0B69"/>
    <w:rsid w:val="00CF0D20"/>
    <w:rsid w:val="00CF0D8A"/>
    <w:rsid w:val="00CF0DC9"/>
    <w:rsid w:val="00CF121C"/>
    <w:rsid w:val="00CF1250"/>
    <w:rsid w:val="00CF1409"/>
    <w:rsid w:val="00CF1446"/>
    <w:rsid w:val="00CF160C"/>
    <w:rsid w:val="00CF1F85"/>
    <w:rsid w:val="00CF1F92"/>
    <w:rsid w:val="00CF289F"/>
    <w:rsid w:val="00CF2B74"/>
    <w:rsid w:val="00CF3451"/>
    <w:rsid w:val="00CF3506"/>
    <w:rsid w:val="00CF3ACC"/>
    <w:rsid w:val="00CF3B0B"/>
    <w:rsid w:val="00CF3DDF"/>
    <w:rsid w:val="00CF3E29"/>
    <w:rsid w:val="00CF3EE6"/>
    <w:rsid w:val="00CF44AA"/>
    <w:rsid w:val="00CF45ED"/>
    <w:rsid w:val="00CF4D12"/>
    <w:rsid w:val="00CF4F58"/>
    <w:rsid w:val="00CF5562"/>
    <w:rsid w:val="00CF5C6A"/>
    <w:rsid w:val="00CF6300"/>
    <w:rsid w:val="00CF65C1"/>
    <w:rsid w:val="00CF6AF0"/>
    <w:rsid w:val="00CF71A3"/>
    <w:rsid w:val="00CF72F1"/>
    <w:rsid w:val="00CF7B77"/>
    <w:rsid w:val="00CF7C07"/>
    <w:rsid w:val="00D00090"/>
    <w:rsid w:val="00D000D9"/>
    <w:rsid w:val="00D00473"/>
    <w:rsid w:val="00D006F9"/>
    <w:rsid w:val="00D007AB"/>
    <w:rsid w:val="00D009DC"/>
    <w:rsid w:val="00D00C8B"/>
    <w:rsid w:val="00D0166C"/>
    <w:rsid w:val="00D01783"/>
    <w:rsid w:val="00D01881"/>
    <w:rsid w:val="00D01E2E"/>
    <w:rsid w:val="00D02059"/>
    <w:rsid w:val="00D02172"/>
    <w:rsid w:val="00D030E8"/>
    <w:rsid w:val="00D0317C"/>
    <w:rsid w:val="00D0332E"/>
    <w:rsid w:val="00D037CE"/>
    <w:rsid w:val="00D03C69"/>
    <w:rsid w:val="00D03DF1"/>
    <w:rsid w:val="00D04475"/>
    <w:rsid w:val="00D04486"/>
    <w:rsid w:val="00D048D2"/>
    <w:rsid w:val="00D04B1A"/>
    <w:rsid w:val="00D0508A"/>
    <w:rsid w:val="00D051E3"/>
    <w:rsid w:val="00D05AEC"/>
    <w:rsid w:val="00D05FCF"/>
    <w:rsid w:val="00D062DD"/>
    <w:rsid w:val="00D06456"/>
    <w:rsid w:val="00D064C0"/>
    <w:rsid w:val="00D06791"/>
    <w:rsid w:val="00D068E0"/>
    <w:rsid w:val="00D06945"/>
    <w:rsid w:val="00D071B5"/>
    <w:rsid w:val="00D07423"/>
    <w:rsid w:val="00D07494"/>
    <w:rsid w:val="00D0749E"/>
    <w:rsid w:val="00D07794"/>
    <w:rsid w:val="00D079C2"/>
    <w:rsid w:val="00D07A2A"/>
    <w:rsid w:val="00D07DE1"/>
    <w:rsid w:val="00D07EC6"/>
    <w:rsid w:val="00D10262"/>
    <w:rsid w:val="00D108CF"/>
    <w:rsid w:val="00D10EC8"/>
    <w:rsid w:val="00D110A9"/>
    <w:rsid w:val="00D11122"/>
    <w:rsid w:val="00D111A5"/>
    <w:rsid w:val="00D1191C"/>
    <w:rsid w:val="00D11D57"/>
    <w:rsid w:val="00D11DEF"/>
    <w:rsid w:val="00D120DF"/>
    <w:rsid w:val="00D122E1"/>
    <w:rsid w:val="00D1261A"/>
    <w:rsid w:val="00D1277A"/>
    <w:rsid w:val="00D127FE"/>
    <w:rsid w:val="00D12A43"/>
    <w:rsid w:val="00D12E40"/>
    <w:rsid w:val="00D12EA9"/>
    <w:rsid w:val="00D134B4"/>
    <w:rsid w:val="00D13659"/>
    <w:rsid w:val="00D13BAD"/>
    <w:rsid w:val="00D1406B"/>
    <w:rsid w:val="00D1426E"/>
    <w:rsid w:val="00D1465A"/>
    <w:rsid w:val="00D148CB"/>
    <w:rsid w:val="00D1498E"/>
    <w:rsid w:val="00D14DF8"/>
    <w:rsid w:val="00D14E0B"/>
    <w:rsid w:val="00D15151"/>
    <w:rsid w:val="00D15710"/>
    <w:rsid w:val="00D15914"/>
    <w:rsid w:val="00D16137"/>
    <w:rsid w:val="00D163FC"/>
    <w:rsid w:val="00D1665C"/>
    <w:rsid w:val="00D16B07"/>
    <w:rsid w:val="00D16F25"/>
    <w:rsid w:val="00D16F74"/>
    <w:rsid w:val="00D1731B"/>
    <w:rsid w:val="00D17404"/>
    <w:rsid w:val="00D1783B"/>
    <w:rsid w:val="00D2000C"/>
    <w:rsid w:val="00D20180"/>
    <w:rsid w:val="00D201C2"/>
    <w:rsid w:val="00D202CC"/>
    <w:rsid w:val="00D20932"/>
    <w:rsid w:val="00D209B3"/>
    <w:rsid w:val="00D20B78"/>
    <w:rsid w:val="00D20BF5"/>
    <w:rsid w:val="00D20C8B"/>
    <w:rsid w:val="00D2103E"/>
    <w:rsid w:val="00D21065"/>
    <w:rsid w:val="00D2133B"/>
    <w:rsid w:val="00D213AB"/>
    <w:rsid w:val="00D21424"/>
    <w:rsid w:val="00D21739"/>
    <w:rsid w:val="00D21745"/>
    <w:rsid w:val="00D21CA8"/>
    <w:rsid w:val="00D21F84"/>
    <w:rsid w:val="00D2206D"/>
    <w:rsid w:val="00D220EB"/>
    <w:rsid w:val="00D22B3C"/>
    <w:rsid w:val="00D22FB0"/>
    <w:rsid w:val="00D23131"/>
    <w:rsid w:val="00D232B8"/>
    <w:rsid w:val="00D23300"/>
    <w:rsid w:val="00D23610"/>
    <w:rsid w:val="00D23871"/>
    <w:rsid w:val="00D24236"/>
    <w:rsid w:val="00D2451A"/>
    <w:rsid w:val="00D24924"/>
    <w:rsid w:val="00D24979"/>
    <w:rsid w:val="00D24A33"/>
    <w:rsid w:val="00D24AC5"/>
    <w:rsid w:val="00D24E0C"/>
    <w:rsid w:val="00D25646"/>
    <w:rsid w:val="00D256C1"/>
    <w:rsid w:val="00D256F0"/>
    <w:rsid w:val="00D25822"/>
    <w:rsid w:val="00D2608C"/>
    <w:rsid w:val="00D26DDE"/>
    <w:rsid w:val="00D26FE3"/>
    <w:rsid w:val="00D27B52"/>
    <w:rsid w:val="00D3000D"/>
    <w:rsid w:val="00D30703"/>
    <w:rsid w:val="00D30755"/>
    <w:rsid w:val="00D31A56"/>
    <w:rsid w:val="00D32163"/>
    <w:rsid w:val="00D322AB"/>
    <w:rsid w:val="00D32315"/>
    <w:rsid w:val="00D32775"/>
    <w:rsid w:val="00D328A5"/>
    <w:rsid w:val="00D32B81"/>
    <w:rsid w:val="00D32FE0"/>
    <w:rsid w:val="00D33840"/>
    <w:rsid w:val="00D3399D"/>
    <w:rsid w:val="00D33DDE"/>
    <w:rsid w:val="00D340B7"/>
    <w:rsid w:val="00D347DE"/>
    <w:rsid w:val="00D349D5"/>
    <w:rsid w:val="00D34A59"/>
    <w:rsid w:val="00D34E03"/>
    <w:rsid w:val="00D34F5A"/>
    <w:rsid w:val="00D359F3"/>
    <w:rsid w:val="00D36514"/>
    <w:rsid w:val="00D3680F"/>
    <w:rsid w:val="00D36D1A"/>
    <w:rsid w:val="00D36D25"/>
    <w:rsid w:val="00D371E0"/>
    <w:rsid w:val="00D37278"/>
    <w:rsid w:val="00D375F9"/>
    <w:rsid w:val="00D37E8A"/>
    <w:rsid w:val="00D4080D"/>
    <w:rsid w:val="00D409F6"/>
    <w:rsid w:val="00D40E29"/>
    <w:rsid w:val="00D4118C"/>
    <w:rsid w:val="00D41771"/>
    <w:rsid w:val="00D4208C"/>
    <w:rsid w:val="00D4234C"/>
    <w:rsid w:val="00D4249B"/>
    <w:rsid w:val="00D42B03"/>
    <w:rsid w:val="00D4322D"/>
    <w:rsid w:val="00D434C8"/>
    <w:rsid w:val="00D4374F"/>
    <w:rsid w:val="00D438B3"/>
    <w:rsid w:val="00D43DC3"/>
    <w:rsid w:val="00D441F7"/>
    <w:rsid w:val="00D44276"/>
    <w:rsid w:val="00D444C7"/>
    <w:rsid w:val="00D44E24"/>
    <w:rsid w:val="00D45209"/>
    <w:rsid w:val="00D454ED"/>
    <w:rsid w:val="00D45C1D"/>
    <w:rsid w:val="00D45C6E"/>
    <w:rsid w:val="00D45CAB"/>
    <w:rsid w:val="00D4604A"/>
    <w:rsid w:val="00D465A2"/>
    <w:rsid w:val="00D466C4"/>
    <w:rsid w:val="00D467DD"/>
    <w:rsid w:val="00D46C9D"/>
    <w:rsid w:val="00D46FF8"/>
    <w:rsid w:val="00D4796D"/>
    <w:rsid w:val="00D50021"/>
    <w:rsid w:val="00D503B1"/>
    <w:rsid w:val="00D50DFC"/>
    <w:rsid w:val="00D50F8F"/>
    <w:rsid w:val="00D51012"/>
    <w:rsid w:val="00D51179"/>
    <w:rsid w:val="00D51AEF"/>
    <w:rsid w:val="00D51DAB"/>
    <w:rsid w:val="00D52E91"/>
    <w:rsid w:val="00D52F43"/>
    <w:rsid w:val="00D53201"/>
    <w:rsid w:val="00D538F9"/>
    <w:rsid w:val="00D53983"/>
    <w:rsid w:val="00D53F25"/>
    <w:rsid w:val="00D54208"/>
    <w:rsid w:val="00D5438A"/>
    <w:rsid w:val="00D54925"/>
    <w:rsid w:val="00D54FE9"/>
    <w:rsid w:val="00D5563F"/>
    <w:rsid w:val="00D55704"/>
    <w:rsid w:val="00D55797"/>
    <w:rsid w:val="00D55924"/>
    <w:rsid w:val="00D55CCE"/>
    <w:rsid w:val="00D56042"/>
    <w:rsid w:val="00D5604E"/>
    <w:rsid w:val="00D560B6"/>
    <w:rsid w:val="00D56256"/>
    <w:rsid w:val="00D56391"/>
    <w:rsid w:val="00D5653F"/>
    <w:rsid w:val="00D5696C"/>
    <w:rsid w:val="00D56F89"/>
    <w:rsid w:val="00D5788F"/>
    <w:rsid w:val="00D579BA"/>
    <w:rsid w:val="00D57CC9"/>
    <w:rsid w:val="00D57E26"/>
    <w:rsid w:val="00D57FD6"/>
    <w:rsid w:val="00D6012F"/>
    <w:rsid w:val="00D60A04"/>
    <w:rsid w:val="00D6126E"/>
    <w:rsid w:val="00D61346"/>
    <w:rsid w:val="00D61400"/>
    <w:rsid w:val="00D615EA"/>
    <w:rsid w:val="00D617C2"/>
    <w:rsid w:val="00D61A22"/>
    <w:rsid w:val="00D61CDD"/>
    <w:rsid w:val="00D61D01"/>
    <w:rsid w:val="00D6205C"/>
    <w:rsid w:val="00D620A1"/>
    <w:rsid w:val="00D6235A"/>
    <w:rsid w:val="00D62467"/>
    <w:rsid w:val="00D624B9"/>
    <w:rsid w:val="00D62674"/>
    <w:rsid w:val="00D62788"/>
    <w:rsid w:val="00D629E0"/>
    <w:rsid w:val="00D62AF3"/>
    <w:rsid w:val="00D62CF9"/>
    <w:rsid w:val="00D63501"/>
    <w:rsid w:val="00D63675"/>
    <w:rsid w:val="00D64419"/>
    <w:rsid w:val="00D64A78"/>
    <w:rsid w:val="00D654C2"/>
    <w:rsid w:val="00D659F8"/>
    <w:rsid w:val="00D65A3F"/>
    <w:rsid w:val="00D65C7B"/>
    <w:rsid w:val="00D660C4"/>
    <w:rsid w:val="00D664C7"/>
    <w:rsid w:val="00D66744"/>
    <w:rsid w:val="00D66A49"/>
    <w:rsid w:val="00D66AD6"/>
    <w:rsid w:val="00D66ADE"/>
    <w:rsid w:val="00D66C6B"/>
    <w:rsid w:val="00D66CDB"/>
    <w:rsid w:val="00D66EF1"/>
    <w:rsid w:val="00D66F7E"/>
    <w:rsid w:val="00D676D5"/>
    <w:rsid w:val="00D67B90"/>
    <w:rsid w:val="00D67CDB"/>
    <w:rsid w:val="00D67D25"/>
    <w:rsid w:val="00D67F40"/>
    <w:rsid w:val="00D7007F"/>
    <w:rsid w:val="00D70142"/>
    <w:rsid w:val="00D7028D"/>
    <w:rsid w:val="00D704DE"/>
    <w:rsid w:val="00D70506"/>
    <w:rsid w:val="00D70623"/>
    <w:rsid w:val="00D70939"/>
    <w:rsid w:val="00D70D0C"/>
    <w:rsid w:val="00D7149A"/>
    <w:rsid w:val="00D718EA"/>
    <w:rsid w:val="00D71B39"/>
    <w:rsid w:val="00D71D21"/>
    <w:rsid w:val="00D71F0E"/>
    <w:rsid w:val="00D71F48"/>
    <w:rsid w:val="00D72027"/>
    <w:rsid w:val="00D7236C"/>
    <w:rsid w:val="00D725EA"/>
    <w:rsid w:val="00D72804"/>
    <w:rsid w:val="00D72AF9"/>
    <w:rsid w:val="00D72C2A"/>
    <w:rsid w:val="00D72E60"/>
    <w:rsid w:val="00D7339C"/>
    <w:rsid w:val="00D73563"/>
    <w:rsid w:val="00D73AE0"/>
    <w:rsid w:val="00D73E26"/>
    <w:rsid w:val="00D73FA3"/>
    <w:rsid w:val="00D74257"/>
    <w:rsid w:val="00D742BC"/>
    <w:rsid w:val="00D74BA0"/>
    <w:rsid w:val="00D74D03"/>
    <w:rsid w:val="00D759F2"/>
    <w:rsid w:val="00D75C77"/>
    <w:rsid w:val="00D75EDB"/>
    <w:rsid w:val="00D75F97"/>
    <w:rsid w:val="00D76D50"/>
    <w:rsid w:val="00D77278"/>
    <w:rsid w:val="00D77887"/>
    <w:rsid w:val="00D804E8"/>
    <w:rsid w:val="00D80799"/>
    <w:rsid w:val="00D808FF"/>
    <w:rsid w:val="00D809CD"/>
    <w:rsid w:val="00D80A99"/>
    <w:rsid w:val="00D80F04"/>
    <w:rsid w:val="00D8123C"/>
    <w:rsid w:val="00D8165A"/>
    <w:rsid w:val="00D81675"/>
    <w:rsid w:val="00D81C1E"/>
    <w:rsid w:val="00D81E2B"/>
    <w:rsid w:val="00D8215F"/>
    <w:rsid w:val="00D826E1"/>
    <w:rsid w:val="00D82C98"/>
    <w:rsid w:val="00D82D7B"/>
    <w:rsid w:val="00D82E89"/>
    <w:rsid w:val="00D83314"/>
    <w:rsid w:val="00D839C1"/>
    <w:rsid w:val="00D83AA6"/>
    <w:rsid w:val="00D83CF9"/>
    <w:rsid w:val="00D83DAE"/>
    <w:rsid w:val="00D8409B"/>
    <w:rsid w:val="00D841EA"/>
    <w:rsid w:val="00D843A4"/>
    <w:rsid w:val="00D845B5"/>
    <w:rsid w:val="00D84991"/>
    <w:rsid w:val="00D84A01"/>
    <w:rsid w:val="00D84D63"/>
    <w:rsid w:val="00D84F30"/>
    <w:rsid w:val="00D851BA"/>
    <w:rsid w:val="00D8521F"/>
    <w:rsid w:val="00D857B5"/>
    <w:rsid w:val="00D85CFB"/>
    <w:rsid w:val="00D86180"/>
    <w:rsid w:val="00D864B6"/>
    <w:rsid w:val="00D8657C"/>
    <w:rsid w:val="00D8681F"/>
    <w:rsid w:val="00D868E2"/>
    <w:rsid w:val="00D869B2"/>
    <w:rsid w:val="00D86AEF"/>
    <w:rsid w:val="00D86B93"/>
    <w:rsid w:val="00D86F6B"/>
    <w:rsid w:val="00D87866"/>
    <w:rsid w:val="00D87AB4"/>
    <w:rsid w:val="00D906BE"/>
    <w:rsid w:val="00D90941"/>
    <w:rsid w:val="00D91A3C"/>
    <w:rsid w:val="00D9201A"/>
    <w:rsid w:val="00D92093"/>
    <w:rsid w:val="00D92233"/>
    <w:rsid w:val="00D92981"/>
    <w:rsid w:val="00D93234"/>
    <w:rsid w:val="00D93493"/>
    <w:rsid w:val="00D93832"/>
    <w:rsid w:val="00D938F0"/>
    <w:rsid w:val="00D93A1D"/>
    <w:rsid w:val="00D93BA0"/>
    <w:rsid w:val="00D9420E"/>
    <w:rsid w:val="00D9445F"/>
    <w:rsid w:val="00D946B8"/>
    <w:rsid w:val="00D946F7"/>
    <w:rsid w:val="00D947B0"/>
    <w:rsid w:val="00D948A2"/>
    <w:rsid w:val="00D948DD"/>
    <w:rsid w:val="00D948FF"/>
    <w:rsid w:val="00D9490C"/>
    <w:rsid w:val="00D94980"/>
    <w:rsid w:val="00D949B3"/>
    <w:rsid w:val="00D94CCC"/>
    <w:rsid w:val="00D94EDC"/>
    <w:rsid w:val="00D9547F"/>
    <w:rsid w:val="00D95573"/>
    <w:rsid w:val="00D955A8"/>
    <w:rsid w:val="00D95691"/>
    <w:rsid w:val="00D95A52"/>
    <w:rsid w:val="00D95A96"/>
    <w:rsid w:val="00D9606A"/>
    <w:rsid w:val="00D9619E"/>
    <w:rsid w:val="00D961A7"/>
    <w:rsid w:val="00D96E9B"/>
    <w:rsid w:val="00D97066"/>
    <w:rsid w:val="00D972ED"/>
    <w:rsid w:val="00D97514"/>
    <w:rsid w:val="00D977B9"/>
    <w:rsid w:val="00D97949"/>
    <w:rsid w:val="00D97CE8"/>
    <w:rsid w:val="00D97DC5"/>
    <w:rsid w:val="00D97EBC"/>
    <w:rsid w:val="00D97F7D"/>
    <w:rsid w:val="00D97F93"/>
    <w:rsid w:val="00DA15B7"/>
    <w:rsid w:val="00DA1AB8"/>
    <w:rsid w:val="00DA2146"/>
    <w:rsid w:val="00DA2E7F"/>
    <w:rsid w:val="00DA3054"/>
    <w:rsid w:val="00DA3525"/>
    <w:rsid w:val="00DA3767"/>
    <w:rsid w:val="00DA3CA4"/>
    <w:rsid w:val="00DA4156"/>
    <w:rsid w:val="00DA447F"/>
    <w:rsid w:val="00DA45E2"/>
    <w:rsid w:val="00DA4706"/>
    <w:rsid w:val="00DA4800"/>
    <w:rsid w:val="00DA4ECE"/>
    <w:rsid w:val="00DA51E9"/>
    <w:rsid w:val="00DA5350"/>
    <w:rsid w:val="00DA5499"/>
    <w:rsid w:val="00DA5702"/>
    <w:rsid w:val="00DA5CD2"/>
    <w:rsid w:val="00DA6308"/>
    <w:rsid w:val="00DA6FCA"/>
    <w:rsid w:val="00DA7195"/>
    <w:rsid w:val="00DA7380"/>
    <w:rsid w:val="00DA768F"/>
    <w:rsid w:val="00DA7784"/>
    <w:rsid w:val="00DB0009"/>
    <w:rsid w:val="00DB00A2"/>
    <w:rsid w:val="00DB01B4"/>
    <w:rsid w:val="00DB031E"/>
    <w:rsid w:val="00DB0811"/>
    <w:rsid w:val="00DB0B73"/>
    <w:rsid w:val="00DB0EDB"/>
    <w:rsid w:val="00DB1370"/>
    <w:rsid w:val="00DB13A7"/>
    <w:rsid w:val="00DB152E"/>
    <w:rsid w:val="00DB16B3"/>
    <w:rsid w:val="00DB1B8E"/>
    <w:rsid w:val="00DB1E1C"/>
    <w:rsid w:val="00DB23AE"/>
    <w:rsid w:val="00DB240A"/>
    <w:rsid w:val="00DB2481"/>
    <w:rsid w:val="00DB2687"/>
    <w:rsid w:val="00DB2695"/>
    <w:rsid w:val="00DB37FA"/>
    <w:rsid w:val="00DB3A9E"/>
    <w:rsid w:val="00DB3B0E"/>
    <w:rsid w:val="00DB3BF0"/>
    <w:rsid w:val="00DB3E41"/>
    <w:rsid w:val="00DB3FCF"/>
    <w:rsid w:val="00DB423A"/>
    <w:rsid w:val="00DB43E1"/>
    <w:rsid w:val="00DB448A"/>
    <w:rsid w:val="00DB4636"/>
    <w:rsid w:val="00DB493E"/>
    <w:rsid w:val="00DB4C40"/>
    <w:rsid w:val="00DB4CDA"/>
    <w:rsid w:val="00DB4CED"/>
    <w:rsid w:val="00DB4D21"/>
    <w:rsid w:val="00DB53C5"/>
    <w:rsid w:val="00DB558C"/>
    <w:rsid w:val="00DB58E9"/>
    <w:rsid w:val="00DB595F"/>
    <w:rsid w:val="00DB5B2F"/>
    <w:rsid w:val="00DB5DB0"/>
    <w:rsid w:val="00DB5EC6"/>
    <w:rsid w:val="00DB5F08"/>
    <w:rsid w:val="00DB6843"/>
    <w:rsid w:val="00DB6DE3"/>
    <w:rsid w:val="00DB73AB"/>
    <w:rsid w:val="00DB789B"/>
    <w:rsid w:val="00DB7D20"/>
    <w:rsid w:val="00DB7E66"/>
    <w:rsid w:val="00DB7FBD"/>
    <w:rsid w:val="00DC00DF"/>
    <w:rsid w:val="00DC0155"/>
    <w:rsid w:val="00DC0456"/>
    <w:rsid w:val="00DC0745"/>
    <w:rsid w:val="00DC081B"/>
    <w:rsid w:val="00DC0D4E"/>
    <w:rsid w:val="00DC0F1B"/>
    <w:rsid w:val="00DC1553"/>
    <w:rsid w:val="00DC15B9"/>
    <w:rsid w:val="00DC1758"/>
    <w:rsid w:val="00DC18E6"/>
    <w:rsid w:val="00DC20F1"/>
    <w:rsid w:val="00DC21E0"/>
    <w:rsid w:val="00DC226C"/>
    <w:rsid w:val="00DC22C0"/>
    <w:rsid w:val="00DC249A"/>
    <w:rsid w:val="00DC2634"/>
    <w:rsid w:val="00DC2B89"/>
    <w:rsid w:val="00DC2BB6"/>
    <w:rsid w:val="00DC2CE3"/>
    <w:rsid w:val="00DC33E0"/>
    <w:rsid w:val="00DC39CC"/>
    <w:rsid w:val="00DC3A20"/>
    <w:rsid w:val="00DC3CD8"/>
    <w:rsid w:val="00DC3E44"/>
    <w:rsid w:val="00DC4521"/>
    <w:rsid w:val="00DC458A"/>
    <w:rsid w:val="00DC46FA"/>
    <w:rsid w:val="00DC4B2F"/>
    <w:rsid w:val="00DC4E24"/>
    <w:rsid w:val="00DC4F70"/>
    <w:rsid w:val="00DC517E"/>
    <w:rsid w:val="00DC5187"/>
    <w:rsid w:val="00DC54D5"/>
    <w:rsid w:val="00DC5532"/>
    <w:rsid w:val="00DC5B09"/>
    <w:rsid w:val="00DC5B41"/>
    <w:rsid w:val="00DC6A24"/>
    <w:rsid w:val="00DC6AC1"/>
    <w:rsid w:val="00DC6B05"/>
    <w:rsid w:val="00DC7079"/>
    <w:rsid w:val="00DC75C9"/>
    <w:rsid w:val="00DC7906"/>
    <w:rsid w:val="00DC792E"/>
    <w:rsid w:val="00DC7948"/>
    <w:rsid w:val="00DC7AA4"/>
    <w:rsid w:val="00DC7C5B"/>
    <w:rsid w:val="00DC7C88"/>
    <w:rsid w:val="00DC7E43"/>
    <w:rsid w:val="00DD00E3"/>
    <w:rsid w:val="00DD0504"/>
    <w:rsid w:val="00DD0918"/>
    <w:rsid w:val="00DD0EEF"/>
    <w:rsid w:val="00DD10CD"/>
    <w:rsid w:val="00DD1352"/>
    <w:rsid w:val="00DD15DA"/>
    <w:rsid w:val="00DD1EE3"/>
    <w:rsid w:val="00DD1F5C"/>
    <w:rsid w:val="00DD2235"/>
    <w:rsid w:val="00DD22CC"/>
    <w:rsid w:val="00DD255E"/>
    <w:rsid w:val="00DD29C6"/>
    <w:rsid w:val="00DD2C0F"/>
    <w:rsid w:val="00DD3007"/>
    <w:rsid w:val="00DD3039"/>
    <w:rsid w:val="00DD316B"/>
    <w:rsid w:val="00DD35AF"/>
    <w:rsid w:val="00DD365B"/>
    <w:rsid w:val="00DD3A4D"/>
    <w:rsid w:val="00DD3CFE"/>
    <w:rsid w:val="00DD3FEE"/>
    <w:rsid w:val="00DD4555"/>
    <w:rsid w:val="00DD4911"/>
    <w:rsid w:val="00DD4BA9"/>
    <w:rsid w:val="00DD4FD8"/>
    <w:rsid w:val="00DD5592"/>
    <w:rsid w:val="00DD5714"/>
    <w:rsid w:val="00DD5C5B"/>
    <w:rsid w:val="00DD5CB6"/>
    <w:rsid w:val="00DD6056"/>
    <w:rsid w:val="00DD6301"/>
    <w:rsid w:val="00DD63D8"/>
    <w:rsid w:val="00DD647C"/>
    <w:rsid w:val="00DD67EC"/>
    <w:rsid w:val="00DD69A6"/>
    <w:rsid w:val="00DD6B9B"/>
    <w:rsid w:val="00DD6D4F"/>
    <w:rsid w:val="00DD6D59"/>
    <w:rsid w:val="00DD6F35"/>
    <w:rsid w:val="00DD70F3"/>
    <w:rsid w:val="00DD7EA3"/>
    <w:rsid w:val="00DE0045"/>
    <w:rsid w:val="00DE008C"/>
    <w:rsid w:val="00DE01B0"/>
    <w:rsid w:val="00DE01D6"/>
    <w:rsid w:val="00DE0248"/>
    <w:rsid w:val="00DE03AD"/>
    <w:rsid w:val="00DE0558"/>
    <w:rsid w:val="00DE0CDA"/>
    <w:rsid w:val="00DE13FA"/>
    <w:rsid w:val="00DE16E0"/>
    <w:rsid w:val="00DE1A91"/>
    <w:rsid w:val="00DE1A95"/>
    <w:rsid w:val="00DE1CAC"/>
    <w:rsid w:val="00DE1D23"/>
    <w:rsid w:val="00DE2197"/>
    <w:rsid w:val="00DE2DED"/>
    <w:rsid w:val="00DE2EF3"/>
    <w:rsid w:val="00DE3231"/>
    <w:rsid w:val="00DE376F"/>
    <w:rsid w:val="00DE38EE"/>
    <w:rsid w:val="00DE3A5D"/>
    <w:rsid w:val="00DE3C42"/>
    <w:rsid w:val="00DE3D19"/>
    <w:rsid w:val="00DE4678"/>
    <w:rsid w:val="00DE4791"/>
    <w:rsid w:val="00DE49DE"/>
    <w:rsid w:val="00DE4C3F"/>
    <w:rsid w:val="00DE4DEB"/>
    <w:rsid w:val="00DE4E51"/>
    <w:rsid w:val="00DE52C2"/>
    <w:rsid w:val="00DE55BF"/>
    <w:rsid w:val="00DE5856"/>
    <w:rsid w:val="00DE58DC"/>
    <w:rsid w:val="00DE5E33"/>
    <w:rsid w:val="00DE5FC9"/>
    <w:rsid w:val="00DE6B12"/>
    <w:rsid w:val="00DE6D8A"/>
    <w:rsid w:val="00DE7483"/>
    <w:rsid w:val="00DE7486"/>
    <w:rsid w:val="00DE756E"/>
    <w:rsid w:val="00DE7765"/>
    <w:rsid w:val="00DE7771"/>
    <w:rsid w:val="00DE77E6"/>
    <w:rsid w:val="00DE798A"/>
    <w:rsid w:val="00DE7E17"/>
    <w:rsid w:val="00DE7EA9"/>
    <w:rsid w:val="00DE7EAD"/>
    <w:rsid w:val="00DE7F21"/>
    <w:rsid w:val="00DE7FC6"/>
    <w:rsid w:val="00DF006A"/>
    <w:rsid w:val="00DF03CE"/>
    <w:rsid w:val="00DF06BE"/>
    <w:rsid w:val="00DF074B"/>
    <w:rsid w:val="00DF07EB"/>
    <w:rsid w:val="00DF08DB"/>
    <w:rsid w:val="00DF09D0"/>
    <w:rsid w:val="00DF0D21"/>
    <w:rsid w:val="00DF0F15"/>
    <w:rsid w:val="00DF11DD"/>
    <w:rsid w:val="00DF1D51"/>
    <w:rsid w:val="00DF205E"/>
    <w:rsid w:val="00DF206B"/>
    <w:rsid w:val="00DF2523"/>
    <w:rsid w:val="00DF2A81"/>
    <w:rsid w:val="00DF2BAE"/>
    <w:rsid w:val="00DF2D97"/>
    <w:rsid w:val="00DF3461"/>
    <w:rsid w:val="00DF37A2"/>
    <w:rsid w:val="00DF3C47"/>
    <w:rsid w:val="00DF3E7D"/>
    <w:rsid w:val="00DF43FF"/>
    <w:rsid w:val="00DF480E"/>
    <w:rsid w:val="00DF49AE"/>
    <w:rsid w:val="00DF4A3D"/>
    <w:rsid w:val="00DF4A51"/>
    <w:rsid w:val="00DF4DEF"/>
    <w:rsid w:val="00DF4E1B"/>
    <w:rsid w:val="00DF4E3D"/>
    <w:rsid w:val="00DF4EEC"/>
    <w:rsid w:val="00DF4F4D"/>
    <w:rsid w:val="00DF563E"/>
    <w:rsid w:val="00DF5AF0"/>
    <w:rsid w:val="00DF5F7E"/>
    <w:rsid w:val="00DF6263"/>
    <w:rsid w:val="00DF640E"/>
    <w:rsid w:val="00DF6C49"/>
    <w:rsid w:val="00DF6C9C"/>
    <w:rsid w:val="00DF72A5"/>
    <w:rsid w:val="00DF7301"/>
    <w:rsid w:val="00DF79B1"/>
    <w:rsid w:val="00E00078"/>
    <w:rsid w:val="00E000C3"/>
    <w:rsid w:val="00E003BE"/>
    <w:rsid w:val="00E00A15"/>
    <w:rsid w:val="00E01271"/>
    <w:rsid w:val="00E0128D"/>
    <w:rsid w:val="00E0167B"/>
    <w:rsid w:val="00E0174C"/>
    <w:rsid w:val="00E018FC"/>
    <w:rsid w:val="00E01C12"/>
    <w:rsid w:val="00E01D2A"/>
    <w:rsid w:val="00E01D87"/>
    <w:rsid w:val="00E01E9F"/>
    <w:rsid w:val="00E01F86"/>
    <w:rsid w:val="00E02058"/>
    <w:rsid w:val="00E020A8"/>
    <w:rsid w:val="00E0247A"/>
    <w:rsid w:val="00E024F4"/>
    <w:rsid w:val="00E0293A"/>
    <w:rsid w:val="00E029B8"/>
    <w:rsid w:val="00E02C53"/>
    <w:rsid w:val="00E02CB4"/>
    <w:rsid w:val="00E02D57"/>
    <w:rsid w:val="00E02E51"/>
    <w:rsid w:val="00E03470"/>
    <w:rsid w:val="00E0349E"/>
    <w:rsid w:val="00E037CE"/>
    <w:rsid w:val="00E0389C"/>
    <w:rsid w:val="00E03BE2"/>
    <w:rsid w:val="00E03CF2"/>
    <w:rsid w:val="00E03EE0"/>
    <w:rsid w:val="00E0428D"/>
    <w:rsid w:val="00E042C5"/>
    <w:rsid w:val="00E044EC"/>
    <w:rsid w:val="00E045E2"/>
    <w:rsid w:val="00E046F6"/>
    <w:rsid w:val="00E04D15"/>
    <w:rsid w:val="00E058B1"/>
    <w:rsid w:val="00E05995"/>
    <w:rsid w:val="00E05E1A"/>
    <w:rsid w:val="00E06122"/>
    <w:rsid w:val="00E061CE"/>
    <w:rsid w:val="00E063B8"/>
    <w:rsid w:val="00E065BC"/>
    <w:rsid w:val="00E068BE"/>
    <w:rsid w:val="00E06A8C"/>
    <w:rsid w:val="00E06DB9"/>
    <w:rsid w:val="00E06EFB"/>
    <w:rsid w:val="00E070AD"/>
    <w:rsid w:val="00E070E6"/>
    <w:rsid w:val="00E07144"/>
    <w:rsid w:val="00E0739A"/>
    <w:rsid w:val="00E07AE5"/>
    <w:rsid w:val="00E07D46"/>
    <w:rsid w:val="00E10649"/>
    <w:rsid w:val="00E116E8"/>
    <w:rsid w:val="00E1194E"/>
    <w:rsid w:val="00E119A8"/>
    <w:rsid w:val="00E11C59"/>
    <w:rsid w:val="00E11D41"/>
    <w:rsid w:val="00E11D63"/>
    <w:rsid w:val="00E11E2C"/>
    <w:rsid w:val="00E13A26"/>
    <w:rsid w:val="00E13C81"/>
    <w:rsid w:val="00E14365"/>
    <w:rsid w:val="00E14407"/>
    <w:rsid w:val="00E144BF"/>
    <w:rsid w:val="00E1484F"/>
    <w:rsid w:val="00E14D1D"/>
    <w:rsid w:val="00E153E2"/>
    <w:rsid w:val="00E153ED"/>
    <w:rsid w:val="00E153F0"/>
    <w:rsid w:val="00E1562D"/>
    <w:rsid w:val="00E15D19"/>
    <w:rsid w:val="00E160C7"/>
    <w:rsid w:val="00E162BE"/>
    <w:rsid w:val="00E163D6"/>
    <w:rsid w:val="00E16A1B"/>
    <w:rsid w:val="00E16D6E"/>
    <w:rsid w:val="00E16DDA"/>
    <w:rsid w:val="00E16F57"/>
    <w:rsid w:val="00E17016"/>
    <w:rsid w:val="00E1722B"/>
    <w:rsid w:val="00E17294"/>
    <w:rsid w:val="00E17783"/>
    <w:rsid w:val="00E17919"/>
    <w:rsid w:val="00E17ADC"/>
    <w:rsid w:val="00E17BF7"/>
    <w:rsid w:val="00E205AA"/>
    <w:rsid w:val="00E2081F"/>
    <w:rsid w:val="00E20AAB"/>
    <w:rsid w:val="00E20AB6"/>
    <w:rsid w:val="00E20B8E"/>
    <w:rsid w:val="00E20E79"/>
    <w:rsid w:val="00E20EAB"/>
    <w:rsid w:val="00E21079"/>
    <w:rsid w:val="00E21759"/>
    <w:rsid w:val="00E21B5F"/>
    <w:rsid w:val="00E22328"/>
    <w:rsid w:val="00E22373"/>
    <w:rsid w:val="00E22FC8"/>
    <w:rsid w:val="00E230A0"/>
    <w:rsid w:val="00E232D7"/>
    <w:rsid w:val="00E2345D"/>
    <w:rsid w:val="00E235B7"/>
    <w:rsid w:val="00E23DD4"/>
    <w:rsid w:val="00E23E1D"/>
    <w:rsid w:val="00E23E1F"/>
    <w:rsid w:val="00E241F5"/>
    <w:rsid w:val="00E24A05"/>
    <w:rsid w:val="00E2518B"/>
    <w:rsid w:val="00E25198"/>
    <w:rsid w:val="00E25CC4"/>
    <w:rsid w:val="00E25D2B"/>
    <w:rsid w:val="00E25D40"/>
    <w:rsid w:val="00E26010"/>
    <w:rsid w:val="00E2603F"/>
    <w:rsid w:val="00E26116"/>
    <w:rsid w:val="00E26307"/>
    <w:rsid w:val="00E2683D"/>
    <w:rsid w:val="00E2689B"/>
    <w:rsid w:val="00E269AF"/>
    <w:rsid w:val="00E2726E"/>
    <w:rsid w:val="00E2782B"/>
    <w:rsid w:val="00E27AE1"/>
    <w:rsid w:val="00E27D16"/>
    <w:rsid w:val="00E27D8C"/>
    <w:rsid w:val="00E27F71"/>
    <w:rsid w:val="00E303B1"/>
    <w:rsid w:val="00E30644"/>
    <w:rsid w:val="00E308CB"/>
    <w:rsid w:val="00E30A7D"/>
    <w:rsid w:val="00E31143"/>
    <w:rsid w:val="00E31658"/>
    <w:rsid w:val="00E3192C"/>
    <w:rsid w:val="00E31A95"/>
    <w:rsid w:val="00E32227"/>
    <w:rsid w:val="00E323F9"/>
    <w:rsid w:val="00E3264D"/>
    <w:rsid w:val="00E327F2"/>
    <w:rsid w:val="00E32D8D"/>
    <w:rsid w:val="00E336B6"/>
    <w:rsid w:val="00E33775"/>
    <w:rsid w:val="00E33A23"/>
    <w:rsid w:val="00E344C7"/>
    <w:rsid w:val="00E345F8"/>
    <w:rsid w:val="00E346FA"/>
    <w:rsid w:val="00E34ABC"/>
    <w:rsid w:val="00E34C7F"/>
    <w:rsid w:val="00E34D08"/>
    <w:rsid w:val="00E3508B"/>
    <w:rsid w:val="00E3552F"/>
    <w:rsid w:val="00E3566A"/>
    <w:rsid w:val="00E357E6"/>
    <w:rsid w:val="00E35A52"/>
    <w:rsid w:val="00E35BB2"/>
    <w:rsid w:val="00E3662F"/>
    <w:rsid w:val="00E36798"/>
    <w:rsid w:val="00E3701A"/>
    <w:rsid w:val="00E372F3"/>
    <w:rsid w:val="00E372FD"/>
    <w:rsid w:val="00E37A5E"/>
    <w:rsid w:val="00E37A72"/>
    <w:rsid w:val="00E37D9D"/>
    <w:rsid w:val="00E37EB3"/>
    <w:rsid w:val="00E40070"/>
    <w:rsid w:val="00E4013A"/>
    <w:rsid w:val="00E4029B"/>
    <w:rsid w:val="00E405C8"/>
    <w:rsid w:val="00E40600"/>
    <w:rsid w:val="00E4086A"/>
    <w:rsid w:val="00E41547"/>
    <w:rsid w:val="00E41A35"/>
    <w:rsid w:val="00E41B0E"/>
    <w:rsid w:val="00E41B7B"/>
    <w:rsid w:val="00E41DFB"/>
    <w:rsid w:val="00E42280"/>
    <w:rsid w:val="00E428BA"/>
    <w:rsid w:val="00E429FB"/>
    <w:rsid w:val="00E42B15"/>
    <w:rsid w:val="00E433E9"/>
    <w:rsid w:val="00E435BB"/>
    <w:rsid w:val="00E436D9"/>
    <w:rsid w:val="00E438B2"/>
    <w:rsid w:val="00E44045"/>
    <w:rsid w:val="00E443CC"/>
    <w:rsid w:val="00E446D2"/>
    <w:rsid w:val="00E449D1"/>
    <w:rsid w:val="00E44B05"/>
    <w:rsid w:val="00E44E40"/>
    <w:rsid w:val="00E44E99"/>
    <w:rsid w:val="00E457BA"/>
    <w:rsid w:val="00E45955"/>
    <w:rsid w:val="00E45E09"/>
    <w:rsid w:val="00E45E68"/>
    <w:rsid w:val="00E46229"/>
    <w:rsid w:val="00E4635B"/>
    <w:rsid w:val="00E4651E"/>
    <w:rsid w:val="00E465A7"/>
    <w:rsid w:val="00E466BF"/>
    <w:rsid w:val="00E467DA"/>
    <w:rsid w:val="00E46CAB"/>
    <w:rsid w:val="00E471B0"/>
    <w:rsid w:val="00E4756F"/>
    <w:rsid w:val="00E47DAA"/>
    <w:rsid w:val="00E50745"/>
    <w:rsid w:val="00E50747"/>
    <w:rsid w:val="00E5098F"/>
    <w:rsid w:val="00E50F05"/>
    <w:rsid w:val="00E51711"/>
    <w:rsid w:val="00E518DB"/>
    <w:rsid w:val="00E5264B"/>
    <w:rsid w:val="00E527B7"/>
    <w:rsid w:val="00E527C9"/>
    <w:rsid w:val="00E52A9E"/>
    <w:rsid w:val="00E52E13"/>
    <w:rsid w:val="00E52F4E"/>
    <w:rsid w:val="00E53097"/>
    <w:rsid w:val="00E53A34"/>
    <w:rsid w:val="00E5409C"/>
    <w:rsid w:val="00E54445"/>
    <w:rsid w:val="00E54838"/>
    <w:rsid w:val="00E54A47"/>
    <w:rsid w:val="00E553AA"/>
    <w:rsid w:val="00E55B96"/>
    <w:rsid w:val="00E55D9F"/>
    <w:rsid w:val="00E55E7F"/>
    <w:rsid w:val="00E56EDC"/>
    <w:rsid w:val="00E573F9"/>
    <w:rsid w:val="00E57714"/>
    <w:rsid w:val="00E57AC7"/>
    <w:rsid w:val="00E57B25"/>
    <w:rsid w:val="00E57EEE"/>
    <w:rsid w:val="00E60843"/>
    <w:rsid w:val="00E60979"/>
    <w:rsid w:val="00E60998"/>
    <w:rsid w:val="00E60ACF"/>
    <w:rsid w:val="00E60B1E"/>
    <w:rsid w:val="00E60CBA"/>
    <w:rsid w:val="00E61083"/>
    <w:rsid w:val="00E6149F"/>
    <w:rsid w:val="00E61A31"/>
    <w:rsid w:val="00E61A83"/>
    <w:rsid w:val="00E61CD7"/>
    <w:rsid w:val="00E62063"/>
    <w:rsid w:val="00E621C3"/>
    <w:rsid w:val="00E62873"/>
    <w:rsid w:val="00E62D29"/>
    <w:rsid w:val="00E62D6A"/>
    <w:rsid w:val="00E62F3F"/>
    <w:rsid w:val="00E6329B"/>
    <w:rsid w:val="00E63495"/>
    <w:rsid w:val="00E637C0"/>
    <w:rsid w:val="00E63D60"/>
    <w:rsid w:val="00E63E2E"/>
    <w:rsid w:val="00E645E0"/>
    <w:rsid w:val="00E64C33"/>
    <w:rsid w:val="00E64DB8"/>
    <w:rsid w:val="00E64F73"/>
    <w:rsid w:val="00E657AB"/>
    <w:rsid w:val="00E660DE"/>
    <w:rsid w:val="00E66839"/>
    <w:rsid w:val="00E6685C"/>
    <w:rsid w:val="00E669BE"/>
    <w:rsid w:val="00E6732A"/>
    <w:rsid w:val="00E67ABE"/>
    <w:rsid w:val="00E67B9A"/>
    <w:rsid w:val="00E70312"/>
    <w:rsid w:val="00E707F5"/>
    <w:rsid w:val="00E7128F"/>
    <w:rsid w:val="00E71D15"/>
    <w:rsid w:val="00E71FBE"/>
    <w:rsid w:val="00E72270"/>
    <w:rsid w:val="00E7245F"/>
    <w:rsid w:val="00E725A5"/>
    <w:rsid w:val="00E727B5"/>
    <w:rsid w:val="00E729B1"/>
    <w:rsid w:val="00E72B47"/>
    <w:rsid w:val="00E72E0D"/>
    <w:rsid w:val="00E730FC"/>
    <w:rsid w:val="00E737EF"/>
    <w:rsid w:val="00E73D4F"/>
    <w:rsid w:val="00E73D60"/>
    <w:rsid w:val="00E74097"/>
    <w:rsid w:val="00E74C3B"/>
    <w:rsid w:val="00E74DFC"/>
    <w:rsid w:val="00E74E47"/>
    <w:rsid w:val="00E74FB8"/>
    <w:rsid w:val="00E75512"/>
    <w:rsid w:val="00E758A5"/>
    <w:rsid w:val="00E758B1"/>
    <w:rsid w:val="00E75B75"/>
    <w:rsid w:val="00E75D6E"/>
    <w:rsid w:val="00E75DED"/>
    <w:rsid w:val="00E75E36"/>
    <w:rsid w:val="00E75F22"/>
    <w:rsid w:val="00E75F71"/>
    <w:rsid w:val="00E75FE3"/>
    <w:rsid w:val="00E76467"/>
    <w:rsid w:val="00E76759"/>
    <w:rsid w:val="00E7680E"/>
    <w:rsid w:val="00E76ACF"/>
    <w:rsid w:val="00E76C23"/>
    <w:rsid w:val="00E76E85"/>
    <w:rsid w:val="00E77048"/>
    <w:rsid w:val="00E7705F"/>
    <w:rsid w:val="00E7709B"/>
    <w:rsid w:val="00E77102"/>
    <w:rsid w:val="00E772FD"/>
    <w:rsid w:val="00E7783C"/>
    <w:rsid w:val="00E77963"/>
    <w:rsid w:val="00E77B9D"/>
    <w:rsid w:val="00E77F51"/>
    <w:rsid w:val="00E77FC7"/>
    <w:rsid w:val="00E80191"/>
    <w:rsid w:val="00E80336"/>
    <w:rsid w:val="00E80998"/>
    <w:rsid w:val="00E80DEE"/>
    <w:rsid w:val="00E818A2"/>
    <w:rsid w:val="00E81B0C"/>
    <w:rsid w:val="00E8202E"/>
    <w:rsid w:val="00E82043"/>
    <w:rsid w:val="00E82BA7"/>
    <w:rsid w:val="00E82E1F"/>
    <w:rsid w:val="00E82F35"/>
    <w:rsid w:val="00E82F7B"/>
    <w:rsid w:val="00E83192"/>
    <w:rsid w:val="00E83212"/>
    <w:rsid w:val="00E8328F"/>
    <w:rsid w:val="00E83720"/>
    <w:rsid w:val="00E839F3"/>
    <w:rsid w:val="00E845A0"/>
    <w:rsid w:val="00E84DA0"/>
    <w:rsid w:val="00E84DC8"/>
    <w:rsid w:val="00E84FAD"/>
    <w:rsid w:val="00E853B9"/>
    <w:rsid w:val="00E8570A"/>
    <w:rsid w:val="00E85839"/>
    <w:rsid w:val="00E85CC2"/>
    <w:rsid w:val="00E85F10"/>
    <w:rsid w:val="00E86007"/>
    <w:rsid w:val="00E86CB7"/>
    <w:rsid w:val="00E86E7A"/>
    <w:rsid w:val="00E86F8C"/>
    <w:rsid w:val="00E87324"/>
    <w:rsid w:val="00E87497"/>
    <w:rsid w:val="00E8749B"/>
    <w:rsid w:val="00E87987"/>
    <w:rsid w:val="00E87E30"/>
    <w:rsid w:val="00E87F8A"/>
    <w:rsid w:val="00E87FCD"/>
    <w:rsid w:val="00E9027F"/>
    <w:rsid w:val="00E903A8"/>
    <w:rsid w:val="00E90B6F"/>
    <w:rsid w:val="00E911C0"/>
    <w:rsid w:val="00E9122F"/>
    <w:rsid w:val="00E918E6"/>
    <w:rsid w:val="00E91C58"/>
    <w:rsid w:val="00E924EC"/>
    <w:rsid w:val="00E9250C"/>
    <w:rsid w:val="00E9297C"/>
    <w:rsid w:val="00E92994"/>
    <w:rsid w:val="00E92C77"/>
    <w:rsid w:val="00E92C99"/>
    <w:rsid w:val="00E9301C"/>
    <w:rsid w:val="00E93D36"/>
    <w:rsid w:val="00E93D5D"/>
    <w:rsid w:val="00E940DB"/>
    <w:rsid w:val="00E94310"/>
    <w:rsid w:val="00E94659"/>
    <w:rsid w:val="00E94A6A"/>
    <w:rsid w:val="00E94E27"/>
    <w:rsid w:val="00E9529C"/>
    <w:rsid w:val="00E957F8"/>
    <w:rsid w:val="00E95B5A"/>
    <w:rsid w:val="00E95BEC"/>
    <w:rsid w:val="00E96231"/>
    <w:rsid w:val="00E968E3"/>
    <w:rsid w:val="00E96997"/>
    <w:rsid w:val="00E96A58"/>
    <w:rsid w:val="00E96B5F"/>
    <w:rsid w:val="00E96F5D"/>
    <w:rsid w:val="00E96FFE"/>
    <w:rsid w:val="00E97660"/>
    <w:rsid w:val="00E977CB"/>
    <w:rsid w:val="00E97B57"/>
    <w:rsid w:val="00E97D3C"/>
    <w:rsid w:val="00EA0256"/>
    <w:rsid w:val="00EA03CF"/>
    <w:rsid w:val="00EA0505"/>
    <w:rsid w:val="00EA08C9"/>
    <w:rsid w:val="00EA0A06"/>
    <w:rsid w:val="00EA1051"/>
    <w:rsid w:val="00EA1512"/>
    <w:rsid w:val="00EA1872"/>
    <w:rsid w:val="00EA1A2B"/>
    <w:rsid w:val="00EA1BA0"/>
    <w:rsid w:val="00EA1BCF"/>
    <w:rsid w:val="00EA2375"/>
    <w:rsid w:val="00EA251B"/>
    <w:rsid w:val="00EA270D"/>
    <w:rsid w:val="00EA2871"/>
    <w:rsid w:val="00EA2A22"/>
    <w:rsid w:val="00EA2B3B"/>
    <w:rsid w:val="00EA2C9B"/>
    <w:rsid w:val="00EA2FD5"/>
    <w:rsid w:val="00EA300A"/>
    <w:rsid w:val="00EA310E"/>
    <w:rsid w:val="00EA34C0"/>
    <w:rsid w:val="00EA3F07"/>
    <w:rsid w:val="00EA47FA"/>
    <w:rsid w:val="00EA4D58"/>
    <w:rsid w:val="00EA50DD"/>
    <w:rsid w:val="00EA5512"/>
    <w:rsid w:val="00EA5834"/>
    <w:rsid w:val="00EA5972"/>
    <w:rsid w:val="00EA5DCA"/>
    <w:rsid w:val="00EA60D6"/>
    <w:rsid w:val="00EA6427"/>
    <w:rsid w:val="00EA6565"/>
    <w:rsid w:val="00EA658B"/>
    <w:rsid w:val="00EA68C9"/>
    <w:rsid w:val="00EA7112"/>
    <w:rsid w:val="00EA74E8"/>
    <w:rsid w:val="00EA760B"/>
    <w:rsid w:val="00EA77E8"/>
    <w:rsid w:val="00EA7912"/>
    <w:rsid w:val="00EB003F"/>
    <w:rsid w:val="00EB011D"/>
    <w:rsid w:val="00EB088F"/>
    <w:rsid w:val="00EB0A3C"/>
    <w:rsid w:val="00EB0F69"/>
    <w:rsid w:val="00EB1067"/>
    <w:rsid w:val="00EB176E"/>
    <w:rsid w:val="00EB17F8"/>
    <w:rsid w:val="00EB1BB4"/>
    <w:rsid w:val="00EB202D"/>
    <w:rsid w:val="00EB23A1"/>
    <w:rsid w:val="00EB2476"/>
    <w:rsid w:val="00EB2C4E"/>
    <w:rsid w:val="00EB2C70"/>
    <w:rsid w:val="00EB2F70"/>
    <w:rsid w:val="00EB30BF"/>
    <w:rsid w:val="00EB32C0"/>
    <w:rsid w:val="00EB476C"/>
    <w:rsid w:val="00EB47A7"/>
    <w:rsid w:val="00EB47E3"/>
    <w:rsid w:val="00EB47F0"/>
    <w:rsid w:val="00EB5080"/>
    <w:rsid w:val="00EB5850"/>
    <w:rsid w:val="00EB599B"/>
    <w:rsid w:val="00EB6474"/>
    <w:rsid w:val="00EB6747"/>
    <w:rsid w:val="00EB71AB"/>
    <w:rsid w:val="00EB721B"/>
    <w:rsid w:val="00EB73A7"/>
    <w:rsid w:val="00EB7516"/>
    <w:rsid w:val="00EB753F"/>
    <w:rsid w:val="00EB76A2"/>
    <w:rsid w:val="00EB7966"/>
    <w:rsid w:val="00EB79F8"/>
    <w:rsid w:val="00EC0038"/>
    <w:rsid w:val="00EC0567"/>
    <w:rsid w:val="00EC06EB"/>
    <w:rsid w:val="00EC092F"/>
    <w:rsid w:val="00EC0BC9"/>
    <w:rsid w:val="00EC0D48"/>
    <w:rsid w:val="00EC0E0A"/>
    <w:rsid w:val="00EC1110"/>
    <w:rsid w:val="00EC1575"/>
    <w:rsid w:val="00EC18BB"/>
    <w:rsid w:val="00EC1948"/>
    <w:rsid w:val="00EC1AAA"/>
    <w:rsid w:val="00EC1BDB"/>
    <w:rsid w:val="00EC2451"/>
    <w:rsid w:val="00EC26D0"/>
    <w:rsid w:val="00EC2729"/>
    <w:rsid w:val="00EC2846"/>
    <w:rsid w:val="00EC2888"/>
    <w:rsid w:val="00EC29A2"/>
    <w:rsid w:val="00EC2EB5"/>
    <w:rsid w:val="00EC357A"/>
    <w:rsid w:val="00EC3861"/>
    <w:rsid w:val="00EC3D93"/>
    <w:rsid w:val="00EC4079"/>
    <w:rsid w:val="00EC422F"/>
    <w:rsid w:val="00EC4242"/>
    <w:rsid w:val="00EC424D"/>
    <w:rsid w:val="00EC432F"/>
    <w:rsid w:val="00EC4C0F"/>
    <w:rsid w:val="00EC51A6"/>
    <w:rsid w:val="00EC5358"/>
    <w:rsid w:val="00EC5F54"/>
    <w:rsid w:val="00EC6542"/>
    <w:rsid w:val="00EC65A4"/>
    <w:rsid w:val="00EC6C08"/>
    <w:rsid w:val="00EC714A"/>
    <w:rsid w:val="00EC7750"/>
    <w:rsid w:val="00EC7767"/>
    <w:rsid w:val="00EC79EA"/>
    <w:rsid w:val="00ED018F"/>
    <w:rsid w:val="00ED04B3"/>
    <w:rsid w:val="00ED0577"/>
    <w:rsid w:val="00ED0AD2"/>
    <w:rsid w:val="00ED0E48"/>
    <w:rsid w:val="00ED10A7"/>
    <w:rsid w:val="00ED16DD"/>
    <w:rsid w:val="00ED20D3"/>
    <w:rsid w:val="00ED20E2"/>
    <w:rsid w:val="00ED21E1"/>
    <w:rsid w:val="00ED22A3"/>
    <w:rsid w:val="00ED2F02"/>
    <w:rsid w:val="00ED3CC7"/>
    <w:rsid w:val="00ED3D1A"/>
    <w:rsid w:val="00ED4858"/>
    <w:rsid w:val="00ED5074"/>
    <w:rsid w:val="00ED57DC"/>
    <w:rsid w:val="00ED5B66"/>
    <w:rsid w:val="00ED5FD4"/>
    <w:rsid w:val="00ED5FEA"/>
    <w:rsid w:val="00ED6664"/>
    <w:rsid w:val="00ED6843"/>
    <w:rsid w:val="00ED6A6D"/>
    <w:rsid w:val="00ED6AD0"/>
    <w:rsid w:val="00ED7140"/>
    <w:rsid w:val="00ED7334"/>
    <w:rsid w:val="00ED7478"/>
    <w:rsid w:val="00EE001B"/>
    <w:rsid w:val="00EE0242"/>
    <w:rsid w:val="00EE05E5"/>
    <w:rsid w:val="00EE05E9"/>
    <w:rsid w:val="00EE0892"/>
    <w:rsid w:val="00EE0B35"/>
    <w:rsid w:val="00EE174B"/>
    <w:rsid w:val="00EE1B14"/>
    <w:rsid w:val="00EE1D5F"/>
    <w:rsid w:val="00EE1DC3"/>
    <w:rsid w:val="00EE21F2"/>
    <w:rsid w:val="00EE2692"/>
    <w:rsid w:val="00EE35C6"/>
    <w:rsid w:val="00EE3632"/>
    <w:rsid w:val="00EE368C"/>
    <w:rsid w:val="00EE3C25"/>
    <w:rsid w:val="00EE41D9"/>
    <w:rsid w:val="00EE4673"/>
    <w:rsid w:val="00EE5755"/>
    <w:rsid w:val="00EE5A39"/>
    <w:rsid w:val="00EE614D"/>
    <w:rsid w:val="00EE6710"/>
    <w:rsid w:val="00EE75DB"/>
    <w:rsid w:val="00EE7A74"/>
    <w:rsid w:val="00EE7C1C"/>
    <w:rsid w:val="00EE7CFB"/>
    <w:rsid w:val="00EF0141"/>
    <w:rsid w:val="00EF0187"/>
    <w:rsid w:val="00EF0456"/>
    <w:rsid w:val="00EF06D1"/>
    <w:rsid w:val="00EF07B1"/>
    <w:rsid w:val="00EF0BB6"/>
    <w:rsid w:val="00EF0DA4"/>
    <w:rsid w:val="00EF10E9"/>
    <w:rsid w:val="00EF1559"/>
    <w:rsid w:val="00EF1816"/>
    <w:rsid w:val="00EF22D8"/>
    <w:rsid w:val="00EF2320"/>
    <w:rsid w:val="00EF2480"/>
    <w:rsid w:val="00EF253D"/>
    <w:rsid w:val="00EF26D7"/>
    <w:rsid w:val="00EF26EC"/>
    <w:rsid w:val="00EF2A49"/>
    <w:rsid w:val="00EF2DBE"/>
    <w:rsid w:val="00EF3819"/>
    <w:rsid w:val="00EF3D04"/>
    <w:rsid w:val="00EF3D80"/>
    <w:rsid w:val="00EF3E62"/>
    <w:rsid w:val="00EF3F3C"/>
    <w:rsid w:val="00EF410B"/>
    <w:rsid w:val="00EF41DA"/>
    <w:rsid w:val="00EF45CA"/>
    <w:rsid w:val="00EF4A60"/>
    <w:rsid w:val="00EF53B4"/>
    <w:rsid w:val="00EF551D"/>
    <w:rsid w:val="00EF5AA8"/>
    <w:rsid w:val="00EF5EED"/>
    <w:rsid w:val="00EF6357"/>
    <w:rsid w:val="00EF658E"/>
    <w:rsid w:val="00EF6811"/>
    <w:rsid w:val="00EF6E1A"/>
    <w:rsid w:val="00EF6E6C"/>
    <w:rsid w:val="00EF6F1B"/>
    <w:rsid w:val="00EF6F42"/>
    <w:rsid w:val="00EF78DC"/>
    <w:rsid w:val="00EF79FA"/>
    <w:rsid w:val="00EF7EA6"/>
    <w:rsid w:val="00EF7FC0"/>
    <w:rsid w:val="00F00109"/>
    <w:rsid w:val="00F0028B"/>
    <w:rsid w:val="00F0068A"/>
    <w:rsid w:val="00F00752"/>
    <w:rsid w:val="00F008E3"/>
    <w:rsid w:val="00F00998"/>
    <w:rsid w:val="00F009E6"/>
    <w:rsid w:val="00F00B50"/>
    <w:rsid w:val="00F00CA7"/>
    <w:rsid w:val="00F013F8"/>
    <w:rsid w:val="00F015EA"/>
    <w:rsid w:val="00F01823"/>
    <w:rsid w:val="00F01951"/>
    <w:rsid w:val="00F01B44"/>
    <w:rsid w:val="00F01FE8"/>
    <w:rsid w:val="00F0221E"/>
    <w:rsid w:val="00F0233A"/>
    <w:rsid w:val="00F02712"/>
    <w:rsid w:val="00F02869"/>
    <w:rsid w:val="00F02E74"/>
    <w:rsid w:val="00F04032"/>
    <w:rsid w:val="00F042F3"/>
    <w:rsid w:val="00F0438C"/>
    <w:rsid w:val="00F043B9"/>
    <w:rsid w:val="00F04703"/>
    <w:rsid w:val="00F04BA9"/>
    <w:rsid w:val="00F04E82"/>
    <w:rsid w:val="00F0537E"/>
    <w:rsid w:val="00F05543"/>
    <w:rsid w:val="00F057E1"/>
    <w:rsid w:val="00F05831"/>
    <w:rsid w:val="00F05A99"/>
    <w:rsid w:val="00F05CCD"/>
    <w:rsid w:val="00F062B3"/>
    <w:rsid w:val="00F064A2"/>
    <w:rsid w:val="00F06744"/>
    <w:rsid w:val="00F06D7D"/>
    <w:rsid w:val="00F072E0"/>
    <w:rsid w:val="00F07433"/>
    <w:rsid w:val="00F0769E"/>
    <w:rsid w:val="00F0788A"/>
    <w:rsid w:val="00F07B76"/>
    <w:rsid w:val="00F10F9E"/>
    <w:rsid w:val="00F11011"/>
    <w:rsid w:val="00F11081"/>
    <w:rsid w:val="00F1112F"/>
    <w:rsid w:val="00F111E2"/>
    <w:rsid w:val="00F11392"/>
    <w:rsid w:val="00F11794"/>
    <w:rsid w:val="00F117B0"/>
    <w:rsid w:val="00F11BF1"/>
    <w:rsid w:val="00F11D3B"/>
    <w:rsid w:val="00F11ECE"/>
    <w:rsid w:val="00F1200B"/>
    <w:rsid w:val="00F123C8"/>
    <w:rsid w:val="00F12C97"/>
    <w:rsid w:val="00F12E78"/>
    <w:rsid w:val="00F14603"/>
    <w:rsid w:val="00F14635"/>
    <w:rsid w:val="00F149C0"/>
    <w:rsid w:val="00F149D8"/>
    <w:rsid w:val="00F15330"/>
    <w:rsid w:val="00F154C8"/>
    <w:rsid w:val="00F1574D"/>
    <w:rsid w:val="00F1587F"/>
    <w:rsid w:val="00F15F98"/>
    <w:rsid w:val="00F160CF"/>
    <w:rsid w:val="00F160DC"/>
    <w:rsid w:val="00F1635F"/>
    <w:rsid w:val="00F163B1"/>
    <w:rsid w:val="00F16407"/>
    <w:rsid w:val="00F16E18"/>
    <w:rsid w:val="00F17312"/>
    <w:rsid w:val="00F1739E"/>
    <w:rsid w:val="00F1775E"/>
    <w:rsid w:val="00F17869"/>
    <w:rsid w:val="00F17876"/>
    <w:rsid w:val="00F17B64"/>
    <w:rsid w:val="00F17C61"/>
    <w:rsid w:val="00F20433"/>
    <w:rsid w:val="00F208BF"/>
    <w:rsid w:val="00F20960"/>
    <w:rsid w:val="00F21024"/>
    <w:rsid w:val="00F21808"/>
    <w:rsid w:val="00F2192A"/>
    <w:rsid w:val="00F21C1D"/>
    <w:rsid w:val="00F21FD6"/>
    <w:rsid w:val="00F2243C"/>
    <w:rsid w:val="00F229FA"/>
    <w:rsid w:val="00F22A82"/>
    <w:rsid w:val="00F22F8A"/>
    <w:rsid w:val="00F23396"/>
    <w:rsid w:val="00F233BB"/>
    <w:rsid w:val="00F233BD"/>
    <w:rsid w:val="00F235DD"/>
    <w:rsid w:val="00F24111"/>
    <w:rsid w:val="00F24117"/>
    <w:rsid w:val="00F24186"/>
    <w:rsid w:val="00F24309"/>
    <w:rsid w:val="00F24374"/>
    <w:rsid w:val="00F24A17"/>
    <w:rsid w:val="00F24A47"/>
    <w:rsid w:val="00F251CD"/>
    <w:rsid w:val="00F2541D"/>
    <w:rsid w:val="00F25428"/>
    <w:rsid w:val="00F255D2"/>
    <w:rsid w:val="00F25B0E"/>
    <w:rsid w:val="00F260C9"/>
    <w:rsid w:val="00F26CCB"/>
    <w:rsid w:val="00F26CED"/>
    <w:rsid w:val="00F26EB6"/>
    <w:rsid w:val="00F27814"/>
    <w:rsid w:val="00F301C3"/>
    <w:rsid w:val="00F30402"/>
    <w:rsid w:val="00F306C2"/>
    <w:rsid w:val="00F307FD"/>
    <w:rsid w:val="00F30DA5"/>
    <w:rsid w:val="00F31350"/>
    <w:rsid w:val="00F3178D"/>
    <w:rsid w:val="00F317E7"/>
    <w:rsid w:val="00F31973"/>
    <w:rsid w:val="00F32075"/>
    <w:rsid w:val="00F320C3"/>
    <w:rsid w:val="00F3211B"/>
    <w:rsid w:val="00F32219"/>
    <w:rsid w:val="00F3260D"/>
    <w:rsid w:val="00F3279F"/>
    <w:rsid w:val="00F328C4"/>
    <w:rsid w:val="00F3297B"/>
    <w:rsid w:val="00F32C94"/>
    <w:rsid w:val="00F32E74"/>
    <w:rsid w:val="00F3364C"/>
    <w:rsid w:val="00F33EFE"/>
    <w:rsid w:val="00F3461A"/>
    <w:rsid w:val="00F34CE7"/>
    <w:rsid w:val="00F35093"/>
    <w:rsid w:val="00F355E8"/>
    <w:rsid w:val="00F3585E"/>
    <w:rsid w:val="00F35A90"/>
    <w:rsid w:val="00F35FD3"/>
    <w:rsid w:val="00F3615C"/>
    <w:rsid w:val="00F366E9"/>
    <w:rsid w:val="00F367FA"/>
    <w:rsid w:val="00F36C75"/>
    <w:rsid w:val="00F370DD"/>
    <w:rsid w:val="00F37735"/>
    <w:rsid w:val="00F4088B"/>
    <w:rsid w:val="00F409D3"/>
    <w:rsid w:val="00F40C4A"/>
    <w:rsid w:val="00F418FC"/>
    <w:rsid w:val="00F419EC"/>
    <w:rsid w:val="00F41BEB"/>
    <w:rsid w:val="00F41E14"/>
    <w:rsid w:val="00F41E65"/>
    <w:rsid w:val="00F423D6"/>
    <w:rsid w:val="00F425AD"/>
    <w:rsid w:val="00F42AC3"/>
    <w:rsid w:val="00F42FAE"/>
    <w:rsid w:val="00F42FEB"/>
    <w:rsid w:val="00F431D3"/>
    <w:rsid w:val="00F44009"/>
    <w:rsid w:val="00F44110"/>
    <w:rsid w:val="00F442F5"/>
    <w:rsid w:val="00F44636"/>
    <w:rsid w:val="00F44B4B"/>
    <w:rsid w:val="00F44B76"/>
    <w:rsid w:val="00F44B83"/>
    <w:rsid w:val="00F44BF4"/>
    <w:rsid w:val="00F44E52"/>
    <w:rsid w:val="00F44F05"/>
    <w:rsid w:val="00F44F6D"/>
    <w:rsid w:val="00F4501D"/>
    <w:rsid w:val="00F4532B"/>
    <w:rsid w:val="00F45622"/>
    <w:rsid w:val="00F45883"/>
    <w:rsid w:val="00F45A5B"/>
    <w:rsid w:val="00F45AD4"/>
    <w:rsid w:val="00F45E4E"/>
    <w:rsid w:val="00F45F37"/>
    <w:rsid w:val="00F4683F"/>
    <w:rsid w:val="00F46D44"/>
    <w:rsid w:val="00F46DD8"/>
    <w:rsid w:val="00F479F7"/>
    <w:rsid w:val="00F47BA0"/>
    <w:rsid w:val="00F47C4B"/>
    <w:rsid w:val="00F50368"/>
    <w:rsid w:val="00F50371"/>
    <w:rsid w:val="00F5083C"/>
    <w:rsid w:val="00F509DC"/>
    <w:rsid w:val="00F50A94"/>
    <w:rsid w:val="00F51188"/>
    <w:rsid w:val="00F51B70"/>
    <w:rsid w:val="00F51DAE"/>
    <w:rsid w:val="00F51E78"/>
    <w:rsid w:val="00F5272D"/>
    <w:rsid w:val="00F52867"/>
    <w:rsid w:val="00F53321"/>
    <w:rsid w:val="00F53403"/>
    <w:rsid w:val="00F5340A"/>
    <w:rsid w:val="00F536C7"/>
    <w:rsid w:val="00F5396A"/>
    <w:rsid w:val="00F53DA3"/>
    <w:rsid w:val="00F53DCC"/>
    <w:rsid w:val="00F53EDB"/>
    <w:rsid w:val="00F54016"/>
    <w:rsid w:val="00F5490C"/>
    <w:rsid w:val="00F54B5F"/>
    <w:rsid w:val="00F54CAB"/>
    <w:rsid w:val="00F54DC1"/>
    <w:rsid w:val="00F5525B"/>
    <w:rsid w:val="00F55322"/>
    <w:rsid w:val="00F55361"/>
    <w:rsid w:val="00F55412"/>
    <w:rsid w:val="00F5549F"/>
    <w:rsid w:val="00F55A5C"/>
    <w:rsid w:val="00F55AE6"/>
    <w:rsid w:val="00F55B9E"/>
    <w:rsid w:val="00F55CA3"/>
    <w:rsid w:val="00F560F7"/>
    <w:rsid w:val="00F56862"/>
    <w:rsid w:val="00F56A5C"/>
    <w:rsid w:val="00F56C72"/>
    <w:rsid w:val="00F57BE6"/>
    <w:rsid w:val="00F60335"/>
    <w:rsid w:val="00F60480"/>
    <w:rsid w:val="00F60989"/>
    <w:rsid w:val="00F609C4"/>
    <w:rsid w:val="00F6188C"/>
    <w:rsid w:val="00F61A2D"/>
    <w:rsid w:val="00F61B17"/>
    <w:rsid w:val="00F62374"/>
    <w:rsid w:val="00F627E4"/>
    <w:rsid w:val="00F62906"/>
    <w:rsid w:val="00F62A7A"/>
    <w:rsid w:val="00F63250"/>
    <w:rsid w:val="00F632E7"/>
    <w:rsid w:val="00F636B2"/>
    <w:rsid w:val="00F6371E"/>
    <w:rsid w:val="00F637A0"/>
    <w:rsid w:val="00F63B54"/>
    <w:rsid w:val="00F63BF0"/>
    <w:rsid w:val="00F63F69"/>
    <w:rsid w:val="00F64222"/>
    <w:rsid w:val="00F642C8"/>
    <w:rsid w:val="00F64B5B"/>
    <w:rsid w:val="00F64E25"/>
    <w:rsid w:val="00F652D5"/>
    <w:rsid w:val="00F653CC"/>
    <w:rsid w:val="00F655D0"/>
    <w:rsid w:val="00F65691"/>
    <w:rsid w:val="00F6622A"/>
    <w:rsid w:val="00F66251"/>
    <w:rsid w:val="00F66590"/>
    <w:rsid w:val="00F6687B"/>
    <w:rsid w:val="00F66A92"/>
    <w:rsid w:val="00F66FE3"/>
    <w:rsid w:val="00F673F2"/>
    <w:rsid w:val="00F675C3"/>
    <w:rsid w:val="00F67827"/>
    <w:rsid w:val="00F67A2D"/>
    <w:rsid w:val="00F67BF1"/>
    <w:rsid w:val="00F67C54"/>
    <w:rsid w:val="00F70095"/>
    <w:rsid w:val="00F70A23"/>
    <w:rsid w:val="00F71396"/>
    <w:rsid w:val="00F713C1"/>
    <w:rsid w:val="00F71661"/>
    <w:rsid w:val="00F71C4E"/>
    <w:rsid w:val="00F72031"/>
    <w:rsid w:val="00F7215D"/>
    <w:rsid w:val="00F72261"/>
    <w:rsid w:val="00F72288"/>
    <w:rsid w:val="00F72E13"/>
    <w:rsid w:val="00F733FE"/>
    <w:rsid w:val="00F73731"/>
    <w:rsid w:val="00F73CAB"/>
    <w:rsid w:val="00F74099"/>
    <w:rsid w:val="00F7453E"/>
    <w:rsid w:val="00F74CA4"/>
    <w:rsid w:val="00F754FA"/>
    <w:rsid w:val="00F75672"/>
    <w:rsid w:val="00F757D9"/>
    <w:rsid w:val="00F75B66"/>
    <w:rsid w:val="00F75DF4"/>
    <w:rsid w:val="00F7605B"/>
    <w:rsid w:val="00F76104"/>
    <w:rsid w:val="00F76668"/>
    <w:rsid w:val="00F76974"/>
    <w:rsid w:val="00F76E1D"/>
    <w:rsid w:val="00F76FDD"/>
    <w:rsid w:val="00F7733B"/>
    <w:rsid w:val="00F77654"/>
    <w:rsid w:val="00F77746"/>
    <w:rsid w:val="00F77B23"/>
    <w:rsid w:val="00F80C37"/>
    <w:rsid w:val="00F81256"/>
    <w:rsid w:val="00F81462"/>
    <w:rsid w:val="00F81475"/>
    <w:rsid w:val="00F8147B"/>
    <w:rsid w:val="00F81563"/>
    <w:rsid w:val="00F81ADC"/>
    <w:rsid w:val="00F81D85"/>
    <w:rsid w:val="00F8201E"/>
    <w:rsid w:val="00F82430"/>
    <w:rsid w:val="00F82506"/>
    <w:rsid w:val="00F82763"/>
    <w:rsid w:val="00F827E5"/>
    <w:rsid w:val="00F82E4A"/>
    <w:rsid w:val="00F8385D"/>
    <w:rsid w:val="00F8426F"/>
    <w:rsid w:val="00F84412"/>
    <w:rsid w:val="00F849F7"/>
    <w:rsid w:val="00F84F4F"/>
    <w:rsid w:val="00F8507F"/>
    <w:rsid w:val="00F851AF"/>
    <w:rsid w:val="00F8534F"/>
    <w:rsid w:val="00F8553E"/>
    <w:rsid w:val="00F855A4"/>
    <w:rsid w:val="00F85F20"/>
    <w:rsid w:val="00F85FE0"/>
    <w:rsid w:val="00F862B7"/>
    <w:rsid w:val="00F86606"/>
    <w:rsid w:val="00F86AA6"/>
    <w:rsid w:val="00F86BD2"/>
    <w:rsid w:val="00F870FD"/>
    <w:rsid w:val="00F872A3"/>
    <w:rsid w:val="00F8753E"/>
    <w:rsid w:val="00F87960"/>
    <w:rsid w:val="00F87CE2"/>
    <w:rsid w:val="00F90162"/>
    <w:rsid w:val="00F90D93"/>
    <w:rsid w:val="00F91842"/>
    <w:rsid w:val="00F91A92"/>
    <w:rsid w:val="00F91B11"/>
    <w:rsid w:val="00F91B69"/>
    <w:rsid w:val="00F91D50"/>
    <w:rsid w:val="00F92573"/>
    <w:rsid w:val="00F926B6"/>
    <w:rsid w:val="00F932A9"/>
    <w:rsid w:val="00F937FA"/>
    <w:rsid w:val="00F93A1C"/>
    <w:rsid w:val="00F93EDC"/>
    <w:rsid w:val="00F93FFC"/>
    <w:rsid w:val="00F94127"/>
    <w:rsid w:val="00F941F6"/>
    <w:rsid w:val="00F9445B"/>
    <w:rsid w:val="00F94EF2"/>
    <w:rsid w:val="00F95022"/>
    <w:rsid w:val="00F95216"/>
    <w:rsid w:val="00F953BD"/>
    <w:rsid w:val="00F95609"/>
    <w:rsid w:val="00F95A1F"/>
    <w:rsid w:val="00F95D16"/>
    <w:rsid w:val="00F95DFF"/>
    <w:rsid w:val="00F95F37"/>
    <w:rsid w:val="00F96308"/>
    <w:rsid w:val="00F9690D"/>
    <w:rsid w:val="00F96984"/>
    <w:rsid w:val="00F96D9C"/>
    <w:rsid w:val="00F9732B"/>
    <w:rsid w:val="00F973AF"/>
    <w:rsid w:val="00F978E1"/>
    <w:rsid w:val="00F97B76"/>
    <w:rsid w:val="00F97BB7"/>
    <w:rsid w:val="00F97C1D"/>
    <w:rsid w:val="00F97CD2"/>
    <w:rsid w:val="00F97E15"/>
    <w:rsid w:val="00FA0496"/>
    <w:rsid w:val="00FA0780"/>
    <w:rsid w:val="00FA0B5E"/>
    <w:rsid w:val="00FA130A"/>
    <w:rsid w:val="00FA1CAA"/>
    <w:rsid w:val="00FA1CED"/>
    <w:rsid w:val="00FA3120"/>
    <w:rsid w:val="00FA3578"/>
    <w:rsid w:val="00FA372B"/>
    <w:rsid w:val="00FA37E5"/>
    <w:rsid w:val="00FA38D7"/>
    <w:rsid w:val="00FA3B22"/>
    <w:rsid w:val="00FA3B32"/>
    <w:rsid w:val="00FA44F4"/>
    <w:rsid w:val="00FA45B2"/>
    <w:rsid w:val="00FA486B"/>
    <w:rsid w:val="00FA5167"/>
    <w:rsid w:val="00FA5762"/>
    <w:rsid w:val="00FA5BCB"/>
    <w:rsid w:val="00FA62E1"/>
    <w:rsid w:val="00FA6876"/>
    <w:rsid w:val="00FA6AC6"/>
    <w:rsid w:val="00FA6D4B"/>
    <w:rsid w:val="00FA6EE7"/>
    <w:rsid w:val="00FA6EF2"/>
    <w:rsid w:val="00FA72D0"/>
    <w:rsid w:val="00FA7451"/>
    <w:rsid w:val="00FA796D"/>
    <w:rsid w:val="00FB00A1"/>
    <w:rsid w:val="00FB0457"/>
    <w:rsid w:val="00FB09F4"/>
    <w:rsid w:val="00FB0C59"/>
    <w:rsid w:val="00FB0DAF"/>
    <w:rsid w:val="00FB12FA"/>
    <w:rsid w:val="00FB135C"/>
    <w:rsid w:val="00FB136C"/>
    <w:rsid w:val="00FB1B2F"/>
    <w:rsid w:val="00FB1F66"/>
    <w:rsid w:val="00FB2175"/>
    <w:rsid w:val="00FB22E2"/>
    <w:rsid w:val="00FB2A92"/>
    <w:rsid w:val="00FB2C42"/>
    <w:rsid w:val="00FB2F77"/>
    <w:rsid w:val="00FB329B"/>
    <w:rsid w:val="00FB407A"/>
    <w:rsid w:val="00FB418B"/>
    <w:rsid w:val="00FB42D0"/>
    <w:rsid w:val="00FB448E"/>
    <w:rsid w:val="00FB4575"/>
    <w:rsid w:val="00FB45A9"/>
    <w:rsid w:val="00FB4753"/>
    <w:rsid w:val="00FB4CF3"/>
    <w:rsid w:val="00FB4EFF"/>
    <w:rsid w:val="00FB55F6"/>
    <w:rsid w:val="00FB5937"/>
    <w:rsid w:val="00FB5BD9"/>
    <w:rsid w:val="00FB5ED4"/>
    <w:rsid w:val="00FB6A04"/>
    <w:rsid w:val="00FB6E91"/>
    <w:rsid w:val="00FB71A0"/>
    <w:rsid w:val="00FB7388"/>
    <w:rsid w:val="00FB7646"/>
    <w:rsid w:val="00FB7BFF"/>
    <w:rsid w:val="00FB7C32"/>
    <w:rsid w:val="00FB7E8D"/>
    <w:rsid w:val="00FB7FFD"/>
    <w:rsid w:val="00FC01FB"/>
    <w:rsid w:val="00FC025D"/>
    <w:rsid w:val="00FC0513"/>
    <w:rsid w:val="00FC078E"/>
    <w:rsid w:val="00FC114C"/>
    <w:rsid w:val="00FC15FD"/>
    <w:rsid w:val="00FC1BEB"/>
    <w:rsid w:val="00FC2013"/>
    <w:rsid w:val="00FC2529"/>
    <w:rsid w:val="00FC2693"/>
    <w:rsid w:val="00FC2FC5"/>
    <w:rsid w:val="00FC356D"/>
    <w:rsid w:val="00FC36A9"/>
    <w:rsid w:val="00FC36B6"/>
    <w:rsid w:val="00FC38ED"/>
    <w:rsid w:val="00FC3D0B"/>
    <w:rsid w:val="00FC3FAB"/>
    <w:rsid w:val="00FC4597"/>
    <w:rsid w:val="00FC4617"/>
    <w:rsid w:val="00FC4C6B"/>
    <w:rsid w:val="00FC4EEF"/>
    <w:rsid w:val="00FC585C"/>
    <w:rsid w:val="00FC5A1D"/>
    <w:rsid w:val="00FC5EEA"/>
    <w:rsid w:val="00FC5FC3"/>
    <w:rsid w:val="00FC6175"/>
    <w:rsid w:val="00FC62C7"/>
    <w:rsid w:val="00FC6631"/>
    <w:rsid w:val="00FC6851"/>
    <w:rsid w:val="00FC6896"/>
    <w:rsid w:val="00FC6C23"/>
    <w:rsid w:val="00FC6D10"/>
    <w:rsid w:val="00FC6D4C"/>
    <w:rsid w:val="00FC71FA"/>
    <w:rsid w:val="00FC7243"/>
    <w:rsid w:val="00FC743C"/>
    <w:rsid w:val="00FC7682"/>
    <w:rsid w:val="00FC7708"/>
    <w:rsid w:val="00FD0405"/>
    <w:rsid w:val="00FD0600"/>
    <w:rsid w:val="00FD0782"/>
    <w:rsid w:val="00FD089A"/>
    <w:rsid w:val="00FD0A9C"/>
    <w:rsid w:val="00FD0D74"/>
    <w:rsid w:val="00FD1287"/>
    <w:rsid w:val="00FD16D5"/>
    <w:rsid w:val="00FD1BA7"/>
    <w:rsid w:val="00FD23E7"/>
    <w:rsid w:val="00FD2EC0"/>
    <w:rsid w:val="00FD2FFE"/>
    <w:rsid w:val="00FD3510"/>
    <w:rsid w:val="00FD3C23"/>
    <w:rsid w:val="00FD40CB"/>
    <w:rsid w:val="00FD4358"/>
    <w:rsid w:val="00FD456A"/>
    <w:rsid w:val="00FD4D5B"/>
    <w:rsid w:val="00FD4D86"/>
    <w:rsid w:val="00FD4F94"/>
    <w:rsid w:val="00FD5229"/>
    <w:rsid w:val="00FD531C"/>
    <w:rsid w:val="00FD54FD"/>
    <w:rsid w:val="00FD56CB"/>
    <w:rsid w:val="00FD5760"/>
    <w:rsid w:val="00FD589D"/>
    <w:rsid w:val="00FD5C97"/>
    <w:rsid w:val="00FD6285"/>
    <w:rsid w:val="00FD6952"/>
    <w:rsid w:val="00FD6C16"/>
    <w:rsid w:val="00FD6EBB"/>
    <w:rsid w:val="00FD74E0"/>
    <w:rsid w:val="00FD7633"/>
    <w:rsid w:val="00FE02A1"/>
    <w:rsid w:val="00FE0321"/>
    <w:rsid w:val="00FE0849"/>
    <w:rsid w:val="00FE0C7B"/>
    <w:rsid w:val="00FE0C9F"/>
    <w:rsid w:val="00FE0F6D"/>
    <w:rsid w:val="00FE108B"/>
    <w:rsid w:val="00FE1183"/>
    <w:rsid w:val="00FE1502"/>
    <w:rsid w:val="00FE1643"/>
    <w:rsid w:val="00FE1665"/>
    <w:rsid w:val="00FE1D1C"/>
    <w:rsid w:val="00FE1EA1"/>
    <w:rsid w:val="00FE200B"/>
    <w:rsid w:val="00FE2034"/>
    <w:rsid w:val="00FE20D5"/>
    <w:rsid w:val="00FE243B"/>
    <w:rsid w:val="00FE2A9D"/>
    <w:rsid w:val="00FE2B06"/>
    <w:rsid w:val="00FE3337"/>
    <w:rsid w:val="00FE33B6"/>
    <w:rsid w:val="00FE377B"/>
    <w:rsid w:val="00FE388A"/>
    <w:rsid w:val="00FE3A8B"/>
    <w:rsid w:val="00FE3D82"/>
    <w:rsid w:val="00FE4661"/>
    <w:rsid w:val="00FE47BA"/>
    <w:rsid w:val="00FE48F6"/>
    <w:rsid w:val="00FE4DC8"/>
    <w:rsid w:val="00FE4E1F"/>
    <w:rsid w:val="00FE59CD"/>
    <w:rsid w:val="00FE5E8B"/>
    <w:rsid w:val="00FE5F31"/>
    <w:rsid w:val="00FE661A"/>
    <w:rsid w:val="00FE6E5B"/>
    <w:rsid w:val="00FE728C"/>
    <w:rsid w:val="00FE72C8"/>
    <w:rsid w:val="00FE72E8"/>
    <w:rsid w:val="00FF00B3"/>
    <w:rsid w:val="00FF0550"/>
    <w:rsid w:val="00FF0984"/>
    <w:rsid w:val="00FF0A5B"/>
    <w:rsid w:val="00FF0D43"/>
    <w:rsid w:val="00FF0EEA"/>
    <w:rsid w:val="00FF1447"/>
    <w:rsid w:val="00FF19AE"/>
    <w:rsid w:val="00FF1CC7"/>
    <w:rsid w:val="00FF23CC"/>
    <w:rsid w:val="00FF3283"/>
    <w:rsid w:val="00FF357F"/>
    <w:rsid w:val="00FF36F7"/>
    <w:rsid w:val="00FF3741"/>
    <w:rsid w:val="00FF4093"/>
    <w:rsid w:val="00FF40F3"/>
    <w:rsid w:val="00FF4529"/>
    <w:rsid w:val="00FF4904"/>
    <w:rsid w:val="00FF4EE8"/>
    <w:rsid w:val="00FF517C"/>
    <w:rsid w:val="00FF53C3"/>
    <w:rsid w:val="00FF5A92"/>
    <w:rsid w:val="00FF5EF8"/>
    <w:rsid w:val="00FF6044"/>
    <w:rsid w:val="00FF636F"/>
    <w:rsid w:val="00FF6706"/>
    <w:rsid w:val="00FF68F6"/>
    <w:rsid w:val="00FF69C5"/>
    <w:rsid w:val="00FF6AC7"/>
    <w:rsid w:val="00FF6B60"/>
    <w:rsid w:val="00FF6B6F"/>
    <w:rsid w:val="00FF72EE"/>
    <w:rsid w:val="00FF73B6"/>
    <w:rsid w:val="00FF7449"/>
    <w:rsid w:val="00FF770E"/>
    <w:rsid w:val="00FF7AFF"/>
    <w:rsid w:val="00FF7BE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er" w:uiPriority="9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numPr>
        <w:numId w:val="1"/>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51710"/>
    <w:rPr>
      <w:rFonts w:asciiTheme="minorHAnsi" w:eastAsiaTheme="minorHAnsi" w:hAnsiTheme="minorHAnsi" w:cstheme="minorBidi"/>
      <w:b/>
      <w:bCs/>
      <w:i/>
      <w:iCs/>
      <w:color w:val="4F81BD" w:themeColor="accent1"/>
      <w:sz w:val="22"/>
      <w:szCs w:val="22"/>
      <w:lang w:eastAsia="en-US"/>
    </w:rPr>
  </w:style>
  <w:style w:type="paragraph" w:customStyle="1" w:styleId="8E798F5E7ECE4128986FE3828CA319D2">
    <w:name w:val="8E798F5E7ECE4128986FE3828CA319D2"/>
    <w:rsid w:val="00851710"/>
    <w:pPr>
      <w:spacing w:after="200" w:line="276" w:lineRule="auto"/>
    </w:pPr>
    <w:rPr>
      <w:rFonts w:asciiTheme="minorHAnsi" w:eastAsiaTheme="minorEastAsia" w:hAnsiTheme="minorHAnsi" w:cstheme="minorBidi"/>
      <w:sz w:val="22"/>
      <w:szCs w:val="22"/>
      <w:lang w:val="en-US" w:eastAsia="ja-JP"/>
    </w:rPr>
  </w:style>
  <w:style w:type="character" w:customStyle="1" w:styleId="FootnoteTextChar">
    <w:name w:val="Footnote Text Char"/>
    <w:basedOn w:val="DefaultParagraphFont"/>
    <w:link w:val="FootnoteText"/>
    <w:semiHidden/>
    <w:rsid w:val="008830F3"/>
    <w:rPr>
      <w:rFonts w:ascii="Book Antiqua" w:hAnsi="Book Antiqua"/>
      <w:sz w:val="18"/>
      <w:szCs w:val="24"/>
      <w:lang w:eastAsia="en-US"/>
    </w:rPr>
  </w:style>
  <w:style w:type="character" w:styleId="PlaceholderText">
    <w:name w:val="Placeholder Text"/>
    <w:basedOn w:val="DefaultParagraphFont"/>
    <w:uiPriority w:val="99"/>
    <w:semiHidden/>
    <w:rsid w:val="008830F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toc 4" w:uiPriority="39"/>
    <w:lsdException w:name="footer" w:uiPriority="99"/>
    <w:lsdException w:name="caption" w:qFormat="1"/>
    <w:lsdException w:name="Title" w:uiPriority="10" w:qFormat="1"/>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D87"/>
    <w:pPr>
      <w:spacing w:after="240" w:line="260" w:lineRule="exact"/>
      <w:jc w:val="both"/>
    </w:pPr>
    <w:rPr>
      <w:rFonts w:ascii="Book Antiqua" w:hAnsi="Book Antiqua"/>
      <w:szCs w:val="24"/>
      <w:lang w:eastAsia="en-US"/>
    </w:rPr>
  </w:style>
  <w:style w:type="paragraph" w:styleId="Heading1">
    <w:name w:val="heading 1"/>
    <w:basedOn w:val="Normal"/>
    <w:next w:val="Normal"/>
    <w:qFormat/>
    <w:rsid w:val="004D4273"/>
    <w:pPr>
      <w:keepNext/>
      <w:jc w:val="center"/>
      <w:outlineLvl w:val="0"/>
    </w:pPr>
    <w:rPr>
      <w:rFonts w:ascii="Tahoma" w:hAnsi="Tahoma"/>
      <w:b/>
      <w:smallCaps/>
      <w:kern w:val="28"/>
      <w:sz w:val="34"/>
    </w:rPr>
  </w:style>
  <w:style w:type="paragraph" w:styleId="Heading2">
    <w:name w:val="heading 2"/>
    <w:basedOn w:val="Normal"/>
    <w:next w:val="Normal"/>
    <w:qFormat/>
    <w:rsid w:val="004D4273"/>
    <w:pPr>
      <w:keepNext/>
      <w:spacing w:after="360"/>
      <w:jc w:val="center"/>
      <w:outlineLvl w:val="1"/>
    </w:pPr>
    <w:rPr>
      <w:rFonts w:ascii="Tahoma" w:hAnsi="Tahoma"/>
      <w:sz w:val="30"/>
    </w:rPr>
  </w:style>
  <w:style w:type="paragraph" w:styleId="Heading3">
    <w:name w:val="heading 3"/>
    <w:aliases w:val="Heading 3 Char4,Heading 3 Char3 Char,Heading 3 Char2 Char Char,Head...,Heading 3 Char1 Char Char Char,Heading 3 Char Char Char Char Char,Heading 3 Char Char1 Char Char,Heading 3 Char1 Char1 Char,Heading 3 Char Char Char1 Char"/>
    <w:basedOn w:val="Normal"/>
    <w:next w:val="Normal"/>
    <w:link w:val="Heading3Char"/>
    <w:qFormat/>
    <w:rsid w:val="004D4273"/>
    <w:pPr>
      <w:keepNext/>
      <w:spacing w:before="240"/>
      <w:jc w:val="left"/>
      <w:outlineLvl w:val="2"/>
    </w:pPr>
    <w:rPr>
      <w:rFonts w:ascii="Tahoma" w:hAnsi="Tahoma"/>
      <w:b/>
      <w:smallCaps/>
      <w:sz w:val="26"/>
    </w:rPr>
  </w:style>
  <w:style w:type="paragraph" w:styleId="Heading4">
    <w:name w:val="heading 4"/>
    <w:aliases w:val="Heading 4 Char"/>
    <w:basedOn w:val="Normal"/>
    <w:next w:val="Normal"/>
    <w:link w:val="Heading4Char1"/>
    <w:qFormat/>
    <w:rsid w:val="004D4273"/>
    <w:pPr>
      <w:keepNext/>
      <w:spacing w:before="120"/>
      <w:jc w:val="left"/>
      <w:outlineLvl w:val="3"/>
    </w:pPr>
    <w:rPr>
      <w:rFonts w:ascii="Tahoma" w:hAnsi="Tahoma"/>
      <w:b/>
      <w:sz w:val="22"/>
    </w:rPr>
  </w:style>
  <w:style w:type="paragraph" w:styleId="Heading5">
    <w:name w:val="heading 5"/>
    <w:basedOn w:val="Normal"/>
    <w:next w:val="Normal"/>
    <w:qFormat/>
    <w:rsid w:val="004D4273"/>
    <w:pPr>
      <w:keepNext/>
      <w:spacing w:before="60" w:after="200"/>
      <w:jc w:val="left"/>
      <w:outlineLvl w:val="4"/>
    </w:pPr>
    <w:rPr>
      <w:rFonts w:ascii="Tahoma" w:hAnsi="Tahoma"/>
      <w:b/>
      <w:i/>
    </w:rPr>
  </w:style>
  <w:style w:type="paragraph" w:styleId="Heading6">
    <w:name w:val="heading 6"/>
    <w:basedOn w:val="Normal"/>
    <w:next w:val="Normal"/>
    <w:qFormat/>
    <w:rsid w:val="004D4273"/>
    <w:pPr>
      <w:keepNext/>
      <w:spacing w:after="200"/>
      <w:jc w:val="left"/>
      <w:outlineLvl w:val="5"/>
    </w:pPr>
    <w:rPr>
      <w:rFonts w:ascii="Tahoma" w:hAnsi="Tahoma"/>
      <w:i/>
    </w:rPr>
  </w:style>
  <w:style w:type="paragraph" w:styleId="Heading7">
    <w:name w:val="heading 7"/>
    <w:basedOn w:val="Normal"/>
    <w:next w:val="Normal"/>
    <w:qFormat/>
    <w:rsid w:val="004D4273"/>
    <w:pPr>
      <w:spacing w:after="100"/>
      <w:jc w:val="left"/>
      <w:outlineLvl w:val="6"/>
    </w:pPr>
    <w:rPr>
      <w:rFonts w:ascii="Tahoma" w:hAnsi="Tahoma"/>
      <w:sz w:val="18"/>
    </w:rPr>
  </w:style>
  <w:style w:type="paragraph" w:styleId="Heading8">
    <w:name w:val="heading 8"/>
    <w:basedOn w:val="Normal"/>
    <w:next w:val="Normal"/>
    <w:qFormat/>
    <w:rsid w:val="00A776BC"/>
    <w:pPr>
      <w:spacing w:before="240" w:after="60"/>
      <w:outlineLvl w:val="7"/>
    </w:pPr>
    <w:rPr>
      <w:rFonts w:ascii="Times New Roman" w:hAnsi="Times New Roman"/>
      <w:i/>
      <w:iCs/>
      <w:sz w:val="24"/>
    </w:rPr>
  </w:style>
  <w:style w:type="paragraph" w:styleId="Heading9">
    <w:name w:val="heading 9"/>
    <w:basedOn w:val="Normal"/>
    <w:next w:val="Normal"/>
    <w:qFormat/>
    <w:rsid w:val="00A776B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Heading 3 Char4 Char,Heading 3 Char3 Char Char,Heading 3 Char2 Char Char Char,Head... Char,Heading 3 Char1 Char Char Char Char,Heading 3 Char Char Char Char Char Char,Heading 3 Char Char1 Char Char Char,Heading 3 Char1 Char1 Char Char"/>
    <w:basedOn w:val="DefaultParagraphFont"/>
    <w:link w:val="Heading3"/>
    <w:rsid w:val="004D4273"/>
    <w:rPr>
      <w:rFonts w:ascii="Tahoma" w:hAnsi="Tahoma"/>
      <w:b/>
      <w:smallCaps/>
      <w:color w:val="000000"/>
      <w:sz w:val="26"/>
      <w:lang w:val="en-AU" w:eastAsia="en-AU" w:bidi="ar-SA"/>
    </w:rPr>
  </w:style>
  <w:style w:type="character" w:customStyle="1" w:styleId="Heading4Char1">
    <w:name w:val="Heading 4 Char1"/>
    <w:aliases w:val="Heading 4 Char Char"/>
    <w:basedOn w:val="DefaultParagraphFont"/>
    <w:link w:val="Heading4"/>
    <w:rsid w:val="004D4273"/>
    <w:rPr>
      <w:rFonts w:ascii="Tahoma" w:hAnsi="Tahoma"/>
      <w:b/>
      <w:sz w:val="22"/>
      <w:szCs w:val="24"/>
      <w:lang w:val="en-AU" w:eastAsia="en-US" w:bidi="ar-SA"/>
    </w:rPr>
  </w:style>
  <w:style w:type="paragraph" w:styleId="TOC2">
    <w:name w:val="toc 2"/>
    <w:basedOn w:val="Normal"/>
    <w:next w:val="Normal"/>
    <w:autoRedefine/>
    <w:uiPriority w:val="39"/>
    <w:rsid w:val="004D4273"/>
    <w:pPr>
      <w:tabs>
        <w:tab w:val="right" w:leader="dot" w:pos="7700"/>
      </w:tabs>
      <w:spacing w:before="120" w:after="120"/>
      <w:ind w:right="851"/>
      <w:jc w:val="left"/>
    </w:pPr>
    <w:rPr>
      <w:b/>
      <w:noProof/>
    </w:rPr>
  </w:style>
  <w:style w:type="paragraph" w:styleId="FootnoteText">
    <w:name w:val="footnote text"/>
    <w:basedOn w:val="Normal"/>
    <w:link w:val="FootnoteTextChar"/>
    <w:semiHidden/>
    <w:rsid w:val="004D4273"/>
    <w:pPr>
      <w:tabs>
        <w:tab w:val="left" w:pos="284"/>
      </w:tabs>
      <w:spacing w:after="0"/>
      <w:ind w:left="284" w:hanging="284"/>
    </w:pPr>
    <w:rPr>
      <w:sz w:val="18"/>
    </w:rPr>
  </w:style>
  <w:style w:type="paragraph" w:customStyle="1" w:styleId="ChartHeadingCharCharCharCharCharCharCharCharCharCharCharCharCharCharCharCharCharCharCharCharChar">
    <w:name w:val="Chart Heading Char Char Char Char Char Char Char Char Char Char Char Char Char Char Char Char Char Char Char Char Char"/>
    <w:basedOn w:val="Normal"/>
    <w:next w:val="Chartgraphic"/>
    <w:link w:val="ChartHeadingCharCharCharCharCharCharCharCharCharCharCharCharCharCharCharCharCharCharCharCharCharChar"/>
    <w:rsid w:val="004D4273"/>
    <w:pPr>
      <w:keepNext/>
      <w:spacing w:before="120" w:after="0"/>
      <w:jc w:val="center"/>
    </w:pPr>
    <w:rPr>
      <w:rFonts w:ascii="Tahoma" w:hAnsi="Tahoma"/>
      <w:b/>
    </w:rPr>
  </w:style>
  <w:style w:type="paragraph" w:customStyle="1" w:styleId="Chartgraphic">
    <w:name w:val="Chart graphic"/>
    <w:basedOn w:val="Graphic"/>
    <w:next w:val="Normal"/>
    <w:rsid w:val="004D4273"/>
    <w:pPr>
      <w:spacing w:after="20"/>
      <w:jc w:val="center"/>
    </w:pPr>
  </w:style>
  <w:style w:type="paragraph" w:customStyle="1" w:styleId="Graphic">
    <w:name w:val="Graphic"/>
    <w:basedOn w:val="Normal"/>
    <w:link w:val="GraphicChar"/>
    <w:rsid w:val="004D4273"/>
    <w:pPr>
      <w:spacing w:line="240" w:lineRule="auto"/>
    </w:pPr>
  </w:style>
  <w:style w:type="character" w:customStyle="1" w:styleId="GraphicChar">
    <w:name w:val="Graphic Char"/>
    <w:basedOn w:val="DefaultParagraphFont"/>
    <w:link w:val="Graphic"/>
    <w:rsid w:val="004D4273"/>
    <w:rPr>
      <w:rFonts w:ascii="Book Antiqua" w:hAnsi="Book Antiqua"/>
      <w:szCs w:val="24"/>
      <w:lang w:val="en-AU" w:eastAsia="en-US" w:bidi="ar-SA"/>
    </w:rPr>
  </w:style>
  <w:style w:type="character" w:customStyle="1" w:styleId="ChartHeadingCharCharCharCharCharCharCharCharCharCharCharCharCharCharCharCharCharCharCharCharCharChar">
    <w:name w:val="Chart Heading Char Char Char Char Char Char Char Char Char Char Char Char Char Char Char Char Char Char Char Char Char Char"/>
    <w:basedOn w:val="DefaultParagraphFont"/>
    <w:link w:val="ChartHeadingCharCharCharCharCharCharCharCharCharCharCharCharCharCharCharCharCharCharCharCharChar"/>
    <w:rsid w:val="004D4273"/>
    <w:rPr>
      <w:rFonts w:ascii="Tahoma" w:hAnsi="Tahoma"/>
      <w:b/>
      <w:szCs w:val="24"/>
      <w:lang w:val="en-AU" w:eastAsia="en-US" w:bidi="ar-SA"/>
    </w:rPr>
  </w:style>
  <w:style w:type="paragraph" w:customStyle="1" w:styleId="TableHeadingCharCharCharChar">
    <w:name w:val="Table Heading Char Char Char Char"/>
    <w:basedOn w:val="Normal"/>
    <w:next w:val="TableGraphic"/>
    <w:link w:val="TableHeadingCharCharCharCharChar"/>
    <w:rsid w:val="004D4273"/>
    <w:pPr>
      <w:keepNext/>
      <w:spacing w:before="120" w:after="20"/>
      <w:jc w:val="left"/>
    </w:pPr>
    <w:rPr>
      <w:rFonts w:ascii="Tahoma" w:hAnsi="Tahoma"/>
      <w:b/>
    </w:rPr>
  </w:style>
  <w:style w:type="paragraph" w:customStyle="1" w:styleId="TableGraphic">
    <w:name w:val="TableGraphic"/>
    <w:basedOn w:val="TableHeadingCharCharCharChar"/>
    <w:next w:val="SingleParagraph"/>
    <w:rsid w:val="004D4273"/>
    <w:pPr>
      <w:spacing w:before="0"/>
      <w:ind w:right="-113"/>
    </w:pPr>
  </w:style>
  <w:style w:type="paragraph" w:customStyle="1" w:styleId="SingleParagraph">
    <w:name w:val="SingleParagraph"/>
    <w:basedOn w:val="Normal"/>
    <w:next w:val="Normal"/>
    <w:rsid w:val="004D4273"/>
    <w:pPr>
      <w:spacing w:after="0"/>
    </w:pPr>
  </w:style>
  <w:style w:type="character" w:customStyle="1" w:styleId="TableHeadingCharCharCharCharChar">
    <w:name w:val="Table Heading Char Char Char Char Char"/>
    <w:basedOn w:val="DefaultParagraphFont"/>
    <w:link w:val="TableHeadingCharCharCharChar"/>
    <w:rsid w:val="004D4273"/>
    <w:rPr>
      <w:rFonts w:ascii="Tahoma" w:hAnsi="Tahoma"/>
      <w:b/>
      <w:szCs w:val="24"/>
      <w:lang w:val="en-AU" w:eastAsia="en-US" w:bidi="ar-SA"/>
    </w:rPr>
  </w:style>
  <w:style w:type="paragraph" w:customStyle="1" w:styleId="TableBodyText">
    <w:name w:val="TableBodyText"/>
    <w:basedOn w:val="Normal"/>
    <w:next w:val="Normal"/>
    <w:rsid w:val="004D4273"/>
    <w:pPr>
      <w:spacing w:before="20" w:after="20"/>
      <w:jc w:val="left"/>
    </w:pPr>
    <w:rPr>
      <w:rFonts w:ascii="Tahoma" w:hAnsi="Tahoma"/>
      <w:sz w:val="16"/>
    </w:rPr>
  </w:style>
  <w:style w:type="paragraph" w:customStyle="1" w:styleId="ChartandTableFootnote">
    <w:name w:val="Chart and Table Footnote"/>
    <w:basedOn w:val="Normal"/>
    <w:next w:val="Normal"/>
    <w:rsid w:val="004D4273"/>
    <w:pPr>
      <w:spacing w:after="0"/>
      <w:ind w:left="357" w:hanging="357"/>
    </w:pPr>
    <w:rPr>
      <w:rFonts w:ascii="Arial" w:hAnsi="Arial"/>
      <w:sz w:val="16"/>
    </w:rPr>
  </w:style>
  <w:style w:type="character" w:styleId="FootnoteReference">
    <w:name w:val="footnote reference"/>
    <w:basedOn w:val="DefaultParagraphFont"/>
    <w:semiHidden/>
    <w:rsid w:val="004D4273"/>
    <w:rPr>
      <w:rFonts w:ascii="Book Antiqua" w:hAnsi="Book Antiqua"/>
      <w:noProof w:val="0"/>
      <w:sz w:val="20"/>
      <w:vertAlign w:val="superscript"/>
      <w:lang w:val="en-AU"/>
    </w:rPr>
  </w:style>
  <w:style w:type="paragraph" w:styleId="TOC1">
    <w:name w:val="toc 1"/>
    <w:basedOn w:val="Normal"/>
    <w:next w:val="Normal"/>
    <w:autoRedefine/>
    <w:semiHidden/>
    <w:rsid w:val="004D4273"/>
    <w:pPr>
      <w:tabs>
        <w:tab w:val="right" w:leader="dot" w:pos="8505"/>
      </w:tabs>
      <w:spacing w:before="360" w:after="120"/>
      <w:ind w:right="567"/>
      <w:jc w:val="left"/>
    </w:pPr>
    <w:rPr>
      <w:b/>
      <w:noProof/>
      <w:sz w:val="24"/>
    </w:rPr>
  </w:style>
  <w:style w:type="paragraph" w:styleId="TOC3">
    <w:name w:val="toc 3"/>
    <w:basedOn w:val="Normal"/>
    <w:next w:val="Normal"/>
    <w:autoRedefine/>
    <w:uiPriority w:val="39"/>
    <w:rsid w:val="004D4273"/>
    <w:pPr>
      <w:tabs>
        <w:tab w:val="right" w:leader="dot" w:pos="8505"/>
      </w:tabs>
      <w:ind w:right="567"/>
      <w:jc w:val="left"/>
    </w:pPr>
    <w:rPr>
      <w:b/>
      <w:noProof/>
      <w:sz w:val="24"/>
    </w:rPr>
  </w:style>
  <w:style w:type="paragraph" w:styleId="TOC4">
    <w:name w:val="toc 4"/>
    <w:basedOn w:val="Normal"/>
    <w:next w:val="Normal"/>
    <w:autoRedefine/>
    <w:uiPriority w:val="39"/>
    <w:rsid w:val="004D4273"/>
    <w:pPr>
      <w:tabs>
        <w:tab w:val="left" w:pos="426"/>
        <w:tab w:val="right" w:leader="dot" w:pos="8505"/>
      </w:tabs>
      <w:spacing w:after="120"/>
      <w:ind w:left="425"/>
    </w:pPr>
    <w:rPr>
      <w:i/>
      <w:noProof/>
    </w:rPr>
  </w:style>
  <w:style w:type="paragraph" w:styleId="TOC5">
    <w:name w:val="toc 5"/>
    <w:basedOn w:val="Normal"/>
    <w:next w:val="Normal"/>
    <w:autoRedefine/>
    <w:semiHidden/>
    <w:rsid w:val="004D4273"/>
    <w:pPr>
      <w:tabs>
        <w:tab w:val="left" w:pos="567"/>
        <w:tab w:val="right" w:leader="dot" w:pos="7700"/>
      </w:tabs>
      <w:spacing w:after="0"/>
      <w:ind w:left="958"/>
    </w:pPr>
  </w:style>
  <w:style w:type="paragraph" w:styleId="TOC6">
    <w:name w:val="toc 6"/>
    <w:basedOn w:val="Normal"/>
    <w:next w:val="Normal"/>
    <w:autoRedefine/>
    <w:semiHidden/>
    <w:rsid w:val="004D4273"/>
    <w:pPr>
      <w:ind w:left="1200"/>
    </w:pPr>
  </w:style>
  <w:style w:type="paragraph" w:styleId="TOC7">
    <w:name w:val="toc 7"/>
    <w:basedOn w:val="Normal"/>
    <w:next w:val="Normal"/>
    <w:autoRedefine/>
    <w:semiHidden/>
    <w:rsid w:val="004D4273"/>
    <w:pPr>
      <w:ind w:left="1440"/>
    </w:pPr>
  </w:style>
  <w:style w:type="paragraph" w:styleId="TOC8">
    <w:name w:val="toc 8"/>
    <w:basedOn w:val="Normal"/>
    <w:next w:val="Normal"/>
    <w:autoRedefine/>
    <w:semiHidden/>
    <w:rsid w:val="004D4273"/>
    <w:pPr>
      <w:tabs>
        <w:tab w:val="left" w:pos="851"/>
        <w:tab w:val="right" w:leader="dot" w:pos="7700"/>
      </w:tabs>
      <w:ind w:left="851" w:right="340" w:hanging="851"/>
      <w:jc w:val="left"/>
    </w:pPr>
  </w:style>
  <w:style w:type="paragraph" w:styleId="TOC9">
    <w:name w:val="toc 9"/>
    <w:basedOn w:val="Normal"/>
    <w:next w:val="Normal"/>
    <w:autoRedefine/>
    <w:semiHidden/>
    <w:rsid w:val="004D4273"/>
    <w:pPr>
      <w:ind w:left="1920"/>
    </w:pPr>
  </w:style>
  <w:style w:type="paragraph" w:styleId="Header">
    <w:name w:val="header"/>
    <w:basedOn w:val="Normal"/>
    <w:link w:val="HeaderChar"/>
    <w:rsid w:val="004D4273"/>
    <w:pPr>
      <w:tabs>
        <w:tab w:val="center" w:pos="3856"/>
        <w:tab w:val="right" w:pos="7711"/>
      </w:tabs>
    </w:pPr>
    <w:rPr>
      <w:rFonts w:ascii="Tahoma" w:hAnsi="Tahoma"/>
      <w:sz w:val="18"/>
    </w:rPr>
  </w:style>
  <w:style w:type="character" w:customStyle="1" w:styleId="HeaderChar">
    <w:name w:val="Header Char"/>
    <w:basedOn w:val="DefaultParagraphFont"/>
    <w:link w:val="Header"/>
    <w:uiPriority w:val="99"/>
    <w:rsid w:val="00937399"/>
    <w:rPr>
      <w:rFonts w:ascii="Tahoma" w:hAnsi="Tahoma"/>
      <w:sz w:val="18"/>
      <w:szCs w:val="24"/>
      <w:lang w:eastAsia="en-US"/>
    </w:rPr>
  </w:style>
  <w:style w:type="paragraph" w:styleId="Footer">
    <w:name w:val="footer"/>
    <w:basedOn w:val="Normal"/>
    <w:link w:val="FooterChar"/>
    <w:uiPriority w:val="99"/>
    <w:rsid w:val="004D4273"/>
    <w:pPr>
      <w:spacing w:after="0"/>
    </w:pPr>
    <w:rPr>
      <w:rFonts w:ascii="Tahoma" w:hAnsi="Tahoma"/>
    </w:rPr>
  </w:style>
  <w:style w:type="character" w:customStyle="1" w:styleId="FooterChar">
    <w:name w:val="Footer Char"/>
    <w:basedOn w:val="DefaultParagraphFont"/>
    <w:link w:val="Footer"/>
    <w:uiPriority w:val="99"/>
    <w:rsid w:val="00937399"/>
    <w:rPr>
      <w:rFonts w:ascii="Tahoma" w:hAnsi="Tahoma"/>
      <w:szCs w:val="24"/>
      <w:lang w:eastAsia="en-US"/>
    </w:rPr>
  </w:style>
  <w:style w:type="character" w:styleId="PageNumber">
    <w:name w:val="page number"/>
    <w:basedOn w:val="DefaultParagraphFont"/>
    <w:rsid w:val="004D4273"/>
  </w:style>
  <w:style w:type="paragraph" w:styleId="TableofFigures">
    <w:name w:val="table of figures"/>
    <w:basedOn w:val="Normal"/>
    <w:next w:val="Normal"/>
    <w:semiHidden/>
    <w:rsid w:val="004D4273"/>
    <w:pPr>
      <w:ind w:left="480" w:hanging="480"/>
    </w:pPr>
  </w:style>
  <w:style w:type="paragraph" w:customStyle="1" w:styleId="BoxHeading">
    <w:name w:val="Box Heading"/>
    <w:basedOn w:val="Heading3"/>
    <w:next w:val="Normal"/>
    <w:rsid w:val="004D4273"/>
    <w:pPr>
      <w:outlineLvl w:val="9"/>
    </w:pPr>
    <w:rPr>
      <w:smallCaps w:val="0"/>
      <w:sz w:val="20"/>
    </w:rPr>
  </w:style>
  <w:style w:type="paragraph" w:customStyle="1" w:styleId="TableBodyTextIndented">
    <w:name w:val="TableBodyTextIndented"/>
    <w:basedOn w:val="TableBodyText"/>
    <w:next w:val="TableBodyText"/>
    <w:rsid w:val="004D4273"/>
    <w:pPr>
      <w:ind w:left="284"/>
    </w:pPr>
    <w:rPr>
      <w:snapToGrid w:val="0"/>
    </w:rPr>
  </w:style>
  <w:style w:type="paragraph" w:customStyle="1" w:styleId="PartHeading">
    <w:name w:val="PartHeading"/>
    <w:basedOn w:val="Normal"/>
    <w:rsid w:val="004D4273"/>
    <w:pPr>
      <w:tabs>
        <w:tab w:val="right" w:pos="7088"/>
      </w:tabs>
      <w:jc w:val="center"/>
    </w:pPr>
    <w:rPr>
      <w:rFonts w:ascii="Tahoma" w:hAnsi="Tahoma"/>
      <w:b/>
      <w:sz w:val="36"/>
    </w:rPr>
  </w:style>
  <w:style w:type="paragraph" w:customStyle="1" w:styleId="ChartSecondHeading">
    <w:name w:val="Chart Second Heading"/>
    <w:basedOn w:val="ChartHeadingCharCharCharCharCharCharCharCharCharCharCharCharCharCharCharCharCharCharCharCharChar"/>
    <w:next w:val="Normal"/>
    <w:rsid w:val="004D4273"/>
    <w:rPr>
      <w:sz w:val="18"/>
    </w:rPr>
  </w:style>
  <w:style w:type="paragraph" w:customStyle="1" w:styleId="TableBodyTextHeading">
    <w:name w:val="TableBodyTextHeading"/>
    <w:basedOn w:val="TableBodyText"/>
    <w:rsid w:val="004D4273"/>
    <w:pPr>
      <w:spacing w:before="0" w:after="0"/>
    </w:pPr>
  </w:style>
  <w:style w:type="paragraph" w:styleId="Index1">
    <w:name w:val="index 1"/>
    <w:basedOn w:val="Normal"/>
    <w:next w:val="Normal"/>
    <w:autoRedefine/>
    <w:semiHidden/>
    <w:rsid w:val="004D4273"/>
    <w:pPr>
      <w:spacing w:after="0"/>
      <w:ind w:left="198" w:hanging="198"/>
      <w:jc w:val="left"/>
    </w:pPr>
    <w:rPr>
      <w:sz w:val="18"/>
    </w:rPr>
  </w:style>
  <w:style w:type="paragraph" w:customStyle="1" w:styleId="MeasureHeading4">
    <w:name w:val="Measure Heading 4"/>
    <w:basedOn w:val="Heading4"/>
    <w:rsid w:val="004D4273"/>
    <w:rPr>
      <w:lang w:val="en-US"/>
    </w:rPr>
  </w:style>
  <w:style w:type="paragraph" w:customStyle="1" w:styleId="ContentsSecondHeading">
    <w:name w:val="Contents Second Heading"/>
    <w:basedOn w:val="Normal"/>
    <w:next w:val="Normal"/>
    <w:rsid w:val="004D4273"/>
    <w:pPr>
      <w:jc w:val="center"/>
    </w:pPr>
    <w:rPr>
      <w:rFonts w:ascii="Tahoma" w:hAnsi="Tahoma"/>
      <w:sz w:val="30"/>
    </w:rPr>
  </w:style>
  <w:style w:type="paragraph" w:customStyle="1" w:styleId="Bullet">
    <w:name w:val="Bullet"/>
    <w:aliases w:val="b,b1,b + line"/>
    <w:basedOn w:val="Normal"/>
    <w:link w:val="BulletChar"/>
    <w:qFormat/>
    <w:rsid w:val="004D4273"/>
    <w:pPr>
      <w:numPr>
        <w:numId w:val="1"/>
      </w:numPr>
    </w:pPr>
  </w:style>
  <w:style w:type="character" w:customStyle="1" w:styleId="BulletChar">
    <w:name w:val="Bullet Char"/>
    <w:aliases w:val="b Char,b + line Char Char,b Char Char"/>
    <w:basedOn w:val="DefaultParagraphFont"/>
    <w:link w:val="Bullet"/>
    <w:rsid w:val="004D4273"/>
    <w:rPr>
      <w:rFonts w:ascii="Book Antiqua" w:hAnsi="Book Antiqua"/>
      <w:szCs w:val="24"/>
      <w:lang w:eastAsia="en-US"/>
    </w:rPr>
  </w:style>
  <w:style w:type="paragraph" w:customStyle="1" w:styleId="Dash">
    <w:name w:val="Dash"/>
    <w:basedOn w:val="Normal"/>
    <w:rsid w:val="004D4273"/>
    <w:pPr>
      <w:numPr>
        <w:ilvl w:val="1"/>
        <w:numId w:val="1"/>
      </w:numPr>
    </w:pPr>
  </w:style>
  <w:style w:type="paragraph" w:customStyle="1" w:styleId="DoubleDot0">
    <w:name w:val="DoubleDot"/>
    <w:basedOn w:val="Normal"/>
    <w:rsid w:val="004D4273"/>
    <w:pPr>
      <w:ind w:left="850" w:hanging="283"/>
    </w:pPr>
  </w:style>
  <w:style w:type="paragraph" w:customStyle="1" w:styleId="StatementContentsHeading">
    <w:name w:val="StatementContentsHeading"/>
    <w:basedOn w:val="Heading1"/>
    <w:next w:val="Normal"/>
    <w:rsid w:val="004D4273"/>
  </w:style>
  <w:style w:type="paragraph" w:customStyle="1" w:styleId="Tableheadingcontinued">
    <w:name w:val="Table heading continued"/>
    <w:basedOn w:val="Normal"/>
    <w:next w:val="TableGraphic"/>
    <w:rsid w:val="004D4273"/>
    <w:pPr>
      <w:spacing w:before="120" w:after="20"/>
    </w:pPr>
    <w:rPr>
      <w:rFonts w:ascii="Tahoma" w:hAnsi="Tahoma"/>
      <w:b/>
    </w:rPr>
  </w:style>
  <w:style w:type="paragraph" w:styleId="Index2">
    <w:name w:val="index 2"/>
    <w:basedOn w:val="Normal"/>
    <w:next w:val="Normal"/>
    <w:autoRedefine/>
    <w:semiHidden/>
    <w:rsid w:val="004D4273"/>
    <w:pPr>
      <w:spacing w:after="0"/>
      <w:ind w:left="396" w:hanging="198"/>
      <w:jc w:val="left"/>
    </w:pPr>
    <w:rPr>
      <w:sz w:val="18"/>
    </w:rPr>
  </w:style>
  <w:style w:type="paragraph" w:styleId="Index3">
    <w:name w:val="index 3"/>
    <w:basedOn w:val="Normal"/>
    <w:next w:val="Normal"/>
    <w:autoRedefine/>
    <w:semiHidden/>
    <w:rsid w:val="004D4273"/>
    <w:pPr>
      <w:spacing w:after="0"/>
      <w:ind w:left="601" w:hanging="198"/>
      <w:jc w:val="left"/>
    </w:pPr>
    <w:rPr>
      <w:rFonts w:ascii="Times New Roman" w:hAnsi="Times New Roman"/>
      <w:sz w:val="18"/>
    </w:rPr>
  </w:style>
  <w:style w:type="paragraph" w:styleId="Index4">
    <w:name w:val="index 4"/>
    <w:basedOn w:val="Normal"/>
    <w:next w:val="Normal"/>
    <w:autoRedefine/>
    <w:semiHidden/>
    <w:rsid w:val="004D4273"/>
    <w:pPr>
      <w:spacing w:after="0"/>
      <w:ind w:left="800" w:hanging="200"/>
      <w:jc w:val="left"/>
    </w:pPr>
    <w:rPr>
      <w:rFonts w:ascii="Times New Roman" w:hAnsi="Times New Roman"/>
      <w:sz w:val="18"/>
    </w:rPr>
  </w:style>
  <w:style w:type="paragraph" w:styleId="Index5">
    <w:name w:val="index 5"/>
    <w:basedOn w:val="Normal"/>
    <w:next w:val="Normal"/>
    <w:autoRedefine/>
    <w:semiHidden/>
    <w:rsid w:val="004D4273"/>
    <w:pPr>
      <w:spacing w:after="0"/>
      <w:ind w:left="1000" w:hanging="200"/>
      <w:jc w:val="left"/>
    </w:pPr>
    <w:rPr>
      <w:rFonts w:ascii="Times New Roman" w:hAnsi="Times New Roman"/>
      <w:sz w:val="18"/>
    </w:rPr>
  </w:style>
  <w:style w:type="paragraph" w:styleId="Index6">
    <w:name w:val="index 6"/>
    <w:basedOn w:val="Normal"/>
    <w:next w:val="Normal"/>
    <w:autoRedefine/>
    <w:semiHidden/>
    <w:rsid w:val="004D4273"/>
    <w:pPr>
      <w:spacing w:after="0"/>
      <w:ind w:left="1200" w:hanging="200"/>
      <w:jc w:val="left"/>
    </w:pPr>
    <w:rPr>
      <w:rFonts w:ascii="Times New Roman" w:hAnsi="Times New Roman"/>
      <w:sz w:val="18"/>
    </w:rPr>
  </w:style>
  <w:style w:type="paragraph" w:styleId="Index7">
    <w:name w:val="index 7"/>
    <w:basedOn w:val="Normal"/>
    <w:next w:val="Normal"/>
    <w:autoRedefine/>
    <w:semiHidden/>
    <w:rsid w:val="004D4273"/>
    <w:pPr>
      <w:spacing w:after="0"/>
      <w:ind w:left="1400" w:hanging="200"/>
      <w:jc w:val="left"/>
    </w:pPr>
    <w:rPr>
      <w:rFonts w:ascii="Times New Roman" w:hAnsi="Times New Roman"/>
      <w:sz w:val="18"/>
    </w:rPr>
  </w:style>
  <w:style w:type="paragraph" w:styleId="Index8">
    <w:name w:val="index 8"/>
    <w:basedOn w:val="Normal"/>
    <w:next w:val="Normal"/>
    <w:autoRedefine/>
    <w:semiHidden/>
    <w:rsid w:val="004D4273"/>
    <w:pPr>
      <w:spacing w:after="0"/>
      <w:ind w:left="1600" w:hanging="200"/>
      <w:jc w:val="left"/>
    </w:pPr>
    <w:rPr>
      <w:rFonts w:ascii="Times New Roman" w:hAnsi="Times New Roman"/>
      <w:sz w:val="18"/>
    </w:rPr>
  </w:style>
  <w:style w:type="paragraph" w:styleId="Index9">
    <w:name w:val="index 9"/>
    <w:basedOn w:val="Normal"/>
    <w:next w:val="Normal"/>
    <w:autoRedefine/>
    <w:semiHidden/>
    <w:rsid w:val="004D4273"/>
    <w:pPr>
      <w:spacing w:after="0"/>
      <w:ind w:left="1800" w:hanging="200"/>
      <w:jc w:val="left"/>
    </w:pPr>
    <w:rPr>
      <w:rFonts w:ascii="Times New Roman" w:hAnsi="Times New Roman"/>
      <w:sz w:val="18"/>
    </w:rPr>
  </w:style>
  <w:style w:type="paragraph" w:styleId="IndexHeading">
    <w:name w:val="index heading"/>
    <w:basedOn w:val="Normal"/>
    <w:next w:val="Index1"/>
    <w:semiHidden/>
    <w:rsid w:val="004D4273"/>
    <w:pPr>
      <w:spacing w:before="240" w:after="120"/>
      <w:jc w:val="center"/>
    </w:pPr>
    <w:rPr>
      <w:rFonts w:ascii="Tahoma" w:hAnsi="Tahoma"/>
      <w:b/>
      <w:sz w:val="24"/>
    </w:rPr>
  </w:style>
  <w:style w:type="paragraph" w:customStyle="1" w:styleId="MeasureTableText">
    <w:name w:val="MeasureTableText"/>
    <w:basedOn w:val="Normal"/>
    <w:rsid w:val="004D4273"/>
    <w:pPr>
      <w:spacing w:before="60" w:after="60"/>
      <w:jc w:val="left"/>
    </w:pPr>
    <w:rPr>
      <w:rFonts w:ascii="Tahoma" w:hAnsi="Tahoma"/>
      <w:sz w:val="16"/>
      <w:lang w:val="en-US"/>
    </w:rPr>
  </w:style>
  <w:style w:type="paragraph" w:customStyle="1" w:styleId="ContentsHeading">
    <w:name w:val="ContentsHeading"/>
    <w:basedOn w:val="Normal"/>
    <w:next w:val="Normal"/>
    <w:rsid w:val="004D4273"/>
    <w:pPr>
      <w:jc w:val="center"/>
    </w:pPr>
    <w:rPr>
      <w:rFonts w:ascii="Tahoma" w:hAnsi="Tahoma"/>
      <w:sz w:val="30"/>
      <w:lang w:val="en-US"/>
    </w:rPr>
  </w:style>
  <w:style w:type="paragraph" w:customStyle="1" w:styleId="Introtext">
    <w:name w:val="Intro text"/>
    <w:basedOn w:val="Normal"/>
    <w:next w:val="Normal"/>
    <w:rsid w:val="004D4273"/>
    <w:pPr>
      <w:spacing w:line="280" w:lineRule="exact"/>
    </w:pPr>
    <w:rPr>
      <w:i/>
      <w:sz w:val="22"/>
    </w:rPr>
  </w:style>
  <w:style w:type="paragraph" w:customStyle="1" w:styleId="Bullet-Introtext">
    <w:name w:val="Bullet - Intro text"/>
    <w:basedOn w:val="Bullet"/>
    <w:rsid w:val="004D4273"/>
    <w:rPr>
      <w:i/>
      <w:sz w:val="22"/>
    </w:rPr>
  </w:style>
  <w:style w:type="paragraph" w:customStyle="1" w:styleId="Classification">
    <w:name w:val="Classification"/>
    <w:basedOn w:val="Normal"/>
    <w:rsid w:val="004D4273"/>
    <w:pPr>
      <w:tabs>
        <w:tab w:val="center" w:pos="3856"/>
      </w:tabs>
      <w:spacing w:after="0"/>
      <w:jc w:val="center"/>
    </w:pPr>
    <w:rPr>
      <w:rFonts w:ascii="Tahoma" w:hAnsi="Tahoma"/>
      <w:b/>
      <w:smallCaps/>
      <w:sz w:val="22"/>
    </w:rPr>
  </w:style>
  <w:style w:type="paragraph" w:customStyle="1" w:styleId="FileProperties">
    <w:name w:val="File Properties"/>
    <w:basedOn w:val="Normal"/>
    <w:rsid w:val="004D4273"/>
    <w:pPr>
      <w:tabs>
        <w:tab w:val="center" w:pos="3856"/>
      </w:tabs>
    </w:pPr>
    <w:rPr>
      <w:i/>
    </w:rPr>
  </w:style>
  <w:style w:type="character" w:customStyle="1" w:styleId="FramedHeader">
    <w:name w:val="Framed Header"/>
    <w:basedOn w:val="DefaultParagraphFont"/>
    <w:rsid w:val="004D4273"/>
    <w:rPr>
      <w:rFonts w:ascii="Tahoma" w:hAnsi="Tahoma"/>
      <w:dstrike w:val="0"/>
      <w:color w:val="auto"/>
      <w:sz w:val="20"/>
      <w:vertAlign w:val="baseline"/>
    </w:rPr>
  </w:style>
  <w:style w:type="paragraph" w:customStyle="1" w:styleId="ChartandTableFootnoteAlpha">
    <w:name w:val="Chart and Table Footnote Alpha"/>
    <w:basedOn w:val="ChartandTableFootnote"/>
    <w:rsid w:val="004D4273"/>
    <w:pPr>
      <w:tabs>
        <w:tab w:val="num" w:pos="283"/>
      </w:tabs>
      <w:ind w:left="283" w:hanging="283"/>
    </w:pPr>
    <w:rPr>
      <w:rFonts w:cs="Arial"/>
    </w:rPr>
  </w:style>
  <w:style w:type="paragraph" w:customStyle="1" w:styleId="ChartGraphic0">
    <w:name w:val="Chart Graphic"/>
    <w:basedOn w:val="Normal"/>
    <w:next w:val="Normal"/>
    <w:rsid w:val="004D4273"/>
    <w:pPr>
      <w:spacing w:after="0" w:line="240" w:lineRule="auto"/>
      <w:jc w:val="center"/>
    </w:pPr>
    <w:rPr>
      <w:rFonts w:ascii="Arial" w:hAnsi="Arial" w:cs="Arial"/>
      <w:color w:val="000000"/>
    </w:rPr>
  </w:style>
  <w:style w:type="paragraph" w:customStyle="1" w:styleId="SingleParagraph0">
    <w:name w:val="Single Paragraph"/>
    <w:basedOn w:val="Normal"/>
    <w:next w:val="Normal"/>
    <w:rsid w:val="004D4273"/>
    <w:pPr>
      <w:spacing w:after="0"/>
    </w:pPr>
  </w:style>
  <w:style w:type="paragraph" w:styleId="Title">
    <w:name w:val="Title"/>
    <w:basedOn w:val="Normal"/>
    <w:link w:val="TitleChar"/>
    <w:uiPriority w:val="10"/>
    <w:qFormat/>
    <w:rsid w:val="004D4273"/>
    <w:pPr>
      <w:spacing w:line="240" w:lineRule="auto"/>
      <w:jc w:val="center"/>
    </w:pPr>
    <w:rPr>
      <w:rFonts w:ascii="Tahoma" w:hAnsi="Tahoma"/>
      <w:smallCaps/>
      <w:color w:val="000000"/>
      <w:sz w:val="34"/>
      <w:szCs w:val="20"/>
    </w:rPr>
  </w:style>
  <w:style w:type="character" w:styleId="Hyperlink">
    <w:name w:val="Hyperlink"/>
    <w:basedOn w:val="DefaultParagraphFont"/>
    <w:uiPriority w:val="99"/>
    <w:rsid w:val="004D4273"/>
    <w:rPr>
      <w:color w:val="0000FF"/>
      <w:u w:val="single"/>
    </w:rPr>
  </w:style>
  <w:style w:type="paragraph" w:customStyle="1" w:styleId="ChartHeading">
    <w:name w:val="Chart Heading"/>
    <w:basedOn w:val="Normal"/>
    <w:next w:val="Chartgraphic"/>
    <w:link w:val="ChartHeadingChar"/>
    <w:rsid w:val="004D4273"/>
    <w:pPr>
      <w:keepNext/>
      <w:spacing w:before="120" w:after="0"/>
      <w:jc w:val="center"/>
    </w:pPr>
    <w:rPr>
      <w:rFonts w:ascii="Tahoma" w:hAnsi="Tahoma"/>
      <w:b/>
    </w:rPr>
  </w:style>
  <w:style w:type="character" w:customStyle="1" w:styleId="ChartHeadingChar">
    <w:name w:val="Chart Heading Char"/>
    <w:basedOn w:val="DefaultParagraphFont"/>
    <w:link w:val="ChartHeading"/>
    <w:rsid w:val="004D4273"/>
    <w:rPr>
      <w:rFonts w:ascii="Tahoma" w:hAnsi="Tahoma"/>
      <w:b/>
      <w:szCs w:val="24"/>
      <w:lang w:val="en-AU" w:eastAsia="en-US" w:bidi="ar-SA"/>
    </w:rPr>
  </w:style>
  <w:style w:type="paragraph" w:styleId="BalloonText">
    <w:name w:val="Balloon Text"/>
    <w:basedOn w:val="Normal"/>
    <w:semiHidden/>
    <w:rsid w:val="004D4273"/>
    <w:rPr>
      <w:rFonts w:ascii="Tahoma" w:hAnsi="Tahoma" w:cs="Tahoma"/>
      <w:sz w:val="16"/>
      <w:szCs w:val="16"/>
    </w:rPr>
  </w:style>
  <w:style w:type="paragraph" w:customStyle="1" w:styleId="DoubleDot">
    <w:name w:val="Double Dot"/>
    <w:basedOn w:val="Normal"/>
    <w:rsid w:val="004D4273"/>
    <w:pPr>
      <w:numPr>
        <w:ilvl w:val="2"/>
        <w:numId w:val="1"/>
      </w:numPr>
    </w:pPr>
  </w:style>
  <w:style w:type="paragraph" w:customStyle="1" w:styleId="bullet0">
    <w:name w:val="bullet"/>
    <w:basedOn w:val="Normal"/>
    <w:rsid w:val="004D4273"/>
    <w:pPr>
      <w:tabs>
        <w:tab w:val="num" w:pos="567"/>
      </w:tabs>
      <w:spacing w:line="240" w:lineRule="auto"/>
      <w:jc w:val="left"/>
    </w:pPr>
    <w:rPr>
      <w:rFonts w:ascii="Arial" w:hAnsi="Arial" w:cs="Arial"/>
      <w:color w:val="000080"/>
      <w:szCs w:val="20"/>
      <w:lang w:eastAsia="en-AU"/>
    </w:rPr>
  </w:style>
  <w:style w:type="paragraph" w:customStyle="1" w:styleId="dash0">
    <w:name w:val="dash"/>
    <w:basedOn w:val="Normal"/>
    <w:rsid w:val="004D4273"/>
    <w:pPr>
      <w:tabs>
        <w:tab w:val="num" w:pos="567"/>
      </w:tabs>
      <w:spacing w:line="240" w:lineRule="auto"/>
      <w:jc w:val="left"/>
    </w:pPr>
    <w:rPr>
      <w:rFonts w:ascii="Arial" w:hAnsi="Arial" w:cs="Arial"/>
      <w:color w:val="000080"/>
      <w:szCs w:val="20"/>
      <w:lang w:eastAsia="en-AU"/>
    </w:rPr>
  </w:style>
  <w:style w:type="character" w:customStyle="1" w:styleId="ChartHeadingChar1">
    <w:name w:val="Chart Heading Char1"/>
    <w:basedOn w:val="DefaultParagraphFont"/>
    <w:rsid w:val="004D4273"/>
    <w:rPr>
      <w:rFonts w:ascii="Tahoma" w:hAnsi="Tahoma"/>
      <w:b/>
      <w:szCs w:val="24"/>
      <w:lang w:val="en-AU" w:eastAsia="en-US" w:bidi="ar-SA"/>
    </w:rPr>
  </w:style>
  <w:style w:type="paragraph" w:customStyle="1" w:styleId="TableHeadingCharChar">
    <w:name w:val="Table Heading Char Char"/>
    <w:basedOn w:val="Normal"/>
    <w:next w:val="Normal"/>
    <w:link w:val="TableHeadingCharCharChar"/>
    <w:rsid w:val="004D4273"/>
    <w:pPr>
      <w:keepNext/>
      <w:spacing w:before="120" w:after="20"/>
      <w:jc w:val="left"/>
    </w:pPr>
    <w:rPr>
      <w:rFonts w:ascii="Tahoma" w:hAnsi="Tahoma"/>
      <w:b/>
    </w:rPr>
  </w:style>
  <w:style w:type="character" w:customStyle="1" w:styleId="TableHeadingCharCharChar">
    <w:name w:val="Table Heading Char Char Char"/>
    <w:basedOn w:val="DefaultParagraphFont"/>
    <w:link w:val="TableHeadingCharChar"/>
    <w:rsid w:val="004D4273"/>
    <w:rPr>
      <w:rFonts w:ascii="Tahoma" w:hAnsi="Tahoma"/>
      <w:b/>
      <w:szCs w:val="24"/>
      <w:lang w:val="en-AU" w:eastAsia="en-US" w:bidi="ar-SA"/>
    </w:rPr>
  </w:style>
  <w:style w:type="character" w:customStyle="1" w:styleId="Heading3Char2">
    <w:name w:val="Heading 3 Char2"/>
    <w:aliases w:val="Heading 3 Char1 Char,Heading 3 Char Char Char,Heading 3 Char Char1"/>
    <w:basedOn w:val="DefaultParagraphFont"/>
    <w:rsid w:val="004D4273"/>
    <w:rPr>
      <w:rFonts w:ascii="Tahoma" w:hAnsi="Tahoma"/>
      <w:b/>
      <w:smallCaps/>
      <w:color w:val="000000"/>
      <w:sz w:val="26"/>
      <w:szCs w:val="24"/>
      <w:lang w:val="en-AU" w:eastAsia="en-AU" w:bidi="ar-SA"/>
    </w:rPr>
  </w:style>
  <w:style w:type="paragraph" w:customStyle="1" w:styleId="NumberedParagraph">
    <w:name w:val="Numbered Paragraph"/>
    <w:basedOn w:val="Normal"/>
    <w:rsid w:val="004D4273"/>
    <w:pPr>
      <w:tabs>
        <w:tab w:val="num" w:pos="567"/>
      </w:tabs>
      <w:spacing w:line="240" w:lineRule="auto"/>
      <w:jc w:val="left"/>
    </w:pPr>
    <w:rPr>
      <w:rFonts w:ascii="Times New Roman" w:hAnsi="Times New Roman"/>
      <w:sz w:val="24"/>
      <w:szCs w:val="20"/>
      <w:lang w:eastAsia="en-AU"/>
    </w:rPr>
  </w:style>
  <w:style w:type="table" w:styleId="TableGrid">
    <w:name w:val="Table Grid"/>
    <w:basedOn w:val="TableNormal"/>
    <w:uiPriority w:val="59"/>
    <w:rsid w:val="004D4273"/>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215D4"/>
    <w:pPr>
      <w:spacing w:after="160" w:line="240" w:lineRule="exact"/>
      <w:jc w:val="left"/>
    </w:pPr>
    <w:rPr>
      <w:rFonts w:ascii="Verdana" w:hAnsi="Verdana"/>
      <w:lang w:val="en-US"/>
    </w:rPr>
  </w:style>
  <w:style w:type="paragraph" w:customStyle="1" w:styleId="CharCharCharCharCharChar">
    <w:name w:val="Char Char Char Char Char Char"/>
    <w:basedOn w:val="Normal"/>
    <w:rsid w:val="00FB7BFF"/>
    <w:pPr>
      <w:spacing w:after="160" w:line="240" w:lineRule="exact"/>
      <w:jc w:val="left"/>
    </w:pPr>
    <w:rPr>
      <w:rFonts w:ascii="Verdana" w:hAnsi="Verdana" w:cs="Verdana"/>
      <w:szCs w:val="20"/>
      <w:lang w:val="en-US"/>
    </w:rPr>
  </w:style>
  <w:style w:type="character" w:styleId="FollowedHyperlink">
    <w:name w:val="FollowedHyperlink"/>
    <w:basedOn w:val="DefaultParagraphFont"/>
    <w:uiPriority w:val="99"/>
    <w:rsid w:val="00E163D6"/>
    <w:rPr>
      <w:color w:val="800080"/>
      <w:u w:val="single"/>
    </w:rPr>
  </w:style>
  <w:style w:type="character" w:styleId="CommentReference">
    <w:name w:val="annotation reference"/>
    <w:basedOn w:val="DefaultParagraphFont"/>
    <w:semiHidden/>
    <w:rsid w:val="00BF64D4"/>
    <w:rPr>
      <w:sz w:val="16"/>
      <w:szCs w:val="16"/>
    </w:rPr>
  </w:style>
  <w:style w:type="character" w:styleId="HTMLVariable">
    <w:name w:val="HTML Variable"/>
    <w:basedOn w:val="DefaultParagraphFont"/>
    <w:rsid w:val="00C65AE5"/>
    <w:rPr>
      <w:i/>
      <w:iCs/>
    </w:rPr>
  </w:style>
  <w:style w:type="paragraph" w:styleId="CommentText">
    <w:name w:val="annotation text"/>
    <w:basedOn w:val="Normal"/>
    <w:semiHidden/>
    <w:rsid w:val="00BF64D4"/>
    <w:rPr>
      <w:szCs w:val="20"/>
    </w:rPr>
  </w:style>
  <w:style w:type="paragraph" w:styleId="CommentSubject">
    <w:name w:val="annotation subject"/>
    <w:basedOn w:val="CommentText"/>
    <w:next w:val="CommentText"/>
    <w:semiHidden/>
    <w:rsid w:val="00BF64D4"/>
    <w:rPr>
      <w:b/>
      <w:bCs/>
    </w:rPr>
  </w:style>
  <w:style w:type="paragraph" w:styleId="DocumentMap">
    <w:name w:val="Document Map"/>
    <w:basedOn w:val="Normal"/>
    <w:semiHidden/>
    <w:rsid w:val="001E16CF"/>
    <w:pPr>
      <w:shd w:val="clear" w:color="auto" w:fill="000080"/>
    </w:pPr>
    <w:rPr>
      <w:rFonts w:ascii="Tahoma" w:hAnsi="Tahoma" w:cs="Tahoma"/>
      <w:szCs w:val="20"/>
    </w:rPr>
  </w:style>
  <w:style w:type="paragraph" w:customStyle="1" w:styleId="CharCharChar">
    <w:name w:val="Char Char Char"/>
    <w:basedOn w:val="Normal"/>
    <w:rsid w:val="00645A33"/>
    <w:pPr>
      <w:spacing w:after="160" w:line="240" w:lineRule="exact"/>
      <w:jc w:val="left"/>
    </w:pPr>
    <w:rPr>
      <w:rFonts w:ascii="Verdana" w:hAnsi="Verdana"/>
      <w:lang w:val="en-US"/>
    </w:rPr>
  </w:style>
  <w:style w:type="paragraph" w:customStyle="1" w:styleId="Normal8pt">
    <w:name w:val="Normal + 8 pt"/>
    <w:basedOn w:val="Normal"/>
    <w:rsid w:val="00604C18"/>
    <w:pPr>
      <w:spacing w:after="0" w:line="240" w:lineRule="auto"/>
      <w:ind w:right="-142"/>
      <w:jc w:val="left"/>
    </w:pPr>
    <w:rPr>
      <w:sz w:val="16"/>
      <w:szCs w:val="16"/>
    </w:rPr>
  </w:style>
  <w:style w:type="paragraph" w:customStyle="1" w:styleId="Char">
    <w:name w:val="Char"/>
    <w:basedOn w:val="Normal"/>
    <w:rsid w:val="00352F3C"/>
    <w:pPr>
      <w:spacing w:after="160" w:line="240" w:lineRule="exact"/>
      <w:jc w:val="left"/>
    </w:pPr>
    <w:rPr>
      <w:rFonts w:ascii="Verdana" w:hAnsi="Verdana"/>
      <w:lang w:val="en-US"/>
    </w:rPr>
  </w:style>
  <w:style w:type="paragraph" w:styleId="Caption">
    <w:name w:val="caption"/>
    <w:basedOn w:val="Normal"/>
    <w:next w:val="Normal"/>
    <w:qFormat/>
    <w:rsid w:val="009C2625"/>
    <w:rPr>
      <w:b/>
      <w:bCs/>
      <w:szCs w:val="20"/>
    </w:rPr>
  </w:style>
  <w:style w:type="character" w:customStyle="1" w:styleId="EmailStyle1021">
    <w:name w:val="EmailStyle1021"/>
    <w:basedOn w:val="DefaultParagraphFont"/>
    <w:semiHidden/>
    <w:rsid w:val="007C65A0"/>
    <w:rPr>
      <w:rFonts w:ascii="Arial" w:hAnsi="Arial" w:cs="Arial"/>
      <w:color w:val="auto"/>
      <w:sz w:val="20"/>
      <w:szCs w:val="20"/>
    </w:rPr>
  </w:style>
  <w:style w:type="character" w:customStyle="1" w:styleId="EmailStyle1031">
    <w:name w:val="EmailStyle1031"/>
    <w:basedOn w:val="DefaultParagraphFont"/>
    <w:semiHidden/>
    <w:rsid w:val="007F1FF2"/>
    <w:rPr>
      <w:rFonts w:ascii="Arial" w:hAnsi="Arial" w:cs="Arial"/>
      <w:color w:val="000080"/>
      <w:sz w:val="20"/>
      <w:szCs w:val="20"/>
    </w:rPr>
  </w:style>
  <w:style w:type="character" w:customStyle="1" w:styleId="EmailStyle1041">
    <w:name w:val="EmailStyle1041"/>
    <w:basedOn w:val="DefaultParagraphFont"/>
    <w:semiHidden/>
    <w:rsid w:val="00DF43FF"/>
    <w:rPr>
      <w:rFonts w:ascii="Arial" w:hAnsi="Arial" w:cs="Arial" w:hint="default"/>
      <w:color w:val="auto"/>
      <w:sz w:val="20"/>
      <w:szCs w:val="20"/>
    </w:rPr>
  </w:style>
  <w:style w:type="paragraph" w:styleId="Revision">
    <w:name w:val="Revision"/>
    <w:hidden/>
    <w:uiPriority w:val="99"/>
    <w:semiHidden/>
    <w:rsid w:val="00A83E41"/>
    <w:rPr>
      <w:rFonts w:ascii="Book Antiqua" w:hAnsi="Book Antiqua"/>
      <w:szCs w:val="24"/>
      <w:lang w:eastAsia="en-US"/>
    </w:rPr>
  </w:style>
  <w:style w:type="paragraph" w:styleId="NormalWeb">
    <w:name w:val="Normal (Web)"/>
    <w:basedOn w:val="Normal"/>
    <w:uiPriority w:val="99"/>
    <w:rsid w:val="0054427E"/>
    <w:pPr>
      <w:spacing w:before="100" w:beforeAutospacing="1" w:after="100" w:afterAutospacing="1" w:line="240" w:lineRule="auto"/>
      <w:jc w:val="left"/>
    </w:pPr>
    <w:rPr>
      <w:rFonts w:ascii="Times New Roman" w:eastAsia="Times New Roman" w:hAnsi="Times New Roman"/>
      <w:sz w:val="24"/>
      <w:lang w:eastAsia="en-AU"/>
    </w:rPr>
  </w:style>
  <w:style w:type="paragraph" w:styleId="NoSpacing">
    <w:name w:val="No Spacing"/>
    <w:uiPriority w:val="1"/>
    <w:qFormat/>
    <w:rsid w:val="000401DE"/>
    <w:pPr>
      <w:jc w:val="both"/>
    </w:pPr>
    <w:rPr>
      <w:rFonts w:ascii="Book Antiqua" w:hAnsi="Book Antiqua"/>
      <w:szCs w:val="24"/>
      <w:lang w:eastAsia="en-US"/>
    </w:rPr>
  </w:style>
  <w:style w:type="paragraph" w:customStyle="1" w:styleId="Default">
    <w:name w:val="Default"/>
    <w:basedOn w:val="Normal"/>
    <w:rsid w:val="00B24C6D"/>
    <w:pPr>
      <w:autoSpaceDE w:val="0"/>
      <w:autoSpaceDN w:val="0"/>
      <w:spacing w:after="0" w:line="240" w:lineRule="auto"/>
      <w:jc w:val="left"/>
    </w:pPr>
    <w:rPr>
      <w:rFonts w:eastAsia="Calibri"/>
      <w:color w:val="000000"/>
      <w:sz w:val="24"/>
    </w:rPr>
  </w:style>
  <w:style w:type="paragraph" w:customStyle="1" w:styleId="BoxText">
    <w:name w:val="Box Text"/>
    <w:basedOn w:val="Normal"/>
    <w:rsid w:val="00186B21"/>
    <w:pPr>
      <w:spacing w:before="120" w:after="120" w:line="240" w:lineRule="auto"/>
    </w:pPr>
    <w:rPr>
      <w:rFonts w:eastAsia="Times New Roman"/>
      <w:szCs w:val="20"/>
      <w:lang w:eastAsia="en-AU"/>
    </w:rPr>
  </w:style>
  <w:style w:type="paragraph" w:customStyle="1" w:styleId="TableGraphic0">
    <w:name w:val="Table Graphic"/>
    <w:basedOn w:val="Normal"/>
    <w:next w:val="Normal"/>
    <w:rsid w:val="00186B21"/>
    <w:pPr>
      <w:spacing w:after="0" w:line="240" w:lineRule="auto"/>
      <w:ind w:right="-113"/>
    </w:pPr>
    <w:rPr>
      <w:rFonts w:eastAsia="Times New Roman"/>
      <w:szCs w:val="20"/>
      <w:lang w:eastAsia="en-AU"/>
    </w:rPr>
  </w:style>
  <w:style w:type="paragraph" w:customStyle="1" w:styleId="Source">
    <w:name w:val="Source"/>
    <w:basedOn w:val="Normal"/>
    <w:rsid w:val="00DA5499"/>
    <w:pPr>
      <w:tabs>
        <w:tab w:val="left" w:pos="284"/>
      </w:tabs>
      <w:spacing w:line="240" w:lineRule="auto"/>
    </w:pPr>
    <w:rPr>
      <w:rFonts w:ascii="Arial" w:eastAsia="Times New Roman" w:hAnsi="Arial"/>
      <w:sz w:val="16"/>
      <w:szCs w:val="20"/>
      <w:lang w:eastAsia="en-AU"/>
    </w:rPr>
  </w:style>
  <w:style w:type="paragraph" w:styleId="BodyText3">
    <w:name w:val="Body Text 3"/>
    <w:link w:val="BodyText3Char"/>
    <w:uiPriority w:val="99"/>
    <w:unhideWhenUsed/>
    <w:rsid w:val="00491C99"/>
    <w:pPr>
      <w:spacing w:after="120" w:line="300" w:lineRule="auto"/>
    </w:pPr>
    <w:rPr>
      <w:rFonts w:ascii="Garamond" w:eastAsia="Times New Roman" w:hAnsi="Garamond"/>
      <w:color w:val="000000"/>
      <w:kern w:val="28"/>
      <w:sz w:val="22"/>
      <w:szCs w:val="22"/>
      <w14:ligatures w14:val="standard"/>
      <w14:cntxtAlts/>
    </w:rPr>
  </w:style>
  <w:style w:type="character" w:customStyle="1" w:styleId="BodyText3Char">
    <w:name w:val="Body Text 3 Char"/>
    <w:basedOn w:val="DefaultParagraphFont"/>
    <w:link w:val="BodyText3"/>
    <w:uiPriority w:val="99"/>
    <w:rsid w:val="00491C99"/>
    <w:rPr>
      <w:rFonts w:ascii="Garamond" w:eastAsia="Times New Roman" w:hAnsi="Garamond"/>
      <w:color w:val="000000"/>
      <w:kern w:val="28"/>
      <w:sz w:val="22"/>
      <w:szCs w:val="22"/>
      <w14:ligatures w14:val="standard"/>
      <w14:cntxtAlts/>
    </w:rPr>
  </w:style>
  <w:style w:type="character" w:customStyle="1" w:styleId="TitleChar">
    <w:name w:val="Title Char"/>
    <w:basedOn w:val="DefaultParagraphFont"/>
    <w:link w:val="Title"/>
    <w:uiPriority w:val="10"/>
    <w:rsid w:val="00491C99"/>
    <w:rPr>
      <w:rFonts w:ascii="Tahoma" w:hAnsi="Tahoma"/>
      <w:smallCaps/>
      <w:color w:val="000000"/>
      <w:sz w:val="34"/>
      <w:lang w:eastAsia="en-US"/>
    </w:rPr>
  </w:style>
  <w:style w:type="character" w:styleId="Strong">
    <w:name w:val="Strong"/>
    <w:basedOn w:val="DefaultParagraphFont"/>
    <w:qFormat/>
    <w:rsid w:val="00DC5B41"/>
    <w:rPr>
      <w:b/>
      <w:bCs/>
    </w:rPr>
  </w:style>
  <w:style w:type="paragraph" w:styleId="EndnoteText">
    <w:name w:val="endnote text"/>
    <w:basedOn w:val="Normal"/>
    <w:link w:val="EndnoteTextChar"/>
    <w:rsid w:val="009F4BBA"/>
    <w:pPr>
      <w:spacing w:after="0" w:line="240" w:lineRule="auto"/>
    </w:pPr>
    <w:rPr>
      <w:szCs w:val="20"/>
    </w:rPr>
  </w:style>
  <w:style w:type="character" w:customStyle="1" w:styleId="EndnoteTextChar">
    <w:name w:val="Endnote Text Char"/>
    <w:basedOn w:val="DefaultParagraphFont"/>
    <w:link w:val="EndnoteText"/>
    <w:rsid w:val="009F4BBA"/>
    <w:rPr>
      <w:rFonts w:ascii="Book Antiqua" w:hAnsi="Book Antiqua"/>
      <w:lang w:eastAsia="en-US"/>
    </w:rPr>
  </w:style>
  <w:style w:type="character" w:styleId="EndnoteReference">
    <w:name w:val="endnote reference"/>
    <w:basedOn w:val="DefaultParagraphFont"/>
    <w:rsid w:val="009F4BBA"/>
    <w:rPr>
      <w:vertAlign w:val="superscript"/>
    </w:rPr>
  </w:style>
  <w:style w:type="paragraph" w:styleId="ListParagraph">
    <w:name w:val="List Paragraph"/>
    <w:basedOn w:val="Normal"/>
    <w:uiPriority w:val="34"/>
    <w:qFormat/>
    <w:rsid w:val="00B219C1"/>
    <w:pPr>
      <w:ind w:left="720"/>
      <w:contextualSpacing/>
    </w:pPr>
  </w:style>
  <w:style w:type="paragraph" w:styleId="IntenseQuote">
    <w:name w:val="Intense Quote"/>
    <w:basedOn w:val="Normal"/>
    <w:next w:val="Normal"/>
    <w:link w:val="IntenseQuoteChar"/>
    <w:uiPriority w:val="30"/>
    <w:qFormat/>
    <w:rsid w:val="00851710"/>
    <w:pPr>
      <w:pBdr>
        <w:bottom w:val="single" w:sz="4" w:space="4" w:color="4F81BD" w:themeColor="accent1"/>
      </w:pBdr>
      <w:spacing w:before="200" w:after="280" w:line="276" w:lineRule="auto"/>
      <w:ind w:left="936" w:right="936"/>
      <w:jc w:val="left"/>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851710"/>
    <w:rPr>
      <w:rFonts w:asciiTheme="minorHAnsi" w:eastAsiaTheme="minorHAnsi" w:hAnsiTheme="minorHAnsi" w:cstheme="minorBidi"/>
      <w:b/>
      <w:bCs/>
      <w:i/>
      <w:iCs/>
      <w:color w:val="4F81BD" w:themeColor="accent1"/>
      <w:sz w:val="22"/>
      <w:szCs w:val="22"/>
      <w:lang w:eastAsia="en-US"/>
    </w:rPr>
  </w:style>
  <w:style w:type="paragraph" w:customStyle="1" w:styleId="8E798F5E7ECE4128986FE3828CA319D2">
    <w:name w:val="8E798F5E7ECE4128986FE3828CA319D2"/>
    <w:rsid w:val="00851710"/>
    <w:pPr>
      <w:spacing w:after="200" w:line="276" w:lineRule="auto"/>
    </w:pPr>
    <w:rPr>
      <w:rFonts w:asciiTheme="minorHAnsi" w:eastAsiaTheme="minorEastAsia" w:hAnsiTheme="minorHAnsi" w:cstheme="minorBidi"/>
      <w:sz w:val="22"/>
      <w:szCs w:val="22"/>
      <w:lang w:val="en-US" w:eastAsia="ja-JP"/>
    </w:rPr>
  </w:style>
  <w:style w:type="character" w:customStyle="1" w:styleId="FootnoteTextChar">
    <w:name w:val="Footnote Text Char"/>
    <w:basedOn w:val="DefaultParagraphFont"/>
    <w:link w:val="FootnoteText"/>
    <w:semiHidden/>
    <w:rsid w:val="008830F3"/>
    <w:rPr>
      <w:rFonts w:ascii="Book Antiqua" w:hAnsi="Book Antiqua"/>
      <w:sz w:val="18"/>
      <w:szCs w:val="24"/>
      <w:lang w:eastAsia="en-US"/>
    </w:rPr>
  </w:style>
  <w:style w:type="character" w:styleId="PlaceholderText">
    <w:name w:val="Placeholder Text"/>
    <w:basedOn w:val="DefaultParagraphFont"/>
    <w:uiPriority w:val="99"/>
    <w:semiHidden/>
    <w:rsid w:val="008830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851">
      <w:bodyDiv w:val="1"/>
      <w:marLeft w:val="30"/>
      <w:marRight w:val="30"/>
      <w:marTop w:val="0"/>
      <w:marBottom w:val="0"/>
      <w:divBdr>
        <w:top w:val="none" w:sz="0" w:space="0" w:color="auto"/>
        <w:left w:val="none" w:sz="0" w:space="0" w:color="auto"/>
        <w:bottom w:val="none" w:sz="0" w:space="0" w:color="auto"/>
        <w:right w:val="none" w:sz="0" w:space="0" w:color="auto"/>
      </w:divBdr>
      <w:divsChild>
        <w:div w:id="957108967">
          <w:marLeft w:val="0"/>
          <w:marRight w:val="0"/>
          <w:marTop w:val="0"/>
          <w:marBottom w:val="0"/>
          <w:divBdr>
            <w:top w:val="none" w:sz="0" w:space="0" w:color="auto"/>
            <w:left w:val="none" w:sz="0" w:space="0" w:color="auto"/>
            <w:bottom w:val="none" w:sz="0" w:space="0" w:color="auto"/>
            <w:right w:val="none" w:sz="0" w:space="0" w:color="auto"/>
          </w:divBdr>
          <w:divsChild>
            <w:div w:id="1823034388">
              <w:marLeft w:val="0"/>
              <w:marRight w:val="0"/>
              <w:marTop w:val="0"/>
              <w:marBottom w:val="0"/>
              <w:divBdr>
                <w:top w:val="none" w:sz="0" w:space="0" w:color="auto"/>
                <w:left w:val="none" w:sz="0" w:space="0" w:color="auto"/>
                <w:bottom w:val="none" w:sz="0" w:space="0" w:color="auto"/>
                <w:right w:val="none" w:sz="0" w:space="0" w:color="auto"/>
              </w:divBdr>
              <w:divsChild>
                <w:div w:id="644702901">
                  <w:marLeft w:val="180"/>
                  <w:marRight w:val="0"/>
                  <w:marTop w:val="0"/>
                  <w:marBottom w:val="0"/>
                  <w:divBdr>
                    <w:top w:val="none" w:sz="0" w:space="0" w:color="auto"/>
                    <w:left w:val="none" w:sz="0" w:space="0" w:color="auto"/>
                    <w:bottom w:val="none" w:sz="0" w:space="0" w:color="auto"/>
                    <w:right w:val="none" w:sz="0" w:space="0" w:color="auto"/>
                  </w:divBdr>
                  <w:divsChild>
                    <w:div w:id="20109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745">
      <w:bodyDiv w:val="1"/>
      <w:marLeft w:val="0"/>
      <w:marRight w:val="0"/>
      <w:marTop w:val="0"/>
      <w:marBottom w:val="0"/>
      <w:divBdr>
        <w:top w:val="none" w:sz="0" w:space="0" w:color="auto"/>
        <w:left w:val="none" w:sz="0" w:space="0" w:color="auto"/>
        <w:bottom w:val="none" w:sz="0" w:space="0" w:color="auto"/>
        <w:right w:val="none" w:sz="0" w:space="0" w:color="auto"/>
      </w:divBdr>
    </w:div>
    <w:div w:id="37173337">
      <w:bodyDiv w:val="1"/>
      <w:marLeft w:val="0"/>
      <w:marRight w:val="0"/>
      <w:marTop w:val="0"/>
      <w:marBottom w:val="0"/>
      <w:divBdr>
        <w:top w:val="none" w:sz="0" w:space="0" w:color="auto"/>
        <w:left w:val="none" w:sz="0" w:space="0" w:color="auto"/>
        <w:bottom w:val="none" w:sz="0" w:space="0" w:color="auto"/>
        <w:right w:val="none" w:sz="0" w:space="0" w:color="auto"/>
      </w:divBdr>
    </w:div>
    <w:div w:id="45572165">
      <w:bodyDiv w:val="1"/>
      <w:marLeft w:val="0"/>
      <w:marRight w:val="0"/>
      <w:marTop w:val="0"/>
      <w:marBottom w:val="0"/>
      <w:divBdr>
        <w:top w:val="none" w:sz="0" w:space="0" w:color="auto"/>
        <w:left w:val="none" w:sz="0" w:space="0" w:color="auto"/>
        <w:bottom w:val="none" w:sz="0" w:space="0" w:color="auto"/>
        <w:right w:val="none" w:sz="0" w:space="0" w:color="auto"/>
      </w:divBdr>
    </w:div>
    <w:div w:id="71439013">
      <w:bodyDiv w:val="1"/>
      <w:marLeft w:val="0"/>
      <w:marRight w:val="0"/>
      <w:marTop w:val="0"/>
      <w:marBottom w:val="0"/>
      <w:divBdr>
        <w:top w:val="none" w:sz="0" w:space="0" w:color="auto"/>
        <w:left w:val="none" w:sz="0" w:space="0" w:color="auto"/>
        <w:bottom w:val="none" w:sz="0" w:space="0" w:color="auto"/>
        <w:right w:val="none" w:sz="0" w:space="0" w:color="auto"/>
      </w:divBdr>
    </w:div>
    <w:div w:id="82801437">
      <w:bodyDiv w:val="1"/>
      <w:marLeft w:val="0"/>
      <w:marRight w:val="0"/>
      <w:marTop w:val="0"/>
      <w:marBottom w:val="0"/>
      <w:divBdr>
        <w:top w:val="none" w:sz="0" w:space="0" w:color="auto"/>
        <w:left w:val="none" w:sz="0" w:space="0" w:color="auto"/>
        <w:bottom w:val="none" w:sz="0" w:space="0" w:color="auto"/>
        <w:right w:val="none" w:sz="0" w:space="0" w:color="auto"/>
      </w:divBdr>
    </w:div>
    <w:div w:id="95253877">
      <w:bodyDiv w:val="1"/>
      <w:marLeft w:val="0"/>
      <w:marRight w:val="0"/>
      <w:marTop w:val="0"/>
      <w:marBottom w:val="0"/>
      <w:divBdr>
        <w:top w:val="none" w:sz="0" w:space="0" w:color="auto"/>
        <w:left w:val="none" w:sz="0" w:space="0" w:color="auto"/>
        <w:bottom w:val="none" w:sz="0" w:space="0" w:color="auto"/>
        <w:right w:val="none" w:sz="0" w:space="0" w:color="auto"/>
      </w:divBdr>
    </w:div>
    <w:div w:id="107361869">
      <w:bodyDiv w:val="1"/>
      <w:marLeft w:val="0"/>
      <w:marRight w:val="0"/>
      <w:marTop w:val="0"/>
      <w:marBottom w:val="0"/>
      <w:divBdr>
        <w:top w:val="none" w:sz="0" w:space="0" w:color="auto"/>
        <w:left w:val="none" w:sz="0" w:space="0" w:color="auto"/>
        <w:bottom w:val="none" w:sz="0" w:space="0" w:color="auto"/>
        <w:right w:val="none" w:sz="0" w:space="0" w:color="auto"/>
      </w:divBdr>
    </w:div>
    <w:div w:id="134569407">
      <w:bodyDiv w:val="1"/>
      <w:marLeft w:val="0"/>
      <w:marRight w:val="0"/>
      <w:marTop w:val="0"/>
      <w:marBottom w:val="0"/>
      <w:divBdr>
        <w:top w:val="none" w:sz="0" w:space="0" w:color="auto"/>
        <w:left w:val="none" w:sz="0" w:space="0" w:color="auto"/>
        <w:bottom w:val="none" w:sz="0" w:space="0" w:color="auto"/>
        <w:right w:val="none" w:sz="0" w:space="0" w:color="auto"/>
      </w:divBdr>
    </w:div>
    <w:div w:id="136073614">
      <w:bodyDiv w:val="1"/>
      <w:marLeft w:val="0"/>
      <w:marRight w:val="0"/>
      <w:marTop w:val="0"/>
      <w:marBottom w:val="0"/>
      <w:divBdr>
        <w:top w:val="none" w:sz="0" w:space="0" w:color="auto"/>
        <w:left w:val="none" w:sz="0" w:space="0" w:color="auto"/>
        <w:bottom w:val="none" w:sz="0" w:space="0" w:color="auto"/>
        <w:right w:val="none" w:sz="0" w:space="0" w:color="auto"/>
      </w:divBdr>
    </w:div>
    <w:div w:id="188690926">
      <w:bodyDiv w:val="1"/>
      <w:marLeft w:val="0"/>
      <w:marRight w:val="0"/>
      <w:marTop w:val="0"/>
      <w:marBottom w:val="0"/>
      <w:divBdr>
        <w:top w:val="none" w:sz="0" w:space="0" w:color="auto"/>
        <w:left w:val="none" w:sz="0" w:space="0" w:color="auto"/>
        <w:bottom w:val="none" w:sz="0" w:space="0" w:color="auto"/>
        <w:right w:val="none" w:sz="0" w:space="0" w:color="auto"/>
      </w:divBdr>
    </w:div>
    <w:div w:id="226459535">
      <w:bodyDiv w:val="1"/>
      <w:marLeft w:val="0"/>
      <w:marRight w:val="0"/>
      <w:marTop w:val="0"/>
      <w:marBottom w:val="0"/>
      <w:divBdr>
        <w:top w:val="none" w:sz="0" w:space="0" w:color="auto"/>
        <w:left w:val="none" w:sz="0" w:space="0" w:color="auto"/>
        <w:bottom w:val="none" w:sz="0" w:space="0" w:color="auto"/>
        <w:right w:val="none" w:sz="0" w:space="0" w:color="auto"/>
      </w:divBdr>
    </w:div>
    <w:div w:id="241767038">
      <w:bodyDiv w:val="1"/>
      <w:marLeft w:val="0"/>
      <w:marRight w:val="0"/>
      <w:marTop w:val="0"/>
      <w:marBottom w:val="0"/>
      <w:divBdr>
        <w:top w:val="none" w:sz="0" w:space="0" w:color="auto"/>
        <w:left w:val="none" w:sz="0" w:space="0" w:color="auto"/>
        <w:bottom w:val="none" w:sz="0" w:space="0" w:color="auto"/>
        <w:right w:val="none" w:sz="0" w:space="0" w:color="auto"/>
      </w:divBdr>
    </w:div>
    <w:div w:id="244918012">
      <w:bodyDiv w:val="1"/>
      <w:marLeft w:val="0"/>
      <w:marRight w:val="0"/>
      <w:marTop w:val="0"/>
      <w:marBottom w:val="0"/>
      <w:divBdr>
        <w:top w:val="none" w:sz="0" w:space="0" w:color="auto"/>
        <w:left w:val="none" w:sz="0" w:space="0" w:color="auto"/>
        <w:bottom w:val="none" w:sz="0" w:space="0" w:color="auto"/>
        <w:right w:val="none" w:sz="0" w:space="0" w:color="auto"/>
      </w:divBdr>
    </w:div>
    <w:div w:id="265624473">
      <w:bodyDiv w:val="1"/>
      <w:marLeft w:val="0"/>
      <w:marRight w:val="0"/>
      <w:marTop w:val="0"/>
      <w:marBottom w:val="0"/>
      <w:divBdr>
        <w:top w:val="none" w:sz="0" w:space="0" w:color="auto"/>
        <w:left w:val="none" w:sz="0" w:space="0" w:color="auto"/>
        <w:bottom w:val="none" w:sz="0" w:space="0" w:color="auto"/>
        <w:right w:val="none" w:sz="0" w:space="0" w:color="auto"/>
      </w:divBdr>
    </w:div>
    <w:div w:id="289940874">
      <w:bodyDiv w:val="1"/>
      <w:marLeft w:val="0"/>
      <w:marRight w:val="0"/>
      <w:marTop w:val="0"/>
      <w:marBottom w:val="0"/>
      <w:divBdr>
        <w:top w:val="none" w:sz="0" w:space="0" w:color="auto"/>
        <w:left w:val="none" w:sz="0" w:space="0" w:color="auto"/>
        <w:bottom w:val="none" w:sz="0" w:space="0" w:color="auto"/>
        <w:right w:val="none" w:sz="0" w:space="0" w:color="auto"/>
      </w:divBdr>
    </w:div>
    <w:div w:id="335034351">
      <w:bodyDiv w:val="1"/>
      <w:marLeft w:val="0"/>
      <w:marRight w:val="0"/>
      <w:marTop w:val="0"/>
      <w:marBottom w:val="0"/>
      <w:divBdr>
        <w:top w:val="none" w:sz="0" w:space="0" w:color="auto"/>
        <w:left w:val="none" w:sz="0" w:space="0" w:color="auto"/>
        <w:bottom w:val="none" w:sz="0" w:space="0" w:color="auto"/>
        <w:right w:val="none" w:sz="0" w:space="0" w:color="auto"/>
      </w:divBdr>
    </w:div>
    <w:div w:id="352926075">
      <w:bodyDiv w:val="1"/>
      <w:marLeft w:val="0"/>
      <w:marRight w:val="0"/>
      <w:marTop w:val="0"/>
      <w:marBottom w:val="0"/>
      <w:divBdr>
        <w:top w:val="none" w:sz="0" w:space="0" w:color="auto"/>
        <w:left w:val="none" w:sz="0" w:space="0" w:color="auto"/>
        <w:bottom w:val="none" w:sz="0" w:space="0" w:color="auto"/>
        <w:right w:val="none" w:sz="0" w:space="0" w:color="auto"/>
      </w:divBdr>
    </w:div>
    <w:div w:id="386297414">
      <w:bodyDiv w:val="1"/>
      <w:marLeft w:val="30"/>
      <w:marRight w:val="30"/>
      <w:marTop w:val="0"/>
      <w:marBottom w:val="0"/>
      <w:divBdr>
        <w:top w:val="none" w:sz="0" w:space="0" w:color="auto"/>
        <w:left w:val="none" w:sz="0" w:space="0" w:color="auto"/>
        <w:bottom w:val="none" w:sz="0" w:space="0" w:color="auto"/>
        <w:right w:val="none" w:sz="0" w:space="0" w:color="auto"/>
      </w:divBdr>
      <w:divsChild>
        <w:div w:id="1259753094">
          <w:marLeft w:val="0"/>
          <w:marRight w:val="0"/>
          <w:marTop w:val="0"/>
          <w:marBottom w:val="0"/>
          <w:divBdr>
            <w:top w:val="none" w:sz="0" w:space="0" w:color="auto"/>
            <w:left w:val="none" w:sz="0" w:space="0" w:color="auto"/>
            <w:bottom w:val="none" w:sz="0" w:space="0" w:color="auto"/>
            <w:right w:val="none" w:sz="0" w:space="0" w:color="auto"/>
          </w:divBdr>
          <w:divsChild>
            <w:div w:id="2092505121">
              <w:marLeft w:val="0"/>
              <w:marRight w:val="0"/>
              <w:marTop w:val="0"/>
              <w:marBottom w:val="0"/>
              <w:divBdr>
                <w:top w:val="none" w:sz="0" w:space="0" w:color="auto"/>
                <w:left w:val="none" w:sz="0" w:space="0" w:color="auto"/>
                <w:bottom w:val="none" w:sz="0" w:space="0" w:color="auto"/>
                <w:right w:val="none" w:sz="0" w:space="0" w:color="auto"/>
              </w:divBdr>
              <w:divsChild>
                <w:div w:id="1786458409">
                  <w:marLeft w:val="180"/>
                  <w:marRight w:val="0"/>
                  <w:marTop w:val="0"/>
                  <w:marBottom w:val="0"/>
                  <w:divBdr>
                    <w:top w:val="none" w:sz="0" w:space="0" w:color="auto"/>
                    <w:left w:val="none" w:sz="0" w:space="0" w:color="auto"/>
                    <w:bottom w:val="none" w:sz="0" w:space="0" w:color="auto"/>
                    <w:right w:val="none" w:sz="0" w:space="0" w:color="auto"/>
                  </w:divBdr>
                  <w:divsChild>
                    <w:div w:id="124232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025300">
      <w:bodyDiv w:val="1"/>
      <w:marLeft w:val="0"/>
      <w:marRight w:val="0"/>
      <w:marTop w:val="0"/>
      <w:marBottom w:val="0"/>
      <w:divBdr>
        <w:top w:val="none" w:sz="0" w:space="0" w:color="auto"/>
        <w:left w:val="none" w:sz="0" w:space="0" w:color="auto"/>
        <w:bottom w:val="none" w:sz="0" w:space="0" w:color="auto"/>
        <w:right w:val="none" w:sz="0" w:space="0" w:color="auto"/>
      </w:divBdr>
    </w:div>
    <w:div w:id="450126199">
      <w:bodyDiv w:val="1"/>
      <w:marLeft w:val="0"/>
      <w:marRight w:val="0"/>
      <w:marTop w:val="0"/>
      <w:marBottom w:val="0"/>
      <w:divBdr>
        <w:top w:val="none" w:sz="0" w:space="0" w:color="auto"/>
        <w:left w:val="none" w:sz="0" w:space="0" w:color="auto"/>
        <w:bottom w:val="none" w:sz="0" w:space="0" w:color="auto"/>
        <w:right w:val="none" w:sz="0" w:space="0" w:color="auto"/>
      </w:divBdr>
    </w:div>
    <w:div w:id="450981573">
      <w:bodyDiv w:val="1"/>
      <w:marLeft w:val="0"/>
      <w:marRight w:val="0"/>
      <w:marTop w:val="0"/>
      <w:marBottom w:val="0"/>
      <w:divBdr>
        <w:top w:val="none" w:sz="0" w:space="0" w:color="auto"/>
        <w:left w:val="none" w:sz="0" w:space="0" w:color="auto"/>
        <w:bottom w:val="none" w:sz="0" w:space="0" w:color="auto"/>
        <w:right w:val="none" w:sz="0" w:space="0" w:color="auto"/>
      </w:divBdr>
    </w:div>
    <w:div w:id="456487533">
      <w:bodyDiv w:val="1"/>
      <w:marLeft w:val="0"/>
      <w:marRight w:val="0"/>
      <w:marTop w:val="0"/>
      <w:marBottom w:val="0"/>
      <w:divBdr>
        <w:top w:val="none" w:sz="0" w:space="0" w:color="auto"/>
        <w:left w:val="none" w:sz="0" w:space="0" w:color="auto"/>
        <w:bottom w:val="none" w:sz="0" w:space="0" w:color="auto"/>
        <w:right w:val="none" w:sz="0" w:space="0" w:color="auto"/>
      </w:divBdr>
    </w:div>
    <w:div w:id="470253123">
      <w:bodyDiv w:val="1"/>
      <w:marLeft w:val="0"/>
      <w:marRight w:val="0"/>
      <w:marTop w:val="0"/>
      <w:marBottom w:val="0"/>
      <w:divBdr>
        <w:top w:val="none" w:sz="0" w:space="0" w:color="auto"/>
        <w:left w:val="none" w:sz="0" w:space="0" w:color="auto"/>
        <w:bottom w:val="none" w:sz="0" w:space="0" w:color="auto"/>
        <w:right w:val="none" w:sz="0" w:space="0" w:color="auto"/>
      </w:divBdr>
    </w:div>
    <w:div w:id="474563406">
      <w:bodyDiv w:val="1"/>
      <w:marLeft w:val="0"/>
      <w:marRight w:val="0"/>
      <w:marTop w:val="0"/>
      <w:marBottom w:val="0"/>
      <w:divBdr>
        <w:top w:val="none" w:sz="0" w:space="0" w:color="auto"/>
        <w:left w:val="none" w:sz="0" w:space="0" w:color="auto"/>
        <w:bottom w:val="none" w:sz="0" w:space="0" w:color="auto"/>
        <w:right w:val="none" w:sz="0" w:space="0" w:color="auto"/>
      </w:divBdr>
    </w:div>
    <w:div w:id="497234372">
      <w:bodyDiv w:val="1"/>
      <w:marLeft w:val="0"/>
      <w:marRight w:val="0"/>
      <w:marTop w:val="0"/>
      <w:marBottom w:val="0"/>
      <w:divBdr>
        <w:top w:val="none" w:sz="0" w:space="0" w:color="auto"/>
        <w:left w:val="none" w:sz="0" w:space="0" w:color="auto"/>
        <w:bottom w:val="none" w:sz="0" w:space="0" w:color="auto"/>
        <w:right w:val="none" w:sz="0" w:space="0" w:color="auto"/>
      </w:divBdr>
    </w:div>
    <w:div w:id="505631887">
      <w:bodyDiv w:val="1"/>
      <w:marLeft w:val="0"/>
      <w:marRight w:val="0"/>
      <w:marTop w:val="0"/>
      <w:marBottom w:val="0"/>
      <w:divBdr>
        <w:top w:val="none" w:sz="0" w:space="0" w:color="auto"/>
        <w:left w:val="none" w:sz="0" w:space="0" w:color="auto"/>
        <w:bottom w:val="none" w:sz="0" w:space="0" w:color="auto"/>
        <w:right w:val="none" w:sz="0" w:space="0" w:color="auto"/>
      </w:divBdr>
    </w:div>
    <w:div w:id="524900413">
      <w:bodyDiv w:val="1"/>
      <w:marLeft w:val="0"/>
      <w:marRight w:val="0"/>
      <w:marTop w:val="0"/>
      <w:marBottom w:val="0"/>
      <w:divBdr>
        <w:top w:val="none" w:sz="0" w:space="0" w:color="auto"/>
        <w:left w:val="none" w:sz="0" w:space="0" w:color="auto"/>
        <w:bottom w:val="none" w:sz="0" w:space="0" w:color="auto"/>
        <w:right w:val="none" w:sz="0" w:space="0" w:color="auto"/>
      </w:divBdr>
    </w:div>
    <w:div w:id="527766693">
      <w:bodyDiv w:val="1"/>
      <w:marLeft w:val="0"/>
      <w:marRight w:val="0"/>
      <w:marTop w:val="0"/>
      <w:marBottom w:val="0"/>
      <w:divBdr>
        <w:top w:val="none" w:sz="0" w:space="0" w:color="auto"/>
        <w:left w:val="none" w:sz="0" w:space="0" w:color="auto"/>
        <w:bottom w:val="none" w:sz="0" w:space="0" w:color="auto"/>
        <w:right w:val="none" w:sz="0" w:space="0" w:color="auto"/>
      </w:divBdr>
    </w:div>
    <w:div w:id="555048915">
      <w:bodyDiv w:val="1"/>
      <w:marLeft w:val="0"/>
      <w:marRight w:val="0"/>
      <w:marTop w:val="0"/>
      <w:marBottom w:val="0"/>
      <w:divBdr>
        <w:top w:val="none" w:sz="0" w:space="0" w:color="auto"/>
        <w:left w:val="none" w:sz="0" w:space="0" w:color="auto"/>
        <w:bottom w:val="none" w:sz="0" w:space="0" w:color="auto"/>
        <w:right w:val="none" w:sz="0" w:space="0" w:color="auto"/>
      </w:divBdr>
    </w:div>
    <w:div w:id="616257216">
      <w:bodyDiv w:val="1"/>
      <w:marLeft w:val="0"/>
      <w:marRight w:val="0"/>
      <w:marTop w:val="0"/>
      <w:marBottom w:val="0"/>
      <w:divBdr>
        <w:top w:val="none" w:sz="0" w:space="0" w:color="auto"/>
        <w:left w:val="none" w:sz="0" w:space="0" w:color="auto"/>
        <w:bottom w:val="none" w:sz="0" w:space="0" w:color="auto"/>
        <w:right w:val="none" w:sz="0" w:space="0" w:color="auto"/>
      </w:divBdr>
    </w:div>
    <w:div w:id="639185883">
      <w:bodyDiv w:val="1"/>
      <w:marLeft w:val="0"/>
      <w:marRight w:val="0"/>
      <w:marTop w:val="0"/>
      <w:marBottom w:val="0"/>
      <w:divBdr>
        <w:top w:val="none" w:sz="0" w:space="0" w:color="auto"/>
        <w:left w:val="none" w:sz="0" w:space="0" w:color="auto"/>
        <w:bottom w:val="none" w:sz="0" w:space="0" w:color="auto"/>
        <w:right w:val="none" w:sz="0" w:space="0" w:color="auto"/>
      </w:divBdr>
    </w:div>
    <w:div w:id="667489967">
      <w:bodyDiv w:val="1"/>
      <w:marLeft w:val="0"/>
      <w:marRight w:val="0"/>
      <w:marTop w:val="0"/>
      <w:marBottom w:val="0"/>
      <w:divBdr>
        <w:top w:val="none" w:sz="0" w:space="0" w:color="auto"/>
        <w:left w:val="none" w:sz="0" w:space="0" w:color="auto"/>
        <w:bottom w:val="none" w:sz="0" w:space="0" w:color="auto"/>
        <w:right w:val="none" w:sz="0" w:space="0" w:color="auto"/>
      </w:divBdr>
    </w:div>
    <w:div w:id="682130055">
      <w:bodyDiv w:val="1"/>
      <w:marLeft w:val="0"/>
      <w:marRight w:val="0"/>
      <w:marTop w:val="0"/>
      <w:marBottom w:val="0"/>
      <w:divBdr>
        <w:top w:val="none" w:sz="0" w:space="0" w:color="auto"/>
        <w:left w:val="none" w:sz="0" w:space="0" w:color="auto"/>
        <w:bottom w:val="none" w:sz="0" w:space="0" w:color="auto"/>
        <w:right w:val="none" w:sz="0" w:space="0" w:color="auto"/>
      </w:divBdr>
    </w:div>
    <w:div w:id="696078169">
      <w:bodyDiv w:val="1"/>
      <w:marLeft w:val="0"/>
      <w:marRight w:val="0"/>
      <w:marTop w:val="0"/>
      <w:marBottom w:val="0"/>
      <w:divBdr>
        <w:top w:val="none" w:sz="0" w:space="0" w:color="auto"/>
        <w:left w:val="none" w:sz="0" w:space="0" w:color="auto"/>
        <w:bottom w:val="none" w:sz="0" w:space="0" w:color="auto"/>
        <w:right w:val="none" w:sz="0" w:space="0" w:color="auto"/>
      </w:divBdr>
    </w:div>
    <w:div w:id="742533916">
      <w:bodyDiv w:val="1"/>
      <w:marLeft w:val="0"/>
      <w:marRight w:val="0"/>
      <w:marTop w:val="0"/>
      <w:marBottom w:val="0"/>
      <w:divBdr>
        <w:top w:val="none" w:sz="0" w:space="0" w:color="auto"/>
        <w:left w:val="none" w:sz="0" w:space="0" w:color="auto"/>
        <w:bottom w:val="none" w:sz="0" w:space="0" w:color="auto"/>
        <w:right w:val="none" w:sz="0" w:space="0" w:color="auto"/>
      </w:divBdr>
    </w:div>
    <w:div w:id="750739089">
      <w:bodyDiv w:val="1"/>
      <w:marLeft w:val="0"/>
      <w:marRight w:val="0"/>
      <w:marTop w:val="0"/>
      <w:marBottom w:val="0"/>
      <w:divBdr>
        <w:top w:val="none" w:sz="0" w:space="0" w:color="auto"/>
        <w:left w:val="none" w:sz="0" w:space="0" w:color="auto"/>
        <w:bottom w:val="none" w:sz="0" w:space="0" w:color="auto"/>
        <w:right w:val="none" w:sz="0" w:space="0" w:color="auto"/>
      </w:divBdr>
      <w:divsChild>
        <w:div w:id="462385198">
          <w:marLeft w:val="0"/>
          <w:marRight w:val="0"/>
          <w:marTop w:val="0"/>
          <w:marBottom w:val="0"/>
          <w:divBdr>
            <w:top w:val="none" w:sz="0" w:space="0" w:color="auto"/>
            <w:left w:val="none" w:sz="0" w:space="0" w:color="auto"/>
            <w:bottom w:val="none" w:sz="0" w:space="0" w:color="auto"/>
            <w:right w:val="none" w:sz="0" w:space="0" w:color="auto"/>
          </w:divBdr>
        </w:div>
        <w:div w:id="829443472">
          <w:marLeft w:val="0"/>
          <w:marRight w:val="0"/>
          <w:marTop w:val="0"/>
          <w:marBottom w:val="0"/>
          <w:divBdr>
            <w:top w:val="none" w:sz="0" w:space="0" w:color="auto"/>
            <w:left w:val="none" w:sz="0" w:space="0" w:color="auto"/>
            <w:bottom w:val="none" w:sz="0" w:space="0" w:color="auto"/>
            <w:right w:val="none" w:sz="0" w:space="0" w:color="auto"/>
          </w:divBdr>
        </w:div>
        <w:div w:id="1280062580">
          <w:marLeft w:val="0"/>
          <w:marRight w:val="0"/>
          <w:marTop w:val="0"/>
          <w:marBottom w:val="0"/>
          <w:divBdr>
            <w:top w:val="none" w:sz="0" w:space="0" w:color="auto"/>
            <w:left w:val="none" w:sz="0" w:space="0" w:color="auto"/>
            <w:bottom w:val="none" w:sz="0" w:space="0" w:color="auto"/>
            <w:right w:val="none" w:sz="0" w:space="0" w:color="auto"/>
          </w:divBdr>
        </w:div>
        <w:div w:id="1676033566">
          <w:marLeft w:val="0"/>
          <w:marRight w:val="0"/>
          <w:marTop w:val="0"/>
          <w:marBottom w:val="0"/>
          <w:divBdr>
            <w:top w:val="none" w:sz="0" w:space="0" w:color="auto"/>
            <w:left w:val="none" w:sz="0" w:space="0" w:color="auto"/>
            <w:bottom w:val="none" w:sz="0" w:space="0" w:color="auto"/>
            <w:right w:val="none" w:sz="0" w:space="0" w:color="auto"/>
          </w:divBdr>
        </w:div>
        <w:div w:id="1688406028">
          <w:marLeft w:val="0"/>
          <w:marRight w:val="0"/>
          <w:marTop w:val="0"/>
          <w:marBottom w:val="0"/>
          <w:divBdr>
            <w:top w:val="none" w:sz="0" w:space="0" w:color="auto"/>
            <w:left w:val="none" w:sz="0" w:space="0" w:color="auto"/>
            <w:bottom w:val="none" w:sz="0" w:space="0" w:color="auto"/>
            <w:right w:val="none" w:sz="0" w:space="0" w:color="auto"/>
          </w:divBdr>
        </w:div>
      </w:divsChild>
    </w:div>
    <w:div w:id="784276412">
      <w:bodyDiv w:val="1"/>
      <w:marLeft w:val="30"/>
      <w:marRight w:val="30"/>
      <w:marTop w:val="0"/>
      <w:marBottom w:val="0"/>
      <w:divBdr>
        <w:top w:val="none" w:sz="0" w:space="0" w:color="auto"/>
        <w:left w:val="none" w:sz="0" w:space="0" w:color="auto"/>
        <w:bottom w:val="none" w:sz="0" w:space="0" w:color="auto"/>
        <w:right w:val="none" w:sz="0" w:space="0" w:color="auto"/>
      </w:divBdr>
      <w:divsChild>
        <w:div w:id="1559826564">
          <w:marLeft w:val="0"/>
          <w:marRight w:val="0"/>
          <w:marTop w:val="0"/>
          <w:marBottom w:val="0"/>
          <w:divBdr>
            <w:top w:val="none" w:sz="0" w:space="0" w:color="auto"/>
            <w:left w:val="none" w:sz="0" w:space="0" w:color="auto"/>
            <w:bottom w:val="none" w:sz="0" w:space="0" w:color="auto"/>
            <w:right w:val="none" w:sz="0" w:space="0" w:color="auto"/>
          </w:divBdr>
          <w:divsChild>
            <w:div w:id="1704477303">
              <w:marLeft w:val="0"/>
              <w:marRight w:val="0"/>
              <w:marTop w:val="0"/>
              <w:marBottom w:val="0"/>
              <w:divBdr>
                <w:top w:val="none" w:sz="0" w:space="0" w:color="auto"/>
                <w:left w:val="none" w:sz="0" w:space="0" w:color="auto"/>
                <w:bottom w:val="none" w:sz="0" w:space="0" w:color="auto"/>
                <w:right w:val="none" w:sz="0" w:space="0" w:color="auto"/>
              </w:divBdr>
              <w:divsChild>
                <w:div w:id="536892995">
                  <w:marLeft w:val="180"/>
                  <w:marRight w:val="0"/>
                  <w:marTop w:val="0"/>
                  <w:marBottom w:val="0"/>
                  <w:divBdr>
                    <w:top w:val="none" w:sz="0" w:space="0" w:color="auto"/>
                    <w:left w:val="none" w:sz="0" w:space="0" w:color="auto"/>
                    <w:bottom w:val="none" w:sz="0" w:space="0" w:color="auto"/>
                    <w:right w:val="none" w:sz="0" w:space="0" w:color="auto"/>
                  </w:divBdr>
                  <w:divsChild>
                    <w:div w:id="11230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218555">
      <w:bodyDiv w:val="1"/>
      <w:marLeft w:val="0"/>
      <w:marRight w:val="0"/>
      <w:marTop w:val="0"/>
      <w:marBottom w:val="0"/>
      <w:divBdr>
        <w:top w:val="none" w:sz="0" w:space="0" w:color="auto"/>
        <w:left w:val="none" w:sz="0" w:space="0" w:color="auto"/>
        <w:bottom w:val="none" w:sz="0" w:space="0" w:color="auto"/>
        <w:right w:val="none" w:sz="0" w:space="0" w:color="auto"/>
      </w:divBdr>
    </w:div>
    <w:div w:id="814250820">
      <w:bodyDiv w:val="1"/>
      <w:marLeft w:val="0"/>
      <w:marRight w:val="0"/>
      <w:marTop w:val="0"/>
      <w:marBottom w:val="0"/>
      <w:divBdr>
        <w:top w:val="none" w:sz="0" w:space="0" w:color="auto"/>
        <w:left w:val="none" w:sz="0" w:space="0" w:color="auto"/>
        <w:bottom w:val="none" w:sz="0" w:space="0" w:color="auto"/>
        <w:right w:val="none" w:sz="0" w:space="0" w:color="auto"/>
      </w:divBdr>
    </w:div>
    <w:div w:id="820999527">
      <w:bodyDiv w:val="1"/>
      <w:marLeft w:val="0"/>
      <w:marRight w:val="0"/>
      <w:marTop w:val="0"/>
      <w:marBottom w:val="0"/>
      <w:divBdr>
        <w:top w:val="none" w:sz="0" w:space="0" w:color="auto"/>
        <w:left w:val="none" w:sz="0" w:space="0" w:color="auto"/>
        <w:bottom w:val="none" w:sz="0" w:space="0" w:color="auto"/>
        <w:right w:val="none" w:sz="0" w:space="0" w:color="auto"/>
      </w:divBdr>
    </w:div>
    <w:div w:id="830025485">
      <w:bodyDiv w:val="1"/>
      <w:marLeft w:val="0"/>
      <w:marRight w:val="0"/>
      <w:marTop w:val="0"/>
      <w:marBottom w:val="0"/>
      <w:divBdr>
        <w:top w:val="none" w:sz="0" w:space="0" w:color="auto"/>
        <w:left w:val="none" w:sz="0" w:space="0" w:color="auto"/>
        <w:bottom w:val="none" w:sz="0" w:space="0" w:color="auto"/>
        <w:right w:val="none" w:sz="0" w:space="0" w:color="auto"/>
      </w:divBdr>
    </w:div>
    <w:div w:id="831335988">
      <w:bodyDiv w:val="1"/>
      <w:marLeft w:val="0"/>
      <w:marRight w:val="0"/>
      <w:marTop w:val="0"/>
      <w:marBottom w:val="0"/>
      <w:divBdr>
        <w:top w:val="none" w:sz="0" w:space="0" w:color="auto"/>
        <w:left w:val="none" w:sz="0" w:space="0" w:color="auto"/>
        <w:bottom w:val="none" w:sz="0" w:space="0" w:color="auto"/>
        <w:right w:val="none" w:sz="0" w:space="0" w:color="auto"/>
      </w:divBdr>
    </w:div>
    <w:div w:id="832335391">
      <w:bodyDiv w:val="1"/>
      <w:marLeft w:val="0"/>
      <w:marRight w:val="0"/>
      <w:marTop w:val="0"/>
      <w:marBottom w:val="0"/>
      <w:divBdr>
        <w:top w:val="none" w:sz="0" w:space="0" w:color="auto"/>
        <w:left w:val="none" w:sz="0" w:space="0" w:color="auto"/>
        <w:bottom w:val="none" w:sz="0" w:space="0" w:color="auto"/>
        <w:right w:val="none" w:sz="0" w:space="0" w:color="auto"/>
      </w:divBdr>
    </w:div>
    <w:div w:id="871917251">
      <w:bodyDiv w:val="1"/>
      <w:marLeft w:val="0"/>
      <w:marRight w:val="0"/>
      <w:marTop w:val="0"/>
      <w:marBottom w:val="0"/>
      <w:divBdr>
        <w:top w:val="none" w:sz="0" w:space="0" w:color="auto"/>
        <w:left w:val="none" w:sz="0" w:space="0" w:color="auto"/>
        <w:bottom w:val="none" w:sz="0" w:space="0" w:color="auto"/>
        <w:right w:val="none" w:sz="0" w:space="0" w:color="auto"/>
      </w:divBdr>
    </w:div>
    <w:div w:id="883102083">
      <w:bodyDiv w:val="1"/>
      <w:marLeft w:val="0"/>
      <w:marRight w:val="0"/>
      <w:marTop w:val="0"/>
      <w:marBottom w:val="0"/>
      <w:divBdr>
        <w:top w:val="none" w:sz="0" w:space="0" w:color="auto"/>
        <w:left w:val="none" w:sz="0" w:space="0" w:color="auto"/>
        <w:bottom w:val="none" w:sz="0" w:space="0" w:color="auto"/>
        <w:right w:val="none" w:sz="0" w:space="0" w:color="auto"/>
      </w:divBdr>
    </w:div>
    <w:div w:id="929236452">
      <w:bodyDiv w:val="1"/>
      <w:marLeft w:val="0"/>
      <w:marRight w:val="0"/>
      <w:marTop w:val="0"/>
      <w:marBottom w:val="0"/>
      <w:divBdr>
        <w:top w:val="none" w:sz="0" w:space="0" w:color="auto"/>
        <w:left w:val="none" w:sz="0" w:space="0" w:color="auto"/>
        <w:bottom w:val="none" w:sz="0" w:space="0" w:color="auto"/>
        <w:right w:val="none" w:sz="0" w:space="0" w:color="auto"/>
      </w:divBdr>
    </w:div>
    <w:div w:id="988171256">
      <w:bodyDiv w:val="1"/>
      <w:marLeft w:val="0"/>
      <w:marRight w:val="0"/>
      <w:marTop w:val="0"/>
      <w:marBottom w:val="0"/>
      <w:divBdr>
        <w:top w:val="none" w:sz="0" w:space="0" w:color="auto"/>
        <w:left w:val="none" w:sz="0" w:space="0" w:color="auto"/>
        <w:bottom w:val="none" w:sz="0" w:space="0" w:color="auto"/>
        <w:right w:val="none" w:sz="0" w:space="0" w:color="auto"/>
      </w:divBdr>
    </w:div>
    <w:div w:id="999121518">
      <w:bodyDiv w:val="1"/>
      <w:marLeft w:val="0"/>
      <w:marRight w:val="0"/>
      <w:marTop w:val="0"/>
      <w:marBottom w:val="0"/>
      <w:divBdr>
        <w:top w:val="none" w:sz="0" w:space="0" w:color="auto"/>
        <w:left w:val="none" w:sz="0" w:space="0" w:color="auto"/>
        <w:bottom w:val="none" w:sz="0" w:space="0" w:color="auto"/>
        <w:right w:val="none" w:sz="0" w:space="0" w:color="auto"/>
      </w:divBdr>
    </w:div>
    <w:div w:id="1035273250">
      <w:bodyDiv w:val="1"/>
      <w:marLeft w:val="0"/>
      <w:marRight w:val="0"/>
      <w:marTop w:val="0"/>
      <w:marBottom w:val="0"/>
      <w:divBdr>
        <w:top w:val="none" w:sz="0" w:space="0" w:color="auto"/>
        <w:left w:val="none" w:sz="0" w:space="0" w:color="auto"/>
        <w:bottom w:val="none" w:sz="0" w:space="0" w:color="auto"/>
        <w:right w:val="none" w:sz="0" w:space="0" w:color="auto"/>
      </w:divBdr>
      <w:divsChild>
        <w:div w:id="1663311328">
          <w:marLeft w:val="0"/>
          <w:marRight w:val="0"/>
          <w:marTop w:val="0"/>
          <w:marBottom w:val="0"/>
          <w:divBdr>
            <w:top w:val="none" w:sz="0" w:space="0" w:color="auto"/>
            <w:left w:val="none" w:sz="0" w:space="0" w:color="auto"/>
            <w:bottom w:val="none" w:sz="0" w:space="0" w:color="auto"/>
            <w:right w:val="none" w:sz="0" w:space="0" w:color="auto"/>
          </w:divBdr>
          <w:divsChild>
            <w:div w:id="104394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1079">
      <w:bodyDiv w:val="1"/>
      <w:marLeft w:val="0"/>
      <w:marRight w:val="0"/>
      <w:marTop w:val="0"/>
      <w:marBottom w:val="0"/>
      <w:divBdr>
        <w:top w:val="none" w:sz="0" w:space="0" w:color="auto"/>
        <w:left w:val="none" w:sz="0" w:space="0" w:color="auto"/>
        <w:bottom w:val="none" w:sz="0" w:space="0" w:color="auto"/>
        <w:right w:val="none" w:sz="0" w:space="0" w:color="auto"/>
      </w:divBdr>
    </w:div>
    <w:div w:id="1206331885">
      <w:bodyDiv w:val="1"/>
      <w:marLeft w:val="0"/>
      <w:marRight w:val="0"/>
      <w:marTop w:val="0"/>
      <w:marBottom w:val="0"/>
      <w:divBdr>
        <w:top w:val="none" w:sz="0" w:space="0" w:color="auto"/>
        <w:left w:val="none" w:sz="0" w:space="0" w:color="auto"/>
        <w:bottom w:val="none" w:sz="0" w:space="0" w:color="auto"/>
        <w:right w:val="none" w:sz="0" w:space="0" w:color="auto"/>
      </w:divBdr>
    </w:div>
    <w:div w:id="1217010296">
      <w:bodyDiv w:val="1"/>
      <w:marLeft w:val="0"/>
      <w:marRight w:val="0"/>
      <w:marTop w:val="0"/>
      <w:marBottom w:val="0"/>
      <w:divBdr>
        <w:top w:val="none" w:sz="0" w:space="0" w:color="auto"/>
        <w:left w:val="none" w:sz="0" w:space="0" w:color="auto"/>
        <w:bottom w:val="none" w:sz="0" w:space="0" w:color="auto"/>
        <w:right w:val="none" w:sz="0" w:space="0" w:color="auto"/>
      </w:divBdr>
    </w:div>
    <w:div w:id="1226333010">
      <w:bodyDiv w:val="1"/>
      <w:marLeft w:val="0"/>
      <w:marRight w:val="0"/>
      <w:marTop w:val="0"/>
      <w:marBottom w:val="0"/>
      <w:divBdr>
        <w:top w:val="none" w:sz="0" w:space="0" w:color="auto"/>
        <w:left w:val="none" w:sz="0" w:space="0" w:color="auto"/>
        <w:bottom w:val="none" w:sz="0" w:space="0" w:color="auto"/>
        <w:right w:val="none" w:sz="0" w:space="0" w:color="auto"/>
      </w:divBdr>
    </w:div>
    <w:div w:id="1257328508">
      <w:bodyDiv w:val="1"/>
      <w:marLeft w:val="0"/>
      <w:marRight w:val="0"/>
      <w:marTop w:val="0"/>
      <w:marBottom w:val="0"/>
      <w:divBdr>
        <w:top w:val="none" w:sz="0" w:space="0" w:color="auto"/>
        <w:left w:val="none" w:sz="0" w:space="0" w:color="auto"/>
        <w:bottom w:val="none" w:sz="0" w:space="0" w:color="auto"/>
        <w:right w:val="none" w:sz="0" w:space="0" w:color="auto"/>
      </w:divBdr>
    </w:div>
    <w:div w:id="1257906615">
      <w:bodyDiv w:val="1"/>
      <w:marLeft w:val="0"/>
      <w:marRight w:val="0"/>
      <w:marTop w:val="0"/>
      <w:marBottom w:val="0"/>
      <w:divBdr>
        <w:top w:val="none" w:sz="0" w:space="0" w:color="auto"/>
        <w:left w:val="none" w:sz="0" w:space="0" w:color="auto"/>
        <w:bottom w:val="none" w:sz="0" w:space="0" w:color="auto"/>
        <w:right w:val="none" w:sz="0" w:space="0" w:color="auto"/>
      </w:divBdr>
    </w:div>
    <w:div w:id="1261182091">
      <w:bodyDiv w:val="1"/>
      <w:marLeft w:val="0"/>
      <w:marRight w:val="0"/>
      <w:marTop w:val="0"/>
      <w:marBottom w:val="0"/>
      <w:divBdr>
        <w:top w:val="none" w:sz="0" w:space="0" w:color="auto"/>
        <w:left w:val="none" w:sz="0" w:space="0" w:color="auto"/>
        <w:bottom w:val="none" w:sz="0" w:space="0" w:color="auto"/>
        <w:right w:val="none" w:sz="0" w:space="0" w:color="auto"/>
      </w:divBdr>
    </w:div>
    <w:div w:id="1281961415">
      <w:bodyDiv w:val="1"/>
      <w:marLeft w:val="0"/>
      <w:marRight w:val="0"/>
      <w:marTop w:val="0"/>
      <w:marBottom w:val="0"/>
      <w:divBdr>
        <w:top w:val="none" w:sz="0" w:space="0" w:color="auto"/>
        <w:left w:val="none" w:sz="0" w:space="0" w:color="auto"/>
        <w:bottom w:val="none" w:sz="0" w:space="0" w:color="auto"/>
        <w:right w:val="none" w:sz="0" w:space="0" w:color="auto"/>
      </w:divBdr>
    </w:div>
    <w:div w:id="1321036834">
      <w:bodyDiv w:val="1"/>
      <w:marLeft w:val="0"/>
      <w:marRight w:val="0"/>
      <w:marTop w:val="0"/>
      <w:marBottom w:val="0"/>
      <w:divBdr>
        <w:top w:val="none" w:sz="0" w:space="0" w:color="auto"/>
        <w:left w:val="none" w:sz="0" w:space="0" w:color="auto"/>
        <w:bottom w:val="none" w:sz="0" w:space="0" w:color="auto"/>
        <w:right w:val="none" w:sz="0" w:space="0" w:color="auto"/>
      </w:divBdr>
    </w:div>
    <w:div w:id="1406337999">
      <w:bodyDiv w:val="1"/>
      <w:marLeft w:val="0"/>
      <w:marRight w:val="0"/>
      <w:marTop w:val="0"/>
      <w:marBottom w:val="0"/>
      <w:divBdr>
        <w:top w:val="none" w:sz="0" w:space="0" w:color="auto"/>
        <w:left w:val="none" w:sz="0" w:space="0" w:color="auto"/>
        <w:bottom w:val="none" w:sz="0" w:space="0" w:color="auto"/>
        <w:right w:val="none" w:sz="0" w:space="0" w:color="auto"/>
      </w:divBdr>
    </w:div>
    <w:div w:id="1423137705">
      <w:bodyDiv w:val="1"/>
      <w:marLeft w:val="0"/>
      <w:marRight w:val="0"/>
      <w:marTop w:val="0"/>
      <w:marBottom w:val="0"/>
      <w:divBdr>
        <w:top w:val="none" w:sz="0" w:space="0" w:color="auto"/>
        <w:left w:val="none" w:sz="0" w:space="0" w:color="auto"/>
        <w:bottom w:val="none" w:sz="0" w:space="0" w:color="auto"/>
        <w:right w:val="none" w:sz="0" w:space="0" w:color="auto"/>
      </w:divBdr>
    </w:div>
    <w:div w:id="1444376119">
      <w:bodyDiv w:val="1"/>
      <w:marLeft w:val="0"/>
      <w:marRight w:val="0"/>
      <w:marTop w:val="0"/>
      <w:marBottom w:val="0"/>
      <w:divBdr>
        <w:top w:val="none" w:sz="0" w:space="0" w:color="auto"/>
        <w:left w:val="none" w:sz="0" w:space="0" w:color="auto"/>
        <w:bottom w:val="none" w:sz="0" w:space="0" w:color="auto"/>
        <w:right w:val="none" w:sz="0" w:space="0" w:color="auto"/>
      </w:divBdr>
    </w:div>
    <w:div w:id="1445728110">
      <w:bodyDiv w:val="1"/>
      <w:marLeft w:val="0"/>
      <w:marRight w:val="0"/>
      <w:marTop w:val="0"/>
      <w:marBottom w:val="0"/>
      <w:divBdr>
        <w:top w:val="none" w:sz="0" w:space="0" w:color="auto"/>
        <w:left w:val="none" w:sz="0" w:space="0" w:color="auto"/>
        <w:bottom w:val="none" w:sz="0" w:space="0" w:color="auto"/>
        <w:right w:val="none" w:sz="0" w:space="0" w:color="auto"/>
      </w:divBdr>
    </w:div>
    <w:div w:id="1447965249">
      <w:bodyDiv w:val="1"/>
      <w:marLeft w:val="0"/>
      <w:marRight w:val="0"/>
      <w:marTop w:val="0"/>
      <w:marBottom w:val="0"/>
      <w:divBdr>
        <w:top w:val="none" w:sz="0" w:space="0" w:color="auto"/>
        <w:left w:val="none" w:sz="0" w:space="0" w:color="auto"/>
        <w:bottom w:val="none" w:sz="0" w:space="0" w:color="auto"/>
        <w:right w:val="none" w:sz="0" w:space="0" w:color="auto"/>
      </w:divBdr>
    </w:div>
    <w:div w:id="1469398833">
      <w:bodyDiv w:val="1"/>
      <w:marLeft w:val="0"/>
      <w:marRight w:val="0"/>
      <w:marTop w:val="0"/>
      <w:marBottom w:val="0"/>
      <w:divBdr>
        <w:top w:val="none" w:sz="0" w:space="0" w:color="auto"/>
        <w:left w:val="none" w:sz="0" w:space="0" w:color="auto"/>
        <w:bottom w:val="none" w:sz="0" w:space="0" w:color="auto"/>
        <w:right w:val="none" w:sz="0" w:space="0" w:color="auto"/>
      </w:divBdr>
    </w:div>
    <w:div w:id="1481994644">
      <w:bodyDiv w:val="1"/>
      <w:marLeft w:val="0"/>
      <w:marRight w:val="0"/>
      <w:marTop w:val="0"/>
      <w:marBottom w:val="0"/>
      <w:divBdr>
        <w:top w:val="none" w:sz="0" w:space="0" w:color="auto"/>
        <w:left w:val="none" w:sz="0" w:space="0" w:color="auto"/>
        <w:bottom w:val="none" w:sz="0" w:space="0" w:color="auto"/>
        <w:right w:val="none" w:sz="0" w:space="0" w:color="auto"/>
      </w:divBdr>
    </w:div>
    <w:div w:id="1488787866">
      <w:bodyDiv w:val="1"/>
      <w:marLeft w:val="0"/>
      <w:marRight w:val="0"/>
      <w:marTop w:val="0"/>
      <w:marBottom w:val="0"/>
      <w:divBdr>
        <w:top w:val="none" w:sz="0" w:space="0" w:color="auto"/>
        <w:left w:val="none" w:sz="0" w:space="0" w:color="auto"/>
        <w:bottom w:val="none" w:sz="0" w:space="0" w:color="auto"/>
        <w:right w:val="none" w:sz="0" w:space="0" w:color="auto"/>
      </w:divBdr>
    </w:div>
    <w:div w:id="1505514409">
      <w:bodyDiv w:val="1"/>
      <w:marLeft w:val="0"/>
      <w:marRight w:val="0"/>
      <w:marTop w:val="0"/>
      <w:marBottom w:val="0"/>
      <w:divBdr>
        <w:top w:val="none" w:sz="0" w:space="0" w:color="auto"/>
        <w:left w:val="none" w:sz="0" w:space="0" w:color="auto"/>
        <w:bottom w:val="none" w:sz="0" w:space="0" w:color="auto"/>
        <w:right w:val="none" w:sz="0" w:space="0" w:color="auto"/>
      </w:divBdr>
    </w:div>
    <w:div w:id="1551841787">
      <w:bodyDiv w:val="1"/>
      <w:marLeft w:val="0"/>
      <w:marRight w:val="0"/>
      <w:marTop w:val="0"/>
      <w:marBottom w:val="0"/>
      <w:divBdr>
        <w:top w:val="none" w:sz="0" w:space="0" w:color="auto"/>
        <w:left w:val="none" w:sz="0" w:space="0" w:color="auto"/>
        <w:bottom w:val="none" w:sz="0" w:space="0" w:color="auto"/>
        <w:right w:val="none" w:sz="0" w:space="0" w:color="auto"/>
      </w:divBdr>
    </w:div>
    <w:div w:id="1666978221">
      <w:bodyDiv w:val="1"/>
      <w:marLeft w:val="0"/>
      <w:marRight w:val="0"/>
      <w:marTop w:val="0"/>
      <w:marBottom w:val="0"/>
      <w:divBdr>
        <w:top w:val="none" w:sz="0" w:space="0" w:color="auto"/>
        <w:left w:val="none" w:sz="0" w:space="0" w:color="auto"/>
        <w:bottom w:val="none" w:sz="0" w:space="0" w:color="auto"/>
        <w:right w:val="none" w:sz="0" w:space="0" w:color="auto"/>
      </w:divBdr>
    </w:div>
    <w:div w:id="1738436864">
      <w:bodyDiv w:val="1"/>
      <w:marLeft w:val="0"/>
      <w:marRight w:val="0"/>
      <w:marTop w:val="0"/>
      <w:marBottom w:val="0"/>
      <w:divBdr>
        <w:top w:val="none" w:sz="0" w:space="0" w:color="auto"/>
        <w:left w:val="none" w:sz="0" w:space="0" w:color="auto"/>
        <w:bottom w:val="none" w:sz="0" w:space="0" w:color="auto"/>
        <w:right w:val="none" w:sz="0" w:space="0" w:color="auto"/>
      </w:divBdr>
    </w:div>
    <w:div w:id="1744326870">
      <w:bodyDiv w:val="1"/>
      <w:marLeft w:val="0"/>
      <w:marRight w:val="0"/>
      <w:marTop w:val="0"/>
      <w:marBottom w:val="0"/>
      <w:divBdr>
        <w:top w:val="none" w:sz="0" w:space="0" w:color="auto"/>
        <w:left w:val="none" w:sz="0" w:space="0" w:color="auto"/>
        <w:bottom w:val="none" w:sz="0" w:space="0" w:color="auto"/>
        <w:right w:val="none" w:sz="0" w:space="0" w:color="auto"/>
      </w:divBdr>
    </w:div>
    <w:div w:id="1754426475">
      <w:bodyDiv w:val="1"/>
      <w:marLeft w:val="0"/>
      <w:marRight w:val="0"/>
      <w:marTop w:val="0"/>
      <w:marBottom w:val="0"/>
      <w:divBdr>
        <w:top w:val="none" w:sz="0" w:space="0" w:color="auto"/>
        <w:left w:val="none" w:sz="0" w:space="0" w:color="auto"/>
        <w:bottom w:val="none" w:sz="0" w:space="0" w:color="auto"/>
        <w:right w:val="none" w:sz="0" w:space="0" w:color="auto"/>
      </w:divBdr>
    </w:div>
    <w:div w:id="1765420530">
      <w:bodyDiv w:val="1"/>
      <w:marLeft w:val="0"/>
      <w:marRight w:val="0"/>
      <w:marTop w:val="0"/>
      <w:marBottom w:val="0"/>
      <w:divBdr>
        <w:top w:val="none" w:sz="0" w:space="0" w:color="auto"/>
        <w:left w:val="none" w:sz="0" w:space="0" w:color="auto"/>
        <w:bottom w:val="none" w:sz="0" w:space="0" w:color="auto"/>
        <w:right w:val="none" w:sz="0" w:space="0" w:color="auto"/>
      </w:divBdr>
    </w:div>
    <w:div w:id="1829789875">
      <w:bodyDiv w:val="1"/>
      <w:marLeft w:val="0"/>
      <w:marRight w:val="0"/>
      <w:marTop w:val="0"/>
      <w:marBottom w:val="0"/>
      <w:divBdr>
        <w:top w:val="none" w:sz="0" w:space="0" w:color="auto"/>
        <w:left w:val="none" w:sz="0" w:space="0" w:color="auto"/>
        <w:bottom w:val="none" w:sz="0" w:space="0" w:color="auto"/>
        <w:right w:val="none" w:sz="0" w:space="0" w:color="auto"/>
      </w:divBdr>
    </w:div>
    <w:div w:id="1848324089">
      <w:bodyDiv w:val="1"/>
      <w:marLeft w:val="0"/>
      <w:marRight w:val="0"/>
      <w:marTop w:val="0"/>
      <w:marBottom w:val="0"/>
      <w:divBdr>
        <w:top w:val="none" w:sz="0" w:space="0" w:color="auto"/>
        <w:left w:val="none" w:sz="0" w:space="0" w:color="auto"/>
        <w:bottom w:val="none" w:sz="0" w:space="0" w:color="auto"/>
        <w:right w:val="none" w:sz="0" w:space="0" w:color="auto"/>
      </w:divBdr>
    </w:div>
    <w:div w:id="1881697430">
      <w:bodyDiv w:val="1"/>
      <w:marLeft w:val="0"/>
      <w:marRight w:val="0"/>
      <w:marTop w:val="0"/>
      <w:marBottom w:val="0"/>
      <w:divBdr>
        <w:top w:val="none" w:sz="0" w:space="0" w:color="auto"/>
        <w:left w:val="none" w:sz="0" w:space="0" w:color="auto"/>
        <w:bottom w:val="none" w:sz="0" w:space="0" w:color="auto"/>
        <w:right w:val="none" w:sz="0" w:space="0" w:color="auto"/>
      </w:divBdr>
    </w:div>
    <w:div w:id="1928538861">
      <w:bodyDiv w:val="1"/>
      <w:marLeft w:val="0"/>
      <w:marRight w:val="0"/>
      <w:marTop w:val="0"/>
      <w:marBottom w:val="0"/>
      <w:divBdr>
        <w:top w:val="none" w:sz="0" w:space="0" w:color="auto"/>
        <w:left w:val="none" w:sz="0" w:space="0" w:color="auto"/>
        <w:bottom w:val="none" w:sz="0" w:space="0" w:color="auto"/>
        <w:right w:val="none" w:sz="0" w:space="0" w:color="auto"/>
      </w:divBdr>
    </w:div>
    <w:div w:id="1931507204">
      <w:bodyDiv w:val="1"/>
      <w:marLeft w:val="0"/>
      <w:marRight w:val="0"/>
      <w:marTop w:val="0"/>
      <w:marBottom w:val="0"/>
      <w:divBdr>
        <w:top w:val="none" w:sz="0" w:space="0" w:color="auto"/>
        <w:left w:val="none" w:sz="0" w:space="0" w:color="auto"/>
        <w:bottom w:val="none" w:sz="0" w:space="0" w:color="auto"/>
        <w:right w:val="none" w:sz="0" w:space="0" w:color="auto"/>
      </w:divBdr>
    </w:div>
    <w:div w:id="2000234479">
      <w:bodyDiv w:val="1"/>
      <w:marLeft w:val="0"/>
      <w:marRight w:val="0"/>
      <w:marTop w:val="0"/>
      <w:marBottom w:val="0"/>
      <w:divBdr>
        <w:top w:val="none" w:sz="0" w:space="0" w:color="auto"/>
        <w:left w:val="none" w:sz="0" w:space="0" w:color="auto"/>
        <w:bottom w:val="none" w:sz="0" w:space="0" w:color="auto"/>
        <w:right w:val="none" w:sz="0" w:space="0" w:color="auto"/>
      </w:divBdr>
    </w:div>
    <w:div w:id="2008363460">
      <w:bodyDiv w:val="1"/>
      <w:marLeft w:val="0"/>
      <w:marRight w:val="0"/>
      <w:marTop w:val="0"/>
      <w:marBottom w:val="0"/>
      <w:divBdr>
        <w:top w:val="none" w:sz="0" w:space="0" w:color="auto"/>
        <w:left w:val="none" w:sz="0" w:space="0" w:color="auto"/>
        <w:bottom w:val="none" w:sz="0" w:space="0" w:color="auto"/>
        <w:right w:val="none" w:sz="0" w:space="0" w:color="auto"/>
      </w:divBdr>
    </w:div>
    <w:div w:id="2026861041">
      <w:bodyDiv w:val="1"/>
      <w:marLeft w:val="0"/>
      <w:marRight w:val="0"/>
      <w:marTop w:val="0"/>
      <w:marBottom w:val="0"/>
      <w:divBdr>
        <w:top w:val="none" w:sz="0" w:space="0" w:color="auto"/>
        <w:left w:val="none" w:sz="0" w:space="0" w:color="auto"/>
        <w:bottom w:val="none" w:sz="0" w:space="0" w:color="auto"/>
        <w:right w:val="none" w:sz="0" w:space="0" w:color="auto"/>
      </w:divBdr>
    </w:div>
    <w:div w:id="2028170460">
      <w:bodyDiv w:val="1"/>
      <w:marLeft w:val="0"/>
      <w:marRight w:val="0"/>
      <w:marTop w:val="0"/>
      <w:marBottom w:val="0"/>
      <w:divBdr>
        <w:top w:val="none" w:sz="0" w:space="0" w:color="auto"/>
        <w:left w:val="none" w:sz="0" w:space="0" w:color="auto"/>
        <w:bottom w:val="none" w:sz="0" w:space="0" w:color="auto"/>
        <w:right w:val="none" w:sz="0" w:space="0" w:color="auto"/>
      </w:divBdr>
    </w:div>
    <w:div w:id="2096390105">
      <w:bodyDiv w:val="1"/>
      <w:marLeft w:val="0"/>
      <w:marRight w:val="0"/>
      <w:marTop w:val="0"/>
      <w:marBottom w:val="0"/>
      <w:divBdr>
        <w:top w:val="none" w:sz="0" w:space="0" w:color="auto"/>
        <w:left w:val="none" w:sz="0" w:space="0" w:color="auto"/>
        <w:bottom w:val="none" w:sz="0" w:space="0" w:color="auto"/>
        <w:right w:val="none" w:sz="0" w:space="0" w:color="auto"/>
      </w:divBdr>
    </w:div>
    <w:div w:id="2132360047">
      <w:bodyDiv w:val="1"/>
      <w:marLeft w:val="0"/>
      <w:marRight w:val="0"/>
      <w:marTop w:val="0"/>
      <w:marBottom w:val="0"/>
      <w:divBdr>
        <w:top w:val="none" w:sz="0" w:space="0" w:color="auto"/>
        <w:left w:val="none" w:sz="0" w:space="0" w:color="auto"/>
        <w:bottom w:val="none" w:sz="0" w:space="0" w:color="auto"/>
        <w:right w:val="none" w:sz="0" w:space="0" w:color="auto"/>
      </w:divBdr>
    </w:div>
    <w:div w:id="21433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image" Target="media/image18.emf"/><Relationship Id="rId21" Type="http://schemas.openxmlformats.org/officeDocument/2006/relationships/footer" Target="footer5.xml"/><Relationship Id="rId34" Type="http://schemas.openxmlformats.org/officeDocument/2006/relationships/image" Target="media/image13.emf"/><Relationship Id="rId42" Type="http://schemas.openxmlformats.org/officeDocument/2006/relationships/image" Target="media/image21.emf"/><Relationship Id="rId47" Type="http://schemas.openxmlformats.org/officeDocument/2006/relationships/image" Target="media/image23.emf"/><Relationship Id="rId50" Type="http://schemas.openxmlformats.org/officeDocument/2006/relationships/image" Target="media/image26.emf"/><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33" Type="http://schemas.openxmlformats.org/officeDocument/2006/relationships/image" Target="media/image12.emf"/><Relationship Id="rId38" Type="http://schemas.openxmlformats.org/officeDocument/2006/relationships/image" Target="media/image17.emf"/><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5.xml"/><Relationship Id="rId29" Type="http://schemas.openxmlformats.org/officeDocument/2006/relationships/image" Target="media/image8.emf"/><Relationship Id="rId41" Type="http://schemas.openxmlformats.org/officeDocument/2006/relationships/image" Target="media/image20.emf"/><Relationship Id="rId54" Type="http://schemas.openxmlformats.org/officeDocument/2006/relationships/image" Target="media/image30.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emf"/><Relationship Id="rId32" Type="http://schemas.openxmlformats.org/officeDocument/2006/relationships/image" Target="media/image11.emf"/><Relationship Id="rId37" Type="http://schemas.openxmlformats.org/officeDocument/2006/relationships/image" Target="media/image16.emf"/><Relationship Id="rId40" Type="http://schemas.openxmlformats.org/officeDocument/2006/relationships/image" Target="media/image19.emf"/><Relationship Id="rId45" Type="http://schemas.openxmlformats.org/officeDocument/2006/relationships/footer" Target="footer9.xml"/><Relationship Id="rId53" Type="http://schemas.openxmlformats.org/officeDocument/2006/relationships/image" Target="media/image29.emf"/><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image" Target="media/image5.emf"/><Relationship Id="rId28" Type="http://schemas.openxmlformats.org/officeDocument/2006/relationships/image" Target="media/image7.emf"/><Relationship Id="rId36" Type="http://schemas.openxmlformats.org/officeDocument/2006/relationships/image" Target="media/image15.emf"/><Relationship Id="rId49" Type="http://schemas.openxmlformats.org/officeDocument/2006/relationships/image" Target="media/image25.emf"/><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image" Target="media/image10.emf"/><Relationship Id="rId44" Type="http://schemas.openxmlformats.org/officeDocument/2006/relationships/header" Target="header7.xml"/><Relationship Id="rId52" Type="http://schemas.openxmlformats.org/officeDocument/2006/relationships/image" Target="media/image28.e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8.xml"/><Relationship Id="rId30" Type="http://schemas.openxmlformats.org/officeDocument/2006/relationships/image" Target="media/image9.emf"/><Relationship Id="rId35" Type="http://schemas.openxmlformats.org/officeDocument/2006/relationships/image" Target="media/image14.emf"/><Relationship Id="rId43" Type="http://schemas.openxmlformats.org/officeDocument/2006/relationships/image" Target="media/image22.emf"/><Relationship Id="rId48" Type="http://schemas.openxmlformats.org/officeDocument/2006/relationships/image" Target="media/image24.emf"/><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7.emf"/><Relationship Id="rId3"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346BBA-56F1-4314-B65B-38CF4B84C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5026</Words>
  <Characters>28653</Characters>
  <Application>Microsoft Office Word</Application>
  <DocSecurity>0</DocSecurity>
  <Lines>238</Lines>
  <Paragraphs>67</Paragraphs>
  <ScaleCrop>false</ScaleCrop>
  <Manager/>
  <Company/>
  <LinksUpToDate>false</LinksUpToDate>
  <CharactersWithSpaces>33612</CharactersWithSpaces>
  <SharedDoc>false</SharedDoc>
  <HLinks>
    <vt:vector size="78" baseType="variant">
      <vt:variant>
        <vt:i4>131155</vt:i4>
      </vt:variant>
      <vt:variant>
        <vt:i4>114</vt:i4>
      </vt:variant>
      <vt:variant>
        <vt:i4>0</vt:i4>
      </vt:variant>
      <vt:variant>
        <vt:i4>5</vt:i4>
      </vt:variant>
      <vt:variant>
        <vt:lpwstr>\\remus\indiv$\JEO\TRIM5\Offline Records (PO)\INTERNATIONAL ECONOMIC AFFAIRS - FORECASTING - JOINT ECONOMIC FORECASTING GROUP (JEFG) &amp; ~ 2010\DAT - World - GDP - IED - Forecasts - MYEFO Oct 09 final - RS - 091026.xls</vt:lpwstr>
      </vt:variant>
      <vt:variant>
        <vt:lpwstr/>
      </vt:variant>
      <vt:variant>
        <vt:i4>1507377</vt:i4>
      </vt:variant>
      <vt:variant>
        <vt:i4>68</vt:i4>
      </vt:variant>
      <vt:variant>
        <vt:i4>0</vt:i4>
      </vt:variant>
      <vt:variant>
        <vt:i4>5</vt:i4>
      </vt:variant>
      <vt:variant>
        <vt:lpwstr/>
      </vt:variant>
      <vt:variant>
        <vt:lpwstr>_Toc280363583</vt:lpwstr>
      </vt:variant>
      <vt:variant>
        <vt:i4>1507377</vt:i4>
      </vt:variant>
      <vt:variant>
        <vt:i4>62</vt:i4>
      </vt:variant>
      <vt:variant>
        <vt:i4>0</vt:i4>
      </vt:variant>
      <vt:variant>
        <vt:i4>5</vt:i4>
      </vt:variant>
      <vt:variant>
        <vt:lpwstr/>
      </vt:variant>
      <vt:variant>
        <vt:lpwstr>_Toc280363582</vt:lpwstr>
      </vt:variant>
      <vt:variant>
        <vt:i4>1507377</vt:i4>
      </vt:variant>
      <vt:variant>
        <vt:i4>56</vt:i4>
      </vt:variant>
      <vt:variant>
        <vt:i4>0</vt:i4>
      </vt:variant>
      <vt:variant>
        <vt:i4>5</vt:i4>
      </vt:variant>
      <vt:variant>
        <vt:lpwstr/>
      </vt:variant>
      <vt:variant>
        <vt:lpwstr>_Toc280363581</vt:lpwstr>
      </vt:variant>
      <vt:variant>
        <vt:i4>1507377</vt:i4>
      </vt:variant>
      <vt:variant>
        <vt:i4>50</vt:i4>
      </vt:variant>
      <vt:variant>
        <vt:i4>0</vt:i4>
      </vt:variant>
      <vt:variant>
        <vt:i4>5</vt:i4>
      </vt:variant>
      <vt:variant>
        <vt:lpwstr/>
      </vt:variant>
      <vt:variant>
        <vt:lpwstr>_Toc280363580</vt:lpwstr>
      </vt:variant>
      <vt:variant>
        <vt:i4>1572913</vt:i4>
      </vt:variant>
      <vt:variant>
        <vt:i4>44</vt:i4>
      </vt:variant>
      <vt:variant>
        <vt:i4>0</vt:i4>
      </vt:variant>
      <vt:variant>
        <vt:i4>5</vt:i4>
      </vt:variant>
      <vt:variant>
        <vt:lpwstr/>
      </vt:variant>
      <vt:variant>
        <vt:lpwstr>_Toc280363579</vt:lpwstr>
      </vt:variant>
      <vt:variant>
        <vt:i4>1572913</vt:i4>
      </vt:variant>
      <vt:variant>
        <vt:i4>38</vt:i4>
      </vt:variant>
      <vt:variant>
        <vt:i4>0</vt:i4>
      </vt:variant>
      <vt:variant>
        <vt:i4>5</vt:i4>
      </vt:variant>
      <vt:variant>
        <vt:lpwstr/>
      </vt:variant>
      <vt:variant>
        <vt:lpwstr>_Toc280363578</vt:lpwstr>
      </vt:variant>
      <vt:variant>
        <vt:i4>1572913</vt:i4>
      </vt:variant>
      <vt:variant>
        <vt:i4>32</vt:i4>
      </vt:variant>
      <vt:variant>
        <vt:i4>0</vt:i4>
      </vt:variant>
      <vt:variant>
        <vt:i4>5</vt:i4>
      </vt:variant>
      <vt:variant>
        <vt:lpwstr/>
      </vt:variant>
      <vt:variant>
        <vt:lpwstr>_Toc280363577</vt:lpwstr>
      </vt:variant>
      <vt:variant>
        <vt:i4>1572913</vt:i4>
      </vt:variant>
      <vt:variant>
        <vt:i4>26</vt:i4>
      </vt:variant>
      <vt:variant>
        <vt:i4>0</vt:i4>
      </vt:variant>
      <vt:variant>
        <vt:i4>5</vt:i4>
      </vt:variant>
      <vt:variant>
        <vt:lpwstr/>
      </vt:variant>
      <vt:variant>
        <vt:lpwstr>_Toc280363576</vt:lpwstr>
      </vt:variant>
      <vt:variant>
        <vt:i4>1572913</vt:i4>
      </vt:variant>
      <vt:variant>
        <vt:i4>20</vt:i4>
      </vt:variant>
      <vt:variant>
        <vt:i4>0</vt:i4>
      </vt:variant>
      <vt:variant>
        <vt:i4>5</vt:i4>
      </vt:variant>
      <vt:variant>
        <vt:lpwstr/>
      </vt:variant>
      <vt:variant>
        <vt:lpwstr>_Toc280363575</vt:lpwstr>
      </vt:variant>
      <vt:variant>
        <vt:i4>1572913</vt:i4>
      </vt:variant>
      <vt:variant>
        <vt:i4>14</vt:i4>
      </vt:variant>
      <vt:variant>
        <vt:i4>0</vt:i4>
      </vt:variant>
      <vt:variant>
        <vt:i4>5</vt:i4>
      </vt:variant>
      <vt:variant>
        <vt:lpwstr/>
      </vt:variant>
      <vt:variant>
        <vt:lpwstr>_Toc280363574</vt:lpwstr>
      </vt:variant>
      <vt:variant>
        <vt:i4>1572913</vt:i4>
      </vt:variant>
      <vt:variant>
        <vt:i4>8</vt:i4>
      </vt:variant>
      <vt:variant>
        <vt:i4>0</vt:i4>
      </vt:variant>
      <vt:variant>
        <vt:i4>5</vt:i4>
      </vt:variant>
      <vt:variant>
        <vt:lpwstr/>
      </vt:variant>
      <vt:variant>
        <vt:lpwstr>_Toc280363573</vt:lpwstr>
      </vt:variant>
      <vt:variant>
        <vt:i4>1572913</vt:i4>
      </vt:variant>
      <vt:variant>
        <vt:i4>2</vt:i4>
      </vt:variant>
      <vt:variant>
        <vt:i4>0</vt:i4>
      </vt:variant>
      <vt:variant>
        <vt:i4>5</vt:i4>
      </vt:variant>
      <vt:variant>
        <vt:lpwstr/>
      </vt:variant>
      <vt:variant>
        <vt:lpwstr>_Toc280363572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2016-08-16T01:24:00Z</dcterms:created>
  <dcterms:modified xsi:type="dcterms:W3CDTF">2016-08-16T01:24:00Z</dcterms:modified>
</cp:coreProperties>
</file>