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FC" w:rsidRDefault="00114667">
      <w:pPr>
        <w:rPr>
          <w:rFonts w:ascii="Arial Narrow" w:hAnsi="Arial Narrow"/>
          <w:noProof/>
        </w:rPr>
      </w:pPr>
      <w:bookmarkStart w:id="0" w:name="_GoBack"/>
      <w:bookmarkEnd w:id="0"/>
      <w:r>
        <w:rPr>
          <w:rFonts w:ascii="Arial Narrow" w:hAnsi="Arial Narrow"/>
          <w:noProof/>
          <w:lang w:val="en-AU" w:eastAsia="en-AU" w:bidi="ar-SA"/>
        </w:rPr>
        <w:drawing>
          <wp:anchor distT="0" distB="0" distL="114300" distR="114300" simplePos="0" relativeHeight="251658240" behindDoc="1" locked="0" layoutInCell="1" allowOverlap="1">
            <wp:simplePos x="0" y="0"/>
            <wp:positionH relativeFrom="column">
              <wp:posOffset>-923925</wp:posOffset>
            </wp:positionH>
            <wp:positionV relativeFrom="paragraph">
              <wp:posOffset>-1109345</wp:posOffset>
            </wp:positionV>
            <wp:extent cx="7635119" cy="1080000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99_Submission 01B front.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635119" cy="1080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8724A" w:rsidRDefault="00B8724A">
      <w:pPr>
        <w:rPr>
          <w:rFonts w:ascii="Arial Narrow" w:hAnsi="Arial Narrow"/>
          <w:noProof/>
        </w:rPr>
      </w:pPr>
    </w:p>
    <w:p w:rsidR="00B8724A" w:rsidRDefault="00B8724A">
      <w:pPr>
        <w:rPr>
          <w:rFonts w:ascii="Arial Narrow" w:hAnsi="Arial Narrow"/>
        </w:rPr>
      </w:pPr>
    </w:p>
    <w:p w:rsidR="00B8724A" w:rsidRDefault="00B8724A">
      <w:pPr>
        <w:jc w:val="cente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F4653C" w:rsidP="00B8724A">
      <w:pPr>
        <w:rPr>
          <w:rFonts w:ascii="Arial Narrow" w:hAnsi="Arial Narrow"/>
        </w:rPr>
      </w:pPr>
      <w:r>
        <w:rPr>
          <w:noProof/>
          <w:lang w:val="en-AU" w:eastAsia="en-AU" w:bidi="ar-SA"/>
        </w:rPr>
        <mc:AlternateContent>
          <mc:Choice Requires="wps">
            <w:drawing>
              <wp:anchor distT="0" distB="0" distL="114935" distR="114935" simplePos="0" relativeHeight="251657216" behindDoc="0" locked="0" layoutInCell="1" allowOverlap="1">
                <wp:simplePos x="0" y="0"/>
                <wp:positionH relativeFrom="column">
                  <wp:posOffset>-381000</wp:posOffset>
                </wp:positionH>
                <wp:positionV relativeFrom="paragraph">
                  <wp:posOffset>179705</wp:posOffset>
                </wp:positionV>
                <wp:extent cx="7070725" cy="30003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0725" cy="3000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55D" w:rsidRDefault="00B8724A" w:rsidP="00B8724A">
                            <w:pPr>
                              <w:pStyle w:val="header14ptorangebold"/>
                              <w:rPr>
                                <w:b/>
                                <w:color w:val="FFFFFF"/>
                                <w:spacing w:val="-20"/>
                                <w:sz w:val="36"/>
                                <w:szCs w:val="36"/>
                              </w:rPr>
                            </w:pPr>
                            <w:r w:rsidRPr="00753C49">
                              <w:rPr>
                                <w:b/>
                                <w:color w:val="FFFFFF"/>
                                <w:spacing w:val="-20"/>
                                <w:sz w:val="36"/>
                                <w:szCs w:val="36"/>
                              </w:rPr>
                              <w:t xml:space="preserve">Submission </w:t>
                            </w:r>
                            <w:r w:rsidR="00F4653C">
                              <w:rPr>
                                <w:b/>
                                <w:color w:val="FFFFFF"/>
                                <w:spacing w:val="-20"/>
                                <w:sz w:val="36"/>
                                <w:szCs w:val="36"/>
                              </w:rPr>
                              <w:t xml:space="preserve">to the </w:t>
                            </w:r>
                            <w:r w:rsidR="005B74F0">
                              <w:rPr>
                                <w:b/>
                                <w:color w:val="FFFFFF"/>
                                <w:spacing w:val="-20"/>
                                <w:sz w:val="36"/>
                                <w:szCs w:val="36"/>
                              </w:rPr>
                              <w:t>ATO</w:t>
                            </w:r>
                            <w:r w:rsidR="00F4653C">
                              <w:rPr>
                                <w:b/>
                                <w:color w:val="FFFFFF"/>
                                <w:spacing w:val="-20"/>
                                <w:sz w:val="36"/>
                                <w:szCs w:val="36"/>
                              </w:rPr>
                              <w:t xml:space="preserve">: </w:t>
                            </w:r>
                            <w:r w:rsidR="00C205EA">
                              <w:rPr>
                                <w:b/>
                                <w:color w:val="FFFFFF"/>
                                <w:spacing w:val="-20"/>
                                <w:sz w:val="36"/>
                                <w:szCs w:val="36"/>
                              </w:rPr>
                              <w:t>Enterprise Tax Plan</w:t>
                            </w:r>
                          </w:p>
                          <w:p w:rsidR="00F4653C" w:rsidRDefault="00C205EA" w:rsidP="00B8724A">
                            <w:pPr>
                              <w:pStyle w:val="header14ptorangebold"/>
                              <w:rPr>
                                <w:b/>
                                <w:color w:val="FFFFFF"/>
                                <w:spacing w:val="-20"/>
                                <w:sz w:val="36"/>
                                <w:szCs w:val="36"/>
                              </w:rPr>
                            </w:pPr>
                            <w:r>
                              <w:rPr>
                                <w:b/>
                                <w:color w:val="FFFFFF"/>
                                <w:spacing w:val="-20"/>
                                <w:sz w:val="36"/>
                                <w:szCs w:val="36"/>
                              </w:rPr>
                              <w:t>Base Rate Enterprises</w:t>
                            </w:r>
                            <w:r w:rsidR="00D0507C">
                              <w:rPr>
                                <w:b/>
                                <w:color w:val="FFFFFF"/>
                                <w:spacing w:val="-20"/>
                                <w:sz w:val="36"/>
                                <w:szCs w:val="36"/>
                              </w:rPr>
                              <w:t xml:space="preserve"> Bill 2017</w:t>
                            </w:r>
                          </w:p>
                          <w:p w:rsidR="00B8724A" w:rsidRPr="00F03AD2" w:rsidRDefault="00B8724A"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B8724A" w:rsidRPr="00F03AD2" w:rsidRDefault="00C205EA" w:rsidP="00B8724A">
                            <w:pPr>
                              <w:rPr>
                                <w:rFonts w:ascii="Arial Bold" w:hAnsi="Arial Bold"/>
                                <w:color w:val="FFFFFF"/>
                              </w:rPr>
                            </w:pPr>
                            <w:r>
                              <w:rPr>
                                <w:rFonts w:ascii="Arial Bold" w:hAnsi="Arial Bold"/>
                                <w:color w:val="FFFFFF"/>
                              </w:rPr>
                              <w:t>29</w:t>
                            </w:r>
                            <w:r w:rsidR="0099314D">
                              <w:rPr>
                                <w:rFonts w:ascii="Arial Bold" w:hAnsi="Arial Bold"/>
                                <w:color w:val="FFFFFF"/>
                              </w:rPr>
                              <w:t xml:space="preserve"> </w:t>
                            </w:r>
                            <w:r w:rsidR="00F4653C">
                              <w:rPr>
                                <w:rFonts w:ascii="Arial Bold" w:hAnsi="Arial Bold"/>
                                <w:color w:val="FFFFFF"/>
                              </w:rPr>
                              <w:t>September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pt;margin-top:14.15pt;width:556.75pt;height:236.2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" stroked="f">
                <v:fill opacity="0"/>
                <v:textbox inset="0,0,0,0">
                  <w:txbxContent>
                    <w:p w:rsidR="00DF355D" w:rsidRDefault="00B8724A" w:rsidP="00B8724A">
                      <w:pPr>
                        <w:pStyle w:val="header14ptorangebold"/>
                        <w:rPr>
                          <w:b/>
                          <w:color w:val="FFFFFF"/>
                          <w:spacing w:val="-20"/>
                          <w:sz w:val="36"/>
                          <w:szCs w:val="36"/>
                        </w:rPr>
                      </w:pPr>
                      <w:r w:rsidRPr="00753C49">
                        <w:rPr>
                          <w:b/>
                          <w:color w:val="FFFFFF"/>
                          <w:spacing w:val="-20"/>
                          <w:sz w:val="36"/>
                          <w:szCs w:val="36"/>
                        </w:rPr>
                        <w:t xml:space="preserve">Submission </w:t>
                      </w:r>
                      <w:r w:rsidR="00F4653C">
                        <w:rPr>
                          <w:b/>
                          <w:color w:val="FFFFFF"/>
                          <w:spacing w:val="-20"/>
                          <w:sz w:val="36"/>
                          <w:szCs w:val="36"/>
                        </w:rPr>
                        <w:t xml:space="preserve">to the </w:t>
                      </w:r>
                      <w:r w:rsidR="005B74F0">
                        <w:rPr>
                          <w:b/>
                          <w:color w:val="FFFFFF"/>
                          <w:spacing w:val="-20"/>
                          <w:sz w:val="36"/>
                          <w:szCs w:val="36"/>
                        </w:rPr>
                        <w:t>ATO</w:t>
                      </w:r>
                      <w:r w:rsidR="00F4653C">
                        <w:rPr>
                          <w:b/>
                          <w:color w:val="FFFFFF"/>
                          <w:spacing w:val="-20"/>
                          <w:sz w:val="36"/>
                          <w:szCs w:val="36"/>
                        </w:rPr>
                        <w:t xml:space="preserve">: </w:t>
                      </w:r>
                      <w:r w:rsidR="00C205EA">
                        <w:rPr>
                          <w:b/>
                          <w:color w:val="FFFFFF"/>
                          <w:spacing w:val="-20"/>
                          <w:sz w:val="36"/>
                          <w:szCs w:val="36"/>
                        </w:rPr>
                        <w:t>Enterprise Tax Plan</w:t>
                      </w:r>
                    </w:p>
                    <w:p w:rsidR="00F4653C" w:rsidRDefault="00C205EA" w:rsidP="00B8724A">
                      <w:pPr>
                        <w:pStyle w:val="header14ptorangebold"/>
                        <w:rPr>
                          <w:b/>
                          <w:color w:val="FFFFFF"/>
                          <w:spacing w:val="-20"/>
                          <w:sz w:val="36"/>
                          <w:szCs w:val="36"/>
                        </w:rPr>
                      </w:pPr>
                      <w:r>
                        <w:rPr>
                          <w:b/>
                          <w:color w:val="FFFFFF"/>
                          <w:spacing w:val="-20"/>
                          <w:sz w:val="36"/>
                          <w:szCs w:val="36"/>
                        </w:rPr>
                        <w:t>Base Rate Enterprises</w:t>
                      </w:r>
                      <w:r w:rsidR="00D0507C">
                        <w:rPr>
                          <w:b/>
                          <w:color w:val="FFFFFF"/>
                          <w:spacing w:val="-20"/>
                          <w:sz w:val="36"/>
                          <w:szCs w:val="36"/>
                        </w:rPr>
                        <w:t xml:space="preserve"> Bill 2017</w:t>
                      </w:r>
                    </w:p>
                    <w:p w:rsidR="00B8724A" w:rsidRPr="00F03AD2" w:rsidRDefault="00B8724A"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F4653C" w:rsidRDefault="00F4653C" w:rsidP="00B8724A">
                      <w:pPr>
                        <w:rPr>
                          <w:rFonts w:ascii="Arial Bold" w:hAnsi="Arial Bold"/>
                          <w:color w:val="FFFFFF"/>
                        </w:rPr>
                      </w:pPr>
                    </w:p>
                    <w:p w:rsidR="00B8724A" w:rsidRPr="00F03AD2" w:rsidRDefault="00C205EA" w:rsidP="00B8724A">
                      <w:pPr>
                        <w:rPr>
                          <w:rFonts w:ascii="Arial Bold" w:hAnsi="Arial Bold"/>
                          <w:color w:val="FFFFFF"/>
                        </w:rPr>
                      </w:pPr>
                      <w:r>
                        <w:rPr>
                          <w:rFonts w:ascii="Arial Bold" w:hAnsi="Arial Bold"/>
                          <w:color w:val="FFFFFF"/>
                        </w:rPr>
                        <w:t>29</w:t>
                      </w:r>
                      <w:r w:rsidR="0099314D">
                        <w:rPr>
                          <w:rFonts w:ascii="Arial Bold" w:hAnsi="Arial Bold"/>
                          <w:color w:val="FFFFFF"/>
                        </w:rPr>
                        <w:t xml:space="preserve"> </w:t>
                      </w:r>
                      <w:r w:rsidR="00F4653C">
                        <w:rPr>
                          <w:rFonts w:ascii="Arial Bold" w:hAnsi="Arial Bold"/>
                          <w:color w:val="FFFFFF"/>
                        </w:rPr>
                        <w:t>September 2017</w:t>
                      </w:r>
                    </w:p>
                  </w:txbxContent>
                </v:textbox>
              </v:shape>
            </w:pict>
          </mc:Fallback>
        </mc:AlternateContent>
      </w: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tabs>
          <w:tab w:val="left" w:pos="7760"/>
        </w:tabs>
        <w:rPr>
          <w:rFonts w:ascii="Arial Narrow" w:hAnsi="Arial Narrow"/>
        </w:rPr>
      </w:pPr>
      <w:r>
        <w:rPr>
          <w:rFonts w:ascii="Arial Narrow" w:hAnsi="Arial Narrow"/>
        </w:rPr>
        <w:tab/>
      </w: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sectPr w:rsidR="00B8724A" w:rsidRPr="002A27C3" w:rsidSect="00B8724A">
          <w:footerReference w:type="default" r:id="rId14"/>
          <w:pgSz w:w="11899" w:h="16838"/>
          <w:pgMar w:top="1733" w:right="1440" w:bottom="2845" w:left="1440" w:header="1440" w:footer="2552" w:gutter="0"/>
          <w:cols w:space="720"/>
          <w:docGrid w:linePitch="360"/>
        </w:sectPr>
      </w:pPr>
    </w:p>
    <w:p w:rsidR="00B8724A" w:rsidRDefault="00B8724A">
      <w:pPr>
        <w:pageBreakBefore/>
        <w:jc w:val="center"/>
        <w:rPr>
          <w:rFonts w:ascii="Arial Narrow" w:hAnsi="Arial Narrow"/>
        </w:rPr>
      </w:pPr>
    </w:p>
    <w:p w:rsidR="00B8724A" w:rsidRPr="008C5232" w:rsidRDefault="00D57593" w:rsidP="008C5232">
      <w:pPr>
        <w:spacing w:line="360" w:lineRule="auto"/>
        <w:rPr>
          <w:rFonts w:ascii="Arial" w:hAnsi="Arial" w:cs="Arial"/>
        </w:rPr>
      </w:pPr>
      <w:r>
        <w:rPr>
          <w:rFonts w:ascii="Arial" w:hAnsi="Arial" w:cs="Arial"/>
        </w:rPr>
        <w:t>29</w:t>
      </w:r>
      <w:r w:rsidR="002223CC" w:rsidRPr="008C5232">
        <w:rPr>
          <w:rFonts w:ascii="Arial" w:hAnsi="Arial" w:cs="Arial"/>
        </w:rPr>
        <w:t xml:space="preserve"> September 2017</w:t>
      </w:r>
    </w:p>
    <w:p w:rsidR="002223CC" w:rsidRPr="008C5232" w:rsidRDefault="002223CC" w:rsidP="008C5232">
      <w:pPr>
        <w:spacing w:line="360" w:lineRule="auto"/>
        <w:rPr>
          <w:rFonts w:ascii="Arial" w:hAnsi="Arial" w:cs="Arial"/>
        </w:rPr>
      </w:pPr>
    </w:p>
    <w:p w:rsidR="004909E3" w:rsidRPr="00D57593" w:rsidRDefault="00D57593" w:rsidP="008C5232">
      <w:pPr>
        <w:spacing w:before="140" w:after="120" w:line="360" w:lineRule="auto"/>
        <w:rPr>
          <w:rFonts w:ascii="Arial" w:hAnsi="Arial" w:cs="Arial"/>
          <w:color w:val="000000"/>
          <w:lang w:val="en-AU" w:bidi="ar-SA"/>
        </w:rPr>
      </w:pPr>
      <w:r w:rsidRPr="00D57593">
        <w:rPr>
          <w:rFonts w:ascii="Arial" w:hAnsi="Arial" w:cs="Arial"/>
          <w:lang w:val="en"/>
        </w:rPr>
        <w:t>Simon Winckler</w:t>
      </w:r>
      <w:r w:rsidRPr="00D57593">
        <w:rPr>
          <w:rFonts w:ascii="Arial" w:hAnsi="Arial" w:cs="Arial"/>
          <w:lang w:val="en"/>
        </w:rPr>
        <w:br/>
        <w:t>Manager</w:t>
      </w:r>
      <w:r w:rsidRPr="00D57593">
        <w:rPr>
          <w:rFonts w:ascii="Arial" w:hAnsi="Arial" w:cs="Arial"/>
          <w:lang w:val="en"/>
        </w:rPr>
        <w:br/>
        <w:t>Corporate and International Tax Division</w:t>
      </w:r>
      <w:r w:rsidRPr="00D57593">
        <w:rPr>
          <w:rFonts w:ascii="Arial" w:hAnsi="Arial" w:cs="Arial"/>
          <w:lang w:val="en"/>
        </w:rPr>
        <w:br/>
        <w:t>The Treasury</w:t>
      </w:r>
      <w:r w:rsidRPr="00D57593">
        <w:rPr>
          <w:rFonts w:ascii="Arial" w:hAnsi="Arial" w:cs="Arial"/>
          <w:lang w:val="en"/>
        </w:rPr>
        <w:br/>
        <w:t>Langton Crescent</w:t>
      </w:r>
      <w:r w:rsidRPr="00D57593">
        <w:rPr>
          <w:rFonts w:ascii="Arial" w:hAnsi="Arial" w:cs="Arial"/>
          <w:lang w:val="en"/>
        </w:rPr>
        <w:br/>
        <w:t>PARKES ACT 2600</w:t>
      </w:r>
    </w:p>
    <w:p w:rsidR="00F4653C" w:rsidRPr="008C5232" w:rsidRDefault="00F4653C" w:rsidP="008C5232">
      <w:pPr>
        <w:spacing w:line="360" w:lineRule="auto"/>
        <w:rPr>
          <w:rFonts w:ascii="Arial" w:hAnsi="Arial" w:cs="Arial"/>
        </w:rPr>
      </w:pPr>
    </w:p>
    <w:p w:rsidR="00F4653C" w:rsidRPr="008C5232" w:rsidRDefault="00F4653C" w:rsidP="008C5232">
      <w:pPr>
        <w:spacing w:line="360" w:lineRule="auto"/>
        <w:rPr>
          <w:rFonts w:ascii="Arial" w:hAnsi="Arial" w:cs="Arial"/>
        </w:rPr>
      </w:pPr>
      <w:r w:rsidRPr="008C5232">
        <w:rPr>
          <w:rFonts w:ascii="Arial" w:hAnsi="Arial" w:cs="Arial"/>
        </w:rPr>
        <w:t>Dear Sir/Madam</w:t>
      </w:r>
      <w:r w:rsidR="004909E3" w:rsidRPr="008C5232">
        <w:rPr>
          <w:rFonts w:ascii="Arial" w:hAnsi="Arial" w:cs="Arial"/>
        </w:rPr>
        <w:t>,</w:t>
      </w:r>
    </w:p>
    <w:p w:rsidR="004909E3" w:rsidRPr="008C5232" w:rsidRDefault="004909E3" w:rsidP="008C5232">
      <w:pPr>
        <w:spacing w:line="360" w:lineRule="auto"/>
        <w:rPr>
          <w:rFonts w:ascii="Arial" w:hAnsi="Arial" w:cs="Arial"/>
        </w:rPr>
      </w:pPr>
    </w:p>
    <w:p w:rsidR="00424CA6" w:rsidRPr="00FF081E" w:rsidRDefault="004909E3" w:rsidP="008E113A">
      <w:pPr>
        <w:pStyle w:val="ShortT"/>
        <w:spacing w:line="360" w:lineRule="auto"/>
        <w:rPr>
          <w:rFonts w:ascii="Arial" w:hAnsi="Arial" w:cs="Arial"/>
          <w:b w:val="0"/>
          <w:sz w:val="24"/>
          <w:szCs w:val="24"/>
        </w:rPr>
      </w:pPr>
      <w:r w:rsidRPr="00DF7590">
        <w:rPr>
          <w:rFonts w:ascii="Arial" w:eastAsiaTheme="minorHAnsi" w:hAnsi="Arial" w:cs="Arial"/>
          <w:b w:val="0"/>
          <w:sz w:val="24"/>
          <w:szCs w:val="24"/>
        </w:rPr>
        <w:t xml:space="preserve">The </w:t>
      </w:r>
      <w:r w:rsidR="00083342" w:rsidRPr="00DF7590">
        <w:rPr>
          <w:rFonts w:ascii="Arial" w:eastAsiaTheme="minorHAnsi" w:hAnsi="Arial" w:cs="Arial"/>
          <w:b w:val="0"/>
          <w:sz w:val="24"/>
          <w:szCs w:val="24"/>
        </w:rPr>
        <w:t>IPA is</w:t>
      </w:r>
      <w:r w:rsidRPr="00DF7590">
        <w:rPr>
          <w:rFonts w:ascii="Arial" w:eastAsiaTheme="minorHAnsi" w:hAnsi="Arial" w:cs="Arial"/>
          <w:b w:val="0"/>
          <w:sz w:val="24"/>
          <w:szCs w:val="24"/>
        </w:rPr>
        <w:t xml:space="preserve"> pleased to submit a submission on </w:t>
      </w:r>
      <w:r w:rsidR="00D57593" w:rsidRPr="00DF7590">
        <w:rPr>
          <w:rFonts w:ascii="Arial" w:hAnsi="Arial" w:cs="Arial"/>
          <w:b w:val="0"/>
          <w:sz w:val="24"/>
          <w:szCs w:val="24"/>
        </w:rPr>
        <w:t>Treasury Laws Amendment (Enterprise Tax Plan Base Rate Entities) Bill 2017</w:t>
      </w:r>
      <w:r w:rsidRPr="00DF7590">
        <w:rPr>
          <w:rFonts w:ascii="Arial" w:hAnsi="Arial" w:cs="Arial"/>
          <w:b w:val="0"/>
          <w:sz w:val="24"/>
          <w:szCs w:val="24"/>
          <w:lang w:val="en"/>
        </w:rPr>
        <w:t>.</w:t>
      </w:r>
      <w:r w:rsidR="00424CA6" w:rsidRPr="00DF7590">
        <w:rPr>
          <w:rFonts w:ascii="Arial" w:hAnsi="Arial" w:cs="Arial"/>
          <w:b w:val="0"/>
          <w:sz w:val="24"/>
          <w:szCs w:val="24"/>
          <w:lang w:val="en"/>
        </w:rPr>
        <w:t xml:space="preserve"> </w:t>
      </w:r>
      <w:r w:rsidR="003F79FD">
        <w:rPr>
          <w:rFonts w:ascii="Arial" w:hAnsi="Arial" w:cs="Arial"/>
          <w:b w:val="0"/>
          <w:sz w:val="24"/>
          <w:szCs w:val="24"/>
          <w:lang w:val="en"/>
        </w:rPr>
        <w:t xml:space="preserve">We welcome the Government providing more clarity around eligibility </w:t>
      </w:r>
      <w:r w:rsidR="00820CAE">
        <w:rPr>
          <w:rFonts w:ascii="Arial" w:hAnsi="Arial" w:cs="Arial"/>
          <w:b w:val="0"/>
          <w:sz w:val="24"/>
          <w:szCs w:val="24"/>
          <w:lang w:val="en"/>
        </w:rPr>
        <w:t>to the lower corporate tax rate which has been the subject matter of much uncertainty.</w:t>
      </w:r>
      <w:r w:rsidR="000806BC">
        <w:rPr>
          <w:rFonts w:ascii="Arial" w:hAnsi="Arial" w:cs="Arial"/>
          <w:b w:val="0"/>
          <w:sz w:val="24"/>
          <w:szCs w:val="24"/>
          <w:lang w:val="en"/>
        </w:rPr>
        <w:t xml:space="preserve"> A two tiered company tax rate system unfortunately does create more complexity in the tax system but the benefits to the economy of lower corporate tax rates on small corporate tax entities will far exceed any additional compliance costs.</w:t>
      </w:r>
      <w:r w:rsidR="00FF081E" w:rsidRPr="00FF081E">
        <w:rPr>
          <w:rFonts w:ascii="Arial" w:hAnsi="Arial" w:cs="Arial"/>
          <w:sz w:val="24"/>
          <w:szCs w:val="24"/>
        </w:rPr>
        <w:t xml:space="preserve"> </w:t>
      </w:r>
      <w:r w:rsidR="00FF081E" w:rsidRPr="00FF081E">
        <w:rPr>
          <w:rFonts w:ascii="Arial" w:hAnsi="Arial" w:cs="Arial"/>
          <w:b w:val="0"/>
          <w:sz w:val="24"/>
          <w:szCs w:val="24"/>
        </w:rPr>
        <w:t>Advisers will need to acquaint themselves with a new concept of base rate passive entity income to determine eligibility for the lower company tax rate.</w:t>
      </w:r>
    </w:p>
    <w:p w:rsidR="00424CA6" w:rsidRPr="008E113A" w:rsidRDefault="00424CA6" w:rsidP="008C5232">
      <w:pPr>
        <w:spacing w:line="360" w:lineRule="auto"/>
        <w:rPr>
          <w:rFonts w:ascii="Arial" w:hAnsi="Arial" w:cs="Arial"/>
        </w:rPr>
      </w:pPr>
    </w:p>
    <w:p w:rsidR="004909E3" w:rsidRPr="008C5232" w:rsidRDefault="004909E3" w:rsidP="008C5232">
      <w:pPr>
        <w:spacing w:line="360" w:lineRule="auto"/>
        <w:rPr>
          <w:rFonts w:ascii="Arial" w:hAnsi="Arial" w:cs="Arial"/>
        </w:rPr>
      </w:pPr>
      <w:r w:rsidRPr="008C5232">
        <w:rPr>
          <w:rFonts w:ascii="Arial" w:hAnsi="Arial" w:cs="Arial"/>
        </w:rPr>
        <w:t xml:space="preserve">The Institute of Public Accountants (IPA) is one of the three legally recognised professional accounting bodies in Australia. The IPA has been in operation for over 90 years and has grown rapidly in recent years to represent more than 35,000 members and students in Australia and in more than 80 countries. The IPA has offices around Australia and in London, Beijing, Shanghai, Guangzhou and Kuala Lumpur. It also has a range of partnerships with other global accounting bodies. The IPA is a full member of the International Federation of Accountants and has almost 4,000 individual accounting practices in its network, generating in excess of $2.1 billion in accounting services fees annually. The IPA’s unique proposition is that it is for </w:t>
      </w:r>
      <w:r w:rsidRPr="008C5232">
        <w:rPr>
          <w:rFonts w:ascii="Arial" w:hAnsi="Arial" w:cs="Arial"/>
          <w:i/>
          <w:iCs/>
        </w:rPr>
        <w:t>small business</w:t>
      </w:r>
      <w:r w:rsidRPr="008C5232">
        <w:rPr>
          <w:rFonts w:ascii="Arial" w:hAnsi="Arial" w:cs="Arial"/>
        </w:rPr>
        <w:t>; providing personal, practical and valued services to its members and their clients/employers. More than 75 per cent of IPA members work directly in or with small business every day.</w:t>
      </w:r>
    </w:p>
    <w:p w:rsidR="00664D10" w:rsidRPr="00664D10" w:rsidRDefault="00D57593" w:rsidP="00664D10">
      <w:pPr>
        <w:pStyle w:val="NormalWeb"/>
        <w:spacing w:line="360" w:lineRule="auto"/>
        <w:rPr>
          <w:rFonts w:ascii="Arial" w:eastAsia="Times New Roman" w:hAnsi="Arial" w:cs="Arial"/>
          <w:sz w:val="24"/>
          <w:szCs w:val="24"/>
          <w:lang w:val="en"/>
        </w:rPr>
      </w:pPr>
      <w:r w:rsidRPr="008E113A">
        <w:rPr>
          <w:rFonts w:ascii="Arial" w:hAnsi="Arial" w:cs="Arial"/>
          <w:color w:val="000000"/>
          <w:sz w:val="24"/>
          <w:szCs w:val="24"/>
        </w:rPr>
        <w:t xml:space="preserve">As part of the Government’s Enterprise Tax Plan, the corporate tax rate for small corporate tax entities has been cut to 27.5 per cent. The turnover threshold that applies for a corporate tax entity to qualify for the lower corporate tax rate will increase annually from $10 million in the 2016-17 income year to $50 million in the 2018-19 income year. The </w:t>
      </w:r>
      <w:r w:rsidR="008E113A" w:rsidRPr="008E113A">
        <w:rPr>
          <w:rFonts w:ascii="Arial" w:hAnsi="Arial" w:cs="Arial"/>
          <w:sz w:val="24"/>
          <w:szCs w:val="24"/>
        </w:rPr>
        <w:t xml:space="preserve">Treasury Laws Amendment (Enterprise Tax Plan Base Rate Entities) Bill 2017 </w:t>
      </w:r>
      <w:r w:rsidR="00DF7590">
        <w:rPr>
          <w:rFonts w:ascii="Arial" w:hAnsi="Arial" w:cs="Arial"/>
          <w:sz w:val="24"/>
          <w:szCs w:val="24"/>
        </w:rPr>
        <w:t xml:space="preserve">aims to </w:t>
      </w:r>
      <w:r w:rsidRPr="008E113A">
        <w:rPr>
          <w:rFonts w:ascii="Arial" w:hAnsi="Arial" w:cs="Arial"/>
          <w:color w:val="000000"/>
          <w:sz w:val="24"/>
          <w:szCs w:val="24"/>
        </w:rPr>
        <w:t>clarif</w:t>
      </w:r>
      <w:r w:rsidR="00DF7590">
        <w:rPr>
          <w:rFonts w:ascii="Arial" w:hAnsi="Arial" w:cs="Arial"/>
          <w:color w:val="000000"/>
          <w:sz w:val="24"/>
          <w:szCs w:val="24"/>
        </w:rPr>
        <w:t>y</w:t>
      </w:r>
      <w:r w:rsidRPr="008E113A">
        <w:rPr>
          <w:rFonts w:ascii="Arial" w:hAnsi="Arial" w:cs="Arial"/>
          <w:color w:val="000000"/>
          <w:sz w:val="24"/>
          <w:szCs w:val="24"/>
        </w:rPr>
        <w:t xml:space="preserve"> that corporate tax entities with predominantly passive income cannot access the lower corporate tax rate before 2023-24 when the tax rate should be 27.5 per cent for all companies.</w:t>
      </w:r>
      <w:r w:rsidR="00664D10" w:rsidRPr="00664D10">
        <w:rPr>
          <w:rFonts w:ascii="Fira Sans" w:hAnsi="Fira Sans"/>
          <w:sz w:val="15"/>
          <w:szCs w:val="15"/>
          <w:lang w:val="en"/>
        </w:rPr>
        <w:t xml:space="preserve"> </w:t>
      </w:r>
      <w:r w:rsidR="00664D10" w:rsidRPr="00664D10">
        <w:rPr>
          <w:rFonts w:ascii="Arial" w:eastAsia="Times New Roman" w:hAnsi="Arial" w:cs="Arial"/>
          <w:sz w:val="24"/>
          <w:szCs w:val="24"/>
          <w:lang w:val="en"/>
        </w:rPr>
        <w:t xml:space="preserve">The Bill amends the </w:t>
      </w:r>
      <w:r w:rsidR="00664D10" w:rsidRPr="00664D10">
        <w:rPr>
          <w:rFonts w:ascii="Arial" w:eastAsia="Times New Roman" w:hAnsi="Arial" w:cs="Arial"/>
          <w:i/>
          <w:iCs/>
          <w:sz w:val="24"/>
          <w:szCs w:val="24"/>
          <w:lang w:val="en"/>
        </w:rPr>
        <w:t>Income Tax Rates Act 1986</w:t>
      </w:r>
      <w:r w:rsidR="00664D10" w:rsidRPr="00664D10">
        <w:rPr>
          <w:rFonts w:ascii="Arial" w:eastAsia="Times New Roman" w:hAnsi="Arial" w:cs="Arial"/>
          <w:sz w:val="24"/>
          <w:szCs w:val="24"/>
          <w:lang w:val="en"/>
        </w:rPr>
        <w:t xml:space="preserve"> to ensure that a corporate tax entity will qualify for the lower corporate tax rate during this period only if:</w:t>
      </w:r>
    </w:p>
    <w:p w:rsidR="00664D10" w:rsidRPr="00664D10" w:rsidRDefault="00664D10" w:rsidP="00664D10">
      <w:pPr>
        <w:numPr>
          <w:ilvl w:val="0"/>
          <w:numId w:val="7"/>
        </w:numPr>
        <w:suppressAutoHyphens w:val="0"/>
        <w:spacing w:before="100" w:beforeAutospacing="1" w:after="100" w:afterAutospacing="1" w:line="360" w:lineRule="auto"/>
        <w:rPr>
          <w:rFonts w:ascii="Arial" w:hAnsi="Arial" w:cs="Arial"/>
          <w:lang w:val="en" w:eastAsia="en-AU" w:bidi="ar-SA"/>
        </w:rPr>
      </w:pPr>
      <w:r w:rsidRPr="00664D10">
        <w:rPr>
          <w:rFonts w:ascii="Arial" w:hAnsi="Arial" w:cs="Arial"/>
          <w:lang w:val="en" w:eastAsia="en-AU" w:bidi="ar-SA"/>
        </w:rPr>
        <w:t>the corporate tax entity carries on a business in the income year;</w:t>
      </w:r>
    </w:p>
    <w:p w:rsidR="00664D10" w:rsidRPr="00664D10" w:rsidRDefault="00664D10" w:rsidP="00664D10">
      <w:pPr>
        <w:numPr>
          <w:ilvl w:val="0"/>
          <w:numId w:val="7"/>
        </w:numPr>
        <w:suppressAutoHyphens w:val="0"/>
        <w:spacing w:before="100" w:beforeAutospacing="1" w:after="100" w:afterAutospacing="1" w:line="360" w:lineRule="auto"/>
        <w:rPr>
          <w:rFonts w:ascii="Arial" w:hAnsi="Arial" w:cs="Arial"/>
          <w:lang w:val="en" w:eastAsia="en-AU" w:bidi="ar-SA"/>
        </w:rPr>
      </w:pPr>
      <w:r w:rsidRPr="00664D10">
        <w:rPr>
          <w:rFonts w:ascii="Arial" w:hAnsi="Arial" w:cs="Arial"/>
          <w:lang w:val="en" w:eastAsia="en-AU" w:bidi="ar-SA"/>
        </w:rPr>
        <w:t>the aggregated turnover of the corporate tax entity for the income year is less than the aggregated turnover threshold for that income year; and</w:t>
      </w:r>
    </w:p>
    <w:p w:rsidR="00664D10" w:rsidRPr="00664D10" w:rsidRDefault="00664D10" w:rsidP="00664D10">
      <w:pPr>
        <w:numPr>
          <w:ilvl w:val="0"/>
          <w:numId w:val="7"/>
        </w:numPr>
        <w:suppressAutoHyphens w:val="0"/>
        <w:spacing w:before="100" w:beforeAutospacing="1" w:after="100" w:afterAutospacing="1" w:line="360" w:lineRule="auto"/>
        <w:rPr>
          <w:rFonts w:ascii="Arial" w:hAnsi="Arial" w:cs="Arial"/>
          <w:lang w:val="en" w:eastAsia="en-AU" w:bidi="ar-SA"/>
        </w:rPr>
      </w:pPr>
      <w:r w:rsidRPr="00664D10">
        <w:rPr>
          <w:rFonts w:ascii="Arial" w:hAnsi="Arial" w:cs="Arial"/>
          <w:lang w:val="en" w:eastAsia="en-AU" w:bidi="ar-SA"/>
        </w:rPr>
        <w:t>the corporate tax entity does not have passive income for that income year of 80 per cent or more of its assessable income for that income year.</w:t>
      </w:r>
    </w:p>
    <w:p w:rsidR="00534CDB" w:rsidRPr="00534CDB" w:rsidRDefault="00534CDB" w:rsidP="00534CDB">
      <w:pPr>
        <w:pStyle w:val="NormalWeb"/>
        <w:spacing w:line="360" w:lineRule="auto"/>
        <w:rPr>
          <w:rFonts w:ascii="Arial" w:hAnsi="Arial" w:cs="Arial"/>
          <w:sz w:val="24"/>
          <w:szCs w:val="24"/>
        </w:rPr>
      </w:pPr>
      <w:r w:rsidRPr="00534CDB">
        <w:rPr>
          <w:rFonts w:ascii="Arial" w:hAnsi="Arial" w:cs="Arial"/>
          <w:sz w:val="24"/>
          <w:szCs w:val="24"/>
        </w:rPr>
        <w:t>In this context, passive income includes (but is not limited to) dividends, rent, interest, capital gains and royalties. The proposed measures will also classify amounts that flow through partnerships and trusts as passive income to the extent that it is attributable to passive income.</w:t>
      </w:r>
      <w:r w:rsidRPr="00534CDB">
        <w:rPr>
          <w:sz w:val="24"/>
          <w:szCs w:val="24"/>
        </w:rPr>
        <w:t xml:space="preserve"> </w:t>
      </w:r>
      <w:r w:rsidRPr="00534CDB">
        <w:rPr>
          <w:rFonts w:ascii="Arial" w:hAnsi="Arial" w:cs="Arial"/>
          <w:sz w:val="24"/>
          <w:szCs w:val="24"/>
        </w:rPr>
        <w:t>Passive income will not include distributions from partnerships and trust</w:t>
      </w:r>
      <w:r w:rsidR="000E5116">
        <w:rPr>
          <w:rFonts w:ascii="Arial" w:hAnsi="Arial" w:cs="Arial"/>
          <w:sz w:val="24"/>
          <w:szCs w:val="24"/>
        </w:rPr>
        <w:t>s</w:t>
      </w:r>
      <w:r w:rsidRPr="00534CDB">
        <w:rPr>
          <w:rFonts w:ascii="Arial" w:hAnsi="Arial" w:cs="Arial"/>
          <w:sz w:val="24"/>
          <w:szCs w:val="24"/>
        </w:rPr>
        <w:t xml:space="preserve"> where the partnership or trust carries on </w:t>
      </w:r>
      <w:r w:rsidR="00213BBA">
        <w:rPr>
          <w:rFonts w:ascii="Arial" w:hAnsi="Arial" w:cs="Arial"/>
          <w:sz w:val="24"/>
          <w:szCs w:val="24"/>
        </w:rPr>
        <w:t xml:space="preserve">active trading business. </w:t>
      </w:r>
    </w:p>
    <w:p w:rsidR="00D57593" w:rsidRPr="00A928AA" w:rsidRDefault="008E113A" w:rsidP="008E113A">
      <w:pPr>
        <w:pStyle w:val="NormalWeb"/>
        <w:shd w:val="clear" w:color="auto" w:fill="FFFFFF"/>
        <w:spacing w:line="360" w:lineRule="auto"/>
        <w:textAlignment w:val="top"/>
        <w:rPr>
          <w:rFonts w:ascii="Arial" w:hAnsi="Arial" w:cs="Arial"/>
          <w:color w:val="000000"/>
          <w:sz w:val="24"/>
          <w:szCs w:val="24"/>
        </w:rPr>
      </w:pPr>
      <w:r>
        <w:rPr>
          <w:rFonts w:ascii="Arial" w:hAnsi="Arial" w:cs="Arial"/>
          <w:color w:val="000000"/>
          <w:sz w:val="24"/>
          <w:szCs w:val="24"/>
        </w:rPr>
        <w:t xml:space="preserve">Whilst the law has been enacted to give small business companies a tax rate reduction with effect from the 2016-17 income year, there has been a lot of confusion around which entities might actually qualify for the lower tax rate. The uncertainty has arisen mainly due </w:t>
      </w:r>
      <w:r w:rsidR="000E5116">
        <w:rPr>
          <w:rFonts w:ascii="Arial" w:hAnsi="Arial" w:cs="Arial"/>
          <w:color w:val="000000"/>
          <w:sz w:val="24"/>
          <w:szCs w:val="24"/>
        </w:rPr>
        <w:t xml:space="preserve">to </w:t>
      </w:r>
      <w:r>
        <w:rPr>
          <w:rFonts w:ascii="Arial" w:hAnsi="Arial" w:cs="Arial"/>
          <w:color w:val="000000"/>
          <w:sz w:val="24"/>
          <w:szCs w:val="24"/>
        </w:rPr>
        <w:t xml:space="preserve">whether a company is </w:t>
      </w:r>
      <w:r w:rsidR="000E5116">
        <w:rPr>
          <w:rFonts w:ascii="Arial" w:hAnsi="Arial" w:cs="Arial"/>
          <w:color w:val="000000"/>
          <w:sz w:val="24"/>
          <w:szCs w:val="24"/>
        </w:rPr>
        <w:t>considered</w:t>
      </w:r>
      <w:r>
        <w:rPr>
          <w:rFonts w:ascii="Arial" w:hAnsi="Arial" w:cs="Arial"/>
          <w:color w:val="000000"/>
          <w:sz w:val="24"/>
          <w:szCs w:val="24"/>
        </w:rPr>
        <w:t xml:space="preserve"> to be carrying on a business.</w:t>
      </w:r>
      <w:r w:rsidR="006346D5" w:rsidRPr="006346D5">
        <w:t xml:space="preserve"> </w:t>
      </w:r>
      <w:r w:rsidR="006346D5" w:rsidRPr="00A928AA">
        <w:rPr>
          <w:rFonts w:ascii="Arial" w:hAnsi="Arial" w:cs="Arial"/>
          <w:sz w:val="24"/>
          <w:szCs w:val="24"/>
        </w:rPr>
        <w:t>It is imperative that a company knows what its tax rate is according to the law</w:t>
      </w:r>
      <w:r w:rsidR="00A928AA" w:rsidRPr="00A928AA">
        <w:rPr>
          <w:rFonts w:ascii="Arial" w:hAnsi="Arial" w:cs="Arial"/>
          <w:sz w:val="24"/>
          <w:szCs w:val="24"/>
        </w:rPr>
        <w:t xml:space="preserve">. Not only is this </w:t>
      </w:r>
      <w:r w:rsidR="00DF7590" w:rsidRPr="00A928AA">
        <w:rPr>
          <w:rFonts w:ascii="Arial" w:hAnsi="Arial" w:cs="Arial"/>
          <w:sz w:val="24"/>
          <w:szCs w:val="24"/>
        </w:rPr>
        <w:t>important for</w:t>
      </w:r>
      <w:r w:rsidR="006346D5" w:rsidRPr="00A928AA">
        <w:rPr>
          <w:rFonts w:ascii="Arial" w:hAnsi="Arial" w:cs="Arial"/>
          <w:sz w:val="24"/>
          <w:szCs w:val="24"/>
        </w:rPr>
        <w:t xml:space="preserve"> when the time comes to lodge its income tax return and pay its income tax for the year, but for purposes of working out the appropriate </w:t>
      </w:r>
      <w:r w:rsidR="00DF7590">
        <w:rPr>
          <w:rFonts w:ascii="Arial" w:hAnsi="Arial" w:cs="Arial"/>
          <w:sz w:val="24"/>
          <w:szCs w:val="24"/>
        </w:rPr>
        <w:t xml:space="preserve">franking </w:t>
      </w:r>
      <w:r w:rsidR="006346D5" w:rsidRPr="00A928AA">
        <w:rPr>
          <w:rFonts w:ascii="Arial" w:hAnsi="Arial" w:cs="Arial"/>
          <w:sz w:val="24"/>
          <w:szCs w:val="24"/>
        </w:rPr>
        <w:t xml:space="preserve">rate </w:t>
      </w:r>
      <w:r w:rsidR="00DF7590">
        <w:rPr>
          <w:rFonts w:ascii="Arial" w:hAnsi="Arial" w:cs="Arial"/>
          <w:sz w:val="24"/>
          <w:szCs w:val="24"/>
        </w:rPr>
        <w:t>for</w:t>
      </w:r>
      <w:r w:rsidR="006346D5" w:rsidRPr="00A928AA">
        <w:rPr>
          <w:rFonts w:ascii="Arial" w:hAnsi="Arial" w:cs="Arial"/>
          <w:sz w:val="24"/>
          <w:szCs w:val="24"/>
        </w:rPr>
        <w:t xml:space="preserve"> any distributions it makes to its shareholders during the </w:t>
      </w:r>
      <w:r w:rsidR="00DF7590" w:rsidRPr="00A928AA">
        <w:rPr>
          <w:rFonts w:ascii="Arial" w:hAnsi="Arial" w:cs="Arial"/>
          <w:sz w:val="24"/>
          <w:szCs w:val="24"/>
        </w:rPr>
        <w:t>year</w:t>
      </w:r>
      <w:r w:rsidR="00DF7590">
        <w:rPr>
          <w:rFonts w:ascii="Arial" w:hAnsi="Arial" w:cs="Arial"/>
          <w:sz w:val="24"/>
          <w:szCs w:val="24"/>
        </w:rPr>
        <w:t>.</w:t>
      </w:r>
      <w:r w:rsidR="00DF7590" w:rsidRPr="00A928AA">
        <w:rPr>
          <w:rFonts w:ascii="Arial" w:hAnsi="Arial" w:cs="Arial"/>
          <w:sz w:val="24"/>
          <w:szCs w:val="24"/>
        </w:rPr>
        <w:t xml:space="preserve"> Getting</w:t>
      </w:r>
      <w:r w:rsidR="00A928AA" w:rsidRPr="00A928AA">
        <w:rPr>
          <w:rFonts w:ascii="Arial" w:hAnsi="Arial" w:cs="Arial"/>
          <w:sz w:val="24"/>
          <w:szCs w:val="24"/>
        </w:rPr>
        <w:t xml:space="preserve"> the tax rate wrong can create downstream implications for its shareholders who may need to amend </w:t>
      </w:r>
      <w:r w:rsidR="00FF081E">
        <w:rPr>
          <w:rFonts w:ascii="Arial" w:hAnsi="Arial" w:cs="Arial"/>
          <w:sz w:val="24"/>
          <w:szCs w:val="24"/>
        </w:rPr>
        <w:t xml:space="preserve">personal tax </w:t>
      </w:r>
      <w:r w:rsidR="00A928AA" w:rsidRPr="00A928AA">
        <w:rPr>
          <w:rFonts w:ascii="Arial" w:hAnsi="Arial" w:cs="Arial"/>
          <w:sz w:val="24"/>
          <w:szCs w:val="24"/>
        </w:rPr>
        <w:t>returns to reflect the correct franking distribution rate</w:t>
      </w:r>
      <w:r w:rsidR="00DF7590">
        <w:rPr>
          <w:rFonts w:ascii="Arial" w:hAnsi="Arial" w:cs="Arial"/>
          <w:sz w:val="24"/>
          <w:szCs w:val="24"/>
        </w:rPr>
        <w:t xml:space="preserve"> on distributions </w:t>
      </w:r>
      <w:r w:rsidR="00D0507C">
        <w:rPr>
          <w:rFonts w:ascii="Arial" w:hAnsi="Arial" w:cs="Arial"/>
          <w:sz w:val="24"/>
          <w:szCs w:val="24"/>
        </w:rPr>
        <w:t xml:space="preserve">already </w:t>
      </w:r>
      <w:r w:rsidR="00DF7590">
        <w:rPr>
          <w:rFonts w:ascii="Arial" w:hAnsi="Arial" w:cs="Arial"/>
          <w:sz w:val="24"/>
          <w:szCs w:val="24"/>
        </w:rPr>
        <w:t>received</w:t>
      </w:r>
      <w:r w:rsidR="00A928AA" w:rsidRPr="00A928AA">
        <w:rPr>
          <w:rFonts w:ascii="Arial" w:hAnsi="Arial" w:cs="Arial"/>
          <w:sz w:val="24"/>
          <w:szCs w:val="24"/>
        </w:rPr>
        <w:t>.</w:t>
      </w:r>
    </w:p>
    <w:p w:rsidR="006346D5" w:rsidRPr="006346D5" w:rsidRDefault="00A928AA" w:rsidP="006346D5">
      <w:pPr>
        <w:pStyle w:val="Default"/>
        <w:spacing w:line="360" w:lineRule="auto"/>
        <w:rPr>
          <w:rFonts w:ascii="Arial" w:hAnsi="Arial" w:cs="Arial"/>
        </w:rPr>
      </w:pPr>
      <w:r>
        <w:rPr>
          <w:rFonts w:ascii="Arial" w:hAnsi="Arial" w:cs="Arial"/>
        </w:rPr>
        <w:t>I</w:t>
      </w:r>
      <w:r w:rsidR="006346D5" w:rsidRPr="006346D5">
        <w:rPr>
          <w:rFonts w:ascii="Arial" w:hAnsi="Arial" w:cs="Arial"/>
        </w:rPr>
        <w:t xml:space="preserve">n addition to meeting the relevant aggregated turnover threshold, it is a requirement that a company carry on a business in order to qualify for the reduced company tax rate. Furthermore, in working out a company’s aggregated turnover, it is necessary to determine total ordinary income that the company (and its connected or affiliated entities) derives in the income year in the “ordinary course of carrying on a business”. </w:t>
      </w:r>
    </w:p>
    <w:p w:rsidR="006346D5" w:rsidRDefault="006346D5" w:rsidP="006346D5">
      <w:pPr>
        <w:pStyle w:val="Default"/>
        <w:spacing w:line="360" w:lineRule="auto"/>
        <w:rPr>
          <w:rFonts w:ascii="Arial" w:hAnsi="Arial" w:cs="Arial"/>
        </w:rPr>
      </w:pPr>
      <w:r w:rsidRPr="006346D5">
        <w:rPr>
          <w:rFonts w:ascii="Arial" w:hAnsi="Arial" w:cs="Arial"/>
        </w:rPr>
        <w:t xml:space="preserve">Once it is established that a company is carrying on a business (no matter how small or large) and meets the relevant aggregated turnover threshold, all of the company’s taxable income (not just that derived in the ordinary course of carrying on a business) is subject to the lower tax rate. </w:t>
      </w:r>
    </w:p>
    <w:p w:rsidR="00FF081E" w:rsidRPr="006346D5" w:rsidRDefault="00FF081E" w:rsidP="006346D5">
      <w:pPr>
        <w:pStyle w:val="Default"/>
        <w:spacing w:line="360" w:lineRule="auto"/>
        <w:rPr>
          <w:rFonts w:ascii="Arial" w:hAnsi="Arial" w:cs="Arial"/>
        </w:rPr>
      </w:pPr>
    </w:p>
    <w:p w:rsidR="00DF7590" w:rsidRPr="00FF081E" w:rsidRDefault="006346D5" w:rsidP="00BA580B">
      <w:pPr>
        <w:pStyle w:val="NormalWeb"/>
        <w:spacing w:before="0" w:after="330" w:line="360" w:lineRule="auto"/>
        <w:rPr>
          <w:rFonts w:ascii="Arial" w:hAnsi="Arial" w:cs="Arial"/>
          <w:sz w:val="24"/>
          <w:szCs w:val="24"/>
        </w:rPr>
      </w:pPr>
      <w:r w:rsidRPr="006346D5">
        <w:rPr>
          <w:rFonts w:ascii="Arial" w:hAnsi="Arial" w:cs="Arial"/>
          <w:sz w:val="24"/>
          <w:szCs w:val="24"/>
        </w:rPr>
        <w:t>Whether or not a taxpayer is carrying on a business is a question of fact and degree.</w:t>
      </w:r>
      <w:r w:rsidR="00DF7590">
        <w:rPr>
          <w:rFonts w:ascii="Arial" w:hAnsi="Arial" w:cs="Arial"/>
          <w:sz w:val="24"/>
          <w:szCs w:val="24"/>
        </w:rPr>
        <w:t xml:space="preserve"> </w:t>
      </w:r>
      <w:r w:rsidR="00DF7590" w:rsidRPr="00BA580B">
        <w:rPr>
          <w:rFonts w:ascii="Arial" w:hAnsi="Arial" w:cs="Arial"/>
          <w:color w:val="666666"/>
          <w:sz w:val="24"/>
          <w:szCs w:val="24"/>
        </w:rPr>
        <w:t xml:space="preserve"> </w:t>
      </w:r>
      <w:r w:rsidR="00DF7590" w:rsidRPr="00FF081E">
        <w:rPr>
          <w:rFonts w:ascii="Arial" w:hAnsi="Arial" w:cs="Arial"/>
          <w:sz w:val="24"/>
          <w:szCs w:val="24"/>
        </w:rPr>
        <w:t>It requires a weighing up of various indicia. Judicial decisions often cite the following indicia</w:t>
      </w:r>
      <w:r w:rsidR="0010333D">
        <w:rPr>
          <w:rFonts w:ascii="Arial" w:hAnsi="Arial" w:cs="Arial"/>
          <w:sz w:val="24"/>
          <w:szCs w:val="24"/>
        </w:rPr>
        <w:t>:</w:t>
      </w:r>
      <w:r w:rsidR="00DF7590" w:rsidRPr="00FF081E">
        <w:rPr>
          <w:rFonts w:ascii="Arial" w:hAnsi="Arial" w:cs="Arial"/>
          <w:sz w:val="24"/>
          <w:szCs w:val="24"/>
        </w:rPr>
        <w:t xml:space="preserve"> </w:t>
      </w:r>
    </w:p>
    <w:p w:rsidR="00DF7590" w:rsidRPr="00FF081E" w:rsidRDefault="00DF7590" w:rsidP="00BA580B">
      <w:pPr>
        <w:pStyle w:val="NormalWeb"/>
        <w:numPr>
          <w:ilvl w:val="0"/>
          <w:numId w:val="8"/>
        </w:numPr>
        <w:spacing w:before="0" w:after="330" w:line="360" w:lineRule="auto"/>
        <w:rPr>
          <w:rFonts w:ascii="Arial" w:hAnsi="Arial" w:cs="Arial"/>
          <w:sz w:val="24"/>
          <w:szCs w:val="24"/>
        </w:rPr>
      </w:pPr>
      <w:r w:rsidRPr="00FF081E">
        <w:rPr>
          <w:rFonts w:ascii="Arial" w:hAnsi="Arial" w:cs="Arial"/>
          <w:sz w:val="24"/>
          <w:szCs w:val="24"/>
        </w:rPr>
        <w:t>The nature of the activities undertaken and whether they have the purpose of profit-making</w:t>
      </w:r>
    </w:p>
    <w:p w:rsidR="00DF7590" w:rsidRPr="00FF081E" w:rsidRDefault="00DF7590" w:rsidP="00BA580B">
      <w:pPr>
        <w:pStyle w:val="NormalWeb"/>
        <w:numPr>
          <w:ilvl w:val="0"/>
          <w:numId w:val="8"/>
        </w:numPr>
        <w:spacing w:before="0" w:after="330" w:line="360" w:lineRule="auto"/>
        <w:rPr>
          <w:rFonts w:ascii="Arial" w:hAnsi="Arial" w:cs="Arial"/>
          <w:sz w:val="24"/>
          <w:szCs w:val="24"/>
        </w:rPr>
      </w:pPr>
      <w:r w:rsidRPr="00FF081E">
        <w:rPr>
          <w:rFonts w:ascii="Arial" w:hAnsi="Arial" w:cs="Arial"/>
          <w:sz w:val="24"/>
          <w:szCs w:val="24"/>
        </w:rPr>
        <w:t>Repetition and regularity of the activities</w:t>
      </w:r>
    </w:p>
    <w:p w:rsidR="00DF7590" w:rsidRPr="00FF081E" w:rsidRDefault="00DF7590" w:rsidP="00BA580B">
      <w:pPr>
        <w:pStyle w:val="NormalWeb"/>
        <w:numPr>
          <w:ilvl w:val="0"/>
          <w:numId w:val="8"/>
        </w:numPr>
        <w:spacing w:before="0" w:after="330" w:line="360" w:lineRule="auto"/>
        <w:rPr>
          <w:rFonts w:ascii="Arial" w:hAnsi="Arial" w:cs="Arial"/>
          <w:sz w:val="24"/>
          <w:szCs w:val="24"/>
        </w:rPr>
      </w:pPr>
      <w:r w:rsidRPr="00FF081E">
        <w:rPr>
          <w:rFonts w:ascii="Arial" w:hAnsi="Arial" w:cs="Arial"/>
          <w:sz w:val="24"/>
          <w:szCs w:val="24"/>
        </w:rPr>
        <w:t xml:space="preserve">Organization of </w:t>
      </w:r>
      <w:r w:rsidR="0010333D">
        <w:rPr>
          <w:rFonts w:ascii="Arial" w:hAnsi="Arial" w:cs="Arial"/>
          <w:sz w:val="24"/>
          <w:szCs w:val="24"/>
        </w:rPr>
        <w:t xml:space="preserve">its </w:t>
      </w:r>
      <w:r w:rsidRPr="00FF081E">
        <w:rPr>
          <w:rFonts w:ascii="Arial" w:hAnsi="Arial" w:cs="Arial"/>
          <w:sz w:val="24"/>
          <w:szCs w:val="24"/>
        </w:rPr>
        <w:t>activities in a businesslike manner</w:t>
      </w:r>
    </w:p>
    <w:p w:rsidR="00DF7590" w:rsidRPr="00FF081E" w:rsidRDefault="00DF7590" w:rsidP="00BA580B">
      <w:pPr>
        <w:pStyle w:val="NormalWeb"/>
        <w:numPr>
          <w:ilvl w:val="0"/>
          <w:numId w:val="8"/>
        </w:numPr>
        <w:spacing w:before="0" w:after="330" w:line="360" w:lineRule="auto"/>
        <w:rPr>
          <w:rFonts w:ascii="Arial" w:hAnsi="Arial" w:cs="Arial"/>
          <w:sz w:val="24"/>
          <w:szCs w:val="24"/>
        </w:rPr>
      </w:pPr>
      <w:r w:rsidRPr="00FF081E">
        <w:rPr>
          <w:rFonts w:ascii="Arial" w:hAnsi="Arial" w:cs="Arial"/>
          <w:sz w:val="24"/>
          <w:szCs w:val="24"/>
        </w:rPr>
        <w:t>The keeping of books and records and the use of systems</w:t>
      </w:r>
    </w:p>
    <w:p w:rsidR="00DF7590" w:rsidRPr="00FF081E" w:rsidRDefault="00DF7590" w:rsidP="00BA580B">
      <w:pPr>
        <w:pStyle w:val="NormalWeb"/>
        <w:numPr>
          <w:ilvl w:val="0"/>
          <w:numId w:val="8"/>
        </w:numPr>
        <w:spacing w:before="0" w:after="330" w:line="360" w:lineRule="auto"/>
        <w:rPr>
          <w:rFonts w:ascii="Arial" w:hAnsi="Arial" w:cs="Arial"/>
          <w:sz w:val="24"/>
          <w:szCs w:val="24"/>
        </w:rPr>
      </w:pPr>
      <w:r w:rsidRPr="00FF081E">
        <w:rPr>
          <w:rFonts w:ascii="Arial" w:hAnsi="Arial" w:cs="Arial"/>
          <w:sz w:val="24"/>
          <w:szCs w:val="24"/>
        </w:rPr>
        <w:t>The volume of the operations and the amount of capital employed</w:t>
      </w:r>
    </w:p>
    <w:p w:rsidR="00DF7590" w:rsidRPr="0010333D" w:rsidRDefault="00BA580B" w:rsidP="005854C6">
      <w:pPr>
        <w:pStyle w:val="NormalWeb"/>
        <w:spacing w:before="0" w:after="330" w:line="360" w:lineRule="auto"/>
        <w:rPr>
          <w:rFonts w:ascii="Arial" w:hAnsi="Arial" w:cs="Arial"/>
          <w:sz w:val="24"/>
          <w:szCs w:val="24"/>
        </w:rPr>
      </w:pPr>
      <w:r w:rsidRPr="0010333D">
        <w:rPr>
          <w:rFonts w:ascii="Arial" w:hAnsi="Arial" w:cs="Arial"/>
          <w:sz w:val="24"/>
          <w:szCs w:val="24"/>
        </w:rPr>
        <w:t xml:space="preserve">It has been generally accepted that purely passive investment activity may not amount to the carrying on of a business. For companies however it does not mean that passive investment activity will always never constitute the carrying on of a business. </w:t>
      </w:r>
      <w:r w:rsidR="00DF7590" w:rsidRPr="0010333D">
        <w:rPr>
          <w:rFonts w:ascii="Arial" w:hAnsi="Arial" w:cs="Arial"/>
          <w:sz w:val="24"/>
          <w:szCs w:val="24"/>
        </w:rPr>
        <w:t xml:space="preserve">When applying these factors to companies, the ATO in its guidance material has taken the view that where a company is established or maintained to make profit or gain for its shareholders (and has a prospect of </w:t>
      </w:r>
      <w:r w:rsidR="000E5116">
        <w:rPr>
          <w:rFonts w:ascii="Arial" w:hAnsi="Arial" w:cs="Arial"/>
          <w:sz w:val="24"/>
          <w:szCs w:val="24"/>
        </w:rPr>
        <w:t xml:space="preserve">profit), prima facie position </w:t>
      </w:r>
      <w:r w:rsidR="00DF7590" w:rsidRPr="0010333D">
        <w:rPr>
          <w:rFonts w:ascii="Arial" w:hAnsi="Arial" w:cs="Arial"/>
          <w:sz w:val="24"/>
          <w:szCs w:val="24"/>
        </w:rPr>
        <w:t xml:space="preserve">it is likely to be carrying on business. The ATO maintains this view even if the company only holds passive investments and its activities consist of receiving rents or returns on its investments and distributing them to shareholders. In other words a company incorporated for the purpose of making profits for its shareholders </w:t>
      </w:r>
      <w:r w:rsidR="009317FE" w:rsidRPr="0010333D">
        <w:rPr>
          <w:rFonts w:ascii="Arial" w:hAnsi="Arial" w:cs="Arial"/>
          <w:sz w:val="24"/>
          <w:szCs w:val="24"/>
        </w:rPr>
        <w:t xml:space="preserve">amounts to the carrying on of a business when there is </w:t>
      </w:r>
      <w:r w:rsidR="00DF7590" w:rsidRPr="0010333D">
        <w:rPr>
          <w:rFonts w:ascii="Arial" w:hAnsi="Arial" w:cs="Arial"/>
          <w:sz w:val="24"/>
          <w:szCs w:val="24"/>
        </w:rPr>
        <w:t xml:space="preserve">any gainful use to which it puts any of its assets. The ATO’s view stems from judicial precedents that the activities of a company unlike those of an individual are unlikely to be able to be described as the pursuit of a hobby or being undertaken to meet a domestic need. Where a company has no purpose or prospect of profit, </w:t>
      </w:r>
      <w:r w:rsidR="009317FE" w:rsidRPr="0010333D">
        <w:rPr>
          <w:rFonts w:ascii="Arial" w:hAnsi="Arial" w:cs="Arial"/>
          <w:sz w:val="24"/>
          <w:szCs w:val="24"/>
        </w:rPr>
        <w:t xml:space="preserve">it </w:t>
      </w:r>
      <w:r w:rsidR="00DF7590" w:rsidRPr="0010333D">
        <w:rPr>
          <w:rFonts w:ascii="Arial" w:hAnsi="Arial" w:cs="Arial"/>
          <w:sz w:val="24"/>
          <w:szCs w:val="24"/>
        </w:rPr>
        <w:t xml:space="preserve">will </w:t>
      </w:r>
      <w:r w:rsidR="009317FE" w:rsidRPr="0010333D">
        <w:rPr>
          <w:rFonts w:ascii="Arial" w:hAnsi="Arial" w:cs="Arial"/>
          <w:sz w:val="24"/>
          <w:szCs w:val="24"/>
        </w:rPr>
        <w:t>be unlikely to</w:t>
      </w:r>
      <w:r w:rsidR="00DF7590" w:rsidRPr="0010333D">
        <w:rPr>
          <w:rFonts w:ascii="Arial" w:hAnsi="Arial" w:cs="Arial"/>
          <w:sz w:val="24"/>
          <w:szCs w:val="24"/>
        </w:rPr>
        <w:t xml:space="preserve"> be considered carrying on a business. </w:t>
      </w:r>
    </w:p>
    <w:p w:rsidR="005854C6" w:rsidRPr="0010333D" w:rsidRDefault="00DF7590" w:rsidP="00BA580B">
      <w:pPr>
        <w:pStyle w:val="NormalWeb"/>
        <w:spacing w:before="0" w:after="330" w:line="360" w:lineRule="auto"/>
        <w:rPr>
          <w:rFonts w:ascii="Arial" w:hAnsi="Arial" w:cs="Arial"/>
          <w:sz w:val="24"/>
          <w:szCs w:val="24"/>
        </w:rPr>
      </w:pPr>
      <w:r w:rsidRPr="0010333D">
        <w:rPr>
          <w:rFonts w:ascii="Arial" w:hAnsi="Arial" w:cs="Arial"/>
          <w:sz w:val="24"/>
          <w:szCs w:val="24"/>
        </w:rPr>
        <w:t>I</w:t>
      </w:r>
      <w:r w:rsidR="009317FE" w:rsidRPr="0010333D">
        <w:rPr>
          <w:rFonts w:ascii="Arial" w:hAnsi="Arial" w:cs="Arial"/>
          <w:sz w:val="24"/>
          <w:szCs w:val="24"/>
        </w:rPr>
        <w:t>t</w:t>
      </w:r>
      <w:r w:rsidRPr="0010333D">
        <w:rPr>
          <w:rFonts w:ascii="Arial" w:hAnsi="Arial" w:cs="Arial"/>
          <w:sz w:val="24"/>
          <w:szCs w:val="24"/>
        </w:rPr>
        <w:t xml:space="preserve"> </w:t>
      </w:r>
      <w:r w:rsidR="009317FE" w:rsidRPr="0010333D">
        <w:rPr>
          <w:rFonts w:ascii="Arial" w:hAnsi="Arial" w:cs="Arial"/>
          <w:sz w:val="24"/>
          <w:szCs w:val="24"/>
        </w:rPr>
        <w:t xml:space="preserve">is unclear in </w:t>
      </w:r>
      <w:r w:rsidRPr="0010333D">
        <w:rPr>
          <w:rFonts w:ascii="Arial" w:hAnsi="Arial" w:cs="Arial"/>
          <w:sz w:val="24"/>
          <w:szCs w:val="24"/>
        </w:rPr>
        <w:t xml:space="preserve">the case of corporate beneficiaries of a trust </w:t>
      </w:r>
      <w:r w:rsidR="009317FE" w:rsidRPr="0010333D">
        <w:rPr>
          <w:rFonts w:ascii="Arial" w:hAnsi="Arial" w:cs="Arial"/>
          <w:sz w:val="24"/>
          <w:szCs w:val="24"/>
        </w:rPr>
        <w:t xml:space="preserve">if it can be said that this can be considered conducting a carrying on of a </w:t>
      </w:r>
      <w:r w:rsidR="0010333D" w:rsidRPr="0010333D">
        <w:rPr>
          <w:rFonts w:ascii="Arial" w:hAnsi="Arial" w:cs="Arial"/>
          <w:sz w:val="24"/>
          <w:szCs w:val="24"/>
        </w:rPr>
        <w:t xml:space="preserve">business. </w:t>
      </w:r>
      <w:r w:rsidR="0010333D">
        <w:rPr>
          <w:rFonts w:ascii="Arial" w:hAnsi="Arial" w:cs="Arial"/>
          <w:sz w:val="24"/>
          <w:szCs w:val="24"/>
        </w:rPr>
        <w:t>The position of a</w:t>
      </w:r>
      <w:r w:rsidRPr="0010333D">
        <w:rPr>
          <w:rFonts w:ascii="Arial" w:hAnsi="Arial" w:cs="Arial"/>
          <w:sz w:val="24"/>
          <w:szCs w:val="24"/>
        </w:rPr>
        <w:t xml:space="preserve"> corporate beneficiary who loans the unpaid present entitlement back to the trading trust be considered carrying on a business</w:t>
      </w:r>
      <w:r w:rsidR="0010333D">
        <w:rPr>
          <w:rFonts w:ascii="Arial" w:hAnsi="Arial" w:cs="Arial"/>
          <w:sz w:val="24"/>
          <w:szCs w:val="24"/>
        </w:rPr>
        <w:t xml:space="preserve"> is unclear.</w:t>
      </w:r>
      <w:r w:rsidR="005854C6" w:rsidRPr="0010333D">
        <w:rPr>
          <w:rFonts w:ascii="Arial" w:hAnsi="Arial" w:cs="Arial"/>
          <w:sz w:val="24"/>
          <w:szCs w:val="24"/>
        </w:rPr>
        <w:t xml:space="preserve"> </w:t>
      </w:r>
      <w:r w:rsidRPr="0010333D">
        <w:rPr>
          <w:rFonts w:ascii="Arial" w:hAnsi="Arial" w:cs="Arial"/>
          <w:sz w:val="24"/>
          <w:szCs w:val="24"/>
        </w:rPr>
        <w:t xml:space="preserve">If the controlling minds of the corporate beneficiary believe that the lending of the money back to the trust represents a gainful use to which it can apply its assets then this arguably satisfies the criteria for carrying on a business. </w:t>
      </w:r>
    </w:p>
    <w:p w:rsidR="000677DF" w:rsidRPr="0010333D" w:rsidRDefault="005854C6" w:rsidP="008C786E">
      <w:pPr>
        <w:pStyle w:val="NumberedParagraph"/>
        <w:numPr>
          <w:ilvl w:val="0"/>
          <w:numId w:val="0"/>
        </w:numPr>
        <w:spacing w:line="360" w:lineRule="auto"/>
        <w:rPr>
          <w:rFonts w:ascii="Arial" w:hAnsi="Arial" w:cs="Arial"/>
          <w:color w:val="auto"/>
          <w:sz w:val="24"/>
          <w:szCs w:val="24"/>
        </w:rPr>
      </w:pPr>
      <w:r w:rsidRPr="0010333D">
        <w:rPr>
          <w:rFonts w:ascii="Arial" w:hAnsi="Arial" w:cs="Arial"/>
          <w:color w:val="auto"/>
          <w:sz w:val="24"/>
          <w:szCs w:val="24"/>
        </w:rPr>
        <w:t>The proposed enterprise tax plan base rate bill, clearly intends that active business income that flows through a partnership or trust retains its income character when it is distributed to partners or beneficiaries. If the ATO ta</w:t>
      </w:r>
      <w:r w:rsidR="00053885" w:rsidRPr="0010333D">
        <w:rPr>
          <w:rFonts w:ascii="Arial" w:hAnsi="Arial" w:cs="Arial"/>
          <w:color w:val="auto"/>
          <w:sz w:val="24"/>
          <w:szCs w:val="24"/>
        </w:rPr>
        <w:t>ke</w:t>
      </w:r>
      <w:r w:rsidR="001D0321">
        <w:rPr>
          <w:rFonts w:ascii="Arial" w:hAnsi="Arial" w:cs="Arial"/>
          <w:color w:val="auto"/>
          <w:sz w:val="24"/>
          <w:szCs w:val="24"/>
        </w:rPr>
        <w:t>s</w:t>
      </w:r>
      <w:r w:rsidRPr="0010333D">
        <w:rPr>
          <w:rFonts w:ascii="Arial" w:hAnsi="Arial" w:cs="Arial"/>
          <w:color w:val="auto"/>
          <w:sz w:val="24"/>
          <w:szCs w:val="24"/>
        </w:rPr>
        <w:t xml:space="preserve"> the view that </w:t>
      </w:r>
      <w:r w:rsidR="00053885" w:rsidRPr="0010333D">
        <w:rPr>
          <w:rFonts w:ascii="Arial" w:hAnsi="Arial" w:cs="Arial"/>
          <w:color w:val="auto"/>
          <w:sz w:val="24"/>
          <w:szCs w:val="24"/>
        </w:rPr>
        <w:t>corporate beneficiaries who only receive trust distributions of active income are not considered carrying on a business then the proposed changes will not achieve the intended outcome.</w:t>
      </w:r>
      <w:r w:rsidR="00EF6091" w:rsidRPr="0010333D">
        <w:rPr>
          <w:rFonts w:ascii="Arial" w:hAnsi="Arial" w:cs="Arial"/>
          <w:color w:val="auto"/>
          <w:sz w:val="24"/>
          <w:szCs w:val="24"/>
        </w:rPr>
        <w:t xml:space="preserve"> The </w:t>
      </w:r>
      <w:r w:rsidR="000677DF" w:rsidRPr="0010333D">
        <w:rPr>
          <w:rFonts w:ascii="Arial" w:hAnsi="Arial" w:cs="Arial"/>
          <w:color w:val="auto"/>
          <w:sz w:val="24"/>
          <w:szCs w:val="24"/>
        </w:rPr>
        <w:t xml:space="preserve">Board of Tax Post Implementation Review of Division 7A </w:t>
      </w:r>
      <w:r w:rsidR="00FE6108" w:rsidRPr="0010333D">
        <w:rPr>
          <w:rFonts w:ascii="Arial" w:hAnsi="Arial" w:cs="Arial"/>
          <w:color w:val="auto"/>
          <w:sz w:val="24"/>
          <w:szCs w:val="24"/>
        </w:rPr>
        <w:t>recommended that</w:t>
      </w:r>
      <w:r w:rsidR="001F4B53" w:rsidRPr="0010333D">
        <w:rPr>
          <w:rFonts w:ascii="Arial" w:hAnsi="Arial" w:cs="Arial"/>
          <w:color w:val="auto"/>
          <w:sz w:val="24"/>
          <w:szCs w:val="24"/>
        </w:rPr>
        <w:t xml:space="preserve"> there should be no </w:t>
      </w:r>
      <w:r w:rsidR="000677DF" w:rsidRPr="0010333D">
        <w:rPr>
          <w:rFonts w:ascii="Arial" w:hAnsi="Arial" w:cs="Arial"/>
          <w:color w:val="auto"/>
          <w:sz w:val="24"/>
          <w:szCs w:val="24"/>
        </w:rPr>
        <w:t>impediments to the reinvestment of busi</w:t>
      </w:r>
      <w:r w:rsidR="00FE6108" w:rsidRPr="0010333D">
        <w:rPr>
          <w:rFonts w:ascii="Arial" w:hAnsi="Arial" w:cs="Arial"/>
          <w:color w:val="auto"/>
          <w:sz w:val="24"/>
          <w:szCs w:val="24"/>
        </w:rPr>
        <w:t>ness income as working capital in active business activities</w:t>
      </w:r>
      <w:r w:rsidR="001F4B53" w:rsidRPr="0010333D">
        <w:rPr>
          <w:rFonts w:ascii="Arial" w:hAnsi="Arial" w:cs="Arial"/>
          <w:color w:val="auto"/>
          <w:sz w:val="24"/>
          <w:szCs w:val="24"/>
        </w:rPr>
        <w:t>.</w:t>
      </w:r>
    </w:p>
    <w:p w:rsidR="00DF7590" w:rsidRDefault="005854C6" w:rsidP="00BA580B">
      <w:pPr>
        <w:pStyle w:val="NormalWeb"/>
        <w:spacing w:before="0" w:after="330" w:line="360" w:lineRule="auto"/>
        <w:rPr>
          <w:rFonts w:ascii="Arial" w:hAnsi="Arial" w:cs="Arial"/>
          <w:sz w:val="24"/>
          <w:szCs w:val="24"/>
        </w:rPr>
      </w:pPr>
      <w:r w:rsidRPr="0010333D">
        <w:rPr>
          <w:rFonts w:ascii="Arial" w:hAnsi="Arial" w:cs="Arial"/>
          <w:sz w:val="24"/>
          <w:szCs w:val="24"/>
        </w:rPr>
        <w:t>T</w:t>
      </w:r>
      <w:r w:rsidR="00DF7590" w:rsidRPr="0010333D">
        <w:rPr>
          <w:rFonts w:ascii="Arial" w:hAnsi="Arial" w:cs="Arial"/>
          <w:sz w:val="24"/>
          <w:szCs w:val="24"/>
        </w:rPr>
        <w:t xml:space="preserve">he </w:t>
      </w:r>
      <w:r w:rsidR="00FE6108" w:rsidRPr="0010333D">
        <w:rPr>
          <w:rFonts w:ascii="Arial" w:hAnsi="Arial" w:cs="Arial"/>
          <w:sz w:val="24"/>
          <w:szCs w:val="24"/>
        </w:rPr>
        <w:t xml:space="preserve">Enterprise tax plan base rate </w:t>
      </w:r>
      <w:r w:rsidR="0010333D">
        <w:rPr>
          <w:rFonts w:ascii="Arial" w:hAnsi="Arial" w:cs="Arial"/>
          <w:sz w:val="24"/>
          <w:szCs w:val="24"/>
        </w:rPr>
        <w:t>B</w:t>
      </w:r>
      <w:r w:rsidR="00FE6108" w:rsidRPr="0010333D">
        <w:rPr>
          <w:rFonts w:ascii="Arial" w:hAnsi="Arial" w:cs="Arial"/>
          <w:sz w:val="24"/>
          <w:szCs w:val="24"/>
        </w:rPr>
        <w:t xml:space="preserve">ill </w:t>
      </w:r>
      <w:r w:rsidR="00DF7590" w:rsidRPr="0010333D">
        <w:rPr>
          <w:rFonts w:ascii="Arial" w:hAnsi="Arial" w:cs="Arial"/>
          <w:sz w:val="24"/>
          <w:szCs w:val="24"/>
        </w:rPr>
        <w:t>need</w:t>
      </w:r>
      <w:r w:rsidR="00FE6108" w:rsidRPr="0010333D">
        <w:rPr>
          <w:rFonts w:ascii="Arial" w:hAnsi="Arial" w:cs="Arial"/>
          <w:sz w:val="24"/>
          <w:szCs w:val="24"/>
        </w:rPr>
        <w:t>s</w:t>
      </w:r>
      <w:r w:rsidR="00DF7590" w:rsidRPr="0010333D">
        <w:rPr>
          <w:rFonts w:ascii="Arial" w:hAnsi="Arial" w:cs="Arial"/>
          <w:sz w:val="24"/>
          <w:szCs w:val="24"/>
        </w:rPr>
        <w:t xml:space="preserve"> to consider the ramifications from a policy perspective when an active business is being conducted in a trust and the trading profits it generates are loan backed as working capital into the business.</w:t>
      </w:r>
      <w:r w:rsidR="00C620A4" w:rsidRPr="0010333D">
        <w:rPr>
          <w:rFonts w:ascii="Arial" w:hAnsi="Arial" w:cs="Arial"/>
          <w:sz w:val="24"/>
          <w:szCs w:val="24"/>
        </w:rPr>
        <w:t xml:space="preserve"> This is particularly important if the ATO issues guidance that treats corporate beneficiaries only in receipt of trust distributions that loan the money back to an active business are not </w:t>
      </w:r>
      <w:r w:rsidR="0010333D">
        <w:rPr>
          <w:rFonts w:ascii="Arial" w:hAnsi="Arial" w:cs="Arial"/>
          <w:sz w:val="24"/>
          <w:szCs w:val="24"/>
        </w:rPr>
        <w:t xml:space="preserve">considered </w:t>
      </w:r>
      <w:r w:rsidR="00C620A4" w:rsidRPr="0010333D">
        <w:rPr>
          <w:rFonts w:ascii="Arial" w:hAnsi="Arial" w:cs="Arial"/>
          <w:sz w:val="24"/>
          <w:szCs w:val="24"/>
        </w:rPr>
        <w:t>carrying on a business.</w:t>
      </w:r>
      <w:r w:rsidR="003F79FD" w:rsidRPr="0010333D">
        <w:rPr>
          <w:rFonts w:ascii="Arial" w:hAnsi="Arial" w:cs="Arial"/>
          <w:sz w:val="24"/>
          <w:szCs w:val="24"/>
        </w:rPr>
        <w:t xml:space="preserve"> The Bill allows </w:t>
      </w:r>
      <w:r w:rsidR="0010333D" w:rsidRPr="0010333D">
        <w:rPr>
          <w:rFonts w:ascii="Arial" w:hAnsi="Arial" w:cs="Arial"/>
          <w:sz w:val="24"/>
          <w:szCs w:val="24"/>
        </w:rPr>
        <w:t>eligibility</w:t>
      </w:r>
      <w:r w:rsidR="001F4B53" w:rsidRPr="0010333D">
        <w:rPr>
          <w:rFonts w:ascii="Arial" w:hAnsi="Arial" w:cs="Arial"/>
          <w:sz w:val="24"/>
          <w:szCs w:val="24"/>
        </w:rPr>
        <w:t xml:space="preserve"> to the lower corporate tax rate when </w:t>
      </w:r>
      <w:r w:rsidR="003F79FD" w:rsidRPr="0010333D">
        <w:rPr>
          <w:rFonts w:ascii="Arial" w:hAnsi="Arial" w:cs="Arial"/>
          <w:sz w:val="24"/>
          <w:szCs w:val="24"/>
        </w:rPr>
        <w:t xml:space="preserve">active income </w:t>
      </w:r>
      <w:r w:rsidR="001F4B53" w:rsidRPr="0010333D">
        <w:rPr>
          <w:rFonts w:ascii="Arial" w:hAnsi="Arial" w:cs="Arial"/>
          <w:sz w:val="24"/>
          <w:szCs w:val="24"/>
        </w:rPr>
        <w:t>flows indirectly via</w:t>
      </w:r>
      <w:r w:rsidR="003F79FD" w:rsidRPr="0010333D">
        <w:rPr>
          <w:rFonts w:ascii="Arial" w:hAnsi="Arial" w:cs="Arial"/>
          <w:sz w:val="24"/>
          <w:szCs w:val="24"/>
        </w:rPr>
        <w:t xml:space="preserve"> a trust and partnership through to a corporate entity but only if the co</w:t>
      </w:r>
      <w:r w:rsidR="001F4B53" w:rsidRPr="0010333D">
        <w:rPr>
          <w:rFonts w:ascii="Arial" w:hAnsi="Arial" w:cs="Arial"/>
          <w:sz w:val="24"/>
          <w:szCs w:val="24"/>
        </w:rPr>
        <w:t xml:space="preserve">mpany is carrying on a business. Active trading trusts that rely on funding from corporate beneficiaries will therefore be disadvantaged if such bucket companies are not considered carrying on a business. If the Government wants to ensure that </w:t>
      </w:r>
      <w:r w:rsidR="005F54B0" w:rsidRPr="0010333D">
        <w:rPr>
          <w:rFonts w:ascii="Arial" w:hAnsi="Arial" w:cs="Arial"/>
          <w:sz w:val="24"/>
          <w:szCs w:val="24"/>
        </w:rPr>
        <w:t xml:space="preserve">the benefits of the lower corporate tax rate extends to </w:t>
      </w:r>
      <w:r w:rsidR="001F4B53" w:rsidRPr="0010333D">
        <w:rPr>
          <w:rFonts w:ascii="Arial" w:hAnsi="Arial" w:cs="Arial"/>
          <w:sz w:val="24"/>
          <w:szCs w:val="24"/>
        </w:rPr>
        <w:t>such entities</w:t>
      </w:r>
      <w:r w:rsidR="005F54B0" w:rsidRPr="0010333D">
        <w:rPr>
          <w:rFonts w:ascii="Arial" w:hAnsi="Arial" w:cs="Arial"/>
          <w:sz w:val="24"/>
          <w:szCs w:val="24"/>
        </w:rPr>
        <w:t>,</w:t>
      </w:r>
      <w:r w:rsidR="001F4B53" w:rsidRPr="0010333D">
        <w:rPr>
          <w:rFonts w:ascii="Arial" w:hAnsi="Arial" w:cs="Arial"/>
          <w:sz w:val="24"/>
          <w:szCs w:val="24"/>
        </w:rPr>
        <w:t xml:space="preserve"> </w:t>
      </w:r>
      <w:r w:rsidR="005F54B0" w:rsidRPr="0010333D">
        <w:rPr>
          <w:rFonts w:ascii="Arial" w:hAnsi="Arial" w:cs="Arial"/>
          <w:sz w:val="24"/>
          <w:szCs w:val="24"/>
        </w:rPr>
        <w:t>then it should legislate accordingly to put the matter beyond doubt.</w:t>
      </w:r>
      <w:r w:rsidR="001F4B53" w:rsidRPr="0010333D">
        <w:rPr>
          <w:rFonts w:ascii="Arial" w:hAnsi="Arial" w:cs="Arial"/>
          <w:sz w:val="24"/>
          <w:szCs w:val="24"/>
        </w:rPr>
        <w:t xml:space="preserve">  </w:t>
      </w:r>
    </w:p>
    <w:p w:rsidR="0010333D" w:rsidRPr="0010333D" w:rsidRDefault="0010333D" w:rsidP="00BA580B">
      <w:pPr>
        <w:pStyle w:val="NormalWeb"/>
        <w:spacing w:before="0" w:after="330" w:line="360" w:lineRule="auto"/>
        <w:rPr>
          <w:rFonts w:ascii="Arial" w:hAnsi="Arial" w:cs="Arial"/>
          <w:sz w:val="24"/>
          <w:szCs w:val="24"/>
        </w:rPr>
      </w:pPr>
      <w:r>
        <w:rPr>
          <w:rFonts w:ascii="Arial" w:hAnsi="Arial" w:cs="Arial"/>
          <w:sz w:val="24"/>
          <w:szCs w:val="24"/>
        </w:rPr>
        <w:t xml:space="preserve">Another issue is where assets in the active business are held in another </w:t>
      </w:r>
      <w:r w:rsidR="00171E86">
        <w:rPr>
          <w:rFonts w:ascii="Arial" w:hAnsi="Arial" w:cs="Arial"/>
          <w:sz w:val="24"/>
          <w:szCs w:val="24"/>
        </w:rPr>
        <w:t>affiliated entity. Say for example</w:t>
      </w:r>
      <w:r w:rsidR="001D0321">
        <w:rPr>
          <w:rFonts w:ascii="Arial" w:hAnsi="Arial" w:cs="Arial"/>
          <w:sz w:val="24"/>
          <w:szCs w:val="24"/>
        </w:rPr>
        <w:t>,</w:t>
      </w:r>
      <w:r w:rsidR="00171E86">
        <w:rPr>
          <w:rFonts w:ascii="Arial" w:hAnsi="Arial" w:cs="Arial"/>
          <w:sz w:val="24"/>
          <w:szCs w:val="24"/>
        </w:rPr>
        <w:t xml:space="preserve"> the property that is used by an active trading trust is beneficially owned by another trust. If </w:t>
      </w:r>
      <w:r w:rsidR="001D0321">
        <w:rPr>
          <w:rFonts w:ascii="Arial" w:hAnsi="Arial" w:cs="Arial"/>
          <w:sz w:val="24"/>
          <w:szCs w:val="24"/>
        </w:rPr>
        <w:t xml:space="preserve">the </w:t>
      </w:r>
      <w:r w:rsidR="00171E86">
        <w:rPr>
          <w:rFonts w:ascii="Arial" w:hAnsi="Arial" w:cs="Arial"/>
          <w:sz w:val="24"/>
          <w:szCs w:val="24"/>
        </w:rPr>
        <w:t>trust that owns the property charges rent for the use of the asset it will be considered passive income and therefore the subsequent distribution of this income to a corporate beneficiary will be labelled as passive. Is this the intent of the Bill to treat assets used in a</w:t>
      </w:r>
      <w:r w:rsidR="001B3663">
        <w:rPr>
          <w:rFonts w:ascii="Arial" w:hAnsi="Arial" w:cs="Arial"/>
          <w:sz w:val="24"/>
          <w:szCs w:val="24"/>
        </w:rPr>
        <w:t>n</w:t>
      </w:r>
      <w:r w:rsidR="00171E86">
        <w:rPr>
          <w:rFonts w:ascii="Arial" w:hAnsi="Arial" w:cs="Arial"/>
          <w:sz w:val="24"/>
          <w:szCs w:val="24"/>
        </w:rPr>
        <w:t xml:space="preserve"> active business </w:t>
      </w:r>
      <w:r w:rsidR="001B3663">
        <w:rPr>
          <w:rFonts w:ascii="Arial" w:hAnsi="Arial" w:cs="Arial"/>
          <w:sz w:val="24"/>
          <w:szCs w:val="24"/>
        </w:rPr>
        <w:t>which are owned by an affiliated entity any differently to the scenario of where the assets where directly owned by the active business</w:t>
      </w:r>
      <w:r w:rsidR="001D0321">
        <w:rPr>
          <w:rFonts w:ascii="Arial" w:hAnsi="Arial" w:cs="Arial"/>
          <w:sz w:val="24"/>
          <w:szCs w:val="24"/>
        </w:rPr>
        <w:t>?</w:t>
      </w:r>
      <w:r w:rsidR="001B3663">
        <w:rPr>
          <w:rFonts w:ascii="Arial" w:hAnsi="Arial" w:cs="Arial"/>
          <w:sz w:val="24"/>
          <w:szCs w:val="24"/>
        </w:rPr>
        <w:t xml:space="preserve"> Clarification of this intention would be welcomed.</w:t>
      </w:r>
    </w:p>
    <w:p w:rsidR="00D57593" w:rsidRPr="0010333D" w:rsidRDefault="008C5232" w:rsidP="00BA580B">
      <w:pPr>
        <w:spacing w:after="200" w:line="360" w:lineRule="auto"/>
        <w:rPr>
          <w:rFonts w:ascii="Arial" w:eastAsiaTheme="minorHAnsi" w:hAnsi="Arial" w:cs="Arial"/>
          <w:lang w:val="en-AU" w:eastAsia="en-AU" w:bidi="ar-SA"/>
        </w:rPr>
      </w:pPr>
      <w:r w:rsidRPr="0010333D">
        <w:rPr>
          <w:rFonts w:ascii="Arial" w:eastAsiaTheme="minorHAnsi" w:hAnsi="Arial" w:cs="Arial"/>
          <w:lang w:val="en-AU" w:eastAsia="en-AU" w:bidi="ar-SA"/>
        </w:rPr>
        <w:t xml:space="preserve">We thank you for the opportunity to provide a response to </w:t>
      </w:r>
      <w:r w:rsidR="000776B9" w:rsidRPr="0010333D">
        <w:rPr>
          <w:rFonts w:ascii="Arial" w:hAnsi="Arial" w:cs="Arial"/>
        </w:rPr>
        <w:t>Treasury Laws Amendment (Enterprise Tax Plan Base Rate Entities) Bill 2017</w:t>
      </w:r>
      <w:r w:rsidR="000776B9" w:rsidRPr="0010333D">
        <w:rPr>
          <w:rFonts w:ascii="Arial" w:hAnsi="Arial" w:cs="Arial"/>
          <w:b/>
          <w:lang w:val="en"/>
        </w:rPr>
        <w:t>.</w:t>
      </w:r>
    </w:p>
    <w:p w:rsidR="008C5232" w:rsidRPr="0010333D" w:rsidRDefault="008C5232" w:rsidP="00BA580B">
      <w:pPr>
        <w:spacing w:after="200" w:line="360" w:lineRule="auto"/>
        <w:rPr>
          <w:rFonts w:ascii="Arial" w:eastAsiaTheme="minorHAnsi" w:hAnsi="Arial" w:cs="Arial"/>
          <w:i/>
          <w:lang w:val="en-AU" w:eastAsia="en-AU" w:bidi="ar-SA"/>
        </w:rPr>
      </w:pPr>
      <w:r w:rsidRPr="0010333D">
        <w:rPr>
          <w:rFonts w:ascii="Arial" w:eastAsiaTheme="minorHAnsi" w:hAnsi="Arial" w:cs="Arial"/>
          <w:lang w:val="en-AU" w:eastAsia="en-AU" w:bidi="ar-SA"/>
        </w:rPr>
        <w:t>If you wish to discuss any of our comments or would like further information then please don’t hesitate to contact</w:t>
      </w:r>
      <w:r w:rsidRPr="0010333D">
        <w:rPr>
          <w:rFonts w:ascii="Arial" w:hAnsi="Arial" w:cs="Arial"/>
          <w:lang w:val="en-AU" w:eastAsia="en-AU" w:bidi="ar-SA"/>
        </w:rPr>
        <w:t xml:space="preserve"> Tony Greco at </w:t>
      </w:r>
      <w:hyperlink r:id="rId15" w:history="1">
        <w:r w:rsidRPr="0010333D">
          <w:rPr>
            <w:rFonts w:ascii="Arial" w:hAnsi="Arial" w:cs="Arial"/>
            <w:u w:val="single"/>
            <w:lang w:val="en-AU" w:eastAsia="en-AU" w:bidi="ar-SA"/>
          </w:rPr>
          <w:t>tony.greco@publicaccountants.org.au</w:t>
        </w:r>
      </w:hyperlink>
      <w:r w:rsidRPr="0010333D">
        <w:rPr>
          <w:rFonts w:ascii="Arial" w:hAnsi="Arial" w:cs="Arial"/>
          <w:lang w:val="en-AU" w:eastAsia="en-AU" w:bidi="ar-SA"/>
        </w:rPr>
        <w:t xml:space="preserve">  or on mobile 0419 360038.  </w:t>
      </w:r>
      <w:r w:rsidRPr="0010333D">
        <w:rPr>
          <w:rFonts w:ascii="Arial" w:eastAsiaTheme="minorHAnsi" w:hAnsi="Arial" w:cs="Arial"/>
          <w:lang w:val="en-AU" w:eastAsia="en-AU" w:bidi="ar-SA"/>
        </w:rPr>
        <w:t>We would be pleased to comment on any other matters on request.</w:t>
      </w:r>
    </w:p>
    <w:p w:rsidR="008C5232" w:rsidRPr="0010333D" w:rsidRDefault="008C5232" w:rsidP="00BA580B">
      <w:pPr>
        <w:suppressAutoHyphens w:val="0"/>
        <w:spacing w:line="360" w:lineRule="auto"/>
        <w:rPr>
          <w:rFonts w:ascii="Arial" w:hAnsi="Arial" w:cs="Arial"/>
          <w:lang w:val="en-AU" w:eastAsia="en-AU" w:bidi="ar-SA"/>
        </w:rPr>
      </w:pPr>
      <w:r w:rsidRPr="0010333D">
        <w:rPr>
          <w:rFonts w:ascii="Arial" w:hAnsi="Arial" w:cs="Arial"/>
          <w:lang w:val="en-AU" w:eastAsia="en-AU" w:bidi="ar-SA"/>
        </w:rPr>
        <w:t xml:space="preserve">Yours sincerely </w:t>
      </w:r>
    </w:p>
    <w:p w:rsidR="008C5232" w:rsidRPr="0010333D" w:rsidRDefault="008C5232" w:rsidP="00BA580B">
      <w:pPr>
        <w:suppressAutoHyphens w:val="0"/>
        <w:spacing w:line="360" w:lineRule="auto"/>
        <w:rPr>
          <w:rFonts w:ascii="Arial" w:hAnsi="Arial" w:cs="Arial"/>
          <w:lang w:val="en-AU" w:eastAsia="en-AU" w:bidi="ar-SA"/>
        </w:rPr>
      </w:pPr>
    </w:p>
    <w:p w:rsidR="00F4653C" w:rsidRPr="001D0321" w:rsidRDefault="008C5232" w:rsidP="001D0321">
      <w:pPr>
        <w:suppressAutoHyphens w:val="0"/>
        <w:spacing w:line="360" w:lineRule="auto"/>
        <w:rPr>
          <w:rFonts w:ascii="Arial" w:hAnsi="Arial" w:cs="Arial"/>
          <w:lang w:val="en-AU" w:eastAsia="en-AU" w:bidi="ar-SA"/>
        </w:rPr>
      </w:pPr>
      <w:r w:rsidRPr="0010333D">
        <w:rPr>
          <w:rFonts w:ascii="Arial" w:eastAsiaTheme="minorHAnsi" w:hAnsi="Arial" w:cs="Arial"/>
          <w:lang w:val="en-AU" w:eastAsia="en-AU" w:bidi="ar-SA"/>
        </w:rPr>
        <w:t>Tony Greco</w:t>
      </w:r>
      <w:r w:rsidRPr="0010333D">
        <w:rPr>
          <w:rFonts w:ascii="Arial" w:eastAsiaTheme="minorHAnsi" w:hAnsi="Arial" w:cs="Arial"/>
          <w:lang w:val="en-AU" w:eastAsia="en-AU" w:bidi="ar-SA"/>
        </w:rPr>
        <w:br/>
      </w:r>
      <w:r w:rsidRPr="0010333D">
        <w:rPr>
          <w:rFonts w:ascii="Arial" w:hAnsi="Arial" w:cs="Arial"/>
          <w:lang w:val="en-AU" w:eastAsia="en-AU" w:bidi="ar-SA"/>
        </w:rPr>
        <w:t>General Manager, Technical Policy</w:t>
      </w:r>
      <w:r w:rsidRPr="0010333D">
        <w:rPr>
          <w:rFonts w:ascii="Arial" w:eastAsiaTheme="minorHAnsi" w:hAnsi="Arial" w:cs="Arial"/>
          <w:lang w:val="en-AU" w:eastAsia="en-AU" w:bidi="ar-SA"/>
        </w:rPr>
        <w:br/>
      </w:r>
      <w:r w:rsidRPr="0010333D">
        <w:rPr>
          <w:rFonts w:ascii="Arial" w:hAnsi="Arial" w:cs="Arial"/>
          <w:lang w:val="en-AU" w:eastAsia="en-AU" w:bidi="ar-SA"/>
        </w:rPr>
        <w:t xml:space="preserve">Institute of Public Accountants </w:t>
      </w:r>
    </w:p>
    <w:sectPr w:rsidR="00F4653C" w:rsidRPr="001D0321" w:rsidSect="00B8724A">
      <w:headerReference w:type="even" r:id="rId16"/>
      <w:headerReference w:type="default" r:id="rId17"/>
      <w:footerReference w:type="even" r:id="rId18"/>
      <w:footerReference w:type="default" r:id="rId19"/>
      <w:headerReference w:type="first" r:id="rId20"/>
      <w:footerReference w:type="first" r:id="rId21"/>
      <w:type w:val="continuous"/>
      <w:pgSz w:w="11899" w:h="16838"/>
      <w:pgMar w:top="1701" w:right="1134" w:bottom="1701"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E75" w:rsidRDefault="001C2E75">
      <w:r>
        <w:separator/>
      </w:r>
    </w:p>
  </w:endnote>
  <w:endnote w:type="continuationSeparator" w:id="0">
    <w:p w:rsidR="001C2E75" w:rsidRDefault="001C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utura-Bold">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ira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4A" w:rsidRDefault="00114667">
    <w:r>
      <w:rPr>
        <w:noProof/>
        <w:lang w:val="en-AU" w:eastAsia="en-AU" w:bidi="ar-SA"/>
      </w:rPr>
      <w:drawing>
        <wp:anchor distT="0" distB="0" distL="114300" distR="114300" simplePos="0" relativeHeight="251658240" behindDoc="0" locked="0" layoutInCell="1" allowOverlap="1">
          <wp:simplePos x="0" y="0"/>
          <wp:positionH relativeFrom="column">
            <wp:posOffset>-914400</wp:posOffset>
          </wp:positionH>
          <wp:positionV relativeFrom="paragraph">
            <wp:posOffset>526415</wp:posOffset>
          </wp:positionV>
          <wp:extent cx="7772400" cy="1231900"/>
          <wp:effectExtent l="19050" t="0" r="0" b="0"/>
          <wp:wrapTight wrapText="bothSides">
            <wp:wrapPolygon edited="0">
              <wp:start x="-53" y="0"/>
              <wp:lineTo x="-53" y="21377"/>
              <wp:lineTo x="21600" y="21377"/>
              <wp:lineTo x="21600" y="0"/>
              <wp:lineTo x="-53" y="0"/>
            </wp:wrapPolygon>
          </wp:wrapTight>
          <wp:docPr id="10" name="Picture 10" descr="Word A4 footer_whit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d A4 footer_white BG"/>
                  <pic:cNvPicPr>
                    <a:picLocks noChangeAspect="1" noChangeArrowheads="1"/>
                  </pic:cNvPicPr>
                </pic:nvPicPr>
                <pic:blipFill>
                  <a:blip r:embed="rId1"/>
                  <a:srcRect/>
                  <a:stretch>
                    <a:fillRect/>
                  </a:stretch>
                </pic:blipFill>
                <pic:spPr bwMode="auto">
                  <a:xfrm>
                    <a:off x="0" y="0"/>
                    <a:ext cx="7772400" cy="12319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4A" w:rsidRDefault="00B872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bottomFromText="2109" w:vertAnchor="page" w:horzAnchor="page" w:tblpX="823" w:tblpY="15821"/>
      <w:tblW w:w="7514" w:type="dxa"/>
      <w:tblLayout w:type="fixed"/>
      <w:tblCellMar>
        <w:left w:w="0" w:type="dxa"/>
        <w:right w:w="0" w:type="dxa"/>
      </w:tblCellMar>
      <w:tblLook w:val="0000" w:firstRow="0" w:lastRow="0" w:firstColumn="0" w:lastColumn="0" w:noHBand="0" w:noVBand="0"/>
    </w:tblPr>
    <w:tblGrid>
      <w:gridCol w:w="865"/>
      <w:gridCol w:w="6649"/>
    </w:tblGrid>
    <w:tr w:rsidR="00B8724A">
      <w:trPr>
        <w:trHeight w:val="140"/>
      </w:trPr>
      <w:tc>
        <w:tcPr>
          <w:tcW w:w="865" w:type="dxa"/>
        </w:tcPr>
        <w:p w:rsidR="00B8724A" w:rsidRPr="005327DB" w:rsidRDefault="00B8724A" w:rsidP="00B8724A">
          <w:pPr>
            <w:rPr>
              <w:color w:val="BFBFBF"/>
            </w:rPr>
          </w:pPr>
          <w:r w:rsidRPr="005327DB">
            <w:rPr>
              <w:rFonts w:ascii="Arial Bold" w:hAnsi="Arial Bold"/>
              <w:noProof/>
              <w:color w:val="BFBFBF"/>
            </w:rPr>
            <w:fldChar w:fldCharType="begin"/>
          </w:r>
          <w:r w:rsidRPr="005327DB">
            <w:rPr>
              <w:rFonts w:ascii="Arial Bold" w:hAnsi="Arial Bold"/>
              <w:noProof/>
              <w:color w:val="BFBFBF"/>
            </w:rPr>
            <w:instrText xml:space="preserve"> PAGE </w:instrText>
          </w:r>
          <w:r w:rsidRPr="005327DB">
            <w:rPr>
              <w:rFonts w:ascii="Arial Bold" w:hAnsi="Arial Bold"/>
              <w:noProof/>
              <w:color w:val="BFBFBF"/>
            </w:rPr>
            <w:fldChar w:fldCharType="separate"/>
          </w:r>
          <w:r w:rsidR="001D0321">
            <w:rPr>
              <w:rFonts w:ascii="Arial Bold" w:hAnsi="Arial Bold"/>
              <w:noProof/>
              <w:color w:val="BFBFBF"/>
            </w:rPr>
            <w:t>6</w:t>
          </w:r>
          <w:r w:rsidRPr="005327DB">
            <w:rPr>
              <w:rFonts w:ascii="Arial Bold" w:hAnsi="Arial Bold"/>
              <w:noProof/>
              <w:color w:val="BFBFBF"/>
            </w:rPr>
            <w:fldChar w:fldCharType="end"/>
          </w:r>
        </w:p>
      </w:tc>
      <w:tc>
        <w:tcPr>
          <w:tcW w:w="6649" w:type="dxa"/>
        </w:tcPr>
        <w:p w:rsidR="00B8724A" w:rsidRPr="005327DB" w:rsidRDefault="00A928AA" w:rsidP="00B8724A">
          <w:pPr>
            <w:rPr>
              <w:rFonts w:ascii="Arial Bold" w:hAnsi="Arial Bold"/>
              <w:color w:val="BFBFBF"/>
              <w:sz w:val="22"/>
            </w:rPr>
          </w:pPr>
          <w:r>
            <w:rPr>
              <w:rFonts w:ascii="Arial Bold" w:hAnsi="Arial Bold"/>
              <w:color w:val="BFBFBF"/>
              <w:sz w:val="22"/>
            </w:rPr>
            <w:t>Enterprise Tax Plan Base Rate Enterprises</w:t>
          </w:r>
        </w:p>
      </w:tc>
    </w:tr>
  </w:tbl>
  <w:p w:rsidR="00B8724A" w:rsidRDefault="00114667" w:rsidP="00B8724A">
    <w:r>
      <w:rPr>
        <w:noProof/>
        <w:lang w:val="en-AU" w:eastAsia="en-AU" w:bidi="ar-SA"/>
      </w:rPr>
      <w:drawing>
        <wp:anchor distT="0" distB="0" distL="114300" distR="114300" simplePos="0" relativeHeight="251657216" behindDoc="1" locked="0" layoutInCell="1" allowOverlap="1">
          <wp:simplePos x="0" y="0"/>
          <wp:positionH relativeFrom="column">
            <wp:posOffset>4841875</wp:posOffset>
          </wp:positionH>
          <wp:positionV relativeFrom="paragraph">
            <wp:posOffset>-547370</wp:posOffset>
          </wp:positionV>
          <wp:extent cx="1311897" cy="666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23_IPACrestfull_2011-Feb_300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0800000" flipH="1" flipV="1">
                    <a:off x="0" y="0"/>
                    <a:ext cx="1311897"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8724A" w:rsidRDefault="00B8724A" w:rsidP="00B8724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4A" w:rsidRDefault="00B872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E75" w:rsidRDefault="001C2E75">
      <w:r>
        <w:separator/>
      </w:r>
    </w:p>
  </w:footnote>
  <w:footnote w:type="continuationSeparator" w:id="0">
    <w:p w:rsidR="001C2E75" w:rsidRDefault="001C2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4A" w:rsidRDefault="00B872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4A" w:rsidRDefault="00B872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4A" w:rsidRDefault="00B872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lowerLetter"/>
      <w:lvlText w:val="%1."/>
      <w:lvlJc w:val="left"/>
      <w:pPr>
        <w:tabs>
          <w:tab w:val="num" w:pos="0"/>
        </w:tabs>
        <w:ind w:left="1080" w:hanging="720"/>
      </w:pPr>
    </w:lvl>
  </w:abstractNum>
  <w:abstractNum w:abstractNumId="1">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2">
    <w:nsid w:val="0000000C"/>
    <w:multiLevelType w:val="singleLevel"/>
    <w:tmpl w:val="0000000C"/>
    <w:name w:val="WW8Num13"/>
    <w:lvl w:ilvl="0">
      <w:start w:val="1"/>
      <w:numFmt w:val="lowerLetter"/>
      <w:lvlText w:val="%1."/>
      <w:lvlJc w:val="left"/>
      <w:pPr>
        <w:tabs>
          <w:tab w:val="num" w:pos="0"/>
        </w:tabs>
        <w:ind w:left="1080" w:hanging="720"/>
      </w:pPr>
    </w:lvl>
  </w:abstractNum>
  <w:abstractNum w:abstractNumId="3">
    <w:nsid w:val="0000000F"/>
    <w:multiLevelType w:val="multilevel"/>
    <w:tmpl w:val="0000000F"/>
    <w:name w:val="WW8Num18"/>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Diagram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4">
    <w:nsid w:val="00000011"/>
    <w:multiLevelType w:val="singleLevel"/>
    <w:tmpl w:val="00000011"/>
    <w:name w:val="WW8Num20"/>
    <w:lvl w:ilvl="0">
      <w:start w:val="1"/>
      <w:numFmt w:val="bullet"/>
      <w:lvlText w:val=""/>
      <w:lvlJc w:val="left"/>
      <w:pPr>
        <w:tabs>
          <w:tab w:val="num" w:pos="720"/>
        </w:tabs>
        <w:ind w:left="720" w:hanging="360"/>
      </w:pPr>
      <w:rPr>
        <w:rFonts w:ascii="Symbol" w:hAnsi="Symbol"/>
      </w:rPr>
    </w:lvl>
  </w:abstractNum>
  <w:abstractNum w:abstractNumId="5">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6">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7">
    <w:nsid w:val="00000017"/>
    <w:multiLevelType w:val="singleLevel"/>
    <w:tmpl w:val="00000017"/>
    <w:name w:val="WW8Num29"/>
    <w:lvl w:ilvl="0">
      <w:start w:val="1"/>
      <w:numFmt w:val="bullet"/>
      <w:lvlText w:val=""/>
      <w:lvlJc w:val="left"/>
      <w:pPr>
        <w:tabs>
          <w:tab w:val="num" w:pos="1080"/>
        </w:tabs>
        <w:ind w:left="1080" w:hanging="360"/>
      </w:pPr>
      <w:rPr>
        <w:rFonts w:ascii="Symbol" w:hAnsi="Symbol"/>
      </w:rPr>
    </w:lvl>
  </w:abstractNum>
  <w:abstractNum w:abstractNumId="8">
    <w:nsid w:val="00BA0B92"/>
    <w:multiLevelType w:val="multilevel"/>
    <w:tmpl w:val="AA5869FC"/>
    <w:lvl w:ilvl="0">
      <w:start w:val="1"/>
      <w:numFmt w:val="decimal"/>
      <w:pStyle w:val="ChapterHeading"/>
      <w:suff w:val="nothing"/>
      <w:lvlText w:val=""/>
      <w:lvlJc w:val="left"/>
      <w:pPr>
        <w:ind w:left="0" w:firstLine="0"/>
      </w:pPr>
      <w:rPr>
        <w:b w:val="0"/>
        <w:i w:val="0"/>
        <w:color w:val="000000"/>
      </w:rPr>
    </w:lvl>
    <w:lvl w:ilvl="1">
      <w:start w:val="1"/>
      <w:numFmt w:val="decimal"/>
      <w:pStyle w:val="NumberedParagraph"/>
      <w:lvlText w:val="%1.%2"/>
      <w:lvlJc w:val="left"/>
      <w:pPr>
        <w:tabs>
          <w:tab w:val="num" w:pos="567"/>
        </w:tabs>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nsid w:val="06756AE0"/>
    <w:multiLevelType w:val="hybridMultilevel"/>
    <w:tmpl w:val="DEC264A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27440C8B"/>
    <w:multiLevelType w:val="multilevel"/>
    <w:tmpl w:val="4440A37E"/>
    <w:lvl w:ilvl="0">
      <w:start w:val="1"/>
      <w:numFmt w:val="bullet"/>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nsid w:val="2CA02249"/>
    <w:multiLevelType w:val="hybridMultilevel"/>
    <w:tmpl w:val="134C8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1E0235B"/>
    <w:multiLevelType w:val="hybridMultilevel"/>
    <w:tmpl w:val="495A7C0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32257335"/>
    <w:multiLevelType w:val="hybridMultilevel"/>
    <w:tmpl w:val="1FEC2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D73D71"/>
    <w:multiLevelType w:val="hybridMultilevel"/>
    <w:tmpl w:val="D2220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9EF6077"/>
    <w:multiLevelType w:val="multilevel"/>
    <w:tmpl w:val="0CFE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7E332F"/>
    <w:multiLevelType w:val="hybridMultilevel"/>
    <w:tmpl w:val="A46A2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ECD0343"/>
    <w:multiLevelType w:val="hybridMultilevel"/>
    <w:tmpl w:val="4476E542"/>
    <w:lvl w:ilvl="0" w:tplc="64022B5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7E2A6139"/>
    <w:multiLevelType w:val="hybridMultilevel"/>
    <w:tmpl w:val="36246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8"/>
  </w:num>
  <w:num w:numId="6">
    <w:abstractNumId w:val="11"/>
  </w:num>
  <w:num w:numId="7">
    <w:abstractNumId w:val="15"/>
  </w:num>
  <w:num w:numId="8">
    <w:abstractNumId w:val="13"/>
  </w:num>
  <w:num w:numId="9">
    <w:abstractNumId w:val="14"/>
  </w:num>
  <w:num w:numId="10">
    <w:abstractNumId w:val="1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displayBackgroundShape/>
  <w:defaultTabStop w:val="720"/>
  <w:drawingGridHorizontalSpacing w:val="120"/>
  <w:drawingGridVerticalSpacing w:val="0"/>
  <w:displayHorizontalDrawingGridEvery w:val="0"/>
  <w:displayVertic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2E"/>
    <w:rsid w:val="00053885"/>
    <w:rsid w:val="000677DF"/>
    <w:rsid w:val="000776B9"/>
    <w:rsid w:val="000806BC"/>
    <w:rsid w:val="00083342"/>
    <w:rsid w:val="000872E4"/>
    <w:rsid w:val="000954D8"/>
    <w:rsid w:val="000E5116"/>
    <w:rsid w:val="0010333D"/>
    <w:rsid w:val="00114667"/>
    <w:rsid w:val="00147D96"/>
    <w:rsid w:val="0016050E"/>
    <w:rsid w:val="00171E86"/>
    <w:rsid w:val="001B3663"/>
    <w:rsid w:val="001C2E75"/>
    <w:rsid w:val="001D0321"/>
    <w:rsid w:val="001E6D19"/>
    <w:rsid w:val="001F4B53"/>
    <w:rsid w:val="00213BBA"/>
    <w:rsid w:val="002223CC"/>
    <w:rsid w:val="0025601A"/>
    <w:rsid w:val="002908F6"/>
    <w:rsid w:val="002B6DBB"/>
    <w:rsid w:val="00327895"/>
    <w:rsid w:val="0039638F"/>
    <w:rsid w:val="003A4222"/>
    <w:rsid w:val="003F79FD"/>
    <w:rsid w:val="00424CA6"/>
    <w:rsid w:val="00426B34"/>
    <w:rsid w:val="004676C5"/>
    <w:rsid w:val="004909E3"/>
    <w:rsid w:val="004C4AC8"/>
    <w:rsid w:val="004D6EBC"/>
    <w:rsid w:val="004E4156"/>
    <w:rsid w:val="004F11E3"/>
    <w:rsid w:val="00534CDB"/>
    <w:rsid w:val="0056479E"/>
    <w:rsid w:val="00577CF6"/>
    <w:rsid w:val="005854C6"/>
    <w:rsid w:val="005B74F0"/>
    <w:rsid w:val="005F54B0"/>
    <w:rsid w:val="00622994"/>
    <w:rsid w:val="0063463F"/>
    <w:rsid w:val="006346D5"/>
    <w:rsid w:val="00647F73"/>
    <w:rsid w:val="0065106E"/>
    <w:rsid w:val="00664D10"/>
    <w:rsid w:val="006958DC"/>
    <w:rsid w:val="006E79BF"/>
    <w:rsid w:val="00753C49"/>
    <w:rsid w:val="0075719B"/>
    <w:rsid w:val="0079153C"/>
    <w:rsid w:val="007975B4"/>
    <w:rsid w:val="007D280B"/>
    <w:rsid w:val="00816611"/>
    <w:rsid w:val="00820CAE"/>
    <w:rsid w:val="0084038A"/>
    <w:rsid w:val="008C5232"/>
    <w:rsid w:val="008C786E"/>
    <w:rsid w:val="008E113A"/>
    <w:rsid w:val="009317FE"/>
    <w:rsid w:val="009336FC"/>
    <w:rsid w:val="0099314D"/>
    <w:rsid w:val="009A05EF"/>
    <w:rsid w:val="00A83FD9"/>
    <w:rsid w:val="00A928AA"/>
    <w:rsid w:val="00AA2D49"/>
    <w:rsid w:val="00AF4A69"/>
    <w:rsid w:val="00B00136"/>
    <w:rsid w:val="00B64BBF"/>
    <w:rsid w:val="00B8724A"/>
    <w:rsid w:val="00BA580B"/>
    <w:rsid w:val="00BB5BBA"/>
    <w:rsid w:val="00BF702E"/>
    <w:rsid w:val="00C205EA"/>
    <w:rsid w:val="00C273D2"/>
    <w:rsid w:val="00C53C21"/>
    <w:rsid w:val="00C620A4"/>
    <w:rsid w:val="00CD2A96"/>
    <w:rsid w:val="00CE14DE"/>
    <w:rsid w:val="00D0507C"/>
    <w:rsid w:val="00D447E1"/>
    <w:rsid w:val="00D57593"/>
    <w:rsid w:val="00D628E2"/>
    <w:rsid w:val="00D7401C"/>
    <w:rsid w:val="00DA0E08"/>
    <w:rsid w:val="00DF355D"/>
    <w:rsid w:val="00DF7590"/>
    <w:rsid w:val="00E05FF9"/>
    <w:rsid w:val="00E166BB"/>
    <w:rsid w:val="00E20041"/>
    <w:rsid w:val="00EF6091"/>
    <w:rsid w:val="00F03CA2"/>
    <w:rsid w:val="00F24CDB"/>
    <w:rsid w:val="00F45D54"/>
    <w:rsid w:val="00F4653C"/>
    <w:rsid w:val="00F66D51"/>
    <w:rsid w:val="00F755F8"/>
    <w:rsid w:val="00FE6108"/>
    <w:rsid w:val="00FF0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qFormat/>
    <w:pPr>
      <w:keepNext/>
      <w:spacing w:before="240" w:after="60"/>
      <w:outlineLvl w:val="3"/>
    </w:pPr>
    <w:rPr>
      <w:b/>
      <w:bCs/>
      <w:sz w:val="28"/>
      <w:szCs w:val="28"/>
      <w:lang w:eastAsia="ar-SA" w:bidi="ar-SA"/>
    </w:rPr>
  </w:style>
  <w:style w:type="paragraph" w:styleId="Heading5">
    <w:name w:val="heading 5"/>
    <w:basedOn w:val="Normal"/>
    <w:next w:val="Normal"/>
    <w:qFormat/>
    <w:pPr>
      <w:spacing w:before="240" w:after="60"/>
      <w:outlineLvl w:val="4"/>
    </w:pPr>
    <w:rPr>
      <w:b/>
      <w:bCs/>
      <w:i/>
      <w:iCs/>
      <w:sz w:val="26"/>
      <w:szCs w:val="26"/>
      <w:lang w:eastAsia="ar-SA" w:bidi="ar-SA"/>
    </w:rPr>
  </w:style>
  <w:style w:type="paragraph" w:styleId="Heading6">
    <w:name w:val="heading 6"/>
    <w:basedOn w:val="Normal"/>
    <w:next w:val="Normal"/>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p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p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FootnoteText">
    <w:name w:val="footnote text"/>
    <w:basedOn w:val="Normal"/>
    <w:link w:val="FootnoteTextChar"/>
    <w:uiPriority w:val="99"/>
    <w:semiHidden/>
    <w:unhideWhenUsed/>
    <w:rsid w:val="00F4653C"/>
    <w:pPr>
      <w:suppressAutoHyphens w:val="0"/>
      <w:spacing w:after="200" w:line="276" w:lineRule="auto"/>
    </w:pPr>
    <w:rPr>
      <w:rFonts w:eastAsia="Calibri" w:cs="Times New Roman"/>
      <w:sz w:val="20"/>
      <w:szCs w:val="20"/>
      <w:lang w:val="en-AU" w:bidi="ar-SA"/>
    </w:rPr>
  </w:style>
  <w:style w:type="character" w:customStyle="1" w:styleId="FootnoteTextChar">
    <w:name w:val="Footnote Text Char"/>
    <w:basedOn w:val="DefaultParagraphFont"/>
    <w:link w:val="FootnoteText"/>
    <w:uiPriority w:val="99"/>
    <w:semiHidden/>
    <w:rsid w:val="00F4653C"/>
    <w:rPr>
      <w:rFonts w:ascii="Calibri" w:eastAsia="Calibri" w:hAnsi="Calibri"/>
      <w:lang w:eastAsia="en-US"/>
    </w:rPr>
  </w:style>
  <w:style w:type="character" w:styleId="FootnoteReference">
    <w:name w:val="footnote reference"/>
    <w:uiPriority w:val="99"/>
    <w:semiHidden/>
    <w:unhideWhenUsed/>
    <w:rsid w:val="00F4653C"/>
    <w:rPr>
      <w:vertAlign w:val="superscript"/>
    </w:rPr>
  </w:style>
  <w:style w:type="paragraph" w:styleId="ListParagraph">
    <w:name w:val="List Paragraph"/>
    <w:basedOn w:val="Normal"/>
    <w:uiPriority w:val="34"/>
    <w:qFormat/>
    <w:rsid w:val="00F4653C"/>
    <w:pPr>
      <w:suppressAutoHyphens w:val="0"/>
      <w:spacing w:after="200" w:line="276" w:lineRule="auto"/>
      <w:ind w:left="720"/>
      <w:contextualSpacing/>
    </w:pPr>
    <w:rPr>
      <w:rFonts w:eastAsia="Calibri" w:cs="Times New Roman"/>
      <w:sz w:val="22"/>
      <w:szCs w:val="22"/>
      <w:lang w:val="en-AU" w:bidi="ar-SA"/>
    </w:rPr>
  </w:style>
  <w:style w:type="paragraph" w:styleId="BalloonText">
    <w:name w:val="Balloon Text"/>
    <w:basedOn w:val="Normal"/>
    <w:link w:val="BalloonTextChar"/>
    <w:semiHidden/>
    <w:unhideWhenUsed/>
    <w:rsid w:val="00424CA6"/>
    <w:rPr>
      <w:rFonts w:ascii="Segoe UI" w:hAnsi="Segoe UI" w:cs="Segoe UI"/>
      <w:sz w:val="18"/>
      <w:szCs w:val="18"/>
    </w:rPr>
  </w:style>
  <w:style w:type="character" w:customStyle="1" w:styleId="BalloonTextChar">
    <w:name w:val="Balloon Text Char"/>
    <w:basedOn w:val="DefaultParagraphFont"/>
    <w:link w:val="BalloonText"/>
    <w:semiHidden/>
    <w:rsid w:val="00424CA6"/>
    <w:rPr>
      <w:rFonts w:ascii="Segoe UI" w:hAnsi="Segoe UI" w:cs="Segoe UI"/>
      <w:sz w:val="18"/>
      <w:szCs w:val="18"/>
      <w:lang w:val="en-US" w:eastAsia="en-US" w:bidi="en-US"/>
    </w:rPr>
  </w:style>
  <w:style w:type="paragraph" w:customStyle="1" w:styleId="ShortT">
    <w:name w:val="ShortT"/>
    <w:basedOn w:val="Normal"/>
    <w:next w:val="Normal"/>
    <w:qFormat/>
    <w:rsid w:val="00D57593"/>
    <w:pPr>
      <w:suppressAutoHyphens w:val="0"/>
    </w:pPr>
    <w:rPr>
      <w:rFonts w:ascii="Times New Roman" w:hAnsi="Times New Roman" w:cs="Times New Roman"/>
      <w:b/>
      <w:sz w:val="40"/>
      <w:szCs w:val="20"/>
      <w:lang w:val="en-AU" w:eastAsia="en-AU" w:bidi="ar-SA"/>
    </w:rPr>
  </w:style>
  <w:style w:type="paragraph" w:styleId="NormalWeb">
    <w:name w:val="Normal (Web)"/>
    <w:basedOn w:val="Normal"/>
    <w:uiPriority w:val="99"/>
    <w:unhideWhenUsed/>
    <w:rsid w:val="00D57593"/>
    <w:pPr>
      <w:suppressAutoHyphens w:val="0"/>
      <w:spacing w:before="240" w:after="240" w:line="264" w:lineRule="auto"/>
    </w:pPr>
    <w:rPr>
      <w:rFonts w:ascii="Tahoma" w:eastAsiaTheme="minorHAnsi" w:hAnsi="Tahoma" w:cs="Tahoma"/>
      <w:sz w:val="20"/>
      <w:szCs w:val="20"/>
      <w:lang w:val="en-AU" w:eastAsia="en-AU" w:bidi="ar-SA"/>
    </w:rPr>
  </w:style>
  <w:style w:type="character" w:styleId="Emphasis">
    <w:name w:val="Emphasis"/>
    <w:basedOn w:val="DefaultParagraphFont"/>
    <w:uiPriority w:val="20"/>
    <w:qFormat/>
    <w:rsid w:val="00D57593"/>
    <w:rPr>
      <w:i/>
      <w:iCs/>
    </w:rPr>
  </w:style>
  <w:style w:type="paragraph" w:customStyle="1" w:styleId="Default">
    <w:name w:val="Default"/>
    <w:rsid w:val="006346D5"/>
    <w:pPr>
      <w:autoSpaceDE w:val="0"/>
      <w:autoSpaceDN w:val="0"/>
      <w:adjustRightInd w:val="0"/>
    </w:pPr>
    <w:rPr>
      <w:rFonts w:ascii="Georgia" w:hAnsi="Georgia" w:cs="Georgia"/>
      <w:color w:val="000000"/>
      <w:sz w:val="24"/>
      <w:szCs w:val="24"/>
    </w:rPr>
  </w:style>
  <w:style w:type="character" w:customStyle="1" w:styleId="NumberedParagraphChar1">
    <w:name w:val="Numbered Paragraph Char1"/>
    <w:link w:val="NumberedParagraph"/>
    <w:locked/>
    <w:rsid w:val="000677DF"/>
    <w:rPr>
      <w:rFonts w:ascii="Book Antiqua" w:hAnsi="Book Antiqua"/>
      <w:color w:val="000000"/>
      <w:sz w:val="22"/>
      <w:szCs w:val="22"/>
    </w:rPr>
  </w:style>
  <w:style w:type="paragraph" w:customStyle="1" w:styleId="NumberedParagraph">
    <w:name w:val="Numbered Paragraph"/>
    <w:basedOn w:val="Normal"/>
    <w:link w:val="NumberedParagraphChar1"/>
    <w:rsid w:val="000677DF"/>
    <w:pPr>
      <w:numPr>
        <w:ilvl w:val="1"/>
        <w:numId w:val="11"/>
      </w:numPr>
      <w:suppressAutoHyphens w:val="0"/>
      <w:spacing w:after="240" w:line="300" w:lineRule="exact"/>
      <w:jc w:val="both"/>
    </w:pPr>
    <w:rPr>
      <w:rFonts w:ascii="Book Antiqua" w:hAnsi="Book Antiqua" w:cs="Times New Roman"/>
      <w:color w:val="000000"/>
      <w:sz w:val="22"/>
      <w:szCs w:val="22"/>
      <w:lang w:val="en-AU" w:eastAsia="en-AU" w:bidi="ar-SA"/>
    </w:rPr>
  </w:style>
  <w:style w:type="paragraph" w:customStyle="1" w:styleId="ChapterHeading">
    <w:name w:val="ChapterHeading"/>
    <w:basedOn w:val="Normal"/>
    <w:next w:val="NumberedParagraph"/>
    <w:rsid w:val="000677DF"/>
    <w:pPr>
      <w:numPr>
        <w:numId w:val="11"/>
      </w:numPr>
      <w:pBdr>
        <w:bottom w:val="single" w:sz="2" w:space="1" w:color="000080"/>
      </w:pBdr>
      <w:suppressAutoHyphens w:val="0"/>
      <w:spacing w:before="720" w:after="800"/>
    </w:pPr>
    <w:rPr>
      <w:rFonts w:ascii="Arial" w:hAnsi="Arial" w:cs="Times New Roman"/>
      <w:smallCaps/>
      <w:color w:val="000080"/>
      <w:sz w:val="38"/>
      <w:szCs w:val="38"/>
      <w:lang w:val="en-AU" w:eastAsia="en-AU" w:bidi="ar-SA"/>
    </w:rPr>
  </w:style>
  <w:style w:type="paragraph" w:customStyle="1" w:styleId="Bullet">
    <w:name w:val="Bullet"/>
    <w:aliases w:val="b"/>
    <w:basedOn w:val="Normal"/>
    <w:rsid w:val="000677DF"/>
    <w:pPr>
      <w:numPr>
        <w:numId w:val="12"/>
      </w:numPr>
      <w:suppressAutoHyphens w:val="0"/>
      <w:spacing w:after="240" w:line="300" w:lineRule="exact"/>
      <w:jc w:val="both"/>
    </w:pPr>
    <w:rPr>
      <w:rFonts w:ascii="Book Antiqua" w:hAnsi="Book Antiqua" w:cs="Times New Roman"/>
      <w:color w:val="000000"/>
      <w:sz w:val="22"/>
      <w:szCs w:val="22"/>
      <w:lang w:val="en-AU" w:eastAsia="en-AU" w:bidi="ar-SA"/>
    </w:rPr>
  </w:style>
  <w:style w:type="paragraph" w:customStyle="1" w:styleId="Dash">
    <w:name w:val="Dash"/>
    <w:basedOn w:val="Normal"/>
    <w:rsid w:val="000677DF"/>
    <w:pPr>
      <w:numPr>
        <w:ilvl w:val="1"/>
        <w:numId w:val="12"/>
      </w:numPr>
      <w:suppressAutoHyphens w:val="0"/>
      <w:spacing w:after="240" w:line="300" w:lineRule="exact"/>
      <w:jc w:val="both"/>
    </w:pPr>
    <w:rPr>
      <w:rFonts w:ascii="Book Antiqua" w:hAnsi="Book Antiqua" w:cs="Times New Roman"/>
      <w:color w:val="000000"/>
      <w:sz w:val="22"/>
      <w:szCs w:val="22"/>
      <w:lang w:val="en-AU" w:eastAsia="en-AU" w:bidi="ar-SA"/>
    </w:rPr>
  </w:style>
  <w:style w:type="paragraph" w:customStyle="1" w:styleId="DoubleDot">
    <w:name w:val="Double Dot"/>
    <w:basedOn w:val="Normal"/>
    <w:rsid w:val="000677DF"/>
    <w:pPr>
      <w:numPr>
        <w:ilvl w:val="2"/>
        <w:numId w:val="12"/>
      </w:numPr>
      <w:suppressAutoHyphens w:val="0"/>
      <w:spacing w:after="240" w:line="300" w:lineRule="exact"/>
      <w:jc w:val="both"/>
    </w:pPr>
    <w:rPr>
      <w:rFonts w:ascii="Book Antiqua" w:hAnsi="Book Antiqua" w:cs="Times New Roman"/>
      <w:color w:val="000000"/>
      <w:sz w:val="22"/>
      <w:szCs w:val="22"/>
      <w:lang w:val="en-AU" w:eastAsia="en-AU" w:bidi="ar-SA"/>
    </w:rPr>
  </w:style>
  <w:style w:type="character" w:styleId="CommentReference">
    <w:name w:val="annotation reference"/>
    <w:basedOn w:val="DefaultParagraphFont"/>
    <w:semiHidden/>
    <w:unhideWhenUsed/>
    <w:rsid w:val="0010333D"/>
    <w:rPr>
      <w:sz w:val="16"/>
      <w:szCs w:val="16"/>
    </w:rPr>
  </w:style>
  <w:style w:type="paragraph" w:styleId="CommentText">
    <w:name w:val="annotation text"/>
    <w:basedOn w:val="Normal"/>
    <w:link w:val="CommentTextChar"/>
    <w:semiHidden/>
    <w:unhideWhenUsed/>
    <w:rsid w:val="0010333D"/>
    <w:rPr>
      <w:sz w:val="20"/>
      <w:szCs w:val="20"/>
    </w:rPr>
  </w:style>
  <w:style w:type="character" w:customStyle="1" w:styleId="CommentTextChar">
    <w:name w:val="Comment Text Char"/>
    <w:basedOn w:val="DefaultParagraphFont"/>
    <w:link w:val="CommentText"/>
    <w:semiHidden/>
    <w:rsid w:val="0010333D"/>
    <w:rPr>
      <w:rFonts w:ascii="Calibri" w:hAnsi="Calibri" w:cs="Calibri"/>
      <w:lang w:val="en-US" w:eastAsia="en-US" w:bidi="en-US"/>
    </w:rPr>
  </w:style>
  <w:style w:type="paragraph" w:styleId="CommentSubject">
    <w:name w:val="annotation subject"/>
    <w:basedOn w:val="CommentText"/>
    <w:next w:val="CommentText"/>
    <w:link w:val="CommentSubjectChar"/>
    <w:semiHidden/>
    <w:unhideWhenUsed/>
    <w:rsid w:val="0010333D"/>
    <w:rPr>
      <w:b/>
      <w:bCs/>
    </w:rPr>
  </w:style>
  <w:style w:type="character" w:customStyle="1" w:styleId="CommentSubjectChar">
    <w:name w:val="Comment Subject Char"/>
    <w:basedOn w:val="CommentTextChar"/>
    <w:link w:val="CommentSubject"/>
    <w:semiHidden/>
    <w:rsid w:val="0010333D"/>
    <w:rPr>
      <w:rFonts w:ascii="Calibri" w:hAnsi="Calibri" w:cs="Calibri"/>
      <w:b/>
      <w:bCs/>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qFormat/>
    <w:pPr>
      <w:keepNext/>
      <w:spacing w:before="240" w:after="60"/>
      <w:outlineLvl w:val="3"/>
    </w:pPr>
    <w:rPr>
      <w:b/>
      <w:bCs/>
      <w:sz w:val="28"/>
      <w:szCs w:val="28"/>
      <w:lang w:eastAsia="ar-SA" w:bidi="ar-SA"/>
    </w:rPr>
  </w:style>
  <w:style w:type="paragraph" w:styleId="Heading5">
    <w:name w:val="heading 5"/>
    <w:basedOn w:val="Normal"/>
    <w:next w:val="Normal"/>
    <w:qFormat/>
    <w:pPr>
      <w:spacing w:before="240" w:after="60"/>
      <w:outlineLvl w:val="4"/>
    </w:pPr>
    <w:rPr>
      <w:b/>
      <w:bCs/>
      <w:i/>
      <w:iCs/>
      <w:sz w:val="26"/>
      <w:szCs w:val="26"/>
      <w:lang w:eastAsia="ar-SA" w:bidi="ar-SA"/>
    </w:rPr>
  </w:style>
  <w:style w:type="paragraph" w:styleId="Heading6">
    <w:name w:val="heading 6"/>
    <w:basedOn w:val="Normal"/>
    <w:next w:val="Normal"/>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p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p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FootnoteText">
    <w:name w:val="footnote text"/>
    <w:basedOn w:val="Normal"/>
    <w:link w:val="FootnoteTextChar"/>
    <w:uiPriority w:val="99"/>
    <w:semiHidden/>
    <w:unhideWhenUsed/>
    <w:rsid w:val="00F4653C"/>
    <w:pPr>
      <w:suppressAutoHyphens w:val="0"/>
      <w:spacing w:after="200" w:line="276" w:lineRule="auto"/>
    </w:pPr>
    <w:rPr>
      <w:rFonts w:eastAsia="Calibri" w:cs="Times New Roman"/>
      <w:sz w:val="20"/>
      <w:szCs w:val="20"/>
      <w:lang w:val="en-AU" w:bidi="ar-SA"/>
    </w:rPr>
  </w:style>
  <w:style w:type="character" w:customStyle="1" w:styleId="FootnoteTextChar">
    <w:name w:val="Footnote Text Char"/>
    <w:basedOn w:val="DefaultParagraphFont"/>
    <w:link w:val="FootnoteText"/>
    <w:uiPriority w:val="99"/>
    <w:semiHidden/>
    <w:rsid w:val="00F4653C"/>
    <w:rPr>
      <w:rFonts w:ascii="Calibri" w:eastAsia="Calibri" w:hAnsi="Calibri"/>
      <w:lang w:eastAsia="en-US"/>
    </w:rPr>
  </w:style>
  <w:style w:type="character" w:styleId="FootnoteReference">
    <w:name w:val="footnote reference"/>
    <w:uiPriority w:val="99"/>
    <w:semiHidden/>
    <w:unhideWhenUsed/>
    <w:rsid w:val="00F4653C"/>
    <w:rPr>
      <w:vertAlign w:val="superscript"/>
    </w:rPr>
  </w:style>
  <w:style w:type="paragraph" w:styleId="ListParagraph">
    <w:name w:val="List Paragraph"/>
    <w:basedOn w:val="Normal"/>
    <w:uiPriority w:val="34"/>
    <w:qFormat/>
    <w:rsid w:val="00F4653C"/>
    <w:pPr>
      <w:suppressAutoHyphens w:val="0"/>
      <w:spacing w:after="200" w:line="276" w:lineRule="auto"/>
      <w:ind w:left="720"/>
      <w:contextualSpacing/>
    </w:pPr>
    <w:rPr>
      <w:rFonts w:eastAsia="Calibri" w:cs="Times New Roman"/>
      <w:sz w:val="22"/>
      <w:szCs w:val="22"/>
      <w:lang w:val="en-AU" w:bidi="ar-SA"/>
    </w:rPr>
  </w:style>
  <w:style w:type="paragraph" w:styleId="BalloonText">
    <w:name w:val="Balloon Text"/>
    <w:basedOn w:val="Normal"/>
    <w:link w:val="BalloonTextChar"/>
    <w:semiHidden/>
    <w:unhideWhenUsed/>
    <w:rsid w:val="00424CA6"/>
    <w:rPr>
      <w:rFonts w:ascii="Segoe UI" w:hAnsi="Segoe UI" w:cs="Segoe UI"/>
      <w:sz w:val="18"/>
      <w:szCs w:val="18"/>
    </w:rPr>
  </w:style>
  <w:style w:type="character" w:customStyle="1" w:styleId="BalloonTextChar">
    <w:name w:val="Balloon Text Char"/>
    <w:basedOn w:val="DefaultParagraphFont"/>
    <w:link w:val="BalloonText"/>
    <w:semiHidden/>
    <w:rsid w:val="00424CA6"/>
    <w:rPr>
      <w:rFonts w:ascii="Segoe UI" w:hAnsi="Segoe UI" w:cs="Segoe UI"/>
      <w:sz w:val="18"/>
      <w:szCs w:val="18"/>
      <w:lang w:val="en-US" w:eastAsia="en-US" w:bidi="en-US"/>
    </w:rPr>
  </w:style>
  <w:style w:type="paragraph" w:customStyle="1" w:styleId="ShortT">
    <w:name w:val="ShortT"/>
    <w:basedOn w:val="Normal"/>
    <w:next w:val="Normal"/>
    <w:qFormat/>
    <w:rsid w:val="00D57593"/>
    <w:pPr>
      <w:suppressAutoHyphens w:val="0"/>
    </w:pPr>
    <w:rPr>
      <w:rFonts w:ascii="Times New Roman" w:hAnsi="Times New Roman" w:cs="Times New Roman"/>
      <w:b/>
      <w:sz w:val="40"/>
      <w:szCs w:val="20"/>
      <w:lang w:val="en-AU" w:eastAsia="en-AU" w:bidi="ar-SA"/>
    </w:rPr>
  </w:style>
  <w:style w:type="paragraph" w:styleId="NormalWeb">
    <w:name w:val="Normal (Web)"/>
    <w:basedOn w:val="Normal"/>
    <w:uiPriority w:val="99"/>
    <w:unhideWhenUsed/>
    <w:rsid w:val="00D57593"/>
    <w:pPr>
      <w:suppressAutoHyphens w:val="0"/>
      <w:spacing w:before="240" w:after="240" w:line="264" w:lineRule="auto"/>
    </w:pPr>
    <w:rPr>
      <w:rFonts w:ascii="Tahoma" w:eastAsiaTheme="minorHAnsi" w:hAnsi="Tahoma" w:cs="Tahoma"/>
      <w:sz w:val="20"/>
      <w:szCs w:val="20"/>
      <w:lang w:val="en-AU" w:eastAsia="en-AU" w:bidi="ar-SA"/>
    </w:rPr>
  </w:style>
  <w:style w:type="character" w:styleId="Emphasis">
    <w:name w:val="Emphasis"/>
    <w:basedOn w:val="DefaultParagraphFont"/>
    <w:uiPriority w:val="20"/>
    <w:qFormat/>
    <w:rsid w:val="00D57593"/>
    <w:rPr>
      <w:i/>
      <w:iCs/>
    </w:rPr>
  </w:style>
  <w:style w:type="paragraph" w:customStyle="1" w:styleId="Default">
    <w:name w:val="Default"/>
    <w:rsid w:val="006346D5"/>
    <w:pPr>
      <w:autoSpaceDE w:val="0"/>
      <w:autoSpaceDN w:val="0"/>
      <w:adjustRightInd w:val="0"/>
    </w:pPr>
    <w:rPr>
      <w:rFonts w:ascii="Georgia" w:hAnsi="Georgia" w:cs="Georgia"/>
      <w:color w:val="000000"/>
      <w:sz w:val="24"/>
      <w:szCs w:val="24"/>
    </w:rPr>
  </w:style>
  <w:style w:type="character" w:customStyle="1" w:styleId="NumberedParagraphChar1">
    <w:name w:val="Numbered Paragraph Char1"/>
    <w:link w:val="NumberedParagraph"/>
    <w:locked/>
    <w:rsid w:val="000677DF"/>
    <w:rPr>
      <w:rFonts w:ascii="Book Antiqua" w:hAnsi="Book Antiqua"/>
      <w:color w:val="000000"/>
      <w:sz w:val="22"/>
      <w:szCs w:val="22"/>
    </w:rPr>
  </w:style>
  <w:style w:type="paragraph" w:customStyle="1" w:styleId="NumberedParagraph">
    <w:name w:val="Numbered Paragraph"/>
    <w:basedOn w:val="Normal"/>
    <w:link w:val="NumberedParagraphChar1"/>
    <w:rsid w:val="000677DF"/>
    <w:pPr>
      <w:numPr>
        <w:ilvl w:val="1"/>
        <w:numId w:val="11"/>
      </w:numPr>
      <w:suppressAutoHyphens w:val="0"/>
      <w:spacing w:after="240" w:line="300" w:lineRule="exact"/>
      <w:jc w:val="both"/>
    </w:pPr>
    <w:rPr>
      <w:rFonts w:ascii="Book Antiqua" w:hAnsi="Book Antiqua" w:cs="Times New Roman"/>
      <w:color w:val="000000"/>
      <w:sz w:val="22"/>
      <w:szCs w:val="22"/>
      <w:lang w:val="en-AU" w:eastAsia="en-AU" w:bidi="ar-SA"/>
    </w:rPr>
  </w:style>
  <w:style w:type="paragraph" w:customStyle="1" w:styleId="ChapterHeading">
    <w:name w:val="ChapterHeading"/>
    <w:basedOn w:val="Normal"/>
    <w:next w:val="NumberedParagraph"/>
    <w:rsid w:val="000677DF"/>
    <w:pPr>
      <w:numPr>
        <w:numId w:val="11"/>
      </w:numPr>
      <w:pBdr>
        <w:bottom w:val="single" w:sz="2" w:space="1" w:color="000080"/>
      </w:pBdr>
      <w:suppressAutoHyphens w:val="0"/>
      <w:spacing w:before="720" w:after="800"/>
    </w:pPr>
    <w:rPr>
      <w:rFonts w:ascii="Arial" w:hAnsi="Arial" w:cs="Times New Roman"/>
      <w:smallCaps/>
      <w:color w:val="000080"/>
      <w:sz w:val="38"/>
      <w:szCs w:val="38"/>
      <w:lang w:val="en-AU" w:eastAsia="en-AU" w:bidi="ar-SA"/>
    </w:rPr>
  </w:style>
  <w:style w:type="paragraph" w:customStyle="1" w:styleId="Bullet">
    <w:name w:val="Bullet"/>
    <w:aliases w:val="b"/>
    <w:basedOn w:val="Normal"/>
    <w:rsid w:val="000677DF"/>
    <w:pPr>
      <w:numPr>
        <w:numId w:val="12"/>
      </w:numPr>
      <w:suppressAutoHyphens w:val="0"/>
      <w:spacing w:after="240" w:line="300" w:lineRule="exact"/>
      <w:jc w:val="both"/>
    </w:pPr>
    <w:rPr>
      <w:rFonts w:ascii="Book Antiqua" w:hAnsi="Book Antiqua" w:cs="Times New Roman"/>
      <w:color w:val="000000"/>
      <w:sz w:val="22"/>
      <w:szCs w:val="22"/>
      <w:lang w:val="en-AU" w:eastAsia="en-AU" w:bidi="ar-SA"/>
    </w:rPr>
  </w:style>
  <w:style w:type="paragraph" w:customStyle="1" w:styleId="Dash">
    <w:name w:val="Dash"/>
    <w:basedOn w:val="Normal"/>
    <w:rsid w:val="000677DF"/>
    <w:pPr>
      <w:numPr>
        <w:ilvl w:val="1"/>
        <w:numId w:val="12"/>
      </w:numPr>
      <w:suppressAutoHyphens w:val="0"/>
      <w:spacing w:after="240" w:line="300" w:lineRule="exact"/>
      <w:jc w:val="both"/>
    </w:pPr>
    <w:rPr>
      <w:rFonts w:ascii="Book Antiqua" w:hAnsi="Book Antiqua" w:cs="Times New Roman"/>
      <w:color w:val="000000"/>
      <w:sz w:val="22"/>
      <w:szCs w:val="22"/>
      <w:lang w:val="en-AU" w:eastAsia="en-AU" w:bidi="ar-SA"/>
    </w:rPr>
  </w:style>
  <w:style w:type="paragraph" w:customStyle="1" w:styleId="DoubleDot">
    <w:name w:val="Double Dot"/>
    <w:basedOn w:val="Normal"/>
    <w:rsid w:val="000677DF"/>
    <w:pPr>
      <w:numPr>
        <w:ilvl w:val="2"/>
        <w:numId w:val="12"/>
      </w:numPr>
      <w:suppressAutoHyphens w:val="0"/>
      <w:spacing w:after="240" w:line="300" w:lineRule="exact"/>
      <w:jc w:val="both"/>
    </w:pPr>
    <w:rPr>
      <w:rFonts w:ascii="Book Antiqua" w:hAnsi="Book Antiqua" w:cs="Times New Roman"/>
      <w:color w:val="000000"/>
      <w:sz w:val="22"/>
      <w:szCs w:val="22"/>
      <w:lang w:val="en-AU" w:eastAsia="en-AU" w:bidi="ar-SA"/>
    </w:rPr>
  </w:style>
  <w:style w:type="character" w:styleId="CommentReference">
    <w:name w:val="annotation reference"/>
    <w:basedOn w:val="DefaultParagraphFont"/>
    <w:semiHidden/>
    <w:unhideWhenUsed/>
    <w:rsid w:val="0010333D"/>
    <w:rPr>
      <w:sz w:val="16"/>
      <w:szCs w:val="16"/>
    </w:rPr>
  </w:style>
  <w:style w:type="paragraph" w:styleId="CommentText">
    <w:name w:val="annotation text"/>
    <w:basedOn w:val="Normal"/>
    <w:link w:val="CommentTextChar"/>
    <w:semiHidden/>
    <w:unhideWhenUsed/>
    <w:rsid w:val="0010333D"/>
    <w:rPr>
      <w:sz w:val="20"/>
      <w:szCs w:val="20"/>
    </w:rPr>
  </w:style>
  <w:style w:type="character" w:customStyle="1" w:styleId="CommentTextChar">
    <w:name w:val="Comment Text Char"/>
    <w:basedOn w:val="DefaultParagraphFont"/>
    <w:link w:val="CommentText"/>
    <w:semiHidden/>
    <w:rsid w:val="0010333D"/>
    <w:rPr>
      <w:rFonts w:ascii="Calibri" w:hAnsi="Calibri" w:cs="Calibri"/>
      <w:lang w:val="en-US" w:eastAsia="en-US" w:bidi="en-US"/>
    </w:rPr>
  </w:style>
  <w:style w:type="paragraph" w:styleId="CommentSubject">
    <w:name w:val="annotation subject"/>
    <w:basedOn w:val="CommentText"/>
    <w:next w:val="CommentText"/>
    <w:link w:val="CommentSubjectChar"/>
    <w:semiHidden/>
    <w:unhideWhenUsed/>
    <w:rsid w:val="0010333D"/>
    <w:rPr>
      <w:b/>
      <w:bCs/>
    </w:rPr>
  </w:style>
  <w:style w:type="character" w:customStyle="1" w:styleId="CommentSubjectChar">
    <w:name w:val="Comment Subject Char"/>
    <w:basedOn w:val="CommentTextChar"/>
    <w:link w:val="CommentSubject"/>
    <w:semiHidden/>
    <w:rsid w:val="0010333D"/>
    <w:rPr>
      <w:rFonts w:ascii="Calibri" w:hAnsi="Calibri" w:cs="Calibri"/>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13520">
      <w:bodyDiv w:val="1"/>
      <w:marLeft w:val="0"/>
      <w:marRight w:val="0"/>
      <w:marTop w:val="0"/>
      <w:marBottom w:val="0"/>
      <w:divBdr>
        <w:top w:val="none" w:sz="0" w:space="0" w:color="auto"/>
        <w:left w:val="none" w:sz="0" w:space="0" w:color="auto"/>
        <w:bottom w:val="none" w:sz="0" w:space="0" w:color="auto"/>
        <w:right w:val="none" w:sz="0" w:space="0" w:color="auto"/>
      </w:divBdr>
      <w:divsChild>
        <w:div w:id="1016926760">
          <w:marLeft w:val="0"/>
          <w:marRight w:val="0"/>
          <w:marTop w:val="0"/>
          <w:marBottom w:val="0"/>
          <w:divBdr>
            <w:top w:val="none" w:sz="0" w:space="0" w:color="auto"/>
            <w:left w:val="none" w:sz="0" w:space="0" w:color="auto"/>
            <w:bottom w:val="none" w:sz="0" w:space="0" w:color="auto"/>
            <w:right w:val="none" w:sz="0" w:space="0" w:color="auto"/>
          </w:divBdr>
          <w:divsChild>
            <w:div w:id="1691225654">
              <w:marLeft w:val="0"/>
              <w:marRight w:val="0"/>
              <w:marTop w:val="0"/>
              <w:marBottom w:val="0"/>
              <w:divBdr>
                <w:top w:val="none" w:sz="0" w:space="0" w:color="auto"/>
                <w:left w:val="none" w:sz="0" w:space="0" w:color="auto"/>
                <w:bottom w:val="none" w:sz="0" w:space="0" w:color="auto"/>
                <w:right w:val="none" w:sz="0" w:space="0" w:color="auto"/>
              </w:divBdr>
              <w:divsChild>
                <w:div w:id="1387487048">
                  <w:marLeft w:val="0"/>
                  <w:marRight w:val="0"/>
                  <w:marTop w:val="0"/>
                  <w:marBottom w:val="0"/>
                  <w:divBdr>
                    <w:top w:val="none" w:sz="0" w:space="0" w:color="auto"/>
                    <w:left w:val="none" w:sz="0" w:space="0" w:color="auto"/>
                    <w:bottom w:val="none" w:sz="0" w:space="0" w:color="auto"/>
                    <w:right w:val="none" w:sz="0" w:space="0" w:color="auto"/>
                  </w:divBdr>
                  <w:divsChild>
                    <w:div w:id="11235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32475">
      <w:bodyDiv w:val="1"/>
      <w:marLeft w:val="0"/>
      <w:marRight w:val="0"/>
      <w:marTop w:val="0"/>
      <w:marBottom w:val="0"/>
      <w:divBdr>
        <w:top w:val="none" w:sz="0" w:space="0" w:color="auto"/>
        <w:left w:val="none" w:sz="0" w:space="0" w:color="auto"/>
        <w:bottom w:val="none" w:sz="0" w:space="0" w:color="auto"/>
        <w:right w:val="none" w:sz="0" w:space="0" w:color="auto"/>
      </w:divBdr>
    </w:div>
    <w:div w:id="624236748">
      <w:bodyDiv w:val="1"/>
      <w:marLeft w:val="0"/>
      <w:marRight w:val="0"/>
      <w:marTop w:val="0"/>
      <w:marBottom w:val="0"/>
      <w:divBdr>
        <w:top w:val="none" w:sz="0" w:space="0" w:color="auto"/>
        <w:left w:val="none" w:sz="0" w:space="0" w:color="auto"/>
        <w:bottom w:val="none" w:sz="0" w:space="0" w:color="auto"/>
        <w:right w:val="none" w:sz="0" w:space="0" w:color="auto"/>
      </w:divBdr>
    </w:div>
    <w:div w:id="887185483">
      <w:bodyDiv w:val="1"/>
      <w:marLeft w:val="0"/>
      <w:marRight w:val="0"/>
      <w:marTop w:val="0"/>
      <w:marBottom w:val="0"/>
      <w:divBdr>
        <w:top w:val="none" w:sz="0" w:space="0" w:color="auto"/>
        <w:left w:val="none" w:sz="0" w:space="0" w:color="auto"/>
        <w:bottom w:val="none" w:sz="0" w:space="0" w:color="auto"/>
        <w:right w:val="none" w:sz="0" w:space="0" w:color="auto"/>
      </w:divBdr>
    </w:div>
    <w:div w:id="972371282">
      <w:bodyDiv w:val="1"/>
      <w:marLeft w:val="0"/>
      <w:marRight w:val="0"/>
      <w:marTop w:val="0"/>
      <w:marBottom w:val="0"/>
      <w:divBdr>
        <w:top w:val="none" w:sz="0" w:space="0" w:color="auto"/>
        <w:left w:val="none" w:sz="0" w:space="0" w:color="auto"/>
        <w:bottom w:val="none" w:sz="0" w:space="0" w:color="auto"/>
        <w:right w:val="none" w:sz="0" w:space="0" w:color="auto"/>
      </w:divBdr>
    </w:div>
    <w:div w:id="1283221339">
      <w:bodyDiv w:val="1"/>
      <w:marLeft w:val="0"/>
      <w:marRight w:val="0"/>
      <w:marTop w:val="0"/>
      <w:marBottom w:val="0"/>
      <w:divBdr>
        <w:top w:val="none" w:sz="0" w:space="0" w:color="auto"/>
        <w:left w:val="none" w:sz="0" w:space="0" w:color="auto"/>
        <w:bottom w:val="none" w:sz="0" w:space="0" w:color="auto"/>
        <w:right w:val="none" w:sz="0" w:space="0" w:color="auto"/>
      </w:divBdr>
    </w:div>
    <w:div w:id="1309937091">
      <w:bodyDiv w:val="1"/>
      <w:marLeft w:val="0"/>
      <w:marRight w:val="0"/>
      <w:marTop w:val="0"/>
      <w:marBottom w:val="0"/>
      <w:divBdr>
        <w:top w:val="none" w:sz="0" w:space="0" w:color="auto"/>
        <w:left w:val="none" w:sz="0" w:space="0" w:color="auto"/>
        <w:bottom w:val="none" w:sz="0" w:space="0" w:color="auto"/>
        <w:right w:val="none" w:sz="0" w:space="0" w:color="auto"/>
      </w:divBdr>
    </w:div>
    <w:div w:id="1422140693">
      <w:bodyDiv w:val="1"/>
      <w:marLeft w:val="0"/>
      <w:marRight w:val="0"/>
      <w:marTop w:val="0"/>
      <w:marBottom w:val="0"/>
      <w:divBdr>
        <w:top w:val="none" w:sz="0" w:space="0" w:color="auto"/>
        <w:left w:val="none" w:sz="0" w:space="0" w:color="auto"/>
        <w:bottom w:val="none" w:sz="0" w:space="0" w:color="auto"/>
        <w:right w:val="none" w:sz="0" w:space="0" w:color="auto"/>
      </w:divBdr>
    </w:div>
    <w:div w:id="1649433767">
      <w:bodyDiv w:val="1"/>
      <w:marLeft w:val="0"/>
      <w:marRight w:val="0"/>
      <w:marTop w:val="0"/>
      <w:marBottom w:val="0"/>
      <w:divBdr>
        <w:top w:val="none" w:sz="0" w:space="0" w:color="auto"/>
        <w:left w:val="none" w:sz="0" w:space="0" w:color="auto"/>
        <w:bottom w:val="none" w:sz="0" w:space="0" w:color="auto"/>
        <w:right w:val="none" w:sz="0" w:space="0" w:color="auto"/>
      </w:divBdr>
    </w:div>
    <w:div w:id="1681352903">
      <w:bodyDiv w:val="1"/>
      <w:marLeft w:val="0"/>
      <w:marRight w:val="0"/>
      <w:marTop w:val="0"/>
      <w:marBottom w:val="0"/>
      <w:divBdr>
        <w:top w:val="none" w:sz="0" w:space="0" w:color="auto"/>
        <w:left w:val="none" w:sz="0" w:space="0" w:color="auto"/>
        <w:bottom w:val="none" w:sz="0" w:space="0" w:color="auto"/>
        <w:right w:val="none" w:sz="0" w:space="0" w:color="auto"/>
      </w:divBdr>
    </w:div>
    <w:div w:id="1903102158">
      <w:bodyDiv w:val="1"/>
      <w:marLeft w:val="0"/>
      <w:marRight w:val="0"/>
      <w:marTop w:val="0"/>
      <w:marBottom w:val="0"/>
      <w:divBdr>
        <w:top w:val="none" w:sz="0" w:space="0" w:color="auto"/>
        <w:left w:val="none" w:sz="0" w:space="0" w:color="auto"/>
        <w:bottom w:val="none" w:sz="0" w:space="0" w:color="auto"/>
        <w:right w:val="none" w:sz="0" w:space="0" w:color="auto"/>
      </w:divBdr>
    </w:div>
    <w:div w:id="1904214990">
      <w:bodyDiv w:val="1"/>
      <w:marLeft w:val="0"/>
      <w:marRight w:val="0"/>
      <w:marTop w:val="0"/>
      <w:marBottom w:val="0"/>
      <w:divBdr>
        <w:top w:val="none" w:sz="0" w:space="0" w:color="auto"/>
        <w:left w:val="none" w:sz="0" w:space="0" w:color="auto"/>
        <w:bottom w:val="none" w:sz="0" w:space="0" w:color="auto"/>
        <w:right w:val="none" w:sz="0" w:space="0" w:color="auto"/>
      </w:divBdr>
    </w:div>
    <w:div w:id="1908151771">
      <w:bodyDiv w:val="1"/>
      <w:marLeft w:val="0"/>
      <w:marRight w:val="0"/>
      <w:marTop w:val="0"/>
      <w:marBottom w:val="0"/>
      <w:divBdr>
        <w:top w:val="none" w:sz="0" w:space="0" w:color="auto"/>
        <w:left w:val="none" w:sz="0" w:space="0" w:color="auto"/>
        <w:bottom w:val="none" w:sz="0" w:space="0" w:color="auto"/>
        <w:right w:val="none" w:sz="0" w:space="0" w:color="auto"/>
      </w:divBdr>
    </w:div>
    <w:div w:id="1914045867">
      <w:bodyDiv w:val="1"/>
      <w:marLeft w:val="0"/>
      <w:marRight w:val="0"/>
      <w:marTop w:val="0"/>
      <w:marBottom w:val="0"/>
      <w:divBdr>
        <w:top w:val="none" w:sz="0" w:space="0" w:color="auto"/>
        <w:left w:val="none" w:sz="0" w:space="0" w:color="auto"/>
        <w:bottom w:val="none" w:sz="0" w:space="0" w:color="auto"/>
        <w:right w:val="none" w:sz="0" w:space="0" w:color="auto"/>
      </w:divBdr>
    </w:div>
    <w:div w:id="1974603175">
      <w:bodyDiv w:val="1"/>
      <w:marLeft w:val="0"/>
      <w:marRight w:val="0"/>
      <w:marTop w:val="0"/>
      <w:marBottom w:val="0"/>
      <w:divBdr>
        <w:top w:val="none" w:sz="0" w:space="0" w:color="auto"/>
        <w:left w:val="none" w:sz="0" w:space="0" w:color="auto"/>
        <w:bottom w:val="none" w:sz="0" w:space="0" w:color="auto"/>
        <w:right w:val="none" w:sz="0" w:space="0" w:color="auto"/>
      </w:divBdr>
    </w:div>
    <w:div w:id="2089107155">
      <w:bodyDiv w:val="1"/>
      <w:marLeft w:val="0"/>
      <w:marRight w:val="0"/>
      <w:marTop w:val="0"/>
      <w:marBottom w:val="0"/>
      <w:divBdr>
        <w:top w:val="none" w:sz="0" w:space="0" w:color="auto"/>
        <w:left w:val="none" w:sz="0" w:space="0" w:color="auto"/>
        <w:bottom w:val="none" w:sz="0" w:space="0" w:color="auto"/>
        <w:right w:val="none" w:sz="0" w:space="0" w:color="auto"/>
      </w:divBdr>
    </w:div>
    <w:div w:id="2106880655">
      <w:bodyDiv w:val="1"/>
      <w:marLeft w:val="0"/>
      <w:marRight w:val="0"/>
      <w:marTop w:val="0"/>
      <w:marBottom w:val="0"/>
      <w:divBdr>
        <w:top w:val="none" w:sz="0" w:space="0" w:color="auto"/>
        <w:left w:val="none" w:sz="0" w:space="0" w:color="auto"/>
        <w:bottom w:val="none" w:sz="0" w:space="0" w:color="auto"/>
        <w:right w:val="none" w:sz="0" w:space="0" w:color="auto"/>
      </w:divBdr>
    </w:div>
    <w:div w:id="21221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ony.greco@publicaccountants.org.a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F8E56604EED9714DBFAD560C5884763B" ma:contentTypeVersion="6757" ma:contentTypeDescription=" " ma:contentTypeScope="" ma:versionID="0e9ec6fbb8c3ebeaab267e9166c37ec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2d77bdba58d6951f09b998892190280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TaxCatchAll xmlns="9f7bc583-7cbe-45b9-a2bd-8bbb6543b37e">
      <Value>6</Value>
    </TaxCatchAll>
    <_dlc_DocId xmlns="9f7bc583-7cbe-45b9-a2bd-8bbb6543b37e">2017RG-109-2005</_dlc_DocId>
    <_dlc_DocIdUrl xmlns="9f7bc583-7cbe-45b9-a2bd-8bbb6543b37e">
      <Url>http://tweb/sites/rg/citd/_layouts/15/DocIdRedir.aspx?ID=2017RG-109-2005</Url>
      <Description>2017RG-109-2005</Description>
    </_dlc_DocIdUrl>
  </documentManagement>
</p:properties>
</file>

<file path=customXml/itemProps1.xml><?xml version="1.0" encoding="utf-8"?>
<ds:datastoreItem xmlns:ds="http://schemas.openxmlformats.org/officeDocument/2006/customXml" ds:itemID="{F5FF689E-FED8-4D39-9A97-FA645A462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F9A18-B785-4357-8A81-3C16F3D2B8C7}">
  <ds:schemaRefs>
    <ds:schemaRef ds:uri="http://schemas.microsoft.com/sharepoint/v3/contenttype/forms"/>
  </ds:schemaRefs>
</ds:datastoreItem>
</file>

<file path=customXml/itemProps3.xml><?xml version="1.0" encoding="utf-8"?>
<ds:datastoreItem xmlns:ds="http://schemas.openxmlformats.org/officeDocument/2006/customXml" ds:itemID="{022896DD-ABAE-4F51-8FC3-D82432ABCCE2}">
  <ds:schemaRefs>
    <ds:schemaRef ds:uri="office.server.policy"/>
  </ds:schemaRefs>
</ds:datastoreItem>
</file>

<file path=customXml/itemProps4.xml><?xml version="1.0" encoding="utf-8"?>
<ds:datastoreItem xmlns:ds="http://schemas.openxmlformats.org/officeDocument/2006/customXml" ds:itemID="{4DA2A30A-2D09-4C4F-9580-122AE4548362}">
  <ds:schemaRefs>
    <ds:schemaRef ds:uri="http://schemas.microsoft.com/sharepoint/events"/>
  </ds:schemaRefs>
</ds:datastoreItem>
</file>

<file path=customXml/itemProps5.xml><?xml version="1.0" encoding="utf-8"?>
<ds:datastoreItem xmlns:ds="http://schemas.openxmlformats.org/officeDocument/2006/customXml" ds:itemID="{473CA39E-4BCB-4293-A345-8C3567B8EDB0}">
  <ds:schemaRefs>
    <ds:schemaRef ds:uri="http://schemas.microsoft.com/office/2006/metadata/properties"/>
    <ds:schemaRef ds:uri="http://schemas.microsoft.com/office/infopath/2007/PartnerControls"/>
    <ds:schemaRef ds:uri="9f7bc583-7cbe-45b9-a2bd-8bbb6543b37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1660</Words>
  <Characters>8394</Characters>
  <Application>Microsoft Office Word</Application>
  <DocSecurity>0</DocSecurity>
  <Lines>165</Lines>
  <Paragraphs>28</Paragraphs>
  <ScaleCrop>false</ScaleCrop>
  <Company/>
  <LinksUpToDate>false</LinksUpToDate>
  <CharactersWithSpaces>10047</CharactersWithSpaces>
  <SharedDoc>false</SharedDoc>
  <HLinks>
    <vt:vector size="6" baseType="variant">
      <vt:variant>
        <vt:i4>1966206</vt:i4>
      </vt:variant>
      <vt:variant>
        <vt:i4>0</vt:i4>
      </vt:variant>
      <vt:variant>
        <vt:i4>0</vt:i4>
      </vt:variant>
      <vt:variant>
        <vt:i4>5</vt:i4>
      </vt:variant>
      <vt:variant>
        <vt:lpwstr>mailto:natoffice@publicaccountants.org.au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Public Accountants</dc:title>
  <dc:subject/>
  <dc:creator/>
  <cp:keywords/>
  <cp:lastModifiedBy/>
  <cp:revision>1</cp:revision>
  <dcterms:created xsi:type="dcterms:W3CDTF">2017-11-13T05:21:00Z</dcterms:created>
  <dcterms:modified xsi:type="dcterms:W3CDTF">2017-11-13T05:21:00Z</dcterms:modified>
  <dc:language>English</dc:language>
</cp:coreProperties>
</file>