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1B1" w:rsidRDefault="003011B1">
      <w:pPr>
        <w:pStyle w:val="Heading2"/>
        <w:rPr>
          <w:rFonts w:ascii="Arial" w:hAnsi="Arial" w:cs="Arial"/>
        </w:rPr>
      </w:pPr>
      <w:bookmarkStart w:id="0" w:name="_GoBack"/>
      <w:bookmarkEnd w:id="0"/>
    </w:p>
    <w:p w:rsidR="003011B1" w:rsidRPr="003011B1" w:rsidRDefault="003011B1" w:rsidP="003011B1">
      <w:pPr>
        <w:autoSpaceDE w:val="0"/>
        <w:autoSpaceDN w:val="0"/>
        <w:adjustRightInd w:val="0"/>
        <w:rPr>
          <w:rFonts w:ascii="Helvetica" w:hAnsi="Helvetica" w:cs="Helvetica"/>
          <w:color w:val="000000"/>
          <w:sz w:val="20"/>
          <w:szCs w:val="20"/>
          <w:lang w:eastAsia="en-AU"/>
        </w:rPr>
      </w:pPr>
      <w:r w:rsidRPr="003011B1">
        <w:rPr>
          <w:rFonts w:ascii="Helvetica" w:hAnsi="Helvetica" w:cs="Helvetica"/>
          <w:color w:val="000000"/>
          <w:sz w:val="20"/>
          <w:szCs w:val="20"/>
          <w:lang w:eastAsia="en-AU"/>
        </w:rPr>
        <w:t>11 May 2012</w:t>
      </w:r>
    </w:p>
    <w:p w:rsidR="003011B1" w:rsidRPr="003011B1" w:rsidRDefault="003011B1" w:rsidP="003011B1">
      <w:pPr>
        <w:autoSpaceDE w:val="0"/>
        <w:autoSpaceDN w:val="0"/>
        <w:adjustRightInd w:val="0"/>
        <w:rPr>
          <w:rFonts w:ascii="Helvetica" w:hAnsi="Helvetica" w:cs="Helvetica"/>
          <w:color w:val="000000"/>
          <w:sz w:val="20"/>
          <w:szCs w:val="20"/>
          <w:lang w:eastAsia="en-AU"/>
        </w:rPr>
      </w:pPr>
      <w:r w:rsidRPr="003011B1">
        <w:rPr>
          <w:rFonts w:ascii="Helvetica" w:hAnsi="Helvetica" w:cs="Helvetica"/>
          <w:color w:val="000000"/>
          <w:sz w:val="20"/>
          <w:szCs w:val="20"/>
          <w:lang w:eastAsia="en-AU"/>
        </w:rPr>
        <w:t>Manager</w:t>
      </w:r>
    </w:p>
    <w:p w:rsidR="003011B1" w:rsidRPr="003011B1" w:rsidRDefault="003011B1" w:rsidP="003011B1">
      <w:pPr>
        <w:autoSpaceDE w:val="0"/>
        <w:autoSpaceDN w:val="0"/>
        <w:adjustRightInd w:val="0"/>
        <w:rPr>
          <w:rFonts w:ascii="Helvetica" w:hAnsi="Helvetica" w:cs="Helvetica"/>
          <w:color w:val="000000"/>
          <w:sz w:val="20"/>
          <w:szCs w:val="20"/>
          <w:lang w:eastAsia="en-AU"/>
        </w:rPr>
      </w:pPr>
      <w:r w:rsidRPr="003011B1">
        <w:rPr>
          <w:rFonts w:ascii="Helvetica" w:hAnsi="Helvetica" w:cs="Helvetica"/>
          <w:color w:val="000000"/>
          <w:sz w:val="20"/>
          <w:szCs w:val="20"/>
          <w:lang w:eastAsia="en-AU"/>
        </w:rPr>
        <w:t>Philanthropy and Exemptions Unit</w:t>
      </w:r>
    </w:p>
    <w:p w:rsidR="003011B1" w:rsidRPr="003011B1" w:rsidRDefault="003011B1" w:rsidP="003011B1">
      <w:pPr>
        <w:autoSpaceDE w:val="0"/>
        <w:autoSpaceDN w:val="0"/>
        <w:adjustRightInd w:val="0"/>
        <w:rPr>
          <w:rFonts w:ascii="Helvetica" w:hAnsi="Helvetica" w:cs="Helvetica"/>
          <w:color w:val="000000"/>
          <w:sz w:val="20"/>
          <w:szCs w:val="20"/>
          <w:lang w:eastAsia="en-AU"/>
        </w:rPr>
      </w:pPr>
      <w:r w:rsidRPr="003011B1">
        <w:rPr>
          <w:rFonts w:ascii="Helvetica" w:hAnsi="Helvetica" w:cs="Helvetica"/>
          <w:color w:val="000000"/>
          <w:sz w:val="20"/>
          <w:szCs w:val="20"/>
          <w:lang w:eastAsia="en-AU"/>
        </w:rPr>
        <w:t>Indirect Tax Division</w:t>
      </w:r>
    </w:p>
    <w:p w:rsidR="003011B1" w:rsidRPr="003011B1" w:rsidRDefault="003011B1" w:rsidP="003011B1">
      <w:pPr>
        <w:autoSpaceDE w:val="0"/>
        <w:autoSpaceDN w:val="0"/>
        <w:adjustRightInd w:val="0"/>
        <w:rPr>
          <w:rFonts w:ascii="Helvetica" w:hAnsi="Helvetica" w:cs="Helvetica"/>
          <w:color w:val="000000"/>
          <w:sz w:val="20"/>
          <w:szCs w:val="20"/>
          <w:lang w:eastAsia="en-AU"/>
        </w:rPr>
      </w:pPr>
      <w:r w:rsidRPr="003011B1">
        <w:rPr>
          <w:rFonts w:ascii="Helvetica" w:hAnsi="Helvetica" w:cs="Helvetica"/>
          <w:color w:val="000000"/>
          <w:sz w:val="20"/>
          <w:szCs w:val="20"/>
          <w:lang w:eastAsia="en-AU"/>
        </w:rPr>
        <w:t>The Treasury</w:t>
      </w:r>
    </w:p>
    <w:p w:rsidR="003011B1" w:rsidRPr="003011B1" w:rsidRDefault="003011B1" w:rsidP="003011B1">
      <w:pPr>
        <w:autoSpaceDE w:val="0"/>
        <w:autoSpaceDN w:val="0"/>
        <w:adjustRightInd w:val="0"/>
        <w:rPr>
          <w:rFonts w:ascii="Helvetica" w:hAnsi="Helvetica" w:cs="Helvetica"/>
          <w:color w:val="000000"/>
          <w:sz w:val="20"/>
          <w:szCs w:val="20"/>
          <w:lang w:eastAsia="en-AU"/>
        </w:rPr>
      </w:pPr>
      <w:r w:rsidRPr="003011B1">
        <w:rPr>
          <w:rFonts w:ascii="Helvetica" w:hAnsi="Helvetica" w:cs="Helvetica"/>
          <w:color w:val="000000"/>
          <w:sz w:val="20"/>
          <w:szCs w:val="20"/>
          <w:lang w:eastAsia="en-AU"/>
        </w:rPr>
        <w:t>Langton Crescent</w:t>
      </w:r>
    </w:p>
    <w:p w:rsidR="003011B1" w:rsidRPr="003011B1" w:rsidRDefault="003011B1" w:rsidP="003011B1">
      <w:pPr>
        <w:autoSpaceDE w:val="0"/>
        <w:autoSpaceDN w:val="0"/>
        <w:adjustRightInd w:val="0"/>
        <w:rPr>
          <w:rFonts w:ascii="Helvetica" w:hAnsi="Helvetica" w:cs="Helvetica"/>
          <w:color w:val="000000"/>
          <w:sz w:val="20"/>
          <w:szCs w:val="20"/>
          <w:lang w:eastAsia="en-AU"/>
        </w:rPr>
      </w:pPr>
      <w:r w:rsidRPr="003011B1">
        <w:rPr>
          <w:rFonts w:ascii="Helvetica" w:hAnsi="Helvetica" w:cs="Helvetica"/>
          <w:color w:val="000000"/>
          <w:sz w:val="20"/>
          <w:szCs w:val="20"/>
          <w:lang w:eastAsia="en-AU"/>
        </w:rPr>
        <w:t>PARKES ACT 2600</w:t>
      </w:r>
    </w:p>
    <w:p w:rsidR="00482473" w:rsidRDefault="00482473" w:rsidP="003011B1">
      <w:pPr>
        <w:autoSpaceDE w:val="0"/>
        <w:autoSpaceDN w:val="0"/>
        <w:adjustRightInd w:val="0"/>
        <w:rPr>
          <w:rFonts w:ascii="Helvetica" w:hAnsi="Helvetica" w:cs="Helvetica"/>
          <w:color w:val="000000"/>
          <w:sz w:val="20"/>
          <w:szCs w:val="20"/>
          <w:lang w:eastAsia="en-AU"/>
        </w:rPr>
      </w:pPr>
    </w:p>
    <w:p w:rsidR="003011B1" w:rsidRPr="003011B1" w:rsidRDefault="003011B1" w:rsidP="003011B1">
      <w:pPr>
        <w:autoSpaceDE w:val="0"/>
        <w:autoSpaceDN w:val="0"/>
        <w:adjustRightInd w:val="0"/>
        <w:rPr>
          <w:rFonts w:ascii="Helvetica" w:hAnsi="Helvetica" w:cs="Helvetica"/>
          <w:color w:val="0000FF"/>
          <w:sz w:val="20"/>
          <w:szCs w:val="20"/>
          <w:lang w:eastAsia="en-AU"/>
        </w:rPr>
      </w:pPr>
      <w:r w:rsidRPr="003011B1">
        <w:rPr>
          <w:rFonts w:ascii="Helvetica" w:hAnsi="Helvetica" w:cs="Helvetica"/>
          <w:color w:val="000000"/>
          <w:sz w:val="20"/>
          <w:szCs w:val="20"/>
          <w:lang w:eastAsia="en-AU"/>
        </w:rPr>
        <w:t xml:space="preserve">By email: </w:t>
      </w:r>
      <w:r w:rsidRPr="003011B1">
        <w:rPr>
          <w:rFonts w:ascii="Helvetica" w:hAnsi="Helvetica" w:cs="Helvetica"/>
          <w:color w:val="0000FF"/>
          <w:sz w:val="20"/>
          <w:szCs w:val="20"/>
          <w:lang w:eastAsia="en-AU"/>
        </w:rPr>
        <w:t>NFPReform@treasury.gov.au</w:t>
      </w:r>
    </w:p>
    <w:p w:rsidR="00482473" w:rsidRDefault="00482473" w:rsidP="003011B1">
      <w:pPr>
        <w:autoSpaceDE w:val="0"/>
        <w:autoSpaceDN w:val="0"/>
        <w:adjustRightInd w:val="0"/>
        <w:rPr>
          <w:rFonts w:ascii="Helvetica" w:hAnsi="Helvetica" w:cs="Helvetica"/>
          <w:color w:val="000000"/>
          <w:sz w:val="20"/>
          <w:szCs w:val="20"/>
          <w:lang w:eastAsia="en-AU"/>
        </w:rPr>
      </w:pPr>
    </w:p>
    <w:p w:rsidR="003011B1" w:rsidRPr="003011B1" w:rsidRDefault="003011B1" w:rsidP="003011B1">
      <w:pPr>
        <w:autoSpaceDE w:val="0"/>
        <w:autoSpaceDN w:val="0"/>
        <w:adjustRightInd w:val="0"/>
        <w:rPr>
          <w:rFonts w:ascii="Helvetica" w:hAnsi="Helvetica" w:cs="Helvetica"/>
          <w:color w:val="000000"/>
          <w:sz w:val="20"/>
          <w:szCs w:val="20"/>
          <w:lang w:eastAsia="en-AU"/>
        </w:rPr>
      </w:pPr>
      <w:r w:rsidRPr="003011B1">
        <w:rPr>
          <w:rFonts w:ascii="Helvetica" w:hAnsi="Helvetica" w:cs="Helvetica"/>
          <w:color w:val="000000"/>
          <w:sz w:val="20"/>
          <w:szCs w:val="20"/>
          <w:lang w:eastAsia="en-AU"/>
        </w:rPr>
        <w:t>Dear Treasury</w:t>
      </w:r>
    </w:p>
    <w:p w:rsidR="00482473" w:rsidRDefault="00482473" w:rsidP="003011B1">
      <w:pPr>
        <w:autoSpaceDE w:val="0"/>
        <w:autoSpaceDN w:val="0"/>
        <w:adjustRightInd w:val="0"/>
        <w:rPr>
          <w:rFonts w:ascii="TTE260FB98t00" w:hAnsi="TTE260FB98t00" w:cs="TTE260FB98t00"/>
          <w:color w:val="000000"/>
          <w:lang w:eastAsia="en-AU"/>
        </w:rPr>
      </w:pPr>
    </w:p>
    <w:p w:rsidR="003011B1" w:rsidRPr="00482473" w:rsidRDefault="003011B1" w:rsidP="00482473">
      <w:pPr>
        <w:autoSpaceDE w:val="0"/>
        <w:autoSpaceDN w:val="0"/>
        <w:adjustRightInd w:val="0"/>
        <w:ind w:left="1440"/>
        <w:rPr>
          <w:rFonts w:ascii="TTE260FB98t00" w:hAnsi="TTE260FB98t00" w:cs="TTE260FB98t00"/>
          <w:b/>
          <w:color w:val="000000"/>
          <w:lang w:eastAsia="en-AU"/>
        </w:rPr>
      </w:pPr>
      <w:r w:rsidRPr="00482473">
        <w:rPr>
          <w:rFonts w:ascii="TTE260FB98t00" w:hAnsi="TTE260FB98t00" w:cs="TTE260FB98t00"/>
          <w:b/>
          <w:color w:val="000000"/>
          <w:lang w:eastAsia="en-AU"/>
        </w:rPr>
        <w:t>Exposure draft: Restating and standardising</w:t>
      </w:r>
    </w:p>
    <w:p w:rsidR="003011B1" w:rsidRPr="00482473" w:rsidRDefault="003011B1" w:rsidP="00482473">
      <w:pPr>
        <w:autoSpaceDE w:val="0"/>
        <w:autoSpaceDN w:val="0"/>
        <w:adjustRightInd w:val="0"/>
        <w:ind w:left="1440"/>
        <w:rPr>
          <w:rFonts w:ascii="TTE260FB98t00" w:hAnsi="TTE260FB98t00" w:cs="TTE260FB98t00"/>
          <w:b/>
          <w:color w:val="000000"/>
          <w:lang w:eastAsia="en-AU"/>
        </w:rPr>
      </w:pPr>
      <w:proofErr w:type="gramStart"/>
      <w:r w:rsidRPr="00482473">
        <w:rPr>
          <w:rFonts w:ascii="TTE260FB98t00" w:hAnsi="TTE260FB98t00" w:cs="TTE260FB98t00"/>
          <w:b/>
          <w:color w:val="000000"/>
          <w:lang w:eastAsia="en-AU"/>
        </w:rPr>
        <w:t>the</w:t>
      </w:r>
      <w:proofErr w:type="gramEnd"/>
      <w:r w:rsidRPr="00482473">
        <w:rPr>
          <w:rFonts w:ascii="TTE260FB98t00" w:hAnsi="TTE260FB98t00" w:cs="TTE260FB98t00"/>
          <w:b/>
          <w:color w:val="000000"/>
          <w:lang w:eastAsia="en-AU"/>
        </w:rPr>
        <w:t xml:space="preserve"> special conditions for tax concession entities</w:t>
      </w:r>
    </w:p>
    <w:p w:rsidR="003011B1" w:rsidRPr="00482473" w:rsidRDefault="003011B1" w:rsidP="00482473">
      <w:pPr>
        <w:autoSpaceDE w:val="0"/>
        <w:autoSpaceDN w:val="0"/>
        <w:adjustRightInd w:val="0"/>
        <w:ind w:left="1440"/>
        <w:rPr>
          <w:rFonts w:ascii="TTE260FB98t00" w:hAnsi="TTE260FB98t00" w:cs="TTE260FB98t00"/>
          <w:b/>
          <w:color w:val="000000"/>
          <w:lang w:eastAsia="en-AU"/>
        </w:rPr>
      </w:pPr>
      <w:r w:rsidRPr="00482473">
        <w:rPr>
          <w:rFonts w:ascii="TTE260FB98t00" w:hAnsi="TTE260FB98t00" w:cs="TTE260FB98t00"/>
          <w:b/>
          <w:color w:val="000000"/>
          <w:lang w:eastAsia="en-AU"/>
        </w:rPr>
        <w:t>(</w:t>
      </w:r>
      <w:proofErr w:type="gramStart"/>
      <w:r w:rsidRPr="00482473">
        <w:rPr>
          <w:rFonts w:ascii="TTE260FB98t00" w:hAnsi="TTE260FB98t00" w:cs="TTE260FB98t00"/>
          <w:b/>
          <w:color w:val="000000"/>
          <w:lang w:eastAsia="en-AU"/>
        </w:rPr>
        <w:t>including</w:t>
      </w:r>
      <w:proofErr w:type="gramEnd"/>
      <w:r w:rsidRPr="00482473">
        <w:rPr>
          <w:rFonts w:ascii="TTE260FB98t00" w:hAnsi="TTE260FB98t00" w:cs="TTE260FB98t00"/>
          <w:b/>
          <w:color w:val="000000"/>
          <w:lang w:eastAsia="en-AU"/>
        </w:rPr>
        <w:t xml:space="preserve"> the ‘in Australia’ conditions)</w:t>
      </w:r>
    </w:p>
    <w:p w:rsidR="003011B1" w:rsidRDefault="003011B1">
      <w:pPr>
        <w:pStyle w:val="Heading2"/>
        <w:rPr>
          <w:rFonts w:ascii="Arial" w:hAnsi="Arial" w:cs="Arial"/>
        </w:rPr>
      </w:pPr>
    </w:p>
    <w:p w:rsidR="007A486D" w:rsidRDefault="00B075B4">
      <w:pPr>
        <w:rPr>
          <w:rFonts w:ascii="Arial" w:hAnsi="Arial" w:cs="Arial"/>
          <w:sz w:val="20"/>
          <w:szCs w:val="20"/>
        </w:rPr>
      </w:pPr>
      <w:r w:rsidRPr="00E04929">
        <w:rPr>
          <w:rFonts w:ascii="Arial" w:hAnsi="Arial" w:cs="Arial"/>
          <w:sz w:val="20"/>
          <w:szCs w:val="20"/>
        </w:rPr>
        <w:t xml:space="preserve">Greenpeace </w:t>
      </w:r>
      <w:r w:rsidR="00E04929" w:rsidRPr="00E04929">
        <w:rPr>
          <w:rFonts w:ascii="Arial" w:hAnsi="Arial" w:cs="Arial"/>
          <w:sz w:val="20"/>
          <w:szCs w:val="20"/>
        </w:rPr>
        <w:t xml:space="preserve">Australia Pacific Limited </w:t>
      </w:r>
      <w:r w:rsidRPr="00E04929">
        <w:rPr>
          <w:rFonts w:ascii="Arial" w:hAnsi="Arial" w:cs="Arial"/>
          <w:sz w:val="20"/>
          <w:szCs w:val="20"/>
        </w:rPr>
        <w:t xml:space="preserve">welcomes the </w:t>
      </w:r>
      <w:r w:rsidR="007A486D" w:rsidRPr="00E04929">
        <w:rPr>
          <w:rFonts w:ascii="Arial" w:hAnsi="Arial" w:cs="Arial"/>
          <w:sz w:val="20"/>
          <w:szCs w:val="20"/>
        </w:rPr>
        <w:t xml:space="preserve">opportunity to comment on the </w:t>
      </w:r>
      <w:r w:rsidR="007A486D">
        <w:rPr>
          <w:rFonts w:ascii="Arial" w:hAnsi="Arial" w:cs="Arial"/>
          <w:sz w:val="20"/>
          <w:szCs w:val="20"/>
        </w:rPr>
        <w:t xml:space="preserve">Revised </w:t>
      </w:r>
      <w:r w:rsidR="007A486D" w:rsidRPr="00E04929">
        <w:rPr>
          <w:rFonts w:ascii="Arial" w:hAnsi="Arial" w:cs="Arial"/>
          <w:sz w:val="20"/>
          <w:szCs w:val="20"/>
        </w:rPr>
        <w:t>Exposure Draft restating the in Australia special conditions for tax concession entities</w:t>
      </w:r>
      <w:r w:rsidR="007A486D">
        <w:rPr>
          <w:rFonts w:ascii="Arial" w:hAnsi="Arial" w:cs="Arial"/>
          <w:sz w:val="20"/>
          <w:szCs w:val="20"/>
        </w:rPr>
        <w:t xml:space="preserve"> </w:t>
      </w:r>
      <w:r w:rsidR="00B84D45">
        <w:rPr>
          <w:rFonts w:ascii="Arial" w:hAnsi="Arial" w:cs="Arial"/>
          <w:sz w:val="20"/>
          <w:szCs w:val="20"/>
        </w:rPr>
        <w:t xml:space="preserve">and applauds the Government for listening to the concerns raised by Greenpeace and other organisations </w:t>
      </w:r>
      <w:r w:rsidR="007A486D">
        <w:rPr>
          <w:rFonts w:ascii="Arial" w:hAnsi="Arial" w:cs="Arial"/>
          <w:sz w:val="20"/>
          <w:szCs w:val="20"/>
        </w:rPr>
        <w:t>in relation to the previous draft.</w:t>
      </w:r>
    </w:p>
    <w:p w:rsidR="007A486D" w:rsidRDefault="007A486D">
      <w:pPr>
        <w:rPr>
          <w:rFonts w:ascii="Arial" w:hAnsi="Arial" w:cs="Arial"/>
          <w:sz w:val="20"/>
          <w:szCs w:val="20"/>
        </w:rPr>
      </w:pPr>
    </w:p>
    <w:p w:rsidR="00AA67A2" w:rsidRPr="007A486D" w:rsidRDefault="007A486D">
      <w:pPr>
        <w:rPr>
          <w:rFonts w:ascii="Arial" w:hAnsi="Arial" w:cs="Arial"/>
          <w:b/>
          <w:sz w:val="20"/>
          <w:szCs w:val="20"/>
        </w:rPr>
      </w:pPr>
      <w:r w:rsidRPr="007A486D">
        <w:rPr>
          <w:rFonts w:ascii="Arial" w:hAnsi="Arial" w:cs="Arial"/>
          <w:b/>
          <w:sz w:val="20"/>
          <w:szCs w:val="20"/>
        </w:rPr>
        <w:t xml:space="preserve">Regarding </w:t>
      </w:r>
      <w:r w:rsidR="00AA67A2" w:rsidRPr="007A486D">
        <w:rPr>
          <w:rFonts w:ascii="Arial" w:hAnsi="Arial" w:cs="Arial"/>
          <w:b/>
          <w:sz w:val="20"/>
          <w:szCs w:val="20"/>
        </w:rPr>
        <w:t>30-18 (5</w:t>
      </w:r>
      <w:proofErr w:type="gramStart"/>
      <w:r w:rsidR="00AA67A2" w:rsidRPr="007A486D">
        <w:rPr>
          <w:rFonts w:ascii="Arial" w:hAnsi="Arial" w:cs="Arial"/>
          <w:b/>
          <w:sz w:val="20"/>
          <w:szCs w:val="20"/>
        </w:rPr>
        <w:t>)(</w:t>
      </w:r>
      <w:proofErr w:type="gramEnd"/>
      <w:r w:rsidR="00AA67A2" w:rsidRPr="007A486D">
        <w:rPr>
          <w:rFonts w:ascii="Arial" w:hAnsi="Arial" w:cs="Arial"/>
          <w:b/>
          <w:sz w:val="20"/>
          <w:szCs w:val="20"/>
        </w:rPr>
        <w:t>b)</w:t>
      </w:r>
      <w:r>
        <w:rPr>
          <w:rFonts w:ascii="Arial" w:hAnsi="Arial" w:cs="Arial"/>
          <w:b/>
          <w:sz w:val="20"/>
          <w:szCs w:val="20"/>
        </w:rPr>
        <w:t xml:space="preserve"> &amp; 30-19</w:t>
      </w:r>
    </w:p>
    <w:p w:rsidR="009842DF" w:rsidRDefault="00AA67A2" w:rsidP="00E517AA">
      <w:pPr>
        <w:rPr>
          <w:rFonts w:ascii="Arial" w:hAnsi="Arial" w:cs="Arial"/>
          <w:sz w:val="20"/>
          <w:szCs w:val="20"/>
        </w:rPr>
      </w:pPr>
      <w:r>
        <w:rPr>
          <w:rFonts w:ascii="Arial" w:hAnsi="Arial" w:cs="Arial"/>
          <w:sz w:val="20"/>
          <w:szCs w:val="20"/>
        </w:rPr>
        <w:t xml:space="preserve">Greenpeace </w:t>
      </w:r>
      <w:r w:rsidR="00E517AA">
        <w:rPr>
          <w:rFonts w:ascii="Arial" w:hAnsi="Arial" w:cs="Arial"/>
          <w:sz w:val="20"/>
          <w:szCs w:val="20"/>
        </w:rPr>
        <w:t>is concerned the regulations for which the Environment Secretary will make his or her determination are incomplete and</w:t>
      </w:r>
      <w:r w:rsidR="009842DF">
        <w:rPr>
          <w:rFonts w:ascii="Arial" w:hAnsi="Arial" w:cs="Arial"/>
          <w:sz w:val="20"/>
          <w:szCs w:val="20"/>
        </w:rPr>
        <w:t xml:space="preserve"> not available in draft form to enable thorough critique</w:t>
      </w:r>
      <w:r w:rsidR="00E36BF3">
        <w:rPr>
          <w:rFonts w:ascii="Arial" w:hAnsi="Arial" w:cs="Arial"/>
          <w:sz w:val="20"/>
          <w:szCs w:val="20"/>
        </w:rPr>
        <w:t xml:space="preserve"> of the Exposure Draft</w:t>
      </w:r>
      <w:r w:rsidR="009842DF">
        <w:rPr>
          <w:rFonts w:ascii="Arial" w:hAnsi="Arial" w:cs="Arial"/>
          <w:sz w:val="20"/>
          <w:szCs w:val="20"/>
        </w:rPr>
        <w:t>.</w:t>
      </w:r>
    </w:p>
    <w:p w:rsidR="006B460A" w:rsidRDefault="009842DF" w:rsidP="00E36BF3">
      <w:pPr>
        <w:rPr>
          <w:rFonts w:ascii="Arial" w:hAnsi="Arial" w:cs="Arial"/>
          <w:sz w:val="20"/>
          <w:szCs w:val="20"/>
        </w:rPr>
      </w:pPr>
      <w:r>
        <w:rPr>
          <w:rFonts w:ascii="Arial" w:hAnsi="Arial" w:cs="Arial"/>
          <w:sz w:val="20"/>
          <w:szCs w:val="20"/>
        </w:rPr>
        <w:t xml:space="preserve">Because of this Greenpeace </w:t>
      </w:r>
      <w:r w:rsidR="0036494B">
        <w:rPr>
          <w:rFonts w:ascii="Arial" w:hAnsi="Arial" w:cs="Arial"/>
          <w:sz w:val="20"/>
          <w:szCs w:val="20"/>
        </w:rPr>
        <w:t xml:space="preserve">is </w:t>
      </w:r>
      <w:r>
        <w:rPr>
          <w:rFonts w:ascii="Arial" w:hAnsi="Arial" w:cs="Arial"/>
          <w:sz w:val="20"/>
          <w:szCs w:val="20"/>
        </w:rPr>
        <w:t>concern</w:t>
      </w:r>
      <w:r w:rsidR="0036494B">
        <w:rPr>
          <w:rFonts w:ascii="Arial" w:hAnsi="Arial" w:cs="Arial"/>
          <w:sz w:val="20"/>
          <w:szCs w:val="20"/>
        </w:rPr>
        <w:t xml:space="preserve">ed </w:t>
      </w:r>
      <w:r>
        <w:rPr>
          <w:rFonts w:ascii="Arial" w:hAnsi="Arial" w:cs="Arial"/>
          <w:sz w:val="20"/>
          <w:szCs w:val="20"/>
        </w:rPr>
        <w:t xml:space="preserve">that </w:t>
      </w:r>
      <w:r w:rsidR="000E4E32">
        <w:rPr>
          <w:rFonts w:ascii="Arial" w:hAnsi="Arial" w:cs="Arial"/>
          <w:sz w:val="20"/>
          <w:szCs w:val="20"/>
        </w:rPr>
        <w:t xml:space="preserve">any such determination </w:t>
      </w:r>
      <w:r w:rsidR="0036494B">
        <w:rPr>
          <w:rFonts w:ascii="Arial" w:hAnsi="Arial" w:cs="Arial"/>
          <w:sz w:val="20"/>
          <w:szCs w:val="20"/>
        </w:rPr>
        <w:t xml:space="preserve">made </w:t>
      </w:r>
      <w:r w:rsidR="000E4E32">
        <w:rPr>
          <w:rFonts w:ascii="Arial" w:hAnsi="Arial" w:cs="Arial"/>
          <w:sz w:val="20"/>
          <w:szCs w:val="20"/>
        </w:rPr>
        <w:t>may be subject to the</w:t>
      </w:r>
      <w:r>
        <w:rPr>
          <w:rFonts w:ascii="Arial" w:hAnsi="Arial" w:cs="Arial"/>
          <w:sz w:val="20"/>
          <w:szCs w:val="20"/>
        </w:rPr>
        <w:t xml:space="preserve"> political will of the governmental of the day and </w:t>
      </w:r>
      <w:r w:rsidR="00566128">
        <w:rPr>
          <w:rFonts w:ascii="Arial" w:hAnsi="Arial" w:cs="Arial"/>
          <w:sz w:val="20"/>
          <w:szCs w:val="20"/>
        </w:rPr>
        <w:t xml:space="preserve">not bound by </w:t>
      </w:r>
      <w:r w:rsidR="0036494B">
        <w:rPr>
          <w:rFonts w:ascii="Arial" w:hAnsi="Arial" w:cs="Arial"/>
          <w:sz w:val="20"/>
          <w:szCs w:val="20"/>
        </w:rPr>
        <w:t xml:space="preserve">any </w:t>
      </w:r>
      <w:r w:rsidR="00566128">
        <w:rPr>
          <w:rFonts w:ascii="Arial" w:hAnsi="Arial" w:cs="Arial"/>
          <w:sz w:val="20"/>
          <w:szCs w:val="20"/>
        </w:rPr>
        <w:t>objective criteria</w:t>
      </w:r>
      <w:r w:rsidR="000B3825">
        <w:rPr>
          <w:rFonts w:ascii="Arial" w:hAnsi="Arial" w:cs="Arial"/>
          <w:sz w:val="20"/>
          <w:szCs w:val="20"/>
        </w:rPr>
        <w:t xml:space="preserve"> thus diminishing the </w:t>
      </w:r>
      <w:r w:rsidR="00E36BF3" w:rsidRPr="00E36BF3">
        <w:rPr>
          <w:rFonts w:ascii="Arial" w:hAnsi="Arial" w:cs="Arial"/>
          <w:sz w:val="20"/>
          <w:szCs w:val="20"/>
        </w:rPr>
        <w:t xml:space="preserve">integrity </w:t>
      </w:r>
      <w:r w:rsidR="006B460A">
        <w:rPr>
          <w:rFonts w:ascii="Arial" w:hAnsi="Arial" w:cs="Arial"/>
          <w:sz w:val="20"/>
          <w:szCs w:val="20"/>
        </w:rPr>
        <w:t>of the determination process.</w:t>
      </w:r>
    </w:p>
    <w:p w:rsidR="006B460A" w:rsidRDefault="006B460A" w:rsidP="00E36BF3">
      <w:pPr>
        <w:rPr>
          <w:rFonts w:ascii="Arial" w:hAnsi="Arial" w:cs="Arial"/>
          <w:sz w:val="20"/>
          <w:szCs w:val="20"/>
        </w:rPr>
      </w:pPr>
    </w:p>
    <w:p w:rsidR="007D7051" w:rsidRPr="00782756" w:rsidRDefault="006B460A" w:rsidP="007D7051">
      <w:pPr>
        <w:pStyle w:val="Default"/>
        <w:spacing w:after="51"/>
        <w:rPr>
          <w:rFonts w:ascii="Arial" w:hAnsi="Arial" w:cs="Arial"/>
          <w:sz w:val="20"/>
          <w:szCs w:val="20"/>
        </w:rPr>
      </w:pPr>
      <w:r>
        <w:rPr>
          <w:rFonts w:ascii="Arial" w:hAnsi="Arial" w:cs="Arial"/>
          <w:sz w:val="20"/>
          <w:szCs w:val="20"/>
        </w:rPr>
        <w:t>Greenpeace is concerned the regulation requirements</w:t>
      </w:r>
      <w:r w:rsidR="002C2534">
        <w:rPr>
          <w:rFonts w:ascii="Arial" w:hAnsi="Arial" w:cs="Arial"/>
          <w:sz w:val="20"/>
          <w:szCs w:val="20"/>
        </w:rPr>
        <w:t xml:space="preserve"> </w:t>
      </w:r>
      <w:r w:rsidR="007D7051">
        <w:rPr>
          <w:rFonts w:ascii="Arial" w:hAnsi="Arial" w:cs="Arial"/>
          <w:sz w:val="20"/>
          <w:szCs w:val="20"/>
        </w:rPr>
        <w:t xml:space="preserve">to maintain DGR status </w:t>
      </w:r>
      <w:r w:rsidR="002C2534">
        <w:rPr>
          <w:rFonts w:ascii="Arial" w:hAnsi="Arial" w:cs="Arial"/>
          <w:sz w:val="20"/>
          <w:szCs w:val="20"/>
        </w:rPr>
        <w:t xml:space="preserve">would create </w:t>
      </w:r>
      <w:r w:rsidR="007D7051">
        <w:rPr>
          <w:rFonts w:ascii="Arial" w:hAnsi="Arial" w:cs="Arial"/>
          <w:sz w:val="20"/>
          <w:szCs w:val="20"/>
        </w:rPr>
        <w:t xml:space="preserve">a </w:t>
      </w:r>
      <w:r w:rsidR="002C2534" w:rsidRPr="00782756">
        <w:rPr>
          <w:rFonts w:ascii="Arial" w:hAnsi="Arial" w:cs="Arial"/>
          <w:sz w:val="20"/>
          <w:szCs w:val="20"/>
        </w:rPr>
        <w:t xml:space="preserve">heavy compliance </w:t>
      </w:r>
      <w:r w:rsidRPr="00782756">
        <w:rPr>
          <w:rFonts w:ascii="Arial" w:hAnsi="Arial" w:cs="Arial"/>
          <w:sz w:val="20"/>
          <w:szCs w:val="20"/>
        </w:rPr>
        <w:t>burden</w:t>
      </w:r>
      <w:r w:rsidR="007D7051" w:rsidRPr="00782756">
        <w:rPr>
          <w:rFonts w:ascii="Arial" w:hAnsi="Arial" w:cs="Arial"/>
          <w:sz w:val="20"/>
          <w:szCs w:val="20"/>
        </w:rPr>
        <w:t xml:space="preserve"> </w:t>
      </w:r>
      <w:r w:rsidR="00843F9E" w:rsidRPr="00782756">
        <w:rPr>
          <w:rFonts w:ascii="Arial" w:hAnsi="Arial" w:cs="Arial"/>
          <w:sz w:val="20"/>
          <w:szCs w:val="20"/>
        </w:rPr>
        <w:t xml:space="preserve">that again may be open to politicisation </w:t>
      </w:r>
      <w:r w:rsidR="007D7051" w:rsidRPr="00782756">
        <w:rPr>
          <w:rFonts w:ascii="Arial" w:hAnsi="Arial" w:cs="Arial"/>
          <w:sz w:val="20"/>
          <w:szCs w:val="20"/>
        </w:rPr>
        <w:t>in having to demonstrate</w:t>
      </w:r>
      <w:r w:rsidR="002F4A4E" w:rsidRPr="00782756">
        <w:rPr>
          <w:rFonts w:ascii="Arial" w:hAnsi="Arial" w:cs="Arial"/>
          <w:sz w:val="20"/>
          <w:szCs w:val="20"/>
        </w:rPr>
        <w:t>:</w:t>
      </w:r>
      <w:r w:rsidR="007D7051" w:rsidRPr="00782756">
        <w:rPr>
          <w:rFonts w:ascii="Arial" w:hAnsi="Arial" w:cs="Arial"/>
          <w:sz w:val="20"/>
          <w:szCs w:val="20"/>
        </w:rPr>
        <w:t xml:space="preserve"> </w:t>
      </w:r>
    </w:p>
    <w:p w:rsidR="007D7051" w:rsidRDefault="007D7051" w:rsidP="007D7051">
      <w:pPr>
        <w:pStyle w:val="Default"/>
        <w:numPr>
          <w:ilvl w:val="0"/>
          <w:numId w:val="4"/>
        </w:numPr>
        <w:spacing w:after="51"/>
        <w:rPr>
          <w:rFonts w:ascii="Arial" w:hAnsi="Arial" w:cs="Arial"/>
          <w:sz w:val="20"/>
          <w:szCs w:val="20"/>
        </w:rPr>
      </w:pPr>
      <w:r w:rsidRPr="00E04929">
        <w:rPr>
          <w:rFonts w:ascii="Arial" w:hAnsi="Arial" w:cs="Arial"/>
          <w:sz w:val="20"/>
          <w:szCs w:val="20"/>
        </w:rPr>
        <w:t>a genuine need to conduct activities overseas in order to further its purpose;</w:t>
      </w:r>
    </w:p>
    <w:p w:rsidR="007D7051" w:rsidRPr="00E04929" w:rsidRDefault="002F4A4E" w:rsidP="007D7051">
      <w:pPr>
        <w:pStyle w:val="Default"/>
        <w:numPr>
          <w:ilvl w:val="0"/>
          <w:numId w:val="4"/>
        </w:numPr>
        <w:spacing w:after="51"/>
        <w:rPr>
          <w:rFonts w:ascii="Arial" w:hAnsi="Arial" w:cs="Arial"/>
          <w:sz w:val="20"/>
          <w:szCs w:val="20"/>
        </w:rPr>
      </w:pPr>
      <w:r w:rsidRPr="00E04929">
        <w:rPr>
          <w:rFonts w:ascii="Arial" w:hAnsi="Arial" w:cs="Arial"/>
          <w:sz w:val="20"/>
          <w:szCs w:val="20"/>
        </w:rPr>
        <w:t>that those activities undertaken outside Australia are effective in achieving its purpose</w:t>
      </w:r>
    </w:p>
    <w:p w:rsidR="002F4A4E" w:rsidRPr="00E04929" w:rsidRDefault="002F4A4E" w:rsidP="002F4A4E">
      <w:pPr>
        <w:pStyle w:val="Default"/>
        <w:numPr>
          <w:ilvl w:val="0"/>
          <w:numId w:val="4"/>
        </w:numPr>
        <w:spacing w:after="51"/>
        <w:rPr>
          <w:rFonts w:ascii="Arial" w:hAnsi="Arial" w:cs="Arial"/>
          <w:sz w:val="20"/>
          <w:szCs w:val="20"/>
        </w:rPr>
      </w:pPr>
      <w:r w:rsidRPr="00E04929">
        <w:rPr>
          <w:rFonts w:ascii="Arial" w:hAnsi="Arial" w:cs="Arial"/>
          <w:sz w:val="20"/>
          <w:szCs w:val="20"/>
        </w:rPr>
        <w:t xml:space="preserve">if the entity has an in-country partner, the entity must demonstrate that it effectively interacts and coordinates activities with its in-country partner; </w:t>
      </w:r>
    </w:p>
    <w:p w:rsidR="00843F9E" w:rsidRDefault="00843F9E" w:rsidP="002F4A4E">
      <w:pPr>
        <w:pStyle w:val="Default"/>
        <w:numPr>
          <w:ilvl w:val="0"/>
          <w:numId w:val="4"/>
        </w:numPr>
        <w:spacing w:after="51"/>
        <w:rPr>
          <w:rFonts w:ascii="Arial" w:hAnsi="Arial" w:cs="Arial"/>
          <w:sz w:val="20"/>
          <w:szCs w:val="20"/>
        </w:rPr>
      </w:pPr>
      <w:r w:rsidRPr="00E04929">
        <w:rPr>
          <w:rFonts w:ascii="Arial" w:hAnsi="Arial" w:cs="Arial"/>
          <w:sz w:val="20"/>
          <w:szCs w:val="20"/>
        </w:rPr>
        <w:t>the entity must show it has in place current and appropriate governance arrangements for the proper monitoring of any overseas activities undertaken by both it and any in-country partners to ensure that any money and property is being used in an proper and effective manner</w:t>
      </w:r>
    </w:p>
    <w:p w:rsidR="00843F9E" w:rsidRDefault="00843F9E" w:rsidP="00843F9E">
      <w:pPr>
        <w:pStyle w:val="Default"/>
        <w:spacing w:after="51"/>
        <w:rPr>
          <w:rFonts w:ascii="Arial" w:hAnsi="Arial" w:cs="Arial"/>
          <w:sz w:val="20"/>
          <w:szCs w:val="20"/>
        </w:rPr>
      </w:pPr>
    </w:p>
    <w:p w:rsidR="003C7C91" w:rsidRPr="003C7C91" w:rsidRDefault="00055A88" w:rsidP="003C7C91">
      <w:pPr>
        <w:pStyle w:val="Default"/>
        <w:spacing w:after="51"/>
        <w:rPr>
          <w:rFonts w:ascii="Arial" w:hAnsi="Arial" w:cs="Arial"/>
          <w:sz w:val="20"/>
          <w:szCs w:val="20"/>
        </w:rPr>
      </w:pPr>
      <w:r>
        <w:rPr>
          <w:rFonts w:ascii="Arial" w:hAnsi="Arial" w:cs="Arial"/>
          <w:sz w:val="20"/>
          <w:szCs w:val="20"/>
        </w:rPr>
        <w:t>Greenpeace is concerned of the requirement that t</w:t>
      </w:r>
      <w:r w:rsidR="002F4A4E" w:rsidRPr="00E04929">
        <w:rPr>
          <w:rFonts w:ascii="Arial" w:hAnsi="Arial" w:cs="Arial"/>
          <w:sz w:val="20"/>
          <w:szCs w:val="20"/>
        </w:rPr>
        <w:t xml:space="preserve">he entity must comply with all Australian and foreign laws, Australia’s international treaty obligations, and uphold the high reputation of Australia and </w:t>
      </w:r>
      <w:proofErr w:type="gramStart"/>
      <w:r w:rsidR="002F4A4E" w:rsidRPr="00E04929">
        <w:rPr>
          <w:rFonts w:ascii="Arial" w:hAnsi="Arial" w:cs="Arial"/>
          <w:sz w:val="20"/>
          <w:szCs w:val="20"/>
        </w:rPr>
        <w:t>it’s</w:t>
      </w:r>
      <w:proofErr w:type="gramEnd"/>
      <w:r w:rsidR="002F4A4E" w:rsidRPr="00E04929">
        <w:rPr>
          <w:rFonts w:ascii="Arial" w:hAnsi="Arial" w:cs="Arial"/>
          <w:sz w:val="20"/>
          <w:szCs w:val="20"/>
        </w:rPr>
        <w:t xml:space="preserve"> not-for-profit sector</w:t>
      </w:r>
      <w:r>
        <w:rPr>
          <w:rFonts w:ascii="Arial" w:hAnsi="Arial" w:cs="Arial"/>
          <w:sz w:val="20"/>
          <w:szCs w:val="20"/>
        </w:rPr>
        <w:t xml:space="preserve"> or risk losing its DGR status.  </w:t>
      </w:r>
      <w:r w:rsidR="003C7C91" w:rsidRPr="003C7C91">
        <w:rPr>
          <w:rFonts w:ascii="Arial" w:hAnsi="Arial" w:cs="Arial"/>
          <w:sz w:val="20"/>
          <w:szCs w:val="20"/>
        </w:rPr>
        <w:t xml:space="preserve">Greenpeace is an </w:t>
      </w:r>
      <w:proofErr w:type="gramStart"/>
      <w:r w:rsidR="003C7C91" w:rsidRPr="003C7C91">
        <w:rPr>
          <w:rFonts w:ascii="Arial" w:hAnsi="Arial" w:cs="Arial"/>
          <w:sz w:val="20"/>
          <w:szCs w:val="20"/>
        </w:rPr>
        <w:t>organisation</w:t>
      </w:r>
      <w:proofErr w:type="gramEnd"/>
      <w:r w:rsidR="003C7C91" w:rsidRPr="003C7C91">
        <w:rPr>
          <w:rFonts w:ascii="Arial" w:hAnsi="Arial" w:cs="Arial"/>
          <w:sz w:val="20"/>
          <w:szCs w:val="20"/>
        </w:rPr>
        <w:t xml:space="preserve"> that has a long history of engaging in direct action in furtherance of both environmental and peace purposes. This has included taking ships into the exclusion zones around </w:t>
      </w:r>
      <w:proofErr w:type="spellStart"/>
      <w:r w:rsidR="003C7C91" w:rsidRPr="003C7C91">
        <w:rPr>
          <w:rFonts w:ascii="Arial" w:hAnsi="Arial" w:cs="Arial"/>
          <w:sz w:val="20"/>
          <w:szCs w:val="20"/>
        </w:rPr>
        <w:t>Muraroa</w:t>
      </w:r>
      <w:proofErr w:type="spellEnd"/>
      <w:r w:rsidR="003C7C91" w:rsidRPr="003C7C91">
        <w:rPr>
          <w:rFonts w:ascii="Arial" w:hAnsi="Arial" w:cs="Arial"/>
          <w:sz w:val="20"/>
          <w:szCs w:val="20"/>
        </w:rPr>
        <w:t xml:space="preserve"> Atoll – a criminal offence under French law. It has included taking action again whaling boats and fishing boats. We have blocked train lines, occupied Lucas Heights, trespassed at the Lodge, </w:t>
      </w:r>
      <w:proofErr w:type="gramStart"/>
      <w:r w:rsidR="003C7C91" w:rsidRPr="003C7C91">
        <w:rPr>
          <w:rFonts w:ascii="Arial" w:hAnsi="Arial" w:cs="Arial"/>
          <w:sz w:val="20"/>
          <w:szCs w:val="20"/>
        </w:rPr>
        <w:t>illegally</w:t>
      </w:r>
      <w:proofErr w:type="gramEnd"/>
      <w:r w:rsidR="003C7C91" w:rsidRPr="003C7C91">
        <w:rPr>
          <w:rFonts w:ascii="Arial" w:hAnsi="Arial" w:cs="Arial"/>
          <w:sz w:val="20"/>
          <w:szCs w:val="20"/>
        </w:rPr>
        <w:t xml:space="preserve"> raised banners at Parliament House, amongst many other activities. These activities have never been for any purpose except the public benefit and in furtherance of our core purposes and values.</w:t>
      </w:r>
    </w:p>
    <w:p w:rsidR="003C7C91" w:rsidRPr="003C7C91" w:rsidRDefault="003C7C91" w:rsidP="003C7C91">
      <w:pPr>
        <w:pStyle w:val="Default"/>
        <w:spacing w:after="51"/>
        <w:rPr>
          <w:rFonts w:ascii="Arial" w:hAnsi="Arial" w:cs="Arial"/>
          <w:sz w:val="20"/>
          <w:szCs w:val="20"/>
        </w:rPr>
      </w:pPr>
    </w:p>
    <w:p w:rsidR="003C7C91" w:rsidRPr="003C7C91" w:rsidRDefault="003C7C91" w:rsidP="003C7C91">
      <w:pPr>
        <w:pStyle w:val="Default"/>
        <w:spacing w:after="51"/>
        <w:rPr>
          <w:rFonts w:ascii="Arial" w:hAnsi="Arial" w:cs="Arial"/>
          <w:sz w:val="20"/>
          <w:szCs w:val="20"/>
        </w:rPr>
      </w:pPr>
      <w:r w:rsidRPr="003C7C91">
        <w:rPr>
          <w:rFonts w:ascii="Arial" w:hAnsi="Arial" w:cs="Arial"/>
          <w:sz w:val="20"/>
          <w:szCs w:val="20"/>
        </w:rPr>
        <w:t xml:space="preserve">This history of civil disobedience is part of a much bigger history of individuals and organizations prepared to violate the law – often at great risk and with potentially severe criminal penalties – in order to accomplish a greater good. The obvious examples include the civil rights movement, the anti-apartheid movement and the anti-Vietnam war protests. Laws that criminalise legitimate civil disobedience are often not recognised as unjustified for years. </w:t>
      </w:r>
      <w:r w:rsidRPr="003C7C91">
        <w:rPr>
          <w:rFonts w:ascii="Arial" w:hAnsi="Arial" w:cs="Arial"/>
          <w:sz w:val="20"/>
          <w:szCs w:val="20"/>
        </w:rPr>
        <w:lastRenderedPageBreak/>
        <w:t xml:space="preserve">Any linking of charitable status to illegal activities must be careful not to undermine the rights – and sometimes the obligations – of citizens to challenge injustice by breaking laws. Civil disobedience is well recognised as a powerful and legitimate agent of change for the public good. </w:t>
      </w:r>
    </w:p>
    <w:p w:rsidR="003C7C91" w:rsidRPr="003C7C91" w:rsidRDefault="003C7C91" w:rsidP="003C7C91">
      <w:pPr>
        <w:pStyle w:val="Default"/>
        <w:spacing w:after="51"/>
        <w:rPr>
          <w:rFonts w:ascii="Arial" w:hAnsi="Arial" w:cs="Arial"/>
          <w:sz w:val="20"/>
          <w:szCs w:val="20"/>
        </w:rPr>
      </w:pPr>
    </w:p>
    <w:p w:rsidR="003C7C91" w:rsidRPr="003C7C91" w:rsidRDefault="003C7C91" w:rsidP="003C7C91">
      <w:pPr>
        <w:pStyle w:val="Default"/>
        <w:spacing w:after="51"/>
        <w:rPr>
          <w:rFonts w:ascii="Arial" w:hAnsi="Arial" w:cs="Arial"/>
          <w:sz w:val="20"/>
          <w:szCs w:val="20"/>
        </w:rPr>
      </w:pPr>
      <w:r w:rsidRPr="003C7C91">
        <w:rPr>
          <w:rFonts w:ascii="Arial" w:hAnsi="Arial" w:cs="Arial"/>
          <w:sz w:val="20"/>
          <w:szCs w:val="20"/>
        </w:rPr>
        <w:t xml:space="preserve">There are also other grounds for opposing the linking of charitable status and illegal activities. </w:t>
      </w:r>
    </w:p>
    <w:p w:rsidR="003C7C91" w:rsidRPr="003C7C91" w:rsidRDefault="003C7C91" w:rsidP="003C7C91">
      <w:pPr>
        <w:pStyle w:val="Default"/>
        <w:spacing w:after="51"/>
        <w:rPr>
          <w:rFonts w:ascii="Arial" w:hAnsi="Arial" w:cs="Arial"/>
          <w:sz w:val="20"/>
          <w:szCs w:val="20"/>
        </w:rPr>
      </w:pPr>
    </w:p>
    <w:p w:rsidR="003C7C91" w:rsidRPr="003C7C91" w:rsidRDefault="003C7C91" w:rsidP="003C7C91">
      <w:pPr>
        <w:pStyle w:val="Default"/>
        <w:spacing w:after="51"/>
        <w:rPr>
          <w:rFonts w:ascii="Arial" w:hAnsi="Arial" w:cs="Arial"/>
          <w:sz w:val="20"/>
          <w:szCs w:val="20"/>
        </w:rPr>
      </w:pPr>
      <w:r w:rsidRPr="003C7C91">
        <w:rPr>
          <w:rFonts w:ascii="Arial" w:hAnsi="Arial" w:cs="Arial"/>
          <w:sz w:val="20"/>
          <w:szCs w:val="20"/>
        </w:rPr>
        <w:t xml:space="preserve">Laws already exist to address illegality, including punishments such as fines and prison terms. Linking illegal activity to de-listing as a charitable organisation is doubling up on punishment.  </w:t>
      </w:r>
    </w:p>
    <w:p w:rsidR="003C7C91" w:rsidRPr="003C7C91" w:rsidRDefault="003C7C91" w:rsidP="003C7C91">
      <w:pPr>
        <w:pStyle w:val="Default"/>
        <w:spacing w:after="51"/>
        <w:rPr>
          <w:rFonts w:ascii="Arial" w:hAnsi="Arial" w:cs="Arial"/>
          <w:sz w:val="20"/>
          <w:szCs w:val="20"/>
        </w:rPr>
      </w:pPr>
    </w:p>
    <w:p w:rsidR="003C7C91" w:rsidRPr="003C7C91" w:rsidRDefault="003C7C91" w:rsidP="003C7C91">
      <w:pPr>
        <w:pStyle w:val="Default"/>
        <w:spacing w:after="51"/>
        <w:rPr>
          <w:rFonts w:ascii="Arial" w:hAnsi="Arial" w:cs="Arial"/>
          <w:sz w:val="20"/>
          <w:szCs w:val="20"/>
        </w:rPr>
      </w:pPr>
      <w:r w:rsidRPr="003C7C91">
        <w:rPr>
          <w:rFonts w:ascii="Arial" w:hAnsi="Arial" w:cs="Arial"/>
          <w:sz w:val="20"/>
          <w:szCs w:val="20"/>
        </w:rPr>
        <w:t xml:space="preserve">Such a linkage would also have the effect of imposing a more severe level of punishment on not for profits than is visited on other organizations that engage in criminal activities. For instance, Greenpeace is not aware of any provision in Australian law that removes the capacity of a corporation to continue to engage in corporate activities as a result of illegal and often criminal activity – activities that are often contrary to the public interest. For instance, Merck, the pharmaceutical company, was recently convicted in the US of knowingly allowing its </w:t>
      </w:r>
      <w:proofErr w:type="spellStart"/>
      <w:r w:rsidRPr="003C7C91">
        <w:rPr>
          <w:rFonts w:ascii="Arial" w:hAnsi="Arial" w:cs="Arial"/>
          <w:sz w:val="20"/>
          <w:szCs w:val="20"/>
        </w:rPr>
        <w:t>Vioxx</w:t>
      </w:r>
      <w:proofErr w:type="spellEnd"/>
      <w:r w:rsidRPr="003C7C91">
        <w:rPr>
          <w:rFonts w:ascii="Arial" w:hAnsi="Arial" w:cs="Arial"/>
          <w:sz w:val="20"/>
          <w:szCs w:val="20"/>
        </w:rPr>
        <w:t xml:space="preserve"> drug on the market despite knowing that it would like cause death of heart patients. Merck received a fine. It continues to operate in both the US and Australia as a legitimate corporate entity. </w:t>
      </w:r>
    </w:p>
    <w:p w:rsidR="003C7C91" w:rsidRPr="003C7C91" w:rsidRDefault="003C7C91" w:rsidP="003C7C91">
      <w:pPr>
        <w:pStyle w:val="Default"/>
        <w:spacing w:after="51"/>
        <w:rPr>
          <w:rFonts w:ascii="Arial" w:hAnsi="Arial" w:cs="Arial"/>
          <w:sz w:val="20"/>
          <w:szCs w:val="20"/>
        </w:rPr>
      </w:pPr>
    </w:p>
    <w:p w:rsidR="003C7C91" w:rsidRPr="003C7C91" w:rsidRDefault="003C7C91" w:rsidP="003C7C91">
      <w:pPr>
        <w:pStyle w:val="Default"/>
        <w:spacing w:after="51"/>
        <w:rPr>
          <w:rFonts w:ascii="Arial" w:hAnsi="Arial" w:cs="Arial"/>
          <w:sz w:val="20"/>
          <w:szCs w:val="20"/>
        </w:rPr>
      </w:pPr>
      <w:r w:rsidRPr="003C7C91">
        <w:rPr>
          <w:rFonts w:ascii="Arial" w:hAnsi="Arial" w:cs="Arial"/>
          <w:sz w:val="20"/>
          <w:szCs w:val="20"/>
        </w:rPr>
        <w:t xml:space="preserve">There are laws that permit licencing agents to consider the past acts of an organisation in determining whether to issue or re-issue a licence. For instance, the Gene Technology Act has such provisions in considering whether to issue licences for the growing of genetically modified plants. Greenpeace is not aware that these provisions have ever been used to refuse a licence. </w:t>
      </w:r>
      <w:proofErr w:type="gramStart"/>
      <w:r w:rsidRPr="003C7C91">
        <w:rPr>
          <w:rFonts w:ascii="Arial" w:hAnsi="Arial" w:cs="Arial"/>
          <w:sz w:val="20"/>
          <w:szCs w:val="20"/>
        </w:rPr>
        <w:t>Companies such as Monsanto, which has admitted to criminal offences (</w:t>
      </w:r>
      <w:hyperlink r:id="rId6" w:history="1">
        <w:r w:rsidRPr="003C7C91">
          <w:rPr>
            <w:rStyle w:val="Hyperlink"/>
            <w:rFonts w:ascii="Arial" w:hAnsi="Arial" w:cs="Arial"/>
            <w:sz w:val="20"/>
            <w:szCs w:val="20"/>
          </w:rPr>
          <w:t>"Monsanto fined $1.5m for bribery"</w:t>
        </w:r>
      </w:hyperlink>
      <w:r w:rsidRPr="003C7C91">
        <w:rPr>
          <w:rFonts w:ascii="Arial" w:hAnsi="Arial" w:cs="Arial"/>
          <w:sz w:val="20"/>
          <w:szCs w:val="20"/>
        </w:rPr>
        <w:t>.</w:t>
      </w:r>
      <w:proofErr w:type="gramEnd"/>
      <w:r w:rsidRPr="003C7C91">
        <w:rPr>
          <w:rFonts w:ascii="Arial" w:hAnsi="Arial" w:cs="Arial"/>
          <w:sz w:val="20"/>
          <w:szCs w:val="20"/>
        </w:rPr>
        <w:t xml:space="preserve"> </w:t>
      </w:r>
      <w:proofErr w:type="gramStart"/>
      <w:r w:rsidRPr="003C7C91">
        <w:rPr>
          <w:rFonts w:ascii="Arial" w:hAnsi="Arial" w:cs="Arial"/>
          <w:sz w:val="20"/>
          <w:szCs w:val="20"/>
        </w:rPr>
        <w:t>BBC.</w:t>
      </w:r>
      <w:proofErr w:type="gramEnd"/>
      <w:r w:rsidRPr="003C7C91">
        <w:rPr>
          <w:rFonts w:ascii="Arial" w:hAnsi="Arial" w:cs="Arial"/>
          <w:sz w:val="20"/>
          <w:szCs w:val="20"/>
        </w:rPr>
        <w:t xml:space="preserve"> 7 January 2005. </w:t>
      </w:r>
      <w:proofErr w:type="gramStart"/>
      <w:r w:rsidRPr="003C7C91">
        <w:rPr>
          <w:rFonts w:ascii="Arial" w:hAnsi="Arial" w:cs="Arial"/>
          <w:sz w:val="20"/>
          <w:szCs w:val="20"/>
        </w:rPr>
        <w:t>Retrieved 28 September 2007), holds numerous licences from the OGTR.</w:t>
      </w:r>
      <w:proofErr w:type="gramEnd"/>
      <w:r w:rsidRPr="003C7C91">
        <w:rPr>
          <w:rFonts w:ascii="Arial" w:hAnsi="Arial" w:cs="Arial"/>
          <w:sz w:val="20"/>
          <w:szCs w:val="20"/>
        </w:rPr>
        <w:t xml:space="preserve"> </w:t>
      </w:r>
    </w:p>
    <w:p w:rsidR="003C7C91" w:rsidRPr="003C7C91" w:rsidRDefault="003C7C91" w:rsidP="003C7C91">
      <w:pPr>
        <w:pStyle w:val="Default"/>
        <w:spacing w:after="51"/>
        <w:rPr>
          <w:rFonts w:ascii="Arial" w:hAnsi="Arial" w:cs="Arial"/>
          <w:sz w:val="20"/>
          <w:szCs w:val="20"/>
        </w:rPr>
      </w:pPr>
    </w:p>
    <w:p w:rsidR="003C7C91" w:rsidRPr="003C7C91" w:rsidRDefault="003C7C91" w:rsidP="003C7C91">
      <w:pPr>
        <w:pStyle w:val="Default"/>
        <w:spacing w:after="51"/>
        <w:rPr>
          <w:rFonts w:ascii="Arial" w:hAnsi="Arial" w:cs="Arial"/>
          <w:sz w:val="20"/>
          <w:szCs w:val="20"/>
        </w:rPr>
      </w:pPr>
      <w:r w:rsidRPr="003C7C91">
        <w:rPr>
          <w:rFonts w:ascii="Arial" w:hAnsi="Arial" w:cs="Arial"/>
          <w:sz w:val="20"/>
          <w:szCs w:val="20"/>
        </w:rPr>
        <w:t xml:space="preserve">These corporations benefit from a number of laws that allow them to operate in Australia, from tax benefits not available to others and often direct subsidies to support their activities. Greenpeace is not aware of any laws or efforts to remove these benefits when such corporations are convicted of criminal offences. </w:t>
      </w:r>
    </w:p>
    <w:p w:rsidR="003C7C91" w:rsidRDefault="003C7C91" w:rsidP="003C7C91">
      <w:pPr>
        <w:pStyle w:val="Default"/>
        <w:spacing w:after="51"/>
        <w:rPr>
          <w:rFonts w:ascii="Arial" w:hAnsi="Arial" w:cs="Arial"/>
          <w:sz w:val="20"/>
          <w:szCs w:val="20"/>
        </w:rPr>
      </w:pPr>
    </w:p>
    <w:p w:rsidR="003C7C91" w:rsidRPr="003C7C91" w:rsidRDefault="003C7C91" w:rsidP="003C7C91">
      <w:pPr>
        <w:pStyle w:val="Default"/>
        <w:spacing w:after="51"/>
        <w:rPr>
          <w:rFonts w:ascii="Arial" w:hAnsi="Arial" w:cs="Arial"/>
          <w:sz w:val="20"/>
          <w:szCs w:val="20"/>
        </w:rPr>
      </w:pPr>
      <w:r w:rsidRPr="003C7C91">
        <w:rPr>
          <w:rFonts w:ascii="Arial" w:hAnsi="Arial" w:cs="Arial"/>
          <w:sz w:val="20"/>
          <w:szCs w:val="20"/>
        </w:rPr>
        <w:t>Greenpeace is also concerned with the term</w:t>
      </w:r>
      <w:r w:rsidR="00CD57BB">
        <w:rPr>
          <w:rFonts w:ascii="Arial" w:hAnsi="Arial" w:cs="Arial"/>
          <w:sz w:val="20"/>
          <w:szCs w:val="20"/>
        </w:rPr>
        <w:t>s</w:t>
      </w:r>
      <w:r w:rsidRPr="003C7C91">
        <w:rPr>
          <w:rFonts w:ascii="Arial" w:hAnsi="Arial" w:cs="Arial"/>
          <w:sz w:val="20"/>
          <w:szCs w:val="20"/>
        </w:rPr>
        <w:t xml:space="preserve"> ‘</w:t>
      </w:r>
      <w:r w:rsidR="00CD57BB" w:rsidRPr="00E04929">
        <w:rPr>
          <w:rFonts w:ascii="Arial" w:hAnsi="Arial" w:cs="Arial"/>
          <w:sz w:val="20"/>
          <w:szCs w:val="20"/>
        </w:rPr>
        <w:t xml:space="preserve">uphold the high reputation of Australia and </w:t>
      </w:r>
      <w:proofErr w:type="gramStart"/>
      <w:r w:rsidR="00CD57BB" w:rsidRPr="00E04929">
        <w:rPr>
          <w:rFonts w:ascii="Arial" w:hAnsi="Arial" w:cs="Arial"/>
          <w:sz w:val="20"/>
          <w:szCs w:val="20"/>
        </w:rPr>
        <w:t>it’s</w:t>
      </w:r>
      <w:proofErr w:type="gramEnd"/>
      <w:r w:rsidR="00CD57BB" w:rsidRPr="00E04929">
        <w:rPr>
          <w:rFonts w:ascii="Arial" w:hAnsi="Arial" w:cs="Arial"/>
          <w:sz w:val="20"/>
          <w:szCs w:val="20"/>
        </w:rPr>
        <w:t xml:space="preserve"> not-for-profit sector</w:t>
      </w:r>
      <w:r w:rsidRPr="003C7C91">
        <w:rPr>
          <w:rFonts w:ascii="Arial" w:hAnsi="Arial" w:cs="Arial"/>
          <w:sz w:val="20"/>
          <w:szCs w:val="20"/>
        </w:rPr>
        <w:t>, which is vague</w:t>
      </w:r>
      <w:r w:rsidR="007D112C">
        <w:rPr>
          <w:rFonts w:ascii="Arial" w:hAnsi="Arial" w:cs="Arial"/>
          <w:sz w:val="20"/>
          <w:szCs w:val="20"/>
        </w:rPr>
        <w:t xml:space="preserve"> and </w:t>
      </w:r>
      <w:r w:rsidRPr="003C7C91">
        <w:rPr>
          <w:rFonts w:ascii="Arial" w:hAnsi="Arial" w:cs="Arial"/>
          <w:sz w:val="20"/>
          <w:szCs w:val="20"/>
        </w:rPr>
        <w:t>not defined</w:t>
      </w:r>
      <w:r w:rsidR="007D112C">
        <w:rPr>
          <w:rFonts w:ascii="Arial" w:hAnsi="Arial" w:cs="Arial"/>
          <w:sz w:val="20"/>
          <w:szCs w:val="20"/>
        </w:rPr>
        <w:t>.</w:t>
      </w:r>
      <w:r w:rsidR="00CD57BB" w:rsidRPr="00E04929">
        <w:rPr>
          <w:rFonts w:ascii="Arial" w:hAnsi="Arial" w:cs="Arial"/>
          <w:sz w:val="20"/>
          <w:szCs w:val="20"/>
        </w:rPr>
        <w:t xml:space="preserve"> </w:t>
      </w:r>
    </w:p>
    <w:p w:rsidR="003C7C91" w:rsidRPr="003C7C91" w:rsidRDefault="003C7C91" w:rsidP="003C7C91">
      <w:pPr>
        <w:pStyle w:val="Default"/>
        <w:spacing w:after="51"/>
        <w:rPr>
          <w:rFonts w:ascii="Arial" w:hAnsi="Arial" w:cs="Arial"/>
          <w:sz w:val="20"/>
          <w:szCs w:val="20"/>
        </w:rPr>
      </w:pPr>
    </w:p>
    <w:p w:rsidR="003C7C91" w:rsidRPr="003C7C91" w:rsidRDefault="003C7C91" w:rsidP="003C7C91">
      <w:pPr>
        <w:pStyle w:val="Default"/>
        <w:spacing w:after="51"/>
        <w:rPr>
          <w:rFonts w:ascii="Arial" w:hAnsi="Arial" w:cs="Arial"/>
          <w:sz w:val="20"/>
          <w:szCs w:val="20"/>
        </w:rPr>
      </w:pPr>
      <w:r w:rsidRPr="003C7C91">
        <w:rPr>
          <w:rFonts w:ascii="Arial" w:hAnsi="Arial" w:cs="Arial"/>
          <w:sz w:val="20"/>
          <w:szCs w:val="20"/>
        </w:rPr>
        <w:t xml:space="preserve">Greenpeace </w:t>
      </w:r>
      <w:r w:rsidR="004779D8">
        <w:rPr>
          <w:rFonts w:ascii="Arial" w:hAnsi="Arial" w:cs="Arial"/>
          <w:sz w:val="20"/>
          <w:szCs w:val="20"/>
        </w:rPr>
        <w:t>will n</w:t>
      </w:r>
      <w:r w:rsidR="00487C45">
        <w:rPr>
          <w:rFonts w:ascii="Arial" w:hAnsi="Arial" w:cs="Arial"/>
          <w:sz w:val="20"/>
          <w:szCs w:val="20"/>
        </w:rPr>
        <w:t xml:space="preserve">ot </w:t>
      </w:r>
      <w:r w:rsidRPr="003C7C91">
        <w:rPr>
          <w:rFonts w:ascii="Arial" w:hAnsi="Arial" w:cs="Arial"/>
          <w:sz w:val="20"/>
          <w:szCs w:val="20"/>
        </w:rPr>
        <w:t xml:space="preserve">support measures that see public interest organisations held to a standard that doesn’t apply to private interest institutions. </w:t>
      </w:r>
    </w:p>
    <w:p w:rsidR="00DA682C" w:rsidRDefault="00DA682C" w:rsidP="00DA682C">
      <w:pPr>
        <w:rPr>
          <w:rFonts w:ascii="Arial" w:hAnsi="Arial" w:cs="Arial"/>
          <w:sz w:val="20"/>
          <w:szCs w:val="20"/>
        </w:rPr>
      </w:pPr>
    </w:p>
    <w:p w:rsidR="00DA682C" w:rsidRDefault="00DA682C" w:rsidP="00DA682C">
      <w:pPr>
        <w:rPr>
          <w:rFonts w:ascii="Arial" w:hAnsi="Arial" w:cs="Arial"/>
          <w:sz w:val="20"/>
          <w:szCs w:val="20"/>
        </w:rPr>
      </w:pPr>
      <w:r>
        <w:rPr>
          <w:rFonts w:ascii="Arial" w:hAnsi="Arial" w:cs="Arial"/>
          <w:sz w:val="20"/>
          <w:szCs w:val="20"/>
        </w:rPr>
        <w:t xml:space="preserve">In summary Greenpeace </w:t>
      </w:r>
      <w:r w:rsidRPr="00487C45">
        <w:rPr>
          <w:rFonts w:ascii="Arial" w:hAnsi="Arial" w:cs="Arial"/>
          <w:b/>
          <w:sz w:val="20"/>
          <w:szCs w:val="20"/>
        </w:rPr>
        <w:t>cannot endorse the exposure draft in its current form</w:t>
      </w:r>
      <w:r>
        <w:rPr>
          <w:rFonts w:ascii="Arial" w:hAnsi="Arial" w:cs="Arial"/>
          <w:sz w:val="20"/>
          <w:szCs w:val="20"/>
        </w:rPr>
        <w:t xml:space="preserve"> </w:t>
      </w:r>
      <w:r w:rsidR="00160384">
        <w:rPr>
          <w:rFonts w:ascii="Arial" w:hAnsi="Arial" w:cs="Arial"/>
          <w:sz w:val="20"/>
          <w:szCs w:val="20"/>
        </w:rPr>
        <w:t xml:space="preserve">due to the serious </w:t>
      </w:r>
      <w:r w:rsidRPr="009D4948">
        <w:rPr>
          <w:rFonts w:ascii="Arial" w:hAnsi="Arial" w:cs="Arial"/>
          <w:sz w:val="20"/>
          <w:szCs w:val="20"/>
        </w:rPr>
        <w:t>integrity</w:t>
      </w:r>
      <w:r w:rsidR="00782756">
        <w:rPr>
          <w:rFonts w:ascii="Arial" w:hAnsi="Arial" w:cs="Arial"/>
          <w:sz w:val="20"/>
          <w:szCs w:val="20"/>
        </w:rPr>
        <w:t xml:space="preserve"> issues and compliance burden </w:t>
      </w:r>
      <w:r w:rsidRPr="009D4948">
        <w:rPr>
          <w:rFonts w:ascii="Arial" w:hAnsi="Arial" w:cs="Arial"/>
          <w:sz w:val="20"/>
          <w:szCs w:val="20"/>
        </w:rPr>
        <w:t xml:space="preserve">raised in </w:t>
      </w:r>
      <w:r>
        <w:rPr>
          <w:rFonts w:ascii="Arial" w:hAnsi="Arial" w:cs="Arial"/>
          <w:sz w:val="20"/>
          <w:szCs w:val="20"/>
        </w:rPr>
        <w:t>our submission</w:t>
      </w:r>
      <w:r w:rsidR="00160384">
        <w:rPr>
          <w:rFonts w:ascii="Arial" w:hAnsi="Arial" w:cs="Arial"/>
          <w:sz w:val="20"/>
          <w:szCs w:val="20"/>
        </w:rPr>
        <w:t xml:space="preserve"> and </w:t>
      </w:r>
      <w:r w:rsidR="006B0817" w:rsidRPr="00487C45">
        <w:rPr>
          <w:rFonts w:ascii="Arial" w:hAnsi="Arial" w:cs="Arial"/>
          <w:b/>
          <w:sz w:val="20"/>
          <w:szCs w:val="20"/>
        </w:rPr>
        <w:t xml:space="preserve">strongly recommends the </w:t>
      </w:r>
      <w:r w:rsidR="00B1397C" w:rsidRPr="00487C45">
        <w:rPr>
          <w:rFonts w:ascii="Arial" w:hAnsi="Arial" w:cs="Arial"/>
          <w:b/>
          <w:sz w:val="20"/>
          <w:szCs w:val="20"/>
        </w:rPr>
        <w:t xml:space="preserve">Government </w:t>
      </w:r>
      <w:r w:rsidR="006B0817" w:rsidRPr="00487C45">
        <w:rPr>
          <w:rFonts w:ascii="Arial" w:hAnsi="Arial" w:cs="Arial"/>
          <w:b/>
          <w:sz w:val="20"/>
          <w:szCs w:val="20"/>
        </w:rPr>
        <w:t>postpone and changes to the taxation</w:t>
      </w:r>
      <w:r w:rsidR="00275137" w:rsidRPr="00487C45">
        <w:rPr>
          <w:rFonts w:ascii="Arial" w:hAnsi="Arial" w:cs="Arial"/>
          <w:b/>
          <w:sz w:val="20"/>
          <w:szCs w:val="20"/>
        </w:rPr>
        <w:t xml:space="preserve"> arrangements of charities</w:t>
      </w:r>
      <w:r w:rsidR="00275137">
        <w:rPr>
          <w:rFonts w:ascii="Arial" w:hAnsi="Arial" w:cs="Arial"/>
          <w:sz w:val="20"/>
          <w:szCs w:val="20"/>
        </w:rPr>
        <w:t xml:space="preserve"> and </w:t>
      </w:r>
      <w:r>
        <w:rPr>
          <w:rFonts w:ascii="Arial" w:hAnsi="Arial" w:cs="Arial"/>
          <w:sz w:val="20"/>
          <w:szCs w:val="20"/>
        </w:rPr>
        <w:t>allow</w:t>
      </w:r>
      <w:r w:rsidR="00275137">
        <w:rPr>
          <w:rFonts w:ascii="Arial" w:hAnsi="Arial" w:cs="Arial"/>
          <w:sz w:val="20"/>
          <w:szCs w:val="20"/>
        </w:rPr>
        <w:t xml:space="preserve"> instead the </w:t>
      </w:r>
      <w:r w:rsidRPr="009D4948">
        <w:rPr>
          <w:rFonts w:ascii="Arial" w:hAnsi="Arial" w:cs="Arial"/>
          <w:sz w:val="20"/>
          <w:szCs w:val="20"/>
        </w:rPr>
        <w:t>ACNC</w:t>
      </w:r>
      <w:r>
        <w:rPr>
          <w:rFonts w:ascii="Arial" w:hAnsi="Arial" w:cs="Arial"/>
          <w:sz w:val="20"/>
          <w:szCs w:val="20"/>
        </w:rPr>
        <w:t xml:space="preserve"> develop the legislation </w:t>
      </w:r>
      <w:r w:rsidR="003D4148">
        <w:rPr>
          <w:rFonts w:ascii="Arial" w:hAnsi="Arial" w:cs="Arial"/>
          <w:sz w:val="20"/>
          <w:szCs w:val="20"/>
        </w:rPr>
        <w:t>within the context of a holistic regulatory framework reform.</w:t>
      </w:r>
    </w:p>
    <w:p w:rsidR="003D4148" w:rsidRDefault="003D4148" w:rsidP="00DA682C">
      <w:pPr>
        <w:rPr>
          <w:rFonts w:ascii="Arial" w:hAnsi="Arial" w:cs="Arial"/>
          <w:sz w:val="20"/>
          <w:szCs w:val="20"/>
        </w:rPr>
      </w:pPr>
    </w:p>
    <w:p w:rsidR="00DA682C" w:rsidRDefault="00DA682C" w:rsidP="00DA682C">
      <w:pPr>
        <w:rPr>
          <w:rFonts w:ascii="Arial" w:hAnsi="Arial" w:cs="Arial"/>
          <w:sz w:val="20"/>
          <w:szCs w:val="20"/>
        </w:rPr>
      </w:pPr>
    </w:p>
    <w:p w:rsidR="003D4148" w:rsidRPr="003D4148" w:rsidRDefault="003D4148" w:rsidP="003D4148">
      <w:pPr>
        <w:rPr>
          <w:rFonts w:ascii="Arial" w:hAnsi="Arial" w:cs="Arial"/>
          <w:sz w:val="20"/>
          <w:szCs w:val="20"/>
        </w:rPr>
      </w:pPr>
      <w:r w:rsidRPr="003D4148">
        <w:rPr>
          <w:rFonts w:ascii="Arial" w:hAnsi="Arial" w:cs="Arial"/>
          <w:sz w:val="20"/>
          <w:szCs w:val="20"/>
        </w:rPr>
        <w:t>For further information please contact:</w:t>
      </w:r>
    </w:p>
    <w:p w:rsidR="003D4148" w:rsidRDefault="003D4148" w:rsidP="003D4148">
      <w:pPr>
        <w:rPr>
          <w:rFonts w:ascii="Arial" w:hAnsi="Arial" w:cs="Arial"/>
          <w:sz w:val="20"/>
          <w:szCs w:val="20"/>
        </w:rPr>
      </w:pPr>
    </w:p>
    <w:p w:rsidR="003D4148" w:rsidRPr="003D4148" w:rsidRDefault="003D4148" w:rsidP="003D4148">
      <w:pPr>
        <w:rPr>
          <w:rFonts w:ascii="Arial" w:hAnsi="Arial" w:cs="Arial"/>
          <w:sz w:val="20"/>
          <w:szCs w:val="20"/>
        </w:rPr>
      </w:pPr>
      <w:r w:rsidRPr="003D4148">
        <w:rPr>
          <w:rFonts w:ascii="Arial" w:hAnsi="Arial" w:cs="Arial"/>
          <w:sz w:val="20"/>
          <w:szCs w:val="20"/>
        </w:rPr>
        <w:t xml:space="preserve">Terry O’Donnell, </w:t>
      </w:r>
      <w:r w:rsidR="00782756">
        <w:rPr>
          <w:rFonts w:ascii="Arial" w:hAnsi="Arial" w:cs="Arial"/>
          <w:sz w:val="20"/>
          <w:szCs w:val="20"/>
        </w:rPr>
        <w:t xml:space="preserve">Chief Financial Officer </w:t>
      </w:r>
      <w:r w:rsidRPr="003D4148">
        <w:rPr>
          <w:rFonts w:ascii="Arial" w:hAnsi="Arial" w:cs="Arial"/>
          <w:sz w:val="20"/>
          <w:szCs w:val="20"/>
        </w:rPr>
        <w:t>– 02 9263 01310</w:t>
      </w:r>
    </w:p>
    <w:p w:rsidR="00487C45" w:rsidRPr="00E04929" w:rsidRDefault="00487C45" w:rsidP="00487C45">
      <w:pPr>
        <w:rPr>
          <w:rFonts w:ascii="Arial" w:hAnsi="Arial" w:cs="Arial"/>
          <w:sz w:val="20"/>
          <w:szCs w:val="20"/>
        </w:rPr>
      </w:pPr>
      <w:r w:rsidRPr="003D4148">
        <w:rPr>
          <w:rFonts w:ascii="Arial" w:hAnsi="Arial" w:cs="Arial"/>
          <w:sz w:val="20"/>
          <w:szCs w:val="20"/>
        </w:rPr>
        <w:t xml:space="preserve">Greenpeace Australia Pacific </w:t>
      </w:r>
      <w:r>
        <w:rPr>
          <w:rFonts w:ascii="Arial" w:hAnsi="Arial" w:cs="Arial"/>
          <w:sz w:val="20"/>
          <w:szCs w:val="20"/>
        </w:rPr>
        <w:t>Limited</w:t>
      </w:r>
    </w:p>
    <w:p w:rsidR="003D4148" w:rsidRDefault="003D4148" w:rsidP="003D4148">
      <w:pPr>
        <w:rPr>
          <w:rFonts w:ascii="Arial" w:hAnsi="Arial" w:cs="Arial"/>
          <w:sz w:val="20"/>
          <w:szCs w:val="20"/>
        </w:rPr>
      </w:pPr>
    </w:p>
    <w:p w:rsidR="003D4148" w:rsidRPr="003D4148" w:rsidRDefault="003D4148" w:rsidP="003D4148">
      <w:pPr>
        <w:rPr>
          <w:rFonts w:ascii="Arial" w:hAnsi="Arial" w:cs="Arial"/>
          <w:sz w:val="20"/>
          <w:szCs w:val="20"/>
        </w:rPr>
      </w:pPr>
      <w:r w:rsidRPr="003D4148">
        <w:rPr>
          <w:rFonts w:ascii="Arial" w:hAnsi="Arial" w:cs="Arial"/>
          <w:sz w:val="20"/>
          <w:szCs w:val="20"/>
        </w:rPr>
        <w:t xml:space="preserve">Submitted 9 December 2011 </w:t>
      </w:r>
    </w:p>
    <w:p w:rsidR="003D4148" w:rsidRPr="003D4148" w:rsidRDefault="003D4148" w:rsidP="003D4148">
      <w:pPr>
        <w:rPr>
          <w:rFonts w:ascii="Arial" w:hAnsi="Arial" w:cs="Arial"/>
          <w:sz w:val="20"/>
          <w:szCs w:val="20"/>
        </w:rPr>
      </w:pPr>
    </w:p>
    <w:sectPr w:rsidR="003D4148" w:rsidRPr="003D41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TE260FB9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137"/>
    <w:multiLevelType w:val="hybridMultilevel"/>
    <w:tmpl w:val="49663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37DD5"/>
    <w:multiLevelType w:val="hybridMultilevel"/>
    <w:tmpl w:val="5E0AF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8C27710"/>
    <w:multiLevelType w:val="hybridMultilevel"/>
    <w:tmpl w:val="DAD6C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7AD34A9"/>
    <w:multiLevelType w:val="hybridMultilevel"/>
    <w:tmpl w:val="0F101612"/>
    <w:lvl w:ilvl="0" w:tplc="0C09000F">
      <w:start w:val="1"/>
      <w:numFmt w:val="decimal"/>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39D3"/>
    <w:rsid w:val="00055A88"/>
    <w:rsid w:val="000A4B8D"/>
    <w:rsid w:val="000B3825"/>
    <w:rsid w:val="000E4E32"/>
    <w:rsid w:val="00160384"/>
    <w:rsid w:val="001950D2"/>
    <w:rsid w:val="001C39D3"/>
    <w:rsid w:val="00275137"/>
    <w:rsid w:val="002C2534"/>
    <w:rsid w:val="002C50C0"/>
    <w:rsid w:val="002F4A4E"/>
    <w:rsid w:val="003011B1"/>
    <w:rsid w:val="0036494B"/>
    <w:rsid w:val="003B391E"/>
    <w:rsid w:val="003C7C91"/>
    <w:rsid w:val="003D4148"/>
    <w:rsid w:val="003E29CD"/>
    <w:rsid w:val="003F2E06"/>
    <w:rsid w:val="00453574"/>
    <w:rsid w:val="00470214"/>
    <w:rsid w:val="004779D8"/>
    <w:rsid w:val="00482473"/>
    <w:rsid w:val="00487C45"/>
    <w:rsid w:val="00566128"/>
    <w:rsid w:val="0062328D"/>
    <w:rsid w:val="00627863"/>
    <w:rsid w:val="006840D7"/>
    <w:rsid w:val="006A64B3"/>
    <w:rsid w:val="006B0817"/>
    <w:rsid w:val="006B460A"/>
    <w:rsid w:val="006F3974"/>
    <w:rsid w:val="00750E5B"/>
    <w:rsid w:val="00782756"/>
    <w:rsid w:val="00786FD8"/>
    <w:rsid w:val="007A486D"/>
    <w:rsid w:val="007D112C"/>
    <w:rsid w:val="007D7051"/>
    <w:rsid w:val="00843F9E"/>
    <w:rsid w:val="009842DF"/>
    <w:rsid w:val="009D4948"/>
    <w:rsid w:val="009E7A41"/>
    <w:rsid w:val="00AA67A2"/>
    <w:rsid w:val="00AF0E98"/>
    <w:rsid w:val="00B05340"/>
    <w:rsid w:val="00B075B4"/>
    <w:rsid w:val="00B1397C"/>
    <w:rsid w:val="00B22A02"/>
    <w:rsid w:val="00B309C5"/>
    <w:rsid w:val="00B84D45"/>
    <w:rsid w:val="00BE4488"/>
    <w:rsid w:val="00CD57BB"/>
    <w:rsid w:val="00D75D04"/>
    <w:rsid w:val="00DA682C"/>
    <w:rsid w:val="00DF68AE"/>
    <w:rsid w:val="00E04929"/>
    <w:rsid w:val="00E30D0C"/>
    <w:rsid w:val="00E36BF3"/>
    <w:rsid w:val="00E517AA"/>
    <w:rsid w:val="00EB1BF9"/>
    <w:rsid w:val="00F373CF"/>
    <w:rsid w:val="00F42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840D7"/>
    <w:rPr>
      <w:sz w:val="16"/>
      <w:szCs w:val="16"/>
    </w:rPr>
  </w:style>
  <w:style w:type="paragraph" w:styleId="CommentText">
    <w:name w:val="annotation text"/>
    <w:basedOn w:val="Normal"/>
    <w:link w:val="CommentTextChar"/>
    <w:uiPriority w:val="99"/>
    <w:semiHidden/>
    <w:unhideWhenUsed/>
    <w:rsid w:val="006840D7"/>
    <w:rPr>
      <w:sz w:val="20"/>
      <w:szCs w:val="20"/>
    </w:rPr>
  </w:style>
  <w:style w:type="character" w:customStyle="1" w:styleId="CommentTextChar">
    <w:name w:val="Comment Text Char"/>
    <w:link w:val="CommentText"/>
    <w:uiPriority w:val="99"/>
    <w:semiHidden/>
    <w:rsid w:val="006840D7"/>
    <w:rPr>
      <w:lang w:val="en-AU"/>
    </w:rPr>
  </w:style>
  <w:style w:type="paragraph" w:styleId="CommentSubject">
    <w:name w:val="annotation subject"/>
    <w:basedOn w:val="CommentText"/>
    <w:next w:val="CommentText"/>
    <w:link w:val="CommentSubjectChar"/>
    <w:uiPriority w:val="99"/>
    <w:semiHidden/>
    <w:unhideWhenUsed/>
    <w:rsid w:val="006840D7"/>
    <w:rPr>
      <w:b/>
      <w:bCs/>
    </w:rPr>
  </w:style>
  <w:style w:type="character" w:customStyle="1" w:styleId="CommentSubjectChar">
    <w:name w:val="Comment Subject Char"/>
    <w:link w:val="CommentSubject"/>
    <w:uiPriority w:val="99"/>
    <w:semiHidden/>
    <w:rsid w:val="006840D7"/>
    <w:rPr>
      <w:b/>
      <w:bCs/>
      <w:lang w:val="en-AU"/>
    </w:rPr>
  </w:style>
  <w:style w:type="paragraph" w:styleId="BalloonText">
    <w:name w:val="Balloon Text"/>
    <w:basedOn w:val="Normal"/>
    <w:link w:val="BalloonTextChar"/>
    <w:uiPriority w:val="99"/>
    <w:semiHidden/>
    <w:unhideWhenUsed/>
    <w:rsid w:val="006840D7"/>
    <w:rPr>
      <w:rFonts w:ascii="Tahoma" w:hAnsi="Tahoma" w:cs="Tahoma"/>
      <w:sz w:val="16"/>
      <w:szCs w:val="16"/>
    </w:rPr>
  </w:style>
  <w:style w:type="character" w:customStyle="1" w:styleId="BalloonTextChar">
    <w:name w:val="Balloon Text Char"/>
    <w:link w:val="BalloonText"/>
    <w:uiPriority w:val="99"/>
    <w:semiHidden/>
    <w:rsid w:val="006840D7"/>
    <w:rPr>
      <w:rFonts w:ascii="Tahoma" w:hAnsi="Tahoma" w:cs="Tahoma"/>
      <w:sz w:val="16"/>
      <w:szCs w:val="16"/>
      <w:lang w:val="en-AU"/>
    </w:rPr>
  </w:style>
  <w:style w:type="paragraph" w:customStyle="1" w:styleId="Default">
    <w:name w:val="Default"/>
    <w:rsid w:val="0062328D"/>
    <w:pPr>
      <w:autoSpaceDE w:val="0"/>
      <w:autoSpaceDN w:val="0"/>
      <w:adjustRightInd w:val="0"/>
    </w:pPr>
    <w:rPr>
      <w:color w:val="000000"/>
      <w:sz w:val="24"/>
      <w:szCs w:val="24"/>
    </w:rPr>
  </w:style>
  <w:style w:type="character" w:styleId="Hyperlink">
    <w:name w:val="Hyperlink"/>
    <w:uiPriority w:val="99"/>
    <w:unhideWhenUsed/>
    <w:rsid w:val="003C7C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ews.bbc.co.uk/2/hi/business/4153635.s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DBB95-0835-4720-BFCE-96AF5768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ATO has conflict – revenue basis – not charitable status</vt:lpstr>
    </vt:vector>
  </TitlesOfParts>
  <Company>GPAP</Company>
  <LinksUpToDate>false</LinksUpToDate>
  <CharactersWithSpaces>6371</CharactersWithSpaces>
  <SharedDoc>false</SharedDoc>
  <HLinks>
    <vt:vector size="6" baseType="variant">
      <vt:variant>
        <vt:i4>7012406</vt:i4>
      </vt:variant>
      <vt:variant>
        <vt:i4>0</vt:i4>
      </vt:variant>
      <vt:variant>
        <vt:i4>0</vt:i4>
      </vt:variant>
      <vt:variant>
        <vt:i4>5</vt:i4>
      </vt:variant>
      <vt:variant>
        <vt:lpwstr>http://news.bbc.co.uk/2/hi/business/4153635.stm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ATO has conflict – revenue basis – not charitable status</dc:title>
  <dc:subject/>
  <dc:creator>jtager</dc:creator>
  <cp:keywords/>
  <dc:description/>
  <cp:lastModifiedBy>Hansen, Kim</cp:lastModifiedBy>
  <cp:revision>2</cp:revision>
  <dcterms:created xsi:type="dcterms:W3CDTF">2012-09-17T03:44:00Z</dcterms:created>
  <dcterms:modified xsi:type="dcterms:W3CDTF">2012-09-17T03:44:00Z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1899638928</vt:i4>
  </property>
  <property fmtid="{D5CDD505-2E9C-101B-9397-08002B2CF9AE}" pid="3" name="_NewReviewCycle">
    <vt:lpwstr/>
  </property>
  <property fmtid="{D5CDD505-2E9C-101B-9397-08002B2CF9AE}" pid="4" name="_EmailSubject">
    <vt:lpwstr>Update to Treasury Website [SEC=UNCLASSIFIED]</vt:lpwstr>
  </property>
  <property fmtid="{D5CDD505-2E9C-101B-9397-08002B2CF9AE}" pid="5" name="_AuthorEmail">
    <vt:lpwstr>Michele.Mullavey@TREASURY.GOV.AU</vt:lpwstr>
  </property>
  <property fmtid="{D5CDD505-2E9C-101B-9397-08002B2CF9AE}" pid="6" name="_AuthorEmailDisplayName">
    <vt:lpwstr>Mullavey, Michele</vt:lpwstr>
  </property>
  <property fmtid="{D5CDD505-2E9C-101B-9397-08002B2CF9AE}" pid="7" name="_ReviewingToolsShownOnce">
    <vt:lpwstr/>
  </property>
</Properties>
</file>