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20470" w14:textId="77777777" w:rsidR="000B5B23" w:rsidRDefault="000B5B23" w:rsidP="001D1F3E">
      <w:pPr>
        <w:pStyle w:val="NormalWeb"/>
        <w:spacing w:before="0" w:beforeAutospacing="0" w:after="0" w:afterAutospacing="0"/>
        <w:ind w:left="-284"/>
        <w:rPr>
          <w:rFonts w:ascii="Calibri Light" w:hAnsi="Calibri Light"/>
          <w:color w:val="000000"/>
          <w:sz w:val="40"/>
          <w:szCs w:val="40"/>
        </w:rPr>
      </w:pPr>
      <w:bookmarkStart w:id="0" w:name="_GoBack"/>
      <w:bookmarkEnd w:id="0"/>
      <w:r>
        <w:rPr>
          <w:rFonts w:ascii="Calibri Light" w:hAnsi="Calibri Light"/>
          <w:color w:val="000000"/>
          <w:sz w:val="40"/>
          <w:szCs w:val="40"/>
        </w:rPr>
        <w:t>LVIG Exposure Draft – comments for Treasury</w:t>
      </w:r>
    </w:p>
    <w:p w14:paraId="1F310299" w14:textId="77777777" w:rsidR="000B5B23" w:rsidRPr="000B5B23" w:rsidRDefault="000B5B23" w:rsidP="000B5B23">
      <w:pPr>
        <w:spacing w:after="0" w:line="240" w:lineRule="auto"/>
        <w:textAlignment w:val="center"/>
        <w:rPr>
          <w:rFonts w:ascii="Calibri" w:eastAsia="Times New Roman" w:hAnsi="Calibri" w:cs="Times New Roman"/>
          <w:bCs/>
          <w:color w:val="000000"/>
          <w:lang w:eastAsia="en-AU"/>
        </w:rPr>
      </w:pPr>
    </w:p>
    <w:p w14:paraId="363D6D1E" w14:textId="2A17027C" w:rsidR="000B5B23" w:rsidRPr="00A15F59" w:rsidRDefault="000B5B23" w:rsidP="00A15F59">
      <w:pPr>
        <w:pStyle w:val="ListParagraph"/>
        <w:numPr>
          <w:ilvl w:val="0"/>
          <w:numId w:val="26"/>
        </w:numPr>
        <w:spacing w:after="0" w:line="240" w:lineRule="auto"/>
        <w:ind w:left="284" w:hanging="568"/>
        <w:textAlignment w:val="center"/>
        <w:rPr>
          <w:rFonts w:ascii="Calibri" w:eastAsia="Times New Roman" w:hAnsi="Calibri" w:cs="Times New Roman"/>
          <w:color w:val="000000"/>
          <w:lang w:eastAsia="en-AU"/>
        </w:rPr>
      </w:pPr>
      <w:r w:rsidRPr="00A15F59">
        <w:rPr>
          <w:rFonts w:ascii="Calibri" w:eastAsia="Times New Roman" w:hAnsi="Calibri" w:cs="Times New Roman"/>
          <w:b/>
          <w:bCs/>
          <w:color w:val="000000"/>
          <w:lang w:eastAsia="en-AU"/>
        </w:rPr>
        <w:t>Complex drafting/structure</w:t>
      </w:r>
      <w:r w:rsidRPr="00A15F59">
        <w:rPr>
          <w:rFonts w:ascii="Calibri" w:eastAsia="Times New Roman" w:hAnsi="Calibri" w:cs="Times New Roman"/>
          <w:color w:val="000000"/>
          <w:lang w:eastAsia="en-AU"/>
        </w:rPr>
        <w:t xml:space="preserve"> - An overall comment is that the drafting structure and wording is overly complicated and confusing considering what it is trying to achieve. Non-resident suppliers are unlikely to be able to understand and apply the new provisions without assistance from an advisor. The use of double negatives (and triple negative</w:t>
      </w:r>
      <w:r w:rsidR="006040B4" w:rsidRPr="00A15F59">
        <w:rPr>
          <w:rFonts w:ascii="Calibri" w:eastAsia="Times New Roman" w:hAnsi="Calibri" w:cs="Times New Roman"/>
          <w:color w:val="000000"/>
          <w:lang w:eastAsia="en-AU"/>
        </w:rPr>
        <w:t>s</w:t>
      </w:r>
      <w:r w:rsidR="00E6562C" w:rsidRPr="00A15F59">
        <w:rPr>
          <w:rFonts w:ascii="Calibri" w:eastAsia="Times New Roman" w:hAnsi="Calibri" w:cs="Times New Roman"/>
          <w:color w:val="000000"/>
          <w:lang w:eastAsia="en-AU"/>
        </w:rPr>
        <w:t xml:space="preserve"> at </w:t>
      </w:r>
      <w:r w:rsidRPr="00A15F59">
        <w:rPr>
          <w:rFonts w:ascii="Calibri" w:eastAsia="Times New Roman" w:hAnsi="Calibri" w:cs="Times New Roman"/>
          <w:color w:val="000000"/>
          <w:lang w:eastAsia="en-AU"/>
        </w:rPr>
        <w:t xml:space="preserve">section 42-15) is confusing. </w:t>
      </w:r>
      <w:r w:rsidR="0054200B" w:rsidRPr="00A15F59">
        <w:rPr>
          <w:rFonts w:ascii="Calibri" w:eastAsia="Times New Roman" w:hAnsi="Calibri" w:cs="Times New Roman"/>
          <w:color w:val="000000"/>
          <w:lang w:eastAsia="en-AU"/>
        </w:rPr>
        <w:t>Importantly</w:t>
      </w:r>
      <w:r w:rsidR="00490ED6" w:rsidRPr="00A15F59">
        <w:rPr>
          <w:rFonts w:ascii="Calibri" w:eastAsia="Times New Roman" w:hAnsi="Calibri" w:cs="Times New Roman"/>
          <w:color w:val="000000"/>
          <w:lang w:eastAsia="en-AU"/>
        </w:rPr>
        <w:t xml:space="preserve">, the proposed amendments are </w:t>
      </w:r>
      <w:r w:rsidR="0054200B" w:rsidRPr="00A15F59">
        <w:rPr>
          <w:rFonts w:ascii="Calibri" w:eastAsia="Times New Roman" w:hAnsi="Calibri" w:cs="Times New Roman"/>
          <w:color w:val="000000"/>
          <w:lang w:eastAsia="en-AU"/>
        </w:rPr>
        <w:t>also in</w:t>
      </w:r>
      <w:r w:rsidR="00490ED6" w:rsidRPr="00A15F59">
        <w:rPr>
          <w:rFonts w:ascii="Calibri" w:eastAsia="Times New Roman" w:hAnsi="Calibri" w:cs="Times New Roman"/>
          <w:color w:val="000000"/>
          <w:lang w:eastAsia="en-AU"/>
        </w:rPr>
        <w:t xml:space="preserve">consistent with the original legislative scheme of the GST Act.  They make significant changes to the scheme and the logical order of the GST Act, which we found to have a significant </w:t>
      </w:r>
      <w:r w:rsidR="0054200B" w:rsidRPr="00A15F59">
        <w:rPr>
          <w:rFonts w:ascii="Calibri" w:eastAsia="Times New Roman" w:hAnsi="Calibri" w:cs="Times New Roman"/>
          <w:color w:val="000000"/>
          <w:lang w:eastAsia="en-AU"/>
        </w:rPr>
        <w:t xml:space="preserve">adverse </w:t>
      </w:r>
      <w:r w:rsidR="00490ED6" w:rsidRPr="00A15F59">
        <w:rPr>
          <w:rFonts w:ascii="Calibri" w:eastAsia="Times New Roman" w:hAnsi="Calibri" w:cs="Times New Roman"/>
          <w:color w:val="000000"/>
          <w:lang w:eastAsia="en-AU"/>
        </w:rPr>
        <w:t>effect on the legibility of the Act.  Our specific comments are:</w:t>
      </w:r>
      <w:r w:rsidRPr="00A15F59">
        <w:rPr>
          <w:rFonts w:ascii="Calibri" w:eastAsia="Times New Roman" w:hAnsi="Calibri" w:cs="Times New Roman"/>
          <w:color w:val="000000"/>
          <w:lang w:eastAsia="en-AU"/>
        </w:rPr>
        <w:br/>
      </w:r>
    </w:p>
    <w:p w14:paraId="7B59F726" w14:textId="4AEE95A5" w:rsidR="00490ED6" w:rsidRDefault="000D11D9" w:rsidP="00B157F6">
      <w:pPr>
        <w:spacing w:after="120" w:line="240" w:lineRule="auto"/>
        <w:ind w:left="340"/>
        <w:textAlignment w:val="center"/>
        <w:rPr>
          <w:rFonts w:ascii="Calibri" w:eastAsia="Times New Roman" w:hAnsi="Calibri" w:cs="Times New Roman"/>
          <w:color w:val="000000"/>
          <w:lang w:eastAsia="en-AU"/>
        </w:rPr>
      </w:pPr>
      <w:r>
        <w:rPr>
          <w:rFonts w:ascii="Calibri" w:eastAsia="Times New Roman" w:hAnsi="Calibri" w:cs="Times New Roman"/>
          <w:b/>
          <w:bCs/>
          <w:color w:val="000000"/>
          <w:lang w:eastAsia="en-AU"/>
        </w:rPr>
        <w:t>(a)</w:t>
      </w:r>
      <w:r w:rsidR="008E090C">
        <w:rPr>
          <w:rFonts w:ascii="Calibri" w:eastAsia="Times New Roman" w:hAnsi="Calibri" w:cs="Times New Roman"/>
          <w:b/>
          <w:bCs/>
          <w:color w:val="000000"/>
          <w:lang w:eastAsia="en-AU"/>
        </w:rPr>
        <w:t xml:space="preserve"> </w:t>
      </w:r>
      <w:r>
        <w:rPr>
          <w:rFonts w:ascii="Calibri" w:eastAsia="Times New Roman" w:hAnsi="Calibri" w:cs="Times New Roman"/>
          <w:b/>
          <w:bCs/>
          <w:color w:val="000000"/>
          <w:lang w:eastAsia="en-AU"/>
        </w:rPr>
        <w:t xml:space="preserve"> </w:t>
      </w:r>
      <w:r w:rsidRPr="00A77833">
        <w:rPr>
          <w:rFonts w:ascii="Calibri" w:eastAsia="Times New Roman" w:hAnsi="Calibri" w:cs="Times New Roman"/>
          <w:b/>
          <w:bCs/>
          <w:i/>
          <w:color w:val="000000"/>
          <w:lang w:eastAsia="en-AU"/>
        </w:rPr>
        <w:t>Connected with Australia rules should be contained in section 9-25</w:t>
      </w:r>
      <w:r w:rsidRPr="00A77833">
        <w:rPr>
          <w:rFonts w:ascii="Calibri" w:eastAsia="Times New Roman" w:hAnsi="Calibri" w:cs="Times New Roman"/>
          <w:b/>
          <w:bCs/>
          <w:color w:val="000000"/>
          <w:lang w:eastAsia="en-AU"/>
        </w:rPr>
        <w:t xml:space="preserve"> </w:t>
      </w:r>
      <w:r w:rsidRPr="00A77833">
        <w:rPr>
          <w:rFonts w:ascii="Calibri" w:eastAsia="Times New Roman" w:hAnsi="Calibri" w:cs="Times New Roman"/>
          <w:color w:val="000000"/>
          <w:lang w:eastAsia="en-AU"/>
        </w:rPr>
        <w:t xml:space="preserve">- Sections 85-45 and 85-50 address when a supply of low value goods is "connected with the indirect tax zone". Suggest </w:t>
      </w:r>
      <w:r w:rsidR="007D4090">
        <w:rPr>
          <w:rFonts w:ascii="Calibri" w:eastAsia="Times New Roman" w:hAnsi="Calibri" w:cs="Times New Roman"/>
          <w:color w:val="000000"/>
          <w:lang w:eastAsia="en-AU"/>
        </w:rPr>
        <w:t>that all of the core connected</w:t>
      </w:r>
      <w:r w:rsidR="004429D1">
        <w:rPr>
          <w:rFonts w:ascii="Calibri" w:eastAsia="Times New Roman" w:hAnsi="Calibri" w:cs="Times New Roman"/>
          <w:color w:val="000000"/>
          <w:lang w:eastAsia="en-AU"/>
        </w:rPr>
        <w:t xml:space="preserve"> </w:t>
      </w:r>
      <w:r w:rsidR="007D4090">
        <w:rPr>
          <w:rFonts w:ascii="Calibri" w:eastAsia="Times New Roman" w:hAnsi="Calibri" w:cs="Times New Roman"/>
          <w:color w:val="000000"/>
          <w:lang w:eastAsia="en-AU"/>
        </w:rPr>
        <w:t xml:space="preserve">with the ITZ </w:t>
      </w:r>
      <w:r w:rsidR="004429D1">
        <w:rPr>
          <w:rFonts w:ascii="Calibri" w:eastAsia="Times New Roman" w:hAnsi="Calibri" w:cs="Times New Roman"/>
          <w:color w:val="000000"/>
          <w:lang w:eastAsia="en-AU"/>
        </w:rPr>
        <w:t xml:space="preserve">rules </w:t>
      </w:r>
      <w:r w:rsidR="007D4090">
        <w:rPr>
          <w:rFonts w:ascii="Calibri" w:eastAsia="Times New Roman" w:hAnsi="Calibri" w:cs="Times New Roman"/>
          <w:color w:val="000000"/>
          <w:lang w:eastAsia="en-AU"/>
        </w:rPr>
        <w:t>be</w:t>
      </w:r>
      <w:r w:rsidRPr="00A77833">
        <w:rPr>
          <w:rFonts w:ascii="Calibri" w:eastAsia="Times New Roman" w:hAnsi="Calibri" w:cs="Times New Roman"/>
          <w:color w:val="000000"/>
          <w:lang w:eastAsia="en-AU"/>
        </w:rPr>
        <w:t xml:space="preserve"> </w:t>
      </w:r>
      <w:r w:rsidR="007D4090">
        <w:rPr>
          <w:rFonts w:ascii="Calibri" w:eastAsia="Times New Roman" w:hAnsi="Calibri" w:cs="Times New Roman"/>
          <w:color w:val="000000"/>
          <w:lang w:eastAsia="en-AU"/>
        </w:rPr>
        <w:t>in</w:t>
      </w:r>
      <w:r w:rsidRPr="00A77833">
        <w:rPr>
          <w:rFonts w:ascii="Calibri" w:eastAsia="Times New Roman" w:hAnsi="Calibri" w:cs="Times New Roman"/>
          <w:color w:val="000000"/>
          <w:lang w:eastAsia="en-AU"/>
        </w:rPr>
        <w:t xml:space="preserve"> section 9-25 to ensure all connected rules are l</w:t>
      </w:r>
      <w:r w:rsidR="004E1402">
        <w:rPr>
          <w:rFonts w:ascii="Calibri" w:eastAsia="Times New Roman" w:hAnsi="Calibri" w:cs="Times New Roman"/>
          <w:color w:val="000000"/>
          <w:lang w:eastAsia="en-AU"/>
        </w:rPr>
        <w:t>ocated in the same area of the A</w:t>
      </w:r>
      <w:r w:rsidRPr="00A77833">
        <w:rPr>
          <w:rFonts w:ascii="Calibri" w:eastAsia="Times New Roman" w:hAnsi="Calibri" w:cs="Times New Roman"/>
          <w:color w:val="000000"/>
          <w:lang w:eastAsia="en-AU"/>
        </w:rPr>
        <w:t xml:space="preserve">ct and not </w:t>
      </w:r>
      <w:r w:rsidR="00E361DD">
        <w:rPr>
          <w:rFonts w:ascii="Calibri" w:eastAsia="Times New Roman" w:hAnsi="Calibri" w:cs="Times New Roman"/>
          <w:color w:val="000000"/>
          <w:lang w:eastAsia="en-AU"/>
        </w:rPr>
        <w:t>’</w:t>
      </w:r>
      <w:r w:rsidRPr="00A77833">
        <w:rPr>
          <w:rFonts w:ascii="Calibri" w:eastAsia="Times New Roman" w:hAnsi="Calibri" w:cs="Times New Roman"/>
          <w:color w:val="000000"/>
          <w:lang w:eastAsia="en-AU"/>
        </w:rPr>
        <w:t>hidden</w:t>
      </w:r>
      <w:r w:rsidR="00E361DD">
        <w:rPr>
          <w:rFonts w:ascii="Calibri" w:eastAsia="Times New Roman" w:hAnsi="Calibri" w:cs="Times New Roman"/>
          <w:color w:val="000000"/>
          <w:lang w:eastAsia="en-AU"/>
        </w:rPr>
        <w:t>’</w:t>
      </w:r>
      <w:r w:rsidRPr="00A77833">
        <w:rPr>
          <w:rFonts w:ascii="Calibri" w:eastAsia="Times New Roman" w:hAnsi="Calibri" w:cs="Times New Roman"/>
          <w:color w:val="000000"/>
          <w:lang w:eastAsia="en-AU"/>
        </w:rPr>
        <w:t xml:space="preserve"> within other provisions. This is especially since the revised Division 85 has the same heading name as for section 9-25 “Supplies connected with the indirect tax zone". Also this would ensure these changes are consistent with the cross border intangible supplies amendments where the operative "connected with the ITZ" rule was in section 9-25 and the detail</w:t>
      </w:r>
      <w:r w:rsidR="00490ED6">
        <w:rPr>
          <w:rFonts w:ascii="Calibri" w:eastAsia="Times New Roman" w:hAnsi="Calibri" w:cs="Times New Roman"/>
          <w:color w:val="000000"/>
          <w:lang w:eastAsia="en-AU"/>
        </w:rPr>
        <w:t xml:space="preserve"> was</w:t>
      </w:r>
      <w:r w:rsidRPr="00A77833">
        <w:rPr>
          <w:rFonts w:ascii="Calibri" w:eastAsia="Times New Roman" w:hAnsi="Calibri" w:cs="Times New Roman"/>
          <w:color w:val="000000"/>
          <w:lang w:eastAsia="en-AU"/>
        </w:rPr>
        <w:t xml:space="preserve"> inserted into Subdivisions 84-B and 84-C. </w:t>
      </w:r>
    </w:p>
    <w:p w14:paraId="451A66AE" w14:textId="205FF05F" w:rsidR="000D11D9" w:rsidRPr="000E6861" w:rsidRDefault="00490ED6" w:rsidP="000E6861">
      <w:pPr>
        <w:spacing w:after="120" w:line="240" w:lineRule="auto"/>
        <w:ind w:left="340"/>
        <w:textAlignment w:val="center"/>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(b) </w:t>
      </w:r>
      <w:r w:rsidR="008E090C">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t>We s</w:t>
      </w:r>
      <w:r w:rsidR="000D11D9" w:rsidRPr="00A77833">
        <w:rPr>
          <w:rFonts w:ascii="Calibri" w:eastAsia="Times New Roman" w:hAnsi="Calibri" w:cs="Times New Roman"/>
          <w:color w:val="000000"/>
          <w:lang w:eastAsia="en-AU"/>
        </w:rPr>
        <w:t>uggest that subsections</w:t>
      </w:r>
      <w:r w:rsidR="00DD1517">
        <w:rPr>
          <w:rFonts w:ascii="Calibri" w:eastAsia="Times New Roman" w:hAnsi="Calibri" w:cs="Times New Roman"/>
          <w:color w:val="000000"/>
          <w:lang w:eastAsia="en-AU"/>
        </w:rPr>
        <w:t xml:space="preserve"> 85-45(1) re suppliers and 85-50</w:t>
      </w:r>
      <w:r w:rsidR="000D11D9" w:rsidRPr="00A77833">
        <w:rPr>
          <w:rFonts w:ascii="Calibri" w:eastAsia="Times New Roman" w:hAnsi="Calibri" w:cs="Times New Roman"/>
          <w:color w:val="000000"/>
          <w:lang w:eastAsia="en-AU"/>
        </w:rPr>
        <w:t>(1) re goods forwarders should be, for example, new 9-25(7) and (8) respectively, OR add to subsection 9-25(3) as an (a), (b) and (c). The detailed provisions (e.g. exceptions and tax invoices etc) should be inserted in a new Subdivision 84-D, after Subdivision 84-C "Consumer supplies"</w:t>
      </w:r>
      <w:r>
        <w:rPr>
          <w:rFonts w:ascii="Calibri" w:eastAsia="Times New Roman" w:hAnsi="Calibri" w:cs="Times New Roman"/>
          <w:color w:val="000000"/>
          <w:lang w:eastAsia="en-AU"/>
        </w:rPr>
        <w:t xml:space="preserve">. </w:t>
      </w:r>
      <w:r w:rsidR="000D11D9" w:rsidRPr="00A77833">
        <w:rPr>
          <w:rFonts w:ascii="Calibri" w:eastAsia="Times New Roman" w:hAnsi="Calibri" w:cs="Times New Roman"/>
          <w:color w:val="000000"/>
          <w:lang w:eastAsia="en-AU"/>
        </w:rPr>
        <w:t>In this way, similar provisions, such as the definition of “supply of low value goods” will be in the same Division as the definition of “offshore supply of low value goods”, and with the “electronic distribution platforms” and “inbound intangible consumer supply” definitions. They are all related to each other. All of those secondary cross-border rules should be together and in a consistent order in the Act.  New subsections 85-45(2) and 85-50(2)-(6), and new section 85</w:t>
      </w:r>
      <w:r w:rsidR="00B157F6">
        <w:rPr>
          <w:rFonts w:ascii="Calibri" w:eastAsia="Times New Roman" w:hAnsi="Calibri" w:cs="Times New Roman"/>
          <w:color w:val="000000"/>
          <w:lang w:eastAsia="en-AU"/>
        </w:rPr>
        <w:t>-55 should be in Subdivision 84-D</w:t>
      </w:r>
      <w:r w:rsidR="000D11D9" w:rsidRPr="00A77833">
        <w:rPr>
          <w:rFonts w:ascii="Calibri" w:eastAsia="Times New Roman" w:hAnsi="Calibri" w:cs="Times New Roman"/>
          <w:color w:val="000000"/>
          <w:lang w:eastAsia="en-AU"/>
        </w:rPr>
        <w:t>.</w:t>
      </w:r>
      <w:r w:rsidR="000E6861">
        <w:rPr>
          <w:rFonts w:ascii="Calibri" w:eastAsia="Times New Roman" w:hAnsi="Calibri" w:cs="Times New Roman"/>
          <w:color w:val="000000"/>
          <w:lang w:eastAsia="en-AU"/>
        </w:rPr>
        <w:t xml:space="preserve"> </w:t>
      </w:r>
      <w:r w:rsidR="000D11D9" w:rsidRPr="00A77833">
        <w:rPr>
          <w:rFonts w:ascii="Calibri" w:eastAsia="Times New Roman" w:hAnsi="Calibri" w:cs="Times New Roman"/>
          <w:color w:val="000000"/>
          <w:lang w:eastAsia="en-AU"/>
        </w:rPr>
        <w:t>Div</w:t>
      </w:r>
      <w:r w:rsidR="000E6861">
        <w:rPr>
          <w:rFonts w:ascii="Calibri" w:eastAsia="Times New Roman" w:hAnsi="Calibri" w:cs="Times New Roman"/>
          <w:color w:val="000000"/>
          <w:lang w:eastAsia="en-AU"/>
        </w:rPr>
        <w:t xml:space="preserve"> </w:t>
      </w:r>
      <w:r w:rsidR="000D11D9" w:rsidRPr="00A77833">
        <w:rPr>
          <w:rFonts w:ascii="Calibri" w:eastAsia="Times New Roman" w:hAnsi="Calibri" w:cs="Times New Roman"/>
          <w:color w:val="000000"/>
          <w:lang w:eastAsia="en-AU"/>
        </w:rPr>
        <w:t>85 should remain exclusively for Telecommunication supplies.</w:t>
      </w:r>
    </w:p>
    <w:p w14:paraId="3E49C6D7" w14:textId="255D94FA" w:rsidR="00B157F6" w:rsidRPr="00B157F6" w:rsidRDefault="000D11D9" w:rsidP="00B157F6">
      <w:pPr>
        <w:spacing w:after="120" w:line="240" w:lineRule="auto"/>
        <w:ind w:left="340"/>
        <w:textAlignment w:val="center"/>
      </w:pPr>
      <w:r>
        <w:rPr>
          <w:rFonts w:ascii="Calibri" w:eastAsia="Times New Roman" w:hAnsi="Calibri" w:cs="Times New Roman"/>
          <w:color w:val="000000"/>
          <w:lang w:eastAsia="en-AU"/>
        </w:rPr>
        <w:t xml:space="preserve">(c) </w:t>
      </w:r>
      <w:r w:rsidR="008E090C">
        <w:rPr>
          <w:rFonts w:ascii="Calibri" w:eastAsia="Times New Roman" w:hAnsi="Calibri" w:cs="Times New Roman"/>
          <w:color w:val="000000"/>
          <w:lang w:eastAsia="en-AU"/>
        </w:rPr>
        <w:t xml:space="preserve"> </w:t>
      </w:r>
      <w:r w:rsidR="000B5B23" w:rsidRPr="00A77833">
        <w:rPr>
          <w:rFonts w:ascii="Calibri" w:eastAsia="Times New Roman" w:hAnsi="Calibri" w:cs="Times New Roman"/>
          <w:color w:val="000000"/>
          <w:lang w:eastAsia="en-AU"/>
        </w:rPr>
        <w:t>Subdivision 84-A which deals with reverse charges should be named more clearly to avoid confusion, rather than "Offshore supplies that are taxable under this Sub-division".</w:t>
      </w:r>
      <w:r w:rsidR="00F93EEB" w:rsidRPr="00A77833">
        <w:rPr>
          <w:rFonts w:ascii="Calibri" w:eastAsia="Times New Roman" w:hAnsi="Calibri" w:cs="Times New Roman"/>
          <w:color w:val="000000"/>
          <w:lang w:eastAsia="en-AU"/>
        </w:rPr>
        <w:t xml:space="preserve"> Consider also whether it is appropriate </w:t>
      </w:r>
      <w:r w:rsidR="00F93EEB" w:rsidRPr="00B157F6">
        <w:rPr>
          <w:rFonts w:ascii="Calibri" w:eastAsia="Times New Roman" w:hAnsi="Calibri" w:cs="Times New Roman"/>
          <w:lang w:eastAsia="en-AU"/>
        </w:rPr>
        <w:t>to us</w:t>
      </w:r>
      <w:r w:rsidR="00A81E54" w:rsidRPr="00B157F6">
        <w:rPr>
          <w:rFonts w:ascii="Calibri" w:eastAsia="Times New Roman" w:hAnsi="Calibri" w:cs="Times New Roman"/>
          <w:lang w:eastAsia="en-AU"/>
        </w:rPr>
        <w:t>e</w:t>
      </w:r>
      <w:r w:rsidR="00DE06DD">
        <w:rPr>
          <w:rFonts w:ascii="Calibri" w:eastAsia="Times New Roman" w:hAnsi="Calibri" w:cs="Times New Roman"/>
          <w:lang w:eastAsia="en-AU"/>
        </w:rPr>
        <w:t xml:space="preserve"> a</w:t>
      </w:r>
      <w:r w:rsidR="00F93EEB" w:rsidRPr="00B157F6">
        <w:rPr>
          <w:rFonts w:ascii="Calibri" w:eastAsia="Times New Roman" w:hAnsi="Calibri" w:cs="Times New Roman"/>
          <w:lang w:eastAsia="en-AU"/>
        </w:rPr>
        <w:t xml:space="preserve"> table.</w:t>
      </w:r>
      <w:r w:rsidRPr="00B157F6">
        <w:rPr>
          <w:rFonts w:ascii="Calibri" w:eastAsia="Times New Roman" w:hAnsi="Calibri" w:cs="Times New Roman"/>
          <w:lang w:eastAsia="en-AU"/>
        </w:rPr>
        <w:t xml:space="preserve"> A table format is useful in the classification context – for GST-free treatment – however </w:t>
      </w:r>
      <w:r w:rsidRPr="00B157F6">
        <w:t xml:space="preserve">for a Division imposing liability (taxable supply by reverse charge), we believe the structure should be </w:t>
      </w:r>
      <w:r w:rsidR="00F801BB" w:rsidRPr="00B157F6">
        <w:t xml:space="preserve">simple, clear, </w:t>
      </w:r>
      <w:r w:rsidRPr="00B157F6">
        <w:t>ordinary sub-sections like s 9-25.  We note that a table format was used for the B2B ‘disconnect’ provisions in s9-26, however again, disconnecting provisions are not as fundamental as the primary tax imposition provisions.</w:t>
      </w:r>
    </w:p>
    <w:p w14:paraId="246D48A7" w14:textId="349D5710" w:rsidR="00B157F6" w:rsidRPr="00B157F6" w:rsidRDefault="000D11D9" w:rsidP="00DE06DD">
      <w:pPr>
        <w:spacing w:after="120" w:line="240" w:lineRule="auto"/>
        <w:ind w:left="340"/>
        <w:textAlignment w:val="center"/>
      </w:pPr>
      <w:r w:rsidRPr="00B157F6">
        <w:t>We believe that Items 3 and 4 could be merged by making the re</w:t>
      </w:r>
      <w:r w:rsidR="00024E21">
        <w:t xml:space="preserve">verse charge broadly applicable </w:t>
      </w:r>
      <w:r w:rsidRPr="00B157F6">
        <w:t xml:space="preserve">in any circumstances where the supply is a supply of </w:t>
      </w:r>
      <w:r w:rsidR="00BD3A82" w:rsidRPr="00B157F6">
        <w:t>low value goods (</w:t>
      </w:r>
      <w:r w:rsidRPr="00B157F6">
        <w:t>LVG</w:t>
      </w:r>
      <w:r w:rsidR="00BD3A82" w:rsidRPr="00B157F6">
        <w:t>)</w:t>
      </w:r>
      <w:r w:rsidRPr="00B157F6">
        <w:t xml:space="preserve"> that is not connected, if the recipient does not acquire the goods solely for a creditable purpose.</w:t>
      </w:r>
    </w:p>
    <w:p w14:paraId="5C7F5C2B" w14:textId="6896AF2B" w:rsidR="000D11D9" w:rsidRDefault="000D11D9" w:rsidP="00DE06DD">
      <w:pPr>
        <w:spacing w:after="120" w:line="240" w:lineRule="auto"/>
        <w:ind w:left="340"/>
        <w:textAlignment w:val="center"/>
      </w:pPr>
      <w:r w:rsidRPr="00B157F6">
        <w:t xml:space="preserve">Similarly, Items 1 and 2 re imported services can probably be merged too, because even within Item 1, that includes both (a) not connected supplies, and (b) connected supplies. The bottom line is we want to capture </w:t>
      </w:r>
      <w:r w:rsidR="00117537" w:rsidRPr="00B157F6">
        <w:t>the GST</w:t>
      </w:r>
      <w:r w:rsidRPr="00B157F6">
        <w:t xml:space="preserve"> if the registered person does not acquire the thing solely for a creditable purpose, regardless of whether the goods were acquired solely or partly for an enterprise purpose.</w:t>
      </w:r>
    </w:p>
    <w:p w14:paraId="43B5CE4D" w14:textId="53D6133A" w:rsidR="000B5B23" w:rsidRDefault="000D11D9" w:rsidP="00B157F6">
      <w:pPr>
        <w:spacing w:after="120" w:line="240" w:lineRule="auto"/>
        <w:ind w:left="340"/>
        <w:textAlignment w:val="center"/>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(d) </w:t>
      </w:r>
      <w:r w:rsidR="008E090C">
        <w:rPr>
          <w:rFonts w:ascii="Calibri" w:eastAsia="Times New Roman" w:hAnsi="Calibri" w:cs="Times New Roman"/>
          <w:color w:val="000000"/>
          <w:lang w:eastAsia="en-AU"/>
        </w:rPr>
        <w:t xml:space="preserve"> </w:t>
      </w:r>
      <w:r w:rsidR="000B5B23" w:rsidRPr="000B5B23">
        <w:rPr>
          <w:rFonts w:ascii="Calibri" w:eastAsia="Times New Roman" w:hAnsi="Calibri" w:cs="Times New Roman"/>
          <w:color w:val="000000"/>
          <w:lang w:eastAsia="en-AU"/>
        </w:rPr>
        <w:t xml:space="preserve">The table at subsection 84-5(1) items 1 and 3 uses the language "the recipient of the supply satisfies the purpose test in subsection (1B)". Under (1B), satisfying the purpose test requires that you </w:t>
      </w:r>
      <w:r w:rsidR="006040B4">
        <w:rPr>
          <w:rFonts w:ascii="Calibri" w:eastAsia="Times New Roman" w:hAnsi="Calibri" w:cs="Times New Roman"/>
          <w:color w:val="000000"/>
          <w:u w:val="single"/>
          <w:lang w:eastAsia="en-AU"/>
        </w:rPr>
        <w:t>don’t</w:t>
      </w:r>
      <w:r w:rsidR="006040B4">
        <w:rPr>
          <w:rFonts w:ascii="Calibri" w:eastAsia="Times New Roman" w:hAnsi="Calibri" w:cs="Times New Roman"/>
          <w:color w:val="000000"/>
          <w:lang w:eastAsia="en-AU"/>
        </w:rPr>
        <w:t xml:space="preserve"> </w:t>
      </w:r>
      <w:r w:rsidR="000B5B23" w:rsidRPr="000B5B23">
        <w:rPr>
          <w:rFonts w:ascii="Calibri" w:eastAsia="Times New Roman" w:hAnsi="Calibri" w:cs="Times New Roman"/>
          <w:color w:val="000000"/>
          <w:lang w:eastAsia="en-AU"/>
        </w:rPr>
        <w:t xml:space="preserve">acquire the thing supplied solely for a creditable purpose.  </w:t>
      </w:r>
      <w:r w:rsidR="00024E21">
        <w:rPr>
          <w:rFonts w:ascii="Calibri" w:eastAsia="Times New Roman" w:hAnsi="Calibri" w:cs="Times New Roman"/>
          <w:color w:val="000000"/>
          <w:lang w:eastAsia="en-AU"/>
        </w:rPr>
        <w:t xml:space="preserve">This is difficult to interpret and unnecessarily complicated. Refer above, where we suggest that Div 84 be </w:t>
      </w:r>
      <w:r w:rsidR="00024E21">
        <w:rPr>
          <w:rFonts w:ascii="Calibri" w:eastAsia="Times New Roman" w:hAnsi="Calibri" w:cs="Times New Roman"/>
          <w:color w:val="000000"/>
          <w:lang w:eastAsia="en-AU"/>
        </w:rPr>
        <w:lastRenderedPageBreak/>
        <w:t xml:space="preserve">simplified so that it is triggered where a registered person does not acquire the thing or goods solely for a creditable purpose. </w:t>
      </w:r>
    </w:p>
    <w:p w14:paraId="30B83BE9" w14:textId="6C35EC34" w:rsidR="000B5B23" w:rsidRDefault="000D11D9" w:rsidP="00B157F6">
      <w:pPr>
        <w:spacing w:after="120" w:line="240" w:lineRule="auto"/>
        <w:ind w:left="340"/>
        <w:textAlignment w:val="center"/>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(e) </w:t>
      </w:r>
      <w:r w:rsidR="000B5B23" w:rsidRPr="000B5B23">
        <w:rPr>
          <w:rFonts w:ascii="Calibri" w:eastAsia="Times New Roman" w:hAnsi="Calibri" w:cs="Times New Roman"/>
          <w:color w:val="000000"/>
          <w:lang w:eastAsia="en-AU"/>
        </w:rPr>
        <w:t>Subsect</w:t>
      </w:r>
      <w:r w:rsidR="00134753">
        <w:rPr>
          <w:rFonts w:ascii="Calibri" w:eastAsia="Times New Roman" w:hAnsi="Calibri" w:cs="Times New Roman"/>
          <w:color w:val="000000"/>
          <w:lang w:eastAsia="en-AU"/>
        </w:rPr>
        <w:t>ion 84-5(1) item 2 is confusing</w:t>
      </w:r>
      <w:r w:rsidR="000B5B23" w:rsidRPr="000B5B23">
        <w:rPr>
          <w:rFonts w:ascii="Calibri" w:eastAsia="Times New Roman" w:hAnsi="Calibri" w:cs="Times New Roman"/>
          <w:color w:val="000000"/>
          <w:lang w:eastAsia="en-AU"/>
        </w:rPr>
        <w:t>. Is this item missing something, i.e. is a reverse charge required when the recipient satisfies the purpose test (i.e. not acquired for a creditable purpose)?</w:t>
      </w:r>
      <w:r w:rsidR="00B157F6">
        <w:rPr>
          <w:rFonts w:ascii="Calibri" w:eastAsia="Times New Roman" w:hAnsi="Calibri" w:cs="Times New Roman"/>
          <w:color w:val="000000"/>
          <w:lang w:eastAsia="en-AU"/>
        </w:rPr>
        <w:t xml:space="preserve">   </w:t>
      </w:r>
      <w:r w:rsidR="000B5B23" w:rsidRPr="000B5B23">
        <w:rPr>
          <w:rFonts w:ascii="Calibri" w:eastAsia="Times New Roman" w:hAnsi="Calibri" w:cs="Times New Roman"/>
          <w:color w:val="000000"/>
          <w:lang w:eastAsia="en-AU"/>
        </w:rPr>
        <w:t xml:space="preserve">Also, is it necessary to have (1C) explain that item 2 only applies if it is connected </w:t>
      </w:r>
      <w:r w:rsidR="000B5B23" w:rsidRPr="000B5B23">
        <w:rPr>
          <w:rFonts w:ascii="Calibri" w:eastAsia="Times New Roman" w:hAnsi="Calibri" w:cs="Times New Roman"/>
          <w:color w:val="000000"/>
          <w:u w:val="single"/>
          <w:lang w:eastAsia="en-AU"/>
        </w:rPr>
        <w:t>solely</w:t>
      </w:r>
      <w:r w:rsidR="000B5B23" w:rsidRPr="000B5B23">
        <w:rPr>
          <w:rFonts w:ascii="Calibri" w:eastAsia="Times New Roman" w:hAnsi="Calibri" w:cs="Times New Roman"/>
          <w:color w:val="000000"/>
          <w:lang w:eastAsia="en-AU"/>
        </w:rPr>
        <w:t xml:space="preserve"> because of 9-25(5)(d)? Can the word "solely" just be included directly in the table?</w:t>
      </w:r>
      <w:r w:rsidR="00B157F6">
        <w:rPr>
          <w:rFonts w:ascii="Calibri" w:eastAsia="Times New Roman" w:hAnsi="Calibri" w:cs="Times New Roman"/>
          <w:color w:val="000000"/>
          <w:lang w:eastAsia="en-AU"/>
        </w:rPr>
        <w:t xml:space="preserve"> (if the table format is to be kept).</w:t>
      </w:r>
    </w:p>
    <w:p w14:paraId="79B9A256" w14:textId="18267536" w:rsidR="000B5B23" w:rsidRPr="000B5B23" w:rsidRDefault="000D11D9" w:rsidP="00B157F6">
      <w:pPr>
        <w:spacing w:after="120" w:line="240" w:lineRule="auto"/>
        <w:ind w:left="340"/>
        <w:textAlignment w:val="center"/>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(f) </w:t>
      </w:r>
      <w:r w:rsidR="00134753">
        <w:rPr>
          <w:rFonts w:ascii="Calibri" w:eastAsia="Times New Roman" w:hAnsi="Calibri" w:cs="Times New Roman"/>
          <w:color w:val="000000"/>
          <w:lang w:eastAsia="en-AU"/>
        </w:rPr>
        <w:t>Subsection 84-5(1)</w:t>
      </w:r>
      <w:r w:rsidR="000B5B23" w:rsidRPr="000B5B23">
        <w:rPr>
          <w:rFonts w:ascii="Calibri" w:eastAsia="Times New Roman" w:hAnsi="Calibri" w:cs="Times New Roman"/>
          <w:color w:val="000000"/>
          <w:lang w:eastAsia="en-AU"/>
        </w:rPr>
        <w:t xml:space="preserve"> item 4 uses the term "wron</w:t>
      </w:r>
      <w:r w:rsidR="00CF55A5">
        <w:rPr>
          <w:rFonts w:ascii="Calibri" w:eastAsia="Times New Roman" w:hAnsi="Calibri" w:cs="Times New Roman"/>
          <w:color w:val="000000"/>
          <w:lang w:eastAsia="en-AU"/>
        </w:rPr>
        <w:t xml:space="preserve">gly represents" which suggests </w:t>
      </w:r>
      <w:r w:rsidR="000B5B23" w:rsidRPr="000B5B23">
        <w:rPr>
          <w:rFonts w:ascii="Calibri" w:eastAsia="Times New Roman" w:hAnsi="Calibri" w:cs="Times New Roman"/>
          <w:color w:val="000000"/>
          <w:lang w:eastAsia="en-AU"/>
        </w:rPr>
        <w:t xml:space="preserve">an </w:t>
      </w:r>
      <w:r w:rsidR="000F362A">
        <w:rPr>
          <w:rFonts w:ascii="Calibri" w:eastAsia="Times New Roman" w:hAnsi="Calibri" w:cs="Times New Roman"/>
          <w:color w:val="000000"/>
          <w:lang w:eastAsia="en-AU"/>
        </w:rPr>
        <w:t>intentional</w:t>
      </w:r>
      <w:r w:rsidR="000B5B23" w:rsidRPr="000B5B23">
        <w:rPr>
          <w:rFonts w:ascii="Calibri" w:eastAsia="Times New Roman" w:hAnsi="Calibri" w:cs="Times New Roman"/>
          <w:color w:val="000000"/>
          <w:lang w:eastAsia="en-AU"/>
        </w:rPr>
        <w:t xml:space="preserve"> act, but could instead say "incorrectly represents"</w:t>
      </w:r>
      <w:r>
        <w:rPr>
          <w:rFonts w:ascii="Calibri" w:eastAsia="Times New Roman" w:hAnsi="Calibri" w:cs="Times New Roman"/>
          <w:color w:val="000000"/>
          <w:lang w:eastAsia="en-AU"/>
        </w:rPr>
        <w:t xml:space="preserve"> (if Item 4 is to be kept in its current form)</w:t>
      </w:r>
      <w:r w:rsidR="000B5B23" w:rsidRPr="000B5B23">
        <w:rPr>
          <w:rFonts w:ascii="Calibri" w:eastAsia="Times New Roman" w:hAnsi="Calibri" w:cs="Times New Roman"/>
          <w:color w:val="000000"/>
          <w:lang w:eastAsia="en-AU"/>
        </w:rPr>
        <w:t>.</w:t>
      </w:r>
      <w:r w:rsidR="000B5B23" w:rsidRPr="000B5B23">
        <w:rPr>
          <w:rFonts w:ascii="Calibri" w:eastAsia="Times New Roman" w:hAnsi="Calibri" w:cs="Times New Roman"/>
          <w:color w:val="000000"/>
          <w:highlight w:val="yellow"/>
          <w:lang w:eastAsia="en-AU"/>
        </w:rPr>
        <w:br/>
      </w:r>
      <w:r w:rsidR="000B5B23" w:rsidRPr="000B5B23">
        <w:rPr>
          <w:rFonts w:ascii="Calibri" w:eastAsia="Times New Roman" w:hAnsi="Calibri" w:cs="Times New Roman"/>
          <w:color w:val="000000"/>
          <w:lang w:eastAsia="en-AU"/>
        </w:rPr>
        <w:t> </w:t>
      </w:r>
    </w:p>
    <w:p w14:paraId="6195BFD7" w14:textId="6C518E1C" w:rsidR="00556909" w:rsidRPr="00A15F59" w:rsidRDefault="000B5B23" w:rsidP="00A15F59">
      <w:pPr>
        <w:pStyle w:val="ListParagraph"/>
        <w:numPr>
          <w:ilvl w:val="0"/>
          <w:numId w:val="25"/>
        </w:numPr>
        <w:spacing w:after="0" w:line="240" w:lineRule="auto"/>
        <w:ind w:hanging="644"/>
        <w:textAlignment w:val="center"/>
        <w:rPr>
          <w:rFonts w:ascii="Calibri" w:eastAsia="Times New Roman" w:hAnsi="Calibri" w:cs="Times New Roman"/>
          <w:bCs/>
          <w:color w:val="000000"/>
          <w:lang w:eastAsia="en-AU"/>
        </w:rPr>
      </w:pPr>
      <w:r w:rsidRPr="00A15F59">
        <w:rPr>
          <w:rFonts w:ascii="Calibri" w:eastAsia="Times New Roman" w:hAnsi="Calibri" w:cs="Times New Roman"/>
          <w:b/>
          <w:bCs/>
          <w:color w:val="000000"/>
          <w:lang w:eastAsia="en-AU"/>
        </w:rPr>
        <w:t xml:space="preserve">Insufficient time to produce a notice </w:t>
      </w:r>
      <w:r w:rsidRPr="00A15F59">
        <w:rPr>
          <w:rFonts w:ascii="Calibri" w:eastAsia="Times New Roman" w:hAnsi="Calibri" w:cs="Times New Roman"/>
          <w:bCs/>
          <w:color w:val="000000"/>
          <w:lang w:eastAsia="en-AU"/>
        </w:rPr>
        <w:t>- New section 84-52 requires the supplier to provide the recipient with a notice of the amount of GST (if any) payable within one business day of the request or a penalty applies. This is unrealistic and impractical, particularly considering the time difference in overseas jurisdictions. Imposing a penalty for contravention of the one-day turnaround is unduly harsh. Consider whether it would be more appropriate to require the amount of GST to be</w:t>
      </w:r>
      <w:r w:rsidR="00477C2A" w:rsidRPr="00A15F59">
        <w:rPr>
          <w:rFonts w:ascii="Calibri" w:eastAsia="Times New Roman" w:hAnsi="Calibri" w:cs="Times New Roman"/>
          <w:bCs/>
          <w:color w:val="000000"/>
          <w:lang w:eastAsia="en-AU"/>
        </w:rPr>
        <w:t xml:space="preserve"> disclosed at the time of sale </w:t>
      </w:r>
      <w:r w:rsidRPr="00A15F59">
        <w:rPr>
          <w:rFonts w:ascii="Calibri" w:eastAsia="Times New Roman" w:hAnsi="Calibri" w:cs="Times New Roman"/>
          <w:bCs/>
          <w:color w:val="000000"/>
          <w:lang w:eastAsia="en-AU"/>
        </w:rPr>
        <w:t>which would be consistent with Consumer Protection Law and enable the recipient to prove the amount of GST already paid upon importation of the goods</w:t>
      </w:r>
      <w:r w:rsidR="00556909" w:rsidRPr="00A15F59">
        <w:rPr>
          <w:rFonts w:ascii="Calibri" w:eastAsia="Times New Roman" w:hAnsi="Calibri" w:cs="Times New Roman"/>
          <w:bCs/>
          <w:color w:val="000000"/>
          <w:lang w:eastAsia="en-AU"/>
        </w:rPr>
        <w:t>.</w:t>
      </w:r>
      <w:r w:rsidR="00DA4A0D" w:rsidRPr="00A15F59">
        <w:rPr>
          <w:rFonts w:ascii="Calibri" w:eastAsia="Times New Roman" w:hAnsi="Calibri" w:cs="Times New Roman"/>
          <w:bCs/>
          <w:color w:val="000000"/>
          <w:lang w:eastAsia="en-AU"/>
        </w:rPr>
        <w:t xml:space="preserve"> Otherwise, add a note to the provision that while this offers protection to the customer, they expect the notification to occur at the time of sale.</w:t>
      </w:r>
      <w:r w:rsidRPr="00A15F59">
        <w:rPr>
          <w:rFonts w:ascii="Calibri" w:eastAsia="Times New Roman" w:hAnsi="Calibri" w:cs="Times New Roman"/>
          <w:bCs/>
          <w:color w:val="000000"/>
          <w:lang w:eastAsia="en-AU"/>
        </w:rPr>
        <w:t xml:space="preserve"> </w:t>
      </w:r>
    </w:p>
    <w:p w14:paraId="48ED8C06" w14:textId="77777777" w:rsidR="00556909" w:rsidRDefault="00556909" w:rsidP="00556909">
      <w:pPr>
        <w:pStyle w:val="ListParagraph"/>
        <w:spacing w:after="0" w:line="240" w:lineRule="auto"/>
        <w:ind w:left="340"/>
        <w:textAlignment w:val="center"/>
        <w:rPr>
          <w:rFonts w:ascii="Calibri" w:eastAsia="Times New Roman" w:hAnsi="Calibri" w:cs="Times New Roman"/>
          <w:bCs/>
          <w:color w:val="000000"/>
          <w:lang w:eastAsia="en-AU"/>
        </w:rPr>
      </w:pPr>
    </w:p>
    <w:p w14:paraId="0FB79EE6" w14:textId="0A0BD698" w:rsidR="00DD32C2" w:rsidRPr="00A15F59" w:rsidRDefault="005D4E3C" w:rsidP="00A15F59">
      <w:pPr>
        <w:pStyle w:val="ListParagraph"/>
        <w:numPr>
          <w:ilvl w:val="0"/>
          <w:numId w:val="25"/>
        </w:numPr>
        <w:spacing w:after="0" w:line="240" w:lineRule="auto"/>
        <w:ind w:hanging="644"/>
        <w:textAlignment w:val="center"/>
        <w:rPr>
          <w:rFonts w:ascii="Calibri" w:eastAsia="Times New Roman" w:hAnsi="Calibri" w:cs="Times New Roman"/>
          <w:color w:val="000000"/>
          <w:lang w:eastAsia="en-AU"/>
        </w:rPr>
      </w:pPr>
      <w:r w:rsidRPr="00A15F59">
        <w:rPr>
          <w:rFonts w:ascii="Calibri" w:eastAsia="Times New Roman" w:hAnsi="Calibri" w:cs="Times New Roman"/>
          <w:b/>
          <w:bCs/>
          <w:color w:val="000000"/>
          <w:lang w:eastAsia="en-AU"/>
        </w:rPr>
        <w:t>W</w:t>
      </w:r>
      <w:r w:rsidR="000B5B23" w:rsidRPr="00A15F59">
        <w:rPr>
          <w:rFonts w:ascii="Calibri" w:eastAsia="Times New Roman" w:hAnsi="Calibri" w:cs="Times New Roman"/>
          <w:b/>
          <w:bCs/>
          <w:color w:val="000000"/>
          <w:lang w:eastAsia="en-AU"/>
        </w:rPr>
        <w:t xml:space="preserve">hen to disaggregate a transaction </w:t>
      </w:r>
      <w:r w:rsidR="00E115A0" w:rsidRPr="00A15F59">
        <w:rPr>
          <w:rFonts w:ascii="Calibri" w:eastAsia="Times New Roman" w:hAnsi="Calibri" w:cs="Times New Roman"/>
          <w:b/>
          <w:bCs/>
          <w:color w:val="000000"/>
          <w:lang w:eastAsia="en-AU"/>
        </w:rPr>
        <w:t>–</w:t>
      </w:r>
      <w:r w:rsidR="000B5B23" w:rsidRPr="00A15F59">
        <w:rPr>
          <w:rFonts w:ascii="Calibri" w:eastAsia="Times New Roman" w:hAnsi="Calibri" w:cs="Times New Roman"/>
          <w:b/>
          <w:bCs/>
          <w:color w:val="000000"/>
          <w:lang w:eastAsia="en-AU"/>
        </w:rPr>
        <w:t xml:space="preserve"> </w:t>
      </w:r>
      <w:r w:rsidR="00E115A0" w:rsidRPr="00A15F59">
        <w:rPr>
          <w:rFonts w:ascii="Calibri" w:eastAsia="Times New Roman" w:hAnsi="Calibri" w:cs="Times New Roman"/>
          <w:bCs/>
          <w:color w:val="000000"/>
          <w:lang w:eastAsia="en-AU"/>
        </w:rPr>
        <w:t>The use of the expression “supply” in section 85-55(3) is confusing because it refers both to one and many supplies in the same transaction. Perhaps use some of the more common expressions found in the examples in the EM, such as “a transaction involving multiple goods”, and so on.</w:t>
      </w:r>
      <w:r w:rsidR="00E115A0" w:rsidRPr="00A15F59">
        <w:rPr>
          <w:rFonts w:ascii="Calibri" w:eastAsia="Times New Roman" w:hAnsi="Calibri" w:cs="Times New Roman"/>
          <w:b/>
          <w:bCs/>
          <w:color w:val="000000"/>
          <w:lang w:eastAsia="en-AU"/>
        </w:rPr>
        <w:t xml:space="preserve"> </w:t>
      </w:r>
      <w:r w:rsidR="00E115A0" w:rsidRPr="00A15F59">
        <w:rPr>
          <w:rFonts w:ascii="Calibri" w:eastAsia="Times New Roman" w:hAnsi="Calibri" w:cs="Times New Roman"/>
          <w:color w:val="000000"/>
          <w:lang w:eastAsia="en-AU"/>
        </w:rPr>
        <w:t>U</w:t>
      </w:r>
      <w:r w:rsidR="000B5B23" w:rsidRPr="00A15F59">
        <w:rPr>
          <w:rFonts w:ascii="Calibri" w:eastAsia="Times New Roman" w:hAnsi="Calibri" w:cs="Times New Roman"/>
          <w:color w:val="000000"/>
          <w:lang w:eastAsia="en-AU"/>
        </w:rPr>
        <w:t>nder</w:t>
      </w:r>
      <w:r w:rsidR="000B5B23" w:rsidRPr="00A15F59">
        <w:rPr>
          <w:rFonts w:ascii="Calibri" w:eastAsia="Times New Roman" w:hAnsi="Calibri" w:cs="Times New Roman"/>
          <w:b/>
          <w:bCs/>
          <w:color w:val="000000"/>
          <w:lang w:eastAsia="en-AU"/>
        </w:rPr>
        <w:t xml:space="preserve"> </w:t>
      </w:r>
      <w:r w:rsidR="000B5B23" w:rsidRPr="00A15F59">
        <w:rPr>
          <w:rFonts w:ascii="Calibri" w:eastAsia="Times New Roman" w:hAnsi="Calibri" w:cs="Times New Roman"/>
          <w:color w:val="000000"/>
          <w:lang w:eastAsia="en-AU"/>
        </w:rPr>
        <w:t xml:space="preserve">Subsection 85-55(5) individual goods are not considered separate supplies where "it would be unreasonable to do so having regard to the nature of the goods supplied and the nature of the transaction". We note the EM </w:t>
      </w:r>
      <w:r w:rsidR="0063258E" w:rsidRPr="00A15F59">
        <w:rPr>
          <w:rFonts w:ascii="Calibri" w:eastAsia="Times New Roman" w:hAnsi="Calibri" w:cs="Times New Roman"/>
          <w:color w:val="000000"/>
          <w:lang w:eastAsia="en-AU"/>
        </w:rPr>
        <w:t>c</w:t>
      </w:r>
      <w:r w:rsidR="000B5B23" w:rsidRPr="00A15F59">
        <w:rPr>
          <w:rFonts w:ascii="Calibri" w:eastAsia="Times New Roman" w:hAnsi="Calibri" w:cs="Times New Roman"/>
          <w:color w:val="000000"/>
          <w:lang w:eastAsia="en-AU"/>
        </w:rPr>
        <w:t xml:space="preserve">ites a shipment of sand or box of nails at 1.38 and a pallet of floor tiles at Example 1.2. Offshore suppliers are likely to have difficulty (particularly large electronic distribution platforms) in distinguishing when they have made a single supply of many units or one supply of multiple low value goods, and when it would be unrealistic </w:t>
      </w:r>
      <w:r w:rsidR="00556909" w:rsidRPr="00A15F59">
        <w:rPr>
          <w:rFonts w:ascii="Calibri" w:eastAsia="Times New Roman" w:hAnsi="Calibri" w:cs="Times New Roman"/>
          <w:color w:val="000000"/>
          <w:lang w:eastAsia="en-AU"/>
        </w:rPr>
        <w:t>to disaggregate a transaction.</w:t>
      </w:r>
      <w:r w:rsidR="00EB1FE7" w:rsidRPr="00A15F59">
        <w:rPr>
          <w:rFonts w:ascii="Calibri" w:eastAsia="Times New Roman" w:hAnsi="Calibri" w:cs="Times New Roman"/>
          <w:color w:val="000000"/>
          <w:lang w:eastAsia="en-AU"/>
        </w:rPr>
        <w:t xml:space="preserve"> We suggest removal of subsection 85-55(5), however, we note that this </w:t>
      </w:r>
      <w:r w:rsidRPr="00A15F59">
        <w:rPr>
          <w:rFonts w:ascii="Calibri" w:eastAsia="Times New Roman" w:hAnsi="Calibri" w:cs="Times New Roman"/>
          <w:color w:val="000000"/>
          <w:lang w:eastAsia="en-AU"/>
        </w:rPr>
        <w:t xml:space="preserve">could be </w:t>
      </w:r>
      <w:r w:rsidR="00EB1FE7" w:rsidRPr="00A15F59">
        <w:rPr>
          <w:rFonts w:ascii="Calibri" w:eastAsia="Times New Roman" w:hAnsi="Calibri" w:cs="Times New Roman"/>
          <w:color w:val="000000"/>
          <w:lang w:eastAsia="en-AU"/>
        </w:rPr>
        <w:t>dealt with in a Law Companion Guide.</w:t>
      </w:r>
    </w:p>
    <w:p w14:paraId="44863007" w14:textId="77777777" w:rsidR="00DD32C2" w:rsidRPr="00DD32C2" w:rsidRDefault="00DD32C2" w:rsidP="00DD32C2">
      <w:pPr>
        <w:pStyle w:val="ListParagraph"/>
        <w:rPr>
          <w:rFonts w:ascii="Calibri" w:eastAsia="Times New Roman" w:hAnsi="Calibri" w:cs="Times New Roman"/>
          <w:color w:val="000000"/>
          <w:lang w:eastAsia="en-AU"/>
        </w:rPr>
      </w:pPr>
    </w:p>
    <w:p w14:paraId="103C060E" w14:textId="77777777" w:rsidR="00724C7E" w:rsidRDefault="000B5B23" w:rsidP="00724C7E">
      <w:pPr>
        <w:pStyle w:val="ListParagraph"/>
        <w:spacing w:after="0" w:line="240" w:lineRule="auto"/>
        <w:ind w:left="340"/>
        <w:textAlignment w:val="center"/>
        <w:rPr>
          <w:rFonts w:ascii="Calibri" w:eastAsia="Times New Roman" w:hAnsi="Calibri" w:cs="Times New Roman"/>
          <w:color w:val="000000"/>
          <w:lang w:eastAsia="en-AU"/>
        </w:rPr>
      </w:pPr>
      <w:r w:rsidRPr="00DD32C2">
        <w:rPr>
          <w:rFonts w:ascii="Calibri" w:eastAsia="Times New Roman" w:hAnsi="Calibri" w:cs="Times New Roman"/>
          <w:color w:val="000000"/>
          <w:lang w:eastAsia="en-AU"/>
        </w:rPr>
        <w:t>Subsection 85-55 (3) and (4) address disaggregating transactions involving low value goods. Some transactions will involve the taxable supply of l</w:t>
      </w:r>
      <w:r w:rsidR="00477C2A" w:rsidRPr="00DD32C2">
        <w:rPr>
          <w:rFonts w:ascii="Calibri" w:eastAsia="Times New Roman" w:hAnsi="Calibri" w:cs="Times New Roman"/>
          <w:color w:val="000000"/>
          <w:lang w:eastAsia="en-AU"/>
        </w:rPr>
        <w:t xml:space="preserve">ow value goods and also good(s) </w:t>
      </w:r>
      <w:r w:rsidRPr="00DD32C2">
        <w:rPr>
          <w:rFonts w:ascii="Calibri" w:eastAsia="Times New Roman" w:hAnsi="Calibri" w:cs="Times New Roman"/>
          <w:color w:val="000000"/>
          <w:lang w:eastAsia="en-AU"/>
        </w:rPr>
        <w:t xml:space="preserve">over $1,000 for which GST will continue to be collected at the border. This is likely to increase the risk of errors occurring, potentially even double taxable where recipients pay import GST without realising GST was partially </w:t>
      </w:r>
      <w:r w:rsidR="00477C2A" w:rsidRPr="00DD32C2">
        <w:rPr>
          <w:rFonts w:ascii="Calibri" w:eastAsia="Times New Roman" w:hAnsi="Calibri" w:cs="Times New Roman"/>
          <w:color w:val="000000"/>
          <w:lang w:eastAsia="en-AU"/>
        </w:rPr>
        <w:t xml:space="preserve">or fully </w:t>
      </w:r>
      <w:r w:rsidRPr="00DD32C2">
        <w:rPr>
          <w:rFonts w:ascii="Calibri" w:eastAsia="Times New Roman" w:hAnsi="Calibri" w:cs="Times New Roman"/>
          <w:color w:val="000000"/>
          <w:lang w:eastAsia="en-AU"/>
        </w:rPr>
        <w:t>levied by the offshore supplier (particularly where notification of the amount of GST is not required by the</w:t>
      </w:r>
      <w:r w:rsidR="00724C7E">
        <w:rPr>
          <w:rFonts w:ascii="Calibri" w:eastAsia="Times New Roman" w:hAnsi="Calibri" w:cs="Times New Roman"/>
          <w:color w:val="000000"/>
          <w:lang w:eastAsia="en-AU"/>
        </w:rPr>
        <w:t xml:space="preserve"> supplier at the time of sale).</w:t>
      </w:r>
    </w:p>
    <w:p w14:paraId="2C6D2B92" w14:textId="77777777" w:rsidR="00724C7E" w:rsidRDefault="00724C7E" w:rsidP="00724C7E">
      <w:pPr>
        <w:pStyle w:val="ListParagraph"/>
        <w:spacing w:after="0" w:line="240" w:lineRule="auto"/>
        <w:ind w:left="340"/>
        <w:textAlignment w:val="center"/>
        <w:rPr>
          <w:rFonts w:ascii="Calibri" w:eastAsia="Times New Roman" w:hAnsi="Calibri" w:cs="Times New Roman"/>
          <w:color w:val="000000"/>
          <w:lang w:eastAsia="en-AU"/>
        </w:rPr>
      </w:pPr>
    </w:p>
    <w:p w14:paraId="23296B79" w14:textId="77777777" w:rsidR="00724C7E" w:rsidRDefault="000B5B23" w:rsidP="00724C7E">
      <w:pPr>
        <w:pStyle w:val="ListParagraph"/>
        <w:numPr>
          <w:ilvl w:val="0"/>
          <w:numId w:val="25"/>
        </w:numPr>
        <w:spacing w:after="0" w:line="240" w:lineRule="auto"/>
        <w:ind w:hanging="644"/>
        <w:textAlignment w:val="center"/>
        <w:rPr>
          <w:rFonts w:ascii="Calibri" w:eastAsia="Times New Roman" w:hAnsi="Calibri" w:cs="Times New Roman"/>
          <w:color w:val="000000"/>
          <w:lang w:eastAsia="en-AU"/>
        </w:rPr>
      </w:pPr>
      <w:r w:rsidRPr="00A15F59">
        <w:rPr>
          <w:rFonts w:ascii="Calibri" w:eastAsia="Times New Roman" w:hAnsi="Calibri" w:cs="Times New Roman"/>
          <w:b/>
          <w:bCs/>
          <w:color w:val="000000"/>
          <w:lang w:eastAsia="en-AU"/>
        </w:rPr>
        <w:t>Interaction with Customs</w:t>
      </w:r>
      <w:r w:rsidRPr="00A15F59">
        <w:rPr>
          <w:rFonts w:ascii="Calibri" w:eastAsia="Times New Roman" w:hAnsi="Calibri" w:cs="Times New Roman"/>
          <w:color w:val="000000"/>
          <w:lang w:eastAsia="en-AU"/>
        </w:rPr>
        <w:t xml:space="preserve"> </w:t>
      </w:r>
      <w:r w:rsidR="00477C2A" w:rsidRPr="00A15F59">
        <w:rPr>
          <w:rFonts w:ascii="Calibri" w:eastAsia="Times New Roman" w:hAnsi="Calibri" w:cs="Times New Roman"/>
          <w:color w:val="000000"/>
          <w:lang w:eastAsia="en-AU"/>
        </w:rPr>
        <w:t>–</w:t>
      </w:r>
      <w:r w:rsidRPr="00A15F59">
        <w:rPr>
          <w:rFonts w:ascii="Calibri" w:eastAsia="Times New Roman" w:hAnsi="Calibri" w:cs="Times New Roman"/>
          <w:color w:val="000000"/>
          <w:lang w:eastAsia="en-AU"/>
        </w:rPr>
        <w:t xml:space="preserve"> </w:t>
      </w:r>
      <w:r w:rsidR="00E6562C" w:rsidRPr="00A15F59">
        <w:rPr>
          <w:rFonts w:ascii="Calibri" w:eastAsia="Times New Roman" w:hAnsi="Calibri" w:cs="Times New Roman"/>
          <w:color w:val="000000"/>
          <w:lang w:eastAsia="en-AU"/>
        </w:rPr>
        <w:t xml:space="preserve">As discussed, </w:t>
      </w:r>
      <w:r w:rsidRPr="00A15F59">
        <w:rPr>
          <w:rFonts w:ascii="Calibri" w:eastAsia="Times New Roman" w:hAnsi="Calibri" w:cs="Times New Roman"/>
          <w:color w:val="000000"/>
          <w:lang w:eastAsia="en-AU"/>
        </w:rPr>
        <w:t xml:space="preserve">section 85-55 requires a transaction involving a single purchase order to be disaggregated where individual goods would be low value goods if they were supplied separately. This </w:t>
      </w:r>
      <w:r w:rsidR="00477C2A" w:rsidRPr="00A15F59">
        <w:rPr>
          <w:rFonts w:ascii="Calibri" w:eastAsia="Times New Roman" w:hAnsi="Calibri" w:cs="Times New Roman"/>
          <w:color w:val="000000"/>
          <w:lang w:eastAsia="en-AU"/>
        </w:rPr>
        <w:t xml:space="preserve">is </w:t>
      </w:r>
      <w:r w:rsidRPr="00A15F59">
        <w:rPr>
          <w:rFonts w:ascii="Calibri" w:eastAsia="Times New Roman" w:hAnsi="Calibri" w:cs="Times New Roman"/>
          <w:color w:val="000000"/>
          <w:lang w:eastAsia="en-AU"/>
        </w:rPr>
        <w:t>at odds with the way in which Customs processes imports under a single purchase order which would be treated as a single consignment. A supply of a $500 item and a $1,500 item is treated as one $2,000 consignment for Customs purposes but will be treated as the supply of a low value good and a taxable importation for GST purposes.</w:t>
      </w:r>
    </w:p>
    <w:p w14:paraId="5658751D" w14:textId="77777777" w:rsidR="00724C7E" w:rsidRDefault="00724C7E" w:rsidP="00724C7E">
      <w:pPr>
        <w:pStyle w:val="ListParagraph"/>
        <w:spacing w:after="0" w:line="240" w:lineRule="auto"/>
        <w:ind w:left="360"/>
        <w:textAlignment w:val="center"/>
        <w:rPr>
          <w:rFonts w:ascii="Calibri" w:eastAsia="Times New Roman" w:hAnsi="Calibri" w:cs="Times New Roman"/>
          <w:color w:val="000000"/>
          <w:lang w:eastAsia="en-AU"/>
        </w:rPr>
      </w:pPr>
    </w:p>
    <w:p w14:paraId="62FCF726" w14:textId="77777777" w:rsidR="00724C7E" w:rsidRDefault="000B5B23" w:rsidP="00724C7E">
      <w:pPr>
        <w:pStyle w:val="ListParagraph"/>
        <w:spacing w:after="0" w:line="240" w:lineRule="auto"/>
        <w:ind w:left="360"/>
        <w:textAlignment w:val="center"/>
        <w:rPr>
          <w:rFonts w:ascii="Calibri" w:eastAsia="Times New Roman" w:hAnsi="Calibri" w:cs="Times New Roman"/>
          <w:color w:val="000000"/>
          <w:lang w:eastAsia="en-AU"/>
        </w:rPr>
      </w:pPr>
      <w:r w:rsidRPr="00724C7E">
        <w:rPr>
          <w:rFonts w:ascii="Calibri" w:eastAsia="Times New Roman" w:hAnsi="Calibri" w:cs="Times New Roman"/>
          <w:color w:val="000000"/>
          <w:lang w:eastAsia="en-AU"/>
        </w:rPr>
        <w:t>Has Treasury considered cargo reporting and import declaration requirements for common business models -</w:t>
      </w:r>
      <w:r w:rsidR="00556909" w:rsidRPr="00724C7E">
        <w:rPr>
          <w:rFonts w:ascii="Calibri" w:eastAsia="Times New Roman" w:hAnsi="Calibri" w:cs="Times New Roman"/>
          <w:color w:val="000000"/>
          <w:lang w:eastAsia="en-AU"/>
        </w:rPr>
        <w:t xml:space="preserve"> </w:t>
      </w:r>
      <w:hyperlink r:id="rId14" w:anchor="businessmodels" w:history="1">
        <w:r w:rsidRPr="00724C7E">
          <w:rPr>
            <w:rFonts w:ascii="Calibri" w:eastAsia="Times New Roman" w:hAnsi="Calibri" w:cs="Times New Roman"/>
            <w:color w:val="0000FF"/>
            <w:u w:val="single"/>
            <w:lang w:eastAsia="en-AU"/>
          </w:rPr>
          <w:t>https://www.border.gov.au/Busi/Comp/cargo-reporting-import-declaration-requirements#businessmodels</w:t>
        </w:r>
      </w:hyperlink>
      <w:r w:rsidRPr="00724C7E">
        <w:rPr>
          <w:rFonts w:ascii="Calibri" w:eastAsia="Times New Roman" w:hAnsi="Calibri" w:cs="Times New Roman"/>
          <w:color w:val="000000"/>
          <w:lang w:eastAsia="en-AU"/>
        </w:rPr>
        <w:t xml:space="preserve">)? Under Model two, one importer submits multiple orders to one </w:t>
      </w:r>
      <w:r w:rsidRPr="00724C7E">
        <w:rPr>
          <w:rFonts w:ascii="Calibri" w:eastAsia="Times New Roman" w:hAnsi="Calibri" w:cs="Times New Roman"/>
          <w:color w:val="000000"/>
          <w:lang w:eastAsia="en-AU"/>
        </w:rPr>
        <w:lastRenderedPageBreak/>
        <w:t>supplier. Where the importer and the supplier have arranged for all orders over a specified period to be filled and paid for together (and there is evidence of this arrangement), the shipment can be considered as one consignment. In this model, there is one import declaration.</w:t>
      </w:r>
    </w:p>
    <w:p w14:paraId="776B635E" w14:textId="77777777" w:rsidR="00724C7E" w:rsidRDefault="00724C7E" w:rsidP="00724C7E">
      <w:pPr>
        <w:pStyle w:val="ListParagraph"/>
        <w:spacing w:after="0" w:line="240" w:lineRule="auto"/>
        <w:ind w:left="360"/>
        <w:textAlignment w:val="center"/>
        <w:rPr>
          <w:rFonts w:ascii="Calibri" w:eastAsia="Times New Roman" w:hAnsi="Calibri" w:cs="Times New Roman"/>
          <w:color w:val="000000"/>
          <w:lang w:eastAsia="en-AU"/>
        </w:rPr>
      </w:pPr>
    </w:p>
    <w:p w14:paraId="14A6C956" w14:textId="1DA25389" w:rsidR="00556909" w:rsidRPr="00A15F59" w:rsidRDefault="000B5B23" w:rsidP="00724C7E">
      <w:pPr>
        <w:pStyle w:val="ListParagraph"/>
        <w:spacing w:after="0" w:line="240" w:lineRule="auto"/>
        <w:ind w:left="360"/>
        <w:textAlignment w:val="center"/>
        <w:rPr>
          <w:rFonts w:ascii="Calibri" w:eastAsia="Times New Roman" w:hAnsi="Calibri" w:cs="Times New Roman"/>
          <w:color w:val="000000"/>
          <w:lang w:eastAsia="en-AU"/>
        </w:rPr>
      </w:pPr>
      <w:r w:rsidRPr="00A15F59">
        <w:rPr>
          <w:rFonts w:ascii="Calibri" w:eastAsia="Times New Roman" w:hAnsi="Calibri" w:cs="Times New Roman"/>
          <w:color w:val="000000"/>
          <w:lang w:eastAsia="en-AU"/>
        </w:rPr>
        <w:t>The Q&amp;A also states that where an international air cargo company contracts with an overseas supplier of low value goods, they will need to collect additional data from the overseas supplier (e.g. the vendor registration number where the supplier is registered for GST in Australia) and include that data in relevant import declarations in relation to low value goods delivered to Australia. How will this practically work if import declarations are not required for low value goods for Customs purposes (instead they are reported in a Self-Assessed Clearance (SAC)).</w:t>
      </w:r>
    </w:p>
    <w:p w14:paraId="5D86B471" w14:textId="77777777" w:rsidR="00556909" w:rsidRPr="00134753" w:rsidRDefault="00556909" w:rsidP="00556909">
      <w:pPr>
        <w:pStyle w:val="ListParagraph"/>
        <w:spacing w:after="0" w:line="240" w:lineRule="auto"/>
        <w:ind w:left="340"/>
        <w:rPr>
          <w:rFonts w:ascii="Calibri" w:eastAsia="Times New Roman" w:hAnsi="Calibri" w:cs="Times New Roman"/>
          <w:color w:val="000000"/>
          <w:lang w:eastAsia="en-AU"/>
        </w:rPr>
      </w:pPr>
    </w:p>
    <w:p w14:paraId="13C548D7" w14:textId="48181FEF" w:rsidR="00556909" w:rsidRPr="00A15F59" w:rsidRDefault="000B5B23" w:rsidP="00A15F59">
      <w:pPr>
        <w:pStyle w:val="ListParagraph"/>
        <w:numPr>
          <w:ilvl w:val="0"/>
          <w:numId w:val="24"/>
        </w:numPr>
        <w:spacing w:after="0" w:line="240" w:lineRule="auto"/>
        <w:ind w:hanging="644"/>
        <w:textAlignment w:val="center"/>
        <w:rPr>
          <w:rFonts w:ascii="Calibri" w:eastAsia="Times New Roman" w:hAnsi="Calibri" w:cs="Times New Roman"/>
          <w:b/>
          <w:bCs/>
          <w:color w:val="000000"/>
          <w:lang w:eastAsia="en-AU"/>
        </w:rPr>
      </w:pPr>
      <w:r w:rsidRPr="00A15F59">
        <w:rPr>
          <w:rFonts w:ascii="Calibri" w:eastAsia="Times New Roman" w:hAnsi="Calibri" w:cs="Times New Roman"/>
          <w:b/>
          <w:bCs/>
          <w:color w:val="000000"/>
          <w:lang w:eastAsia="en-AU"/>
        </w:rPr>
        <w:t>Requirement to notify the Commissioner of the taxable supply at the time of import before goods can be a non-taxable importation</w:t>
      </w:r>
      <w:r w:rsidRPr="00A15F59">
        <w:rPr>
          <w:rFonts w:ascii="Calibri" w:eastAsia="Times New Roman" w:hAnsi="Calibri" w:cs="Times New Roman"/>
          <w:bCs/>
          <w:color w:val="000000"/>
          <w:lang w:eastAsia="en-AU"/>
        </w:rPr>
        <w:t xml:space="preserve"> - </w:t>
      </w:r>
      <w:r w:rsidR="000350E1" w:rsidRPr="00A15F59">
        <w:rPr>
          <w:rFonts w:ascii="Calibri" w:eastAsia="Times New Roman" w:hAnsi="Calibri" w:cs="Times New Roman"/>
          <w:bCs/>
          <w:color w:val="000000"/>
          <w:lang w:eastAsia="en-AU"/>
        </w:rPr>
        <w:t>W</w:t>
      </w:r>
      <w:r w:rsidRPr="00A15F59">
        <w:rPr>
          <w:rFonts w:ascii="Calibri" w:eastAsia="Times New Roman" w:hAnsi="Calibri" w:cs="Times New Roman"/>
          <w:bCs/>
          <w:color w:val="000000"/>
          <w:lang w:eastAsia="en-AU"/>
        </w:rPr>
        <w:t xml:space="preserve">hile the EM states that it is expected that this reporting will be combined with other reporting on entry of the goods for customs purposes, there is concern this will create an administrative burden and delay the release of the goods. There is a lack of certainty over how this will </w:t>
      </w:r>
      <w:r w:rsidR="00477C2A" w:rsidRPr="00A15F59">
        <w:rPr>
          <w:rFonts w:ascii="Calibri" w:eastAsia="Times New Roman" w:hAnsi="Calibri" w:cs="Times New Roman"/>
          <w:bCs/>
          <w:color w:val="000000"/>
          <w:lang w:eastAsia="en-AU"/>
        </w:rPr>
        <w:t xml:space="preserve">work </w:t>
      </w:r>
      <w:r w:rsidRPr="00A15F59">
        <w:rPr>
          <w:rFonts w:ascii="Calibri" w:eastAsia="Times New Roman" w:hAnsi="Calibri" w:cs="Times New Roman"/>
          <w:bCs/>
          <w:color w:val="000000"/>
          <w:lang w:eastAsia="en-AU"/>
        </w:rPr>
        <w:t xml:space="preserve">practically. </w:t>
      </w:r>
    </w:p>
    <w:p w14:paraId="12882844" w14:textId="77777777" w:rsidR="00556909" w:rsidRPr="00556909" w:rsidRDefault="00556909" w:rsidP="00556909">
      <w:pPr>
        <w:pStyle w:val="ListParagraph"/>
        <w:spacing w:after="0" w:line="240" w:lineRule="auto"/>
        <w:ind w:left="340"/>
        <w:textAlignment w:val="center"/>
        <w:rPr>
          <w:rFonts w:ascii="Calibri" w:eastAsia="Times New Roman" w:hAnsi="Calibri" w:cs="Times New Roman"/>
          <w:b/>
          <w:bCs/>
          <w:color w:val="000000"/>
          <w:lang w:eastAsia="en-AU"/>
        </w:rPr>
      </w:pPr>
    </w:p>
    <w:p w14:paraId="0C7D691C" w14:textId="2F7ACADB" w:rsidR="000B5B23" w:rsidRPr="00A15F59" w:rsidRDefault="00DE06DD" w:rsidP="00A15F59">
      <w:pPr>
        <w:pStyle w:val="ListParagraph"/>
        <w:numPr>
          <w:ilvl w:val="0"/>
          <w:numId w:val="24"/>
        </w:numPr>
        <w:spacing w:after="0" w:line="240" w:lineRule="auto"/>
        <w:ind w:hanging="644"/>
        <w:textAlignment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 xml:space="preserve">Supplier responsible for </w:t>
      </w:r>
      <w:r w:rsidR="000B5B23" w:rsidRPr="00A15F59">
        <w:rPr>
          <w:rFonts w:ascii="Calibri" w:eastAsia="Times New Roman" w:hAnsi="Calibri" w:cs="Times New Roman"/>
          <w:b/>
          <w:bCs/>
          <w:color w:val="000000"/>
          <w:lang w:eastAsia="en-AU"/>
        </w:rPr>
        <w:t>making adjustments if taxable importation doesn't eventuate -</w:t>
      </w:r>
      <w:r w:rsidR="000B5B23" w:rsidRPr="00A15F59">
        <w:rPr>
          <w:rFonts w:ascii="Calibri" w:eastAsia="Times New Roman" w:hAnsi="Calibri" w:cs="Times New Roman"/>
          <w:color w:val="000000"/>
          <w:lang w:eastAsia="en-AU"/>
        </w:rPr>
        <w:t xml:space="preserve"> Under Subsection 85-45(2), if it is a taxable importation and the supplier reasonably believed at the time of the supply that the goods would be imported into the ITZ as a taxable importation, the supply of low value goods are not connected with the ITZ. The EM at 1.51 states that if the supplier was incorrect in thinking it would be a taxable importation, the supplier will be liable for the GST on the supply and will be subject to the correcting GST mistakes limits (thus, could incur penalties). If the supplier gets it wrong, how will they know a taxable importation of goods (over $1,000) has not been made? They may not have recourse from the recipient for the additional amount of GST. It would be preferable to allow Division 84 to deal with a recipient who has made a false statement rather than placing this responsibility on the supplier.</w:t>
      </w:r>
      <w:r w:rsidR="000B5B23" w:rsidRPr="00A15F59">
        <w:rPr>
          <w:rFonts w:ascii="Calibri" w:eastAsia="Times New Roman" w:hAnsi="Calibri" w:cs="Times New Roman"/>
          <w:color w:val="000000"/>
          <w:lang w:eastAsia="en-AU"/>
        </w:rPr>
        <w:br/>
        <w:t> </w:t>
      </w:r>
    </w:p>
    <w:p w14:paraId="471AC1C6" w14:textId="77777777" w:rsidR="00515796" w:rsidRDefault="000B5B23" w:rsidP="00A77833">
      <w:pPr>
        <w:spacing w:after="0" w:line="240" w:lineRule="auto"/>
        <w:ind w:left="340"/>
        <w:rPr>
          <w:rFonts w:ascii="Calibri" w:eastAsia="Times New Roman" w:hAnsi="Calibri" w:cs="Times New Roman"/>
          <w:color w:val="000000"/>
          <w:lang w:eastAsia="en-AU"/>
        </w:rPr>
      </w:pPr>
      <w:r w:rsidRPr="000B5B23">
        <w:rPr>
          <w:rFonts w:ascii="Calibri" w:eastAsia="Times New Roman" w:hAnsi="Calibri" w:cs="Times New Roman"/>
          <w:color w:val="000000"/>
          <w:lang w:eastAsia="en-AU"/>
        </w:rPr>
        <w:t>What is the purpose of subsection 85-45(2)(c) "the supplier reasonably believed…that the goods would be imported into the ITZ as a taxable importation"? If it is a taxable importation, how is this relevant? Should the "and" after 85-45(2)(b) be an "or"?</w:t>
      </w:r>
    </w:p>
    <w:p w14:paraId="5F09B805" w14:textId="77777777" w:rsidR="00515796" w:rsidRDefault="00515796" w:rsidP="00A77833">
      <w:pPr>
        <w:spacing w:after="0" w:line="240" w:lineRule="auto"/>
        <w:ind w:left="340"/>
        <w:rPr>
          <w:rFonts w:ascii="Calibri" w:eastAsia="Times New Roman" w:hAnsi="Calibri" w:cs="Times New Roman"/>
          <w:color w:val="000000"/>
          <w:lang w:eastAsia="en-AU"/>
        </w:rPr>
      </w:pPr>
    </w:p>
    <w:p w14:paraId="7E168E7E" w14:textId="494B294E" w:rsidR="00515796" w:rsidRDefault="00515796" w:rsidP="00A77833">
      <w:pPr>
        <w:spacing w:after="0" w:line="240" w:lineRule="auto"/>
        <w:ind w:left="340"/>
        <w:rPr>
          <w:color w:val="FF0000"/>
        </w:rPr>
      </w:pPr>
      <w:r>
        <w:rPr>
          <w:rFonts w:ascii="Calibri" w:eastAsia="Times New Roman" w:hAnsi="Calibri" w:cs="Times New Roman"/>
          <w:color w:val="000000"/>
          <w:lang w:eastAsia="en-AU"/>
        </w:rPr>
        <w:t xml:space="preserve">We believe that this uncertainty for the supplier </w:t>
      </w:r>
      <w:r>
        <w:t>is an unreasonable imposition on non-resident suppliers.  It should be sufficient that GST will not apply if the total value of a transaction is over $1,000 and the supplier reasonably believes that the transaction will be de</w:t>
      </w:r>
      <w:r w:rsidR="0027036F">
        <w:t>livered as a single consignment (align this rule</w:t>
      </w:r>
      <w:r w:rsidR="009125F0">
        <w:t xml:space="preserve"> </w:t>
      </w:r>
      <w:r w:rsidR="0027036F">
        <w:t>with how Customs approach the consignment).</w:t>
      </w:r>
      <w:r>
        <w:rPr>
          <w:color w:val="1F497D"/>
        </w:rPr>
        <w:t xml:space="preserve"> </w:t>
      </w:r>
    </w:p>
    <w:p w14:paraId="47606A60" w14:textId="77777777" w:rsidR="00DA629C" w:rsidRDefault="00DA629C" w:rsidP="00A77833">
      <w:pPr>
        <w:spacing w:after="0" w:line="240" w:lineRule="auto"/>
        <w:ind w:left="340"/>
      </w:pPr>
    </w:p>
    <w:p w14:paraId="59DAE6D2" w14:textId="3110A404" w:rsidR="00515796" w:rsidRDefault="00DA629C" w:rsidP="00556909">
      <w:pPr>
        <w:spacing w:after="0" w:line="240" w:lineRule="auto"/>
        <w:ind w:left="340"/>
        <w:rPr>
          <w:rFonts w:ascii="Calibri" w:eastAsia="Times New Roman" w:hAnsi="Calibri" w:cs="Times New Roman"/>
          <w:color w:val="000000"/>
          <w:lang w:eastAsia="en-AU"/>
        </w:rPr>
      </w:pPr>
      <w:r>
        <w:t>In any event, we also query whether the drafting</w:t>
      </w:r>
      <w:r w:rsidR="000F4D27">
        <w:t xml:space="preserve"> of ss(2)</w:t>
      </w:r>
      <w:r>
        <w:t xml:space="preserve"> works in the way that the drafters are contemplating, to effectively create two different taxing outcomes at two different times, on the same supply, whereby a later event undoes the tax treatment of the former, without it being an actual adjustment to an earlier supply.  This is especially so as it is seeking to impose</w:t>
      </w:r>
      <w:r w:rsidR="008E090C">
        <w:t xml:space="preserve"> a</w:t>
      </w:r>
      <w:r>
        <w:t xml:space="preserve"> tax liability.</w:t>
      </w:r>
    </w:p>
    <w:p w14:paraId="34F0C14C" w14:textId="77777777" w:rsidR="00515796" w:rsidRDefault="00515796" w:rsidP="00556909">
      <w:pPr>
        <w:spacing w:after="0" w:line="240" w:lineRule="auto"/>
        <w:ind w:left="340"/>
        <w:rPr>
          <w:rFonts w:ascii="Calibri" w:eastAsia="Times New Roman" w:hAnsi="Calibri" w:cs="Times New Roman"/>
          <w:color w:val="000000"/>
          <w:lang w:eastAsia="en-AU"/>
        </w:rPr>
      </w:pPr>
    </w:p>
    <w:p w14:paraId="1334562E" w14:textId="01B0F834" w:rsidR="00515796" w:rsidRDefault="000F4D27" w:rsidP="00556909">
      <w:pPr>
        <w:spacing w:after="0" w:line="240" w:lineRule="auto"/>
        <w:ind w:left="340"/>
        <w:rPr>
          <w:rFonts w:ascii="Calibri" w:eastAsia="Times New Roman" w:hAnsi="Calibri" w:cs="Times New Roman"/>
          <w:color w:val="000000"/>
          <w:lang w:eastAsia="en-AU"/>
        </w:rPr>
      </w:pPr>
      <w:r>
        <w:rPr>
          <w:rFonts w:ascii="Calibri" w:eastAsia="Times New Roman" w:hAnsi="Calibri" w:cs="Times New Roman"/>
          <w:color w:val="000000"/>
          <w:lang w:eastAsia="en-AU"/>
        </w:rPr>
        <w:t>The same discussion above applies similarly to sub-section 85-50(2) re goods forwarders.</w:t>
      </w:r>
    </w:p>
    <w:p w14:paraId="745820DF" w14:textId="77777777" w:rsidR="00DE06DD" w:rsidRPr="00BB70E2" w:rsidRDefault="00DE06DD" w:rsidP="00556909">
      <w:pPr>
        <w:spacing w:after="0" w:line="240" w:lineRule="auto"/>
        <w:ind w:left="340"/>
        <w:rPr>
          <w:rFonts w:ascii="Calibri" w:eastAsia="Times New Roman" w:hAnsi="Calibri" w:cs="Times New Roman"/>
          <w:lang w:eastAsia="en-AU"/>
        </w:rPr>
      </w:pPr>
    </w:p>
    <w:p w14:paraId="74898AFC" w14:textId="33254852" w:rsidR="00DE06DD" w:rsidRPr="00BB70E2" w:rsidRDefault="00DE06DD" w:rsidP="00DE06DD">
      <w:pPr>
        <w:pStyle w:val="ListParagraph"/>
        <w:numPr>
          <w:ilvl w:val="0"/>
          <w:numId w:val="24"/>
        </w:numPr>
        <w:spacing w:after="120" w:line="240" w:lineRule="auto"/>
        <w:ind w:left="340"/>
        <w:textAlignment w:val="center"/>
      </w:pPr>
      <w:r w:rsidRPr="00BB70E2">
        <w:rPr>
          <w:rFonts w:ascii="Calibri" w:eastAsia="Times New Roman" w:hAnsi="Calibri" w:cs="Times New Roman"/>
          <w:b/>
          <w:bCs/>
          <w:lang w:eastAsia="en-AU"/>
        </w:rPr>
        <w:t>Supplier responsible for taxable supply</w:t>
      </w:r>
      <w:r w:rsidR="008611AC" w:rsidRPr="00BB70E2">
        <w:rPr>
          <w:rFonts w:ascii="Calibri" w:eastAsia="Times New Roman" w:hAnsi="Calibri" w:cs="Times New Roman"/>
          <w:b/>
          <w:bCs/>
          <w:lang w:eastAsia="en-AU"/>
        </w:rPr>
        <w:t xml:space="preserve"> even</w:t>
      </w:r>
      <w:r w:rsidRPr="00BB70E2">
        <w:rPr>
          <w:rFonts w:ascii="Calibri" w:eastAsia="Times New Roman" w:hAnsi="Calibri" w:cs="Times New Roman"/>
          <w:b/>
          <w:bCs/>
          <w:lang w:eastAsia="en-AU"/>
        </w:rPr>
        <w:t xml:space="preserve"> if recipient misrepresents enterprise purpose - </w:t>
      </w:r>
      <w:r w:rsidRPr="00BB70E2">
        <w:rPr>
          <w:rFonts w:ascii="Calibri" w:eastAsia="Times New Roman" w:hAnsi="Calibri" w:cs="Times New Roman"/>
          <w:bCs/>
          <w:lang w:eastAsia="en-AU"/>
        </w:rPr>
        <w:t>C</w:t>
      </w:r>
      <w:r w:rsidRPr="00BB70E2">
        <w:t xml:space="preserve">urrently, there is no protection </w:t>
      </w:r>
      <w:r w:rsidR="00485263" w:rsidRPr="00BB70E2">
        <w:t xml:space="preserve">in s85-45 </w:t>
      </w:r>
      <w:r w:rsidRPr="00BB70E2">
        <w:t xml:space="preserve">for an offshore supplier if the recipient incorrectly </w:t>
      </w:r>
      <w:r w:rsidR="00485263" w:rsidRPr="00BB70E2">
        <w:t>represents that the goods are solely or partly</w:t>
      </w:r>
      <w:r w:rsidRPr="00BB70E2">
        <w:t xml:space="preserve"> enterprise expenditure (</w:t>
      </w:r>
      <w:r w:rsidR="00485263" w:rsidRPr="00BB70E2">
        <w:t xml:space="preserve">i.e. there is </w:t>
      </w:r>
      <w:r w:rsidRPr="00BB70E2">
        <w:t xml:space="preserve">no s84-100 equivalent).  So </w:t>
      </w:r>
      <w:r w:rsidR="00C5416E" w:rsidRPr="00BB70E2">
        <w:t xml:space="preserve">technically, </w:t>
      </w:r>
      <w:r w:rsidRPr="00BB70E2">
        <w:t>the taxable supply by the offshore supplier is not switched off</w:t>
      </w:r>
      <w:r w:rsidR="00C5416E" w:rsidRPr="00BB70E2">
        <w:t>, even if the recipient is registered and misrepresents their enterprise purpose</w:t>
      </w:r>
      <w:r w:rsidRPr="00BB70E2">
        <w:t xml:space="preserve">. </w:t>
      </w:r>
      <w:r w:rsidR="00485263" w:rsidRPr="00BB70E2">
        <w:t xml:space="preserve"> </w:t>
      </w:r>
      <w:r w:rsidRPr="00BB70E2">
        <w:t xml:space="preserve">Meanwhile, however, Item 4 will trigger a reverse charge </w:t>
      </w:r>
      <w:r w:rsidR="00485263" w:rsidRPr="00BB70E2">
        <w:t>for an incorrect representation if the</w:t>
      </w:r>
      <w:r w:rsidR="00C5416E" w:rsidRPr="00BB70E2">
        <w:t xml:space="preserve"> recipient does not </w:t>
      </w:r>
      <w:r w:rsidR="00C5416E" w:rsidRPr="00BB70E2">
        <w:lastRenderedPageBreak/>
        <w:t>acquire the goods solely or partly for an enterprise purpose</w:t>
      </w:r>
      <w:r w:rsidR="00485263" w:rsidRPr="00BB70E2">
        <w:t xml:space="preserve">.  This could result in double taxation, so </w:t>
      </w:r>
      <w:r w:rsidR="00C5416E" w:rsidRPr="00BB70E2">
        <w:t xml:space="preserve">it seems that </w:t>
      </w:r>
      <w:r w:rsidR="00154493" w:rsidRPr="00BB70E2">
        <w:t>a better or clearer d</w:t>
      </w:r>
      <w:r w:rsidR="00485263" w:rsidRPr="00BB70E2">
        <w:t>ove-tail between the two provisions should be able to be achieved.</w:t>
      </w:r>
      <w:r w:rsidR="00154493" w:rsidRPr="00BB70E2">
        <w:t xml:space="preserve">  The supplier should be able to reasonably rely on the representation of the ‘enterprise purpose’ of the recipient, regardless of whether it is </w:t>
      </w:r>
      <w:r w:rsidR="00632441" w:rsidRPr="00BB70E2">
        <w:t>correct.  This is especially as the tax would be ca</w:t>
      </w:r>
      <w:r w:rsidR="0049171A">
        <w:t>ptured by Item 4 reverse charge.</w:t>
      </w:r>
    </w:p>
    <w:p w14:paraId="120FD754" w14:textId="5968D65E" w:rsidR="00485263" w:rsidRPr="00BB70E2" w:rsidRDefault="00C5416E" w:rsidP="00485263">
      <w:pPr>
        <w:spacing w:after="120" w:line="240" w:lineRule="auto"/>
        <w:ind w:left="340"/>
        <w:textAlignment w:val="center"/>
      </w:pPr>
      <w:r w:rsidRPr="00BB70E2">
        <w:t>For example, take the situation of a registered sole trader who acquires goods in his</w:t>
      </w:r>
      <w:r w:rsidR="00154493" w:rsidRPr="00BB70E2">
        <w:t xml:space="preserve"> or her</w:t>
      </w:r>
      <w:r w:rsidRPr="00BB70E2">
        <w:t xml:space="preserve"> business name, but uses them solely fo</w:t>
      </w:r>
      <w:r w:rsidR="00154493" w:rsidRPr="00BB70E2">
        <w:t xml:space="preserve">r private or domestic purposes, in circumstances where the ATO takes the view that by </w:t>
      </w:r>
      <w:r w:rsidR="00632441" w:rsidRPr="00BB70E2">
        <w:t>their private and domestic nature, the goods</w:t>
      </w:r>
      <w:r w:rsidR="00154493" w:rsidRPr="00BB70E2">
        <w:t xml:space="preserve"> were never an ‘enterprise’ expenditure, e.g. lipstick, foundation, shoes, GoPro, golf clubs, etc.</w:t>
      </w:r>
      <w:r w:rsidR="00632441" w:rsidRPr="00BB70E2">
        <w:t xml:space="preserve">  </w:t>
      </w:r>
    </w:p>
    <w:p w14:paraId="4A9153EA" w14:textId="444D17FE" w:rsidR="00D8548F" w:rsidRPr="00BB70E2" w:rsidRDefault="00485263" w:rsidP="00D8548F">
      <w:pPr>
        <w:spacing w:after="0" w:line="240" w:lineRule="auto"/>
        <w:ind w:left="340"/>
        <w:rPr>
          <w:rFonts w:ascii="Calibri" w:eastAsia="Times New Roman" w:hAnsi="Calibri" w:cs="Times New Roman"/>
          <w:lang w:eastAsia="en-AU"/>
        </w:rPr>
      </w:pPr>
      <w:r w:rsidRPr="00BB70E2">
        <w:rPr>
          <w:rFonts w:ascii="Calibri" w:eastAsia="Times New Roman" w:hAnsi="Calibri" w:cs="Times New Roman"/>
          <w:lang w:eastAsia="en-AU"/>
        </w:rPr>
        <w:t xml:space="preserve">The same discussion above applies </w:t>
      </w:r>
      <w:r w:rsidR="00154493" w:rsidRPr="00BB70E2">
        <w:rPr>
          <w:rFonts w:ascii="Calibri" w:eastAsia="Times New Roman" w:hAnsi="Calibri" w:cs="Times New Roman"/>
          <w:lang w:eastAsia="en-AU"/>
        </w:rPr>
        <w:t xml:space="preserve">similarly to </w:t>
      </w:r>
      <w:r w:rsidRPr="00BB70E2">
        <w:rPr>
          <w:rFonts w:ascii="Calibri" w:eastAsia="Times New Roman" w:hAnsi="Calibri" w:cs="Times New Roman"/>
          <w:lang w:eastAsia="en-AU"/>
        </w:rPr>
        <w:t>section 85-50 re goods forwarders.</w:t>
      </w:r>
    </w:p>
    <w:p w14:paraId="7F57B841" w14:textId="77777777" w:rsidR="008611AC" w:rsidRPr="00BB70E2" w:rsidRDefault="008611AC" w:rsidP="00D8548F">
      <w:pPr>
        <w:spacing w:after="0" w:line="240" w:lineRule="auto"/>
        <w:textAlignment w:val="center"/>
        <w:rPr>
          <w:rFonts w:ascii="Calibri" w:eastAsia="Times New Roman" w:hAnsi="Calibri" w:cs="Times New Roman"/>
          <w:b/>
          <w:lang w:eastAsia="en-AU"/>
        </w:rPr>
      </w:pPr>
    </w:p>
    <w:p w14:paraId="72C4C698" w14:textId="77777777" w:rsidR="00A15F59" w:rsidRDefault="000B5B23" w:rsidP="00A15F59">
      <w:pPr>
        <w:pStyle w:val="ListParagraph"/>
        <w:numPr>
          <w:ilvl w:val="0"/>
          <w:numId w:val="24"/>
        </w:numPr>
        <w:spacing w:after="0" w:line="240" w:lineRule="auto"/>
        <w:ind w:hanging="644"/>
        <w:textAlignment w:val="center"/>
        <w:rPr>
          <w:rFonts w:ascii="Calibri" w:eastAsia="Times New Roman" w:hAnsi="Calibri" w:cs="Times New Roman"/>
          <w:color w:val="000000"/>
          <w:lang w:eastAsia="en-AU"/>
        </w:rPr>
      </w:pPr>
      <w:r w:rsidRPr="000B5B23">
        <w:rPr>
          <w:rFonts w:ascii="Calibri" w:eastAsia="Times New Roman" w:hAnsi="Calibri" w:cs="Times New Roman"/>
          <w:b/>
          <w:bCs/>
          <w:color w:val="000000"/>
          <w:lang w:eastAsia="en-AU"/>
        </w:rPr>
        <w:t>Goods forwarders having to determine creditable purpose of customers</w:t>
      </w:r>
      <w:r w:rsidRPr="000B5B23">
        <w:rPr>
          <w:rFonts w:ascii="Calibri" w:eastAsia="Times New Roman" w:hAnsi="Calibri" w:cs="Times New Roman"/>
          <w:color w:val="000000"/>
          <w:lang w:eastAsia="en-AU"/>
        </w:rPr>
        <w:t xml:space="preserve"> - subsection 85-50(1)(c)(ii) is convoluted and is unlikely to be understood by non-residents. Instead, the ED should state: “if the recipient is registered – has not informed the goods forwarder that they are registered”.  The goods forwarder will not know the recipient’s extent of creditable purpose, nor should they be required to know.  The only matter the goods forwarder needs to satisfy themselves of is that the recipient is registered for GST and is making the acquisition in that capacity.</w:t>
      </w:r>
    </w:p>
    <w:p w14:paraId="6670F755" w14:textId="77777777" w:rsidR="008E090C" w:rsidRDefault="008E090C" w:rsidP="008E090C">
      <w:pPr>
        <w:pStyle w:val="ListParagraph"/>
        <w:spacing w:after="0" w:line="240" w:lineRule="auto"/>
        <w:ind w:left="360"/>
        <w:textAlignment w:val="center"/>
        <w:rPr>
          <w:rFonts w:ascii="Calibri" w:eastAsia="Times New Roman" w:hAnsi="Calibri" w:cs="Times New Roman"/>
          <w:color w:val="000000"/>
          <w:lang w:eastAsia="en-AU"/>
        </w:rPr>
      </w:pPr>
    </w:p>
    <w:p w14:paraId="060FF0E3" w14:textId="77777777" w:rsidR="00A15F59" w:rsidRDefault="000B5B23" w:rsidP="00A15F59">
      <w:pPr>
        <w:pStyle w:val="ListParagraph"/>
        <w:numPr>
          <w:ilvl w:val="0"/>
          <w:numId w:val="24"/>
        </w:numPr>
        <w:spacing w:after="0" w:line="240" w:lineRule="auto"/>
        <w:ind w:hanging="644"/>
        <w:textAlignment w:val="center"/>
        <w:rPr>
          <w:rFonts w:ascii="Calibri" w:eastAsia="Times New Roman" w:hAnsi="Calibri" w:cs="Times New Roman"/>
          <w:color w:val="000000"/>
          <w:lang w:eastAsia="en-AU"/>
        </w:rPr>
      </w:pPr>
      <w:r w:rsidRPr="00A15F59">
        <w:rPr>
          <w:rFonts w:ascii="Calibri" w:eastAsia="Times New Roman" w:hAnsi="Calibri" w:cs="Times New Roman"/>
          <w:b/>
          <w:bCs/>
          <w:color w:val="000000"/>
          <w:lang w:eastAsia="en-AU"/>
        </w:rPr>
        <w:t>Impact if the recipient arranges delivery to Australia (goods forwarding versus delivery of goods - where is the line?) -</w:t>
      </w:r>
      <w:r w:rsidRPr="00A15F59">
        <w:rPr>
          <w:rFonts w:ascii="Calibri" w:eastAsia="Times New Roman" w:hAnsi="Calibri" w:cs="Times New Roman"/>
          <w:color w:val="000000"/>
          <w:lang w:eastAsia="en-AU"/>
        </w:rPr>
        <w:t xml:space="preserve"> Subsection 85-45(1) makes a supply of low value goods connected with the ITZ where, under (b), "the supplier delivers the goods into the ITZ, or procures, arranges or facilitates the delivery of the goods into the ITZ". What would be the impact if the supplier doesn't bring the goods to the ITZ but instead the recipient arranges for the collection of the </w:t>
      </w:r>
      <w:r w:rsidR="002E3FF1" w:rsidRPr="00A15F59">
        <w:rPr>
          <w:rFonts w:ascii="Calibri" w:eastAsia="Times New Roman" w:hAnsi="Calibri" w:cs="Times New Roman"/>
          <w:color w:val="000000"/>
          <w:lang w:eastAsia="en-AU"/>
        </w:rPr>
        <w:t xml:space="preserve">low value </w:t>
      </w:r>
      <w:r w:rsidRPr="00A15F59">
        <w:rPr>
          <w:rFonts w:ascii="Calibri" w:eastAsia="Times New Roman" w:hAnsi="Calibri" w:cs="Times New Roman"/>
          <w:color w:val="000000"/>
          <w:lang w:eastAsia="en-AU"/>
        </w:rPr>
        <w:t>goods from the supplier's warehouse and the trans</w:t>
      </w:r>
      <w:r w:rsidR="002E3FF1" w:rsidRPr="00A15F59">
        <w:rPr>
          <w:rFonts w:ascii="Calibri" w:eastAsia="Times New Roman" w:hAnsi="Calibri" w:cs="Times New Roman"/>
          <w:color w:val="000000"/>
          <w:lang w:eastAsia="en-AU"/>
        </w:rPr>
        <w:t xml:space="preserve">port and delivery of the goods </w:t>
      </w:r>
      <w:r w:rsidRPr="00A15F59">
        <w:rPr>
          <w:rFonts w:ascii="Calibri" w:eastAsia="Times New Roman" w:hAnsi="Calibri" w:cs="Times New Roman"/>
          <w:color w:val="000000"/>
          <w:lang w:eastAsia="en-AU"/>
        </w:rPr>
        <w:t>to the ITZ? Can this only be done through a goods forwarder a</w:t>
      </w:r>
      <w:r w:rsidR="00E6562C" w:rsidRPr="00A15F59">
        <w:rPr>
          <w:rFonts w:ascii="Calibri" w:eastAsia="Times New Roman" w:hAnsi="Calibri" w:cs="Times New Roman"/>
          <w:color w:val="000000"/>
          <w:lang w:eastAsia="en-AU"/>
        </w:rPr>
        <w:t xml:space="preserve">nd hence will be captured by </w:t>
      </w:r>
      <w:r w:rsidRPr="00A15F59">
        <w:rPr>
          <w:rFonts w:ascii="Calibri" w:eastAsia="Times New Roman" w:hAnsi="Calibri" w:cs="Times New Roman"/>
          <w:color w:val="000000"/>
          <w:lang w:eastAsia="en-AU"/>
        </w:rPr>
        <w:t>section 85-50? Paragraph 1.70 of the EM states that, "entities that merely deliver goods to the ITZ are not treated as goods forwarders". How does this interact with the Q&amp;A which states that when an international air cargo company is engaged by a consumer, they will be liable for GST on low value goods imported by consumers in Australia?</w:t>
      </w:r>
      <w:r w:rsidR="008369D4" w:rsidRPr="00A15F59">
        <w:rPr>
          <w:rFonts w:ascii="Calibri" w:eastAsia="Times New Roman" w:hAnsi="Calibri" w:cs="Times New Roman"/>
          <w:color w:val="000000"/>
          <w:lang w:eastAsia="en-AU"/>
        </w:rPr>
        <w:t xml:space="preserve"> The</w:t>
      </w:r>
      <w:r w:rsidR="002B6C3F" w:rsidRPr="00A15F59">
        <w:rPr>
          <w:rFonts w:ascii="Calibri" w:eastAsia="Times New Roman" w:hAnsi="Calibri" w:cs="Times New Roman"/>
          <w:color w:val="000000"/>
          <w:lang w:eastAsia="en-AU"/>
        </w:rPr>
        <w:t xml:space="preserve"> EM should provide relevant examples to allow taxpayers to delineate between goods forwarders and freight forwarders.</w:t>
      </w:r>
    </w:p>
    <w:p w14:paraId="036B1EAE" w14:textId="77777777" w:rsidR="00A15F59" w:rsidRPr="00A15F59" w:rsidRDefault="00A15F59" w:rsidP="00A15F59">
      <w:pPr>
        <w:pStyle w:val="ListParagraph"/>
        <w:spacing w:after="0" w:line="240" w:lineRule="auto"/>
        <w:ind w:left="360"/>
        <w:textAlignment w:val="center"/>
        <w:rPr>
          <w:rFonts w:ascii="Calibri" w:eastAsia="Times New Roman" w:hAnsi="Calibri" w:cs="Times New Roman"/>
          <w:color w:val="000000"/>
          <w:lang w:eastAsia="en-AU"/>
        </w:rPr>
      </w:pPr>
    </w:p>
    <w:p w14:paraId="61A8113C" w14:textId="77777777" w:rsidR="00A15F59" w:rsidRDefault="000B5B23" w:rsidP="00A15F59">
      <w:pPr>
        <w:pStyle w:val="ListParagraph"/>
        <w:numPr>
          <w:ilvl w:val="0"/>
          <w:numId w:val="24"/>
        </w:numPr>
        <w:spacing w:after="0" w:line="240" w:lineRule="auto"/>
        <w:ind w:hanging="644"/>
        <w:textAlignment w:val="center"/>
        <w:rPr>
          <w:rFonts w:ascii="Calibri" w:eastAsia="Times New Roman" w:hAnsi="Calibri" w:cs="Times New Roman"/>
          <w:color w:val="000000"/>
          <w:lang w:eastAsia="en-AU"/>
        </w:rPr>
      </w:pPr>
      <w:r w:rsidRPr="00A15F59">
        <w:rPr>
          <w:rFonts w:ascii="Calibri" w:eastAsia="Times New Roman" w:hAnsi="Calibri" w:cs="Times New Roman"/>
          <w:b/>
          <w:bCs/>
          <w:color w:val="000000"/>
          <w:lang w:eastAsia="en-AU"/>
        </w:rPr>
        <w:t xml:space="preserve">Revoking an election - </w:t>
      </w:r>
      <w:r w:rsidRPr="00A15F59">
        <w:rPr>
          <w:rFonts w:ascii="Calibri" w:eastAsia="Times New Roman" w:hAnsi="Calibri" w:cs="Times New Roman"/>
          <w:color w:val="000000"/>
          <w:lang w:eastAsia="en-AU"/>
        </w:rPr>
        <w:t>if a non-resident supplier revokes a limited registration election, it is effective from the start of the first tax period after revocation under subsection 146-5(3)(c). Is there provision for backdating the cancellation of an election, for example, in the event the supplier determines it has incurred GST w</w:t>
      </w:r>
      <w:r w:rsidR="00556909" w:rsidRPr="00A15F59">
        <w:rPr>
          <w:rFonts w:ascii="Calibri" w:eastAsia="Times New Roman" w:hAnsi="Calibri" w:cs="Times New Roman"/>
          <w:color w:val="000000"/>
          <w:lang w:eastAsia="en-AU"/>
        </w:rPr>
        <w:t>hich it would like to recover?</w:t>
      </w:r>
      <w:r w:rsidR="008369D4" w:rsidRPr="00A15F59">
        <w:rPr>
          <w:rFonts w:ascii="Calibri" w:eastAsia="Times New Roman" w:hAnsi="Calibri" w:cs="Times New Roman"/>
          <w:color w:val="000000"/>
          <w:lang w:eastAsia="en-AU"/>
        </w:rPr>
        <w:t xml:space="preserve"> If the supplier is permitted to claim up to 4 years of historic input tax credits in the first tax period when they are no longer registered under a limited registration, this should be clarified.</w:t>
      </w:r>
    </w:p>
    <w:p w14:paraId="25BF167E" w14:textId="77777777" w:rsidR="00A15F59" w:rsidRPr="00A15F59" w:rsidRDefault="00A15F59" w:rsidP="00A15F59">
      <w:pPr>
        <w:pStyle w:val="ListParagraph"/>
        <w:rPr>
          <w:rFonts w:ascii="Calibri" w:eastAsia="Times New Roman" w:hAnsi="Calibri" w:cs="Times New Roman"/>
          <w:b/>
          <w:bCs/>
          <w:color w:val="000000"/>
          <w:lang w:eastAsia="en-AU"/>
        </w:rPr>
      </w:pPr>
    </w:p>
    <w:p w14:paraId="7C886115" w14:textId="704494DD" w:rsidR="00A15F59" w:rsidRDefault="000B5B23" w:rsidP="00A15F59">
      <w:pPr>
        <w:pStyle w:val="ListParagraph"/>
        <w:numPr>
          <w:ilvl w:val="0"/>
          <w:numId w:val="24"/>
        </w:numPr>
        <w:spacing w:after="0" w:line="240" w:lineRule="auto"/>
        <w:ind w:hanging="644"/>
        <w:textAlignment w:val="center"/>
        <w:rPr>
          <w:rFonts w:ascii="Calibri" w:eastAsia="Times New Roman" w:hAnsi="Calibri" w:cs="Times New Roman"/>
          <w:color w:val="000000"/>
          <w:lang w:eastAsia="en-AU"/>
        </w:rPr>
      </w:pPr>
      <w:r w:rsidRPr="00A15F59">
        <w:rPr>
          <w:rFonts w:ascii="Calibri" w:eastAsia="Times New Roman" w:hAnsi="Calibri" w:cs="Times New Roman"/>
          <w:b/>
          <w:bCs/>
          <w:color w:val="000000"/>
          <w:lang w:eastAsia="en-AU"/>
        </w:rPr>
        <w:t xml:space="preserve">Adjustments to the price of low value goods - </w:t>
      </w:r>
      <w:r w:rsidRPr="00A15F59">
        <w:rPr>
          <w:rFonts w:ascii="Calibri" w:eastAsia="Times New Roman" w:hAnsi="Calibri" w:cs="Times New Roman"/>
          <w:color w:val="000000"/>
          <w:lang w:eastAsia="en-AU"/>
        </w:rPr>
        <w:t>is this dealt with li</w:t>
      </w:r>
      <w:r w:rsidR="00F04C3D">
        <w:rPr>
          <w:rFonts w:ascii="Calibri" w:eastAsia="Times New Roman" w:hAnsi="Calibri" w:cs="Times New Roman"/>
          <w:color w:val="000000"/>
          <w:lang w:eastAsia="en-AU"/>
        </w:rPr>
        <w:t>ke any other adjustment? e.g. if</w:t>
      </w:r>
      <w:r w:rsidRPr="00A15F59">
        <w:rPr>
          <w:rFonts w:ascii="Calibri" w:eastAsia="Times New Roman" w:hAnsi="Calibri" w:cs="Times New Roman"/>
          <w:color w:val="000000"/>
          <w:lang w:eastAsia="en-AU"/>
        </w:rPr>
        <w:t xml:space="preserve"> low value goods are returned, is there provision in the quarterly simplified GST return to show negative sales?</w:t>
      </w:r>
      <w:r w:rsidR="0033523A" w:rsidRPr="00A15F59">
        <w:rPr>
          <w:rFonts w:ascii="Calibri" w:eastAsia="Times New Roman" w:hAnsi="Calibri" w:cs="Times New Roman"/>
          <w:color w:val="000000"/>
          <w:lang w:eastAsia="en-AU"/>
        </w:rPr>
        <w:t xml:space="preserve"> </w:t>
      </w:r>
      <w:r w:rsidR="00172832" w:rsidRPr="00A15F59">
        <w:rPr>
          <w:rFonts w:ascii="Calibri" w:eastAsia="Times New Roman" w:hAnsi="Calibri" w:cs="Times New Roman"/>
          <w:color w:val="000000"/>
          <w:lang w:eastAsia="en-AU"/>
        </w:rPr>
        <w:t xml:space="preserve">If suppliers are permitted to carry forward decreasing adjustments to net off in a subsequent return, this should be clarified </w:t>
      </w:r>
      <w:r w:rsidR="00894C0A" w:rsidRPr="00A15F59">
        <w:rPr>
          <w:rFonts w:ascii="Calibri" w:eastAsia="Times New Roman" w:hAnsi="Calibri" w:cs="Times New Roman"/>
          <w:color w:val="000000"/>
          <w:lang w:eastAsia="en-AU"/>
        </w:rPr>
        <w:t>as</w:t>
      </w:r>
      <w:r w:rsidR="00172832" w:rsidRPr="00A15F59">
        <w:rPr>
          <w:rFonts w:ascii="Calibri" w:eastAsia="Times New Roman" w:hAnsi="Calibri" w:cs="Times New Roman"/>
          <w:color w:val="000000"/>
          <w:lang w:eastAsia="en-AU"/>
        </w:rPr>
        <w:t xml:space="preserve"> it is a departure from the current law.</w:t>
      </w:r>
      <w:r w:rsidR="00172832" w:rsidRPr="00A15F59">
        <w:rPr>
          <w:rFonts w:ascii="Calibri" w:eastAsia="Times New Roman" w:hAnsi="Calibri" w:cs="Times New Roman"/>
          <w:color w:val="000000"/>
          <w:lang w:eastAsia="en-AU"/>
        </w:rPr>
        <w:br/>
      </w:r>
      <w:r w:rsidR="00172832" w:rsidRPr="00A15F59">
        <w:rPr>
          <w:rFonts w:ascii="Calibri" w:eastAsia="Times New Roman" w:hAnsi="Calibri" w:cs="Times New Roman"/>
          <w:color w:val="000000"/>
          <w:lang w:eastAsia="en-AU"/>
        </w:rPr>
        <w:br/>
      </w:r>
      <w:r w:rsidR="0033523A" w:rsidRPr="00A15F59">
        <w:rPr>
          <w:rFonts w:ascii="Calibri" w:eastAsia="Times New Roman" w:hAnsi="Calibri" w:cs="Times New Roman"/>
          <w:color w:val="000000"/>
          <w:lang w:eastAsia="en-AU"/>
        </w:rPr>
        <w:t>How are early settlement discounts or cash back offers dealt with?</w:t>
      </w:r>
      <w:r w:rsidR="00172832" w:rsidRPr="00A15F59">
        <w:rPr>
          <w:rFonts w:ascii="Calibri" w:eastAsia="Times New Roman" w:hAnsi="Calibri" w:cs="Times New Roman"/>
          <w:color w:val="000000"/>
          <w:lang w:eastAsia="en-AU"/>
        </w:rPr>
        <w:t xml:space="preserve"> </w:t>
      </w:r>
      <w:r w:rsidR="00485263">
        <w:rPr>
          <w:rFonts w:ascii="Calibri" w:eastAsia="Times New Roman" w:hAnsi="Calibri" w:cs="Times New Roman"/>
          <w:color w:val="000000"/>
          <w:lang w:eastAsia="en-AU"/>
        </w:rPr>
        <w:t xml:space="preserve"> </w:t>
      </w:r>
      <w:r w:rsidR="00172832" w:rsidRPr="00A15F59">
        <w:rPr>
          <w:rFonts w:ascii="Calibri" w:eastAsia="Times New Roman" w:hAnsi="Calibri" w:cs="Times New Roman"/>
          <w:color w:val="000000"/>
          <w:lang w:eastAsia="en-AU"/>
        </w:rPr>
        <w:t>For example: If there is a taxable importation but a discount is subsequently applied which means it was a sale of one or more low value goods, how does the customer recover the overpaid GST?</w:t>
      </w:r>
    </w:p>
    <w:p w14:paraId="2CDA244D" w14:textId="77777777" w:rsidR="00A15F59" w:rsidRDefault="00A15F59" w:rsidP="00A15F59">
      <w:pPr>
        <w:pStyle w:val="ListParagraph"/>
        <w:rPr>
          <w:rFonts w:ascii="Calibri" w:eastAsia="Times New Roman" w:hAnsi="Calibri" w:cs="Times New Roman"/>
          <w:color w:val="000000"/>
          <w:lang w:eastAsia="en-AU"/>
        </w:rPr>
      </w:pPr>
    </w:p>
    <w:p w14:paraId="2A18C99A" w14:textId="77777777" w:rsidR="00832A80" w:rsidRDefault="00832A80" w:rsidP="00A15F59">
      <w:pPr>
        <w:pStyle w:val="ListParagraph"/>
        <w:rPr>
          <w:rFonts w:ascii="Calibri" w:eastAsia="Times New Roman" w:hAnsi="Calibri" w:cs="Times New Roman"/>
          <w:color w:val="000000"/>
          <w:lang w:eastAsia="en-AU"/>
        </w:rPr>
      </w:pPr>
    </w:p>
    <w:p w14:paraId="13FAF243" w14:textId="77777777" w:rsidR="00832A80" w:rsidRPr="00A15F59" w:rsidRDefault="00832A80" w:rsidP="00A15F59">
      <w:pPr>
        <w:pStyle w:val="ListParagraph"/>
        <w:rPr>
          <w:rFonts w:ascii="Calibri" w:eastAsia="Times New Roman" w:hAnsi="Calibri" w:cs="Times New Roman"/>
          <w:color w:val="000000"/>
          <w:lang w:eastAsia="en-AU"/>
        </w:rPr>
      </w:pPr>
    </w:p>
    <w:p w14:paraId="463A19EC" w14:textId="18ADCFCE" w:rsidR="005A0C66" w:rsidRPr="00A15F59" w:rsidRDefault="008E090C" w:rsidP="00A15F59">
      <w:pPr>
        <w:pStyle w:val="ListParagraph"/>
        <w:numPr>
          <w:ilvl w:val="0"/>
          <w:numId w:val="24"/>
        </w:numPr>
        <w:spacing w:after="0" w:line="240" w:lineRule="auto"/>
        <w:ind w:hanging="644"/>
        <w:textAlignment w:val="center"/>
        <w:rPr>
          <w:rFonts w:ascii="Calibri" w:eastAsia="Times New Roman" w:hAnsi="Calibri" w:cs="Times New Roman"/>
          <w:color w:val="000000"/>
          <w:lang w:eastAsia="en-AU"/>
        </w:rPr>
      </w:pPr>
      <w:r w:rsidRPr="008E090C">
        <w:rPr>
          <w:rFonts w:ascii="Calibri" w:eastAsia="Times New Roman" w:hAnsi="Calibri" w:cs="Times New Roman"/>
          <w:b/>
          <w:color w:val="000000"/>
          <w:lang w:eastAsia="en-AU"/>
        </w:rPr>
        <w:t>Typo</w:t>
      </w:r>
      <w:r w:rsidR="003E2882">
        <w:rPr>
          <w:rFonts w:ascii="Calibri" w:eastAsia="Times New Roman" w:hAnsi="Calibri" w:cs="Times New Roman"/>
          <w:b/>
          <w:color w:val="000000"/>
          <w:lang w:eastAsia="en-AU"/>
        </w:rPr>
        <w:t>graphical error</w:t>
      </w:r>
      <w:r>
        <w:rPr>
          <w:rFonts w:ascii="Calibri" w:eastAsia="Times New Roman" w:hAnsi="Calibri" w:cs="Times New Roman"/>
          <w:color w:val="000000"/>
          <w:lang w:eastAsia="en-AU"/>
        </w:rPr>
        <w:t xml:space="preserve"> - </w:t>
      </w:r>
      <w:r w:rsidR="005A0C66" w:rsidRPr="00A15F59">
        <w:rPr>
          <w:rFonts w:ascii="Calibri" w:eastAsia="Times New Roman" w:hAnsi="Calibri" w:cs="Times New Roman"/>
          <w:color w:val="000000"/>
          <w:lang w:eastAsia="en-AU"/>
        </w:rPr>
        <w:t>At 1.42 of the EM, remove “</w:t>
      </w:r>
      <w:r w:rsidR="003E2882">
        <w:rPr>
          <w:rFonts w:ascii="Calibri" w:eastAsia="Times New Roman" w:hAnsi="Calibri" w:cs="Times New Roman"/>
          <w:color w:val="000000"/>
          <w:lang w:eastAsia="en-AU"/>
        </w:rPr>
        <w:t xml:space="preserve">do </w:t>
      </w:r>
      <w:r w:rsidR="005A0C66" w:rsidRPr="00A15F59">
        <w:rPr>
          <w:rFonts w:ascii="Calibri" w:eastAsia="Times New Roman" w:hAnsi="Calibri" w:cs="Times New Roman"/>
          <w:color w:val="000000"/>
          <w:lang w:eastAsia="en-AU"/>
        </w:rPr>
        <w:t>not” from the following sentence:</w:t>
      </w:r>
    </w:p>
    <w:p w14:paraId="32E2D416" w14:textId="77777777" w:rsidR="005A0C66" w:rsidRPr="005A0C66" w:rsidRDefault="005A0C66" w:rsidP="005A0C66">
      <w:pPr>
        <w:pStyle w:val="ListParagraph"/>
        <w:rPr>
          <w:rFonts w:ascii="Calibri" w:eastAsia="Times New Roman" w:hAnsi="Calibri" w:cs="Times New Roman"/>
          <w:color w:val="000000"/>
          <w:lang w:eastAsia="en-AU"/>
        </w:rPr>
      </w:pPr>
    </w:p>
    <w:p w14:paraId="0FB45FC5" w14:textId="77777777" w:rsidR="00DE06DD" w:rsidRDefault="005A0C66" w:rsidP="00DE06DD">
      <w:pPr>
        <w:pStyle w:val="ListParagraph"/>
        <w:numPr>
          <w:ilvl w:val="1"/>
          <w:numId w:val="19"/>
        </w:numPr>
        <w:spacing w:after="0" w:line="240" w:lineRule="auto"/>
        <w:textAlignment w:val="center"/>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In general, consistent with the law in relation to supplies of things other than goods or real property to Australian consumers, businesses can confirm that an entity is not a consumer in relation to a supply by requesting that GST registered businesses provide their ABN and declare that they </w:t>
      </w:r>
      <w:r w:rsidRPr="003E2882">
        <w:rPr>
          <w:rFonts w:ascii="Calibri" w:eastAsia="Times New Roman" w:hAnsi="Calibri" w:cs="Times New Roman"/>
          <w:b/>
          <w:strike/>
          <w:color w:val="000000"/>
          <w:lang w:eastAsia="en-AU"/>
        </w:rPr>
        <w:t xml:space="preserve">do </w:t>
      </w:r>
      <w:r w:rsidRPr="00286878">
        <w:rPr>
          <w:rFonts w:ascii="Calibri" w:eastAsia="Times New Roman" w:hAnsi="Calibri" w:cs="Times New Roman"/>
          <w:b/>
          <w:strike/>
          <w:color w:val="000000"/>
          <w:lang w:eastAsia="en-AU"/>
        </w:rPr>
        <w:t>not</w:t>
      </w:r>
      <w:r>
        <w:rPr>
          <w:rFonts w:ascii="Calibri" w:eastAsia="Times New Roman" w:hAnsi="Calibri" w:cs="Times New Roman"/>
          <w:color w:val="000000"/>
          <w:lang w:eastAsia="en-AU"/>
        </w:rPr>
        <w:t xml:space="preserve"> acquire the goods solely or partly for the purposes of an ent</w:t>
      </w:r>
      <w:r w:rsidR="00E57C65">
        <w:rPr>
          <w:rFonts w:ascii="Calibri" w:eastAsia="Times New Roman" w:hAnsi="Calibri" w:cs="Times New Roman"/>
          <w:color w:val="000000"/>
          <w:lang w:eastAsia="en-AU"/>
        </w:rPr>
        <w:t>erprise they carry on in the IT</w:t>
      </w:r>
      <w:r w:rsidR="00DE06DD">
        <w:rPr>
          <w:rFonts w:ascii="Calibri" w:eastAsia="Times New Roman" w:hAnsi="Calibri" w:cs="Times New Roman"/>
          <w:color w:val="000000"/>
          <w:lang w:eastAsia="en-AU"/>
        </w:rPr>
        <w:t>Z.</w:t>
      </w:r>
    </w:p>
    <w:p w14:paraId="52DB4425" w14:textId="77777777" w:rsidR="00DE06DD" w:rsidRDefault="00DE06DD" w:rsidP="00DE06DD">
      <w:pPr>
        <w:pStyle w:val="ListParagraph"/>
        <w:spacing w:after="0" w:line="240" w:lineRule="auto"/>
        <w:ind w:left="1100"/>
        <w:textAlignment w:val="center"/>
        <w:rPr>
          <w:rFonts w:ascii="Calibri" w:eastAsia="Times New Roman" w:hAnsi="Calibri" w:cs="Times New Roman"/>
          <w:color w:val="000000"/>
          <w:lang w:eastAsia="en-AU"/>
        </w:rPr>
      </w:pPr>
    </w:p>
    <w:p w14:paraId="4737C1FC" w14:textId="3DFAF7E2" w:rsidR="00E049B3" w:rsidRPr="00DE06DD" w:rsidRDefault="00C36F52" w:rsidP="00DE06DD">
      <w:pPr>
        <w:pStyle w:val="ListParagraph"/>
        <w:numPr>
          <w:ilvl w:val="0"/>
          <w:numId w:val="24"/>
        </w:numPr>
        <w:spacing w:after="0" w:line="240" w:lineRule="auto"/>
        <w:ind w:hanging="644"/>
        <w:textAlignment w:val="center"/>
        <w:rPr>
          <w:rFonts w:ascii="Calibri" w:eastAsia="Times New Roman" w:hAnsi="Calibri" w:cs="Times New Roman"/>
          <w:color w:val="000000"/>
          <w:lang w:eastAsia="en-AU"/>
        </w:rPr>
      </w:pPr>
      <w:r w:rsidRPr="00DE06DD">
        <w:rPr>
          <w:rFonts w:ascii="Calibri" w:eastAsia="Times New Roman" w:hAnsi="Calibri" w:cs="Times New Roman"/>
          <w:b/>
          <w:lang w:eastAsia="en-AU"/>
        </w:rPr>
        <w:t xml:space="preserve">Consolidated </w:t>
      </w:r>
      <w:r w:rsidRPr="00832A80">
        <w:rPr>
          <w:rFonts w:ascii="Calibri" w:eastAsia="Times New Roman" w:hAnsi="Calibri" w:cs="Times New Roman"/>
          <w:b/>
          <w:lang w:eastAsia="en-AU"/>
        </w:rPr>
        <w:t>version of existing law and LVIG ED amendments</w:t>
      </w:r>
      <w:r w:rsidR="00164367" w:rsidRPr="00832A80">
        <w:rPr>
          <w:rFonts w:ascii="Calibri" w:eastAsia="Times New Roman" w:hAnsi="Calibri" w:cs="Times New Roman"/>
          <w:b/>
          <w:lang w:eastAsia="en-AU"/>
        </w:rPr>
        <w:t xml:space="preserve"> - </w:t>
      </w:r>
      <w:r w:rsidR="003D47EF" w:rsidRPr="00832A80">
        <w:rPr>
          <w:rFonts w:ascii="Calibri" w:hAnsi="Calibri"/>
        </w:rPr>
        <w:t>As discussed at the meeting, we would appreciate if a consolidated version of the existing GST law and the LVIG Exposure Draft (ED) amendments could be provided to us at the next instance to allow a more holistic review.  This will enable us to better identify any integration issues with the existing cross-border provisions, for example the interactions between this ED with the “electronic distribution platform” (EDP) rules in the recent imported intangibles ED.  For this reason, we have not provided many specific comments on how these rules are likely to work in conjunction with the EDP provisions, however we do envisage that there will be both practical complexities, and potential anomalies that may exist in the drafting, given that the same rules are seeking to cover both imported intangibles and low value imported goods</w:t>
      </w:r>
      <w:r w:rsidRPr="00832A80">
        <w:rPr>
          <w:rFonts w:ascii="Calibri" w:eastAsia="Times New Roman" w:hAnsi="Calibri" w:cs="Times New Roman"/>
          <w:lang w:eastAsia="en-AU"/>
        </w:rPr>
        <w:t>.</w:t>
      </w:r>
    </w:p>
    <w:sectPr w:rsidR="00E049B3" w:rsidRPr="00DE06DD" w:rsidSect="006069EA">
      <w:headerReference w:type="default" r:id="rId15"/>
      <w:footerReference w:type="default" r:id="rId16"/>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234CA" w14:textId="77777777" w:rsidR="0012198E" w:rsidRDefault="0012198E" w:rsidP="005D4E3C">
      <w:pPr>
        <w:spacing w:after="0" w:line="240" w:lineRule="auto"/>
      </w:pPr>
      <w:r>
        <w:separator/>
      </w:r>
    </w:p>
  </w:endnote>
  <w:endnote w:type="continuationSeparator" w:id="0">
    <w:p w14:paraId="6ACB9DF7" w14:textId="77777777" w:rsidR="0012198E" w:rsidRDefault="0012198E" w:rsidP="005D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580540"/>
      <w:docPartObj>
        <w:docPartGallery w:val="Page Numbers (Bottom of Page)"/>
        <w:docPartUnique/>
      </w:docPartObj>
    </w:sdtPr>
    <w:sdtEndPr>
      <w:rPr>
        <w:noProof/>
      </w:rPr>
    </w:sdtEndPr>
    <w:sdtContent>
      <w:p w14:paraId="293DAE6E" w14:textId="088974DC" w:rsidR="006069EA" w:rsidRDefault="006069EA">
        <w:pPr>
          <w:pStyle w:val="Footer"/>
          <w:jc w:val="right"/>
        </w:pPr>
        <w:r>
          <w:fldChar w:fldCharType="begin"/>
        </w:r>
        <w:r>
          <w:instrText xml:space="preserve"> PAGE   \* MERGEFORMAT </w:instrText>
        </w:r>
        <w:r>
          <w:fldChar w:fldCharType="separate"/>
        </w:r>
        <w:r w:rsidR="000834C3">
          <w:rPr>
            <w:noProof/>
          </w:rPr>
          <w:t>1</w:t>
        </w:r>
        <w:r>
          <w:rPr>
            <w:noProof/>
          </w:rPr>
          <w:fldChar w:fldCharType="end"/>
        </w:r>
      </w:p>
    </w:sdtContent>
  </w:sdt>
  <w:p w14:paraId="46EFCB5A" w14:textId="77777777" w:rsidR="006069EA" w:rsidRDefault="00606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A313C" w14:textId="77777777" w:rsidR="0012198E" w:rsidRDefault="0012198E" w:rsidP="005D4E3C">
      <w:pPr>
        <w:spacing w:after="0" w:line="240" w:lineRule="auto"/>
      </w:pPr>
      <w:r>
        <w:separator/>
      </w:r>
    </w:p>
  </w:footnote>
  <w:footnote w:type="continuationSeparator" w:id="0">
    <w:p w14:paraId="4FB5F3F0" w14:textId="77777777" w:rsidR="0012198E" w:rsidRDefault="0012198E" w:rsidP="005D4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E8445" w14:textId="34852056" w:rsidR="000E51D6" w:rsidRDefault="000E51D6" w:rsidP="005936D8">
    <w:pPr>
      <w:pStyle w:val="Header"/>
      <w:jc w:val="right"/>
    </w:pPr>
    <w:r>
      <w:t>Chartered Accountants Australia and New Zealand</w:t>
    </w:r>
  </w:p>
  <w:p w14:paraId="2ED9E238" w14:textId="45974C0A" w:rsidR="005936D8" w:rsidRDefault="005936D8" w:rsidP="005936D8">
    <w:pPr>
      <w:pStyle w:val="Header"/>
      <w:jc w:val="right"/>
    </w:pPr>
    <w:r>
      <w:t>Friday 2 December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7AB"/>
    <w:multiLevelType w:val="hybridMultilevel"/>
    <w:tmpl w:val="1F8A5A98"/>
    <w:lvl w:ilvl="0" w:tplc="14FEC2EE">
      <w:start w:val="2"/>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13C348E1"/>
    <w:multiLevelType w:val="hybridMultilevel"/>
    <w:tmpl w:val="DC821F36"/>
    <w:lvl w:ilvl="0" w:tplc="AF803A4C">
      <w:start w:val="1"/>
      <w:numFmt w:val="lowerLetter"/>
      <w:lvlText w:val="(%1)"/>
      <w:lvlJc w:val="left"/>
      <w:pPr>
        <w:ind w:left="1080" w:hanging="360"/>
      </w:pPr>
      <w:rPr>
        <w:rFonts w:ascii="Calibri" w:eastAsia="Times New Roman" w:hAnsi="Calibri" w:cs="Times New Roman" w:hint="default"/>
        <w:color w:val="00000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3FC6E55"/>
    <w:multiLevelType w:val="multilevel"/>
    <w:tmpl w:val="2D80E746"/>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
    <w:nsid w:val="1EC77C3E"/>
    <w:multiLevelType w:val="hybridMultilevel"/>
    <w:tmpl w:val="19A4067E"/>
    <w:lvl w:ilvl="0" w:tplc="5EA8AEA0">
      <w:start w:val="5"/>
      <w:numFmt w:val="decimal"/>
      <w:lvlText w:val="%1"/>
      <w:lvlJc w:val="left"/>
      <w:pPr>
        <w:ind w:left="375" w:hanging="37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22F60138"/>
    <w:multiLevelType w:val="multilevel"/>
    <w:tmpl w:val="EDAA20F6"/>
    <w:lvl w:ilvl="0">
      <w:start w:val="1"/>
      <w:numFmt w:val="decimal"/>
      <w:lvlText w:val="%1"/>
      <w:lvlJc w:val="left"/>
      <w:pPr>
        <w:ind w:left="384" w:hanging="384"/>
      </w:pPr>
      <w:rPr>
        <w:rFonts w:hint="default"/>
      </w:rPr>
    </w:lvl>
    <w:lvl w:ilvl="1">
      <w:start w:val="42"/>
      <w:numFmt w:val="decimal"/>
      <w:lvlText w:val="%1.%2"/>
      <w:lvlJc w:val="left"/>
      <w:pPr>
        <w:ind w:left="1100" w:hanging="384"/>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5">
    <w:nsid w:val="2D543255"/>
    <w:multiLevelType w:val="hybridMultilevel"/>
    <w:tmpl w:val="2DDA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3F282F78"/>
    <w:multiLevelType w:val="multilevel"/>
    <w:tmpl w:val="23B4089A"/>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7">
    <w:nsid w:val="3FB97008"/>
    <w:multiLevelType w:val="hybridMultilevel"/>
    <w:tmpl w:val="A284486C"/>
    <w:lvl w:ilvl="0" w:tplc="F4A03744">
      <w:start w:val="1"/>
      <w:numFmt w:val="lowerLetter"/>
      <w:lvlText w:val="(%1)"/>
      <w:lvlJc w:val="left"/>
      <w:pPr>
        <w:ind w:left="1085" w:hanging="360"/>
      </w:pPr>
      <w:rPr>
        <w:rFonts w:hint="default"/>
        <w:b/>
      </w:rPr>
    </w:lvl>
    <w:lvl w:ilvl="1" w:tplc="0C090019" w:tentative="1">
      <w:start w:val="1"/>
      <w:numFmt w:val="lowerLetter"/>
      <w:lvlText w:val="%2."/>
      <w:lvlJc w:val="left"/>
      <w:pPr>
        <w:ind w:left="1805" w:hanging="360"/>
      </w:pPr>
    </w:lvl>
    <w:lvl w:ilvl="2" w:tplc="0C09001B" w:tentative="1">
      <w:start w:val="1"/>
      <w:numFmt w:val="lowerRoman"/>
      <w:lvlText w:val="%3."/>
      <w:lvlJc w:val="right"/>
      <w:pPr>
        <w:ind w:left="2525" w:hanging="180"/>
      </w:pPr>
    </w:lvl>
    <w:lvl w:ilvl="3" w:tplc="0C09000F" w:tentative="1">
      <w:start w:val="1"/>
      <w:numFmt w:val="decimal"/>
      <w:lvlText w:val="%4."/>
      <w:lvlJc w:val="left"/>
      <w:pPr>
        <w:ind w:left="3245" w:hanging="360"/>
      </w:pPr>
    </w:lvl>
    <w:lvl w:ilvl="4" w:tplc="0C090019" w:tentative="1">
      <w:start w:val="1"/>
      <w:numFmt w:val="lowerLetter"/>
      <w:lvlText w:val="%5."/>
      <w:lvlJc w:val="left"/>
      <w:pPr>
        <w:ind w:left="3965" w:hanging="360"/>
      </w:pPr>
    </w:lvl>
    <w:lvl w:ilvl="5" w:tplc="0C09001B" w:tentative="1">
      <w:start w:val="1"/>
      <w:numFmt w:val="lowerRoman"/>
      <w:lvlText w:val="%6."/>
      <w:lvlJc w:val="right"/>
      <w:pPr>
        <w:ind w:left="4685" w:hanging="180"/>
      </w:pPr>
    </w:lvl>
    <w:lvl w:ilvl="6" w:tplc="0C09000F" w:tentative="1">
      <w:start w:val="1"/>
      <w:numFmt w:val="decimal"/>
      <w:lvlText w:val="%7."/>
      <w:lvlJc w:val="left"/>
      <w:pPr>
        <w:ind w:left="5405" w:hanging="360"/>
      </w:pPr>
    </w:lvl>
    <w:lvl w:ilvl="7" w:tplc="0C090019" w:tentative="1">
      <w:start w:val="1"/>
      <w:numFmt w:val="lowerLetter"/>
      <w:lvlText w:val="%8."/>
      <w:lvlJc w:val="left"/>
      <w:pPr>
        <w:ind w:left="6125" w:hanging="360"/>
      </w:pPr>
    </w:lvl>
    <w:lvl w:ilvl="8" w:tplc="0C09001B" w:tentative="1">
      <w:start w:val="1"/>
      <w:numFmt w:val="lowerRoman"/>
      <w:lvlText w:val="%9."/>
      <w:lvlJc w:val="right"/>
      <w:pPr>
        <w:ind w:left="6845" w:hanging="180"/>
      </w:pPr>
    </w:lvl>
  </w:abstractNum>
  <w:abstractNum w:abstractNumId="8">
    <w:nsid w:val="43FC615F"/>
    <w:multiLevelType w:val="hybridMultilevel"/>
    <w:tmpl w:val="27D229FC"/>
    <w:lvl w:ilvl="0" w:tplc="21F054C2">
      <w:start w:val="8"/>
      <w:numFmt w:val="decimal"/>
      <w:lvlText w:val="%1"/>
      <w:lvlJc w:val="left"/>
      <w:pPr>
        <w:ind w:left="735" w:hanging="360"/>
      </w:pPr>
      <w:rPr>
        <w:rFonts w:hint="default"/>
        <w:b/>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9">
    <w:nsid w:val="4FC621A9"/>
    <w:multiLevelType w:val="hybridMultilevel"/>
    <w:tmpl w:val="4576525E"/>
    <w:lvl w:ilvl="0" w:tplc="48AEBA2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51671CBA"/>
    <w:multiLevelType w:val="multilevel"/>
    <w:tmpl w:val="11AAEABA"/>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5"/>
      <w:numFmt w:val="decimal"/>
      <w:lvlText w:val="%4"/>
      <w:lvlJc w:val="left"/>
      <w:pPr>
        <w:ind w:left="2535" w:hanging="375"/>
      </w:pPr>
      <w:rPr>
        <w:rFonts w:hint="default"/>
        <w:b/>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5D762F5B"/>
    <w:multiLevelType w:val="multilevel"/>
    <w:tmpl w:val="F44002C6"/>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2">
    <w:nsid w:val="608D40CB"/>
    <w:multiLevelType w:val="hybridMultilevel"/>
    <w:tmpl w:val="767A821C"/>
    <w:lvl w:ilvl="0" w:tplc="F86CDB30">
      <w:start w:val="5"/>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664D53F6"/>
    <w:multiLevelType w:val="multilevel"/>
    <w:tmpl w:val="D5023EDE"/>
    <w:lvl w:ilvl="0">
      <w:start w:val="1"/>
      <w:numFmt w:val="decimal"/>
      <w:lvlText w:val="%1"/>
      <w:lvlJc w:val="left"/>
      <w:pPr>
        <w:tabs>
          <w:tab w:val="num" w:pos="340"/>
        </w:tabs>
        <w:ind w:left="340" w:hanging="340"/>
      </w:pPr>
      <w:rPr>
        <w:rFonts w:ascii="9999999" w:hAnsi="9999999" w:hint="default"/>
        <w:b w:val="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4">
    <w:nsid w:val="707347E5"/>
    <w:multiLevelType w:val="multilevel"/>
    <w:tmpl w:val="3D74F210"/>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num w:numId="1">
    <w:abstractNumId w:val="10"/>
    <w:lvlOverride w:ilvl="1">
      <w:startOverride w:val="1"/>
    </w:lvlOverride>
  </w:num>
  <w:num w:numId="2">
    <w:abstractNumId w:val="10"/>
  </w:num>
  <w:num w:numId="3">
    <w:abstractNumId w:val="10"/>
    <w:lvlOverride w:ilvl="1">
      <w:startOverride w:val="3"/>
    </w:lvlOverride>
    <w:lvlOverride w:ilvl="2"/>
  </w:num>
  <w:num w:numId="4">
    <w:abstractNumId w:val="10"/>
    <w:lvlOverride w:ilvl="1">
      <w:startOverride w:val="5"/>
    </w:lvlOverride>
    <w:lvlOverride w:ilvl="2"/>
  </w:num>
  <w:num w:numId="5">
    <w:abstractNumId w:val="10"/>
    <w:lvlOverride w:ilvl="1">
      <w:startOverride w:val="6"/>
    </w:lvlOverride>
    <w:lvlOverride w:ilvl="2"/>
  </w:num>
  <w:num w:numId="6">
    <w:abstractNumId w:val="10"/>
    <w:lvlOverride w:ilvl="1">
      <w:startOverride w:val="7"/>
    </w:lvlOverride>
    <w:lvlOverride w:ilvl="2"/>
  </w:num>
  <w:num w:numId="7">
    <w:abstractNumId w:val="10"/>
    <w:lvlOverride w:ilvl="1">
      <w:startOverride w:val="8"/>
    </w:lvlOverride>
    <w:lvlOverride w:ilvl="2"/>
  </w:num>
  <w:num w:numId="8">
    <w:abstractNumId w:val="10"/>
    <w:lvlOverride w:ilvl="1">
      <w:startOverride w:val="9"/>
    </w:lvlOverride>
    <w:lvlOverride w:ilvl="2"/>
  </w:num>
  <w:num w:numId="9">
    <w:abstractNumId w:val="10"/>
    <w:lvlOverride w:ilvl="1">
      <w:startOverride w:val="10"/>
    </w:lvlOverride>
    <w:lvlOverride w:ilvl="2"/>
  </w:num>
  <w:num w:numId="10">
    <w:abstractNumId w:val="10"/>
    <w:lvlOverride w:ilvl="1">
      <w:startOverride w:val="11"/>
    </w:lvlOverride>
    <w:lvlOverride w:ilvl="2"/>
  </w:num>
  <w:num w:numId="11">
    <w:abstractNumId w:val="10"/>
    <w:lvlOverride w:ilvl="1">
      <w:startOverride w:val="12"/>
    </w:lvlOverride>
    <w:lvlOverride w:ilvl="2"/>
  </w:num>
  <w:num w:numId="12">
    <w:abstractNumId w:val="10"/>
    <w:lvlOverride w:ilvl="1">
      <w:startOverride w:val="13"/>
    </w:lvlOverride>
    <w:lvlOverride w:ilvl="2"/>
  </w:num>
  <w:num w:numId="13">
    <w:abstractNumId w:val="10"/>
    <w:lvlOverride w:ilvl="1">
      <w:startOverride w:val="14"/>
    </w:lvlOverride>
    <w:lvlOverride w:ilvl="2"/>
  </w:num>
  <w:num w:numId="14">
    <w:abstractNumId w:val="13"/>
  </w:num>
  <w:num w:numId="15">
    <w:abstractNumId w:val="6"/>
  </w:num>
  <w:num w:numId="16">
    <w:abstractNumId w:val="11"/>
  </w:num>
  <w:num w:numId="17">
    <w:abstractNumId w:val="14"/>
  </w:num>
  <w:num w:numId="18">
    <w:abstractNumId w:val="2"/>
  </w:num>
  <w:num w:numId="19">
    <w:abstractNumId w:val="4"/>
  </w:num>
  <w:num w:numId="20">
    <w:abstractNumId w:val="1"/>
  </w:num>
  <w:num w:numId="21">
    <w:abstractNumId w:val="7"/>
  </w:num>
  <w:num w:numId="22">
    <w:abstractNumId w:val="3"/>
  </w:num>
  <w:num w:numId="23">
    <w:abstractNumId w:val="8"/>
  </w:num>
  <w:num w:numId="24">
    <w:abstractNumId w:val="12"/>
  </w:num>
  <w:num w:numId="25">
    <w:abstractNumId w:val="0"/>
  </w:num>
  <w:num w:numId="26">
    <w:abstractNumId w:val="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B23"/>
    <w:rsid w:val="00024E21"/>
    <w:rsid w:val="00026CE1"/>
    <w:rsid w:val="00031882"/>
    <w:rsid w:val="000350E1"/>
    <w:rsid w:val="000834C3"/>
    <w:rsid w:val="000836D2"/>
    <w:rsid w:val="000B5B23"/>
    <w:rsid w:val="000C453B"/>
    <w:rsid w:val="000D11D9"/>
    <w:rsid w:val="000E51D6"/>
    <w:rsid w:val="000E6861"/>
    <w:rsid w:val="000F362A"/>
    <w:rsid w:val="000F4D27"/>
    <w:rsid w:val="00110C8D"/>
    <w:rsid w:val="00117537"/>
    <w:rsid w:val="0011786E"/>
    <w:rsid w:val="0012198E"/>
    <w:rsid w:val="00134753"/>
    <w:rsid w:val="00154493"/>
    <w:rsid w:val="00164367"/>
    <w:rsid w:val="00172832"/>
    <w:rsid w:val="001D1F3E"/>
    <w:rsid w:val="0027036F"/>
    <w:rsid w:val="00286878"/>
    <w:rsid w:val="002B6C3F"/>
    <w:rsid w:val="002D0E2C"/>
    <w:rsid w:val="002E3FF1"/>
    <w:rsid w:val="00300B9D"/>
    <w:rsid w:val="00327159"/>
    <w:rsid w:val="0033523A"/>
    <w:rsid w:val="00346C59"/>
    <w:rsid w:val="00350081"/>
    <w:rsid w:val="0036188E"/>
    <w:rsid w:val="00373325"/>
    <w:rsid w:val="003947C3"/>
    <w:rsid w:val="003B7422"/>
    <w:rsid w:val="003D47EF"/>
    <w:rsid w:val="003E2882"/>
    <w:rsid w:val="004112CD"/>
    <w:rsid w:val="004429D1"/>
    <w:rsid w:val="004677B8"/>
    <w:rsid w:val="00477C2A"/>
    <w:rsid w:val="00485263"/>
    <w:rsid w:val="00490ED6"/>
    <w:rsid w:val="0049171A"/>
    <w:rsid w:val="004E1402"/>
    <w:rsid w:val="00515796"/>
    <w:rsid w:val="0054200B"/>
    <w:rsid w:val="00556909"/>
    <w:rsid w:val="005936D8"/>
    <w:rsid w:val="005A0C66"/>
    <w:rsid w:val="005D4E3C"/>
    <w:rsid w:val="005F3904"/>
    <w:rsid w:val="00600EC8"/>
    <w:rsid w:val="006040B4"/>
    <w:rsid w:val="006069EA"/>
    <w:rsid w:val="00632441"/>
    <w:rsid w:val="0063258E"/>
    <w:rsid w:val="006B401F"/>
    <w:rsid w:val="006F119B"/>
    <w:rsid w:val="006F749B"/>
    <w:rsid w:val="00701769"/>
    <w:rsid w:val="00724C7E"/>
    <w:rsid w:val="007379B8"/>
    <w:rsid w:val="00750C6F"/>
    <w:rsid w:val="007644F6"/>
    <w:rsid w:val="007D4090"/>
    <w:rsid w:val="007F55DB"/>
    <w:rsid w:val="00832A80"/>
    <w:rsid w:val="008369D4"/>
    <w:rsid w:val="008611AC"/>
    <w:rsid w:val="00894C0A"/>
    <w:rsid w:val="008E090C"/>
    <w:rsid w:val="008E0B52"/>
    <w:rsid w:val="009125F0"/>
    <w:rsid w:val="00913A23"/>
    <w:rsid w:val="009164CD"/>
    <w:rsid w:val="009A7C3A"/>
    <w:rsid w:val="009C636E"/>
    <w:rsid w:val="009D68F0"/>
    <w:rsid w:val="009F655E"/>
    <w:rsid w:val="00A15F59"/>
    <w:rsid w:val="00A77833"/>
    <w:rsid w:val="00A81E54"/>
    <w:rsid w:val="00B157F6"/>
    <w:rsid w:val="00BA7087"/>
    <w:rsid w:val="00BB1F13"/>
    <w:rsid w:val="00BB70E2"/>
    <w:rsid w:val="00BD3A82"/>
    <w:rsid w:val="00C21F36"/>
    <w:rsid w:val="00C30B82"/>
    <w:rsid w:val="00C36F52"/>
    <w:rsid w:val="00C5416E"/>
    <w:rsid w:val="00C75FA6"/>
    <w:rsid w:val="00CA71AE"/>
    <w:rsid w:val="00CF55A5"/>
    <w:rsid w:val="00D319EF"/>
    <w:rsid w:val="00D6264E"/>
    <w:rsid w:val="00D8548F"/>
    <w:rsid w:val="00DA3C02"/>
    <w:rsid w:val="00DA4A0D"/>
    <w:rsid w:val="00DA629C"/>
    <w:rsid w:val="00DD1517"/>
    <w:rsid w:val="00DD32C2"/>
    <w:rsid w:val="00DE06DD"/>
    <w:rsid w:val="00E01450"/>
    <w:rsid w:val="00E049B3"/>
    <w:rsid w:val="00E115A0"/>
    <w:rsid w:val="00E361DD"/>
    <w:rsid w:val="00E501B8"/>
    <w:rsid w:val="00E57C65"/>
    <w:rsid w:val="00E6562C"/>
    <w:rsid w:val="00EB1FE7"/>
    <w:rsid w:val="00F04C3D"/>
    <w:rsid w:val="00F75A71"/>
    <w:rsid w:val="00F801BB"/>
    <w:rsid w:val="00F93EEB"/>
    <w:rsid w:val="00FE24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5B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B5B23"/>
    <w:rPr>
      <w:color w:val="0000FF"/>
      <w:u w:val="single"/>
    </w:rPr>
  </w:style>
  <w:style w:type="paragraph" w:styleId="ListParagraph">
    <w:name w:val="List Paragraph"/>
    <w:basedOn w:val="Normal"/>
    <w:uiPriority w:val="34"/>
    <w:qFormat/>
    <w:rsid w:val="000B5B23"/>
    <w:pPr>
      <w:ind w:left="720"/>
      <w:contextualSpacing/>
    </w:pPr>
  </w:style>
  <w:style w:type="paragraph" w:styleId="BalloonText">
    <w:name w:val="Balloon Text"/>
    <w:basedOn w:val="Normal"/>
    <w:link w:val="BalloonTextChar"/>
    <w:uiPriority w:val="99"/>
    <w:semiHidden/>
    <w:unhideWhenUsed/>
    <w:rsid w:val="009D6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8F0"/>
    <w:rPr>
      <w:rFonts w:ascii="Segoe UI" w:hAnsi="Segoe UI" w:cs="Segoe UI"/>
      <w:sz w:val="18"/>
      <w:szCs w:val="18"/>
    </w:rPr>
  </w:style>
  <w:style w:type="character" w:styleId="CommentReference">
    <w:name w:val="annotation reference"/>
    <w:basedOn w:val="DefaultParagraphFont"/>
    <w:uiPriority w:val="99"/>
    <w:semiHidden/>
    <w:unhideWhenUsed/>
    <w:rsid w:val="00EB1FE7"/>
    <w:rPr>
      <w:sz w:val="16"/>
      <w:szCs w:val="16"/>
    </w:rPr>
  </w:style>
  <w:style w:type="paragraph" w:styleId="CommentText">
    <w:name w:val="annotation text"/>
    <w:basedOn w:val="Normal"/>
    <w:link w:val="CommentTextChar"/>
    <w:uiPriority w:val="99"/>
    <w:semiHidden/>
    <w:unhideWhenUsed/>
    <w:rsid w:val="00EB1FE7"/>
    <w:pPr>
      <w:spacing w:line="240" w:lineRule="auto"/>
    </w:pPr>
    <w:rPr>
      <w:sz w:val="20"/>
      <w:szCs w:val="20"/>
    </w:rPr>
  </w:style>
  <w:style w:type="character" w:customStyle="1" w:styleId="CommentTextChar">
    <w:name w:val="Comment Text Char"/>
    <w:basedOn w:val="DefaultParagraphFont"/>
    <w:link w:val="CommentText"/>
    <w:uiPriority w:val="99"/>
    <w:semiHidden/>
    <w:rsid w:val="00EB1FE7"/>
    <w:rPr>
      <w:sz w:val="20"/>
      <w:szCs w:val="20"/>
    </w:rPr>
  </w:style>
  <w:style w:type="paragraph" w:styleId="CommentSubject">
    <w:name w:val="annotation subject"/>
    <w:basedOn w:val="CommentText"/>
    <w:next w:val="CommentText"/>
    <w:link w:val="CommentSubjectChar"/>
    <w:uiPriority w:val="99"/>
    <w:semiHidden/>
    <w:unhideWhenUsed/>
    <w:rsid w:val="00EB1FE7"/>
    <w:rPr>
      <w:b/>
      <w:bCs/>
    </w:rPr>
  </w:style>
  <w:style w:type="character" w:customStyle="1" w:styleId="CommentSubjectChar">
    <w:name w:val="Comment Subject Char"/>
    <w:basedOn w:val="CommentTextChar"/>
    <w:link w:val="CommentSubject"/>
    <w:uiPriority w:val="99"/>
    <w:semiHidden/>
    <w:rsid w:val="00EB1FE7"/>
    <w:rPr>
      <w:b/>
      <w:bCs/>
      <w:sz w:val="20"/>
      <w:szCs w:val="20"/>
    </w:rPr>
  </w:style>
  <w:style w:type="paragraph" w:styleId="Header">
    <w:name w:val="header"/>
    <w:basedOn w:val="Normal"/>
    <w:link w:val="HeaderChar"/>
    <w:uiPriority w:val="99"/>
    <w:unhideWhenUsed/>
    <w:rsid w:val="005D4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E3C"/>
  </w:style>
  <w:style w:type="paragraph" w:styleId="Footer">
    <w:name w:val="footer"/>
    <w:basedOn w:val="Normal"/>
    <w:link w:val="FooterChar"/>
    <w:uiPriority w:val="99"/>
    <w:unhideWhenUsed/>
    <w:rsid w:val="005D4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5B2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B5B23"/>
    <w:rPr>
      <w:color w:val="0000FF"/>
      <w:u w:val="single"/>
    </w:rPr>
  </w:style>
  <w:style w:type="paragraph" w:styleId="ListParagraph">
    <w:name w:val="List Paragraph"/>
    <w:basedOn w:val="Normal"/>
    <w:uiPriority w:val="34"/>
    <w:qFormat/>
    <w:rsid w:val="000B5B23"/>
    <w:pPr>
      <w:ind w:left="720"/>
      <w:contextualSpacing/>
    </w:pPr>
  </w:style>
  <w:style w:type="paragraph" w:styleId="BalloonText">
    <w:name w:val="Balloon Text"/>
    <w:basedOn w:val="Normal"/>
    <w:link w:val="BalloonTextChar"/>
    <w:uiPriority w:val="99"/>
    <w:semiHidden/>
    <w:unhideWhenUsed/>
    <w:rsid w:val="009D6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8F0"/>
    <w:rPr>
      <w:rFonts w:ascii="Segoe UI" w:hAnsi="Segoe UI" w:cs="Segoe UI"/>
      <w:sz w:val="18"/>
      <w:szCs w:val="18"/>
    </w:rPr>
  </w:style>
  <w:style w:type="character" w:styleId="CommentReference">
    <w:name w:val="annotation reference"/>
    <w:basedOn w:val="DefaultParagraphFont"/>
    <w:uiPriority w:val="99"/>
    <w:semiHidden/>
    <w:unhideWhenUsed/>
    <w:rsid w:val="00EB1FE7"/>
    <w:rPr>
      <w:sz w:val="16"/>
      <w:szCs w:val="16"/>
    </w:rPr>
  </w:style>
  <w:style w:type="paragraph" w:styleId="CommentText">
    <w:name w:val="annotation text"/>
    <w:basedOn w:val="Normal"/>
    <w:link w:val="CommentTextChar"/>
    <w:uiPriority w:val="99"/>
    <w:semiHidden/>
    <w:unhideWhenUsed/>
    <w:rsid w:val="00EB1FE7"/>
    <w:pPr>
      <w:spacing w:line="240" w:lineRule="auto"/>
    </w:pPr>
    <w:rPr>
      <w:sz w:val="20"/>
      <w:szCs w:val="20"/>
    </w:rPr>
  </w:style>
  <w:style w:type="character" w:customStyle="1" w:styleId="CommentTextChar">
    <w:name w:val="Comment Text Char"/>
    <w:basedOn w:val="DefaultParagraphFont"/>
    <w:link w:val="CommentText"/>
    <w:uiPriority w:val="99"/>
    <w:semiHidden/>
    <w:rsid w:val="00EB1FE7"/>
    <w:rPr>
      <w:sz w:val="20"/>
      <w:szCs w:val="20"/>
    </w:rPr>
  </w:style>
  <w:style w:type="paragraph" w:styleId="CommentSubject">
    <w:name w:val="annotation subject"/>
    <w:basedOn w:val="CommentText"/>
    <w:next w:val="CommentText"/>
    <w:link w:val="CommentSubjectChar"/>
    <w:uiPriority w:val="99"/>
    <w:semiHidden/>
    <w:unhideWhenUsed/>
    <w:rsid w:val="00EB1FE7"/>
    <w:rPr>
      <w:b/>
      <w:bCs/>
    </w:rPr>
  </w:style>
  <w:style w:type="character" w:customStyle="1" w:styleId="CommentSubjectChar">
    <w:name w:val="Comment Subject Char"/>
    <w:basedOn w:val="CommentTextChar"/>
    <w:link w:val="CommentSubject"/>
    <w:uiPriority w:val="99"/>
    <w:semiHidden/>
    <w:rsid w:val="00EB1FE7"/>
    <w:rPr>
      <w:b/>
      <w:bCs/>
      <w:sz w:val="20"/>
      <w:szCs w:val="20"/>
    </w:rPr>
  </w:style>
  <w:style w:type="paragraph" w:styleId="Header">
    <w:name w:val="header"/>
    <w:basedOn w:val="Normal"/>
    <w:link w:val="HeaderChar"/>
    <w:uiPriority w:val="99"/>
    <w:unhideWhenUsed/>
    <w:rsid w:val="005D4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E3C"/>
  </w:style>
  <w:style w:type="paragraph" w:styleId="Footer">
    <w:name w:val="footer"/>
    <w:basedOn w:val="Normal"/>
    <w:link w:val="FooterChar"/>
    <w:uiPriority w:val="99"/>
    <w:unhideWhenUsed/>
    <w:rsid w:val="005D4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894503">
      <w:bodyDiv w:val="1"/>
      <w:marLeft w:val="0"/>
      <w:marRight w:val="0"/>
      <w:marTop w:val="0"/>
      <w:marBottom w:val="0"/>
      <w:divBdr>
        <w:top w:val="none" w:sz="0" w:space="0" w:color="auto"/>
        <w:left w:val="none" w:sz="0" w:space="0" w:color="auto"/>
        <w:bottom w:val="none" w:sz="0" w:space="0" w:color="auto"/>
        <w:right w:val="none" w:sz="0" w:space="0" w:color="auto"/>
      </w:divBdr>
      <w:divsChild>
        <w:div w:id="125706746">
          <w:marLeft w:val="0"/>
          <w:marRight w:val="0"/>
          <w:marTop w:val="0"/>
          <w:marBottom w:val="0"/>
          <w:divBdr>
            <w:top w:val="none" w:sz="0" w:space="0" w:color="auto"/>
            <w:left w:val="none" w:sz="0" w:space="0" w:color="auto"/>
            <w:bottom w:val="none" w:sz="0" w:space="0" w:color="auto"/>
            <w:right w:val="none" w:sz="0" w:space="0" w:color="auto"/>
          </w:divBdr>
          <w:divsChild>
            <w:div w:id="1027373401">
              <w:marLeft w:val="0"/>
              <w:marRight w:val="0"/>
              <w:marTop w:val="0"/>
              <w:marBottom w:val="0"/>
              <w:divBdr>
                <w:top w:val="none" w:sz="0" w:space="0" w:color="auto"/>
                <w:left w:val="none" w:sz="0" w:space="0" w:color="auto"/>
                <w:bottom w:val="none" w:sz="0" w:space="0" w:color="auto"/>
                <w:right w:val="none" w:sz="0" w:space="0" w:color="auto"/>
              </w:divBdr>
              <w:divsChild>
                <w:div w:id="1440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75912">
      <w:bodyDiv w:val="1"/>
      <w:marLeft w:val="0"/>
      <w:marRight w:val="0"/>
      <w:marTop w:val="0"/>
      <w:marBottom w:val="0"/>
      <w:divBdr>
        <w:top w:val="none" w:sz="0" w:space="0" w:color="auto"/>
        <w:left w:val="none" w:sz="0" w:space="0" w:color="auto"/>
        <w:bottom w:val="none" w:sz="0" w:space="0" w:color="auto"/>
        <w:right w:val="none" w:sz="0" w:space="0" w:color="auto"/>
      </w:divBdr>
    </w:div>
    <w:div w:id="1474520739">
      <w:bodyDiv w:val="1"/>
      <w:marLeft w:val="0"/>
      <w:marRight w:val="0"/>
      <w:marTop w:val="0"/>
      <w:marBottom w:val="0"/>
      <w:divBdr>
        <w:top w:val="none" w:sz="0" w:space="0" w:color="auto"/>
        <w:left w:val="none" w:sz="0" w:space="0" w:color="auto"/>
        <w:bottom w:val="none" w:sz="0" w:space="0" w:color="auto"/>
        <w:right w:val="none" w:sz="0" w:space="0" w:color="auto"/>
      </w:divBdr>
    </w:div>
    <w:div w:id="1962835161">
      <w:bodyDiv w:val="1"/>
      <w:marLeft w:val="0"/>
      <w:marRight w:val="0"/>
      <w:marTop w:val="0"/>
      <w:marBottom w:val="0"/>
      <w:divBdr>
        <w:top w:val="none" w:sz="0" w:space="0" w:color="auto"/>
        <w:left w:val="none" w:sz="0" w:space="0" w:color="auto"/>
        <w:bottom w:val="none" w:sz="0" w:space="0" w:color="auto"/>
        <w:right w:val="none" w:sz="0" w:space="0" w:color="auto"/>
      </w:divBdr>
    </w:div>
    <w:div w:id="2112621962">
      <w:bodyDiv w:val="1"/>
      <w:marLeft w:val="0"/>
      <w:marRight w:val="0"/>
      <w:marTop w:val="0"/>
      <w:marBottom w:val="0"/>
      <w:divBdr>
        <w:top w:val="none" w:sz="0" w:space="0" w:color="auto"/>
        <w:left w:val="none" w:sz="0" w:space="0" w:color="auto"/>
        <w:bottom w:val="none" w:sz="0" w:space="0" w:color="auto"/>
        <w:right w:val="none" w:sz="0" w:space="0" w:color="auto"/>
      </w:divBdr>
      <w:divsChild>
        <w:div w:id="537088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border.gov.au/Busi/Comp/cargo-reporting-import-declaration-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_dlc_DocId xmlns="0f563589-9cf9-4143-b1eb-fb0534803d38">2017RG-293-299</_dlc_DocId>
    <TaxCatchAll xmlns="0f563589-9cf9-4143-b1eb-fb0534803d38">
      <Value>59</Value>
    </TaxCatchAll>
    <_dlc_DocIdUrl xmlns="0f563589-9cf9-4143-b1eb-fb0534803d38">
      <Url>http://tweb/sites/rg/iitd/gs/_layouts/15/DocIdRedir.aspx?ID=2017RG-293-299</Url>
      <Description>2017RG-293-299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278BD4B8A00FE4E8125D65F2C4B1BD4" ma:contentTypeVersion="14722" ma:contentTypeDescription="" ma:contentTypeScope="" ma:versionID="edddadfe50234427e27733d44cfc97d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a3c8d3831d1a454e8da60d4895c6b1d"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C5092-C6C1-4BB2-9EE6-45166C87CBDF}">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2.xml><?xml version="1.0" encoding="utf-8"?>
<ds:datastoreItem xmlns:ds="http://schemas.openxmlformats.org/officeDocument/2006/customXml" ds:itemID="{CE81986A-E70B-4562-9700-1AC0E6F98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7E8EA-FEDE-47C8-BD30-DF2F878C21D2}">
  <ds:schemaRefs>
    <ds:schemaRef ds:uri="http://schemas.microsoft.com/sharepoint/events"/>
  </ds:schemaRefs>
</ds:datastoreItem>
</file>

<file path=customXml/itemProps4.xml><?xml version="1.0" encoding="utf-8"?>
<ds:datastoreItem xmlns:ds="http://schemas.openxmlformats.org/officeDocument/2006/customXml" ds:itemID="{AC46A6C4-FD5F-46F1-AB71-5DB3C011AB6E}">
  <ds:schemaRefs>
    <ds:schemaRef ds:uri="office.server.policy"/>
  </ds:schemaRefs>
</ds:datastoreItem>
</file>

<file path=customXml/itemProps5.xml><?xml version="1.0" encoding="utf-8"?>
<ds:datastoreItem xmlns:ds="http://schemas.openxmlformats.org/officeDocument/2006/customXml" ds:itemID="{0D805EF2-5777-4DA5-B7A8-A366240CB773}">
  <ds:schemaRefs>
    <ds:schemaRef ds:uri="http://schemas.microsoft.com/sharepoint/v3/contenttype/forms"/>
  </ds:schemaRefs>
</ds:datastoreItem>
</file>

<file path=customXml/itemProps6.xml><?xml version="1.0" encoding="utf-8"?>
<ds:datastoreItem xmlns:ds="http://schemas.openxmlformats.org/officeDocument/2006/customXml" ds:itemID="{7A1743EB-77FC-4959-AEFB-BDD8EB23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2810</Words>
  <Characters>14349</Characters>
  <Application>Microsoft Office Word</Application>
  <DocSecurity>0</DocSecurity>
  <Lines>217</Lines>
  <Paragraphs>32</Paragraphs>
  <ScaleCrop>false</ScaleCrop>
  <Company/>
  <LinksUpToDate>false</LinksUpToDate>
  <CharactersWithSpaces>17169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Chartered Accountants Australia and New Zealand - Applying GST to low value goods imported by consumers</dc:title>
  <dc:creator/>
  <cp:lastModifiedBy/>
  <cp:revision>1</cp:revision>
  <dcterms:created xsi:type="dcterms:W3CDTF">2018-10-12T00:35:00Z</dcterms:created>
  <dcterms:modified xsi:type="dcterms:W3CDTF">2018-10-12T00:35:00Z</dcterms:modified>
  <dc:language>English</dc:language>
</cp:coreProperties>
</file>