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F95951" w14:textId="77777777" w:rsidR="00A06119" w:rsidRPr="00294B46" w:rsidRDefault="00A06119" w:rsidP="00294B46">
      <w:pPr>
        <w:spacing w:after="0" w:line="240" w:lineRule="auto"/>
        <w:jc w:val="center"/>
        <w:rPr>
          <w:rFonts w:ascii="Times New Roman" w:hAnsi="Times New Roman" w:cs="Times New Roman"/>
          <w:b/>
          <w:sz w:val="24"/>
          <w:szCs w:val="24"/>
        </w:rPr>
      </w:pPr>
      <w:bookmarkStart w:id="0" w:name="_GoBack"/>
      <w:bookmarkEnd w:id="0"/>
      <w:r w:rsidRPr="00294B46">
        <w:rPr>
          <w:rFonts w:ascii="Times New Roman" w:hAnsi="Times New Roman" w:cs="Times New Roman"/>
          <w:b/>
          <w:sz w:val="24"/>
          <w:szCs w:val="24"/>
        </w:rPr>
        <w:t>Australian Government</w:t>
      </w:r>
    </w:p>
    <w:p w14:paraId="5FE42382" w14:textId="77777777" w:rsidR="00A06119" w:rsidRPr="00294B46" w:rsidRDefault="00A06119" w:rsidP="00294B46">
      <w:pPr>
        <w:spacing w:after="0" w:line="240" w:lineRule="auto"/>
        <w:jc w:val="center"/>
        <w:rPr>
          <w:rFonts w:ascii="Times New Roman" w:hAnsi="Times New Roman" w:cs="Times New Roman"/>
          <w:b/>
          <w:sz w:val="24"/>
          <w:szCs w:val="24"/>
        </w:rPr>
      </w:pPr>
      <w:r w:rsidRPr="00294B46">
        <w:rPr>
          <w:rFonts w:ascii="Times New Roman" w:hAnsi="Times New Roman" w:cs="Times New Roman"/>
          <w:b/>
          <w:sz w:val="24"/>
          <w:szCs w:val="24"/>
        </w:rPr>
        <w:t>Treasury</w:t>
      </w:r>
    </w:p>
    <w:p w14:paraId="4E331D13" w14:textId="77777777" w:rsidR="00A06119" w:rsidRPr="00294B46" w:rsidRDefault="00A06119" w:rsidP="00294B46">
      <w:pPr>
        <w:spacing w:after="0" w:line="240" w:lineRule="auto"/>
        <w:jc w:val="center"/>
        <w:rPr>
          <w:rFonts w:ascii="Times New Roman" w:hAnsi="Times New Roman" w:cs="Times New Roman"/>
          <w:b/>
          <w:sz w:val="24"/>
          <w:szCs w:val="24"/>
        </w:rPr>
      </w:pPr>
    </w:p>
    <w:p w14:paraId="19EF3C7E" w14:textId="77777777" w:rsidR="00A06119" w:rsidRPr="00294B46" w:rsidRDefault="006E76C7" w:rsidP="00294B46">
      <w:pPr>
        <w:spacing w:after="0" w:line="240" w:lineRule="auto"/>
        <w:jc w:val="center"/>
        <w:rPr>
          <w:rFonts w:ascii="Times New Roman" w:hAnsi="Times New Roman" w:cs="Times New Roman"/>
          <w:b/>
          <w:sz w:val="24"/>
          <w:szCs w:val="24"/>
        </w:rPr>
      </w:pPr>
      <w:r w:rsidRPr="00294B46">
        <w:rPr>
          <w:rFonts w:ascii="Times New Roman" w:hAnsi="Times New Roman" w:cs="Times New Roman"/>
          <w:b/>
          <w:sz w:val="24"/>
          <w:szCs w:val="24"/>
        </w:rPr>
        <w:t>TREASURY LAWS AMENDMENT (2017 ENTERPRISE INCENTIVES NO. 2) BILL 2017</w:t>
      </w:r>
    </w:p>
    <w:p w14:paraId="09F07868" w14:textId="77777777" w:rsidR="006E76C7" w:rsidRPr="00294B46" w:rsidRDefault="006E76C7" w:rsidP="00294B46">
      <w:pPr>
        <w:spacing w:after="0" w:line="240" w:lineRule="auto"/>
        <w:jc w:val="center"/>
        <w:rPr>
          <w:rFonts w:ascii="Times New Roman" w:hAnsi="Times New Roman" w:cs="Times New Roman"/>
          <w:sz w:val="24"/>
          <w:szCs w:val="24"/>
        </w:rPr>
      </w:pPr>
    </w:p>
    <w:p w14:paraId="6947DDF5" w14:textId="272B3AF1" w:rsidR="00A06119" w:rsidRPr="00294B46" w:rsidRDefault="00A06119" w:rsidP="00294B46">
      <w:pPr>
        <w:spacing w:after="0" w:line="240" w:lineRule="auto"/>
        <w:jc w:val="center"/>
        <w:rPr>
          <w:rFonts w:ascii="Times New Roman" w:hAnsi="Times New Roman" w:cs="Times New Roman"/>
          <w:b/>
          <w:sz w:val="24"/>
          <w:szCs w:val="24"/>
        </w:rPr>
      </w:pPr>
      <w:r w:rsidRPr="00294B46">
        <w:rPr>
          <w:rFonts w:ascii="Times New Roman" w:hAnsi="Times New Roman" w:cs="Times New Roman"/>
          <w:b/>
          <w:sz w:val="24"/>
          <w:szCs w:val="24"/>
        </w:rPr>
        <w:t>Submission by Professor Helen Anderson</w:t>
      </w:r>
      <w:r w:rsidR="00BD7D15">
        <w:rPr>
          <w:rFonts w:ascii="Times New Roman" w:hAnsi="Times New Roman" w:cs="Times New Roman"/>
          <w:b/>
          <w:sz w:val="24"/>
          <w:szCs w:val="24"/>
        </w:rPr>
        <w:t xml:space="preserve">, </w:t>
      </w:r>
      <w:r w:rsidRPr="00294B46">
        <w:rPr>
          <w:rFonts w:ascii="Times New Roman" w:hAnsi="Times New Roman" w:cs="Times New Roman"/>
          <w:b/>
          <w:sz w:val="24"/>
          <w:szCs w:val="24"/>
        </w:rPr>
        <w:t>Professor Ian Ramsay</w:t>
      </w:r>
      <w:r w:rsidR="00BD7D15">
        <w:rPr>
          <w:rFonts w:ascii="Times New Roman" w:hAnsi="Times New Roman" w:cs="Times New Roman"/>
          <w:b/>
          <w:sz w:val="24"/>
          <w:szCs w:val="24"/>
        </w:rPr>
        <w:t xml:space="preserve"> and Jasper Hedges</w:t>
      </w:r>
      <w:r w:rsidRPr="00294B46">
        <w:rPr>
          <w:rFonts w:ascii="Times New Roman" w:hAnsi="Times New Roman" w:cs="Times New Roman"/>
          <w:b/>
          <w:sz w:val="24"/>
          <w:szCs w:val="24"/>
        </w:rPr>
        <w:t>, Melbourne Law School</w:t>
      </w:r>
      <w:r w:rsidR="00BD7D15">
        <w:rPr>
          <w:rFonts w:ascii="Times New Roman" w:hAnsi="Times New Roman" w:cs="Times New Roman"/>
          <w:b/>
          <w:sz w:val="24"/>
          <w:szCs w:val="24"/>
        </w:rPr>
        <w:t>,</w:t>
      </w:r>
      <w:r w:rsidRPr="00294B46">
        <w:rPr>
          <w:rFonts w:ascii="Times New Roman" w:hAnsi="Times New Roman" w:cs="Times New Roman"/>
          <w:b/>
          <w:sz w:val="24"/>
          <w:szCs w:val="24"/>
        </w:rPr>
        <w:t xml:space="preserve"> and Professor Michelle Welsh, Monash Business School, Monash University.</w:t>
      </w:r>
    </w:p>
    <w:p w14:paraId="051AF858" w14:textId="77777777" w:rsidR="00A06119" w:rsidRPr="00294B46" w:rsidRDefault="00A06119" w:rsidP="00294B46">
      <w:pPr>
        <w:spacing w:after="0" w:line="240" w:lineRule="auto"/>
        <w:jc w:val="center"/>
        <w:rPr>
          <w:rFonts w:ascii="Times New Roman" w:hAnsi="Times New Roman" w:cs="Times New Roman"/>
          <w:b/>
          <w:sz w:val="24"/>
          <w:szCs w:val="24"/>
        </w:rPr>
      </w:pPr>
    </w:p>
    <w:p w14:paraId="76B5F080" w14:textId="41BCB031" w:rsidR="00A06119" w:rsidRPr="00294B46" w:rsidRDefault="000C431A" w:rsidP="00294B46">
      <w:pPr>
        <w:pBdr>
          <w:bottom w:val="single" w:sz="6" w:space="1" w:color="auto"/>
        </w:pBd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 7 </w:t>
      </w:r>
      <w:r w:rsidR="006E76C7" w:rsidRPr="00294B46">
        <w:rPr>
          <w:rFonts w:ascii="Times New Roman" w:hAnsi="Times New Roman" w:cs="Times New Roman"/>
          <w:b/>
          <w:sz w:val="24"/>
          <w:szCs w:val="24"/>
        </w:rPr>
        <w:t>April 2017</w:t>
      </w:r>
    </w:p>
    <w:p w14:paraId="3CD868F8" w14:textId="77777777" w:rsidR="00A06119" w:rsidRPr="00294B46" w:rsidRDefault="00A06119" w:rsidP="00294B46">
      <w:pPr>
        <w:spacing w:after="0" w:line="240" w:lineRule="auto"/>
        <w:jc w:val="center"/>
        <w:rPr>
          <w:rFonts w:ascii="Times New Roman" w:hAnsi="Times New Roman" w:cs="Times New Roman"/>
          <w:sz w:val="24"/>
          <w:szCs w:val="24"/>
        </w:rPr>
      </w:pPr>
    </w:p>
    <w:p w14:paraId="553FBF58" w14:textId="5ABCF414" w:rsidR="006E76C7" w:rsidRPr="00294B46" w:rsidRDefault="00A06119" w:rsidP="00294B46">
      <w:pPr>
        <w:spacing w:after="0" w:line="240" w:lineRule="auto"/>
        <w:jc w:val="both"/>
        <w:rPr>
          <w:rFonts w:ascii="Times New Roman" w:hAnsi="Times New Roman" w:cs="Times New Roman"/>
          <w:sz w:val="24"/>
          <w:szCs w:val="24"/>
        </w:rPr>
      </w:pPr>
      <w:r w:rsidRPr="00294B46">
        <w:rPr>
          <w:rFonts w:ascii="Times New Roman" w:hAnsi="Times New Roman" w:cs="Times New Roman"/>
          <w:sz w:val="24"/>
          <w:szCs w:val="24"/>
        </w:rPr>
        <w:t>We thank Treasury</w:t>
      </w:r>
      <w:r w:rsidR="006E76C7" w:rsidRPr="00294B46">
        <w:rPr>
          <w:rFonts w:ascii="Times New Roman" w:hAnsi="Times New Roman" w:cs="Times New Roman"/>
          <w:sz w:val="24"/>
          <w:szCs w:val="24"/>
        </w:rPr>
        <w:t xml:space="preserve"> and the Minister for Revenue and Financial Services</w:t>
      </w:r>
      <w:r w:rsidRPr="00294B46">
        <w:rPr>
          <w:rFonts w:ascii="Times New Roman" w:hAnsi="Times New Roman" w:cs="Times New Roman"/>
          <w:sz w:val="24"/>
          <w:szCs w:val="24"/>
        </w:rPr>
        <w:t xml:space="preserve"> for this opportunity to make a submission regarding the</w:t>
      </w:r>
      <w:r w:rsidR="009B2231">
        <w:rPr>
          <w:rFonts w:ascii="Times New Roman" w:hAnsi="Times New Roman" w:cs="Times New Roman"/>
          <w:sz w:val="24"/>
          <w:szCs w:val="24"/>
        </w:rPr>
        <w:t xml:space="preserve"> Exposure Draft of the</w:t>
      </w:r>
      <w:r w:rsidRPr="00294B46">
        <w:rPr>
          <w:rFonts w:ascii="Times New Roman" w:hAnsi="Times New Roman" w:cs="Times New Roman"/>
          <w:sz w:val="24"/>
          <w:szCs w:val="24"/>
        </w:rPr>
        <w:t xml:space="preserve"> Treasury Laws Amendment (2017 </w:t>
      </w:r>
      <w:r w:rsidR="006E76C7" w:rsidRPr="00294B46">
        <w:rPr>
          <w:rFonts w:ascii="Times New Roman" w:hAnsi="Times New Roman" w:cs="Times New Roman"/>
          <w:sz w:val="24"/>
          <w:szCs w:val="24"/>
        </w:rPr>
        <w:t>Enterprise Incentives No. 2)</w:t>
      </w:r>
      <w:r w:rsidRPr="00294B46">
        <w:rPr>
          <w:rFonts w:ascii="Times New Roman" w:hAnsi="Times New Roman" w:cs="Times New Roman"/>
          <w:sz w:val="24"/>
          <w:szCs w:val="24"/>
        </w:rPr>
        <w:t xml:space="preserve"> Bill 2017. We are a group of academics currently undertaking an Australian Research Council-funded project examining the regulation of illegal phoenix activity. Our aim is to devise ways in which this damaging behaviour can be most efficiently and effectively prevented and deterred, without damaging legitimate business activities to the detriment of the economy. </w:t>
      </w:r>
    </w:p>
    <w:p w14:paraId="099C773A" w14:textId="77777777" w:rsidR="006E76C7" w:rsidRPr="00294B46" w:rsidRDefault="006E76C7" w:rsidP="00294B46">
      <w:pPr>
        <w:spacing w:after="0" w:line="240" w:lineRule="auto"/>
        <w:jc w:val="both"/>
        <w:rPr>
          <w:rFonts w:ascii="Times New Roman" w:hAnsi="Times New Roman" w:cs="Times New Roman"/>
          <w:sz w:val="24"/>
          <w:szCs w:val="24"/>
        </w:rPr>
      </w:pPr>
    </w:p>
    <w:p w14:paraId="75EDDE13" w14:textId="2DBE1A9A" w:rsidR="00FB5DE2" w:rsidRDefault="006E76C7" w:rsidP="00294B46">
      <w:pPr>
        <w:spacing w:after="0" w:line="240" w:lineRule="auto"/>
        <w:jc w:val="both"/>
        <w:rPr>
          <w:rFonts w:ascii="Times New Roman" w:hAnsi="Times New Roman" w:cs="Times New Roman"/>
          <w:sz w:val="24"/>
          <w:szCs w:val="24"/>
        </w:rPr>
      </w:pPr>
      <w:r w:rsidRPr="00294B46">
        <w:rPr>
          <w:rFonts w:ascii="Times New Roman" w:hAnsi="Times New Roman" w:cs="Times New Roman"/>
          <w:sz w:val="24"/>
          <w:szCs w:val="24"/>
        </w:rPr>
        <w:t>As well as a series of scholarly and professional publications, w</w:t>
      </w:r>
      <w:r w:rsidR="00A06119" w:rsidRPr="00294B46">
        <w:rPr>
          <w:rFonts w:ascii="Times New Roman" w:hAnsi="Times New Roman" w:cs="Times New Roman"/>
          <w:sz w:val="24"/>
          <w:szCs w:val="24"/>
        </w:rPr>
        <w:t xml:space="preserve">e have produced </w:t>
      </w:r>
      <w:r w:rsidRPr="00294B46">
        <w:rPr>
          <w:rFonts w:ascii="Times New Roman" w:hAnsi="Times New Roman" w:cs="Times New Roman"/>
          <w:sz w:val="24"/>
          <w:szCs w:val="24"/>
        </w:rPr>
        <w:t>three</w:t>
      </w:r>
      <w:r w:rsidR="00A06119" w:rsidRPr="00294B46">
        <w:rPr>
          <w:rFonts w:ascii="Times New Roman" w:hAnsi="Times New Roman" w:cs="Times New Roman"/>
          <w:sz w:val="24"/>
          <w:szCs w:val="24"/>
        </w:rPr>
        <w:t xml:space="preserve"> major reports</w:t>
      </w:r>
      <w:r w:rsidRPr="00294B46">
        <w:rPr>
          <w:rFonts w:ascii="Times New Roman" w:hAnsi="Times New Roman" w:cs="Times New Roman"/>
          <w:sz w:val="24"/>
          <w:szCs w:val="24"/>
        </w:rPr>
        <w:t xml:space="preserve">: </w:t>
      </w:r>
      <w:r w:rsidR="00A06119" w:rsidRPr="00294B46">
        <w:rPr>
          <w:rFonts w:ascii="Times New Roman" w:hAnsi="Times New Roman" w:cs="Times New Roman"/>
          <w:i/>
          <w:sz w:val="24"/>
          <w:szCs w:val="24"/>
        </w:rPr>
        <w:t xml:space="preserve">Defining and Profiling Phoenix Activity </w:t>
      </w:r>
      <w:r w:rsidRPr="00294B46">
        <w:rPr>
          <w:rFonts w:ascii="Times New Roman" w:hAnsi="Times New Roman" w:cs="Times New Roman"/>
          <w:sz w:val="24"/>
          <w:szCs w:val="24"/>
        </w:rPr>
        <w:t xml:space="preserve">(December 2014); </w:t>
      </w:r>
      <w:r w:rsidR="00A06119" w:rsidRPr="00294B46">
        <w:rPr>
          <w:rFonts w:ascii="Times New Roman" w:hAnsi="Times New Roman" w:cs="Times New Roman"/>
          <w:i/>
          <w:sz w:val="24"/>
          <w:szCs w:val="24"/>
        </w:rPr>
        <w:t>Quantifying Phoenix Activity: Incidence, Cost</w:t>
      </w:r>
      <w:r w:rsidR="003A37A3">
        <w:rPr>
          <w:rFonts w:ascii="Times New Roman" w:hAnsi="Times New Roman" w:cs="Times New Roman"/>
          <w:i/>
          <w:sz w:val="24"/>
          <w:szCs w:val="24"/>
        </w:rPr>
        <w:t xml:space="preserve">, </w:t>
      </w:r>
      <w:r w:rsidR="00A06119" w:rsidRPr="00294B46">
        <w:rPr>
          <w:rFonts w:ascii="Times New Roman" w:hAnsi="Times New Roman" w:cs="Times New Roman"/>
          <w:i/>
          <w:sz w:val="24"/>
          <w:szCs w:val="24"/>
        </w:rPr>
        <w:t>Enforcement</w:t>
      </w:r>
      <w:r w:rsidR="00A06119" w:rsidRPr="00294B46">
        <w:rPr>
          <w:rFonts w:ascii="Times New Roman" w:hAnsi="Times New Roman" w:cs="Times New Roman"/>
          <w:sz w:val="24"/>
          <w:szCs w:val="24"/>
        </w:rPr>
        <w:t xml:space="preserve"> (October 2015),</w:t>
      </w:r>
      <w:r w:rsidRPr="00294B46">
        <w:rPr>
          <w:rFonts w:ascii="Times New Roman" w:hAnsi="Times New Roman" w:cs="Times New Roman"/>
          <w:sz w:val="24"/>
          <w:szCs w:val="24"/>
        </w:rPr>
        <w:t xml:space="preserve"> and </w:t>
      </w:r>
      <w:r w:rsidRPr="00294B46">
        <w:rPr>
          <w:rFonts w:ascii="Times New Roman" w:hAnsi="Times New Roman" w:cs="Times New Roman"/>
          <w:i/>
          <w:sz w:val="24"/>
          <w:szCs w:val="24"/>
        </w:rPr>
        <w:t>Phoenix Activity: Recommendations on Detection, Disruption and Enforcement</w:t>
      </w:r>
      <w:r w:rsidRPr="00294B46">
        <w:rPr>
          <w:rFonts w:ascii="Times New Roman" w:hAnsi="Times New Roman" w:cs="Times New Roman"/>
          <w:sz w:val="24"/>
          <w:szCs w:val="24"/>
        </w:rPr>
        <w:t xml:space="preserve"> (February 2017). </w:t>
      </w:r>
      <w:r w:rsidR="00FB5DE2">
        <w:rPr>
          <w:rFonts w:ascii="Times New Roman" w:hAnsi="Times New Roman" w:cs="Times New Roman"/>
          <w:sz w:val="24"/>
          <w:szCs w:val="24"/>
        </w:rPr>
        <w:t xml:space="preserve">Please click </w:t>
      </w:r>
      <w:hyperlink r:id="rId14" w:history="1">
        <w:r w:rsidR="00FB5DE2" w:rsidRPr="00FB5DE2">
          <w:rPr>
            <w:rStyle w:val="Hyperlink"/>
            <w:rFonts w:ascii="Times New Roman" w:hAnsi="Times New Roman"/>
            <w:sz w:val="24"/>
            <w:szCs w:val="24"/>
          </w:rPr>
          <w:t>here</w:t>
        </w:r>
      </w:hyperlink>
      <w:r w:rsidR="00FB5DE2">
        <w:rPr>
          <w:rFonts w:ascii="Times New Roman" w:hAnsi="Times New Roman" w:cs="Times New Roman"/>
          <w:sz w:val="24"/>
          <w:szCs w:val="24"/>
        </w:rPr>
        <w:t xml:space="preserve"> to access these reports.</w:t>
      </w:r>
    </w:p>
    <w:p w14:paraId="77A74D33" w14:textId="77777777" w:rsidR="006E76C7" w:rsidRPr="00294B46" w:rsidRDefault="006E76C7" w:rsidP="00294B46">
      <w:pPr>
        <w:spacing w:after="0" w:line="240" w:lineRule="auto"/>
        <w:jc w:val="both"/>
        <w:rPr>
          <w:rFonts w:ascii="Times New Roman" w:hAnsi="Times New Roman" w:cs="Times New Roman"/>
          <w:sz w:val="24"/>
          <w:szCs w:val="24"/>
        </w:rPr>
      </w:pPr>
    </w:p>
    <w:p w14:paraId="68499FD3" w14:textId="69042EB9" w:rsidR="006E76C7" w:rsidRPr="00294B46" w:rsidRDefault="006E76C7" w:rsidP="00294B46">
      <w:pPr>
        <w:spacing w:after="0" w:line="240" w:lineRule="auto"/>
        <w:jc w:val="both"/>
        <w:rPr>
          <w:rFonts w:ascii="Times New Roman" w:hAnsi="Times New Roman" w:cs="Times New Roman"/>
          <w:sz w:val="24"/>
          <w:szCs w:val="24"/>
        </w:rPr>
      </w:pPr>
      <w:r w:rsidRPr="00294B46">
        <w:rPr>
          <w:rFonts w:ascii="Times New Roman" w:hAnsi="Times New Roman" w:cs="Times New Roman"/>
          <w:sz w:val="24"/>
          <w:szCs w:val="24"/>
        </w:rPr>
        <w:t xml:space="preserve">In this submission, we deal only with the </w:t>
      </w:r>
      <w:r w:rsidR="00AD59F8">
        <w:rPr>
          <w:rFonts w:ascii="Times New Roman" w:hAnsi="Times New Roman" w:cs="Times New Roman"/>
          <w:sz w:val="24"/>
          <w:szCs w:val="24"/>
        </w:rPr>
        <w:t>s</w:t>
      </w:r>
      <w:r w:rsidRPr="00294B46">
        <w:rPr>
          <w:rFonts w:ascii="Times New Roman" w:hAnsi="Times New Roman" w:cs="Times New Roman"/>
          <w:sz w:val="24"/>
          <w:szCs w:val="24"/>
        </w:rPr>
        <w:t xml:space="preserve">afe </w:t>
      </w:r>
      <w:r w:rsidR="00AD59F8">
        <w:rPr>
          <w:rFonts w:ascii="Times New Roman" w:hAnsi="Times New Roman" w:cs="Times New Roman"/>
          <w:sz w:val="24"/>
          <w:szCs w:val="24"/>
        </w:rPr>
        <w:t>h</w:t>
      </w:r>
      <w:r w:rsidRPr="00294B46">
        <w:rPr>
          <w:rFonts w:ascii="Times New Roman" w:hAnsi="Times New Roman" w:cs="Times New Roman"/>
          <w:sz w:val="24"/>
          <w:szCs w:val="24"/>
        </w:rPr>
        <w:t>arbour proposal.</w:t>
      </w:r>
      <w:r w:rsidR="00912FA7">
        <w:rPr>
          <w:rFonts w:ascii="Times New Roman" w:hAnsi="Times New Roman" w:cs="Times New Roman"/>
          <w:sz w:val="24"/>
          <w:szCs w:val="24"/>
        </w:rPr>
        <w:t xml:space="preserve"> </w:t>
      </w:r>
      <w:r w:rsidR="006928A3">
        <w:rPr>
          <w:rFonts w:ascii="Times New Roman" w:hAnsi="Times New Roman" w:cs="Times New Roman"/>
          <w:sz w:val="24"/>
          <w:szCs w:val="24"/>
        </w:rPr>
        <w:t xml:space="preserve">We also </w:t>
      </w:r>
      <w:r w:rsidR="00BD7D15">
        <w:rPr>
          <w:rFonts w:ascii="Times New Roman" w:hAnsi="Times New Roman" w:cs="Times New Roman"/>
          <w:sz w:val="24"/>
          <w:szCs w:val="24"/>
        </w:rPr>
        <w:t>take the opportunity to suggest an approach fo</w:t>
      </w:r>
      <w:r w:rsidR="006928A3">
        <w:rPr>
          <w:rFonts w:ascii="Times New Roman" w:hAnsi="Times New Roman" w:cs="Times New Roman"/>
          <w:sz w:val="24"/>
          <w:szCs w:val="24"/>
        </w:rPr>
        <w:t>r related party transfers of assets in the context of phoenix activity.</w:t>
      </w:r>
    </w:p>
    <w:p w14:paraId="6B855D0F" w14:textId="77777777" w:rsidR="00B52FC6" w:rsidRPr="00294B46" w:rsidRDefault="00B52FC6" w:rsidP="00294B46">
      <w:pPr>
        <w:spacing w:after="0" w:line="240" w:lineRule="auto"/>
        <w:jc w:val="both"/>
        <w:rPr>
          <w:rFonts w:ascii="Times New Roman" w:hAnsi="Times New Roman" w:cs="Times New Roman"/>
          <w:sz w:val="24"/>
          <w:szCs w:val="24"/>
        </w:rPr>
      </w:pPr>
    </w:p>
    <w:p w14:paraId="764FE881" w14:textId="0ADA6A0F" w:rsidR="006E76C7" w:rsidRPr="00294B46" w:rsidRDefault="006E76C7" w:rsidP="00294B46">
      <w:pPr>
        <w:spacing w:after="0" w:line="240" w:lineRule="auto"/>
        <w:jc w:val="both"/>
        <w:rPr>
          <w:rFonts w:ascii="Times New Roman" w:hAnsi="Times New Roman" w:cs="Times New Roman"/>
          <w:sz w:val="24"/>
          <w:szCs w:val="24"/>
          <w:u w:val="single"/>
        </w:rPr>
      </w:pPr>
      <w:r w:rsidRPr="00294B46">
        <w:rPr>
          <w:rFonts w:ascii="Times New Roman" w:hAnsi="Times New Roman" w:cs="Times New Roman"/>
          <w:sz w:val="24"/>
          <w:szCs w:val="24"/>
          <w:u w:val="single"/>
        </w:rPr>
        <w:t xml:space="preserve">Phoenix Activity </w:t>
      </w:r>
      <w:r w:rsidR="00986643">
        <w:rPr>
          <w:rFonts w:ascii="Times New Roman" w:hAnsi="Times New Roman" w:cs="Times New Roman"/>
          <w:sz w:val="24"/>
          <w:szCs w:val="24"/>
          <w:u w:val="single"/>
        </w:rPr>
        <w:t>a</w:t>
      </w:r>
      <w:r w:rsidRPr="00294B46">
        <w:rPr>
          <w:rFonts w:ascii="Times New Roman" w:hAnsi="Times New Roman" w:cs="Times New Roman"/>
          <w:sz w:val="24"/>
          <w:szCs w:val="24"/>
          <w:u w:val="single"/>
        </w:rPr>
        <w:t>nd Insolvent Trading</w:t>
      </w:r>
    </w:p>
    <w:p w14:paraId="729797F8" w14:textId="2303030A" w:rsidR="00A06119" w:rsidRPr="00294B46" w:rsidRDefault="006E76C7" w:rsidP="00294B46">
      <w:pPr>
        <w:spacing w:after="0" w:line="240" w:lineRule="auto"/>
        <w:jc w:val="both"/>
        <w:rPr>
          <w:rFonts w:ascii="Times New Roman" w:hAnsi="Times New Roman" w:cs="Times New Roman"/>
          <w:sz w:val="24"/>
          <w:szCs w:val="24"/>
        </w:rPr>
      </w:pPr>
      <w:r w:rsidRPr="00294B46">
        <w:rPr>
          <w:rFonts w:ascii="Times New Roman" w:hAnsi="Times New Roman" w:cs="Times New Roman"/>
          <w:sz w:val="24"/>
          <w:szCs w:val="24"/>
        </w:rPr>
        <w:t xml:space="preserve">The concept of phoenix activity broadly centres on the idea of </w:t>
      </w:r>
      <w:r w:rsidRPr="00294B46">
        <w:rPr>
          <w:rFonts w:ascii="Times New Roman" w:hAnsi="Times New Roman" w:cs="Times New Roman"/>
          <w:color w:val="000000"/>
          <w:sz w:val="24"/>
          <w:szCs w:val="24"/>
        </w:rPr>
        <w:t>a corporate failure</w:t>
      </w:r>
      <w:r w:rsidR="00AB0FD3">
        <w:rPr>
          <w:rFonts w:ascii="Times New Roman" w:hAnsi="Times New Roman" w:cs="Times New Roman"/>
          <w:color w:val="000000"/>
          <w:sz w:val="24"/>
          <w:szCs w:val="24"/>
        </w:rPr>
        <w:t xml:space="preserve"> (‘</w:t>
      </w:r>
      <w:proofErr w:type="spellStart"/>
      <w:r w:rsidR="00AB0FD3">
        <w:rPr>
          <w:rFonts w:ascii="Times New Roman" w:hAnsi="Times New Roman" w:cs="Times New Roman"/>
          <w:color w:val="000000"/>
          <w:sz w:val="24"/>
          <w:szCs w:val="24"/>
        </w:rPr>
        <w:t>Oldco</w:t>
      </w:r>
      <w:proofErr w:type="spellEnd"/>
      <w:r w:rsidR="00AB0FD3">
        <w:rPr>
          <w:rFonts w:ascii="Times New Roman" w:hAnsi="Times New Roman" w:cs="Times New Roman"/>
          <w:color w:val="000000"/>
          <w:sz w:val="24"/>
          <w:szCs w:val="24"/>
        </w:rPr>
        <w:t>’)</w:t>
      </w:r>
      <w:r w:rsidRPr="00294B46">
        <w:rPr>
          <w:rFonts w:ascii="Times New Roman" w:hAnsi="Times New Roman" w:cs="Times New Roman"/>
          <w:color w:val="000000"/>
          <w:sz w:val="24"/>
          <w:szCs w:val="24"/>
        </w:rPr>
        <w:t xml:space="preserve"> and a second company</w:t>
      </w:r>
      <w:r w:rsidR="00AB0FD3">
        <w:rPr>
          <w:rFonts w:ascii="Times New Roman" w:hAnsi="Times New Roman" w:cs="Times New Roman"/>
          <w:color w:val="000000"/>
          <w:sz w:val="24"/>
          <w:szCs w:val="24"/>
        </w:rPr>
        <w:t xml:space="preserve"> (‘Newco’)</w:t>
      </w:r>
      <w:r w:rsidRPr="00294B46">
        <w:rPr>
          <w:rFonts w:ascii="Times New Roman" w:hAnsi="Times New Roman" w:cs="Times New Roman"/>
          <w:color w:val="000000"/>
          <w:sz w:val="24"/>
          <w:szCs w:val="24"/>
        </w:rPr>
        <w:t xml:space="preserve">, often newly incorporated, </w:t>
      </w:r>
      <w:r w:rsidRPr="00294B46">
        <w:rPr>
          <w:rFonts w:ascii="Times New Roman" w:hAnsi="Times New Roman" w:cs="Times New Roman"/>
          <w:sz w:val="24"/>
          <w:szCs w:val="24"/>
        </w:rPr>
        <w:t>arising from the ashes of its failed predecessor where the second company’s controllers and business are essentially the same. Phoenix activity can be legal as well as illegal. Legal phoenix activity covers situations where the previous controllers start another similar business, using a new company when their earlier company fails, usually in order to rescue its business. Illegal phoenix activity involves similar activities, but the intention is to exploit the corporate form to the detriment of unsecured creditors, including employees and tax authorities. The illegality here is generally as a result of a breach of directors’ duties in failing to act properly in respect of the failed company and its creditors.</w:t>
      </w:r>
    </w:p>
    <w:p w14:paraId="3CADEFB8" w14:textId="77777777" w:rsidR="006E76C7" w:rsidRPr="00294B46" w:rsidRDefault="006E76C7" w:rsidP="00294B46">
      <w:pPr>
        <w:spacing w:after="0" w:line="240" w:lineRule="auto"/>
        <w:jc w:val="both"/>
        <w:rPr>
          <w:rFonts w:ascii="Times New Roman" w:hAnsi="Times New Roman" w:cs="Times New Roman"/>
          <w:sz w:val="24"/>
          <w:szCs w:val="24"/>
        </w:rPr>
      </w:pPr>
    </w:p>
    <w:p w14:paraId="77D22B99" w14:textId="1438EA95" w:rsidR="00D33D93" w:rsidRPr="00294B46" w:rsidRDefault="00D33D93" w:rsidP="00294B46">
      <w:pPr>
        <w:spacing w:after="0" w:line="240" w:lineRule="auto"/>
        <w:jc w:val="both"/>
        <w:rPr>
          <w:rFonts w:ascii="Times New Roman" w:hAnsi="Times New Roman" w:cs="Times New Roman"/>
          <w:i/>
          <w:sz w:val="24"/>
          <w:szCs w:val="24"/>
        </w:rPr>
      </w:pPr>
      <w:r w:rsidRPr="00294B46">
        <w:rPr>
          <w:rFonts w:ascii="Times New Roman" w:hAnsi="Times New Roman" w:cs="Times New Roman"/>
          <w:sz w:val="24"/>
          <w:szCs w:val="24"/>
        </w:rPr>
        <w:t xml:space="preserve">In simplistic terms, insolvent trading liability under the </w:t>
      </w:r>
      <w:r w:rsidRPr="00294B46">
        <w:rPr>
          <w:rFonts w:ascii="Times New Roman" w:hAnsi="Times New Roman" w:cs="Times New Roman"/>
          <w:i/>
          <w:sz w:val="24"/>
          <w:szCs w:val="24"/>
        </w:rPr>
        <w:t>Corporations Act</w:t>
      </w:r>
      <w:r w:rsidR="009E2FE2">
        <w:rPr>
          <w:rFonts w:ascii="Times New Roman" w:hAnsi="Times New Roman" w:cs="Times New Roman"/>
          <w:i/>
          <w:sz w:val="24"/>
          <w:szCs w:val="24"/>
        </w:rPr>
        <w:t xml:space="preserve"> 2001 </w:t>
      </w:r>
      <w:r w:rsidR="009E2FE2">
        <w:rPr>
          <w:rFonts w:ascii="Times New Roman" w:hAnsi="Times New Roman" w:cs="Times New Roman"/>
          <w:sz w:val="24"/>
          <w:szCs w:val="24"/>
        </w:rPr>
        <w:t>(</w:t>
      </w:r>
      <w:proofErr w:type="spellStart"/>
      <w:r w:rsidR="009E2FE2">
        <w:rPr>
          <w:rFonts w:ascii="Times New Roman" w:hAnsi="Times New Roman" w:cs="Times New Roman"/>
          <w:sz w:val="24"/>
          <w:szCs w:val="24"/>
        </w:rPr>
        <w:t>Cth</w:t>
      </w:r>
      <w:proofErr w:type="spellEnd"/>
      <w:r w:rsidR="009E2FE2">
        <w:rPr>
          <w:rFonts w:ascii="Times New Roman" w:hAnsi="Times New Roman" w:cs="Times New Roman"/>
          <w:sz w:val="24"/>
          <w:szCs w:val="24"/>
        </w:rPr>
        <w:t>) (‘</w:t>
      </w:r>
      <w:r w:rsidR="009E2FE2">
        <w:rPr>
          <w:rFonts w:ascii="Times New Roman" w:hAnsi="Times New Roman" w:cs="Times New Roman"/>
          <w:i/>
          <w:sz w:val="24"/>
          <w:szCs w:val="24"/>
        </w:rPr>
        <w:t>Corporations Act</w:t>
      </w:r>
      <w:r w:rsidR="009E2FE2">
        <w:rPr>
          <w:rFonts w:ascii="Times New Roman" w:hAnsi="Times New Roman" w:cs="Times New Roman"/>
          <w:sz w:val="24"/>
          <w:szCs w:val="24"/>
        </w:rPr>
        <w:t>’)</w:t>
      </w:r>
      <w:r w:rsidRPr="000C431A">
        <w:rPr>
          <w:rStyle w:val="FootnoteReference"/>
          <w:rFonts w:ascii="Times New Roman" w:hAnsi="Times New Roman" w:cs="Times New Roman"/>
          <w:sz w:val="24"/>
          <w:szCs w:val="24"/>
        </w:rPr>
        <w:footnoteReference w:id="1"/>
      </w:r>
      <w:r w:rsidRPr="00294B46">
        <w:rPr>
          <w:rFonts w:ascii="Times New Roman" w:hAnsi="Times New Roman" w:cs="Times New Roman"/>
          <w:i/>
          <w:sz w:val="24"/>
          <w:szCs w:val="24"/>
        </w:rPr>
        <w:t xml:space="preserve"> </w:t>
      </w:r>
      <w:r w:rsidRPr="00294B46">
        <w:rPr>
          <w:rFonts w:ascii="Times New Roman" w:hAnsi="Times New Roman" w:cs="Times New Roman"/>
          <w:sz w:val="24"/>
          <w:szCs w:val="24"/>
        </w:rPr>
        <w:t xml:space="preserve">aims to deter directors from trying to ‘trade out of their difficulties’ – delaying liquidation and incurring new debts when their company is unable to pay existing ones. In that sense, it appears to be the antithesis of the usual conception of phoenix activity – the speedy liquidation of </w:t>
      </w:r>
      <w:proofErr w:type="spellStart"/>
      <w:r w:rsidRPr="00294B46">
        <w:rPr>
          <w:rFonts w:ascii="Times New Roman" w:hAnsi="Times New Roman" w:cs="Times New Roman"/>
          <w:sz w:val="24"/>
          <w:szCs w:val="24"/>
        </w:rPr>
        <w:t>Oldco</w:t>
      </w:r>
      <w:proofErr w:type="spellEnd"/>
      <w:r w:rsidRPr="00294B46">
        <w:rPr>
          <w:rFonts w:ascii="Times New Roman" w:hAnsi="Times New Roman" w:cs="Times New Roman"/>
          <w:sz w:val="24"/>
          <w:szCs w:val="24"/>
        </w:rPr>
        <w:t>, with its assets stripped and now in the hands of Newco, run by the same directors.</w:t>
      </w:r>
    </w:p>
    <w:p w14:paraId="54DF90E8" w14:textId="77777777" w:rsidR="006E76C7" w:rsidRPr="00294B46" w:rsidRDefault="006E76C7" w:rsidP="00294B46">
      <w:pPr>
        <w:spacing w:after="0" w:line="240" w:lineRule="auto"/>
        <w:jc w:val="both"/>
        <w:rPr>
          <w:rFonts w:ascii="Times New Roman" w:hAnsi="Times New Roman" w:cs="Times New Roman"/>
          <w:sz w:val="24"/>
          <w:szCs w:val="24"/>
        </w:rPr>
      </w:pPr>
    </w:p>
    <w:p w14:paraId="1FC6E5BB" w14:textId="4A766390" w:rsidR="004D278C" w:rsidRPr="00294B46" w:rsidRDefault="00D33D93" w:rsidP="00294B46">
      <w:pPr>
        <w:spacing w:after="0" w:line="240" w:lineRule="auto"/>
        <w:jc w:val="both"/>
        <w:rPr>
          <w:rFonts w:ascii="Times New Roman" w:hAnsi="Times New Roman" w:cs="Times New Roman"/>
          <w:sz w:val="24"/>
          <w:szCs w:val="24"/>
        </w:rPr>
      </w:pPr>
      <w:r w:rsidRPr="00294B46">
        <w:rPr>
          <w:rFonts w:ascii="Times New Roman" w:hAnsi="Times New Roman" w:cs="Times New Roman"/>
          <w:sz w:val="24"/>
          <w:szCs w:val="24"/>
        </w:rPr>
        <w:lastRenderedPageBreak/>
        <w:t>However, since 2000, insolvent trading has also included</w:t>
      </w:r>
      <w:r w:rsidR="009838D1" w:rsidRPr="00294B46">
        <w:rPr>
          <w:rStyle w:val="FootnoteReference"/>
          <w:rFonts w:ascii="Times New Roman" w:hAnsi="Times New Roman" w:cs="Times New Roman"/>
          <w:sz w:val="24"/>
          <w:szCs w:val="24"/>
        </w:rPr>
        <w:footnoteReference w:id="2"/>
      </w:r>
      <w:r w:rsidRPr="00294B46">
        <w:rPr>
          <w:rFonts w:ascii="Times New Roman" w:hAnsi="Times New Roman" w:cs="Times New Roman"/>
          <w:sz w:val="24"/>
          <w:szCs w:val="24"/>
        </w:rPr>
        <w:t xml:space="preserve"> ‘uncommercial transactions’ as defined by s 588FB of the Act. These are transactions </w:t>
      </w:r>
      <w:r w:rsidR="004D278C" w:rsidRPr="00294B46">
        <w:rPr>
          <w:rFonts w:ascii="Times New Roman" w:hAnsi="Times New Roman" w:cs="Times New Roman"/>
          <w:sz w:val="24"/>
          <w:szCs w:val="24"/>
        </w:rPr>
        <w:t>of the company that ‘</w:t>
      </w:r>
      <w:r w:rsidR="004D278C" w:rsidRPr="00294B46">
        <w:rPr>
          <w:rFonts w:ascii="Times New Roman" w:hAnsi="Times New Roman" w:cs="Times New Roman"/>
          <w:i/>
          <w:sz w:val="24"/>
          <w:szCs w:val="24"/>
        </w:rPr>
        <w:t xml:space="preserve">a reasonable person in the company's circumstances would not have entered </w:t>
      </w:r>
      <w:r w:rsidR="006928A3">
        <w:rPr>
          <w:rFonts w:ascii="Times New Roman" w:hAnsi="Times New Roman" w:cs="Times New Roman"/>
          <w:i/>
          <w:sz w:val="24"/>
          <w:szCs w:val="24"/>
        </w:rPr>
        <w:t>…</w:t>
      </w:r>
      <w:r w:rsidR="004D278C" w:rsidRPr="00294B46">
        <w:rPr>
          <w:rFonts w:ascii="Times New Roman" w:hAnsi="Times New Roman" w:cs="Times New Roman"/>
          <w:sz w:val="24"/>
          <w:szCs w:val="24"/>
        </w:rPr>
        <w:t xml:space="preserve">, having </w:t>
      </w:r>
      <w:proofErr w:type="gramStart"/>
      <w:r w:rsidR="004D278C" w:rsidRPr="00294B46">
        <w:rPr>
          <w:rFonts w:ascii="Times New Roman" w:hAnsi="Times New Roman" w:cs="Times New Roman"/>
          <w:sz w:val="24"/>
          <w:szCs w:val="24"/>
        </w:rPr>
        <w:t>regard</w:t>
      </w:r>
      <w:proofErr w:type="gramEnd"/>
      <w:r w:rsidR="004D278C" w:rsidRPr="00294B46">
        <w:rPr>
          <w:rFonts w:ascii="Times New Roman" w:hAnsi="Times New Roman" w:cs="Times New Roman"/>
          <w:sz w:val="24"/>
          <w:szCs w:val="24"/>
        </w:rPr>
        <w:t xml:space="preserve"> to: </w:t>
      </w:r>
    </w:p>
    <w:p w14:paraId="2C67FB6B" w14:textId="77777777" w:rsidR="004D278C" w:rsidRPr="00294B46" w:rsidRDefault="004D278C" w:rsidP="00294B46">
      <w:pPr>
        <w:spacing w:after="0" w:line="240" w:lineRule="auto"/>
        <w:jc w:val="both"/>
        <w:rPr>
          <w:rFonts w:ascii="Times New Roman" w:hAnsi="Times New Roman" w:cs="Times New Roman"/>
          <w:sz w:val="24"/>
          <w:szCs w:val="24"/>
        </w:rPr>
      </w:pPr>
      <w:r w:rsidRPr="00294B46">
        <w:rPr>
          <w:rFonts w:ascii="Times New Roman" w:hAnsi="Times New Roman" w:cs="Times New Roman"/>
          <w:sz w:val="24"/>
          <w:szCs w:val="24"/>
        </w:rPr>
        <w:t xml:space="preserve">                     (a)  </w:t>
      </w:r>
      <w:proofErr w:type="gramStart"/>
      <w:r w:rsidRPr="00294B46">
        <w:rPr>
          <w:rFonts w:ascii="Times New Roman" w:hAnsi="Times New Roman" w:cs="Times New Roman"/>
          <w:sz w:val="24"/>
          <w:szCs w:val="24"/>
        </w:rPr>
        <w:t>the</w:t>
      </w:r>
      <w:proofErr w:type="gramEnd"/>
      <w:r w:rsidRPr="00294B46">
        <w:rPr>
          <w:rFonts w:ascii="Times New Roman" w:hAnsi="Times New Roman" w:cs="Times New Roman"/>
          <w:sz w:val="24"/>
          <w:szCs w:val="24"/>
        </w:rPr>
        <w:t xml:space="preserve"> benefits (if any) to the company of entering into the transaction; and </w:t>
      </w:r>
    </w:p>
    <w:p w14:paraId="2C251276" w14:textId="77777777" w:rsidR="004D278C" w:rsidRPr="00294B46" w:rsidRDefault="004D278C" w:rsidP="00294B46">
      <w:pPr>
        <w:spacing w:after="0" w:line="240" w:lineRule="auto"/>
        <w:jc w:val="both"/>
        <w:rPr>
          <w:rFonts w:ascii="Times New Roman" w:hAnsi="Times New Roman" w:cs="Times New Roman"/>
          <w:sz w:val="24"/>
          <w:szCs w:val="24"/>
        </w:rPr>
      </w:pPr>
      <w:r w:rsidRPr="00294B46">
        <w:rPr>
          <w:rFonts w:ascii="Times New Roman" w:hAnsi="Times New Roman" w:cs="Times New Roman"/>
          <w:sz w:val="24"/>
          <w:szCs w:val="24"/>
        </w:rPr>
        <w:t xml:space="preserve">                     (b)  </w:t>
      </w:r>
      <w:proofErr w:type="gramStart"/>
      <w:r w:rsidRPr="00294B46">
        <w:rPr>
          <w:rFonts w:ascii="Times New Roman" w:hAnsi="Times New Roman" w:cs="Times New Roman"/>
          <w:sz w:val="24"/>
          <w:szCs w:val="24"/>
        </w:rPr>
        <w:t>the</w:t>
      </w:r>
      <w:proofErr w:type="gramEnd"/>
      <w:r w:rsidRPr="00294B46">
        <w:rPr>
          <w:rFonts w:ascii="Times New Roman" w:hAnsi="Times New Roman" w:cs="Times New Roman"/>
          <w:sz w:val="24"/>
          <w:szCs w:val="24"/>
        </w:rPr>
        <w:t xml:space="preserve"> detriment to the company of entering into the transaction; and </w:t>
      </w:r>
    </w:p>
    <w:p w14:paraId="2542037F" w14:textId="26AB3139" w:rsidR="004D278C" w:rsidRPr="00294B46" w:rsidRDefault="004D278C" w:rsidP="000C431A">
      <w:pPr>
        <w:spacing w:after="0" w:line="240" w:lineRule="auto"/>
        <w:ind w:left="1701" w:hanging="1701"/>
        <w:jc w:val="both"/>
        <w:rPr>
          <w:rFonts w:ascii="Times New Roman" w:hAnsi="Times New Roman" w:cs="Times New Roman"/>
          <w:sz w:val="24"/>
          <w:szCs w:val="24"/>
        </w:rPr>
      </w:pPr>
      <w:r w:rsidRPr="00294B46">
        <w:rPr>
          <w:rFonts w:ascii="Times New Roman" w:hAnsi="Times New Roman" w:cs="Times New Roman"/>
          <w:sz w:val="24"/>
          <w:szCs w:val="24"/>
        </w:rPr>
        <w:t xml:space="preserve">                     (c)  </w:t>
      </w:r>
      <w:proofErr w:type="gramStart"/>
      <w:r w:rsidRPr="00294B46">
        <w:rPr>
          <w:rFonts w:ascii="Times New Roman" w:hAnsi="Times New Roman" w:cs="Times New Roman"/>
          <w:sz w:val="24"/>
          <w:szCs w:val="24"/>
        </w:rPr>
        <w:t>the</w:t>
      </w:r>
      <w:proofErr w:type="gramEnd"/>
      <w:r w:rsidRPr="00294B46">
        <w:rPr>
          <w:rFonts w:ascii="Times New Roman" w:hAnsi="Times New Roman" w:cs="Times New Roman"/>
          <w:sz w:val="24"/>
          <w:szCs w:val="24"/>
        </w:rPr>
        <w:t xml:space="preserve"> respective benefits to other parties to the transaction of entering into it;</w:t>
      </w:r>
      <w:r w:rsidR="00FF2DD2">
        <w:rPr>
          <w:rFonts w:ascii="Times New Roman" w:hAnsi="Times New Roman" w:cs="Times New Roman"/>
          <w:sz w:val="24"/>
          <w:szCs w:val="24"/>
        </w:rPr>
        <w:t xml:space="preserve"> </w:t>
      </w:r>
      <w:r w:rsidRPr="00294B46">
        <w:rPr>
          <w:rFonts w:ascii="Times New Roman" w:hAnsi="Times New Roman" w:cs="Times New Roman"/>
          <w:sz w:val="24"/>
          <w:szCs w:val="24"/>
        </w:rPr>
        <w:t xml:space="preserve">and </w:t>
      </w:r>
    </w:p>
    <w:p w14:paraId="708CF5AD" w14:textId="77777777" w:rsidR="00A06119" w:rsidRPr="00294B46" w:rsidRDefault="004D278C" w:rsidP="00294B46">
      <w:pPr>
        <w:spacing w:after="0" w:line="240" w:lineRule="auto"/>
        <w:jc w:val="both"/>
        <w:rPr>
          <w:rFonts w:ascii="Times New Roman" w:hAnsi="Times New Roman" w:cs="Times New Roman"/>
          <w:sz w:val="24"/>
          <w:szCs w:val="24"/>
        </w:rPr>
      </w:pPr>
      <w:r w:rsidRPr="00294B46">
        <w:rPr>
          <w:rFonts w:ascii="Times New Roman" w:hAnsi="Times New Roman" w:cs="Times New Roman"/>
          <w:sz w:val="24"/>
          <w:szCs w:val="24"/>
        </w:rPr>
        <w:t xml:space="preserve">                     (d</w:t>
      </w:r>
      <w:proofErr w:type="gramStart"/>
      <w:r w:rsidRPr="00294B46">
        <w:rPr>
          <w:rFonts w:ascii="Times New Roman" w:hAnsi="Times New Roman" w:cs="Times New Roman"/>
          <w:sz w:val="24"/>
          <w:szCs w:val="24"/>
        </w:rPr>
        <w:t>)  any</w:t>
      </w:r>
      <w:proofErr w:type="gramEnd"/>
      <w:r w:rsidRPr="00294B46">
        <w:rPr>
          <w:rFonts w:ascii="Times New Roman" w:hAnsi="Times New Roman" w:cs="Times New Roman"/>
          <w:sz w:val="24"/>
          <w:szCs w:val="24"/>
        </w:rPr>
        <w:t xml:space="preserve"> other relevant matter.’</w:t>
      </w:r>
      <w:r w:rsidR="008033AD" w:rsidRPr="00294B46">
        <w:rPr>
          <w:rStyle w:val="FootnoteReference"/>
          <w:rFonts w:ascii="Times New Roman" w:hAnsi="Times New Roman" w:cs="Times New Roman"/>
          <w:sz w:val="24"/>
          <w:szCs w:val="24"/>
        </w:rPr>
        <w:footnoteReference w:id="3"/>
      </w:r>
    </w:p>
    <w:p w14:paraId="6AB9E62E" w14:textId="77777777" w:rsidR="009838D1" w:rsidRPr="00294B46" w:rsidRDefault="009838D1" w:rsidP="00294B46">
      <w:pPr>
        <w:spacing w:after="0" w:line="240" w:lineRule="auto"/>
        <w:jc w:val="both"/>
        <w:rPr>
          <w:rFonts w:ascii="Times New Roman" w:hAnsi="Times New Roman" w:cs="Times New Roman"/>
          <w:sz w:val="24"/>
          <w:szCs w:val="24"/>
        </w:rPr>
      </w:pPr>
    </w:p>
    <w:p w14:paraId="78C0681F" w14:textId="77777777" w:rsidR="009838D1" w:rsidRPr="00294B46" w:rsidRDefault="008033AD" w:rsidP="00294B46">
      <w:pPr>
        <w:spacing w:after="0" w:line="240" w:lineRule="auto"/>
        <w:jc w:val="both"/>
        <w:rPr>
          <w:rFonts w:ascii="Times New Roman" w:hAnsi="Times New Roman" w:cs="Times New Roman"/>
          <w:sz w:val="24"/>
          <w:szCs w:val="24"/>
        </w:rPr>
      </w:pPr>
      <w:r w:rsidRPr="00294B46">
        <w:rPr>
          <w:rFonts w:ascii="Times New Roman" w:hAnsi="Times New Roman" w:cs="Times New Roman"/>
          <w:sz w:val="24"/>
          <w:szCs w:val="24"/>
        </w:rPr>
        <w:t>One of the reasons for including the</w:t>
      </w:r>
      <w:r w:rsidR="004D278C" w:rsidRPr="00294B46">
        <w:rPr>
          <w:rFonts w:ascii="Times New Roman" w:hAnsi="Times New Roman" w:cs="Times New Roman"/>
          <w:sz w:val="24"/>
          <w:szCs w:val="24"/>
        </w:rPr>
        <w:t xml:space="preserve"> uncommercial transaction provision in s 588G of the Act </w:t>
      </w:r>
      <w:r w:rsidRPr="00294B46">
        <w:rPr>
          <w:rFonts w:ascii="Times New Roman" w:hAnsi="Times New Roman" w:cs="Times New Roman"/>
          <w:sz w:val="24"/>
          <w:szCs w:val="24"/>
        </w:rPr>
        <w:t xml:space="preserve">was </w:t>
      </w:r>
      <w:r w:rsidR="004D278C" w:rsidRPr="00294B46">
        <w:rPr>
          <w:rFonts w:ascii="Times New Roman" w:hAnsi="Times New Roman" w:cs="Times New Roman"/>
          <w:sz w:val="24"/>
          <w:szCs w:val="24"/>
        </w:rPr>
        <w:t>to capture phoenix activity.</w:t>
      </w:r>
      <w:r w:rsidR="009B39C2" w:rsidRPr="00294B46">
        <w:rPr>
          <w:rStyle w:val="FootnoteReference"/>
          <w:rFonts w:ascii="Times New Roman" w:hAnsi="Times New Roman" w:cs="Times New Roman"/>
          <w:sz w:val="24"/>
          <w:szCs w:val="24"/>
        </w:rPr>
        <w:footnoteReference w:id="4"/>
      </w:r>
      <w:r w:rsidR="004D278C" w:rsidRPr="00294B46">
        <w:rPr>
          <w:rFonts w:ascii="Times New Roman" w:hAnsi="Times New Roman" w:cs="Times New Roman"/>
          <w:sz w:val="24"/>
          <w:szCs w:val="24"/>
        </w:rPr>
        <w:t xml:space="preserve"> For that reason, it is important to evaluate Treasury’s proposed legislation to see what effect, if any,</w:t>
      </w:r>
      <w:r w:rsidR="006928A3">
        <w:rPr>
          <w:rFonts w:ascii="Times New Roman" w:hAnsi="Times New Roman" w:cs="Times New Roman"/>
          <w:sz w:val="24"/>
          <w:szCs w:val="24"/>
        </w:rPr>
        <w:t xml:space="preserve"> the safe harbour</w:t>
      </w:r>
      <w:r w:rsidR="004D278C" w:rsidRPr="00294B46">
        <w:rPr>
          <w:rFonts w:ascii="Times New Roman" w:hAnsi="Times New Roman" w:cs="Times New Roman"/>
          <w:sz w:val="24"/>
          <w:szCs w:val="24"/>
        </w:rPr>
        <w:t xml:space="preserve"> might have on phoenix activity.</w:t>
      </w:r>
    </w:p>
    <w:p w14:paraId="08675F4E" w14:textId="77777777" w:rsidR="004D278C" w:rsidRPr="00294B46" w:rsidRDefault="004D278C" w:rsidP="00294B46">
      <w:pPr>
        <w:spacing w:after="0" w:line="240" w:lineRule="auto"/>
        <w:jc w:val="both"/>
        <w:rPr>
          <w:rFonts w:ascii="Times New Roman" w:hAnsi="Times New Roman" w:cs="Times New Roman"/>
          <w:sz w:val="24"/>
          <w:szCs w:val="24"/>
        </w:rPr>
      </w:pPr>
    </w:p>
    <w:p w14:paraId="00BFF880" w14:textId="77777777" w:rsidR="004D278C" w:rsidRPr="00294B46" w:rsidRDefault="004D278C" w:rsidP="00294B46">
      <w:pPr>
        <w:spacing w:after="0" w:line="240" w:lineRule="auto"/>
        <w:jc w:val="both"/>
        <w:rPr>
          <w:rFonts w:ascii="Times New Roman" w:hAnsi="Times New Roman" w:cs="Times New Roman"/>
          <w:sz w:val="24"/>
          <w:szCs w:val="24"/>
          <w:u w:val="single"/>
        </w:rPr>
      </w:pPr>
      <w:r w:rsidRPr="00294B46">
        <w:rPr>
          <w:rFonts w:ascii="Times New Roman" w:hAnsi="Times New Roman" w:cs="Times New Roman"/>
          <w:sz w:val="24"/>
          <w:szCs w:val="24"/>
          <w:u w:val="single"/>
        </w:rPr>
        <w:t>The Proposed Legislation</w:t>
      </w:r>
    </w:p>
    <w:p w14:paraId="5FACECB6" w14:textId="4426E1DB" w:rsidR="005B70DB" w:rsidRPr="00294B46" w:rsidRDefault="004D278C" w:rsidP="00294B46">
      <w:pPr>
        <w:spacing w:after="0" w:line="240" w:lineRule="auto"/>
        <w:jc w:val="both"/>
        <w:rPr>
          <w:rFonts w:ascii="Times New Roman" w:hAnsi="Times New Roman" w:cs="Times New Roman"/>
          <w:sz w:val="24"/>
          <w:szCs w:val="24"/>
        </w:rPr>
      </w:pPr>
      <w:r w:rsidRPr="00294B46">
        <w:rPr>
          <w:rFonts w:ascii="Times New Roman" w:hAnsi="Times New Roman" w:cs="Times New Roman"/>
          <w:sz w:val="24"/>
          <w:szCs w:val="24"/>
        </w:rPr>
        <w:t xml:space="preserve">The draft s </w:t>
      </w:r>
      <w:proofErr w:type="gramStart"/>
      <w:r w:rsidRPr="00294B46">
        <w:rPr>
          <w:rFonts w:ascii="Times New Roman" w:hAnsi="Times New Roman" w:cs="Times New Roman"/>
          <w:sz w:val="24"/>
          <w:szCs w:val="24"/>
        </w:rPr>
        <w:t>588GA</w:t>
      </w:r>
      <w:r w:rsidR="003E792F" w:rsidRPr="00294B46">
        <w:rPr>
          <w:rFonts w:ascii="Times New Roman" w:hAnsi="Times New Roman" w:cs="Times New Roman"/>
          <w:sz w:val="24"/>
          <w:szCs w:val="24"/>
        </w:rPr>
        <w:t>(</w:t>
      </w:r>
      <w:proofErr w:type="gramEnd"/>
      <w:r w:rsidR="003E792F" w:rsidRPr="00294B46">
        <w:rPr>
          <w:rFonts w:ascii="Times New Roman" w:hAnsi="Times New Roman" w:cs="Times New Roman"/>
          <w:sz w:val="24"/>
          <w:szCs w:val="24"/>
        </w:rPr>
        <w:t>1)</w:t>
      </w:r>
      <w:r w:rsidRPr="00294B46">
        <w:rPr>
          <w:rFonts w:ascii="Times New Roman" w:hAnsi="Times New Roman" w:cs="Times New Roman"/>
          <w:sz w:val="24"/>
          <w:szCs w:val="24"/>
        </w:rPr>
        <w:t xml:space="preserve"> safe harbour </w:t>
      </w:r>
      <w:r w:rsidR="005B70DB" w:rsidRPr="00294B46">
        <w:rPr>
          <w:rFonts w:ascii="Times New Roman" w:hAnsi="Times New Roman" w:cs="Times New Roman"/>
          <w:sz w:val="24"/>
          <w:szCs w:val="24"/>
        </w:rPr>
        <w:t xml:space="preserve">relates only to s 588G(2) liability, which is a civil penalty breach. Appropriately, it does not apply to criminal liability under s </w:t>
      </w:r>
      <w:proofErr w:type="gramStart"/>
      <w:r w:rsidR="005B70DB" w:rsidRPr="00294B46">
        <w:rPr>
          <w:rFonts w:ascii="Times New Roman" w:hAnsi="Times New Roman" w:cs="Times New Roman"/>
          <w:sz w:val="24"/>
          <w:szCs w:val="24"/>
        </w:rPr>
        <w:t>588G(</w:t>
      </w:r>
      <w:proofErr w:type="gramEnd"/>
      <w:r w:rsidR="005B70DB" w:rsidRPr="00294B46">
        <w:rPr>
          <w:rFonts w:ascii="Times New Roman" w:hAnsi="Times New Roman" w:cs="Times New Roman"/>
          <w:sz w:val="24"/>
          <w:szCs w:val="24"/>
        </w:rPr>
        <w:t>3) where the breach involves dishonesty. This is not to say that there is a neat bifurcation between ‘honest’ insolvent trading under sub</w:t>
      </w:r>
      <w:r w:rsidR="008E3D6E">
        <w:rPr>
          <w:rFonts w:ascii="Times New Roman" w:hAnsi="Times New Roman" w:cs="Times New Roman"/>
          <w:sz w:val="24"/>
          <w:szCs w:val="24"/>
        </w:rPr>
        <w:t>-</w:t>
      </w:r>
      <w:r w:rsidR="005B70DB" w:rsidRPr="00294B46">
        <w:rPr>
          <w:rFonts w:ascii="Times New Roman" w:hAnsi="Times New Roman" w:cs="Times New Roman"/>
          <w:sz w:val="24"/>
          <w:szCs w:val="24"/>
        </w:rPr>
        <w:t>s</w:t>
      </w:r>
      <w:r w:rsidR="006928A3">
        <w:rPr>
          <w:rFonts w:ascii="Times New Roman" w:hAnsi="Times New Roman" w:cs="Times New Roman"/>
          <w:sz w:val="24"/>
          <w:szCs w:val="24"/>
        </w:rPr>
        <w:t xml:space="preserve"> </w:t>
      </w:r>
      <w:r w:rsidR="005B70DB" w:rsidRPr="00294B46">
        <w:rPr>
          <w:rFonts w:ascii="Times New Roman" w:hAnsi="Times New Roman" w:cs="Times New Roman"/>
          <w:sz w:val="24"/>
          <w:szCs w:val="24"/>
        </w:rPr>
        <w:t>(2) and ‘dishonest’ under sub</w:t>
      </w:r>
      <w:r w:rsidR="008E3D6E">
        <w:rPr>
          <w:rFonts w:ascii="Times New Roman" w:hAnsi="Times New Roman" w:cs="Times New Roman"/>
          <w:sz w:val="24"/>
          <w:szCs w:val="24"/>
        </w:rPr>
        <w:t>-</w:t>
      </w:r>
      <w:r w:rsidR="005B70DB" w:rsidRPr="00294B46">
        <w:rPr>
          <w:rFonts w:ascii="Times New Roman" w:hAnsi="Times New Roman" w:cs="Times New Roman"/>
          <w:sz w:val="24"/>
          <w:szCs w:val="24"/>
        </w:rPr>
        <w:t>s</w:t>
      </w:r>
      <w:r w:rsidR="006928A3">
        <w:rPr>
          <w:rFonts w:ascii="Times New Roman" w:hAnsi="Times New Roman" w:cs="Times New Roman"/>
          <w:sz w:val="24"/>
          <w:szCs w:val="24"/>
        </w:rPr>
        <w:t xml:space="preserve"> </w:t>
      </w:r>
      <w:r w:rsidR="005B70DB" w:rsidRPr="00294B46">
        <w:rPr>
          <w:rFonts w:ascii="Times New Roman" w:hAnsi="Times New Roman" w:cs="Times New Roman"/>
          <w:sz w:val="24"/>
          <w:szCs w:val="24"/>
        </w:rPr>
        <w:t>(3). Rather, cases will be brought under sub</w:t>
      </w:r>
      <w:r w:rsidR="008E3D6E">
        <w:rPr>
          <w:rFonts w:ascii="Times New Roman" w:hAnsi="Times New Roman" w:cs="Times New Roman"/>
          <w:sz w:val="24"/>
          <w:szCs w:val="24"/>
        </w:rPr>
        <w:t>-</w:t>
      </w:r>
      <w:r w:rsidR="005B70DB" w:rsidRPr="00294B46">
        <w:rPr>
          <w:rFonts w:ascii="Times New Roman" w:hAnsi="Times New Roman" w:cs="Times New Roman"/>
          <w:sz w:val="24"/>
          <w:szCs w:val="24"/>
        </w:rPr>
        <w:t>s (2) where the burden on the prosecution of proving dishonesty makes a civil penalty case prudent.</w:t>
      </w:r>
    </w:p>
    <w:p w14:paraId="0801F463" w14:textId="77777777" w:rsidR="005B70DB" w:rsidRPr="00294B46" w:rsidRDefault="005B70DB" w:rsidP="00294B46">
      <w:pPr>
        <w:spacing w:after="0" w:line="240" w:lineRule="auto"/>
        <w:jc w:val="both"/>
        <w:rPr>
          <w:rFonts w:ascii="Times New Roman" w:hAnsi="Times New Roman" w:cs="Times New Roman"/>
          <w:sz w:val="24"/>
          <w:szCs w:val="24"/>
        </w:rPr>
      </w:pPr>
    </w:p>
    <w:p w14:paraId="4E0938FB" w14:textId="293ED527" w:rsidR="005B70DB" w:rsidRPr="00294B46" w:rsidRDefault="005B70DB" w:rsidP="00294B46">
      <w:pPr>
        <w:spacing w:after="0" w:line="240" w:lineRule="auto"/>
        <w:jc w:val="both"/>
        <w:rPr>
          <w:rFonts w:ascii="Times New Roman" w:hAnsi="Times New Roman" w:cs="Times New Roman"/>
          <w:sz w:val="24"/>
          <w:szCs w:val="24"/>
        </w:rPr>
      </w:pPr>
      <w:r w:rsidRPr="00294B46">
        <w:rPr>
          <w:rFonts w:ascii="Times New Roman" w:hAnsi="Times New Roman" w:cs="Times New Roman"/>
          <w:sz w:val="24"/>
          <w:szCs w:val="24"/>
        </w:rPr>
        <w:t xml:space="preserve">The safe harbour provision is </w:t>
      </w:r>
      <w:r w:rsidR="006928A3">
        <w:rPr>
          <w:rFonts w:ascii="Times New Roman" w:hAnsi="Times New Roman" w:cs="Times New Roman"/>
          <w:sz w:val="24"/>
          <w:szCs w:val="24"/>
        </w:rPr>
        <w:t>expressed</w:t>
      </w:r>
      <w:r w:rsidRPr="00294B46">
        <w:rPr>
          <w:rFonts w:ascii="Times New Roman" w:hAnsi="Times New Roman" w:cs="Times New Roman"/>
          <w:sz w:val="24"/>
          <w:szCs w:val="24"/>
        </w:rPr>
        <w:t xml:space="preserve"> as a ‘carve out’ in the sense that it says ‘[s]</w:t>
      </w:r>
      <w:proofErr w:type="spellStart"/>
      <w:r w:rsidRPr="00294B46">
        <w:rPr>
          <w:rFonts w:ascii="Times New Roman" w:hAnsi="Times New Roman" w:cs="Times New Roman"/>
          <w:sz w:val="24"/>
          <w:szCs w:val="24"/>
        </w:rPr>
        <w:t>ubsection</w:t>
      </w:r>
      <w:proofErr w:type="spellEnd"/>
      <w:r w:rsidRPr="00294B46">
        <w:rPr>
          <w:rFonts w:ascii="Times New Roman" w:hAnsi="Times New Roman" w:cs="Times New Roman"/>
          <w:sz w:val="24"/>
          <w:szCs w:val="24"/>
        </w:rPr>
        <w:t xml:space="preserve"> 588G(2) will not apply’</w:t>
      </w:r>
      <w:r w:rsidR="009B348A" w:rsidRPr="00294B46">
        <w:rPr>
          <w:rFonts w:ascii="Times New Roman" w:hAnsi="Times New Roman" w:cs="Times New Roman"/>
          <w:sz w:val="24"/>
          <w:szCs w:val="24"/>
        </w:rPr>
        <w:t xml:space="preserve"> rather than ‘it is a defence if it is proved that …’. Nonetheless,</w:t>
      </w:r>
      <w:r w:rsidRPr="00294B46">
        <w:rPr>
          <w:rFonts w:ascii="Times New Roman" w:hAnsi="Times New Roman" w:cs="Times New Roman"/>
          <w:sz w:val="24"/>
          <w:szCs w:val="24"/>
        </w:rPr>
        <w:t xml:space="preserve"> it is interesting to note that the</w:t>
      </w:r>
      <w:r w:rsidR="003B636C">
        <w:rPr>
          <w:rFonts w:ascii="Times New Roman" w:hAnsi="Times New Roman" w:cs="Times New Roman"/>
          <w:sz w:val="24"/>
          <w:szCs w:val="24"/>
        </w:rPr>
        <w:t xml:space="preserve"> notes to draft s 588GA both refer to the section as a defence,</w:t>
      </w:r>
      <w:r w:rsidR="003B636C">
        <w:rPr>
          <w:rStyle w:val="FootnoteReference"/>
          <w:rFonts w:ascii="Times New Roman" w:hAnsi="Times New Roman" w:cs="Times New Roman"/>
          <w:sz w:val="24"/>
          <w:szCs w:val="24"/>
        </w:rPr>
        <w:footnoteReference w:id="5"/>
      </w:r>
      <w:r w:rsidR="003B636C">
        <w:rPr>
          <w:rFonts w:ascii="Times New Roman" w:hAnsi="Times New Roman" w:cs="Times New Roman"/>
          <w:sz w:val="24"/>
          <w:szCs w:val="24"/>
        </w:rPr>
        <w:t xml:space="preserve"> and the</w:t>
      </w:r>
      <w:r w:rsidRPr="00294B46">
        <w:rPr>
          <w:rFonts w:ascii="Times New Roman" w:hAnsi="Times New Roman" w:cs="Times New Roman"/>
          <w:sz w:val="24"/>
          <w:szCs w:val="24"/>
        </w:rPr>
        <w:t xml:space="preserve"> title of s 588H is to change from ‘Defences’ to ‘Other Defences’. The important factor here is that</w:t>
      </w:r>
      <w:r w:rsidR="009B348A" w:rsidRPr="00294B46">
        <w:rPr>
          <w:rFonts w:ascii="Times New Roman" w:hAnsi="Times New Roman" w:cs="Times New Roman"/>
          <w:sz w:val="24"/>
          <w:szCs w:val="24"/>
        </w:rPr>
        <w:t xml:space="preserve">, according to draft s </w:t>
      </w:r>
      <w:proofErr w:type="gramStart"/>
      <w:r w:rsidR="009B348A" w:rsidRPr="00294B46">
        <w:rPr>
          <w:rFonts w:ascii="Times New Roman" w:hAnsi="Times New Roman" w:cs="Times New Roman"/>
          <w:sz w:val="24"/>
          <w:szCs w:val="24"/>
        </w:rPr>
        <w:t>588GA(</w:t>
      </w:r>
      <w:proofErr w:type="gramEnd"/>
      <w:r w:rsidR="009B348A" w:rsidRPr="00294B46">
        <w:rPr>
          <w:rFonts w:ascii="Times New Roman" w:hAnsi="Times New Roman" w:cs="Times New Roman"/>
          <w:sz w:val="24"/>
          <w:szCs w:val="24"/>
        </w:rPr>
        <w:t>3),</w:t>
      </w:r>
      <w:r w:rsidRPr="00294B46">
        <w:rPr>
          <w:rFonts w:ascii="Times New Roman" w:hAnsi="Times New Roman" w:cs="Times New Roman"/>
          <w:sz w:val="24"/>
          <w:szCs w:val="24"/>
        </w:rPr>
        <w:t xml:space="preserve"> the director bears the evidential burden </w:t>
      </w:r>
      <w:r w:rsidR="009B348A" w:rsidRPr="00294B46">
        <w:rPr>
          <w:rFonts w:ascii="Times New Roman" w:hAnsi="Times New Roman" w:cs="Times New Roman"/>
          <w:sz w:val="24"/>
          <w:szCs w:val="24"/>
        </w:rPr>
        <w:t>of proving that they took ‘a course of action that is reasonably likely to lead to a better outcome for the company and the company’s creditors’, as required by draft s 588GA(1).</w:t>
      </w:r>
      <w:r w:rsidR="003E792F" w:rsidRPr="00294B46">
        <w:rPr>
          <w:rFonts w:ascii="Times New Roman" w:hAnsi="Times New Roman" w:cs="Times New Roman"/>
          <w:sz w:val="24"/>
          <w:szCs w:val="24"/>
        </w:rPr>
        <w:t xml:space="preserve"> ‘Better outcome’ is ‘an outcome that is better for </w:t>
      </w:r>
      <w:r w:rsidR="003E792F" w:rsidRPr="00294B46">
        <w:rPr>
          <w:rFonts w:ascii="Times New Roman" w:hAnsi="Times New Roman" w:cs="Times New Roman"/>
          <w:i/>
          <w:sz w:val="24"/>
          <w:szCs w:val="24"/>
        </w:rPr>
        <w:t>both</w:t>
      </w:r>
      <w:r w:rsidR="003E792F" w:rsidRPr="00294B46">
        <w:rPr>
          <w:rFonts w:ascii="Times New Roman" w:hAnsi="Times New Roman" w:cs="Times New Roman"/>
          <w:sz w:val="24"/>
          <w:szCs w:val="24"/>
        </w:rPr>
        <w:t>: (a) the company; and (b) the company’s creditors as a whole’</w:t>
      </w:r>
      <w:r w:rsidR="003E792F" w:rsidRPr="00294B46">
        <w:rPr>
          <w:rStyle w:val="FootnoteReference"/>
          <w:rFonts w:ascii="Times New Roman" w:hAnsi="Times New Roman" w:cs="Times New Roman"/>
          <w:sz w:val="24"/>
          <w:szCs w:val="24"/>
        </w:rPr>
        <w:footnoteReference w:id="6"/>
      </w:r>
      <w:r w:rsidR="003E792F" w:rsidRPr="00294B46">
        <w:rPr>
          <w:rFonts w:ascii="Times New Roman" w:hAnsi="Times New Roman" w:cs="Times New Roman"/>
          <w:sz w:val="24"/>
          <w:szCs w:val="24"/>
        </w:rPr>
        <w:t xml:space="preserve"> than </w:t>
      </w:r>
      <w:r w:rsidR="009B39C2" w:rsidRPr="00294B46">
        <w:rPr>
          <w:rFonts w:ascii="Times New Roman" w:hAnsi="Times New Roman" w:cs="Times New Roman"/>
          <w:sz w:val="24"/>
          <w:szCs w:val="24"/>
        </w:rPr>
        <w:t>they</w:t>
      </w:r>
      <w:r w:rsidR="003E792F" w:rsidRPr="00294B46">
        <w:rPr>
          <w:rFonts w:ascii="Times New Roman" w:hAnsi="Times New Roman" w:cs="Times New Roman"/>
          <w:sz w:val="24"/>
          <w:szCs w:val="24"/>
        </w:rPr>
        <w:t xml:space="preserve"> would otherwise have if the company entered </w:t>
      </w:r>
      <w:r w:rsidR="006928A3">
        <w:rPr>
          <w:rFonts w:ascii="Times New Roman" w:hAnsi="Times New Roman" w:cs="Times New Roman"/>
          <w:sz w:val="24"/>
          <w:szCs w:val="24"/>
        </w:rPr>
        <w:t xml:space="preserve">some form of </w:t>
      </w:r>
      <w:r w:rsidR="003E792F" w:rsidRPr="00294B46">
        <w:rPr>
          <w:rFonts w:ascii="Times New Roman" w:hAnsi="Times New Roman" w:cs="Times New Roman"/>
          <w:sz w:val="24"/>
          <w:szCs w:val="24"/>
        </w:rPr>
        <w:t>external administration under Chapter 5 of the Act.</w:t>
      </w:r>
    </w:p>
    <w:p w14:paraId="52DBC5CE" w14:textId="77777777" w:rsidR="003E792F" w:rsidRPr="00294B46" w:rsidRDefault="003E792F" w:rsidP="00294B46">
      <w:pPr>
        <w:spacing w:after="0" w:line="240" w:lineRule="auto"/>
        <w:jc w:val="both"/>
        <w:rPr>
          <w:rFonts w:ascii="Times New Roman" w:hAnsi="Times New Roman" w:cs="Times New Roman"/>
          <w:sz w:val="24"/>
          <w:szCs w:val="24"/>
        </w:rPr>
      </w:pPr>
    </w:p>
    <w:p w14:paraId="54405AC2" w14:textId="6A30BDBD" w:rsidR="003E792F" w:rsidRPr="00294B46" w:rsidRDefault="003E792F" w:rsidP="00294B46">
      <w:pPr>
        <w:spacing w:after="0" w:line="240" w:lineRule="auto"/>
        <w:jc w:val="both"/>
        <w:rPr>
          <w:rFonts w:ascii="Times New Roman" w:hAnsi="Times New Roman" w:cs="Times New Roman"/>
          <w:sz w:val="24"/>
          <w:szCs w:val="24"/>
        </w:rPr>
      </w:pPr>
      <w:r w:rsidRPr="00294B46">
        <w:rPr>
          <w:rFonts w:ascii="Times New Roman" w:hAnsi="Times New Roman" w:cs="Times New Roman"/>
          <w:sz w:val="24"/>
          <w:szCs w:val="24"/>
        </w:rPr>
        <w:t>This is not an easy burden to discharge. Under draft s 588GA(2), the court will look at steps taken</w:t>
      </w:r>
      <w:r w:rsidR="006928A3">
        <w:rPr>
          <w:rFonts w:ascii="Times New Roman" w:hAnsi="Times New Roman" w:cs="Times New Roman"/>
          <w:sz w:val="24"/>
          <w:szCs w:val="24"/>
        </w:rPr>
        <w:t>: to</w:t>
      </w:r>
      <w:r w:rsidRPr="00294B46">
        <w:rPr>
          <w:rFonts w:ascii="Times New Roman" w:hAnsi="Times New Roman" w:cs="Times New Roman"/>
          <w:sz w:val="24"/>
          <w:szCs w:val="24"/>
        </w:rPr>
        <w:t xml:space="preserve"> prevent misconduct; </w:t>
      </w:r>
      <w:r w:rsidR="006928A3">
        <w:rPr>
          <w:rFonts w:ascii="Times New Roman" w:hAnsi="Times New Roman" w:cs="Times New Roman"/>
          <w:sz w:val="24"/>
          <w:szCs w:val="24"/>
        </w:rPr>
        <w:t xml:space="preserve">to </w:t>
      </w:r>
      <w:r w:rsidRPr="00294B46">
        <w:rPr>
          <w:rFonts w:ascii="Times New Roman" w:hAnsi="Times New Roman" w:cs="Times New Roman"/>
          <w:sz w:val="24"/>
          <w:szCs w:val="24"/>
        </w:rPr>
        <w:t xml:space="preserve">ensure proper record keeping; </w:t>
      </w:r>
      <w:r w:rsidR="006928A3">
        <w:rPr>
          <w:rFonts w:ascii="Times New Roman" w:hAnsi="Times New Roman" w:cs="Times New Roman"/>
          <w:sz w:val="24"/>
          <w:szCs w:val="24"/>
        </w:rPr>
        <w:t xml:space="preserve">to </w:t>
      </w:r>
      <w:r w:rsidRPr="00294B46">
        <w:rPr>
          <w:rFonts w:ascii="Times New Roman" w:hAnsi="Times New Roman" w:cs="Times New Roman"/>
          <w:sz w:val="24"/>
          <w:szCs w:val="24"/>
        </w:rPr>
        <w:t xml:space="preserve">obtain appropriate advice; </w:t>
      </w:r>
      <w:r w:rsidR="006928A3">
        <w:rPr>
          <w:rFonts w:ascii="Times New Roman" w:hAnsi="Times New Roman" w:cs="Times New Roman"/>
          <w:sz w:val="24"/>
          <w:szCs w:val="24"/>
        </w:rPr>
        <w:t xml:space="preserve">to </w:t>
      </w:r>
      <w:r w:rsidRPr="00294B46">
        <w:rPr>
          <w:rFonts w:ascii="Times New Roman" w:hAnsi="Times New Roman" w:cs="Times New Roman"/>
          <w:sz w:val="24"/>
          <w:szCs w:val="24"/>
        </w:rPr>
        <w:t>remain informed about the company’s financial position; and</w:t>
      </w:r>
      <w:r w:rsidR="006928A3">
        <w:rPr>
          <w:rFonts w:ascii="Times New Roman" w:hAnsi="Times New Roman" w:cs="Times New Roman"/>
          <w:sz w:val="24"/>
          <w:szCs w:val="24"/>
        </w:rPr>
        <w:t xml:space="preserve"> to</w:t>
      </w:r>
      <w:r w:rsidRPr="00294B46">
        <w:rPr>
          <w:rFonts w:ascii="Times New Roman" w:hAnsi="Times New Roman" w:cs="Times New Roman"/>
          <w:sz w:val="24"/>
          <w:szCs w:val="24"/>
        </w:rPr>
        <w:t xml:space="preserve"> develop a restructuring plan for the company to improve its financial position. In particular, s 588GA(1) will not allow the director to </w:t>
      </w:r>
      <w:r w:rsidR="006928A3">
        <w:rPr>
          <w:rFonts w:ascii="Times New Roman" w:hAnsi="Times New Roman" w:cs="Times New Roman"/>
          <w:sz w:val="24"/>
          <w:szCs w:val="24"/>
        </w:rPr>
        <w:t>utilise the safe harbour</w:t>
      </w:r>
      <w:r w:rsidRPr="00294B46">
        <w:rPr>
          <w:rFonts w:ascii="Times New Roman" w:hAnsi="Times New Roman" w:cs="Times New Roman"/>
          <w:sz w:val="24"/>
          <w:szCs w:val="24"/>
        </w:rPr>
        <w:t xml:space="preserve"> if the company fails to provide for employee entitlements and </w:t>
      </w:r>
      <w:r w:rsidR="00912FA7">
        <w:rPr>
          <w:rFonts w:ascii="Times New Roman" w:hAnsi="Times New Roman" w:cs="Times New Roman"/>
          <w:sz w:val="24"/>
          <w:szCs w:val="24"/>
        </w:rPr>
        <w:t xml:space="preserve">fails to </w:t>
      </w:r>
      <w:r w:rsidRPr="00294B46">
        <w:rPr>
          <w:rFonts w:ascii="Times New Roman" w:hAnsi="Times New Roman" w:cs="Times New Roman"/>
          <w:sz w:val="24"/>
          <w:szCs w:val="24"/>
        </w:rPr>
        <w:t>keep up</w:t>
      </w:r>
      <w:r w:rsidR="0011313D">
        <w:rPr>
          <w:rFonts w:ascii="Times New Roman" w:hAnsi="Times New Roman" w:cs="Times New Roman"/>
          <w:sz w:val="24"/>
          <w:szCs w:val="24"/>
        </w:rPr>
        <w:t>-</w:t>
      </w:r>
      <w:r w:rsidRPr="00294B46">
        <w:rPr>
          <w:rFonts w:ascii="Times New Roman" w:hAnsi="Times New Roman" w:cs="Times New Roman"/>
          <w:sz w:val="24"/>
          <w:szCs w:val="24"/>
        </w:rPr>
        <w:t>to</w:t>
      </w:r>
      <w:r w:rsidR="0011313D">
        <w:rPr>
          <w:rFonts w:ascii="Times New Roman" w:hAnsi="Times New Roman" w:cs="Times New Roman"/>
          <w:sz w:val="24"/>
          <w:szCs w:val="24"/>
        </w:rPr>
        <w:t>-</w:t>
      </w:r>
      <w:r w:rsidRPr="00294B46">
        <w:rPr>
          <w:rFonts w:ascii="Times New Roman" w:hAnsi="Times New Roman" w:cs="Times New Roman"/>
          <w:sz w:val="24"/>
          <w:szCs w:val="24"/>
        </w:rPr>
        <w:t xml:space="preserve">date with taxation documentation </w:t>
      </w:r>
      <w:r w:rsidR="009B39C2" w:rsidRPr="00294B46">
        <w:rPr>
          <w:rFonts w:ascii="Times New Roman" w:hAnsi="Times New Roman" w:cs="Times New Roman"/>
          <w:sz w:val="24"/>
          <w:szCs w:val="24"/>
        </w:rPr>
        <w:t>in a way that a</w:t>
      </w:r>
      <w:r w:rsidRPr="00294B46">
        <w:rPr>
          <w:rFonts w:ascii="Times New Roman" w:hAnsi="Times New Roman" w:cs="Times New Roman"/>
          <w:sz w:val="24"/>
          <w:szCs w:val="24"/>
        </w:rPr>
        <w:t xml:space="preserve"> solvent company would</w:t>
      </w:r>
      <w:r w:rsidR="009B39C2" w:rsidRPr="00294B46">
        <w:rPr>
          <w:rFonts w:ascii="Times New Roman" w:hAnsi="Times New Roman" w:cs="Times New Roman"/>
          <w:sz w:val="24"/>
          <w:szCs w:val="24"/>
        </w:rPr>
        <w:t xml:space="preserve"> reasonably be expected to do</w:t>
      </w:r>
      <w:r w:rsidRPr="00294B46">
        <w:rPr>
          <w:rFonts w:ascii="Times New Roman" w:hAnsi="Times New Roman" w:cs="Times New Roman"/>
          <w:sz w:val="24"/>
          <w:szCs w:val="24"/>
        </w:rPr>
        <w:t>.</w:t>
      </w:r>
      <w:r w:rsidRPr="00294B46">
        <w:rPr>
          <w:rStyle w:val="FootnoteReference"/>
          <w:rFonts w:ascii="Times New Roman" w:hAnsi="Times New Roman" w:cs="Times New Roman"/>
          <w:sz w:val="24"/>
          <w:szCs w:val="24"/>
        </w:rPr>
        <w:footnoteReference w:id="7"/>
      </w:r>
    </w:p>
    <w:p w14:paraId="43E6A609" w14:textId="77777777" w:rsidR="009B39C2" w:rsidRPr="00294B46" w:rsidRDefault="009B39C2" w:rsidP="00294B46">
      <w:pPr>
        <w:spacing w:after="0" w:line="240" w:lineRule="auto"/>
        <w:jc w:val="both"/>
        <w:rPr>
          <w:rFonts w:ascii="Times New Roman" w:hAnsi="Times New Roman" w:cs="Times New Roman"/>
          <w:sz w:val="24"/>
          <w:szCs w:val="24"/>
        </w:rPr>
      </w:pPr>
    </w:p>
    <w:p w14:paraId="027C6DC8" w14:textId="77777777" w:rsidR="009B39C2" w:rsidRPr="00294B46" w:rsidRDefault="009B39C2" w:rsidP="00294B46">
      <w:pPr>
        <w:spacing w:after="0" w:line="240" w:lineRule="auto"/>
        <w:jc w:val="both"/>
        <w:rPr>
          <w:rFonts w:ascii="Times New Roman" w:hAnsi="Times New Roman" w:cs="Times New Roman"/>
          <w:sz w:val="24"/>
          <w:szCs w:val="24"/>
        </w:rPr>
      </w:pPr>
      <w:r w:rsidRPr="00294B46">
        <w:rPr>
          <w:rFonts w:ascii="Times New Roman" w:hAnsi="Times New Roman" w:cs="Times New Roman"/>
          <w:sz w:val="24"/>
          <w:szCs w:val="24"/>
        </w:rPr>
        <w:t xml:space="preserve">The combination of the onus on directors and the factors that the court will take into account mean that a person intent upon phoenix activity through an uncommercial transaction will struggle to succeed under draft s </w:t>
      </w:r>
      <w:proofErr w:type="gramStart"/>
      <w:r w:rsidRPr="00294B46">
        <w:rPr>
          <w:rFonts w:ascii="Times New Roman" w:hAnsi="Times New Roman" w:cs="Times New Roman"/>
          <w:sz w:val="24"/>
          <w:szCs w:val="24"/>
        </w:rPr>
        <w:t>588GA(</w:t>
      </w:r>
      <w:proofErr w:type="gramEnd"/>
      <w:r w:rsidRPr="00294B46">
        <w:rPr>
          <w:rFonts w:ascii="Times New Roman" w:hAnsi="Times New Roman" w:cs="Times New Roman"/>
          <w:sz w:val="24"/>
          <w:szCs w:val="24"/>
        </w:rPr>
        <w:t>1). The draft legislation also addresses the vexed question of missing books and uncooperative behaviour – a common feature of deliberate phoenix activity. It warns the director that if the company’s books and corporate information are not forthcoming as required by the liquidator or court, those cannot be relied on later by the director in seeking to make out the safe harbour.</w:t>
      </w:r>
      <w:r w:rsidRPr="00294B46">
        <w:rPr>
          <w:rStyle w:val="FootnoteReference"/>
          <w:rFonts w:ascii="Times New Roman" w:hAnsi="Times New Roman" w:cs="Times New Roman"/>
          <w:sz w:val="24"/>
          <w:szCs w:val="24"/>
        </w:rPr>
        <w:footnoteReference w:id="8"/>
      </w:r>
    </w:p>
    <w:p w14:paraId="7A8C4235" w14:textId="77777777" w:rsidR="005B70DB" w:rsidRPr="00294B46" w:rsidRDefault="005B70DB" w:rsidP="00294B46">
      <w:pPr>
        <w:spacing w:after="0" w:line="240" w:lineRule="auto"/>
        <w:jc w:val="both"/>
        <w:rPr>
          <w:rFonts w:ascii="Times New Roman" w:hAnsi="Times New Roman" w:cs="Times New Roman"/>
          <w:sz w:val="24"/>
          <w:szCs w:val="24"/>
        </w:rPr>
      </w:pPr>
    </w:p>
    <w:p w14:paraId="71D4E011" w14:textId="77777777" w:rsidR="009838D1" w:rsidRPr="00294B46" w:rsidRDefault="008033AD" w:rsidP="00294B46">
      <w:pPr>
        <w:spacing w:after="0" w:line="240" w:lineRule="auto"/>
        <w:jc w:val="both"/>
        <w:rPr>
          <w:rFonts w:ascii="Times New Roman" w:hAnsi="Times New Roman" w:cs="Times New Roman"/>
          <w:b/>
          <w:sz w:val="24"/>
          <w:szCs w:val="24"/>
        </w:rPr>
      </w:pPr>
      <w:r w:rsidRPr="00294B46">
        <w:rPr>
          <w:rFonts w:ascii="Times New Roman" w:hAnsi="Times New Roman" w:cs="Times New Roman"/>
          <w:b/>
          <w:sz w:val="24"/>
          <w:szCs w:val="24"/>
        </w:rPr>
        <w:t>Therefore, we believe that Treasury’s draft safe harbour proposal is unlikely to have the effect of encouraging insolvent trading that involves uncommercial transactions in the context of phoenix activity.</w:t>
      </w:r>
    </w:p>
    <w:p w14:paraId="0EA4E3D7" w14:textId="77777777" w:rsidR="009838D1" w:rsidRPr="00BD7D15" w:rsidRDefault="009838D1" w:rsidP="00294B46">
      <w:pPr>
        <w:spacing w:after="0" w:line="240" w:lineRule="auto"/>
        <w:rPr>
          <w:rFonts w:ascii="Times New Roman" w:hAnsi="Times New Roman" w:cs="Times New Roman"/>
          <w:sz w:val="24"/>
          <w:szCs w:val="24"/>
        </w:rPr>
      </w:pPr>
    </w:p>
    <w:p w14:paraId="3DDC7A5F" w14:textId="3F5C7C29" w:rsidR="008033AD" w:rsidRPr="00294B46" w:rsidRDefault="00BD7D15" w:rsidP="00294B46">
      <w:pPr>
        <w:spacing w:after="0" w:line="240" w:lineRule="auto"/>
        <w:jc w:val="both"/>
        <w:rPr>
          <w:rFonts w:ascii="Times New Roman" w:hAnsi="Times New Roman" w:cs="Times New Roman"/>
          <w:sz w:val="24"/>
          <w:szCs w:val="24"/>
        </w:rPr>
      </w:pPr>
      <w:r w:rsidRPr="00BD7D15">
        <w:rPr>
          <w:rFonts w:ascii="Times New Roman" w:hAnsi="Times New Roman" w:cs="Times New Roman"/>
          <w:sz w:val="24"/>
          <w:szCs w:val="24"/>
        </w:rPr>
        <w:t>However, in our opinion,</w:t>
      </w:r>
      <w:r w:rsidR="00F03A98" w:rsidRPr="00BD7D15">
        <w:rPr>
          <w:rFonts w:ascii="Times New Roman" w:hAnsi="Times New Roman" w:cs="Times New Roman"/>
          <w:sz w:val="24"/>
          <w:szCs w:val="24"/>
        </w:rPr>
        <w:t xml:space="preserve"> significant difficulties remain in the regulation of uncommercial transactions in the context of phoenix activity.</w:t>
      </w:r>
      <w:r w:rsidRPr="00BD7D15">
        <w:rPr>
          <w:rFonts w:ascii="Times New Roman" w:hAnsi="Times New Roman" w:cs="Times New Roman"/>
          <w:sz w:val="24"/>
          <w:szCs w:val="24"/>
        </w:rPr>
        <w:t xml:space="preserve"> </w:t>
      </w:r>
      <w:r w:rsidR="008033AD" w:rsidRPr="00BD7D15">
        <w:rPr>
          <w:rFonts w:ascii="Times New Roman" w:hAnsi="Times New Roman" w:cs="Times New Roman"/>
          <w:sz w:val="24"/>
          <w:szCs w:val="24"/>
        </w:rPr>
        <w:t xml:space="preserve">Our research has found that asset transfers between </w:t>
      </w:r>
      <w:proofErr w:type="spellStart"/>
      <w:r w:rsidR="008033AD" w:rsidRPr="00BD7D15">
        <w:rPr>
          <w:rFonts w:ascii="Times New Roman" w:hAnsi="Times New Roman" w:cs="Times New Roman"/>
          <w:sz w:val="24"/>
          <w:szCs w:val="24"/>
        </w:rPr>
        <w:t>Oldco</w:t>
      </w:r>
      <w:proofErr w:type="spellEnd"/>
      <w:r w:rsidR="008033AD" w:rsidRPr="00BD7D15">
        <w:rPr>
          <w:rFonts w:ascii="Times New Roman" w:hAnsi="Times New Roman" w:cs="Times New Roman"/>
          <w:sz w:val="24"/>
          <w:szCs w:val="24"/>
        </w:rPr>
        <w:t xml:space="preserve"> and Newco are considered problematic</w:t>
      </w:r>
      <w:r w:rsidR="008033AD" w:rsidRPr="00294B46">
        <w:rPr>
          <w:rFonts w:ascii="Times New Roman" w:hAnsi="Times New Roman" w:cs="Times New Roman"/>
          <w:sz w:val="24"/>
          <w:szCs w:val="24"/>
        </w:rPr>
        <w:t xml:space="preserve"> to liquidators and ASIC because of a lack of evidence of wrongdoing. </w:t>
      </w:r>
      <w:r w:rsidR="00807958" w:rsidRPr="00294B46">
        <w:rPr>
          <w:rFonts w:ascii="Times New Roman" w:hAnsi="Times New Roman" w:cs="Times New Roman"/>
          <w:sz w:val="24"/>
          <w:szCs w:val="24"/>
        </w:rPr>
        <w:t>The transfer itself proves nothing</w:t>
      </w:r>
      <w:r w:rsidR="00420063">
        <w:rPr>
          <w:rFonts w:ascii="Times New Roman" w:hAnsi="Times New Roman" w:cs="Times New Roman"/>
          <w:sz w:val="24"/>
          <w:szCs w:val="24"/>
        </w:rPr>
        <w:t xml:space="preserve">: </w:t>
      </w:r>
      <w:r w:rsidR="00807958" w:rsidRPr="00294B46">
        <w:rPr>
          <w:rFonts w:ascii="Times New Roman" w:hAnsi="Times New Roman" w:cs="Times New Roman"/>
          <w:sz w:val="24"/>
          <w:szCs w:val="24"/>
        </w:rPr>
        <w:t xml:space="preserve">Newco may have been the highest or only bidder for the assets. Costly investigations must be undertaken. This is problematic in the phoenix context where commonly </w:t>
      </w:r>
      <w:proofErr w:type="spellStart"/>
      <w:r w:rsidR="00807958" w:rsidRPr="00294B46">
        <w:rPr>
          <w:rFonts w:ascii="Times New Roman" w:hAnsi="Times New Roman" w:cs="Times New Roman"/>
          <w:sz w:val="24"/>
          <w:szCs w:val="24"/>
        </w:rPr>
        <w:t>Oldco</w:t>
      </w:r>
      <w:proofErr w:type="spellEnd"/>
      <w:r w:rsidR="00807958" w:rsidRPr="00294B46">
        <w:rPr>
          <w:rFonts w:ascii="Times New Roman" w:hAnsi="Times New Roman" w:cs="Times New Roman"/>
          <w:sz w:val="24"/>
          <w:szCs w:val="24"/>
        </w:rPr>
        <w:t xml:space="preserve"> has few assets to pay for the liquidator’s time</w:t>
      </w:r>
      <w:r w:rsidR="00420063">
        <w:rPr>
          <w:rFonts w:ascii="Times New Roman" w:hAnsi="Times New Roman" w:cs="Times New Roman"/>
          <w:sz w:val="24"/>
          <w:szCs w:val="24"/>
        </w:rPr>
        <w:t xml:space="preserve">. The </w:t>
      </w:r>
      <w:r w:rsidR="00420063">
        <w:rPr>
          <w:rFonts w:ascii="Times New Roman" w:hAnsi="Times New Roman" w:cs="Times New Roman"/>
          <w:i/>
          <w:sz w:val="24"/>
          <w:szCs w:val="24"/>
        </w:rPr>
        <w:t>Corporations Act</w:t>
      </w:r>
      <w:r w:rsidR="00807958" w:rsidRPr="00294B46">
        <w:rPr>
          <w:rFonts w:ascii="Times New Roman" w:hAnsi="Times New Roman" w:cs="Times New Roman"/>
          <w:sz w:val="24"/>
          <w:szCs w:val="24"/>
        </w:rPr>
        <w:t xml:space="preserve"> expressly states that </w:t>
      </w:r>
      <w:r w:rsidR="00912FA7">
        <w:rPr>
          <w:rFonts w:ascii="Times New Roman" w:hAnsi="Times New Roman" w:cs="Times New Roman"/>
          <w:sz w:val="24"/>
          <w:szCs w:val="24"/>
        </w:rPr>
        <w:t xml:space="preserve">the </w:t>
      </w:r>
      <w:r w:rsidR="00807958" w:rsidRPr="00294B46">
        <w:rPr>
          <w:rFonts w:ascii="Times New Roman" w:hAnsi="Times New Roman" w:cs="Times New Roman"/>
          <w:sz w:val="24"/>
          <w:szCs w:val="24"/>
        </w:rPr>
        <w:t>liquidator is not required to do this work for free.</w:t>
      </w:r>
      <w:r w:rsidR="00807958" w:rsidRPr="00294B46">
        <w:rPr>
          <w:rStyle w:val="FootnoteReference"/>
          <w:rFonts w:ascii="Times New Roman" w:hAnsi="Times New Roman" w:cs="Times New Roman"/>
          <w:sz w:val="24"/>
          <w:szCs w:val="24"/>
        </w:rPr>
        <w:footnoteReference w:id="9"/>
      </w:r>
    </w:p>
    <w:p w14:paraId="4E4F5445" w14:textId="77777777" w:rsidR="00807958" w:rsidRPr="00294B46" w:rsidRDefault="00807958" w:rsidP="00294B46">
      <w:pPr>
        <w:spacing w:after="0" w:line="240" w:lineRule="auto"/>
        <w:jc w:val="both"/>
        <w:rPr>
          <w:rFonts w:ascii="Times New Roman" w:hAnsi="Times New Roman" w:cs="Times New Roman"/>
          <w:sz w:val="24"/>
          <w:szCs w:val="24"/>
        </w:rPr>
      </w:pPr>
    </w:p>
    <w:p w14:paraId="5460B907" w14:textId="6AEBFE68" w:rsidR="00294B46" w:rsidRPr="00294B46" w:rsidRDefault="00807958" w:rsidP="00294B46">
      <w:pPr>
        <w:spacing w:after="0" w:line="240" w:lineRule="auto"/>
        <w:jc w:val="both"/>
        <w:rPr>
          <w:rFonts w:ascii="Times New Roman" w:hAnsi="Times New Roman" w:cs="Times New Roman"/>
          <w:sz w:val="24"/>
          <w:szCs w:val="24"/>
        </w:rPr>
      </w:pPr>
      <w:r w:rsidRPr="00294B46">
        <w:rPr>
          <w:rFonts w:ascii="Times New Roman" w:hAnsi="Times New Roman" w:cs="Times New Roman"/>
          <w:sz w:val="24"/>
          <w:szCs w:val="24"/>
        </w:rPr>
        <w:t>W</w:t>
      </w:r>
      <w:r w:rsidR="00F03A98">
        <w:rPr>
          <w:rFonts w:ascii="Times New Roman" w:hAnsi="Times New Roman" w:cs="Times New Roman"/>
          <w:sz w:val="24"/>
          <w:szCs w:val="24"/>
        </w:rPr>
        <w:t xml:space="preserve">hile not expressly part of the current </w:t>
      </w:r>
      <w:r w:rsidR="00562281">
        <w:rPr>
          <w:rFonts w:ascii="Times New Roman" w:hAnsi="Times New Roman" w:cs="Times New Roman"/>
          <w:sz w:val="24"/>
          <w:szCs w:val="24"/>
        </w:rPr>
        <w:t>consultation</w:t>
      </w:r>
      <w:r w:rsidR="00BD7D15">
        <w:rPr>
          <w:rFonts w:ascii="Times New Roman" w:hAnsi="Times New Roman" w:cs="Times New Roman"/>
          <w:sz w:val="24"/>
          <w:szCs w:val="24"/>
        </w:rPr>
        <w:t>,</w:t>
      </w:r>
      <w:r w:rsidR="00562281">
        <w:rPr>
          <w:rFonts w:ascii="Times New Roman" w:hAnsi="Times New Roman" w:cs="Times New Roman"/>
          <w:sz w:val="24"/>
          <w:szCs w:val="24"/>
        </w:rPr>
        <w:t xml:space="preserve"> </w:t>
      </w:r>
      <w:r w:rsidR="00F03A98">
        <w:rPr>
          <w:rFonts w:ascii="Times New Roman" w:hAnsi="Times New Roman" w:cs="Times New Roman"/>
          <w:sz w:val="24"/>
          <w:szCs w:val="24"/>
        </w:rPr>
        <w:t>w</w:t>
      </w:r>
      <w:r w:rsidRPr="00294B46">
        <w:rPr>
          <w:rFonts w:ascii="Times New Roman" w:hAnsi="Times New Roman" w:cs="Times New Roman"/>
          <w:sz w:val="24"/>
          <w:szCs w:val="24"/>
        </w:rPr>
        <w:t xml:space="preserve">e </w:t>
      </w:r>
      <w:r w:rsidR="00F03A98">
        <w:rPr>
          <w:rFonts w:ascii="Times New Roman" w:hAnsi="Times New Roman" w:cs="Times New Roman"/>
          <w:sz w:val="24"/>
          <w:szCs w:val="24"/>
        </w:rPr>
        <w:t>take this opportunity to</w:t>
      </w:r>
      <w:r w:rsidRPr="00294B46">
        <w:rPr>
          <w:rFonts w:ascii="Times New Roman" w:hAnsi="Times New Roman" w:cs="Times New Roman"/>
          <w:sz w:val="24"/>
          <w:szCs w:val="24"/>
        </w:rPr>
        <w:t xml:space="preserve"> suggest </w:t>
      </w:r>
      <w:r w:rsidR="00562281">
        <w:rPr>
          <w:rFonts w:ascii="Times New Roman" w:hAnsi="Times New Roman" w:cs="Times New Roman"/>
          <w:sz w:val="24"/>
          <w:szCs w:val="24"/>
        </w:rPr>
        <w:t>that T</w:t>
      </w:r>
      <w:r w:rsidR="00F03A98">
        <w:rPr>
          <w:rFonts w:ascii="Times New Roman" w:hAnsi="Times New Roman" w:cs="Times New Roman"/>
          <w:sz w:val="24"/>
          <w:szCs w:val="24"/>
        </w:rPr>
        <w:t xml:space="preserve">reasury give consideration to the introduction of </w:t>
      </w:r>
      <w:r w:rsidRPr="00294B46">
        <w:rPr>
          <w:rFonts w:ascii="Times New Roman" w:hAnsi="Times New Roman" w:cs="Times New Roman"/>
          <w:sz w:val="24"/>
          <w:szCs w:val="24"/>
        </w:rPr>
        <w:t>a reverse onus</w:t>
      </w:r>
      <w:r w:rsidR="00294B46" w:rsidRPr="00294B46">
        <w:rPr>
          <w:rFonts w:ascii="Times New Roman" w:hAnsi="Times New Roman" w:cs="Times New Roman"/>
          <w:sz w:val="24"/>
          <w:szCs w:val="24"/>
        </w:rPr>
        <w:t xml:space="preserve"> or rebuttable presumption</w:t>
      </w:r>
      <w:r w:rsidRPr="00294B46">
        <w:rPr>
          <w:rFonts w:ascii="Times New Roman" w:hAnsi="Times New Roman" w:cs="Times New Roman"/>
          <w:sz w:val="24"/>
          <w:szCs w:val="24"/>
        </w:rPr>
        <w:t xml:space="preserve"> for related party asset transfers undertaken where the transferor enters liquidation. </w:t>
      </w:r>
      <w:r w:rsidR="00294B46" w:rsidRPr="00294B46">
        <w:rPr>
          <w:rFonts w:ascii="Times New Roman" w:hAnsi="Times New Roman" w:cs="Times New Roman"/>
          <w:sz w:val="24"/>
          <w:szCs w:val="24"/>
        </w:rPr>
        <w:t>In action by ASIC or the liquidator for breach of directors’ dut</w:t>
      </w:r>
      <w:r w:rsidR="00261B4B">
        <w:rPr>
          <w:rFonts w:ascii="Times New Roman" w:hAnsi="Times New Roman" w:cs="Times New Roman"/>
          <w:sz w:val="24"/>
          <w:szCs w:val="24"/>
        </w:rPr>
        <w:t>ies</w:t>
      </w:r>
      <w:r w:rsidR="00294B46" w:rsidRPr="00294B46">
        <w:rPr>
          <w:rFonts w:ascii="Times New Roman" w:hAnsi="Times New Roman" w:cs="Times New Roman"/>
          <w:sz w:val="24"/>
          <w:szCs w:val="24"/>
        </w:rPr>
        <w:t>, there would be a rebuttable presumption that a related party trans</w:t>
      </w:r>
      <w:r w:rsidR="006928A3">
        <w:rPr>
          <w:rFonts w:ascii="Times New Roman" w:hAnsi="Times New Roman" w:cs="Times New Roman"/>
          <w:sz w:val="24"/>
          <w:szCs w:val="24"/>
        </w:rPr>
        <w:t>fer of assets</w:t>
      </w:r>
      <w:r w:rsidR="00294B46" w:rsidRPr="00294B46">
        <w:rPr>
          <w:rFonts w:ascii="Times New Roman" w:hAnsi="Times New Roman" w:cs="Times New Roman"/>
          <w:sz w:val="24"/>
          <w:szCs w:val="24"/>
        </w:rPr>
        <w:t xml:space="preserve"> is not arm’s length. The presumption could be rebutted by an independent valuation or such other evidence as the court considers appropriate. It is then open to </w:t>
      </w:r>
      <w:proofErr w:type="spellStart"/>
      <w:r w:rsidR="00294B46" w:rsidRPr="00294B46">
        <w:rPr>
          <w:rFonts w:ascii="Times New Roman" w:hAnsi="Times New Roman" w:cs="Times New Roman"/>
          <w:sz w:val="24"/>
          <w:szCs w:val="24"/>
        </w:rPr>
        <w:t>Oldco’s</w:t>
      </w:r>
      <w:proofErr w:type="spellEnd"/>
      <w:r w:rsidR="00294B46" w:rsidRPr="00294B46">
        <w:rPr>
          <w:rFonts w:ascii="Times New Roman" w:hAnsi="Times New Roman" w:cs="Times New Roman"/>
          <w:sz w:val="24"/>
          <w:szCs w:val="24"/>
        </w:rPr>
        <w:t xml:space="preserve"> directors to decide whether there is a risk of the transfer being challenged by an external administrator or ASIC and thus whether they should spend the time and money on an independent valuation. To avoid unfairly harsh operation, there would need to be limits on the time period over which the presumption would operate. Twelve months prior to insolvency seems reasonable. </w:t>
      </w:r>
    </w:p>
    <w:p w14:paraId="1DA712D8" w14:textId="77777777" w:rsidR="00294B46" w:rsidRPr="00294B46" w:rsidRDefault="00294B46" w:rsidP="00294B46">
      <w:pPr>
        <w:spacing w:after="0" w:line="240" w:lineRule="auto"/>
        <w:rPr>
          <w:rFonts w:ascii="Times New Roman" w:hAnsi="Times New Roman" w:cs="Times New Roman"/>
          <w:sz w:val="24"/>
          <w:szCs w:val="24"/>
        </w:rPr>
      </w:pPr>
    </w:p>
    <w:p w14:paraId="2D8A9F05" w14:textId="77777777" w:rsidR="00294B46" w:rsidRPr="00294B46" w:rsidRDefault="00294B46" w:rsidP="00294B46">
      <w:pPr>
        <w:spacing w:after="0" w:line="240" w:lineRule="auto"/>
        <w:jc w:val="both"/>
        <w:rPr>
          <w:rFonts w:ascii="Times New Roman" w:hAnsi="Times New Roman" w:cs="Times New Roman"/>
          <w:sz w:val="24"/>
          <w:szCs w:val="24"/>
        </w:rPr>
      </w:pPr>
      <w:r w:rsidRPr="00294B46">
        <w:rPr>
          <w:rFonts w:ascii="Times New Roman" w:hAnsi="Times New Roman" w:cs="Times New Roman"/>
          <w:sz w:val="24"/>
          <w:szCs w:val="24"/>
        </w:rPr>
        <w:t xml:space="preserve">What constitutes an independent valuation would need to be carefully considered. Options here include valuation by an accredited </w:t>
      </w:r>
      <w:proofErr w:type="spellStart"/>
      <w:r w:rsidRPr="00294B46">
        <w:rPr>
          <w:rFonts w:ascii="Times New Roman" w:hAnsi="Times New Roman" w:cs="Times New Roman"/>
          <w:sz w:val="24"/>
          <w:szCs w:val="24"/>
        </w:rPr>
        <w:t>valuer</w:t>
      </w:r>
      <w:proofErr w:type="spellEnd"/>
      <w:r w:rsidRPr="00294B46">
        <w:rPr>
          <w:rFonts w:ascii="Times New Roman" w:hAnsi="Times New Roman" w:cs="Times New Roman"/>
          <w:sz w:val="24"/>
          <w:szCs w:val="24"/>
        </w:rPr>
        <w:t xml:space="preserve"> holding professional indemnity insurance, mandatory public auctions of assets over a certain value, or a more holistic approval of a transaction as a whole by a panel of experts, approved by ASIC. ASIC has indicated to us that there are now compromised ‘independent’ </w:t>
      </w:r>
      <w:proofErr w:type="spellStart"/>
      <w:r w:rsidRPr="00294B46">
        <w:rPr>
          <w:rFonts w:ascii="Times New Roman" w:hAnsi="Times New Roman" w:cs="Times New Roman"/>
          <w:sz w:val="24"/>
          <w:szCs w:val="24"/>
        </w:rPr>
        <w:t>valuers</w:t>
      </w:r>
      <w:proofErr w:type="spellEnd"/>
      <w:r w:rsidRPr="00294B46">
        <w:rPr>
          <w:rFonts w:ascii="Times New Roman" w:hAnsi="Times New Roman" w:cs="Times New Roman"/>
          <w:sz w:val="24"/>
          <w:szCs w:val="24"/>
        </w:rPr>
        <w:t xml:space="preserve"> who are willing to make false certifications for a fee. One way to overcome this would be for ASIC to assign a ‘first cab off the rank’ </w:t>
      </w:r>
      <w:proofErr w:type="spellStart"/>
      <w:r w:rsidRPr="00294B46">
        <w:rPr>
          <w:rFonts w:ascii="Times New Roman" w:hAnsi="Times New Roman" w:cs="Times New Roman"/>
          <w:sz w:val="24"/>
          <w:szCs w:val="24"/>
        </w:rPr>
        <w:t>valuer</w:t>
      </w:r>
      <w:proofErr w:type="spellEnd"/>
      <w:r w:rsidRPr="00294B46">
        <w:rPr>
          <w:rFonts w:ascii="Times New Roman" w:hAnsi="Times New Roman" w:cs="Times New Roman"/>
          <w:sz w:val="24"/>
          <w:szCs w:val="24"/>
        </w:rPr>
        <w:t xml:space="preserve"> to the task. </w:t>
      </w:r>
    </w:p>
    <w:p w14:paraId="3A033F49" w14:textId="77777777" w:rsidR="00294B46" w:rsidRPr="00294B46" w:rsidRDefault="00294B46" w:rsidP="00294B46">
      <w:pPr>
        <w:spacing w:after="0" w:line="240" w:lineRule="auto"/>
        <w:jc w:val="both"/>
        <w:rPr>
          <w:rFonts w:ascii="Times New Roman" w:hAnsi="Times New Roman" w:cs="Times New Roman"/>
          <w:sz w:val="24"/>
          <w:szCs w:val="24"/>
        </w:rPr>
      </w:pPr>
    </w:p>
    <w:p w14:paraId="299F9D67" w14:textId="77777777" w:rsidR="00294B46" w:rsidRPr="00294B46" w:rsidRDefault="00294B46" w:rsidP="00294B46">
      <w:pPr>
        <w:spacing w:after="0" w:line="240" w:lineRule="auto"/>
        <w:jc w:val="both"/>
        <w:rPr>
          <w:rFonts w:ascii="Times New Roman" w:hAnsi="Times New Roman" w:cs="Times New Roman"/>
          <w:sz w:val="24"/>
          <w:szCs w:val="24"/>
        </w:rPr>
      </w:pPr>
      <w:r w:rsidRPr="00294B46">
        <w:rPr>
          <w:rFonts w:ascii="Times New Roman" w:hAnsi="Times New Roman" w:cs="Times New Roman"/>
          <w:sz w:val="24"/>
          <w:szCs w:val="24"/>
        </w:rPr>
        <w:t xml:space="preserve">The rebuttable presumption should only operate for transfers of assets over a particular value. The sum of $5,000 is used in Chapter 2E of the </w:t>
      </w:r>
      <w:r w:rsidRPr="00294B46">
        <w:rPr>
          <w:rFonts w:ascii="Times New Roman" w:hAnsi="Times New Roman" w:cs="Times New Roman"/>
          <w:i/>
          <w:sz w:val="24"/>
          <w:szCs w:val="24"/>
        </w:rPr>
        <w:t>Corporations Act</w:t>
      </w:r>
      <w:r w:rsidRPr="00294B46">
        <w:rPr>
          <w:rFonts w:ascii="Times New Roman" w:hAnsi="Times New Roman" w:cs="Times New Roman"/>
          <w:sz w:val="24"/>
          <w:szCs w:val="24"/>
        </w:rPr>
        <w:t xml:space="preserve"> to exempt small related party transactions from requiring member approval.</w:t>
      </w:r>
      <w:r w:rsidRPr="00294B46">
        <w:rPr>
          <w:rStyle w:val="FootnoteReference"/>
          <w:rFonts w:ascii="Times New Roman" w:hAnsi="Times New Roman" w:cs="Times New Roman"/>
          <w:sz w:val="24"/>
          <w:szCs w:val="24"/>
        </w:rPr>
        <w:footnoteReference w:id="10"/>
      </w:r>
      <w:r w:rsidRPr="00294B46">
        <w:rPr>
          <w:rFonts w:ascii="Times New Roman" w:hAnsi="Times New Roman" w:cs="Times New Roman"/>
          <w:sz w:val="24"/>
          <w:szCs w:val="24"/>
        </w:rPr>
        <w:t xml:space="preserve"> One difficulty with setting a value is that it may encourage the undervaluing of assets. This would not only benefit the recipient, Newco, but it would also avoid the operation of the rebuttable presumption. The alternative would be to set no limit, but this might lead small business people to allege it is an overly burdensome provision, in effect requiring an independent valuation for the most trivial transfer. We favour having a value limit. To tackle avoidance behaviours – for example, multiple transfers below the limit – the value limit could be expressed as ‘asset transfer or transfers totalling $5,000 over a 12 month period’. Outside of the proposed independent valuation presumption regime</w:t>
      </w:r>
      <w:r>
        <w:rPr>
          <w:rFonts w:ascii="Times New Roman" w:hAnsi="Times New Roman" w:cs="Times New Roman"/>
          <w:sz w:val="24"/>
          <w:szCs w:val="24"/>
        </w:rPr>
        <w:t xml:space="preserve"> would remain</w:t>
      </w:r>
      <w:r w:rsidRPr="00294B46">
        <w:rPr>
          <w:rFonts w:ascii="Times New Roman" w:hAnsi="Times New Roman" w:cs="Times New Roman"/>
          <w:sz w:val="24"/>
          <w:szCs w:val="24"/>
        </w:rPr>
        <w:t xml:space="preserve"> the power of both liquidators</w:t>
      </w:r>
      <w:r>
        <w:rPr>
          <w:rStyle w:val="FootnoteReference"/>
          <w:rFonts w:ascii="Times New Roman" w:hAnsi="Times New Roman" w:cs="Times New Roman"/>
          <w:sz w:val="24"/>
          <w:szCs w:val="24"/>
        </w:rPr>
        <w:t xml:space="preserve"> </w:t>
      </w:r>
      <w:r w:rsidRPr="00294B46">
        <w:rPr>
          <w:rFonts w:ascii="Times New Roman" w:hAnsi="Times New Roman" w:cs="Times New Roman"/>
          <w:sz w:val="24"/>
          <w:szCs w:val="24"/>
        </w:rPr>
        <w:t>and ASIC to attack uncommercial transactions</w:t>
      </w:r>
      <w:r>
        <w:rPr>
          <w:rFonts w:ascii="Times New Roman" w:hAnsi="Times New Roman" w:cs="Times New Roman"/>
          <w:sz w:val="24"/>
          <w:szCs w:val="24"/>
        </w:rPr>
        <w:t xml:space="preserve"> as insolvent trading</w:t>
      </w:r>
      <w:r w:rsidRPr="00294B46">
        <w:rPr>
          <w:rFonts w:ascii="Times New Roman" w:hAnsi="Times New Roman" w:cs="Times New Roman"/>
          <w:sz w:val="24"/>
          <w:szCs w:val="24"/>
        </w:rPr>
        <w:t xml:space="preserve"> should the $5,000 limit be abused.</w:t>
      </w:r>
    </w:p>
    <w:p w14:paraId="6B662FA3" w14:textId="77777777" w:rsidR="00294B46" w:rsidRPr="00294B46" w:rsidRDefault="00294B46" w:rsidP="00294B46">
      <w:pPr>
        <w:spacing w:after="0" w:line="240" w:lineRule="auto"/>
        <w:jc w:val="both"/>
        <w:rPr>
          <w:rFonts w:ascii="Times New Roman" w:hAnsi="Times New Roman" w:cs="Times New Roman"/>
          <w:sz w:val="24"/>
          <w:szCs w:val="24"/>
        </w:rPr>
      </w:pPr>
    </w:p>
    <w:p w14:paraId="4A3E7B66" w14:textId="5816E9D0" w:rsidR="00294B46" w:rsidRPr="00294B46" w:rsidRDefault="00294B46" w:rsidP="00294B46">
      <w:pPr>
        <w:spacing w:after="0" w:line="240" w:lineRule="auto"/>
        <w:jc w:val="both"/>
        <w:rPr>
          <w:rFonts w:ascii="Times New Roman" w:hAnsi="Times New Roman" w:cs="Times New Roman"/>
          <w:sz w:val="24"/>
          <w:szCs w:val="24"/>
        </w:rPr>
      </w:pPr>
      <w:r w:rsidRPr="00294B46">
        <w:rPr>
          <w:rFonts w:ascii="Times New Roman" w:hAnsi="Times New Roman" w:cs="Times New Roman"/>
          <w:sz w:val="24"/>
          <w:szCs w:val="24"/>
        </w:rPr>
        <w:t xml:space="preserve">‘Related party’ would </w:t>
      </w:r>
      <w:r w:rsidRPr="00294B46">
        <w:rPr>
          <w:rFonts w:ascii="Times New Roman" w:hAnsi="Times New Roman" w:cs="Times New Roman"/>
          <w:i/>
          <w:sz w:val="24"/>
          <w:szCs w:val="24"/>
        </w:rPr>
        <w:t>not</w:t>
      </w:r>
      <w:r w:rsidRPr="00294B46">
        <w:rPr>
          <w:rFonts w:ascii="Times New Roman" w:hAnsi="Times New Roman" w:cs="Times New Roman"/>
          <w:sz w:val="24"/>
          <w:szCs w:val="24"/>
        </w:rPr>
        <w:t xml:space="preserve"> have the meaning assigned under s 228 of the </w:t>
      </w:r>
      <w:r w:rsidRPr="00294B46">
        <w:rPr>
          <w:rFonts w:ascii="Times New Roman" w:hAnsi="Times New Roman" w:cs="Times New Roman"/>
          <w:i/>
          <w:sz w:val="24"/>
          <w:szCs w:val="24"/>
        </w:rPr>
        <w:t>Corporations Act</w:t>
      </w:r>
      <w:r w:rsidRPr="00294B46">
        <w:rPr>
          <w:rFonts w:ascii="Times New Roman" w:hAnsi="Times New Roman" w:cs="Times New Roman"/>
          <w:sz w:val="24"/>
          <w:szCs w:val="24"/>
        </w:rPr>
        <w:t xml:space="preserve"> for the purpose of related party transactions by public companies</w:t>
      </w:r>
      <w:r w:rsidRPr="00294B46">
        <w:rPr>
          <w:rFonts w:ascii="Times New Roman" w:hAnsi="Times New Roman" w:cs="Times New Roman"/>
          <w:i/>
          <w:sz w:val="24"/>
          <w:szCs w:val="24"/>
        </w:rPr>
        <w:t>.</w:t>
      </w:r>
      <w:r>
        <w:rPr>
          <w:rFonts w:ascii="Times New Roman" w:hAnsi="Times New Roman" w:cs="Times New Roman"/>
          <w:sz w:val="24"/>
          <w:szCs w:val="24"/>
        </w:rPr>
        <w:t xml:space="preserve"> That </w:t>
      </w:r>
      <w:r w:rsidR="00420063">
        <w:rPr>
          <w:rFonts w:ascii="Times New Roman" w:hAnsi="Times New Roman" w:cs="Times New Roman"/>
          <w:sz w:val="24"/>
          <w:szCs w:val="24"/>
        </w:rPr>
        <w:t xml:space="preserve">curious </w:t>
      </w:r>
      <w:r>
        <w:rPr>
          <w:rFonts w:ascii="Times New Roman" w:hAnsi="Times New Roman" w:cs="Times New Roman"/>
          <w:sz w:val="24"/>
          <w:szCs w:val="24"/>
        </w:rPr>
        <w:t>section’s</w:t>
      </w:r>
      <w:r w:rsidRPr="00294B46">
        <w:rPr>
          <w:rFonts w:ascii="Times New Roman" w:hAnsi="Times New Roman" w:cs="Times New Roman"/>
          <w:sz w:val="24"/>
          <w:szCs w:val="24"/>
        </w:rPr>
        <w:t xml:space="preserve"> definition</w:t>
      </w:r>
      <w:r>
        <w:rPr>
          <w:rFonts w:ascii="Times New Roman" w:hAnsi="Times New Roman" w:cs="Times New Roman"/>
          <w:sz w:val="24"/>
          <w:szCs w:val="24"/>
        </w:rPr>
        <w:t>s</w:t>
      </w:r>
      <w:r w:rsidRPr="00294B46">
        <w:rPr>
          <w:rFonts w:ascii="Times New Roman" w:hAnsi="Times New Roman" w:cs="Times New Roman"/>
          <w:sz w:val="24"/>
          <w:szCs w:val="24"/>
        </w:rPr>
        <w:t xml:space="preserve"> of a related party</w:t>
      </w:r>
      <w:r>
        <w:rPr>
          <w:rFonts w:ascii="Times New Roman" w:hAnsi="Times New Roman" w:cs="Times New Roman"/>
          <w:sz w:val="24"/>
          <w:szCs w:val="24"/>
        </w:rPr>
        <w:t xml:space="preserve"> </w:t>
      </w:r>
      <w:r w:rsidR="006928A3">
        <w:rPr>
          <w:rFonts w:ascii="Times New Roman" w:hAnsi="Times New Roman" w:cs="Times New Roman"/>
          <w:sz w:val="24"/>
          <w:szCs w:val="24"/>
        </w:rPr>
        <w:t>include</w:t>
      </w:r>
      <w:r w:rsidRPr="00294B46">
        <w:rPr>
          <w:rFonts w:ascii="Times New Roman" w:hAnsi="Times New Roman" w:cs="Times New Roman"/>
          <w:sz w:val="24"/>
          <w:szCs w:val="24"/>
        </w:rPr>
        <w:t xml:space="preserve"> a company run by a </w:t>
      </w:r>
      <w:r>
        <w:rPr>
          <w:rFonts w:ascii="Times New Roman" w:hAnsi="Times New Roman" w:cs="Times New Roman"/>
          <w:sz w:val="24"/>
          <w:szCs w:val="24"/>
        </w:rPr>
        <w:t xml:space="preserve">director’s </w:t>
      </w:r>
      <w:r w:rsidRPr="00294B46">
        <w:rPr>
          <w:rFonts w:ascii="Times New Roman" w:hAnsi="Times New Roman" w:cs="Times New Roman"/>
          <w:sz w:val="24"/>
          <w:szCs w:val="24"/>
        </w:rPr>
        <w:t>spouse’s parents but not</w:t>
      </w:r>
      <w:r>
        <w:rPr>
          <w:rFonts w:ascii="Times New Roman" w:hAnsi="Times New Roman" w:cs="Times New Roman"/>
          <w:sz w:val="24"/>
          <w:szCs w:val="24"/>
        </w:rPr>
        <w:t xml:space="preserve"> the</w:t>
      </w:r>
      <w:r w:rsidRPr="00294B46">
        <w:rPr>
          <w:rFonts w:ascii="Times New Roman" w:hAnsi="Times New Roman" w:cs="Times New Roman"/>
          <w:sz w:val="24"/>
          <w:szCs w:val="24"/>
        </w:rPr>
        <w:t xml:space="preserve"> siblings or close associates</w:t>
      </w:r>
      <w:r>
        <w:rPr>
          <w:rFonts w:ascii="Times New Roman" w:hAnsi="Times New Roman" w:cs="Times New Roman"/>
          <w:sz w:val="24"/>
          <w:szCs w:val="24"/>
        </w:rPr>
        <w:t xml:space="preserve"> of the director</w:t>
      </w:r>
      <w:r w:rsidRPr="00294B46">
        <w:rPr>
          <w:rFonts w:ascii="Times New Roman" w:hAnsi="Times New Roman" w:cs="Times New Roman"/>
          <w:sz w:val="24"/>
          <w:szCs w:val="24"/>
        </w:rPr>
        <w:t xml:space="preserve">. A starting point for developing a more useful definition is the ‘connected party’ definition outlined in the </w:t>
      </w:r>
      <w:r>
        <w:rPr>
          <w:rFonts w:ascii="Times New Roman" w:hAnsi="Times New Roman" w:cs="Times New Roman"/>
          <w:sz w:val="24"/>
          <w:szCs w:val="24"/>
        </w:rPr>
        <w:t xml:space="preserve">UK’s </w:t>
      </w:r>
      <w:r w:rsidRPr="00294B46">
        <w:rPr>
          <w:rFonts w:ascii="Times New Roman" w:hAnsi="Times New Roman" w:cs="Times New Roman"/>
          <w:sz w:val="24"/>
          <w:szCs w:val="24"/>
        </w:rPr>
        <w:t>Graham Review.</w:t>
      </w:r>
      <w:r w:rsidRPr="00294B46">
        <w:rPr>
          <w:rStyle w:val="FootnoteReference"/>
          <w:rFonts w:ascii="Times New Roman" w:hAnsi="Times New Roman" w:cs="Times New Roman"/>
          <w:sz w:val="24"/>
          <w:szCs w:val="24"/>
        </w:rPr>
        <w:footnoteReference w:id="11"/>
      </w:r>
      <w:r w:rsidRPr="00294B46">
        <w:rPr>
          <w:rFonts w:ascii="Times New Roman" w:hAnsi="Times New Roman" w:cs="Times New Roman"/>
          <w:sz w:val="24"/>
          <w:szCs w:val="24"/>
        </w:rPr>
        <w:t xml:space="preserve"> </w:t>
      </w:r>
      <w:r w:rsidR="00BD7D15">
        <w:rPr>
          <w:rFonts w:ascii="Times New Roman" w:hAnsi="Times New Roman" w:cs="Times New Roman"/>
          <w:sz w:val="24"/>
          <w:szCs w:val="24"/>
        </w:rPr>
        <w:t xml:space="preserve">This definition is based on those controlling a company, whether formally appointed or otherwise, and their associates who </w:t>
      </w:r>
      <w:r w:rsidR="00BD7D15" w:rsidRPr="00294B46">
        <w:rPr>
          <w:rFonts w:ascii="Times New Roman" w:hAnsi="Times New Roman" w:cs="Times New Roman"/>
          <w:sz w:val="24"/>
          <w:szCs w:val="24"/>
        </w:rPr>
        <w:t>include a wide range of relatives, business partners, and joint controllers of businesses</w:t>
      </w:r>
      <w:r w:rsidR="00BD7D15">
        <w:rPr>
          <w:rFonts w:ascii="Times New Roman" w:hAnsi="Times New Roman" w:cs="Times New Roman"/>
          <w:sz w:val="24"/>
          <w:szCs w:val="24"/>
        </w:rPr>
        <w:t>.</w:t>
      </w:r>
      <w:r w:rsidR="00BD7D15">
        <w:rPr>
          <w:rStyle w:val="FootnoteReference"/>
          <w:rFonts w:ascii="Times New Roman" w:hAnsi="Times New Roman" w:cs="Times New Roman"/>
          <w:sz w:val="24"/>
          <w:szCs w:val="24"/>
        </w:rPr>
        <w:footnoteReference w:id="12"/>
      </w:r>
      <w:r w:rsidR="00BD7D15">
        <w:rPr>
          <w:rFonts w:ascii="Times New Roman" w:hAnsi="Times New Roman" w:cs="Times New Roman"/>
          <w:sz w:val="24"/>
          <w:szCs w:val="24"/>
        </w:rPr>
        <w:t xml:space="preserve"> </w:t>
      </w:r>
    </w:p>
    <w:p w14:paraId="7B42A6B6" w14:textId="77777777" w:rsidR="00294B46" w:rsidRPr="00294B46" w:rsidRDefault="00294B46" w:rsidP="00294B46">
      <w:pPr>
        <w:spacing w:after="0" w:line="240" w:lineRule="auto"/>
        <w:jc w:val="both"/>
        <w:rPr>
          <w:rFonts w:ascii="Times New Roman" w:hAnsi="Times New Roman" w:cs="Times New Roman"/>
          <w:sz w:val="24"/>
          <w:szCs w:val="24"/>
        </w:rPr>
      </w:pPr>
    </w:p>
    <w:p w14:paraId="06CA19B8" w14:textId="77777777" w:rsidR="00A06119" w:rsidRDefault="00294B46" w:rsidP="00294B46">
      <w:pPr>
        <w:spacing w:after="0" w:line="240" w:lineRule="auto"/>
        <w:jc w:val="both"/>
        <w:rPr>
          <w:rFonts w:ascii="Times New Roman" w:hAnsi="Times New Roman" w:cs="Times New Roman"/>
          <w:sz w:val="24"/>
          <w:szCs w:val="24"/>
        </w:rPr>
      </w:pPr>
      <w:r w:rsidRPr="00294B46">
        <w:rPr>
          <w:rFonts w:ascii="Times New Roman" w:hAnsi="Times New Roman" w:cs="Times New Roman"/>
          <w:sz w:val="24"/>
          <w:szCs w:val="24"/>
          <w:u w:val="single"/>
        </w:rPr>
        <w:t>Conclusion</w:t>
      </w:r>
    </w:p>
    <w:p w14:paraId="124958A0" w14:textId="345A9983" w:rsidR="00294B46" w:rsidRPr="00294B46" w:rsidRDefault="00294B46" w:rsidP="00294B4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We applaud Treasury for its efforts in legislating to assist legitimate business rescues while not allowing scope for deliberate wrongdoing to be hidden. We would be happy to assist Treasury further, either in relation to the safe harbour </w:t>
      </w:r>
      <w:r w:rsidR="006928A3">
        <w:rPr>
          <w:rFonts w:ascii="Times New Roman" w:hAnsi="Times New Roman" w:cs="Times New Roman"/>
          <w:sz w:val="24"/>
          <w:szCs w:val="24"/>
        </w:rPr>
        <w:t xml:space="preserve">proposal </w:t>
      </w:r>
      <w:r>
        <w:rPr>
          <w:rFonts w:ascii="Times New Roman" w:hAnsi="Times New Roman" w:cs="Times New Roman"/>
          <w:sz w:val="24"/>
          <w:szCs w:val="24"/>
        </w:rPr>
        <w:t xml:space="preserve">or our suggestion </w:t>
      </w:r>
      <w:r w:rsidR="006928A3">
        <w:rPr>
          <w:rFonts w:ascii="Times New Roman" w:hAnsi="Times New Roman" w:cs="Times New Roman"/>
          <w:sz w:val="24"/>
          <w:szCs w:val="24"/>
        </w:rPr>
        <w:t>for related party transfers of assets in the phoenix context.</w:t>
      </w:r>
    </w:p>
    <w:sectPr w:rsidR="00294B46" w:rsidRPr="00294B4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DFA7E7" w14:textId="77777777" w:rsidR="00D33D93" w:rsidRDefault="00D33D93" w:rsidP="00D33D93">
      <w:pPr>
        <w:spacing w:after="0" w:line="240" w:lineRule="auto"/>
      </w:pPr>
      <w:r>
        <w:separator/>
      </w:r>
    </w:p>
  </w:endnote>
  <w:endnote w:type="continuationSeparator" w:id="0">
    <w:p w14:paraId="54D4EB36" w14:textId="77777777" w:rsidR="00D33D93" w:rsidRDefault="00D33D93" w:rsidP="00D33D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rdia New">
    <w:panose1 w:val="020B0304020202020204"/>
    <w:charset w:val="00"/>
    <w:family w:val="swiss"/>
    <w:pitch w:val="variable"/>
    <w:sig w:usb0="81000003" w:usb1="00000000" w:usb2="00000000" w:usb3="00000000" w:csb0="00010001" w:csb1="00000000"/>
  </w:font>
  <w:font w:name="Segoe UI">
    <w:altName w:val="Calibr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Angsana New">
    <w:panose1 w:val="02020603050405020304"/>
    <w:charset w:val="00"/>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AC1247" w14:textId="77777777" w:rsidR="00D33D93" w:rsidRDefault="00D33D93" w:rsidP="00D33D93">
      <w:pPr>
        <w:spacing w:after="0" w:line="240" w:lineRule="auto"/>
      </w:pPr>
      <w:r>
        <w:separator/>
      </w:r>
    </w:p>
  </w:footnote>
  <w:footnote w:type="continuationSeparator" w:id="0">
    <w:p w14:paraId="51E0113F" w14:textId="77777777" w:rsidR="00D33D93" w:rsidRDefault="00D33D93" w:rsidP="00D33D93">
      <w:pPr>
        <w:spacing w:after="0" w:line="240" w:lineRule="auto"/>
      </w:pPr>
      <w:r>
        <w:continuationSeparator/>
      </w:r>
    </w:p>
  </w:footnote>
  <w:footnote w:id="1">
    <w:p w14:paraId="6EC0C4CF" w14:textId="77777777" w:rsidR="00D33D93" w:rsidRPr="006928A3" w:rsidRDefault="00D33D93">
      <w:pPr>
        <w:pStyle w:val="FootnoteText"/>
        <w:rPr>
          <w:rFonts w:ascii="Times New Roman" w:hAnsi="Times New Roman" w:cs="Times New Roman"/>
        </w:rPr>
      </w:pPr>
      <w:r w:rsidRPr="006928A3">
        <w:rPr>
          <w:rStyle w:val="FootnoteReference"/>
          <w:rFonts w:ascii="Times New Roman" w:hAnsi="Times New Roman" w:cs="Times New Roman"/>
        </w:rPr>
        <w:footnoteRef/>
      </w:r>
      <w:r w:rsidRPr="006928A3">
        <w:rPr>
          <w:rFonts w:ascii="Times New Roman" w:hAnsi="Times New Roman" w:cs="Times New Roman"/>
        </w:rPr>
        <w:t xml:space="preserve"> </w:t>
      </w:r>
      <w:proofErr w:type="gramStart"/>
      <w:r w:rsidR="008033AD" w:rsidRPr="006928A3">
        <w:rPr>
          <w:rFonts w:ascii="Times New Roman" w:hAnsi="Times New Roman" w:cs="Times New Roman"/>
          <w:i/>
        </w:rPr>
        <w:t>Corporations</w:t>
      </w:r>
      <w:r w:rsidRPr="006928A3">
        <w:rPr>
          <w:rFonts w:ascii="Times New Roman" w:hAnsi="Times New Roman" w:cs="Times New Roman"/>
          <w:i/>
        </w:rPr>
        <w:t xml:space="preserve"> Act </w:t>
      </w:r>
      <w:proofErr w:type="spellStart"/>
      <w:r w:rsidRPr="006928A3">
        <w:rPr>
          <w:rFonts w:ascii="Times New Roman" w:hAnsi="Times New Roman" w:cs="Times New Roman"/>
        </w:rPr>
        <w:t>pt</w:t>
      </w:r>
      <w:proofErr w:type="spellEnd"/>
      <w:r w:rsidRPr="006928A3">
        <w:rPr>
          <w:rFonts w:ascii="Times New Roman" w:hAnsi="Times New Roman" w:cs="Times New Roman"/>
        </w:rPr>
        <w:t xml:space="preserve"> 5.7B </w:t>
      </w:r>
      <w:proofErr w:type="spellStart"/>
      <w:r w:rsidRPr="006928A3">
        <w:rPr>
          <w:rFonts w:ascii="Times New Roman" w:hAnsi="Times New Roman" w:cs="Times New Roman"/>
        </w:rPr>
        <w:t>divs</w:t>
      </w:r>
      <w:proofErr w:type="spellEnd"/>
      <w:r w:rsidRPr="006928A3">
        <w:rPr>
          <w:rFonts w:ascii="Times New Roman" w:hAnsi="Times New Roman" w:cs="Times New Roman"/>
        </w:rPr>
        <w:t xml:space="preserve"> 3 and 4.</w:t>
      </w:r>
      <w:proofErr w:type="gramEnd"/>
      <w:r w:rsidRPr="006928A3">
        <w:rPr>
          <w:rFonts w:ascii="Times New Roman" w:hAnsi="Times New Roman" w:cs="Times New Roman"/>
        </w:rPr>
        <w:t xml:space="preserve"> </w:t>
      </w:r>
    </w:p>
  </w:footnote>
  <w:footnote w:id="2">
    <w:p w14:paraId="744B350E" w14:textId="721FE9C2" w:rsidR="009838D1" w:rsidRPr="003B636C" w:rsidRDefault="009838D1">
      <w:pPr>
        <w:pStyle w:val="FootnoteText"/>
        <w:rPr>
          <w:rFonts w:ascii="Times New Roman" w:hAnsi="Times New Roman" w:cs="Times New Roman"/>
          <w:i/>
        </w:rPr>
      </w:pPr>
      <w:r w:rsidRPr="003B636C">
        <w:rPr>
          <w:rStyle w:val="FootnoteReference"/>
          <w:rFonts w:ascii="Times New Roman" w:hAnsi="Times New Roman" w:cs="Times New Roman"/>
        </w:rPr>
        <w:footnoteRef/>
      </w:r>
      <w:r w:rsidRPr="003B636C">
        <w:rPr>
          <w:rFonts w:ascii="Times New Roman" w:hAnsi="Times New Roman" w:cs="Times New Roman"/>
        </w:rPr>
        <w:t xml:space="preserve"> </w:t>
      </w:r>
      <w:r w:rsidRPr="003B636C">
        <w:rPr>
          <w:rFonts w:ascii="Times New Roman" w:hAnsi="Times New Roman" w:cs="Times New Roman"/>
          <w:i/>
        </w:rPr>
        <w:t xml:space="preserve">Corporations Act s </w:t>
      </w:r>
      <w:proofErr w:type="gramStart"/>
      <w:r w:rsidRPr="003B636C">
        <w:rPr>
          <w:rFonts w:ascii="Times New Roman" w:hAnsi="Times New Roman" w:cs="Times New Roman"/>
        </w:rPr>
        <w:t>588G(</w:t>
      </w:r>
      <w:proofErr w:type="gramEnd"/>
      <w:r w:rsidRPr="003B636C">
        <w:rPr>
          <w:rFonts w:ascii="Times New Roman" w:hAnsi="Times New Roman" w:cs="Times New Roman"/>
        </w:rPr>
        <w:t>1A) item 7</w:t>
      </w:r>
      <w:r w:rsidR="00B17E00" w:rsidRPr="003B636C">
        <w:rPr>
          <w:rFonts w:ascii="Times New Roman" w:hAnsi="Times New Roman" w:cs="Times New Roman"/>
        </w:rPr>
        <w:t>.</w:t>
      </w:r>
    </w:p>
  </w:footnote>
  <w:footnote w:id="3">
    <w:p w14:paraId="043F3DAB" w14:textId="77777777" w:rsidR="008033AD" w:rsidRPr="003B636C" w:rsidRDefault="008033AD">
      <w:pPr>
        <w:pStyle w:val="FootnoteText"/>
        <w:rPr>
          <w:rFonts w:ascii="Times New Roman" w:hAnsi="Times New Roman" w:cs="Times New Roman"/>
        </w:rPr>
      </w:pPr>
      <w:r w:rsidRPr="003B636C">
        <w:rPr>
          <w:rStyle w:val="FootnoteReference"/>
          <w:rFonts w:ascii="Times New Roman" w:hAnsi="Times New Roman" w:cs="Times New Roman"/>
        </w:rPr>
        <w:footnoteRef/>
      </w:r>
      <w:r w:rsidRPr="003B636C">
        <w:rPr>
          <w:rFonts w:ascii="Times New Roman" w:hAnsi="Times New Roman" w:cs="Times New Roman"/>
        </w:rPr>
        <w:t xml:space="preserve"> Emphasis added.</w:t>
      </w:r>
    </w:p>
  </w:footnote>
  <w:footnote w:id="4">
    <w:p w14:paraId="092D8C09" w14:textId="7A8BDA8F" w:rsidR="009B39C2" w:rsidRPr="003B636C" w:rsidRDefault="009B39C2" w:rsidP="008033AD">
      <w:pPr>
        <w:pStyle w:val="FootnoteText"/>
        <w:rPr>
          <w:rFonts w:ascii="Times New Roman" w:hAnsi="Times New Roman" w:cs="Times New Roman"/>
        </w:rPr>
      </w:pPr>
      <w:r w:rsidRPr="003B636C">
        <w:rPr>
          <w:rStyle w:val="FootnoteReference"/>
          <w:rFonts w:ascii="Times New Roman" w:hAnsi="Times New Roman" w:cs="Times New Roman"/>
        </w:rPr>
        <w:footnoteRef/>
      </w:r>
      <w:r w:rsidRPr="003B636C">
        <w:rPr>
          <w:rFonts w:ascii="Times New Roman" w:hAnsi="Times New Roman" w:cs="Times New Roman"/>
        </w:rPr>
        <w:t xml:space="preserve"> </w:t>
      </w:r>
      <w:r w:rsidR="008033AD" w:rsidRPr="003B636C">
        <w:rPr>
          <w:rFonts w:ascii="Times New Roman" w:hAnsi="Times New Roman" w:cs="Times New Roman"/>
        </w:rPr>
        <w:t>Explanatory Memorandum, Corporations Law Amendment (Employee Entitlements) Bill 2000 (</w:t>
      </w:r>
      <w:proofErr w:type="spellStart"/>
      <w:r w:rsidR="008033AD" w:rsidRPr="003B636C">
        <w:rPr>
          <w:rFonts w:ascii="Times New Roman" w:hAnsi="Times New Roman" w:cs="Times New Roman"/>
        </w:rPr>
        <w:t>Cth</w:t>
      </w:r>
      <w:proofErr w:type="spellEnd"/>
      <w:r w:rsidR="008033AD" w:rsidRPr="003B636C">
        <w:rPr>
          <w:rFonts w:ascii="Times New Roman" w:hAnsi="Times New Roman" w:cs="Times New Roman"/>
        </w:rPr>
        <w:t>),</w:t>
      </w:r>
      <w:r w:rsidR="00B17E00" w:rsidRPr="003B636C">
        <w:rPr>
          <w:rFonts w:ascii="Times New Roman" w:hAnsi="Times New Roman" w:cs="Times New Roman"/>
        </w:rPr>
        <w:t xml:space="preserve"> </w:t>
      </w:r>
      <w:r w:rsidR="008033AD" w:rsidRPr="003B636C">
        <w:rPr>
          <w:rFonts w:ascii="Times New Roman" w:hAnsi="Times New Roman" w:cs="Times New Roman"/>
        </w:rPr>
        <w:t>[10]: ‘The inclusion of uncommercial transactions in section 588G(1A) has implications for the protection of employee entitlements, the prosecution of directors involved in “phoenix” activity and recovery actions by liquidators for the benefit of creditors generally</w:t>
      </w:r>
      <w:r w:rsidR="00D66022" w:rsidRPr="003B636C">
        <w:rPr>
          <w:rFonts w:ascii="Times New Roman" w:hAnsi="Times New Roman" w:cs="Times New Roman"/>
        </w:rPr>
        <w:t>.</w:t>
      </w:r>
      <w:r w:rsidR="008033AD" w:rsidRPr="003B636C">
        <w:rPr>
          <w:rFonts w:ascii="Times New Roman" w:hAnsi="Times New Roman" w:cs="Times New Roman"/>
        </w:rPr>
        <w:t>’</w:t>
      </w:r>
    </w:p>
  </w:footnote>
  <w:footnote w:id="5">
    <w:p w14:paraId="6A8406DE" w14:textId="1478DF48" w:rsidR="003B636C" w:rsidRPr="003B636C" w:rsidRDefault="003B636C" w:rsidP="003B636C">
      <w:pPr>
        <w:pStyle w:val="FootnoteText"/>
        <w:rPr>
          <w:rFonts w:ascii="Times New Roman" w:hAnsi="Times New Roman" w:cs="Times New Roman"/>
        </w:rPr>
      </w:pPr>
      <w:r w:rsidRPr="003B636C">
        <w:rPr>
          <w:rStyle w:val="FootnoteReference"/>
          <w:rFonts w:ascii="Times New Roman" w:hAnsi="Times New Roman" w:cs="Times New Roman"/>
        </w:rPr>
        <w:footnoteRef/>
      </w:r>
      <w:r w:rsidRPr="003B636C">
        <w:rPr>
          <w:rFonts w:ascii="Times New Roman" w:hAnsi="Times New Roman" w:cs="Times New Roman"/>
        </w:rPr>
        <w:t xml:space="preserve"> ‘Note 1: The person bears an evidential burden in relation to the defence in this 27 subsection (see subsection (3)). Note 2: For this defence to be available, certain matters must be being done to 29 a reasonable standard (see subsection (4)).’</w:t>
      </w:r>
    </w:p>
  </w:footnote>
  <w:footnote w:id="6">
    <w:p w14:paraId="3361F09D" w14:textId="77777777" w:rsidR="003E792F" w:rsidRPr="003B636C" w:rsidRDefault="003E792F" w:rsidP="003E792F">
      <w:pPr>
        <w:pStyle w:val="FootnoteText"/>
        <w:rPr>
          <w:rFonts w:ascii="Times New Roman" w:hAnsi="Times New Roman" w:cs="Times New Roman"/>
        </w:rPr>
      </w:pPr>
      <w:r w:rsidRPr="003B636C">
        <w:rPr>
          <w:rStyle w:val="FootnoteReference"/>
          <w:rFonts w:ascii="Times New Roman" w:hAnsi="Times New Roman" w:cs="Times New Roman"/>
        </w:rPr>
        <w:footnoteRef/>
      </w:r>
      <w:r w:rsidRPr="003B636C">
        <w:rPr>
          <w:rFonts w:ascii="Times New Roman" w:hAnsi="Times New Roman" w:cs="Times New Roman"/>
        </w:rPr>
        <w:t xml:space="preserve"> Emphasis added.</w:t>
      </w:r>
    </w:p>
  </w:footnote>
  <w:footnote w:id="7">
    <w:p w14:paraId="4F588B7B" w14:textId="6A20C803" w:rsidR="003E792F" w:rsidRPr="006928A3" w:rsidRDefault="003E792F">
      <w:pPr>
        <w:pStyle w:val="FootnoteText"/>
        <w:rPr>
          <w:rFonts w:ascii="Times New Roman" w:hAnsi="Times New Roman" w:cs="Times New Roman"/>
        </w:rPr>
      </w:pPr>
      <w:r w:rsidRPr="003B636C">
        <w:rPr>
          <w:rStyle w:val="FootnoteReference"/>
          <w:rFonts w:ascii="Times New Roman" w:hAnsi="Times New Roman" w:cs="Times New Roman"/>
        </w:rPr>
        <w:footnoteRef/>
      </w:r>
      <w:r w:rsidRPr="003B636C">
        <w:rPr>
          <w:rFonts w:ascii="Times New Roman" w:hAnsi="Times New Roman" w:cs="Times New Roman"/>
        </w:rPr>
        <w:t xml:space="preserve"> </w:t>
      </w:r>
      <w:r w:rsidR="000C431A" w:rsidRPr="003B636C">
        <w:rPr>
          <w:rFonts w:ascii="Times New Roman" w:hAnsi="Times New Roman" w:cs="Times New Roman"/>
        </w:rPr>
        <w:t>Treasury Laws Amendment (2017 Enterprise Incentives No. 2) Bill 2017</w:t>
      </w:r>
      <w:r w:rsidR="009B39C2" w:rsidRPr="003B636C">
        <w:rPr>
          <w:rFonts w:ascii="Times New Roman" w:hAnsi="Times New Roman" w:cs="Times New Roman"/>
        </w:rPr>
        <w:t xml:space="preserve"> s </w:t>
      </w:r>
      <w:proofErr w:type="gramStart"/>
      <w:r w:rsidR="009B39C2" w:rsidRPr="003B636C">
        <w:rPr>
          <w:rFonts w:ascii="Times New Roman" w:hAnsi="Times New Roman" w:cs="Times New Roman"/>
        </w:rPr>
        <w:t>588GA(</w:t>
      </w:r>
      <w:proofErr w:type="gramEnd"/>
      <w:r w:rsidR="009B39C2" w:rsidRPr="003B636C">
        <w:rPr>
          <w:rFonts w:ascii="Times New Roman" w:hAnsi="Times New Roman" w:cs="Times New Roman"/>
        </w:rPr>
        <w:t>4).</w:t>
      </w:r>
    </w:p>
  </w:footnote>
  <w:footnote w:id="8">
    <w:p w14:paraId="12EBBC5D" w14:textId="344121DB" w:rsidR="009B39C2" w:rsidRPr="006928A3" w:rsidRDefault="009B39C2">
      <w:pPr>
        <w:pStyle w:val="FootnoteText"/>
        <w:rPr>
          <w:rFonts w:ascii="Times New Roman" w:hAnsi="Times New Roman" w:cs="Times New Roman"/>
        </w:rPr>
      </w:pPr>
      <w:r w:rsidRPr="006928A3">
        <w:rPr>
          <w:rStyle w:val="FootnoteReference"/>
          <w:rFonts w:ascii="Times New Roman" w:hAnsi="Times New Roman" w:cs="Times New Roman"/>
        </w:rPr>
        <w:footnoteRef/>
      </w:r>
      <w:r w:rsidRPr="006928A3">
        <w:rPr>
          <w:rFonts w:ascii="Times New Roman" w:hAnsi="Times New Roman" w:cs="Times New Roman"/>
        </w:rPr>
        <w:t xml:space="preserve"> </w:t>
      </w:r>
      <w:r w:rsidR="000C431A" w:rsidRPr="000C431A">
        <w:rPr>
          <w:rFonts w:ascii="Times New Roman" w:hAnsi="Times New Roman" w:cs="Times New Roman"/>
        </w:rPr>
        <w:t>Treasury Laws Amendment (2017 Enterprise Incentives No. 2) Bill 2017</w:t>
      </w:r>
      <w:r w:rsidR="000C431A">
        <w:rPr>
          <w:rFonts w:ascii="Times New Roman" w:hAnsi="Times New Roman" w:cs="Times New Roman"/>
        </w:rPr>
        <w:t xml:space="preserve"> </w:t>
      </w:r>
      <w:r w:rsidRPr="006928A3">
        <w:rPr>
          <w:rFonts w:ascii="Times New Roman" w:hAnsi="Times New Roman" w:cs="Times New Roman"/>
        </w:rPr>
        <w:t>s 588GB.</w:t>
      </w:r>
    </w:p>
  </w:footnote>
  <w:footnote w:id="9">
    <w:p w14:paraId="78A5E49E" w14:textId="60D2538A" w:rsidR="00807958" w:rsidRPr="006928A3" w:rsidRDefault="00807958">
      <w:pPr>
        <w:pStyle w:val="FootnoteText"/>
        <w:rPr>
          <w:rFonts w:ascii="Times New Roman" w:hAnsi="Times New Roman" w:cs="Times New Roman"/>
        </w:rPr>
      </w:pPr>
      <w:r w:rsidRPr="006928A3">
        <w:rPr>
          <w:rStyle w:val="FootnoteReference"/>
          <w:rFonts w:ascii="Times New Roman" w:hAnsi="Times New Roman" w:cs="Times New Roman"/>
        </w:rPr>
        <w:footnoteRef/>
      </w:r>
      <w:r w:rsidRPr="006928A3">
        <w:rPr>
          <w:rFonts w:ascii="Times New Roman" w:hAnsi="Times New Roman" w:cs="Times New Roman"/>
        </w:rPr>
        <w:t xml:space="preserve"> </w:t>
      </w:r>
      <w:r w:rsidRPr="006928A3">
        <w:rPr>
          <w:rFonts w:ascii="Times New Roman" w:hAnsi="Times New Roman" w:cs="Times New Roman"/>
          <w:i/>
        </w:rPr>
        <w:t xml:space="preserve">Corporations </w:t>
      </w:r>
      <w:proofErr w:type="gramStart"/>
      <w:r w:rsidRPr="006928A3">
        <w:rPr>
          <w:rFonts w:ascii="Times New Roman" w:hAnsi="Times New Roman" w:cs="Times New Roman"/>
          <w:i/>
        </w:rPr>
        <w:t xml:space="preserve">Act </w:t>
      </w:r>
      <w:r w:rsidRPr="006928A3">
        <w:rPr>
          <w:rFonts w:ascii="Times New Roman" w:hAnsi="Times New Roman" w:cs="Times New Roman"/>
        </w:rPr>
        <w:t xml:space="preserve"> s</w:t>
      </w:r>
      <w:proofErr w:type="gramEnd"/>
      <w:r w:rsidRPr="006928A3">
        <w:rPr>
          <w:rFonts w:ascii="Times New Roman" w:hAnsi="Times New Roman" w:cs="Times New Roman"/>
        </w:rPr>
        <w:t xml:space="preserve"> 545(1). Only the statutory report and other documentary obligations to ASIC must be done, regardless of whether the liquidator is paid: s 545(3).</w:t>
      </w:r>
    </w:p>
  </w:footnote>
  <w:footnote w:id="10">
    <w:p w14:paraId="0F408161" w14:textId="77777777" w:rsidR="00294B46" w:rsidRPr="006928A3" w:rsidRDefault="00294B46" w:rsidP="006928A3">
      <w:pPr>
        <w:pStyle w:val="FootnoteText"/>
        <w:jc w:val="both"/>
        <w:rPr>
          <w:rFonts w:ascii="Times New Roman" w:hAnsi="Times New Roman" w:cs="Times New Roman"/>
        </w:rPr>
      </w:pPr>
      <w:r w:rsidRPr="006928A3">
        <w:rPr>
          <w:rStyle w:val="FootnoteReference"/>
          <w:rFonts w:ascii="Times New Roman" w:hAnsi="Times New Roman" w:cs="Times New Roman"/>
        </w:rPr>
        <w:footnoteRef/>
      </w:r>
      <w:r w:rsidR="006928A3" w:rsidRPr="006928A3">
        <w:rPr>
          <w:rFonts w:ascii="Times New Roman" w:hAnsi="Times New Roman" w:cs="Times New Roman"/>
        </w:rPr>
        <w:t xml:space="preserve"> </w:t>
      </w:r>
      <w:proofErr w:type="gramStart"/>
      <w:r w:rsidRPr="006928A3">
        <w:rPr>
          <w:rFonts w:ascii="Times New Roman" w:hAnsi="Times New Roman" w:cs="Times New Roman"/>
          <w:i/>
        </w:rPr>
        <w:t>Corporations Act</w:t>
      </w:r>
      <w:r w:rsidRPr="006928A3">
        <w:rPr>
          <w:rFonts w:ascii="Times New Roman" w:hAnsi="Times New Roman" w:cs="Times New Roman"/>
        </w:rPr>
        <w:t xml:space="preserve"> s 213(1); </w:t>
      </w:r>
      <w:r w:rsidRPr="006928A3">
        <w:rPr>
          <w:rFonts w:ascii="Times New Roman" w:hAnsi="Times New Roman" w:cs="Times New Roman"/>
          <w:i/>
        </w:rPr>
        <w:t xml:space="preserve">Corporations Regulations 2001 </w:t>
      </w:r>
      <w:r w:rsidRPr="006928A3">
        <w:rPr>
          <w:rFonts w:ascii="Times New Roman" w:hAnsi="Times New Roman" w:cs="Times New Roman"/>
        </w:rPr>
        <w:t>(</w:t>
      </w:r>
      <w:proofErr w:type="spellStart"/>
      <w:r w:rsidRPr="006928A3">
        <w:rPr>
          <w:rFonts w:ascii="Times New Roman" w:hAnsi="Times New Roman" w:cs="Times New Roman"/>
        </w:rPr>
        <w:t>Cth</w:t>
      </w:r>
      <w:proofErr w:type="spellEnd"/>
      <w:r w:rsidRPr="006928A3">
        <w:rPr>
          <w:rFonts w:ascii="Times New Roman" w:hAnsi="Times New Roman" w:cs="Times New Roman"/>
        </w:rPr>
        <w:t xml:space="preserve">) </w:t>
      </w:r>
      <w:proofErr w:type="spellStart"/>
      <w:r w:rsidRPr="006928A3">
        <w:rPr>
          <w:rFonts w:ascii="Times New Roman" w:hAnsi="Times New Roman" w:cs="Times New Roman"/>
        </w:rPr>
        <w:t>reg</w:t>
      </w:r>
      <w:proofErr w:type="spellEnd"/>
      <w:r w:rsidRPr="006928A3">
        <w:rPr>
          <w:rFonts w:ascii="Times New Roman" w:hAnsi="Times New Roman" w:cs="Times New Roman"/>
        </w:rPr>
        <w:t xml:space="preserve"> 2E.1.01.</w:t>
      </w:r>
      <w:proofErr w:type="gramEnd"/>
      <w:r w:rsidRPr="006928A3">
        <w:rPr>
          <w:rFonts w:ascii="Times New Roman" w:hAnsi="Times New Roman" w:cs="Times New Roman"/>
        </w:rPr>
        <w:t xml:space="preserve"> </w:t>
      </w:r>
    </w:p>
  </w:footnote>
  <w:footnote w:id="11">
    <w:p w14:paraId="38B02302" w14:textId="624C86AD" w:rsidR="00294B46" w:rsidRPr="00BD7D15" w:rsidRDefault="00294B46" w:rsidP="00BD7D15">
      <w:pPr>
        <w:pStyle w:val="FootnoteText"/>
        <w:jc w:val="both"/>
        <w:rPr>
          <w:rFonts w:ascii="Times New Roman" w:hAnsi="Times New Roman" w:cs="Times New Roman"/>
        </w:rPr>
      </w:pPr>
      <w:r w:rsidRPr="00BD7D15">
        <w:rPr>
          <w:rStyle w:val="FootnoteReference"/>
          <w:rFonts w:ascii="Times New Roman" w:hAnsi="Times New Roman" w:cs="Times New Roman"/>
        </w:rPr>
        <w:footnoteRef/>
      </w:r>
      <w:r w:rsidR="00BD7D15" w:rsidRPr="00BD7D15">
        <w:rPr>
          <w:rFonts w:ascii="Times New Roman" w:hAnsi="Times New Roman" w:cs="Times New Roman"/>
        </w:rPr>
        <w:t xml:space="preserve"> </w:t>
      </w:r>
      <w:r w:rsidRPr="00BD7D15">
        <w:rPr>
          <w:rFonts w:ascii="Times New Roman" w:hAnsi="Times New Roman" w:cs="Times New Roman"/>
        </w:rPr>
        <w:t xml:space="preserve">Theresa Graham CBE, </w:t>
      </w:r>
      <w:r w:rsidRPr="00BD7D15">
        <w:rPr>
          <w:rFonts w:ascii="Times New Roman" w:hAnsi="Times New Roman" w:cs="Times New Roman"/>
          <w:i/>
        </w:rPr>
        <w:t xml:space="preserve">Graham Review into Pre-pack Administration: Report to The </w:t>
      </w:r>
      <w:proofErr w:type="spellStart"/>
      <w:r w:rsidRPr="00BD7D15">
        <w:rPr>
          <w:rFonts w:ascii="Times New Roman" w:hAnsi="Times New Roman" w:cs="Times New Roman"/>
          <w:i/>
        </w:rPr>
        <w:t>Rt</w:t>
      </w:r>
      <w:proofErr w:type="spellEnd"/>
      <w:r w:rsidRPr="00BD7D15">
        <w:rPr>
          <w:rFonts w:ascii="Times New Roman" w:hAnsi="Times New Roman" w:cs="Times New Roman"/>
          <w:i/>
        </w:rPr>
        <w:t xml:space="preserve"> Hon Vince Cable MP</w:t>
      </w:r>
      <w:r w:rsidRPr="00BD7D15">
        <w:rPr>
          <w:rFonts w:ascii="Times New Roman" w:hAnsi="Times New Roman" w:cs="Times New Roman"/>
        </w:rPr>
        <w:t xml:space="preserve"> (June 2014</w:t>
      </w:r>
      <w:proofErr w:type="gramStart"/>
      <w:r w:rsidRPr="00BD7D15">
        <w:rPr>
          <w:rFonts w:ascii="Times New Roman" w:hAnsi="Times New Roman" w:cs="Times New Roman"/>
        </w:rPr>
        <w:t>)  [</w:t>
      </w:r>
      <w:proofErr w:type="gramEnd"/>
      <w:r w:rsidRPr="00BD7D15">
        <w:rPr>
          <w:rFonts w:ascii="Times New Roman" w:hAnsi="Times New Roman" w:cs="Times New Roman"/>
        </w:rPr>
        <w:t xml:space="preserve">9.5]. </w:t>
      </w:r>
    </w:p>
  </w:footnote>
  <w:footnote w:id="12">
    <w:p w14:paraId="0214AC0E" w14:textId="2CD775E3" w:rsidR="00BD7D15" w:rsidRPr="00BD7D15" w:rsidRDefault="00BD7D15">
      <w:pPr>
        <w:pStyle w:val="FootnoteText"/>
        <w:rPr>
          <w:lang w:val="en-GB"/>
        </w:rPr>
      </w:pPr>
      <w:r w:rsidRPr="00BD7D15">
        <w:rPr>
          <w:rStyle w:val="FootnoteReference"/>
          <w:rFonts w:ascii="Times New Roman" w:hAnsi="Times New Roman" w:cs="Times New Roman"/>
        </w:rPr>
        <w:footnoteRef/>
      </w:r>
      <w:r w:rsidRPr="00BD7D15">
        <w:rPr>
          <w:rFonts w:ascii="Times New Roman" w:hAnsi="Times New Roman" w:cs="Times New Roman"/>
        </w:rPr>
        <w:t xml:space="preserve"> </w:t>
      </w:r>
      <w:proofErr w:type="gramStart"/>
      <w:r w:rsidRPr="00BD7D15">
        <w:rPr>
          <w:rFonts w:ascii="Times New Roman" w:hAnsi="Times New Roman" w:cs="Times New Roman"/>
          <w:i/>
        </w:rPr>
        <w:t xml:space="preserve">Insolvency Act 1986 </w:t>
      </w:r>
      <w:r w:rsidRPr="00BD7D15">
        <w:rPr>
          <w:rFonts w:ascii="Times New Roman" w:hAnsi="Times New Roman" w:cs="Times New Roman"/>
        </w:rPr>
        <w:t>(UK) s 435.</w:t>
      </w:r>
      <w:proofErr w:type="gramEnd"/>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5870BEA"/>
    <w:multiLevelType w:val="hybridMultilevel"/>
    <w:tmpl w:val="7F22C09A"/>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asper Hedges">
    <w15:presenceInfo w15:providerId="AD" w15:userId="S-1-5-21-2078795561-4233005657-3261906462-32565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6119"/>
    <w:rsid w:val="00046684"/>
    <w:rsid w:val="000C431A"/>
    <w:rsid w:val="000D39B6"/>
    <w:rsid w:val="000D5782"/>
    <w:rsid w:val="0011313D"/>
    <w:rsid w:val="00120B27"/>
    <w:rsid w:val="00261B4B"/>
    <w:rsid w:val="00285317"/>
    <w:rsid w:val="00294B46"/>
    <w:rsid w:val="002E3334"/>
    <w:rsid w:val="002F7F06"/>
    <w:rsid w:val="003A37A3"/>
    <w:rsid w:val="003B636C"/>
    <w:rsid w:val="003C3268"/>
    <w:rsid w:val="003E792F"/>
    <w:rsid w:val="00420063"/>
    <w:rsid w:val="00452F2E"/>
    <w:rsid w:val="004B719C"/>
    <w:rsid w:val="004D278C"/>
    <w:rsid w:val="004F3179"/>
    <w:rsid w:val="00562281"/>
    <w:rsid w:val="005B70DB"/>
    <w:rsid w:val="005F1272"/>
    <w:rsid w:val="006928A3"/>
    <w:rsid w:val="006E76C7"/>
    <w:rsid w:val="006F3E89"/>
    <w:rsid w:val="007E0BB7"/>
    <w:rsid w:val="008033AD"/>
    <w:rsid w:val="00805AD7"/>
    <w:rsid w:val="00807958"/>
    <w:rsid w:val="008430B5"/>
    <w:rsid w:val="00860B5F"/>
    <w:rsid w:val="008B4645"/>
    <w:rsid w:val="008B7801"/>
    <w:rsid w:val="008E07D8"/>
    <w:rsid w:val="008E178E"/>
    <w:rsid w:val="008E3D6E"/>
    <w:rsid w:val="00912FA7"/>
    <w:rsid w:val="00914739"/>
    <w:rsid w:val="009838D1"/>
    <w:rsid w:val="00986643"/>
    <w:rsid w:val="009B2231"/>
    <w:rsid w:val="009B348A"/>
    <w:rsid w:val="009B39C2"/>
    <w:rsid w:val="009E2FE2"/>
    <w:rsid w:val="00A02C6E"/>
    <w:rsid w:val="00A06119"/>
    <w:rsid w:val="00A20E44"/>
    <w:rsid w:val="00AB0FD3"/>
    <w:rsid w:val="00AD59F8"/>
    <w:rsid w:val="00B17E00"/>
    <w:rsid w:val="00B52FC6"/>
    <w:rsid w:val="00B803F9"/>
    <w:rsid w:val="00BA621A"/>
    <w:rsid w:val="00BC77E5"/>
    <w:rsid w:val="00BD7D15"/>
    <w:rsid w:val="00C11E6D"/>
    <w:rsid w:val="00C4703E"/>
    <w:rsid w:val="00CC33F8"/>
    <w:rsid w:val="00CD48B8"/>
    <w:rsid w:val="00D11DFF"/>
    <w:rsid w:val="00D33D93"/>
    <w:rsid w:val="00D66022"/>
    <w:rsid w:val="00DF1862"/>
    <w:rsid w:val="00DF27EE"/>
    <w:rsid w:val="00E061A5"/>
    <w:rsid w:val="00EC0937"/>
    <w:rsid w:val="00EE2697"/>
    <w:rsid w:val="00F03A98"/>
    <w:rsid w:val="00F63FCA"/>
    <w:rsid w:val="00FB5DE2"/>
    <w:rsid w:val="00FD4786"/>
    <w:rsid w:val="00FF2DD2"/>
  </w:rsids>
  <m:mathPr>
    <m:mathFont m:val="Cambria Math"/>
    <m:brkBin m:val="before"/>
    <m:brkBinSub m:val="--"/>
    <m:smallFrac m:val="0"/>
    <m:dispDef/>
    <m:lMargin m:val="0"/>
    <m:rMargin m:val="0"/>
    <m:defJc m:val="centerGroup"/>
    <m:wrapIndent m:val="1440"/>
    <m:intLim m:val="subSup"/>
    <m:naryLim m:val="undOvr"/>
  </m:mathPr>
  <w:themeFontLang w:val="en-AU"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808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611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A06119"/>
    <w:rPr>
      <w:rFonts w:cs="Times New Roman"/>
      <w:color w:val="0000FF"/>
      <w:u w:val="single"/>
    </w:rPr>
  </w:style>
  <w:style w:type="paragraph" w:styleId="FootnoteText">
    <w:name w:val="footnote text"/>
    <w:aliases w:val="LJ Footnote Text,FN"/>
    <w:basedOn w:val="Normal"/>
    <w:link w:val="FootnoteTextChar"/>
    <w:uiPriority w:val="99"/>
    <w:unhideWhenUsed/>
    <w:qFormat/>
    <w:rsid w:val="00D33D93"/>
    <w:pPr>
      <w:spacing w:after="0" w:line="240" w:lineRule="auto"/>
    </w:pPr>
    <w:rPr>
      <w:sz w:val="20"/>
      <w:szCs w:val="20"/>
    </w:rPr>
  </w:style>
  <w:style w:type="character" w:customStyle="1" w:styleId="FootnoteTextChar">
    <w:name w:val="Footnote Text Char"/>
    <w:aliases w:val="LJ Footnote Text Char,FN Char"/>
    <w:basedOn w:val="DefaultParagraphFont"/>
    <w:link w:val="FootnoteText"/>
    <w:uiPriority w:val="99"/>
    <w:rsid w:val="00D33D93"/>
    <w:rPr>
      <w:sz w:val="20"/>
      <w:szCs w:val="20"/>
    </w:rPr>
  </w:style>
  <w:style w:type="character" w:styleId="FootnoteReference">
    <w:name w:val="footnote reference"/>
    <w:aliases w:val="footnote ref,NO,Footnotes refss,Footnote,16 Point,Superscript 6 Point"/>
    <w:basedOn w:val="DefaultParagraphFont"/>
    <w:uiPriority w:val="99"/>
    <w:unhideWhenUsed/>
    <w:qFormat/>
    <w:rsid w:val="00D33D93"/>
    <w:rPr>
      <w:vertAlign w:val="superscript"/>
    </w:rPr>
  </w:style>
  <w:style w:type="paragraph" w:styleId="ListParagraph">
    <w:name w:val="List Paragraph"/>
    <w:basedOn w:val="Normal"/>
    <w:uiPriority w:val="34"/>
    <w:qFormat/>
    <w:rsid w:val="00294B46"/>
    <w:pPr>
      <w:ind w:left="720"/>
      <w:contextualSpacing/>
    </w:pPr>
  </w:style>
  <w:style w:type="character" w:styleId="CommentReference">
    <w:name w:val="annotation reference"/>
    <w:basedOn w:val="DefaultParagraphFont"/>
    <w:uiPriority w:val="99"/>
    <w:semiHidden/>
    <w:unhideWhenUsed/>
    <w:rsid w:val="00120B27"/>
    <w:rPr>
      <w:sz w:val="16"/>
      <w:szCs w:val="16"/>
    </w:rPr>
  </w:style>
  <w:style w:type="paragraph" w:styleId="CommentText">
    <w:name w:val="annotation text"/>
    <w:basedOn w:val="Normal"/>
    <w:link w:val="CommentTextChar"/>
    <w:uiPriority w:val="99"/>
    <w:semiHidden/>
    <w:unhideWhenUsed/>
    <w:rsid w:val="00120B27"/>
    <w:pPr>
      <w:spacing w:line="240" w:lineRule="auto"/>
    </w:pPr>
    <w:rPr>
      <w:sz w:val="20"/>
      <w:szCs w:val="20"/>
    </w:rPr>
  </w:style>
  <w:style w:type="character" w:customStyle="1" w:styleId="CommentTextChar">
    <w:name w:val="Comment Text Char"/>
    <w:basedOn w:val="DefaultParagraphFont"/>
    <w:link w:val="CommentText"/>
    <w:uiPriority w:val="99"/>
    <w:semiHidden/>
    <w:rsid w:val="00120B27"/>
    <w:rPr>
      <w:sz w:val="20"/>
      <w:szCs w:val="20"/>
    </w:rPr>
  </w:style>
  <w:style w:type="paragraph" w:styleId="CommentSubject">
    <w:name w:val="annotation subject"/>
    <w:basedOn w:val="CommentText"/>
    <w:next w:val="CommentText"/>
    <w:link w:val="CommentSubjectChar"/>
    <w:uiPriority w:val="99"/>
    <w:semiHidden/>
    <w:unhideWhenUsed/>
    <w:rsid w:val="00120B27"/>
    <w:rPr>
      <w:b/>
      <w:bCs/>
    </w:rPr>
  </w:style>
  <w:style w:type="character" w:customStyle="1" w:styleId="CommentSubjectChar">
    <w:name w:val="Comment Subject Char"/>
    <w:basedOn w:val="CommentTextChar"/>
    <w:link w:val="CommentSubject"/>
    <w:uiPriority w:val="99"/>
    <w:semiHidden/>
    <w:rsid w:val="00120B27"/>
    <w:rPr>
      <w:b/>
      <w:bCs/>
      <w:sz w:val="20"/>
      <w:szCs w:val="20"/>
    </w:rPr>
  </w:style>
  <w:style w:type="paragraph" w:styleId="BalloonText">
    <w:name w:val="Balloon Text"/>
    <w:basedOn w:val="Normal"/>
    <w:link w:val="BalloonTextChar"/>
    <w:uiPriority w:val="99"/>
    <w:semiHidden/>
    <w:unhideWhenUsed/>
    <w:rsid w:val="00120B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0B27"/>
    <w:rPr>
      <w:rFonts w:ascii="Segoe UI" w:hAnsi="Segoe UI" w:cs="Segoe UI"/>
      <w:sz w:val="18"/>
      <w:szCs w:val="18"/>
    </w:rPr>
  </w:style>
  <w:style w:type="paragraph" w:styleId="Revision">
    <w:name w:val="Revision"/>
    <w:hidden/>
    <w:uiPriority w:val="99"/>
    <w:semiHidden/>
    <w:rsid w:val="00CD48B8"/>
    <w:pPr>
      <w:spacing w:after="0" w:line="240" w:lineRule="auto"/>
    </w:pPr>
  </w:style>
  <w:style w:type="character" w:styleId="FollowedHyperlink">
    <w:name w:val="FollowedHyperlink"/>
    <w:basedOn w:val="DefaultParagraphFont"/>
    <w:uiPriority w:val="99"/>
    <w:semiHidden/>
    <w:unhideWhenUsed/>
    <w:rsid w:val="00FB5DE2"/>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611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A06119"/>
    <w:rPr>
      <w:rFonts w:cs="Times New Roman"/>
      <w:color w:val="0000FF"/>
      <w:u w:val="single"/>
    </w:rPr>
  </w:style>
  <w:style w:type="paragraph" w:styleId="FootnoteText">
    <w:name w:val="footnote text"/>
    <w:aliases w:val="LJ Footnote Text,FN"/>
    <w:basedOn w:val="Normal"/>
    <w:link w:val="FootnoteTextChar"/>
    <w:uiPriority w:val="99"/>
    <w:unhideWhenUsed/>
    <w:qFormat/>
    <w:rsid w:val="00D33D93"/>
    <w:pPr>
      <w:spacing w:after="0" w:line="240" w:lineRule="auto"/>
    </w:pPr>
    <w:rPr>
      <w:sz w:val="20"/>
      <w:szCs w:val="20"/>
    </w:rPr>
  </w:style>
  <w:style w:type="character" w:customStyle="1" w:styleId="FootnoteTextChar">
    <w:name w:val="Footnote Text Char"/>
    <w:aliases w:val="LJ Footnote Text Char,FN Char"/>
    <w:basedOn w:val="DefaultParagraphFont"/>
    <w:link w:val="FootnoteText"/>
    <w:uiPriority w:val="99"/>
    <w:rsid w:val="00D33D93"/>
    <w:rPr>
      <w:sz w:val="20"/>
      <w:szCs w:val="20"/>
    </w:rPr>
  </w:style>
  <w:style w:type="character" w:styleId="FootnoteReference">
    <w:name w:val="footnote reference"/>
    <w:aliases w:val="footnote ref,NO,Footnotes refss,Footnote,16 Point,Superscript 6 Point"/>
    <w:basedOn w:val="DefaultParagraphFont"/>
    <w:uiPriority w:val="99"/>
    <w:unhideWhenUsed/>
    <w:qFormat/>
    <w:rsid w:val="00D33D93"/>
    <w:rPr>
      <w:vertAlign w:val="superscript"/>
    </w:rPr>
  </w:style>
  <w:style w:type="paragraph" w:styleId="ListParagraph">
    <w:name w:val="List Paragraph"/>
    <w:basedOn w:val="Normal"/>
    <w:uiPriority w:val="34"/>
    <w:qFormat/>
    <w:rsid w:val="00294B46"/>
    <w:pPr>
      <w:ind w:left="720"/>
      <w:contextualSpacing/>
    </w:pPr>
  </w:style>
  <w:style w:type="character" w:styleId="CommentReference">
    <w:name w:val="annotation reference"/>
    <w:basedOn w:val="DefaultParagraphFont"/>
    <w:uiPriority w:val="99"/>
    <w:semiHidden/>
    <w:unhideWhenUsed/>
    <w:rsid w:val="00120B27"/>
    <w:rPr>
      <w:sz w:val="16"/>
      <w:szCs w:val="16"/>
    </w:rPr>
  </w:style>
  <w:style w:type="paragraph" w:styleId="CommentText">
    <w:name w:val="annotation text"/>
    <w:basedOn w:val="Normal"/>
    <w:link w:val="CommentTextChar"/>
    <w:uiPriority w:val="99"/>
    <w:semiHidden/>
    <w:unhideWhenUsed/>
    <w:rsid w:val="00120B27"/>
    <w:pPr>
      <w:spacing w:line="240" w:lineRule="auto"/>
    </w:pPr>
    <w:rPr>
      <w:sz w:val="20"/>
      <w:szCs w:val="20"/>
    </w:rPr>
  </w:style>
  <w:style w:type="character" w:customStyle="1" w:styleId="CommentTextChar">
    <w:name w:val="Comment Text Char"/>
    <w:basedOn w:val="DefaultParagraphFont"/>
    <w:link w:val="CommentText"/>
    <w:uiPriority w:val="99"/>
    <w:semiHidden/>
    <w:rsid w:val="00120B27"/>
    <w:rPr>
      <w:sz w:val="20"/>
      <w:szCs w:val="20"/>
    </w:rPr>
  </w:style>
  <w:style w:type="paragraph" w:styleId="CommentSubject">
    <w:name w:val="annotation subject"/>
    <w:basedOn w:val="CommentText"/>
    <w:next w:val="CommentText"/>
    <w:link w:val="CommentSubjectChar"/>
    <w:uiPriority w:val="99"/>
    <w:semiHidden/>
    <w:unhideWhenUsed/>
    <w:rsid w:val="00120B27"/>
    <w:rPr>
      <w:b/>
      <w:bCs/>
    </w:rPr>
  </w:style>
  <w:style w:type="character" w:customStyle="1" w:styleId="CommentSubjectChar">
    <w:name w:val="Comment Subject Char"/>
    <w:basedOn w:val="CommentTextChar"/>
    <w:link w:val="CommentSubject"/>
    <w:uiPriority w:val="99"/>
    <w:semiHidden/>
    <w:rsid w:val="00120B27"/>
    <w:rPr>
      <w:b/>
      <w:bCs/>
      <w:sz w:val="20"/>
      <w:szCs w:val="20"/>
    </w:rPr>
  </w:style>
  <w:style w:type="paragraph" w:styleId="BalloonText">
    <w:name w:val="Balloon Text"/>
    <w:basedOn w:val="Normal"/>
    <w:link w:val="BalloonTextChar"/>
    <w:uiPriority w:val="99"/>
    <w:semiHidden/>
    <w:unhideWhenUsed/>
    <w:rsid w:val="00120B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0B27"/>
    <w:rPr>
      <w:rFonts w:ascii="Segoe UI" w:hAnsi="Segoe UI" w:cs="Segoe UI"/>
      <w:sz w:val="18"/>
      <w:szCs w:val="18"/>
    </w:rPr>
  </w:style>
  <w:style w:type="paragraph" w:styleId="Revision">
    <w:name w:val="Revision"/>
    <w:hidden/>
    <w:uiPriority w:val="99"/>
    <w:semiHidden/>
    <w:rsid w:val="00CD48B8"/>
    <w:pPr>
      <w:spacing w:after="0" w:line="240" w:lineRule="auto"/>
    </w:pPr>
  </w:style>
  <w:style w:type="character" w:styleId="FollowedHyperlink">
    <w:name w:val="FollowedHyperlink"/>
    <w:basedOn w:val="DefaultParagraphFont"/>
    <w:uiPriority w:val="99"/>
    <w:semiHidden/>
    <w:unhideWhenUsed/>
    <w:rsid w:val="00FB5DE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law.unimelb.edu.au/centres/cclsr/research/major-research-projects/regulating-fraudulent-phoenix-activ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Treasury Document" ma:contentTypeID="0x010100E95D40E5DFEA714B90E88DB5CE07A6B500935D0CF8835BE447895972B43AB8EC93" ma:contentTypeVersion="2549" ma:contentTypeDescription=" " ma:contentTypeScope="" ma:versionID="8ce7114b49cdec0dca33bee71bb2cb3a">
  <xsd:schema xmlns:xsd="http://www.w3.org/2001/XMLSchema" xmlns:xs="http://www.w3.org/2001/XMLSchema" xmlns:p="http://schemas.microsoft.com/office/2006/metadata/properties" xmlns:ns1="http://schemas.microsoft.com/sharepoint/v3" xmlns:ns2="d4dd4adf-ddb3-46a3-8d7c-fab3fb2a6bc7" xmlns:ns4="http://schemas.microsoft.com/sharepoint/v4" targetNamespace="http://schemas.microsoft.com/office/2006/metadata/properties" ma:root="true" ma:fieldsID="bf460448e7d47a31ac5105f029c3594c" ns1:_="" ns2:_="" ns4:_="">
    <xsd:import namespace="http://schemas.microsoft.com/sharepoint/v3"/>
    <xsd:import namespace="d4dd4adf-ddb3-46a3-8d7c-fab3fb2a6bc7"/>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1:_dlc_Exempt" minOccurs="0"/>
                <xsd:element ref="ns2:lb508a4dc5e84436a0fe496b536466aa" minOccurs="0"/>
                <xsd:element ref="ns2:TaxCatchAll" minOccurs="0"/>
                <xsd:element ref="ns2:TaxCatchAllLabel"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4dd4adf-ddb3-46a3-8d7c-fab3fb2a6bc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b508a4dc5e84436a0fe496b536466aa" ma:index="12" nillable="true" ma:taxonomy="true" ma:internalName="lb508a4dc5e84436a0fe496b536466aa" ma:taxonomyFieldName="TSYRecordClass" ma:displayName="Record Class" ma:readOnly="false" ma:default="2;#TSY RA-9081 - Retain as national archives|bbf0bcde-1687-4ff2-bc57-f31b5d545d4b"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ab865bba-d958-40fe-b21d-a68aa7a39431}" ma:internalName="TaxCatchAll" ma:showField="CatchAllData" ma:web="d4dd4adf-ddb3-46a3-8d7c-fab3fb2a6bc7">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ab865bba-d958-40fe-b21d-a68aa7a39431}" ma:internalName="TaxCatchAllLabel" ma:readOnly="true" ma:showField="CatchAllDataLabel" ma:web="d4dd4adf-ddb3-46a3-8d7c-fab3fb2a6bc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s>
</file>

<file path=customXml/item3.xml><?xml version="1.0" encoding="utf-8"?>
<?mso-contentType ?>
<p:Policy xmlns:p="office.server.policy" id="" local="true">
  <p:Name>Treasury Document</p:Name>
  <p:Description/>
  <p:Statement/>
  <p:PolicyItems>
    <p:PolicyItem featureId="Microsoft.Office.RecordsManagement.PolicyFeatures.PolicyAudit" staticId="0x010100E95D40E5DFEA714B90E88DB5CE07A6B5|1757814118" UniqueId="a9d72903-fc04-4f75-b3ff-49d8bb0ce94d">
      <p:Name>Auditing</p:Name>
      <p:Description>Audits user actions on documents and list items to the Audit Log.</p:Description>
      <p:CustomData>
        <Audit>
          <Update/>
          <View/>
          <CheckInOut/>
          <MoveCopy/>
          <DeleteRestore/>
        </Audit>
      </p:CustomData>
    </p:PolicyItem>
  </p:PolicyItems>
</p:Policy>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TaxCatchAll xmlns="d4dd4adf-ddb3-46a3-8d7c-fab3fb2a6bc7">
      <Value>2</Value>
    </TaxCatchAll>
    <lb508a4dc5e84436a0fe496b536466aa xmlns="d4dd4adf-ddb3-46a3-8d7c-fab3fb2a6bc7">
      <Terms xmlns="http://schemas.microsoft.com/office/infopath/2007/PartnerControls">
        <TermInfo xmlns="http://schemas.microsoft.com/office/infopath/2007/PartnerControls">
          <TermName xmlns="http://schemas.microsoft.com/office/infopath/2007/PartnerControls">TSY RA-9081 - Retain as national archives</TermName>
          <TermId xmlns="http://schemas.microsoft.com/office/infopath/2007/PartnerControls">bbf0bcde-1687-4ff2-bc57-f31b5d545d4b</TermId>
        </TermInfo>
      </Terms>
    </lb508a4dc5e84436a0fe496b536466aa>
    <_dlc_DocId xmlns="d4dd4adf-ddb3-46a3-8d7c-fab3fb2a6bc7">2017MG-90-17837</_dlc_DocId>
    <_dlc_DocIdUrl xmlns="d4dd4adf-ddb3-46a3-8d7c-fab3fb2a6bc7">
      <Url>http://tweb/sites/mg/fsd/_layouts/15/DocIdRedir.aspx?ID=2017MG-90-17837</Url>
      <Description>2017MG-90-17837</Description>
    </_dlc_DocIdUrl>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FFCA13-F450-433C-93A1-D357D93870C4}"/>
</file>

<file path=customXml/itemProps2.xml><?xml version="1.0" encoding="utf-8"?>
<ds:datastoreItem xmlns:ds="http://schemas.openxmlformats.org/officeDocument/2006/customXml" ds:itemID="{6F586E1F-00A8-4AC2-A4BC-5030B590C8C3}">
  <ds:schemaRefs>
    <ds:schemaRef ds:uri="http://schemas.microsoft.com/sharepoint/events"/>
  </ds:schemaRefs>
</ds:datastoreItem>
</file>

<file path=customXml/itemProps3.xml><?xml version="1.0" encoding="utf-8"?>
<ds:datastoreItem xmlns:ds="http://schemas.openxmlformats.org/officeDocument/2006/customXml" ds:itemID="{4FC0173D-37FF-482F-ABA3-9E9DBB09B5A7}">
  <ds:schemaRefs>
    <ds:schemaRef ds:uri="office.server.policy"/>
  </ds:schemaRefs>
</ds:datastoreItem>
</file>

<file path=customXml/itemProps4.xml><?xml version="1.0" encoding="utf-8"?>
<ds:datastoreItem xmlns:ds="http://schemas.openxmlformats.org/officeDocument/2006/customXml" ds:itemID="{10142087-0DC6-4DBB-9C74-B4038D696EF5}">
  <ds:schemaRefs>
    <ds:schemaRef ds:uri="http://schemas.microsoft.com/sharepoint/v3/contenttype/forms"/>
  </ds:schemaRefs>
</ds:datastoreItem>
</file>

<file path=customXml/itemProps5.xml><?xml version="1.0" encoding="utf-8"?>
<ds:datastoreItem xmlns:ds="http://schemas.openxmlformats.org/officeDocument/2006/customXml" ds:itemID="{091696EE-A7FF-4D68-AFD5-428227FE3EDE}">
  <ds:schemaRefs>
    <ds:schemaRef ds:uri="http://purl.org/dc/terms/"/>
    <ds:schemaRef ds:uri="http://schemas.microsoft.com/office/2006/metadata/properties"/>
    <ds:schemaRef ds:uri="http://www.w3.org/XML/1998/namespace"/>
    <ds:schemaRef ds:uri="http://purl.org/dc/elements/1.1/"/>
    <ds:schemaRef ds:uri="http://schemas.microsoft.com/office/2006/documentManagement/types"/>
    <ds:schemaRef ds:uri="http://purl.org/dc/dcmitype/"/>
    <ds:schemaRef ds:uri="http://schemas.openxmlformats.org/package/2006/metadata/core-properties"/>
    <ds:schemaRef ds:uri="d4dd4adf-ddb3-46a3-8d7c-fab3fb2a6bc7"/>
    <ds:schemaRef ds:uri="http://schemas.microsoft.com/office/infopath/2007/PartnerControls"/>
    <ds:schemaRef ds:uri="http://schemas.microsoft.com/sharepoint/v4"/>
    <ds:schemaRef ds:uri="http://schemas.microsoft.com/sharepoint/v3"/>
  </ds:schemaRefs>
</ds:datastoreItem>
</file>

<file path=customXml/itemProps6.xml><?xml version="1.0" encoding="utf-8"?>
<ds:datastoreItem xmlns:ds="http://schemas.openxmlformats.org/officeDocument/2006/customXml" ds:itemID="{97066B31-AEF0-4715-BDC1-5FC5F99CC5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1637</Words>
  <Characters>9337</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The University of Melbourne</Company>
  <LinksUpToDate>false</LinksUpToDate>
  <CharactersWithSpaces>10953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 Lesley Anderson</dc:creator>
  <cp:lastModifiedBy>Irwin, Zoe</cp:lastModifiedBy>
  <cp:revision>2</cp:revision>
  <dcterms:created xsi:type="dcterms:W3CDTF">2017-04-07T00:46:00Z</dcterms:created>
  <dcterms:modified xsi:type="dcterms:W3CDTF">2017-04-07T00:46:00Z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0x010100E95D40E5DFEA714B90E88DB5CE07A6B500935D0CF8835BE447895972B43AB8EC93</vt:lpwstr>
  </property>
  <property fmtid="{D5CDD505-2E9C-101B-9397-08002B2CF9AE}" pid="3" name="TSYRecordClass">
    <vt:lpwstr>2;#TSY RA-9081 - Retain as national archives|bbf0bcde-1687-4ff2-bc57-f31b5d545d4b</vt:lpwstr>
  </property>
  <property fmtid="{D5CDD505-2E9C-101B-9397-08002B2CF9AE}" pid="4" name="_dlc_DocIdItemGuid">
    <vt:lpwstr>ebcfd201-5af9-48bc-b1eb-603a5dcf1534</vt:lpwstr>
  </property>
  <property fmtid="{D5CDD505-2E9C-101B-9397-08002B2CF9AE}" pid="5" name="_AdHocReviewCycleID">
    <vt:i4>973025039</vt:i4>
  </property>
  <property fmtid="{D5CDD505-2E9C-101B-9397-08002B2CF9AE}" pid="6" name="_NewReviewCycle">
    <vt:lpwstr/>
  </property>
  <property fmtid="{D5CDD505-2E9C-101B-9397-08002B2CF9AE}" pid="7" name="_EmailSubject">
    <vt:lpwstr>Update - Request a New Webpage Request #S42347 [SEC=UNCLASSIFIED]</vt:lpwstr>
  </property>
  <property fmtid="{D5CDD505-2E9C-101B-9397-08002B2CF9AE}" pid="8" name="_AuthorEmail">
    <vt:lpwstr>Jean.Skeat@treasury.gov.au</vt:lpwstr>
  </property>
  <property fmtid="{D5CDD505-2E9C-101B-9397-08002B2CF9AE}" pid="9" name="_AuthorEmailDisplayName">
    <vt:lpwstr>Skeat, Jean</vt:lpwstr>
  </property>
</Properties>
</file>