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3DC704" w14:textId="77777777" w:rsidR="00697AD0" w:rsidRDefault="00697AD0" w:rsidP="002576C7">
      <w:pPr>
        <w:pStyle w:val="Baseparagraphcentred"/>
      </w:pPr>
      <w:bookmarkStart w:id="0" w:name="_GoBack"/>
      <w:bookmarkEnd w:id="0"/>
      <w:r>
        <w:t>2016-17</w:t>
      </w:r>
    </w:p>
    <w:p w14:paraId="5808BC0B" w14:textId="77777777" w:rsidR="00697AD0" w:rsidRDefault="00697AD0" w:rsidP="002576C7">
      <w:pPr>
        <w:pStyle w:val="Baseparagraphcentred"/>
      </w:pPr>
    </w:p>
    <w:p w14:paraId="6222D8CC" w14:textId="77777777" w:rsidR="00697AD0" w:rsidRDefault="00697AD0" w:rsidP="002576C7">
      <w:pPr>
        <w:pStyle w:val="Baseparagraphcentred"/>
      </w:pPr>
      <w:r>
        <w:t>THE PARLIAMENT OF THE COMMONWEALTH OF AUSTRALIA</w:t>
      </w:r>
    </w:p>
    <w:p w14:paraId="6DE3EC0A" w14:textId="77777777" w:rsidR="00697AD0" w:rsidRDefault="00697AD0" w:rsidP="002576C7">
      <w:pPr>
        <w:pStyle w:val="Baseparagraphcentred"/>
      </w:pPr>
    </w:p>
    <w:p w14:paraId="5BE324FB" w14:textId="77777777" w:rsidR="00697AD0" w:rsidRDefault="00697AD0" w:rsidP="002576C7">
      <w:pPr>
        <w:pStyle w:val="Baseparagraphcentred"/>
      </w:pPr>
    </w:p>
    <w:p w14:paraId="340E99DC" w14:textId="77777777" w:rsidR="00697AD0" w:rsidRDefault="00697AD0" w:rsidP="002576C7">
      <w:pPr>
        <w:pStyle w:val="Baseparagraphcentred"/>
      </w:pPr>
    </w:p>
    <w:p w14:paraId="2F315D3F" w14:textId="77777777" w:rsidR="00697AD0" w:rsidRDefault="00697AD0" w:rsidP="002576C7">
      <w:pPr>
        <w:pStyle w:val="Baseparagraphcentred"/>
      </w:pPr>
      <w:r>
        <w:t>HOUSE OF REPRESENTATIVES</w:t>
      </w:r>
    </w:p>
    <w:p w14:paraId="13D308F0" w14:textId="77777777" w:rsidR="00697AD0" w:rsidRDefault="00697AD0" w:rsidP="002576C7">
      <w:pPr>
        <w:pStyle w:val="Baseparagraphcentred"/>
      </w:pPr>
    </w:p>
    <w:p w14:paraId="220AAADE" w14:textId="77777777" w:rsidR="00697AD0" w:rsidRDefault="00697AD0" w:rsidP="002576C7">
      <w:pPr>
        <w:pStyle w:val="Baseparagraphcentred"/>
      </w:pPr>
    </w:p>
    <w:p w14:paraId="0E49CBA9" w14:textId="77777777" w:rsidR="00697AD0" w:rsidRDefault="00697AD0" w:rsidP="002576C7">
      <w:pPr>
        <w:pStyle w:val="Baseparagraphcentred"/>
      </w:pPr>
    </w:p>
    <w:p w14:paraId="4016D109" w14:textId="508809A0" w:rsidR="00697AD0" w:rsidRDefault="00697AD0" w:rsidP="002576C7">
      <w:pPr>
        <w:pStyle w:val="BillName"/>
      </w:pPr>
      <w:r>
        <w:t>Treasury laws amendme</w:t>
      </w:r>
      <w:r w:rsidR="00591C1D">
        <w:t>N</w:t>
      </w:r>
      <w:r>
        <w:t xml:space="preserve">t (2017 Enterprise Incentives no. 2 bill) bill no. </w:t>
      </w:r>
      <w:r w:rsidRPr="00DB33EC">
        <w:t>X</w:t>
      </w:r>
      <w:r>
        <w:t>, 2017</w:t>
      </w:r>
    </w:p>
    <w:p w14:paraId="465E1A6A" w14:textId="77777777" w:rsidR="00697AD0" w:rsidRDefault="00697AD0" w:rsidP="002576C7">
      <w:pPr>
        <w:pStyle w:val="Baseparagraphcentred"/>
      </w:pPr>
    </w:p>
    <w:p w14:paraId="23282DAD" w14:textId="77777777" w:rsidR="00697AD0" w:rsidRDefault="00697AD0" w:rsidP="002576C7">
      <w:pPr>
        <w:pStyle w:val="Baseparagraphcentred"/>
      </w:pPr>
    </w:p>
    <w:p w14:paraId="576CFF2B" w14:textId="77777777" w:rsidR="00697AD0" w:rsidRDefault="00697AD0" w:rsidP="002576C7">
      <w:pPr>
        <w:pStyle w:val="Baseparagraphcentred"/>
      </w:pPr>
    </w:p>
    <w:p w14:paraId="0B85ECBE" w14:textId="77777777" w:rsidR="00697AD0" w:rsidRDefault="00697AD0" w:rsidP="002576C7">
      <w:pPr>
        <w:pStyle w:val="Baseparagraphcentred"/>
      </w:pPr>
    </w:p>
    <w:p w14:paraId="2BD7D984" w14:textId="77777777" w:rsidR="00697AD0" w:rsidRDefault="00697AD0" w:rsidP="002576C7">
      <w:pPr>
        <w:pStyle w:val="Baseparagraphcentred"/>
      </w:pPr>
      <w:r>
        <w:t>EXPLANATORY MEMORANDUM</w:t>
      </w:r>
    </w:p>
    <w:p w14:paraId="12C0620A" w14:textId="77777777" w:rsidR="00697AD0" w:rsidRDefault="00697AD0" w:rsidP="002576C7">
      <w:pPr>
        <w:pStyle w:val="Baseparagraphcentred"/>
      </w:pPr>
    </w:p>
    <w:p w14:paraId="797DDF3D" w14:textId="77777777" w:rsidR="00697AD0" w:rsidRDefault="00697AD0" w:rsidP="002576C7">
      <w:pPr>
        <w:pStyle w:val="Baseparagraphcentred"/>
      </w:pPr>
    </w:p>
    <w:p w14:paraId="6CEA1D8B" w14:textId="77777777" w:rsidR="00697AD0" w:rsidRDefault="00697AD0" w:rsidP="002576C7">
      <w:pPr>
        <w:pStyle w:val="Baseparagraphcentred"/>
      </w:pPr>
    </w:p>
    <w:p w14:paraId="6C7C5D65" w14:textId="77777777" w:rsidR="00697AD0" w:rsidRPr="00FC42BC" w:rsidRDefault="00697AD0" w:rsidP="002576C7">
      <w:pPr>
        <w:pStyle w:val="Baseparagraphcentred"/>
        <w:rPr>
          <w:vanish/>
        </w:rPr>
      </w:pPr>
      <w:r w:rsidRPr="00FC42BC">
        <w:rPr>
          <w:vanish/>
          <w:color w:val="FF0000"/>
        </w:rPr>
        <w:t>Only the approving Minister needs to be on the front cover. Please delete the non</w:t>
      </w:r>
      <w:r>
        <w:rPr>
          <w:vanish/>
          <w:color w:val="FF0000"/>
        </w:rPr>
        <w:noBreakHyphen/>
      </w:r>
      <w:r w:rsidRPr="00FC42BC">
        <w:rPr>
          <w:vanish/>
          <w:color w:val="FF0000"/>
        </w:rPr>
        <w:t>approving Ministers name</w:t>
      </w:r>
    </w:p>
    <w:p w14:paraId="7A17EE4A" w14:textId="77777777" w:rsidR="00697AD0" w:rsidRDefault="00697AD0" w:rsidP="002576C7">
      <w:pPr>
        <w:pStyle w:val="Baseparagraphcentred"/>
      </w:pPr>
      <w:r>
        <w:t>Circulated by authority of the</w:t>
      </w:r>
      <w:r>
        <w:br/>
        <w:t>Minister for Revenue and Financial Services, the Hon Kelly O’Dwyer MP</w:t>
      </w:r>
    </w:p>
    <w:p w14:paraId="031D7DCE" w14:textId="77777777" w:rsidR="00697AD0" w:rsidRDefault="00697AD0" w:rsidP="002576C7">
      <w:pPr>
        <w:sectPr w:rsidR="00697AD0" w:rsidSect="00703978">
          <w:headerReference w:type="even" r:id="rId14"/>
          <w:headerReference w:type="default" r:id="rId15"/>
          <w:footerReference w:type="even" r:id="rId16"/>
          <w:footerReference w:type="default" r:id="rId17"/>
          <w:headerReference w:type="first" r:id="rId18"/>
          <w:type w:val="oddPage"/>
          <w:pgSz w:w="11906" w:h="16838" w:code="9"/>
          <w:pgMar w:top="2466" w:right="2098" w:bottom="2466" w:left="2098" w:header="1559" w:footer="1899" w:gutter="0"/>
          <w:cols w:space="708"/>
          <w:titlePg/>
          <w:docGrid w:linePitch="360"/>
        </w:sectPr>
      </w:pPr>
    </w:p>
    <w:p w14:paraId="1D6FF120" w14:textId="77777777" w:rsidR="00697AD0" w:rsidRPr="003E0794" w:rsidRDefault="00697AD0" w:rsidP="002576C7">
      <w:pPr>
        <w:pStyle w:val="TOCHeading"/>
      </w:pPr>
      <w:r w:rsidRPr="003E0794">
        <w:lastRenderedPageBreak/>
        <w:t>Table of contents</w:t>
      </w:r>
    </w:p>
    <w:p w14:paraId="107416EE" w14:textId="45AE0390" w:rsidR="00384DF4" w:rsidRDefault="00697AD0">
      <w:pPr>
        <w:pStyle w:val="TOC2"/>
        <w:rPr>
          <w:rFonts w:asciiTheme="minorHAnsi" w:eastAsiaTheme="minorEastAsia" w:hAnsiTheme="minorHAnsi" w:cstheme="minorBidi"/>
          <w:sz w:val="22"/>
          <w:szCs w:val="22"/>
        </w:rPr>
      </w:pPr>
      <w:r>
        <w:fldChar w:fldCharType="begin"/>
      </w:r>
      <w:r>
        <w:instrText xml:space="preserve"> TOC \t "Chapter Heading,1,Chapter heading subdocument,2" </w:instrText>
      </w:r>
      <w:r>
        <w:fldChar w:fldCharType="separate"/>
      </w:r>
      <w:r w:rsidR="00384DF4">
        <w:t>General outline and financial impact</w:t>
      </w:r>
      <w:r w:rsidR="00384DF4">
        <w:tab/>
      </w:r>
      <w:r w:rsidR="00384DF4">
        <w:fldChar w:fldCharType="begin"/>
      </w:r>
      <w:r w:rsidR="00384DF4">
        <w:instrText xml:space="preserve"> PAGEREF _Toc478136538 \h </w:instrText>
      </w:r>
      <w:r w:rsidR="00384DF4">
        <w:fldChar w:fldCharType="separate"/>
      </w:r>
      <w:r w:rsidR="00384DF4">
        <w:t>5</w:t>
      </w:r>
      <w:r w:rsidR="00384DF4">
        <w:fldChar w:fldCharType="end"/>
      </w:r>
    </w:p>
    <w:p w14:paraId="50A061EE" w14:textId="3FCB9782" w:rsidR="00384DF4" w:rsidRDefault="00384DF4">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Schedule 1, Part 1 – Safe harbour for insolvent trading</w:t>
      </w:r>
      <w:r>
        <w:rPr>
          <w:noProof/>
        </w:rPr>
        <w:tab/>
      </w:r>
      <w:r>
        <w:rPr>
          <w:noProof/>
        </w:rPr>
        <w:fldChar w:fldCharType="begin"/>
      </w:r>
      <w:r>
        <w:rPr>
          <w:noProof/>
        </w:rPr>
        <w:instrText xml:space="preserve"> PAGEREF _Toc478136539 \h </w:instrText>
      </w:r>
      <w:r>
        <w:rPr>
          <w:noProof/>
        </w:rPr>
      </w:r>
      <w:r>
        <w:rPr>
          <w:noProof/>
        </w:rPr>
        <w:fldChar w:fldCharType="separate"/>
      </w:r>
      <w:r>
        <w:rPr>
          <w:noProof/>
        </w:rPr>
        <w:t>7</w:t>
      </w:r>
      <w:r>
        <w:rPr>
          <w:noProof/>
        </w:rPr>
        <w:fldChar w:fldCharType="end"/>
      </w:r>
    </w:p>
    <w:p w14:paraId="33D9CD84" w14:textId="00803B29" w:rsidR="00384DF4" w:rsidRDefault="00384DF4">
      <w:pPr>
        <w:pStyle w:val="TOC1"/>
        <w:rPr>
          <w:rFonts w:asciiTheme="minorHAnsi" w:eastAsiaTheme="minorEastAsia" w:hAnsiTheme="minorHAnsi" w:cstheme="minorBidi"/>
          <w:noProof/>
          <w:sz w:val="22"/>
          <w:szCs w:val="22"/>
        </w:rPr>
      </w:pPr>
      <w:r>
        <w:rPr>
          <w:noProof/>
        </w:rPr>
        <w:t>Chapter 2</w:t>
      </w:r>
      <w:r>
        <w:rPr>
          <w:rFonts w:asciiTheme="minorHAnsi" w:eastAsiaTheme="minorEastAsia" w:hAnsiTheme="minorHAnsi" w:cstheme="minorBidi"/>
          <w:noProof/>
          <w:sz w:val="22"/>
          <w:szCs w:val="22"/>
        </w:rPr>
        <w:tab/>
      </w:r>
      <w:r>
        <w:rPr>
          <w:noProof/>
        </w:rPr>
        <w:t>Schedule 1, Part 2 – Stay on enforcing rights merely because of arrangements or restructures</w:t>
      </w:r>
      <w:r>
        <w:rPr>
          <w:noProof/>
        </w:rPr>
        <w:tab/>
      </w:r>
      <w:r>
        <w:rPr>
          <w:noProof/>
        </w:rPr>
        <w:fldChar w:fldCharType="begin"/>
      </w:r>
      <w:r>
        <w:rPr>
          <w:noProof/>
        </w:rPr>
        <w:instrText xml:space="preserve"> PAGEREF _Toc478136540 \h </w:instrText>
      </w:r>
      <w:r>
        <w:rPr>
          <w:noProof/>
        </w:rPr>
      </w:r>
      <w:r>
        <w:rPr>
          <w:noProof/>
        </w:rPr>
        <w:fldChar w:fldCharType="separate"/>
      </w:r>
      <w:r>
        <w:rPr>
          <w:noProof/>
        </w:rPr>
        <w:t>19</w:t>
      </w:r>
      <w:r>
        <w:rPr>
          <w:noProof/>
        </w:rPr>
        <w:fldChar w:fldCharType="end"/>
      </w:r>
    </w:p>
    <w:p w14:paraId="6A820F53" w14:textId="77777777" w:rsidR="00697AD0" w:rsidRDefault="00697AD0" w:rsidP="002576C7">
      <w:pPr>
        <w:pStyle w:val="base-text-paragraphnonumbers"/>
      </w:pPr>
      <w:r>
        <w:rPr>
          <w:b/>
          <w:bCs/>
          <w:noProof/>
          <w:lang w:val="en-US"/>
        </w:rPr>
        <w:fldChar w:fldCharType="end"/>
      </w:r>
    </w:p>
    <w:p w14:paraId="1A92C490" w14:textId="77777777" w:rsidR="00697AD0" w:rsidRDefault="00697AD0" w:rsidP="002576C7">
      <w:pPr>
        <w:pStyle w:val="Hiddentext"/>
      </w:pPr>
      <w:r>
        <w:t>Do not remove section break.</w:t>
      </w:r>
    </w:p>
    <w:p w14:paraId="0B8B80E3" w14:textId="77777777" w:rsidR="00697AD0" w:rsidRDefault="00697AD0" w:rsidP="002576C7">
      <w:pPr>
        <w:pStyle w:val="base-text-paragraphnonumbers"/>
        <w:sectPr w:rsidR="00697AD0" w:rsidSect="00703978">
          <w:headerReference w:type="even" r:id="rId19"/>
          <w:headerReference w:type="default" r:id="rId20"/>
          <w:footerReference w:type="even" r:id="rId21"/>
          <w:footerReference w:type="default" r:id="rId22"/>
          <w:headerReference w:type="first" r:id="rId23"/>
          <w:footerReference w:type="first" r:id="rId24"/>
          <w:type w:val="oddPage"/>
          <w:pgSz w:w="11906" w:h="16838" w:code="9"/>
          <w:pgMar w:top="2466" w:right="2098" w:bottom="2466" w:left="2098" w:header="1559" w:footer="1899" w:gutter="0"/>
          <w:cols w:space="708"/>
          <w:titlePg/>
          <w:docGrid w:linePitch="360"/>
        </w:sectPr>
      </w:pPr>
    </w:p>
    <w:p w14:paraId="01DC3D44" w14:textId="77777777" w:rsidR="00697AD0" w:rsidRPr="00D67ADC" w:rsidRDefault="00697AD0" w:rsidP="00703978">
      <w:pPr>
        <w:pStyle w:val="Chapterheadingsubdocument"/>
      </w:pPr>
      <w:bookmarkStart w:id="1" w:name="_Toc478120564"/>
      <w:bookmarkStart w:id="2" w:name="_Toc478122320"/>
      <w:bookmarkStart w:id="3" w:name="_Toc478134651"/>
      <w:bookmarkStart w:id="4" w:name="_Toc478136427"/>
      <w:bookmarkStart w:id="5" w:name="_Toc478136538"/>
      <w:r w:rsidRPr="00D67ADC">
        <w:lastRenderedPageBreak/>
        <w:t>General outline and financial impact</w:t>
      </w:r>
      <w:bookmarkEnd w:id="1"/>
      <w:bookmarkEnd w:id="2"/>
      <w:bookmarkEnd w:id="3"/>
      <w:bookmarkEnd w:id="4"/>
      <w:bookmarkEnd w:id="5"/>
    </w:p>
    <w:p w14:paraId="7927010A" w14:textId="622D8803" w:rsidR="00697AD0" w:rsidRDefault="00752B20" w:rsidP="00703978">
      <w:pPr>
        <w:pStyle w:val="Heading2"/>
      </w:pPr>
      <w:r>
        <w:t>Overview</w:t>
      </w:r>
    </w:p>
    <w:p w14:paraId="27429C10" w14:textId="061405EF" w:rsidR="00813D5C" w:rsidRDefault="00AE215E" w:rsidP="00703978">
      <w:pPr>
        <w:pStyle w:val="base-text-paragraphnonumbers"/>
      </w:pPr>
      <w:r>
        <w:t xml:space="preserve">The </w:t>
      </w:r>
      <w:r w:rsidR="00813D5C">
        <w:t>Government is reforming Australia’s insolvency laws</w:t>
      </w:r>
      <w:r w:rsidR="00ED1C17">
        <w:t>. Our current insolvent trading laws put too much focus on stigmatising an</w:t>
      </w:r>
      <w:r w:rsidR="00C13868">
        <w:t>d</w:t>
      </w:r>
      <w:r w:rsidR="00ED1C17">
        <w:t xml:space="preserve"> penalising failure. A</w:t>
      </w:r>
      <w:r w:rsidR="0036280E">
        <w:t xml:space="preserve">s part of the National Innovation and Science Agenda (NISA) </w:t>
      </w:r>
      <w:r w:rsidR="00ED1C17">
        <w:t xml:space="preserve">these reforms aim </w:t>
      </w:r>
      <w:r w:rsidR="0036280E">
        <w:t xml:space="preserve">to </w:t>
      </w:r>
      <w:r w:rsidR="00ED1C17">
        <w:t xml:space="preserve">promote a culture of entrepreneurship and innovation which will help drive business growth, local jobs and global </w:t>
      </w:r>
      <w:r w:rsidR="00F645C9">
        <w:t xml:space="preserve">success.  </w:t>
      </w:r>
    </w:p>
    <w:p w14:paraId="354564B9" w14:textId="0AEA99C5" w:rsidR="00ED1C17" w:rsidRDefault="00ED1C17" w:rsidP="00703978">
      <w:pPr>
        <w:pStyle w:val="base-text-paragraphnonumbers"/>
      </w:pPr>
      <w:r w:rsidRPr="00DB3111">
        <w:t xml:space="preserve">The threat of Australia’s insolvent trading laws, combined with uncertainty over the precise moment </w:t>
      </w:r>
      <w:r>
        <w:t>a company becomes insolvent have</w:t>
      </w:r>
      <w:r w:rsidRPr="00DB3111">
        <w:t xml:space="preserve"> long been </w:t>
      </w:r>
      <w:r w:rsidR="0045437C">
        <w:t>criticised as driving</w:t>
      </w:r>
      <w:r w:rsidRPr="00DB3111">
        <w:t xml:space="preserve"> </w:t>
      </w:r>
      <w:r w:rsidR="00634FB3">
        <w:t>directors</w:t>
      </w:r>
      <w:r w:rsidR="00634FB3" w:rsidRPr="00DB3111">
        <w:t xml:space="preserve"> </w:t>
      </w:r>
      <w:r w:rsidR="0045437C">
        <w:t xml:space="preserve">to </w:t>
      </w:r>
      <w:r w:rsidR="00634FB3">
        <w:t xml:space="preserve">seek </w:t>
      </w:r>
      <w:r w:rsidRPr="00DB3111">
        <w:t>voluntary administration even in circumstances where the company may be viable in the long</w:t>
      </w:r>
      <w:r w:rsidR="00634FB3">
        <w:t>er</w:t>
      </w:r>
      <w:r w:rsidRPr="00DB3111">
        <w:t xml:space="preserve"> term.</w:t>
      </w:r>
      <w:r w:rsidRPr="00ED1C17">
        <w:t xml:space="preserve"> Concerns over inadvertent breaches of insolvent trading laws are frequently cited as</w:t>
      </w:r>
      <w:r w:rsidR="00495587">
        <w:t xml:space="preserve"> a</w:t>
      </w:r>
      <w:r w:rsidRPr="00ED1C17">
        <w:t xml:space="preserve"> reason </w:t>
      </w:r>
      <w:r w:rsidR="00495587">
        <w:t xml:space="preserve">that </w:t>
      </w:r>
      <w:r w:rsidRPr="00ED1C17">
        <w:t>early stage (angel) investors and professional directors are reluctant to become involved in a start-up.</w:t>
      </w:r>
    </w:p>
    <w:p w14:paraId="1B96592F" w14:textId="11D95689" w:rsidR="00813D5C" w:rsidRDefault="00F645C9" w:rsidP="00703978">
      <w:pPr>
        <w:pStyle w:val="base-text-paragraphnonumbers"/>
      </w:pPr>
      <w:r>
        <w:t xml:space="preserve">The amendments in Schedule 1, Part 1 of this Bill will create a safe harbour for company directors from personal liability for insolvent trading if the company is undertaking a restructure. </w:t>
      </w:r>
      <w:r w:rsidR="00ED1C17">
        <w:t>This will</w:t>
      </w:r>
      <w:r>
        <w:t xml:space="preserve"> drive cultural change amongst company directors by encouraging them to </w:t>
      </w:r>
      <w:r w:rsidR="00634FB3">
        <w:t xml:space="preserve">keep control of their company, </w:t>
      </w:r>
      <w:r w:rsidR="00ED1C17">
        <w:t xml:space="preserve">engage early with </w:t>
      </w:r>
      <w:r w:rsidR="00634FB3">
        <w:t>possible</w:t>
      </w:r>
      <w:r w:rsidR="006E3A76">
        <w:t xml:space="preserve"> insolvency</w:t>
      </w:r>
      <w:r w:rsidR="00ED1C17">
        <w:t xml:space="preserve">, </w:t>
      </w:r>
      <w:r>
        <w:t>and take reasonable risks</w:t>
      </w:r>
      <w:r w:rsidR="00490212">
        <w:t xml:space="preserve"> to facilitate </w:t>
      </w:r>
      <w:r w:rsidR="00ED1C17">
        <w:t>the company’s</w:t>
      </w:r>
      <w:r w:rsidR="00490212">
        <w:t xml:space="preserve"> recovery</w:t>
      </w:r>
      <w:r>
        <w:t xml:space="preserve"> instead of </w:t>
      </w:r>
      <w:r w:rsidR="00634FB3">
        <w:t>simpl</w:t>
      </w:r>
      <w:r w:rsidR="006E3A76">
        <w:t xml:space="preserve">y </w:t>
      </w:r>
      <w:r>
        <w:t xml:space="preserve">placing the company </w:t>
      </w:r>
      <w:r w:rsidR="00ED1C17">
        <w:t xml:space="preserve">prematurely </w:t>
      </w:r>
      <w:r>
        <w:t xml:space="preserve">into voluntary administration </w:t>
      </w:r>
      <w:r w:rsidR="00ED1C17">
        <w:t>or liquidation</w:t>
      </w:r>
      <w:r>
        <w:t xml:space="preserve">. </w:t>
      </w:r>
    </w:p>
    <w:p w14:paraId="1A7B65CD" w14:textId="54478B27" w:rsidR="006E3A76" w:rsidRDefault="006E3A76" w:rsidP="00703978">
      <w:pPr>
        <w:pStyle w:val="base-text-paragraphnonumbers"/>
      </w:pPr>
      <w:r w:rsidRPr="006E3A76">
        <w:t xml:space="preserve">An </w:t>
      </w:r>
      <w:r w:rsidR="00634FB3">
        <w:t>‘</w:t>
      </w:r>
      <w:r w:rsidRPr="006E3A76">
        <w:t>ipso facto</w:t>
      </w:r>
      <w:r w:rsidR="00634FB3">
        <w:t>’</w:t>
      </w:r>
      <w:r w:rsidRPr="006E3A76">
        <w:t xml:space="preserve"> clause is a provision that allows one party to terminate or modify the operation of a contract upon the occurrence of some specific event</w:t>
      </w:r>
      <w:r>
        <w:t xml:space="preserve">, </w:t>
      </w:r>
      <w:r w:rsidRPr="006E3A76">
        <w:t xml:space="preserve">regardless of the continued performance of the counterparty. </w:t>
      </w:r>
      <w:r>
        <w:rPr>
          <w:spacing w:val="-2"/>
        </w:rPr>
        <w:t>The operation of these clauses can reduce the scope for a successful restructure or prevent the sale of the business as a going concern.</w:t>
      </w:r>
    </w:p>
    <w:p w14:paraId="0A1DC67B" w14:textId="4AECDD00" w:rsidR="006E3A76" w:rsidRDefault="00F645C9" w:rsidP="00703978">
      <w:pPr>
        <w:pStyle w:val="base-text-paragraphnonumbers"/>
      </w:pPr>
      <w:r>
        <w:t xml:space="preserve">The amendments in Schedule 1, Part 2 of this Bill will </w:t>
      </w:r>
      <w:r w:rsidR="009C1D43">
        <w:t xml:space="preserve">make ipso facto clauses which would allow contracts to be terminated solely due to an insolvency event unenforceable if a company is undertaking a restructure. </w:t>
      </w:r>
    </w:p>
    <w:p w14:paraId="60A5AC08" w14:textId="1740F054" w:rsidR="00F645C9" w:rsidRDefault="009C1D43" w:rsidP="00703978">
      <w:pPr>
        <w:pStyle w:val="base-text-paragraphnonumbers"/>
      </w:pPr>
      <w:r>
        <w:t xml:space="preserve">This reform is aimed at enabling </w:t>
      </w:r>
      <w:r w:rsidR="00634FB3">
        <w:t xml:space="preserve">viable businesses </w:t>
      </w:r>
      <w:r>
        <w:t xml:space="preserve">to continue to trade </w:t>
      </w:r>
      <w:r w:rsidR="00634FB3">
        <w:t xml:space="preserve">in order to </w:t>
      </w:r>
      <w:r>
        <w:t xml:space="preserve">recover from an insolvency event instead of </w:t>
      </w:r>
      <w:r w:rsidR="00AA526F">
        <w:t>these clauses prevent</w:t>
      </w:r>
      <w:r w:rsidR="00490212">
        <w:t>ing</w:t>
      </w:r>
      <w:r w:rsidR="00AA526F">
        <w:t xml:space="preserve"> the</w:t>
      </w:r>
      <w:r w:rsidR="00634FB3">
        <w:t>ir</w:t>
      </w:r>
      <w:r w:rsidR="00AA526F">
        <w:t xml:space="preserve"> successful rehabilitation</w:t>
      </w:r>
      <w:r w:rsidR="00634FB3">
        <w:t>.</w:t>
      </w:r>
      <w:r w:rsidR="00AA526F">
        <w:t xml:space="preserve"> </w:t>
      </w:r>
    </w:p>
    <w:p w14:paraId="54C2BF15" w14:textId="2E8B7F2D" w:rsidR="00F8527C" w:rsidRDefault="00F8527C" w:rsidP="00895C27">
      <w:pPr>
        <w:pStyle w:val="base-text-paragraphnonumbers"/>
      </w:pPr>
      <w:r w:rsidRPr="0061561C">
        <w:t>Together, the</w:t>
      </w:r>
      <w:r w:rsidR="006E3A76">
        <w:t>se</w:t>
      </w:r>
      <w:r w:rsidRPr="0061561C">
        <w:t xml:space="preserve"> amendments will reduce instances of a company proceeding to </w:t>
      </w:r>
      <w:r w:rsidR="00BB5CBD">
        <w:t>a formal</w:t>
      </w:r>
      <w:r w:rsidRPr="0061561C">
        <w:t xml:space="preserve"> insolvency </w:t>
      </w:r>
      <w:r w:rsidR="00BB5CBD">
        <w:t>process</w:t>
      </w:r>
      <w:r w:rsidR="000A426D">
        <w:t xml:space="preserve"> prematurely</w:t>
      </w:r>
      <w:r w:rsidRPr="0061561C" w:rsidDel="000A426D">
        <w:t xml:space="preserve"> </w:t>
      </w:r>
      <w:r w:rsidRPr="0061561C">
        <w:t xml:space="preserve">and where companies </w:t>
      </w:r>
      <w:r w:rsidR="0061561C" w:rsidRPr="0061561C">
        <w:t xml:space="preserve">do proceed to </w:t>
      </w:r>
      <w:r w:rsidR="004938CA">
        <w:t>voluntary administration</w:t>
      </w:r>
      <w:r w:rsidR="0061561C" w:rsidRPr="0061561C">
        <w:t xml:space="preserve">, they will have a better </w:t>
      </w:r>
      <w:r w:rsidR="0061561C" w:rsidRPr="0061561C">
        <w:lastRenderedPageBreak/>
        <w:t xml:space="preserve">chance of being able to continue trading so that they can restructure and return to normal operations. </w:t>
      </w:r>
    </w:p>
    <w:p w14:paraId="25F120FE" w14:textId="3CD99350" w:rsidR="006E3A76" w:rsidRPr="0061561C" w:rsidRDefault="006E3A76" w:rsidP="00895C27">
      <w:pPr>
        <w:pStyle w:val="base-text-paragraphnonumbers"/>
      </w:pPr>
      <w:r>
        <w:t>This in turn will promote the preservation of enterprise value for companies, their employees and creditors, reduce the stigma of failure associated with insolvency and encourage a culture of entrepreneurship and innovation.</w:t>
      </w:r>
    </w:p>
    <w:p w14:paraId="3CFBF0A2" w14:textId="61098224" w:rsidR="00697AD0" w:rsidRDefault="00697AD0" w:rsidP="00703978">
      <w:pPr>
        <w:pStyle w:val="base-text-paragraphnonumbers"/>
      </w:pPr>
      <w:r w:rsidRPr="0088195E">
        <w:rPr>
          <w:rStyle w:val="BoldItalic"/>
        </w:rPr>
        <w:t>Date of effect</w:t>
      </w:r>
      <w:r w:rsidRPr="00266048">
        <w:rPr>
          <w:rStyle w:val="base-text-paragraphChar"/>
        </w:rPr>
        <w:t xml:space="preserve">:  </w:t>
      </w:r>
      <w:r w:rsidR="004170EE">
        <w:rPr>
          <w:rStyle w:val="base-text-paragraphChar"/>
        </w:rPr>
        <w:t xml:space="preserve">The amendments </w:t>
      </w:r>
      <w:r w:rsidR="00306FBD">
        <w:rPr>
          <w:rStyle w:val="base-text-paragraphChar"/>
        </w:rPr>
        <w:t xml:space="preserve">in Schedule 1, Part 1 of this Bill will take effect from the date of Royal Assent. </w:t>
      </w:r>
      <w:r w:rsidR="004170EE">
        <w:t>The amendments</w:t>
      </w:r>
      <w:r w:rsidR="00306FBD">
        <w:t xml:space="preserve"> in</w:t>
      </w:r>
      <w:r w:rsidR="00306FBD" w:rsidRPr="00306FBD">
        <w:t xml:space="preserve"> Schedule 1, Part 2 of this Bill</w:t>
      </w:r>
      <w:r w:rsidR="004170EE">
        <w:t xml:space="preserve"> </w:t>
      </w:r>
      <w:r w:rsidR="00AC4741">
        <w:t>will take effect from</w:t>
      </w:r>
      <w:r w:rsidR="004170EE">
        <w:t xml:space="preserve"> 1 January 2018. </w:t>
      </w:r>
    </w:p>
    <w:p w14:paraId="284B4514" w14:textId="7A0D4A21" w:rsidR="00697AD0" w:rsidRDefault="00697AD0" w:rsidP="00703978">
      <w:pPr>
        <w:pStyle w:val="base-text-paragraphnonumbers"/>
      </w:pPr>
      <w:r w:rsidRPr="0088195E">
        <w:rPr>
          <w:rStyle w:val="BoldItalic"/>
        </w:rPr>
        <w:t>Proposal announced</w:t>
      </w:r>
      <w:r w:rsidRPr="00266048">
        <w:rPr>
          <w:rStyle w:val="base-text-paragraphChar"/>
        </w:rPr>
        <w:t xml:space="preserve">:  </w:t>
      </w:r>
      <w:r w:rsidR="0098406D">
        <w:t xml:space="preserve">The amendments were announced on </w:t>
      </w:r>
      <w:r w:rsidR="00D72A8D" w:rsidRPr="005A47D1">
        <w:t>7</w:t>
      </w:r>
      <w:r w:rsidR="0098406D" w:rsidRPr="005A47D1">
        <w:t xml:space="preserve"> </w:t>
      </w:r>
      <w:r w:rsidR="00DE777B" w:rsidRPr="006E3A76">
        <w:t>December 2015</w:t>
      </w:r>
      <w:r w:rsidR="0098406D" w:rsidRPr="006E3A76">
        <w:t>.</w:t>
      </w:r>
      <w:r w:rsidR="0098406D">
        <w:t xml:space="preserve"> Public consultation on the </w:t>
      </w:r>
      <w:r w:rsidR="00D72A8D">
        <w:t xml:space="preserve">proposals </w:t>
      </w:r>
      <w:r w:rsidR="0098406D">
        <w:t>occurred between 29 April 2016 to 27 May 2016 as part of the National Innovation &amp; Science Agenda ‘</w:t>
      </w:r>
      <w:r w:rsidR="00634FB3">
        <w:t>I</w:t>
      </w:r>
      <w:r w:rsidR="0098406D">
        <w:t xml:space="preserve">mproving bankruptcy and insolvency laws’ proposals paper. </w:t>
      </w:r>
    </w:p>
    <w:p w14:paraId="12066B50" w14:textId="0D2BC1F5" w:rsidR="00697AD0" w:rsidRDefault="00697AD0" w:rsidP="00CC2F07">
      <w:pPr>
        <w:pStyle w:val="dotpoint"/>
        <w:numPr>
          <w:ilvl w:val="0"/>
          <w:numId w:val="0"/>
        </w:numPr>
        <w:ind w:left="2268"/>
      </w:pPr>
    </w:p>
    <w:p w14:paraId="1B4FA592" w14:textId="77777777" w:rsidR="00697AD0" w:rsidRDefault="00697AD0" w:rsidP="00703978">
      <w:pPr>
        <w:pStyle w:val="Hiddentext"/>
      </w:pPr>
      <w:r>
        <w:t>Do not remove section break.</w:t>
      </w:r>
    </w:p>
    <w:p w14:paraId="598F8CC8" w14:textId="77777777" w:rsidR="00697AD0" w:rsidRDefault="00697AD0" w:rsidP="00703978">
      <w:pPr>
        <w:sectPr w:rsidR="00697AD0" w:rsidSect="00703978">
          <w:headerReference w:type="even" r:id="rId25"/>
          <w:headerReference w:type="default" r:id="rId26"/>
          <w:footerReference w:type="even" r:id="rId27"/>
          <w:footerReference w:type="default" r:id="rId28"/>
          <w:footerReference w:type="first" r:id="rId29"/>
          <w:type w:val="oddPage"/>
          <w:pgSz w:w="11906" w:h="16838" w:code="9"/>
          <w:pgMar w:top="2466" w:right="2098" w:bottom="2466" w:left="2098" w:header="1559" w:footer="1899" w:gutter="0"/>
          <w:cols w:space="708"/>
          <w:titlePg/>
          <w:docGrid w:linePitch="360"/>
        </w:sectPr>
      </w:pPr>
    </w:p>
    <w:p w14:paraId="7318BE14" w14:textId="064FEDBE" w:rsidR="00697AD0" w:rsidRPr="00F51A71" w:rsidRDefault="00697AD0" w:rsidP="00703978">
      <w:pPr>
        <w:pStyle w:val="ChapterHeading"/>
        <w:tabs>
          <w:tab w:val="clear" w:pos="1134"/>
          <w:tab w:val="num" w:pos="360"/>
        </w:tabs>
      </w:pPr>
      <w:r w:rsidRPr="00F51A71">
        <w:br/>
      </w:r>
      <w:bookmarkStart w:id="6" w:name="_Toc478120565"/>
      <w:bookmarkStart w:id="7" w:name="_Toc478122321"/>
      <w:bookmarkStart w:id="8" w:name="_Toc478134652"/>
      <w:bookmarkStart w:id="9" w:name="_Toc478136428"/>
      <w:bookmarkStart w:id="10" w:name="_Toc478136539"/>
      <w:r>
        <w:t>Schedule 1, Part 1 – Safe harbour for insolvent trading</w:t>
      </w:r>
      <w:bookmarkEnd w:id="6"/>
      <w:bookmarkEnd w:id="7"/>
      <w:bookmarkEnd w:id="8"/>
      <w:bookmarkEnd w:id="9"/>
      <w:bookmarkEnd w:id="10"/>
      <w:r>
        <w:t xml:space="preserve"> </w:t>
      </w:r>
    </w:p>
    <w:p w14:paraId="1740F4E9" w14:textId="77777777" w:rsidR="00697AD0" w:rsidRDefault="00697AD0" w:rsidP="00703978">
      <w:pPr>
        <w:pStyle w:val="Heading2"/>
      </w:pPr>
      <w:r>
        <w:t>Outline of chapter</w:t>
      </w:r>
    </w:p>
    <w:p w14:paraId="45D5FA45" w14:textId="602FB7BC" w:rsidR="00814671" w:rsidRDefault="00814671" w:rsidP="00C778A4">
      <w:pPr>
        <w:pStyle w:val="base-text-paragraph"/>
        <w:tabs>
          <w:tab w:val="clear" w:pos="3687"/>
          <w:tab w:val="num" w:pos="1701"/>
        </w:tabs>
        <w:ind w:left="851"/>
      </w:pPr>
      <w:r>
        <w:t>This Chapter sets out</w:t>
      </w:r>
      <w:r w:rsidR="009D7EF9">
        <w:t xml:space="preserve"> a</w:t>
      </w:r>
      <w:r>
        <w:t xml:space="preserve"> new </w:t>
      </w:r>
      <w:r w:rsidR="00490212" w:rsidRPr="00490212">
        <w:t xml:space="preserve">safe harbour for company directors from personal liability for insolvent trading </w:t>
      </w:r>
      <w:r>
        <w:t xml:space="preserve">in Schedule1, Part 1 of the Bill. </w:t>
      </w:r>
    </w:p>
    <w:p w14:paraId="32005AD9" w14:textId="79AA5969" w:rsidR="00697AD0" w:rsidRDefault="00814671" w:rsidP="00C778A4">
      <w:pPr>
        <w:pStyle w:val="base-text-paragraph"/>
        <w:tabs>
          <w:tab w:val="clear" w:pos="3687"/>
          <w:tab w:val="num" w:pos="1701"/>
        </w:tabs>
        <w:ind w:left="851"/>
      </w:pPr>
      <w:r>
        <w:t xml:space="preserve">Unless otherwise stated, all references are to the </w:t>
      </w:r>
      <w:r w:rsidRPr="00814671">
        <w:rPr>
          <w:i/>
        </w:rPr>
        <w:t>Corporations Act 2001</w:t>
      </w:r>
      <w:r>
        <w:t xml:space="preserve">. </w:t>
      </w:r>
    </w:p>
    <w:p w14:paraId="52AA0641" w14:textId="77777777" w:rsidR="00697AD0" w:rsidRDefault="00697AD0" w:rsidP="00703978">
      <w:pPr>
        <w:pStyle w:val="Heading2"/>
      </w:pPr>
      <w:r>
        <w:t>Context of amendments</w:t>
      </w:r>
    </w:p>
    <w:p w14:paraId="2610BA6E" w14:textId="1940AFC7" w:rsidR="00963122" w:rsidRDefault="006E31B2" w:rsidP="00C778A4">
      <w:pPr>
        <w:pStyle w:val="base-text-paragraph"/>
        <w:tabs>
          <w:tab w:val="clear" w:pos="3687"/>
          <w:tab w:val="num" w:pos="1701"/>
        </w:tabs>
        <w:ind w:left="851"/>
      </w:pPr>
      <w:r>
        <w:t xml:space="preserve">Australia’s insolvent trading laws </w:t>
      </w:r>
      <w:r w:rsidR="006E7E15">
        <w:t xml:space="preserve">currently </w:t>
      </w:r>
      <w:r w:rsidR="00963122">
        <w:t>impose</w:t>
      </w:r>
      <w:r w:rsidR="006A56C2">
        <w:t xml:space="preserve"> a duty on company directors to prevent </w:t>
      </w:r>
      <w:r w:rsidR="006E7E15">
        <w:t>a company from trading while insolvent</w:t>
      </w:r>
      <w:r w:rsidR="006A56C2">
        <w:t xml:space="preserve">. </w:t>
      </w:r>
    </w:p>
    <w:p w14:paraId="50303DFA" w14:textId="77777777" w:rsidR="0045437C" w:rsidRDefault="006A56C2" w:rsidP="00C778A4">
      <w:pPr>
        <w:pStyle w:val="base-text-paragraph"/>
        <w:tabs>
          <w:tab w:val="clear" w:pos="3687"/>
          <w:tab w:val="num" w:pos="1701"/>
        </w:tabs>
        <w:ind w:left="851"/>
      </w:pPr>
      <w:r>
        <w:t>Under section 588G</w:t>
      </w:r>
      <w:r w:rsidR="00963122">
        <w:t xml:space="preserve"> of the Act</w:t>
      </w:r>
      <w:r>
        <w:t xml:space="preserve">, a director of a company may be personally liable for debts incurred by </w:t>
      </w:r>
      <w:r w:rsidR="00963122">
        <w:t>the company if at the time the debt is incurred there are reasonable grounds to suspect that the company is insolvent.</w:t>
      </w:r>
      <w:r w:rsidR="006E7E15">
        <w:t xml:space="preserve"> </w:t>
      </w:r>
    </w:p>
    <w:p w14:paraId="49EC9930" w14:textId="44CD1B4E" w:rsidR="00294A51" w:rsidRDefault="006E7E15" w:rsidP="00C778A4">
      <w:pPr>
        <w:pStyle w:val="base-text-paragraph"/>
        <w:tabs>
          <w:tab w:val="clear" w:pos="3687"/>
          <w:tab w:val="num" w:pos="1701"/>
        </w:tabs>
        <w:ind w:left="851"/>
      </w:pPr>
      <w:r>
        <w:t xml:space="preserve">Breaching the insolvent trading provisions </w:t>
      </w:r>
      <w:r w:rsidR="000F6DFF">
        <w:t>may</w:t>
      </w:r>
      <w:r>
        <w:t xml:space="preserve"> result in civil and criminal penalties against an insolvent company’s directors.  </w:t>
      </w:r>
    </w:p>
    <w:p w14:paraId="246BAB4C" w14:textId="7745440C" w:rsidR="006E7E15" w:rsidRDefault="00294A51" w:rsidP="00C778A4">
      <w:pPr>
        <w:pStyle w:val="base-text-paragraph"/>
        <w:tabs>
          <w:tab w:val="clear" w:pos="3687"/>
          <w:tab w:val="num" w:pos="1701"/>
        </w:tabs>
        <w:ind w:left="851"/>
      </w:pPr>
      <w:r>
        <w:t>Th</w:t>
      </w:r>
      <w:r w:rsidR="0045437C">
        <w:t>is</w:t>
      </w:r>
      <w:r>
        <w:t xml:space="preserve"> </w:t>
      </w:r>
      <w:r w:rsidR="006E7E15">
        <w:t>duty to prevent insolvent trading</w:t>
      </w:r>
      <w:r>
        <w:t xml:space="preserve"> is framed as a default contravention </w:t>
      </w:r>
      <w:r w:rsidR="0045437C">
        <w:t>and the</w:t>
      </w:r>
      <w:r w:rsidR="006E7E15">
        <w:t xml:space="preserve"> </w:t>
      </w:r>
      <w:r w:rsidR="009D7EF9">
        <w:t xml:space="preserve">current </w:t>
      </w:r>
      <w:r w:rsidR="006E7E15">
        <w:t xml:space="preserve">provisions </w:t>
      </w:r>
      <w:r w:rsidR="009D7EF9">
        <w:t>focus</w:t>
      </w:r>
      <w:r w:rsidR="006E7E15">
        <w:t xml:space="preserve"> on the timing of when debts are incurred by a company rather than the conduct of the directors in incurring that debt. </w:t>
      </w:r>
    </w:p>
    <w:p w14:paraId="48A858DA" w14:textId="588EF05C" w:rsidR="0035012F" w:rsidRDefault="0035012F" w:rsidP="00C778A4">
      <w:pPr>
        <w:pStyle w:val="base-text-paragraph"/>
        <w:tabs>
          <w:tab w:val="clear" w:pos="3687"/>
          <w:tab w:val="num" w:pos="1701"/>
        </w:tabs>
        <w:ind w:left="851"/>
      </w:pPr>
      <w:r>
        <w:t xml:space="preserve">The current focus on the solvency of the company and the </w:t>
      </w:r>
      <w:r w:rsidR="009D7EF9">
        <w:t>time at which debts are incurred</w:t>
      </w:r>
      <w:r>
        <w:t xml:space="preserve"> leads to </w:t>
      </w:r>
      <w:r w:rsidR="00633210">
        <w:t xml:space="preserve"> </w:t>
      </w:r>
      <w:r>
        <w:t xml:space="preserve">perverse outcomes: </w:t>
      </w:r>
    </w:p>
    <w:p w14:paraId="4459F26B" w14:textId="52F545C0" w:rsidR="0045437C" w:rsidRDefault="0045437C" w:rsidP="0045437C">
      <w:pPr>
        <w:pStyle w:val="dotpoint"/>
      </w:pPr>
      <w:r>
        <w:t>as the relevant threshold is not actual insolvency, but “reasonable grounds for suspecting” insolvency, directors may cease trading prior to the commencement of insolvency proceedings</w:t>
      </w:r>
      <w:r w:rsidR="000D6D4E">
        <w:t>, limiting</w:t>
      </w:r>
      <w:r>
        <w:t xml:space="preserve"> the ability of a company to trade through financial difficulty</w:t>
      </w:r>
    </w:p>
    <w:p w14:paraId="5CD324B9" w14:textId="0AD6E9B7" w:rsidR="0035012F" w:rsidRDefault="0035012F" w:rsidP="0045437C">
      <w:pPr>
        <w:pStyle w:val="dotpoint"/>
      </w:pPr>
      <w:r>
        <w:t xml:space="preserve">directors (particularly of larger companies) </w:t>
      </w:r>
      <w:r w:rsidR="009B2FFD">
        <w:t xml:space="preserve">may have </w:t>
      </w:r>
      <w:r>
        <w:t xml:space="preserve">disproportionate concern as to their own personal exposure during times of financial stress and </w:t>
      </w:r>
      <w:r w:rsidR="009B2FFD">
        <w:t xml:space="preserve">may </w:t>
      </w:r>
      <w:r>
        <w:t xml:space="preserve">potentially </w:t>
      </w:r>
      <w:r w:rsidR="009B2FFD">
        <w:t xml:space="preserve">move </w:t>
      </w:r>
      <w:r>
        <w:t>to formal insolvency prematurely</w:t>
      </w:r>
      <w:r w:rsidR="000D6D4E">
        <w:t xml:space="preserve"> or focus on their own liability rather than other potential ways to remedy the situation</w:t>
      </w:r>
      <w:r w:rsidR="00A05381">
        <w:t>;</w:t>
      </w:r>
    </w:p>
    <w:p w14:paraId="1237B2D0" w14:textId="3F976F72" w:rsidR="00811244" w:rsidRDefault="0045437C">
      <w:pPr>
        <w:pStyle w:val="dotpoint"/>
      </w:pPr>
      <w:r>
        <w:t xml:space="preserve">because of their </w:t>
      </w:r>
      <w:r w:rsidR="00C8043F">
        <w:t xml:space="preserve">own </w:t>
      </w:r>
      <w:r>
        <w:t xml:space="preserve">existing personal financial commitment to a business, </w:t>
      </w:r>
      <w:r w:rsidR="0035012F">
        <w:t xml:space="preserve">directors in the </w:t>
      </w:r>
      <w:r w:rsidR="009B2FFD">
        <w:t xml:space="preserve">small and medium enterprise </w:t>
      </w:r>
      <w:r w:rsidR="0035012F">
        <w:t xml:space="preserve">market </w:t>
      </w:r>
      <w:r w:rsidR="009B2FFD">
        <w:t>may</w:t>
      </w:r>
      <w:r w:rsidR="0035012F">
        <w:t xml:space="preserve"> not be sufficiently focused on the implications for</w:t>
      </w:r>
      <w:r>
        <w:t xml:space="preserve"> other</w:t>
      </w:r>
      <w:r w:rsidR="0035012F">
        <w:t xml:space="preserve"> stakeholders of </w:t>
      </w:r>
      <w:r w:rsidR="009B2FFD">
        <w:t xml:space="preserve">continuing to </w:t>
      </w:r>
      <w:r>
        <w:t xml:space="preserve">trade </w:t>
      </w:r>
      <w:r w:rsidR="0035012F">
        <w:t xml:space="preserve">and </w:t>
      </w:r>
      <w:r w:rsidR="009B2FFD">
        <w:t>may</w:t>
      </w:r>
      <w:r w:rsidR="0035012F">
        <w:t xml:space="preserve"> potentially </w:t>
      </w:r>
      <w:r w:rsidR="009B2FFD">
        <w:t xml:space="preserve">move </w:t>
      </w:r>
      <w:r w:rsidR="0035012F">
        <w:t>to formal insolvency too late</w:t>
      </w:r>
      <w:r w:rsidR="00C8043F">
        <w:t>, missing the opportunity to engage earlier with creditors to find a solution to the company’s problems.</w:t>
      </w:r>
      <w:r w:rsidR="00811244">
        <w:t xml:space="preserve"> </w:t>
      </w:r>
    </w:p>
    <w:p w14:paraId="5C13353A" w14:textId="4A3BFA63" w:rsidR="002B3EA4" w:rsidRDefault="0045437C" w:rsidP="008B34CC">
      <w:pPr>
        <w:pStyle w:val="base-text-paragraph"/>
        <w:tabs>
          <w:tab w:val="clear" w:pos="3687"/>
          <w:tab w:val="num" w:pos="1701"/>
        </w:tabs>
        <w:ind w:left="851"/>
      </w:pPr>
      <w:r>
        <w:t>I</w:t>
      </w:r>
      <w:r w:rsidR="0035012F">
        <w:t>n each case</w:t>
      </w:r>
      <w:r>
        <w:t xml:space="preserve"> this leads to </w:t>
      </w:r>
      <w:r w:rsidR="0035012F">
        <w:t>an absence of focus</w:t>
      </w:r>
      <w:r w:rsidR="00350EC9">
        <w:t xml:space="preserve"> by directors</w:t>
      </w:r>
      <w:r w:rsidR="0035012F">
        <w:t xml:space="preserve"> on their general director</w:t>
      </w:r>
      <w:r w:rsidR="00C8043F">
        <w:t>’</w:t>
      </w:r>
      <w:r w:rsidR="0035012F">
        <w:t>s duties</w:t>
      </w:r>
      <w:r w:rsidR="00C8043F">
        <w:t xml:space="preserve"> and the</w:t>
      </w:r>
      <w:r>
        <w:t xml:space="preserve"> potentially unnecessary destruction of enterprise value </w:t>
      </w:r>
      <w:r w:rsidR="00C8043F">
        <w:t>which</w:t>
      </w:r>
      <w:r w:rsidR="00661CF2">
        <w:t xml:space="preserve"> may occur even where there are clear opportunities to adjust the company’s business and continue operating</w:t>
      </w:r>
      <w:r>
        <w:t xml:space="preserve"> for the overall benefit of the company, its shareholders, employees and creditors.</w:t>
      </w:r>
    </w:p>
    <w:p w14:paraId="62E7D046" w14:textId="06D3E325" w:rsidR="002B3EA4" w:rsidRDefault="002B3EA4" w:rsidP="008B34CC">
      <w:pPr>
        <w:pStyle w:val="base-text-paragraph"/>
        <w:tabs>
          <w:tab w:val="clear" w:pos="3687"/>
          <w:tab w:val="num" w:pos="1701"/>
        </w:tabs>
        <w:ind w:left="851"/>
      </w:pPr>
      <w:r>
        <w:t xml:space="preserve">The appointment of an administrator to a company </w:t>
      </w:r>
      <w:r w:rsidR="007852F7">
        <w:t>is almost always value destructive</w:t>
      </w:r>
      <w:r>
        <w:t xml:space="preserve">, making it harder for </w:t>
      </w:r>
      <w:r w:rsidR="00B36168">
        <w:t>the company</w:t>
      </w:r>
      <w:r>
        <w:t xml:space="preserve"> to restructure and </w:t>
      </w:r>
      <w:r w:rsidR="00B36168">
        <w:t>increasin</w:t>
      </w:r>
      <w:r w:rsidR="00D43B5E">
        <w:t xml:space="preserve">g the likelihood of its </w:t>
      </w:r>
      <w:r>
        <w:t>eventual liquidation. Even where a company may actually be solvent or could be turned around, the appointment of an administrator has the potential to result in the company being liquidated because of the loss of confidence amongst its suppliers</w:t>
      </w:r>
      <w:r w:rsidR="00C8043F">
        <w:t>,</w:t>
      </w:r>
      <w:r>
        <w:t xml:space="preserve"> credit providers and employees and the general public. </w:t>
      </w:r>
    </w:p>
    <w:p w14:paraId="692D7482" w14:textId="31C38C27" w:rsidR="002B3EA4" w:rsidRDefault="00C8043F" w:rsidP="008B34CC">
      <w:pPr>
        <w:pStyle w:val="base-text-paragraph"/>
        <w:tabs>
          <w:tab w:val="clear" w:pos="3687"/>
          <w:tab w:val="num" w:pos="1701"/>
        </w:tabs>
        <w:ind w:left="851"/>
      </w:pPr>
      <w:r>
        <w:t xml:space="preserve">A cornerstone of a good insolvency regime is the promotion of the efficient allocation (or reallocation) of capital. </w:t>
      </w:r>
      <w:r w:rsidR="002B3EA4">
        <w:t xml:space="preserve">The </w:t>
      </w:r>
      <w:r w:rsidR="00BB261D">
        <w:t xml:space="preserve">current </w:t>
      </w:r>
      <w:r w:rsidR="002B3EA4">
        <w:t>insolvent trading provisions</w:t>
      </w:r>
      <w:r w:rsidR="00BB261D">
        <w:t xml:space="preserve"> </w:t>
      </w:r>
      <w:r>
        <w:t>however can</w:t>
      </w:r>
      <w:r w:rsidR="002B3EA4">
        <w:t xml:space="preserve"> result in the </w:t>
      </w:r>
      <w:r>
        <w:t xml:space="preserve">unnecessary </w:t>
      </w:r>
      <w:r w:rsidR="002B3EA4">
        <w:t xml:space="preserve">liquidation of companies that could otherwise be </w:t>
      </w:r>
      <w:r w:rsidR="00A05764">
        <w:t>successfully</w:t>
      </w:r>
      <w:r w:rsidR="002B3EA4">
        <w:t xml:space="preserve"> res</w:t>
      </w:r>
      <w:r w:rsidR="0083010C">
        <w:t xml:space="preserve">tructured and </w:t>
      </w:r>
      <w:r w:rsidR="00A05764">
        <w:t>continue to operate</w:t>
      </w:r>
      <w:r w:rsidR="0083010C">
        <w:t xml:space="preserve">. </w:t>
      </w:r>
      <w:r w:rsidR="00BB261D">
        <w:t>This is no</w:t>
      </w:r>
      <w:r w:rsidR="00321817">
        <w:t>t</w:t>
      </w:r>
      <w:r w:rsidR="00BB261D">
        <w:t xml:space="preserve"> in the interests of the company’s directors, employees</w:t>
      </w:r>
      <w:r>
        <w:t xml:space="preserve">, </w:t>
      </w:r>
      <w:r w:rsidR="00BB261D">
        <w:t xml:space="preserve">creditors </w:t>
      </w:r>
      <w:r>
        <w:t>and the economy as a whole</w:t>
      </w:r>
      <w:r w:rsidR="00BB261D">
        <w:t xml:space="preserve">. </w:t>
      </w:r>
    </w:p>
    <w:p w14:paraId="37C3211F" w14:textId="77777777" w:rsidR="00697AD0" w:rsidRDefault="00697AD0" w:rsidP="00703978">
      <w:pPr>
        <w:pStyle w:val="Heading2"/>
      </w:pPr>
      <w:r>
        <w:t>Summary of new law</w:t>
      </w:r>
    </w:p>
    <w:p w14:paraId="112FE3D7" w14:textId="447F649F" w:rsidR="007B1B6C" w:rsidRPr="007B1B6C" w:rsidRDefault="007B1B6C" w:rsidP="00C778A4">
      <w:pPr>
        <w:pStyle w:val="base-text-paragraph"/>
        <w:tabs>
          <w:tab w:val="clear" w:pos="3687"/>
          <w:tab w:val="num" w:pos="1701"/>
        </w:tabs>
        <w:ind w:left="851"/>
      </w:pPr>
      <w:r w:rsidRPr="007B1B6C">
        <w:t xml:space="preserve">The safe harbour </w:t>
      </w:r>
      <w:r w:rsidR="00671533">
        <w:t>will operate</w:t>
      </w:r>
      <w:r w:rsidRPr="007B1B6C">
        <w:t xml:space="preserve"> to carve directors out from the civil insolvent trading provisions of section 588G(2).  </w:t>
      </w:r>
    </w:p>
    <w:p w14:paraId="2FEF084E" w14:textId="2B5CF770" w:rsidR="000A4592" w:rsidRDefault="00B148CA" w:rsidP="00C778A4">
      <w:pPr>
        <w:pStyle w:val="base-text-paragraph"/>
        <w:tabs>
          <w:tab w:val="clear" w:pos="3687"/>
          <w:tab w:val="num" w:pos="1701"/>
        </w:tabs>
        <w:ind w:left="851"/>
      </w:pPr>
      <w:r>
        <w:t>The Government is seeking to strike a b</w:t>
      </w:r>
      <w:r w:rsidR="00671533">
        <w:t xml:space="preserve">etter balance between the </w:t>
      </w:r>
      <w:r>
        <w:t xml:space="preserve">protection of creditors and encouraging honest directors to innovate and take reasonable risks. To this end, the </w:t>
      </w:r>
      <w:r w:rsidR="000A4592">
        <w:t xml:space="preserve">safe harbour </w:t>
      </w:r>
      <w:r>
        <w:t xml:space="preserve">amendment </w:t>
      </w:r>
      <w:r w:rsidR="000A4592">
        <w:t>focus</w:t>
      </w:r>
      <w:r w:rsidR="007B1B6C">
        <w:t>es</w:t>
      </w:r>
      <w:r w:rsidR="000A4592">
        <w:t xml:space="preserve"> on the behaviour of directors</w:t>
      </w:r>
      <w:r w:rsidR="007B1B6C">
        <w:t xml:space="preserve"> in trying to turn their company around</w:t>
      </w:r>
      <w:r w:rsidR="000A4592">
        <w:t xml:space="preserve">, rather than merely </w:t>
      </w:r>
      <w:r w:rsidR="007B1B6C">
        <w:t xml:space="preserve">on </w:t>
      </w:r>
      <w:r w:rsidR="000A4592">
        <w:t xml:space="preserve">the </w:t>
      </w:r>
      <w:r w:rsidR="007B1B6C">
        <w:t xml:space="preserve">solvency of the company and the </w:t>
      </w:r>
      <w:r w:rsidR="000A4592">
        <w:t xml:space="preserve">precise timing of debts being incurred as has previously been the case. </w:t>
      </w:r>
    </w:p>
    <w:p w14:paraId="421AB58C" w14:textId="319BD4F0" w:rsidR="007B1B6C" w:rsidRDefault="00B148CA" w:rsidP="00C778A4">
      <w:pPr>
        <w:pStyle w:val="base-text-paragraph"/>
        <w:tabs>
          <w:tab w:val="clear" w:pos="3687"/>
          <w:tab w:val="num" w:pos="1701"/>
        </w:tabs>
        <w:ind w:left="851"/>
      </w:pPr>
      <w:r>
        <w:t xml:space="preserve">This change is intended to encourage honest company directors to remain in control of a financially distressed company and take reasonable steps to restructure and allow it to trade </w:t>
      </w:r>
      <w:r w:rsidR="00671533">
        <w:t xml:space="preserve">out </w:t>
      </w:r>
      <w:r>
        <w:t xml:space="preserve">of its difficulties. </w:t>
      </w:r>
    </w:p>
    <w:p w14:paraId="1623C9BB" w14:textId="6157B122" w:rsidR="00B148CA" w:rsidRPr="00895C27" w:rsidRDefault="00B148CA" w:rsidP="00C778A4">
      <w:pPr>
        <w:pStyle w:val="base-text-paragraph"/>
        <w:tabs>
          <w:tab w:val="clear" w:pos="3687"/>
          <w:tab w:val="num" w:pos="1701"/>
        </w:tabs>
        <w:ind w:left="851"/>
      </w:pPr>
      <w:r w:rsidRPr="00F03581">
        <w:t xml:space="preserve">The aim of </w:t>
      </w:r>
      <w:r>
        <w:t>the</w:t>
      </w:r>
      <w:r w:rsidRPr="00F03581">
        <w:t xml:space="preserve"> </w:t>
      </w:r>
      <w:r w:rsidR="00671533">
        <w:t xml:space="preserve">safe harbour </w:t>
      </w:r>
      <w:r w:rsidRPr="00F03581">
        <w:t xml:space="preserve">reform is to facilitate more successful company restructures outside of </w:t>
      </w:r>
      <w:r>
        <w:t xml:space="preserve">a </w:t>
      </w:r>
      <w:r w:rsidRPr="00F03581">
        <w:t xml:space="preserve">formal insolvency process where doing so would achieve a better outcome for the </w:t>
      </w:r>
      <w:r w:rsidRPr="00DB33EC">
        <w:t>company and its creditors as a whole.</w:t>
      </w:r>
      <w:r w:rsidR="007B1B6C" w:rsidRPr="007B1B6C">
        <w:t xml:space="preserve"> </w:t>
      </w:r>
      <w:r w:rsidR="007B1B6C">
        <w:t>It encourages directors to engage early with financial distress, and then actively take steps to either restructure the business or</w:t>
      </w:r>
      <w:r w:rsidR="00671533">
        <w:t>, if that is not possible, to quickly</w:t>
      </w:r>
      <w:r w:rsidR="007B1B6C">
        <w:t xml:space="preserve"> move to formal insolvency</w:t>
      </w:r>
    </w:p>
    <w:p w14:paraId="46766036" w14:textId="2EF7FA30" w:rsidR="00193645" w:rsidRDefault="00193645" w:rsidP="00C778A4">
      <w:pPr>
        <w:pStyle w:val="base-text-paragraph"/>
        <w:tabs>
          <w:tab w:val="clear" w:pos="3687"/>
          <w:tab w:val="num" w:pos="1701"/>
        </w:tabs>
        <w:ind w:left="851"/>
      </w:pPr>
      <w:r>
        <w:t xml:space="preserve">Under the new safe harbour, directors will only be liable </w:t>
      </w:r>
      <w:r w:rsidR="00BB261D">
        <w:t xml:space="preserve">for an insolvent company’s debts </w:t>
      </w:r>
      <w:r>
        <w:t xml:space="preserve">where </w:t>
      </w:r>
      <w:r w:rsidR="00F95A2F">
        <w:t xml:space="preserve">it can be shown that </w:t>
      </w:r>
      <w:r>
        <w:t xml:space="preserve">they </w:t>
      </w:r>
      <w:r w:rsidR="00F95A2F">
        <w:t>we</w:t>
      </w:r>
      <w:r w:rsidR="005F43EC">
        <w:t>re not taking</w:t>
      </w:r>
      <w:r w:rsidR="00F03581">
        <w:t xml:space="preserve"> </w:t>
      </w:r>
      <w:r w:rsidR="00BB261D">
        <w:t xml:space="preserve">a course of action reasonably likely to </w:t>
      </w:r>
      <w:r w:rsidR="00E92C1D">
        <w:t xml:space="preserve">lead to </w:t>
      </w:r>
      <w:r w:rsidR="00BB261D">
        <w:t>a better outcome for the company and its creditors</w:t>
      </w:r>
      <w:r w:rsidR="004A1E3E">
        <w:t xml:space="preserve"> as a whole</w:t>
      </w:r>
      <w:r w:rsidR="00747DDA">
        <w:t xml:space="preserve"> than proceeding to immediate </w:t>
      </w:r>
      <w:r w:rsidR="005F43EC">
        <w:t xml:space="preserve">administration or </w:t>
      </w:r>
      <w:r w:rsidR="00747DDA">
        <w:t>liquidation</w:t>
      </w:r>
      <w:r w:rsidR="00BB261D">
        <w:t xml:space="preserve">. </w:t>
      </w:r>
      <w:r>
        <w:t xml:space="preserve"> </w:t>
      </w:r>
    </w:p>
    <w:p w14:paraId="1912ED2B" w14:textId="6C269375" w:rsidR="007B1B6C" w:rsidRPr="00DB33EC" w:rsidRDefault="001E4852" w:rsidP="00C778A4">
      <w:pPr>
        <w:pStyle w:val="base-text-paragraph"/>
        <w:tabs>
          <w:tab w:val="clear" w:pos="3687"/>
          <w:tab w:val="num" w:pos="1701"/>
        </w:tabs>
        <w:ind w:left="851"/>
      </w:pPr>
      <w:r>
        <w:t>Whether a course of action is reasonab</w:t>
      </w:r>
      <w:r w:rsidR="00D05F2C">
        <w:t>le will vary on a case</w:t>
      </w:r>
      <w:r w:rsidR="00D05F2C">
        <w:noBreakHyphen/>
      </w:r>
      <w:r>
        <w:t>by</w:t>
      </w:r>
      <w:r w:rsidR="000A350C">
        <w:noBreakHyphen/>
      </w:r>
      <w:r>
        <w:t xml:space="preserve">case basis depending on the individual company and its circumstances. However, </w:t>
      </w:r>
      <w:r w:rsidR="00A85DC1">
        <w:t>h</w:t>
      </w:r>
      <w:r w:rsidR="007B1B6C">
        <w:t xml:space="preserve">ope is not a strategy. Directors who merely take a passive approach to the business’s position or allow a company to continue </w:t>
      </w:r>
      <w:r w:rsidR="007B1B6C" w:rsidRPr="00DB33EC">
        <w:t xml:space="preserve">trading as usual during financial distress, or whose recovery plans are fanciful, </w:t>
      </w:r>
      <w:r w:rsidR="00671533" w:rsidRPr="00DB33EC">
        <w:t>will</w:t>
      </w:r>
      <w:r w:rsidR="007B1B6C" w:rsidRPr="00DB33EC">
        <w:t xml:space="preserve"> fall outside the bounds of the safe harbour.</w:t>
      </w:r>
    </w:p>
    <w:p w14:paraId="6DE53BE2" w14:textId="107C760D" w:rsidR="005F43EC" w:rsidRPr="00DB33EC" w:rsidRDefault="00F767F5" w:rsidP="00C778A4">
      <w:pPr>
        <w:pStyle w:val="base-text-paragraph"/>
        <w:tabs>
          <w:tab w:val="clear" w:pos="3687"/>
          <w:tab w:val="num" w:pos="1701"/>
        </w:tabs>
        <w:ind w:left="851"/>
      </w:pPr>
      <w:r w:rsidRPr="00DB33EC">
        <w:t xml:space="preserve">As it is intended as a protection for directors who are acting honestly and diligently, the safe harbour is open only to directors who </w:t>
      </w:r>
      <w:r w:rsidR="00683284" w:rsidRPr="00DB33EC">
        <w:t>have been taking appropriate steps so that the company co</w:t>
      </w:r>
      <w:r w:rsidRPr="00DB33EC">
        <w:t>mpl</w:t>
      </w:r>
      <w:r w:rsidR="00683284" w:rsidRPr="00DB33EC">
        <w:t xml:space="preserve">ies </w:t>
      </w:r>
      <w:r w:rsidRPr="00DB33EC">
        <w:t xml:space="preserve">with </w:t>
      </w:r>
      <w:r w:rsidR="00683284" w:rsidRPr="00DB33EC">
        <w:t>the</w:t>
      </w:r>
      <w:r w:rsidRPr="00DB33EC">
        <w:t xml:space="preserve"> obligation to </w:t>
      </w:r>
      <w:r w:rsidR="00683284" w:rsidRPr="00DB33EC">
        <w:t>maintain</w:t>
      </w:r>
      <w:r w:rsidRPr="00DB33EC">
        <w:t xml:space="preserve"> books and records, </w:t>
      </w:r>
      <w:r w:rsidR="00683284" w:rsidRPr="00DB33EC">
        <w:t>provide for the entitlements (including superannuation) of employees and meet</w:t>
      </w:r>
      <w:r w:rsidR="00504F22" w:rsidRPr="00DB33EC">
        <w:t>s</w:t>
      </w:r>
      <w:r w:rsidR="00683284" w:rsidRPr="00DB33EC">
        <w:t xml:space="preserve"> its taxation reporting obligations</w:t>
      </w:r>
      <w:r w:rsidRPr="00DB33EC">
        <w:t>.</w:t>
      </w:r>
    </w:p>
    <w:p w14:paraId="070142B7" w14:textId="64A21AB1" w:rsidR="00673C50" w:rsidRDefault="00F767F5" w:rsidP="00C778A4">
      <w:pPr>
        <w:pStyle w:val="base-text-paragraph"/>
        <w:tabs>
          <w:tab w:val="clear" w:pos="3687"/>
          <w:tab w:val="num" w:pos="1701"/>
        </w:tabs>
        <w:ind w:left="851"/>
      </w:pPr>
      <w:r>
        <w:t>T</w:t>
      </w:r>
      <w:r w:rsidR="00D849F2">
        <w:t xml:space="preserve">o </w:t>
      </w:r>
      <w:r w:rsidR="00B148CA">
        <w:t xml:space="preserve">fall within </w:t>
      </w:r>
      <w:r w:rsidR="00AB6790">
        <w:t>the protection of the safe harbour</w:t>
      </w:r>
      <w:r w:rsidR="00D849F2">
        <w:t xml:space="preserve"> a director will </w:t>
      </w:r>
      <w:r>
        <w:t xml:space="preserve">generally only </w:t>
      </w:r>
      <w:r w:rsidR="00D849F2">
        <w:t xml:space="preserve">be required to provide evidence </w:t>
      </w:r>
      <w:r w:rsidR="00671533">
        <w:t xml:space="preserve">about </w:t>
      </w:r>
      <w:r w:rsidR="00D849F2">
        <w:t xml:space="preserve">the course of action that was taken. </w:t>
      </w:r>
      <w:r w:rsidR="00673C50" w:rsidRPr="00895C27">
        <w:t xml:space="preserve">A liquidator </w:t>
      </w:r>
      <w:r w:rsidR="00F95A2F">
        <w:t xml:space="preserve">(or other person) </w:t>
      </w:r>
      <w:r w:rsidR="00673C50" w:rsidRPr="00895C27">
        <w:t xml:space="preserve">seeking to </w:t>
      </w:r>
      <w:r w:rsidR="00BB261D">
        <w:t>make the director personally liable for any debts in</w:t>
      </w:r>
      <w:r w:rsidR="005F43EC">
        <w:t>curr</w:t>
      </w:r>
      <w:r w:rsidR="00BB261D">
        <w:t>ed while the company was insolvent</w:t>
      </w:r>
      <w:r w:rsidR="00673C50" w:rsidRPr="00895C27">
        <w:t xml:space="preserve"> will bear the onus of establishing that</w:t>
      </w:r>
      <w:r w:rsidR="00F95A2F">
        <w:t xml:space="preserve"> </w:t>
      </w:r>
      <w:r w:rsidR="00430BCE">
        <w:t>the</w:t>
      </w:r>
      <w:r w:rsidR="00673C50">
        <w:t xml:space="preserve"> course of action by </w:t>
      </w:r>
      <w:r w:rsidR="00D849F2">
        <w:t>the</w:t>
      </w:r>
      <w:r w:rsidR="00673C50">
        <w:t xml:space="preserve"> director was not reasonable in the circumstances. </w:t>
      </w:r>
    </w:p>
    <w:p w14:paraId="219B1F54" w14:textId="3473E505" w:rsidR="00F767F5" w:rsidRDefault="00565045" w:rsidP="00C778A4">
      <w:pPr>
        <w:pStyle w:val="base-text-paragraph"/>
        <w:tabs>
          <w:tab w:val="clear" w:pos="3687"/>
          <w:tab w:val="num" w:pos="1701"/>
        </w:tabs>
        <w:ind w:left="851"/>
      </w:pPr>
      <w:r>
        <w:t xml:space="preserve">While the change is intended to allow companies to be restructured outside of a formal insolvency process, some companies may not be able to recover and will still </w:t>
      </w:r>
      <w:r w:rsidR="00747DDA">
        <w:t>proceed to voluntary administration or liquidation</w:t>
      </w:r>
      <w:r>
        <w:t xml:space="preserve"> despite the directors</w:t>
      </w:r>
      <w:r w:rsidR="00F767F5">
        <w:t>’ best efforts</w:t>
      </w:r>
      <w:r>
        <w:t xml:space="preserve">. </w:t>
      </w:r>
      <w:r w:rsidR="00F767F5">
        <w:t>Provided that the director was pursuin</w:t>
      </w:r>
      <w:r w:rsidR="00671533">
        <w:t>g a reasonable course of action then</w:t>
      </w:r>
      <w:r w:rsidR="00F767F5">
        <w:t xml:space="preserve"> they will still have the benefit of safe harbour in these circumstances. </w:t>
      </w:r>
    </w:p>
    <w:p w14:paraId="17B50C90" w14:textId="5D9ADFF6" w:rsidR="00B2218A" w:rsidRDefault="00565045" w:rsidP="00C778A4">
      <w:pPr>
        <w:pStyle w:val="base-text-paragraph"/>
        <w:tabs>
          <w:tab w:val="clear" w:pos="3687"/>
          <w:tab w:val="num" w:pos="1701"/>
        </w:tabs>
        <w:ind w:left="851"/>
      </w:pPr>
      <w:r>
        <w:t xml:space="preserve">Where </w:t>
      </w:r>
      <w:r w:rsidR="00F767F5">
        <w:t>an administrator or liquidator is appointed</w:t>
      </w:r>
      <w:r>
        <w:t xml:space="preserve">, a director who does not provide </w:t>
      </w:r>
      <w:r w:rsidR="00F767F5">
        <w:t>them</w:t>
      </w:r>
      <w:r>
        <w:t xml:space="preserve"> with access to the company’s books or secondary evidence following an appropriate request will be prevented from using those </w:t>
      </w:r>
      <w:r w:rsidR="00747DDA">
        <w:t>materials</w:t>
      </w:r>
      <w:r>
        <w:t xml:space="preserve"> as evidence of having taking a </w:t>
      </w:r>
      <w:r w:rsidR="00747DDA">
        <w:t xml:space="preserve">reasonable </w:t>
      </w:r>
      <w:r>
        <w:t xml:space="preserve">course of action </w:t>
      </w:r>
      <w:r w:rsidR="00100FDA">
        <w:t>for the purposes of the safe harbour</w:t>
      </w:r>
      <w:r>
        <w:t xml:space="preserve">. A similar </w:t>
      </w:r>
      <w:r w:rsidR="00BD1D23">
        <w:t xml:space="preserve">provision applies where a company director does not provide a liquidator or administrator with </w:t>
      </w:r>
      <w:r w:rsidR="00747DDA">
        <w:t xml:space="preserve">other </w:t>
      </w:r>
      <w:r w:rsidR="00BD1D23">
        <w:t xml:space="preserve">information about the company following an appropriate </w:t>
      </w:r>
      <w:r w:rsidR="00747DDA">
        <w:t>request</w:t>
      </w:r>
      <w:r w:rsidR="00BD1D23">
        <w:t>.</w:t>
      </w:r>
    </w:p>
    <w:p w14:paraId="31F8308D" w14:textId="7B4BA979" w:rsidR="00BD1D23" w:rsidRPr="00DB33EC" w:rsidRDefault="004225A5" w:rsidP="00C778A4">
      <w:pPr>
        <w:pStyle w:val="base-text-paragraph"/>
        <w:tabs>
          <w:tab w:val="clear" w:pos="3687"/>
          <w:tab w:val="num" w:pos="1701"/>
        </w:tabs>
        <w:ind w:left="851"/>
      </w:pPr>
      <w:r>
        <w:t xml:space="preserve">These restrictions on the use of the safe harbour are in place to ensure that where a company </w:t>
      </w:r>
      <w:r w:rsidR="00E14DCD">
        <w:t>eventually</w:t>
      </w:r>
      <w:r w:rsidR="006C2E50">
        <w:t xml:space="preserve"> enters administration or is</w:t>
      </w:r>
      <w:r w:rsidR="00E14DCD">
        <w:t xml:space="preserve"> wound up</w:t>
      </w:r>
      <w:r>
        <w:t xml:space="preserve"> </w:t>
      </w:r>
      <w:r w:rsidR="006C2E50">
        <w:t>that</w:t>
      </w:r>
      <w:r>
        <w:t xml:space="preserve"> directors </w:t>
      </w:r>
      <w:r w:rsidR="000A4592">
        <w:t>do not</w:t>
      </w:r>
      <w:r>
        <w:t xml:space="preserve"> withhold books</w:t>
      </w:r>
      <w:r w:rsidR="00BD1D23">
        <w:t xml:space="preserve"> or information about the company in an attempt to prevent a liquidator or administrator from investigating the company’s </w:t>
      </w:r>
      <w:r w:rsidR="00BD1D23" w:rsidRPr="00DB33EC">
        <w:t>activities and tak</w:t>
      </w:r>
      <w:r w:rsidR="00BE65BC" w:rsidRPr="00DB33EC">
        <w:t>ing</w:t>
      </w:r>
      <w:r w:rsidR="00BD1D23" w:rsidRPr="00DB33EC">
        <w:t xml:space="preserve"> appropriate action</w:t>
      </w:r>
      <w:r w:rsidR="00852EBD" w:rsidRPr="00DB33EC">
        <w:t>. Such action</w:t>
      </w:r>
      <w:r w:rsidR="00BD1D23" w:rsidRPr="00DB33EC">
        <w:t xml:space="preserve"> may include </w:t>
      </w:r>
      <w:r w:rsidR="00A87DC8" w:rsidRPr="00DB33EC">
        <w:t>pursuing</w:t>
      </w:r>
      <w:r w:rsidR="00BD1D23" w:rsidRPr="00DB33EC">
        <w:t xml:space="preserve"> </w:t>
      </w:r>
      <w:r w:rsidR="00A87DC8" w:rsidRPr="00DB33EC">
        <w:t>recovery against</w:t>
      </w:r>
      <w:r w:rsidR="00BD1D23" w:rsidRPr="00DB33EC">
        <w:t xml:space="preserve"> the directors personally for the company’s debts if it appears that the directors did not take a course of action reasonably likely to </w:t>
      </w:r>
      <w:r w:rsidR="00100FDA" w:rsidRPr="00DB33EC">
        <w:t xml:space="preserve">lead to </w:t>
      </w:r>
      <w:r w:rsidR="00BD1D23" w:rsidRPr="00DB33EC">
        <w:t>a better outcome</w:t>
      </w:r>
      <w:r w:rsidR="00BE65BC" w:rsidRPr="00DB33EC">
        <w:t xml:space="preserve"> than through</w:t>
      </w:r>
      <w:r w:rsidR="00671533" w:rsidRPr="00DB33EC">
        <w:t xml:space="preserve"> proceeding to</w:t>
      </w:r>
      <w:r w:rsidR="00BE65BC" w:rsidRPr="00DB33EC">
        <w:t xml:space="preserve"> an immediate </w:t>
      </w:r>
      <w:r w:rsidR="00671533" w:rsidRPr="00DB33EC">
        <w:t xml:space="preserve">administration or the </w:t>
      </w:r>
      <w:r w:rsidR="00BE65BC" w:rsidRPr="00DB33EC">
        <w:t>liquidation of the company</w:t>
      </w:r>
      <w:r w:rsidR="00BD1D23" w:rsidRPr="00DB33EC">
        <w:t xml:space="preserve">. </w:t>
      </w:r>
    </w:p>
    <w:p w14:paraId="653EC880" w14:textId="2035FC28" w:rsidR="004225A5" w:rsidRPr="00DB33EC" w:rsidRDefault="00BD1D23" w:rsidP="00C778A4">
      <w:pPr>
        <w:pStyle w:val="base-text-paragraph"/>
        <w:tabs>
          <w:tab w:val="clear" w:pos="3687"/>
          <w:tab w:val="num" w:pos="1701"/>
        </w:tabs>
        <w:ind w:left="851"/>
      </w:pPr>
      <w:r w:rsidRPr="00DB33EC">
        <w:t xml:space="preserve">The restriction also ensures that </w:t>
      </w:r>
      <w:r w:rsidR="004225A5" w:rsidRPr="00DB33EC">
        <w:t xml:space="preserve">books and </w:t>
      </w:r>
      <w:r w:rsidRPr="00DB33EC">
        <w:t>information</w:t>
      </w:r>
      <w:r w:rsidR="00EC73BF" w:rsidRPr="00DB33EC">
        <w:t xml:space="preserve"> that w</w:t>
      </w:r>
      <w:r w:rsidR="00033099" w:rsidRPr="00DB33EC">
        <w:t>ere</w:t>
      </w:r>
      <w:r w:rsidR="00EC73BF" w:rsidRPr="00DB33EC">
        <w:t xml:space="preserve"> not available at the time a liquidator or administrator is appointed </w:t>
      </w:r>
      <w:r w:rsidR="00683284" w:rsidRPr="00DB33EC">
        <w:t xml:space="preserve">are </w:t>
      </w:r>
      <w:r w:rsidRPr="00DB33EC">
        <w:t xml:space="preserve">not </w:t>
      </w:r>
      <w:r w:rsidR="00EC73BF" w:rsidRPr="00DB33EC">
        <w:t xml:space="preserve">later </w:t>
      </w:r>
      <w:r w:rsidR="004225A5" w:rsidRPr="00DB33EC">
        <w:t xml:space="preserve">prepared </w:t>
      </w:r>
      <w:r w:rsidRPr="00DB33EC">
        <w:t xml:space="preserve">in a way to make it </w:t>
      </w:r>
      <w:r w:rsidR="00EC73BF" w:rsidRPr="00DB33EC">
        <w:t xml:space="preserve">retrospectively </w:t>
      </w:r>
      <w:r w:rsidR="00683284" w:rsidRPr="00DB33EC">
        <w:t xml:space="preserve">appear that a </w:t>
      </w:r>
      <w:r w:rsidR="00EC73BF" w:rsidRPr="00DB33EC">
        <w:t xml:space="preserve">director </w:t>
      </w:r>
      <w:r w:rsidR="00683284" w:rsidRPr="00DB33EC">
        <w:t xml:space="preserve">would have fallen within </w:t>
      </w:r>
      <w:r w:rsidR="00EC73BF" w:rsidRPr="00DB33EC">
        <w:t xml:space="preserve">the safe harbour provisions. </w:t>
      </w:r>
    </w:p>
    <w:p w14:paraId="66C36316" w14:textId="6F8B0217" w:rsidR="004225A5" w:rsidRPr="00DB33EC" w:rsidRDefault="00B2218A" w:rsidP="00C778A4">
      <w:pPr>
        <w:pStyle w:val="base-text-paragraph"/>
        <w:tabs>
          <w:tab w:val="clear" w:pos="3687"/>
          <w:tab w:val="num" w:pos="1701"/>
        </w:tabs>
        <w:ind w:left="851"/>
      </w:pPr>
      <w:r w:rsidRPr="00DB33EC">
        <w:t>An exempti</w:t>
      </w:r>
      <w:r w:rsidR="004225A5" w:rsidRPr="00DB33EC">
        <w:t>on</w:t>
      </w:r>
      <w:r w:rsidR="00BD1D23" w:rsidRPr="00DB33EC">
        <w:t xml:space="preserve"> </w:t>
      </w:r>
      <w:r w:rsidR="004225A5" w:rsidRPr="00DB33EC">
        <w:t xml:space="preserve">applies so that these </w:t>
      </w:r>
      <w:r w:rsidR="00BD1D23" w:rsidRPr="00DB33EC">
        <w:t>restrictions</w:t>
      </w:r>
      <w:r w:rsidR="004225A5" w:rsidRPr="00DB33EC">
        <w:t xml:space="preserve"> will not apply in relation to director</w:t>
      </w:r>
      <w:r w:rsidR="00BD1D23" w:rsidRPr="00DB33EC">
        <w:t>s</w:t>
      </w:r>
      <w:r w:rsidR="004225A5" w:rsidRPr="00DB33EC">
        <w:t xml:space="preserve"> </w:t>
      </w:r>
      <w:r w:rsidR="00100FDA" w:rsidRPr="00DB33EC">
        <w:t>who</w:t>
      </w:r>
      <w:r w:rsidR="004225A5" w:rsidRPr="00DB33EC">
        <w:t>:</w:t>
      </w:r>
    </w:p>
    <w:p w14:paraId="379CA93E" w14:textId="42DC2511" w:rsidR="00B2218A" w:rsidRDefault="004225A5" w:rsidP="004225A5">
      <w:pPr>
        <w:pStyle w:val="dotpoint"/>
      </w:pPr>
      <w:r w:rsidRPr="00DB33EC">
        <w:t>can demonstrate they did not have the books</w:t>
      </w:r>
      <w:r>
        <w:t xml:space="preserve"> or information and there were no reasonable steps that could have been taken to obtain </w:t>
      </w:r>
      <w:r w:rsidR="00100FDA">
        <w:t>the materials</w:t>
      </w:r>
      <w:r>
        <w:t>; or</w:t>
      </w:r>
    </w:p>
    <w:p w14:paraId="1E726DAD" w14:textId="544754F5" w:rsidR="004225A5" w:rsidRDefault="004225A5" w:rsidP="004225A5">
      <w:pPr>
        <w:pStyle w:val="dotpoint"/>
      </w:pPr>
      <w:r>
        <w:t xml:space="preserve">were not notified that failing to provide the information requested by the liquidator or administrator would prevent them from using the </w:t>
      </w:r>
      <w:r w:rsidR="00100FDA">
        <w:t xml:space="preserve">materials </w:t>
      </w:r>
      <w:r>
        <w:t xml:space="preserve">or information to demonstrate </w:t>
      </w:r>
      <w:r w:rsidR="00BD1D23">
        <w:t xml:space="preserve">they took a course of action that was reasonably likely to </w:t>
      </w:r>
      <w:r w:rsidR="00100FDA">
        <w:t xml:space="preserve">lead to </w:t>
      </w:r>
      <w:r w:rsidR="00BD1D23">
        <w:t>a better outcome</w:t>
      </w:r>
      <w:r>
        <w:t xml:space="preserve">.  </w:t>
      </w:r>
    </w:p>
    <w:p w14:paraId="7C0C2ED3" w14:textId="77777777" w:rsidR="00697AD0" w:rsidRDefault="00697AD0" w:rsidP="00703978">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697AD0" w:rsidRPr="004666B8" w14:paraId="3D889B26" w14:textId="77777777" w:rsidTr="00703978">
        <w:tc>
          <w:tcPr>
            <w:tcW w:w="3275" w:type="dxa"/>
          </w:tcPr>
          <w:p w14:paraId="7A6D603E" w14:textId="77777777" w:rsidR="00697AD0" w:rsidRPr="004666B8" w:rsidRDefault="00697AD0" w:rsidP="00703978">
            <w:pPr>
              <w:pStyle w:val="tableheaderwithintable"/>
              <w:rPr>
                <w:lang w:val="en-US" w:eastAsia="en-US"/>
              </w:rPr>
            </w:pPr>
            <w:r w:rsidRPr="004666B8">
              <w:rPr>
                <w:lang w:val="en-US" w:eastAsia="en-US"/>
              </w:rPr>
              <w:t>New law</w:t>
            </w:r>
          </w:p>
        </w:tc>
        <w:tc>
          <w:tcPr>
            <w:tcW w:w="3276" w:type="dxa"/>
          </w:tcPr>
          <w:p w14:paraId="511213A6" w14:textId="77777777" w:rsidR="00697AD0" w:rsidRPr="004666B8" w:rsidRDefault="00697AD0" w:rsidP="00703978">
            <w:pPr>
              <w:pStyle w:val="tableheaderwithintable"/>
              <w:rPr>
                <w:lang w:val="en-US" w:eastAsia="en-US"/>
              </w:rPr>
            </w:pPr>
            <w:r w:rsidRPr="004666B8">
              <w:rPr>
                <w:lang w:val="en-US" w:eastAsia="en-US"/>
              </w:rPr>
              <w:t>Current law</w:t>
            </w:r>
          </w:p>
        </w:tc>
      </w:tr>
      <w:tr w:rsidR="00697AD0" w:rsidRPr="004666B8" w14:paraId="4D63391A" w14:textId="77777777" w:rsidTr="00703978">
        <w:tc>
          <w:tcPr>
            <w:tcW w:w="3275" w:type="dxa"/>
          </w:tcPr>
          <w:p w14:paraId="3CB4E476" w14:textId="40F2F983" w:rsidR="00697AD0" w:rsidRPr="004666B8" w:rsidRDefault="000A4584" w:rsidP="00057D4F">
            <w:pPr>
              <w:pStyle w:val="tabletext"/>
              <w:rPr>
                <w:lang w:val="en-US" w:eastAsia="en-US"/>
              </w:rPr>
            </w:pPr>
            <w:r>
              <w:rPr>
                <w:lang w:val="en-US" w:eastAsia="en-US"/>
              </w:rPr>
              <w:t>S</w:t>
            </w:r>
            <w:r w:rsidR="00057D4F">
              <w:rPr>
                <w:lang w:val="en-US" w:eastAsia="en-US"/>
              </w:rPr>
              <w:t xml:space="preserve">afe </w:t>
            </w:r>
            <w:r w:rsidR="00B12ACF" w:rsidRPr="00B12ACF">
              <w:rPr>
                <w:lang w:eastAsia="en-US"/>
              </w:rPr>
              <w:t>harbour</w:t>
            </w:r>
            <w:r>
              <w:rPr>
                <w:lang w:val="en-US" w:eastAsia="en-US"/>
              </w:rPr>
              <w:t xml:space="preserve"> provision</w:t>
            </w:r>
            <w:r w:rsidR="00057D4F">
              <w:rPr>
                <w:lang w:val="en-US" w:eastAsia="en-US"/>
              </w:rPr>
              <w:t xml:space="preserve"> to protect directors from liability for debts incurred by an insolvent company if they take a course of action that is reasonably likely to </w:t>
            </w:r>
            <w:r>
              <w:rPr>
                <w:lang w:val="en-US" w:eastAsia="en-US"/>
              </w:rPr>
              <w:t>lead to</w:t>
            </w:r>
            <w:r w:rsidR="00057D4F">
              <w:rPr>
                <w:lang w:val="en-US" w:eastAsia="en-US"/>
              </w:rPr>
              <w:t xml:space="preserve"> a better outcome for the company and its creditors and the debt was incurred as part of the course of action </w:t>
            </w:r>
          </w:p>
        </w:tc>
        <w:tc>
          <w:tcPr>
            <w:tcW w:w="3276" w:type="dxa"/>
          </w:tcPr>
          <w:p w14:paraId="02AD4CAD" w14:textId="7C2D61AE" w:rsidR="00697AD0" w:rsidRPr="004666B8" w:rsidRDefault="00057D4F" w:rsidP="00703978">
            <w:pPr>
              <w:pStyle w:val="tabletext"/>
              <w:rPr>
                <w:lang w:val="en-US" w:eastAsia="en-US"/>
              </w:rPr>
            </w:pPr>
            <w:r>
              <w:rPr>
                <w:lang w:val="en-US" w:eastAsia="en-US"/>
              </w:rPr>
              <w:t xml:space="preserve">No equivalent </w:t>
            </w:r>
          </w:p>
        </w:tc>
      </w:tr>
      <w:tr w:rsidR="003324D2" w:rsidRPr="004666B8" w14:paraId="4DDB24E5" w14:textId="77777777" w:rsidTr="00703978">
        <w:tc>
          <w:tcPr>
            <w:tcW w:w="3275" w:type="dxa"/>
          </w:tcPr>
          <w:p w14:paraId="308AFABC" w14:textId="7F5F3E5A" w:rsidR="003324D2" w:rsidRPr="004666B8" w:rsidRDefault="00057D4F" w:rsidP="00703978">
            <w:pPr>
              <w:pStyle w:val="tabletext"/>
              <w:rPr>
                <w:lang w:val="en-US" w:eastAsia="en-US"/>
              </w:rPr>
            </w:pPr>
            <w:r>
              <w:rPr>
                <w:lang w:val="en-US" w:eastAsia="en-US"/>
              </w:rPr>
              <w:t xml:space="preserve">Directors </w:t>
            </w:r>
            <w:r w:rsidR="000A4584">
              <w:rPr>
                <w:lang w:val="en-US" w:eastAsia="en-US"/>
              </w:rPr>
              <w:t xml:space="preserve">will be </w:t>
            </w:r>
            <w:r>
              <w:rPr>
                <w:lang w:val="en-US" w:eastAsia="en-US"/>
              </w:rPr>
              <w:t xml:space="preserve">prevented from using books and information about </w:t>
            </w:r>
            <w:r w:rsidR="000A4584">
              <w:rPr>
                <w:lang w:val="en-US" w:eastAsia="en-US"/>
              </w:rPr>
              <w:t xml:space="preserve">a </w:t>
            </w:r>
            <w:r>
              <w:rPr>
                <w:lang w:val="en-US" w:eastAsia="en-US"/>
              </w:rPr>
              <w:t>company as evidence that they took a reasonabl</w:t>
            </w:r>
            <w:r w:rsidR="00BA343B">
              <w:rPr>
                <w:lang w:val="en-US" w:eastAsia="en-US"/>
              </w:rPr>
              <w:t>e</w:t>
            </w:r>
            <w:r>
              <w:rPr>
                <w:lang w:val="en-US" w:eastAsia="en-US"/>
              </w:rPr>
              <w:t xml:space="preserve"> course of action if they </w:t>
            </w:r>
            <w:r w:rsidR="000A4584">
              <w:rPr>
                <w:lang w:val="en-US" w:eastAsia="en-US"/>
              </w:rPr>
              <w:t xml:space="preserve">have </w:t>
            </w:r>
            <w:r>
              <w:rPr>
                <w:lang w:val="en-US" w:eastAsia="en-US"/>
              </w:rPr>
              <w:t xml:space="preserve">previously not provided </w:t>
            </w:r>
            <w:r w:rsidR="000A4584">
              <w:rPr>
                <w:lang w:val="en-US" w:eastAsia="en-US"/>
              </w:rPr>
              <w:t xml:space="preserve">these materials </w:t>
            </w:r>
            <w:r>
              <w:rPr>
                <w:lang w:val="en-US" w:eastAsia="en-US"/>
              </w:rPr>
              <w:t xml:space="preserve">to a liquidator or administrator following an appropriate request for the </w:t>
            </w:r>
            <w:r w:rsidR="000A4584">
              <w:rPr>
                <w:lang w:val="en-US" w:eastAsia="en-US"/>
              </w:rPr>
              <w:t>materials</w:t>
            </w:r>
            <w:r>
              <w:rPr>
                <w:lang w:val="en-US" w:eastAsia="en-US"/>
              </w:rPr>
              <w:t xml:space="preserve"> </w:t>
            </w:r>
          </w:p>
        </w:tc>
        <w:tc>
          <w:tcPr>
            <w:tcW w:w="3276" w:type="dxa"/>
          </w:tcPr>
          <w:p w14:paraId="5EC1DA28" w14:textId="582CAE63" w:rsidR="003324D2" w:rsidRPr="004666B8" w:rsidRDefault="00057D4F" w:rsidP="00703978">
            <w:pPr>
              <w:pStyle w:val="tabletext"/>
              <w:rPr>
                <w:lang w:val="en-US" w:eastAsia="en-US"/>
              </w:rPr>
            </w:pPr>
            <w:r>
              <w:rPr>
                <w:lang w:val="en-US" w:eastAsia="en-US"/>
              </w:rPr>
              <w:t xml:space="preserve">No equivalent </w:t>
            </w:r>
          </w:p>
        </w:tc>
      </w:tr>
      <w:tr w:rsidR="003324D2" w:rsidRPr="004666B8" w14:paraId="0DE94E5A" w14:textId="77777777" w:rsidTr="00703978">
        <w:tc>
          <w:tcPr>
            <w:tcW w:w="3275" w:type="dxa"/>
          </w:tcPr>
          <w:p w14:paraId="040341BB" w14:textId="6E0BD18C" w:rsidR="003324D2" w:rsidRDefault="00057D4F" w:rsidP="00703978">
            <w:pPr>
              <w:pStyle w:val="tabletext"/>
              <w:rPr>
                <w:lang w:val="en-US" w:eastAsia="en-US"/>
              </w:rPr>
            </w:pPr>
            <w:r>
              <w:rPr>
                <w:lang w:val="en-US" w:eastAsia="en-US"/>
              </w:rPr>
              <w:t xml:space="preserve">Directors will not be able to rely on the safe </w:t>
            </w:r>
            <w:r w:rsidR="006412A9" w:rsidRPr="00BF380E">
              <w:rPr>
                <w:lang w:eastAsia="en-US"/>
              </w:rPr>
              <w:t>harbour</w:t>
            </w:r>
            <w:r>
              <w:rPr>
                <w:lang w:val="en-US" w:eastAsia="en-US"/>
              </w:rPr>
              <w:t xml:space="preserve"> in circumstances where the company is not meeting i</w:t>
            </w:r>
            <w:r w:rsidR="00597C32">
              <w:rPr>
                <w:lang w:val="en-US" w:eastAsia="en-US"/>
              </w:rPr>
              <w:t>t</w:t>
            </w:r>
            <w:r>
              <w:rPr>
                <w:lang w:val="en-US" w:eastAsia="en-US"/>
              </w:rPr>
              <w:t xml:space="preserve">s obligations in relation to employee entitlements (including superannuation) and </w:t>
            </w:r>
            <w:r w:rsidR="000A4584">
              <w:rPr>
                <w:lang w:val="en-US" w:eastAsia="en-US"/>
              </w:rPr>
              <w:t>its taxation reporting obligations</w:t>
            </w:r>
            <w:r w:rsidR="004D7479">
              <w:rPr>
                <w:lang w:val="en-US" w:eastAsia="en-US"/>
              </w:rPr>
              <w:t xml:space="preserve"> </w:t>
            </w:r>
          </w:p>
        </w:tc>
        <w:tc>
          <w:tcPr>
            <w:tcW w:w="3276" w:type="dxa"/>
          </w:tcPr>
          <w:p w14:paraId="0BFD4268" w14:textId="5E6F0294" w:rsidR="003324D2" w:rsidRDefault="004D7479" w:rsidP="00703978">
            <w:pPr>
              <w:pStyle w:val="tabletext"/>
              <w:rPr>
                <w:lang w:val="en-US" w:eastAsia="en-US"/>
              </w:rPr>
            </w:pPr>
            <w:r>
              <w:rPr>
                <w:lang w:val="en-US" w:eastAsia="en-US"/>
              </w:rPr>
              <w:t xml:space="preserve">No equivalent </w:t>
            </w:r>
          </w:p>
        </w:tc>
      </w:tr>
    </w:tbl>
    <w:p w14:paraId="72927363" w14:textId="77777777" w:rsidR="00697AD0" w:rsidRDefault="00697AD0" w:rsidP="00703978">
      <w:pPr>
        <w:pStyle w:val="Heading2"/>
      </w:pPr>
      <w:r>
        <w:t>Detailed explanation of new law</w:t>
      </w:r>
    </w:p>
    <w:p w14:paraId="47CE86FC" w14:textId="2D005830" w:rsidR="0066530B" w:rsidRDefault="006D01BC" w:rsidP="00C778A4">
      <w:pPr>
        <w:pStyle w:val="base-text-paragraph"/>
        <w:tabs>
          <w:tab w:val="clear" w:pos="3687"/>
          <w:tab w:val="num" w:pos="1701"/>
        </w:tabs>
        <w:ind w:left="851"/>
      </w:pPr>
      <w:r>
        <w:t xml:space="preserve">New section 588GA </w:t>
      </w:r>
      <w:r w:rsidR="00C9131C">
        <w:t>establishes</w:t>
      </w:r>
      <w:r w:rsidR="000D7012">
        <w:t xml:space="preserve"> a </w:t>
      </w:r>
      <w:r>
        <w:t xml:space="preserve">safe harbour for directors of an insolvent company to protect them against </w:t>
      </w:r>
      <w:r w:rsidR="00386A0C">
        <w:t>personal</w:t>
      </w:r>
      <w:r>
        <w:t xml:space="preserve"> liability</w:t>
      </w:r>
      <w:r w:rsidR="0066530B">
        <w:t xml:space="preserve"> </w:t>
      </w:r>
      <w:r w:rsidR="00386A0C">
        <w:t>for</w:t>
      </w:r>
      <w:r w:rsidR="0066530B">
        <w:t xml:space="preserve"> </w:t>
      </w:r>
      <w:r w:rsidR="007B1B6C">
        <w:t>contravention</w:t>
      </w:r>
      <w:r w:rsidR="00B513E9">
        <w:t>s</w:t>
      </w:r>
      <w:r w:rsidR="007B1B6C">
        <w:t xml:space="preserve"> </w:t>
      </w:r>
      <w:r w:rsidR="00386A0C">
        <w:t>of</w:t>
      </w:r>
      <w:r w:rsidR="0066530B">
        <w:t xml:space="preserve"> the insolvent trading provisions under subsection 588G(2) of the Act. </w:t>
      </w:r>
      <w:r w:rsidR="0066530B" w:rsidRPr="00C9131C">
        <w:rPr>
          <w:rStyle w:val="Referencingstyle"/>
        </w:rPr>
        <w:t>[Schedule 1, Part 1, item 2, subsection 588GA(1)]</w:t>
      </w:r>
    </w:p>
    <w:p w14:paraId="406CE2CE" w14:textId="7DA09890" w:rsidR="000D7012" w:rsidRDefault="000D7012" w:rsidP="00C778A4">
      <w:pPr>
        <w:pStyle w:val="base-text-paragraph"/>
        <w:tabs>
          <w:tab w:val="clear" w:pos="3687"/>
          <w:tab w:val="num" w:pos="1701"/>
        </w:tabs>
        <w:ind w:left="851"/>
      </w:pPr>
      <w:r>
        <w:t>This safe harbour protection from the insolvent trading provisions in section 588G(2) is aimed at facilitating more successful company restructures outside of formal insolvency processes</w:t>
      </w:r>
      <w:r w:rsidR="00183B1C">
        <w:t>. It is also aimed at</w:t>
      </w:r>
      <w:r w:rsidR="002B37ED">
        <w:t xml:space="preserve"> driving a cultural change amongst company directors who encounter uncertainty over a company’s solvency to be more willing to remain in control of the company and take proactive steps to address the situation and restructure a company in way that is likely to deliver a better outcome for the company and its creditors without the fear of being personally liable for any debts incurred as part of the process</w:t>
      </w:r>
      <w:r>
        <w:t>.</w:t>
      </w:r>
    </w:p>
    <w:p w14:paraId="2A7DC894" w14:textId="185D16B6" w:rsidR="00B44867" w:rsidRPr="00B44867" w:rsidRDefault="00EF046E" w:rsidP="00C778A4">
      <w:pPr>
        <w:pStyle w:val="base-text-paragraph"/>
        <w:tabs>
          <w:tab w:val="clear" w:pos="3687"/>
          <w:tab w:val="num" w:pos="1701"/>
        </w:tabs>
        <w:ind w:left="851"/>
        <w:rPr>
          <w:rStyle w:val="Referencingstyle"/>
          <w:b w:val="0"/>
          <w:i w:val="0"/>
          <w:sz w:val="22"/>
        </w:rPr>
      </w:pPr>
      <w:r>
        <w:t>The safe harbour protection will</w:t>
      </w:r>
      <w:r w:rsidR="00B44867">
        <w:t xml:space="preserve"> protect a director in relation to debts that a company incurs </w:t>
      </w:r>
      <w:r w:rsidR="007B1B6C">
        <w:t xml:space="preserve">associated with </w:t>
      </w:r>
      <w:r w:rsidR="00B44867">
        <w:t xml:space="preserve">a course </w:t>
      </w:r>
      <w:r w:rsidR="00CE3C40">
        <w:t>of action</w:t>
      </w:r>
      <w:r w:rsidR="00B44867">
        <w:t xml:space="preserve"> being taken by the director that is reasonably likely to </w:t>
      </w:r>
      <w:r w:rsidR="00AE5B0A">
        <w:t xml:space="preserve">lead to </w:t>
      </w:r>
      <w:r w:rsidR="00B44867">
        <w:t>a better outcome for the company and the company’s creditors</w:t>
      </w:r>
      <w:r w:rsidR="002B37ED">
        <w:t xml:space="preserve"> than proceeding to voluntary administration or winding up</w:t>
      </w:r>
      <w:r w:rsidR="00B44867">
        <w:t xml:space="preserve">. The protection will apply from the time the director starts to take </w:t>
      </w:r>
      <w:r w:rsidR="002B37ED">
        <w:t>a</w:t>
      </w:r>
      <w:r w:rsidR="00B44867">
        <w:t xml:space="preserve"> course of action after beginning to </w:t>
      </w:r>
      <w:r w:rsidR="00B44867" w:rsidRPr="006412A9">
        <w:t>suspect that the company may be</w:t>
      </w:r>
      <w:r w:rsidR="00AE5B0A" w:rsidRPr="008167D9">
        <w:t>come</w:t>
      </w:r>
      <w:r w:rsidR="00B44867" w:rsidRPr="006412A9">
        <w:t xml:space="preserve"> insolvent</w:t>
      </w:r>
      <w:r w:rsidR="00B44867">
        <w:t xml:space="preserve"> and will apply until either the course of action ends, the course of action stops being reasonably likely to </w:t>
      </w:r>
      <w:r w:rsidR="00AE5B0A">
        <w:t xml:space="preserve">lead to </w:t>
      </w:r>
      <w:r w:rsidR="00B44867">
        <w:t xml:space="preserve">a better outcome for the company and its creditors or the company goes into administration (voluntary or otherwise). </w:t>
      </w:r>
      <w:r w:rsidR="00B44867" w:rsidRPr="00C9131C">
        <w:rPr>
          <w:rStyle w:val="Referencingstyle"/>
        </w:rPr>
        <w:t xml:space="preserve">[Schedule 1, Part 1, item 2, </w:t>
      </w:r>
      <w:r w:rsidR="00B44867">
        <w:rPr>
          <w:rStyle w:val="Referencingstyle"/>
        </w:rPr>
        <w:t>paragraphs</w:t>
      </w:r>
      <w:r w:rsidR="00F63075">
        <w:rPr>
          <w:rStyle w:val="Referencingstyle"/>
        </w:rPr>
        <w:t> </w:t>
      </w:r>
      <w:r w:rsidR="00B44867" w:rsidRPr="00C9131C">
        <w:rPr>
          <w:rStyle w:val="Referencingstyle"/>
        </w:rPr>
        <w:t>588GA(1)</w:t>
      </w:r>
      <w:r w:rsidR="00B44867">
        <w:rPr>
          <w:rStyle w:val="Referencingstyle"/>
        </w:rPr>
        <w:t>(a) – (b)</w:t>
      </w:r>
      <w:r w:rsidR="00B44867" w:rsidRPr="00C9131C">
        <w:rPr>
          <w:rStyle w:val="Referencingstyle"/>
        </w:rPr>
        <w:t>]</w:t>
      </w:r>
    </w:p>
    <w:p w14:paraId="055A5916" w14:textId="6FA22445" w:rsidR="00984C44" w:rsidRPr="00B44867" w:rsidRDefault="00984C44" w:rsidP="00C778A4">
      <w:pPr>
        <w:pStyle w:val="base-text-paragraph"/>
        <w:tabs>
          <w:tab w:val="clear" w:pos="3687"/>
          <w:tab w:val="num" w:pos="1701"/>
        </w:tabs>
        <w:ind w:left="851"/>
        <w:rPr>
          <w:rStyle w:val="Referencingstyle"/>
          <w:b w:val="0"/>
          <w:i w:val="0"/>
          <w:sz w:val="22"/>
        </w:rPr>
      </w:pPr>
      <w:r>
        <w:rPr>
          <w:rStyle w:val="Referencingstyle"/>
          <w:b w:val="0"/>
          <w:i w:val="0"/>
          <w:sz w:val="22"/>
        </w:rPr>
        <w:t xml:space="preserve"> Whether the course of action is reasonably likely to </w:t>
      </w:r>
      <w:r w:rsidR="00ED2A20">
        <w:rPr>
          <w:rStyle w:val="Referencingstyle"/>
          <w:b w:val="0"/>
          <w:i w:val="0"/>
          <w:sz w:val="22"/>
        </w:rPr>
        <w:t>lead to</w:t>
      </w:r>
      <w:r>
        <w:rPr>
          <w:rStyle w:val="Referencingstyle"/>
          <w:b w:val="0"/>
          <w:i w:val="0"/>
          <w:sz w:val="22"/>
        </w:rPr>
        <w:t xml:space="preserve"> a better outcome will be assessed on an objective basis. </w:t>
      </w:r>
      <w:r w:rsidR="004C711E">
        <w:rPr>
          <w:rStyle w:val="Referencingstyle"/>
          <w:b w:val="0"/>
          <w:i w:val="0"/>
          <w:sz w:val="22"/>
        </w:rPr>
        <w:t>Regarding the time at which a director can be considered to have started to take the course of action, the safe harbour will extend to</w:t>
      </w:r>
      <w:r w:rsidR="00101A2B">
        <w:rPr>
          <w:rStyle w:val="Referencingstyle"/>
          <w:b w:val="0"/>
          <w:i w:val="0"/>
          <w:sz w:val="22"/>
        </w:rPr>
        <w:t xml:space="preserve"> cover a period in which deliberations and preparations for the course of action are occurring</w:t>
      </w:r>
      <w:r w:rsidR="002B37ED">
        <w:rPr>
          <w:rStyle w:val="Referencingstyle"/>
          <w:b w:val="0"/>
          <w:i w:val="0"/>
          <w:sz w:val="22"/>
        </w:rPr>
        <w:t>.</w:t>
      </w:r>
    </w:p>
    <w:p w14:paraId="307F1F8A" w14:textId="7579A8E5" w:rsidR="00E11114" w:rsidRPr="002B37ED" w:rsidRDefault="00E11114" w:rsidP="00DC5F53">
      <w:pPr>
        <w:pStyle w:val="base-text-paragraph"/>
        <w:tabs>
          <w:tab w:val="clear" w:pos="3687"/>
          <w:tab w:val="num" w:pos="1701"/>
        </w:tabs>
        <w:ind w:left="851"/>
        <w:rPr>
          <w:rStyle w:val="Referencingstyle"/>
          <w:b w:val="0"/>
          <w:i w:val="0"/>
          <w:sz w:val="22"/>
        </w:rPr>
      </w:pPr>
      <w:r w:rsidRPr="002A6E61">
        <w:rPr>
          <w:rStyle w:val="Referencingstyle"/>
          <w:b w:val="0"/>
          <w:i w:val="0"/>
          <w:sz w:val="22"/>
        </w:rPr>
        <w:t xml:space="preserve">The safe harbour is not intended to </w:t>
      </w:r>
      <w:r w:rsidR="003B0C74" w:rsidRPr="002A6E61">
        <w:rPr>
          <w:rStyle w:val="Referencingstyle"/>
          <w:b w:val="0"/>
          <w:i w:val="0"/>
          <w:sz w:val="22"/>
        </w:rPr>
        <w:t xml:space="preserve">be a mechanism for </w:t>
      </w:r>
      <w:r w:rsidR="00927B3C" w:rsidRPr="002A6E61">
        <w:rPr>
          <w:rStyle w:val="Referencingstyle"/>
          <w:b w:val="0"/>
          <w:i w:val="0"/>
          <w:sz w:val="22"/>
        </w:rPr>
        <w:t>a</w:t>
      </w:r>
      <w:r w:rsidR="003B0C74" w:rsidRPr="002A6E61">
        <w:rPr>
          <w:rStyle w:val="Referencingstyle"/>
          <w:b w:val="0"/>
          <w:i w:val="0"/>
          <w:sz w:val="22"/>
        </w:rPr>
        <w:t xml:space="preserve"> compan</w:t>
      </w:r>
      <w:r w:rsidR="00927B3C" w:rsidRPr="002A6E61">
        <w:rPr>
          <w:rStyle w:val="Referencingstyle"/>
          <w:b w:val="0"/>
          <w:i w:val="0"/>
          <w:sz w:val="22"/>
        </w:rPr>
        <w:t>y</w:t>
      </w:r>
      <w:r w:rsidR="003B0C74" w:rsidRPr="002A6E61">
        <w:rPr>
          <w:rStyle w:val="Referencingstyle"/>
          <w:b w:val="0"/>
          <w:i w:val="0"/>
          <w:sz w:val="22"/>
        </w:rPr>
        <w:t xml:space="preserve"> to continue trading past the point where </w:t>
      </w:r>
      <w:r w:rsidR="00C85416" w:rsidRPr="002A6E61">
        <w:rPr>
          <w:rStyle w:val="Referencingstyle"/>
          <w:b w:val="0"/>
          <w:i w:val="0"/>
          <w:sz w:val="22"/>
        </w:rPr>
        <w:t>it is viable</w:t>
      </w:r>
      <w:r w:rsidR="005A212E" w:rsidRPr="002A6E61">
        <w:rPr>
          <w:rStyle w:val="Referencingstyle"/>
          <w:b w:val="0"/>
          <w:i w:val="0"/>
          <w:sz w:val="22"/>
        </w:rPr>
        <w:t>.</w:t>
      </w:r>
      <w:r w:rsidR="00C85416" w:rsidRPr="002A6E61">
        <w:rPr>
          <w:rStyle w:val="Referencingstyle"/>
          <w:b w:val="0"/>
          <w:i w:val="0"/>
          <w:sz w:val="22"/>
        </w:rPr>
        <w:t xml:space="preserve"> </w:t>
      </w:r>
      <w:r w:rsidR="005A212E" w:rsidRPr="003D352B">
        <w:rPr>
          <w:rStyle w:val="Referencingstyle"/>
          <w:b w:val="0"/>
          <w:i w:val="0"/>
          <w:sz w:val="22"/>
        </w:rPr>
        <w:t>A</w:t>
      </w:r>
      <w:r w:rsidR="00C85416" w:rsidRPr="00476B7E">
        <w:rPr>
          <w:rStyle w:val="Referencingstyle"/>
          <w:b w:val="0"/>
          <w:i w:val="0"/>
          <w:sz w:val="22"/>
        </w:rPr>
        <w:t xml:space="preserve"> key aspect of the protection is that it only applies where a director is taking a course of action that is reasonably likely to </w:t>
      </w:r>
      <w:r w:rsidR="00AE5B0A" w:rsidRPr="002B37ED">
        <w:rPr>
          <w:rStyle w:val="Referencingstyle"/>
          <w:b w:val="0"/>
          <w:i w:val="0"/>
          <w:sz w:val="22"/>
        </w:rPr>
        <w:t xml:space="preserve">lead to </w:t>
      </w:r>
      <w:r w:rsidR="00C85416" w:rsidRPr="002B37ED">
        <w:rPr>
          <w:rStyle w:val="Referencingstyle"/>
          <w:b w:val="0"/>
          <w:i w:val="0"/>
          <w:sz w:val="22"/>
        </w:rPr>
        <w:t xml:space="preserve">a better outcome for the company and its creditors. </w:t>
      </w:r>
      <w:r w:rsidR="003400D3" w:rsidRPr="002B37ED">
        <w:rPr>
          <w:rStyle w:val="Referencingstyle"/>
          <w:b w:val="0"/>
          <w:i w:val="0"/>
          <w:sz w:val="22"/>
        </w:rPr>
        <w:t>Once it becomes clear that the company cannot be viable in the long term</w:t>
      </w:r>
      <w:r w:rsidR="004B2423">
        <w:rPr>
          <w:rStyle w:val="Referencingstyle"/>
          <w:b w:val="0"/>
          <w:i w:val="0"/>
          <w:sz w:val="22"/>
        </w:rPr>
        <w:t>,</w:t>
      </w:r>
      <w:r w:rsidR="003400D3" w:rsidRPr="003D352B">
        <w:rPr>
          <w:rStyle w:val="Referencingstyle"/>
          <w:b w:val="0"/>
          <w:i w:val="0"/>
          <w:sz w:val="22"/>
        </w:rPr>
        <w:t xml:space="preserve"> the course of action will no longer meet that description and the protection of the safe harbour will cease.</w:t>
      </w:r>
      <w:r w:rsidR="00A85DC1" w:rsidRPr="002B37ED">
        <w:rPr>
          <w:rStyle w:val="Referencingstyle"/>
          <w:b w:val="0"/>
          <w:i w:val="0"/>
          <w:sz w:val="22"/>
        </w:rPr>
        <w:t xml:space="preserve"> </w:t>
      </w:r>
    </w:p>
    <w:p w14:paraId="454D0E35" w14:textId="1D574EAF" w:rsidR="001C2FEC" w:rsidRDefault="00C85416" w:rsidP="00C778A4">
      <w:pPr>
        <w:pStyle w:val="base-text-paragraph"/>
        <w:tabs>
          <w:tab w:val="clear" w:pos="3687"/>
          <w:tab w:val="num" w:pos="1701"/>
        </w:tabs>
        <w:ind w:left="851"/>
      </w:pPr>
      <w:r>
        <w:t xml:space="preserve">Determining if a course of action is reasonably likely to </w:t>
      </w:r>
      <w:r w:rsidR="00CC2951">
        <w:t>lead to</w:t>
      </w:r>
      <w:r>
        <w:t xml:space="preserve"> a better outcome for the company and its creditors will depend on the circumstances in each case. The safe harbour </w:t>
      </w:r>
      <w:r w:rsidR="00A85DC1">
        <w:t>has</w:t>
      </w:r>
      <w:r>
        <w:t xml:space="preserve"> a wide application so that it gives directors sufficient latitude to take a</w:t>
      </w:r>
      <w:r w:rsidR="001833B6">
        <w:t xml:space="preserve"> course of action that is appropriate in the</w:t>
      </w:r>
      <w:r w:rsidR="008A41D1" w:rsidRPr="008A41D1">
        <w:t xml:space="preserve"> context of the size, nature and complexity of the relevant company</w:t>
      </w:r>
      <w:r w:rsidR="001833B6">
        <w:t xml:space="preserve">. </w:t>
      </w:r>
      <w:r w:rsidR="004B2423">
        <w:t>A</w:t>
      </w:r>
      <w:r w:rsidR="001833B6">
        <w:t xml:space="preserve"> course of action that is appropriate for a small company with limited existing debt may not be appropriate </w:t>
      </w:r>
      <w:r w:rsidR="001C2FEC">
        <w:t xml:space="preserve">for another company that already has a very high level of debt. </w:t>
      </w:r>
      <w:r w:rsidR="001833B6">
        <w:t xml:space="preserve"> </w:t>
      </w:r>
    </w:p>
    <w:p w14:paraId="0438C9A5" w14:textId="724632E3" w:rsidR="00A85DC1" w:rsidRDefault="00A85DC1" w:rsidP="00C778A4">
      <w:pPr>
        <w:pStyle w:val="base-text-paragraph"/>
        <w:tabs>
          <w:tab w:val="clear" w:pos="3687"/>
          <w:tab w:val="num" w:pos="1701"/>
        </w:tabs>
        <w:ind w:left="851"/>
      </w:pPr>
      <w:r>
        <w:t xml:space="preserve">A feature of safe harbour is that it recognises that even in circumstances where a company’s solvency is doubtful incurring debts may be part of a reasonable course of action </w:t>
      </w:r>
      <w:r w:rsidR="00B14881">
        <w:t xml:space="preserve">and that it remains in the </w:t>
      </w:r>
      <w:r w:rsidR="00B14881" w:rsidRPr="00586C05">
        <w:rPr>
          <w:rFonts w:cs="Arial"/>
        </w:rPr>
        <w:t xml:space="preserve">interests of the company and its creditors that some loss-making trade should be accepted in </w:t>
      </w:r>
      <w:r w:rsidR="00B14881">
        <w:rPr>
          <w:rFonts w:cs="Arial"/>
        </w:rPr>
        <w:t>trying to secure</w:t>
      </w:r>
      <w:r w:rsidR="00B14881" w:rsidRPr="00586C05">
        <w:rPr>
          <w:rFonts w:cs="Arial"/>
        </w:rPr>
        <w:t xml:space="preserve"> future </w:t>
      </w:r>
      <w:r w:rsidR="00B14881">
        <w:rPr>
          <w:rFonts w:cs="Arial"/>
        </w:rPr>
        <w:t>viability</w:t>
      </w:r>
      <w:r>
        <w:t xml:space="preserve"> – for example incurring debts associated with the sale of assets which would help the business’s overall </w:t>
      </w:r>
      <w:r w:rsidR="00B14881">
        <w:t>financial position</w:t>
      </w:r>
      <w:r>
        <w:t>.</w:t>
      </w:r>
      <w:r w:rsidR="00B14881">
        <w:t xml:space="preserve"> </w:t>
      </w:r>
    </w:p>
    <w:p w14:paraId="27A0F637" w14:textId="6240B3C6" w:rsidR="001C2FEC" w:rsidRDefault="001C2FEC" w:rsidP="00C778A4">
      <w:pPr>
        <w:pStyle w:val="base-text-paragraph"/>
        <w:tabs>
          <w:tab w:val="clear" w:pos="3687"/>
          <w:tab w:val="num" w:pos="1701"/>
        </w:tabs>
        <w:ind w:left="851"/>
      </w:pPr>
      <w:r>
        <w:t xml:space="preserve">New subsection 588GA(2) therefore provides an indicative and non-exhaustive list of factors to be considered in determining whether a course of action is reasonably likely to </w:t>
      </w:r>
      <w:r w:rsidR="00AE5B0A">
        <w:t xml:space="preserve">lead </w:t>
      </w:r>
      <w:r w:rsidR="000C593E">
        <w:t xml:space="preserve">to </w:t>
      </w:r>
      <w:r>
        <w:t xml:space="preserve">a better outcome for a company and its creditors. </w:t>
      </w:r>
    </w:p>
    <w:p w14:paraId="5F94DC53" w14:textId="7532D633" w:rsidR="001C2FEC" w:rsidRDefault="004B2423" w:rsidP="00C778A4">
      <w:pPr>
        <w:pStyle w:val="base-text-paragraph"/>
        <w:tabs>
          <w:tab w:val="clear" w:pos="3687"/>
          <w:tab w:val="num" w:pos="1701"/>
        </w:tabs>
        <w:ind w:left="851"/>
      </w:pPr>
      <w:r>
        <w:t>Factors</w:t>
      </w:r>
      <w:r w:rsidR="001C2FEC">
        <w:t xml:space="preserve"> </w:t>
      </w:r>
      <w:r w:rsidR="00A85DC1">
        <w:t xml:space="preserve">which may </w:t>
      </w:r>
      <w:r w:rsidR="001C2FEC">
        <w:t>be considered are to see if the director has:</w:t>
      </w:r>
    </w:p>
    <w:p w14:paraId="61C68358" w14:textId="4EAA149E" w:rsidR="00521F6C" w:rsidRDefault="00521F6C" w:rsidP="001C2FEC">
      <w:pPr>
        <w:pStyle w:val="dotpoint"/>
      </w:pPr>
      <w:r>
        <w:t xml:space="preserve">taken steps to prevent misconduct by officers and employees of the company; </w:t>
      </w:r>
    </w:p>
    <w:p w14:paraId="7AF6037B" w14:textId="28DBE905" w:rsidR="001C2FEC" w:rsidRDefault="00521F6C" w:rsidP="001C2FEC">
      <w:pPr>
        <w:pStyle w:val="dotpoint"/>
      </w:pPr>
      <w:r>
        <w:t>taken appropriate steps to ensure the company maintains</w:t>
      </w:r>
      <w:r w:rsidR="001C2FEC">
        <w:t xml:space="preserve"> appropriate financial records;</w:t>
      </w:r>
    </w:p>
    <w:p w14:paraId="071C9367" w14:textId="1787361E" w:rsidR="001C2FEC" w:rsidRDefault="00521F6C" w:rsidP="001C2FEC">
      <w:pPr>
        <w:pStyle w:val="dotpoint"/>
      </w:pPr>
      <w:r>
        <w:t>obtained</w:t>
      </w:r>
      <w:r w:rsidR="001C2FEC">
        <w:t xml:space="preserve"> appropriate advice,</w:t>
      </w:r>
    </w:p>
    <w:p w14:paraId="4453C83F" w14:textId="78FB208B" w:rsidR="001C2FEC" w:rsidRDefault="00DF03A6" w:rsidP="001C2FEC">
      <w:pPr>
        <w:pStyle w:val="dotpoint"/>
      </w:pPr>
      <w:r>
        <w:t>kept themselves</w:t>
      </w:r>
      <w:r w:rsidR="001C2FEC">
        <w:t xml:space="preserve"> informed about the company’s financial position; and</w:t>
      </w:r>
    </w:p>
    <w:p w14:paraId="7069E027" w14:textId="110444DD" w:rsidR="006F30A4" w:rsidRDefault="00521F6C" w:rsidP="00703978">
      <w:pPr>
        <w:pStyle w:val="dotpoint"/>
      </w:pPr>
      <w:r>
        <w:t>been</w:t>
      </w:r>
      <w:r w:rsidR="001C2FEC">
        <w:t xml:space="preserve"> developing or implementing a plan to restructure the company to improve its financial position. </w:t>
      </w:r>
      <w:r w:rsidR="001C2FEC" w:rsidRPr="00C9131C">
        <w:rPr>
          <w:rStyle w:val="Referencingstyle"/>
        </w:rPr>
        <w:t xml:space="preserve">[Schedule 1, Part 1, item 2, </w:t>
      </w:r>
      <w:r w:rsidR="001C2FEC">
        <w:rPr>
          <w:rStyle w:val="Referencingstyle"/>
        </w:rPr>
        <w:t>subsection</w:t>
      </w:r>
      <w:r w:rsidR="001C2FEC" w:rsidRPr="00C9131C">
        <w:rPr>
          <w:rStyle w:val="Referencingstyle"/>
        </w:rPr>
        <w:t xml:space="preserve"> 588GA(</w:t>
      </w:r>
      <w:r w:rsidR="001C2FEC">
        <w:rPr>
          <w:rStyle w:val="Referencingstyle"/>
        </w:rPr>
        <w:t>2</w:t>
      </w:r>
      <w:r w:rsidR="001C2FEC" w:rsidRPr="00C9131C">
        <w:rPr>
          <w:rStyle w:val="Referencingstyle"/>
        </w:rPr>
        <w:t>)]</w:t>
      </w:r>
    </w:p>
    <w:p w14:paraId="6B8992A7" w14:textId="417318BD" w:rsidR="00DD7384" w:rsidRDefault="001C2FEC" w:rsidP="00C778A4">
      <w:pPr>
        <w:pStyle w:val="base-text-paragraph"/>
        <w:tabs>
          <w:tab w:val="clear" w:pos="3687"/>
          <w:tab w:val="num" w:pos="1701"/>
        </w:tabs>
        <w:ind w:left="851"/>
      </w:pPr>
      <w:r>
        <w:t xml:space="preserve">It is not necessary for all of these factors to apply for </w:t>
      </w:r>
      <w:r w:rsidR="00A85DC1">
        <w:t xml:space="preserve">directors to have the protection of safe </w:t>
      </w:r>
      <w:r>
        <w:t xml:space="preserve">harbour and it may be possible </w:t>
      </w:r>
      <w:r w:rsidR="00786283">
        <w:t>for</w:t>
      </w:r>
      <w:r w:rsidR="00DF03A6">
        <w:t xml:space="preserve"> s</w:t>
      </w:r>
      <w:r>
        <w:t xml:space="preserve">afe harbour to apply even where none of these factors </w:t>
      </w:r>
      <w:r w:rsidR="003400D3">
        <w:t xml:space="preserve">are </w:t>
      </w:r>
      <w:r w:rsidR="00DF03A6">
        <w:t>present</w:t>
      </w:r>
      <w:r>
        <w:t xml:space="preserve">. </w:t>
      </w:r>
    </w:p>
    <w:p w14:paraId="0B1D47D9" w14:textId="73E4136F" w:rsidR="00DD7384" w:rsidRDefault="00DD7384" w:rsidP="00C778A4">
      <w:pPr>
        <w:pStyle w:val="base-text-paragraph"/>
        <w:tabs>
          <w:tab w:val="clear" w:pos="3687"/>
          <w:tab w:val="num" w:pos="1701"/>
        </w:tabs>
        <w:ind w:left="851"/>
      </w:pPr>
      <w:r>
        <w:t xml:space="preserve">There </w:t>
      </w:r>
      <w:r w:rsidR="006F7A48">
        <w:t>may also be</w:t>
      </w:r>
      <w:r w:rsidR="0042260F">
        <w:t xml:space="preserve">, in </w:t>
      </w:r>
      <w:r w:rsidR="00DF03A6">
        <w:t xml:space="preserve">some </w:t>
      </w:r>
      <w:r w:rsidR="0042260F">
        <w:t>circumstances,</w:t>
      </w:r>
      <w:r w:rsidR="006F7A48">
        <w:t xml:space="preserve"> cases where a Court is satisfied that all</w:t>
      </w:r>
      <w:r>
        <w:t xml:space="preserve"> </w:t>
      </w:r>
      <w:r w:rsidR="003400D3">
        <w:t>five</w:t>
      </w:r>
      <w:r>
        <w:t xml:space="preserve"> factors </w:t>
      </w:r>
      <w:r w:rsidR="006F7A48">
        <w:t xml:space="preserve">are satisfied </w:t>
      </w:r>
      <w:r w:rsidR="00DF03A6">
        <w:t>but</w:t>
      </w:r>
      <w:r>
        <w:t xml:space="preserve"> </w:t>
      </w:r>
      <w:r w:rsidR="006F7A48">
        <w:t xml:space="preserve">that </w:t>
      </w:r>
      <w:r w:rsidR="0042260F">
        <w:t xml:space="preserve">the </w:t>
      </w:r>
      <w:r w:rsidR="006F7A48">
        <w:t xml:space="preserve">course </w:t>
      </w:r>
      <w:r w:rsidR="00440A25">
        <w:t>of action</w:t>
      </w:r>
      <w:r w:rsidR="006F7A48">
        <w:t xml:space="preserve"> is</w:t>
      </w:r>
      <w:r>
        <w:t xml:space="preserve"> still not </w:t>
      </w:r>
      <w:r w:rsidR="006F7A48">
        <w:t xml:space="preserve">found to </w:t>
      </w:r>
      <w:r>
        <w:t xml:space="preserve">be reasonable. </w:t>
      </w:r>
    </w:p>
    <w:p w14:paraId="75B71BC6" w14:textId="13CFA334" w:rsidR="001C2FEC" w:rsidRDefault="001C2FEC" w:rsidP="00C778A4">
      <w:pPr>
        <w:pStyle w:val="base-text-paragraph"/>
        <w:tabs>
          <w:tab w:val="clear" w:pos="3687"/>
          <w:tab w:val="num" w:pos="1701"/>
        </w:tabs>
        <w:ind w:left="851"/>
      </w:pPr>
      <w:r>
        <w:t>The factors</w:t>
      </w:r>
      <w:r w:rsidR="008D5D1C">
        <w:t xml:space="preserve"> </w:t>
      </w:r>
      <w:r w:rsidR="00DF03A6">
        <w:t xml:space="preserve">in </w:t>
      </w:r>
      <w:r w:rsidR="008D5D1C">
        <w:t>subsection 588GA(2)</w:t>
      </w:r>
      <w:r>
        <w:t xml:space="preserve"> therefore </w:t>
      </w:r>
      <w:r w:rsidR="00694B8E">
        <w:t xml:space="preserve">provide </w:t>
      </w:r>
      <w:r w:rsidR="00DF03A6">
        <w:t xml:space="preserve">only a guide </w:t>
      </w:r>
      <w:r w:rsidR="00694B8E">
        <w:t>as to the steps</w:t>
      </w:r>
      <w:r>
        <w:t xml:space="preserve"> a director </w:t>
      </w:r>
      <w:r w:rsidR="00DF03A6">
        <w:t xml:space="preserve">may </w:t>
      </w:r>
      <w:r w:rsidR="00E60C64">
        <w:t xml:space="preserve">consider </w:t>
      </w:r>
      <w:r w:rsidR="00786283">
        <w:t xml:space="preserve">or </w:t>
      </w:r>
      <w:r w:rsidR="00E60C64">
        <w:t xml:space="preserve">take depending on the circumstances. </w:t>
      </w:r>
      <w:r w:rsidR="00DF03A6">
        <w:t>For example, a</w:t>
      </w:r>
      <w:r w:rsidR="00CC6A9B">
        <w:t xml:space="preserve"> small business may need only to seek the advice of an accountant, lawyer or other professional, while a large listed entity might retain an entire team of turnaround specialists, insolvency practitioners, and law and accounting firms to advise on a reasonable course of action.</w:t>
      </w:r>
    </w:p>
    <w:p w14:paraId="1DD654D5" w14:textId="1F36EC5F" w:rsidR="001A4B9D" w:rsidRDefault="008D5D1C" w:rsidP="00C778A4">
      <w:pPr>
        <w:pStyle w:val="base-text-paragraph"/>
        <w:tabs>
          <w:tab w:val="clear" w:pos="3687"/>
          <w:tab w:val="num" w:pos="1701"/>
        </w:tabs>
        <w:ind w:left="851"/>
      </w:pPr>
      <w:r>
        <w:t xml:space="preserve">The safe </w:t>
      </w:r>
      <w:r w:rsidR="00980C2B" w:rsidRPr="00753E58">
        <w:t>harbour may</w:t>
      </w:r>
      <w:r>
        <w:t xml:space="preserve"> </w:t>
      </w:r>
      <w:r w:rsidR="008B57DB" w:rsidRPr="00753E58">
        <w:t>appl</w:t>
      </w:r>
      <w:r w:rsidR="00F50FC4" w:rsidRPr="00753E58">
        <w:t>y</w:t>
      </w:r>
      <w:r w:rsidR="008B57DB">
        <w:t xml:space="preserve"> to </w:t>
      </w:r>
      <w:r w:rsidR="009B4AF5" w:rsidRPr="00753E58">
        <w:t>a</w:t>
      </w:r>
      <w:r w:rsidR="008B57DB" w:rsidRPr="00753E58">
        <w:t xml:space="preserve"> </w:t>
      </w:r>
      <w:r w:rsidR="008B57DB">
        <w:t xml:space="preserve">director even where </w:t>
      </w:r>
      <w:r w:rsidR="00F50FC4" w:rsidRPr="00753E58">
        <w:t>the end result of</w:t>
      </w:r>
      <w:r w:rsidR="008B57DB" w:rsidRPr="00753E58">
        <w:t xml:space="preserve"> </w:t>
      </w:r>
      <w:r w:rsidR="008B57DB">
        <w:t xml:space="preserve">taking on additional </w:t>
      </w:r>
      <w:r w:rsidR="008B57DB" w:rsidRPr="00753E58">
        <w:t>debt</w:t>
      </w:r>
      <w:r w:rsidR="00F50FC4" w:rsidRPr="00753E58">
        <w:t>s as part of a course of action</w:t>
      </w:r>
      <w:r w:rsidR="008B57DB" w:rsidRPr="00753E58">
        <w:t xml:space="preserve"> </w:t>
      </w:r>
      <w:r w:rsidR="00F50FC4" w:rsidRPr="00753E58">
        <w:t>is</w:t>
      </w:r>
      <w:r w:rsidR="008B57DB">
        <w:t xml:space="preserve"> a worse outcome for the company and its creditors</w:t>
      </w:r>
      <w:r w:rsidR="00F50FC4" w:rsidRPr="00753E58">
        <w:t>,</w:t>
      </w:r>
      <w:r w:rsidR="008B57DB" w:rsidRPr="00753E58">
        <w:t xml:space="preserve"> </w:t>
      </w:r>
      <w:r w:rsidR="00F50FC4" w:rsidRPr="00753E58">
        <w:t>so</w:t>
      </w:r>
      <w:r w:rsidR="008B57DB">
        <w:t xml:space="preserve"> long as the course of action was reasonably likely to </w:t>
      </w:r>
      <w:r w:rsidR="00786283">
        <w:t>lead to</w:t>
      </w:r>
      <w:r w:rsidR="008B57DB">
        <w:t xml:space="preserve"> a better outcome. This recognises that there are many variables that could impact on a company’s rehabilitation</w:t>
      </w:r>
      <w:r w:rsidR="001D61BB" w:rsidRPr="00753E58">
        <w:t>, some of which may not be possible to predict</w:t>
      </w:r>
      <w:r w:rsidR="008B57DB">
        <w:t xml:space="preserve">. </w:t>
      </w:r>
    </w:p>
    <w:p w14:paraId="28DF748A" w14:textId="52BF13E2" w:rsidR="001A4B9D" w:rsidRPr="00DB33EC" w:rsidRDefault="001A4B9D" w:rsidP="00C778A4">
      <w:pPr>
        <w:pStyle w:val="base-text-paragraph"/>
        <w:tabs>
          <w:tab w:val="clear" w:pos="3687"/>
          <w:tab w:val="num" w:pos="1701"/>
        </w:tabs>
        <w:ind w:left="851"/>
      </w:pPr>
      <w:r>
        <w:t xml:space="preserve">However, at the time it becomes reasonably apparent to the director that the changed circumstances will mean that the company is not viable, the director would have to either make </w:t>
      </w:r>
      <w:r w:rsidR="00980C2B">
        <w:t>adjustments</w:t>
      </w:r>
      <w:r>
        <w:t xml:space="preserve"> to the course of action to ensure it </w:t>
      </w:r>
      <w:r w:rsidRPr="00DB33EC">
        <w:t xml:space="preserve">is still reasonably likely to </w:t>
      </w:r>
      <w:r w:rsidR="00786283" w:rsidRPr="00DB33EC">
        <w:t>lead to</w:t>
      </w:r>
      <w:r w:rsidRPr="00DB33EC">
        <w:t xml:space="preserve"> a better </w:t>
      </w:r>
      <w:r w:rsidR="00E65695" w:rsidRPr="00DB33EC">
        <w:t>outcome</w:t>
      </w:r>
      <w:r w:rsidRPr="00DB33EC" w:rsidDel="00E65695">
        <w:t xml:space="preserve"> </w:t>
      </w:r>
      <w:r w:rsidRPr="00DB33EC">
        <w:t>or if that is not possible, place the company into voluntary administration</w:t>
      </w:r>
      <w:r w:rsidR="00DC5F53" w:rsidRPr="00DB33EC">
        <w:t xml:space="preserve"> or take steps to wind it up</w:t>
      </w:r>
      <w:r w:rsidRPr="00DB33EC">
        <w:t>. If</w:t>
      </w:r>
      <w:r w:rsidRPr="00DB33EC">
        <w:rPr>
          <w:color w:val="FF0000"/>
        </w:rPr>
        <w:t xml:space="preserve"> </w:t>
      </w:r>
      <w:r w:rsidRPr="00DB33EC">
        <w:t xml:space="preserve">a director fails to react appropriately, then the director will no longer </w:t>
      </w:r>
      <w:r w:rsidR="00E65695" w:rsidRPr="00DB33EC">
        <w:t>have the</w:t>
      </w:r>
      <w:r w:rsidRPr="00DB33EC" w:rsidDel="00E65695">
        <w:t xml:space="preserve"> </w:t>
      </w:r>
      <w:r w:rsidRPr="00DB33EC">
        <w:t xml:space="preserve">safe harbour </w:t>
      </w:r>
      <w:r w:rsidR="00E65695" w:rsidRPr="00DB33EC">
        <w:t>protection</w:t>
      </w:r>
      <w:r w:rsidRPr="00DB33EC">
        <w:t xml:space="preserve"> </w:t>
      </w:r>
      <w:r w:rsidR="002F28C5" w:rsidRPr="00DB33EC">
        <w:t xml:space="preserve">for any debts incurred from that point in time. </w:t>
      </w:r>
    </w:p>
    <w:p w14:paraId="0A1369A9" w14:textId="0D4DC53E" w:rsidR="00FA3B70" w:rsidRPr="00DB33EC" w:rsidRDefault="00FA3B70" w:rsidP="00C778A4">
      <w:pPr>
        <w:pStyle w:val="base-text-paragraph"/>
        <w:tabs>
          <w:tab w:val="clear" w:pos="3687"/>
          <w:tab w:val="num" w:pos="1701"/>
        </w:tabs>
        <w:ind w:left="851"/>
      </w:pPr>
      <w:r w:rsidRPr="00DB33EC">
        <w:t xml:space="preserve">A better outcome </w:t>
      </w:r>
      <w:r w:rsidR="00DC5F53" w:rsidRPr="00DB33EC">
        <w:t>is</w:t>
      </w:r>
      <w:r w:rsidRPr="00DB33EC">
        <w:t xml:space="preserve"> one where the company and its creditors as a whole are better off than the company </w:t>
      </w:r>
      <w:r w:rsidR="00467FF4" w:rsidRPr="00DB33EC">
        <w:t>becoming an externally administered body corporate</w:t>
      </w:r>
      <w:r w:rsidR="00D125E2" w:rsidRPr="00DB33EC">
        <w:t xml:space="preserve"> </w:t>
      </w:r>
      <w:r w:rsidR="00467FF4" w:rsidRPr="00DB33EC">
        <w:t>-</w:t>
      </w:r>
      <w:r w:rsidRPr="00DB33EC" w:rsidDel="00671E57">
        <w:t xml:space="preserve"> </w:t>
      </w:r>
      <w:r w:rsidR="00671E57" w:rsidRPr="00DB33EC">
        <w:t xml:space="preserve">effectively the company </w:t>
      </w:r>
      <w:r w:rsidRPr="00DB33EC">
        <w:t>going into administration</w:t>
      </w:r>
      <w:r w:rsidR="00467FF4" w:rsidRPr="00DB33EC">
        <w:t xml:space="preserve"> or being wound up</w:t>
      </w:r>
      <w:r w:rsidRPr="00DB33EC">
        <w:t xml:space="preserve">. </w:t>
      </w:r>
      <w:r w:rsidR="00C965F3" w:rsidRPr="00DB33EC">
        <w:rPr>
          <w:rStyle w:val="Referencingstyle"/>
        </w:rPr>
        <w:t>[Schedule 1, Part 1, item 2, subsection 588GA(</w:t>
      </w:r>
      <w:r w:rsidR="001E3E25" w:rsidRPr="00DB33EC">
        <w:rPr>
          <w:rStyle w:val="Referencingstyle"/>
        </w:rPr>
        <w:t>5</w:t>
      </w:r>
      <w:r w:rsidR="00C965F3" w:rsidRPr="00DB33EC">
        <w:rPr>
          <w:rStyle w:val="Referencingstyle"/>
        </w:rPr>
        <w:t>)]</w:t>
      </w:r>
    </w:p>
    <w:p w14:paraId="04521D47" w14:textId="13798DDC" w:rsidR="00CA3E2A" w:rsidRPr="00DB33EC" w:rsidRDefault="0085313D" w:rsidP="00C778A4">
      <w:pPr>
        <w:pStyle w:val="base-text-paragraph"/>
        <w:tabs>
          <w:tab w:val="clear" w:pos="3687"/>
          <w:tab w:val="num" w:pos="1701"/>
        </w:tabs>
        <w:ind w:left="851"/>
      </w:pPr>
      <w:r w:rsidRPr="00DB33EC">
        <w:t>It</w:t>
      </w:r>
      <w:r w:rsidR="006A6298" w:rsidRPr="00DB33EC">
        <w:t xml:space="preserve"> is likely that in some instances where the safe harbour is utilised </w:t>
      </w:r>
      <w:r w:rsidR="00E33EA0" w:rsidRPr="00DB33EC">
        <w:t>a company</w:t>
      </w:r>
      <w:r w:rsidR="006A6298" w:rsidRPr="00DB33EC">
        <w:t xml:space="preserve"> will</w:t>
      </w:r>
      <w:r w:rsidR="00E33EA0" w:rsidRPr="00DB33EC">
        <w:t xml:space="preserve"> take on additional debt </w:t>
      </w:r>
      <w:r w:rsidR="00B61AC2" w:rsidRPr="00DB33EC">
        <w:t>as part of a</w:t>
      </w:r>
      <w:r w:rsidR="002C277C" w:rsidRPr="00DB33EC">
        <w:t xml:space="preserve"> </w:t>
      </w:r>
      <w:r w:rsidR="00E33EA0" w:rsidRPr="00DB33EC">
        <w:t xml:space="preserve">director taking a course of action reasonably likely to </w:t>
      </w:r>
      <w:r w:rsidR="004907F3" w:rsidRPr="00DB33EC">
        <w:t xml:space="preserve">lead to </w:t>
      </w:r>
      <w:r w:rsidR="00E33EA0" w:rsidRPr="00DB33EC">
        <w:t>a better</w:t>
      </w:r>
      <w:r w:rsidR="00ED185A" w:rsidRPr="00DB33EC">
        <w:t xml:space="preserve"> outcome</w:t>
      </w:r>
      <w:r w:rsidR="006A6298" w:rsidRPr="00DB33EC">
        <w:t>.</w:t>
      </w:r>
      <w:r w:rsidR="00ED185A" w:rsidRPr="00DB33EC">
        <w:t xml:space="preserve"> </w:t>
      </w:r>
      <w:r w:rsidR="000848BC" w:rsidRPr="00DB33EC">
        <w:t xml:space="preserve">This will mean that the company is taking on </w:t>
      </w:r>
      <w:r w:rsidR="00F64158" w:rsidRPr="00DB33EC">
        <w:t>‘</w:t>
      </w:r>
      <w:r w:rsidR="000848BC" w:rsidRPr="00DB33EC">
        <w:t>new</w:t>
      </w:r>
      <w:r w:rsidR="00F64158" w:rsidRPr="00DB33EC">
        <w:t>’</w:t>
      </w:r>
      <w:r w:rsidR="000848BC" w:rsidRPr="00DB33EC">
        <w:t xml:space="preserve"> creditors </w:t>
      </w:r>
      <w:r w:rsidR="007F4722" w:rsidRPr="00DB33EC">
        <w:t>after</w:t>
      </w:r>
      <w:r w:rsidR="000848BC" w:rsidRPr="00DB33EC">
        <w:t xml:space="preserve"> </w:t>
      </w:r>
      <w:r w:rsidR="007F4722" w:rsidRPr="00DB33EC">
        <w:t>the</w:t>
      </w:r>
      <w:r w:rsidR="00ED185A" w:rsidRPr="00DB33EC">
        <w:t xml:space="preserve"> director first became aware that the company may be insolvent. </w:t>
      </w:r>
      <w:r w:rsidR="00816893" w:rsidRPr="00DB33EC">
        <w:t>I</w:t>
      </w:r>
      <w:r w:rsidR="00ED185A" w:rsidRPr="00DB33EC">
        <w:t xml:space="preserve">n considering if the course of action is likely to </w:t>
      </w:r>
      <w:r w:rsidR="004907F3" w:rsidRPr="00DB33EC">
        <w:t>lead to</w:t>
      </w:r>
      <w:r w:rsidR="00ED185A" w:rsidRPr="00DB33EC">
        <w:t xml:space="preserve"> a better outcome, the</w:t>
      </w:r>
      <w:r w:rsidR="003E0C95" w:rsidRPr="00DB33EC">
        <w:t xml:space="preserve"> director must consider that</w:t>
      </w:r>
      <w:r w:rsidR="00973F53" w:rsidRPr="00DB33EC">
        <w:t xml:space="preserve"> the company and</w:t>
      </w:r>
      <w:r w:rsidR="003E0C95" w:rsidRPr="00DB33EC">
        <w:t xml:space="preserve"> all of the</w:t>
      </w:r>
      <w:r w:rsidR="003E0C95" w:rsidRPr="006761E6">
        <w:t xml:space="preserve"> company’s c</w:t>
      </w:r>
      <w:r w:rsidR="007D477A" w:rsidRPr="006761E6">
        <w:t xml:space="preserve">reditors – </w:t>
      </w:r>
      <w:r w:rsidR="003E0C95" w:rsidRPr="006761E6">
        <w:t>its existing creditors before</w:t>
      </w:r>
      <w:r w:rsidR="007D477A" w:rsidRPr="006761E6">
        <w:t xml:space="preserve"> the</w:t>
      </w:r>
      <w:r w:rsidR="003E0C95" w:rsidRPr="006761E6">
        <w:t xml:space="preserve"> safe harbour commenced and its new creditors who beg</w:t>
      </w:r>
      <w:r w:rsidR="00973F53" w:rsidRPr="006761E6">
        <w:t>an engaging</w:t>
      </w:r>
      <w:r w:rsidR="003E0C95" w:rsidRPr="006761E6">
        <w:t xml:space="preserve"> with the company</w:t>
      </w:r>
      <w:r w:rsidR="00973F53" w:rsidRPr="006761E6">
        <w:t xml:space="preserve"> after it</w:t>
      </w:r>
      <w:r w:rsidR="003E0C95" w:rsidRPr="006761E6">
        <w:t xml:space="preserve"> entered safe </w:t>
      </w:r>
      <w:r w:rsidR="003E0C95" w:rsidRPr="00FC1D24">
        <w:t>harbour</w:t>
      </w:r>
      <w:r w:rsidR="00ED185A" w:rsidRPr="006A6298">
        <w:t xml:space="preserve"> </w:t>
      </w:r>
      <w:r w:rsidR="00973F53" w:rsidRPr="006031A9">
        <w:t xml:space="preserve">will </w:t>
      </w:r>
      <w:r w:rsidR="00ED185A" w:rsidRPr="006761E6">
        <w:t>be bette</w:t>
      </w:r>
      <w:r w:rsidR="00ED185A" w:rsidRPr="006A6298">
        <w:t xml:space="preserve">r </w:t>
      </w:r>
      <w:r w:rsidR="00973F53" w:rsidRPr="006031A9">
        <w:t>served</w:t>
      </w:r>
      <w:r w:rsidR="00973F53" w:rsidRPr="00786B41">
        <w:t xml:space="preserve"> </w:t>
      </w:r>
      <w:r w:rsidR="00ED185A" w:rsidRPr="006761E6">
        <w:t xml:space="preserve">than if the </w:t>
      </w:r>
      <w:r w:rsidR="00ED185A" w:rsidRPr="00DB33EC">
        <w:t>company were to go into administration</w:t>
      </w:r>
      <w:r w:rsidR="0008743D" w:rsidRPr="00DB33EC">
        <w:t xml:space="preserve"> or liquidation</w:t>
      </w:r>
      <w:r w:rsidR="00ED185A" w:rsidRPr="00DB33EC">
        <w:t>.</w:t>
      </w:r>
    </w:p>
    <w:p w14:paraId="5B1E60D6" w14:textId="19609A68" w:rsidR="00E33EA0" w:rsidRPr="00DB33EC" w:rsidRDefault="004C464D" w:rsidP="00C778A4">
      <w:pPr>
        <w:pStyle w:val="base-text-paragraph"/>
        <w:tabs>
          <w:tab w:val="clear" w:pos="3687"/>
          <w:tab w:val="num" w:pos="1701"/>
        </w:tabs>
        <w:ind w:left="851"/>
      </w:pPr>
      <w:r w:rsidRPr="00DB33EC">
        <w:t>Where a director ta</w:t>
      </w:r>
      <w:r w:rsidR="007D477A" w:rsidRPr="00DB33EC">
        <w:t xml:space="preserve">kes on debt from new creditors </w:t>
      </w:r>
      <w:r w:rsidRPr="00DB33EC">
        <w:t>and they do not believe they can repay the debt in accordance with its terms this would be ostensibly a breach of the general director</w:t>
      </w:r>
      <w:r w:rsidR="007D477A" w:rsidRPr="00DB33EC">
        <w:t>’</w:t>
      </w:r>
      <w:r w:rsidRPr="00DB33EC">
        <w:t>s duties as well as being dishonest. As such, a director would not be protected in relation to incurring debts of this nature.</w:t>
      </w:r>
    </w:p>
    <w:p w14:paraId="20EA604F" w14:textId="15409430" w:rsidR="001E3E25" w:rsidRPr="00DB33EC" w:rsidRDefault="001E3E25" w:rsidP="00C778A4">
      <w:pPr>
        <w:pStyle w:val="base-text-paragraph"/>
        <w:tabs>
          <w:tab w:val="clear" w:pos="3687"/>
          <w:tab w:val="num" w:pos="1701"/>
        </w:tabs>
        <w:ind w:left="851"/>
      </w:pPr>
      <w:r w:rsidRPr="00DB33EC">
        <w:t>A director who</w:t>
      </w:r>
      <w:r w:rsidR="00C965F3" w:rsidRPr="00DB33EC">
        <w:t xml:space="preserve"> relies on the safe harbour </w:t>
      </w:r>
      <w:r w:rsidRPr="00DB33EC">
        <w:t>will</w:t>
      </w:r>
      <w:r w:rsidR="00CC6A9B" w:rsidRPr="00DB33EC">
        <w:t xml:space="preserve"> only need to</w:t>
      </w:r>
      <w:r w:rsidRPr="00DB33EC">
        <w:t xml:space="preserve"> be </w:t>
      </w:r>
      <w:r w:rsidR="00CC6A9B" w:rsidRPr="00DB33EC">
        <w:t xml:space="preserve">able </w:t>
      </w:r>
      <w:r w:rsidRPr="00DB33EC">
        <w:t xml:space="preserve">to point to evidence </w:t>
      </w:r>
      <w:r w:rsidR="00E13C6D" w:rsidRPr="00DB33EC">
        <w:t>which demonstrates</w:t>
      </w:r>
      <w:r w:rsidRPr="00DB33EC" w:rsidDel="00E13C6D">
        <w:t xml:space="preserve"> </w:t>
      </w:r>
      <w:r w:rsidRPr="00DB33EC">
        <w:t xml:space="preserve">that a course of action that was reasonably likely to </w:t>
      </w:r>
      <w:r w:rsidR="004907F3" w:rsidRPr="00DB33EC">
        <w:t>lead to</w:t>
      </w:r>
      <w:r w:rsidRPr="00DB33EC">
        <w:t xml:space="preserve"> a better outcome for the company and its creditors was taken. </w:t>
      </w:r>
      <w:r w:rsidRPr="00DB33EC">
        <w:rPr>
          <w:rStyle w:val="Referencingstyle"/>
        </w:rPr>
        <w:t>[Schedule 1, Part 1, item 2, subsections 588GA(3) and 588GA(5)]</w:t>
      </w:r>
    </w:p>
    <w:p w14:paraId="5C766346" w14:textId="6AF2875B" w:rsidR="001E3E25" w:rsidRDefault="001E3E25" w:rsidP="00C778A4">
      <w:pPr>
        <w:pStyle w:val="base-text-paragraph"/>
        <w:tabs>
          <w:tab w:val="clear" w:pos="3687"/>
          <w:tab w:val="num" w:pos="1701"/>
        </w:tabs>
        <w:ind w:left="851"/>
      </w:pPr>
      <w:r w:rsidRPr="00DB33EC">
        <w:t>It is appropriate that the responsibility for providing evidence that the action was taken</w:t>
      </w:r>
      <w:r>
        <w:t xml:space="preserve"> is with a director who seeks to rely on it as the</w:t>
      </w:r>
      <w:r w:rsidR="00391397">
        <w:t xml:space="preserve">re will often be information which is peculiarly within the director’s knowledge which is not accessible to a liquidator </w:t>
      </w:r>
      <w:r w:rsidR="0008743D">
        <w:t>(</w:t>
      </w:r>
      <w:r w:rsidR="00391397">
        <w:t>or other party</w:t>
      </w:r>
      <w:r w:rsidR="0008743D">
        <w:t>)</w:t>
      </w:r>
      <w:r w:rsidR="00391397">
        <w:t xml:space="preserve"> bringing insolvent trading proceedings</w:t>
      </w:r>
      <w:r w:rsidR="00202B4B">
        <w:t xml:space="preserve"> regarding the steps taken as part of the restructuring process</w:t>
      </w:r>
      <w:r w:rsidR="00391397">
        <w:t xml:space="preserve">. As such </w:t>
      </w:r>
      <w:r w:rsidR="00DC6247">
        <w:t>it is reasonable to require a</w:t>
      </w:r>
      <w:r>
        <w:t xml:space="preserve"> director to </w:t>
      </w:r>
      <w:r w:rsidR="00D6057E">
        <w:t xml:space="preserve">bring </w:t>
      </w:r>
      <w:r w:rsidR="0008743D">
        <w:t xml:space="preserve">some </w:t>
      </w:r>
      <w:r w:rsidR="00D6057E">
        <w:t>evidence to</w:t>
      </w:r>
      <w:r w:rsidR="00DC6247">
        <w:t xml:space="preserve"> satisfy</w:t>
      </w:r>
      <w:r w:rsidR="00D6057E">
        <w:t xml:space="preserve"> the Court that there is a </w:t>
      </w:r>
      <w:r w:rsidR="00A52849">
        <w:t xml:space="preserve">reasonable </w:t>
      </w:r>
      <w:r w:rsidR="00D6057E">
        <w:t>possibility that they were taking a reasonable course of action</w:t>
      </w:r>
      <w:r>
        <w:t xml:space="preserve">. </w:t>
      </w:r>
      <w:r w:rsidR="0008743D">
        <w:t xml:space="preserve">The mere statement that a course of action was reasonable rather than fanciful is not sufficient. </w:t>
      </w:r>
      <w:r w:rsidRPr="00D2371F">
        <w:t>This approach is consistent with the Commonwealth</w:t>
      </w:r>
      <w:r w:rsidR="00D2371F" w:rsidRPr="00D2371F">
        <w:t>’s</w:t>
      </w:r>
      <w:r w:rsidRPr="00D2371F">
        <w:t xml:space="preserve"> guide to framing </w:t>
      </w:r>
      <w:r w:rsidR="00736AD7" w:rsidRPr="00D2371F">
        <w:t>penalty provisions.</w:t>
      </w:r>
      <w:r w:rsidR="00736AD7">
        <w:t xml:space="preserve"> </w:t>
      </w:r>
    </w:p>
    <w:p w14:paraId="35459A1D" w14:textId="53218822" w:rsidR="00736AD7" w:rsidRDefault="00736AD7" w:rsidP="00C778A4">
      <w:pPr>
        <w:pStyle w:val="base-text-paragraph"/>
        <w:tabs>
          <w:tab w:val="clear" w:pos="3687"/>
          <w:tab w:val="num" w:pos="1701"/>
        </w:tabs>
        <w:ind w:left="851"/>
      </w:pPr>
      <w:r>
        <w:t xml:space="preserve">Once a director provides </w:t>
      </w:r>
      <w:r w:rsidR="0008743D">
        <w:t xml:space="preserve">some </w:t>
      </w:r>
      <w:r w:rsidR="00CF58FF">
        <w:t>e</w:t>
      </w:r>
      <w:r w:rsidR="00CB0E42">
        <w:t xml:space="preserve">vidence to meet this </w:t>
      </w:r>
      <w:r w:rsidR="00CC6A9B">
        <w:t xml:space="preserve">low </w:t>
      </w:r>
      <w:r w:rsidR="00CB0E42">
        <w:t>initial evidential burden</w:t>
      </w:r>
      <w:r w:rsidR="004E76BC">
        <w:t>,</w:t>
      </w:r>
      <w:r w:rsidR="00CC6A9B">
        <w:t xml:space="preserve"> </w:t>
      </w:r>
      <w:r>
        <w:t xml:space="preserve">it will be up to a liquidator </w:t>
      </w:r>
      <w:r w:rsidR="0008743D">
        <w:t xml:space="preserve">(or other party) </w:t>
      </w:r>
      <w:r>
        <w:t xml:space="preserve">alleging a contravention </w:t>
      </w:r>
      <w:r w:rsidR="00064524">
        <w:t>of section 588G</w:t>
      </w:r>
      <w:r>
        <w:t xml:space="preserve"> to provide evidence and argue that the safe harbour does not apply</w:t>
      </w:r>
      <w:r w:rsidR="00547196">
        <w:t xml:space="preserve"> </w:t>
      </w:r>
      <w:r w:rsidR="00547196" w:rsidDel="00980C2B">
        <w:t>because</w:t>
      </w:r>
      <w:r w:rsidR="00980C2B">
        <w:t xml:space="preserve"> the</w:t>
      </w:r>
      <w:r>
        <w:t xml:space="preserve"> director did not take a </w:t>
      </w:r>
      <w:r w:rsidR="0008743D">
        <w:t xml:space="preserve">reasonable </w:t>
      </w:r>
      <w:r>
        <w:t xml:space="preserve">course of action. </w:t>
      </w:r>
      <w:r w:rsidR="001E3E25">
        <w:t xml:space="preserve"> </w:t>
      </w:r>
    </w:p>
    <w:p w14:paraId="0143E4EF" w14:textId="436F8F84" w:rsidR="00736AD7" w:rsidRDefault="006E788F" w:rsidP="00C778A4">
      <w:pPr>
        <w:pStyle w:val="base-text-paragraph"/>
        <w:tabs>
          <w:tab w:val="clear" w:pos="3687"/>
          <w:tab w:val="num" w:pos="1701"/>
        </w:tabs>
        <w:ind w:left="851"/>
      </w:pPr>
      <w:r>
        <w:t xml:space="preserve">The safe harbour is intended only to apply to directors acting honestly to pursue a reasonable course of action, and therefore the new provisions contain appropriate safeguards to ensure that the safe harbour is only available to such directors. </w:t>
      </w:r>
      <w:r w:rsidR="003B7767">
        <w:t xml:space="preserve">To this end, </w:t>
      </w:r>
      <w:r w:rsidR="00736AD7">
        <w:t>there are certain factors</w:t>
      </w:r>
      <w:r w:rsidR="003B7767">
        <w:t xml:space="preserve"> which if present in a given case would render the relevant director ineligible to rely on the safe harbour.</w:t>
      </w:r>
      <w:r w:rsidR="00736AD7">
        <w:t xml:space="preserve"> The first is where a company does not make provisions for its employees</w:t>
      </w:r>
      <w:r w:rsidR="0078369C">
        <w:t>’</w:t>
      </w:r>
      <w:r w:rsidR="00736AD7">
        <w:t xml:space="preserve"> entitlements (including superannuation). The second is where a company </w:t>
      </w:r>
      <w:r w:rsidR="00A70347">
        <w:t xml:space="preserve">has </w:t>
      </w:r>
      <w:r w:rsidR="004E76BC">
        <w:t>not complied with its taxation reporting obligations.</w:t>
      </w:r>
      <w:r w:rsidR="00736AD7" w:rsidDel="001E7D48">
        <w:t xml:space="preserve"> </w:t>
      </w:r>
      <w:r w:rsidR="00223D4C">
        <w:t xml:space="preserve">In both these cases, a director will not be eligible for the safe harbour protection if the company is not meetings its obligations in a manner consistent with a company that is solvent. </w:t>
      </w:r>
      <w:r w:rsidR="001E7D48" w:rsidRPr="00C9131C">
        <w:rPr>
          <w:rStyle w:val="Referencingstyle"/>
        </w:rPr>
        <w:t xml:space="preserve">[Schedule 1, Part 1, item 2, </w:t>
      </w:r>
      <w:r w:rsidR="001E7D48">
        <w:rPr>
          <w:rStyle w:val="Referencingstyle"/>
        </w:rPr>
        <w:t>subsection</w:t>
      </w:r>
      <w:r w:rsidR="001E7D48" w:rsidRPr="00C9131C">
        <w:rPr>
          <w:rStyle w:val="Referencingstyle"/>
        </w:rPr>
        <w:t xml:space="preserve"> 588GA(</w:t>
      </w:r>
      <w:r w:rsidR="001E7D48">
        <w:rPr>
          <w:rStyle w:val="Referencingstyle"/>
        </w:rPr>
        <w:t>4)</w:t>
      </w:r>
      <w:r w:rsidR="001E7D48" w:rsidRPr="00C9131C">
        <w:rPr>
          <w:rStyle w:val="Referencingstyle"/>
        </w:rPr>
        <w:t>]</w:t>
      </w:r>
    </w:p>
    <w:p w14:paraId="1570310F" w14:textId="4C3B9BED" w:rsidR="007472B0" w:rsidRDefault="00CC6A9B" w:rsidP="00C778A4">
      <w:pPr>
        <w:pStyle w:val="base-text-paragraph"/>
        <w:tabs>
          <w:tab w:val="clear" w:pos="3687"/>
          <w:tab w:val="num" w:pos="1701"/>
        </w:tabs>
        <w:ind w:left="851"/>
      </w:pPr>
      <w:r>
        <w:t>A</w:t>
      </w:r>
      <w:r w:rsidR="00980C2B">
        <w:t xml:space="preserve"> company</w:t>
      </w:r>
      <w:r w:rsidR="007472B0">
        <w:t xml:space="preserve"> that is unable to make provision for its employees’ entitlements or is not </w:t>
      </w:r>
      <w:r w:rsidR="0008743D">
        <w:t xml:space="preserve">generally </w:t>
      </w:r>
      <w:r w:rsidR="006C7251">
        <w:t>compli</w:t>
      </w:r>
      <w:r w:rsidR="0008743D">
        <w:t>a</w:t>
      </w:r>
      <w:r w:rsidR="006C7251">
        <w:t>nt with its taxation reporting obligations</w:t>
      </w:r>
      <w:r w:rsidR="00736AD7">
        <w:t xml:space="preserve"> </w:t>
      </w:r>
      <w:r w:rsidR="007472B0">
        <w:t>is</w:t>
      </w:r>
      <w:r w:rsidR="00736AD7">
        <w:t xml:space="preserve"> </w:t>
      </w:r>
      <w:r w:rsidR="007472B0">
        <w:t xml:space="preserve">not </w:t>
      </w:r>
      <w:r w:rsidR="0008743D">
        <w:t xml:space="preserve">presumed </w:t>
      </w:r>
      <w:r w:rsidR="007472B0">
        <w:t>to be viable</w:t>
      </w:r>
      <w:r w:rsidR="009C4915">
        <w:t>. As outlined above, where a company cannot objectively be considered to be viable in the long term the course of action will not be reasonable</w:t>
      </w:r>
      <w:r w:rsidR="007472B0">
        <w:t xml:space="preserve"> and therefore its directors should not </w:t>
      </w:r>
      <w:r w:rsidR="009C4915">
        <w:t>be protected by the</w:t>
      </w:r>
      <w:r w:rsidR="007472B0">
        <w:t xml:space="preserve"> safe harbour. </w:t>
      </w:r>
    </w:p>
    <w:p w14:paraId="5A786816" w14:textId="59A7397B" w:rsidR="006C7251" w:rsidRDefault="006C7251" w:rsidP="00C778A4">
      <w:pPr>
        <w:pStyle w:val="base-text-paragraph"/>
        <w:tabs>
          <w:tab w:val="clear" w:pos="3687"/>
          <w:tab w:val="num" w:pos="1701"/>
        </w:tabs>
        <w:ind w:left="851"/>
      </w:pPr>
      <w:r>
        <w:t xml:space="preserve">In cases where a company has met its employee entitlement obligations and is </w:t>
      </w:r>
      <w:r w:rsidR="0008743D">
        <w:t>generally</w:t>
      </w:r>
      <w:r>
        <w:t xml:space="preserve"> compl</w:t>
      </w:r>
      <w:r w:rsidR="0008743D">
        <w:t>ia</w:t>
      </w:r>
      <w:r>
        <w:t xml:space="preserve">nt with its taxation reporting obligations, its directors will be protected under the safe harbour unless the company ceases to be compliant. If a company does cease to be compliant then the safe harbour will not apply in relation to any </w:t>
      </w:r>
      <w:r w:rsidR="00DD02ED">
        <w:t>debts incurred</w:t>
      </w:r>
      <w:r>
        <w:t xml:space="preserve"> beyond that point. </w:t>
      </w:r>
    </w:p>
    <w:p w14:paraId="583DFB2B" w14:textId="4752ECBB" w:rsidR="006C7251" w:rsidRDefault="006C7251" w:rsidP="00C778A4">
      <w:pPr>
        <w:pStyle w:val="base-text-paragraph"/>
        <w:tabs>
          <w:tab w:val="clear" w:pos="3687"/>
          <w:tab w:val="num" w:pos="1701"/>
        </w:tabs>
        <w:ind w:left="851"/>
      </w:pPr>
      <w:r>
        <w:t xml:space="preserve">This is intended to </w:t>
      </w:r>
      <w:r w:rsidR="0008743D">
        <w:t xml:space="preserve">promote early engagement with potential insolvency and </w:t>
      </w:r>
      <w:r>
        <w:t xml:space="preserve">reduce the risk of companies not meeting these obligations as they start to experience financial hardship and that any plans to restructure or recover the company must involve ensuring that employee entitlements are fully met and that the company </w:t>
      </w:r>
      <w:r w:rsidR="00FC47D0">
        <w:t>meets</w:t>
      </w:r>
      <w:r>
        <w:t xml:space="preserve"> its taxation reporting obligations. </w:t>
      </w:r>
    </w:p>
    <w:p w14:paraId="174F88DC" w14:textId="398CC26B" w:rsidR="008901DC" w:rsidRDefault="0008743D" w:rsidP="00C778A4">
      <w:pPr>
        <w:pStyle w:val="base-text-paragraph"/>
        <w:tabs>
          <w:tab w:val="clear" w:pos="3687"/>
          <w:tab w:val="num" w:pos="1701"/>
        </w:tabs>
        <w:ind w:left="851"/>
      </w:pPr>
      <w:r>
        <w:t>It is acknowledged that w</w:t>
      </w:r>
      <w:r w:rsidR="005153A5">
        <w:t>hile the amendment</w:t>
      </w:r>
      <w:r w:rsidR="00447201">
        <w:t>s are</w:t>
      </w:r>
      <w:r w:rsidR="005153A5" w:rsidDel="00447201">
        <w:t xml:space="preserve"> </w:t>
      </w:r>
      <w:r w:rsidR="005153A5">
        <w:t xml:space="preserve">designed to allow more companies to </w:t>
      </w:r>
      <w:r w:rsidR="00D73E89">
        <w:t xml:space="preserve">restructure and </w:t>
      </w:r>
      <w:r w:rsidR="005153A5">
        <w:t xml:space="preserve">continue operating outside of a formal insolvency process, </w:t>
      </w:r>
      <w:r w:rsidR="00956524">
        <w:t>such efforts will not always be successful</w:t>
      </w:r>
      <w:r w:rsidR="005153A5">
        <w:t xml:space="preserve">. Despite </w:t>
      </w:r>
      <w:r w:rsidR="00956524">
        <w:t>a director’s</w:t>
      </w:r>
      <w:r w:rsidR="005153A5" w:rsidDel="00956524">
        <w:t xml:space="preserve"> </w:t>
      </w:r>
      <w:r w:rsidR="005153A5">
        <w:t xml:space="preserve">best efforts </w:t>
      </w:r>
      <w:r w:rsidR="00956524">
        <w:t>to follow</w:t>
      </w:r>
      <w:r w:rsidR="005153A5">
        <w:t xml:space="preserve"> a reasonable course of action, it is possible that a company may still </w:t>
      </w:r>
      <w:r w:rsidR="00EE42B5">
        <w:t xml:space="preserve">proceed </w:t>
      </w:r>
      <w:r w:rsidR="00326457">
        <w:t>in</w:t>
      </w:r>
      <w:r w:rsidR="00EE42B5">
        <w:t>to</w:t>
      </w:r>
      <w:r w:rsidR="005153A5">
        <w:t xml:space="preserve"> administration</w:t>
      </w:r>
      <w:r w:rsidR="00EE42B5">
        <w:t xml:space="preserve"> or liquidation</w:t>
      </w:r>
      <w:r w:rsidR="005153A5">
        <w:t xml:space="preserve">. Where this happens it is important to ensure that administrators are given sufficient information to assess if the company is </w:t>
      </w:r>
      <w:r w:rsidR="00454167">
        <w:t xml:space="preserve">viable </w:t>
      </w:r>
      <w:r w:rsidR="005153A5">
        <w:t>and to check to see that the safe harbour was not misused – that is to say that the directors were actually trying a course of action that was reasonable.</w:t>
      </w:r>
    </w:p>
    <w:p w14:paraId="101F6706" w14:textId="2B293658" w:rsidR="008901DC" w:rsidRDefault="005153A5" w:rsidP="00C778A4">
      <w:pPr>
        <w:pStyle w:val="base-text-paragraph"/>
        <w:tabs>
          <w:tab w:val="clear" w:pos="3687"/>
          <w:tab w:val="num" w:pos="1701"/>
        </w:tabs>
        <w:ind w:left="851"/>
      </w:pPr>
      <w:r>
        <w:t xml:space="preserve"> </w:t>
      </w:r>
      <w:r w:rsidR="008901DC">
        <w:t>As such, new section 588GB sets out rules to prevent a director from relying on books or information</w:t>
      </w:r>
      <w:r w:rsidR="00034FE7">
        <w:t xml:space="preserve"> as evidence</w:t>
      </w:r>
      <w:r w:rsidR="008901DC">
        <w:t xml:space="preserve"> </w:t>
      </w:r>
      <w:r w:rsidR="00454167">
        <w:t>to support a safe harbour defence</w:t>
      </w:r>
      <w:r w:rsidR="008901DC">
        <w:t xml:space="preserve"> where </w:t>
      </w:r>
      <w:r w:rsidR="00454167">
        <w:t>these materials</w:t>
      </w:r>
      <w:r w:rsidR="002E71E8">
        <w:t xml:space="preserve"> have been </w:t>
      </w:r>
      <w:r w:rsidR="008901DC">
        <w:t>withheld from</w:t>
      </w:r>
      <w:r w:rsidR="002E71E8">
        <w:t xml:space="preserve"> a</w:t>
      </w:r>
      <w:r w:rsidR="008901DC">
        <w:t xml:space="preserve"> liquidator </w:t>
      </w:r>
      <w:r w:rsidR="002E71E8">
        <w:t>or</w:t>
      </w:r>
      <w:r w:rsidR="008901DC">
        <w:t xml:space="preserve"> administrator. </w:t>
      </w:r>
    </w:p>
    <w:p w14:paraId="1A9F071F" w14:textId="325F65FB" w:rsidR="005153A5" w:rsidRDefault="0008743D" w:rsidP="00C778A4">
      <w:pPr>
        <w:pStyle w:val="base-text-paragraph"/>
        <w:tabs>
          <w:tab w:val="clear" w:pos="3687"/>
          <w:tab w:val="num" w:pos="1701"/>
        </w:tabs>
        <w:ind w:left="851"/>
      </w:pPr>
      <w:r>
        <w:t>This will</w:t>
      </w:r>
      <w:r w:rsidR="002E71E8">
        <w:t xml:space="preserve"> ensure that </w:t>
      </w:r>
      <w:r w:rsidR="00E60A3A">
        <w:t xml:space="preserve">an administrator or liquidator can quickly make a determination about a company’s prospects and take appropriate actions to recover or maintain as much of a company’s value as possible.  Similarly, the lack of access </w:t>
      </w:r>
      <w:r w:rsidR="00454167">
        <w:t>to</w:t>
      </w:r>
      <w:r w:rsidR="00E60A3A">
        <w:t xml:space="preserve"> books or information about a company could prevent an administrator or liquidator from obtaining information about a director’s misfeasance which would have enabled them to appropriately recover funds for the company’s creditors. </w:t>
      </w:r>
    </w:p>
    <w:p w14:paraId="6F7793CD" w14:textId="3FA02F22" w:rsidR="00D13281" w:rsidRDefault="00E02599" w:rsidP="00C778A4">
      <w:pPr>
        <w:pStyle w:val="base-text-paragraph"/>
        <w:tabs>
          <w:tab w:val="clear" w:pos="3687"/>
          <w:tab w:val="num" w:pos="1701"/>
        </w:tabs>
        <w:ind w:left="851"/>
      </w:pPr>
      <w:r>
        <w:t xml:space="preserve">Under </w:t>
      </w:r>
      <w:r w:rsidR="00D13281">
        <w:t xml:space="preserve">new </w:t>
      </w:r>
      <w:r>
        <w:t>subsection 588</w:t>
      </w:r>
      <w:r w:rsidR="00A52849">
        <w:t>G</w:t>
      </w:r>
      <w:r>
        <w:t>B</w:t>
      </w:r>
      <w:r w:rsidR="00D13281">
        <w:t>(1)</w:t>
      </w:r>
      <w:r>
        <w:t xml:space="preserve">, a director will not be able to </w:t>
      </w:r>
      <w:r w:rsidR="00034FE7">
        <w:t>use</w:t>
      </w:r>
      <w:r>
        <w:t xml:space="preserve"> a company’s books as evidence in relation to </w:t>
      </w:r>
      <w:r w:rsidR="00454167">
        <w:t>a safe harbour defence</w:t>
      </w:r>
      <w:r w:rsidR="00D13281">
        <w:t xml:space="preserve"> if:</w:t>
      </w:r>
    </w:p>
    <w:p w14:paraId="2616AAA9" w14:textId="38DB00B0" w:rsidR="00D13281" w:rsidRDefault="00D13281" w:rsidP="00454167">
      <w:pPr>
        <w:pStyle w:val="dotpoint"/>
      </w:pPr>
      <w:r>
        <w:t>a court issues a warrant under subsection 530C(2) because the Court is satisfied that that the</w:t>
      </w:r>
      <w:r w:rsidR="00034FE7">
        <w:t xml:space="preserve"> director</w:t>
      </w:r>
      <w:r>
        <w:t xml:space="preserve"> has concealed, destroyed or removed books of the company or is about to do so; or</w:t>
      </w:r>
    </w:p>
    <w:p w14:paraId="1F6CB128" w14:textId="596E181B" w:rsidR="00E02599" w:rsidRDefault="00E02599" w:rsidP="00454167">
      <w:pPr>
        <w:pStyle w:val="dotpoint"/>
      </w:pPr>
      <w:r>
        <w:t>the director has not provided a liquidator with access to the books in accordance with:</w:t>
      </w:r>
    </w:p>
    <w:p w14:paraId="0487F3D8" w14:textId="0DA497F4" w:rsidR="00E02599" w:rsidRDefault="00E02599" w:rsidP="00454167">
      <w:pPr>
        <w:pStyle w:val="dotpoint2"/>
      </w:pPr>
      <w:r>
        <w:t>a notice under section 477 or subsection 530B(4) to inspect the company’s books;</w:t>
      </w:r>
    </w:p>
    <w:p w14:paraId="62D58006" w14:textId="0B853C7A" w:rsidR="00E02599" w:rsidRDefault="00E02599" w:rsidP="00454167">
      <w:pPr>
        <w:pStyle w:val="dotpoint2"/>
      </w:pPr>
      <w:r>
        <w:t xml:space="preserve">a court order under section 486; </w:t>
      </w:r>
      <w:r w:rsidR="00D13281">
        <w:t>or</w:t>
      </w:r>
    </w:p>
    <w:p w14:paraId="145875E4" w14:textId="013FC0C8" w:rsidR="00D13281" w:rsidRDefault="00E02599" w:rsidP="00454167">
      <w:pPr>
        <w:pStyle w:val="dotpoint2"/>
      </w:pPr>
      <w:r>
        <w:t xml:space="preserve">the requirement </w:t>
      </w:r>
      <w:r w:rsidR="00D13281">
        <w:t>under</w:t>
      </w:r>
      <w:r w:rsidR="00A664D9">
        <w:t xml:space="preserve"> subsection 477(3) or</w:t>
      </w:r>
      <w:r w:rsidR="00D13281">
        <w:t xml:space="preserve"> section 530A </w:t>
      </w:r>
      <w:r>
        <w:t xml:space="preserve">to provide a liquidator </w:t>
      </w:r>
      <w:r w:rsidR="00DB1431">
        <w:t xml:space="preserve">with </w:t>
      </w:r>
      <w:r>
        <w:t xml:space="preserve">the company’s books </w:t>
      </w:r>
      <w:r w:rsidR="00D13281">
        <w:t>as soon as practicable after a court has ordered the company be wound up or the company resolves that it be wound up.</w:t>
      </w:r>
    </w:p>
    <w:p w14:paraId="4AD1507E" w14:textId="5E20245D" w:rsidR="00D13281" w:rsidRPr="00454167" w:rsidRDefault="00D13281" w:rsidP="00454167">
      <w:pPr>
        <w:pStyle w:val="dotpoint"/>
        <w:numPr>
          <w:ilvl w:val="0"/>
          <w:numId w:val="0"/>
        </w:numPr>
        <w:ind w:left="2268" w:hanging="284"/>
        <w:rPr>
          <w:rStyle w:val="Referencingstyle"/>
        </w:rPr>
      </w:pPr>
      <w:r w:rsidRPr="00C9131C">
        <w:rPr>
          <w:rStyle w:val="Referencingstyle"/>
        </w:rPr>
        <w:t xml:space="preserve">[Schedule 1, Part 1, item 2, </w:t>
      </w:r>
      <w:r>
        <w:rPr>
          <w:rStyle w:val="Referencingstyle"/>
        </w:rPr>
        <w:t>subsections</w:t>
      </w:r>
      <w:r w:rsidRPr="00C9131C">
        <w:rPr>
          <w:rStyle w:val="Referencingstyle"/>
        </w:rPr>
        <w:t xml:space="preserve"> 588G</w:t>
      </w:r>
      <w:r>
        <w:rPr>
          <w:rStyle w:val="Referencingstyle"/>
        </w:rPr>
        <w:t>B</w:t>
      </w:r>
      <w:r w:rsidRPr="00C9131C">
        <w:rPr>
          <w:rStyle w:val="Referencingstyle"/>
        </w:rPr>
        <w:t>(</w:t>
      </w:r>
      <w:r>
        <w:rPr>
          <w:rStyle w:val="Referencingstyle"/>
        </w:rPr>
        <w:t>1) and (6)</w:t>
      </w:r>
      <w:r w:rsidRPr="00C9131C">
        <w:rPr>
          <w:rStyle w:val="Referencingstyle"/>
        </w:rPr>
        <w:t>]</w:t>
      </w:r>
    </w:p>
    <w:p w14:paraId="17D34C0A" w14:textId="4BCBD9F4" w:rsidR="00D13281" w:rsidRDefault="004B3D57" w:rsidP="00A664D9">
      <w:pPr>
        <w:pStyle w:val="base-text-paragraph"/>
        <w:tabs>
          <w:tab w:val="clear" w:pos="3687"/>
          <w:tab w:val="num" w:pos="1701"/>
        </w:tabs>
        <w:ind w:left="851"/>
      </w:pPr>
      <w:r>
        <w:t xml:space="preserve">A similar restriction applies </w:t>
      </w:r>
      <w:r w:rsidR="00D13281">
        <w:t xml:space="preserve">under new subsection 588GB(2) to prevent a director from relying on information about a company as evidence in relation to </w:t>
      </w:r>
      <w:r w:rsidR="00DB1431">
        <w:t>a safe harbour defence</w:t>
      </w:r>
      <w:r w:rsidR="00D13281">
        <w:t xml:space="preserve"> if the director has not provided a liquidator with information in accordance with:</w:t>
      </w:r>
    </w:p>
    <w:p w14:paraId="7BC3C45A" w14:textId="5C33D317" w:rsidR="00D13281" w:rsidRDefault="00D00748" w:rsidP="00DB1431">
      <w:pPr>
        <w:pStyle w:val="dotpoint"/>
      </w:pPr>
      <w:r>
        <w:t>a notice under section 477;</w:t>
      </w:r>
    </w:p>
    <w:p w14:paraId="19293DB6" w14:textId="7D4914FF" w:rsidR="00D00748" w:rsidRDefault="00D00748" w:rsidP="00DB1431">
      <w:pPr>
        <w:pStyle w:val="dotpoint"/>
      </w:pPr>
      <w:r>
        <w:t xml:space="preserve">a court order under subsection 530A(1); or </w:t>
      </w:r>
    </w:p>
    <w:p w14:paraId="611A090C" w14:textId="77777777" w:rsidR="00D00748" w:rsidRDefault="00D00748" w:rsidP="00DB1431">
      <w:pPr>
        <w:pStyle w:val="dotpoint"/>
      </w:pPr>
      <w:r>
        <w:t xml:space="preserve">the requirement to provide information under subsection 530A(2). </w:t>
      </w:r>
    </w:p>
    <w:p w14:paraId="4FCA42B5" w14:textId="3EA00CC7" w:rsidR="00D13281" w:rsidRPr="00B5755D" w:rsidRDefault="00D00748" w:rsidP="00DB1431">
      <w:pPr>
        <w:pStyle w:val="dotpoint2"/>
        <w:numPr>
          <w:ilvl w:val="0"/>
          <w:numId w:val="0"/>
        </w:numPr>
        <w:ind w:left="1984"/>
        <w:rPr>
          <w:rStyle w:val="Referencingstyle"/>
        </w:rPr>
      </w:pPr>
      <w:r w:rsidRPr="00DB1431">
        <w:rPr>
          <w:b/>
          <w:i/>
        </w:rPr>
        <w:t xml:space="preserve"> </w:t>
      </w:r>
      <w:r w:rsidR="00D13281" w:rsidRPr="00DB1431">
        <w:rPr>
          <w:rStyle w:val="Referencingstyle"/>
        </w:rPr>
        <w:t>[Schedule 1, Part 1, item 2, subsections 588GB(</w:t>
      </w:r>
      <w:r w:rsidRPr="00DB1431">
        <w:rPr>
          <w:rStyle w:val="Referencingstyle"/>
        </w:rPr>
        <w:t>2</w:t>
      </w:r>
      <w:r w:rsidR="00D13281" w:rsidRPr="00DB1431">
        <w:rPr>
          <w:rStyle w:val="Referencingstyle"/>
        </w:rPr>
        <w:t>) and (6)]</w:t>
      </w:r>
    </w:p>
    <w:p w14:paraId="4EBDEAAE" w14:textId="6CD87954" w:rsidR="00AF4420" w:rsidRDefault="00034FE7" w:rsidP="00C778A4">
      <w:pPr>
        <w:pStyle w:val="base-text-paragraph"/>
        <w:tabs>
          <w:tab w:val="clear" w:pos="3687"/>
          <w:tab w:val="num" w:pos="1701"/>
        </w:tabs>
        <w:ind w:left="851"/>
      </w:pPr>
      <w:r>
        <w:t xml:space="preserve">The effect of these </w:t>
      </w:r>
      <w:r w:rsidR="00AF4420">
        <w:t>new</w:t>
      </w:r>
      <w:r>
        <w:t xml:space="preserve"> restrictions is that director will </w:t>
      </w:r>
      <w:r w:rsidR="00D449C7">
        <w:t>not</w:t>
      </w:r>
      <w:r>
        <w:t xml:space="preserve"> be able to deny a liquidator or administrator access to a company’s books or information about a company </w:t>
      </w:r>
      <w:r w:rsidR="00AF4420">
        <w:t xml:space="preserve">and later use these books or the information as a </w:t>
      </w:r>
      <w:r w:rsidR="00D449C7">
        <w:t>part of a safe harbour defence</w:t>
      </w:r>
      <w:r w:rsidR="00AF4420">
        <w:t xml:space="preserve">. </w:t>
      </w:r>
    </w:p>
    <w:p w14:paraId="104D69FA" w14:textId="01AA75E0" w:rsidR="00034FE7" w:rsidRPr="00034FE7" w:rsidRDefault="00AF4420" w:rsidP="00C778A4">
      <w:pPr>
        <w:pStyle w:val="base-text-paragraph"/>
        <w:tabs>
          <w:tab w:val="clear" w:pos="3687"/>
          <w:tab w:val="num" w:pos="1701"/>
        </w:tabs>
        <w:ind w:left="851"/>
      </w:pPr>
      <w:r>
        <w:t>The</w:t>
      </w:r>
      <w:r w:rsidR="0061246F">
        <w:t>se</w:t>
      </w:r>
      <w:r>
        <w:t xml:space="preserve"> restrictions wil</w:t>
      </w:r>
      <w:r w:rsidR="0061246F">
        <w:t>l</w:t>
      </w:r>
      <w:r>
        <w:t xml:space="preserve"> limit potential dishonest activity where books and information are fabricated retrospectively </w:t>
      </w:r>
      <w:r w:rsidR="00516E08">
        <w:t>to make</w:t>
      </w:r>
      <w:r>
        <w:t xml:space="preserve"> use </w:t>
      </w:r>
      <w:r w:rsidR="00516E08">
        <w:t>of the</w:t>
      </w:r>
      <w:r w:rsidR="00F11EB3">
        <w:t xml:space="preserve"> safe harbour</w:t>
      </w:r>
      <w:r>
        <w:t xml:space="preserve"> defence.   </w:t>
      </w:r>
    </w:p>
    <w:p w14:paraId="5DB0F47B" w14:textId="5C9B0334" w:rsidR="00DD00FA" w:rsidRDefault="00AF4420" w:rsidP="00C778A4">
      <w:pPr>
        <w:pStyle w:val="base-text-paragraph"/>
        <w:tabs>
          <w:tab w:val="clear" w:pos="3687"/>
          <w:tab w:val="num" w:pos="1701"/>
        </w:tabs>
        <w:ind w:left="851"/>
      </w:pPr>
      <w:r>
        <w:t>These new</w:t>
      </w:r>
      <w:r w:rsidR="004C3E70">
        <w:t xml:space="preserve"> restrictions will not </w:t>
      </w:r>
      <w:r>
        <w:t xml:space="preserve">however </w:t>
      </w:r>
      <w:r w:rsidR="004C3E70">
        <w:t xml:space="preserve">apply to </w:t>
      </w:r>
      <w:r w:rsidR="00034FE7">
        <w:t>directors</w:t>
      </w:r>
      <w:r w:rsidR="004C3E70">
        <w:t xml:space="preserve"> </w:t>
      </w:r>
      <w:r w:rsidR="00BB5605">
        <w:t xml:space="preserve">who </w:t>
      </w:r>
      <w:r>
        <w:t>prove</w:t>
      </w:r>
      <w:r w:rsidR="00DD00FA">
        <w:t xml:space="preserve"> that they did not possess the relevant books or information and there were no reasonabl</w:t>
      </w:r>
      <w:r w:rsidR="0077554A">
        <w:t>e</w:t>
      </w:r>
      <w:r w:rsidR="00DD00FA">
        <w:t xml:space="preserve"> steps that could have been take to obtain the </w:t>
      </w:r>
      <w:r w:rsidR="00F11EB3">
        <w:t>materials</w:t>
      </w:r>
      <w:r w:rsidR="00034FE7">
        <w:t>.</w:t>
      </w:r>
      <w:r>
        <w:t xml:space="preserve"> Thiswill </w:t>
      </w:r>
      <w:r w:rsidR="00F11EB3">
        <w:t>protect</w:t>
      </w:r>
      <w:r>
        <w:t xml:space="preserve"> directors who genuinely do not have access to the material at the time it is sought by a liquidator or administrator.</w:t>
      </w:r>
      <w:r w:rsidR="00BB5605">
        <w:t xml:space="preserve"> </w:t>
      </w:r>
      <w:r w:rsidR="00BB5605" w:rsidRPr="00396542">
        <w:rPr>
          <w:rStyle w:val="Referencingstyle"/>
        </w:rPr>
        <w:t xml:space="preserve">[Schedule 1, Part 1, item 2, </w:t>
      </w:r>
      <w:r w:rsidR="00BB5605">
        <w:rPr>
          <w:rStyle w:val="Referencingstyle"/>
        </w:rPr>
        <w:t>paragraph</w:t>
      </w:r>
      <w:r w:rsidR="00BB5605" w:rsidRPr="00396542">
        <w:rPr>
          <w:rStyle w:val="Referencingstyle"/>
        </w:rPr>
        <w:t xml:space="preserve"> 588GB(</w:t>
      </w:r>
      <w:r w:rsidR="00BB5605">
        <w:rPr>
          <w:rStyle w:val="Referencingstyle"/>
        </w:rPr>
        <w:t>3</w:t>
      </w:r>
      <w:r w:rsidR="00BB5605" w:rsidRPr="00396542">
        <w:rPr>
          <w:rStyle w:val="Referencingstyle"/>
        </w:rPr>
        <w:t>)</w:t>
      </w:r>
      <w:r w:rsidR="00BB5605">
        <w:rPr>
          <w:rStyle w:val="Referencingstyle"/>
        </w:rPr>
        <w:t>(a</w:t>
      </w:r>
      <w:r w:rsidR="00BB5605" w:rsidRPr="00396542">
        <w:rPr>
          <w:rStyle w:val="Referencingstyle"/>
        </w:rPr>
        <w:t>)]</w:t>
      </w:r>
    </w:p>
    <w:p w14:paraId="47C169AC" w14:textId="32EC22D1" w:rsidR="004839E9" w:rsidRDefault="00AF4420" w:rsidP="00C778A4">
      <w:pPr>
        <w:pStyle w:val="base-text-paragraph"/>
        <w:tabs>
          <w:tab w:val="clear" w:pos="3687"/>
          <w:tab w:val="num" w:pos="1701"/>
        </w:tabs>
        <w:ind w:left="851"/>
      </w:pPr>
      <w:r>
        <w:t>The</w:t>
      </w:r>
      <w:r w:rsidR="004839E9">
        <w:t xml:space="preserve"> restrictions will also not apply to directors</w:t>
      </w:r>
      <w:r w:rsidR="008570DA">
        <w:t xml:space="preserve"> in certain cases where </w:t>
      </w:r>
      <w:r>
        <w:t xml:space="preserve">a liquidator seeking the books or information does not notify them </w:t>
      </w:r>
      <w:r w:rsidR="004839E9">
        <w:t xml:space="preserve">that a failure to provide the books or information will prevent them from being later used by the directors as evidence in relation to </w:t>
      </w:r>
      <w:r w:rsidR="00F11EB3">
        <w:t>the safe harbour</w:t>
      </w:r>
      <w:r w:rsidR="004839E9">
        <w:t xml:space="preserve">. </w:t>
      </w:r>
      <w:r w:rsidR="00A664D9">
        <w:rPr>
          <w:rStyle w:val="Referencingstyle"/>
        </w:rPr>
        <w:t>[Schedule </w:t>
      </w:r>
      <w:r w:rsidR="004839E9" w:rsidRPr="00396542">
        <w:rPr>
          <w:rStyle w:val="Referencingstyle"/>
        </w:rPr>
        <w:t xml:space="preserve">1, Part 1, item 2, </w:t>
      </w:r>
      <w:r w:rsidR="008570DA">
        <w:rPr>
          <w:rStyle w:val="Referencingstyle"/>
        </w:rPr>
        <w:t>paragraph</w:t>
      </w:r>
      <w:r w:rsidR="004839E9" w:rsidRPr="00396542">
        <w:rPr>
          <w:rStyle w:val="Referencingstyle"/>
        </w:rPr>
        <w:t xml:space="preserve"> 588GB(</w:t>
      </w:r>
      <w:r w:rsidR="008570DA">
        <w:rPr>
          <w:rStyle w:val="Referencingstyle"/>
        </w:rPr>
        <w:t>3</w:t>
      </w:r>
      <w:r w:rsidR="004839E9" w:rsidRPr="00396542">
        <w:rPr>
          <w:rStyle w:val="Referencingstyle"/>
        </w:rPr>
        <w:t>)</w:t>
      </w:r>
      <w:r w:rsidR="008570DA">
        <w:rPr>
          <w:rStyle w:val="Referencingstyle"/>
        </w:rPr>
        <w:t>(b)</w:t>
      </w:r>
      <w:r w:rsidR="004839E9" w:rsidRPr="00396542">
        <w:rPr>
          <w:rStyle w:val="Referencingstyle"/>
        </w:rPr>
        <w:t>]</w:t>
      </w:r>
    </w:p>
    <w:p w14:paraId="532A4567" w14:textId="2B9E50F2" w:rsidR="00DD00FA" w:rsidRDefault="004839E9" w:rsidP="00C778A4">
      <w:pPr>
        <w:pStyle w:val="base-text-paragraph"/>
        <w:tabs>
          <w:tab w:val="clear" w:pos="3687"/>
          <w:tab w:val="num" w:pos="1701"/>
        </w:tabs>
        <w:ind w:left="851"/>
      </w:pPr>
      <w:r>
        <w:t xml:space="preserve"> In order to</w:t>
      </w:r>
      <w:r w:rsidR="00AF4420">
        <w:t xml:space="preserve"> appropriately notify</w:t>
      </w:r>
      <w:r>
        <w:t xml:space="preserve"> a director that a failure to provide books or information about the company will prevent the director from using them </w:t>
      </w:r>
      <w:r w:rsidR="00F11EB3">
        <w:t>as evidence as part of</w:t>
      </w:r>
      <w:r>
        <w:t xml:space="preserve"> a </w:t>
      </w:r>
      <w:r w:rsidR="00F11EB3">
        <w:t>safe harbour defence</w:t>
      </w:r>
      <w:r>
        <w:t>, a liquidator must</w:t>
      </w:r>
      <w:r w:rsidR="00271FD8">
        <w:t xml:space="preserve"> either</w:t>
      </w:r>
      <w:r>
        <w:t>:</w:t>
      </w:r>
    </w:p>
    <w:p w14:paraId="4AD5A9E3" w14:textId="398F3E56" w:rsidR="004839E9" w:rsidRDefault="004839E9" w:rsidP="00DB1431">
      <w:pPr>
        <w:pStyle w:val="dotpoint"/>
      </w:pPr>
      <w:r>
        <w:t xml:space="preserve">include this </w:t>
      </w:r>
      <w:r w:rsidR="00271FD8">
        <w:t>notification</w:t>
      </w:r>
      <w:r>
        <w:t xml:space="preserve"> as part of </w:t>
      </w:r>
      <w:r w:rsidR="00AF4420">
        <w:t>their</w:t>
      </w:r>
      <w:r w:rsidR="008570DA">
        <w:t xml:space="preserve"> </w:t>
      </w:r>
      <w:r>
        <w:t>notice</w:t>
      </w:r>
      <w:r w:rsidR="00271FD8">
        <w:t xml:space="preserve"> seeking access to books</w:t>
      </w:r>
      <w:r w:rsidR="008570DA">
        <w:t xml:space="preserve"> or information about the company</w:t>
      </w:r>
      <w:r w:rsidR="00271FD8">
        <w:t xml:space="preserve"> that is</w:t>
      </w:r>
      <w:r>
        <w:t xml:space="preserve"> issued under se</w:t>
      </w:r>
      <w:r w:rsidR="008570DA">
        <w:t>ction 477 or subsection </w:t>
      </w:r>
      <w:r>
        <w:t xml:space="preserve">530B(4); </w:t>
      </w:r>
    </w:p>
    <w:p w14:paraId="21B8D896" w14:textId="79E63706" w:rsidR="00271FD8" w:rsidRDefault="004839E9" w:rsidP="00DB1431">
      <w:pPr>
        <w:pStyle w:val="dotpoint"/>
      </w:pPr>
      <w:r>
        <w:t xml:space="preserve">provide </w:t>
      </w:r>
      <w:r w:rsidR="00271FD8">
        <w:t>this</w:t>
      </w:r>
      <w:r>
        <w:t xml:space="preserve"> </w:t>
      </w:r>
      <w:r w:rsidR="00271FD8">
        <w:t>notification</w:t>
      </w:r>
      <w:r>
        <w:t xml:space="preserve"> as part of a written notice </w:t>
      </w:r>
      <w:r w:rsidR="00271FD8">
        <w:t xml:space="preserve">given to the director that the </w:t>
      </w:r>
      <w:r w:rsidR="00FF6287">
        <w:t>they are</w:t>
      </w:r>
      <w:r w:rsidR="00271FD8">
        <w:t xml:space="preserve"> relying on a court order made under section 486</w:t>
      </w:r>
      <w:r w:rsidR="00A664D9">
        <w:t>, subsection 477(3)</w:t>
      </w:r>
      <w:r w:rsidR="00271FD8">
        <w:t xml:space="preserve"> or subsection 530A(2) to access the books or information about the company; or</w:t>
      </w:r>
    </w:p>
    <w:p w14:paraId="56A67F68" w14:textId="5298AAD7" w:rsidR="004839E9" w:rsidRDefault="00271FD8" w:rsidP="00DB1431">
      <w:pPr>
        <w:pStyle w:val="dotpoint"/>
      </w:pPr>
      <w:r>
        <w:t xml:space="preserve">provide this notification as part of a written notice to the director that the </w:t>
      </w:r>
      <w:r w:rsidR="00FF6287">
        <w:t>they are</w:t>
      </w:r>
      <w:r>
        <w:t xml:space="preserve"> seeking the company’s books or information pursuant to a warrant issued under subsection 530C(2). </w:t>
      </w:r>
    </w:p>
    <w:p w14:paraId="66195353" w14:textId="75F887B1" w:rsidR="008570DA" w:rsidRDefault="008570DA" w:rsidP="00F11EB3">
      <w:pPr>
        <w:pStyle w:val="dotpoint"/>
        <w:numPr>
          <w:ilvl w:val="0"/>
          <w:numId w:val="0"/>
        </w:numPr>
        <w:ind w:left="2268"/>
      </w:pPr>
      <w:r w:rsidRPr="00396542">
        <w:rPr>
          <w:rStyle w:val="Referencingstyle"/>
        </w:rPr>
        <w:t xml:space="preserve">[Schedule 1, Part 1, item 2, </w:t>
      </w:r>
      <w:r>
        <w:rPr>
          <w:rStyle w:val="Referencingstyle"/>
        </w:rPr>
        <w:t>subsection</w:t>
      </w:r>
      <w:r w:rsidRPr="00396542">
        <w:rPr>
          <w:rStyle w:val="Referencingstyle"/>
        </w:rPr>
        <w:t xml:space="preserve"> 588GB(</w:t>
      </w:r>
      <w:r>
        <w:rPr>
          <w:rStyle w:val="Referencingstyle"/>
        </w:rPr>
        <w:t>4</w:t>
      </w:r>
      <w:r w:rsidRPr="00396542">
        <w:rPr>
          <w:rStyle w:val="Referencingstyle"/>
        </w:rPr>
        <w:t>)]</w:t>
      </w:r>
    </w:p>
    <w:p w14:paraId="65FF2A1C" w14:textId="27613251" w:rsidR="004839E9" w:rsidRPr="008570DA" w:rsidRDefault="008570DA" w:rsidP="00B83E63">
      <w:pPr>
        <w:pStyle w:val="base-text-paragraph"/>
        <w:tabs>
          <w:tab w:val="clear" w:pos="3687"/>
          <w:tab w:val="num" w:pos="1701"/>
        </w:tabs>
        <w:ind w:left="851"/>
      </w:pPr>
      <w:r>
        <w:t xml:space="preserve">Liquidators seeking information on the basis of  a court order under subsection 530A(1) will not be required to notify a director that their failure to provide books or information about the company would prevent them from later using those books </w:t>
      </w:r>
      <w:r w:rsidR="00F11EB3">
        <w:t>as part of a safe harbour defence</w:t>
      </w:r>
      <w:r>
        <w:t>.</w:t>
      </w:r>
      <w:r>
        <w:br/>
      </w:r>
      <w:r w:rsidRPr="00F11EB3">
        <w:rPr>
          <w:rStyle w:val="Referencingstyle"/>
        </w:rPr>
        <w:t xml:space="preserve"> [Schedule 1, Part 1, item 2, subsection 588GB(4)]</w:t>
      </w:r>
    </w:p>
    <w:p w14:paraId="29A56C97" w14:textId="130F514A" w:rsidR="004839E9" w:rsidRDefault="00FF6287" w:rsidP="00B83E63">
      <w:pPr>
        <w:pStyle w:val="base-text-paragraph"/>
        <w:tabs>
          <w:tab w:val="clear" w:pos="3687"/>
          <w:tab w:val="num" w:pos="1701"/>
        </w:tabs>
        <w:ind w:left="851"/>
      </w:pPr>
      <w:r>
        <w:t xml:space="preserve">A failure by a liquidator to notify a director about the consequences of not </w:t>
      </w:r>
      <w:r w:rsidR="00CB497A">
        <w:t>provid</w:t>
      </w:r>
      <w:r>
        <w:t>ing</w:t>
      </w:r>
      <w:r w:rsidR="00CB497A">
        <w:t xml:space="preserve"> books or information about a company will not otherwise impact the validity of any notice, order or warrant that is issued. </w:t>
      </w:r>
      <w:r w:rsidR="00CB497A" w:rsidRPr="00396542">
        <w:rPr>
          <w:rStyle w:val="Referencingstyle"/>
        </w:rPr>
        <w:t>[Schedule 1, Part 1, item 2, subsection 588GB(</w:t>
      </w:r>
      <w:r w:rsidR="00CB497A">
        <w:rPr>
          <w:rStyle w:val="Referencingstyle"/>
        </w:rPr>
        <w:t>5</w:t>
      </w:r>
      <w:r w:rsidR="00CB497A" w:rsidRPr="00396542">
        <w:rPr>
          <w:rStyle w:val="Referencingstyle"/>
        </w:rPr>
        <w:t>)]</w:t>
      </w:r>
    </w:p>
    <w:p w14:paraId="724840DF" w14:textId="77777777" w:rsidR="00697AD0" w:rsidRDefault="00697AD0" w:rsidP="00F11EB3">
      <w:pPr>
        <w:pStyle w:val="Heading2"/>
        <w:tabs>
          <w:tab w:val="left" w:pos="6210"/>
        </w:tabs>
      </w:pPr>
      <w:r>
        <w:t>Consequential amendments</w:t>
      </w:r>
    </w:p>
    <w:p w14:paraId="58EDA2F9" w14:textId="55793A24" w:rsidR="00697AD0" w:rsidRDefault="006831FA" w:rsidP="00EF779E">
      <w:pPr>
        <w:pStyle w:val="base-text-paragraph"/>
        <w:tabs>
          <w:tab w:val="clear" w:pos="3687"/>
          <w:tab w:val="num" w:pos="1701"/>
        </w:tabs>
        <w:ind w:left="851"/>
      </w:pPr>
      <w:r>
        <w:t xml:space="preserve">As the safe harbour for insolvent trading is being introduced, the title </w:t>
      </w:r>
      <w:r w:rsidR="00FF6287">
        <w:t xml:space="preserve">of </w:t>
      </w:r>
      <w:r>
        <w:t xml:space="preserve">section 588H which provides for the existing defences to insolvent trading is being renamed to ‘other defences’. </w:t>
      </w:r>
      <w:r w:rsidRPr="00396542">
        <w:rPr>
          <w:rStyle w:val="Referencingstyle"/>
        </w:rPr>
        <w:t xml:space="preserve">[Schedule 1, Part 1, item </w:t>
      </w:r>
      <w:r>
        <w:rPr>
          <w:rStyle w:val="Referencingstyle"/>
        </w:rPr>
        <w:t>3</w:t>
      </w:r>
      <w:r w:rsidRPr="00396542">
        <w:rPr>
          <w:rStyle w:val="Referencingstyle"/>
        </w:rPr>
        <w:t>]</w:t>
      </w:r>
    </w:p>
    <w:p w14:paraId="00CC44D7" w14:textId="46CD28FF" w:rsidR="006831FA" w:rsidRPr="008F726E" w:rsidRDefault="006831FA" w:rsidP="00EF779E">
      <w:pPr>
        <w:pStyle w:val="base-text-paragraph"/>
        <w:tabs>
          <w:tab w:val="clear" w:pos="3687"/>
          <w:tab w:val="num" w:pos="1701"/>
        </w:tabs>
        <w:ind w:left="851"/>
      </w:pPr>
      <w:r>
        <w:t>Paragraph 588E(8)(d) is amended so that where a matter relating to the safe harbour in section 588</w:t>
      </w:r>
      <w:r w:rsidR="00B11035">
        <w:t>G</w:t>
      </w:r>
      <w:r>
        <w:t xml:space="preserve">A is proved in relation to a proceeding, it is also taken to be proved in relation to other proceedings </w:t>
      </w:r>
      <w:r w:rsidR="00FF6287">
        <w:t>relating to</w:t>
      </w:r>
      <w:r w:rsidR="000911CB">
        <w:t xml:space="preserve"> the same matter. </w:t>
      </w:r>
      <w:r w:rsidR="00FF6287">
        <w:rPr>
          <w:rStyle w:val="Referencingstyle"/>
        </w:rPr>
        <w:t>[Schedule </w:t>
      </w:r>
      <w:r w:rsidR="000911CB" w:rsidRPr="00396542">
        <w:rPr>
          <w:rStyle w:val="Referencingstyle"/>
        </w:rPr>
        <w:t xml:space="preserve">1, Part 1, item </w:t>
      </w:r>
      <w:r w:rsidR="000911CB">
        <w:rPr>
          <w:rStyle w:val="Referencingstyle"/>
        </w:rPr>
        <w:t>1</w:t>
      </w:r>
      <w:r w:rsidR="000911CB" w:rsidRPr="00396542">
        <w:rPr>
          <w:rStyle w:val="Referencingstyle"/>
        </w:rPr>
        <w:t>]</w:t>
      </w:r>
    </w:p>
    <w:p w14:paraId="2F91FCF4" w14:textId="3DA94081" w:rsidR="00697AD0" w:rsidRDefault="00697AD0" w:rsidP="00EF779E">
      <w:pPr>
        <w:pStyle w:val="Heading2"/>
        <w:tabs>
          <w:tab w:val="left" w:pos="6210"/>
        </w:tabs>
      </w:pPr>
      <w:r>
        <w:t>Application and transitional provisions</w:t>
      </w:r>
      <w:r w:rsidR="00507AD3">
        <w:tab/>
      </w:r>
    </w:p>
    <w:p w14:paraId="0EA1F5F5" w14:textId="47D19A2D" w:rsidR="00697AD0" w:rsidRPr="008F726E" w:rsidRDefault="006831FA" w:rsidP="00EF779E">
      <w:pPr>
        <w:pStyle w:val="base-text-paragraph"/>
        <w:tabs>
          <w:tab w:val="clear" w:pos="3687"/>
          <w:tab w:val="num" w:pos="1701"/>
        </w:tabs>
        <w:ind w:left="851"/>
      </w:pPr>
      <w:r>
        <w:t>These</w:t>
      </w:r>
      <w:r w:rsidR="00CB497A">
        <w:t xml:space="preserve"> amendments apply to </w:t>
      </w:r>
      <w:r>
        <w:t xml:space="preserve">actions taken and debts incurred on or after commencement of this part of the bill. </w:t>
      </w:r>
      <w:r w:rsidRPr="00396542">
        <w:rPr>
          <w:rStyle w:val="Referencingstyle"/>
        </w:rPr>
        <w:t xml:space="preserve">[Schedule 1, Part 1, item </w:t>
      </w:r>
      <w:r>
        <w:rPr>
          <w:rStyle w:val="Referencingstyle"/>
        </w:rPr>
        <w:t>4</w:t>
      </w:r>
      <w:r w:rsidRPr="00396542">
        <w:rPr>
          <w:rStyle w:val="Referencingstyle"/>
        </w:rPr>
        <w:t>]</w:t>
      </w:r>
    </w:p>
    <w:p w14:paraId="76657F42" w14:textId="77777777" w:rsidR="00697AD0" w:rsidRDefault="00697AD0" w:rsidP="00703978">
      <w:pPr>
        <w:pStyle w:val="Hiddentext"/>
      </w:pPr>
      <w:r>
        <w:t>Do not remove section break.</w:t>
      </w:r>
    </w:p>
    <w:p w14:paraId="2ECFFD37" w14:textId="77777777" w:rsidR="00697AD0" w:rsidRDefault="00697AD0" w:rsidP="00703978">
      <w:pPr>
        <w:sectPr w:rsidR="00697AD0" w:rsidSect="00703978">
          <w:headerReference w:type="even" r:id="rId30"/>
          <w:headerReference w:type="default" r:id="rId31"/>
          <w:footerReference w:type="even" r:id="rId32"/>
          <w:footerReference w:type="default" r:id="rId33"/>
          <w:footerReference w:type="first" r:id="rId34"/>
          <w:type w:val="oddPage"/>
          <w:pgSz w:w="11906" w:h="16838" w:code="9"/>
          <w:pgMar w:top="2466" w:right="2098" w:bottom="2466" w:left="2098" w:header="1559" w:footer="1899" w:gutter="0"/>
          <w:cols w:space="708"/>
          <w:titlePg/>
          <w:docGrid w:linePitch="360"/>
        </w:sectPr>
      </w:pPr>
    </w:p>
    <w:p w14:paraId="7C31F294" w14:textId="77777777" w:rsidR="00697AD0" w:rsidRPr="00F51A71" w:rsidRDefault="00697AD0" w:rsidP="00703978">
      <w:pPr>
        <w:pStyle w:val="ChapterHeading"/>
        <w:tabs>
          <w:tab w:val="clear" w:pos="1134"/>
          <w:tab w:val="num" w:pos="360"/>
        </w:tabs>
      </w:pPr>
      <w:r w:rsidRPr="00F51A71">
        <w:br/>
      </w:r>
      <w:bookmarkStart w:id="11" w:name="_Toc478120566"/>
      <w:bookmarkStart w:id="12" w:name="_Toc478122322"/>
      <w:bookmarkStart w:id="13" w:name="_Toc478134653"/>
      <w:bookmarkStart w:id="14" w:name="_Toc478136429"/>
      <w:bookmarkStart w:id="15" w:name="_Toc478136540"/>
      <w:r>
        <w:t>Schedule 1, Part 2 – Stay on enforcing rights merely because of arrangements or restructures</w:t>
      </w:r>
      <w:bookmarkEnd w:id="11"/>
      <w:bookmarkEnd w:id="12"/>
      <w:bookmarkEnd w:id="13"/>
      <w:bookmarkEnd w:id="14"/>
      <w:bookmarkEnd w:id="15"/>
    </w:p>
    <w:p w14:paraId="23342289" w14:textId="77777777" w:rsidR="00697AD0" w:rsidRDefault="00697AD0" w:rsidP="00703978">
      <w:pPr>
        <w:pStyle w:val="Heading2"/>
      </w:pPr>
      <w:r>
        <w:t>Outline of chapter</w:t>
      </w:r>
    </w:p>
    <w:p w14:paraId="221DA488" w14:textId="4FF6F06B" w:rsidR="00697AD0" w:rsidRDefault="00BD58E6" w:rsidP="00C778A4">
      <w:pPr>
        <w:pStyle w:val="base-text-paragraph"/>
        <w:tabs>
          <w:tab w:val="clear" w:pos="3687"/>
          <w:tab w:val="num" w:pos="1701"/>
        </w:tabs>
        <w:ind w:left="851"/>
      </w:pPr>
      <w:r>
        <w:t xml:space="preserve">This Chapter sets out new provisions to stay the enforcement of ipso facto </w:t>
      </w:r>
      <w:r w:rsidDel="00326457">
        <w:t xml:space="preserve">clauses </w:t>
      </w:r>
      <w:r>
        <w:t xml:space="preserve">that are triggered when a company enters formal insolvency proceedings.    </w:t>
      </w:r>
    </w:p>
    <w:p w14:paraId="483902F6" w14:textId="6DDFB2CD" w:rsidR="00BD58E6" w:rsidRDefault="00BD58E6" w:rsidP="00C778A4">
      <w:pPr>
        <w:pStyle w:val="base-text-paragraph"/>
        <w:tabs>
          <w:tab w:val="clear" w:pos="3687"/>
          <w:tab w:val="num" w:pos="1701"/>
        </w:tabs>
        <w:ind w:left="851"/>
      </w:pPr>
      <w:r>
        <w:t xml:space="preserve">Unless otherwise stated, all references are to the </w:t>
      </w:r>
      <w:r w:rsidRPr="005B6429">
        <w:rPr>
          <w:i/>
        </w:rPr>
        <w:t>Corporations Act 2001</w:t>
      </w:r>
      <w:r>
        <w:t xml:space="preserve">. </w:t>
      </w:r>
    </w:p>
    <w:p w14:paraId="663DC92D" w14:textId="4B3CDEA8" w:rsidR="00BD58E6" w:rsidDel="00326457" w:rsidRDefault="00697AD0" w:rsidP="00C000D7">
      <w:pPr>
        <w:pStyle w:val="base-text-paragraph"/>
        <w:numPr>
          <w:ilvl w:val="0"/>
          <w:numId w:val="0"/>
        </w:numPr>
        <w:ind w:left="710"/>
      </w:pPr>
      <w:r w:rsidDel="00326457">
        <w:t>Context of amendments</w:t>
      </w:r>
    </w:p>
    <w:p w14:paraId="2EBD38F7" w14:textId="77777777" w:rsidR="00697AD0" w:rsidRDefault="00697AD0" w:rsidP="00703978">
      <w:pPr>
        <w:pStyle w:val="Heading2"/>
      </w:pPr>
      <w:r>
        <w:t>Context of amendments</w:t>
      </w:r>
    </w:p>
    <w:p w14:paraId="71FE9C1D" w14:textId="2B4AB7AB" w:rsidR="007C3285" w:rsidRPr="007C3285" w:rsidRDefault="00377571" w:rsidP="00C778A4">
      <w:pPr>
        <w:pStyle w:val="base-text-paragraph"/>
        <w:tabs>
          <w:tab w:val="clear" w:pos="3687"/>
          <w:tab w:val="num" w:pos="1701"/>
        </w:tabs>
        <w:ind w:left="851"/>
        <w:rPr>
          <w:rFonts w:eastAsiaTheme="minorHAnsi"/>
        </w:rPr>
      </w:pPr>
      <w:r>
        <w:t xml:space="preserve">An ipso facto clause </w:t>
      </w:r>
      <w:r w:rsidRPr="00377571">
        <w:t xml:space="preserve">allows one party to terminate or modify the operation of </w:t>
      </w:r>
      <w:r>
        <w:t>a</w:t>
      </w:r>
      <w:r w:rsidRPr="00377571">
        <w:t xml:space="preserve"> contract upon the occurrence of </w:t>
      </w:r>
      <w:r>
        <w:t>some specific</w:t>
      </w:r>
      <w:r w:rsidRPr="00377571">
        <w:t xml:space="preserve"> event.</w:t>
      </w:r>
      <w:r w:rsidR="007C3285">
        <w:t> </w:t>
      </w:r>
      <w:r w:rsidR="00E23164">
        <w:t>In the current insolvency context</w:t>
      </w:r>
      <w:r>
        <w:t xml:space="preserve">, </w:t>
      </w:r>
      <w:r w:rsidR="004176E0">
        <w:t>such</w:t>
      </w:r>
      <w:r w:rsidR="00A95878">
        <w:t xml:space="preserve"> clauses allow one party to terminate </w:t>
      </w:r>
      <w:r w:rsidR="004176E0">
        <w:t xml:space="preserve">or modify </w:t>
      </w:r>
      <w:r w:rsidR="00A95878">
        <w:t>the contract solely due to the commencement of formal insolvency proceedings</w:t>
      </w:r>
      <w:r w:rsidR="00B11035">
        <w:t>, such as on the appointment of a voluntary administrator</w:t>
      </w:r>
      <w:r w:rsidR="007C3285">
        <w:t xml:space="preserve">. This type of termination </w:t>
      </w:r>
      <w:r w:rsidR="004176E0">
        <w:t>can occur</w:t>
      </w:r>
      <w:r w:rsidR="00A95878">
        <w:t xml:space="preserve"> regardless of </w:t>
      </w:r>
      <w:r w:rsidR="007C3285">
        <w:t xml:space="preserve">the </w:t>
      </w:r>
      <w:r w:rsidR="00A95878">
        <w:t>continued performance</w:t>
      </w:r>
      <w:r w:rsidR="007C3285">
        <w:t xml:space="preserve"> of the counterparty</w:t>
      </w:r>
      <w:r w:rsidR="0032082B">
        <w:t xml:space="preserve"> of its obligations under the contract</w:t>
      </w:r>
      <w:r w:rsidR="007C3285">
        <w:t xml:space="preserve">. </w:t>
      </w:r>
    </w:p>
    <w:p w14:paraId="1DCD4247" w14:textId="77777777" w:rsidR="00275318" w:rsidRDefault="007C3285" w:rsidP="00C778A4">
      <w:pPr>
        <w:pStyle w:val="base-text-paragraph"/>
        <w:tabs>
          <w:tab w:val="clear" w:pos="3687"/>
          <w:tab w:val="num" w:pos="1701"/>
        </w:tabs>
        <w:ind w:left="851"/>
      </w:pPr>
      <w:r>
        <w:t xml:space="preserve">The operation of ipso facto </w:t>
      </w:r>
      <w:r w:rsidR="004176E0">
        <w:t>provisions</w:t>
      </w:r>
      <w:r>
        <w:t xml:space="preserve"> can</w:t>
      </w:r>
      <w:r w:rsidR="004176E0">
        <w:t xml:space="preserve"> thus</w:t>
      </w:r>
      <w:r>
        <w:t xml:space="preserve"> reduce the scope for a successful restructure, </w:t>
      </w:r>
      <w:r w:rsidR="00275318">
        <w:t xml:space="preserve">destroy the enterprise </w:t>
      </w:r>
      <w:r>
        <w:t xml:space="preserve">value of a business entering formal </w:t>
      </w:r>
      <w:r w:rsidR="00275318">
        <w:t>administration</w:t>
      </w:r>
      <w:r>
        <w:t xml:space="preserve">, or prevent the sale of the business as a going concern. </w:t>
      </w:r>
    </w:p>
    <w:p w14:paraId="5D61DFF6" w14:textId="69078A65" w:rsidR="007C3285" w:rsidRDefault="007C3285" w:rsidP="00C778A4">
      <w:pPr>
        <w:pStyle w:val="base-text-paragraph"/>
        <w:tabs>
          <w:tab w:val="clear" w:pos="3687"/>
          <w:tab w:val="num" w:pos="1701"/>
        </w:tabs>
        <w:ind w:left="851"/>
      </w:pPr>
      <w:r>
        <w:t>These outcomes can reduce or eliminate returns in liquidation because they disrupt the businesses’ contractual arrangements and destroy goodwill</w:t>
      </w:r>
      <w:r w:rsidR="00E10F9B">
        <w:t>, potentially prejudicing other creditors and defeating the purpose of a voluntary administration.</w:t>
      </w:r>
    </w:p>
    <w:p w14:paraId="0ED9BFAE" w14:textId="5B284DF0" w:rsidR="007C3285" w:rsidRDefault="007C3285" w:rsidP="00C778A4">
      <w:pPr>
        <w:pStyle w:val="base-text-paragraph"/>
        <w:tabs>
          <w:tab w:val="clear" w:pos="3687"/>
          <w:tab w:val="num" w:pos="1701"/>
        </w:tabs>
        <w:ind w:left="851"/>
      </w:pPr>
      <w:r>
        <w:t>For example, if a company is viable in the long term but has a short term lack of liquidity which leads the directors to appoint a voluntary administrator, an ipso facto clause might allow a major supplier to cancel their contract. This may in turn deprive the business of the chance to continue to trade while they restructure even though there has not otherwise been a breach of the contract</w:t>
      </w:r>
      <w:r w:rsidR="00F32CDC">
        <w:t>, with a negative impact on the business, its employees and other creditors</w:t>
      </w:r>
      <w:r>
        <w:t>.</w:t>
      </w:r>
    </w:p>
    <w:p w14:paraId="529B2B7C" w14:textId="63AE261C" w:rsidR="007C3285" w:rsidRDefault="007C3285" w:rsidP="00C778A4">
      <w:pPr>
        <w:pStyle w:val="base-text-paragraph"/>
        <w:tabs>
          <w:tab w:val="clear" w:pos="3687"/>
          <w:tab w:val="num" w:pos="1701"/>
        </w:tabs>
        <w:ind w:left="851"/>
      </w:pPr>
      <w:r>
        <w:t xml:space="preserve">The lack of protection from the operation of ipso facto clauses has been a key criticism of Australia’s insolvency regime in general, particularly in the context of the voluntary administration regime contained in Part 5.3A of the </w:t>
      </w:r>
      <w:r w:rsidR="006E2E1E" w:rsidRPr="004C38FF">
        <w:t xml:space="preserve">Act </w:t>
      </w:r>
      <w:r>
        <w:t>and schemes of arrangement under Part 5.1</w:t>
      </w:r>
      <w:r w:rsidR="00977015">
        <w:t xml:space="preserve"> of the Act</w:t>
      </w:r>
      <w:r>
        <w:t xml:space="preserve">. Making ipso facto clauses unenforceable during a company restructure will ensure that the objectives of the existing voluntary administration regime in the Act work more effectively by assisting </w:t>
      </w:r>
      <w:r w:rsidR="0032082B">
        <w:t xml:space="preserve">viable but </w:t>
      </w:r>
      <w:r>
        <w:t>financially distressed companies to continue to operate while they restructure their business.</w:t>
      </w:r>
    </w:p>
    <w:p w14:paraId="3CDEF6C2" w14:textId="77777777" w:rsidR="00B90A35" w:rsidRDefault="007C3285" w:rsidP="00C778A4">
      <w:pPr>
        <w:pStyle w:val="base-text-paragraph"/>
        <w:tabs>
          <w:tab w:val="clear" w:pos="3687"/>
          <w:tab w:val="num" w:pos="1701"/>
        </w:tabs>
        <w:ind w:left="851"/>
      </w:pPr>
      <w:r>
        <w:t>Under this amendment, ipso facto clauses which allow a contract to be terminated or varied solely due to the fact that an ‘insolvency event’ has occurred, regardless of continued payment or performance, would be stayed during a formal restructure. This will be subject to exceptions where ipso facto clauses are inherently necessary to the operation of a contract</w:t>
      </w:r>
      <w:r w:rsidR="00E23164">
        <w:t>.</w:t>
      </w:r>
      <w:r>
        <w:t xml:space="preserve"> </w:t>
      </w:r>
    </w:p>
    <w:p w14:paraId="666016E7" w14:textId="70C852CE" w:rsidR="007C3285" w:rsidRDefault="007C3285" w:rsidP="00C778A4">
      <w:pPr>
        <w:pStyle w:val="base-text-paragraph"/>
        <w:tabs>
          <w:tab w:val="clear" w:pos="3687"/>
          <w:tab w:val="num" w:pos="1701"/>
        </w:tabs>
        <w:ind w:left="851"/>
      </w:pPr>
      <w:r>
        <w:t>The aim is to</w:t>
      </w:r>
      <w:r w:rsidR="0032082B">
        <w:t xml:space="preserve"> allow breathing space for a company to continue to trade while in external administration or while conducting a scheme of arrangement aimed at avoiding insolvent liquidation. </w:t>
      </w:r>
      <w:r w:rsidR="008D489C">
        <w:t xml:space="preserve">It also provides </w:t>
      </w:r>
      <w:r w:rsidR="00F32CDC">
        <w:t>m</w:t>
      </w:r>
      <w:r w:rsidR="008D489C">
        <w:t xml:space="preserve">ore options for directors of companies facing severe financial hardship when entering into early negotiation with their creditors about pursuing a restructure (including under the safe harbour provisions) knowing that future entry into formal insolvency will not necessarily trigger an ipso facto clause. </w:t>
      </w:r>
      <w:r w:rsidR="0032082B">
        <w:t xml:space="preserve">This will assist in </w:t>
      </w:r>
      <w:r>
        <w:t>protect</w:t>
      </w:r>
      <w:r w:rsidR="0032082B">
        <w:t>ing</w:t>
      </w:r>
      <w:r>
        <w:t xml:space="preserve"> asset values </w:t>
      </w:r>
      <w:r w:rsidR="0032082B">
        <w:t xml:space="preserve">for the benefit of the company, its employees and </w:t>
      </w:r>
      <w:r w:rsidR="00F32CDC">
        <w:t>its creditors</w:t>
      </w:r>
      <w:r w:rsidR="0032082B">
        <w:t xml:space="preserve"> which in turn will assist to promote a culture of entrepreneurship and reduce the stigma of failure</w:t>
      </w:r>
      <w:r w:rsidR="00F32CDC">
        <w:t>.</w:t>
      </w:r>
    </w:p>
    <w:p w14:paraId="6B0CACE7" w14:textId="227CC20B" w:rsidR="00657FD7" w:rsidRPr="00657FD7" w:rsidRDefault="00657FD7" w:rsidP="00C778A4">
      <w:pPr>
        <w:pStyle w:val="base-text-paragraph"/>
        <w:tabs>
          <w:tab w:val="clear" w:pos="3687"/>
          <w:tab w:val="num" w:pos="1701"/>
        </w:tabs>
        <w:ind w:left="851"/>
      </w:pPr>
      <w:r>
        <w:t>Notwithstanding the operation of the stay, a counterparty maintains the</w:t>
      </w:r>
      <w:r w:rsidRPr="00657FD7">
        <w:t xml:space="preserve"> right to terminate </w:t>
      </w:r>
      <w:r>
        <w:t xml:space="preserve">or amend </w:t>
      </w:r>
      <w:r w:rsidRPr="00657FD7">
        <w:t>an agreement with the debtor company for any other reason</w:t>
      </w:r>
      <w:r>
        <w:t xml:space="preserve">, including </w:t>
      </w:r>
      <w:r w:rsidRPr="00657FD7">
        <w:t>for a breach involving non-payment or non</w:t>
      </w:r>
      <w:r w:rsidR="00441D85">
        <w:noBreakHyphen/>
      </w:r>
      <w:r w:rsidRPr="00657FD7">
        <w:t>performance.</w:t>
      </w:r>
    </w:p>
    <w:p w14:paraId="0B99552D" w14:textId="32BF847B" w:rsidR="00657FD7" w:rsidRDefault="00657FD7" w:rsidP="00C778A4">
      <w:pPr>
        <w:pStyle w:val="base-text-paragraph"/>
        <w:tabs>
          <w:tab w:val="clear" w:pos="3687"/>
          <w:tab w:val="num" w:pos="1701"/>
        </w:tabs>
        <w:ind w:left="851"/>
      </w:pPr>
      <w:r>
        <w:t>Nothing in the operation of the stay would require any creditor to provide a new advance of money or credit or to provide additional security for further credit</w:t>
      </w:r>
      <w:r w:rsidR="00B90A35">
        <w:t xml:space="preserve"> to a debtor company.</w:t>
      </w:r>
    </w:p>
    <w:p w14:paraId="2C3F20E4" w14:textId="77777777" w:rsidR="00697AD0" w:rsidRDefault="00697AD0" w:rsidP="00703978">
      <w:pPr>
        <w:pStyle w:val="Heading2"/>
      </w:pPr>
      <w:r>
        <w:t>Summary of new law</w:t>
      </w:r>
    </w:p>
    <w:p w14:paraId="7F593563" w14:textId="7ECE31B3" w:rsidR="00FF6287" w:rsidRDefault="00FF6287" w:rsidP="00C778A4">
      <w:pPr>
        <w:pStyle w:val="base-text-paragraph"/>
        <w:tabs>
          <w:tab w:val="clear" w:pos="3687"/>
          <w:tab w:val="num" w:pos="1701"/>
        </w:tabs>
        <w:ind w:left="851"/>
      </w:pPr>
      <w:r w:rsidRPr="00FF6287">
        <w:t xml:space="preserve">The amendments in </w:t>
      </w:r>
      <w:r w:rsidR="00C739E7">
        <w:t>P</w:t>
      </w:r>
      <w:r w:rsidRPr="00FF6287">
        <w:t xml:space="preserve">art 2 of </w:t>
      </w:r>
      <w:r w:rsidR="00C739E7">
        <w:t>S</w:t>
      </w:r>
      <w:r w:rsidRPr="00FF6287">
        <w:t xml:space="preserve">chedule 1 of the bill provide that ipso facto clauses that amend or terminate an agreement because of an insolvency event are not enforceable except in certain circumstances.  </w:t>
      </w:r>
    </w:p>
    <w:p w14:paraId="71A1DA4D" w14:textId="083A3230" w:rsidR="00B5755D" w:rsidRPr="00FF6287" w:rsidRDefault="00B5755D" w:rsidP="00C778A4">
      <w:pPr>
        <w:pStyle w:val="base-text-paragraph"/>
        <w:tabs>
          <w:tab w:val="clear" w:pos="3687"/>
          <w:tab w:val="num" w:pos="1701"/>
        </w:tabs>
        <w:ind w:left="851"/>
      </w:pPr>
      <w:r>
        <w:t xml:space="preserve">The provisions apply to stay the enforcement of these rights in relation to a Part 5.1 body that applies for a scheme of compromise </w:t>
      </w:r>
      <w:r w:rsidR="0032082B">
        <w:t xml:space="preserve">or arrangement </w:t>
      </w:r>
      <w:r>
        <w:t xml:space="preserve">and to companies that </w:t>
      </w:r>
      <w:r w:rsidR="00974C6E">
        <w:t>enter into</w:t>
      </w:r>
      <w:r>
        <w:t xml:space="preserve"> administration. The stay applies regardless of whether the right is self-executing or triggered by one of the parties to an agreement. </w:t>
      </w:r>
    </w:p>
    <w:p w14:paraId="2C2FDE5F" w14:textId="3796718C" w:rsidR="00B5755D" w:rsidRDefault="00B5755D" w:rsidP="00C778A4">
      <w:pPr>
        <w:pStyle w:val="base-text-paragraph"/>
        <w:tabs>
          <w:tab w:val="clear" w:pos="3687"/>
          <w:tab w:val="num" w:pos="1701"/>
        </w:tabs>
        <w:ind w:left="851"/>
      </w:pPr>
      <w:r>
        <w:t>This stay on the enforcement of rights does not apply in relation to rights:</w:t>
      </w:r>
      <w:r w:rsidR="00472046">
        <w:t xml:space="preserve"> </w:t>
      </w:r>
    </w:p>
    <w:p w14:paraId="17543F11" w14:textId="1F1E8464" w:rsidR="00B5755D" w:rsidRDefault="00B5755D" w:rsidP="00441D85">
      <w:pPr>
        <w:pStyle w:val="dotpoint"/>
      </w:pPr>
      <w:r>
        <w:t>in a type of contract specified in</w:t>
      </w:r>
      <w:r w:rsidR="00DB33EC">
        <w:t xml:space="preserve"> regulations</w:t>
      </w:r>
      <w:r>
        <w:t xml:space="preserve"> a ministerial determination;</w:t>
      </w:r>
    </w:p>
    <w:p w14:paraId="0A9A7D36" w14:textId="652FAD78" w:rsidR="00586936" w:rsidRDefault="00586936" w:rsidP="00586936">
      <w:pPr>
        <w:pStyle w:val="dotpoint"/>
      </w:pPr>
      <w:r>
        <w:t>of a kind prescribed in the ministerial determination</w:t>
      </w:r>
      <w:r w:rsidR="00A937B3">
        <w:t>;</w:t>
      </w:r>
    </w:p>
    <w:p w14:paraId="7CF5E79A" w14:textId="5E2762C9" w:rsidR="00B5755D" w:rsidRDefault="00B5755D" w:rsidP="00441D85">
      <w:pPr>
        <w:pStyle w:val="dotpoint"/>
      </w:pPr>
      <w:r>
        <w:t xml:space="preserve">in agreements made after the commencement of a scheme of compromise for a Part 5.1 body or administration of a company; </w:t>
      </w:r>
    </w:p>
    <w:p w14:paraId="241FC8AF" w14:textId="76B1360E" w:rsidR="00B5755D" w:rsidRDefault="00B5755D" w:rsidP="00441D85">
      <w:pPr>
        <w:pStyle w:val="dotpoint"/>
      </w:pPr>
      <w:r>
        <w:t xml:space="preserve">that manage financial risk associated with a financial product that </w:t>
      </w:r>
      <w:r w:rsidR="00A87B3A">
        <w:t>is</w:t>
      </w:r>
      <w:r>
        <w:t xml:space="preserve"> commercially necessary for that type of financial product.</w:t>
      </w:r>
    </w:p>
    <w:p w14:paraId="0C0464CE" w14:textId="4245729B" w:rsidR="00FF6287" w:rsidRDefault="00B5755D" w:rsidP="00C778A4">
      <w:pPr>
        <w:pStyle w:val="base-text-paragraph"/>
        <w:tabs>
          <w:tab w:val="clear" w:pos="3687"/>
          <w:tab w:val="num" w:pos="1701"/>
        </w:tabs>
        <w:ind w:left="851"/>
      </w:pPr>
      <w:r>
        <w:t xml:space="preserve"> The courts will have discretion to allow a right to be enforced if doing so would be appropriate in the interests of justice. </w:t>
      </w:r>
    </w:p>
    <w:p w14:paraId="3C297966" w14:textId="43AF5A87" w:rsidR="00B5755D" w:rsidRPr="008F726E" w:rsidRDefault="00B5755D" w:rsidP="00C778A4">
      <w:pPr>
        <w:pStyle w:val="base-text-paragraph"/>
        <w:tabs>
          <w:tab w:val="clear" w:pos="3687"/>
          <w:tab w:val="num" w:pos="1701"/>
        </w:tabs>
        <w:ind w:left="851"/>
      </w:pPr>
      <w:r>
        <w:t xml:space="preserve">The courts will also have the discretion to restrict the enforcement of other rights in an agreement if it appears </w:t>
      </w:r>
      <w:r w:rsidR="00F36FF9">
        <w:t>likely that those rights</w:t>
      </w:r>
      <w:r>
        <w:t xml:space="preserve"> will be </w:t>
      </w:r>
      <w:r w:rsidR="00F36FF9">
        <w:t>exercised</w:t>
      </w:r>
      <w:r>
        <w:t xml:space="preserve"> merely because of an insolvency event.  </w:t>
      </w:r>
    </w:p>
    <w:p w14:paraId="4DA8B53E" w14:textId="77777777" w:rsidR="00697AD0" w:rsidRDefault="00697AD0" w:rsidP="00703978">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697AD0" w:rsidRPr="004666B8" w14:paraId="4680E7CD" w14:textId="77777777" w:rsidTr="00703978">
        <w:tc>
          <w:tcPr>
            <w:tcW w:w="3275" w:type="dxa"/>
          </w:tcPr>
          <w:p w14:paraId="5C3DEAE8" w14:textId="77777777" w:rsidR="00697AD0" w:rsidRPr="004666B8" w:rsidRDefault="00697AD0" w:rsidP="00703978">
            <w:pPr>
              <w:pStyle w:val="tableheaderwithintable"/>
              <w:rPr>
                <w:lang w:val="en-US" w:eastAsia="en-US"/>
              </w:rPr>
            </w:pPr>
            <w:r w:rsidRPr="004666B8">
              <w:rPr>
                <w:lang w:val="en-US" w:eastAsia="en-US"/>
              </w:rPr>
              <w:t>New law</w:t>
            </w:r>
          </w:p>
        </w:tc>
        <w:tc>
          <w:tcPr>
            <w:tcW w:w="3276" w:type="dxa"/>
          </w:tcPr>
          <w:p w14:paraId="4E69A8E3" w14:textId="77777777" w:rsidR="00697AD0" w:rsidRPr="004666B8" w:rsidRDefault="00697AD0" w:rsidP="00703978">
            <w:pPr>
              <w:pStyle w:val="tableheaderwithintable"/>
              <w:rPr>
                <w:lang w:val="en-US" w:eastAsia="en-US"/>
              </w:rPr>
            </w:pPr>
            <w:r w:rsidRPr="004666B8">
              <w:rPr>
                <w:lang w:val="en-US" w:eastAsia="en-US"/>
              </w:rPr>
              <w:t>Current law</w:t>
            </w:r>
          </w:p>
        </w:tc>
      </w:tr>
      <w:tr w:rsidR="00697AD0" w:rsidRPr="004666B8" w14:paraId="26DEEF2E" w14:textId="77777777" w:rsidTr="00703978">
        <w:tc>
          <w:tcPr>
            <w:tcW w:w="3275" w:type="dxa"/>
          </w:tcPr>
          <w:p w14:paraId="5A498D6C" w14:textId="1D235512" w:rsidR="00697AD0" w:rsidRPr="004666B8" w:rsidRDefault="003D1FBD" w:rsidP="00980C2B">
            <w:pPr>
              <w:pStyle w:val="tabletext"/>
              <w:rPr>
                <w:lang w:val="en-US" w:eastAsia="en-US"/>
              </w:rPr>
            </w:pPr>
            <w:r>
              <w:rPr>
                <w:lang w:val="en-US" w:eastAsia="en-US"/>
              </w:rPr>
              <w:t>Stay on the enforcement of rights that amend o</w:t>
            </w:r>
            <w:r w:rsidR="00980C2B">
              <w:rPr>
                <w:lang w:val="en-US" w:eastAsia="en-US"/>
              </w:rPr>
              <w:t xml:space="preserve">r terminate a contract merely </w:t>
            </w:r>
            <w:r w:rsidR="007B7AB5">
              <w:rPr>
                <w:lang w:val="en-US" w:eastAsia="en-US"/>
              </w:rPr>
              <w:t>because</w:t>
            </w:r>
            <w:r>
              <w:rPr>
                <w:lang w:val="en-US" w:eastAsia="en-US"/>
              </w:rPr>
              <w:t xml:space="preserve"> a Part 5.1 body </w:t>
            </w:r>
            <w:r w:rsidR="00980C2B">
              <w:rPr>
                <w:lang w:val="en-US" w:eastAsia="en-US"/>
              </w:rPr>
              <w:t>enters</w:t>
            </w:r>
            <w:r>
              <w:rPr>
                <w:lang w:val="en-US" w:eastAsia="en-US"/>
              </w:rPr>
              <w:t xml:space="preserve"> into a scheme of compromise </w:t>
            </w:r>
          </w:p>
        </w:tc>
        <w:tc>
          <w:tcPr>
            <w:tcW w:w="3276" w:type="dxa"/>
          </w:tcPr>
          <w:p w14:paraId="52C33BEE" w14:textId="573294BB" w:rsidR="00697AD0" w:rsidRPr="004666B8" w:rsidRDefault="003D1FBD" w:rsidP="00703978">
            <w:pPr>
              <w:pStyle w:val="tabletext"/>
              <w:rPr>
                <w:lang w:val="en-US" w:eastAsia="en-US"/>
              </w:rPr>
            </w:pPr>
            <w:r>
              <w:rPr>
                <w:lang w:val="en-US" w:eastAsia="en-US"/>
              </w:rPr>
              <w:t xml:space="preserve">No equivalent </w:t>
            </w:r>
          </w:p>
        </w:tc>
      </w:tr>
      <w:tr w:rsidR="00B5755D" w:rsidRPr="004666B8" w14:paraId="7C307B1A" w14:textId="77777777" w:rsidTr="00703978">
        <w:tc>
          <w:tcPr>
            <w:tcW w:w="3275" w:type="dxa"/>
          </w:tcPr>
          <w:p w14:paraId="3728E7D6" w14:textId="7A8C6397" w:rsidR="00B5755D" w:rsidRPr="004666B8" w:rsidRDefault="003D1FBD" w:rsidP="00703978">
            <w:pPr>
              <w:pStyle w:val="tabletext"/>
              <w:rPr>
                <w:lang w:val="en-US" w:eastAsia="en-US"/>
              </w:rPr>
            </w:pPr>
            <w:r>
              <w:rPr>
                <w:lang w:val="en-US" w:eastAsia="en-US"/>
              </w:rPr>
              <w:t xml:space="preserve">Courts will have a discretion to allow or prevent the enforcement of rights that are triggered or may be used merely </w:t>
            </w:r>
            <w:r w:rsidR="009551C6">
              <w:rPr>
                <w:lang w:val="en-US" w:eastAsia="en-US"/>
              </w:rPr>
              <w:t>because</w:t>
            </w:r>
            <w:r>
              <w:rPr>
                <w:lang w:val="en-US" w:eastAsia="en-US"/>
              </w:rPr>
              <w:t xml:space="preserve"> a Part 5.1 body enters into a scheme of compromise </w:t>
            </w:r>
          </w:p>
        </w:tc>
        <w:tc>
          <w:tcPr>
            <w:tcW w:w="3276" w:type="dxa"/>
          </w:tcPr>
          <w:p w14:paraId="3752BD2F" w14:textId="0A6B0ED6" w:rsidR="00B5755D" w:rsidRPr="004666B8" w:rsidRDefault="003D1FBD" w:rsidP="00703978">
            <w:pPr>
              <w:pStyle w:val="tabletext"/>
              <w:rPr>
                <w:lang w:val="en-US" w:eastAsia="en-US"/>
              </w:rPr>
            </w:pPr>
            <w:r>
              <w:rPr>
                <w:lang w:val="en-US" w:eastAsia="en-US"/>
              </w:rPr>
              <w:t xml:space="preserve">No equivalent </w:t>
            </w:r>
          </w:p>
        </w:tc>
      </w:tr>
      <w:tr w:rsidR="00B5755D" w:rsidRPr="004666B8" w14:paraId="52F70C55" w14:textId="77777777" w:rsidTr="00703978">
        <w:tc>
          <w:tcPr>
            <w:tcW w:w="3275" w:type="dxa"/>
          </w:tcPr>
          <w:p w14:paraId="11845280" w14:textId="1F70C76B" w:rsidR="00B5755D" w:rsidRDefault="00980C2B" w:rsidP="00980C2B">
            <w:pPr>
              <w:pStyle w:val="tabletext"/>
              <w:rPr>
                <w:lang w:val="en-US" w:eastAsia="en-US"/>
              </w:rPr>
            </w:pPr>
            <w:r>
              <w:rPr>
                <w:lang w:val="en-US" w:eastAsia="en-US"/>
              </w:rPr>
              <w:t xml:space="preserve">Stay on the enforcement of rights that amend or terminate a contract merely </w:t>
            </w:r>
            <w:r w:rsidR="009551C6">
              <w:rPr>
                <w:lang w:val="en-US" w:eastAsia="en-US"/>
              </w:rPr>
              <w:t>because</w:t>
            </w:r>
            <w:r>
              <w:rPr>
                <w:lang w:val="en-US" w:eastAsia="en-US"/>
              </w:rPr>
              <w:t xml:space="preserve"> a company enters administration</w:t>
            </w:r>
          </w:p>
        </w:tc>
        <w:tc>
          <w:tcPr>
            <w:tcW w:w="3276" w:type="dxa"/>
          </w:tcPr>
          <w:p w14:paraId="1C5DBBB7" w14:textId="198290C5" w:rsidR="00B5755D" w:rsidRDefault="003D1FBD" w:rsidP="00703978">
            <w:pPr>
              <w:pStyle w:val="tabletext"/>
              <w:rPr>
                <w:lang w:val="en-US" w:eastAsia="en-US"/>
              </w:rPr>
            </w:pPr>
            <w:r>
              <w:rPr>
                <w:lang w:val="en-US" w:eastAsia="en-US"/>
              </w:rPr>
              <w:t xml:space="preserve">No equivalent </w:t>
            </w:r>
          </w:p>
        </w:tc>
      </w:tr>
      <w:tr w:rsidR="00B5755D" w:rsidRPr="004666B8" w14:paraId="2D02D1B4" w14:textId="77777777" w:rsidTr="00703978">
        <w:tc>
          <w:tcPr>
            <w:tcW w:w="3275" w:type="dxa"/>
          </w:tcPr>
          <w:p w14:paraId="61BDEC50" w14:textId="449F2312" w:rsidR="00B5755D" w:rsidRDefault="00980C2B" w:rsidP="00980C2B">
            <w:pPr>
              <w:pStyle w:val="tabletext"/>
              <w:rPr>
                <w:lang w:val="en-US" w:eastAsia="en-US"/>
              </w:rPr>
            </w:pPr>
            <w:r>
              <w:rPr>
                <w:lang w:val="en-US" w:eastAsia="en-US"/>
              </w:rPr>
              <w:t xml:space="preserve">Courts will have a discretion to allow or prevent the enforcement of rights that are triggered or may be used merely </w:t>
            </w:r>
            <w:r w:rsidR="000A415F">
              <w:rPr>
                <w:lang w:val="en-US" w:eastAsia="en-US"/>
              </w:rPr>
              <w:t>because a</w:t>
            </w:r>
            <w:r>
              <w:rPr>
                <w:lang w:val="en-US" w:eastAsia="en-US"/>
              </w:rPr>
              <w:t xml:space="preserve"> company enters administration </w:t>
            </w:r>
          </w:p>
        </w:tc>
        <w:tc>
          <w:tcPr>
            <w:tcW w:w="3276" w:type="dxa"/>
          </w:tcPr>
          <w:p w14:paraId="4E1F9779" w14:textId="6FA663F4" w:rsidR="00B5755D" w:rsidRDefault="003D1FBD" w:rsidP="00703978">
            <w:pPr>
              <w:pStyle w:val="tabletext"/>
              <w:rPr>
                <w:lang w:val="en-US" w:eastAsia="en-US"/>
              </w:rPr>
            </w:pPr>
            <w:r>
              <w:rPr>
                <w:lang w:val="en-US" w:eastAsia="en-US"/>
              </w:rPr>
              <w:t xml:space="preserve">No equivalent </w:t>
            </w:r>
          </w:p>
        </w:tc>
      </w:tr>
    </w:tbl>
    <w:p w14:paraId="518A89C2" w14:textId="77777777" w:rsidR="00697AD0" w:rsidRDefault="00697AD0" w:rsidP="00703978">
      <w:pPr>
        <w:pStyle w:val="Heading2"/>
      </w:pPr>
      <w:r>
        <w:t>Detailed explanation of new law</w:t>
      </w:r>
    </w:p>
    <w:p w14:paraId="68A73D1C" w14:textId="427EE2EB" w:rsidR="00BB540A" w:rsidRDefault="00FF6287" w:rsidP="00384DF4">
      <w:pPr>
        <w:pStyle w:val="base-text-paragraph"/>
        <w:tabs>
          <w:tab w:val="clear" w:pos="3687"/>
          <w:tab w:val="num" w:pos="1701"/>
        </w:tabs>
        <w:ind w:left="851"/>
      </w:pPr>
      <w:r>
        <w:t xml:space="preserve">The amendments in </w:t>
      </w:r>
      <w:r w:rsidR="001116C7">
        <w:t>P</w:t>
      </w:r>
      <w:r>
        <w:t xml:space="preserve">art 2 of </w:t>
      </w:r>
      <w:r w:rsidR="00D97AFA">
        <w:t>S</w:t>
      </w:r>
      <w:r>
        <w:t xml:space="preserve">chedule 1 of the bill provide for a stay against the enforcement of </w:t>
      </w:r>
      <w:r w:rsidR="00BB540A">
        <w:t>terms</w:t>
      </w:r>
      <w:r>
        <w:t xml:space="preserve"> that amend or terminate an agreement merely because of a formal insolvency event. The amendments apply in relation to entities </w:t>
      </w:r>
      <w:r w:rsidR="004176E0">
        <w:t xml:space="preserve">entering into a Part 5.1 </w:t>
      </w:r>
      <w:r>
        <w:t>scheme of compromise or arrangement</w:t>
      </w:r>
      <w:r w:rsidR="004176E0">
        <w:t>,</w:t>
      </w:r>
      <w:r>
        <w:t xml:space="preserve"> and </w:t>
      </w:r>
      <w:r w:rsidR="004176E0">
        <w:t xml:space="preserve">also </w:t>
      </w:r>
      <w:r>
        <w:t xml:space="preserve">companies that are placed </w:t>
      </w:r>
      <w:r w:rsidR="00BB540A">
        <w:t xml:space="preserve">into administration. </w:t>
      </w:r>
    </w:p>
    <w:p w14:paraId="2ECB7F5F" w14:textId="3E17C002" w:rsidR="00BB540A" w:rsidRPr="00331C96" w:rsidRDefault="00BB540A" w:rsidP="00C6332B">
      <w:pPr>
        <w:pStyle w:val="base-text-paragraph"/>
        <w:numPr>
          <w:ilvl w:val="0"/>
          <w:numId w:val="0"/>
        </w:numPr>
        <w:ind w:left="851"/>
        <w:rPr>
          <w:i/>
        </w:rPr>
      </w:pPr>
      <w:r w:rsidRPr="00C6332B">
        <w:rPr>
          <w:i/>
        </w:rPr>
        <w:t xml:space="preserve">Stay on enforcement </w:t>
      </w:r>
      <w:r w:rsidRPr="00331C96">
        <w:rPr>
          <w:i/>
        </w:rPr>
        <w:t>of rights triggered as a result of a compromise or arrangement under Part 5.1</w:t>
      </w:r>
    </w:p>
    <w:p w14:paraId="1326A673" w14:textId="37362E50" w:rsidR="007B0E6D" w:rsidRDefault="000743C9" w:rsidP="00C778A4">
      <w:pPr>
        <w:pStyle w:val="base-text-paragraph"/>
        <w:tabs>
          <w:tab w:val="clear" w:pos="3687"/>
          <w:tab w:val="num" w:pos="1701"/>
        </w:tabs>
        <w:ind w:left="851"/>
      </w:pPr>
      <w:r>
        <w:t>New subsection 415</w:t>
      </w:r>
      <w:r w:rsidR="00D97AFA">
        <w:t>D</w:t>
      </w:r>
      <w:r>
        <w:t xml:space="preserve"> in Part 5.1 of the Act provides </w:t>
      </w:r>
      <w:r w:rsidR="009D3806">
        <w:t xml:space="preserve">a stay against the enforcement of </w:t>
      </w:r>
      <w:r w:rsidR="007B0E6D">
        <w:t xml:space="preserve">rights </w:t>
      </w:r>
      <w:r w:rsidR="00AD12E4">
        <w:t xml:space="preserve">which </w:t>
      </w:r>
      <w:r w:rsidR="009D3806">
        <w:t xml:space="preserve">would </w:t>
      </w:r>
      <w:r w:rsidR="00AD12E4">
        <w:t>allow</w:t>
      </w:r>
      <w:r w:rsidR="009D3806">
        <w:t xml:space="preserve"> </w:t>
      </w:r>
      <w:r w:rsidR="00AD12E4">
        <w:t xml:space="preserve">a contract to </w:t>
      </w:r>
      <w:r w:rsidR="00BB540A">
        <w:t xml:space="preserve">be </w:t>
      </w:r>
      <w:r w:rsidR="009D3806">
        <w:t>terminate</w:t>
      </w:r>
      <w:r w:rsidR="009A4896">
        <w:t>d</w:t>
      </w:r>
      <w:r w:rsidR="007B0E6D">
        <w:t xml:space="preserve"> or </w:t>
      </w:r>
      <w:r w:rsidR="009D3806">
        <w:t>amend</w:t>
      </w:r>
      <w:r w:rsidR="00BB540A">
        <w:t>ed</w:t>
      </w:r>
      <w:r w:rsidR="007B0E6D">
        <w:t xml:space="preserve"> </w:t>
      </w:r>
      <w:r w:rsidR="00BB540A">
        <w:t>if a Part 5.1 body</w:t>
      </w:r>
      <w:r w:rsidR="00262AD3">
        <w:t xml:space="preserve"> makes an application to enter into a compromise or arrangement or has such an application approved.</w:t>
      </w:r>
      <w:r w:rsidR="00262AD3" w:rsidRPr="00262AD3">
        <w:rPr>
          <w:rStyle w:val="Referencingstyle"/>
        </w:rPr>
        <w:t xml:space="preserve"> </w:t>
      </w:r>
      <w:r w:rsidR="00262AD3" w:rsidRPr="00396542">
        <w:rPr>
          <w:rStyle w:val="Referencingstyle"/>
        </w:rPr>
        <w:t xml:space="preserve">[Schedule 1, Part </w:t>
      </w:r>
      <w:r w:rsidR="00262AD3">
        <w:rPr>
          <w:rStyle w:val="Referencingstyle"/>
        </w:rPr>
        <w:t>2</w:t>
      </w:r>
      <w:r w:rsidR="00262AD3" w:rsidRPr="00396542">
        <w:rPr>
          <w:rStyle w:val="Referencingstyle"/>
        </w:rPr>
        <w:t xml:space="preserve">, item </w:t>
      </w:r>
      <w:r w:rsidR="00262AD3">
        <w:rPr>
          <w:rStyle w:val="Referencingstyle"/>
        </w:rPr>
        <w:t>5</w:t>
      </w:r>
      <w:r w:rsidR="00262AD3" w:rsidRPr="00396542">
        <w:rPr>
          <w:rStyle w:val="Referencingstyle"/>
        </w:rPr>
        <w:t xml:space="preserve">, subsection </w:t>
      </w:r>
      <w:r w:rsidR="00262AD3">
        <w:rPr>
          <w:rStyle w:val="Referencingstyle"/>
        </w:rPr>
        <w:t>415</w:t>
      </w:r>
      <w:r w:rsidR="00331C96">
        <w:rPr>
          <w:rStyle w:val="Referencingstyle"/>
        </w:rPr>
        <w:t>D</w:t>
      </w:r>
      <w:r w:rsidR="00262AD3" w:rsidRPr="00396542">
        <w:rPr>
          <w:rStyle w:val="Referencingstyle"/>
        </w:rPr>
        <w:t>(</w:t>
      </w:r>
      <w:r w:rsidR="00262AD3">
        <w:rPr>
          <w:rStyle w:val="Referencingstyle"/>
        </w:rPr>
        <w:t>1</w:t>
      </w:r>
      <w:r w:rsidR="00262AD3" w:rsidRPr="00396542">
        <w:rPr>
          <w:rStyle w:val="Referencingstyle"/>
        </w:rPr>
        <w:t>)]</w:t>
      </w:r>
    </w:p>
    <w:p w14:paraId="6A4B10E9" w14:textId="6132ADFC" w:rsidR="007B0E6D" w:rsidRPr="005A2B3B" w:rsidRDefault="005A2B3B" w:rsidP="00C778A4">
      <w:pPr>
        <w:pStyle w:val="base-text-paragraph"/>
        <w:tabs>
          <w:tab w:val="clear" w:pos="3687"/>
          <w:tab w:val="num" w:pos="1701"/>
        </w:tabs>
        <w:ind w:left="851"/>
      </w:pPr>
      <w:r>
        <w:t>The right</w:t>
      </w:r>
      <w:r w:rsidR="00262AD3">
        <w:t>s</w:t>
      </w:r>
      <w:r>
        <w:t xml:space="preserve"> will however only be unenforceable where the </w:t>
      </w:r>
      <w:r w:rsidR="00262AD3">
        <w:t xml:space="preserve">Part 5.1 body’s </w:t>
      </w:r>
      <w:r>
        <w:t xml:space="preserve">application under section 411 </w:t>
      </w:r>
      <w:r w:rsidR="00262AD3">
        <w:t>state</w:t>
      </w:r>
      <w:r w:rsidR="00D97AFA">
        <w:t>s</w:t>
      </w:r>
      <w:r>
        <w:t xml:space="preserve"> that </w:t>
      </w:r>
      <w:r w:rsidR="00262AD3">
        <w:t xml:space="preserve">it </w:t>
      </w:r>
      <w:r>
        <w:t xml:space="preserve">is being made so that the party can avoid being wound up in insolvency. </w:t>
      </w:r>
      <w:r w:rsidRPr="00C6332B">
        <w:rPr>
          <w:rStyle w:val="Referencingstyle"/>
        </w:rPr>
        <w:t>[Schedule 1, Part 2, item 5, subsection 415</w:t>
      </w:r>
      <w:r w:rsidR="00331C96">
        <w:rPr>
          <w:rStyle w:val="Referencingstyle"/>
        </w:rPr>
        <w:t>D</w:t>
      </w:r>
      <w:r w:rsidRPr="00C6332B">
        <w:rPr>
          <w:rStyle w:val="Referencingstyle"/>
        </w:rPr>
        <w:t>(</w:t>
      </w:r>
      <w:r>
        <w:rPr>
          <w:rStyle w:val="Referencingstyle"/>
        </w:rPr>
        <w:t>3</w:t>
      </w:r>
      <w:r w:rsidRPr="00C6332B">
        <w:rPr>
          <w:rStyle w:val="Referencingstyle"/>
        </w:rPr>
        <w:t>)]</w:t>
      </w:r>
    </w:p>
    <w:p w14:paraId="4D59ABF8" w14:textId="7B54D8AA" w:rsidR="009D3806" w:rsidRPr="00DB33EC" w:rsidRDefault="007B0E6D" w:rsidP="00C778A4">
      <w:pPr>
        <w:pStyle w:val="base-text-paragraph"/>
        <w:tabs>
          <w:tab w:val="clear" w:pos="3687"/>
          <w:tab w:val="num" w:pos="1701"/>
        </w:tabs>
        <w:ind w:left="851"/>
      </w:pPr>
      <w:r>
        <w:t xml:space="preserve">The effect of this provision is that a </w:t>
      </w:r>
      <w:r w:rsidR="008D1F24">
        <w:t>clause</w:t>
      </w:r>
      <w:r>
        <w:t xml:space="preserve"> that provides for </w:t>
      </w:r>
      <w:r w:rsidR="00262AD3">
        <w:t>a</w:t>
      </w:r>
      <w:r>
        <w:t xml:space="preserve"> contract to be </w:t>
      </w:r>
      <w:r w:rsidRPr="00DB33EC">
        <w:t>terminated or amended only because</w:t>
      </w:r>
      <w:r w:rsidR="00262AD3" w:rsidRPr="00DB33EC">
        <w:t xml:space="preserve"> one of the parties</w:t>
      </w:r>
      <w:r w:rsidRPr="00DB33EC">
        <w:t xml:space="preserve"> has entered into or is seeking to enter into a scheme of arrangement is </w:t>
      </w:r>
      <w:r w:rsidR="009D3806" w:rsidRPr="00DB33EC">
        <w:t xml:space="preserve">not enforceable. A term in contract that purports to operate in this way will not be </w:t>
      </w:r>
      <w:r w:rsidR="00262AD3" w:rsidRPr="00DB33EC">
        <w:t>enforceable</w:t>
      </w:r>
      <w:r w:rsidR="009D3806" w:rsidRPr="00DB33EC">
        <w:t xml:space="preserve"> regardless of whether it is self-executing or takes effect at the election of one of the parties. </w:t>
      </w:r>
    </w:p>
    <w:p w14:paraId="339D8577" w14:textId="5E7CAFCD" w:rsidR="009D3806" w:rsidRPr="00DB33EC" w:rsidRDefault="009D3806" w:rsidP="00C778A4">
      <w:pPr>
        <w:pStyle w:val="base-text-paragraph"/>
        <w:tabs>
          <w:tab w:val="clear" w:pos="3687"/>
          <w:tab w:val="num" w:pos="1701"/>
        </w:tabs>
        <w:ind w:left="851"/>
      </w:pPr>
      <w:r w:rsidRPr="00DB33EC">
        <w:t xml:space="preserve">The provision </w:t>
      </w:r>
      <w:r w:rsidR="00262AD3" w:rsidRPr="00DB33EC">
        <w:t>applies</w:t>
      </w:r>
      <w:r w:rsidRPr="00DB33EC">
        <w:t xml:space="preserve"> in relation to Part 5.1 bodies </w:t>
      </w:r>
      <w:r w:rsidR="00262AD3" w:rsidRPr="00DB33EC">
        <w:t xml:space="preserve">which are defined </w:t>
      </w:r>
      <w:r w:rsidRPr="00DB33EC">
        <w:t xml:space="preserve">under section 9 </w:t>
      </w:r>
      <w:r w:rsidR="00262AD3" w:rsidRPr="00DB33EC">
        <w:t>to i</w:t>
      </w:r>
      <w:r w:rsidRPr="00DB33EC">
        <w:t xml:space="preserve">nclude companies under the Act and </w:t>
      </w:r>
      <w:r w:rsidR="00331C96" w:rsidRPr="00DB33EC">
        <w:t>an entity</w:t>
      </w:r>
      <w:r w:rsidRPr="00DB33EC">
        <w:t xml:space="preserve"> registered under Division 1 or 2 of Part 5B.2 of the Act. </w:t>
      </w:r>
    </w:p>
    <w:p w14:paraId="4313EAE7" w14:textId="34802C5B" w:rsidR="009D3806" w:rsidRDefault="00262AD3" w:rsidP="00C778A4">
      <w:pPr>
        <w:pStyle w:val="base-text-paragraph"/>
        <w:tabs>
          <w:tab w:val="clear" w:pos="3687"/>
          <w:tab w:val="num" w:pos="1701"/>
        </w:tabs>
        <w:ind w:left="851"/>
      </w:pPr>
      <w:r w:rsidRPr="00DB33EC">
        <w:t>Where t</w:t>
      </w:r>
      <w:r w:rsidR="009D3806" w:rsidRPr="00DB33EC">
        <w:t>his type of a right</w:t>
      </w:r>
      <w:r w:rsidRPr="00DB33EC">
        <w:t xml:space="preserve"> exists in a contract, it</w:t>
      </w:r>
      <w:r w:rsidR="009D3806" w:rsidRPr="00DB33EC">
        <w:t xml:space="preserve"> will</w:t>
      </w:r>
      <w:r w:rsidR="009D3806">
        <w:t xml:space="preserve"> not be enforceable </w:t>
      </w:r>
      <w:r>
        <w:t xml:space="preserve">against a Part 5.1 body </w:t>
      </w:r>
      <w:r w:rsidR="009D3806">
        <w:t xml:space="preserve">from the time the </w:t>
      </w:r>
      <w:r>
        <w:t>Part 5.1 body</w:t>
      </w:r>
      <w:r w:rsidR="009D3806">
        <w:t xml:space="preserve"> makes an application under section 411 to enter into a scheme of arrangement until either:</w:t>
      </w:r>
    </w:p>
    <w:p w14:paraId="7160E9F3" w14:textId="19F93105" w:rsidR="009D3806" w:rsidRDefault="009D3806" w:rsidP="00C6332B">
      <w:pPr>
        <w:pStyle w:val="dotpoint"/>
      </w:pPr>
      <w:r>
        <w:t xml:space="preserve">the application is withdrawn or is rejected by the court; </w:t>
      </w:r>
      <w:r w:rsidR="00262AD3">
        <w:t xml:space="preserve">or </w:t>
      </w:r>
    </w:p>
    <w:p w14:paraId="39B83C5E" w14:textId="08CBBE9F" w:rsidR="009D3806" w:rsidRPr="00DB33EC" w:rsidRDefault="005A2B3B" w:rsidP="00331C96">
      <w:pPr>
        <w:pStyle w:val="dotpoint"/>
      </w:pPr>
      <w:r w:rsidRPr="00DB33EC">
        <w:t>once the compromise or arrangement finishes, unless</w:t>
      </w:r>
      <w:r w:rsidR="00262AD3" w:rsidRPr="00DB33EC">
        <w:t xml:space="preserve"> this</w:t>
      </w:r>
      <w:r w:rsidRPr="00DB33EC">
        <w:t xml:space="preserve"> occurs because the party i</w:t>
      </w:r>
      <w:r w:rsidR="00262AD3" w:rsidRPr="00DB33EC">
        <w:t>s to be wound up, in which case the stay will operate</w:t>
      </w:r>
      <w:r w:rsidRPr="00DB33EC">
        <w:t xml:space="preserve"> until the party is wound up. </w:t>
      </w:r>
    </w:p>
    <w:p w14:paraId="1A0F00DF" w14:textId="2CCC6393" w:rsidR="005A2B3B" w:rsidRPr="00DB33EC" w:rsidRDefault="005A2B3B" w:rsidP="00331C96">
      <w:pPr>
        <w:pStyle w:val="dotpoint"/>
        <w:numPr>
          <w:ilvl w:val="0"/>
          <w:numId w:val="0"/>
        </w:numPr>
        <w:ind w:left="2268"/>
      </w:pPr>
      <w:r w:rsidRPr="00DB33EC">
        <w:rPr>
          <w:rStyle w:val="Referencingstyle"/>
        </w:rPr>
        <w:t>[Schedule 1, Part 2, item 5, subsection 415</w:t>
      </w:r>
      <w:r w:rsidR="00331C96" w:rsidRPr="00DB33EC">
        <w:rPr>
          <w:rStyle w:val="Referencingstyle"/>
        </w:rPr>
        <w:t>D</w:t>
      </w:r>
      <w:r w:rsidRPr="00DB33EC">
        <w:rPr>
          <w:rStyle w:val="Referencingstyle"/>
        </w:rPr>
        <w:t>(2)]</w:t>
      </w:r>
    </w:p>
    <w:p w14:paraId="374E801C" w14:textId="1558954D" w:rsidR="005A2B3B" w:rsidRDefault="00030C29" w:rsidP="00384DF4">
      <w:pPr>
        <w:pStyle w:val="base-text-paragraph"/>
        <w:tabs>
          <w:tab w:val="clear" w:pos="3687"/>
          <w:tab w:val="num" w:pos="1701"/>
        </w:tabs>
        <w:ind w:left="851"/>
      </w:pPr>
      <w:r w:rsidRPr="00DB33EC">
        <w:t>In some circumstances, it will not be appropriate t</w:t>
      </w:r>
      <w:r w:rsidR="00B12232" w:rsidRPr="00DB33EC">
        <w:t>o</w:t>
      </w:r>
      <w:r w:rsidRPr="00DB33EC">
        <w:t xml:space="preserve"> stay the enforcement of an ipso facto clause that is triggered</w:t>
      </w:r>
      <w:r>
        <w:t xml:space="preserve"> </w:t>
      </w:r>
      <w:r w:rsidR="000C4A4D">
        <w:t>by</w:t>
      </w:r>
      <w:r>
        <w:t xml:space="preserve"> a formal insolvency event. As such, </w:t>
      </w:r>
      <w:r w:rsidR="005A2B3B">
        <w:t>subsection 415</w:t>
      </w:r>
      <w:r w:rsidR="00331C96">
        <w:t>D</w:t>
      </w:r>
      <w:r w:rsidR="005A2B3B">
        <w:t>(4) provides an exemption to allow certain types of rights that would otherwise be unenforceable under subsection</w:t>
      </w:r>
      <w:r w:rsidR="001F0813">
        <w:t> </w:t>
      </w:r>
      <w:r w:rsidR="005A2B3B">
        <w:t>415</w:t>
      </w:r>
      <w:r w:rsidR="00331C96">
        <w:t>D</w:t>
      </w:r>
      <w:r w:rsidR="005A2B3B">
        <w:t xml:space="preserve">(1) to </w:t>
      </w:r>
      <w:r w:rsidR="006D63C6">
        <w:t>continue to</w:t>
      </w:r>
      <w:r w:rsidR="005A2B3B">
        <w:t xml:space="preserve"> </w:t>
      </w:r>
      <w:r w:rsidR="00556CE6">
        <w:t>operate</w:t>
      </w:r>
      <w:r w:rsidR="005A2B3B">
        <w:t>. These rights include</w:t>
      </w:r>
      <w:r w:rsidR="00172A64">
        <w:t xml:space="preserve"> rights</w:t>
      </w:r>
      <w:r w:rsidR="005A2B3B">
        <w:t>:</w:t>
      </w:r>
    </w:p>
    <w:p w14:paraId="2BEAC89E" w14:textId="0264795A" w:rsidR="005A2B3B" w:rsidRDefault="00F23E74" w:rsidP="00331C96">
      <w:pPr>
        <w:pStyle w:val="dotpoint"/>
      </w:pPr>
      <w:r>
        <w:t>in agreements entered into</w:t>
      </w:r>
      <w:r w:rsidR="00EB76BD">
        <w:t xml:space="preserve"> after</w:t>
      </w:r>
      <w:r>
        <w:t xml:space="preserve"> the day a compromise </w:t>
      </w:r>
      <w:r w:rsidR="00556CE6">
        <w:t xml:space="preserve">or </w:t>
      </w:r>
      <w:r>
        <w:t>arrangement is approved;</w:t>
      </w:r>
    </w:p>
    <w:p w14:paraId="45069FB2" w14:textId="63902505" w:rsidR="00F23E74" w:rsidRDefault="00F23E74" w:rsidP="00331C96">
      <w:pPr>
        <w:pStyle w:val="dotpoint"/>
      </w:pPr>
      <w:r>
        <w:t xml:space="preserve">of a kind prescribed </w:t>
      </w:r>
      <w:r w:rsidR="00056071">
        <w:t xml:space="preserve">a </w:t>
      </w:r>
      <w:r w:rsidR="00556CE6">
        <w:t>ministerial declaration</w:t>
      </w:r>
      <w:r>
        <w:t xml:space="preserve">; </w:t>
      </w:r>
    </w:p>
    <w:p w14:paraId="50B492C5" w14:textId="2BE91AEB" w:rsidR="00F23E74" w:rsidRDefault="00F23E74" w:rsidP="00331C96">
      <w:pPr>
        <w:pStyle w:val="dotpoint"/>
      </w:pPr>
      <w:r>
        <w:t xml:space="preserve">that are found in </w:t>
      </w:r>
      <w:r w:rsidR="00172A64">
        <w:t xml:space="preserve">the kinds of </w:t>
      </w:r>
      <w:r>
        <w:t>contracts or agreements prescribed in</w:t>
      </w:r>
      <w:r w:rsidR="00172A64">
        <w:t xml:space="preserve"> regulations</w:t>
      </w:r>
      <w:r>
        <w:t xml:space="preserve"> a ministerial declaration; </w:t>
      </w:r>
    </w:p>
    <w:p w14:paraId="6F6B00C4" w14:textId="15262D5B" w:rsidR="00F23E74" w:rsidRDefault="00F23E74" w:rsidP="00331C96">
      <w:pPr>
        <w:pStyle w:val="dotpoint"/>
      </w:pPr>
      <w:r>
        <w:t xml:space="preserve">that </w:t>
      </w:r>
      <w:r w:rsidR="00A648AE">
        <w:t>manage</w:t>
      </w:r>
      <w:r>
        <w:t xml:space="preserve"> financial risk that </w:t>
      </w:r>
      <w:r w:rsidR="001F0813">
        <w:t>are</w:t>
      </w:r>
      <w:r>
        <w:t xml:space="preserve"> associated with a financial product that would be commercially necessary for the provision of that type of financial product. </w:t>
      </w:r>
    </w:p>
    <w:p w14:paraId="014BB674" w14:textId="74A6A950" w:rsidR="00F23E74" w:rsidRDefault="00F23E74" w:rsidP="00F23E74">
      <w:pPr>
        <w:pStyle w:val="dotpoint"/>
        <w:numPr>
          <w:ilvl w:val="0"/>
          <w:numId w:val="0"/>
        </w:numPr>
        <w:ind w:left="2268"/>
      </w:pPr>
      <w:r>
        <w:t xml:space="preserve"> </w:t>
      </w:r>
      <w:r w:rsidRPr="00396542">
        <w:rPr>
          <w:rStyle w:val="Referencingstyle"/>
        </w:rPr>
        <w:t xml:space="preserve">[Schedule 1, Part </w:t>
      </w:r>
      <w:r>
        <w:rPr>
          <w:rStyle w:val="Referencingstyle"/>
        </w:rPr>
        <w:t>2</w:t>
      </w:r>
      <w:r w:rsidRPr="00396542">
        <w:rPr>
          <w:rStyle w:val="Referencingstyle"/>
        </w:rPr>
        <w:t xml:space="preserve">, item </w:t>
      </w:r>
      <w:r>
        <w:rPr>
          <w:rStyle w:val="Referencingstyle"/>
        </w:rPr>
        <w:t>5</w:t>
      </w:r>
      <w:r w:rsidRPr="00396542">
        <w:rPr>
          <w:rStyle w:val="Referencingstyle"/>
        </w:rPr>
        <w:t>, subsection</w:t>
      </w:r>
      <w:r>
        <w:rPr>
          <w:rStyle w:val="Referencingstyle"/>
        </w:rPr>
        <w:t>s</w:t>
      </w:r>
      <w:r w:rsidRPr="00396542">
        <w:rPr>
          <w:rStyle w:val="Referencingstyle"/>
        </w:rPr>
        <w:t xml:space="preserve"> </w:t>
      </w:r>
      <w:r w:rsidR="004733EA">
        <w:rPr>
          <w:rStyle w:val="Referencingstyle"/>
        </w:rPr>
        <w:t>415D</w:t>
      </w:r>
      <w:r w:rsidRPr="00396542">
        <w:rPr>
          <w:rStyle w:val="Referencingstyle"/>
        </w:rPr>
        <w:t>(</w:t>
      </w:r>
      <w:r>
        <w:rPr>
          <w:rStyle w:val="Referencingstyle"/>
        </w:rPr>
        <w:t>4</w:t>
      </w:r>
      <w:r w:rsidRPr="00396542">
        <w:rPr>
          <w:rStyle w:val="Referencingstyle"/>
        </w:rPr>
        <w:t>)</w:t>
      </w:r>
      <w:r>
        <w:rPr>
          <w:rStyle w:val="Referencingstyle"/>
        </w:rPr>
        <w:t xml:space="preserve"> and (5)</w:t>
      </w:r>
      <w:r w:rsidRPr="00396542">
        <w:rPr>
          <w:rStyle w:val="Referencingstyle"/>
        </w:rPr>
        <w:t>]</w:t>
      </w:r>
    </w:p>
    <w:p w14:paraId="473B2443" w14:textId="292F2184" w:rsidR="004733EA" w:rsidRDefault="00E10F9B" w:rsidP="009E0C47">
      <w:pPr>
        <w:pStyle w:val="base-text-paragraph"/>
        <w:tabs>
          <w:tab w:val="clear" w:pos="3687"/>
          <w:tab w:val="num" w:pos="1701"/>
        </w:tabs>
        <w:ind w:left="851"/>
      </w:pPr>
      <w:r>
        <w:t>T</w:t>
      </w:r>
      <w:r w:rsidR="00AA7D7E">
        <w:t xml:space="preserve">he regulations will prescribe the </w:t>
      </w:r>
      <w:r w:rsidR="009A28E0">
        <w:t xml:space="preserve">types of contracts in which </w:t>
      </w:r>
      <w:r w:rsidR="00AA7D7E">
        <w:t>ri</w:t>
      </w:r>
      <w:r w:rsidR="00583F10">
        <w:t>ght</w:t>
      </w:r>
      <w:r w:rsidR="000C4A4D">
        <w:t>s</w:t>
      </w:r>
      <w:r w:rsidR="00AA7D7E">
        <w:t xml:space="preserve"> may still be enforced</w:t>
      </w:r>
      <w:r w:rsidR="00583F10">
        <w:t xml:space="preserve"> even if they are triggered by an insolvency event</w:t>
      </w:r>
      <w:r w:rsidR="00AA7D7E">
        <w:t>. It is</w:t>
      </w:r>
      <w:r w:rsidR="00583F10">
        <w:t xml:space="preserve"> appropriate to do this in the regulations so that </w:t>
      </w:r>
      <w:r w:rsidR="00A802CC">
        <w:t xml:space="preserve">the </w:t>
      </w:r>
      <w:r w:rsidR="00583F10">
        <w:t xml:space="preserve">list can be updated regularly in response to the development of new and innovative financial products. As more new and complex financial products become available, the types of rights that may still be enforceable will need to be adjusted and the </w:t>
      </w:r>
      <w:r w:rsidR="004733EA">
        <w:t>changes</w:t>
      </w:r>
      <w:r w:rsidR="00583F10">
        <w:t xml:space="preserve"> will have to be made in a timely way. </w:t>
      </w:r>
    </w:p>
    <w:p w14:paraId="1226B329" w14:textId="71B170EA" w:rsidR="00C417C5" w:rsidRDefault="00E10F9B" w:rsidP="009E0C47">
      <w:pPr>
        <w:pStyle w:val="base-text-paragraph"/>
        <w:tabs>
          <w:tab w:val="clear" w:pos="3687"/>
          <w:tab w:val="num" w:pos="1701"/>
        </w:tabs>
        <w:ind w:left="851"/>
      </w:pPr>
      <w:r>
        <w:t>Similarly, t</w:t>
      </w:r>
      <w:r w:rsidR="004733EA">
        <w:t xml:space="preserve">he power to allow certain rights that trigger on an insolvency event to still be enforceable through a ministerial determination is required to ensure that where there are any unintended consequences, </w:t>
      </w:r>
      <w:r w:rsidR="009922DD">
        <w:t>they</w:t>
      </w:r>
      <w:r w:rsidR="004733EA">
        <w:t xml:space="preserve"> can be remedied very quickly. </w:t>
      </w:r>
    </w:p>
    <w:p w14:paraId="0A7A03D7" w14:textId="77777777" w:rsidR="00172A64" w:rsidRDefault="00D64E6C" w:rsidP="009E0C47">
      <w:pPr>
        <w:pStyle w:val="base-text-paragraph"/>
        <w:tabs>
          <w:tab w:val="clear" w:pos="3687"/>
          <w:tab w:val="num" w:pos="1701"/>
        </w:tabs>
        <w:ind w:left="851"/>
      </w:pPr>
      <w:r>
        <w:t>T</w:t>
      </w:r>
      <w:r w:rsidRPr="00E87A51">
        <w:t>here are types of financial products</w:t>
      </w:r>
      <w:r w:rsidR="003339B0">
        <w:t xml:space="preserve"> the primary purpose of</w:t>
      </w:r>
      <w:r w:rsidRPr="00E87A51">
        <w:t xml:space="preserve"> which </w:t>
      </w:r>
      <w:r w:rsidR="00E50826">
        <w:t>is to manage risk</w:t>
      </w:r>
      <w:r w:rsidRPr="00E87A51">
        <w:t>. For these types of financial products an ipso facto provision may be essential for the function of the relevant contract</w:t>
      </w:r>
      <w:r>
        <w:t xml:space="preserve"> and </w:t>
      </w:r>
      <w:r w:rsidRPr="00E87A51">
        <w:t>to stay the operation of the ipso facto provision would defeat the purpose for which the parties entered the contract</w:t>
      </w:r>
      <w:r>
        <w:t>. Therefore the ipso facto provisions are ‘commercially necessary’.</w:t>
      </w:r>
      <w:r w:rsidRPr="00E87A51">
        <w:t xml:space="preserve"> </w:t>
      </w:r>
      <w:r w:rsidR="00C417C5">
        <w:t xml:space="preserve">For examples, </w:t>
      </w:r>
      <w:r w:rsidR="00A802CC">
        <w:t>swaps, where the party is entitled to close out their position in order to manage counterparty risk</w:t>
      </w:r>
      <w:r w:rsidR="00C417C5">
        <w:t xml:space="preserve">. </w:t>
      </w:r>
    </w:p>
    <w:p w14:paraId="6A2D2ACD" w14:textId="5548EEC8" w:rsidR="00BE5D4B" w:rsidRDefault="00F23E74" w:rsidP="009E0C47">
      <w:pPr>
        <w:pStyle w:val="base-text-paragraph"/>
        <w:tabs>
          <w:tab w:val="clear" w:pos="3687"/>
          <w:tab w:val="num" w:pos="1701"/>
        </w:tabs>
        <w:ind w:left="851"/>
      </w:pPr>
      <w:r>
        <w:t xml:space="preserve">Where </w:t>
      </w:r>
      <w:r w:rsidR="00A614A1">
        <w:t>applicable</w:t>
      </w:r>
      <w:r>
        <w:t xml:space="preserve"> </w:t>
      </w:r>
      <w:r w:rsidR="00BE5D4B">
        <w:t>rights are</w:t>
      </w:r>
      <w:r>
        <w:t xml:space="preserve"> not enforceable against </w:t>
      </w:r>
      <w:r w:rsidR="00EC4334">
        <w:t>a</w:t>
      </w:r>
      <w:r>
        <w:t xml:space="preserve"> </w:t>
      </w:r>
      <w:r w:rsidR="00556CE6">
        <w:t>Part 5.1 body</w:t>
      </w:r>
      <w:r>
        <w:t xml:space="preserve"> because of subsection 415</w:t>
      </w:r>
      <w:r w:rsidR="00172A64">
        <w:t>D</w:t>
      </w:r>
      <w:r>
        <w:t xml:space="preserve">(1), any rights the </w:t>
      </w:r>
      <w:r w:rsidR="00556CE6">
        <w:t>Part 5.1 body</w:t>
      </w:r>
      <w:r>
        <w:t xml:space="preserve"> has to obtain additional credit </w:t>
      </w:r>
      <w:r w:rsidR="00BE5D4B">
        <w:t xml:space="preserve">form the </w:t>
      </w:r>
      <w:r w:rsidR="00556CE6">
        <w:t>other party</w:t>
      </w:r>
      <w:r w:rsidR="00BE5D4B">
        <w:t xml:space="preserve"> are also not enforceable. This provision ensures that while a right to amend or terminate the contract is not enforceable, there is</w:t>
      </w:r>
      <w:r w:rsidR="00556CE6">
        <w:t xml:space="preserve"> also </w:t>
      </w:r>
      <w:r w:rsidR="00BE5D4B">
        <w:t xml:space="preserve">no requirement for additional credit to be provided under the contract. </w:t>
      </w:r>
      <w:r w:rsidR="00BE5D4B" w:rsidRPr="00396542">
        <w:rPr>
          <w:rStyle w:val="Referencingstyle"/>
        </w:rPr>
        <w:t xml:space="preserve">[Schedule 1, Part </w:t>
      </w:r>
      <w:r w:rsidR="00BE5D4B">
        <w:rPr>
          <w:rStyle w:val="Referencingstyle"/>
        </w:rPr>
        <w:t>2</w:t>
      </w:r>
      <w:r w:rsidR="00BE5D4B" w:rsidRPr="00396542">
        <w:rPr>
          <w:rStyle w:val="Referencingstyle"/>
        </w:rPr>
        <w:t xml:space="preserve">, item </w:t>
      </w:r>
      <w:r w:rsidR="00BE5D4B">
        <w:rPr>
          <w:rStyle w:val="Referencingstyle"/>
        </w:rPr>
        <w:t>5</w:t>
      </w:r>
      <w:r w:rsidR="00BE5D4B" w:rsidRPr="00396542">
        <w:rPr>
          <w:rStyle w:val="Referencingstyle"/>
        </w:rPr>
        <w:t xml:space="preserve">, subsection </w:t>
      </w:r>
      <w:r w:rsidR="00A614A1">
        <w:rPr>
          <w:rStyle w:val="Referencingstyle"/>
        </w:rPr>
        <w:t>415D</w:t>
      </w:r>
      <w:r w:rsidR="00BE5D4B" w:rsidRPr="00396542">
        <w:rPr>
          <w:rStyle w:val="Referencingstyle"/>
        </w:rPr>
        <w:t>(</w:t>
      </w:r>
      <w:r w:rsidR="00BE5D4B">
        <w:rPr>
          <w:rStyle w:val="Referencingstyle"/>
        </w:rPr>
        <w:t>6</w:t>
      </w:r>
      <w:r w:rsidR="003E7235">
        <w:rPr>
          <w:rStyle w:val="Referencingstyle"/>
        </w:rPr>
        <w:t>)</w:t>
      </w:r>
      <w:r w:rsidR="00BE5D4B" w:rsidRPr="00396542">
        <w:rPr>
          <w:rStyle w:val="Referencingstyle"/>
        </w:rPr>
        <w:t>]</w:t>
      </w:r>
    </w:p>
    <w:p w14:paraId="70673053" w14:textId="713E6FFA" w:rsidR="00BE5D4B" w:rsidRDefault="00556CE6" w:rsidP="009E0C47">
      <w:pPr>
        <w:pStyle w:val="base-text-paragraph"/>
        <w:tabs>
          <w:tab w:val="clear" w:pos="3687"/>
          <w:tab w:val="num" w:pos="1701"/>
        </w:tabs>
        <w:ind w:left="851"/>
      </w:pPr>
      <w:r>
        <w:t>C</w:t>
      </w:r>
      <w:r w:rsidR="00BE5D4B">
        <w:t>ourt</w:t>
      </w:r>
      <w:r>
        <w:t>s will have a discretion</w:t>
      </w:r>
      <w:r w:rsidR="00BE5D4B">
        <w:t xml:space="preserve"> to rule that the stay of an enforcement of a right under subsection </w:t>
      </w:r>
      <w:r w:rsidR="00A614A1">
        <w:t>415D</w:t>
      </w:r>
      <w:r w:rsidR="00BE5D4B">
        <w:t xml:space="preserve">(1) does not apply where the court is satisfied that the compromise or arrangement was not sought for the purpose of </w:t>
      </w:r>
      <w:r>
        <w:t xml:space="preserve">a Part 5.1 body </w:t>
      </w:r>
      <w:r w:rsidR="00BE5D4B">
        <w:t>avoiding being wound u</w:t>
      </w:r>
      <w:r>
        <w:t xml:space="preserve">p. </w:t>
      </w:r>
      <w:r w:rsidR="003E7235" w:rsidRPr="00396542">
        <w:rPr>
          <w:rStyle w:val="Referencingstyle"/>
        </w:rPr>
        <w:t xml:space="preserve">[Schedule 1, Part </w:t>
      </w:r>
      <w:r w:rsidR="003E7235">
        <w:rPr>
          <w:rStyle w:val="Referencingstyle"/>
        </w:rPr>
        <w:t>2</w:t>
      </w:r>
      <w:r w:rsidR="003E7235" w:rsidRPr="00396542">
        <w:rPr>
          <w:rStyle w:val="Referencingstyle"/>
        </w:rPr>
        <w:t xml:space="preserve">, item </w:t>
      </w:r>
      <w:r w:rsidR="003E7235">
        <w:rPr>
          <w:rStyle w:val="Referencingstyle"/>
        </w:rPr>
        <w:t>5</w:t>
      </w:r>
      <w:r w:rsidR="003E7235" w:rsidRPr="00396542">
        <w:rPr>
          <w:rStyle w:val="Referencingstyle"/>
        </w:rPr>
        <w:t xml:space="preserve">, </w:t>
      </w:r>
      <w:r w:rsidR="003E7235">
        <w:rPr>
          <w:rStyle w:val="Referencingstyle"/>
        </w:rPr>
        <w:t>paragraph </w:t>
      </w:r>
      <w:r w:rsidR="00A614A1">
        <w:rPr>
          <w:rStyle w:val="Referencingstyle"/>
        </w:rPr>
        <w:t>415E</w:t>
      </w:r>
      <w:r w:rsidR="003E7235" w:rsidRPr="00396542">
        <w:rPr>
          <w:rStyle w:val="Referencingstyle"/>
        </w:rPr>
        <w:t>(</w:t>
      </w:r>
      <w:r w:rsidR="003E7235">
        <w:rPr>
          <w:rStyle w:val="Referencingstyle"/>
        </w:rPr>
        <w:t>1)(a)]</w:t>
      </w:r>
    </w:p>
    <w:p w14:paraId="73B9B973" w14:textId="46C06001" w:rsidR="003E7235" w:rsidRDefault="00BE5D4B" w:rsidP="009E0C47">
      <w:pPr>
        <w:pStyle w:val="base-text-paragraph"/>
        <w:tabs>
          <w:tab w:val="clear" w:pos="3687"/>
          <w:tab w:val="num" w:pos="1701"/>
        </w:tabs>
        <w:ind w:left="851"/>
      </w:pPr>
      <w:r>
        <w:t xml:space="preserve">A </w:t>
      </w:r>
      <w:r w:rsidR="003E7235">
        <w:t>C</w:t>
      </w:r>
      <w:r>
        <w:t xml:space="preserve">ourt may also order that </w:t>
      </w:r>
      <w:r w:rsidR="00556CE6">
        <w:t>a</w:t>
      </w:r>
      <w:r>
        <w:t xml:space="preserve"> stay on the enforcement of a right</w:t>
      </w:r>
      <w:r w:rsidR="003E7235">
        <w:t xml:space="preserve"> under subsection </w:t>
      </w:r>
      <w:r w:rsidR="00A614A1">
        <w:t>415D</w:t>
      </w:r>
      <w:r w:rsidR="003E7235">
        <w:t xml:space="preserve">(1) does not apply because it is satisfied that doing so would be in the interests of justice. </w:t>
      </w:r>
      <w:r w:rsidR="003E7235" w:rsidRPr="00396542">
        <w:rPr>
          <w:rStyle w:val="Referencingstyle"/>
        </w:rPr>
        <w:t xml:space="preserve">[Schedule 1, Part </w:t>
      </w:r>
      <w:r w:rsidR="003E7235">
        <w:rPr>
          <w:rStyle w:val="Referencingstyle"/>
        </w:rPr>
        <w:t>2</w:t>
      </w:r>
      <w:r w:rsidR="003E7235" w:rsidRPr="00396542">
        <w:rPr>
          <w:rStyle w:val="Referencingstyle"/>
        </w:rPr>
        <w:t xml:space="preserve">, item </w:t>
      </w:r>
      <w:r w:rsidR="003E7235">
        <w:rPr>
          <w:rStyle w:val="Referencingstyle"/>
        </w:rPr>
        <w:t>5</w:t>
      </w:r>
      <w:r w:rsidR="003E7235" w:rsidRPr="00396542">
        <w:rPr>
          <w:rStyle w:val="Referencingstyle"/>
        </w:rPr>
        <w:t xml:space="preserve">, </w:t>
      </w:r>
      <w:r w:rsidR="003E7235">
        <w:rPr>
          <w:rStyle w:val="Referencingstyle"/>
        </w:rPr>
        <w:t>paragraph </w:t>
      </w:r>
      <w:r w:rsidR="00A614A1">
        <w:rPr>
          <w:rStyle w:val="Referencingstyle"/>
        </w:rPr>
        <w:t>415E</w:t>
      </w:r>
      <w:r w:rsidR="003E7235" w:rsidRPr="00396542">
        <w:rPr>
          <w:rStyle w:val="Referencingstyle"/>
        </w:rPr>
        <w:t>(</w:t>
      </w:r>
      <w:r w:rsidR="003E7235">
        <w:rPr>
          <w:rStyle w:val="Referencingstyle"/>
        </w:rPr>
        <w:t>1</w:t>
      </w:r>
      <w:r w:rsidR="003E7235" w:rsidRPr="00396542">
        <w:rPr>
          <w:rStyle w:val="Referencingstyle"/>
        </w:rPr>
        <w:t>]</w:t>
      </w:r>
      <w:r w:rsidR="003E7235">
        <w:rPr>
          <w:rStyle w:val="Referencingstyle"/>
        </w:rPr>
        <w:t>(b)]</w:t>
      </w:r>
    </w:p>
    <w:p w14:paraId="2345C258" w14:textId="040152D6" w:rsidR="003E7235" w:rsidRDefault="003E7235" w:rsidP="009E0C47">
      <w:pPr>
        <w:pStyle w:val="base-text-paragraph"/>
        <w:tabs>
          <w:tab w:val="clear" w:pos="3687"/>
          <w:tab w:val="num" w:pos="1701"/>
        </w:tabs>
        <w:ind w:left="851"/>
      </w:pPr>
      <w:r>
        <w:t xml:space="preserve">A Court may make such an order on application by the holder of a relevant right </w:t>
      </w:r>
      <w:r w:rsidR="00A614A1">
        <w:t>to allow that</w:t>
      </w:r>
      <w:r>
        <w:t xml:space="preserve"> right </w:t>
      </w:r>
      <w:r w:rsidR="00A614A1">
        <w:t>to be</w:t>
      </w:r>
      <w:r>
        <w:t xml:space="preserve"> enforceable from </w:t>
      </w:r>
      <w:r w:rsidR="005D3C61">
        <w:t xml:space="preserve">the </w:t>
      </w:r>
      <w:r>
        <w:t xml:space="preserve">time the </w:t>
      </w:r>
      <w:r w:rsidR="00556CE6">
        <w:t>Part 5.1 body</w:t>
      </w:r>
      <w:r>
        <w:t xml:space="preserve"> made the application for the compromise or arrangement under section 411. </w:t>
      </w:r>
      <w:r w:rsidRPr="00396542">
        <w:rPr>
          <w:rStyle w:val="Referencingstyle"/>
        </w:rPr>
        <w:t xml:space="preserve">[Schedule 1, Part </w:t>
      </w:r>
      <w:r>
        <w:rPr>
          <w:rStyle w:val="Referencingstyle"/>
        </w:rPr>
        <w:t>2</w:t>
      </w:r>
      <w:r w:rsidRPr="00396542">
        <w:rPr>
          <w:rStyle w:val="Referencingstyle"/>
        </w:rPr>
        <w:t xml:space="preserve">, item </w:t>
      </w:r>
      <w:r>
        <w:rPr>
          <w:rStyle w:val="Referencingstyle"/>
        </w:rPr>
        <w:t>5</w:t>
      </w:r>
      <w:r w:rsidRPr="00396542">
        <w:rPr>
          <w:rStyle w:val="Referencingstyle"/>
        </w:rPr>
        <w:t xml:space="preserve">, </w:t>
      </w:r>
      <w:r>
        <w:rPr>
          <w:rStyle w:val="Referencingstyle"/>
        </w:rPr>
        <w:t>subsections </w:t>
      </w:r>
      <w:r w:rsidR="00A614A1">
        <w:rPr>
          <w:rStyle w:val="Referencingstyle"/>
        </w:rPr>
        <w:t>415E</w:t>
      </w:r>
      <w:r w:rsidRPr="00396542">
        <w:rPr>
          <w:rStyle w:val="Referencingstyle"/>
        </w:rPr>
        <w:t>(</w:t>
      </w:r>
      <w:r>
        <w:rPr>
          <w:rStyle w:val="Referencingstyle"/>
        </w:rPr>
        <w:t>2) and (3)]</w:t>
      </w:r>
    </w:p>
    <w:p w14:paraId="693A0199" w14:textId="13594A04" w:rsidR="00556CE6" w:rsidRDefault="00556CE6" w:rsidP="009E0C47">
      <w:pPr>
        <w:pStyle w:val="base-text-paragraph"/>
        <w:tabs>
          <w:tab w:val="clear" w:pos="3687"/>
          <w:tab w:val="num" w:pos="1701"/>
        </w:tabs>
        <w:ind w:left="851"/>
      </w:pPr>
      <w:r>
        <w:t xml:space="preserve">The flexibility provided to the Courts means that they can intervene to allow a right to be enforceable if that would be appropriate in the circumstances. </w:t>
      </w:r>
    </w:p>
    <w:p w14:paraId="74A8E9C5" w14:textId="01157641" w:rsidR="003E7235" w:rsidRDefault="00556CE6" w:rsidP="009E0C47">
      <w:pPr>
        <w:pStyle w:val="base-text-paragraph"/>
        <w:tabs>
          <w:tab w:val="clear" w:pos="3687"/>
          <w:tab w:val="num" w:pos="1701"/>
        </w:tabs>
        <w:ind w:left="851"/>
      </w:pPr>
      <w:r>
        <w:t>Subsection</w:t>
      </w:r>
      <w:r w:rsidR="003E7235">
        <w:t xml:space="preserve"> </w:t>
      </w:r>
      <w:r w:rsidR="00A614A1">
        <w:t>415F</w:t>
      </w:r>
      <w:r w:rsidR="003E7235">
        <w:t xml:space="preserve"> provide</w:t>
      </w:r>
      <w:r>
        <w:t>s</w:t>
      </w:r>
      <w:r w:rsidR="003E7235">
        <w:t xml:space="preserve"> </w:t>
      </w:r>
      <w:r w:rsidR="00AD22D1">
        <w:t xml:space="preserve">that a Court can make an order that </w:t>
      </w:r>
      <w:r>
        <w:t xml:space="preserve">any </w:t>
      </w:r>
      <w:r w:rsidR="00AD22D1">
        <w:t xml:space="preserve">rights under a contract, agreement or arrangement are only enforceable against a </w:t>
      </w:r>
      <w:r>
        <w:t>Part 5.1 body</w:t>
      </w:r>
      <w:r w:rsidR="00AD22D1">
        <w:t xml:space="preserve"> with the leave of the Court and subject to terms imposed by the Court. The power to make such an order arises where a </w:t>
      </w:r>
      <w:r>
        <w:t>Part 5.1 body</w:t>
      </w:r>
      <w:r w:rsidR="00AD22D1">
        <w:t xml:space="preserve"> has made an application under section 411 for a compromise or arrangement or is subject </w:t>
      </w:r>
      <w:r>
        <w:t>to</w:t>
      </w:r>
      <w:r w:rsidR="00AD22D1">
        <w:t xml:space="preserve"> a compromise or arrangement following an application under section 411.</w:t>
      </w:r>
      <w:r w:rsidR="003E7235">
        <w:t xml:space="preserve"> </w:t>
      </w:r>
      <w:r w:rsidR="003E7235" w:rsidRPr="00396542">
        <w:rPr>
          <w:rStyle w:val="Referencingstyle"/>
        </w:rPr>
        <w:t xml:space="preserve">[Schedule 1, Part </w:t>
      </w:r>
      <w:r w:rsidR="003E7235">
        <w:rPr>
          <w:rStyle w:val="Referencingstyle"/>
        </w:rPr>
        <w:t>2</w:t>
      </w:r>
      <w:r w:rsidR="00AD22D1">
        <w:rPr>
          <w:rStyle w:val="Referencingstyle"/>
        </w:rPr>
        <w:t>, item </w:t>
      </w:r>
      <w:r w:rsidR="003E7235">
        <w:rPr>
          <w:rStyle w:val="Referencingstyle"/>
        </w:rPr>
        <w:t>5</w:t>
      </w:r>
      <w:r w:rsidR="003E7235" w:rsidRPr="00396542">
        <w:rPr>
          <w:rStyle w:val="Referencingstyle"/>
        </w:rPr>
        <w:t xml:space="preserve">, </w:t>
      </w:r>
      <w:r w:rsidR="003E7235">
        <w:rPr>
          <w:rStyle w:val="Referencingstyle"/>
        </w:rPr>
        <w:t>subsections </w:t>
      </w:r>
      <w:r w:rsidR="0037777D">
        <w:rPr>
          <w:rStyle w:val="Referencingstyle"/>
        </w:rPr>
        <w:t>415F</w:t>
      </w:r>
      <w:r w:rsidR="003E7235" w:rsidRPr="00396542">
        <w:rPr>
          <w:rStyle w:val="Referencingstyle"/>
        </w:rPr>
        <w:t>(</w:t>
      </w:r>
      <w:r w:rsidR="003E7235">
        <w:rPr>
          <w:rStyle w:val="Referencingstyle"/>
        </w:rPr>
        <w:t>1)</w:t>
      </w:r>
      <w:r>
        <w:rPr>
          <w:rStyle w:val="Referencingstyle"/>
        </w:rPr>
        <w:t xml:space="preserve"> and </w:t>
      </w:r>
      <w:r w:rsidR="00AD22D1">
        <w:rPr>
          <w:rStyle w:val="Referencingstyle"/>
        </w:rPr>
        <w:t>(2)</w:t>
      </w:r>
      <w:r w:rsidR="003E7235">
        <w:rPr>
          <w:rStyle w:val="Referencingstyle"/>
        </w:rPr>
        <w:t>]</w:t>
      </w:r>
    </w:p>
    <w:p w14:paraId="0C8C840F" w14:textId="77777777" w:rsidR="00AD22D1" w:rsidRDefault="003E7235" w:rsidP="009E0C47">
      <w:pPr>
        <w:pStyle w:val="base-text-paragraph"/>
        <w:tabs>
          <w:tab w:val="clear" w:pos="3687"/>
          <w:tab w:val="num" w:pos="1701"/>
        </w:tabs>
        <w:ind w:left="851"/>
      </w:pPr>
      <w:r>
        <w:t>The C</w:t>
      </w:r>
      <w:r w:rsidR="00AD22D1">
        <w:t>ourt has the power to make an order to stay a right if it is satisfied that:</w:t>
      </w:r>
    </w:p>
    <w:p w14:paraId="448FD641" w14:textId="12ECCE3A" w:rsidR="00AD22D1" w:rsidRDefault="00AD22D1" w:rsidP="00331C96">
      <w:pPr>
        <w:pStyle w:val="dotpoint"/>
      </w:pPr>
      <w:r>
        <w:t xml:space="preserve">The rights are being exercised, likely to be exercised or </w:t>
      </w:r>
      <w:r w:rsidR="0037476A">
        <w:t xml:space="preserve">there is </w:t>
      </w:r>
      <w:r>
        <w:t xml:space="preserve">threat that the right will be exercised only because </w:t>
      </w:r>
      <w:r w:rsidR="009922DD">
        <w:t>an</w:t>
      </w:r>
      <w:r>
        <w:t xml:space="preserve"> application for a compromise or arrangement is made or has been approved; </w:t>
      </w:r>
    </w:p>
    <w:p w14:paraId="2E00C6F1" w14:textId="3A4AF43A" w:rsidR="00AD22D1" w:rsidRDefault="00AD22D1" w:rsidP="00331C96">
      <w:pPr>
        <w:pStyle w:val="dotpoint"/>
      </w:pPr>
      <w:r>
        <w:t xml:space="preserve">The application for the stay is included as part of the section 411 application or </w:t>
      </w:r>
      <w:r w:rsidR="00E2050B">
        <w:t>is made by a person appointed to administer a compromise or arrangement</w:t>
      </w:r>
      <w:r w:rsidR="0037476A">
        <w:t xml:space="preserve"> for a Part 5.1 body</w:t>
      </w:r>
      <w:r w:rsidR="00E2050B">
        <w:t xml:space="preserve"> following an application under section 411; and</w:t>
      </w:r>
    </w:p>
    <w:p w14:paraId="7D6E2BE2" w14:textId="1C2CC8FB" w:rsidR="00E2050B" w:rsidRDefault="00E2050B" w:rsidP="00331C96">
      <w:pPr>
        <w:pStyle w:val="dotpoint"/>
      </w:pPr>
      <w:r>
        <w:t>the section 411 application state</w:t>
      </w:r>
      <w:r w:rsidR="0037476A">
        <w:t>s</w:t>
      </w:r>
      <w:r>
        <w:t xml:space="preserve"> that the purpose of the application was</w:t>
      </w:r>
      <w:r w:rsidR="009922DD">
        <w:t xml:space="preserve"> to</w:t>
      </w:r>
      <w:r>
        <w:t xml:space="preserve"> avoid</w:t>
      </w:r>
      <w:r w:rsidR="0037476A">
        <w:t xml:space="preserve"> the Part 5.1 body</w:t>
      </w:r>
      <w:r>
        <w:t xml:space="preserve"> being wound up in insolvency. </w:t>
      </w:r>
    </w:p>
    <w:p w14:paraId="30132FEA" w14:textId="05781682" w:rsidR="00E2050B" w:rsidRDefault="00E2050B" w:rsidP="00331C96">
      <w:pPr>
        <w:pStyle w:val="dotpoint"/>
        <w:numPr>
          <w:ilvl w:val="0"/>
          <w:numId w:val="0"/>
        </w:numPr>
        <w:ind w:left="2268"/>
      </w:pPr>
      <w:r w:rsidRPr="00396542">
        <w:rPr>
          <w:rStyle w:val="Referencingstyle"/>
        </w:rPr>
        <w:t xml:space="preserve">[Schedule 1, Part </w:t>
      </w:r>
      <w:r>
        <w:rPr>
          <w:rStyle w:val="Referencingstyle"/>
        </w:rPr>
        <w:t>2, item 5</w:t>
      </w:r>
      <w:r w:rsidRPr="00396542">
        <w:rPr>
          <w:rStyle w:val="Referencingstyle"/>
        </w:rPr>
        <w:t xml:space="preserve">, </w:t>
      </w:r>
      <w:r>
        <w:rPr>
          <w:rStyle w:val="Referencingstyle"/>
        </w:rPr>
        <w:t>subsection </w:t>
      </w:r>
      <w:r w:rsidR="0037777D">
        <w:rPr>
          <w:rStyle w:val="Referencingstyle"/>
        </w:rPr>
        <w:t>415F</w:t>
      </w:r>
      <w:r w:rsidRPr="00396542">
        <w:rPr>
          <w:rStyle w:val="Referencingstyle"/>
        </w:rPr>
        <w:t>(</w:t>
      </w:r>
      <w:r>
        <w:rPr>
          <w:rStyle w:val="Referencingstyle"/>
        </w:rPr>
        <w:t>2)]</w:t>
      </w:r>
    </w:p>
    <w:p w14:paraId="3353DE9A" w14:textId="6C2E9D42" w:rsidR="0037476A" w:rsidRPr="00E2050B" w:rsidRDefault="0037476A" w:rsidP="009E0C47">
      <w:pPr>
        <w:pStyle w:val="base-text-paragraph"/>
        <w:tabs>
          <w:tab w:val="clear" w:pos="3687"/>
          <w:tab w:val="num" w:pos="1701"/>
        </w:tabs>
        <w:ind w:left="851"/>
      </w:pPr>
      <w:r>
        <w:t xml:space="preserve">Where </w:t>
      </w:r>
      <w:r w:rsidR="00246119">
        <w:t xml:space="preserve">a </w:t>
      </w:r>
      <w:r>
        <w:t xml:space="preserve">Court imposes an order to stay a right, the order must specify </w:t>
      </w:r>
      <w:r w:rsidR="00681960">
        <w:t>the period for which it applies,</w:t>
      </w:r>
      <w:r>
        <w:t xml:space="preserve"> which cannot exceed the period under subsection </w:t>
      </w:r>
      <w:r w:rsidR="0037777D">
        <w:t>415D</w:t>
      </w:r>
      <w:r>
        <w:t xml:space="preserve">(2) (see paragraph </w:t>
      </w:r>
      <w:r w:rsidR="009A28E0">
        <w:t>2.22</w:t>
      </w:r>
      <w:r>
        <w:t>).</w:t>
      </w:r>
      <w:r w:rsidRPr="00E2050B">
        <w:rPr>
          <w:b/>
          <w:i/>
          <w:sz w:val="18"/>
        </w:rPr>
        <w:t xml:space="preserve"> </w:t>
      </w:r>
      <w:r w:rsidRPr="0082627B">
        <w:rPr>
          <w:rStyle w:val="Referencingstyle"/>
        </w:rPr>
        <w:t>[Schedule 1, Part 2, item 5, subsection </w:t>
      </w:r>
      <w:r w:rsidR="0037777D" w:rsidRPr="0082627B">
        <w:rPr>
          <w:rStyle w:val="Referencingstyle"/>
        </w:rPr>
        <w:t>415</w:t>
      </w:r>
      <w:r w:rsidR="0037777D">
        <w:rPr>
          <w:rStyle w:val="Referencingstyle"/>
        </w:rPr>
        <w:t>F</w:t>
      </w:r>
      <w:r w:rsidRPr="0082627B">
        <w:rPr>
          <w:rStyle w:val="Referencingstyle"/>
        </w:rPr>
        <w:t>(</w:t>
      </w:r>
      <w:r w:rsidR="00A63716">
        <w:rPr>
          <w:rStyle w:val="Referencingstyle"/>
        </w:rPr>
        <w:t>3</w:t>
      </w:r>
      <w:r w:rsidRPr="0082627B">
        <w:rPr>
          <w:rStyle w:val="Referencingstyle"/>
        </w:rPr>
        <w:t>)]</w:t>
      </w:r>
    </w:p>
    <w:p w14:paraId="01AF2F1E" w14:textId="7160A1EF" w:rsidR="00AD22D1" w:rsidRPr="00E2050B" w:rsidRDefault="00E2050B" w:rsidP="009E0C47">
      <w:pPr>
        <w:pStyle w:val="base-text-paragraph"/>
        <w:tabs>
          <w:tab w:val="clear" w:pos="3687"/>
          <w:tab w:val="num" w:pos="1701"/>
        </w:tabs>
        <w:ind w:left="851"/>
      </w:pPr>
      <w:r>
        <w:t>However, a Court cannot make an order</w:t>
      </w:r>
      <w:r w:rsidR="0037476A">
        <w:t xml:space="preserve"> to stay</w:t>
      </w:r>
      <w:r w:rsidR="0037476A" w:rsidDel="00974C6E">
        <w:t xml:space="preserve"> </w:t>
      </w:r>
      <w:r w:rsidR="0037476A">
        <w:t xml:space="preserve">rights that are provided for </w:t>
      </w:r>
      <w:r>
        <w:t xml:space="preserve">under subsection </w:t>
      </w:r>
      <w:r w:rsidR="0037777D">
        <w:t>415D</w:t>
      </w:r>
      <w:r>
        <w:t xml:space="preserve">(4) (see paragraph </w:t>
      </w:r>
      <w:r w:rsidR="009A28E0">
        <w:t>2.23</w:t>
      </w:r>
      <w:r>
        <w:t>).</w:t>
      </w:r>
      <w:r w:rsidRPr="00E2050B">
        <w:rPr>
          <w:b/>
          <w:i/>
          <w:sz w:val="18"/>
        </w:rPr>
        <w:t xml:space="preserve"> </w:t>
      </w:r>
      <w:r w:rsidR="005A2B3B" w:rsidRPr="00331C96">
        <w:rPr>
          <w:rStyle w:val="Referencingstyle"/>
        </w:rPr>
        <w:t>[Schedule 1, Part 2</w:t>
      </w:r>
      <w:r w:rsidRPr="00331C96">
        <w:rPr>
          <w:rStyle w:val="Referencingstyle"/>
        </w:rPr>
        <w:t>, item </w:t>
      </w:r>
      <w:r w:rsidR="005A2B3B" w:rsidRPr="00331C96">
        <w:rPr>
          <w:rStyle w:val="Referencingstyle"/>
        </w:rPr>
        <w:t xml:space="preserve">5, </w:t>
      </w:r>
      <w:r w:rsidRPr="00331C96">
        <w:rPr>
          <w:rStyle w:val="Referencingstyle"/>
        </w:rPr>
        <w:t>subsection </w:t>
      </w:r>
      <w:r w:rsidR="0037777D" w:rsidRPr="00331C96">
        <w:rPr>
          <w:rStyle w:val="Referencingstyle"/>
        </w:rPr>
        <w:t>415</w:t>
      </w:r>
      <w:r w:rsidR="0037777D">
        <w:rPr>
          <w:rStyle w:val="Referencingstyle"/>
        </w:rPr>
        <w:t>F</w:t>
      </w:r>
      <w:r w:rsidR="005A2B3B" w:rsidRPr="00331C96">
        <w:rPr>
          <w:rStyle w:val="Referencingstyle"/>
        </w:rPr>
        <w:t>(</w:t>
      </w:r>
      <w:r w:rsidR="00A63716">
        <w:rPr>
          <w:rStyle w:val="Referencingstyle"/>
        </w:rPr>
        <w:t>4</w:t>
      </w:r>
      <w:r w:rsidRPr="00331C96">
        <w:rPr>
          <w:rStyle w:val="Referencingstyle"/>
        </w:rPr>
        <w:t>)]</w:t>
      </w:r>
    </w:p>
    <w:p w14:paraId="1346F92E" w14:textId="7A07E13C" w:rsidR="00E2050B" w:rsidRPr="0042329F" w:rsidRDefault="00E2050B" w:rsidP="009E0C47">
      <w:pPr>
        <w:pStyle w:val="base-text-paragraph"/>
        <w:tabs>
          <w:tab w:val="clear" w:pos="3687"/>
          <w:tab w:val="num" w:pos="1701"/>
        </w:tabs>
        <w:ind w:left="851"/>
        <w:rPr>
          <w:rStyle w:val="Referencingstyle"/>
          <w:b w:val="0"/>
          <w:i w:val="0"/>
          <w:sz w:val="22"/>
        </w:rPr>
      </w:pPr>
      <w:r>
        <w:t>A Court will be able to give an interim order before deciding on a</w:t>
      </w:r>
      <w:r w:rsidR="00A950CD">
        <w:t>n</w:t>
      </w:r>
      <w:r>
        <w:t xml:space="preserve"> application for a stay </w:t>
      </w:r>
      <w:r w:rsidR="0037476A">
        <w:t>on the enforcement of a right</w:t>
      </w:r>
      <w:r>
        <w:t xml:space="preserve"> but cannot require </w:t>
      </w:r>
      <w:r w:rsidR="001D1E48">
        <w:t xml:space="preserve">an </w:t>
      </w:r>
      <w:r>
        <w:t xml:space="preserve">undertaking as to damages as a condition for granting </w:t>
      </w:r>
      <w:r w:rsidR="0037476A">
        <w:t>the</w:t>
      </w:r>
      <w:r>
        <w:t xml:space="preserve"> interim order. </w:t>
      </w:r>
      <w:r w:rsidRPr="00396542">
        <w:rPr>
          <w:rStyle w:val="Referencingstyle"/>
        </w:rPr>
        <w:t>[Schedule 1, Part 2, item 5, subsection</w:t>
      </w:r>
      <w:r>
        <w:rPr>
          <w:rStyle w:val="Referencingstyle"/>
        </w:rPr>
        <w:t>s</w:t>
      </w:r>
      <w:r w:rsidRPr="00396542">
        <w:rPr>
          <w:rStyle w:val="Referencingstyle"/>
        </w:rPr>
        <w:t> </w:t>
      </w:r>
      <w:r w:rsidR="00A950CD" w:rsidRPr="00396542">
        <w:rPr>
          <w:rStyle w:val="Referencingstyle"/>
        </w:rPr>
        <w:t>415</w:t>
      </w:r>
      <w:r w:rsidR="00A950CD">
        <w:rPr>
          <w:rStyle w:val="Referencingstyle"/>
        </w:rPr>
        <w:t>F</w:t>
      </w:r>
      <w:r w:rsidRPr="00396542">
        <w:rPr>
          <w:rStyle w:val="Referencingstyle"/>
        </w:rPr>
        <w:t>(</w:t>
      </w:r>
      <w:r>
        <w:rPr>
          <w:rStyle w:val="Referencingstyle"/>
        </w:rPr>
        <w:t>5</w:t>
      </w:r>
      <w:r w:rsidRPr="00396542">
        <w:rPr>
          <w:rStyle w:val="Referencingstyle"/>
        </w:rPr>
        <w:t>)</w:t>
      </w:r>
      <w:r>
        <w:rPr>
          <w:rStyle w:val="Referencingstyle"/>
        </w:rPr>
        <w:t xml:space="preserve"> and (6)</w:t>
      </w:r>
      <w:r w:rsidRPr="00396542">
        <w:rPr>
          <w:rStyle w:val="Referencingstyle"/>
        </w:rPr>
        <w:t>]</w:t>
      </w:r>
    </w:p>
    <w:p w14:paraId="6F084472" w14:textId="216BD776" w:rsidR="00E2050B" w:rsidRPr="00331C96" w:rsidRDefault="00E2050B" w:rsidP="00331C96">
      <w:pPr>
        <w:pStyle w:val="base-text-paragraph"/>
        <w:numPr>
          <w:ilvl w:val="0"/>
          <w:numId w:val="0"/>
        </w:numPr>
        <w:ind w:left="710"/>
        <w:rPr>
          <w:rStyle w:val="Referencingstyle"/>
          <w:b w:val="0"/>
          <w:sz w:val="22"/>
        </w:rPr>
      </w:pPr>
      <w:r w:rsidRPr="00331C96">
        <w:rPr>
          <w:i/>
        </w:rPr>
        <w:t xml:space="preserve">Stay on the enforcement of rights because a company is under administration </w:t>
      </w:r>
    </w:p>
    <w:p w14:paraId="344A67D2" w14:textId="15FE95D2" w:rsidR="00E2050B" w:rsidRDefault="00353109" w:rsidP="009E0C47">
      <w:pPr>
        <w:pStyle w:val="base-text-paragraph"/>
        <w:tabs>
          <w:tab w:val="clear" w:pos="3687"/>
          <w:tab w:val="num" w:pos="1701"/>
        </w:tabs>
        <w:ind w:left="851"/>
      </w:pPr>
      <w:r>
        <w:t xml:space="preserve">Subsection 451E(1) provides that a right in a contract, agreement or arrangement is not enforceable against a company only because the company enters into </w:t>
      </w:r>
      <w:r w:rsidR="00974C6E">
        <w:t xml:space="preserve">external </w:t>
      </w:r>
      <w:r>
        <w:t xml:space="preserve">administration. </w:t>
      </w:r>
      <w:r w:rsidRPr="00396542">
        <w:rPr>
          <w:rStyle w:val="Referencingstyle"/>
        </w:rPr>
        <w:t>[Schedule 1, Part 2, item </w:t>
      </w:r>
      <w:r>
        <w:rPr>
          <w:rStyle w:val="Referencingstyle"/>
        </w:rPr>
        <w:t>6</w:t>
      </w:r>
      <w:r w:rsidRPr="00396542">
        <w:rPr>
          <w:rStyle w:val="Referencingstyle"/>
        </w:rPr>
        <w:t>, subsection 4</w:t>
      </w:r>
      <w:r>
        <w:rPr>
          <w:rStyle w:val="Referencingstyle"/>
        </w:rPr>
        <w:t>51E</w:t>
      </w:r>
      <w:r w:rsidRPr="00396542">
        <w:rPr>
          <w:rStyle w:val="Referencingstyle"/>
        </w:rPr>
        <w:t>(</w:t>
      </w:r>
      <w:r>
        <w:rPr>
          <w:rStyle w:val="Referencingstyle"/>
        </w:rPr>
        <w:t>1</w:t>
      </w:r>
      <w:r w:rsidRPr="00396542">
        <w:rPr>
          <w:rStyle w:val="Referencingstyle"/>
        </w:rPr>
        <w:t>)]</w:t>
      </w:r>
    </w:p>
    <w:p w14:paraId="3242936C" w14:textId="608D7954" w:rsidR="00353109" w:rsidRDefault="00353109" w:rsidP="009E0C47">
      <w:pPr>
        <w:pStyle w:val="base-text-paragraph"/>
        <w:tabs>
          <w:tab w:val="clear" w:pos="3687"/>
          <w:tab w:val="num" w:pos="1701"/>
        </w:tabs>
        <w:ind w:left="851"/>
      </w:pPr>
      <w:r>
        <w:t>These types of rights will not be enforceable against a company from the time the company enters into administration until the administration ends unless:</w:t>
      </w:r>
    </w:p>
    <w:p w14:paraId="00554F1B" w14:textId="57E0F6EA" w:rsidR="00353109" w:rsidRDefault="00353109" w:rsidP="00331C96">
      <w:pPr>
        <w:pStyle w:val="dotpoint"/>
      </w:pPr>
      <w:r>
        <w:t xml:space="preserve">the administration ends because the company is being wound up, in which case the rights will not be enforceable until the time the company is wound up; or </w:t>
      </w:r>
    </w:p>
    <w:p w14:paraId="42BD64F1" w14:textId="1F238B44" w:rsidR="00E8249D" w:rsidRDefault="00353109" w:rsidP="00331C96">
      <w:pPr>
        <w:pStyle w:val="dotpoint"/>
      </w:pPr>
      <w:r>
        <w:t>within 7 days of the administration ending, the company makes an application to the Court to extend the period for which the rights will not be enforceable, in which case the rights will not be enforceable until</w:t>
      </w:r>
      <w:r w:rsidR="00A63716">
        <w:t>:</w:t>
      </w:r>
    </w:p>
    <w:p w14:paraId="0875CBC6" w14:textId="216C4EDB" w:rsidR="00E8249D" w:rsidRDefault="00353109" w:rsidP="00331C96">
      <w:pPr>
        <w:pStyle w:val="dotpoint2"/>
      </w:pPr>
      <w:r>
        <w:t>either the</w:t>
      </w:r>
      <w:r w:rsidR="00E8249D">
        <w:t xml:space="preserve"> application is withdrawn or </w:t>
      </w:r>
      <w:r w:rsidR="00BF4160">
        <w:t xml:space="preserve">the </w:t>
      </w:r>
      <w:r>
        <w:t>Court</w:t>
      </w:r>
      <w:r w:rsidR="00E8249D">
        <w:t xml:space="preserve"> rejects the application; or</w:t>
      </w:r>
    </w:p>
    <w:p w14:paraId="6C5E3547" w14:textId="5582A035" w:rsidR="00E8249D" w:rsidRDefault="00E8249D" w:rsidP="00331C96">
      <w:pPr>
        <w:pStyle w:val="dotpoint2"/>
      </w:pPr>
      <w:r>
        <w:t xml:space="preserve">the order of the </w:t>
      </w:r>
      <w:r w:rsidR="00BF4160">
        <w:t>C</w:t>
      </w:r>
      <w:r>
        <w:t xml:space="preserve">ourt extending the period ceases to apply. </w:t>
      </w:r>
    </w:p>
    <w:p w14:paraId="1C99A4B5" w14:textId="752ED602" w:rsidR="00353109" w:rsidRDefault="00E8249D" w:rsidP="00331C96">
      <w:pPr>
        <w:pStyle w:val="dotpoint2"/>
        <w:numPr>
          <w:ilvl w:val="0"/>
          <w:numId w:val="0"/>
        </w:numPr>
        <w:ind w:left="2268"/>
      </w:pPr>
      <w:r w:rsidRPr="00396542">
        <w:rPr>
          <w:rStyle w:val="Referencingstyle"/>
        </w:rPr>
        <w:t>[Schedule 1, Part 2, item </w:t>
      </w:r>
      <w:r>
        <w:rPr>
          <w:rStyle w:val="Referencingstyle"/>
        </w:rPr>
        <w:t>6</w:t>
      </w:r>
      <w:r w:rsidRPr="00396542">
        <w:rPr>
          <w:rStyle w:val="Referencingstyle"/>
        </w:rPr>
        <w:t>, subsection 4</w:t>
      </w:r>
      <w:r>
        <w:rPr>
          <w:rStyle w:val="Referencingstyle"/>
        </w:rPr>
        <w:t>51E</w:t>
      </w:r>
      <w:r w:rsidRPr="00396542">
        <w:rPr>
          <w:rStyle w:val="Referencingstyle"/>
        </w:rPr>
        <w:t>(</w:t>
      </w:r>
      <w:r>
        <w:rPr>
          <w:rStyle w:val="Referencingstyle"/>
        </w:rPr>
        <w:t>2</w:t>
      </w:r>
      <w:r w:rsidRPr="00396542">
        <w:rPr>
          <w:rStyle w:val="Referencingstyle"/>
        </w:rPr>
        <w:t>)]</w:t>
      </w:r>
    </w:p>
    <w:p w14:paraId="7778CBDF" w14:textId="12D910DB" w:rsidR="000743C9" w:rsidRDefault="000743C9" w:rsidP="00A63716">
      <w:pPr>
        <w:pStyle w:val="base-text-paragraph"/>
        <w:tabs>
          <w:tab w:val="clear" w:pos="3687"/>
          <w:tab w:val="num" w:pos="1701"/>
        </w:tabs>
        <w:ind w:left="851"/>
      </w:pPr>
      <w:r>
        <w:t>A</w:t>
      </w:r>
      <w:r w:rsidR="00E8249D">
        <w:t xml:space="preserve"> Court may extend the period for which a right is not enforceable against a company if:</w:t>
      </w:r>
    </w:p>
    <w:p w14:paraId="5C595F02" w14:textId="09F4A660" w:rsidR="00E8249D" w:rsidRDefault="00E8249D" w:rsidP="00331C96">
      <w:pPr>
        <w:pStyle w:val="dotpoint"/>
      </w:pPr>
      <w:r>
        <w:t xml:space="preserve">a section 444F order limiting the rights of secured creditors is in force for the benefit of the company; </w:t>
      </w:r>
      <w:r w:rsidR="006A675A">
        <w:t>and</w:t>
      </w:r>
    </w:p>
    <w:p w14:paraId="24C56B16" w14:textId="44E411E1" w:rsidR="00E8249D" w:rsidRDefault="00E8249D" w:rsidP="00331C96">
      <w:pPr>
        <w:pStyle w:val="dotpoint"/>
      </w:pPr>
      <w:r>
        <w:t>the court is satisfied that doing so would be in the interests of justice; and</w:t>
      </w:r>
    </w:p>
    <w:p w14:paraId="48356EAF" w14:textId="4F37E84A" w:rsidR="00E8249D" w:rsidRDefault="00E8249D" w:rsidP="00331C96">
      <w:pPr>
        <w:pStyle w:val="dotpoint"/>
      </w:pPr>
      <w:r>
        <w:t xml:space="preserve">the applicant for the extension is the same as the applicant for the section </w:t>
      </w:r>
      <w:r w:rsidRPr="00A1786C">
        <w:t>444F</w:t>
      </w:r>
      <w:r w:rsidR="00625DFF">
        <w:t xml:space="preserve"> order</w:t>
      </w:r>
      <w:r>
        <w:t>.</w:t>
      </w:r>
    </w:p>
    <w:p w14:paraId="27C753CC" w14:textId="4CB2B94C" w:rsidR="00E8249D" w:rsidRDefault="00E8249D" w:rsidP="00331C96">
      <w:pPr>
        <w:pStyle w:val="dotpoint"/>
        <w:numPr>
          <w:ilvl w:val="0"/>
          <w:numId w:val="0"/>
        </w:numPr>
        <w:ind w:left="2268"/>
      </w:pPr>
      <w:r w:rsidRPr="00396542">
        <w:rPr>
          <w:rStyle w:val="Referencingstyle"/>
        </w:rPr>
        <w:t>[Schedule 1, Part 2, item </w:t>
      </w:r>
      <w:r>
        <w:rPr>
          <w:rStyle w:val="Referencingstyle"/>
        </w:rPr>
        <w:t>6</w:t>
      </w:r>
      <w:r w:rsidRPr="00396542">
        <w:rPr>
          <w:rStyle w:val="Referencingstyle"/>
        </w:rPr>
        <w:t>, subsection 4</w:t>
      </w:r>
      <w:r>
        <w:rPr>
          <w:rStyle w:val="Referencingstyle"/>
        </w:rPr>
        <w:t>51E</w:t>
      </w:r>
      <w:r w:rsidRPr="00396542">
        <w:rPr>
          <w:rStyle w:val="Referencingstyle"/>
        </w:rPr>
        <w:t>(</w:t>
      </w:r>
      <w:r>
        <w:rPr>
          <w:rStyle w:val="Referencingstyle"/>
        </w:rPr>
        <w:t>3</w:t>
      </w:r>
      <w:r w:rsidRPr="00396542">
        <w:rPr>
          <w:rStyle w:val="Referencingstyle"/>
        </w:rPr>
        <w:t>)]</w:t>
      </w:r>
    </w:p>
    <w:p w14:paraId="18735FF3" w14:textId="41B311C3" w:rsidR="000743C9" w:rsidRDefault="00E8249D" w:rsidP="00970D24">
      <w:pPr>
        <w:pStyle w:val="base-text-paragraph"/>
        <w:tabs>
          <w:tab w:val="clear" w:pos="3687"/>
          <w:tab w:val="num" w:pos="1701"/>
        </w:tabs>
        <w:ind w:left="851"/>
      </w:pPr>
      <w:r>
        <w:t xml:space="preserve">An extension order issued by a Court under subsection 451E(3) applies until the time the relevant section 444F order limiting the rights of the company’s creditors applies. </w:t>
      </w:r>
    </w:p>
    <w:p w14:paraId="74CFBB10" w14:textId="4B7576C0" w:rsidR="000743C9" w:rsidRDefault="0042329F" w:rsidP="00970D24">
      <w:pPr>
        <w:pStyle w:val="base-text-paragraph"/>
        <w:tabs>
          <w:tab w:val="clear" w:pos="3687"/>
          <w:tab w:val="num" w:pos="1701"/>
        </w:tabs>
        <w:ind w:left="851"/>
      </w:pPr>
      <w:r>
        <w:t xml:space="preserve">The </w:t>
      </w:r>
      <w:r w:rsidR="0037476A">
        <w:t>stay</w:t>
      </w:r>
      <w:r>
        <w:t xml:space="preserve"> on the enforcement of rights</w:t>
      </w:r>
      <w:r w:rsidR="0037476A">
        <w:t xml:space="preserve"> under subsection 451E(1)</w:t>
      </w:r>
      <w:r>
        <w:t xml:space="preserve"> does not apply:</w:t>
      </w:r>
    </w:p>
    <w:p w14:paraId="5F21C246" w14:textId="5358EEBA" w:rsidR="0042329F" w:rsidRDefault="0037476A" w:rsidP="00331C96">
      <w:pPr>
        <w:pStyle w:val="dotpoint"/>
      </w:pPr>
      <w:r>
        <w:t xml:space="preserve">if </w:t>
      </w:r>
      <w:r w:rsidR="0042329F">
        <w:t>the right</w:t>
      </w:r>
      <w:r>
        <w:t>s</w:t>
      </w:r>
      <w:r w:rsidR="0042329F">
        <w:t xml:space="preserve"> relate to a contract, agreement or arrangement entered into</w:t>
      </w:r>
      <w:r w:rsidR="00F8624E">
        <w:t xml:space="preserve"> after</w:t>
      </w:r>
      <w:r w:rsidR="0042329F">
        <w:t xml:space="preserve"> </w:t>
      </w:r>
      <w:r w:rsidR="0042329F" w:rsidRPr="00936FC0">
        <w:t>the day</w:t>
      </w:r>
      <w:r w:rsidR="0042329F">
        <w:t xml:space="preserve"> the company goes into administration;</w:t>
      </w:r>
    </w:p>
    <w:p w14:paraId="45706EB2" w14:textId="0763B597" w:rsidR="0042329F" w:rsidRDefault="0037476A" w:rsidP="00331C96">
      <w:pPr>
        <w:pStyle w:val="dotpoint"/>
      </w:pPr>
      <w:r>
        <w:t xml:space="preserve">to </w:t>
      </w:r>
      <w:r w:rsidR="0042329F">
        <w:t>right</w:t>
      </w:r>
      <w:r>
        <w:t xml:space="preserve">s that are of part of </w:t>
      </w:r>
      <w:r w:rsidR="0042329F">
        <w:t xml:space="preserve">a </w:t>
      </w:r>
      <w:r>
        <w:t>type</w:t>
      </w:r>
      <w:r w:rsidR="0042329F">
        <w:t xml:space="preserve"> of contract, agreement or arrangement </w:t>
      </w:r>
      <w:r>
        <w:t xml:space="preserve">that </w:t>
      </w:r>
      <w:r w:rsidR="00A802CC">
        <w:t xml:space="preserve">are </w:t>
      </w:r>
      <w:r w:rsidR="0042329F">
        <w:t xml:space="preserve">specified in the regulations or ministerial determination; </w:t>
      </w:r>
    </w:p>
    <w:p w14:paraId="08E39180" w14:textId="35463D7E" w:rsidR="0042329F" w:rsidRDefault="0042329F" w:rsidP="00331C96">
      <w:pPr>
        <w:pStyle w:val="dotpoint"/>
      </w:pPr>
      <w:r>
        <w:t>is a right of a kind specified in a ministerial declaration; or</w:t>
      </w:r>
    </w:p>
    <w:p w14:paraId="61CDF53E" w14:textId="087F4CE3" w:rsidR="0042329F" w:rsidRDefault="0042329F" w:rsidP="00331C96">
      <w:pPr>
        <w:pStyle w:val="dotpoint"/>
      </w:pPr>
      <w:r>
        <w:t xml:space="preserve">is a right that manages financial risk associated with a financial product that is commercially necessary for the provision of that type of financial product. </w:t>
      </w:r>
    </w:p>
    <w:p w14:paraId="3191A9DF" w14:textId="1973A365" w:rsidR="0042329F" w:rsidRDefault="0042329F" w:rsidP="00331C96">
      <w:pPr>
        <w:pStyle w:val="dotpoint"/>
        <w:numPr>
          <w:ilvl w:val="0"/>
          <w:numId w:val="0"/>
        </w:numPr>
        <w:ind w:left="2268"/>
      </w:pPr>
      <w:r w:rsidRPr="00396542">
        <w:rPr>
          <w:rStyle w:val="Referencingstyle"/>
        </w:rPr>
        <w:t>[Schedule 1, Part 2, item </w:t>
      </w:r>
      <w:r>
        <w:rPr>
          <w:rStyle w:val="Referencingstyle"/>
        </w:rPr>
        <w:t>6</w:t>
      </w:r>
      <w:r w:rsidRPr="00396542">
        <w:rPr>
          <w:rStyle w:val="Referencingstyle"/>
        </w:rPr>
        <w:t>, subsection</w:t>
      </w:r>
      <w:r>
        <w:rPr>
          <w:rStyle w:val="Referencingstyle"/>
        </w:rPr>
        <w:t>s</w:t>
      </w:r>
      <w:r w:rsidRPr="00396542">
        <w:rPr>
          <w:rStyle w:val="Referencingstyle"/>
        </w:rPr>
        <w:t> 4</w:t>
      </w:r>
      <w:r>
        <w:rPr>
          <w:rStyle w:val="Referencingstyle"/>
        </w:rPr>
        <w:t>51E</w:t>
      </w:r>
      <w:r w:rsidRPr="00396542">
        <w:rPr>
          <w:rStyle w:val="Referencingstyle"/>
        </w:rPr>
        <w:t>(</w:t>
      </w:r>
      <w:r>
        <w:rPr>
          <w:rStyle w:val="Referencingstyle"/>
        </w:rPr>
        <w:t>4</w:t>
      </w:r>
      <w:r w:rsidRPr="00396542">
        <w:rPr>
          <w:rStyle w:val="Referencingstyle"/>
        </w:rPr>
        <w:t>)</w:t>
      </w:r>
      <w:r>
        <w:rPr>
          <w:rStyle w:val="Referencingstyle"/>
        </w:rPr>
        <w:t xml:space="preserve"> and (5)</w:t>
      </w:r>
      <w:r w:rsidRPr="00396542">
        <w:rPr>
          <w:rStyle w:val="Referencingstyle"/>
        </w:rPr>
        <w:t>]</w:t>
      </w:r>
    </w:p>
    <w:p w14:paraId="6D0AFF5C" w14:textId="72012C1D" w:rsidR="00382F15" w:rsidRDefault="00382F15" w:rsidP="009E0C47">
      <w:pPr>
        <w:pStyle w:val="base-text-paragraph"/>
        <w:tabs>
          <w:tab w:val="clear" w:pos="3687"/>
          <w:tab w:val="num" w:pos="1701"/>
        </w:tabs>
        <w:ind w:left="851"/>
      </w:pPr>
      <w:r>
        <w:t xml:space="preserve">The regulations will prescribe the </w:t>
      </w:r>
      <w:r w:rsidR="009C14B4">
        <w:t xml:space="preserve">types of contracts in which </w:t>
      </w:r>
      <w:r>
        <w:t>right</w:t>
      </w:r>
      <w:r w:rsidR="00A802CC">
        <w:t>s</w:t>
      </w:r>
      <w:r>
        <w:t xml:space="preserve">  may still be enforced even if they are triggered by an insolvency event. It is appropriate to do this in the regulations so that list can be updated regularly in response to the development of new and innovative financial products. As more new and complex financial products become available, the types of rights that may still be enforceable will need to be adjusted and the changes will have to be made in a timely way.</w:t>
      </w:r>
    </w:p>
    <w:p w14:paraId="637115BF" w14:textId="3A8FA52E" w:rsidR="00382F15" w:rsidRDefault="00382F15" w:rsidP="009E0C47">
      <w:pPr>
        <w:pStyle w:val="base-text-paragraph"/>
        <w:tabs>
          <w:tab w:val="clear" w:pos="3687"/>
          <w:tab w:val="num" w:pos="1701"/>
        </w:tabs>
        <w:ind w:left="851"/>
      </w:pPr>
      <w:r>
        <w:t xml:space="preserve">The power to allow certain rights that trigger on an insolvency event to still be enforceable through a ministerial determination is required to ensure that where there are any unintended consequences, </w:t>
      </w:r>
      <w:r w:rsidR="00862F2E">
        <w:t xml:space="preserve">they </w:t>
      </w:r>
      <w:r>
        <w:t xml:space="preserve"> can be remedied very quickly. </w:t>
      </w:r>
    </w:p>
    <w:p w14:paraId="56C274A6" w14:textId="013A8305" w:rsidR="00382F15" w:rsidRDefault="00382F15" w:rsidP="009E0C47">
      <w:pPr>
        <w:pStyle w:val="base-text-paragraph"/>
        <w:tabs>
          <w:tab w:val="clear" w:pos="3687"/>
          <w:tab w:val="num" w:pos="1701"/>
        </w:tabs>
        <w:ind w:left="851"/>
      </w:pPr>
      <w:r>
        <w:t>In addition, there are some types of financial products where the product would only ever be available or appropriate if an ipso facto right that is triggered on an insolvency event is enforceable. For example</w:t>
      </w:r>
      <w:r w:rsidR="00074FA4">
        <w:t xml:space="preserve"> swaps, where the party is entitled to close out their position in order to manage counterparty risk</w:t>
      </w:r>
      <w:r>
        <w:t>. These rights will continue to be enforceable but only where they are commercially necessary for that type of contract.</w:t>
      </w:r>
    </w:p>
    <w:p w14:paraId="0365A1B1" w14:textId="5244364B" w:rsidR="00353109" w:rsidRPr="0042329F" w:rsidRDefault="0042329F" w:rsidP="009E0C47">
      <w:pPr>
        <w:pStyle w:val="base-text-paragraph"/>
        <w:tabs>
          <w:tab w:val="clear" w:pos="3687"/>
          <w:tab w:val="num" w:pos="1701"/>
        </w:tabs>
        <w:ind w:left="851"/>
      </w:pPr>
      <w:r>
        <w:t xml:space="preserve">While rights against a company are not enforceable because of subsection 451E(1), any rights the company has against the other party for the provision of additional credit are also not enforceable.  </w:t>
      </w:r>
      <w:r w:rsidR="00E8249D" w:rsidRPr="00331C96">
        <w:rPr>
          <w:rStyle w:val="Referencingstyle"/>
        </w:rPr>
        <w:t>[Schedule 1, Part 2, item 6, subsection 451E(</w:t>
      </w:r>
      <w:r>
        <w:rPr>
          <w:rStyle w:val="Referencingstyle"/>
        </w:rPr>
        <w:t>6</w:t>
      </w:r>
      <w:r w:rsidR="00E8249D" w:rsidRPr="00331C96">
        <w:rPr>
          <w:rStyle w:val="Referencingstyle"/>
        </w:rPr>
        <w:t>)]</w:t>
      </w:r>
    </w:p>
    <w:p w14:paraId="1BB943E3" w14:textId="18E8FC08" w:rsidR="000743C9" w:rsidRDefault="0042329F" w:rsidP="009E0C47">
      <w:pPr>
        <w:pStyle w:val="base-text-paragraph"/>
        <w:tabs>
          <w:tab w:val="clear" w:pos="3687"/>
          <w:tab w:val="num" w:pos="1701"/>
        </w:tabs>
        <w:ind w:left="851"/>
      </w:pPr>
      <w:r>
        <w:t>On application by the holder of a right that is unenforceable, the Court ha</w:t>
      </w:r>
      <w:r w:rsidR="00FF08B3">
        <w:t>s</w:t>
      </w:r>
      <w:r>
        <w:t xml:space="preserve"> a general discretion to order that the right can in fact be enforced in the interests of justice. </w:t>
      </w:r>
      <w:r w:rsidRPr="00396542">
        <w:rPr>
          <w:rStyle w:val="Referencingstyle"/>
        </w:rPr>
        <w:t xml:space="preserve">[Schedule 1, Part 2, item 6, </w:t>
      </w:r>
      <w:r>
        <w:rPr>
          <w:rStyle w:val="Referencingstyle"/>
        </w:rPr>
        <w:t>section</w:t>
      </w:r>
      <w:r w:rsidRPr="00396542">
        <w:rPr>
          <w:rStyle w:val="Referencingstyle"/>
        </w:rPr>
        <w:t> 451</w:t>
      </w:r>
      <w:r>
        <w:rPr>
          <w:rStyle w:val="Referencingstyle"/>
        </w:rPr>
        <w:t>F</w:t>
      </w:r>
      <w:r w:rsidRPr="00396542">
        <w:rPr>
          <w:rStyle w:val="Referencingstyle"/>
        </w:rPr>
        <w:t>]</w:t>
      </w:r>
    </w:p>
    <w:p w14:paraId="51F6E29B" w14:textId="1897477B" w:rsidR="000743C9" w:rsidRPr="00DB33EC" w:rsidRDefault="006D7EB9" w:rsidP="009E0C47">
      <w:pPr>
        <w:pStyle w:val="base-text-paragraph"/>
        <w:tabs>
          <w:tab w:val="clear" w:pos="3687"/>
          <w:tab w:val="num" w:pos="1701"/>
        </w:tabs>
        <w:ind w:left="851"/>
      </w:pPr>
      <w:r>
        <w:t xml:space="preserve">New subsection 451G(1) provides the </w:t>
      </w:r>
      <w:r w:rsidR="00862F2E">
        <w:t>C</w:t>
      </w:r>
      <w:r>
        <w:t xml:space="preserve">ourt with the discretion </w:t>
      </w:r>
      <w:r w:rsidR="00B06686">
        <w:t xml:space="preserve">to make an order that a right in a contract is not enforceable against a company without the leave of </w:t>
      </w:r>
      <w:r w:rsidR="00B06686" w:rsidRPr="00DB33EC">
        <w:t xml:space="preserve">the court and subject to the terms imposed by the Court. </w:t>
      </w:r>
      <w:r w:rsidR="00B06686" w:rsidRPr="00DB33EC">
        <w:rPr>
          <w:rStyle w:val="Referencingstyle"/>
        </w:rPr>
        <w:t xml:space="preserve">[Schedule 1, Part 2, item 6, </w:t>
      </w:r>
      <w:r w:rsidR="00E840BD" w:rsidRPr="00DB33EC">
        <w:rPr>
          <w:rStyle w:val="Referencingstyle"/>
        </w:rPr>
        <w:t>subsection</w:t>
      </w:r>
      <w:r w:rsidR="00B06686" w:rsidRPr="00DB33EC">
        <w:rPr>
          <w:rStyle w:val="Referencingstyle"/>
        </w:rPr>
        <w:t> 451G(1)]</w:t>
      </w:r>
    </w:p>
    <w:p w14:paraId="380CB5D4" w14:textId="75EF3BF6" w:rsidR="000743C9" w:rsidRDefault="000743C9" w:rsidP="009E0C47">
      <w:pPr>
        <w:pStyle w:val="base-text-paragraph"/>
        <w:tabs>
          <w:tab w:val="clear" w:pos="3687"/>
          <w:tab w:val="num" w:pos="1701"/>
        </w:tabs>
        <w:ind w:left="851"/>
      </w:pPr>
      <w:r w:rsidRPr="00DB33EC">
        <w:t>A</w:t>
      </w:r>
      <w:r w:rsidR="00B06686" w:rsidRPr="00DB33EC">
        <w:t xml:space="preserve"> Court is able to do this on application by a company’s administrator in relation to a company that is in administration where the court is satisfied that the rights are</w:t>
      </w:r>
      <w:r w:rsidR="00AF3029" w:rsidRPr="00DB33EC">
        <w:t xml:space="preserve"> exercised</w:t>
      </w:r>
      <w:r w:rsidR="00B06686" w:rsidRPr="00DB33EC">
        <w:t>, are likely to be</w:t>
      </w:r>
      <w:r w:rsidR="00AF3029" w:rsidRPr="00DB33EC">
        <w:t xml:space="preserve"> exercised</w:t>
      </w:r>
      <w:r w:rsidR="00B06686" w:rsidRPr="00DB33EC">
        <w:t>, or there is</w:t>
      </w:r>
      <w:r w:rsidR="00AF3029" w:rsidRPr="00DB33EC">
        <w:t xml:space="preserve"> a</w:t>
      </w:r>
      <w:r w:rsidR="00B06686" w:rsidRPr="00DB33EC">
        <w:t xml:space="preserve"> threat that the</w:t>
      </w:r>
      <w:r w:rsidR="00AF3029" w:rsidRPr="00DB33EC">
        <w:t>y will be exercised</w:t>
      </w:r>
      <w:r w:rsidR="00B06686" w:rsidRPr="00DB33EC">
        <w:t xml:space="preserve"> merely because the company is in administration.  </w:t>
      </w:r>
      <w:r w:rsidR="00B06686" w:rsidRPr="00DB33EC">
        <w:rPr>
          <w:rStyle w:val="Referencingstyle"/>
        </w:rPr>
        <w:t>[Schedule 1, Part 2, item</w:t>
      </w:r>
      <w:r w:rsidR="00B06686" w:rsidRPr="00396542">
        <w:rPr>
          <w:rStyle w:val="Referencingstyle"/>
        </w:rPr>
        <w:t xml:space="preserve"> 6, </w:t>
      </w:r>
      <w:r w:rsidR="00E840BD">
        <w:rPr>
          <w:rStyle w:val="Referencingstyle"/>
        </w:rPr>
        <w:t>subsection</w:t>
      </w:r>
      <w:r w:rsidR="00B06686" w:rsidRPr="00396542">
        <w:rPr>
          <w:rStyle w:val="Referencingstyle"/>
        </w:rPr>
        <w:t> 451</w:t>
      </w:r>
      <w:r w:rsidR="00B06686">
        <w:rPr>
          <w:rStyle w:val="Referencingstyle"/>
        </w:rPr>
        <w:t>G(2)</w:t>
      </w:r>
      <w:r w:rsidR="00B06686" w:rsidRPr="00396542">
        <w:rPr>
          <w:rStyle w:val="Referencingstyle"/>
        </w:rPr>
        <w:t>]</w:t>
      </w:r>
    </w:p>
    <w:p w14:paraId="452D5CE7" w14:textId="7045D959" w:rsidR="000743C9" w:rsidRDefault="00B06686" w:rsidP="009E0C47">
      <w:pPr>
        <w:pStyle w:val="base-text-paragraph"/>
        <w:tabs>
          <w:tab w:val="clear" w:pos="3687"/>
          <w:tab w:val="num" w:pos="1701"/>
        </w:tabs>
        <w:ind w:left="851"/>
      </w:pPr>
      <w:r>
        <w:t xml:space="preserve">However, a Court cannot make such an order in relation to rights under subsection 451E(4) (see paragraphs </w:t>
      </w:r>
      <w:r w:rsidR="00C80BEF">
        <w:t>2.41</w:t>
      </w:r>
      <w:r>
        <w:t>).</w:t>
      </w:r>
      <w:r w:rsidRPr="00B06686">
        <w:rPr>
          <w:rStyle w:val="Referencingstyle"/>
        </w:rPr>
        <w:t xml:space="preserve"> </w:t>
      </w:r>
      <w:r w:rsidRPr="00396542">
        <w:rPr>
          <w:rStyle w:val="Referencingstyle"/>
        </w:rPr>
        <w:t xml:space="preserve">[Schedule 1, Part 2, item 6, </w:t>
      </w:r>
      <w:r w:rsidR="00E840BD">
        <w:rPr>
          <w:rStyle w:val="Referencingstyle"/>
        </w:rPr>
        <w:t>subsection</w:t>
      </w:r>
      <w:r w:rsidRPr="00396542">
        <w:rPr>
          <w:rStyle w:val="Referencingstyle"/>
        </w:rPr>
        <w:t> 451</w:t>
      </w:r>
      <w:r>
        <w:rPr>
          <w:rStyle w:val="Referencingstyle"/>
        </w:rPr>
        <w:t>G(4)</w:t>
      </w:r>
      <w:r w:rsidRPr="00396542">
        <w:rPr>
          <w:rStyle w:val="Referencingstyle"/>
        </w:rPr>
        <w:t>]</w:t>
      </w:r>
    </w:p>
    <w:p w14:paraId="384330BD" w14:textId="7942A8FA" w:rsidR="00B06686" w:rsidRPr="00B06686" w:rsidRDefault="00B06686" w:rsidP="009E0C47">
      <w:pPr>
        <w:pStyle w:val="base-text-paragraph"/>
        <w:tabs>
          <w:tab w:val="clear" w:pos="3687"/>
          <w:tab w:val="num" w:pos="1701"/>
        </w:tabs>
        <w:ind w:left="851"/>
        <w:rPr>
          <w:rStyle w:val="Referencingstyle"/>
          <w:b w:val="0"/>
          <w:i w:val="0"/>
          <w:sz w:val="22"/>
        </w:rPr>
      </w:pPr>
      <w:r>
        <w:t xml:space="preserve">Where a Court does make an order, the order </w:t>
      </w:r>
      <w:r w:rsidR="00DA2E50">
        <w:t xml:space="preserve">must </w:t>
      </w:r>
      <w:r>
        <w:t>specify the period for which the right</w:t>
      </w:r>
      <w:r w:rsidR="00DA2E50">
        <w:t>s</w:t>
      </w:r>
      <w:r>
        <w:t xml:space="preserve"> will not be enforceable and this period must not exceed the period referred to in subsection 451E(2) (See paragraph </w:t>
      </w:r>
      <w:r w:rsidR="00C80BEF">
        <w:t>2.38</w:t>
      </w:r>
      <w:r>
        <w:t xml:space="preserve">). </w:t>
      </w:r>
      <w:r w:rsidRPr="00396542">
        <w:rPr>
          <w:rStyle w:val="Referencingstyle"/>
        </w:rPr>
        <w:t xml:space="preserve">[Schedule 1, Part 2, item 6, </w:t>
      </w:r>
      <w:r w:rsidR="00E840BD">
        <w:rPr>
          <w:rStyle w:val="Referencingstyle"/>
        </w:rPr>
        <w:t>subsection</w:t>
      </w:r>
      <w:r w:rsidRPr="00396542">
        <w:rPr>
          <w:rStyle w:val="Referencingstyle"/>
        </w:rPr>
        <w:t> 451</w:t>
      </w:r>
      <w:r>
        <w:rPr>
          <w:rStyle w:val="Referencingstyle"/>
        </w:rPr>
        <w:t>G(3)</w:t>
      </w:r>
      <w:r w:rsidRPr="00396542">
        <w:rPr>
          <w:rStyle w:val="Referencingstyle"/>
        </w:rPr>
        <w:t>]</w:t>
      </w:r>
    </w:p>
    <w:p w14:paraId="053AD19F" w14:textId="166681CA" w:rsidR="00B06686" w:rsidRDefault="00B06686" w:rsidP="009E0C47">
      <w:pPr>
        <w:pStyle w:val="base-text-paragraph"/>
        <w:tabs>
          <w:tab w:val="clear" w:pos="3687"/>
          <w:tab w:val="num" w:pos="1701"/>
        </w:tabs>
        <w:ind w:left="851"/>
      </w:pPr>
      <w:r>
        <w:t>A Court is able to make an interim order before deciding to mak</w:t>
      </w:r>
      <w:r w:rsidR="00966E0E">
        <w:t>e</w:t>
      </w:r>
      <w:r>
        <w:t xml:space="preserve"> an order that a right is not enforceable</w:t>
      </w:r>
      <w:r w:rsidR="00DA2E50">
        <w:t xml:space="preserve"> against a company </w:t>
      </w:r>
      <w:r>
        <w:t xml:space="preserve">but must not make the order </w:t>
      </w:r>
      <w:r w:rsidR="00E840BD">
        <w:t xml:space="preserve">subject to an undertakings as to damages. </w:t>
      </w:r>
      <w:r w:rsidR="00E840BD" w:rsidRPr="00396542">
        <w:rPr>
          <w:rStyle w:val="Referencingstyle"/>
        </w:rPr>
        <w:t xml:space="preserve">[Schedule 1, Part 2, item 6, </w:t>
      </w:r>
      <w:r w:rsidR="00E840BD">
        <w:rPr>
          <w:rStyle w:val="Referencingstyle"/>
        </w:rPr>
        <w:t>subsections</w:t>
      </w:r>
      <w:r w:rsidR="00E840BD" w:rsidRPr="00396542">
        <w:rPr>
          <w:rStyle w:val="Referencingstyle"/>
        </w:rPr>
        <w:t> 451</w:t>
      </w:r>
      <w:r w:rsidR="00E840BD">
        <w:rPr>
          <w:rStyle w:val="Referencingstyle"/>
        </w:rPr>
        <w:t>G(5) and (6)</w:t>
      </w:r>
      <w:r w:rsidR="00E840BD" w:rsidRPr="00396542">
        <w:rPr>
          <w:rStyle w:val="Referencingstyle"/>
        </w:rPr>
        <w:t>]</w:t>
      </w:r>
    </w:p>
    <w:p w14:paraId="0CDD9769" w14:textId="77777777" w:rsidR="00697AD0" w:rsidRDefault="00697AD0" w:rsidP="00703978">
      <w:pPr>
        <w:pStyle w:val="Heading2"/>
      </w:pPr>
      <w:r>
        <w:t>Application and transitional provisions</w:t>
      </w:r>
    </w:p>
    <w:p w14:paraId="6ED31258" w14:textId="5F11DDBE" w:rsidR="00697AD0" w:rsidRPr="008F726E" w:rsidRDefault="00BD58E6" w:rsidP="00B94EE5">
      <w:pPr>
        <w:pStyle w:val="base-text-paragraph"/>
        <w:tabs>
          <w:tab w:val="clear" w:pos="3687"/>
          <w:tab w:val="num" w:pos="1701"/>
        </w:tabs>
        <w:ind w:left="851"/>
      </w:pPr>
      <w:r>
        <w:t xml:space="preserve">The amendments in this part of the bill apply to rights arising under contracts, agreements or arrangements entered into on or after 1 January 2018. </w:t>
      </w:r>
      <w:r w:rsidR="00252A2C" w:rsidRPr="00396542">
        <w:rPr>
          <w:rStyle w:val="Referencingstyle"/>
        </w:rPr>
        <w:t>[Schedule 1, Part 2, item </w:t>
      </w:r>
      <w:r w:rsidR="00252A2C">
        <w:rPr>
          <w:rStyle w:val="Referencingstyle"/>
        </w:rPr>
        <w:t>7</w:t>
      </w:r>
      <w:r w:rsidR="00252A2C" w:rsidRPr="00396542">
        <w:rPr>
          <w:rStyle w:val="Referencingstyle"/>
        </w:rPr>
        <w:t>]</w:t>
      </w:r>
    </w:p>
    <w:p w14:paraId="32739EE6" w14:textId="77777777" w:rsidR="00697AD0" w:rsidRDefault="00697AD0" w:rsidP="00703978">
      <w:pPr>
        <w:pStyle w:val="Hiddentext"/>
      </w:pPr>
      <w:r>
        <w:t>Do not remove section break.</w:t>
      </w:r>
    </w:p>
    <w:p w14:paraId="18A3AACF" w14:textId="77777777" w:rsidR="00697AD0" w:rsidRDefault="00697AD0" w:rsidP="00703978">
      <w:pPr>
        <w:sectPr w:rsidR="00697AD0" w:rsidSect="00703978">
          <w:headerReference w:type="even" r:id="rId35"/>
          <w:headerReference w:type="default" r:id="rId36"/>
          <w:footerReference w:type="even" r:id="rId37"/>
          <w:footerReference w:type="default" r:id="rId38"/>
          <w:footerReference w:type="first" r:id="rId39"/>
          <w:type w:val="oddPage"/>
          <w:pgSz w:w="11906" w:h="16838" w:code="9"/>
          <w:pgMar w:top="2466" w:right="2098" w:bottom="2466" w:left="2098" w:header="1559" w:footer="1899" w:gutter="0"/>
          <w:cols w:space="708"/>
          <w:titlePg/>
          <w:docGrid w:linePitch="360"/>
        </w:sectPr>
      </w:pPr>
    </w:p>
    <w:p w14:paraId="7807903A" w14:textId="202ABFFC" w:rsidR="00D85BEA" w:rsidRPr="00B94EE5" w:rsidRDefault="00D85BEA" w:rsidP="00B94EE5"/>
    <w:sectPr w:rsidR="00D85BEA" w:rsidRPr="00B94EE5" w:rsidSect="00821379">
      <w:headerReference w:type="even" r:id="rId40"/>
      <w:headerReference w:type="default" r:id="rId41"/>
      <w:footerReference w:type="even" r:id="rId42"/>
      <w:footerReference w:type="default" r:id="rId43"/>
      <w:footerReference w:type="first" r:id="rId44"/>
      <w:type w:val="oddPage"/>
      <w:pgSz w:w="11906" w:h="16838" w:code="9"/>
      <w:pgMar w:top="2466" w:right="2098" w:bottom="2466" w:left="2098" w:header="1559" w:footer="189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D4758B" w14:textId="77777777" w:rsidR="00172A64" w:rsidRDefault="00172A64">
      <w:r>
        <w:separator/>
      </w:r>
    </w:p>
  </w:endnote>
  <w:endnote w:type="continuationSeparator" w:id="0">
    <w:p w14:paraId="2BB9FAAB" w14:textId="77777777" w:rsidR="00172A64" w:rsidRDefault="00172A64">
      <w:r>
        <w:continuationSeparator/>
      </w:r>
    </w:p>
  </w:endnote>
  <w:endnote w:type="continuationNotice" w:id="1">
    <w:p w14:paraId="5437EAE1" w14:textId="77777777" w:rsidR="00172A64" w:rsidRDefault="00172A6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CBEEE" w14:textId="77777777" w:rsidR="00172A64" w:rsidRDefault="00172A64" w:rsidP="00703978">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4EB8B5" w14:textId="77777777" w:rsidR="00172A64" w:rsidRDefault="00172A64" w:rsidP="00703978">
    <w:pPr>
      <w:pStyle w:val="rightfooter"/>
    </w:pPr>
    <w:r>
      <w:fldChar w:fldCharType="begin"/>
    </w:r>
    <w:r>
      <w:instrText xml:space="preserve"> PAGE   \* MERGEFORMAT </w:instrText>
    </w:r>
    <w:r>
      <w:fldChar w:fldCharType="separate"/>
    </w:r>
    <w:r w:rsidR="000E4DD7">
      <w:rPr>
        <w:noProof/>
      </w:rPr>
      <w:t>17</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3FC627" w14:textId="77777777" w:rsidR="00172A64" w:rsidRDefault="00172A64" w:rsidP="00703978">
    <w:pPr>
      <w:pStyle w:val="rightfooter"/>
    </w:pPr>
    <w:r>
      <w:fldChar w:fldCharType="begin"/>
    </w:r>
    <w:r>
      <w:instrText xml:space="preserve"> PAGE  \* Arabic  \* MERGEFORMAT </w:instrText>
    </w:r>
    <w:r>
      <w:fldChar w:fldCharType="separate"/>
    </w:r>
    <w:r w:rsidR="000E4DD7">
      <w:rPr>
        <w:noProof/>
      </w:rPr>
      <w:t>7</w:t>
    </w:r>
    <w:r>
      <w:rPr>
        <w:noProof/>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DFED08" w14:textId="77777777" w:rsidR="00172A64" w:rsidRDefault="00172A64" w:rsidP="00703978">
    <w:pPr>
      <w:pStyle w:val="leftfooter"/>
    </w:pPr>
    <w:r>
      <w:fldChar w:fldCharType="begin"/>
    </w:r>
    <w:r>
      <w:instrText xml:space="preserve"> PAGE   \* MERGEFORMAT </w:instrText>
    </w:r>
    <w:r>
      <w:fldChar w:fldCharType="separate"/>
    </w:r>
    <w:r w:rsidR="000E4DD7">
      <w:rPr>
        <w:noProof/>
      </w:rPr>
      <w:t>28</w:t>
    </w:r>
    <w:r>
      <w:rPr>
        <w:noProof/>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752F2" w14:textId="77777777" w:rsidR="00172A64" w:rsidRDefault="00172A64" w:rsidP="00703978">
    <w:pPr>
      <w:pStyle w:val="rightfooter"/>
    </w:pPr>
    <w:r>
      <w:fldChar w:fldCharType="begin"/>
    </w:r>
    <w:r>
      <w:instrText xml:space="preserve"> PAGE   \* MERGEFORMAT </w:instrText>
    </w:r>
    <w:r>
      <w:fldChar w:fldCharType="separate"/>
    </w:r>
    <w:r w:rsidR="000E4DD7">
      <w:rPr>
        <w:noProof/>
      </w:rPr>
      <w:t>27</w:t>
    </w:r>
    <w:r>
      <w:rPr>
        <w:noProof/>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52C3AF" w14:textId="77777777" w:rsidR="00172A64" w:rsidRDefault="00172A64" w:rsidP="00703978">
    <w:pPr>
      <w:pStyle w:val="rightfooter"/>
    </w:pPr>
    <w:r>
      <w:fldChar w:fldCharType="begin"/>
    </w:r>
    <w:r>
      <w:instrText xml:space="preserve"> PAGE  \* Arabic  \* MERGEFORMAT </w:instrText>
    </w:r>
    <w:r>
      <w:fldChar w:fldCharType="separate"/>
    </w:r>
    <w:r w:rsidR="000E4DD7">
      <w:rPr>
        <w:noProof/>
      </w:rPr>
      <w:t>19</w:t>
    </w:r>
    <w:r>
      <w:rPr>
        <w:noProof/>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EF1339" w14:textId="77777777" w:rsidR="00172A64" w:rsidRDefault="00172A64" w:rsidP="005A76CC">
    <w:pPr>
      <w:pStyle w:val="leftfooter"/>
    </w:pPr>
    <w:r>
      <w:fldChar w:fldCharType="begin"/>
    </w:r>
    <w:r>
      <w:instrText xml:space="preserve"> PAGE   \* MERGEFORMAT </w:instrText>
    </w:r>
    <w:r>
      <w:fldChar w:fldCharType="separate"/>
    </w:r>
    <w:r>
      <w:rPr>
        <w:noProof/>
      </w:rPr>
      <w:t>4</w:t>
    </w:r>
    <w:r>
      <w:rPr>
        <w:noProof/>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BA43B4" w14:textId="77777777" w:rsidR="00172A64" w:rsidRDefault="00172A64" w:rsidP="005A76CC">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61AFF6" w14:textId="77777777" w:rsidR="00172A64" w:rsidRDefault="00172A64" w:rsidP="005A76CC">
    <w:pPr>
      <w:pStyle w:val="rightfooter"/>
    </w:pPr>
    <w:r>
      <w:fldChar w:fldCharType="begin"/>
    </w:r>
    <w:r>
      <w:instrText xml:space="preserve"> PAGE  \* Arabic  \* MERGEFORMAT </w:instrText>
    </w:r>
    <w:r>
      <w:fldChar w:fldCharType="separate"/>
    </w:r>
    <w:r w:rsidR="000E4DD7">
      <w:rPr>
        <w:noProof/>
      </w:rPr>
      <w:t>29</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0C525" w14:textId="77777777" w:rsidR="00172A64" w:rsidRDefault="00172A64" w:rsidP="00703978">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9AA98" w14:textId="77777777" w:rsidR="00172A64" w:rsidRDefault="00172A64" w:rsidP="00703978">
    <w:pPr>
      <w:pStyle w:val="leftfooter"/>
    </w:pPr>
    <w:r>
      <w:fldChar w:fldCharType="begin"/>
    </w:r>
    <w:r>
      <w:instrText xml:space="preserve"> PAGE   \* MERGEFORMAT </w:instrText>
    </w:r>
    <w:r>
      <w:fldChar w:fldCharType="separate"/>
    </w:r>
    <w:r>
      <w:rPr>
        <w:noProof/>
      </w:rPr>
      <w:t>4</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6EA272" w14:textId="77777777" w:rsidR="00172A64" w:rsidRDefault="00172A64" w:rsidP="00703978">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3ACF16" w14:textId="77777777" w:rsidR="00172A64" w:rsidRPr="00B2068E" w:rsidRDefault="00172A64" w:rsidP="00703978">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599256" w14:textId="77777777" w:rsidR="00172A64" w:rsidRDefault="00172A64" w:rsidP="00703978">
    <w:pPr>
      <w:pStyle w:val="leftfooter"/>
    </w:pPr>
    <w:r>
      <w:fldChar w:fldCharType="begin"/>
    </w:r>
    <w:r>
      <w:instrText xml:space="preserve"> PAGE   \* MERGEFORMAT </w:instrText>
    </w:r>
    <w:r>
      <w:fldChar w:fldCharType="separate"/>
    </w:r>
    <w:r w:rsidR="000E4DD7">
      <w:rPr>
        <w:noProof/>
      </w:rPr>
      <w:t>6</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8EF6C" w14:textId="77777777" w:rsidR="00172A64" w:rsidRDefault="00172A64" w:rsidP="00703978">
    <w:pPr>
      <w:pStyle w:val="rightfooter"/>
    </w:pPr>
    <w:r>
      <w:fldChar w:fldCharType="begin"/>
    </w:r>
    <w:r>
      <w:instrText xml:space="preserve"> PAGE   \* MERGEFORMAT </w:instrText>
    </w:r>
    <w:r>
      <w:fldChar w:fldCharType="separate"/>
    </w:r>
    <w:r>
      <w:rPr>
        <w:noProof/>
      </w:rPr>
      <w:t>7</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19449D" w14:textId="77777777" w:rsidR="00172A64" w:rsidRDefault="00172A64" w:rsidP="00703978">
    <w:pPr>
      <w:pStyle w:val="rightfooter"/>
    </w:pPr>
    <w:r>
      <w:fldChar w:fldCharType="begin"/>
    </w:r>
    <w:r>
      <w:instrText xml:space="preserve"> PAGE  \* Arabic  \* MERGEFORMAT </w:instrText>
    </w:r>
    <w:r>
      <w:fldChar w:fldCharType="separate"/>
    </w:r>
    <w:r w:rsidR="000E4DD7">
      <w:rPr>
        <w:noProof/>
      </w:rPr>
      <w:t>5</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489F57" w14:textId="77777777" w:rsidR="00172A64" w:rsidRDefault="00172A64" w:rsidP="00703978">
    <w:pPr>
      <w:pStyle w:val="leftfooter"/>
    </w:pPr>
    <w:r>
      <w:fldChar w:fldCharType="begin"/>
    </w:r>
    <w:r>
      <w:instrText xml:space="preserve"> PAGE   \* MERGEFORMAT </w:instrText>
    </w:r>
    <w:r>
      <w:fldChar w:fldCharType="separate"/>
    </w:r>
    <w:r w:rsidR="000E4DD7">
      <w:rPr>
        <w:noProof/>
      </w:rPr>
      <w:t>18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6688EA" w14:textId="77777777" w:rsidR="00172A64" w:rsidRDefault="00172A64">
      <w:r>
        <w:separator/>
      </w:r>
    </w:p>
  </w:footnote>
  <w:footnote w:type="continuationSeparator" w:id="0">
    <w:p w14:paraId="686E09AF" w14:textId="77777777" w:rsidR="00172A64" w:rsidRDefault="00172A64">
      <w:r>
        <w:continuationSeparator/>
      </w:r>
    </w:p>
  </w:footnote>
  <w:footnote w:type="continuationNotice" w:id="1">
    <w:p w14:paraId="3AB42371" w14:textId="77777777" w:rsidR="00172A64" w:rsidRDefault="00172A64">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178EF" w14:textId="77777777" w:rsidR="00172A64" w:rsidRDefault="00172A64" w:rsidP="00703978">
    <w:pPr>
      <w:pStyle w:val="leftheader"/>
    </w:pPr>
    <w:r>
      <w:fldChar w:fldCharType="begin"/>
    </w:r>
    <w:r>
      <w:instrText xml:space="preserve"> macrobutton nomacro [Click here and insert the name of the Bill] </w:instrText>
    </w:r>
    <w: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B9BE8" w14:textId="65992A1F" w:rsidR="00172A64" w:rsidRDefault="00350EC8" w:rsidP="00703978">
    <w:pPr>
      <w:pStyle w:val="rightheader"/>
    </w:pPr>
    <w:r>
      <w:t>Chapter 1 - Schedule 1, Part 1 – Safe harbour for insolvent trading</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A65389" w14:textId="77777777" w:rsidR="00DB33EC" w:rsidRDefault="00DB33EC" w:rsidP="00DB33EC">
    <w:pPr>
      <w:pStyle w:val="leftheader"/>
    </w:pPr>
    <w:r w:rsidRPr="008B34CC">
      <w:t xml:space="preserve">TREASURY LAWS AMENDMENT (2017 ENTERPRISE INCENTIVES NO. 2 BILL) BILL NO. </w:t>
    </w:r>
    <w:r>
      <w:t>X</w:t>
    </w:r>
    <w:r w:rsidRPr="008B34CC">
      <w:t>, 2017</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5D18E9" w14:textId="25B94C36" w:rsidR="00172A64" w:rsidRDefault="00350EC8" w:rsidP="00703978">
    <w:pPr>
      <w:pStyle w:val="rightheader"/>
    </w:pPr>
    <w:r>
      <w:t xml:space="preserve">Chapter 2 - </w:t>
    </w:r>
    <w:r w:rsidRPr="00350EC8">
      <w:t>Schedule 1, Part 2 – Stay on enforcing rights merely because of arrangements or restructures</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750A7" w14:textId="77777777" w:rsidR="00172A64" w:rsidRDefault="00172A64" w:rsidP="005A76CC">
    <w:pPr>
      <w:pStyle w:val="leftheader"/>
    </w:pPr>
    <w:r>
      <w:fldChar w:fldCharType="begin"/>
    </w:r>
    <w:r>
      <w:instrText xml:space="preserve"> macrobutton nomacro [Click here and insert the name of the Bill] </w:instrText>
    </w:r>
    <w: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EB6F72" w14:textId="77777777" w:rsidR="00172A64" w:rsidRDefault="00172A64" w:rsidP="005A76CC">
    <w:pPr>
      <w:pStyle w:val="rightheader"/>
    </w:pPr>
    <w:r>
      <w:fldChar w:fldCharType="begin"/>
    </w:r>
    <w:r>
      <w:instrText xml:space="preserve"> macrobutton nomacro [Click here and enter the name of the Chapter </w:instrTex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E92A6B" w14:textId="77777777" w:rsidR="00172A64" w:rsidRDefault="00172A64" w:rsidP="00703978">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11EB58" w14:textId="77777777" w:rsidR="00172A64" w:rsidRDefault="000E4DD7">
    <w:pPr>
      <w:pStyle w:val="Header"/>
    </w:pPr>
    <w:r>
      <w:rPr>
        <w:noProof/>
      </w:rPr>
      <w:pict w14:anchorId="6448C1C6">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2049" type="#_x0000_t172" style="position:absolute;margin-left:-3.5pt;margin-top:189.35pt;width:387.05pt;height:305.45pt;rotation:-277233fd;z-index:251658240" o:allowincell="f" fillcolor="silver" stroked="f">
          <v:fill opacity=".5"/>
          <v:shadow color="#868686"/>
          <v:textpath style="font-family:&quot;Arial Black&quot;;font-size:96pt;v-text-kern:t" trim="t" fitpath="t" string="DRAF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861B7" w14:textId="77777777" w:rsidR="00172A64" w:rsidRDefault="00172A64" w:rsidP="00703978">
    <w:pPr>
      <w:pStyle w:val="leftheader"/>
    </w:pPr>
    <w:r>
      <w:fldChar w:fldCharType="begin"/>
    </w:r>
    <w:r>
      <w:instrText xml:space="preserve"> macrobutton nomacro [Click here and insert the name of the Bill] </w:instrTex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51B41" w14:textId="77777777" w:rsidR="00172A64" w:rsidRDefault="00172A64" w:rsidP="00703978">
    <w:pPr>
      <w:pStyle w:val="rightheader"/>
    </w:pPr>
    <w:r>
      <w:fldChar w:fldCharType="begin"/>
    </w:r>
    <w:r>
      <w:instrText xml:space="preserve"> macrobutton nomacro [Click here and enter the name of the Chapter </w:instrTex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689772" w14:textId="77777777" w:rsidR="00172A64" w:rsidRDefault="00172A6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792A30" w14:textId="162B1FB2" w:rsidR="00172A64" w:rsidRDefault="00172A64" w:rsidP="00703978">
    <w:pPr>
      <w:pStyle w:val="leftheader"/>
    </w:pPr>
    <w:r w:rsidRPr="008B34CC">
      <w:t xml:space="preserve">TREASURY LAWS AMENDMENT (2017 ENTERPRISE INCENTIVES NO. 2 BILL) BILL NO. </w:t>
    </w:r>
    <w:r w:rsidRPr="003C7F06">
      <w:t>X</w:t>
    </w:r>
    <w:r w:rsidRPr="008B34CC">
      <w:t>, 2017</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F1B0CC" w14:textId="77777777" w:rsidR="00172A64" w:rsidRDefault="00172A64" w:rsidP="00703978">
    <w:pPr>
      <w:pStyle w:val="rightheader"/>
    </w:pPr>
    <w:r>
      <w:fldChar w:fldCharType="begin"/>
    </w:r>
    <w:r>
      <w:instrText xml:space="preserve"> macrobutton nomacro [Click here and enter the name of the Chapter </w:instrTex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2D7CA" w14:textId="1457DEDB" w:rsidR="00172A64" w:rsidRDefault="00172A64" w:rsidP="00703978">
    <w:pPr>
      <w:pStyle w:val="leftheader"/>
    </w:pPr>
    <w:r w:rsidRPr="008B34CC">
      <w:t xml:space="preserve">TREASURY LAWS AMENDMENT (2017 ENTERPRISE INCENTIVES NO. 2 BILL) BILL NO. </w:t>
    </w:r>
    <w:r w:rsidR="00DB33EC">
      <w:t>X</w:t>
    </w:r>
    <w:r w:rsidRPr="008B34CC">
      <w:t>,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AD4F63"/>
    <w:multiLevelType w:val="hybridMultilevel"/>
    <w:tmpl w:val="116A803E"/>
    <w:lvl w:ilvl="0" w:tplc="8E4A541A">
      <w:start w:val="1"/>
      <w:numFmt w:val="bullet"/>
      <w:lvlText w:val=""/>
      <w:lvlJc w:val="left"/>
      <w:pPr>
        <w:tabs>
          <w:tab w:val="num" w:pos="539"/>
        </w:tabs>
        <w:ind w:left="539"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7B019E2"/>
    <w:multiLevelType w:val="multilevel"/>
    <w:tmpl w:val="A316FE50"/>
    <w:numStyleLink w:val="ChapterList"/>
  </w:abstractNum>
  <w:abstractNum w:abstractNumId="12">
    <w:nsid w:val="0F5B5BBF"/>
    <w:multiLevelType w:val="multilevel"/>
    <w:tmpl w:val="A316FE50"/>
    <w:numStyleLink w:val="ChapterList"/>
  </w:abstractNum>
  <w:abstractNum w:abstractNumId="13">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18220900"/>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1BEB4EC5"/>
    <w:multiLevelType w:val="multilevel"/>
    <w:tmpl w:val="6D98FC9A"/>
    <w:numStyleLink w:val="TableDotPointList"/>
  </w:abstractNum>
  <w:abstractNum w:abstractNumId="16">
    <w:nsid w:val="1D050AB2"/>
    <w:multiLevelType w:val="multilevel"/>
    <w:tmpl w:val="EE64FF8E"/>
    <w:name w:val="TableDotPointList"/>
    <w:lvl w:ilvl="0">
      <w:start w:val="1"/>
      <w:numFmt w:val="bullet"/>
      <w:lvlRestart w:val="0"/>
      <w:lvlText w:val="•"/>
      <w:lvlJc w:val="left"/>
      <w:pPr>
        <w:tabs>
          <w:tab w:val="num" w:pos="284"/>
        </w:tabs>
        <w:ind w:left="284" w:hanging="284"/>
      </w:pPr>
      <w:rPr>
        <w:b w:val="0"/>
        <w:i w:val="0"/>
        <w:color w:val="000000"/>
      </w:rPr>
    </w:lvl>
    <w:lvl w:ilvl="1">
      <w:start w:val="1"/>
      <w:numFmt w:val="bullet"/>
      <w:lvlText w:val="–"/>
      <w:lvlJc w:val="left"/>
      <w:pPr>
        <w:tabs>
          <w:tab w:val="num" w:pos="567"/>
        </w:tabs>
        <w:ind w:left="567"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7">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3687"/>
        </w:tabs>
        <w:ind w:left="2836"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0">
    <w:nsid w:val="407229D3"/>
    <w:multiLevelType w:val="multilevel"/>
    <w:tmpl w:val="8B7C8C68"/>
    <w:name w:val="ChapterList"/>
    <w:lvl w:ilvl="0">
      <w:start w:val="1"/>
      <w:numFmt w:val="decimal"/>
      <w:lvlRestart w:val="0"/>
      <w:suff w:val="nothing"/>
      <w:lvlText w:val=""/>
      <w:lvlJc w:val="left"/>
      <w:pPr>
        <w:ind w:left="0" w:firstLine="0"/>
      </w:pPr>
      <w:rPr>
        <w:b w:val="0"/>
        <w:i w:val="0"/>
        <w:color w:val="000000"/>
      </w:rPr>
    </w:lvl>
    <w:lvl w:ilvl="1">
      <w:start w:val="1"/>
      <w:numFmt w:val="decimal"/>
      <w:lvlText w:val="%1.%2"/>
      <w:lvlJc w:val="left"/>
      <w:pPr>
        <w:tabs>
          <w:tab w:val="num" w:pos="1984"/>
        </w:tabs>
        <w:ind w:left="1134" w:firstLine="0"/>
      </w:pPr>
      <w:rPr>
        <w:b w:val="0"/>
        <w:i w:val="0"/>
        <w:color w:val="000000"/>
      </w:rPr>
    </w:lvl>
    <w:lvl w:ilvl="2">
      <w:start w:val="1"/>
      <w:numFmt w:val="decimal"/>
      <w:lvlRestart w:val="1"/>
      <w:suff w:val="nothing"/>
      <w:lvlText w:val="Example %1.%3"/>
      <w:lvlJc w:val="left"/>
      <w:pPr>
        <w:ind w:left="1134" w:firstLine="0"/>
      </w:pPr>
      <w:rPr>
        <w:rFonts w:ascii="Times New Roman" w:hAnsi="Times New Roman" w:cs="Times New Roman"/>
        <w:b/>
        <w:i w:val="0"/>
        <w:color w:val="000000"/>
        <w:sz w:val="22"/>
      </w:rPr>
    </w:lvl>
    <w:lvl w:ilvl="3">
      <w:start w:val="1"/>
      <w:numFmt w:val="decimal"/>
      <w:lvlRestart w:val="1"/>
      <w:suff w:val="nothing"/>
      <w:lvlText w:val="Diagram %1.%4"/>
      <w:lvlJc w:val="left"/>
      <w:pPr>
        <w:ind w:left="1134" w:firstLine="0"/>
      </w:pPr>
      <w:rPr>
        <w:rFonts w:ascii="Times New Roman" w:hAnsi="Times New Roman" w:cs="Times New Roman"/>
        <w:b/>
        <w:i w:val="0"/>
        <w:color w:val="000000"/>
        <w:sz w:val="22"/>
      </w:rPr>
    </w:lvl>
    <w:lvl w:ilvl="4">
      <w:start w:val="1"/>
      <w:numFmt w:val="decimal"/>
      <w:lvlRestart w:val="1"/>
      <w:suff w:val="nothing"/>
      <w:lvlText w:val="Table %1.%5"/>
      <w:lvlJc w:val="left"/>
      <w:pPr>
        <w:ind w:left="1134" w:firstLine="0"/>
      </w:pPr>
      <w:rPr>
        <w:rFonts w:ascii="Times New Roman" w:hAnsi="Times New Roman" w:cs="Times New Roman"/>
        <w:b/>
        <w:i w:val="0"/>
        <w:color w:val="000000"/>
        <w:sz w:val="22"/>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1">
    <w:nsid w:val="43FB3E18"/>
    <w:multiLevelType w:val="multilevel"/>
    <w:tmpl w:val="A316FE50"/>
    <w:numStyleLink w:val="ChapterList"/>
  </w:abstractNum>
  <w:abstractNum w:abstractNumId="22">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50476E0F"/>
    <w:multiLevelType w:val="multilevel"/>
    <w:tmpl w:val="DDC0B15E"/>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64281CEB"/>
    <w:multiLevelType w:val="multilevel"/>
    <w:tmpl w:val="A316FE50"/>
    <w:numStyleLink w:val="ChapterList"/>
  </w:abstractNum>
  <w:abstractNum w:abstractNumId="26">
    <w:nsid w:val="65DF6494"/>
    <w:multiLevelType w:val="multilevel"/>
    <w:tmpl w:val="A316FE50"/>
    <w:numStyleLink w:val="ChapterList"/>
  </w:abstractNum>
  <w:abstractNum w:abstractNumId="27">
    <w:nsid w:val="6D302C09"/>
    <w:multiLevelType w:val="multilevel"/>
    <w:tmpl w:val="A316FE50"/>
    <w:numStyleLink w:val="ChapterList"/>
  </w:abstractNum>
  <w:abstractNum w:abstractNumId="28">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0">
    <w:nsid w:val="7CAC208D"/>
    <w:multiLevelType w:val="multilevel"/>
    <w:tmpl w:val="A316FE50"/>
    <w:numStyleLink w:val="ChapterList"/>
  </w:abstractNum>
  <w:num w:numId="1">
    <w:abstractNumId w:val="20"/>
  </w:num>
  <w:num w:numId="2">
    <w:abstractNumId w:val="19"/>
  </w:num>
  <w:num w:numId="3">
    <w:abstractNumId w:val="16"/>
  </w:num>
  <w:num w:numId="4">
    <w:abstractNumId w:val="17"/>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28"/>
  </w:num>
  <w:num w:numId="17">
    <w:abstractNumId w:val="29"/>
  </w:num>
  <w:num w:numId="18">
    <w:abstractNumId w:val="10"/>
  </w:num>
  <w:num w:numId="19">
    <w:abstractNumId w:val="18"/>
  </w:num>
  <w:num w:numId="20">
    <w:abstractNumId w:val="22"/>
  </w:num>
  <w:num w:numId="21">
    <w:abstractNumId w:val="24"/>
  </w:num>
  <w:num w:numId="22">
    <w:abstractNumId w:val="13"/>
  </w:num>
  <w:num w:numId="23">
    <w:abstractNumId w:val="15"/>
  </w:num>
  <w:num w:numId="24">
    <w:abstractNumId w:val="27"/>
  </w:num>
  <w:num w:numId="25">
    <w:abstractNumId w:val="30"/>
  </w:num>
  <w:num w:numId="26">
    <w:abstractNumId w:val="25"/>
  </w:num>
  <w:num w:numId="27">
    <w:abstractNumId w:val="11"/>
  </w:num>
  <w:num w:numId="28">
    <w:abstractNumId w:val="21"/>
  </w:num>
  <w:num w:numId="29">
    <w:abstractNumId w:val="12"/>
  </w:num>
  <w:num w:numId="30">
    <w:abstractNumId w:val="26"/>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1">
    <w:abstractNumId w:val="26"/>
  </w:num>
  <w:num w:numId="32">
    <w:abstractNumId w:val="26"/>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702"/>
          </w:tabs>
          <w:ind w:left="851" w:firstLine="0"/>
        </w:pPr>
        <w:rPr>
          <w:rFonts w:hint="default"/>
          <w:b w:val="0"/>
          <w:i w:val="0"/>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3">
    <w:abstractNumId w:val="26"/>
    <w:lvlOverride w:ilvl="0">
      <w:startOverride w:val="1"/>
      <w:lvl w:ilvl="0">
        <w:start w:val="1"/>
        <w:numFmt w:val="decimal"/>
        <w:pStyle w:val="ChapterHeading"/>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3687"/>
          </w:tabs>
          <w:ind w:left="2836" w:firstLine="0"/>
        </w:pPr>
        <w:rPr>
          <w:rFonts w:hint="default"/>
        </w:rPr>
      </w:lvl>
    </w:lvlOverride>
    <w:lvlOverride w:ilvl="2">
      <w:startOverride w:val="1"/>
      <w:lvl w:ilvl="2">
        <w:start w:val="1"/>
        <w:numFmt w:val="decimal"/>
        <w:lvlRestart w:val="1"/>
        <w:pStyle w:val="Diagram"/>
        <w:suff w:val="nothing"/>
        <w:lvlText w:val="Diagram %1.%3"/>
        <w:lvlJc w:val="left"/>
        <w:pPr>
          <w:ind w:left="1134" w:firstLine="0"/>
        </w:pPr>
        <w:rPr>
          <w:rFonts w:hint="default"/>
        </w:rPr>
      </w:lvl>
    </w:lvlOverride>
    <w:lvlOverride w:ilvl="3">
      <w:startOverride w:val="1"/>
      <w:lvl w:ilvl="3">
        <w:start w:val="1"/>
        <w:numFmt w:val="decimal"/>
        <w:lvlRestart w:val="1"/>
        <w:pStyle w:val="ExampleHeading"/>
        <w:suff w:val="nothing"/>
        <w:lvlText w:val="Example %1.%4"/>
        <w:lvlJc w:val="left"/>
        <w:pPr>
          <w:ind w:left="1134" w:firstLine="0"/>
        </w:pPr>
        <w:rPr>
          <w:rFonts w:hint="default"/>
        </w:rPr>
      </w:lvl>
    </w:lvlOverride>
    <w:lvlOverride w:ilvl="4">
      <w:startOverride w:val="1"/>
      <w:lvl w:ilvl="4">
        <w:start w:val="1"/>
        <w:numFmt w:val="decimal"/>
        <w:lvlRestart w:val="1"/>
        <w:pStyle w:val="TableHeadingoutsidetable"/>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4">
    <w:abstractNumId w:val="26"/>
    <w:lvlOverride w:ilvl="0">
      <w:startOverride w:val="1"/>
      <w:lvl w:ilvl="0">
        <w:start w:val="1"/>
        <w:numFmt w:val="decimal"/>
        <w:pStyle w:val="ChapterHeading"/>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3687"/>
          </w:tabs>
          <w:ind w:left="2836" w:firstLine="0"/>
        </w:pPr>
        <w:rPr>
          <w:rFonts w:hint="default"/>
        </w:rPr>
      </w:lvl>
    </w:lvlOverride>
    <w:lvlOverride w:ilvl="2">
      <w:startOverride w:val="1"/>
      <w:lvl w:ilvl="2">
        <w:start w:val="1"/>
        <w:numFmt w:val="decimal"/>
        <w:lvlRestart w:val="1"/>
        <w:pStyle w:val="Diagram"/>
        <w:suff w:val="nothing"/>
        <w:lvlText w:val="Diagram %1.%3"/>
        <w:lvlJc w:val="left"/>
        <w:pPr>
          <w:ind w:left="1134" w:firstLine="0"/>
        </w:pPr>
        <w:rPr>
          <w:rFonts w:hint="default"/>
        </w:rPr>
      </w:lvl>
    </w:lvlOverride>
    <w:lvlOverride w:ilvl="3">
      <w:startOverride w:val="1"/>
      <w:lvl w:ilvl="3">
        <w:start w:val="1"/>
        <w:numFmt w:val="decimal"/>
        <w:lvlRestart w:val="1"/>
        <w:pStyle w:val="ExampleHeading"/>
        <w:suff w:val="nothing"/>
        <w:lvlText w:val="Example %1.%4"/>
        <w:lvlJc w:val="left"/>
        <w:pPr>
          <w:ind w:left="1134" w:firstLine="0"/>
        </w:pPr>
        <w:rPr>
          <w:rFonts w:hint="default"/>
        </w:rPr>
      </w:lvl>
    </w:lvlOverride>
    <w:lvlOverride w:ilvl="4">
      <w:startOverride w:val="1"/>
      <w:lvl w:ilvl="4">
        <w:start w:val="1"/>
        <w:numFmt w:val="decimal"/>
        <w:lvlRestart w:val="1"/>
        <w:pStyle w:val="TableHeadingoutsidetable"/>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5">
    <w:abstractNumId w:val="26"/>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3687"/>
          </w:tabs>
          <w:ind w:left="2836"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6">
    <w:abstractNumId w:val="23"/>
  </w:num>
  <w:num w:numId="37">
    <w:abstractNumId w:val="26"/>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702"/>
          </w:tabs>
          <w:ind w:left="851" w:firstLine="0"/>
        </w:pPr>
        <w:rPr>
          <w:rFonts w:hint="default"/>
          <w:b w:val="0"/>
          <w:i w:val="0"/>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8">
    <w:abstractNumId w:val="26"/>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702"/>
          </w:tabs>
          <w:ind w:left="851" w:firstLine="0"/>
        </w:pPr>
        <w:rPr>
          <w:rFonts w:hint="default"/>
          <w:b w:val="0"/>
          <w:i w:val="0"/>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9">
    <w:abstractNumId w:val="26"/>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3687"/>
          </w:tabs>
          <w:ind w:left="2836"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0">
    <w:abstractNumId w:val="26"/>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3687"/>
          </w:tabs>
          <w:ind w:left="2836"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evenAndOddHeaders/>
  <w:noPunctuationKerning/>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noTabHangInd/>
    <w:noColumnBalance/>
    <w:suppressBottomSpacing/>
    <w:suppressTopSpacing/>
    <w:suppressSpBfAfterPgBrk/>
    <w:noSpaceRaiseLower/>
    <w:doNotUseHTMLParagraphAutoSpacing/>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AD0"/>
    <w:rsid w:val="00000A6B"/>
    <w:rsid w:val="000043A1"/>
    <w:rsid w:val="00005649"/>
    <w:rsid w:val="00005CFC"/>
    <w:rsid w:val="00010B19"/>
    <w:rsid w:val="00011B77"/>
    <w:rsid w:val="00012F66"/>
    <w:rsid w:val="00022AA3"/>
    <w:rsid w:val="00025261"/>
    <w:rsid w:val="0002543D"/>
    <w:rsid w:val="00030C29"/>
    <w:rsid w:val="00031835"/>
    <w:rsid w:val="000327A2"/>
    <w:rsid w:val="0003305A"/>
    <w:rsid w:val="00033099"/>
    <w:rsid w:val="0003476B"/>
    <w:rsid w:val="00034BE8"/>
    <w:rsid w:val="00034FE7"/>
    <w:rsid w:val="00036070"/>
    <w:rsid w:val="00050170"/>
    <w:rsid w:val="0005600E"/>
    <w:rsid w:val="00056071"/>
    <w:rsid w:val="00057D4F"/>
    <w:rsid w:val="00060758"/>
    <w:rsid w:val="00064524"/>
    <w:rsid w:val="00066BFD"/>
    <w:rsid w:val="00067E1D"/>
    <w:rsid w:val="000705A5"/>
    <w:rsid w:val="000709E4"/>
    <w:rsid w:val="000725C0"/>
    <w:rsid w:val="000743C9"/>
    <w:rsid w:val="00074FA4"/>
    <w:rsid w:val="00075250"/>
    <w:rsid w:val="00076543"/>
    <w:rsid w:val="00076E86"/>
    <w:rsid w:val="000835C7"/>
    <w:rsid w:val="000848BC"/>
    <w:rsid w:val="00085C5D"/>
    <w:rsid w:val="0008743D"/>
    <w:rsid w:val="0009055D"/>
    <w:rsid w:val="000911CB"/>
    <w:rsid w:val="000923BF"/>
    <w:rsid w:val="000960B7"/>
    <w:rsid w:val="000A0AFD"/>
    <w:rsid w:val="000A2094"/>
    <w:rsid w:val="000A341E"/>
    <w:rsid w:val="000A350C"/>
    <w:rsid w:val="000A415F"/>
    <w:rsid w:val="000A426D"/>
    <w:rsid w:val="000A4584"/>
    <w:rsid w:val="000A4592"/>
    <w:rsid w:val="000A49E5"/>
    <w:rsid w:val="000A56C3"/>
    <w:rsid w:val="000A5B26"/>
    <w:rsid w:val="000A694C"/>
    <w:rsid w:val="000A6DBE"/>
    <w:rsid w:val="000A7779"/>
    <w:rsid w:val="000B2830"/>
    <w:rsid w:val="000B7FBA"/>
    <w:rsid w:val="000C06D9"/>
    <w:rsid w:val="000C0C43"/>
    <w:rsid w:val="000C2652"/>
    <w:rsid w:val="000C306D"/>
    <w:rsid w:val="000C3BC9"/>
    <w:rsid w:val="000C4335"/>
    <w:rsid w:val="000C4A4D"/>
    <w:rsid w:val="000C593E"/>
    <w:rsid w:val="000D54A6"/>
    <w:rsid w:val="000D6D4E"/>
    <w:rsid w:val="000D7012"/>
    <w:rsid w:val="000E0363"/>
    <w:rsid w:val="000E089D"/>
    <w:rsid w:val="000E23C1"/>
    <w:rsid w:val="000E3A29"/>
    <w:rsid w:val="000E47BA"/>
    <w:rsid w:val="000E4DD7"/>
    <w:rsid w:val="000E5B9A"/>
    <w:rsid w:val="000F6059"/>
    <w:rsid w:val="000F6DFF"/>
    <w:rsid w:val="000F77CC"/>
    <w:rsid w:val="00100AFF"/>
    <w:rsid w:val="00100FDA"/>
    <w:rsid w:val="00101A2B"/>
    <w:rsid w:val="00107FC7"/>
    <w:rsid w:val="001114E6"/>
    <w:rsid w:val="001116C7"/>
    <w:rsid w:val="00113E19"/>
    <w:rsid w:val="001147D7"/>
    <w:rsid w:val="0012029F"/>
    <w:rsid w:val="00121EB0"/>
    <w:rsid w:val="00123D96"/>
    <w:rsid w:val="0012405D"/>
    <w:rsid w:val="00124E04"/>
    <w:rsid w:val="00124E15"/>
    <w:rsid w:val="00130DE9"/>
    <w:rsid w:val="00131E0C"/>
    <w:rsid w:val="00132652"/>
    <w:rsid w:val="0014197C"/>
    <w:rsid w:val="0014335E"/>
    <w:rsid w:val="00145C68"/>
    <w:rsid w:val="00146CAB"/>
    <w:rsid w:val="00147843"/>
    <w:rsid w:val="001614D1"/>
    <w:rsid w:val="00161AB2"/>
    <w:rsid w:val="00165BF4"/>
    <w:rsid w:val="001700C7"/>
    <w:rsid w:val="0017024F"/>
    <w:rsid w:val="00172A64"/>
    <w:rsid w:val="00174287"/>
    <w:rsid w:val="00174A29"/>
    <w:rsid w:val="001756E7"/>
    <w:rsid w:val="001757E2"/>
    <w:rsid w:val="001833B6"/>
    <w:rsid w:val="00183B1C"/>
    <w:rsid w:val="00186A23"/>
    <w:rsid w:val="00191C8D"/>
    <w:rsid w:val="00193645"/>
    <w:rsid w:val="001A386A"/>
    <w:rsid w:val="001A4B9D"/>
    <w:rsid w:val="001A659B"/>
    <w:rsid w:val="001A6ECF"/>
    <w:rsid w:val="001A71FB"/>
    <w:rsid w:val="001A7A18"/>
    <w:rsid w:val="001B215F"/>
    <w:rsid w:val="001B61C4"/>
    <w:rsid w:val="001C0F17"/>
    <w:rsid w:val="001C21E8"/>
    <w:rsid w:val="001C2FEC"/>
    <w:rsid w:val="001C3F72"/>
    <w:rsid w:val="001D1E48"/>
    <w:rsid w:val="001D5436"/>
    <w:rsid w:val="001D61BB"/>
    <w:rsid w:val="001E21D4"/>
    <w:rsid w:val="001E33BF"/>
    <w:rsid w:val="001E3E25"/>
    <w:rsid w:val="001E409A"/>
    <w:rsid w:val="001E4852"/>
    <w:rsid w:val="001E6545"/>
    <w:rsid w:val="001E7D48"/>
    <w:rsid w:val="001F0813"/>
    <w:rsid w:val="001F2281"/>
    <w:rsid w:val="001F2871"/>
    <w:rsid w:val="001F5BAE"/>
    <w:rsid w:val="00200C32"/>
    <w:rsid w:val="00200E96"/>
    <w:rsid w:val="00201B36"/>
    <w:rsid w:val="00202B11"/>
    <w:rsid w:val="00202B4B"/>
    <w:rsid w:val="00202EDE"/>
    <w:rsid w:val="0020614B"/>
    <w:rsid w:val="00207CA6"/>
    <w:rsid w:val="002154F2"/>
    <w:rsid w:val="00217D66"/>
    <w:rsid w:val="00220D6C"/>
    <w:rsid w:val="0022256D"/>
    <w:rsid w:val="00222D57"/>
    <w:rsid w:val="00223D4C"/>
    <w:rsid w:val="002273BE"/>
    <w:rsid w:val="00231CBA"/>
    <w:rsid w:val="00234367"/>
    <w:rsid w:val="00236A1C"/>
    <w:rsid w:val="00246119"/>
    <w:rsid w:val="00250154"/>
    <w:rsid w:val="00252A2C"/>
    <w:rsid w:val="00253E01"/>
    <w:rsid w:val="002576C7"/>
    <w:rsid w:val="00257ED7"/>
    <w:rsid w:val="00262AD3"/>
    <w:rsid w:val="00266048"/>
    <w:rsid w:val="0026725E"/>
    <w:rsid w:val="00267D69"/>
    <w:rsid w:val="00271FD8"/>
    <w:rsid w:val="00272662"/>
    <w:rsid w:val="00272BDF"/>
    <w:rsid w:val="00272FD3"/>
    <w:rsid w:val="00273F86"/>
    <w:rsid w:val="002748EB"/>
    <w:rsid w:val="00275318"/>
    <w:rsid w:val="00284EA0"/>
    <w:rsid w:val="002857E2"/>
    <w:rsid w:val="0029295A"/>
    <w:rsid w:val="00292AB5"/>
    <w:rsid w:val="00292E70"/>
    <w:rsid w:val="00293F5E"/>
    <w:rsid w:val="002945E2"/>
    <w:rsid w:val="00294A51"/>
    <w:rsid w:val="00297A19"/>
    <w:rsid w:val="002A4F1C"/>
    <w:rsid w:val="002A64A2"/>
    <w:rsid w:val="002A6E61"/>
    <w:rsid w:val="002A7809"/>
    <w:rsid w:val="002B3743"/>
    <w:rsid w:val="002B37ED"/>
    <w:rsid w:val="002B3EA4"/>
    <w:rsid w:val="002B4195"/>
    <w:rsid w:val="002B57E5"/>
    <w:rsid w:val="002C0036"/>
    <w:rsid w:val="002C277C"/>
    <w:rsid w:val="002C43E8"/>
    <w:rsid w:val="002C760A"/>
    <w:rsid w:val="002D0704"/>
    <w:rsid w:val="002D20E0"/>
    <w:rsid w:val="002D2436"/>
    <w:rsid w:val="002D494B"/>
    <w:rsid w:val="002D6555"/>
    <w:rsid w:val="002E045E"/>
    <w:rsid w:val="002E3A4D"/>
    <w:rsid w:val="002E5C23"/>
    <w:rsid w:val="002E5FD3"/>
    <w:rsid w:val="002E620A"/>
    <w:rsid w:val="002E71E8"/>
    <w:rsid w:val="002F2244"/>
    <w:rsid w:val="002F28C5"/>
    <w:rsid w:val="002F2FCE"/>
    <w:rsid w:val="002F3991"/>
    <w:rsid w:val="002F75B0"/>
    <w:rsid w:val="003006A7"/>
    <w:rsid w:val="00301E20"/>
    <w:rsid w:val="0030256C"/>
    <w:rsid w:val="003041D2"/>
    <w:rsid w:val="00305C69"/>
    <w:rsid w:val="00306E7A"/>
    <w:rsid w:val="00306FBD"/>
    <w:rsid w:val="003174AE"/>
    <w:rsid w:val="00320374"/>
    <w:rsid w:val="0032082B"/>
    <w:rsid w:val="00321817"/>
    <w:rsid w:val="00321FEA"/>
    <w:rsid w:val="00325528"/>
    <w:rsid w:val="00325BF0"/>
    <w:rsid w:val="00326457"/>
    <w:rsid w:val="00331C96"/>
    <w:rsid w:val="003324D2"/>
    <w:rsid w:val="0033297F"/>
    <w:rsid w:val="003339B0"/>
    <w:rsid w:val="00335FF1"/>
    <w:rsid w:val="0033614A"/>
    <w:rsid w:val="003400D3"/>
    <w:rsid w:val="00342F1F"/>
    <w:rsid w:val="0034497F"/>
    <w:rsid w:val="00345CCB"/>
    <w:rsid w:val="00346BEB"/>
    <w:rsid w:val="0035012F"/>
    <w:rsid w:val="003501C2"/>
    <w:rsid w:val="003505E3"/>
    <w:rsid w:val="00350EC8"/>
    <w:rsid w:val="00350EC9"/>
    <w:rsid w:val="00353109"/>
    <w:rsid w:val="003549FE"/>
    <w:rsid w:val="0036280E"/>
    <w:rsid w:val="0036401C"/>
    <w:rsid w:val="003648D8"/>
    <w:rsid w:val="0036787F"/>
    <w:rsid w:val="0037059D"/>
    <w:rsid w:val="00370AE1"/>
    <w:rsid w:val="00370CF4"/>
    <w:rsid w:val="00370F90"/>
    <w:rsid w:val="00370FE2"/>
    <w:rsid w:val="003719A4"/>
    <w:rsid w:val="00372C48"/>
    <w:rsid w:val="0037476A"/>
    <w:rsid w:val="0037497F"/>
    <w:rsid w:val="00376FAF"/>
    <w:rsid w:val="00377571"/>
    <w:rsid w:val="0037777D"/>
    <w:rsid w:val="00377CD4"/>
    <w:rsid w:val="00380182"/>
    <w:rsid w:val="0038105A"/>
    <w:rsid w:val="00382F15"/>
    <w:rsid w:val="00384DF4"/>
    <w:rsid w:val="00386A0C"/>
    <w:rsid w:val="00386A6F"/>
    <w:rsid w:val="00387BAB"/>
    <w:rsid w:val="00390E94"/>
    <w:rsid w:val="00391397"/>
    <w:rsid w:val="003937A7"/>
    <w:rsid w:val="0039400F"/>
    <w:rsid w:val="00394CDB"/>
    <w:rsid w:val="003A1B9B"/>
    <w:rsid w:val="003A311E"/>
    <w:rsid w:val="003A351E"/>
    <w:rsid w:val="003A401B"/>
    <w:rsid w:val="003A52AC"/>
    <w:rsid w:val="003A5A84"/>
    <w:rsid w:val="003A5BAA"/>
    <w:rsid w:val="003A5D7E"/>
    <w:rsid w:val="003A6276"/>
    <w:rsid w:val="003B0C74"/>
    <w:rsid w:val="003B2C77"/>
    <w:rsid w:val="003B3FF5"/>
    <w:rsid w:val="003B550D"/>
    <w:rsid w:val="003B7515"/>
    <w:rsid w:val="003B7767"/>
    <w:rsid w:val="003C1301"/>
    <w:rsid w:val="003C5BA3"/>
    <w:rsid w:val="003C7F06"/>
    <w:rsid w:val="003D1FBD"/>
    <w:rsid w:val="003D352B"/>
    <w:rsid w:val="003D6FD9"/>
    <w:rsid w:val="003D734D"/>
    <w:rsid w:val="003D7F02"/>
    <w:rsid w:val="003E0794"/>
    <w:rsid w:val="003E0C95"/>
    <w:rsid w:val="003E5EE9"/>
    <w:rsid w:val="003E68F7"/>
    <w:rsid w:val="003E7235"/>
    <w:rsid w:val="003E7F23"/>
    <w:rsid w:val="003F0066"/>
    <w:rsid w:val="003F096C"/>
    <w:rsid w:val="003F144F"/>
    <w:rsid w:val="003F4B31"/>
    <w:rsid w:val="003F4BD0"/>
    <w:rsid w:val="00410BEC"/>
    <w:rsid w:val="00411C02"/>
    <w:rsid w:val="00413DCA"/>
    <w:rsid w:val="004170EE"/>
    <w:rsid w:val="004176E0"/>
    <w:rsid w:val="004225A5"/>
    <w:rsid w:val="0042260F"/>
    <w:rsid w:val="00422AC4"/>
    <w:rsid w:val="0042329F"/>
    <w:rsid w:val="004248CD"/>
    <w:rsid w:val="00425D9E"/>
    <w:rsid w:val="00430BCE"/>
    <w:rsid w:val="0043366C"/>
    <w:rsid w:val="00433B1D"/>
    <w:rsid w:val="00433FD9"/>
    <w:rsid w:val="00436054"/>
    <w:rsid w:val="004370DD"/>
    <w:rsid w:val="0043717E"/>
    <w:rsid w:val="00440A25"/>
    <w:rsid w:val="00440B8C"/>
    <w:rsid w:val="00441D38"/>
    <w:rsid w:val="00441D85"/>
    <w:rsid w:val="00442BDD"/>
    <w:rsid w:val="00442FB9"/>
    <w:rsid w:val="0044391B"/>
    <w:rsid w:val="00446B44"/>
    <w:rsid w:val="00447201"/>
    <w:rsid w:val="00450635"/>
    <w:rsid w:val="00451BB3"/>
    <w:rsid w:val="0045212B"/>
    <w:rsid w:val="00454167"/>
    <w:rsid w:val="0045437C"/>
    <w:rsid w:val="00456702"/>
    <w:rsid w:val="00457BC3"/>
    <w:rsid w:val="00460019"/>
    <w:rsid w:val="00460E40"/>
    <w:rsid w:val="0046485C"/>
    <w:rsid w:val="00465A34"/>
    <w:rsid w:val="00467CE5"/>
    <w:rsid w:val="00467FF4"/>
    <w:rsid w:val="00470181"/>
    <w:rsid w:val="004710EB"/>
    <w:rsid w:val="00472046"/>
    <w:rsid w:val="00472A87"/>
    <w:rsid w:val="004733EA"/>
    <w:rsid w:val="00475D9F"/>
    <w:rsid w:val="00476B7E"/>
    <w:rsid w:val="00480C91"/>
    <w:rsid w:val="004836D2"/>
    <w:rsid w:val="004839E9"/>
    <w:rsid w:val="00483A94"/>
    <w:rsid w:val="00490212"/>
    <w:rsid w:val="004907F3"/>
    <w:rsid w:val="004921C5"/>
    <w:rsid w:val="004938CA"/>
    <w:rsid w:val="00495587"/>
    <w:rsid w:val="004A1E3E"/>
    <w:rsid w:val="004A5671"/>
    <w:rsid w:val="004A67F0"/>
    <w:rsid w:val="004B10E9"/>
    <w:rsid w:val="004B124A"/>
    <w:rsid w:val="004B2423"/>
    <w:rsid w:val="004B3D57"/>
    <w:rsid w:val="004B70EF"/>
    <w:rsid w:val="004B755A"/>
    <w:rsid w:val="004C1468"/>
    <w:rsid w:val="004C38FF"/>
    <w:rsid w:val="004C3E70"/>
    <w:rsid w:val="004C464D"/>
    <w:rsid w:val="004C711E"/>
    <w:rsid w:val="004D0E07"/>
    <w:rsid w:val="004D1766"/>
    <w:rsid w:val="004D4170"/>
    <w:rsid w:val="004D559D"/>
    <w:rsid w:val="004D6B85"/>
    <w:rsid w:val="004D7479"/>
    <w:rsid w:val="004D7BD3"/>
    <w:rsid w:val="004E02B7"/>
    <w:rsid w:val="004E13E1"/>
    <w:rsid w:val="004E161F"/>
    <w:rsid w:val="004E2B6B"/>
    <w:rsid w:val="004E6082"/>
    <w:rsid w:val="004E76BC"/>
    <w:rsid w:val="004E7917"/>
    <w:rsid w:val="004F65E9"/>
    <w:rsid w:val="0050024F"/>
    <w:rsid w:val="005020ED"/>
    <w:rsid w:val="00502551"/>
    <w:rsid w:val="00504D4A"/>
    <w:rsid w:val="00504F22"/>
    <w:rsid w:val="005052B0"/>
    <w:rsid w:val="0050652E"/>
    <w:rsid w:val="00507AD3"/>
    <w:rsid w:val="00510762"/>
    <w:rsid w:val="005119B9"/>
    <w:rsid w:val="00512A4B"/>
    <w:rsid w:val="005153A5"/>
    <w:rsid w:val="00515E69"/>
    <w:rsid w:val="00516E08"/>
    <w:rsid w:val="005177DF"/>
    <w:rsid w:val="00517B68"/>
    <w:rsid w:val="00521D26"/>
    <w:rsid w:val="00521F6C"/>
    <w:rsid w:val="0052282D"/>
    <w:rsid w:val="00523617"/>
    <w:rsid w:val="005255EA"/>
    <w:rsid w:val="005310DA"/>
    <w:rsid w:val="00532AD0"/>
    <w:rsid w:val="00537ECB"/>
    <w:rsid w:val="005408E6"/>
    <w:rsid w:val="00540D94"/>
    <w:rsid w:val="00541634"/>
    <w:rsid w:val="0054284D"/>
    <w:rsid w:val="00543EA8"/>
    <w:rsid w:val="00545BCF"/>
    <w:rsid w:val="00546869"/>
    <w:rsid w:val="00547196"/>
    <w:rsid w:val="00547463"/>
    <w:rsid w:val="0055312F"/>
    <w:rsid w:val="00553574"/>
    <w:rsid w:val="00555D38"/>
    <w:rsid w:val="00556CE6"/>
    <w:rsid w:val="00560236"/>
    <w:rsid w:val="00560C14"/>
    <w:rsid w:val="00561A31"/>
    <w:rsid w:val="00565045"/>
    <w:rsid w:val="005673C0"/>
    <w:rsid w:val="005775C6"/>
    <w:rsid w:val="00577676"/>
    <w:rsid w:val="00580C19"/>
    <w:rsid w:val="0058243A"/>
    <w:rsid w:val="00583F10"/>
    <w:rsid w:val="00585AFF"/>
    <w:rsid w:val="005864A6"/>
    <w:rsid w:val="00586936"/>
    <w:rsid w:val="00591C1D"/>
    <w:rsid w:val="00592FFF"/>
    <w:rsid w:val="00594251"/>
    <w:rsid w:val="00596776"/>
    <w:rsid w:val="00597C32"/>
    <w:rsid w:val="005A212E"/>
    <w:rsid w:val="005A21D8"/>
    <w:rsid w:val="005A2B3B"/>
    <w:rsid w:val="005A47D1"/>
    <w:rsid w:val="005A5348"/>
    <w:rsid w:val="005A5BB3"/>
    <w:rsid w:val="005A76CC"/>
    <w:rsid w:val="005B22C7"/>
    <w:rsid w:val="005B4DCD"/>
    <w:rsid w:val="005B4E42"/>
    <w:rsid w:val="005B546F"/>
    <w:rsid w:val="005B6429"/>
    <w:rsid w:val="005B7E5E"/>
    <w:rsid w:val="005C0475"/>
    <w:rsid w:val="005C2B1A"/>
    <w:rsid w:val="005C6BC5"/>
    <w:rsid w:val="005C6FB4"/>
    <w:rsid w:val="005D0F90"/>
    <w:rsid w:val="005D3C61"/>
    <w:rsid w:val="005D6F1E"/>
    <w:rsid w:val="005D78B2"/>
    <w:rsid w:val="005E741D"/>
    <w:rsid w:val="005E77E1"/>
    <w:rsid w:val="005E79C0"/>
    <w:rsid w:val="005F1328"/>
    <w:rsid w:val="005F43EC"/>
    <w:rsid w:val="005F7099"/>
    <w:rsid w:val="0060211C"/>
    <w:rsid w:val="006031A9"/>
    <w:rsid w:val="006071CA"/>
    <w:rsid w:val="006071E9"/>
    <w:rsid w:val="00610FFB"/>
    <w:rsid w:val="0061246F"/>
    <w:rsid w:val="0061561C"/>
    <w:rsid w:val="00621923"/>
    <w:rsid w:val="006230DD"/>
    <w:rsid w:val="00625D7C"/>
    <w:rsid w:val="00625DFF"/>
    <w:rsid w:val="006301A4"/>
    <w:rsid w:val="00633210"/>
    <w:rsid w:val="00634FB3"/>
    <w:rsid w:val="006412A9"/>
    <w:rsid w:val="006412C3"/>
    <w:rsid w:val="00646095"/>
    <w:rsid w:val="00653DA2"/>
    <w:rsid w:val="006541BE"/>
    <w:rsid w:val="00656839"/>
    <w:rsid w:val="00657FD7"/>
    <w:rsid w:val="006617EF"/>
    <w:rsid w:val="00661CF2"/>
    <w:rsid w:val="0066530B"/>
    <w:rsid w:val="006655F9"/>
    <w:rsid w:val="006659F2"/>
    <w:rsid w:val="006712FD"/>
    <w:rsid w:val="00671533"/>
    <w:rsid w:val="00671E57"/>
    <w:rsid w:val="00672370"/>
    <w:rsid w:val="00672580"/>
    <w:rsid w:val="00672924"/>
    <w:rsid w:val="00673C50"/>
    <w:rsid w:val="006761E6"/>
    <w:rsid w:val="00676AC8"/>
    <w:rsid w:val="00681960"/>
    <w:rsid w:val="006831FA"/>
    <w:rsid w:val="00683284"/>
    <w:rsid w:val="006836DF"/>
    <w:rsid w:val="00684A3B"/>
    <w:rsid w:val="006857AE"/>
    <w:rsid w:val="0069024F"/>
    <w:rsid w:val="006916A8"/>
    <w:rsid w:val="00694B8E"/>
    <w:rsid w:val="0069546D"/>
    <w:rsid w:val="006976E0"/>
    <w:rsid w:val="00697AD0"/>
    <w:rsid w:val="006A1735"/>
    <w:rsid w:val="006A3994"/>
    <w:rsid w:val="006A4718"/>
    <w:rsid w:val="006A54B5"/>
    <w:rsid w:val="006A56C2"/>
    <w:rsid w:val="006A5B03"/>
    <w:rsid w:val="006A6298"/>
    <w:rsid w:val="006A675A"/>
    <w:rsid w:val="006B273C"/>
    <w:rsid w:val="006C02E6"/>
    <w:rsid w:val="006C2E50"/>
    <w:rsid w:val="006C3CEB"/>
    <w:rsid w:val="006C52A8"/>
    <w:rsid w:val="006C7251"/>
    <w:rsid w:val="006C7B9D"/>
    <w:rsid w:val="006D01BC"/>
    <w:rsid w:val="006D394B"/>
    <w:rsid w:val="006D4184"/>
    <w:rsid w:val="006D4CA4"/>
    <w:rsid w:val="006D63C6"/>
    <w:rsid w:val="006D737B"/>
    <w:rsid w:val="006D7895"/>
    <w:rsid w:val="006D7EB9"/>
    <w:rsid w:val="006E01A2"/>
    <w:rsid w:val="006E08FB"/>
    <w:rsid w:val="006E28BC"/>
    <w:rsid w:val="006E2E1E"/>
    <w:rsid w:val="006E31B2"/>
    <w:rsid w:val="006E3A76"/>
    <w:rsid w:val="006E60FD"/>
    <w:rsid w:val="006E788F"/>
    <w:rsid w:val="006E7E15"/>
    <w:rsid w:val="006F30A4"/>
    <w:rsid w:val="006F3A35"/>
    <w:rsid w:val="006F5BC0"/>
    <w:rsid w:val="006F7A48"/>
    <w:rsid w:val="006F7AFB"/>
    <w:rsid w:val="007001D0"/>
    <w:rsid w:val="00703811"/>
    <w:rsid w:val="00703978"/>
    <w:rsid w:val="00703C25"/>
    <w:rsid w:val="0070634B"/>
    <w:rsid w:val="00707D39"/>
    <w:rsid w:val="00710171"/>
    <w:rsid w:val="00713DDC"/>
    <w:rsid w:val="00714099"/>
    <w:rsid w:val="007155B4"/>
    <w:rsid w:val="00716A14"/>
    <w:rsid w:val="00725898"/>
    <w:rsid w:val="00725B4F"/>
    <w:rsid w:val="0073007F"/>
    <w:rsid w:val="007329C5"/>
    <w:rsid w:val="00736240"/>
    <w:rsid w:val="00736AD7"/>
    <w:rsid w:val="0074059E"/>
    <w:rsid w:val="007439D0"/>
    <w:rsid w:val="007454F8"/>
    <w:rsid w:val="007472B0"/>
    <w:rsid w:val="00747DDA"/>
    <w:rsid w:val="00752B20"/>
    <w:rsid w:val="00753239"/>
    <w:rsid w:val="00753E54"/>
    <w:rsid w:val="00753E58"/>
    <w:rsid w:val="00760D35"/>
    <w:rsid w:val="007616E2"/>
    <w:rsid w:val="00762AAE"/>
    <w:rsid w:val="00762D28"/>
    <w:rsid w:val="0076370D"/>
    <w:rsid w:val="00764833"/>
    <w:rsid w:val="007652BC"/>
    <w:rsid w:val="00766B32"/>
    <w:rsid w:val="00774214"/>
    <w:rsid w:val="0077554A"/>
    <w:rsid w:val="0078007D"/>
    <w:rsid w:val="0078369C"/>
    <w:rsid w:val="007852F7"/>
    <w:rsid w:val="00786283"/>
    <w:rsid w:val="00786B41"/>
    <w:rsid w:val="007871CD"/>
    <w:rsid w:val="00790795"/>
    <w:rsid w:val="0079145C"/>
    <w:rsid w:val="007928C8"/>
    <w:rsid w:val="00792ECD"/>
    <w:rsid w:val="00793F75"/>
    <w:rsid w:val="007966EF"/>
    <w:rsid w:val="007A0388"/>
    <w:rsid w:val="007A043B"/>
    <w:rsid w:val="007A1BCB"/>
    <w:rsid w:val="007A331D"/>
    <w:rsid w:val="007A433E"/>
    <w:rsid w:val="007A4C99"/>
    <w:rsid w:val="007A5434"/>
    <w:rsid w:val="007B0196"/>
    <w:rsid w:val="007B0E6D"/>
    <w:rsid w:val="007B188B"/>
    <w:rsid w:val="007B1B6C"/>
    <w:rsid w:val="007B23EE"/>
    <w:rsid w:val="007B73D4"/>
    <w:rsid w:val="007B7AB5"/>
    <w:rsid w:val="007C0DB6"/>
    <w:rsid w:val="007C3285"/>
    <w:rsid w:val="007C4BD3"/>
    <w:rsid w:val="007D0089"/>
    <w:rsid w:val="007D12BB"/>
    <w:rsid w:val="007D1821"/>
    <w:rsid w:val="007D477A"/>
    <w:rsid w:val="007D59A5"/>
    <w:rsid w:val="007E25E0"/>
    <w:rsid w:val="007E27E7"/>
    <w:rsid w:val="007E3686"/>
    <w:rsid w:val="007E3C31"/>
    <w:rsid w:val="007E554C"/>
    <w:rsid w:val="007E5B19"/>
    <w:rsid w:val="007E689E"/>
    <w:rsid w:val="007F4722"/>
    <w:rsid w:val="007F5B1F"/>
    <w:rsid w:val="008037F3"/>
    <w:rsid w:val="00806F2B"/>
    <w:rsid w:val="00811244"/>
    <w:rsid w:val="00813210"/>
    <w:rsid w:val="00813D5C"/>
    <w:rsid w:val="008140F9"/>
    <w:rsid w:val="00814671"/>
    <w:rsid w:val="008147F1"/>
    <w:rsid w:val="008167D9"/>
    <w:rsid w:val="00816893"/>
    <w:rsid w:val="008212B5"/>
    <w:rsid w:val="00821379"/>
    <w:rsid w:val="00822293"/>
    <w:rsid w:val="0082284D"/>
    <w:rsid w:val="00823AE2"/>
    <w:rsid w:val="008263BB"/>
    <w:rsid w:val="00827852"/>
    <w:rsid w:val="00827930"/>
    <w:rsid w:val="0083010C"/>
    <w:rsid w:val="00830A28"/>
    <w:rsid w:val="0083155D"/>
    <w:rsid w:val="00832743"/>
    <w:rsid w:val="00835001"/>
    <w:rsid w:val="0084100C"/>
    <w:rsid w:val="008430DB"/>
    <w:rsid w:val="00843993"/>
    <w:rsid w:val="00844687"/>
    <w:rsid w:val="00846286"/>
    <w:rsid w:val="008473FD"/>
    <w:rsid w:val="008474A0"/>
    <w:rsid w:val="00852EBD"/>
    <w:rsid w:val="0085313D"/>
    <w:rsid w:val="00854D00"/>
    <w:rsid w:val="00855589"/>
    <w:rsid w:val="00855D57"/>
    <w:rsid w:val="008570DA"/>
    <w:rsid w:val="008602D5"/>
    <w:rsid w:val="00862F2E"/>
    <w:rsid w:val="00864D6A"/>
    <w:rsid w:val="00864E06"/>
    <w:rsid w:val="0086768A"/>
    <w:rsid w:val="00867F0F"/>
    <w:rsid w:val="008752F1"/>
    <w:rsid w:val="00882141"/>
    <w:rsid w:val="00882966"/>
    <w:rsid w:val="00885BE8"/>
    <w:rsid w:val="008901DC"/>
    <w:rsid w:val="00890245"/>
    <w:rsid w:val="0089108D"/>
    <w:rsid w:val="008923A4"/>
    <w:rsid w:val="00895C27"/>
    <w:rsid w:val="008A41D1"/>
    <w:rsid w:val="008A4F36"/>
    <w:rsid w:val="008A6091"/>
    <w:rsid w:val="008B0747"/>
    <w:rsid w:val="008B095D"/>
    <w:rsid w:val="008B31CE"/>
    <w:rsid w:val="008B34CC"/>
    <w:rsid w:val="008B56B5"/>
    <w:rsid w:val="008B57DB"/>
    <w:rsid w:val="008C0AF9"/>
    <w:rsid w:val="008C359D"/>
    <w:rsid w:val="008C41CE"/>
    <w:rsid w:val="008C5078"/>
    <w:rsid w:val="008C51F4"/>
    <w:rsid w:val="008C68A9"/>
    <w:rsid w:val="008D0AE4"/>
    <w:rsid w:val="008D19CE"/>
    <w:rsid w:val="008D1F24"/>
    <w:rsid w:val="008D489C"/>
    <w:rsid w:val="008D4C40"/>
    <w:rsid w:val="008D4E7A"/>
    <w:rsid w:val="008D5D1C"/>
    <w:rsid w:val="008D75E9"/>
    <w:rsid w:val="008F1A67"/>
    <w:rsid w:val="008F35D6"/>
    <w:rsid w:val="008F431F"/>
    <w:rsid w:val="008F726E"/>
    <w:rsid w:val="008F78D2"/>
    <w:rsid w:val="00901ED2"/>
    <w:rsid w:val="00902AE3"/>
    <w:rsid w:val="00904701"/>
    <w:rsid w:val="009125BB"/>
    <w:rsid w:val="00914268"/>
    <w:rsid w:val="00915FA5"/>
    <w:rsid w:val="009176A4"/>
    <w:rsid w:val="00917DED"/>
    <w:rsid w:val="00921639"/>
    <w:rsid w:val="009224FE"/>
    <w:rsid w:val="00922787"/>
    <w:rsid w:val="0092429D"/>
    <w:rsid w:val="00926E36"/>
    <w:rsid w:val="00927B3C"/>
    <w:rsid w:val="00935C6B"/>
    <w:rsid w:val="00936C66"/>
    <w:rsid w:val="00936FC0"/>
    <w:rsid w:val="009373AB"/>
    <w:rsid w:val="009373FB"/>
    <w:rsid w:val="00937B71"/>
    <w:rsid w:val="00940499"/>
    <w:rsid w:val="00940BFD"/>
    <w:rsid w:val="00942173"/>
    <w:rsid w:val="00945B81"/>
    <w:rsid w:val="0095290C"/>
    <w:rsid w:val="009530DE"/>
    <w:rsid w:val="00953F17"/>
    <w:rsid w:val="009551C6"/>
    <w:rsid w:val="00956524"/>
    <w:rsid w:val="009615B2"/>
    <w:rsid w:val="00963122"/>
    <w:rsid w:val="00963B51"/>
    <w:rsid w:val="0096411E"/>
    <w:rsid w:val="0096639B"/>
    <w:rsid w:val="00966E0E"/>
    <w:rsid w:val="00970D24"/>
    <w:rsid w:val="00973550"/>
    <w:rsid w:val="00973D61"/>
    <w:rsid w:val="00973F53"/>
    <w:rsid w:val="00974C6E"/>
    <w:rsid w:val="009754F9"/>
    <w:rsid w:val="009759C8"/>
    <w:rsid w:val="00977015"/>
    <w:rsid w:val="00980C2B"/>
    <w:rsid w:val="0098406D"/>
    <w:rsid w:val="00984C44"/>
    <w:rsid w:val="0098657D"/>
    <w:rsid w:val="00986B69"/>
    <w:rsid w:val="009922DD"/>
    <w:rsid w:val="00992C71"/>
    <w:rsid w:val="00994068"/>
    <w:rsid w:val="009973BE"/>
    <w:rsid w:val="009977B4"/>
    <w:rsid w:val="00997812"/>
    <w:rsid w:val="009A28E0"/>
    <w:rsid w:val="009A2B11"/>
    <w:rsid w:val="009A4896"/>
    <w:rsid w:val="009A4908"/>
    <w:rsid w:val="009A4AB6"/>
    <w:rsid w:val="009B0AB7"/>
    <w:rsid w:val="009B2AD6"/>
    <w:rsid w:val="009B2FFD"/>
    <w:rsid w:val="009B3657"/>
    <w:rsid w:val="009B4AF5"/>
    <w:rsid w:val="009B59A5"/>
    <w:rsid w:val="009C14B4"/>
    <w:rsid w:val="009C1D43"/>
    <w:rsid w:val="009C380E"/>
    <w:rsid w:val="009C4915"/>
    <w:rsid w:val="009D1AEE"/>
    <w:rsid w:val="009D22A3"/>
    <w:rsid w:val="009D3806"/>
    <w:rsid w:val="009D7EF9"/>
    <w:rsid w:val="009E0C47"/>
    <w:rsid w:val="009E305B"/>
    <w:rsid w:val="009E5ACA"/>
    <w:rsid w:val="009E64DA"/>
    <w:rsid w:val="009E6C76"/>
    <w:rsid w:val="009F30D5"/>
    <w:rsid w:val="009F76A2"/>
    <w:rsid w:val="00A01492"/>
    <w:rsid w:val="00A03E30"/>
    <w:rsid w:val="00A047EA"/>
    <w:rsid w:val="00A04A9F"/>
    <w:rsid w:val="00A05381"/>
    <w:rsid w:val="00A05764"/>
    <w:rsid w:val="00A07DDF"/>
    <w:rsid w:val="00A1128B"/>
    <w:rsid w:val="00A13060"/>
    <w:rsid w:val="00A1786C"/>
    <w:rsid w:val="00A22BE1"/>
    <w:rsid w:val="00A22C72"/>
    <w:rsid w:val="00A27B13"/>
    <w:rsid w:val="00A27B94"/>
    <w:rsid w:val="00A32143"/>
    <w:rsid w:val="00A332EA"/>
    <w:rsid w:val="00A34BD4"/>
    <w:rsid w:val="00A362BE"/>
    <w:rsid w:val="00A37F77"/>
    <w:rsid w:val="00A44D8F"/>
    <w:rsid w:val="00A44E9C"/>
    <w:rsid w:val="00A516CB"/>
    <w:rsid w:val="00A51EE1"/>
    <w:rsid w:val="00A52849"/>
    <w:rsid w:val="00A53EB2"/>
    <w:rsid w:val="00A54CD3"/>
    <w:rsid w:val="00A562C9"/>
    <w:rsid w:val="00A575AE"/>
    <w:rsid w:val="00A61078"/>
    <w:rsid w:val="00A614A1"/>
    <w:rsid w:val="00A62D17"/>
    <w:rsid w:val="00A63716"/>
    <w:rsid w:val="00A648AE"/>
    <w:rsid w:val="00A65363"/>
    <w:rsid w:val="00A65D09"/>
    <w:rsid w:val="00A664D9"/>
    <w:rsid w:val="00A70347"/>
    <w:rsid w:val="00A71E67"/>
    <w:rsid w:val="00A722B0"/>
    <w:rsid w:val="00A72648"/>
    <w:rsid w:val="00A76AC4"/>
    <w:rsid w:val="00A802CC"/>
    <w:rsid w:val="00A834B8"/>
    <w:rsid w:val="00A85DC1"/>
    <w:rsid w:val="00A86F1A"/>
    <w:rsid w:val="00A87B3A"/>
    <w:rsid w:val="00A87DC8"/>
    <w:rsid w:val="00A90AAC"/>
    <w:rsid w:val="00A90EA4"/>
    <w:rsid w:val="00A9159F"/>
    <w:rsid w:val="00A9275F"/>
    <w:rsid w:val="00A937B3"/>
    <w:rsid w:val="00A93921"/>
    <w:rsid w:val="00A950CD"/>
    <w:rsid w:val="00A95878"/>
    <w:rsid w:val="00A96322"/>
    <w:rsid w:val="00A97B3E"/>
    <w:rsid w:val="00AA20C9"/>
    <w:rsid w:val="00AA2141"/>
    <w:rsid w:val="00AA48E4"/>
    <w:rsid w:val="00AA50D8"/>
    <w:rsid w:val="00AA526F"/>
    <w:rsid w:val="00AA5524"/>
    <w:rsid w:val="00AA7D7E"/>
    <w:rsid w:val="00AB0ED9"/>
    <w:rsid w:val="00AB0EF9"/>
    <w:rsid w:val="00AB454F"/>
    <w:rsid w:val="00AB6790"/>
    <w:rsid w:val="00AC3D3E"/>
    <w:rsid w:val="00AC4741"/>
    <w:rsid w:val="00AC4A99"/>
    <w:rsid w:val="00AC5309"/>
    <w:rsid w:val="00AC5808"/>
    <w:rsid w:val="00AC6AAB"/>
    <w:rsid w:val="00AD0021"/>
    <w:rsid w:val="00AD12E4"/>
    <w:rsid w:val="00AD1AAD"/>
    <w:rsid w:val="00AD22D1"/>
    <w:rsid w:val="00AD37AC"/>
    <w:rsid w:val="00AD4ABE"/>
    <w:rsid w:val="00AD5100"/>
    <w:rsid w:val="00AD687A"/>
    <w:rsid w:val="00AD6C8A"/>
    <w:rsid w:val="00AD6DC4"/>
    <w:rsid w:val="00AD6E17"/>
    <w:rsid w:val="00AE215E"/>
    <w:rsid w:val="00AE23F9"/>
    <w:rsid w:val="00AE5B0A"/>
    <w:rsid w:val="00AE7FBA"/>
    <w:rsid w:val="00AF0A9F"/>
    <w:rsid w:val="00AF0EB2"/>
    <w:rsid w:val="00AF10E4"/>
    <w:rsid w:val="00AF3029"/>
    <w:rsid w:val="00AF3340"/>
    <w:rsid w:val="00AF4420"/>
    <w:rsid w:val="00AF5804"/>
    <w:rsid w:val="00AF79EE"/>
    <w:rsid w:val="00B00492"/>
    <w:rsid w:val="00B00C2B"/>
    <w:rsid w:val="00B00C37"/>
    <w:rsid w:val="00B019AA"/>
    <w:rsid w:val="00B05D1C"/>
    <w:rsid w:val="00B06554"/>
    <w:rsid w:val="00B06686"/>
    <w:rsid w:val="00B07898"/>
    <w:rsid w:val="00B11035"/>
    <w:rsid w:val="00B11DBD"/>
    <w:rsid w:val="00B12232"/>
    <w:rsid w:val="00B122E3"/>
    <w:rsid w:val="00B12ACF"/>
    <w:rsid w:val="00B14881"/>
    <w:rsid w:val="00B148CA"/>
    <w:rsid w:val="00B174E6"/>
    <w:rsid w:val="00B206C1"/>
    <w:rsid w:val="00B2218A"/>
    <w:rsid w:val="00B31641"/>
    <w:rsid w:val="00B321BE"/>
    <w:rsid w:val="00B32E2B"/>
    <w:rsid w:val="00B3403E"/>
    <w:rsid w:val="00B36168"/>
    <w:rsid w:val="00B36390"/>
    <w:rsid w:val="00B44203"/>
    <w:rsid w:val="00B44867"/>
    <w:rsid w:val="00B50534"/>
    <w:rsid w:val="00B513E9"/>
    <w:rsid w:val="00B55037"/>
    <w:rsid w:val="00B5755D"/>
    <w:rsid w:val="00B61AC2"/>
    <w:rsid w:val="00B6273D"/>
    <w:rsid w:val="00B64794"/>
    <w:rsid w:val="00B64FCF"/>
    <w:rsid w:val="00B654ED"/>
    <w:rsid w:val="00B67600"/>
    <w:rsid w:val="00B67C30"/>
    <w:rsid w:val="00B725B1"/>
    <w:rsid w:val="00B7388C"/>
    <w:rsid w:val="00B7408F"/>
    <w:rsid w:val="00B75DB6"/>
    <w:rsid w:val="00B818AD"/>
    <w:rsid w:val="00B81CFF"/>
    <w:rsid w:val="00B83E63"/>
    <w:rsid w:val="00B8533D"/>
    <w:rsid w:val="00B90A35"/>
    <w:rsid w:val="00B921E5"/>
    <w:rsid w:val="00B9238D"/>
    <w:rsid w:val="00B93631"/>
    <w:rsid w:val="00B94871"/>
    <w:rsid w:val="00B94EE5"/>
    <w:rsid w:val="00B94F5C"/>
    <w:rsid w:val="00B94FB4"/>
    <w:rsid w:val="00B9532C"/>
    <w:rsid w:val="00BA01A2"/>
    <w:rsid w:val="00BA2235"/>
    <w:rsid w:val="00BA2903"/>
    <w:rsid w:val="00BA343B"/>
    <w:rsid w:val="00BA5484"/>
    <w:rsid w:val="00BA5DA0"/>
    <w:rsid w:val="00BA6B56"/>
    <w:rsid w:val="00BA728F"/>
    <w:rsid w:val="00BB261D"/>
    <w:rsid w:val="00BB540A"/>
    <w:rsid w:val="00BB5605"/>
    <w:rsid w:val="00BB5CBD"/>
    <w:rsid w:val="00BC33C9"/>
    <w:rsid w:val="00BC3DB1"/>
    <w:rsid w:val="00BC6842"/>
    <w:rsid w:val="00BD1D23"/>
    <w:rsid w:val="00BD3830"/>
    <w:rsid w:val="00BD4513"/>
    <w:rsid w:val="00BD58E6"/>
    <w:rsid w:val="00BD7FC1"/>
    <w:rsid w:val="00BE03EF"/>
    <w:rsid w:val="00BE5D4B"/>
    <w:rsid w:val="00BE65BC"/>
    <w:rsid w:val="00BE681A"/>
    <w:rsid w:val="00BF1C59"/>
    <w:rsid w:val="00BF380E"/>
    <w:rsid w:val="00BF3B7B"/>
    <w:rsid w:val="00BF4160"/>
    <w:rsid w:val="00BF506D"/>
    <w:rsid w:val="00C000D7"/>
    <w:rsid w:val="00C03871"/>
    <w:rsid w:val="00C03AF3"/>
    <w:rsid w:val="00C05595"/>
    <w:rsid w:val="00C119B5"/>
    <w:rsid w:val="00C127BC"/>
    <w:rsid w:val="00C13868"/>
    <w:rsid w:val="00C16073"/>
    <w:rsid w:val="00C1738A"/>
    <w:rsid w:val="00C26CB0"/>
    <w:rsid w:val="00C2723A"/>
    <w:rsid w:val="00C27414"/>
    <w:rsid w:val="00C2788B"/>
    <w:rsid w:val="00C32240"/>
    <w:rsid w:val="00C417C5"/>
    <w:rsid w:val="00C44D85"/>
    <w:rsid w:val="00C46E83"/>
    <w:rsid w:val="00C55D39"/>
    <w:rsid w:val="00C6332B"/>
    <w:rsid w:val="00C643DF"/>
    <w:rsid w:val="00C65659"/>
    <w:rsid w:val="00C6593F"/>
    <w:rsid w:val="00C66D5A"/>
    <w:rsid w:val="00C7000A"/>
    <w:rsid w:val="00C705A2"/>
    <w:rsid w:val="00C7182C"/>
    <w:rsid w:val="00C72766"/>
    <w:rsid w:val="00C739E7"/>
    <w:rsid w:val="00C744BC"/>
    <w:rsid w:val="00C778A4"/>
    <w:rsid w:val="00C8043F"/>
    <w:rsid w:val="00C80BEF"/>
    <w:rsid w:val="00C81071"/>
    <w:rsid w:val="00C84BD4"/>
    <w:rsid w:val="00C85416"/>
    <w:rsid w:val="00C8648B"/>
    <w:rsid w:val="00C87211"/>
    <w:rsid w:val="00C9131C"/>
    <w:rsid w:val="00C947E7"/>
    <w:rsid w:val="00C965F3"/>
    <w:rsid w:val="00C978EF"/>
    <w:rsid w:val="00CA3E2A"/>
    <w:rsid w:val="00CA3EE6"/>
    <w:rsid w:val="00CA5F63"/>
    <w:rsid w:val="00CA7CDA"/>
    <w:rsid w:val="00CB007F"/>
    <w:rsid w:val="00CB0E42"/>
    <w:rsid w:val="00CB248D"/>
    <w:rsid w:val="00CB3B00"/>
    <w:rsid w:val="00CB3B05"/>
    <w:rsid w:val="00CB497A"/>
    <w:rsid w:val="00CB6473"/>
    <w:rsid w:val="00CC09C5"/>
    <w:rsid w:val="00CC25A5"/>
    <w:rsid w:val="00CC2951"/>
    <w:rsid w:val="00CC2F07"/>
    <w:rsid w:val="00CC5A10"/>
    <w:rsid w:val="00CC5B81"/>
    <w:rsid w:val="00CC6A9B"/>
    <w:rsid w:val="00CD1FA8"/>
    <w:rsid w:val="00CD4486"/>
    <w:rsid w:val="00CE1CB4"/>
    <w:rsid w:val="00CE29AB"/>
    <w:rsid w:val="00CE3C40"/>
    <w:rsid w:val="00CE4136"/>
    <w:rsid w:val="00CE5590"/>
    <w:rsid w:val="00CE6431"/>
    <w:rsid w:val="00CF3913"/>
    <w:rsid w:val="00CF4523"/>
    <w:rsid w:val="00CF5226"/>
    <w:rsid w:val="00CF58FF"/>
    <w:rsid w:val="00CF5EE9"/>
    <w:rsid w:val="00CF660A"/>
    <w:rsid w:val="00CF670E"/>
    <w:rsid w:val="00D00748"/>
    <w:rsid w:val="00D01826"/>
    <w:rsid w:val="00D01E95"/>
    <w:rsid w:val="00D02667"/>
    <w:rsid w:val="00D05228"/>
    <w:rsid w:val="00D05F2C"/>
    <w:rsid w:val="00D067EF"/>
    <w:rsid w:val="00D07254"/>
    <w:rsid w:val="00D077FE"/>
    <w:rsid w:val="00D1029D"/>
    <w:rsid w:val="00D1165C"/>
    <w:rsid w:val="00D11D73"/>
    <w:rsid w:val="00D125E2"/>
    <w:rsid w:val="00D1284F"/>
    <w:rsid w:val="00D13281"/>
    <w:rsid w:val="00D15430"/>
    <w:rsid w:val="00D17972"/>
    <w:rsid w:val="00D22699"/>
    <w:rsid w:val="00D2371F"/>
    <w:rsid w:val="00D279C8"/>
    <w:rsid w:val="00D33041"/>
    <w:rsid w:val="00D359CE"/>
    <w:rsid w:val="00D363E1"/>
    <w:rsid w:val="00D372B4"/>
    <w:rsid w:val="00D37CC2"/>
    <w:rsid w:val="00D4026D"/>
    <w:rsid w:val="00D4029F"/>
    <w:rsid w:val="00D4193B"/>
    <w:rsid w:val="00D43B5E"/>
    <w:rsid w:val="00D449C7"/>
    <w:rsid w:val="00D46260"/>
    <w:rsid w:val="00D462B3"/>
    <w:rsid w:val="00D522E9"/>
    <w:rsid w:val="00D5548F"/>
    <w:rsid w:val="00D575CB"/>
    <w:rsid w:val="00D60081"/>
    <w:rsid w:val="00D6057E"/>
    <w:rsid w:val="00D63DDE"/>
    <w:rsid w:val="00D64892"/>
    <w:rsid w:val="00D64E6C"/>
    <w:rsid w:val="00D658C9"/>
    <w:rsid w:val="00D66F0C"/>
    <w:rsid w:val="00D67A6F"/>
    <w:rsid w:val="00D67ADC"/>
    <w:rsid w:val="00D70C38"/>
    <w:rsid w:val="00D72A8D"/>
    <w:rsid w:val="00D73E89"/>
    <w:rsid w:val="00D75DBF"/>
    <w:rsid w:val="00D75FB3"/>
    <w:rsid w:val="00D80864"/>
    <w:rsid w:val="00D84233"/>
    <w:rsid w:val="00D849F2"/>
    <w:rsid w:val="00D85B38"/>
    <w:rsid w:val="00D85BEA"/>
    <w:rsid w:val="00D85E98"/>
    <w:rsid w:val="00D90D9C"/>
    <w:rsid w:val="00D93657"/>
    <w:rsid w:val="00D96329"/>
    <w:rsid w:val="00D963F2"/>
    <w:rsid w:val="00D97AFA"/>
    <w:rsid w:val="00DA2E50"/>
    <w:rsid w:val="00DA525A"/>
    <w:rsid w:val="00DA72C6"/>
    <w:rsid w:val="00DB1431"/>
    <w:rsid w:val="00DB1F26"/>
    <w:rsid w:val="00DB33EC"/>
    <w:rsid w:val="00DB36FF"/>
    <w:rsid w:val="00DB4106"/>
    <w:rsid w:val="00DB6E6C"/>
    <w:rsid w:val="00DC276F"/>
    <w:rsid w:val="00DC5F53"/>
    <w:rsid w:val="00DC6247"/>
    <w:rsid w:val="00DD00FA"/>
    <w:rsid w:val="00DD02ED"/>
    <w:rsid w:val="00DD22D6"/>
    <w:rsid w:val="00DD2EC4"/>
    <w:rsid w:val="00DD4BDB"/>
    <w:rsid w:val="00DD6306"/>
    <w:rsid w:val="00DD7384"/>
    <w:rsid w:val="00DE094A"/>
    <w:rsid w:val="00DE2E40"/>
    <w:rsid w:val="00DE777B"/>
    <w:rsid w:val="00DF03A6"/>
    <w:rsid w:val="00DF0CB3"/>
    <w:rsid w:val="00DF26CE"/>
    <w:rsid w:val="00E01A29"/>
    <w:rsid w:val="00E01F5C"/>
    <w:rsid w:val="00E02599"/>
    <w:rsid w:val="00E10BCB"/>
    <w:rsid w:val="00E10F9B"/>
    <w:rsid w:val="00E110EE"/>
    <w:rsid w:val="00E11114"/>
    <w:rsid w:val="00E13C6D"/>
    <w:rsid w:val="00E14DCD"/>
    <w:rsid w:val="00E2050B"/>
    <w:rsid w:val="00E2061C"/>
    <w:rsid w:val="00E23071"/>
    <w:rsid w:val="00E23164"/>
    <w:rsid w:val="00E23E80"/>
    <w:rsid w:val="00E24E43"/>
    <w:rsid w:val="00E31B34"/>
    <w:rsid w:val="00E32558"/>
    <w:rsid w:val="00E33716"/>
    <w:rsid w:val="00E33EA0"/>
    <w:rsid w:val="00E47DF5"/>
    <w:rsid w:val="00E50826"/>
    <w:rsid w:val="00E509B6"/>
    <w:rsid w:val="00E5128E"/>
    <w:rsid w:val="00E54185"/>
    <w:rsid w:val="00E57321"/>
    <w:rsid w:val="00E60A3A"/>
    <w:rsid w:val="00E60C64"/>
    <w:rsid w:val="00E62E8C"/>
    <w:rsid w:val="00E631E9"/>
    <w:rsid w:val="00E647B0"/>
    <w:rsid w:val="00E65695"/>
    <w:rsid w:val="00E67188"/>
    <w:rsid w:val="00E7365D"/>
    <w:rsid w:val="00E748B3"/>
    <w:rsid w:val="00E74BDE"/>
    <w:rsid w:val="00E80C57"/>
    <w:rsid w:val="00E8249D"/>
    <w:rsid w:val="00E840BD"/>
    <w:rsid w:val="00E85785"/>
    <w:rsid w:val="00E87729"/>
    <w:rsid w:val="00E87A51"/>
    <w:rsid w:val="00E91A7C"/>
    <w:rsid w:val="00E92C1D"/>
    <w:rsid w:val="00E94213"/>
    <w:rsid w:val="00E94615"/>
    <w:rsid w:val="00EA73BD"/>
    <w:rsid w:val="00EB079D"/>
    <w:rsid w:val="00EB09D5"/>
    <w:rsid w:val="00EB2DDD"/>
    <w:rsid w:val="00EB4F00"/>
    <w:rsid w:val="00EB6D5F"/>
    <w:rsid w:val="00EB76BD"/>
    <w:rsid w:val="00EC21F8"/>
    <w:rsid w:val="00EC4334"/>
    <w:rsid w:val="00EC73BF"/>
    <w:rsid w:val="00ED185A"/>
    <w:rsid w:val="00ED1C17"/>
    <w:rsid w:val="00ED2A20"/>
    <w:rsid w:val="00ED50A3"/>
    <w:rsid w:val="00ED5E0B"/>
    <w:rsid w:val="00EE37C1"/>
    <w:rsid w:val="00EE42B5"/>
    <w:rsid w:val="00EE7884"/>
    <w:rsid w:val="00EF046E"/>
    <w:rsid w:val="00EF0903"/>
    <w:rsid w:val="00EF1B76"/>
    <w:rsid w:val="00EF521D"/>
    <w:rsid w:val="00EF6BB5"/>
    <w:rsid w:val="00EF779E"/>
    <w:rsid w:val="00EF789C"/>
    <w:rsid w:val="00F009A3"/>
    <w:rsid w:val="00F03581"/>
    <w:rsid w:val="00F053A1"/>
    <w:rsid w:val="00F05754"/>
    <w:rsid w:val="00F11EB3"/>
    <w:rsid w:val="00F14312"/>
    <w:rsid w:val="00F1601D"/>
    <w:rsid w:val="00F23E74"/>
    <w:rsid w:val="00F25915"/>
    <w:rsid w:val="00F25CCA"/>
    <w:rsid w:val="00F300B2"/>
    <w:rsid w:val="00F31ED4"/>
    <w:rsid w:val="00F32CDC"/>
    <w:rsid w:val="00F34779"/>
    <w:rsid w:val="00F36FF9"/>
    <w:rsid w:val="00F419E7"/>
    <w:rsid w:val="00F441F1"/>
    <w:rsid w:val="00F45E75"/>
    <w:rsid w:val="00F50FC4"/>
    <w:rsid w:val="00F51A71"/>
    <w:rsid w:val="00F561FF"/>
    <w:rsid w:val="00F568A6"/>
    <w:rsid w:val="00F605D2"/>
    <w:rsid w:val="00F61574"/>
    <w:rsid w:val="00F63075"/>
    <w:rsid w:val="00F64158"/>
    <w:rsid w:val="00F645C9"/>
    <w:rsid w:val="00F66C37"/>
    <w:rsid w:val="00F718E5"/>
    <w:rsid w:val="00F767F5"/>
    <w:rsid w:val="00F82813"/>
    <w:rsid w:val="00F8527C"/>
    <w:rsid w:val="00F853D1"/>
    <w:rsid w:val="00F8624E"/>
    <w:rsid w:val="00F86732"/>
    <w:rsid w:val="00F868B6"/>
    <w:rsid w:val="00F87253"/>
    <w:rsid w:val="00F87F97"/>
    <w:rsid w:val="00F904A1"/>
    <w:rsid w:val="00F918CE"/>
    <w:rsid w:val="00F92FE2"/>
    <w:rsid w:val="00F95A2F"/>
    <w:rsid w:val="00F95B90"/>
    <w:rsid w:val="00F97E73"/>
    <w:rsid w:val="00FA129E"/>
    <w:rsid w:val="00FA3792"/>
    <w:rsid w:val="00FA3B70"/>
    <w:rsid w:val="00FA42C7"/>
    <w:rsid w:val="00FA655C"/>
    <w:rsid w:val="00FB2930"/>
    <w:rsid w:val="00FB4B3A"/>
    <w:rsid w:val="00FB53AE"/>
    <w:rsid w:val="00FC1516"/>
    <w:rsid w:val="00FC1D24"/>
    <w:rsid w:val="00FC47D0"/>
    <w:rsid w:val="00FC604E"/>
    <w:rsid w:val="00FC65A4"/>
    <w:rsid w:val="00FC6832"/>
    <w:rsid w:val="00FC6A37"/>
    <w:rsid w:val="00FD4B5C"/>
    <w:rsid w:val="00FD4CE9"/>
    <w:rsid w:val="00FD5F28"/>
    <w:rsid w:val="00FD718C"/>
    <w:rsid w:val="00FE2ED4"/>
    <w:rsid w:val="00FE3FB5"/>
    <w:rsid w:val="00FE4340"/>
    <w:rsid w:val="00FF0747"/>
    <w:rsid w:val="00FF08B3"/>
    <w:rsid w:val="00FF6287"/>
    <w:rsid w:val="00FF6C29"/>
    <w:rsid w:val="00FF6D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11E9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762D28"/>
    <w:pPr>
      <w:spacing w:before="120" w:after="120"/>
    </w:pPr>
    <w:rPr>
      <w:sz w:val="22"/>
    </w:rPr>
  </w:style>
  <w:style w:type="paragraph" w:styleId="Heading1">
    <w:name w:val="heading 1"/>
    <w:basedOn w:val="Normal"/>
    <w:next w:val="base-text-paragraph"/>
    <w:qFormat/>
    <w:rsid w:val="00832743"/>
    <w:pPr>
      <w:keepNext/>
      <w:spacing w:before="720"/>
      <w:outlineLvl w:val="0"/>
    </w:pPr>
    <w:rPr>
      <w:rFonts w:ascii="Helvetica" w:hAnsi="Helvetica"/>
      <w:b/>
      <w:caps/>
      <w:sz w:val="28"/>
    </w:rPr>
  </w:style>
  <w:style w:type="paragraph" w:styleId="Heading2">
    <w:name w:val="heading 2"/>
    <w:basedOn w:val="Heading1"/>
    <w:next w:val="base-text-paragraph"/>
    <w:qFormat/>
    <w:rsid w:val="008C359D"/>
    <w:pPr>
      <w:spacing w:before="480"/>
      <w:outlineLvl w:val="1"/>
    </w:pPr>
    <w:rPr>
      <w:caps w:val="0"/>
      <w:sz w:val="26"/>
    </w:rPr>
  </w:style>
  <w:style w:type="paragraph" w:styleId="Heading3">
    <w:name w:val="heading 3"/>
    <w:basedOn w:val="Heading2"/>
    <w:next w:val="base-text-paragraph"/>
    <w:qFormat/>
    <w:rsid w:val="00DA72C6"/>
    <w:pPr>
      <w:spacing w:before="240"/>
      <w:outlineLvl w:val="2"/>
    </w:pPr>
    <w:rPr>
      <w:sz w:val="22"/>
    </w:rPr>
  </w:style>
  <w:style w:type="paragraph" w:styleId="Heading4">
    <w:name w:val="heading 4"/>
    <w:basedOn w:val="Heading3"/>
    <w:next w:val="base-text-paragraph"/>
    <w:qFormat/>
    <w:rsid w:val="00231CBA"/>
    <w:pPr>
      <w:spacing w:before="120"/>
      <w:ind w:left="1134"/>
      <w:outlineLvl w:val="3"/>
    </w:pPr>
    <w:rPr>
      <w:rFonts w:ascii="Times New Roman" w:hAnsi="Times New Roman"/>
      <w:i/>
    </w:rPr>
  </w:style>
  <w:style w:type="paragraph" w:styleId="Heading5">
    <w:name w:val="heading 5"/>
    <w:basedOn w:val="Heading4"/>
    <w:next w:val="base-text-paragraph"/>
    <w:qFormat/>
    <w:rsid w:val="00231CBA"/>
    <w:pPr>
      <w:spacing w:after="60"/>
      <w:outlineLvl w:val="4"/>
    </w:pPr>
    <w:rPr>
      <w:b w:val="0"/>
      <w:bCs/>
      <w:iCs/>
      <w:szCs w:val="26"/>
    </w:rPr>
  </w:style>
  <w:style w:type="paragraph" w:styleId="Heading6">
    <w:name w:val="heading 6"/>
    <w:basedOn w:val="Heading5"/>
    <w:next w:val="base-text-paragraph"/>
    <w:qFormat/>
    <w:rsid w:val="00231CBA"/>
    <w:pPr>
      <w:outlineLvl w:val="5"/>
    </w:pPr>
    <w:rPr>
      <w:bCs w:val="0"/>
      <w:i w:val="0"/>
      <w:szCs w:val="22"/>
      <w:u w:val="single"/>
    </w:rPr>
  </w:style>
  <w:style w:type="paragraph" w:styleId="Heading7">
    <w:name w:val="heading 7"/>
    <w:basedOn w:val="Normal"/>
    <w:next w:val="Normal"/>
    <w:qFormat/>
    <w:rsid w:val="003D6FD9"/>
    <w:pPr>
      <w:spacing w:before="240" w:after="60"/>
      <w:outlineLvl w:val="6"/>
    </w:pPr>
    <w:rPr>
      <w:sz w:val="24"/>
      <w:szCs w:val="24"/>
    </w:rPr>
  </w:style>
  <w:style w:type="paragraph" w:styleId="Heading8">
    <w:name w:val="heading 8"/>
    <w:basedOn w:val="Normal"/>
    <w:next w:val="Normal"/>
    <w:qFormat/>
    <w:rsid w:val="003D6FD9"/>
    <w:pPr>
      <w:spacing w:before="240" w:after="60"/>
      <w:outlineLvl w:val="7"/>
    </w:pPr>
    <w:rPr>
      <w:i/>
      <w:iCs/>
      <w:sz w:val="24"/>
      <w:szCs w:val="24"/>
    </w:rPr>
  </w:style>
  <w:style w:type="paragraph" w:styleId="Heading9">
    <w:name w:val="heading 9"/>
    <w:basedOn w:val="Normal"/>
    <w:next w:val="Normal"/>
    <w:qFormat/>
    <w:rsid w:val="003D6FD9"/>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pterHeading">
    <w:name w:val="Chapter Heading"/>
    <w:next w:val="Heading2"/>
    <w:rsid w:val="007966EF"/>
    <w:pPr>
      <w:numPr>
        <w:numId w:val="35"/>
      </w:numPr>
      <w:pBdr>
        <w:top w:val="single" w:sz="4" w:space="1" w:color="auto"/>
        <w:bottom w:val="single" w:sz="4" w:space="1" w:color="auto"/>
      </w:pBdr>
      <w:spacing w:before="240" w:line="260" w:lineRule="atLeast"/>
    </w:pPr>
    <w:rPr>
      <w:rFonts w:ascii="Helvetica" w:hAnsi="Helvetica"/>
      <w:b/>
      <w:i/>
      <w:sz w:val="38"/>
    </w:rPr>
  </w:style>
  <w:style w:type="paragraph" w:customStyle="1" w:styleId="Heading2with18pointafter">
    <w:name w:val="Heading 2 with 18 point after"/>
    <w:basedOn w:val="Heading2"/>
    <w:next w:val="Normal"/>
    <w:rsid w:val="009B2AD6"/>
    <w:pPr>
      <w:spacing w:after="360"/>
    </w:pPr>
  </w:style>
  <w:style w:type="paragraph" w:customStyle="1" w:styleId="TableHeadingoutsidetable">
    <w:name w:val="Table Heading (outside table)"/>
    <w:basedOn w:val="Heading4"/>
    <w:rsid w:val="007966EF"/>
    <w:pPr>
      <w:numPr>
        <w:ilvl w:val="4"/>
        <w:numId w:val="35"/>
      </w:numPr>
      <w:tabs>
        <w:tab w:val="num" w:pos="360"/>
      </w:tabs>
    </w:pPr>
    <w:rPr>
      <w:i w:val="0"/>
    </w:rPr>
  </w:style>
  <w:style w:type="paragraph" w:customStyle="1" w:styleId="base-text-paragraph">
    <w:name w:val="base-text-paragraph"/>
    <w:basedOn w:val="Normal"/>
    <w:link w:val="base-text-paragraphChar"/>
    <w:rsid w:val="00D85BEA"/>
    <w:pPr>
      <w:numPr>
        <w:ilvl w:val="1"/>
        <w:numId w:val="35"/>
      </w:numPr>
    </w:pPr>
  </w:style>
  <w:style w:type="paragraph" w:customStyle="1" w:styleId="base-text-paragraphnonumbers">
    <w:name w:val="base-text-paragraph no numbers"/>
    <w:basedOn w:val="Normal"/>
    <w:rsid w:val="002857E2"/>
    <w:pPr>
      <w:ind w:left="1134"/>
    </w:pPr>
  </w:style>
  <w:style w:type="paragraph" w:customStyle="1" w:styleId="exampletext">
    <w:name w:val="example text"/>
    <w:basedOn w:val="Normal"/>
    <w:rsid w:val="008752F1"/>
    <w:pPr>
      <w:ind w:left="1985"/>
    </w:pPr>
    <w:rPr>
      <w:sz w:val="20"/>
    </w:rPr>
  </w:style>
  <w:style w:type="paragraph" w:customStyle="1" w:styleId="ExampleHeading">
    <w:name w:val="Example Heading"/>
    <w:basedOn w:val="Normal"/>
    <w:next w:val="exampletext"/>
    <w:rsid w:val="009B0AB7"/>
    <w:pPr>
      <w:keepNext/>
      <w:numPr>
        <w:ilvl w:val="3"/>
        <w:numId w:val="35"/>
      </w:numPr>
      <w:tabs>
        <w:tab w:val="num" w:pos="360"/>
      </w:tabs>
      <w:ind w:left="0"/>
    </w:pPr>
    <w:rPr>
      <w:b/>
    </w:rPr>
  </w:style>
  <w:style w:type="paragraph" w:customStyle="1" w:styleId="Diagram">
    <w:name w:val="Diagram"/>
    <w:basedOn w:val="Normal"/>
    <w:next w:val="base-text-paragraphnonumbers"/>
    <w:rsid w:val="0036787F"/>
    <w:pPr>
      <w:keepNext/>
      <w:numPr>
        <w:ilvl w:val="2"/>
        <w:numId w:val="35"/>
      </w:numPr>
      <w:tabs>
        <w:tab w:val="num" w:pos="360"/>
      </w:tabs>
      <w:spacing w:before="0" w:after="0"/>
      <w:ind w:left="0"/>
    </w:pPr>
    <w:rPr>
      <w:b/>
    </w:rPr>
  </w:style>
  <w:style w:type="paragraph" w:customStyle="1" w:styleId="dotpoint">
    <w:name w:val="dot point"/>
    <w:basedOn w:val="Normal"/>
    <w:rsid w:val="00D85BEA"/>
    <w:pPr>
      <w:numPr>
        <w:numId w:val="2"/>
      </w:numPr>
    </w:pPr>
  </w:style>
  <w:style w:type="paragraph" w:customStyle="1" w:styleId="dotpoint2">
    <w:name w:val="dot point 2"/>
    <w:basedOn w:val="Normal"/>
    <w:rsid w:val="00E62E8C"/>
    <w:pPr>
      <w:numPr>
        <w:ilvl w:val="1"/>
        <w:numId w:val="20"/>
      </w:numPr>
      <w:tabs>
        <w:tab w:val="clear" w:pos="2552"/>
        <w:tab w:val="num" w:pos="360"/>
      </w:tabs>
      <w:ind w:left="2268" w:firstLine="0"/>
    </w:pPr>
  </w:style>
  <w:style w:type="paragraph" w:customStyle="1" w:styleId="exampledotpoint1">
    <w:name w:val="example dot point 1"/>
    <w:basedOn w:val="exampletext"/>
    <w:rsid w:val="008C51F4"/>
    <w:pPr>
      <w:numPr>
        <w:numId w:val="21"/>
      </w:numPr>
    </w:pPr>
  </w:style>
  <w:style w:type="paragraph" w:customStyle="1" w:styleId="exampledotpoint2">
    <w:name w:val="example dot point 2"/>
    <w:basedOn w:val="exampletext"/>
    <w:rsid w:val="008C51F4"/>
    <w:pPr>
      <w:numPr>
        <w:ilvl w:val="1"/>
        <w:numId w:val="21"/>
      </w:numPr>
    </w:pPr>
  </w:style>
  <w:style w:type="paragraph" w:customStyle="1" w:styleId="tabletext">
    <w:name w:val="table text"/>
    <w:basedOn w:val="Normal"/>
    <w:rsid w:val="00832743"/>
    <w:pPr>
      <w:spacing w:before="40" w:after="40"/>
    </w:pPr>
    <w:rPr>
      <w:sz w:val="20"/>
    </w:rPr>
  </w:style>
  <w:style w:type="paragraph" w:customStyle="1" w:styleId="tabledotpoint">
    <w:name w:val="table dot point"/>
    <w:basedOn w:val="tabletext"/>
    <w:rsid w:val="00A37F77"/>
    <w:pPr>
      <w:numPr>
        <w:numId w:val="23"/>
      </w:numPr>
    </w:pPr>
  </w:style>
  <w:style w:type="paragraph" w:customStyle="1" w:styleId="tabledotpoint2">
    <w:name w:val="table dot point 2"/>
    <w:basedOn w:val="tabletext"/>
    <w:rsid w:val="00A37F77"/>
    <w:pPr>
      <w:numPr>
        <w:ilvl w:val="1"/>
        <w:numId w:val="23"/>
      </w:numPr>
    </w:pPr>
  </w:style>
  <w:style w:type="paragraph" w:customStyle="1" w:styleId="Baseparagraphcentred">
    <w:name w:val="Base paragraph centred"/>
    <w:basedOn w:val="Normal"/>
    <w:rsid w:val="00813210"/>
    <w:pPr>
      <w:jc w:val="center"/>
    </w:pPr>
  </w:style>
  <w:style w:type="paragraph" w:customStyle="1" w:styleId="BillName">
    <w:name w:val="Bill Name"/>
    <w:basedOn w:val="Normal"/>
    <w:next w:val="Baseparagraphcentred"/>
    <w:rsid w:val="00C8648B"/>
    <w:pPr>
      <w:pBdr>
        <w:top w:val="single" w:sz="4" w:space="12" w:color="auto"/>
        <w:bottom w:val="single" w:sz="4" w:space="12" w:color="auto"/>
      </w:pBdr>
      <w:jc w:val="center"/>
    </w:pPr>
    <w:rPr>
      <w:caps/>
    </w:rPr>
  </w:style>
  <w:style w:type="paragraph" w:customStyle="1" w:styleId="BTPwithextraspacing">
    <w:name w:val="BTP with extra spacing"/>
    <w:basedOn w:val="Normal"/>
    <w:rsid w:val="00502551"/>
    <w:pPr>
      <w:spacing w:before="360" w:after="360"/>
      <w:ind w:left="1134"/>
    </w:pPr>
  </w:style>
  <w:style w:type="paragraph" w:customStyle="1" w:styleId="Chapterheadingsubdocument">
    <w:name w:val="Chapter heading subdocument"/>
    <w:basedOn w:val="Normal"/>
    <w:next w:val="base-text-paragraphnonumbers"/>
    <w:rsid w:val="00885BE8"/>
    <w:pPr>
      <w:pBdr>
        <w:top w:val="single" w:sz="4" w:space="1" w:color="auto"/>
        <w:bottom w:val="single" w:sz="4" w:space="1" w:color="auto"/>
      </w:pBdr>
      <w:spacing w:before="240" w:after="0" w:line="260" w:lineRule="atLeast"/>
    </w:pPr>
    <w:rPr>
      <w:rFonts w:ascii="Helvetica" w:hAnsi="Helvetica"/>
      <w:b/>
      <w:i/>
      <w:sz w:val="38"/>
    </w:rPr>
  </w:style>
  <w:style w:type="paragraph" w:customStyle="1" w:styleId="exampleindent">
    <w:name w:val="example indent"/>
    <w:basedOn w:val="exampletext"/>
    <w:rsid w:val="008F1A67"/>
    <w:pPr>
      <w:ind w:left="2268"/>
    </w:pPr>
  </w:style>
  <w:style w:type="paragraph" w:customStyle="1" w:styleId="leftfooter">
    <w:name w:val="left footer"/>
    <w:basedOn w:val="Normal"/>
    <w:rsid w:val="00346BEB"/>
    <w:pPr>
      <w:pBdr>
        <w:top w:val="single" w:sz="4" w:space="1" w:color="auto"/>
      </w:pBdr>
      <w:spacing w:before="240" w:after="0"/>
    </w:pPr>
    <w:rPr>
      <w:i/>
      <w:sz w:val="20"/>
    </w:rPr>
  </w:style>
  <w:style w:type="paragraph" w:customStyle="1" w:styleId="Hiddentext">
    <w:name w:val="Hiddentext"/>
    <w:basedOn w:val="Normal"/>
    <w:rsid w:val="00346BEB"/>
    <w:rPr>
      <w:vanish/>
    </w:rPr>
  </w:style>
  <w:style w:type="paragraph" w:customStyle="1" w:styleId="leftheader">
    <w:name w:val="left header"/>
    <w:basedOn w:val="Normal"/>
    <w:rsid w:val="00346BEB"/>
    <w:pPr>
      <w:pBdr>
        <w:bottom w:val="single" w:sz="4" w:space="1" w:color="auto"/>
      </w:pBdr>
    </w:pPr>
    <w:rPr>
      <w:i/>
      <w:sz w:val="20"/>
    </w:rPr>
  </w:style>
  <w:style w:type="character" w:customStyle="1" w:styleId="Referencingstyle">
    <w:name w:val="Referencing style"/>
    <w:basedOn w:val="DefaultParagraphFont"/>
    <w:rsid w:val="007652BC"/>
    <w:rPr>
      <w:b/>
      <w:i/>
      <w:sz w:val="18"/>
    </w:rPr>
  </w:style>
  <w:style w:type="paragraph" w:customStyle="1" w:styleId="rightfooter">
    <w:name w:val="right footer"/>
    <w:basedOn w:val="Normal"/>
    <w:rsid w:val="005A76CC"/>
    <w:pPr>
      <w:pBdr>
        <w:top w:val="single" w:sz="4" w:space="1" w:color="auto"/>
      </w:pBdr>
      <w:spacing w:before="240" w:after="0"/>
      <w:jc w:val="right"/>
    </w:pPr>
    <w:rPr>
      <w:i/>
      <w:sz w:val="20"/>
    </w:rPr>
  </w:style>
  <w:style w:type="paragraph" w:customStyle="1" w:styleId="rightheader">
    <w:name w:val="right header"/>
    <w:basedOn w:val="Normal"/>
    <w:rsid w:val="005A76CC"/>
    <w:pPr>
      <w:pBdr>
        <w:bottom w:val="single" w:sz="4" w:space="1" w:color="auto"/>
      </w:pBdr>
      <w:jc w:val="right"/>
    </w:pPr>
    <w:rPr>
      <w:i/>
      <w:sz w:val="20"/>
    </w:rPr>
  </w:style>
  <w:style w:type="paragraph" w:customStyle="1" w:styleId="tableheaderwithintable">
    <w:name w:val="table header (within table)"/>
    <w:basedOn w:val="Heading4"/>
    <w:rsid w:val="00F92FE2"/>
    <w:pPr>
      <w:spacing w:before="60" w:after="60"/>
      <w:ind w:left="0"/>
      <w:jc w:val="center"/>
    </w:pPr>
    <w:rPr>
      <w:sz w:val="20"/>
    </w:rPr>
  </w:style>
  <w:style w:type="paragraph" w:styleId="TOC1">
    <w:name w:val="toc 1"/>
    <w:basedOn w:val="Heading2"/>
    <w:next w:val="TOC2"/>
    <w:uiPriority w:val="39"/>
    <w:rsid w:val="00460019"/>
    <w:pPr>
      <w:tabs>
        <w:tab w:val="left" w:pos="1701"/>
        <w:tab w:val="right" w:leader="dot" w:pos="7711"/>
      </w:tabs>
      <w:spacing w:before="240"/>
      <w:ind w:left="1758" w:right="851" w:hanging="1758"/>
    </w:pPr>
    <w:rPr>
      <w:b w:val="0"/>
      <w:sz w:val="24"/>
    </w:rPr>
  </w:style>
  <w:style w:type="paragraph" w:styleId="TOCHeading">
    <w:name w:val="TOC Heading"/>
    <w:basedOn w:val="Normal"/>
    <w:next w:val="base-text-paragraphnonumbers"/>
    <w:qFormat/>
    <w:rsid w:val="00B654ED"/>
    <w:pPr>
      <w:pBdr>
        <w:top w:val="single" w:sz="4" w:space="1" w:color="auto"/>
        <w:bottom w:val="single" w:sz="4" w:space="1" w:color="auto"/>
      </w:pBdr>
      <w:spacing w:before="240" w:after="240" w:line="260" w:lineRule="atLeast"/>
    </w:pPr>
    <w:rPr>
      <w:rFonts w:ascii="Helvetica" w:hAnsi="Helvetica"/>
      <w:b/>
      <w:i/>
      <w:kern w:val="28"/>
      <w:sz w:val="38"/>
    </w:rPr>
  </w:style>
  <w:style w:type="paragraph" w:styleId="TOC2">
    <w:name w:val="toc 2"/>
    <w:basedOn w:val="TOC1"/>
    <w:next w:val="Normal"/>
    <w:uiPriority w:val="39"/>
    <w:rsid w:val="00460019"/>
    <w:pPr>
      <w:tabs>
        <w:tab w:val="clear" w:pos="1701"/>
      </w:tabs>
      <w:ind w:left="0" w:firstLine="0"/>
    </w:pPr>
    <w:rPr>
      <w:noProof/>
    </w:rPr>
  </w:style>
  <w:style w:type="numbering" w:styleId="111111">
    <w:name w:val="Outline List 2"/>
    <w:basedOn w:val="NoList"/>
    <w:semiHidden/>
    <w:rsid w:val="003D6FD9"/>
    <w:pPr>
      <w:numPr>
        <w:numId w:val="15"/>
      </w:numPr>
    </w:pPr>
  </w:style>
  <w:style w:type="numbering" w:styleId="1ai">
    <w:name w:val="Outline List 1"/>
    <w:basedOn w:val="NoList"/>
    <w:semiHidden/>
    <w:rsid w:val="003D6FD9"/>
    <w:pPr>
      <w:numPr>
        <w:numId w:val="16"/>
      </w:numPr>
    </w:pPr>
  </w:style>
  <w:style w:type="numbering" w:styleId="ArticleSection">
    <w:name w:val="Outline List 3"/>
    <w:basedOn w:val="NoList"/>
    <w:semiHidden/>
    <w:rsid w:val="003D6FD9"/>
    <w:pPr>
      <w:numPr>
        <w:numId w:val="17"/>
      </w:numPr>
    </w:pPr>
  </w:style>
  <w:style w:type="paragraph" w:styleId="BlockText">
    <w:name w:val="Block Text"/>
    <w:basedOn w:val="Normal"/>
    <w:semiHidden/>
    <w:rsid w:val="003D6FD9"/>
    <w:pPr>
      <w:ind w:left="1440" w:right="1440"/>
    </w:pPr>
  </w:style>
  <w:style w:type="paragraph" w:styleId="BodyText">
    <w:name w:val="Body Text"/>
    <w:basedOn w:val="Normal"/>
    <w:semiHidden/>
    <w:rsid w:val="003D6FD9"/>
  </w:style>
  <w:style w:type="paragraph" w:styleId="BodyText2">
    <w:name w:val="Body Text 2"/>
    <w:basedOn w:val="Normal"/>
    <w:semiHidden/>
    <w:rsid w:val="003D6FD9"/>
    <w:pPr>
      <w:spacing w:line="480" w:lineRule="auto"/>
    </w:pPr>
  </w:style>
  <w:style w:type="paragraph" w:styleId="BodyText3">
    <w:name w:val="Body Text 3"/>
    <w:basedOn w:val="Normal"/>
    <w:semiHidden/>
    <w:rsid w:val="003D6FD9"/>
    <w:rPr>
      <w:sz w:val="16"/>
      <w:szCs w:val="16"/>
    </w:rPr>
  </w:style>
  <w:style w:type="paragraph" w:styleId="BodyTextFirstIndent">
    <w:name w:val="Body Text First Indent"/>
    <w:basedOn w:val="BodyText"/>
    <w:semiHidden/>
    <w:rsid w:val="003D6FD9"/>
    <w:pPr>
      <w:ind w:firstLine="210"/>
    </w:pPr>
  </w:style>
  <w:style w:type="paragraph" w:styleId="BodyTextIndent">
    <w:name w:val="Body Text Indent"/>
    <w:basedOn w:val="Normal"/>
    <w:semiHidden/>
    <w:rsid w:val="003D6FD9"/>
    <w:pPr>
      <w:ind w:left="283"/>
    </w:pPr>
  </w:style>
  <w:style w:type="paragraph" w:styleId="BodyTextFirstIndent2">
    <w:name w:val="Body Text First Indent 2"/>
    <w:basedOn w:val="BodyTextIndent"/>
    <w:semiHidden/>
    <w:rsid w:val="003D6FD9"/>
    <w:pPr>
      <w:ind w:firstLine="210"/>
    </w:pPr>
  </w:style>
  <w:style w:type="paragraph" w:styleId="BodyTextIndent2">
    <w:name w:val="Body Text Indent 2"/>
    <w:basedOn w:val="Normal"/>
    <w:semiHidden/>
    <w:rsid w:val="003D6FD9"/>
    <w:pPr>
      <w:spacing w:line="480" w:lineRule="auto"/>
      <w:ind w:left="283"/>
    </w:pPr>
  </w:style>
  <w:style w:type="paragraph" w:styleId="BodyTextIndent3">
    <w:name w:val="Body Text Indent 3"/>
    <w:basedOn w:val="Normal"/>
    <w:semiHidden/>
    <w:rsid w:val="003D6FD9"/>
    <w:pPr>
      <w:ind w:left="283"/>
    </w:pPr>
    <w:rPr>
      <w:sz w:val="16"/>
      <w:szCs w:val="16"/>
    </w:rPr>
  </w:style>
  <w:style w:type="paragraph" w:styleId="Closing">
    <w:name w:val="Closing"/>
    <w:basedOn w:val="Normal"/>
    <w:semiHidden/>
    <w:rsid w:val="003D6FD9"/>
    <w:pPr>
      <w:ind w:left="4252"/>
    </w:pPr>
  </w:style>
  <w:style w:type="paragraph" w:styleId="Date">
    <w:name w:val="Date"/>
    <w:basedOn w:val="Normal"/>
    <w:next w:val="Normal"/>
    <w:semiHidden/>
    <w:rsid w:val="003D6FD9"/>
  </w:style>
  <w:style w:type="paragraph" w:styleId="E-mailSignature">
    <w:name w:val="E-mail Signature"/>
    <w:basedOn w:val="Normal"/>
    <w:semiHidden/>
    <w:rsid w:val="003D6FD9"/>
  </w:style>
  <w:style w:type="character" w:styleId="Emphasis">
    <w:name w:val="Emphasis"/>
    <w:basedOn w:val="DefaultParagraphFont"/>
    <w:qFormat/>
    <w:rsid w:val="003D6FD9"/>
    <w:rPr>
      <w:i/>
      <w:iCs/>
    </w:rPr>
  </w:style>
  <w:style w:type="paragraph" w:styleId="EnvelopeAddress">
    <w:name w:val="envelope address"/>
    <w:basedOn w:val="Normal"/>
    <w:semiHidden/>
    <w:rsid w:val="003D6FD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3D6FD9"/>
    <w:rPr>
      <w:rFonts w:ascii="Arial" w:hAnsi="Arial" w:cs="Arial"/>
      <w:sz w:val="20"/>
    </w:rPr>
  </w:style>
  <w:style w:type="paragraph" w:styleId="Footer">
    <w:name w:val="footer"/>
    <w:basedOn w:val="Normal"/>
    <w:semiHidden/>
    <w:rsid w:val="003D6FD9"/>
    <w:pPr>
      <w:tabs>
        <w:tab w:val="center" w:pos="4153"/>
        <w:tab w:val="right" w:pos="8306"/>
      </w:tabs>
    </w:pPr>
  </w:style>
  <w:style w:type="paragraph" w:styleId="Header">
    <w:name w:val="header"/>
    <w:basedOn w:val="Normal"/>
    <w:link w:val="HeaderChar"/>
    <w:semiHidden/>
    <w:rsid w:val="003D6FD9"/>
    <w:pPr>
      <w:tabs>
        <w:tab w:val="center" w:pos="4153"/>
        <w:tab w:val="right" w:pos="8306"/>
      </w:tabs>
    </w:pPr>
  </w:style>
  <w:style w:type="character" w:styleId="HTMLAcronym">
    <w:name w:val="HTML Acronym"/>
    <w:basedOn w:val="DefaultParagraphFont"/>
    <w:semiHidden/>
    <w:rsid w:val="003D6FD9"/>
  </w:style>
  <w:style w:type="paragraph" w:styleId="HTMLAddress">
    <w:name w:val="HTML Address"/>
    <w:basedOn w:val="Normal"/>
    <w:semiHidden/>
    <w:rsid w:val="003D6FD9"/>
    <w:rPr>
      <w:i/>
      <w:iCs/>
    </w:rPr>
  </w:style>
  <w:style w:type="character" w:styleId="HTMLCite">
    <w:name w:val="HTML Cite"/>
    <w:basedOn w:val="DefaultParagraphFont"/>
    <w:semiHidden/>
    <w:rsid w:val="003D6FD9"/>
    <w:rPr>
      <w:i/>
      <w:iCs/>
    </w:rPr>
  </w:style>
  <w:style w:type="character" w:styleId="HTMLCode">
    <w:name w:val="HTML Code"/>
    <w:basedOn w:val="DefaultParagraphFont"/>
    <w:semiHidden/>
    <w:rsid w:val="003D6FD9"/>
    <w:rPr>
      <w:rFonts w:ascii="Courier New" w:hAnsi="Courier New" w:cs="Courier New"/>
      <w:sz w:val="20"/>
      <w:szCs w:val="20"/>
    </w:rPr>
  </w:style>
  <w:style w:type="character" w:styleId="HTMLDefinition">
    <w:name w:val="HTML Definition"/>
    <w:basedOn w:val="DefaultParagraphFont"/>
    <w:semiHidden/>
    <w:rsid w:val="003D6FD9"/>
    <w:rPr>
      <w:i/>
      <w:iCs/>
    </w:rPr>
  </w:style>
  <w:style w:type="character" w:styleId="HTMLKeyboard">
    <w:name w:val="HTML Keyboard"/>
    <w:basedOn w:val="DefaultParagraphFont"/>
    <w:semiHidden/>
    <w:rsid w:val="003D6FD9"/>
    <w:rPr>
      <w:rFonts w:ascii="Courier New" w:hAnsi="Courier New" w:cs="Courier New"/>
      <w:sz w:val="20"/>
      <w:szCs w:val="20"/>
    </w:rPr>
  </w:style>
  <w:style w:type="paragraph" w:styleId="HTMLPreformatted">
    <w:name w:val="HTML Preformatted"/>
    <w:basedOn w:val="Normal"/>
    <w:semiHidden/>
    <w:rsid w:val="003D6FD9"/>
    <w:rPr>
      <w:rFonts w:ascii="Courier New" w:hAnsi="Courier New" w:cs="Courier New"/>
      <w:sz w:val="20"/>
    </w:rPr>
  </w:style>
  <w:style w:type="character" w:styleId="HTMLSample">
    <w:name w:val="HTML Sample"/>
    <w:basedOn w:val="DefaultParagraphFont"/>
    <w:semiHidden/>
    <w:rsid w:val="003D6FD9"/>
    <w:rPr>
      <w:rFonts w:ascii="Courier New" w:hAnsi="Courier New" w:cs="Courier New"/>
    </w:rPr>
  </w:style>
  <w:style w:type="character" w:styleId="HTMLTypewriter">
    <w:name w:val="HTML Typewriter"/>
    <w:basedOn w:val="DefaultParagraphFont"/>
    <w:semiHidden/>
    <w:rsid w:val="003D6FD9"/>
    <w:rPr>
      <w:rFonts w:ascii="Courier New" w:hAnsi="Courier New" w:cs="Courier New"/>
      <w:sz w:val="20"/>
      <w:szCs w:val="20"/>
    </w:rPr>
  </w:style>
  <w:style w:type="character" w:styleId="HTMLVariable">
    <w:name w:val="HTML Variable"/>
    <w:basedOn w:val="DefaultParagraphFont"/>
    <w:semiHidden/>
    <w:rsid w:val="003D6FD9"/>
    <w:rPr>
      <w:i/>
      <w:iCs/>
    </w:rPr>
  </w:style>
  <w:style w:type="character" w:styleId="LineNumber">
    <w:name w:val="line number"/>
    <w:basedOn w:val="DefaultParagraphFont"/>
    <w:semiHidden/>
    <w:rsid w:val="003D6FD9"/>
  </w:style>
  <w:style w:type="paragraph" w:styleId="List">
    <w:name w:val="List"/>
    <w:basedOn w:val="Normal"/>
    <w:semiHidden/>
    <w:rsid w:val="003D6FD9"/>
    <w:pPr>
      <w:ind w:left="283" w:hanging="283"/>
    </w:pPr>
  </w:style>
  <w:style w:type="paragraph" w:styleId="List2">
    <w:name w:val="List 2"/>
    <w:basedOn w:val="Normal"/>
    <w:semiHidden/>
    <w:rsid w:val="003D6FD9"/>
    <w:pPr>
      <w:ind w:left="566" w:hanging="283"/>
    </w:pPr>
  </w:style>
  <w:style w:type="paragraph" w:styleId="List3">
    <w:name w:val="List 3"/>
    <w:basedOn w:val="Normal"/>
    <w:semiHidden/>
    <w:rsid w:val="003D6FD9"/>
    <w:pPr>
      <w:ind w:left="849" w:hanging="283"/>
    </w:pPr>
  </w:style>
  <w:style w:type="paragraph" w:styleId="List4">
    <w:name w:val="List 4"/>
    <w:basedOn w:val="Normal"/>
    <w:semiHidden/>
    <w:rsid w:val="003D6FD9"/>
    <w:pPr>
      <w:ind w:left="1132" w:hanging="283"/>
    </w:pPr>
  </w:style>
  <w:style w:type="paragraph" w:styleId="List5">
    <w:name w:val="List 5"/>
    <w:basedOn w:val="Normal"/>
    <w:semiHidden/>
    <w:rsid w:val="003D6FD9"/>
    <w:pPr>
      <w:ind w:left="1415" w:hanging="283"/>
    </w:pPr>
  </w:style>
  <w:style w:type="paragraph" w:styleId="ListBullet">
    <w:name w:val="List Bullet"/>
    <w:basedOn w:val="Normal"/>
    <w:semiHidden/>
    <w:rsid w:val="003D6FD9"/>
    <w:pPr>
      <w:numPr>
        <w:numId w:val="5"/>
      </w:numPr>
    </w:pPr>
  </w:style>
  <w:style w:type="paragraph" w:styleId="ListBullet2">
    <w:name w:val="List Bullet 2"/>
    <w:basedOn w:val="Normal"/>
    <w:semiHidden/>
    <w:rsid w:val="003D6FD9"/>
    <w:pPr>
      <w:numPr>
        <w:numId w:val="6"/>
      </w:numPr>
    </w:pPr>
  </w:style>
  <w:style w:type="paragraph" w:styleId="ListBullet3">
    <w:name w:val="List Bullet 3"/>
    <w:basedOn w:val="Normal"/>
    <w:semiHidden/>
    <w:rsid w:val="003D6FD9"/>
    <w:pPr>
      <w:numPr>
        <w:numId w:val="7"/>
      </w:numPr>
    </w:pPr>
  </w:style>
  <w:style w:type="paragraph" w:styleId="ListBullet4">
    <w:name w:val="List Bullet 4"/>
    <w:basedOn w:val="Normal"/>
    <w:semiHidden/>
    <w:rsid w:val="003D6FD9"/>
    <w:pPr>
      <w:numPr>
        <w:numId w:val="8"/>
      </w:numPr>
    </w:pPr>
  </w:style>
  <w:style w:type="paragraph" w:styleId="ListBullet5">
    <w:name w:val="List Bullet 5"/>
    <w:basedOn w:val="Normal"/>
    <w:semiHidden/>
    <w:rsid w:val="003D6FD9"/>
    <w:pPr>
      <w:numPr>
        <w:numId w:val="9"/>
      </w:numPr>
    </w:pPr>
  </w:style>
  <w:style w:type="paragraph" w:styleId="ListContinue">
    <w:name w:val="List Continue"/>
    <w:basedOn w:val="Normal"/>
    <w:semiHidden/>
    <w:rsid w:val="003D6FD9"/>
    <w:pPr>
      <w:ind w:left="283"/>
    </w:pPr>
  </w:style>
  <w:style w:type="paragraph" w:styleId="ListContinue2">
    <w:name w:val="List Continue 2"/>
    <w:basedOn w:val="Normal"/>
    <w:semiHidden/>
    <w:rsid w:val="003D6FD9"/>
    <w:pPr>
      <w:ind w:left="566"/>
    </w:pPr>
  </w:style>
  <w:style w:type="paragraph" w:styleId="ListContinue3">
    <w:name w:val="List Continue 3"/>
    <w:basedOn w:val="Normal"/>
    <w:semiHidden/>
    <w:rsid w:val="003D6FD9"/>
    <w:pPr>
      <w:ind w:left="849"/>
    </w:pPr>
  </w:style>
  <w:style w:type="paragraph" w:styleId="ListContinue4">
    <w:name w:val="List Continue 4"/>
    <w:basedOn w:val="Normal"/>
    <w:semiHidden/>
    <w:rsid w:val="003D6FD9"/>
    <w:pPr>
      <w:ind w:left="1132"/>
    </w:pPr>
  </w:style>
  <w:style w:type="paragraph" w:styleId="ListContinue5">
    <w:name w:val="List Continue 5"/>
    <w:basedOn w:val="Normal"/>
    <w:semiHidden/>
    <w:rsid w:val="003D6FD9"/>
    <w:pPr>
      <w:ind w:left="1415"/>
    </w:pPr>
  </w:style>
  <w:style w:type="paragraph" w:styleId="ListNumber">
    <w:name w:val="List Number"/>
    <w:basedOn w:val="Normal"/>
    <w:semiHidden/>
    <w:rsid w:val="003D6FD9"/>
    <w:pPr>
      <w:numPr>
        <w:numId w:val="10"/>
      </w:numPr>
    </w:pPr>
  </w:style>
  <w:style w:type="paragraph" w:styleId="ListNumber2">
    <w:name w:val="List Number 2"/>
    <w:basedOn w:val="Normal"/>
    <w:semiHidden/>
    <w:rsid w:val="003D6FD9"/>
    <w:pPr>
      <w:numPr>
        <w:numId w:val="11"/>
      </w:numPr>
    </w:pPr>
  </w:style>
  <w:style w:type="paragraph" w:styleId="ListNumber3">
    <w:name w:val="List Number 3"/>
    <w:basedOn w:val="Normal"/>
    <w:semiHidden/>
    <w:rsid w:val="003D6FD9"/>
    <w:pPr>
      <w:numPr>
        <w:numId w:val="12"/>
      </w:numPr>
    </w:pPr>
  </w:style>
  <w:style w:type="paragraph" w:styleId="ListNumber4">
    <w:name w:val="List Number 4"/>
    <w:basedOn w:val="Normal"/>
    <w:semiHidden/>
    <w:rsid w:val="003D6FD9"/>
    <w:pPr>
      <w:numPr>
        <w:numId w:val="13"/>
      </w:numPr>
    </w:pPr>
  </w:style>
  <w:style w:type="paragraph" w:styleId="ListNumber5">
    <w:name w:val="List Number 5"/>
    <w:basedOn w:val="Normal"/>
    <w:semiHidden/>
    <w:rsid w:val="003D6FD9"/>
    <w:pPr>
      <w:numPr>
        <w:numId w:val="14"/>
      </w:numPr>
    </w:pPr>
  </w:style>
  <w:style w:type="paragraph" w:styleId="MessageHeader">
    <w:name w:val="Message Header"/>
    <w:basedOn w:val="Normal"/>
    <w:semiHidden/>
    <w:rsid w:val="003D6FD9"/>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paragraph" w:styleId="NormalWeb">
    <w:name w:val="Normal (Web)"/>
    <w:basedOn w:val="Normal"/>
    <w:semiHidden/>
    <w:rsid w:val="003D6FD9"/>
    <w:rPr>
      <w:sz w:val="24"/>
      <w:szCs w:val="24"/>
    </w:rPr>
  </w:style>
  <w:style w:type="paragraph" w:styleId="NormalIndent">
    <w:name w:val="Normal Indent"/>
    <w:basedOn w:val="Normal"/>
    <w:semiHidden/>
    <w:rsid w:val="003D6FD9"/>
    <w:pPr>
      <w:ind w:left="720"/>
    </w:pPr>
  </w:style>
  <w:style w:type="paragraph" w:styleId="NoteHeading">
    <w:name w:val="Note Heading"/>
    <w:basedOn w:val="Normal"/>
    <w:next w:val="Normal"/>
    <w:semiHidden/>
    <w:rsid w:val="003D6FD9"/>
  </w:style>
  <w:style w:type="character" w:styleId="PageNumber">
    <w:name w:val="page number"/>
    <w:basedOn w:val="DefaultParagraphFont"/>
    <w:semiHidden/>
    <w:rsid w:val="003D6FD9"/>
  </w:style>
  <w:style w:type="paragraph" w:styleId="PlainText">
    <w:name w:val="Plain Text"/>
    <w:basedOn w:val="Normal"/>
    <w:semiHidden/>
    <w:rsid w:val="003D6FD9"/>
    <w:rPr>
      <w:rFonts w:ascii="Courier New" w:hAnsi="Courier New" w:cs="Courier New"/>
      <w:sz w:val="20"/>
    </w:rPr>
  </w:style>
  <w:style w:type="paragraph" w:styleId="Salutation">
    <w:name w:val="Salutation"/>
    <w:basedOn w:val="Normal"/>
    <w:next w:val="Normal"/>
    <w:semiHidden/>
    <w:rsid w:val="003D6FD9"/>
  </w:style>
  <w:style w:type="paragraph" w:styleId="Signature">
    <w:name w:val="Signature"/>
    <w:basedOn w:val="Normal"/>
    <w:semiHidden/>
    <w:rsid w:val="003D6FD9"/>
    <w:pPr>
      <w:ind w:left="4252"/>
    </w:pPr>
  </w:style>
  <w:style w:type="character" w:styleId="Strong">
    <w:name w:val="Strong"/>
    <w:basedOn w:val="DefaultParagraphFont"/>
    <w:qFormat/>
    <w:rsid w:val="003D6FD9"/>
    <w:rPr>
      <w:b/>
      <w:bCs/>
    </w:rPr>
  </w:style>
  <w:style w:type="paragraph" w:styleId="Subtitle">
    <w:name w:val="Subtitle"/>
    <w:basedOn w:val="Normal"/>
    <w:qFormat/>
    <w:rsid w:val="003D6FD9"/>
    <w:pPr>
      <w:spacing w:after="60"/>
      <w:jc w:val="center"/>
      <w:outlineLvl w:val="1"/>
    </w:pPr>
    <w:rPr>
      <w:rFonts w:ascii="Arial" w:hAnsi="Arial" w:cs="Arial"/>
      <w:sz w:val="24"/>
      <w:szCs w:val="24"/>
    </w:rPr>
  </w:style>
  <w:style w:type="table" w:styleId="Table3Deffects1">
    <w:name w:val="Table 3D effects 1"/>
    <w:basedOn w:val="TableNormal"/>
    <w:semiHidden/>
    <w:rsid w:val="003D6FD9"/>
    <w:pPr>
      <w:spacing w:before="120" w:after="120"/>
      <w:ind w:left="113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D6FD9"/>
    <w:pPr>
      <w:spacing w:before="120" w:after="120"/>
      <w:ind w:left="113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D6FD9"/>
    <w:pPr>
      <w:spacing w:before="120" w:after="120"/>
      <w:ind w:left="113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D6FD9"/>
    <w:pPr>
      <w:spacing w:before="120" w:after="120"/>
      <w:ind w:left="113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D6FD9"/>
    <w:pPr>
      <w:spacing w:before="120" w:after="120"/>
      <w:ind w:left="113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D6FD9"/>
    <w:pPr>
      <w:spacing w:before="120" w:after="120"/>
      <w:ind w:left="113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D6FD9"/>
    <w:pPr>
      <w:spacing w:before="120" w:after="120"/>
      <w:ind w:left="113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D6FD9"/>
    <w:pPr>
      <w:spacing w:before="120" w:after="120"/>
      <w:ind w:left="113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D6FD9"/>
    <w:pPr>
      <w:spacing w:before="120" w:after="120"/>
      <w:ind w:left="113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D6FD9"/>
    <w:pPr>
      <w:spacing w:before="120" w:after="120"/>
      <w:ind w:left="113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D6FD9"/>
    <w:pPr>
      <w:spacing w:before="120" w:after="120"/>
      <w:ind w:left="113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D6FD9"/>
    <w:pPr>
      <w:spacing w:before="120" w:after="120"/>
      <w:ind w:left="113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D6FD9"/>
    <w:pPr>
      <w:spacing w:before="120" w:after="120"/>
      <w:ind w:left="113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D6FD9"/>
    <w:pPr>
      <w:spacing w:before="120" w:after="120"/>
      <w:ind w:left="113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D6FD9"/>
    <w:pPr>
      <w:spacing w:before="120" w:after="120"/>
      <w:ind w:left="113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D6FD9"/>
    <w:pPr>
      <w:spacing w:before="120" w:after="120"/>
      <w:ind w:left="1134"/>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D6FD9"/>
    <w:pPr>
      <w:spacing w:before="120" w:after="120"/>
      <w:ind w:left="113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D6FD9"/>
    <w:pPr>
      <w:spacing w:before="120" w:after="120"/>
      <w:ind w:left="113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D6FD9"/>
    <w:pPr>
      <w:spacing w:before="120" w:after="120"/>
      <w:ind w:left="113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D6FD9"/>
    <w:pPr>
      <w:spacing w:before="120" w:after="120"/>
      <w:ind w:left="113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D6FD9"/>
    <w:pPr>
      <w:spacing w:before="120" w:after="120"/>
      <w:ind w:left="113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D6FD9"/>
    <w:pPr>
      <w:spacing w:before="120" w:after="120"/>
      <w:ind w:left="113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D6FD9"/>
    <w:pPr>
      <w:spacing w:before="120" w:after="120"/>
      <w:ind w:left="113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D6FD9"/>
    <w:pPr>
      <w:spacing w:before="120" w:after="120"/>
      <w:ind w:left="113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D6FD9"/>
    <w:pPr>
      <w:spacing w:before="120" w:after="120"/>
      <w:ind w:left="113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D6FD9"/>
    <w:pPr>
      <w:spacing w:before="120" w:after="120"/>
      <w:ind w:left="113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D6FD9"/>
    <w:pPr>
      <w:spacing w:before="120" w:after="120"/>
      <w:ind w:left="113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D6FD9"/>
    <w:pPr>
      <w:spacing w:before="120" w:after="120"/>
      <w:ind w:left="113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D6FD9"/>
    <w:pPr>
      <w:spacing w:before="120" w:after="120"/>
      <w:ind w:left="113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D6FD9"/>
    <w:pPr>
      <w:spacing w:before="120" w:after="120"/>
      <w:ind w:left="113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D6FD9"/>
    <w:pPr>
      <w:spacing w:before="120" w:after="120"/>
      <w:ind w:left="113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3D6FD9"/>
    <w:pPr>
      <w:spacing w:before="240" w:after="60"/>
      <w:jc w:val="center"/>
      <w:outlineLvl w:val="0"/>
    </w:pPr>
    <w:rPr>
      <w:rFonts w:ascii="Arial" w:hAnsi="Arial" w:cs="Arial"/>
      <w:b/>
      <w:bCs/>
      <w:kern w:val="28"/>
      <w:sz w:val="32"/>
      <w:szCs w:val="32"/>
    </w:rPr>
  </w:style>
  <w:style w:type="character" w:customStyle="1" w:styleId="Bold">
    <w:name w:val="Bold"/>
    <w:basedOn w:val="DefaultParagraphFont"/>
    <w:rsid w:val="003D6FD9"/>
    <w:rPr>
      <w:b/>
    </w:rPr>
  </w:style>
  <w:style w:type="character" w:customStyle="1" w:styleId="Italic">
    <w:name w:val="Italic"/>
    <w:basedOn w:val="DefaultParagraphFont"/>
    <w:rsid w:val="003D6FD9"/>
    <w:rPr>
      <w:i/>
    </w:rPr>
  </w:style>
  <w:style w:type="character" w:customStyle="1" w:styleId="BoldItalic">
    <w:name w:val="BoldItalic"/>
    <w:basedOn w:val="DefaultParagraphFont"/>
    <w:rsid w:val="003D6FD9"/>
    <w:rPr>
      <w:b/>
      <w:i/>
    </w:rPr>
  </w:style>
  <w:style w:type="paragraph" w:customStyle="1" w:styleId="Glossarytabletext">
    <w:name w:val="Glossary table text"/>
    <w:basedOn w:val="Normal"/>
    <w:rsid w:val="00123D96"/>
    <w:pPr>
      <w:spacing w:before="60" w:after="60"/>
    </w:pPr>
    <w:rPr>
      <w:sz w:val="20"/>
    </w:rPr>
  </w:style>
  <w:style w:type="character" w:customStyle="1" w:styleId="base-text-paragraphChar">
    <w:name w:val="base-text-paragraph Char"/>
    <w:basedOn w:val="DefaultParagraphFont"/>
    <w:link w:val="base-text-paragraph"/>
    <w:rsid w:val="00D85BEA"/>
    <w:rPr>
      <w:sz w:val="22"/>
    </w:rPr>
  </w:style>
  <w:style w:type="paragraph" w:styleId="FootnoteText">
    <w:name w:val="footnote text"/>
    <w:basedOn w:val="Normal"/>
    <w:rsid w:val="00034BE8"/>
    <w:pPr>
      <w:tabs>
        <w:tab w:val="left" w:pos="284"/>
      </w:tabs>
      <w:spacing w:before="0" w:after="0"/>
      <w:ind w:left="284" w:hanging="284"/>
    </w:pPr>
    <w:rPr>
      <w:sz w:val="20"/>
    </w:rPr>
  </w:style>
  <w:style w:type="numbering" w:customStyle="1" w:styleId="ChapterList">
    <w:name w:val="ChapterList"/>
    <w:uiPriority w:val="99"/>
    <w:rsid w:val="007966EF"/>
    <w:pPr>
      <w:numPr>
        <w:numId w:val="19"/>
      </w:numPr>
    </w:pPr>
  </w:style>
  <w:style w:type="paragraph" w:styleId="ListParagraph">
    <w:name w:val="List Paragraph"/>
    <w:basedOn w:val="Normal"/>
    <w:uiPriority w:val="34"/>
    <w:qFormat/>
    <w:rsid w:val="00D963F2"/>
    <w:pPr>
      <w:ind w:left="720"/>
      <w:contextualSpacing/>
    </w:pPr>
  </w:style>
  <w:style w:type="numbering" w:customStyle="1" w:styleId="DotPointList">
    <w:name w:val="Dot Point List"/>
    <w:uiPriority w:val="99"/>
    <w:rsid w:val="008C51F4"/>
    <w:pPr>
      <w:numPr>
        <w:numId w:val="20"/>
      </w:numPr>
    </w:pPr>
  </w:style>
  <w:style w:type="numbering" w:customStyle="1" w:styleId="ExampleDotPointList">
    <w:name w:val="Example Dot Point List"/>
    <w:uiPriority w:val="99"/>
    <w:rsid w:val="008C51F4"/>
    <w:pPr>
      <w:numPr>
        <w:numId w:val="21"/>
      </w:numPr>
    </w:pPr>
  </w:style>
  <w:style w:type="numbering" w:customStyle="1" w:styleId="TableDotPointList">
    <w:name w:val="Table Dot Point List"/>
    <w:uiPriority w:val="99"/>
    <w:rsid w:val="00A37F77"/>
    <w:pPr>
      <w:numPr>
        <w:numId w:val="22"/>
      </w:numPr>
    </w:pPr>
  </w:style>
  <w:style w:type="character" w:customStyle="1" w:styleId="Font30point">
    <w:name w:val="Font 30 point"/>
    <w:basedOn w:val="DefaultParagraphFont"/>
    <w:rsid w:val="003E0794"/>
    <w:rPr>
      <w:sz w:val="60"/>
    </w:rPr>
  </w:style>
  <w:style w:type="character" w:customStyle="1" w:styleId="Font15point">
    <w:name w:val="Font 15 point"/>
    <w:basedOn w:val="DefaultParagraphFont"/>
    <w:rsid w:val="00D67ADC"/>
    <w:rPr>
      <w:sz w:val="30"/>
    </w:rPr>
  </w:style>
  <w:style w:type="character" w:customStyle="1" w:styleId="Font19point">
    <w:name w:val="Font 19 point"/>
    <w:basedOn w:val="DefaultParagraphFont"/>
    <w:rsid w:val="00D67ADC"/>
    <w:rPr>
      <w:sz w:val="38"/>
    </w:rPr>
  </w:style>
  <w:style w:type="character" w:styleId="Hyperlink">
    <w:name w:val="Hyperlink"/>
    <w:basedOn w:val="DefaultParagraphFont"/>
    <w:rsid w:val="005255EA"/>
    <w:rPr>
      <w:color w:val="0000FF" w:themeColor="hyperlink"/>
      <w:u w:val="single"/>
    </w:rPr>
  </w:style>
  <w:style w:type="character" w:styleId="FollowedHyperlink">
    <w:name w:val="FollowedHyperlink"/>
    <w:basedOn w:val="DefaultParagraphFont"/>
    <w:rsid w:val="00F053A1"/>
    <w:rPr>
      <w:color w:val="800080" w:themeColor="followedHyperlink"/>
      <w:u w:val="single"/>
    </w:rPr>
  </w:style>
  <w:style w:type="character" w:customStyle="1" w:styleId="HeaderChar">
    <w:name w:val="Header Char"/>
    <w:basedOn w:val="DefaultParagraphFont"/>
    <w:link w:val="Header"/>
    <w:semiHidden/>
    <w:rsid w:val="00450635"/>
    <w:rPr>
      <w:sz w:val="22"/>
    </w:rPr>
  </w:style>
  <w:style w:type="character" w:styleId="CommentReference">
    <w:name w:val="annotation reference"/>
    <w:basedOn w:val="DefaultParagraphFont"/>
    <w:rsid w:val="00697AD0"/>
    <w:rPr>
      <w:sz w:val="16"/>
      <w:szCs w:val="16"/>
    </w:rPr>
  </w:style>
  <w:style w:type="paragraph" w:styleId="CommentText">
    <w:name w:val="annotation text"/>
    <w:basedOn w:val="Normal"/>
    <w:link w:val="CommentTextChar"/>
    <w:rsid w:val="00697AD0"/>
    <w:rPr>
      <w:sz w:val="20"/>
    </w:rPr>
  </w:style>
  <w:style w:type="character" w:customStyle="1" w:styleId="CommentTextChar">
    <w:name w:val="Comment Text Char"/>
    <w:basedOn w:val="DefaultParagraphFont"/>
    <w:link w:val="CommentText"/>
    <w:rsid w:val="00697AD0"/>
  </w:style>
  <w:style w:type="paragraph" w:styleId="CommentSubject">
    <w:name w:val="annotation subject"/>
    <w:basedOn w:val="CommentText"/>
    <w:next w:val="CommentText"/>
    <w:link w:val="CommentSubjectChar"/>
    <w:rsid w:val="00697AD0"/>
    <w:rPr>
      <w:b/>
      <w:bCs/>
    </w:rPr>
  </w:style>
  <w:style w:type="character" w:customStyle="1" w:styleId="CommentSubjectChar">
    <w:name w:val="Comment Subject Char"/>
    <w:basedOn w:val="CommentTextChar"/>
    <w:link w:val="CommentSubject"/>
    <w:rsid w:val="00697AD0"/>
    <w:rPr>
      <w:b/>
      <w:bCs/>
    </w:rPr>
  </w:style>
  <w:style w:type="paragraph" w:styleId="BalloonText">
    <w:name w:val="Balloon Text"/>
    <w:basedOn w:val="Normal"/>
    <w:link w:val="BalloonTextChar"/>
    <w:rsid w:val="00697AD0"/>
    <w:pPr>
      <w:spacing w:before="0" w:after="0"/>
    </w:pPr>
    <w:rPr>
      <w:rFonts w:ascii="Tahoma" w:hAnsi="Tahoma" w:cs="Tahoma"/>
      <w:sz w:val="16"/>
      <w:szCs w:val="16"/>
    </w:rPr>
  </w:style>
  <w:style w:type="character" w:customStyle="1" w:styleId="BalloonTextChar">
    <w:name w:val="Balloon Text Char"/>
    <w:basedOn w:val="DefaultParagraphFont"/>
    <w:link w:val="BalloonText"/>
    <w:rsid w:val="00697AD0"/>
    <w:rPr>
      <w:rFonts w:ascii="Tahoma" w:hAnsi="Tahoma" w:cs="Tahoma"/>
      <w:sz w:val="16"/>
      <w:szCs w:val="16"/>
    </w:rPr>
  </w:style>
  <w:style w:type="paragraph" w:customStyle="1" w:styleId="Bullet">
    <w:name w:val="Bullet"/>
    <w:basedOn w:val="Normal"/>
    <w:link w:val="BulletChar"/>
    <w:rsid w:val="004E02B7"/>
    <w:pPr>
      <w:numPr>
        <w:numId w:val="36"/>
      </w:numPr>
    </w:pPr>
  </w:style>
  <w:style w:type="character" w:customStyle="1" w:styleId="BulletChar">
    <w:name w:val="Bullet Char"/>
    <w:basedOn w:val="base-text-paragraphChar"/>
    <w:link w:val="Bullet"/>
    <w:rsid w:val="004E02B7"/>
    <w:rPr>
      <w:sz w:val="22"/>
    </w:rPr>
  </w:style>
  <w:style w:type="paragraph" w:customStyle="1" w:styleId="Dash">
    <w:name w:val="Dash"/>
    <w:basedOn w:val="Normal"/>
    <w:link w:val="DashChar"/>
    <w:rsid w:val="004E02B7"/>
    <w:pPr>
      <w:numPr>
        <w:ilvl w:val="1"/>
        <w:numId w:val="36"/>
      </w:numPr>
    </w:pPr>
  </w:style>
  <w:style w:type="character" w:customStyle="1" w:styleId="DashChar">
    <w:name w:val="Dash Char"/>
    <w:basedOn w:val="base-text-paragraphChar"/>
    <w:link w:val="Dash"/>
    <w:rsid w:val="004E02B7"/>
    <w:rPr>
      <w:sz w:val="22"/>
    </w:rPr>
  </w:style>
  <w:style w:type="paragraph" w:customStyle="1" w:styleId="DoubleDot">
    <w:name w:val="Double Dot"/>
    <w:basedOn w:val="Normal"/>
    <w:link w:val="DoubleDotChar"/>
    <w:rsid w:val="004E02B7"/>
    <w:pPr>
      <w:numPr>
        <w:ilvl w:val="2"/>
        <w:numId w:val="36"/>
      </w:numPr>
    </w:pPr>
  </w:style>
  <w:style w:type="character" w:customStyle="1" w:styleId="DoubleDotChar">
    <w:name w:val="Double Dot Char"/>
    <w:basedOn w:val="base-text-paragraphChar"/>
    <w:link w:val="DoubleDot"/>
    <w:rsid w:val="004E02B7"/>
    <w:rPr>
      <w:sz w:val="22"/>
    </w:rPr>
  </w:style>
  <w:style w:type="paragraph" w:styleId="Revision">
    <w:name w:val="Revision"/>
    <w:hidden/>
    <w:uiPriority w:val="99"/>
    <w:semiHidden/>
    <w:rsid w:val="00022AA3"/>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762D28"/>
    <w:pPr>
      <w:spacing w:before="120" w:after="120"/>
    </w:pPr>
    <w:rPr>
      <w:sz w:val="22"/>
    </w:rPr>
  </w:style>
  <w:style w:type="paragraph" w:styleId="Heading1">
    <w:name w:val="heading 1"/>
    <w:basedOn w:val="Normal"/>
    <w:next w:val="base-text-paragraph"/>
    <w:qFormat/>
    <w:rsid w:val="00832743"/>
    <w:pPr>
      <w:keepNext/>
      <w:spacing w:before="720"/>
      <w:outlineLvl w:val="0"/>
    </w:pPr>
    <w:rPr>
      <w:rFonts w:ascii="Helvetica" w:hAnsi="Helvetica"/>
      <w:b/>
      <w:caps/>
      <w:sz w:val="28"/>
    </w:rPr>
  </w:style>
  <w:style w:type="paragraph" w:styleId="Heading2">
    <w:name w:val="heading 2"/>
    <w:basedOn w:val="Heading1"/>
    <w:next w:val="base-text-paragraph"/>
    <w:qFormat/>
    <w:rsid w:val="008C359D"/>
    <w:pPr>
      <w:spacing w:before="480"/>
      <w:outlineLvl w:val="1"/>
    </w:pPr>
    <w:rPr>
      <w:caps w:val="0"/>
      <w:sz w:val="26"/>
    </w:rPr>
  </w:style>
  <w:style w:type="paragraph" w:styleId="Heading3">
    <w:name w:val="heading 3"/>
    <w:basedOn w:val="Heading2"/>
    <w:next w:val="base-text-paragraph"/>
    <w:qFormat/>
    <w:rsid w:val="00DA72C6"/>
    <w:pPr>
      <w:spacing w:before="240"/>
      <w:outlineLvl w:val="2"/>
    </w:pPr>
    <w:rPr>
      <w:sz w:val="22"/>
    </w:rPr>
  </w:style>
  <w:style w:type="paragraph" w:styleId="Heading4">
    <w:name w:val="heading 4"/>
    <w:basedOn w:val="Heading3"/>
    <w:next w:val="base-text-paragraph"/>
    <w:qFormat/>
    <w:rsid w:val="00231CBA"/>
    <w:pPr>
      <w:spacing w:before="120"/>
      <w:ind w:left="1134"/>
      <w:outlineLvl w:val="3"/>
    </w:pPr>
    <w:rPr>
      <w:rFonts w:ascii="Times New Roman" w:hAnsi="Times New Roman"/>
      <w:i/>
    </w:rPr>
  </w:style>
  <w:style w:type="paragraph" w:styleId="Heading5">
    <w:name w:val="heading 5"/>
    <w:basedOn w:val="Heading4"/>
    <w:next w:val="base-text-paragraph"/>
    <w:qFormat/>
    <w:rsid w:val="00231CBA"/>
    <w:pPr>
      <w:spacing w:after="60"/>
      <w:outlineLvl w:val="4"/>
    </w:pPr>
    <w:rPr>
      <w:b w:val="0"/>
      <w:bCs/>
      <w:iCs/>
      <w:szCs w:val="26"/>
    </w:rPr>
  </w:style>
  <w:style w:type="paragraph" w:styleId="Heading6">
    <w:name w:val="heading 6"/>
    <w:basedOn w:val="Heading5"/>
    <w:next w:val="base-text-paragraph"/>
    <w:qFormat/>
    <w:rsid w:val="00231CBA"/>
    <w:pPr>
      <w:outlineLvl w:val="5"/>
    </w:pPr>
    <w:rPr>
      <w:bCs w:val="0"/>
      <w:i w:val="0"/>
      <w:szCs w:val="22"/>
      <w:u w:val="single"/>
    </w:rPr>
  </w:style>
  <w:style w:type="paragraph" w:styleId="Heading7">
    <w:name w:val="heading 7"/>
    <w:basedOn w:val="Normal"/>
    <w:next w:val="Normal"/>
    <w:qFormat/>
    <w:rsid w:val="003D6FD9"/>
    <w:pPr>
      <w:spacing w:before="240" w:after="60"/>
      <w:outlineLvl w:val="6"/>
    </w:pPr>
    <w:rPr>
      <w:sz w:val="24"/>
      <w:szCs w:val="24"/>
    </w:rPr>
  </w:style>
  <w:style w:type="paragraph" w:styleId="Heading8">
    <w:name w:val="heading 8"/>
    <w:basedOn w:val="Normal"/>
    <w:next w:val="Normal"/>
    <w:qFormat/>
    <w:rsid w:val="003D6FD9"/>
    <w:pPr>
      <w:spacing w:before="240" w:after="60"/>
      <w:outlineLvl w:val="7"/>
    </w:pPr>
    <w:rPr>
      <w:i/>
      <w:iCs/>
      <w:sz w:val="24"/>
      <w:szCs w:val="24"/>
    </w:rPr>
  </w:style>
  <w:style w:type="paragraph" w:styleId="Heading9">
    <w:name w:val="heading 9"/>
    <w:basedOn w:val="Normal"/>
    <w:next w:val="Normal"/>
    <w:qFormat/>
    <w:rsid w:val="003D6FD9"/>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pterHeading">
    <w:name w:val="Chapter Heading"/>
    <w:next w:val="Heading2"/>
    <w:rsid w:val="007966EF"/>
    <w:pPr>
      <w:numPr>
        <w:numId w:val="35"/>
      </w:numPr>
      <w:pBdr>
        <w:top w:val="single" w:sz="4" w:space="1" w:color="auto"/>
        <w:bottom w:val="single" w:sz="4" w:space="1" w:color="auto"/>
      </w:pBdr>
      <w:spacing w:before="240" w:line="260" w:lineRule="atLeast"/>
    </w:pPr>
    <w:rPr>
      <w:rFonts w:ascii="Helvetica" w:hAnsi="Helvetica"/>
      <w:b/>
      <w:i/>
      <w:sz w:val="38"/>
    </w:rPr>
  </w:style>
  <w:style w:type="paragraph" w:customStyle="1" w:styleId="Heading2with18pointafter">
    <w:name w:val="Heading 2 with 18 point after"/>
    <w:basedOn w:val="Heading2"/>
    <w:next w:val="Normal"/>
    <w:rsid w:val="009B2AD6"/>
    <w:pPr>
      <w:spacing w:after="360"/>
    </w:pPr>
  </w:style>
  <w:style w:type="paragraph" w:customStyle="1" w:styleId="TableHeadingoutsidetable">
    <w:name w:val="Table Heading (outside table)"/>
    <w:basedOn w:val="Heading4"/>
    <w:rsid w:val="007966EF"/>
    <w:pPr>
      <w:numPr>
        <w:ilvl w:val="4"/>
        <w:numId w:val="35"/>
      </w:numPr>
      <w:tabs>
        <w:tab w:val="num" w:pos="360"/>
      </w:tabs>
    </w:pPr>
    <w:rPr>
      <w:i w:val="0"/>
    </w:rPr>
  </w:style>
  <w:style w:type="paragraph" w:customStyle="1" w:styleId="base-text-paragraph">
    <w:name w:val="base-text-paragraph"/>
    <w:basedOn w:val="Normal"/>
    <w:link w:val="base-text-paragraphChar"/>
    <w:rsid w:val="00D85BEA"/>
    <w:pPr>
      <w:numPr>
        <w:ilvl w:val="1"/>
        <w:numId w:val="35"/>
      </w:numPr>
    </w:pPr>
  </w:style>
  <w:style w:type="paragraph" w:customStyle="1" w:styleId="base-text-paragraphnonumbers">
    <w:name w:val="base-text-paragraph no numbers"/>
    <w:basedOn w:val="Normal"/>
    <w:rsid w:val="002857E2"/>
    <w:pPr>
      <w:ind w:left="1134"/>
    </w:pPr>
  </w:style>
  <w:style w:type="paragraph" w:customStyle="1" w:styleId="exampletext">
    <w:name w:val="example text"/>
    <w:basedOn w:val="Normal"/>
    <w:rsid w:val="008752F1"/>
    <w:pPr>
      <w:ind w:left="1985"/>
    </w:pPr>
    <w:rPr>
      <w:sz w:val="20"/>
    </w:rPr>
  </w:style>
  <w:style w:type="paragraph" w:customStyle="1" w:styleId="ExampleHeading">
    <w:name w:val="Example Heading"/>
    <w:basedOn w:val="Normal"/>
    <w:next w:val="exampletext"/>
    <w:rsid w:val="009B0AB7"/>
    <w:pPr>
      <w:keepNext/>
      <w:numPr>
        <w:ilvl w:val="3"/>
        <w:numId w:val="35"/>
      </w:numPr>
      <w:tabs>
        <w:tab w:val="num" w:pos="360"/>
      </w:tabs>
      <w:ind w:left="0"/>
    </w:pPr>
    <w:rPr>
      <w:b/>
    </w:rPr>
  </w:style>
  <w:style w:type="paragraph" w:customStyle="1" w:styleId="Diagram">
    <w:name w:val="Diagram"/>
    <w:basedOn w:val="Normal"/>
    <w:next w:val="base-text-paragraphnonumbers"/>
    <w:rsid w:val="0036787F"/>
    <w:pPr>
      <w:keepNext/>
      <w:numPr>
        <w:ilvl w:val="2"/>
        <w:numId w:val="35"/>
      </w:numPr>
      <w:tabs>
        <w:tab w:val="num" w:pos="360"/>
      </w:tabs>
      <w:spacing w:before="0" w:after="0"/>
      <w:ind w:left="0"/>
    </w:pPr>
    <w:rPr>
      <w:b/>
    </w:rPr>
  </w:style>
  <w:style w:type="paragraph" w:customStyle="1" w:styleId="dotpoint">
    <w:name w:val="dot point"/>
    <w:basedOn w:val="Normal"/>
    <w:rsid w:val="00D85BEA"/>
    <w:pPr>
      <w:numPr>
        <w:numId w:val="2"/>
      </w:numPr>
    </w:pPr>
  </w:style>
  <w:style w:type="paragraph" w:customStyle="1" w:styleId="dotpoint2">
    <w:name w:val="dot point 2"/>
    <w:basedOn w:val="Normal"/>
    <w:rsid w:val="00E62E8C"/>
    <w:pPr>
      <w:numPr>
        <w:ilvl w:val="1"/>
        <w:numId w:val="20"/>
      </w:numPr>
      <w:tabs>
        <w:tab w:val="clear" w:pos="2552"/>
        <w:tab w:val="num" w:pos="360"/>
      </w:tabs>
      <w:ind w:left="2268" w:firstLine="0"/>
    </w:pPr>
  </w:style>
  <w:style w:type="paragraph" w:customStyle="1" w:styleId="exampledotpoint1">
    <w:name w:val="example dot point 1"/>
    <w:basedOn w:val="exampletext"/>
    <w:rsid w:val="008C51F4"/>
    <w:pPr>
      <w:numPr>
        <w:numId w:val="21"/>
      </w:numPr>
    </w:pPr>
  </w:style>
  <w:style w:type="paragraph" w:customStyle="1" w:styleId="exampledotpoint2">
    <w:name w:val="example dot point 2"/>
    <w:basedOn w:val="exampletext"/>
    <w:rsid w:val="008C51F4"/>
    <w:pPr>
      <w:numPr>
        <w:ilvl w:val="1"/>
        <w:numId w:val="21"/>
      </w:numPr>
    </w:pPr>
  </w:style>
  <w:style w:type="paragraph" w:customStyle="1" w:styleId="tabletext">
    <w:name w:val="table text"/>
    <w:basedOn w:val="Normal"/>
    <w:rsid w:val="00832743"/>
    <w:pPr>
      <w:spacing w:before="40" w:after="40"/>
    </w:pPr>
    <w:rPr>
      <w:sz w:val="20"/>
    </w:rPr>
  </w:style>
  <w:style w:type="paragraph" w:customStyle="1" w:styleId="tabledotpoint">
    <w:name w:val="table dot point"/>
    <w:basedOn w:val="tabletext"/>
    <w:rsid w:val="00A37F77"/>
    <w:pPr>
      <w:numPr>
        <w:numId w:val="23"/>
      </w:numPr>
    </w:pPr>
  </w:style>
  <w:style w:type="paragraph" w:customStyle="1" w:styleId="tabledotpoint2">
    <w:name w:val="table dot point 2"/>
    <w:basedOn w:val="tabletext"/>
    <w:rsid w:val="00A37F77"/>
    <w:pPr>
      <w:numPr>
        <w:ilvl w:val="1"/>
        <w:numId w:val="23"/>
      </w:numPr>
    </w:pPr>
  </w:style>
  <w:style w:type="paragraph" w:customStyle="1" w:styleId="Baseparagraphcentred">
    <w:name w:val="Base paragraph centred"/>
    <w:basedOn w:val="Normal"/>
    <w:rsid w:val="00813210"/>
    <w:pPr>
      <w:jc w:val="center"/>
    </w:pPr>
  </w:style>
  <w:style w:type="paragraph" w:customStyle="1" w:styleId="BillName">
    <w:name w:val="Bill Name"/>
    <w:basedOn w:val="Normal"/>
    <w:next w:val="Baseparagraphcentred"/>
    <w:rsid w:val="00C8648B"/>
    <w:pPr>
      <w:pBdr>
        <w:top w:val="single" w:sz="4" w:space="12" w:color="auto"/>
        <w:bottom w:val="single" w:sz="4" w:space="12" w:color="auto"/>
      </w:pBdr>
      <w:jc w:val="center"/>
    </w:pPr>
    <w:rPr>
      <w:caps/>
    </w:rPr>
  </w:style>
  <w:style w:type="paragraph" w:customStyle="1" w:styleId="BTPwithextraspacing">
    <w:name w:val="BTP with extra spacing"/>
    <w:basedOn w:val="Normal"/>
    <w:rsid w:val="00502551"/>
    <w:pPr>
      <w:spacing w:before="360" w:after="360"/>
      <w:ind w:left="1134"/>
    </w:pPr>
  </w:style>
  <w:style w:type="paragraph" w:customStyle="1" w:styleId="Chapterheadingsubdocument">
    <w:name w:val="Chapter heading subdocument"/>
    <w:basedOn w:val="Normal"/>
    <w:next w:val="base-text-paragraphnonumbers"/>
    <w:rsid w:val="00885BE8"/>
    <w:pPr>
      <w:pBdr>
        <w:top w:val="single" w:sz="4" w:space="1" w:color="auto"/>
        <w:bottom w:val="single" w:sz="4" w:space="1" w:color="auto"/>
      </w:pBdr>
      <w:spacing w:before="240" w:after="0" w:line="260" w:lineRule="atLeast"/>
    </w:pPr>
    <w:rPr>
      <w:rFonts w:ascii="Helvetica" w:hAnsi="Helvetica"/>
      <w:b/>
      <w:i/>
      <w:sz w:val="38"/>
    </w:rPr>
  </w:style>
  <w:style w:type="paragraph" w:customStyle="1" w:styleId="exampleindent">
    <w:name w:val="example indent"/>
    <w:basedOn w:val="exampletext"/>
    <w:rsid w:val="008F1A67"/>
    <w:pPr>
      <w:ind w:left="2268"/>
    </w:pPr>
  </w:style>
  <w:style w:type="paragraph" w:customStyle="1" w:styleId="leftfooter">
    <w:name w:val="left footer"/>
    <w:basedOn w:val="Normal"/>
    <w:rsid w:val="00346BEB"/>
    <w:pPr>
      <w:pBdr>
        <w:top w:val="single" w:sz="4" w:space="1" w:color="auto"/>
      </w:pBdr>
      <w:spacing w:before="240" w:after="0"/>
    </w:pPr>
    <w:rPr>
      <w:i/>
      <w:sz w:val="20"/>
    </w:rPr>
  </w:style>
  <w:style w:type="paragraph" w:customStyle="1" w:styleId="Hiddentext">
    <w:name w:val="Hiddentext"/>
    <w:basedOn w:val="Normal"/>
    <w:rsid w:val="00346BEB"/>
    <w:rPr>
      <w:vanish/>
    </w:rPr>
  </w:style>
  <w:style w:type="paragraph" w:customStyle="1" w:styleId="leftheader">
    <w:name w:val="left header"/>
    <w:basedOn w:val="Normal"/>
    <w:rsid w:val="00346BEB"/>
    <w:pPr>
      <w:pBdr>
        <w:bottom w:val="single" w:sz="4" w:space="1" w:color="auto"/>
      </w:pBdr>
    </w:pPr>
    <w:rPr>
      <w:i/>
      <w:sz w:val="20"/>
    </w:rPr>
  </w:style>
  <w:style w:type="character" w:customStyle="1" w:styleId="Referencingstyle">
    <w:name w:val="Referencing style"/>
    <w:basedOn w:val="DefaultParagraphFont"/>
    <w:rsid w:val="007652BC"/>
    <w:rPr>
      <w:b/>
      <w:i/>
      <w:sz w:val="18"/>
    </w:rPr>
  </w:style>
  <w:style w:type="paragraph" w:customStyle="1" w:styleId="rightfooter">
    <w:name w:val="right footer"/>
    <w:basedOn w:val="Normal"/>
    <w:rsid w:val="005A76CC"/>
    <w:pPr>
      <w:pBdr>
        <w:top w:val="single" w:sz="4" w:space="1" w:color="auto"/>
      </w:pBdr>
      <w:spacing w:before="240" w:after="0"/>
      <w:jc w:val="right"/>
    </w:pPr>
    <w:rPr>
      <w:i/>
      <w:sz w:val="20"/>
    </w:rPr>
  </w:style>
  <w:style w:type="paragraph" w:customStyle="1" w:styleId="rightheader">
    <w:name w:val="right header"/>
    <w:basedOn w:val="Normal"/>
    <w:rsid w:val="005A76CC"/>
    <w:pPr>
      <w:pBdr>
        <w:bottom w:val="single" w:sz="4" w:space="1" w:color="auto"/>
      </w:pBdr>
      <w:jc w:val="right"/>
    </w:pPr>
    <w:rPr>
      <w:i/>
      <w:sz w:val="20"/>
    </w:rPr>
  </w:style>
  <w:style w:type="paragraph" w:customStyle="1" w:styleId="tableheaderwithintable">
    <w:name w:val="table header (within table)"/>
    <w:basedOn w:val="Heading4"/>
    <w:rsid w:val="00F92FE2"/>
    <w:pPr>
      <w:spacing w:before="60" w:after="60"/>
      <w:ind w:left="0"/>
      <w:jc w:val="center"/>
    </w:pPr>
    <w:rPr>
      <w:sz w:val="20"/>
    </w:rPr>
  </w:style>
  <w:style w:type="paragraph" w:styleId="TOC1">
    <w:name w:val="toc 1"/>
    <w:basedOn w:val="Heading2"/>
    <w:next w:val="TOC2"/>
    <w:uiPriority w:val="39"/>
    <w:rsid w:val="00460019"/>
    <w:pPr>
      <w:tabs>
        <w:tab w:val="left" w:pos="1701"/>
        <w:tab w:val="right" w:leader="dot" w:pos="7711"/>
      </w:tabs>
      <w:spacing w:before="240"/>
      <w:ind w:left="1758" w:right="851" w:hanging="1758"/>
    </w:pPr>
    <w:rPr>
      <w:b w:val="0"/>
      <w:sz w:val="24"/>
    </w:rPr>
  </w:style>
  <w:style w:type="paragraph" w:styleId="TOCHeading">
    <w:name w:val="TOC Heading"/>
    <w:basedOn w:val="Normal"/>
    <w:next w:val="base-text-paragraphnonumbers"/>
    <w:qFormat/>
    <w:rsid w:val="00B654ED"/>
    <w:pPr>
      <w:pBdr>
        <w:top w:val="single" w:sz="4" w:space="1" w:color="auto"/>
        <w:bottom w:val="single" w:sz="4" w:space="1" w:color="auto"/>
      </w:pBdr>
      <w:spacing w:before="240" w:after="240" w:line="260" w:lineRule="atLeast"/>
    </w:pPr>
    <w:rPr>
      <w:rFonts w:ascii="Helvetica" w:hAnsi="Helvetica"/>
      <w:b/>
      <w:i/>
      <w:kern w:val="28"/>
      <w:sz w:val="38"/>
    </w:rPr>
  </w:style>
  <w:style w:type="paragraph" w:styleId="TOC2">
    <w:name w:val="toc 2"/>
    <w:basedOn w:val="TOC1"/>
    <w:next w:val="Normal"/>
    <w:uiPriority w:val="39"/>
    <w:rsid w:val="00460019"/>
    <w:pPr>
      <w:tabs>
        <w:tab w:val="clear" w:pos="1701"/>
      </w:tabs>
      <w:ind w:left="0" w:firstLine="0"/>
    </w:pPr>
    <w:rPr>
      <w:noProof/>
    </w:rPr>
  </w:style>
  <w:style w:type="numbering" w:styleId="111111">
    <w:name w:val="Outline List 2"/>
    <w:basedOn w:val="NoList"/>
    <w:semiHidden/>
    <w:rsid w:val="003D6FD9"/>
    <w:pPr>
      <w:numPr>
        <w:numId w:val="15"/>
      </w:numPr>
    </w:pPr>
  </w:style>
  <w:style w:type="numbering" w:styleId="1ai">
    <w:name w:val="Outline List 1"/>
    <w:basedOn w:val="NoList"/>
    <w:semiHidden/>
    <w:rsid w:val="003D6FD9"/>
    <w:pPr>
      <w:numPr>
        <w:numId w:val="16"/>
      </w:numPr>
    </w:pPr>
  </w:style>
  <w:style w:type="numbering" w:styleId="ArticleSection">
    <w:name w:val="Outline List 3"/>
    <w:basedOn w:val="NoList"/>
    <w:semiHidden/>
    <w:rsid w:val="003D6FD9"/>
    <w:pPr>
      <w:numPr>
        <w:numId w:val="17"/>
      </w:numPr>
    </w:pPr>
  </w:style>
  <w:style w:type="paragraph" w:styleId="BlockText">
    <w:name w:val="Block Text"/>
    <w:basedOn w:val="Normal"/>
    <w:semiHidden/>
    <w:rsid w:val="003D6FD9"/>
    <w:pPr>
      <w:ind w:left="1440" w:right="1440"/>
    </w:pPr>
  </w:style>
  <w:style w:type="paragraph" w:styleId="BodyText">
    <w:name w:val="Body Text"/>
    <w:basedOn w:val="Normal"/>
    <w:semiHidden/>
    <w:rsid w:val="003D6FD9"/>
  </w:style>
  <w:style w:type="paragraph" w:styleId="BodyText2">
    <w:name w:val="Body Text 2"/>
    <w:basedOn w:val="Normal"/>
    <w:semiHidden/>
    <w:rsid w:val="003D6FD9"/>
    <w:pPr>
      <w:spacing w:line="480" w:lineRule="auto"/>
    </w:pPr>
  </w:style>
  <w:style w:type="paragraph" w:styleId="BodyText3">
    <w:name w:val="Body Text 3"/>
    <w:basedOn w:val="Normal"/>
    <w:semiHidden/>
    <w:rsid w:val="003D6FD9"/>
    <w:rPr>
      <w:sz w:val="16"/>
      <w:szCs w:val="16"/>
    </w:rPr>
  </w:style>
  <w:style w:type="paragraph" w:styleId="BodyTextFirstIndent">
    <w:name w:val="Body Text First Indent"/>
    <w:basedOn w:val="BodyText"/>
    <w:semiHidden/>
    <w:rsid w:val="003D6FD9"/>
    <w:pPr>
      <w:ind w:firstLine="210"/>
    </w:pPr>
  </w:style>
  <w:style w:type="paragraph" w:styleId="BodyTextIndent">
    <w:name w:val="Body Text Indent"/>
    <w:basedOn w:val="Normal"/>
    <w:semiHidden/>
    <w:rsid w:val="003D6FD9"/>
    <w:pPr>
      <w:ind w:left="283"/>
    </w:pPr>
  </w:style>
  <w:style w:type="paragraph" w:styleId="BodyTextFirstIndent2">
    <w:name w:val="Body Text First Indent 2"/>
    <w:basedOn w:val="BodyTextIndent"/>
    <w:semiHidden/>
    <w:rsid w:val="003D6FD9"/>
    <w:pPr>
      <w:ind w:firstLine="210"/>
    </w:pPr>
  </w:style>
  <w:style w:type="paragraph" w:styleId="BodyTextIndent2">
    <w:name w:val="Body Text Indent 2"/>
    <w:basedOn w:val="Normal"/>
    <w:semiHidden/>
    <w:rsid w:val="003D6FD9"/>
    <w:pPr>
      <w:spacing w:line="480" w:lineRule="auto"/>
      <w:ind w:left="283"/>
    </w:pPr>
  </w:style>
  <w:style w:type="paragraph" w:styleId="BodyTextIndent3">
    <w:name w:val="Body Text Indent 3"/>
    <w:basedOn w:val="Normal"/>
    <w:semiHidden/>
    <w:rsid w:val="003D6FD9"/>
    <w:pPr>
      <w:ind w:left="283"/>
    </w:pPr>
    <w:rPr>
      <w:sz w:val="16"/>
      <w:szCs w:val="16"/>
    </w:rPr>
  </w:style>
  <w:style w:type="paragraph" w:styleId="Closing">
    <w:name w:val="Closing"/>
    <w:basedOn w:val="Normal"/>
    <w:semiHidden/>
    <w:rsid w:val="003D6FD9"/>
    <w:pPr>
      <w:ind w:left="4252"/>
    </w:pPr>
  </w:style>
  <w:style w:type="paragraph" w:styleId="Date">
    <w:name w:val="Date"/>
    <w:basedOn w:val="Normal"/>
    <w:next w:val="Normal"/>
    <w:semiHidden/>
    <w:rsid w:val="003D6FD9"/>
  </w:style>
  <w:style w:type="paragraph" w:styleId="E-mailSignature">
    <w:name w:val="E-mail Signature"/>
    <w:basedOn w:val="Normal"/>
    <w:semiHidden/>
    <w:rsid w:val="003D6FD9"/>
  </w:style>
  <w:style w:type="character" w:styleId="Emphasis">
    <w:name w:val="Emphasis"/>
    <w:basedOn w:val="DefaultParagraphFont"/>
    <w:qFormat/>
    <w:rsid w:val="003D6FD9"/>
    <w:rPr>
      <w:i/>
      <w:iCs/>
    </w:rPr>
  </w:style>
  <w:style w:type="paragraph" w:styleId="EnvelopeAddress">
    <w:name w:val="envelope address"/>
    <w:basedOn w:val="Normal"/>
    <w:semiHidden/>
    <w:rsid w:val="003D6FD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3D6FD9"/>
    <w:rPr>
      <w:rFonts w:ascii="Arial" w:hAnsi="Arial" w:cs="Arial"/>
      <w:sz w:val="20"/>
    </w:rPr>
  </w:style>
  <w:style w:type="paragraph" w:styleId="Footer">
    <w:name w:val="footer"/>
    <w:basedOn w:val="Normal"/>
    <w:semiHidden/>
    <w:rsid w:val="003D6FD9"/>
    <w:pPr>
      <w:tabs>
        <w:tab w:val="center" w:pos="4153"/>
        <w:tab w:val="right" w:pos="8306"/>
      </w:tabs>
    </w:pPr>
  </w:style>
  <w:style w:type="paragraph" w:styleId="Header">
    <w:name w:val="header"/>
    <w:basedOn w:val="Normal"/>
    <w:link w:val="HeaderChar"/>
    <w:semiHidden/>
    <w:rsid w:val="003D6FD9"/>
    <w:pPr>
      <w:tabs>
        <w:tab w:val="center" w:pos="4153"/>
        <w:tab w:val="right" w:pos="8306"/>
      </w:tabs>
    </w:pPr>
  </w:style>
  <w:style w:type="character" w:styleId="HTMLAcronym">
    <w:name w:val="HTML Acronym"/>
    <w:basedOn w:val="DefaultParagraphFont"/>
    <w:semiHidden/>
    <w:rsid w:val="003D6FD9"/>
  </w:style>
  <w:style w:type="paragraph" w:styleId="HTMLAddress">
    <w:name w:val="HTML Address"/>
    <w:basedOn w:val="Normal"/>
    <w:semiHidden/>
    <w:rsid w:val="003D6FD9"/>
    <w:rPr>
      <w:i/>
      <w:iCs/>
    </w:rPr>
  </w:style>
  <w:style w:type="character" w:styleId="HTMLCite">
    <w:name w:val="HTML Cite"/>
    <w:basedOn w:val="DefaultParagraphFont"/>
    <w:semiHidden/>
    <w:rsid w:val="003D6FD9"/>
    <w:rPr>
      <w:i/>
      <w:iCs/>
    </w:rPr>
  </w:style>
  <w:style w:type="character" w:styleId="HTMLCode">
    <w:name w:val="HTML Code"/>
    <w:basedOn w:val="DefaultParagraphFont"/>
    <w:semiHidden/>
    <w:rsid w:val="003D6FD9"/>
    <w:rPr>
      <w:rFonts w:ascii="Courier New" w:hAnsi="Courier New" w:cs="Courier New"/>
      <w:sz w:val="20"/>
      <w:szCs w:val="20"/>
    </w:rPr>
  </w:style>
  <w:style w:type="character" w:styleId="HTMLDefinition">
    <w:name w:val="HTML Definition"/>
    <w:basedOn w:val="DefaultParagraphFont"/>
    <w:semiHidden/>
    <w:rsid w:val="003D6FD9"/>
    <w:rPr>
      <w:i/>
      <w:iCs/>
    </w:rPr>
  </w:style>
  <w:style w:type="character" w:styleId="HTMLKeyboard">
    <w:name w:val="HTML Keyboard"/>
    <w:basedOn w:val="DefaultParagraphFont"/>
    <w:semiHidden/>
    <w:rsid w:val="003D6FD9"/>
    <w:rPr>
      <w:rFonts w:ascii="Courier New" w:hAnsi="Courier New" w:cs="Courier New"/>
      <w:sz w:val="20"/>
      <w:szCs w:val="20"/>
    </w:rPr>
  </w:style>
  <w:style w:type="paragraph" w:styleId="HTMLPreformatted">
    <w:name w:val="HTML Preformatted"/>
    <w:basedOn w:val="Normal"/>
    <w:semiHidden/>
    <w:rsid w:val="003D6FD9"/>
    <w:rPr>
      <w:rFonts w:ascii="Courier New" w:hAnsi="Courier New" w:cs="Courier New"/>
      <w:sz w:val="20"/>
    </w:rPr>
  </w:style>
  <w:style w:type="character" w:styleId="HTMLSample">
    <w:name w:val="HTML Sample"/>
    <w:basedOn w:val="DefaultParagraphFont"/>
    <w:semiHidden/>
    <w:rsid w:val="003D6FD9"/>
    <w:rPr>
      <w:rFonts w:ascii="Courier New" w:hAnsi="Courier New" w:cs="Courier New"/>
    </w:rPr>
  </w:style>
  <w:style w:type="character" w:styleId="HTMLTypewriter">
    <w:name w:val="HTML Typewriter"/>
    <w:basedOn w:val="DefaultParagraphFont"/>
    <w:semiHidden/>
    <w:rsid w:val="003D6FD9"/>
    <w:rPr>
      <w:rFonts w:ascii="Courier New" w:hAnsi="Courier New" w:cs="Courier New"/>
      <w:sz w:val="20"/>
      <w:szCs w:val="20"/>
    </w:rPr>
  </w:style>
  <w:style w:type="character" w:styleId="HTMLVariable">
    <w:name w:val="HTML Variable"/>
    <w:basedOn w:val="DefaultParagraphFont"/>
    <w:semiHidden/>
    <w:rsid w:val="003D6FD9"/>
    <w:rPr>
      <w:i/>
      <w:iCs/>
    </w:rPr>
  </w:style>
  <w:style w:type="character" w:styleId="LineNumber">
    <w:name w:val="line number"/>
    <w:basedOn w:val="DefaultParagraphFont"/>
    <w:semiHidden/>
    <w:rsid w:val="003D6FD9"/>
  </w:style>
  <w:style w:type="paragraph" w:styleId="List">
    <w:name w:val="List"/>
    <w:basedOn w:val="Normal"/>
    <w:semiHidden/>
    <w:rsid w:val="003D6FD9"/>
    <w:pPr>
      <w:ind w:left="283" w:hanging="283"/>
    </w:pPr>
  </w:style>
  <w:style w:type="paragraph" w:styleId="List2">
    <w:name w:val="List 2"/>
    <w:basedOn w:val="Normal"/>
    <w:semiHidden/>
    <w:rsid w:val="003D6FD9"/>
    <w:pPr>
      <w:ind w:left="566" w:hanging="283"/>
    </w:pPr>
  </w:style>
  <w:style w:type="paragraph" w:styleId="List3">
    <w:name w:val="List 3"/>
    <w:basedOn w:val="Normal"/>
    <w:semiHidden/>
    <w:rsid w:val="003D6FD9"/>
    <w:pPr>
      <w:ind w:left="849" w:hanging="283"/>
    </w:pPr>
  </w:style>
  <w:style w:type="paragraph" w:styleId="List4">
    <w:name w:val="List 4"/>
    <w:basedOn w:val="Normal"/>
    <w:semiHidden/>
    <w:rsid w:val="003D6FD9"/>
    <w:pPr>
      <w:ind w:left="1132" w:hanging="283"/>
    </w:pPr>
  </w:style>
  <w:style w:type="paragraph" w:styleId="List5">
    <w:name w:val="List 5"/>
    <w:basedOn w:val="Normal"/>
    <w:semiHidden/>
    <w:rsid w:val="003D6FD9"/>
    <w:pPr>
      <w:ind w:left="1415" w:hanging="283"/>
    </w:pPr>
  </w:style>
  <w:style w:type="paragraph" w:styleId="ListBullet">
    <w:name w:val="List Bullet"/>
    <w:basedOn w:val="Normal"/>
    <w:semiHidden/>
    <w:rsid w:val="003D6FD9"/>
    <w:pPr>
      <w:numPr>
        <w:numId w:val="5"/>
      </w:numPr>
    </w:pPr>
  </w:style>
  <w:style w:type="paragraph" w:styleId="ListBullet2">
    <w:name w:val="List Bullet 2"/>
    <w:basedOn w:val="Normal"/>
    <w:semiHidden/>
    <w:rsid w:val="003D6FD9"/>
    <w:pPr>
      <w:numPr>
        <w:numId w:val="6"/>
      </w:numPr>
    </w:pPr>
  </w:style>
  <w:style w:type="paragraph" w:styleId="ListBullet3">
    <w:name w:val="List Bullet 3"/>
    <w:basedOn w:val="Normal"/>
    <w:semiHidden/>
    <w:rsid w:val="003D6FD9"/>
    <w:pPr>
      <w:numPr>
        <w:numId w:val="7"/>
      </w:numPr>
    </w:pPr>
  </w:style>
  <w:style w:type="paragraph" w:styleId="ListBullet4">
    <w:name w:val="List Bullet 4"/>
    <w:basedOn w:val="Normal"/>
    <w:semiHidden/>
    <w:rsid w:val="003D6FD9"/>
    <w:pPr>
      <w:numPr>
        <w:numId w:val="8"/>
      </w:numPr>
    </w:pPr>
  </w:style>
  <w:style w:type="paragraph" w:styleId="ListBullet5">
    <w:name w:val="List Bullet 5"/>
    <w:basedOn w:val="Normal"/>
    <w:semiHidden/>
    <w:rsid w:val="003D6FD9"/>
    <w:pPr>
      <w:numPr>
        <w:numId w:val="9"/>
      </w:numPr>
    </w:pPr>
  </w:style>
  <w:style w:type="paragraph" w:styleId="ListContinue">
    <w:name w:val="List Continue"/>
    <w:basedOn w:val="Normal"/>
    <w:semiHidden/>
    <w:rsid w:val="003D6FD9"/>
    <w:pPr>
      <w:ind w:left="283"/>
    </w:pPr>
  </w:style>
  <w:style w:type="paragraph" w:styleId="ListContinue2">
    <w:name w:val="List Continue 2"/>
    <w:basedOn w:val="Normal"/>
    <w:semiHidden/>
    <w:rsid w:val="003D6FD9"/>
    <w:pPr>
      <w:ind w:left="566"/>
    </w:pPr>
  </w:style>
  <w:style w:type="paragraph" w:styleId="ListContinue3">
    <w:name w:val="List Continue 3"/>
    <w:basedOn w:val="Normal"/>
    <w:semiHidden/>
    <w:rsid w:val="003D6FD9"/>
    <w:pPr>
      <w:ind w:left="849"/>
    </w:pPr>
  </w:style>
  <w:style w:type="paragraph" w:styleId="ListContinue4">
    <w:name w:val="List Continue 4"/>
    <w:basedOn w:val="Normal"/>
    <w:semiHidden/>
    <w:rsid w:val="003D6FD9"/>
    <w:pPr>
      <w:ind w:left="1132"/>
    </w:pPr>
  </w:style>
  <w:style w:type="paragraph" w:styleId="ListContinue5">
    <w:name w:val="List Continue 5"/>
    <w:basedOn w:val="Normal"/>
    <w:semiHidden/>
    <w:rsid w:val="003D6FD9"/>
    <w:pPr>
      <w:ind w:left="1415"/>
    </w:pPr>
  </w:style>
  <w:style w:type="paragraph" w:styleId="ListNumber">
    <w:name w:val="List Number"/>
    <w:basedOn w:val="Normal"/>
    <w:semiHidden/>
    <w:rsid w:val="003D6FD9"/>
    <w:pPr>
      <w:numPr>
        <w:numId w:val="10"/>
      </w:numPr>
    </w:pPr>
  </w:style>
  <w:style w:type="paragraph" w:styleId="ListNumber2">
    <w:name w:val="List Number 2"/>
    <w:basedOn w:val="Normal"/>
    <w:semiHidden/>
    <w:rsid w:val="003D6FD9"/>
    <w:pPr>
      <w:numPr>
        <w:numId w:val="11"/>
      </w:numPr>
    </w:pPr>
  </w:style>
  <w:style w:type="paragraph" w:styleId="ListNumber3">
    <w:name w:val="List Number 3"/>
    <w:basedOn w:val="Normal"/>
    <w:semiHidden/>
    <w:rsid w:val="003D6FD9"/>
    <w:pPr>
      <w:numPr>
        <w:numId w:val="12"/>
      </w:numPr>
    </w:pPr>
  </w:style>
  <w:style w:type="paragraph" w:styleId="ListNumber4">
    <w:name w:val="List Number 4"/>
    <w:basedOn w:val="Normal"/>
    <w:semiHidden/>
    <w:rsid w:val="003D6FD9"/>
    <w:pPr>
      <w:numPr>
        <w:numId w:val="13"/>
      </w:numPr>
    </w:pPr>
  </w:style>
  <w:style w:type="paragraph" w:styleId="ListNumber5">
    <w:name w:val="List Number 5"/>
    <w:basedOn w:val="Normal"/>
    <w:semiHidden/>
    <w:rsid w:val="003D6FD9"/>
    <w:pPr>
      <w:numPr>
        <w:numId w:val="14"/>
      </w:numPr>
    </w:pPr>
  </w:style>
  <w:style w:type="paragraph" w:styleId="MessageHeader">
    <w:name w:val="Message Header"/>
    <w:basedOn w:val="Normal"/>
    <w:semiHidden/>
    <w:rsid w:val="003D6FD9"/>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paragraph" w:styleId="NormalWeb">
    <w:name w:val="Normal (Web)"/>
    <w:basedOn w:val="Normal"/>
    <w:semiHidden/>
    <w:rsid w:val="003D6FD9"/>
    <w:rPr>
      <w:sz w:val="24"/>
      <w:szCs w:val="24"/>
    </w:rPr>
  </w:style>
  <w:style w:type="paragraph" w:styleId="NormalIndent">
    <w:name w:val="Normal Indent"/>
    <w:basedOn w:val="Normal"/>
    <w:semiHidden/>
    <w:rsid w:val="003D6FD9"/>
    <w:pPr>
      <w:ind w:left="720"/>
    </w:pPr>
  </w:style>
  <w:style w:type="paragraph" w:styleId="NoteHeading">
    <w:name w:val="Note Heading"/>
    <w:basedOn w:val="Normal"/>
    <w:next w:val="Normal"/>
    <w:semiHidden/>
    <w:rsid w:val="003D6FD9"/>
  </w:style>
  <w:style w:type="character" w:styleId="PageNumber">
    <w:name w:val="page number"/>
    <w:basedOn w:val="DefaultParagraphFont"/>
    <w:semiHidden/>
    <w:rsid w:val="003D6FD9"/>
  </w:style>
  <w:style w:type="paragraph" w:styleId="PlainText">
    <w:name w:val="Plain Text"/>
    <w:basedOn w:val="Normal"/>
    <w:semiHidden/>
    <w:rsid w:val="003D6FD9"/>
    <w:rPr>
      <w:rFonts w:ascii="Courier New" w:hAnsi="Courier New" w:cs="Courier New"/>
      <w:sz w:val="20"/>
    </w:rPr>
  </w:style>
  <w:style w:type="paragraph" w:styleId="Salutation">
    <w:name w:val="Salutation"/>
    <w:basedOn w:val="Normal"/>
    <w:next w:val="Normal"/>
    <w:semiHidden/>
    <w:rsid w:val="003D6FD9"/>
  </w:style>
  <w:style w:type="paragraph" w:styleId="Signature">
    <w:name w:val="Signature"/>
    <w:basedOn w:val="Normal"/>
    <w:semiHidden/>
    <w:rsid w:val="003D6FD9"/>
    <w:pPr>
      <w:ind w:left="4252"/>
    </w:pPr>
  </w:style>
  <w:style w:type="character" w:styleId="Strong">
    <w:name w:val="Strong"/>
    <w:basedOn w:val="DefaultParagraphFont"/>
    <w:qFormat/>
    <w:rsid w:val="003D6FD9"/>
    <w:rPr>
      <w:b/>
      <w:bCs/>
    </w:rPr>
  </w:style>
  <w:style w:type="paragraph" w:styleId="Subtitle">
    <w:name w:val="Subtitle"/>
    <w:basedOn w:val="Normal"/>
    <w:qFormat/>
    <w:rsid w:val="003D6FD9"/>
    <w:pPr>
      <w:spacing w:after="60"/>
      <w:jc w:val="center"/>
      <w:outlineLvl w:val="1"/>
    </w:pPr>
    <w:rPr>
      <w:rFonts w:ascii="Arial" w:hAnsi="Arial" w:cs="Arial"/>
      <w:sz w:val="24"/>
      <w:szCs w:val="24"/>
    </w:rPr>
  </w:style>
  <w:style w:type="table" w:styleId="Table3Deffects1">
    <w:name w:val="Table 3D effects 1"/>
    <w:basedOn w:val="TableNormal"/>
    <w:semiHidden/>
    <w:rsid w:val="003D6FD9"/>
    <w:pPr>
      <w:spacing w:before="120" w:after="120"/>
      <w:ind w:left="113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D6FD9"/>
    <w:pPr>
      <w:spacing w:before="120" w:after="120"/>
      <w:ind w:left="113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D6FD9"/>
    <w:pPr>
      <w:spacing w:before="120" w:after="120"/>
      <w:ind w:left="113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D6FD9"/>
    <w:pPr>
      <w:spacing w:before="120" w:after="120"/>
      <w:ind w:left="113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D6FD9"/>
    <w:pPr>
      <w:spacing w:before="120" w:after="120"/>
      <w:ind w:left="113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D6FD9"/>
    <w:pPr>
      <w:spacing w:before="120" w:after="120"/>
      <w:ind w:left="113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D6FD9"/>
    <w:pPr>
      <w:spacing w:before="120" w:after="120"/>
      <w:ind w:left="113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D6FD9"/>
    <w:pPr>
      <w:spacing w:before="120" w:after="120"/>
      <w:ind w:left="113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D6FD9"/>
    <w:pPr>
      <w:spacing w:before="120" w:after="120"/>
      <w:ind w:left="113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D6FD9"/>
    <w:pPr>
      <w:spacing w:before="120" w:after="120"/>
      <w:ind w:left="113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D6FD9"/>
    <w:pPr>
      <w:spacing w:before="120" w:after="120"/>
      <w:ind w:left="113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D6FD9"/>
    <w:pPr>
      <w:spacing w:before="120" w:after="120"/>
      <w:ind w:left="113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D6FD9"/>
    <w:pPr>
      <w:spacing w:before="120" w:after="120"/>
      <w:ind w:left="113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D6FD9"/>
    <w:pPr>
      <w:spacing w:before="120" w:after="120"/>
      <w:ind w:left="113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D6FD9"/>
    <w:pPr>
      <w:spacing w:before="120" w:after="120"/>
      <w:ind w:left="113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D6FD9"/>
    <w:pPr>
      <w:spacing w:before="120" w:after="120"/>
      <w:ind w:left="1134"/>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D6FD9"/>
    <w:pPr>
      <w:spacing w:before="120" w:after="120"/>
      <w:ind w:left="113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D6FD9"/>
    <w:pPr>
      <w:spacing w:before="120" w:after="120"/>
      <w:ind w:left="113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D6FD9"/>
    <w:pPr>
      <w:spacing w:before="120" w:after="120"/>
      <w:ind w:left="113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D6FD9"/>
    <w:pPr>
      <w:spacing w:before="120" w:after="120"/>
      <w:ind w:left="113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D6FD9"/>
    <w:pPr>
      <w:spacing w:before="120" w:after="120"/>
      <w:ind w:left="113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D6FD9"/>
    <w:pPr>
      <w:spacing w:before="120" w:after="120"/>
      <w:ind w:left="113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D6FD9"/>
    <w:pPr>
      <w:spacing w:before="120" w:after="120"/>
      <w:ind w:left="113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D6FD9"/>
    <w:pPr>
      <w:spacing w:before="120" w:after="120"/>
      <w:ind w:left="113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D6FD9"/>
    <w:pPr>
      <w:spacing w:before="120" w:after="120"/>
      <w:ind w:left="113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D6FD9"/>
    <w:pPr>
      <w:spacing w:before="120" w:after="120"/>
      <w:ind w:left="113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D6FD9"/>
    <w:pPr>
      <w:spacing w:before="120" w:after="120"/>
      <w:ind w:left="113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D6FD9"/>
    <w:pPr>
      <w:spacing w:before="120" w:after="120"/>
      <w:ind w:left="113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D6FD9"/>
    <w:pPr>
      <w:spacing w:before="120" w:after="120"/>
      <w:ind w:left="113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D6FD9"/>
    <w:pPr>
      <w:spacing w:before="120" w:after="120"/>
      <w:ind w:left="113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D6FD9"/>
    <w:pPr>
      <w:spacing w:before="120" w:after="120"/>
      <w:ind w:left="113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3D6FD9"/>
    <w:pPr>
      <w:spacing w:before="240" w:after="60"/>
      <w:jc w:val="center"/>
      <w:outlineLvl w:val="0"/>
    </w:pPr>
    <w:rPr>
      <w:rFonts w:ascii="Arial" w:hAnsi="Arial" w:cs="Arial"/>
      <w:b/>
      <w:bCs/>
      <w:kern w:val="28"/>
      <w:sz w:val="32"/>
      <w:szCs w:val="32"/>
    </w:rPr>
  </w:style>
  <w:style w:type="character" w:customStyle="1" w:styleId="Bold">
    <w:name w:val="Bold"/>
    <w:basedOn w:val="DefaultParagraphFont"/>
    <w:rsid w:val="003D6FD9"/>
    <w:rPr>
      <w:b/>
    </w:rPr>
  </w:style>
  <w:style w:type="character" w:customStyle="1" w:styleId="Italic">
    <w:name w:val="Italic"/>
    <w:basedOn w:val="DefaultParagraphFont"/>
    <w:rsid w:val="003D6FD9"/>
    <w:rPr>
      <w:i/>
    </w:rPr>
  </w:style>
  <w:style w:type="character" w:customStyle="1" w:styleId="BoldItalic">
    <w:name w:val="BoldItalic"/>
    <w:basedOn w:val="DefaultParagraphFont"/>
    <w:rsid w:val="003D6FD9"/>
    <w:rPr>
      <w:b/>
      <w:i/>
    </w:rPr>
  </w:style>
  <w:style w:type="paragraph" w:customStyle="1" w:styleId="Glossarytabletext">
    <w:name w:val="Glossary table text"/>
    <w:basedOn w:val="Normal"/>
    <w:rsid w:val="00123D96"/>
    <w:pPr>
      <w:spacing w:before="60" w:after="60"/>
    </w:pPr>
    <w:rPr>
      <w:sz w:val="20"/>
    </w:rPr>
  </w:style>
  <w:style w:type="character" w:customStyle="1" w:styleId="base-text-paragraphChar">
    <w:name w:val="base-text-paragraph Char"/>
    <w:basedOn w:val="DefaultParagraphFont"/>
    <w:link w:val="base-text-paragraph"/>
    <w:rsid w:val="00D85BEA"/>
    <w:rPr>
      <w:sz w:val="22"/>
    </w:rPr>
  </w:style>
  <w:style w:type="paragraph" w:styleId="FootnoteText">
    <w:name w:val="footnote text"/>
    <w:basedOn w:val="Normal"/>
    <w:rsid w:val="00034BE8"/>
    <w:pPr>
      <w:tabs>
        <w:tab w:val="left" w:pos="284"/>
      </w:tabs>
      <w:spacing w:before="0" w:after="0"/>
      <w:ind w:left="284" w:hanging="284"/>
    </w:pPr>
    <w:rPr>
      <w:sz w:val="20"/>
    </w:rPr>
  </w:style>
  <w:style w:type="numbering" w:customStyle="1" w:styleId="ChapterList">
    <w:name w:val="ChapterList"/>
    <w:uiPriority w:val="99"/>
    <w:rsid w:val="007966EF"/>
    <w:pPr>
      <w:numPr>
        <w:numId w:val="19"/>
      </w:numPr>
    </w:pPr>
  </w:style>
  <w:style w:type="paragraph" w:styleId="ListParagraph">
    <w:name w:val="List Paragraph"/>
    <w:basedOn w:val="Normal"/>
    <w:uiPriority w:val="34"/>
    <w:qFormat/>
    <w:rsid w:val="00D963F2"/>
    <w:pPr>
      <w:ind w:left="720"/>
      <w:contextualSpacing/>
    </w:pPr>
  </w:style>
  <w:style w:type="numbering" w:customStyle="1" w:styleId="DotPointList">
    <w:name w:val="Dot Point List"/>
    <w:uiPriority w:val="99"/>
    <w:rsid w:val="008C51F4"/>
    <w:pPr>
      <w:numPr>
        <w:numId w:val="20"/>
      </w:numPr>
    </w:pPr>
  </w:style>
  <w:style w:type="numbering" w:customStyle="1" w:styleId="ExampleDotPointList">
    <w:name w:val="Example Dot Point List"/>
    <w:uiPriority w:val="99"/>
    <w:rsid w:val="008C51F4"/>
    <w:pPr>
      <w:numPr>
        <w:numId w:val="21"/>
      </w:numPr>
    </w:pPr>
  </w:style>
  <w:style w:type="numbering" w:customStyle="1" w:styleId="TableDotPointList">
    <w:name w:val="Table Dot Point List"/>
    <w:uiPriority w:val="99"/>
    <w:rsid w:val="00A37F77"/>
    <w:pPr>
      <w:numPr>
        <w:numId w:val="22"/>
      </w:numPr>
    </w:pPr>
  </w:style>
  <w:style w:type="character" w:customStyle="1" w:styleId="Font30point">
    <w:name w:val="Font 30 point"/>
    <w:basedOn w:val="DefaultParagraphFont"/>
    <w:rsid w:val="003E0794"/>
    <w:rPr>
      <w:sz w:val="60"/>
    </w:rPr>
  </w:style>
  <w:style w:type="character" w:customStyle="1" w:styleId="Font15point">
    <w:name w:val="Font 15 point"/>
    <w:basedOn w:val="DefaultParagraphFont"/>
    <w:rsid w:val="00D67ADC"/>
    <w:rPr>
      <w:sz w:val="30"/>
    </w:rPr>
  </w:style>
  <w:style w:type="character" w:customStyle="1" w:styleId="Font19point">
    <w:name w:val="Font 19 point"/>
    <w:basedOn w:val="DefaultParagraphFont"/>
    <w:rsid w:val="00D67ADC"/>
    <w:rPr>
      <w:sz w:val="38"/>
    </w:rPr>
  </w:style>
  <w:style w:type="character" w:styleId="Hyperlink">
    <w:name w:val="Hyperlink"/>
    <w:basedOn w:val="DefaultParagraphFont"/>
    <w:rsid w:val="005255EA"/>
    <w:rPr>
      <w:color w:val="0000FF" w:themeColor="hyperlink"/>
      <w:u w:val="single"/>
    </w:rPr>
  </w:style>
  <w:style w:type="character" w:styleId="FollowedHyperlink">
    <w:name w:val="FollowedHyperlink"/>
    <w:basedOn w:val="DefaultParagraphFont"/>
    <w:rsid w:val="00F053A1"/>
    <w:rPr>
      <w:color w:val="800080" w:themeColor="followedHyperlink"/>
      <w:u w:val="single"/>
    </w:rPr>
  </w:style>
  <w:style w:type="character" w:customStyle="1" w:styleId="HeaderChar">
    <w:name w:val="Header Char"/>
    <w:basedOn w:val="DefaultParagraphFont"/>
    <w:link w:val="Header"/>
    <w:semiHidden/>
    <w:rsid w:val="00450635"/>
    <w:rPr>
      <w:sz w:val="22"/>
    </w:rPr>
  </w:style>
  <w:style w:type="character" w:styleId="CommentReference">
    <w:name w:val="annotation reference"/>
    <w:basedOn w:val="DefaultParagraphFont"/>
    <w:rsid w:val="00697AD0"/>
    <w:rPr>
      <w:sz w:val="16"/>
      <w:szCs w:val="16"/>
    </w:rPr>
  </w:style>
  <w:style w:type="paragraph" w:styleId="CommentText">
    <w:name w:val="annotation text"/>
    <w:basedOn w:val="Normal"/>
    <w:link w:val="CommentTextChar"/>
    <w:rsid w:val="00697AD0"/>
    <w:rPr>
      <w:sz w:val="20"/>
    </w:rPr>
  </w:style>
  <w:style w:type="character" w:customStyle="1" w:styleId="CommentTextChar">
    <w:name w:val="Comment Text Char"/>
    <w:basedOn w:val="DefaultParagraphFont"/>
    <w:link w:val="CommentText"/>
    <w:rsid w:val="00697AD0"/>
  </w:style>
  <w:style w:type="paragraph" w:styleId="CommentSubject">
    <w:name w:val="annotation subject"/>
    <w:basedOn w:val="CommentText"/>
    <w:next w:val="CommentText"/>
    <w:link w:val="CommentSubjectChar"/>
    <w:rsid w:val="00697AD0"/>
    <w:rPr>
      <w:b/>
      <w:bCs/>
    </w:rPr>
  </w:style>
  <w:style w:type="character" w:customStyle="1" w:styleId="CommentSubjectChar">
    <w:name w:val="Comment Subject Char"/>
    <w:basedOn w:val="CommentTextChar"/>
    <w:link w:val="CommentSubject"/>
    <w:rsid w:val="00697AD0"/>
    <w:rPr>
      <w:b/>
      <w:bCs/>
    </w:rPr>
  </w:style>
  <w:style w:type="paragraph" w:styleId="BalloonText">
    <w:name w:val="Balloon Text"/>
    <w:basedOn w:val="Normal"/>
    <w:link w:val="BalloonTextChar"/>
    <w:rsid w:val="00697AD0"/>
    <w:pPr>
      <w:spacing w:before="0" w:after="0"/>
    </w:pPr>
    <w:rPr>
      <w:rFonts w:ascii="Tahoma" w:hAnsi="Tahoma" w:cs="Tahoma"/>
      <w:sz w:val="16"/>
      <w:szCs w:val="16"/>
    </w:rPr>
  </w:style>
  <w:style w:type="character" w:customStyle="1" w:styleId="BalloonTextChar">
    <w:name w:val="Balloon Text Char"/>
    <w:basedOn w:val="DefaultParagraphFont"/>
    <w:link w:val="BalloonText"/>
    <w:rsid w:val="00697AD0"/>
    <w:rPr>
      <w:rFonts w:ascii="Tahoma" w:hAnsi="Tahoma" w:cs="Tahoma"/>
      <w:sz w:val="16"/>
      <w:szCs w:val="16"/>
    </w:rPr>
  </w:style>
  <w:style w:type="paragraph" w:customStyle="1" w:styleId="Bullet">
    <w:name w:val="Bullet"/>
    <w:basedOn w:val="Normal"/>
    <w:link w:val="BulletChar"/>
    <w:rsid w:val="004E02B7"/>
    <w:pPr>
      <w:numPr>
        <w:numId w:val="36"/>
      </w:numPr>
    </w:pPr>
  </w:style>
  <w:style w:type="character" w:customStyle="1" w:styleId="BulletChar">
    <w:name w:val="Bullet Char"/>
    <w:basedOn w:val="base-text-paragraphChar"/>
    <w:link w:val="Bullet"/>
    <w:rsid w:val="004E02B7"/>
    <w:rPr>
      <w:sz w:val="22"/>
    </w:rPr>
  </w:style>
  <w:style w:type="paragraph" w:customStyle="1" w:styleId="Dash">
    <w:name w:val="Dash"/>
    <w:basedOn w:val="Normal"/>
    <w:link w:val="DashChar"/>
    <w:rsid w:val="004E02B7"/>
    <w:pPr>
      <w:numPr>
        <w:ilvl w:val="1"/>
        <w:numId w:val="36"/>
      </w:numPr>
    </w:pPr>
  </w:style>
  <w:style w:type="character" w:customStyle="1" w:styleId="DashChar">
    <w:name w:val="Dash Char"/>
    <w:basedOn w:val="base-text-paragraphChar"/>
    <w:link w:val="Dash"/>
    <w:rsid w:val="004E02B7"/>
    <w:rPr>
      <w:sz w:val="22"/>
    </w:rPr>
  </w:style>
  <w:style w:type="paragraph" w:customStyle="1" w:styleId="DoubleDot">
    <w:name w:val="Double Dot"/>
    <w:basedOn w:val="Normal"/>
    <w:link w:val="DoubleDotChar"/>
    <w:rsid w:val="004E02B7"/>
    <w:pPr>
      <w:numPr>
        <w:ilvl w:val="2"/>
        <w:numId w:val="36"/>
      </w:numPr>
    </w:pPr>
  </w:style>
  <w:style w:type="character" w:customStyle="1" w:styleId="DoubleDotChar">
    <w:name w:val="Double Dot Char"/>
    <w:basedOn w:val="base-text-paragraphChar"/>
    <w:link w:val="DoubleDot"/>
    <w:rsid w:val="004E02B7"/>
    <w:rPr>
      <w:sz w:val="22"/>
    </w:rPr>
  </w:style>
  <w:style w:type="paragraph" w:styleId="Revision">
    <w:name w:val="Revision"/>
    <w:hidden/>
    <w:uiPriority w:val="99"/>
    <w:semiHidden/>
    <w:rsid w:val="00022AA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823168">
      <w:bodyDiv w:val="1"/>
      <w:marLeft w:val="0"/>
      <w:marRight w:val="0"/>
      <w:marTop w:val="0"/>
      <w:marBottom w:val="0"/>
      <w:divBdr>
        <w:top w:val="none" w:sz="0" w:space="0" w:color="auto"/>
        <w:left w:val="none" w:sz="0" w:space="0" w:color="auto"/>
        <w:bottom w:val="none" w:sz="0" w:space="0" w:color="auto"/>
        <w:right w:val="none" w:sz="0" w:space="0" w:color="auto"/>
      </w:divBdr>
    </w:div>
    <w:div w:id="950279844">
      <w:bodyDiv w:val="1"/>
      <w:marLeft w:val="0"/>
      <w:marRight w:val="0"/>
      <w:marTop w:val="0"/>
      <w:marBottom w:val="0"/>
      <w:divBdr>
        <w:top w:val="none" w:sz="0" w:space="0" w:color="auto"/>
        <w:left w:val="none" w:sz="0" w:space="0" w:color="auto"/>
        <w:bottom w:val="none" w:sz="0" w:space="0" w:color="auto"/>
        <w:right w:val="none" w:sz="0" w:space="0" w:color="auto"/>
      </w:divBdr>
    </w:div>
    <w:div w:id="1073312324">
      <w:bodyDiv w:val="1"/>
      <w:marLeft w:val="0"/>
      <w:marRight w:val="0"/>
      <w:marTop w:val="0"/>
      <w:marBottom w:val="0"/>
      <w:divBdr>
        <w:top w:val="none" w:sz="0" w:space="0" w:color="auto"/>
        <w:left w:val="none" w:sz="0" w:space="0" w:color="auto"/>
        <w:bottom w:val="none" w:sz="0" w:space="0" w:color="auto"/>
        <w:right w:val="none" w:sz="0" w:space="0" w:color="auto"/>
      </w:divBdr>
    </w:div>
    <w:div w:id="1326395987">
      <w:bodyDiv w:val="1"/>
      <w:marLeft w:val="0"/>
      <w:marRight w:val="0"/>
      <w:marTop w:val="0"/>
      <w:marBottom w:val="0"/>
      <w:divBdr>
        <w:top w:val="none" w:sz="0" w:space="0" w:color="auto"/>
        <w:left w:val="none" w:sz="0" w:space="0" w:color="auto"/>
        <w:bottom w:val="none" w:sz="0" w:space="0" w:color="auto"/>
        <w:right w:val="none" w:sz="0" w:space="0" w:color="auto"/>
      </w:divBdr>
    </w:div>
    <w:div w:id="2141994127">
      <w:bodyDiv w:val="1"/>
      <w:marLeft w:val="30"/>
      <w:marRight w:val="30"/>
      <w:marTop w:val="0"/>
      <w:marBottom w:val="0"/>
      <w:divBdr>
        <w:top w:val="none" w:sz="0" w:space="0" w:color="auto"/>
        <w:left w:val="none" w:sz="0" w:space="0" w:color="auto"/>
        <w:bottom w:val="none" w:sz="0" w:space="0" w:color="auto"/>
        <w:right w:val="none" w:sz="0" w:space="0" w:color="auto"/>
      </w:divBdr>
      <w:divsChild>
        <w:div w:id="812866263">
          <w:marLeft w:val="0"/>
          <w:marRight w:val="0"/>
          <w:marTop w:val="0"/>
          <w:marBottom w:val="0"/>
          <w:divBdr>
            <w:top w:val="none" w:sz="0" w:space="0" w:color="auto"/>
            <w:left w:val="none" w:sz="0" w:space="0" w:color="auto"/>
            <w:bottom w:val="none" w:sz="0" w:space="0" w:color="auto"/>
            <w:right w:val="none" w:sz="0" w:space="0" w:color="auto"/>
          </w:divBdr>
          <w:divsChild>
            <w:div w:id="851382291">
              <w:marLeft w:val="0"/>
              <w:marRight w:val="0"/>
              <w:marTop w:val="0"/>
              <w:marBottom w:val="0"/>
              <w:divBdr>
                <w:top w:val="none" w:sz="0" w:space="0" w:color="auto"/>
                <w:left w:val="none" w:sz="0" w:space="0" w:color="auto"/>
                <w:bottom w:val="none" w:sz="0" w:space="0" w:color="auto"/>
                <w:right w:val="none" w:sz="0" w:space="0" w:color="auto"/>
              </w:divBdr>
              <w:divsChild>
                <w:div w:id="1464227687">
                  <w:marLeft w:val="180"/>
                  <w:marRight w:val="0"/>
                  <w:marTop w:val="0"/>
                  <w:marBottom w:val="0"/>
                  <w:divBdr>
                    <w:top w:val="none" w:sz="0" w:space="0" w:color="auto"/>
                    <w:left w:val="none" w:sz="0" w:space="0" w:color="auto"/>
                    <w:bottom w:val="none" w:sz="0" w:space="0" w:color="auto"/>
                    <w:right w:val="none" w:sz="0" w:space="0" w:color="auto"/>
                  </w:divBdr>
                  <w:divsChild>
                    <w:div w:id="185769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doNotRelyOnCS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eader" Target="header8.xml"/><Relationship Id="rId39" Type="http://schemas.openxmlformats.org/officeDocument/2006/relationships/footer" Target="footer14.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footer" Target="footer11.xml"/><Relationship Id="rId42" Type="http://schemas.openxmlformats.org/officeDocument/2006/relationships/footer" Target="footer15.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eader" Target="header7.xml"/><Relationship Id="rId33" Type="http://schemas.openxmlformats.org/officeDocument/2006/relationships/footer" Target="footer10.xml"/><Relationship Id="rId38" Type="http://schemas.openxmlformats.org/officeDocument/2006/relationships/footer" Target="footer13.xm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29" Type="http://schemas.openxmlformats.org/officeDocument/2006/relationships/footer" Target="footer8.xml"/><Relationship Id="rId41"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footer" Target="footer12.xml"/><Relationship Id="rId40" Type="http://schemas.openxmlformats.org/officeDocument/2006/relationships/header" Target="header13.xm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oter" Target="footer7.xml"/><Relationship Id="rId36" Type="http://schemas.openxmlformats.org/officeDocument/2006/relationships/header" Target="header12.xml"/><Relationship Id="rId10" Type="http://schemas.openxmlformats.org/officeDocument/2006/relationships/settings" Target="settings.xml"/><Relationship Id="rId19" Type="http://schemas.openxmlformats.org/officeDocument/2006/relationships/header" Target="header4.xml"/><Relationship Id="rId31" Type="http://schemas.openxmlformats.org/officeDocument/2006/relationships/header" Target="header10.xml"/><Relationship Id="rId44" Type="http://schemas.openxmlformats.org/officeDocument/2006/relationships/footer" Target="footer17.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header" Target="header9.xml"/><Relationship Id="rId35" Type="http://schemas.openxmlformats.org/officeDocument/2006/relationships/header" Target="header11.xml"/><Relationship Id="rId43" Type="http://schemas.openxmlformats.org/officeDocument/2006/relationships/footer" Target="footer1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935D0CF8835BE447895972B43AB8EC93" ma:contentTypeVersion="1324" ma:contentTypeDescription=" " ma:contentTypeScope="" ma:versionID="0aa6e1746b0a4081d2fc2aa5392d74fe">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bf460448e7d47a31ac5105f029c3594c"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TaxCatchAll xmlns="d4dd4adf-ddb3-46a3-8d7c-fab3fb2a6bc7">
      <Value>7</Value>
    </TaxCatchAll>
    <_dlc_DocId xmlns="d4dd4adf-ddb3-46a3-8d7c-fab3fb2a6bc7">2017MG-90-17541</_dlc_DocId>
    <_dlc_DocIdUrl xmlns="d4dd4adf-ddb3-46a3-8d7c-fab3fb2a6bc7">
      <Url>http://tweb/sites/mg/fsd/_layouts/15/DocIdRedir.aspx?ID=2017MG-90-17541</Url>
      <Description>2017MG-90-17541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1757814118" UniqueId="a9d72903-fc04-4f75-b3ff-49d8bb0ce94d">
      <p:Name>Auditing</p:Name>
      <p:Description>Audits user actions on documents and list items to the Audit Log.</p:Description>
      <p:CustomData>
        <Audit>
          <Update/>
          <View/>
          <CheckInOut/>
          <MoveCopy/>
          <DeleteRestore/>
        </Audit>
      </p:CustomData>
    </p:PolicyItem>
  </p:PolicyItems>
</p:Policy>
</file>

<file path=customXml/item5.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6AA1E-5C5E-4734-97B9-5009305CD9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04D544-B6FA-4DEB-B305-A07C697D147C}">
  <ds:schemaRefs>
    <ds:schemaRef ds:uri="http://schemas.microsoft.com/sharepoint/v4"/>
    <ds:schemaRef ds:uri="http://purl.org/dc/elements/1.1/"/>
    <ds:schemaRef ds:uri="http://purl.org/dc/dcmitype/"/>
    <ds:schemaRef ds:uri="d4dd4adf-ddb3-46a3-8d7c-fab3fb2a6bc7"/>
    <ds:schemaRef ds:uri="http://purl.org/dc/terms/"/>
    <ds:schemaRef ds:uri="http://www.w3.org/XML/1998/namespace"/>
    <ds:schemaRef ds:uri="http://schemas.microsoft.com/sharepoint/v3"/>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F5CCDF2F-0AB1-4343-A987-AF40C09222ED}">
  <ds:schemaRefs>
    <ds:schemaRef ds:uri="http://schemas.microsoft.com/sharepoint/v3/contenttype/forms"/>
  </ds:schemaRefs>
</ds:datastoreItem>
</file>

<file path=customXml/itemProps4.xml><?xml version="1.0" encoding="utf-8"?>
<ds:datastoreItem xmlns:ds="http://schemas.openxmlformats.org/officeDocument/2006/customXml" ds:itemID="{83DB616D-8492-45F0-8B1D-969805FBD460}">
  <ds:schemaRefs>
    <ds:schemaRef ds:uri="office.server.policy"/>
  </ds:schemaRefs>
</ds:datastoreItem>
</file>

<file path=customXml/itemProps5.xml><?xml version="1.0" encoding="utf-8"?>
<ds:datastoreItem xmlns:ds="http://schemas.openxmlformats.org/officeDocument/2006/customXml" ds:itemID="{49091698-1E26-4B97-99F6-4B34FB71FB60}">
  <ds:schemaRefs>
    <ds:schemaRef ds:uri="http://schemas.microsoft.com/sharepoint/events"/>
  </ds:schemaRefs>
</ds:datastoreItem>
</file>

<file path=customXml/itemProps6.xml><?xml version="1.0" encoding="utf-8"?>
<ds:datastoreItem xmlns:ds="http://schemas.openxmlformats.org/officeDocument/2006/customXml" ds:itemID="{6AF51EE2-9578-4D93-B407-425370BF3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Pri-EM.dotm</Template>
  <TotalTime>2</TotalTime>
  <Pages>29</Pages>
  <Words>8038</Words>
  <Characters>40690</Characters>
  <Application>Microsoft Office Word</Application>
  <DocSecurity>0</DocSecurity>
  <Lines>833</Lines>
  <Paragraphs>227</Paragraphs>
  <ScaleCrop>false</ScaleCrop>
  <HeadingPairs>
    <vt:vector size="2" baseType="variant">
      <vt:variant>
        <vt:lpstr>Title</vt:lpstr>
      </vt:variant>
      <vt:variant>
        <vt:i4>1</vt:i4>
      </vt:variant>
    </vt:vector>
  </HeadingPairs>
  <TitlesOfParts>
    <vt:vector size="1" baseType="lpstr">
      <vt:lpstr>Explanatory Memorandum - National Innovation and Science Agenda - Improving corporate insolvency law</vt:lpstr>
    </vt:vector>
  </TitlesOfParts>
  <Company>The Treasury</Company>
  <LinksUpToDate>false</LinksUpToDate>
  <CharactersWithSpaces>48676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 - National Innovation and Science Agenda - Improving corporate insolvency law</dc:title>
  <dc:creator>The Treasury</dc:creator>
  <cp:lastModifiedBy>Hill, Christine</cp:lastModifiedBy>
  <cp:revision>3</cp:revision>
  <cp:lastPrinted>2017-03-24T02:38:00Z</cp:lastPrinted>
  <dcterms:created xsi:type="dcterms:W3CDTF">2017-03-26T23:46:00Z</dcterms:created>
  <dcterms:modified xsi:type="dcterms:W3CDTF">2017-03-27T03:23:00Z</dcterms:modified>
</cp:coreProperties>
</file>