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63" w:rsidRPr="00D819A5" w:rsidRDefault="00D819A5">
      <w:pPr>
        <w:rPr>
          <w:sz w:val="28"/>
          <w:szCs w:val="28"/>
        </w:rPr>
      </w:pPr>
      <w:r w:rsidRPr="00D819A5">
        <w:rPr>
          <w:sz w:val="28"/>
          <w:szCs w:val="28"/>
        </w:rPr>
        <w:t>Deloitte Submissions</w:t>
      </w:r>
    </w:p>
    <w:p w:rsidR="00D819A5" w:rsidRPr="00D819A5" w:rsidRDefault="00D819A5">
      <w:pPr>
        <w:rPr>
          <w:sz w:val="28"/>
          <w:szCs w:val="28"/>
        </w:rPr>
      </w:pPr>
      <w:r w:rsidRPr="00D819A5">
        <w:rPr>
          <w:sz w:val="28"/>
          <w:szCs w:val="28"/>
        </w:rPr>
        <w:t>Safe Harbour</w:t>
      </w:r>
    </w:p>
    <w:p w:rsidR="00D819A5" w:rsidRDefault="00D819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819A5" w:rsidTr="00D819A5">
        <w:tc>
          <w:tcPr>
            <w:tcW w:w="4508" w:type="dxa"/>
          </w:tcPr>
          <w:p w:rsidR="00D819A5" w:rsidRPr="00D819A5" w:rsidRDefault="00D819A5">
            <w:pPr>
              <w:rPr>
                <w:b/>
              </w:rPr>
            </w:pPr>
            <w:r w:rsidRPr="00D819A5">
              <w:rPr>
                <w:b/>
              </w:rPr>
              <w:t>Issue:</w:t>
            </w:r>
          </w:p>
          <w:p w:rsidR="00D819A5" w:rsidRPr="003C248D" w:rsidRDefault="00D819A5">
            <w:pPr>
              <w:rPr>
                <w:b/>
              </w:rPr>
            </w:pPr>
            <w:r w:rsidRPr="003C248D">
              <w:rPr>
                <w:b/>
              </w:rPr>
              <w:t>General comments</w:t>
            </w:r>
          </w:p>
        </w:tc>
        <w:tc>
          <w:tcPr>
            <w:tcW w:w="4508" w:type="dxa"/>
          </w:tcPr>
          <w:p w:rsidR="00D819A5" w:rsidRPr="00E35F7A" w:rsidRDefault="00D819A5">
            <w:pPr>
              <w:rPr>
                <w:b/>
              </w:rPr>
            </w:pPr>
            <w:r w:rsidRPr="00E35F7A">
              <w:rPr>
                <w:b/>
              </w:rPr>
              <w:t>Comment</w:t>
            </w:r>
          </w:p>
        </w:tc>
      </w:tr>
      <w:tr w:rsidR="00D819A5" w:rsidTr="00D819A5">
        <w:tc>
          <w:tcPr>
            <w:tcW w:w="4508" w:type="dxa"/>
          </w:tcPr>
          <w:p w:rsidR="00D819A5" w:rsidRDefault="00D819A5"/>
        </w:tc>
        <w:tc>
          <w:tcPr>
            <w:tcW w:w="4508" w:type="dxa"/>
          </w:tcPr>
          <w:p w:rsidR="00D819A5" w:rsidRDefault="00D819A5"/>
        </w:tc>
      </w:tr>
      <w:tr w:rsidR="00D819A5" w:rsidTr="00D819A5">
        <w:tc>
          <w:tcPr>
            <w:tcW w:w="4508" w:type="dxa"/>
          </w:tcPr>
          <w:p w:rsidR="00D819A5" w:rsidRDefault="00D819A5" w:rsidP="00D819A5">
            <w:pPr>
              <w:pStyle w:val="ListParagraph"/>
              <w:numPr>
                <w:ilvl w:val="0"/>
                <w:numId w:val="1"/>
              </w:numPr>
              <w:spacing w:after="0"/>
              <w:ind w:left="0"/>
              <w:rPr>
                <w:sz w:val="24"/>
                <w:szCs w:val="24"/>
              </w:rPr>
            </w:pPr>
            <w:r>
              <w:rPr>
                <w:sz w:val="24"/>
                <w:szCs w:val="24"/>
              </w:rPr>
              <w:t xml:space="preserve">i. </w:t>
            </w:r>
            <w:r w:rsidRPr="00095690">
              <w:rPr>
                <w:sz w:val="24"/>
                <w:szCs w:val="24"/>
              </w:rPr>
              <w:t xml:space="preserve">It is noted that the draft legislation provides for a </w:t>
            </w:r>
            <w:r>
              <w:rPr>
                <w:sz w:val="24"/>
                <w:szCs w:val="24"/>
              </w:rPr>
              <w:t>defence to insolvent trading rather than a “carve out” against liability. Also the protection against debts incurred only extends to debts incurred in connection with the “course of action”.</w:t>
            </w:r>
          </w:p>
          <w:p w:rsidR="00D819A5" w:rsidRDefault="00D819A5"/>
        </w:tc>
        <w:tc>
          <w:tcPr>
            <w:tcW w:w="4508" w:type="dxa"/>
          </w:tcPr>
          <w:p w:rsidR="00D819A5" w:rsidRPr="00F171C8" w:rsidRDefault="00D819A5" w:rsidP="00D819A5">
            <w:pPr>
              <w:tabs>
                <w:tab w:val="left" w:pos="1560"/>
              </w:tabs>
              <w:rPr>
                <w:sz w:val="24"/>
                <w:szCs w:val="24"/>
                <w:u w:val="single"/>
              </w:rPr>
            </w:pPr>
            <w:r>
              <w:rPr>
                <w:sz w:val="24"/>
                <w:szCs w:val="24"/>
              </w:rPr>
              <w:t>In our view consideration should be given to a “carve out” rather than a defence to give directors the confidence they need to continue to trade whilst the company’s affairs are restructured. Also Directors may consider the examination of the “course of action” at a later date, where it might be determined was not likely to lead to better outcome could expose them to a liability for insolvent trading.</w:t>
            </w:r>
          </w:p>
          <w:p w:rsidR="00D819A5" w:rsidRDefault="00D819A5"/>
        </w:tc>
      </w:tr>
      <w:tr w:rsidR="00D819A5" w:rsidTr="00D819A5">
        <w:tc>
          <w:tcPr>
            <w:tcW w:w="4508" w:type="dxa"/>
          </w:tcPr>
          <w:p w:rsidR="00D819A5" w:rsidRDefault="00D819A5"/>
        </w:tc>
        <w:tc>
          <w:tcPr>
            <w:tcW w:w="4508" w:type="dxa"/>
          </w:tcPr>
          <w:p w:rsidR="00D819A5" w:rsidRDefault="00D819A5"/>
        </w:tc>
      </w:tr>
      <w:tr w:rsidR="00D819A5" w:rsidTr="00D819A5">
        <w:tc>
          <w:tcPr>
            <w:tcW w:w="4508" w:type="dxa"/>
          </w:tcPr>
          <w:p w:rsidR="00D819A5" w:rsidRPr="00B62436" w:rsidRDefault="00D819A5" w:rsidP="00D819A5">
            <w:pPr>
              <w:pStyle w:val="ListParagraph"/>
              <w:numPr>
                <w:ilvl w:val="0"/>
                <w:numId w:val="1"/>
              </w:numPr>
              <w:spacing w:after="0"/>
              <w:ind w:left="0"/>
              <w:rPr>
                <w:sz w:val="24"/>
                <w:szCs w:val="24"/>
              </w:rPr>
            </w:pPr>
            <w:r>
              <w:rPr>
                <w:sz w:val="24"/>
                <w:szCs w:val="24"/>
              </w:rPr>
              <w:t xml:space="preserve">ii. </w:t>
            </w:r>
            <w:r w:rsidRPr="00B62436">
              <w:rPr>
                <w:sz w:val="24"/>
                <w:szCs w:val="24"/>
              </w:rPr>
              <w:t>The protection starts for debts incurred when the director commences the “course of action” and ceases when the course of action ends.</w:t>
            </w:r>
          </w:p>
          <w:p w:rsidR="00D819A5" w:rsidRDefault="00D819A5" w:rsidP="00D819A5"/>
        </w:tc>
        <w:tc>
          <w:tcPr>
            <w:tcW w:w="4508" w:type="dxa"/>
          </w:tcPr>
          <w:p w:rsidR="00D819A5" w:rsidRDefault="00D819A5" w:rsidP="00D819A5">
            <w:pPr>
              <w:rPr>
                <w:sz w:val="24"/>
                <w:szCs w:val="24"/>
              </w:rPr>
            </w:pPr>
            <w:r>
              <w:rPr>
                <w:sz w:val="24"/>
                <w:szCs w:val="24"/>
              </w:rPr>
              <w:t>In our view, this definition will in practice be difficult to apply and give rise to many disputes as to where the liability falls that is before or after. A better definition of where a liability falls is required</w:t>
            </w:r>
            <w:r w:rsidR="00747377">
              <w:rPr>
                <w:sz w:val="24"/>
                <w:szCs w:val="24"/>
              </w:rPr>
              <w:t xml:space="preserve"> that is incurred in the ordinary course of the “course of action”</w:t>
            </w:r>
            <w:r>
              <w:rPr>
                <w:sz w:val="24"/>
                <w:szCs w:val="24"/>
              </w:rPr>
              <w:t>. This might be better resolved by a definition that includes all debts incurred in the course of action budget/plan.</w:t>
            </w:r>
          </w:p>
          <w:p w:rsidR="00D819A5" w:rsidRDefault="00D819A5"/>
        </w:tc>
      </w:tr>
      <w:tr w:rsidR="00D819A5" w:rsidTr="00D819A5">
        <w:tc>
          <w:tcPr>
            <w:tcW w:w="4508" w:type="dxa"/>
          </w:tcPr>
          <w:p w:rsidR="00D819A5" w:rsidRDefault="00D819A5"/>
        </w:tc>
        <w:tc>
          <w:tcPr>
            <w:tcW w:w="4508" w:type="dxa"/>
          </w:tcPr>
          <w:p w:rsidR="00D819A5" w:rsidRDefault="00D819A5"/>
        </w:tc>
      </w:tr>
      <w:tr w:rsidR="00D819A5" w:rsidTr="00D819A5">
        <w:tc>
          <w:tcPr>
            <w:tcW w:w="4508" w:type="dxa"/>
          </w:tcPr>
          <w:p w:rsidR="00D819A5" w:rsidRPr="00D819A5" w:rsidRDefault="00D819A5">
            <w:pPr>
              <w:rPr>
                <w:b/>
              </w:rPr>
            </w:pPr>
            <w:r w:rsidRPr="00D819A5">
              <w:rPr>
                <w:b/>
              </w:rPr>
              <w:t>Specific comments</w:t>
            </w:r>
          </w:p>
        </w:tc>
        <w:tc>
          <w:tcPr>
            <w:tcW w:w="4508" w:type="dxa"/>
          </w:tcPr>
          <w:p w:rsidR="00D819A5" w:rsidRDefault="00D819A5"/>
        </w:tc>
      </w:tr>
      <w:tr w:rsidR="00D819A5" w:rsidTr="00D819A5">
        <w:tc>
          <w:tcPr>
            <w:tcW w:w="4508" w:type="dxa"/>
          </w:tcPr>
          <w:p w:rsidR="00D819A5" w:rsidRPr="00D819A5" w:rsidRDefault="00D819A5" w:rsidP="00D819A5">
            <w:pPr>
              <w:pStyle w:val="ListParagraph"/>
              <w:spacing w:after="0"/>
              <w:ind w:left="0"/>
              <w:rPr>
                <w:sz w:val="24"/>
                <w:szCs w:val="24"/>
                <w:u w:val="single"/>
              </w:rPr>
            </w:pPr>
            <w:r>
              <w:rPr>
                <w:sz w:val="24"/>
                <w:szCs w:val="24"/>
                <w:u w:val="single"/>
              </w:rPr>
              <w:t>Section 588GA (2) (c</w:t>
            </w:r>
            <w:r w:rsidRPr="00B4517D">
              <w:rPr>
                <w:sz w:val="24"/>
                <w:szCs w:val="24"/>
                <w:u w:val="single"/>
              </w:rPr>
              <w:t>)</w:t>
            </w:r>
          </w:p>
        </w:tc>
        <w:tc>
          <w:tcPr>
            <w:tcW w:w="4508" w:type="dxa"/>
          </w:tcPr>
          <w:p w:rsidR="00D819A5" w:rsidRDefault="00D819A5"/>
        </w:tc>
      </w:tr>
      <w:tr w:rsidR="00D819A5" w:rsidTr="00D819A5">
        <w:tc>
          <w:tcPr>
            <w:tcW w:w="4508" w:type="dxa"/>
          </w:tcPr>
          <w:p w:rsidR="00D819A5" w:rsidRDefault="00D819A5"/>
        </w:tc>
        <w:tc>
          <w:tcPr>
            <w:tcW w:w="4508" w:type="dxa"/>
          </w:tcPr>
          <w:p w:rsidR="00D819A5" w:rsidRDefault="00D819A5"/>
        </w:tc>
      </w:tr>
      <w:tr w:rsidR="00D819A5" w:rsidTr="00D819A5">
        <w:tc>
          <w:tcPr>
            <w:tcW w:w="4508" w:type="dxa"/>
          </w:tcPr>
          <w:p w:rsidR="00D819A5" w:rsidRDefault="00D819A5" w:rsidP="00D819A5">
            <w:pPr>
              <w:pStyle w:val="ListParagraph"/>
              <w:numPr>
                <w:ilvl w:val="0"/>
                <w:numId w:val="2"/>
              </w:numPr>
              <w:spacing w:after="0"/>
              <w:ind w:left="0"/>
              <w:rPr>
                <w:sz w:val="24"/>
                <w:szCs w:val="24"/>
              </w:rPr>
            </w:pPr>
            <w:r>
              <w:rPr>
                <w:sz w:val="24"/>
                <w:szCs w:val="24"/>
              </w:rPr>
              <w:t>i. This section requires directors to obtain appropriate advice from an appropriately qualified entity who has been given sufficient information to give appropriate advice.</w:t>
            </w:r>
          </w:p>
          <w:p w:rsidR="00D819A5" w:rsidRDefault="00D819A5"/>
        </w:tc>
        <w:tc>
          <w:tcPr>
            <w:tcW w:w="4508" w:type="dxa"/>
          </w:tcPr>
          <w:p w:rsidR="00D819A5" w:rsidRDefault="00D819A5" w:rsidP="00D819A5">
            <w:pPr>
              <w:rPr>
                <w:sz w:val="24"/>
                <w:szCs w:val="24"/>
              </w:rPr>
            </w:pPr>
            <w:r>
              <w:rPr>
                <w:sz w:val="24"/>
                <w:szCs w:val="24"/>
              </w:rPr>
              <w:t xml:space="preserve">In our view, greater clarity must be given as to the qualifications of the entity. For example, the entity must be qualified to give accounting insolvency advice, and have qualifications in insolvency, also the distinction between legal and accounting advice is also necessary. It may be useful for ASIC to issue a guidance note as to </w:t>
            </w:r>
            <w:r w:rsidR="005A0E1F">
              <w:rPr>
                <w:sz w:val="24"/>
                <w:szCs w:val="24"/>
              </w:rPr>
              <w:t xml:space="preserve">the </w:t>
            </w:r>
            <w:r w:rsidR="00747377">
              <w:rPr>
                <w:sz w:val="24"/>
                <w:szCs w:val="24"/>
              </w:rPr>
              <w:t xml:space="preserve">required </w:t>
            </w:r>
            <w:r>
              <w:rPr>
                <w:sz w:val="24"/>
                <w:szCs w:val="24"/>
              </w:rPr>
              <w:t xml:space="preserve">qualifications </w:t>
            </w:r>
            <w:r w:rsidR="00747377">
              <w:rPr>
                <w:sz w:val="24"/>
                <w:szCs w:val="24"/>
              </w:rPr>
              <w:t>we consider that the Law should specify qualifications such as recognised accounting body, registered liquidator, details regarding professional indemnity insurance. Insurance is of course necessary to protect all Stakeholders.</w:t>
            </w:r>
          </w:p>
          <w:p w:rsidR="00D819A5" w:rsidRDefault="00D819A5"/>
        </w:tc>
      </w:tr>
      <w:tr w:rsidR="00E52282" w:rsidTr="00D819A5">
        <w:tc>
          <w:tcPr>
            <w:tcW w:w="4508" w:type="dxa"/>
          </w:tcPr>
          <w:p w:rsidR="00E52282" w:rsidRDefault="00E52282" w:rsidP="00E52282">
            <w:pPr>
              <w:pStyle w:val="ListParagraph"/>
              <w:spacing w:after="0"/>
              <w:ind w:left="601"/>
              <w:rPr>
                <w:sz w:val="24"/>
                <w:szCs w:val="24"/>
              </w:rPr>
            </w:pPr>
          </w:p>
        </w:tc>
        <w:tc>
          <w:tcPr>
            <w:tcW w:w="4508" w:type="dxa"/>
          </w:tcPr>
          <w:p w:rsidR="00E52282" w:rsidRDefault="00E52282" w:rsidP="00D819A5">
            <w:pPr>
              <w:rPr>
                <w:sz w:val="24"/>
                <w:szCs w:val="24"/>
              </w:rPr>
            </w:pPr>
          </w:p>
        </w:tc>
      </w:tr>
      <w:tr w:rsidR="00E52282" w:rsidTr="00D819A5">
        <w:tc>
          <w:tcPr>
            <w:tcW w:w="4508" w:type="dxa"/>
          </w:tcPr>
          <w:p w:rsidR="00E52282" w:rsidRDefault="00E52282" w:rsidP="00E52282">
            <w:pPr>
              <w:pStyle w:val="ListParagraph"/>
              <w:spacing w:after="0"/>
              <w:ind w:left="601"/>
              <w:rPr>
                <w:sz w:val="24"/>
                <w:szCs w:val="24"/>
              </w:rPr>
            </w:pPr>
          </w:p>
        </w:tc>
        <w:tc>
          <w:tcPr>
            <w:tcW w:w="4508" w:type="dxa"/>
          </w:tcPr>
          <w:p w:rsidR="00E52282" w:rsidRDefault="00E52282" w:rsidP="00D819A5">
            <w:pPr>
              <w:rPr>
                <w:sz w:val="24"/>
                <w:szCs w:val="24"/>
              </w:rPr>
            </w:pPr>
          </w:p>
        </w:tc>
      </w:tr>
      <w:tr w:rsidR="00E52282" w:rsidTr="00D819A5">
        <w:tc>
          <w:tcPr>
            <w:tcW w:w="4508" w:type="dxa"/>
          </w:tcPr>
          <w:p w:rsidR="00E52282" w:rsidRDefault="00E52282" w:rsidP="00E52282">
            <w:pPr>
              <w:pStyle w:val="ListParagraph"/>
              <w:spacing w:after="0"/>
              <w:ind w:left="601"/>
              <w:rPr>
                <w:sz w:val="24"/>
                <w:szCs w:val="24"/>
              </w:rPr>
            </w:pPr>
          </w:p>
        </w:tc>
        <w:tc>
          <w:tcPr>
            <w:tcW w:w="4508" w:type="dxa"/>
          </w:tcPr>
          <w:p w:rsidR="00E52282" w:rsidRDefault="00E52282" w:rsidP="00D819A5">
            <w:pPr>
              <w:rPr>
                <w:sz w:val="24"/>
                <w:szCs w:val="24"/>
              </w:rPr>
            </w:pPr>
          </w:p>
        </w:tc>
      </w:tr>
      <w:tr w:rsidR="00E52282" w:rsidTr="00D819A5">
        <w:tc>
          <w:tcPr>
            <w:tcW w:w="4508" w:type="dxa"/>
          </w:tcPr>
          <w:p w:rsidR="00E52282" w:rsidRDefault="00E52282" w:rsidP="00E52282">
            <w:pPr>
              <w:pStyle w:val="ListParagraph"/>
              <w:spacing w:after="0"/>
              <w:ind w:left="601"/>
              <w:rPr>
                <w:sz w:val="24"/>
                <w:szCs w:val="24"/>
              </w:rPr>
            </w:pPr>
          </w:p>
        </w:tc>
        <w:tc>
          <w:tcPr>
            <w:tcW w:w="4508" w:type="dxa"/>
          </w:tcPr>
          <w:p w:rsidR="00E52282" w:rsidRDefault="00E52282" w:rsidP="00D819A5">
            <w:pPr>
              <w:rPr>
                <w:sz w:val="24"/>
                <w:szCs w:val="24"/>
              </w:rPr>
            </w:pPr>
          </w:p>
        </w:tc>
      </w:tr>
      <w:tr w:rsidR="00E52282" w:rsidTr="00D819A5">
        <w:tc>
          <w:tcPr>
            <w:tcW w:w="4508" w:type="dxa"/>
          </w:tcPr>
          <w:p w:rsidR="00E52282" w:rsidRDefault="00E52282" w:rsidP="00E52282">
            <w:pPr>
              <w:pStyle w:val="ListParagraph"/>
              <w:spacing w:after="0"/>
              <w:ind w:left="34"/>
              <w:rPr>
                <w:b/>
                <w:sz w:val="24"/>
                <w:szCs w:val="24"/>
              </w:rPr>
            </w:pPr>
            <w:r w:rsidRPr="00E52282">
              <w:rPr>
                <w:b/>
                <w:sz w:val="24"/>
                <w:szCs w:val="24"/>
              </w:rPr>
              <w:t>Issue:</w:t>
            </w:r>
          </w:p>
          <w:p w:rsidR="005A0E1F" w:rsidRPr="00E52282" w:rsidRDefault="005A0E1F" w:rsidP="00E52282">
            <w:pPr>
              <w:pStyle w:val="ListParagraph"/>
              <w:spacing w:after="0"/>
              <w:ind w:left="34"/>
              <w:rPr>
                <w:b/>
                <w:sz w:val="24"/>
                <w:szCs w:val="24"/>
              </w:rPr>
            </w:pPr>
            <w:r>
              <w:rPr>
                <w:b/>
                <w:sz w:val="24"/>
                <w:szCs w:val="24"/>
              </w:rPr>
              <w:t>Specific comments continued</w:t>
            </w:r>
          </w:p>
        </w:tc>
        <w:tc>
          <w:tcPr>
            <w:tcW w:w="4508" w:type="dxa"/>
          </w:tcPr>
          <w:p w:rsidR="00E52282" w:rsidRPr="00E52282" w:rsidRDefault="00E52282" w:rsidP="00D819A5">
            <w:pPr>
              <w:rPr>
                <w:b/>
                <w:sz w:val="24"/>
                <w:szCs w:val="24"/>
              </w:rPr>
            </w:pPr>
            <w:r w:rsidRPr="00E52282">
              <w:rPr>
                <w:b/>
                <w:sz w:val="24"/>
                <w:szCs w:val="24"/>
              </w:rPr>
              <w:t>Comment</w:t>
            </w:r>
          </w:p>
        </w:tc>
      </w:tr>
      <w:tr w:rsidR="00E52282" w:rsidTr="00D819A5">
        <w:tc>
          <w:tcPr>
            <w:tcW w:w="4508" w:type="dxa"/>
          </w:tcPr>
          <w:p w:rsidR="00E52282" w:rsidRDefault="00E52282" w:rsidP="00E52282">
            <w:pPr>
              <w:pStyle w:val="ListParagraph"/>
              <w:spacing w:after="0"/>
              <w:ind w:left="601"/>
              <w:rPr>
                <w:sz w:val="24"/>
                <w:szCs w:val="24"/>
              </w:rPr>
            </w:pPr>
          </w:p>
        </w:tc>
        <w:tc>
          <w:tcPr>
            <w:tcW w:w="4508" w:type="dxa"/>
          </w:tcPr>
          <w:p w:rsidR="00E52282" w:rsidRDefault="00E52282" w:rsidP="00D819A5">
            <w:pPr>
              <w:rPr>
                <w:sz w:val="24"/>
                <w:szCs w:val="24"/>
              </w:rPr>
            </w:pPr>
          </w:p>
        </w:tc>
      </w:tr>
      <w:tr w:rsidR="00E52282" w:rsidTr="00D819A5">
        <w:tc>
          <w:tcPr>
            <w:tcW w:w="4508" w:type="dxa"/>
          </w:tcPr>
          <w:p w:rsidR="00E52282" w:rsidRDefault="00E52282" w:rsidP="00E52282">
            <w:pPr>
              <w:pStyle w:val="ListParagraph"/>
              <w:spacing w:after="0"/>
              <w:ind w:left="601"/>
              <w:rPr>
                <w:sz w:val="24"/>
                <w:szCs w:val="24"/>
              </w:rPr>
            </w:pPr>
          </w:p>
        </w:tc>
        <w:tc>
          <w:tcPr>
            <w:tcW w:w="4508" w:type="dxa"/>
          </w:tcPr>
          <w:p w:rsidR="00E52282" w:rsidRDefault="00E52282" w:rsidP="00D819A5">
            <w:pPr>
              <w:rPr>
                <w:sz w:val="24"/>
                <w:szCs w:val="24"/>
              </w:rPr>
            </w:pPr>
          </w:p>
        </w:tc>
      </w:tr>
      <w:tr w:rsidR="00747377" w:rsidTr="00D819A5">
        <w:tc>
          <w:tcPr>
            <w:tcW w:w="4508" w:type="dxa"/>
          </w:tcPr>
          <w:p w:rsidR="00747377" w:rsidRPr="00747377" w:rsidRDefault="00747377" w:rsidP="00747377">
            <w:pPr>
              <w:pStyle w:val="ListParagraph"/>
              <w:numPr>
                <w:ilvl w:val="0"/>
                <w:numId w:val="2"/>
              </w:numPr>
              <w:spacing w:after="0"/>
              <w:ind w:left="601"/>
              <w:rPr>
                <w:sz w:val="24"/>
                <w:szCs w:val="24"/>
              </w:rPr>
            </w:pPr>
            <w:r>
              <w:rPr>
                <w:sz w:val="24"/>
                <w:szCs w:val="24"/>
              </w:rPr>
              <w:t xml:space="preserve">We are concerned regarding section 588V regarding potential liabilities for holding companies for failing to prevent insolvent trading. This seems at odds with </w:t>
            </w:r>
            <w:r w:rsidR="005A0E1F">
              <w:rPr>
                <w:sz w:val="24"/>
                <w:szCs w:val="24"/>
              </w:rPr>
              <w:t>the legislation being proposed. That protection is not provided.</w:t>
            </w:r>
          </w:p>
        </w:tc>
        <w:tc>
          <w:tcPr>
            <w:tcW w:w="4508" w:type="dxa"/>
          </w:tcPr>
          <w:p w:rsidR="00747377" w:rsidRDefault="00747377" w:rsidP="00D819A5">
            <w:pPr>
              <w:rPr>
                <w:sz w:val="24"/>
                <w:szCs w:val="24"/>
              </w:rPr>
            </w:pPr>
            <w:r>
              <w:rPr>
                <w:sz w:val="24"/>
                <w:szCs w:val="24"/>
              </w:rPr>
              <w:t>In our view, consideration should be given for protection in these circumstances.</w:t>
            </w:r>
          </w:p>
        </w:tc>
      </w:tr>
      <w:tr w:rsidR="00D819A5" w:rsidTr="00D819A5">
        <w:tc>
          <w:tcPr>
            <w:tcW w:w="4508" w:type="dxa"/>
          </w:tcPr>
          <w:p w:rsidR="00D819A5" w:rsidRDefault="00D819A5"/>
        </w:tc>
        <w:tc>
          <w:tcPr>
            <w:tcW w:w="4508" w:type="dxa"/>
          </w:tcPr>
          <w:p w:rsidR="00D819A5" w:rsidRDefault="00D819A5"/>
        </w:tc>
      </w:tr>
      <w:tr w:rsidR="00D819A5" w:rsidTr="00D819A5">
        <w:tc>
          <w:tcPr>
            <w:tcW w:w="4508" w:type="dxa"/>
          </w:tcPr>
          <w:p w:rsidR="00D819A5" w:rsidRPr="005A0E1F" w:rsidRDefault="00E52282" w:rsidP="00E52282">
            <w:pPr>
              <w:pStyle w:val="ListParagraph"/>
              <w:numPr>
                <w:ilvl w:val="0"/>
                <w:numId w:val="2"/>
              </w:numPr>
              <w:spacing w:after="0"/>
              <w:rPr>
                <w:sz w:val="24"/>
                <w:szCs w:val="24"/>
              </w:rPr>
            </w:pPr>
            <w:r w:rsidRPr="005A0E1F">
              <w:rPr>
                <w:sz w:val="24"/>
                <w:szCs w:val="24"/>
              </w:rPr>
              <w:t xml:space="preserve">In our view, we consider that a standard set of documents e.g. balance sheet, profit and loss, cash flow, should be mandatory and be a fundamental </w:t>
            </w:r>
            <w:r w:rsidR="005A0E1F" w:rsidRPr="005A0E1F">
              <w:rPr>
                <w:sz w:val="24"/>
                <w:szCs w:val="24"/>
              </w:rPr>
              <w:t xml:space="preserve">requirement </w:t>
            </w:r>
            <w:r w:rsidRPr="005A0E1F">
              <w:rPr>
                <w:sz w:val="24"/>
                <w:szCs w:val="24"/>
              </w:rPr>
              <w:t>before Safe Harbour can commence, and should be signed off as part of the Safe Harbour processes and controls.</w:t>
            </w:r>
          </w:p>
        </w:tc>
        <w:tc>
          <w:tcPr>
            <w:tcW w:w="4508" w:type="dxa"/>
          </w:tcPr>
          <w:p w:rsidR="00D819A5" w:rsidRPr="005A0E1F" w:rsidRDefault="00E52282">
            <w:pPr>
              <w:rPr>
                <w:sz w:val="24"/>
                <w:szCs w:val="24"/>
              </w:rPr>
            </w:pPr>
            <w:r w:rsidRPr="005A0E1F">
              <w:rPr>
                <w:sz w:val="24"/>
                <w:szCs w:val="24"/>
              </w:rPr>
              <w:t xml:space="preserve">It may also be relevant for a Report As To Affairs </w:t>
            </w:r>
            <w:r w:rsidR="005A0E1F" w:rsidRPr="005A0E1F">
              <w:rPr>
                <w:sz w:val="24"/>
                <w:szCs w:val="24"/>
              </w:rPr>
              <w:t xml:space="preserve">or a similar document </w:t>
            </w:r>
            <w:r w:rsidRPr="005A0E1F">
              <w:rPr>
                <w:sz w:val="24"/>
                <w:szCs w:val="24"/>
              </w:rPr>
              <w:t>to be prepared as part of the documents required for a Safe Harbour to be initiated.</w:t>
            </w:r>
          </w:p>
        </w:tc>
      </w:tr>
      <w:tr w:rsidR="00D819A5" w:rsidTr="00D819A5">
        <w:tc>
          <w:tcPr>
            <w:tcW w:w="4508" w:type="dxa"/>
          </w:tcPr>
          <w:p w:rsidR="00D819A5" w:rsidRDefault="00D819A5"/>
        </w:tc>
        <w:tc>
          <w:tcPr>
            <w:tcW w:w="4508" w:type="dxa"/>
          </w:tcPr>
          <w:p w:rsidR="00D819A5" w:rsidRDefault="00D819A5"/>
        </w:tc>
      </w:tr>
      <w:tr w:rsidR="00D819A5" w:rsidTr="00D819A5">
        <w:tc>
          <w:tcPr>
            <w:tcW w:w="4508" w:type="dxa"/>
          </w:tcPr>
          <w:p w:rsidR="00D819A5" w:rsidRDefault="00D819A5"/>
        </w:tc>
        <w:tc>
          <w:tcPr>
            <w:tcW w:w="4508" w:type="dxa"/>
          </w:tcPr>
          <w:p w:rsidR="00D819A5" w:rsidRDefault="00D819A5"/>
        </w:tc>
      </w:tr>
      <w:tr w:rsidR="00E35F7A" w:rsidTr="00D819A5">
        <w:tc>
          <w:tcPr>
            <w:tcW w:w="4508" w:type="dxa"/>
          </w:tcPr>
          <w:p w:rsidR="00E35F7A" w:rsidRDefault="00E35F7A"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Default="00E52282" w:rsidP="00D819A5">
            <w:pPr>
              <w:pStyle w:val="ListParagraph"/>
              <w:spacing w:after="0"/>
              <w:ind w:left="0"/>
              <w:rPr>
                <w:b/>
                <w:sz w:val="24"/>
                <w:szCs w:val="24"/>
              </w:rPr>
            </w:pPr>
          </w:p>
          <w:p w:rsidR="00E52282" w:rsidRPr="00D819A5" w:rsidRDefault="00E52282" w:rsidP="00D819A5">
            <w:pPr>
              <w:pStyle w:val="ListParagraph"/>
              <w:spacing w:after="0"/>
              <w:ind w:left="0"/>
              <w:rPr>
                <w:b/>
                <w:sz w:val="24"/>
                <w:szCs w:val="24"/>
              </w:rPr>
            </w:pPr>
          </w:p>
        </w:tc>
        <w:tc>
          <w:tcPr>
            <w:tcW w:w="4508" w:type="dxa"/>
          </w:tcPr>
          <w:p w:rsidR="00E35F7A" w:rsidRPr="00E35F7A" w:rsidRDefault="00E35F7A">
            <w:pPr>
              <w:rPr>
                <w:b/>
              </w:rPr>
            </w:pPr>
          </w:p>
        </w:tc>
      </w:tr>
      <w:tr w:rsidR="00D819A5" w:rsidTr="00D819A5">
        <w:tc>
          <w:tcPr>
            <w:tcW w:w="4508" w:type="dxa"/>
          </w:tcPr>
          <w:p w:rsidR="00D819A5" w:rsidRPr="00D819A5" w:rsidRDefault="00D819A5" w:rsidP="00D819A5">
            <w:pPr>
              <w:pStyle w:val="ListParagraph"/>
              <w:spacing w:after="0"/>
              <w:ind w:left="0"/>
              <w:rPr>
                <w:b/>
                <w:sz w:val="24"/>
                <w:szCs w:val="24"/>
              </w:rPr>
            </w:pPr>
            <w:r w:rsidRPr="00D819A5">
              <w:rPr>
                <w:b/>
                <w:sz w:val="24"/>
                <w:szCs w:val="24"/>
              </w:rPr>
              <w:t>Issue:</w:t>
            </w:r>
          </w:p>
          <w:p w:rsidR="00D819A5" w:rsidRPr="00D07C0C" w:rsidRDefault="00E35F7A" w:rsidP="00D819A5">
            <w:pPr>
              <w:pStyle w:val="ListParagraph"/>
              <w:spacing w:after="0"/>
              <w:ind w:left="0"/>
              <w:rPr>
                <w:b/>
                <w:sz w:val="24"/>
                <w:szCs w:val="24"/>
              </w:rPr>
            </w:pPr>
            <w:r w:rsidRPr="00D07C0C">
              <w:rPr>
                <w:b/>
                <w:sz w:val="24"/>
                <w:szCs w:val="24"/>
              </w:rPr>
              <w:t xml:space="preserve">Specific comments </w:t>
            </w:r>
            <w:r w:rsidR="00D819A5" w:rsidRPr="00D07C0C">
              <w:rPr>
                <w:b/>
                <w:sz w:val="24"/>
                <w:szCs w:val="24"/>
              </w:rPr>
              <w:t>continued</w:t>
            </w:r>
          </w:p>
        </w:tc>
        <w:tc>
          <w:tcPr>
            <w:tcW w:w="4508" w:type="dxa"/>
          </w:tcPr>
          <w:p w:rsidR="00D819A5" w:rsidRPr="00E35F7A" w:rsidRDefault="00D819A5">
            <w:pPr>
              <w:rPr>
                <w:b/>
              </w:rPr>
            </w:pPr>
            <w:r w:rsidRPr="00E35F7A">
              <w:rPr>
                <w:b/>
              </w:rPr>
              <w:t>Comment</w:t>
            </w:r>
          </w:p>
        </w:tc>
      </w:tr>
      <w:tr w:rsidR="00D819A5" w:rsidTr="00D819A5">
        <w:tc>
          <w:tcPr>
            <w:tcW w:w="4508" w:type="dxa"/>
          </w:tcPr>
          <w:p w:rsidR="00D819A5" w:rsidRPr="00B4517D" w:rsidRDefault="00D819A5" w:rsidP="00D819A5">
            <w:pPr>
              <w:pStyle w:val="ListParagraph"/>
              <w:spacing w:after="0"/>
              <w:ind w:left="0"/>
              <w:rPr>
                <w:sz w:val="24"/>
                <w:szCs w:val="24"/>
                <w:u w:val="single"/>
              </w:rPr>
            </w:pPr>
          </w:p>
        </w:tc>
        <w:tc>
          <w:tcPr>
            <w:tcW w:w="4508" w:type="dxa"/>
          </w:tcPr>
          <w:p w:rsidR="00D819A5" w:rsidRDefault="00D819A5"/>
        </w:tc>
      </w:tr>
      <w:tr w:rsidR="00D819A5" w:rsidTr="00D819A5">
        <w:tc>
          <w:tcPr>
            <w:tcW w:w="4508" w:type="dxa"/>
          </w:tcPr>
          <w:p w:rsidR="00D819A5" w:rsidRPr="00D819A5" w:rsidRDefault="00D819A5" w:rsidP="00D819A5">
            <w:pPr>
              <w:pStyle w:val="ListParagraph"/>
              <w:spacing w:after="0"/>
              <w:ind w:left="0"/>
              <w:rPr>
                <w:sz w:val="24"/>
                <w:szCs w:val="24"/>
                <w:u w:val="single"/>
              </w:rPr>
            </w:pPr>
            <w:r w:rsidRPr="00B4517D">
              <w:rPr>
                <w:sz w:val="24"/>
                <w:szCs w:val="24"/>
                <w:u w:val="single"/>
              </w:rPr>
              <w:t xml:space="preserve">Section 588GA </w:t>
            </w:r>
            <w:r>
              <w:rPr>
                <w:sz w:val="24"/>
                <w:szCs w:val="24"/>
                <w:u w:val="single"/>
              </w:rPr>
              <w:t>(4) (a) (b</w:t>
            </w:r>
            <w:r w:rsidRPr="00B4517D">
              <w:rPr>
                <w:sz w:val="24"/>
                <w:szCs w:val="24"/>
                <w:u w:val="single"/>
              </w:rPr>
              <w:t>)</w:t>
            </w:r>
          </w:p>
        </w:tc>
        <w:tc>
          <w:tcPr>
            <w:tcW w:w="4508" w:type="dxa"/>
          </w:tcPr>
          <w:p w:rsidR="00D819A5" w:rsidRDefault="00D819A5"/>
        </w:tc>
      </w:tr>
      <w:tr w:rsidR="00D819A5" w:rsidTr="00D819A5">
        <w:tc>
          <w:tcPr>
            <w:tcW w:w="4508" w:type="dxa"/>
          </w:tcPr>
          <w:p w:rsidR="00D819A5" w:rsidRDefault="00D819A5" w:rsidP="00D819A5">
            <w:pPr>
              <w:pStyle w:val="ListParagraph"/>
              <w:numPr>
                <w:ilvl w:val="0"/>
                <w:numId w:val="3"/>
              </w:numPr>
              <w:spacing w:after="0"/>
              <w:ind w:left="0"/>
              <w:rPr>
                <w:sz w:val="24"/>
                <w:szCs w:val="24"/>
              </w:rPr>
            </w:pPr>
            <w:r>
              <w:rPr>
                <w:sz w:val="24"/>
                <w:szCs w:val="24"/>
              </w:rPr>
              <w:t>i. This section deals with a requirement to provide for employee entitlements and giving information etc as required by Taxation Laws to a particular standard. If this is not done then the protection against insolvent trading is not available.</w:t>
            </w:r>
          </w:p>
          <w:p w:rsidR="00D819A5" w:rsidRPr="00B4517D" w:rsidRDefault="00D819A5" w:rsidP="00D819A5">
            <w:pPr>
              <w:pStyle w:val="ListParagraph"/>
              <w:spacing w:after="0"/>
              <w:ind w:left="0"/>
              <w:rPr>
                <w:sz w:val="24"/>
                <w:szCs w:val="24"/>
                <w:u w:val="single"/>
              </w:rPr>
            </w:pPr>
          </w:p>
        </w:tc>
        <w:tc>
          <w:tcPr>
            <w:tcW w:w="4508" w:type="dxa"/>
          </w:tcPr>
          <w:p w:rsidR="00D819A5" w:rsidRDefault="00D819A5" w:rsidP="00D819A5">
            <w:pPr>
              <w:rPr>
                <w:sz w:val="24"/>
                <w:szCs w:val="24"/>
              </w:rPr>
            </w:pPr>
            <w:r>
              <w:rPr>
                <w:sz w:val="24"/>
                <w:szCs w:val="24"/>
              </w:rPr>
              <w:t>In our view, a better definition is required about the steps and actions that directors should take to follow a standard in relation to these matters that would reasonably be expected of a company. Does this for example mean the funds should be placed into a separate bank account?</w:t>
            </w:r>
          </w:p>
          <w:p w:rsidR="00D819A5" w:rsidRDefault="00D819A5"/>
        </w:tc>
      </w:tr>
      <w:tr w:rsidR="00D819A5" w:rsidTr="00D819A5">
        <w:tc>
          <w:tcPr>
            <w:tcW w:w="4508" w:type="dxa"/>
          </w:tcPr>
          <w:p w:rsidR="00D819A5" w:rsidRPr="00B4517D" w:rsidRDefault="00D819A5" w:rsidP="00D819A5">
            <w:pPr>
              <w:pStyle w:val="ListParagraph"/>
              <w:spacing w:after="0"/>
              <w:ind w:left="0"/>
              <w:rPr>
                <w:sz w:val="24"/>
                <w:szCs w:val="24"/>
                <w:u w:val="single"/>
              </w:rPr>
            </w:pPr>
          </w:p>
        </w:tc>
        <w:tc>
          <w:tcPr>
            <w:tcW w:w="4508" w:type="dxa"/>
          </w:tcPr>
          <w:p w:rsidR="00D819A5" w:rsidRDefault="00D819A5"/>
        </w:tc>
      </w:tr>
      <w:tr w:rsidR="00D819A5" w:rsidTr="00D819A5">
        <w:tc>
          <w:tcPr>
            <w:tcW w:w="4508" w:type="dxa"/>
          </w:tcPr>
          <w:p w:rsidR="00D819A5" w:rsidRPr="00B4517D" w:rsidRDefault="009B6F2A" w:rsidP="00D819A5">
            <w:pPr>
              <w:rPr>
                <w:sz w:val="24"/>
                <w:szCs w:val="24"/>
                <w:u w:val="single"/>
              </w:rPr>
            </w:pPr>
            <w:r>
              <w:rPr>
                <w:sz w:val="24"/>
                <w:szCs w:val="24"/>
                <w:u w:val="single"/>
              </w:rPr>
              <w:t>Section 588GA (2) (c)</w:t>
            </w:r>
          </w:p>
        </w:tc>
        <w:tc>
          <w:tcPr>
            <w:tcW w:w="4508" w:type="dxa"/>
          </w:tcPr>
          <w:p w:rsidR="00D819A5" w:rsidRDefault="00D819A5"/>
        </w:tc>
      </w:tr>
      <w:tr w:rsidR="00D819A5" w:rsidTr="00D819A5">
        <w:tc>
          <w:tcPr>
            <w:tcW w:w="4508" w:type="dxa"/>
          </w:tcPr>
          <w:p w:rsidR="00D819A5" w:rsidRPr="00D551DD" w:rsidRDefault="00D819A5" w:rsidP="00D819A5">
            <w:pPr>
              <w:pStyle w:val="ListParagraph"/>
              <w:numPr>
                <w:ilvl w:val="0"/>
                <w:numId w:val="4"/>
              </w:numPr>
              <w:spacing w:after="0"/>
              <w:ind w:left="0"/>
              <w:rPr>
                <w:sz w:val="24"/>
                <w:szCs w:val="24"/>
              </w:rPr>
            </w:pPr>
            <w:r>
              <w:rPr>
                <w:sz w:val="24"/>
                <w:szCs w:val="24"/>
              </w:rPr>
              <w:t>i</w:t>
            </w:r>
            <w:r w:rsidR="009B6F2A">
              <w:rPr>
                <w:sz w:val="24"/>
                <w:szCs w:val="24"/>
              </w:rPr>
              <w:t>i</w:t>
            </w:r>
            <w:r>
              <w:rPr>
                <w:sz w:val="24"/>
                <w:szCs w:val="24"/>
              </w:rPr>
              <w:t xml:space="preserve">. </w:t>
            </w:r>
            <w:r w:rsidRPr="00D551DD">
              <w:rPr>
                <w:sz w:val="24"/>
                <w:szCs w:val="24"/>
              </w:rPr>
              <w:t xml:space="preserve">In engaging an appropriately qualified entity, if the directors follow to the letter the “course of action” plan, they can still be second guessed by a Liquidator that they were not taking a course of action that would lead to a better outcome, or </w:t>
            </w:r>
            <w:r>
              <w:rPr>
                <w:sz w:val="24"/>
                <w:szCs w:val="24"/>
              </w:rPr>
              <w:t>that the “course of action”</w:t>
            </w:r>
            <w:r w:rsidRPr="00D551DD">
              <w:rPr>
                <w:sz w:val="24"/>
                <w:szCs w:val="24"/>
              </w:rPr>
              <w:t xml:space="preserve"> might be considered fanciful.  </w:t>
            </w:r>
          </w:p>
          <w:p w:rsidR="00D819A5" w:rsidRPr="00B4517D" w:rsidRDefault="00D819A5" w:rsidP="00D819A5">
            <w:pPr>
              <w:pStyle w:val="ListParagraph"/>
              <w:spacing w:after="0"/>
              <w:ind w:left="0"/>
              <w:rPr>
                <w:sz w:val="24"/>
                <w:szCs w:val="24"/>
                <w:u w:val="single"/>
              </w:rPr>
            </w:pPr>
          </w:p>
        </w:tc>
        <w:tc>
          <w:tcPr>
            <w:tcW w:w="4508" w:type="dxa"/>
          </w:tcPr>
          <w:p w:rsidR="00D819A5" w:rsidRDefault="00D819A5" w:rsidP="00D819A5">
            <w:pPr>
              <w:rPr>
                <w:sz w:val="24"/>
                <w:szCs w:val="24"/>
              </w:rPr>
            </w:pPr>
            <w:r>
              <w:rPr>
                <w:sz w:val="24"/>
                <w:szCs w:val="24"/>
              </w:rPr>
              <w:t xml:space="preserve">In our view, consideration should be given to greater protection for directors who have followed the plan, yet the outcome is for various reasons not optimal or did not lead to a better outcome. </w:t>
            </w:r>
          </w:p>
          <w:p w:rsidR="00D819A5" w:rsidRDefault="00D819A5"/>
        </w:tc>
      </w:tr>
      <w:tr w:rsidR="00D819A5" w:rsidTr="00D819A5">
        <w:tc>
          <w:tcPr>
            <w:tcW w:w="4508" w:type="dxa"/>
          </w:tcPr>
          <w:p w:rsidR="00D819A5" w:rsidRPr="00B4517D" w:rsidRDefault="00D819A5" w:rsidP="00D819A5">
            <w:pPr>
              <w:pStyle w:val="ListParagraph"/>
              <w:spacing w:after="0"/>
              <w:ind w:left="0"/>
              <w:rPr>
                <w:sz w:val="24"/>
                <w:szCs w:val="24"/>
                <w:u w:val="single"/>
              </w:rPr>
            </w:pPr>
          </w:p>
        </w:tc>
        <w:tc>
          <w:tcPr>
            <w:tcW w:w="4508" w:type="dxa"/>
          </w:tcPr>
          <w:p w:rsidR="00D819A5" w:rsidRDefault="00D819A5"/>
        </w:tc>
      </w:tr>
      <w:tr w:rsidR="00D819A5" w:rsidTr="00D819A5">
        <w:tc>
          <w:tcPr>
            <w:tcW w:w="4508" w:type="dxa"/>
          </w:tcPr>
          <w:p w:rsidR="00D819A5" w:rsidRPr="00B4517D" w:rsidRDefault="00D819A5" w:rsidP="00D819A5">
            <w:pPr>
              <w:rPr>
                <w:sz w:val="24"/>
                <w:szCs w:val="24"/>
                <w:u w:val="single"/>
              </w:rPr>
            </w:pPr>
            <w:r w:rsidRPr="00B4517D">
              <w:rPr>
                <w:sz w:val="24"/>
                <w:szCs w:val="24"/>
                <w:u w:val="single"/>
              </w:rPr>
              <w:t>Section 588GA (3)</w:t>
            </w:r>
          </w:p>
        </w:tc>
        <w:tc>
          <w:tcPr>
            <w:tcW w:w="4508" w:type="dxa"/>
          </w:tcPr>
          <w:p w:rsidR="00D819A5" w:rsidRDefault="00D819A5"/>
        </w:tc>
      </w:tr>
      <w:tr w:rsidR="00D819A5" w:rsidTr="00D819A5">
        <w:tc>
          <w:tcPr>
            <w:tcW w:w="4508" w:type="dxa"/>
          </w:tcPr>
          <w:p w:rsidR="00D819A5" w:rsidRDefault="009B6F2A" w:rsidP="00D819A5">
            <w:pPr>
              <w:pStyle w:val="ListParagraph"/>
              <w:numPr>
                <w:ilvl w:val="0"/>
                <w:numId w:val="5"/>
              </w:numPr>
              <w:spacing w:after="0"/>
              <w:ind w:left="0"/>
              <w:rPr>
                <w:sz w:val="24"/>
                <w:szCs w:val="24"/>
              </w:rPr>
            </w:pPr>
            <w:r>
              <w:rPr>
                <w:sz w:val="24"/>
                <w:szCs w:val="24"/>
              </w:rPr>
              <w:t>ii</w:t>
            </w:r>
            <w:r w:rsidR="00D819A5">
              <w:rPr>
                <w:sz w:val="24"/>
                <w:szCs w:val="24"/>
              </w:rPr>
              <w:t>i. This section deals with the requirement for directors to bear the evidential burden of the “course of action”.</w:t>
            </w:r>
          </w:p>
          <w:p w:rsidR="00D819A5" w:rsidRPr="00B4517D" w:rsidRDefault="00D819A5" w:rsidP="00D819A5">
            <w:pPr>
              <w:pStyle w:val="ListParagraph"/>
              <w:spacing w:after="0"/>
              <w:ind w:left="0"/>
              <w:rPr>
                <w:sz w:val="24"/>
                <w:szCs w:val="24"/>
                <w:u w:val="single"/>
              </w:rPr>
            </w:pPr>
          </w:p>
        </w:tc>
        <w:tc>
          <w:tcPr>
            <w:tcW w:w="4508" w:type="dxa"/>
          </w:tcPr>
          <w:p w:rsidR="00D819A5" w:rsidRDefault="00D819A5" w:rsidP="00D819A5">
            <w:pPr>
              <w:rPr>
                <w:sz w:val="24"/>
                <w:szCs w:val="24"/>
              </w:rPr>
            </w:pPr>
            <w:r>
              <w:rPr>
                <w:sz w:val="24"/>
                <w:szCs w:val="24"/>
              </w:rPr>
              <w:t>In our view, the “course of action” must continue to be documented at all times and “signed off” by the appropriately qualified entity and directors. In this sense, the evidential burden is achieved as the restructure continues. By doing this, there is a documented plan which discharges the evidential burden and would also be a requirement for the “course of action” to continue.</w:t>
            </w:r>
          </w:p>
          <w:p w:rsidR="00D819A5" w:rsidRDefault="00D819A5"/>
        </w:tc>
      </w:tr>
      <w:tr w:rsidR="00D819A5" w:rsidTr="00D819A5">
        <w:tc>
          <w:tcPr>
            <w:tcW w:w="4508" w:type="dxa"/>
          </w:tcPr>
          <w:p w:rsidR="00D819A5" w:rsidRPr="00B4517D" w:rsidRDefault="00D819A5" w:rsidP="00D819A5">
            <w:pPr>
              <w:rPr>
                <w:sz w:val="24"/>
                <w:szCs w:val="24"/>
                <w:u w:val="single"/>
              </w:rPr>
            </w:pPr>
            <w:r>
              <w:rPr>
                <w:sz w:val="24"/>
                <w:szCs w:val="24"/>
                <w:u w:val="single"/>
              </w:rPr>
              <w:t>Section 588G</w:t>
            </w:r>
            <w:r w:rsidRPr="00B4517D">
              <w:rPr>
                <w:sz w:val="24"/>
                <w:szCs w:val="24"/>
                <w:u w:val="single"/>
              </w:rPr>
              <w:t>B</w:t>
            </w:r>
          </w:p>
        </w:tc>
        <w:tc>
          <w:tcPr>
            <w:tcW w:w="4508" w:type="dxa"/>
          </w:tcPr>
          <w:p w:rsidR="00D819A5" w:rsidRDefault="00D819A5"/>
        </w:tc>
      </w:tr>
      <w:tr w:rsidR="00D819A5" w:rsidTr="00D819A5">
        <w:tc>
          <w:tcPr>
            <w:tcW w:w="4508" w:type="dxa"/>
          </w:tcPr>
          <w:p w:rsidR="00D819A5" w:rsidRPr="00B31CA4" w:rsidRDefault="00D819A5" w:rsidP="00D819A5">
            <w:pPr>
              <w:pStyle w:val="ListParagraph"/>
              <w:numPr>
                <w:ilvl w:val="0"/>
                <w:numId w:val="6"/>
              </w:numPr>
              <w:spacing w:after="0"/>
              <w:ind w:left="0"/>
              <w:rPr>
                <w:sz w:val="24"/>
                <w:szCs w:val="24"/>
              </w:rPr>
            </w:pPr>
            <w:r>
              <w:rPr>
                <w:sz w:val="24"/>
                <w:szCs w:val="24"/>
              </w:rPr>
              <w:t>i</w:t>
            </w:r>
            <w:r w:rsidR="00E35F7A">
              <w:rPr>
                <w:sz w:val="24"/>
                <w:szCs w:val="24"/>
              </w:rPr>
              <w:t>v</w:t>
            </w:r>
            <w:r>
              <w:rPr>
                <w:sz w:val="24"/>
                <w:szCs w:val="24"/>
              </w:rPr>
              <w:t xml:space="preserve">. The process does not anticipate any involvement by creditors via a committee or an elected creditor. We anticipate this </w:t>
            </w:r>
            <w:r w:rsidR="009B6F2A">
              <w:rPr>
                <w:sz w:val="24"/>
                <w:szCs w:val="24"/>
              </w:rPr>
              <w:t xml:space="preserve">is </w:t>
            </w:r>
            <w:r>
              <w:rPr>
                <w:sz w:val="24"/>
                <w:szCs w:val="24"/>
              </w:rPr>
              <w:t xml:space="preserve">due to the fact that the process will not be public. </w:t>
            </w:r>
          </w:p>
          <w:p w:rsidR="00D819A5" w:rsidRPr="00B4517D" w:rsidRDefault="00D819A5" w:rsidP="00D819A5">
            <w:pPr>
              <w:pStyle w:val="ListParagraph"/>
              <w:spacing w:after="0"/>
              <w:ind w:left="0"/>
              <w:rPr>
                <w:sz w:val="24"/>
                <w:szCs w:val="24"/>
                <w:u w:val="single"/>
              </w:rPr>
            </w:pPr>
          </w:p>
        </w:tc>
        <w:tc>
          <w:tcPr>
            <w:tcW w:w="4508" w:type="dxa"/>
          </w:tcPr>
          <w:p w:rsidR="00D819A5" w:rsidRDefault="00D819A5" w:rsidP="00D819A5">
            <w:pPr>
              <w:rPr>
                <w:sz w:val="24"/>
                <w:szCs w:val="24"/>
              </w:rPr>
            </w:pPr>
            <w:r>
              <w:rPr>
                <w:sz w:val="24"/>
                <w:szCs w:val="24"/>
              </w:rPr>
              <w:t>In our view, consideration should be given to the involvement of creditors.</w:t>
            </w:r>
          </w:p>
          <w:p w:rsidR="00D819A5" w:rsidRDefault="00D819A5"/>
        </w:tc>
      </w:tr>
      <w:tr w:rsidR="00D819A5" w:rsidTr="00D819A5">
        <w:tc>
          <w:tcPr>
            <w:tcW w:w="4508" w:type="dxa"/>
          </w:tcPr>
          <w:p w:rsidR="00D819A5" w:rsidRDefault="00D819A5" w:rsidP="00D819A5">
            <w:pPr>
              <w:pStyle w:val="ListParagraph"/>
              <w:numPr>
                <w:ilvl w:val="0"/>
                <w:numId w:val="6"/>
              </w:numPr>
              <w:spacing w:after="0"/>
              <w:ind w:left="0"/>
              <w:rPr>
                <w:sz w:val="24"/>
                <w:szCs w:val="24"/>
              </w:rPr>
            </w:pPr>
          </w:p>
        </w:tc>
        <w:tc>
          <w:tcPr>
            <w:tcW w:w="4508" w:type="dxa"/>
          </w:tcPr>
          <w:p w:rsidR="00D819A5" w:rsidRDefault="00D819A5" w:rsidP="00D819A5">
            <w:pPr>
              <w:rPr>
                <w:sz w:val="24"/>
                <w:szCs w:val="24"/>
              </w:rPr>
            </w:pPr>
          </w:p>
        </w:tc>
      </w:tr>
    </w:tbl>
    <w:p w:rsidR="00D819A5" w:rsidRDefault="00D819A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2282" w:rsidTr="00E35F7A">
        <w:tc>
          <w:tcPr>
            <w:tcW w:w="4508" w:type="dxa"/>
          </w:tcPr>
          <w:p w:rsidR="00E52282" w:rsidRPr="00D07C0C" w:rsidRDefault="00E52282">
            <w:pPr>
              <w:rPr>
                <w:b/>
                <w:sz w:val="24"/>
                <w:szCs w:val="24"/>
              </w:rPr>
            </w:pPr>
          </w:p>
        </w:tc>
        <w:tc>
          <w:tcPr>
            <w:tcW w:w="4508" w:type="dxa"/>
          </w:tcPr>
          <w:p w:rsidR="00E52282" w:rsidRPr="00D07C0C" w:rsidRDefault="00E52282">
            <w:pPr>
              <w:rPr>
                <w:b/>
                <w:sz w:val="24"/>
                <w:szCs w:val="24"/>
              </w:rPr>
            </w:pPr>
          </w:p>
        </w:tc>
      </w:tr>
      <w:tr w:rsidR="005A0E1F" w:rsidTr="00E35F7A">
        <w:tc>
          <w:tcPr>
            <w:tcW w:w="4508" w:type="dxa"/>
          </w:tcPr>
          <w:p w:rsidR="005A0E1F" w:rsidRPr="00D07C0C" w:rsidRDefault="005A0E1F">
            <w:pPr>
              <w:rPr>
                <w:b/>
                <w:sz w:val="24"/>
                <w:szCs w:val="24"/>
              </w:rPr>
            </w:pPr>
          </w:p>
        </w:tc>
        <w:tc>
          <w:tcPr>
            <w:tcW w:w="4508" w:type="dxa"/>
          </w:tcPr>
          <w:p w:rsidR="005A0E1F" w:rsidRPr="00D07C0C" w:rsidRDefault="005A0E1F">
            <w:pPr>
              <w:rPr>
                <w:b/>
                <w:sz w:val="24"/>
                <w:szCs w:val="24"/>
              </w:rPr>
            </w:pPr>
          </w:p>
        </w:tc>
      </w:tr>
      <w:tr w:rsidR="005A0E1F" w:rsidTr="00E35F7A">
        <w:tc>
          <w:tcPr>
            <w:tcW w:w="4508" w:type="dxa"/>
          </w:tcPr>
          <w:p w:rsidR="005A0E1F" w:rsidRPr="00D07C0C" w:rsidRDefault="005A0E1F">
            <w:pPr>
              <w:rPr>
                <w:b/>
                <w:sz w:val="24"/>
                <w:szCs w:val="24"/>
              </w:rPr>
            </w:pPr>
          </w:p>
        </w:tc>
        <w:tc>
          <w:tcPr>
            <w:tcW w:w="4508" w:type="dxa"/>
          </w:tcPr>
          <w:p w:rsidR="005A0E1F" w:rsidRPr="00D07C0C" w:rsidRDefault="005A0E1F">
            <w:pPr>
              <w:rPr>
                <w:b/>
                <w:sz w:val="24"/>
                <w:szCs w:val="24"/>
              </w:rPr>
            </w:pPr>
          </w:p>
        </w:tc>
      </w:tr>
      <w:tr w:rsidR="00E52282" w:rsidTr="00E35F7A">
        <w:tc>
          <w:tcPr>
            <w:tcW w:w="4508" w:type="dxa"/>
          </w:tcPr>
          <w:p w:rsidR="00E52282" w:rsidRPr="00D07C0C" w:rsidRDefault="00E52282">
            <w:pPr>
              <w:rPr>
                <w:b/>
                <w:sz w:val="24"/>
                <w:szCs w:val="24"/>
              </w:rPr>
            </w:pPr>
          </w:p>
        </w:tc>
        <w:tc>
          <w:tcPr>
            <w:tcW w:w="4508" w:type="dxa"/>
          </w:tcPr>
          <w:p w:rsidR="00E52282" w:rsidRPr="00D07C0C" w:rsidRDefault="00E52282">
            <w:pPr>
              <w:rPr>
                <w:b/>
                <w:sz w:val="24"/>
                <w:szCs w:val="24"/>
              </w:rPr>
            </w:pPr>
          </w:p>
        </w:tc>
      </w:tr>
      <w:tr w:rsidR="00D819A5" w:rsidTr="00E35F7A">
        <w:tc>
          <w:tcPr>
            <w:tcW w:w="4508" w:type="dxa"/>
          </w:tcPr>
          <w:p w:rsidR="00D819A5" w:rsidRPr="00D07C0C" w:rsidRDefault="00D819A5">
            <w:pPr>
              <w:rPr>
                <w:b/>
                <w:sz w:val="24"/>
                <w:szCs w:val="24"/>
              </w:rPr>
            </w:pPr>
            <w:r w:rsidRPr="00D07C0C">
              <w:rPr>
                <w:b/>
                <w:sz w:val="24"/>
                <w:szCs w:val="24"/>
              </w:rPr>
              <w:t>Issue:</w:t>
            </w:r>
          </w:p>
          <w:p w:rsidR="00D819A5" w:rsidRPr="003C248D" w:rsidRDefault="00D819A5">
            <w:pPr>
              <w:rPr>
                <w:b/>
                <w:sz w:val="24"/>
                <w:szCs w:val="24"/>
              </w:rPr>
            </w:pPr>
            <w:r w:rsidRPr="003C248D">
              <w:rPr>
                <w:b/>
                <w:sz w:val="24"/>
                <w:szCs w:val="24"/>
              </w:rPr>
              <w:t>General comments</w:t>
            </w:r>
          </w:p>
        </w:tc>
        <w:tc>
          <w:tcPr>
            <w:tcW w:w="4508" w:type="dxa"/>
          </w:tcPr>
          <w:p w:rsidR="00D819A5" w:rsidRPr="00D07C0C" w:rsidRDefault="00D819A5">
            <w:pPr>
              <w:rPr>
                <w:b/>
                <w:sz w:val="24"/>
                <w:szCs w:val="24"/>
              </w:rPr>
            </w:pPr>
            <w:r w:rsidRPr="00D07C0C">
              <w:rPr>
                <w:b/>
                <w:sz w:val="24"/>
                <w:szCs w:val="24"/>
              </w:rPr>
              <w:t>Comment</w:t>
            </w:r>
          </w:p>
        </w:tc>
      </w:tr>
      <w:tr w:rsidR="00D819A5" w:rsidTr="00E35F7A">
        <w:tc>
          <w:tcPr>
            <w:tcW w:w="4508" w:type="dxa"/>
          </w:tcPr>
          <w:p w:rsidR="00D819A5" w:rsidRDefault="00D819A5"/>
        </w:tc>
        <w:tc>
          <w:tcPr>
            <w:tcW w:w="4508" w:type="dxa"/>
          </w:tcPr>
          <w:p w:rsidR="00D819A5" w:rsidRDefault="00D819A5"/>
        </w:tc>
      </w:tr>
      <w:tr w:rsidR="00D819A5" w:rsidTr="00E35F7A">
        <w:tc>
          <w:tcPr>
            <w:tcW w:w="4508" w:type="dxa"/>
          </w:tcPr>
          <w:p w:rsidR="00D819A5" w:rsidRPr="00D819A5" w:rsidRDefault="00D819A5">
            <w:pPr>
              <w:rPr>
                <w:b/>
              </w:rPr>
            </w:pPr>
            <w:r w:rsidRPr="00D819A5">
              <w:rPr>
                <w:b/>
              </w:rPr>
              <w:t>Ipso Facto</w:t>
            </w:r>
          </w:p>
        </w:tc>
        <w:tc>
          <w:tcPr>
            <w:tcW w:w="4508" w:type="dxa"/>
          </w:tcPr>
          <w:p w:rsidR="00D819A5" w:rsidRDefault="00D819A5"/>
        </w:tc>
      </w:tr>
      <w:tr w:rsidR="00D819A5" w:rsidTr="00E35F7A">
        <w:tc>
          <w:tcPr>
            <w:tcW w:w="4508" w:type="dxa"/>
          </w:tcPr>
          <w:p w:rsidR="00D819A5" w:rsidRDefault="00D819A5" w:rsidP="00D819A5">
            <w:pPr>
              <w:pStyle w:val="ListParagraph"/>
              <w:numPr>
                <w:ilvl w:val="0"/>
                <w:numId w:val="7"/>
              </w:numPr>
              <w:spacing w:after="0"/>
              <w:ind w:left="0"/>
              <w:rPr>
                <w:sz w:val="24"/>
                <w:szCs w:val="24"/>
              </w:rPr>
            </w:pPr>
            <w:r>
              <w:rPr>
                <w:sz w:val="24"/>
                <w:szCs w:val="24"/>
              </w:rPr>
              <w:t>i. The draft legislation currently only works in the circumstances of a scheme or voluntary administration.</w:t>
            </w:r>
          </w:p>
          <w:p w:rsidR="00D819A5" w:rsidRDefault="00D819A5">
            <w:bookmarkStart w:id="0" w:name="_GoBack"/>
            <w:bookmarkEnd w:id="0"/>
          </w:p>
        </w:tc>
        <w:tc>
          <w:tcPr>
            <w:tcW w:w="4508" w:type="dxa"/>
          </w:tcPr>
          <w:p w:rsidR="00D819A5" w:rsidRDefault="00D819A5" w:rsidP="00D819A5">
            <w:pPr>
              <w:rPr>
                <w:sz w:val="24"/>
                <w:szCs w:val="24"/>
              </w:rPr>
            </w:pPr>
            <w:r>
              <w:rPr>
                <w:sz w:val="24"/>
                <w:szCs w:val="24"/>
              </w:rPr>
              <w:t xml:space="preserve">In our opinion, consideration should be given to the extension of the stay to </w:t>
            </w:r>
            <w:r w:rsidR="00747377">
              <w:rPr>
                <w:sz w:val="24"/>
                <w:szCs w:val="24"/>
              </w:rPr>
              <w:t xml:space="preserve">creditor voluntary </w:t>
            </w:r>
            <w:r>
              <w:rPr>
                <w:sz w:val="24"/>
                <w:szCs w:val="24"/>
              </w:rPr>
              <w:t>Liquidations or provisional Liquidations.</w:t>
            </w:r>
            <w:r w:rsidR="00747377">
              <w:rPr>
                <w:sz w:val="24"/>
                <w:szCs w:val="24"/>
              </w:rPr>
              <w:t xml:space="preserve"> Finally, we consider that Ipso Facto prot</w:t>
            </w:r>
            <w:r w:rsidR="009B6F2A">
              <w:rPr>
                <w:sz w:val="24"/>
                <w:szCs w:val="24"/>
              </w:rPr>
              <w:t>ection should also be considered</w:t>
            </w:r>
            <w:r w:rsidR="00747377">
              <w:rPr>
                <w:sz w:val="24"/>
                <w:szCs w:val="24"/>
              </w:rPr>
              <w:t xml:space="preserve"> for managing controllers e.g. Receivers and managers. This will also benefit all Stakeholders</w:t>
            </w:r>
            <w:r w:rsidR="005A0E1F">
              <w:rPr>
                <w:sz w:val="24"/>
                <w:szCs w:val="24"/>
              </w:rPr>
              <w:t xml:space="preserve"> in these appointments.</w:t>
            </w:r>
          </w:p>
          <w:p w:rsidR="00D819A5" w:rsidRDefault="00D819A5"/>
        </w:tc>
      </w:tr>
      <w:tr w:rsidR="00D819A5" w:rsidTr="00E35F7A">
        <w:tc>
          <w:tcPr>
            <w:tcW w:w="4508" w:type="dxa"/>
          </w:tcPr>
          <w:p w:rsidR="00D819A5" w:rsidRDefault="00D819A5" w:rsidP="00D819A5">
            <w:pPr>
              <w:pStyle w:val="ListParagraph"/>
              <w:numPr>
                <w:ilvl w:val="0"/>
                <w:numId w:val="7"/>
              </w:numPr>
              <w:spacing w:after="0"/>
              <w:ind w:left="0"/>
              <w:rPr>
                <w:sz w:val="24"/>
                <w:szCs w:val="24"/>
              </w:rPr>
            </w:pPr>
          </w:p>
        </w:tc>
        <w:tc>
          <w:tcPr>
            <w:tcW w:w="4508" w:type="dxa"/>
          </w:tcPr>
          <w:p w:rsidR="00D819A5" w:rsidRDefault="00D819A5" w:rsidP="00D819A5">
            <w:pPr>
              <w:rPr>
                <w:sz w:val="24"/>
                <w:szCs w:val="24"/>
              </w:rPr>
            </w:pPr>
          </w:p>
        </w:tc>
      </w:tr>
      <w:tr w:rsidR="00D819A5" w:rsidTr="00E35F7A">
        <w:tc>
          <w:tcPr>
            <w:tcW w:w="4508" w:type="dxa"/>
          </w:tcPr>
          <w:p w:rsidR="00D819A5" w:rsidRDefault="00D819A5" w:rsidP="00D819A5">
            <w:pPr>
              <w:pStyle w:val="ListParagraph"/>
              <w:numPr>
                <w:ilvl w:val="0"/>
                <w:numId w:val="7"/>
              </w:numPr>
              <w:spacing w:after="0"/>
              <w:ind w:left="0"/>
              <w:rPr>
                <w:sz w:val="24"/>
                <w:szCs w:val="24"/>
              </w:rPr>
            </w:pPr>
            <w:r>
              <w:rPr>
                <w:sz w:val="24"/>
                <w:szCs w:val="24"/>
              </w:rPr>
              <w:t>ii. The explanatory memorandum at paragraph 2.10 notes that a counterparty maintains the rights to terminate or amend the agreement with the debtor company for any other reason, including for a breach involving a non-payment or non-performance.</w:t>
            </w:r>
          </w:p>
          <w:p w:rsidR="00D819A5" w:rsidRDefault="00D819A5" w:rsidP="00D819A5">
            <w:pPr>
              <w:pStyle w:val="ListParagraph"/>
              <w:numPr>
                <w:ilvl w:val="0"/>
                <w:numId w:val="7"/>
              </w:numPr>
              <w:spacing w:after="0"/>
              <w:ind w:left="0"/>
              <w:rPr>
                <w:sz w:val="24"/>
                <w:szCs w:val="24"/>
              </w:rPr>
            </w:pPr>
          </w:p>
        </w:tc>
        <w:tc>
          <w:tcPr>
            <w:tcW w:w="4508" w:type="dxa"/>
          </w:tcPr>
          <w:p w:rsidR="00D819A5" w:rsidRPr="00B31CA4" w:rsidRDefault="00D819A5" w:rsidP="00D819A5">
            <w:pPr>
              <w:rPr>
                <w:sz w:val="24"/>
                <w:szCs w:val="24"/>
              </w:rPr>
            </w:pPr>
            <w:r>
              <w:rPr>
                <w:sz w:val="24"/>
                <w:szCs w:val="24"/>
              </w:rPr>
              <w:t>In our view, there should be a 7 day rectification period before the counterparty can terminate.</w:t>
            </w:r>
          </w:p>
          <w:p w:rsidR="00D819A5" w:rsidRDefault="00D819A5" w:rsidP="00D819A5">
            <w:pPr>
              <w:rPr>
                <w:sz w:val="24"/>
                <w:szCs w:val="24"/>
              </w:rPr>
            </w:pPr>
          </w:p>
        </w:tc>
      </w:tr>
      <w:tr w:rsidR="00D819A5" w:rsidTr="00E35F7A">
        <w:tc>
          <w:tcPr>
            <w:tcW w:w="4508" w:type="dxa"/>
          </w:tcPr>
          <w:p w:rsidR="00D819A5" w:rsidRDefault="00D819A5" w:rsidP="00D819A5">
            <w:pPr>
              <w:pStyle w:val="ListParagraph"/>
              <w:numPr>
                <w:ilvl w:val="0"/>
                <w:numId w:val="7"/>
              </w:numPr>
              <w:spacing w:after="0"/>
              <w:ind w:left="0"/>
              <w:rPr>
                <w:sz w:val="24"/>
                <w:szCs w:val="24"/>
              </w:rPr>
            </w:pPr>
          </w:p>
        </w:tc>
        <w:tc>
          <w:tcPr>
            <w:tcW w:w="4508" w:type="dxa"/>
          </w:tcPr>
          <w:p w:rsidR="00D819A5" w:rsidRDefault="00D819A5" w:rsidP="00D819A5">
            <w:pPr>
              <w:rPr>
                <w:sz w:val="24"/>
                <w:szCs w:val="24"/>
              </w:rPr>
            </w:pPr>
          </w:p>
        </w:tc>
      </w:tr>
    </w:tbl>
    <w:p w:rsidR="00D819A5" w:rsidRDefault="00D819A5"/>
    <w:sectPr w:rsidR="00D819A5" w:rsidSect="005A0E1F">
      <w:headerReference w:type="default" r:id="rId7"/>
      <w:pgSz w:w="11906" w:h="16838"/>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F80" w:rsidRDefault="00693F80" w:rsidP="00D819A5">
      <w:pPr>
        <w:spacing w:after="0" w:line="240" w:lineRule="auto"/>
      </w:pPr>
      <w:r>
        <w:separator/>
      </w:r>
    </w:p>
  </w:endnote>
  <w:endnote w:type="continuationSeparator" w:id="0">
    <w:p w:rsidR="00693F80" w:rsidRDefault="00693F80" w:rsidP="00D8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F80" w:rsidRDefault="00693F80" w:rsidP="00D819A5">
      <w:pPr>
        <w:spacing w:after="0" w:line="240" w:lineRule="auto"/>
      </w:pPr>
      <w:r>
        <w:separator/>
      </w:r>
    </w:p>
  </w:footnote>
  <w:footnote w:type="continuationSeparator" w:id="0">
    <w:p w:rsidR="00693F80" w:rsidRDefault="00693F80" w:rsidP="00D81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386937"/>
      <w:docPartObj>
        <w:docPartGallery w:val="Page Numbers (Top of Page)"/>
        <w:docPartUnique/>
      </w:docPartObj>
    </w:sdtPr>
    <w:sdtEndPr>
      <w:rPr>
        <w:noProof/>
      </w:rPr>
    </w:sdtEndPr>
    <w:sdtContent>
      <w:p w:rsidR="009B6F2A" w:rsidRDefault="009B6F2A">
        <w:pPr>
          <w:pStyle w:val="Header"/>
          <w:jc w:val="right"/>
        </w:pPr>
        <w:r>
          <w:fldChar w:fldCharType="begin"/>
        </w:r>
        <w:r>
          <w:instrText xml:space="preserve"> PAGE   \* MERGEFORMAT </w:instrText>
        </w:r>
        <w:r>
          <w:fldChar w:fldCharType="separate"/>
        </w:r>
        <w:r w:rsidR="003C248D">
          <w:rPr>
            <w:noProof/>
          </w:rPr>
          <w:t>4</w:t>
        </w:r>
        <w:r>
          <w:rPr>
            <w:noProof/>
          </w:rPr>
          <w:fldChar w:fldCharType="end"/>
        </w:r>
      </w:p>
    </w:sdtContent>
  </w:sdt>
  <w:p w:rsidR="009B6F2A" w:rsidRDefault="009B6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67E5"/>
    <w:multiLevelType w:val="hybridMultilevel"/>
    <w:tmpl w:val="52A4F1D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AC3029"/>
    <w:multiLevelType w:val="hybridMultilevel"/>
    <w:tmpl w:val="169A7E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44BCF"/>
    <w:multiLevelType w:val="hybridMultilevel"/>
    <w:tmpl w:val="169A7E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CF3AD2"/>
    <w:multiLevelType w:val="hybridMultilevel"/>
    <w:tmpl w:val="F976B37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AF1C31"/>
    <w:multiLevelType w:val="hybridMultilevel"/>
    <w:tmpl w:val="C2F83816"/>
    <w:lvl w:ilvl="0" w:tplc="29842E82">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520613"/>
    <w:multiLevelType w:val="hybridMultilevel"/>
    <w:tmpl w:val="169A7E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6B1FD4"/>
    <w:multiLevelType w:val="hybridMultilevel"/>
    <w:tmpl w:val="8E92FF98"/>
    <w:lvl w:ilvl="0" w:tplc="46FA4B2A">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A5"/>
    <w:rsid w:val="003C248D"/>
    <w:rsid w:val="005A0E1F"/>
    <w:rsid w:val="006651E4"/>
    <w:rsid w:val="00693F80"/>
    <w:rsid w:val="00747377"/>
    <w:rsid w:val="009B6F2A"/>
    <w:rsid w:val="00A10763"/>
    <w:rsid w:val="00CD7D4D"/>
    <w:rsid w:val="00D07AD0"/>
    <w:rsid w:val="00D07C0C"/>
    <w:rsid w:val="00D819A5"/>
    <w:rsid w:val="00E35F7A"/>
    <w:rsid w:val="00E52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4538F-15EC-44D0-BF6C-3E85F132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9A5"/>
  </w:style>
  <w:style w:type="paragraph" w:styleId="Footer">
    <w:name w:val="footer"/>
    <w:basedOn w:val="Normal"/>
    <w:link w:val="FooterChar"/>
    <w:uiPriority w:val="99"/>
    <w:unhideWhenUsed/>
    <w:rsid w:val="00D81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9A5"/>
  </w:style>
  <w:style w:type="table" w:styleId="TableGrid">
    <w:name w:val="Table Grid"/>
    <w:basedOn w:val="TableNormal"/>
    <w:uiPriority w:val="39"/>
    <w:rsid w:val="00D8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9A5"/>
    <w:pPr>
      <w:spacing w:after="80" w:line="240" w:lineRule="auto"/>
      <w:ind w:left="720"/>
      <w:contextualSpacing/>
    </w:pPr>
  </w:style>
  <w:style w:type="paragraph" w:styleId="BalloonText">
    <w:name w:val="Balloon Text"/>
    <w:basedOn w:val="Normal"/>
    <w:link w:val="BalloonTextChar"/>
    <w:uiPriority w:val="99"/>
    <w:semiHidden/>
    <w:unhideWhenUsed/>
    <w:rsid w:val="00E35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549" ma:contentTypeDescription=" " ma:contentTypeScope="" ma:versionID="8ce7114b49cdec0dca33bee71bb2cb3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2017MG-90-17869</_dlc_DocId>
    <TaxCatchAll xmlns="d4dd4adf-ddb3-46a3-8d7c-fab3fb2a6bc7">
      <Value>2</Value>
    </TaxCatchAll>
    <_dlc_DocIdUrl xmlns="d4dd4adf-ddb3-46a3-8d7c-fab3fb2a6bc7">
      <Url>http://tweb/sites/mg/fsd/_layouts/15/DocIdRedir.aspx?ID=2017MG-90-17869</Url>
      <Description>2017MG-90-17869</Description>
    </_dlc_DocIdUrl>
    <IconOverlay xmlns="http://schemas.microsoft.com/sharepoint/v4" xsi:nil="true"/>
  </documentManagement>
</p:properties>
</file>

<file path=customXml/itemProps1.xml><?xml version="1.0" encoding="utf-8"?>
<ds:datastoreItem xmlns:ds="http://schemas.openxmlformats.org/officeDocument/2006/customXml" ds:itemID="{A35F4807-D7E6-400D-B300-5A64CDE9C612}"/>
</file>

<file path=customXml/itemProps2.xml><?xml version="1.0" encoding="utf-8"?>
<ds:datastoreItem xmlns:ds="http://schemas.openxmlformats.org/officeDocument/2006/customXml" ds:itemID="{1426B377-33A2-43D9-BB1C-8633C760E577}"/>
</file>

<file path=customXml/itemProps3.xml><?xml version="1.0" encoding="utf-8"?>
<ds:datastoreItem xmlns:ds="http://schemas.openxmlformats.org/officeDocument/2006/customXml" ds:itemID="{CC144A6E-4B12-4533-91D5-FF8695800B02}"/>
</file>

<file path=customXml/itemProps4.xml><?xml version="1.0" encoding="utf-8"?>
<ds:datastoreItem xmlns:ds="http://schemas.openxmlformats.org/officeDocument/2006/customXml" ds:itemID="{29AFA658-A6EC-475D-AF66-BAE793D73657}"/>
</file>

<file path=customXml/itemProps5.xml><?xml version="1.0" encoding="utf-8"?>
<ds:datastoreItem xmlns:ds="http://schemas.openxmlformats.org/officeDocument/2006/customXml" ds:itemID="{60EEF067-65A2-455B-9C7E-E8DAE1B78DF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Aphay, Jenny (AU - Sydney)</dc:creator>
  <cp:keywords/>
  <dc:description/>
  <cp:lastModifiedBy>Aphay, Jenny (AU - Sydney)</cp:lastModifiedBy>
  <cp:revision>2</cp:revision>
  <cp:lastPrinted>2017-04-24T04:51:00Z</cp:lastPrinted>
  <dcterms:created xsi:type="dcterms:W3CDTF">2017-04-24T05:09:00Z</dcterms:created>
  <dcterms:modified xsi:type="dcterms:W3CDTF">2017-04-24T05:09:00Z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a78ff427-1914-43f0-a33c-fe1527ec521e</vt:lpwstr>
  </property>
  <property fmtid="{D5CDD505-2E9C-101B-9397-08002B2CF9AE}" pid="3" name="ContentTypeId">
    <vt:lpwstr>0x010100E95D40E5DFEA714B90E88DB5CE07A6B500935D0CF8835BE447895972B43AB8EC93</vt:lpwstr>
  </property>
  <property fmtid="{D5CDD505-2E9C-101B-9397-08002B2CF9AE}" pid="4" name="TSYRecordClass">
    <vt:lpwstr>2;#TSY RA-9081 - Retain as national archives|bbf0bcde-1687-4ff2-bc57-f31b5d545d4b</vt:lpwstr>
  </property>
  <property fmtid="{D5CDD505-2E9C-101B-9397-08002B2CF9AE}" pid="5" name="_AdHocReviewCycleID">
    <vt:i4>659683761</vt:i4>
  </property>
  <property fmtid="{D5CDD505-2E9C-101B-9397-08002B2CF9AE}" pid="6" name="_NewReviewCycle">
    <vt:lpwstr/>
  </property>
  <property fmtid="{D5CDD505-2E9C-101B-9397-08002B2CF9AE}" pid="7" name="_EmailSubject">
    <vt:lpwstr>Update - Request a New Webpage Request #S42347 [SEC=UNCLASSIFIED]</vt:lpwstr>
  </property>
  <property fmtid="{D5CDD505-2E9C-101B-9397-08002B2CF9AE}" pid="8" name="_AuthorEmail">
    <vt:lpwstr>Jean.Skeat@treasury.gov.au</vt:lpwstr>
  </property>
  <property fmtid="{D5CDD505-2E9C-101B-9397-08002B2CF9AE}" pid="9" name="_AuthorEmailDisplayName">
    <vt:lpwstr>Skeat, Jean</vt:lpwstr>
  </property>
</Properties>
</file>