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F6DDF" w14:textId="3373717C" w:rsidR="00D5650F" w:rsidRDefault="00774E2F" w:rsidP="00D5650F">
      <w:pPr>
        <w:pStyle w:val="Heading1"/>
      </w:pPr>
      <w:r>
        <w:rPr>
          <w:noProof/>
          <w:lang w:eastAsia="en-AU"/>
        </w:rPr>
        <mc:AlternateContent>
          <mc:Choice Requires="wps">
            <w:drawing>
              <wp:anchor distT="0" distB="0" distL="114300" distR="114300" simplePos="0" relativeHeight="251657216" behindDoc="0" locked="0" layoutInCell="1" allowOverlap="1" wp14:anchorId="5780E6EC" wp14:editId="6ED56B06">
                <wp:simplePos x="0" y="0"/>
                <wp:positionH relativeFrom="column">
                  <wp:posOffset>1512570</wp:posOffset>
                </wp:positionH>
                <wp:positionV relativeFrom="paragraph">
                  <wp:posOffset>-293370</wp:posOffset>
                </wp:positionV>
                <wp:extent cx="5107305" cy="843915"/>
                <wp:effectExtent l="1270" t="0" r="0" b="0"/>
                <wp:wrapTight wrapText="bothSides">
                  <wp:wrapPolygon edited="0">
                    <wp:start x="0" y="0"/>
                    <wp:lineTo x="21600" y="0"/>
                    <wp:lineTo x="21600" y="21600"/>
                    <wp:lineTo x="0" y="21600"/>
                    <wp:lineTo x="0" y="0"/>
                  </wp:wrapPolygon>
                </wp:wrapTight>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843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7C901" w14:textId="77777777" w:rsidR="008C72D7" w:rsidRPr="004B089F" w:rsidRDefault="008C72D7" w:rsidP="00BA5842">
                            <w:pPr>
                              <w:spacing w:after="0" w:line="360" w:lineRule="auto"/>
                              <w:rPr>
                                <w:rFonts w:ascii="Arial" w:hAnsi="Arial"/>
                                <w:sz w:val="40"/>
                                <w:szCs w:val="40"/>
                                <w:lang w:val="en-US"/>
                              </w:rPr>
                            </w:pPr>
                            <w:r w:rsidRPr="004B089F">
                              <w:rPr>
                                <w:rFonts w:ascii="Arial" w:hAnsi="Arial"/>
                                <w:sz w:val="40"/>
                                <w:szCs w:val="40"/>
                                <w:lang w:val="en-US"/>
                              </w:rPr>
                              <w:t>Business</w:t>
                            </w:r>
                            <w:r>
                              <w:rPr>
                                <w:rFonts w:ascii="Arial" w:hAnsi="Arial"/>
                                <w:sz w:val="40"/>
                                <w:szCs w:val="40"/>
                                <w:lang w:val="en-US"/>
                              </w:rPr>
                              <w:t xml:space="preserve"> School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80E6EC" id="_x0000_t202" coordsize="21600,21600" o:spt="202" path="m,l,21600r21600,l21600,xe">
                <v:stroke joinstyle="miter"/>
                <v:path gradientshapeok="t" o:connecttype="rect"/>
              </v:shapetype>
              <v:shape id="Text Box 10" o:spid="_x0000_s1026" type="#_x0000_t202" style="position:absolute;margin-left:119.1pt;margin-top:-23.1pt;width:402.15pt;height:6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PzrgIAAKo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" filled="f" stroked="f">
                <v:textbox inset="0,0,0,0">
                  <w:txbxContent>
                    <w:p w14:paraId="2E37C901" w14:textId="77777777" w:rsidR="008C72D7" w:rsidRPr="004B089F" w:rsidRDefault="008C72D7" w:rsidP="00BA5842">
                      <w:pPr>
                        <w:spacing w:after="0" w:line="360" w:lineRule="auto"/>
                        <w:rPr>
                          <w:rFonts w:ascii="Arial" w:hAnsi="Arial"/>
                          <w:sz w:val="40"/>
                          <w:szCs w:val="40"/>
                          <w:lang w:val="en-US"/>
                        </w:rPr>
                      </w:pPr>
                      <w:r w:rsidRPr="004B089F">
                        <w:rPr>
                          <w:rFonts w:ascii="Arial" w:hAnsi="Arial"/>
                          <w:sz w:val="40"/>
                          <w:szCs w:val="40"/>
                          <w:lang w:val="en-US"/>
                        </w:rPr>
                        <w:t>Business</w:t>
                      </w:r>
                      <w:r>
                        <w:rPr>
                          <w:rFonts w:ascii="Arial" w:hAnsi="Arial"/>
                          <w:sz w:val="40"/>
                          <w:szCs w:val="40"/>
                          <w:lang w:val="en-US"/>
                        </w:rPr>
                        <w:t xml:space="preserve"> School</w:t>
                      </w:r>
                    </w:p>
                  </w:txbxContent>
                </v:textbox>
                <w10:wrap type="tight"/>
              </v:shape>
            </w:pict>
          </mc:Fallback>
        </mc:AlternateContent>
      </w:r>
    </w:p>
    <w:p w14:paraId="6776BBFB" w14:textId="77777777" w:rsidR="00D5650F" w:rsidRDefault="00D5650F" w:rsidP="00D5650F">
      <w:pPr>
        <w:pStyle w:val="Heading1"/>
      </w:pPr>
    </w:p>
    <w:p w14:paraId="51168052" w14:textId="77777777" w:rsidR="00D5650F" w:rsidRDefault="00D5650F" w:rsidP="00D5650F">
      <w:pPr>
        <w:pStyle w:val="BodyText"/>
      </w:pPr>
    </w:p>
    <w:p w14:paraId="6745B875" w14:textId="77777777" w:rsidR="00D5650F" w:rsidRDefault="00D5650F" w:rsidP="00D5650F">
      <w:pPr>
        <w:pStyle w:val="BodyText"/>
      </w:pPr>
    </w:p>
    <w:p w14:paraId="78C24534" w14:textId="77777777" w:rsidR="00D5650F" w:rsidRDefault="00D5650F" w:rsidP="00D5650F">
      <w:pPr>
        <w:pStyle w:val="BodyText"/>
      </w:pPr>
    </w:p>
    <w:p w14:paraId="6F100786" w14:textId="77777777" w:rsidR="001D37C3" w:rsidRDefault="001D37C3" w:rsidP="00D5650F">
      <w:pPr>
        <w:pStyle w:val="BodyText"/>
      </w:pPr>
    </w:p>
    <w:p w14:paraId="68EB541E" w14:textId="77777777" w:rsidR="00D446AD" w:rsidRDefault="00D446AD" w:rsidP="00D5650F">
      <w:pPr>
        <w:pStyle w:val="BodyText"/>
        <w:rPr>
          <w:sz w:val="20"/>
          <w:szCs w:val="20"/>
        </w:rPr>
      </w:pPr>
    </w:p>
    <w:p w14:paraId="2706F71D" w14:textId="77777777" w:rsidR="00D446AD" w:rsidRDefault="00D446AD" w:rsidP="00D5650F">
      <w:pPr>
        <w:pStyle w:val="BodyText"/>
        <w:rPr>
          <w:sz w:val="20"/>
          <w:szCs w:val="20"/>
        </w:rPr>
      </w:pPr>
    </w:p>
    <w:p w14:paraId="19107935" w14:textId="77777777" w:rsidR="00FE4A1D" w:rsidRDefault="00FE4A1D" w:rsidP="00D5650F">
      <w:pPr>
        <w:pStyle w:val="BodyText"/>
        <w:rPr>
          <w:sz w:val="20"/>
          <w:szCs w:val="20"/>
        </w:rPr>
      </w:pPr>
    </w:p>
    <w:p w14:paraId="17C6BDA0" w14:textId="5CE8B04A" w:rsidR="000936F8" w:rsidRPr="00FE4A1D" w:rsidRDefault="00F60020" w:rsidP="00D5650F">
      <w:pPr>
        <w:pStyle w:val="BodyText"/>
        <w:rPr>
          <w:sz w:val="20"/>
          <w:szCs w:val="20"/>
        </w:rPr>
      </w:pPr>
      <w:r>
        <w:rPr>
          <w:sz w:val="20"/>
          <w:szCs w:val="20"/>
        </w:rPr>
        <w:t>24 April 2017</w:t>
      </w:r>
    </w:p>
    <w:p w14:paraId="7218EC9E" w14:textId="77777777" w:rsidR="001D37C3" w:rsidRPr="00FE4A1D" w:rsidRDefault="001D37C3" w:rsidP="00D5650F">
      <w:pPr>
        <w:pStyle w:val="BodyText"/>
        <w:rPr>
          <w:sz w:val="20"/>
          <w:szCs w:val="20"/>
        </w:rPr>
      </w:pPr>
    </w:p>
    <w:p w14:paraId="3E6556C0" w14:textId="304A2507" w:rsidR="000936F8" w:rsidRPr="00FE4A1D" w:rsidRDefault="00F60020" w:rsidP="00D5650F">
      <w:pPr>
        <w:pStyle w:val="BodyText"/>
        <w:rPr>
          <w:sz w:val="20"/>
          <w:szCs w:val="20"/>
        </w:rPr>
      </w:pPr>
      <w:r>
        <w:rPr>
          <w:sz w:val="20"/>
          <w:szCs w:val="20"/>
        </w:rPr>
        <w:t xml:space="preserve">Mr James Mason </w:t>
      </w:r>
    </w:p>
    <w:p w14:paraId="062BEDCC" w14:textId="00533C11" w:rsidR="001D37C3" w:rsidRPr="00FE4A1D" w:rsidRDefault="001D37C3" w:rsidP="00D5650F">
      <w:pPr>
        <w:pStyle w:val="BodyText"/>
        <w:rPr>
          <w:sz w:val="20"/>
          <w:szCs w:val="20"/>
        </w:rPr>
      </w:pPr>
      <w:r w:rsidRPr="00FE4A1D">
        <w:rPr>
          <w:sz w:val="20"/>
          <w:szCs w:val="20"/>
        </w:rPr>
        <w:t>Financial Systems Division</w:t>
      </w:r>
    </w:p>
    <w:p w14:paraId="7DFA2465" w14:textId="2D874222" w:rsidR="001D37C3" w:rsidRPr="00FE4A1D" w:rsidRDefault="001D37C3" w:rsidP="00D5650F">
      <w:pPr>
        <w:pStyle w:val="BodyText"/>
        <w:rPr>
          <w:sz w:val="20"/>
          <w:szCs w:val="20"/>
        </w:rPr>
      </w:pPr>
      <w:r w:rsidRPr="00FE4A1D">
        <w:rPr>
          <w:sz w:val="20"/>
          <w:szCs w:val="20"/>
        </w:rPr>
        <w:t>The Treasury</w:t>
      </w:r>
    </w:p>
    <w:p w14:paraId="143417F1" w14:textId="71FB7E55" w:rsidR="001D37C3" w:rsidRPr="00FE4A1D" w:rsidRDefault="001D37C3" w:rsidP="00D5650F">
      <w:pPr>
        <w:pStyle w:val="BodyText"/>
        <w:rPr>
          <w:sz w:val="20"/>
          <w:szCs w:val="20"/>
        </w:rPr>
      </w:pPr>
      <w:r w:rsidRPr="00FE4A1D">
        <w:rPr>
          <w:sz w:val="20"/>
          <w:szCs w:val="20"/>
        </w:rPr>
        <w:t>Langton Crescent</w:t>
      </w:r>
    </w:p>
    <w:p w14:paraId="3900E26F" w14:textId="582A840E" w:rsidR="001D37C3" w:rsidRPr="00FE4A1D" w:rsidRDefault="001D37C3" w:rsidP="00D5650F">
      <w:pPr>
        <w:pStyle w:val="BodyText"/>
        <w:rPr>
          <w:sz w:val="20"/>
          <w:szCs w:val="20"/>
        </w:rPr>
      </w:pPr>
      <w:r w:rsidRPr="00FE4A1D">
        <w:rPr>
          <w:sz w:val="20"/>
          <w:szCs w:val="20"/>
        </w:rPr>
        <w:t>PARKES ACT 2600</w:t>
      </w:r>
    </w:p>
    <w:p w14:paraId="50BDE35C" w14:textId="77777777" w:rsidR="000936F8" w:rsidRPr="00FE4A1D" w:rsidRDefault="000936F8" w:rsidP="00D5650F">
      <w:pPr>
        <w:pStyle w:val="BodyText"/>
        <w:rPr>
          <w:sz w:val="20"/>
          <w:szCs w:val="20"/>
        </w:rPr>
      </w:pPr>
    </w:p>
    <w:p w14:paraId="0C910F2B" w14:textId="5263E27A" w:rsidR="00FE4A1D" w:rsidRPr="00FE4A1D" w:rsidRDefault="00F60020" w:rsidP="00D5650F">
      <w:pPr>
        <w:pStyle w:val="BodyText"/>
        <w:rPr>
          <w:sz w:val="20"/>
          <w:szCs w:val="20"/>
        </w:rPr>
      </w:pPr>
      <w:r>
        <w:rPr>
          <w:sz w:val="20"/>
          <w:szCs w:val="20"/>
        </w:rPr>
        <w:t>Dear Sir</w:t>
      </w:r>
    </w:p>
    <w:p w14:paraId="708EBC56" w14:textId="77777777" w:rsidR="00FE4A1D" w:rsidRPr="00FE4A1D" w:rsidRDefault="00FE4A1D" w:rsidP="00D5650F">
      <w:pPr>
        <w:pStyle w:val="BodyText"/>
        <w:rPr>
          <w:sz w:val="20"/>
          <w:szCs w:val="20"/>
        </w:rPr>
      </w:pPr>
    </w:p>
    <w:p w14:paraId="1FC81192" w14:textId="7C44D1BD" w:rsidR="000936F8" w:rsidRPr="00FE4A1D" w:rsidRDefault="001D37C3" w:rsidP="00D5650F">
      <w:pPr>
        <w:pStyle w:val="BodyText"/>
        <w:rPr>
          <w:sz w:val="20"/>
          <w:szCs w:val="20"/>
        </w:rPr>
      </w:pPr>
      <w:r w:rsidRPr="00FE4A1D">
        <w:rPr>
          <w:sz w:val="20"/>
          <w:szCs w:val="20"/>
        </w:rPr>
        <w:t>Re:</w:t>
      </w:r>
      <w:r w:rsidR="00F60020">
        <w:rPr>
          <w:sz w:val="20"/>
          <w:szCs w:val="20"/>
        </w:rPr>
        <w:t xml:space="preserve"> Treasury Laws Amendment (2017 Enterprise Incentives No.2) Bill 2017</w:t>
      </w:r>
      <w:r w:rsidRPr="00FE4A1D">
        <w:rPr>
          <w:sz w:val="20"/>
          <w:szCs w:val="20"/>
        </w:rPr>
        <w:t xml:space="preserve"> </w:t>
      </w:r>
    </w:p>
    <w:p w14:paraId="5956DD03" w14:textId="77777777" w:rsidR="000936F8" w:rsidRPr="00FE4A1D" w:rsidRDefault="000936F8" w:rsidP="00D5650F">
      <w:pPr>
        <w:pStyle w:val="BodyText"/>
        <w:rPr>
          <w:sz w:val="20"/>
          <w:szCs w:val="20"/>
        </w:rPr>
      </w:pPr>
    </w:p>
    <w:p w14:paraId="3BECD77A" w14:textId="4D5AA26B" w:rsidR="00F60020" w:rsidRDefault="00F60020" w:rsidP="00D5650F">
      <w:pPr>
        <w:pStyle w:val="BodyText"/>
        <w:rPr>
          <w:sz w:val="20"/>
          <w:szCs w:val="20"/>
        </w:rPr>
      </w:pPr>
      <w:r>
        <w:rPr>
          <w:sz w:val="20"/>
          <w:szCs w:val="20"/>
        </w:rPr>
        <w:t xml:space="preserve">Thank you for the opportunity to comment.  </w:t>
      </w:r>
      <w:r w:rsidR="00FE4A1D" w:rsidRPr="00FE4A1D">
        <w:rPr>
          <w:sz w:val="20"/>
          <w:szCs w:val="20"/>
        </w:rPr>
        <w:t>This submission</w:t>
      </w:r>
      <w:r>
        <w:rPr>
          <w:sz w:val="20"/>
          <w:szCs w:val="20"/>
        </w:rPr>
        <w:t>, which deals</w:t>
      </w:r>
      <w:r w:rsidR="00FE4A1D" w:rsidRPr="00FE4A1D">
        <w:rPr>
          <w:sz w:val="20"/>
          <w:szCs w:val="20"/>
        </w:rPr>
        <w:t xml:space="preserve"> </w:t>
      </w:r>
      <w:r>
        <w:rPr>
          <w:sz w:val="20"/>
          <w:szCs w:val="20"/>
        </w:rPr>
        <w:t xml:space="preserve">with the safe harbour proposal only, </w:t>
      </w:r>
      <w:r w:rsidR="00FE4A1D" w:rsidRPr="00FE4A1D">
        <w:rPr>
          <w:sz w:val="20"/>
          <w:szCs w:val="20"/>
        </w:rPr>
        <w:t xml:space="preserve">is made in </w:t>
      </w:r>
      <w:r>
        <w:rPr>
          <w:sz w:val="20"/>
          <w:szCs w:val="20"/>
        </w:rPr>
        <w:t>response to the Exposure Draft of the Treasury Laws Amendment (2017 Enterprise Incentives No.2) Bill 2017.</w:t>
      </w:r>
    </w:p>
    <w:p w14:paraId="3D231CD9" w14:textId="77777777" w:rsidR="00F60020" w:rsidRDefault="00F60020" w:rsidP="00D5650F">
      <w:pPr>
        <w:pStyle w:val="BodyText"/>
        <w:rPr>
          <w:sz w:val="20"/>
          <w:szCs w:val="20"/>
        </w:rPr>
      </w:pPr>
    </w:p>
    <w:p w14:paraId="143EBF64" w14:textId="77777777" w:rsidR="000936F8" w:rsidRPr="00FE4A1D" w:rsidRDefault="000936F8" w:rsidP="00D5650F">
      <w:pPr>
        <w:pStyle w:val="BodyText"/>
        <w:rPr>
          <w:sz w:val="20"/>
          <w:szCs w:val="20"/>
        </w:rPr>
      </w:pPr>
    </w:p>
    <w:p w14:paraId="46411D98" w14:textId="77777777" w:rsidR="000936F8" w:rsidRPr="00FE4A1D" w:rsidRDefault="000936F8" w:rsidP="00D5650F">
      <w:pPr>
        <w:pStyle w:val="BodyText"/>
        <w:rPr>
          <w:sz w:val="20"/>
          <w:szCs w:val="20"/>
        </w:rPr>
      </w:pPr>
    </w:p>
    <w:p w14:paraId="4B1927E2" w14:textId="77777777" w:rsidR="000936F8" w:rsidRPr="00FE4A1D" w:rsidRDefault="000936F8" w:rsidP="00D5650F">
      <w:pPr>
        <w:pStyle w:val="BodyText"/>
        <w:rPr>
          <w:sz w:val="20"/>
          <w:szCs w:val="20"/>
        </w:rPr>
      </w:pPr>
    </w:p>
    <w:p w14:paraId="6B1FEA64" w14:textId="034BA110" w:rsidR="00D446AD" w:rsidRPr="00FE4A1D" w:rsidRDefault="00FE4A1D" w:rsidP="00D5650F">
      <w:pPr>
        <w:pStyle w:val="BodyText"/>
        <w:rPr>
          <w:sz w:val="20"/>
          <w:szCs w:val="20"/>
        </w:rPr>
      </w:pPr>
      <w:r w:rsidRPr="00FE4A1D">
        <w:rPr>
          <w:sz w:val="20"/>
          <w:szCs w:val="20"/>
        </w:rPr>
        <w:t>Yours faithfully</w:t>
      </w:r>
    </w:p>
    <w:p w14:paraId="426FDF23" w14:textId="77777777" w:rsidR="00D446AD" w:rsidRPr="00FE4A1D" w:rsidRDefault="00D446AD" w:rsidP="00D5650F">
      <w:pPr>
        <w:pStyle w:val="BodyText"/>
        <w:rPr>
          <w:sz w:val="20"/>
          <w:szCs w:val="20"/>
        </w:rPr>
      </w:pPr>
    </w:p>
    <w:p w14:paraId="58D00F44" w14:textId="77777777" w:rsidR="00D446AD" w:rsidRPr="00FE4A1D" w:rsidRDefault="00D446AD" w:rsidP="00D5650F">
      <w:pPr>
        <w:pStyle w:val="BodyText"/>
        <w:rPr>
          <w:sz w:val="20"/>
          <w:szCs w:val="20"/>
        </w:rPr>
      </w:pPr>
    </w:p>
    <w:p w14:paraId="1F1BF6E0" w14:textId="54FD9385" w:rsidR="000936F8" w:rsidRPr="00FE4A1D" w:rsidRDefault="001D37C3" w:rsidP="00D5650F">
      <w:pPr>
        <w:pStyle w:val="BodyText"/>
        <w:rPr>
          <w:sz w:val="20"/>
          <w:szCs w:val="20"/>
        </w:rPr>
      </w:pPr>
      <w:r w:rsidRPr="00FE4A1D">
        <w:rPr>
          <w:sz w:val="20"/>
          <w:szCs w:val="20"/>
        </w:rPr>
        <w:t>Associate Professor Anil Hargovan</w:t>
      </w:r>
    </w:p>
    <w:p w14:paraId="40E67D78" w14:textId="65682F4C" w:rsidR="00D446AD" w:rsidRDefault="00D446AD" w:rsidP="00D5650F">
      <w:pPr>
        <w:pStyle w:val="BodyText"/>
        <w:rPr>
          <w:sz w:val="20"/>
          <w:szCs w:val="20"/>
        </w:rPr>
      </w:pPr>
      <w:r w:rsidRPr="00FE4A1D">
        <w:rPr>
          <w:sz w:val="20"/>
          <w:szCs w:val="20"/>
        </w:rPr>
        <w:t>School of Taxation and Business Law (UNSW)</w:t>
      </w:r>
    </w:p>
    <w:p w14:paraId="2806B036" w14:textId="1013038B" w:rsidR="00FE4A1D" w:rsidRDefault="009F52A5" w:rsidP="00D5650F">
      <w:pPr>
        <w:pStyle w:val="BodyText"/>
        <w:rPr>
          <w:sz w:val="20"/>
          <w:szCs w:val="20"/>
        </w:rPr>
      </w:pPr>
      <w:hyperlink r:id="rId12" w:history="1">
        <w:r w:rsidR="00FE4A1D" w:rsidRPr="00F756ED">
          <w:rPr>
            <w:rStyle w:val="Hyperlink"/>
            <w:sz w:val="20"/>
            <w:szCs w:val="20"/>
          </w:rPr>
          <w:t>a.hargovan@unsw.edu.au</w:t>
        </w:r>
      </w:hyperlink>
    </w:p>
    <w:p w14:paraId="23A2C5CF" w14:textId="77777777" w:rsidR="00FE4A1D" w:rsidRPr="00FE4A1D" w:rsidRDefault="00FE4A1D" w:rsidP="00D5650F">
      <w:pPr>
        <w:pStyle w:val="BodyText"/>
        <w:rPr>
          <w:sz w:val="20"/>
          <w:szCs w:val="20"/>
        </w:rPr>
      </w:pPr>
    </w:p>
    <w:p w14:paraId="0EDAA6D3" w14:textId="77777777" w:rsidR="000936F8" w:rsidRPr="00FE4A1D" w:rsidRDefault="000936F8" w:rsidP="00D5650F">
      <w:pPr>
        <w:pStyle w:val="BodyText"/>
        <w:rPr>
          <w:sz w:val="20"/>
          <w:szCs w:val="20"/>
        </w:rPr>
      </w:pPr>
    </w:p>
    <w:p w14:paraId="753EB003" w14:textId="77777777" w:rsidR="000936F8" w:rsidRDefault="000936F8" w:rsidP="00D5650F">
      <w:pPr>
        <w:pStyle w:val="BodyText"/>
      </w:pPr>
    </w:p>
    <w:p w14:paraId="00F3483F" w14:textId="77777777" w:rsidR="000936F8" w:rsidRDefault="000936F8" w:rsidP="00D5650F">
      <w:pPr>
        <w:pStyle w:val="BodyText"/>
      </w:pPr>
    </w:p>
    <w:p w14:paraId="102754C2" w14:textId="77777777" w:rsidR="000936F8" w:rsidRDefault="000936F8" w:rsidP="00D5650F">
      <w:pPr>
        <w:pStyle w:val="BodyText"/>
      </w:pPr>
    </w:p>
    <w:p w14:paraId="4FEB4EF9" w14:textId="77777777" w:rsidR="000936F8" w:rsidRDefault="000936F8" w:rsidP="00D5650F">
      <w:pPr>
        <w:pStyle w:val="BodyText"/>
      </w:pPr>
    </w:p>
    <w:p w14:paraId="11418A27" w14:textId="77777777" w:rsidR="000936F8" w:rsidRDefault="000936F8" w:rsidP="00D5650F">
      <w:pPr>
        <w:pStyle w:val="BodyText"/>
      </w:pPr>
    </w:p>
    <w:p w14:paraId="1A5DB451" w14:textId="77777777" w:rsidR="000936F8" w:rsidRDefault="000936F8" w:rsidP="00D5650F">
      <w:pPr>
        <w:pStyle w:val="BodyText"/>
      </w:pPr>
    </w:p>
    <w:p w14:paraId="17DB391B" w14:textId="77777777" w:rsidR="000936F8" w:rsidRDefault="000936F8" w:rsidP="00D5650F">
      <w:pPr>
        <w:pStyle w:val="BodyText"/>
      </w:pPr>
    </w:p>
    <w:p w14:paraId="7AF375BD" w14:textId="456EEECE" w:rsidR="00FE4A1D" w:rsidRPr="00FE4A1D" w:rsidRDefault="00192AF2" w:rsidP="000936F8">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General Comments</w:t>
      </w:r>
    </w:p>
    <w:p w14:paraId="2BCAE3B5" w14:textId="77777777" w:rsidR="00FE4A1D" w:rsidRDefault="00FE4A1D" w:rsidP="000936F8">
      <w:pPr>
        <w:spacing w:after="0" w:line="240" w:lineRule="auto"/>
        <w:jc w:val="both"/>
        <w:rPr>
          <w:rFonts w:ascii="Times New Roman" w:eastAsia="Times New Roman" w:hAnsi="Times New Roman"/>
          <w:sz w:val="24"/>
          <w:szCs w:val="24"/>
        </w:rPr>
      </w:pPr>
    </w:p>
    <w:p w14:paraId="52265A9B" w14:textId="77777777" w:rsidR="00782C6B" w:rsidRDefault="00192AF2" w:rsidP="000936F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submission supports the effort by Treasury to temper the stringent nature of the current law on insolvent trading.  </w:t>
      </w:r>
    </w:p>
    <w:p w14:paraId="2C64BC85" w14:textId="77777777" w:rsidR="00782C6B" w:rsidRDefault="00782C6B" w:rsidP="000936F8">
      <w:pPr>
        <w:spacing w:after="0" w:line="240" w:lineRule="auto"/>
        <w:jc w:val="both"/>
        <w:rPr>
          <w:rFonts w:ascii="Times New Roman" w:eastAsia="Times New Roman" w:hAnsi="Times New Roman"/>
          <w:sz w:val="24"/>
          <w:szCs w:val="24"/>
        </w:rPr>
      </w:pPr>
    </w:p>
    <w:p w14:paraId="00D52DFD" w14:textId="0F3C2948" w:rsidR="009F3BF5" w:rsidRDefault="00192AF2" w:rsidP="000936F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safe harbour proposal is a welcomed initiative</w:t>
      </w:r>
      <w:r w:rsidR="00782C6B">
        <w:rPr>
          <w:rFonts w:ascii="Times New Roman" w:eastAsia="Times New Roman" w:hAnsi="Times New Roman"/>
          <w:sz w:val="24"/>
          <w:szCs w:val="24"/>
        </w:rPr>
        <w:t xml:space="preserve">.  </w:t>
      </w:r>
      <w:r w:rsidR="007D46ED">
        <w:rPr>
          <w:rFonts w:ascii="Times New Roman" w:eastAsia="Times New Roman" w:hAnsi="Times New Roman"/>
          <w:sz w:val="24"/>
          <w:szCs w:val="24"/>
        </w:rPr>
        <w:t xml:space="preserve">It addresses structural defects in the </w:t>
      </w:r>
      <w:r w:rsidR="008C72D7">
        <w:rPr>
          <w:rFonts w:ascii="Times New Roman" w:eastAsia="Times New Roman" w:hAnsi="Times New Roman"/>
          <w:sz w:val="24"/>
          <w:szCs w:val="24"/>
        </w:rPr>
        <w:t xml:space="preserve">current operation of </w:t>
      </w:r>
      <w:r w:rsidR="007D46ED">
        <w:rPr>
          <w:rFonts w:ascii="Times New Roman" w:eastAsia="Times New Roman" w:hAnsi="Times New Roman"/>
          <w:sz w:val="24"/>
          <w:szCs w:val="24"/>
        </w:rPr>
        <w:t xml:space="preserve">insolvent trading law </w:t>
      </w:r>
      <w:r w:rsidR="009F3BF5">
        <w:rPr>
          <w:rFonts w:ascii="Times New Roman" w:eastAsia="Times New Roman" w:hAnsi="Times New Roman"/>
          <w:sz w:val="24"/>
          <w:szCs w:val="24"/>
        </w:rPr>
        <w:t>which</w:t>
      </w:r>
      <w:r w:rsidR="007D46ED">
        <w:rPr>
          <w:rFonts w:ascii="Times New Roman" w:eastAsia="Times New Roman" w:hAnsi="Times New Roman"/>
          <w:sz w:val="24"/>
          <w:szCs w:val="24"/>
        </w:rPr>
        <w:t xml:space="preserve"> disincentives directors attempts at restructuring through the pain of personal liability.  </w:t>
      </w:r>
    </w:p>
    <w:p w14:paraId="24C6A738" w14:textId="77777777" w:rsidR="009F3BF5" w:rsidRDefault="009F3BF5" w:rsidP="000936F8">
      <w:pPr>
        <w:spacing w:after="0" w:line="240" w:lineRule="auto"/>
        <w:jc w:val="both"/>
        <w:rPr>
          <w:rFonts w:ascii="Times New Roman" w:eastAsia="Times New Roman" w:hAnsi="Times New Roman"/>
          <w:sz w:val="24"/>
          <w:szCs w:val="24"/>
        </w:rPr>
      </w:pPr>
    </w:p>
    <w:p w14:paraId="0C6FF3D9" w14:textId="016F15EE" w:rsidR="00192AF2" w:rsidRDefault="00782C6B" w:rsidP="000936F8">
      <w:pPr>
        <w:spacing w:after="0" w:line="240" w:lineRule="auto"/>
        <w:jc w:val="both"/>
        <w:rPr>
          <w:rFonts w:ascii="Times New Roman" w:hAnsi="Times New Roman"/>
          <w:sz w:val="24"/>
          <w:szCs w:val="24"/>
          <w:lang w:val="en-US"/>
        </w:rPr>
      </w:pPr>
      <w:r>
        <w:rPr>
          <w:rFonts w:ascii="Times New Roman" w:eastAsia="Times New Roman" w:hAnsi="Times New Roman"/>
          <w:sz w:val="24"/>
          <w:szCs w:val="24"/>
        </w:rPr>
        <w:t xml:space="preserve">It is anticipated </w:t>
      </w:r>
      <w:r w:rsidR="00192AF2">
        <w:rPr>
          <w:rFonts w:ascii="Times New Roman" w:eastAsia="Times New Roman" w:hAnsi="Times New Roman"/>
          <w:sz w:val="24"/>
          <w:szCs w:val="24"/>
        </w:rPr>
        <w:t xml:space="preserve">that </w:t>
      </w:r>
      <w:r w:rsidR="007D46ED">
        <w:rPr>
          <w:rFonts w:ascii="Times New Roman" w:eastAsia="Times New Roman" w:hAnsi="Times New Roman"/>
          <w:sz w:val="24"/>
          <w:szCs w:val="24"/>
        </w:rPr>
        <w:t xml:space="preserve">the safe harbour </w:t>
      </w:r>
      <w:r w:rsidR="00192AF2">
        <w:rPr>
          <w:rFonts w:ascii="Times New Roman" w:eastAsia="Times New Roman" w:hAnsi="Times New Roman"/>
          <w:sz w:val="24"/>
          <w:szCs w:val="24"/>
        </w:rPr>
        <w:t xml:space="preserve">will go a considerable way to address the </w:t>
      </w:r>
      <w:r w:rsidR="00192AF2" w:rsidRPr="00996E93">
        <w:rPr>
          <w:rFonts w:ascii="Times New Roman" w:hAnsi="Times New Roman"/>
          <w:sz w:val="24"/>
          <w:szCs w:val="24"/>
          <w:lang w:val="en-US"/>
        </w:rPr>
        <w:t>the difficult, but pragmatic, question of whether to trade or not to trade.</w:t>
      </w:r>
      <w:r w:rsidR="007800CC">
        <w:rPr>
          <w:rStyle w:val="FootnoteReference"/>
          <w:rFonts w:ascii="Times New Roman" w:hAnsi="Times New Roman"/>
          <w:sz w:val="24"/>
          <w:szCs w:val="24"/>
          <w:lang w:val="en-US"/>
        </w:rPr>
        <w:footnoteReference w:id="1"/>
      </w:r>
      <w:r w:rsidR="00192AF2">
        <w:rPr>
          <w:rFonts w:ascii="Times New Roman" w:hAnsi="Times New Roman"/>
          <w:sz w:val="24"/>
          <w:szCs w:val="24"/>
          <w:lang w:val="en-US"/>
        </w:rPr>
        <w:t xml:space="preserve">  The safe harbor proposal is likely to offer </w:t>
      </w:r>
      <w:r w:rsidR="003B4F76">
        <w:rPr>
          <w:rFonts w:ascii="Times New Roman" w:hAnsi="Times New Roman"/>
          <w:sz w:val="24"/>
          <w:szCs w:val="24"/>
          <w:lang w:val="en-US"/>
        </w:rPr>
        <w:t>more</w:t>
      </w:r>
      <w:r w:rsidR="00192AF2">
        <w:rPr>
          <w:rFonts w:ascii="Times New Roman" w:hAnsi="Times New Roman"/>
          <w:sz w:val="24"/>
          <w:szCs w:val="24"/>
          <w:lang w:val="en-US"/>
        </w:rPr>
        <w:t xml:space="preserve"> assurance for directors, who trade in times of financial difficulty, that they may do so without the law pouncing and imposing personal liability at</w:t>
      </w:r>
      <w:r>
        <w:rPr>
          <w:rFonts w:ascii="Times New Roman" w:hAnsi="Times New Roman"/>
          <w:sz w:val="24"/>
          <w:szCs w:val="24"/>
          <w:lang w:val="en-US"/>
        </w:rPr>
        <w:t xml:space="preserve"> the</w:t>
      </w:r>
      <w:r w:rsidR="00192AF2">
        <w:rPr>
          <w:rFonts w:ascii="Times New Roman" w:hAnsi="Times New Roman"/>
          <w:sz w:val="24"/>
          <w:szCs w:val="24"/>
          <w:lang w:val="en-US"/>
        </w:rPr>
        <w:t xml:space="preserve"> first opportunity.   </w:t>
      </w:r>
      <w:r>
        <w:rPr>
          <w:rFonts w:ascii="Times New Roman" w:hAnsi="Times New Roman"/>
          <w:sz w:val="24"/>
          <w:szCs w:val="24"/>
          <w:lang w:val="en-US"/>
        </w:rPr>
        <w:t xml:space="preserve">The safe </w:t>
      </w:r>
      <w:proofErr w:type="spellStart"/>
      <w:r>
        <w:rPr>
          <w:rFonts w:ascii="Times New Roman" w:hAnsi="Times New Roman"/>
          <w:sz w:val="24"/>
          <w:szCs w:val="24"/>
          <w:lang w:val="en-US"/>
        </w:rPr>
        <w:t>harbour</w:t>
      </w:r>
      <w:proofErr w:type="spellEnd"/>
      <w:r>
        <w:rPr>
          <w:rFonts w:ascii="Times New Roman" w:hAnsi="Times New Roman"/>
          <w:sz w:val="24"/>
          <w:szCs w:val="24"/>
          <w:lang w:val="en-US"/>
        </w:rPr>
        <w:t xml:space="preserve"> proposal, in this way, adopts a more measured approach to personal liability for insolvent trading.  It also seeks to provide a better ali</w:t>
      </w:r>
      <w:r w:rsidR="008C72D7">
        <w:rPr>
          <w:rFonts w:ascii="Times New Roman" w:hAnsi="Times New Roman"/>
          <w:sz w:val="24"/>
          <w:szCs w:val="24"/>
          <w:lang w:val="en-US"/>
        </w:rPr>
        <w:t>gnment to achieve</w:t>
      </w:r>
      <w:r>
        <w:rPr>
          <w:rFonts w:ascii="Times New Roman" w:hAnsi="Times New Roman"/>
          <w:sz w:val="24"/>
          <w:szCs w:val="24"/>
          <w:lang w:val="en-US"/>
        </w:rPr>
        <w:t xml:space="preserve"> the twin goals of director accountability and corporate rescue through restructuring –</w:t>
      </w:r>
      <w:r w:rsidR="00D81720">
        <w:rPr>
          <w:rFonts w:ascii="Times New Roman" w:hAnsi="Times New Roman"/>
          <w:sz w:val="24"/>
          <w:szCs w:val="24"/>
          <w:lang w:val="en-US"/>
        </w:rPr>
        <w:t xml:space="preserve"> the latter </w:t>
      </w:r>
      <w:r>
        <w:rPr>
          <w:rFonts w:ascii="Times New Roman" w:hAnsi="Times New Roman"/>
          <w:sz w:val="24"/>
          <w:szCs w:val="24"/>
          <w:lang w:val="en-US"/>
        </w:rPr>
        <w:t xml:space="preserve">being impeded </w:t>
      </w:r>
      <w:r w:rsidR="008C72D7">
        <w:rPr>
          <w:rFonts w:ascii="Times New Roman" w:hAnsi="Times New Roman"/>
          <w:sz w:val="24"/>
          <w:szCs w:val="24"/>
          <w:lang w:val="en-US"/>
        </w:rPr>
        <w:t xml:space="preserve">by the way in which the </w:t>
      </w:r>
      <w:r>
        <w:rPr>
          <w:rFonts w:ascii="Times New Roman" w:hAnsi="Times New Roman"/>
          <w:sz w:val="24"/>
          <w:szCs w:val="24"/>
          <w:lang w:val="en-US"/>
        </w:rPr>
        <w:t xml:space="preserve">law on insolvent trading </w:t>
      </w:r>
      <w:r w:rsidR="008C72D7">
        <w:rPr>
          <w:rFonts w:ascii="Times New Roman" w:hAnsi="Times New Roman"/>
          <w:sz w:val="24"/>
          <w:szCs w:val="24"/>
          <w:lang w:val="en-US"/>
        </w:rPr>
        <w:t xml:space="preserve">currently </w:t>
      </w:r>
      <w:r>
        <w:rPr>
          <w:rFonts w:ascii="Times New Roman" w:hAnsi="Times New Roman"/>
          <w:sz w:val="24"/>
          <w:szCs w:val="24"/>
          <w:lang w:val="en-US"/>
        </w:rPr>
        <w:t>operates.</w:t>
      </w:r>
    </w:p>
    <w:p w14:paraId="4AFB7CF0" w14:textId="1CEA02F1" w:rsidR="00782C6B" w:rsidRDefault="00782C6B" w:rsidP="000936F8">
      <w:pPr>
        <w:spacing w:after="0" w:line="240" w:lineRule="auto"/>
        <w:jc w:val="both"/>
        <w:rPr>
          <w:rFonts w:ascii="Times New Roman" w:hAnsi="Times New Roman"/>
          <w:sz w:val="24"/>
          <w:szCs w:val="24"/>
          <w:lang w:val="en-US"/>
        </w:rPr>
      </w:pPr>
    </w:p>
    <w:p w14:paraId="587F9092" w14:textId="74B44656" w:rsidR="00782C6B" w:rsidRDefault="00CE15F4" w:rsidP="000936F8">
      <w:pPr>
        <w:spacing w:after="0" w:line="240" w:lineRule="auto"/>
        <w:jc w:val="both"/>
        <w:rPr>
          <w:rFonts w:ascii="Times New Roman" w:eastAsia="Times New Roman" w:hAnsi="Times New Roman"/>
          <w:sz w:val="24"/>
          <w:szCs w:val="24"/>
        </w:rPr>
      </w:pPr>
      <w:r>
        <w:rPr>
          <w:rFonts w:ascii="Times New Roman" w:hAnsi="Times New Roman"/>
          <w:sz w:val="24"/>
          <w:szCs w:val="24"/>
          <w:lang w:val="en-US"/>
        </w:rPr>
        <w:t xml:space="preserve">The </w:t>
      </w:r>
      <w:r w:rsidR="00782C6B">
        <w:rPr>
          <w:rFonts w:ascii="Times New Roman" w:hAnsi="Times New Roman"/>
          <w:sz w:val="24"/>
          <w:szCs w:val="24"/>
          <w:lang w:val="en-US"/>
        </w:rPr>
        <w:t>safe harbor</w:t>
      </w:r>
      <w:r>
        <w:rPr>
          <w:rFonts w:ascii="Times New Roman" w:hAnsi="Times New Roman"/>
          <w:sz w:val="24"/>
          <w:szCs w:val="24"/>
          <w:lang w:val="en-US"/>
        </w:rPr>
        <w:t xml:space="preserve">, </w:t>
      </w:r>
      <w:r w:rsidR="003B4F76">
        <w:rPr>
          <w:rFonts w:ascii="Times New Roman" w:hAnsi="Times New Roman"/>
          <w:sz w:val="24"/>
          <w:szCs w:val="24"/>
          <w:lang w:val="en-US"/>
        </w:rPr>
        <w:t>appropriately, is</w:t>
      </w:r>
      <w:r w:rsidR="00782C6B">
        <w:rPr>
          <w:rFonts w:ascii="Times New Roman" w:hAnsi="Times New Roman"/>
          <w:sz w:val="24"/>
          <w:szCs w:val="24"/>
          <w:lang w:val="en-US"/>
        </w:rPr>
        <w:t xml:space="preserve"> unavailable </w:t>
      </w:r>
      <w:r>
        <w:rPr>
          <w:rFonts w:ascii="Times New Roman" w:hAnsi="Times New Roman"/>
          <w:sz w:val="24"/>
          <w:szCs w:val="24"/>
          <w:lang w:val="en-US"/>
        </w:rPr>
        <w:t xml:space="preserve">to directors who fail to provide employee entitlements or fail to give returns or other documents required by taxation law.  This measure </w:t>
      </w:r>
      <w:r w:rsidR="00F4045B">
        <w:rPr>
          <w:rFonts w:ascii="Times New Roman" w:hAnsi="Times New Roman"/>
          <w:sz w:val="24"/>
          <w:szCs w:val="24"/>
          <w:lang w:val="en-US"/>
        </w:rPr>
        <w:t xml:space="preserve">helps to </w:t>
      </w:r>
      <w:r>
        <w:rPr>
          <w:rFonts w:ascii="Times New Roman" w:hAnsi="Times New Roman"/>
          <w:sz w:val="24"/>
          <w:szCs w:val="24"/>
          <w:lang w:val="en-US"/>
        </w:rPr>
        <w:t xml:space="preserve">ensure that the promotion of a greater cultural appetite for business risk does not come at the expense of employees and the wider community, for </w:t>
      </w:r>
      <w:r w:rsidR="003B4F76">
        <w:rPr>
          <w:rFonts w:ascii="Times New Roman" w:hAnsi="Times New Roman"/>
          <w:sz w:val="24"/>
          <w:szCs w:val="24"/>
          <w:lang w:val="en-US"/>
        </w:rPr>
        <w:t>example, through</w:t>
      </w:r>
      <w:r>
        <w:rPr>
          <w:rFonts w:ascii="Times New Roman" w:hAnsi="Times New Roman"/>
          <w:sz w:val="24"/>
          <w:szCs w:val="24"/>
          <w:lang w:val="en-US"/>
        </w:rPr>
        <w:t xml:space="preserve"> phoenix activities.</w:t>
      </w:r>
      <w:r>
        <w:rPr>
          <w:rStyle w:val="FootnoteReference"/>
          <w:rFonts w:ascii="Times New Roman" w:hAnsi="Times New Roman"/>
          <w:sz w:val="24"/>
          <w:szCs w:val="24"/>
          <w:lang w:val="en-US"/>
        </w:rPr>
        <w:footnoteReference w:id="2"/>
      </w:r>
      <w:r>
        <w:rPr>
          <w:rFonts w:ascii="Times New Roman" w:hAnsi="Times New Roman"/>
          <w:sz w:val="24"/>
          <w:szCs w:val="24"/>
          <w:lang w:val="en-US"/>
        </w:rPr>
        <w:t xml:space="preserve"> </w:t>
      </w:r>
    </w:p>
    <w:p w14:paraId="043D8B05" w14:textId="77777777" w:rsidR="00192AF2" w:rsidRDefault="00192AF2" w:rsidP="000936F8">
      <w:pPr>
        <w:spacing w:after="0" w:line="240" w:lineRule="auto"/>
        <w:jc w:val="both"/>
        <w:rPr>
          <w:rFonts w:ascii="Times New Roman" w:eastAsia="Times New Roman" w:hAnsi="Times New Roman"/>
          <w:sz w:val="24"/>
          <w:szCs w:val="24"/>
        </w:rPr>
      </w:pPr>
    </w:p>
    <w:p w14:paraId="7FAB90D3" w14:textId="39A1E04D" w:rsidR="000936F8" w:rsidRPr="00996E93" w:rsidRDefault="000936F8" w:rsidP="000936F8">
      <w:pPr>
        <w:rPr>
          <w:rFonts w:ascii="Times New Roman" w:hAnsi="Times New Roman"/>
          <w:sz w:val="24"/>
          <w:szCs w:val="24"/>
        </w:rPr>
      </w:pPr>
      <w:r>
        <w:rPr>
          <w:rFonts w:ascii="Times New Roman" w:hAnsi="Times New Roman"/>
          <w:sz w:val="24"/>
          <w:szCs w:val="24"/>
        </w:rPr>
        <w:t>Against the backdrop of these</w:t>
      </w:r>
      <w:r w:rsidR="00822EAE">
        <w:rPr>
          <w:rFonts w:ascii="Times New Roman" w:hAnsi="Times New Roman"/>
          <w:sz w:val="24"/>
          <w:szCs w:val="24"/>
        </w:rPr>
        <w:t xml:space="preserve"> general comments</w:t>
      </w:r>
      <w:r>
        <w:rPr>
          <w:rFonts w:ascii="Times New Roman" w:hAnsi="Times New Roman"/>
          <w:sz w:val="24"/>
          <w:szCs w:val="24"/>
        </w:rPr>
        <w:t>, the followi</w:t>
      </w:r>
      <w:r w:rsidR="00F4045B">
        <w:rPr>
          <w:rFonts w:ascii="Times New Roman" w:hAnsi="Times New Roman"/>
          <w:sz w:val="24"/>
          <w:szCs w:val="24"/>
        </w:rPr>
        <w:t xml:space="preserve">ng </w:t>
      </w:r>
      <w:r w:rsidR="00D81720">
        <w:rPr>
          <w:rFonts w:ascii="Times New Roman" w:hAnsi="Times New Roman"/>
          <w:sz w:val="24"/>
          <w:szCs w:val="24"/>
        </w:rPr>
        <w:t xml:space="preserve">specific </w:t>
      </w:r>
      <w:r w:rsidR="00F4045B">
        <w:rPr>
          <w:rFonts w:ascii="Times New Roman" w:hAnsi="Times New Roman"/>
          <w:sz w:val="24"/>
          <w:szCs w:val="24"/>
        </w:rPr>
        <w:t xml:space="preserve">responses are offered to the </w:t>
      </w:r>
      <w:r w:rsidR="00822EAE">
        <w:rPr>
          <w:rFonts w:ascii="Times New Roman" w:hAnsi="Times New Roman"/>
          <w:sz w:val="24"/>
          <w:szCs w:val="24"/>
        </w:rPr>
        <w:t xml:space="preserve">Exposure </w:t>
      </w:r>
      <w:r w:rsidR="00D81720">
        <w:rPr>
          <w:rFonts w:ascii="Times New Roman" w:hAnsi="Times New Roman"/>
          <w:sz w:val="24"/>
          <w:szCs w:val="24"/>
        </w:rPr>
        <w:t xml:space="preserve">Draft dealing with the </w:t>
      </w:r>
      <w:r w:rsidR="00822EAE">
        <w:rPr>
          <w:rFonts w:ascii="Times New Roman" w:hAnsi="Times New Roman"/>
          <w:sz w:val="24"/>
          <w:szCs w:val="24"/>
        </w:rPr>
        <w:t>safe harbour.</w:t>
      </w:r>
    </w:p>
    <w:p w14:paraId="6764087D" w14:textId="77777777" w:rsidR="009F52A5" w:rsidRDefault="009F52A5" w:rsidP="000936F8">
      <w:pPr>
        <w:rPr>
          <w:rFonts w:ascii="Times New Roman" w:hAnsi="Times New Roman"/>
          <w:b/>
          <w:sz w:val="24"/>
          <w:szCs w:val="24"/>
        </w:rPr>
      </w:pPr>
    </w:p>
    <w:p w14:paraId="3A540694" w14:textId="77777777" w:rsidR="009F52A5" w:rsidRDefault="009F52A5" w:rsidP="000936F8">
      <w:pPr>
        <w:rPr>
          <w:rFonts w:ascii="Times New Roman" w:hAnsi="Times New Roman"/>
          <w:b/>
          <w:sz w:val="24"/>
          <w:szCs w:val="24"/>
        </w:rPr>
      </w:pPr>
    </w:p>
    <w:p w14:paraId="73DFE2A3" w14:textId="149BDC02" w:rsidR="000936F8" w:rsidRPr="005C7DC6" w:rsidRDefault="00192AF2" w:rsidP="000936F8">
      <w:pPr>
        <w:rPr>
          <w:rFonts w:ascii="Times New Roman" w:hAnsi="Times New Roman"/>
          <w:b/>
          <w:sz w:val="24"/>
          <w:szCs w:val="24"/>
        </w:rPr>
      </w:pPr>
      <w:bookmarkStart w:id="0" w:name="_GoBack"/>
      <w:bookmarkEnd w:id="0"/>
      <w:r>
        <w:rPr>
          <w:rFonts w:ascii="Times New Roman" w:hAnsi="Times New Roman"/>
          <w:b/>
          <w:sz w:val="24"/>
          <w:szCs w:val="24"/>
        </w:rPr>
        <w:lastRenderedPageBreak/>
        <w:t>Specific Comments</w:t>
      </w:r>
    </w:p>
    <w:p w14:paraId="33225A90" w14:textId="42D41868" w:rsidR="00F4045B" w:rsidRDefault="00F4045B" w:rsidP="00F4045B">
      <w:pPr>
        <w:pStyle w:val="ListParagraph"/>
        <w:numPr>
          <w:ilvl w:val="0"/>
          <w:numId w:val="20"/>
        </w:numPr>
        <w:jc w:val="both"/>
        <w:rPr>
          <w:rFonts w:ascii="Times New Roman" w:hAnsi="Times New Roman"/>
          <w:sz w:val="24"/>
          <w:szCs w:val="24"/>
        </w:rPr>
      </w:pPr>
      <w:r w:rsidRPr="00F4045B">
        <w:rPr>
          <w:rFonts w:ascii="Times New Roman" w:hAnsi="Times New Roman"/>
          <w:sz w:val="24"/>
          <w:szCs w:val="24"/>
        </w:rPr>
        <w:t>Inconsis</w:t>
      </w:r>
      <w:r>
        <w:rPr>
          <w:rFonts w:ascii="Times New Roman" w:hAnsi="Times New Roman"/>
          <w:sz w:val="24"/>
          <w:szCs w:val="24"/>
        </w:rPr>
        <w:t>tent</w:t>
      </w:r>
      <w:r w:rsidRPr="00F4045B">
        <w:rPr>
          <w:rFonts w:ascii="Times New Roman" w:hAnsi="Times New Roman"/>
          <w:sz w:val="24"/>
          <w:szCs w:val="24"/>
        </w:rPr>
        <w:t xml:space="preserve"> terminology</w:t>
      </w:r>
    </w:p>
    <w:p w14:paraId="6699A0EF" w14:textId="77777777" w:rsidR="00220E1F" w:rsidRDefault="009E7429" w:rsidP="00F4045B">
      <w:pPr>
        <w:jc w:val="both"/>
        <w:rPr>
          <w:rFonts w:ascii="Times New Roman" w:hAnsi="Times New Roman"/>
          <w:sz w:val="24"/>
          <w:szCs w:val="24"/>
        </w:rPr>
      </w:pPr>
      <w:r>
        <w:rPr>
          <w:rFonts w:ascii="Times New Roman" w:hAnsi="Times New Roman"/>
          <w:sz w:val="24"/>
          <w:szCs w:val="24"/>
        </w:rPr>
        <w:t>Based on the language used in the Explanatory Memorandum</w:t>
      </w:r>
      <w:r w:rsidR="00220E1F">
        <w:rPr>
          <w:rFonts w:ascii="Times New Roman" w:hAnsi="Times New Roman"/>
          <w:sz w:val="24"/>
          <w:szCs w:val="24"/>
        </w:rPr>
        <w:t xml:space="preserve"> and in the Exposure Draft</w:t>
      </w:r>
      <w:r>
        <w:rPr>
          <w:rFonts w:ascii="Times New Roman" w:hAnsi="Times New Roman"/>
          <w:sz w:val="24"/>
          <w:szCs w:val="24"/>
        </w:rPr>
        <w:t xml:space="preserve">, it is unclear whether the safe harbour is intended to a statutory carve out or a defence.  </w:t>
      </w:r>
    </w:p>
    <w:p w14:paraId="5DB92E4A" w14:textId="72621250" w:rsidR="00F4045B" w:rsidRDefault="009E7429" w:rsidP="00F4045B">
      <w:pPr>
        <w:jc w:val="both"/>
        <w:rPr>
          <w:rFonts w:ascii="Times New Roman" w:hAnsi="Times New Roman"/>
          <w:sz w:val="24"/>
          <w:szCs w:val="24"/>
        </w:rPr>
      </w:pPr>
      <w:r>
        <w:rPr>
          <w:rFonts w:ascii="Times New Roman" w:hAnsi="Times New Roman"/>
          <w:sz w:val="24"/>
          <w:szCs w:val="24"/>
        </w:rPr>
        <w:t xml:space="preserve">The Explanatory Memorandum uses both concepts suggesting it means the same thing.  </w:t>
      </w:r>
      <w:r w:rsidR="003B4F76">
        <w:rPr>
          <w:rFonts w:ascii="Times New Roman" w:hAnsi="Times New Roman"/>
          <w:sz w:val="24"/>
          <w:szCs w:val="24"/>
        </w:rPr>
        <w:t>If the</w:t>
      </w:r>
      <w:r>
        <w:rPr>
          <w:rFonts w:ascii="Times New Roman" w:hAnsi="Times New Roman"/>
          <w:sz w:val="24"/>
          <w:szCs w:val="24"/>
        </w:rPr>
        <w:t xml:space="preserve"> safe harbour is intended to a defence, then the utility of the law reform effort to encourage informal business restructuring</w:t>
      </w:r>
      <w:r w:rsidR="00D81720">
        <w:rPr>
          <w:rFonts w:ascii="Times New Roman" w:hAnsi="Times New Roman"/>
          <w:sz w:val="24"/>
          <w:szCs w:val="24"/>
        </w:rPr>
        <w:t xml:space="preserve"> efforts is</w:t>
      </w:r>
      <w:r>
        <w:rPr>
          <w:rFonts w:ascii="Times New Roman" w:hAnsi="Times New Roman"/>
          <w:sz w:val="24"/>
          <w:szCs w:val="24"/>
        </w:rPr>
        <w:t xml:space="preserve"> </w:t>
      </w:r>
      <w:r w:rsidR="00220E1F">
        <w:rPr>
          <w:rFonts w:ascii="Times New Roman" w:hAnsi="Times New Roman"/>
          <w:sz w:val="24"/>
          <w:szCs w:val="24"/>
        </w:rPr>
        <w:t>questionable</w:t>
      </w:r>
      <w:r>
        <w:rPr>
          <w:rFonts w:ascii="Times New Roman" w:hAnsi="Times New Roman"/>
          <w:sz w:val="24"/>
          <w:szCs w:val="24"/>
        </w:rPr>
        <w:t xml:space="preserve">.  If intended as a defence, it </w:t>
      </w:r>
      <w:r w:rsidR="00220E1F">
        <w:rPr>
          <w:rFonts w:ascii="Times New Roman" w:hAnsi="Times New Roman"/>
          <w:sz w:val="24"/>
          <w:szCs w:val="24"/>
        </w:rPr>
        <w:t>is likely to send</w:t>
      </w:r>
      <w:r>
        <w:rPr>
          <w:rFonts w:ascii="Times New Roman" w:hAnsi="Times New Roman"/>
          <w:sz w:val="24"/>
          <w:szCs w:val="24"/>
        </w:rPr>
        <w:t xml:space="preserve"> a negative signal </w:t>
      </w:r>
      <w:r w:rsidR="00220E1F">
        <w:rPr>
          <w:rFonts w:ascii="Times New Roman" w:hAnsi="Times New Roman"/>
          <w:sz w:val="24"/>
          <w:szCs w:val="24"/>
        </w:rPr>
        <w:t xml:space="preserve">to directors </w:t>
      </w:r>
      <w:r>
        <w:rPr>
          <w:rFonts w:ascii="Times New Roman" w:hAnsi="Times New Roman"/>
          <w:sz w:val="24"/>
          <w:szCs w:val="24"/>
        </w:rPr>
        <w:t>with the prospect of the restructuring goal being impeded by risk averse directors concerned that they would have to bear the entire onus of proof.  This submission favours a statutory carve out</w:t>
      </w:r>
      <w:r w:rsidR="00220E1F">
        <w:rPr>
          <w:rFonts w:ascii="Times New Roman" w:hAnsi="Times New Roman"/>
          <w:sz w:val="24"/>
          <w:szCs w:val="24"/>
        </w:rPr>
        <w:t>,</w:t>
      </w:r>
      <w:r>
        <w:rPr>
          <w:rFonts w:ascii="Times New Roman" w:hAnsi="Times New Roman"/>
          <w:sz w:val="24"/>
          <w:szCs w:val="24"/>
        </w:rPr>
        <w:t xml:space="preserve"> to </w:t>
      </w:r>
      <w:r w:rsidR="00220E1F">
        <w:rPr>
          <w:rFonts w:ascii="Times New Roman" w:hAnsi="Times New Roman"/>
          <w:sz w:val="24"/>
          <w:szCs w:val="24"/>
        </w:rPr>
        <w:t xml:space="preserve">better </w:t>
      </w:r>
      <w:r>
        <w:rPr>
          <w:rFonts w:ascii="Times New Roman" w:hAnsi="Times New Roman"/>
          <w:sz w:val="24"/>
          <w:szCs w:val="24"/>
        </w:rPr>
        <w:t xml:space="preserve">promote </w:t>
      </w:r>
      <w:r w:rsidR="00220E1F">
        <w:rPr>
          <w:rFonts w:ascii="Times New Roman" w:hAnsi="Times New Roman"/>
          <w:sz w:val="24"/>
          <w:szCs w:val="24"/>
        </w:rPr>
        <w:t xml:space="preserve">good faith </w:t>
      </w:r>
      <w:r>
        <w:rPr>
          <w:rFonts w:ascii="Times New Roman" w:hAnsi="Times New Roman"/>
          <w:sz w:val="24"/>
          <w:szCs w:val="24"/>
        </w:rPr>
        <w:t>restructuring decisions</w:t>
      </w:r>
      <w:r w:rsidR="00220E1F">
        <w:rPr>
          <w:rFonts w:ascii="Times New Roman" w:hAnsi="Times New Roman"/>
          <w:sz w:val="24"/>
          <w:szCs w:val="24"/>
        </w:rPr>
        <w:t>,</w:t>
      </w:r>
      <w:r>
        <w:rPr>
          <w:rFonts w:ascii="Times New Roman" w:hAnsi="Times New Roman"/>
          <w:sz w:val="24"/>
          <w:szCs w:val="24"/>
        </w:rPr>
        <w:t xml:space="preserve"> and recommends</w:t>
      </w:r>
      <w:r w:rsidR="00220E1F">
        <w:rPr>
          <w:rFonts w:ascii="Times New Roman" w:hAnsi="Times New Roman"/>
          <w:sz w:val="24"/>
          <w:szCs w:val="24"/>
        </w:rPr>
        <w:t xml:space="preserve"> that the Exposure Draf</w:t>
      </w:r>
      <w:r w:rsidR="00D81720">
        <w:rPr>
          <w:rFonts w:ascii="Times New Roman" w:hAnsi="Times New Roman"/>
          <w:sz w:val="24"/>
          <w:szCs w:val="24"/>
        </w:rPr>
        <w:t>t makes explicit references to facilitate this aim</w:t>
      </w:r>
      <w:r>
        <w:rPr>
          <w:rFonts w:ascii="Times New Roman" w:hAnsi="Times New Roman"/>
          <w:sz w:val="24"/>
          <w:szCs w:val="24"/>
        </w:rPr>
        <w:t>.</w:t>
      </w:r>
    </w:p>
    <w:p w14:paraId="4BCED4E3" w14:textId="6B764AFE" w:rsidR="00220E1F" w:rsidRDefault="00220E1F" w:rsidP="00220E1F">
      <w:pPr>
        <w:pStyle w:val="ListParagraph"/>
        <w:numPr>
          <w:ilvl w:val="0"/>
          <w:numId w:val="20"/>
        </w:numPr>
        <w:jc w:val="both"/>
        <w:rPr>
          <w:rFonts w:ascii="Times New Roman" w:hAnsi="Times New Roman"/>
          <w:sz w:val="24"/>
          <w:szCs w:val="24"/>
        </w:rPr>
      </w:pPr>
      <w:r>
        <w:rPr>
          <w:rFonts w:ascii="Times New Roman" w:hAnsi="Times New Roman"/>
          <w:sz w:val="24"/>
          <w:szCs w:val="24"/>
        </w:rPr>
        <w:t>Use of phrase ‘better outcome for the company and the company’s creditors’ in s 588</w:t>
      </w:r>
      <w:r w:rsidR="003B4F76">
        <w:rPr>
          <w:rFonts w:ascii="Times New Roman" w:hAnsi="Times New Roman"/>
          <w:sz w:val="24"/>
          <w:szCs w:val="24"/>
        </w:rPr>
        <w:t>GA (</w:t>
      </w:r>
      <w:r>
        <w:rPr>
          <w:rFonts w:ascii="Times New Roman" w:hAnsi="Times New Roman"/>
          <w:sz w:val="24"/>
          <w:szCs w:val="24"/>
        </w:rPr>
        <w:t>1)</w:t>
      </w:r>
    </w:p>
    <w:p w14:paraId="08215497" w14:textId="77777777" w:rsidR="00082395" w:rsidRDefault="007D46ED" w:rsidP="00220E1F">
      <w:pPr>
        <w:jc w:val="both"/>
        <w:rPr>
          <w:rFonts w:ascii="Times New Roman" w:hAnsi="Times New Roman"/>
          <w:sz w:val="24"/>
          <w:szCs w:val="24"/>
        </w:rPr>
      </w:pPr>
      <w:r>
        <w:rPr>
          <w:rFonts w:ascii="Times New Roman" w:hAnsi="Times New Roman"/>
          <w:sz w:val="24"/>
          <w:szCs w:val="24"/>
        </w:rPr>
        <w:t xml:space="preserve">It is submitted that the meaning of this phrase is imprecise and therefore likely to be uncertain in its application.  </w:t>
      </w:r>
    </w:p>
    <w:p w14:paraId="3B29C1C8" w14:textId="1E93094B" w:rsidR="00082395" w:rsidRDefault="007D46ED" w:rsidP="00220E1F">
      <w:pPr>
        <w:jc w:val="both"/>
        <w:rPr>
          <w:rFonts w:ascii="Times New Roman" w:hAnsi="Times New Roman"/>
          <w:sz w:val="24"/>
          <w:szCs w:val="24"/>
        </w:rPr>
      </w:pPr>
      <w:r>
        <w:rPr>
          <w:rFonts w:ascii="Times New Roman" w:hAnsi="Times New Roman"/>
          <w:sz w:val="24"/>
          <w:szCs w:val="24"/>
        </w:rPr>
        <w:t xml:space="preserve">This is because it appears that creditors </w:t>
      </w:r>
      <w:r w:rsidR="00030294">
        <w:rPr>
          <w:rFonts w:ascii="Times New Roman" w:hAnsi="Times New Roman"/>
          <w:sz w:val="24"/>
          <w:szCs w:val="24"/>
        </w:rPr>
        <w:t xml:space="preserve">here </w:t>
      </w:r>
      <w:r>
        <w:rPr>
          <w:rFonts w:ascii="Times New Roman" w:hAnsi="Times New Roman"/>
          <w:sz w:val="24"/>
          <w:szCs w:val="24"/>
        </w:rPr>
        <w:t xml:space="preserve">are </w:t>
      </w:r>
      <w:r w:rsidR="00030294">
        <w:rPr>
          <w:rFonts w:ascii="Times New Roman" w:hAnsi="Times New Roman"/>
          <w:sz w:val="24"/>
          <w:szCs w:val="24"/>
        </w:rPr>
        <w:t xml:space="preserve">being </w:t>
      </w:r>
      <w:r>
        <w:rPr>
          <w:rFonts w:ascii="Times New Roman" w:hAnsi="Times New Roman"/>
          <w:sz w:val="24"/>
          <w:szCs w:val="24"/>
        </w:rPr>
        <w:t>treated as a homogenous group</w:t>
      </w:r>
      <w:r w:rsidR="003B4F76">
        <w:rPr>
          <w:rFonts w:ascii="Times New Roman" w:hAnsi="Times New Roman"/>
          <w:sz w:val="24"/>
          <w:szCs w:val="24"/>
        </w:rPr>
        <w:t xml:space="preserve"> (creditors </w:t>
      </w:r>
      <w:proofErr w:type="gramStart"/>
      <w:r w:rsidR="003B4F76">
        <w:rPr>
          <w:rFonts w:ascii="Times New Roman" w:hAnsi="Times New Roman"/>
          <w:sz w:val="24"/>
          <w:szCs w:val="24"/>
        </w:rPr>
        <w:t>as a whole)</w:t>
      </w:r>
      <w:proofErr w:type="gramEnd"/>
      <w:r>
        <w:rPr>
          <w:rFonts w:ascii="Times New Roman" w:hAnsi="Times New Roman"/>
          <w:sz w:val="24"/>
          <w:szCs w:val="24"/>
        </w:rPr>
        <w:t>,</w:t>
      </w:r>
      <w:r w:rsidR="003B4F76">
        <w:rPr>
          <w:rStyle w:val="FootnoteReference"/>
          <w:rFonts w:ascii="Times New Roman" w:hAnsi="Times New Roman"/>
          <w:sz w:val="24"/>
          <w:szCs w:val="24"/>
        </w:rPr>
        <w:footnoteReference w:id="3"/>
      </w:r>
      <w:r w:rsidR="00D81720">
        <w:rPr>
          <w:rFonts w:ascii="Times New Roman" w:hAnsi="Times New Roman"/>
          <w:sz w:val="24"/>
          <w:szCs w:val="24"/>
        </w:rPr>
        <w:t xml:space="preserve"> which is</w:t>
      </w:r>
      <w:r>
        <w:rPr>
          <w:rFonts w:ascii="Times New Roman" w:hAnsi="Times New Roman"/>
          <w:sz w:val="24"/>
          <w:szCs w:val="24"/>
        </w:rPr>
        <w:t xml:space="preserve"> often not the case.</w:t>
      </w:r>
      <w:r w:rsidR="00082395">
        <w:rPr>
          <w:rStyle w:val="FootnoteReference"/>
          <w:rFonts w:ascii="Times New Roman" w:hAnsi="Times New Roman"/>
          <w:sz w:val="24"/>
          <w:szCs w:val="24"/>
        </w:rPr>
        <w:footnoteReference w:id="4"/>
      </w:r>
      <w:r>
        <w:rPr>
          <w:rFonts w:ascii="Times New Roman" w:hAnsi="Times New Roman"/>
          <w:sz w:val="24"/>
          <w:szCs w:val="24"/>
        </w:rPr>
        <w:t xml:space="preserve"> Creditors (current, contingent, prospective) may well have competing interests</w:t>
      </w:r>
      <w:r w:rsidR="00030294">
        <w:rPr>
          <w:rFonts w:ascii="Times New Roman" w:hAnsi="Times New Roman"/>
          <w:sz w:val="24"/>
          <w:szCs w:val="24"/>
        </w:rPr>
        <w:t xml:space="preserve">.  If so, must all the competing creditor interests be balanced to ensure a better outcome for all of them? </w:t>
      </w:r>
    </w:p>
    <w:p w14:paraId="60C71CA7" w14:textId="0BE57939" w:rsidR="006B24C8" w:rsidRDefault="00030294" w:rsidP="00220E1F">
      <w:pPr>
        <w:jc w:val="both"/>
        <w:rPr>
          <w:rFonts w:ascii="Times New Roman" w:hAnsi="Times New Roman"/>
          <w:sz w:val="24"/>
          <w:szCs w:val="24"/>
        </w:rPr>
      </w:pPr>
      <w:r>
        <w:rPr>
          <w:rFonts w:ascii="Times New Roman" w:hAnsi="Times New Roman"/>
          <w:sz w:val="24"/>
          <w:szCs w:val="24"/>
        </w:rPr>
        <w:t xml:space="preserve">This submission recommends that further consideration be given to this key issue to ward off unintended consequences and disputes.  </w:t>
      </w:r>
      <w:r w:rsidR="006B24C8">
        <w:rPr>
          <w:rFonts w:ascii="Times New Roman" w:hAnsi="Times New Roman"/>
          <w:sz w:val="24"/>
          <w:szCs w:val="24"/>
        </w:rPr>
        <w:t>Based on existing case law,</w:t>
      </w:r>
      <w:r w:rsidR="006B24C8">
        <w:rPr>
          <w:rStyle w:val="FootnoteReference"/>
          <w:rFonts w:ascii="Times New Roman" w:hAnsi="Times New Roman"/>
          <w:sz w:val="24"/>
          <w:szCs w:val="24"/>
        </w:rPr>
        <w:footnoteReference w:id="5"/>
      </w:r>
      <w:r w:rsidR="006B24C8">
        <w:rPr>
          <w:rFonts w:ascii="Times New Roman" w:hAnsi="Times New Roman"/>
          <w:sz w:val="24"/>
          <w:szCs w:val="24"/>
        </w:rPr>
        <w:t xml:space="preserve"> it can be argued that the rest of the sentence is superfluous.  </w:t>
      </w:r>
      <w:r w:rsidR="00082395">
        <w:rPr>
          <w:rFonts w:ascii="Times New Roman" w:hAnsi="Times New Roman"/>
          <w:sz w:val="24"/>
          <w:szCs w:val="24"/>
        </w:rPr>
        <w:t xml:space="preserve">There is </w:t>
      </w:r>
      <w:r w:rsidR="006B24C8">
        <w:rPr>
          <w:rFonts w:ascii="Times New Roman" w:hAnsi="Times New Roman"/>
          <w:sz w:val="24"/>
          <w:szCs w:val="24"/>
        </w:rPr>
        <w:t xml:space="preserve">ample </w:t>
      </w:r>
      <w:r w:rsidR="00082395">
        <w:rPr>
          <w:rFonts w:ascii="Times New Roman" w:hAnsi="Times New Roman"/>
          <w:sz w:val="24"/>
          <w:szCs w:val="24"/>
        </w:rPr>
        <w:t>judicial recognition</w:t>
      </w:r>
      <w:r w:rsidR="00D81720">
        <w:rPr>
          <w:rFonts w:ascii="Times New Roman" w:hAnsi="Times New Roman"/>
          <w:sz w:val="24"/>
          <w:szCs w:val="24"/>
        </w:rPr>
        <w:t xml:space="preserve"> </w:t>
      </w:r>
      <w:proofErr w:type="gramStart"/>
      <w:r w:rsidR="00D81720">
        <w:rPr>
          <w:rFonts w:ascii="Times New Roman" w:hAnsi="Times New Roman"/>
          <w:sz w:val="24"/>
          <w:szCs w:val="24"/>
        </w:rPr>
        <w:t xml:space="preserve">that </w:t>
      </w:r>
      <w:r w:rsidR="00082395">
        <w:rPr>
          <w:rFonts w:ascii="Times New Roman" w:hAnsi="Times New Roman"/>
          <w:sz w:val="24"/>
          <w:szCs w:val="24"/>
        </w:rPr>
        <w:t xml:space="preserve"> ‘</w:t>
      </w:r>
      <w:proofErr w:type="gramEnd"/>
      <w:r w:rsidR="00082395">
        <w:rPr>
          <w:rFonts w:ascii="Times New Roman" w:hAnsi="Times New Roman"/>
          <w:sz w:val="24"/>
          <w:szCs w:val="24"/>
        </w:rPr>
        <w:t>company’ includes creditors and that the concept of director</w:t>
      </w:r>
      <w:r w:rsidR="003B4F76">
        <w:rPr>
          <w:rFonts w:ascii="Times New Roman" w:hAnsi="Times New Roman"/>
          <w:sz w:val="24"/>
          <w:szCs w:val="24"/>
        </w:rPr>
        <w:t>’</w:t>
      </w:r>
      <w:r w:rsidR="00082395">
        <w:rPr>
          <w:rFonts w:ascii="Times New Roman" w:hAnsi="Times New Roman"/>
          <w:sz w:val="24"/>
          <w:szCs w:val="24"/>
        </w:rPr>
        <w:t>s duties is broad enough to capture creditor interests.</w:t>
      </w:r>
      <w:r w:rsidR="00082395">
        <w:rPr>
          <w:rStyle w:val="FootnoteReference"/>
          <w:rFonts w:ascii="Times New Roman" w:hAnsi="Times New Roman"/>
          <w:sz w:val="24"/>
          <w:szCs w:val="24"/>
        </w:rPr>
        <w:footnoteReference w:id="6"/>
      </w:r>
      <w:r w:rsidR="00082395">
        <w:rPr>
          <w:rFonts w:ascii="Times New Roman" w:hAnsi="Times New Roman"/>
          <w:sz w:val="24"/>
          <w:szCs w:val="24"/>
        </w:rPr>
        <w:t xml:space="preserve"> </w:t>
      </w:r>
      <w:r w:rsidR="00082395">
        <w:rPr>
          <w:rFonts w:ascii="Times New Roman" w:hAnsi="Times New Roman"/>
          <w:sz w:val="24"/>
          <w:szCs w:val="24"/>
        </w:rPr>
        <w:lastRenderedPageBreak/>
        <w:t>In such circumstances, it is recommended that the phrase in s 588</w:t>
      </w:r>
      <w:r w:rsidR="003B4F76">
        <w:rPr>
          <w:rFonts w:ascii="Times New Roman" w:hAnsi="Times New Roman"/>
          <w:sz w:val="24"/>
          <w:szCs w:val="24"/>
        </w:rPr>
        <w:t>GA (</w:t>
      </w:r>
      <w:r w:rsidR="00082395">
        <w:rPr>
          <w:rFonts w:ascii="Times New Roman" w:hAnsi="Times New Roman"/>
          <w:sz w:val="24"/>
          <w:szCs w:val="24"/>
        </w:rPr>
        <w:t xml:space="preserve">1) be amended to read as ‘better outcome for the company’.  </w:t>
      </w:r>
    </w:p>
    <w:p w14:paraId="70879911" w14:textId="6B3FDC7E" w:rsidR="006B24C8" w:rsidRDefault="006B24C8" w:rsidP="006B24C8">
      <w:pPr>
        <w:pStyle w:val="ListParagraph"/>
        <w:numPr>
          <w:ilvl w:val="0"/>
          <w:numId w:val="20"/>
        </w:numPr>
        <w:jc w:val="both"/>
        <w:rPr>
          <w:rFonts w:ascii="Times New Roman" w:hAnsi="Times New Roman"/>
          <w:sz w:val="24"/>
          <w:szCs w:val="24"/>
        </w:rPr>
      </w:pPr>
      <w:r>
        <w:rPr>
          <w:rFonts w:ascii="Times New Roman" w:hAnsi="Times New Roman"/>
          <w:sz w:val="24"/>
          <w:szCs w:val="24"/>
        </w:rPr>
        <w:t>Amend s 588</w:t>
      </w:r>
      <w:proofErr w:type="gramStart"/>
      <w:r>
        <w:rPr>
          <w:rFonts w:ascii="Times New Roman" w:hAnsi="Times New Roman"/>
          <w:sz w:val="24"/>
          <w:szCs w:val="24"/>
        </w:rPr>
        <w:t>GA(</w:t>
      </w:r>
      <w:proofErr w:type="gramEnd"/>
      <w:r>
        <w:rPr>
          <w:rFonts w:ascii="Times New Roman" w:hAnsi="Times New Roman"/>
          <w:sz w:val="24"/>
          <w:szCs w:val="24"/>
        </w:rPr>
        <w:t>5) definition of better outcome</w:t>
      </w:r>
    </w:p>
    <w:p w14:paraId="0BFAC91C" w14:textId="2616C000" w:rsidR="006B24C8" w:rsidRPr="006B24C8" w:rsidRDefault="003B4F76" w:rsidP="006B24C8">
      <w:pPr>
        <w:jc w:val="both"/>
        <w:rPr>
          <w:rFonts w:ascii="Times New Roman" w:hAnsi="Times New Roman"/>
          <w:sz w:val="24"/>
          <w:szCs w:val="24"/>
        </w:rPr>
      </w:pPr>
      <w:r>
        <w:rPr>
          <w:rFonts w:ascii="Times New Roman" w:hAnsi="Times New Roman"/>
          <w:sz w:val="24"/>
          <w:szCs w:val="24"/>
        </w:rPr>
        <w:t xml:space="preserve">This definition of ‘better outcome’ is referenced </w:t>
      </w:r>
      <w:proofErr w:type="gramStart"/>
      <w:r>
        <w:rPr>
          <w:rFonts w:ascii="Times New Roman" w:hAnsi="Times New Roman"/>
          <w:sz w:val="24"/>
          <w:szCs w:val="24"/>
        </w:rPr>
        <w:t>with regard to</w:t>
      </w:r>
      <w:proofErr w:type="gramEnd"/>
      <w:r>
        <w:rPr>
          <w:rFonts w:ascii="Times New Roman" w:hAnsi="Times New Roman"/>
          <w:sz w:val="24"/>
          <w:szCs w:val="24"/>
        </w:rPr>
        <w:t xml:space="preserve">, inter alia, ‘the outcome of the company becoming a Chapter 5 body corporate.’   According to the Explanatory Memorandum [at (1.380], this means effectively the company going into administration or being wound up.  This statutory definition has an evaluative exercise embedded in it which is very broad in scope.  An assessment </w:t>
      </w:r>
      <w:r w:rsidR="0088667A">
        <w:rPr>
          <w:rFonts w:ascii="Times New Roman" w:hAnsi="Times New Roman"/>
          <w:sz w:val="24"/>
          <w:szCs w:val="24"/>
        </w:rPr>
        <w:t xml:space="preserve">by the director </w:t>
      </w:r>
      <w:r>
        <w:rPr>
          <w:rFonts w:ascii="Times New Roman" w:hAnsi="Times New Roman"/>
          <w:sz w:val="24"/>
          <w:szCs w:val="24"/>
        </w:rPr>
        <w:t xml:space="preserve">as to whether there is a ‘better outcome’, </w:t>
      </w:r>
      <w:proofErr w:type="gramStart"/>
      <w:r>
        <w:rPr>
          <w:rFonts w:ascii="Times New Roman" w:hAnsi="Times New Roman"/>
          <w:sz w:val="24"/>
          <w:szCs w:val="24"/>
        </w:rPr>
        <w:t>with reference to</w:t>
      </w:r>
      <w:proofErr w:type="gramEnd"/>
      <w:r>
        <w:rPr>
          <w:rFonts w:ascii="Times New Roman" w:hAnsi="Times New Roman"/>
          <w:sz w:val="24"/>
          <w:szCs w:val="24"/>
        </w:rPr>
        <w:t xml:space="preserve"> this expansive criterion, is likely to impose a large transaction cost on companies, particularly in the SME sector.  Such an evaluation is dependent on the director’s necessary skills and knowledge.  It is a moot point as to whether directors, particularly in the SME sector, are equipped with such specialist skills.   This additional cost impost can be negated by amending the wording to narrow the scope and breadth of the evaluative exercise –</w:t>
      </w:r>
      <w:r w:rsidR="0088667A">
        <w:rPr>
          <w:rFonts w:ascii="Times New Roman" w:hAnsi="Times New Roman"/>
          <w:sz w:val="24"/>
          <w:szCs w:val="24"/>
        </w:rPr>
        <w:t xml:space="preserve"> </w:t>
      </w:r>
      <w:r>
        <w:rPr>
          <w:rFonts w:ascii="Times New Roman" w:hAnsi="Times New Roman"/>
          <w:sz w:val="24"/>
          <w:szCs w:val="24"/>
        </w:rPr>
        <w:t xml:space="preserve"> by limiting the assessment of a ‘better outcome’ </w:t>
      </w:r>
      <w:r w:rsidR="0088667A">
        <w:rPr>
          <w:rFonts w:ascii="Times New Roman" w:hAnsi="Times New Roman"/>
          <w:sz w:val="24"/>
          <w:szCs w:val="24"/>
        </w:rPr>
        <w:t xml:space="preserve">to a narrower situation, for example, </w:t>
      </w:r>
      <w:r>
        <w:rPr>
          <w:rFonts w:ascii="Times New Roman" w:hAnsi="Times New Roman"/>
          <w:sz w:val="24"/>
          <w:szCs w:val="24"/>
        </w:rPr>
        <w:t xml:space="preserve">when compared to an immediate appointment of an administrator or liquidator.  </w:t>
      </w:r>
    </w:p>
    <w:p w14:paraId="1AB0A5E5" w14:textId="77777777" w:rsidR="000936F8" w:rsidRDefault="000936F8" w:rsidP="000936F8">
      <w:pPr>
        <w:spacing w:after="0" w:line="240" w:lineRule="auto"/>
        <w:jc w:val="both"/>
        <w:rPr>
          <w:rFonts w:ascii="Times New Roman" w:eastAsia="Times New Roman" w:hAnsi="Times New Roman"/>
          <w:sz w:val="25"/>
          <w:szCs w:val="25"/>
        </w:rPr>
      </w:pPr>
    </w:p>
    <w:p w14:paraId="55106209" w14:textId="77777777" w:rsidR="000936F8" w:rsidRPr="00265C2B" w:rsidRDefault="000936F8" w:rsidP="000936F8">
      <w:pPr>
        <w:spacing w:after="0" w:line="240" w:lineRule="auto"/>
        <w:jc w:val="both"/>
        <w:rPr>
          <w:rFonts w:ascii="Times New Roman" w:eastAsia="Times New Roman" w:hAnsi="Times New Roman"/>
          <w:sz w:val="25"/>
          <w:szCs w:val="25"/>
        </w:rPr>
      </w:pPr>
    </w:p>
    <w:sectPr w:rsidR="000936F8" w:rsidRPr="00265C2B" w:rsidSect="00B7116B">
      <w:footerReference w:type="even" r:id="rId13"/>
      <w:footerReference w:type="default" r:id="rId14"/>
      <w:headerReference w:type="first" r:id="rId15"/>
      <w:footerReference w:type="first" r:id="rId16"/>
      <w:pgSz w:w="11907" w:h="16839" w:code="9"/>
      <w:pgMar w:top="1533" w:right="1440" w:bottom="2381" w:left="1440" w:header="1135"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C0BE2" w14:textId="77777777" w:rsidR="008C72D7" w:rsidRDefault="008C72D7" w:rsidP="00D5650F">
      <w:pPr>
        <w:spacing w:after="0" w:line="240" w:lineRule="auto"/>
      </w:pPr>
      <w:r>
        <w:separator/>
      </w:r>
    </w:p>
  </w:endnote>
  <w:endnote w:type="continuationSeparator" w:id="0">
    <w:p w14:paraId="6ECF91E0" w14:textId="77777777" w:rsidR="008C72D7" w:rsidRDefault="008C72D7" w:rsidP="00D5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E2AE4" w14:textId="77777777" w:rsidR="008C72D7" w:rsidRDefault="008C72D7" w:rsidP="00D5650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3D067CA" w14:textId="77777777" w:rsidR="008C72D7" w:rsidRDefault="008C72D7" w:rsidP="00D5650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FBAE" w14:textId="6D47E35D" w:rsidR="008C72D7" w:rsidRPr="00E66EA6" w:rsidRDefault="008C72D7" w:rsidP="00D5650F">
    <w:pPr>
      <w:pStyle w:val="Footer"/>
      <w:framePr w:wrap="around" w:vAnchor="text" w:hAnchor="margin" w:y="1"/>
      <w:rPr>
        <w:rStyle w:val="PageNumber"/>
      </w:rPr>
    </w:pPr>
    <w:r w:rsidRPr="00E66EA6">
      <w:rPr>
        <w:rStyle w:val="PageNumber"/>
        <w:rFonts w:ascii="Arial" w:hAnsi="Arial"/>
        <w:sz w:val="16"/>
      </w:rPr>
      <w:fldChar w:fldCharType="begin"/>
    </w:r>
    <w:r w:rsidRPr="00E66EA6">
      <w:rPr>
        <w:rStyle w:val="PageNumber"/>
        <w:rFonts w:ascii="Arial" w:hAnsi="Arial"/>
        <w:sz w:val="16"/>
      </w:rPr>
      <w:instrText xml:space="preserve">PAGE  </w:instrText>
    </w:r>
    <w:r w:rsidRPr="00E66EA6">
      <w:rPr>
        <w:rStyle w:val="PageNumber"/>
        <w:rFonts w:ascii="Arial" w:hAnsi="Arial"/>
        <w:sz w:val="16"/>
      </w:rPr>
      <w:fldChar w:fldCharType="separate"/>
    </w:r>
    <w:r w:rsidR="009F52A5">
      <w:rPr>
        <w:rStyle w:val="PageNumber"/>
        <w:rFonts w:ascii="Arial" w:hAnsi="Arial"/>
        <w:noProof/>
        <w:sz w:val="16"/>
      </w:rPr>
      <w:t>4</w:t>
    </w:r>
    <w:r w:rsidRPr="00E66EA6">
      <w:rPr>
        <w:rStyle w:val="PageNumber"/>
        <w:rFonts w:ascii="Arial" w:hAnsi="Arial"/>
        <w:sz w:val="16"/>
      </w:rPr>
      <w:fldChar w:fldCharType="end"/>
    </w:r>
  </w:p>
  <w:p w14:paraId="236E1875" w14:textId="77777777" w:rsidR="008C72D7" w:rsidRDefault="008C72D7" w:rsidP="00D5650F">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B4E19" w14:textId="0601E3F4" w:rsidR="008C72D7" w:rsidRPr="00B7116B" w:rsidRDefault="008C72D7" w:rsidP="00B7116B">
    <w:pPr>
      <w:pStyle w:val="Footer"/>
    </w:pPr>
    <w:r>
      <w:rPr>
        <w:noProof/>
        <w:lang w:eastAsia="en-AU"/>
      </w:rPr>
      <w:drawing>
        <wp:anchor distT="0" distB="0" distL="114300" distR="114300" simplePos="0" relativeHeight="251662848" behindDoc="0" locked="0" layoutInCell="1" allowOverlap="1" wp14:anchorId="475DFE7F" wp14:editId="6743F201">
          <wp:simplePos x="0" y="0"/>
          <wp:positionH relativeFrom="page">
            <wp:posOffset>5241290</wp:posOffset>
          </wp:positionH>
          <wp:positionV relativeFrom="page">
            <wp:posOffset>9568815</wp:posOffset>
          </wp:positionV>
          <wp:extent cx="1511935" cy="503555"/>
          <wp:effectExtent l="0" t="0" r="12065" b="4445"/>
          <wp:wrapThrough wrapText="bothSides">
            <wp:wrapPolygon edited="0">
              <wp:start x="0" y="0"/>
              <wp:lineTo x="0" y="20701"/>
              <wp:lineTo x="21409" y="20701"/>
              <wp:lineTo x="21409"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EG_Colour_business_agsm_2014"/>
                  <pic:cNvPicPr/>
                </pic:nvPicPr>
                <pic:blipFill>
                  <a:blip r:embed="rId1">
                    <a:extLst>
                      <a:ext uri="{28A0092B-C50C-407E-A947-70E740481C1C}">
                        <a14:useLocalDpi xmlns:a14="http://schemas.microsoft.com/office/drawing/2010/main" val="0"/>
                      </a:ext>
                    </a:extLst>
                  </a:blip>
                  <a:stretch>
                    <a:fillRect/>
                  </a:stretch>
                </pic:blipFill>
                <pic:spPr>
                  <a:xfrm>
                    <a:off x="0" y="0"/>
                    <a:ext cx="1511935" cy="5035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0800" behindDoc="0" locked="0" layoutInCell="1" allowOverlap="1" wp14:anchorId="0CCE849D" wp14:editId="215F7CD0">
              <wp:simplePos x="0" y="0"/>
              <wp:positionH relativeFrom="page">
                <wp:posOffset>817880</wp:posOffset>
              </wp:positionH>
              <wp:positionV relativeFrom="page">
                <wp:posOffset>9589770</wp:posOffset>
              </wp:positionV>
              <wp:extent cx="3448050" cy="717550"/>
              <wp:effectExtent l="0" t="0" r="0" b="0"/>
              <wp:wrapThrough wrapText="bothSides">
                <wp:wrapPolygon edited="0">
                  <wp:start x="159" y="0"/>
                  <wp:lineTo x="159" y="20644"/>
                  <wp:lineTo x="21322" y="20644"/>
                  <wp:lineTo x="21322" y="0"/>
                  <wp:lineTo x="159" y="0"/>
                </wp:wrapPolygon>
              </wp:wrapThrough>
              <wp:docPr id="6" name="Text Box 6"/>
              <wp:cNvGraphicFramePr/>
              <a:graphic xmlns:a="http://schemas.openxmlformats.org/drawingml/2006/main">
                <a:graphicData uri="http://schemas.microsoft.com/office/word/2010/wordprocessingShape">
                  <wps:wsp>
                    <wps:cNvSpPr txBox="1"/>
                    <wps:spPr>
                      <a:xfrm>
                        <a:off x="0" y="0"/>
                        <a:ext cx="3448050" cy="717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CCC51A1" w14:textId="1CBCA1D9" w:rsidR="008C72D7" w:rsidRDefault="008C72D7" w:rsidP="00B7116B">
                          <w:pPr>
                            <w:spacing w:line="240" w:lineRule="auto"/>
                            <w:rPr>
                              <w:rFonts w:ascii="Arial" w:hAnsi="Arial" w:cs="Arial"/>
                              <w:sz w:val="18"/>
                              <w:szCs w:val="18"/>
                            </w:rPr>
                          </w:pPr>
                          <w:r w:rsidRPr="00B7116B">
                            <w:rPr>
                              <w:rFonts w:ascii="Arial" w:hAnsi="Arial" w:cs="Arial"/>
                              <w:sz w:val="18"/>
                              <w:szCs w:val="18"/>
                            </w:rPr>
                            <w:t>business.unsw.edu.au</w:t>
                          </w:r>
                          <w:r>
                            <w:rPr>
                              <w:rFonts w:ascii="Arial" w:hAnsi="Arial" w:cs="Arial"/>
                              <w:sz w:val="18"/>
                              <w:szCs w:val="18"/>
                            </w:rPr>
                            <w:t xml:space="preserve"> </w:t>
                          </w:r>
                        </w:p>
                        <w:p w14:paraId="1C480CDA" w14:textId="77854D73" w:rsidR="008C72D7" w:rsidRPr="00B7116B" w:rsidRDefault="008C72D7" w:rsidP="00B7116B">
                          <w:pPr>
                            <w:spacing w:line="240" w:lineRule="auto"/>
                            <w:rPr>
                              <w:rFonts w:ascii="Arial" w:hAnsi="Arial" w:cs="Arial"/>
                              <w:color w:val="7F7F7F" w:themeColor="text1" w:themeTint="80"/>
                              <w:sz w:val="18"/>
                              <w:szCs w:val="18"/>
                            </w:rPr>
                          </w:pPr>
                          <w:r w:rsidRPr="00B7116B">
                            <w:rPr>
                              <w:rFonts w:ascii="Arial" w:hAnsi="Arial" w:cs="Arial"/>
                              <w:color w:val="7F7F7F" w:themeColor="text1" w:themeTint="80"/>
                              <w:sz w:val="18"/>
                              <w:szCs w:val="18"/>
                            </w:rPr>
                            <w:t>CRICOS Code 00098G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E849D" id="_x0000_t202" coordsize="21600,21600" o:spt="202" path="m,l,21600r21600,l21600,xe">
              <v:stroke joinstyle="miter"/>
              <v:path gradientshapeok="t" o:connecttype="rect"/>
            </v:shapetype>
            <v:shape id="Text Box 6" o:spid="_x0000_s1027" type="#_x0000_t202" style="position:absolute;margin-left:64.4pt;margin-top:755.1pt;width:271.5pt;height: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" filled="f" stroked="f">
              <v:textbox>
                <w:txbxContent>
                  <w:p w14:paraId="3CCC51A1" w14:textId="1CBCA1D9" w:rsidR="008C72D7" w:rsidRDefault="008C72D7" w:rsidP="00B7116B">
                    <w:pPr>
                      <w:spacing w:line="240" w:lineRule="auto"/>
                      <w:rPr>
                        <w:rFonts w:ascii="Arial" w:hAnsi="Arial" w:cs="Arial"/>
                        <w:sz w:val="18"/>
                        <w:szCs w:val="18"/>
                      </w:rPr>
                    </w:pPr>
                    <w:r w:rsidRPr="00B7116B">
                      <w:rPr>
                        <w:rFonts w:ascii="Arial" w:hAnsi="Arial" w:cs="Arial"/>
                        <w:sz w:val="18"/>
                        <w:szCs w:val="18"/>
                      </w:rPr>
                      <w:t>business.unsw.edu.au</w:t>
                    </w:r>
                    <w:r>
                      <w:rPr>
                        <w:rFonts w:ascii="Arial" w:hAnsi="Arial" w:cs="Arial"/>
                        <w:sz w:val="18"/>
                        <w:szCs w:val="18"/>
                      </w:rPr>
                      <w:t xml:space="preserve"> </w:t>
                    </w:r>
                  </w:p>
                  <w:p w14:paraId="1C480CDA" w14:textId="77854D73" w:rsidR="008C72D7" w:rsidRPr="00B7116B" w:rsidRDefault="008C72D7" w:rsidP="00B7116B">
                    <w:pPr>
                      <w:spacing w:line="240" w:lineRule="auto"/>
                      <w:rPr>
                        <w:rFonts w:ascii="Arial" w:hAnsi="Arial" w:cs="Arial"/>
                        <w:color w:val="7F7F7F" w:themeColor="text1" w:themeTint="80"/>
                        <w:sz w:val="18"/>
                        <w:szCs w:val="18"/>
                      </w:rPr>
                    </w:pPr>
                    <w:r w:rsidRPr="00B7116B">
                      <w:rPr>
                        <w:rFonts w:ascii="Arial" w:hAnsi="Arial" w:cs="Arial"/>
                        <w:color w:val="7F7F7F" w:themeColor="text1" w:themeTint="80"/>
                        <w:sz w:val="18"/>
                        <w:szCs w:val="18"/>
                      </w:rPr>
                      <w:t>CRICOS Code 00098G</w:t>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BFEA9" w14:textId="77777777" w:rsidR="008C72D7" w:rsidRDefault="008C72D7" w:rsidP="00D5650F">
      <w:pPr>
        <w:spacing w:after="0" w:line="240" w:lineRule="auto"/>
      </w:pPr>
      <w:r>
        <w:separator/>
      </w:r>
    </w:p>
  </w:footnote>
  <w:footnote w:type="continuationSeparator" w:id="0">
    <w:p w14:paraId="091BA1E9" w14:textId="77777777" w:rsidR="008C72D7" w:rsidRDefault="008C72D7" w:rsidP="00D5650F">
      <w:pPr>
        <w:spacing w:after="0" w:line="240" w:lineRule="auto"/>
      </w:pPr>
      <w:r>
        <w:continuationSeparator/>
      </w:r>
    </w:p>
  </w:footnote>
  <w:footnote w:id="1">
    <w:p w14:paraId="1DB2B6CD" w14:textId="1FF7DD62" w:rsidR="00AE7AED" w:rsidRPr="00F23E26" w:rsidRDefault="007800CC" w:rsidP="00F23E26">
      <w:pPr>
        <w:pStyle w:val="FootnoteText"/>
        <w:rPr>
          <w:rFonts w:ascii="Times New Roman" w:hAnsi="Times New Roman" w:cs="Times New Roman"/>
        </w:rPr>
      </w:pPr>
      <w:r w:rsidRPr="00F23E26">
        <w:rPr>
          <w:rStyle w:val="FootnoteReference"/>
          <w:rFonts w:ascii="Times New Roman" w:hAnsi="Times New Roman" w:cs="Times New Roman"/>
        </w:rPr>
        <w:footnoteRef/>
      </w:r>
      <w:r w:rsidRPr="00F23E26">
        <w:rPr>
          <w:rFonts w:ascii="Times New Roman" w:hAnsi="Times New Roman" w:cs="Times New Roman"/>
        </w:rPr>
        <w:t xml:space="preserve"> For discussion of these difficulties, see A Hargovan, 'Director's Liability for Insolvent Trading, Statutory Forgiveness and Law Reform' (2010) 18 </w:t>
      </w:r>
      <w:r w:rsidRPr="00F23E26">
        <w:rPr>
          <w:rFonts w:ascii="Times New Roman" w:hAnsi="Times New Roman" w:cs="Times New Roman"/>
          <w:i/>
        </w:rPr>
        <w:t>Insolvency Law Journal</w:t>
      </w:r>
      <w:r w:rsidRPr="00F23E26">
        <w:rPr>
          <w:rFonts w:ascii="Times New Roman" w:hAnsi="Times New Roman" w:cs="Times New Roman"/>
        </w:rPr>
        <w:t xml:space="preserve"> 96</w:t>
      </w:r>
      <w:r w:rsidR="00F23E26" w:rsidRPr="00F23E26">
        <w:rPr>
          <w:rFonts w:ascii="Times New Roman" w:hAnsi="Times New Roman" w:cs="Times New Roman"/>
        </w:rPr>
        <w:t xml:space="preserve">; J Harris, ‘Director Liability for Insolvent Trading: Is the Cure Worse than the Disease’ (2009) 23 </w:t>
      </w:r>
      <w:r w:rsidR="00F23E26" w:rsidRPr="00F23E26">
        <w:rPr>
          <w:rFonts w:ascii="Times New Roman" w:hAnsi="Times New Roman" w:cs="Times New Roman"/>
          <w:i/>
        </w:rPr>
        <w:t>Australian Journal of Corporate Law</w:t>
      </w:r>
      <w:r w:rsidR="00F23E26" w:rsidRPr="00F23E26">
        <w:rPr>
          <w:rFonts w:ascii="Times New Roman" w:hAnsi="Times New Roman" w:cs="Times New Roman"/>
        </w:rPr>
        <w:t xml:space="preserve"> 266.  More recently: </w:t>
      </w:r>
      <w:r w:rsidR="00F23E26" w:rsidRPr="00F23E26">
        <w:rPr>
          <w:rFonts w:ascii="Times New Roman" w:hAnsi="Times New Roman" w:cs="Times New Roman"/>
          <w:lang w:val="en-US"/>
        </w:rPr>
        <w:t xml:space="preserve">J Harris, ‘Reforming Insolvent Trading to Encourage Restructuring: Safe </w:t>
      </w:r>
      <w:proofErr w:type="spellStart"/>
      <w:r w:rsidR="00F23E26" w:rsidRPr="00F23E26">
        <w:rPr>
          <w:rFonts w:ascii="Times New Roman" w:hAnsi="Times New Roman" w:cs="Times New Roman"/>
          <w:lang w:val="en-US"/>
        </w:rPr>
        <w:t>Harbour</w:t>
      </w:r>
      <w:proofErr w:type="spellEnd"/>
      <w:r w:rsidR="00F23E26" w:rsidRPr="00F23E26">
        <w:rPr>
          <w:rFonts w:ascii="Times New Roman" w:hAnsi="Times New Roman" w:cs="Times New Roman"/>
          <w:lang w:val="en-US"/>
        </w:rPr>
        <w:t xml:space="preserve"> or Sleepy Hollows? (2016) 27 </w:t>
      </w:r>
      <w:r w:rsidR="00F23E26" w:rsidRPr="00F23E26">
        <w:rPr>
          <w:rFonts w:ascii="Times New Roman" w:hAnsi="Times New Roman" w:cs="Times New Roman"/>
          <w:i/>
          <w:iCs/>
          <w:lang w:val="en-US"/>
        </w:rPr>
        <w:t>JBFLP</w:t>
      </w:r>
      <w:r w:rsidR="00F23E26" w:rsidRPr="00F23E26">
        <w:rPr>
          <w:rFonts w:ascii="Times New Roman" w:hAnsi="Times New Roman" w:cs="Times New Roman"/>
          <w:lang w:val="en-US"/>
        </w:rPr>
        <w:t xml:space="preserve"> 294; A Hargovan, ‘Governance in Financially Troubled Companies: Australian Law Reform Proposals’ (2016) 34 </w:t>
      </w:r>
      <w:r w:rsidR="00F23E26" w:rsidRPr="00F23E26">
        <w:rPr>
          <w:rFonts w:ascii="Times New Roman" w:hAnsi="Times New Roman" w:cs="Times New Roman"/>
          <w:i/>
          <w:iCs/>
          <w:lang w:val="en-US"/>
        </w:rPr>
        <w:t>Company and Securities Law Journal</w:t>
      </w:r>
      <w:r w:rsidR="00F23E26" w:rsidRPr="00F23E26">
        <w:rPr>
          <w:rFonts w:ascii="Times New Roman" w:hAnsi="Times New Roman" w:cs="Times New Roman"/>
          <w:lang w:val="en-US"/>
        </w:rPr>
        <w:t xml:space="preserve"> 483.</w:t>
      </w:r>
    </w:p>
    <w:p w14:paraId="1DA900D0" w14:textId="15D53C09" w:rsidR="007800CC" w:rsidRPr="00F23E26" w:rsidRDefault="007800CC">
      <w:pPr>
        <w:pStyle w:val="FootnoteText"/>
        <w:rPr>
          <w:rFonts w:ascii="Times New Roman" w:hAnsi="Times New Roman" w:cs="Times New Roman"/>
        </w:rPr>
      </w:pPr>
    </w:p>
  </w:footnote>
  <w:footnote w:id="2">
    <w:p w14:paraId="2BAFF33B" w14:textId="2B0F5A99" w:rsidR="008C72D7" w:rsidRPr="00F23E26" w:rsidRDefault="008C72D7">
      <w:pPr>
        <w:pStyle w:val="FootnoteText"/>
        <w:rPr>
          <w:rFonts w:ascii="Times New Roman" w:hAnsi="Times New Roman" w:cs="Times New Roman"/>
        </w:rPr>
      </w:pPr>
      <w:r w:rsidRPr="00F23E26">
        <w:rPr>
          <w:rStyle w:val="FootnoteReference"/>
          <w:rFonts w:ascii="Times New Roman" w:hAnsi="Times New Roman" w:cs="Times New Roman"/>
        </w:rPr>
        <w:footnoteRef/>
      </w:r>
      <w:r w:rsidRPr="00F23E26">
        <w:rPr>
          <w:rFonts w:ascii="Times New Roman" w:hAnsi="Times New Roman" w:cs="Times New Roman"/>
        </w:rPr>
        <w:t xml:space="preserve"> See the ground-breaking reports by leading academics: </w:t>
      </w:r>
      <w:hyperlink r:id="rId1" w:history="1">
        <w:r w:rsidR="00F23E26" w:rsidRPr="00F23E26">
          <w:rPr>
            <w:rFonts w:ascii="Times New Roman" w:hAnsi="Times New Roman" w:cs="Times New Roman"/>
            <w:color w:val="0076DE"/>
            <w:u w:val="single"/>
            <w:lang w:val="en"/>
          </w:rPr>
          <w:t xml:space="preserve">Anderson, H, O'Connell, A, Ramsay, I, Welsh, M, and Withers, H, </w:t>
        </w:r>
        <w:r w:rsidR="00F23E26" w:rsidRPr="00F23E26">
          <w:rPr>
            <w:rStyle w:val="Emphasis"/>
            <w:rFonts w:ascii="Times New Roman" w:hAnsi="Times New Roman" w:cs="Times New Roman"/>
            <w:color w:val="0076DE"/>
            <w:u w:val="single"/>
            <w:lang w:val="en"/>
          </w:rPr>
          <w:t>Defining and Profiling Phoenix Activity</w:t>
        </w:r>
        <w:r w:rsidR="00F23E26" w:rsidRPr="00F23E26">
          <w:rPr>
            <w:rFonts w:ascii="Times New Roman" w:hAnsi="Times New Roman" w:cs="Times New Roman"/>
            <w:color w:val="0076DE"/>
            <w:u w:val="single"/>
            <w:lang w:val="en"/>
          </w:rPr>
          <w:t xml:space="preserve"> (December 2014)</w:t>
        </w:r>
      </w:hyperlink>
      <w:r w:rsidR="00F23E26" w:rsidRPr="00F23E26">
        <w:rPr>
          <w:rFonts w:ascii="Times New Roman" w:hAnsi="Times New Roman" w:cs="Times New Roman"/>
          <w:color w:val="000000"/>
          <w:lang w:val="en"/>
        </w:rPr>
        <w:t xml:space="preserve">; </w:t>
      </w:r>
      <w:hyperlink r:id="rId2" w:history="1">
        <w:r w:rsidR="00F23E26" w:rsidRPr="00F23E26">
          <w:rPr>
            <w:rFonts w:ascii="Times New Roman" w:hAnsi="Times New Roman" w:cs="Times New Roman"/>
            <w:color w:val="0076DE"/>
            <w:u w:val="single"/>
            <w:lang w:val="en"/>
          </w:rPr>
          <w:t xml:space="preserve">Anderson, H, O'Connell, A, Ramsay, I, Welsh, M, and Withers, H, </w:t>
        </w:r>
        <w:r w:rsidR="00F23E26" w:rsidRPr="00F23E26">
          <w:rPr>
            <w:rStyle w:val="Emphasis"/>
            <w:rFonts w:ascii="Times New Roman" w:hAnsi="Times New Roman" w:cs="Times New Roman"/>
            <w:color w:val="0076DE"/>
            <w:u w:val="single"/>
            <w:lang w:val="en"/>
          </w:rPr>
          <w:t>Quantifying Phoenix Activity: Incidence, Cost, Enforcement</w:t>
        </w:r>
        <w:r w:rsidR="00F23E26" w:rsidRPr="00F23E26">
          <w:rPr>
            <w:rFonts w:ascii="Times New Roman" w:hAnsi="Times New Roman" w:cs="Times New Roman"/>
            <w:color w:val="0076DE"/>
            <w:u w:val="single"/>
            <w:lang w:val="en"/>
          </w:rPr>
          <w:t xml:space="preserve"> (October 2015)</w:t>
        </w:r>
      </w:hyperlink>
      <w:r w:rsidR="00F23E26" w:rsidRPr="00F23E26">
        <w:rPr>
          <w:rFonts w:ascii="Times New Roman" w:hAnsi="Times New Roman" w:cs="Times New Roman"/>
          <w:color w:val="000000"/>
          <w:lang w:val="en"/>
        </w:rPr>
        <w:t xml:space="preserve">; </w:t>
      </w:r>
      <w:r w:rsidRPr="00F23E26">
        <w:rPr>
          <w:rFonts w:ascii="Times New Roman" w:hAnsi="Times New Roman" w:cs="Times New Roman"/>
        </w:rPr>
        <w:t xml:space="preserve">and </w:t>
      </w:r>
      <w:hyperlink r:id="rId3" w:history="1">
        <w:r w:rsidR="00F23E26" w:rsidRPr="00F23E26">
          <w:rPr>
            <w:rFonts w:ascii="Times New Roman" w:hAnsi="Times New Roman" w:cs="Times New Roman"/>
            <w:color w:val="0076DE"/>
            <w:u w:val="single"/>
            <w:lang w:val="en"/>
          </w:rPr>
          <w:t>Anderson, H, Ramsay, I, Welsh, M, and Hedges, J, Phoenix Activity: Recommendations on Detection, Disruption and Enforcement (February 2017)</w:t>
        </w:r>
      </w:hyperlink>
      <w:r w:rsidR="00F23E26" w:rsidRPr="00F23E26">
        <w:rPr>
          <w:rFonts w:ascii="Times New Roman" w:hAnsi="Times New Roman" w:cs="Times New Roman"/>
          <w:i/>
        </w:rPr>
        <w:t xml:space="preserve"> </w:t>
      </w:r>
      <w:r w:rsidR="00F23E26" w:rsidRPr="00F23E26">
        <w:rPr>
          <w:rFonts w:ascii="Times New Roman" w:hAnsi="Times New Roman" w:cs="Times New Roman"/>
        </w:rPr>
        <w:t xml:space="preserve">See further: </w:t>
      </w:r>
      <w:hyperlink r:id="rId4" w:history="1">
        <w:r w:rsidR="007800CC" w:rsidRPr="00F23E26">
          <w:rPr>
            <w:rStyle w:val="Hyperlink"/>
            <w:rFonts w:ascii="Times New Roman" w:hAnsi="Times New Roman" w:cs="Times New Roman"/>
          </w:rPr>
          <w:t>http://law.unimelb.edu.au/centres/cclsr/research/major-research-projects/regulating-fraudulent-phoenix-activity</w:t>
        </w:r>
      </w:hyperlink>
    </w:p>
    <w:p w14:paraId="02EC3677" w14:textId="77777777" w:rsidR="007800CC" w:rsidRPr="00F23E26" w:rsidRDefault="007800CC">
      <w:pPr>
        <w:pStyle w:val="FootnoteText"/>
        <w:rPr>
          <w:rFonts w:ascii="Times New Roman" w:hAnsi="Times New Roman" w:cs="Times New Roman"/>
        </w:rPr>
      </w:pPr>
    </w:p>
  </w:footnote>
  <w:footnote w:id="3">
    <w:p w14:paraId="084DBDB1" w14:textId="7C32AC8B" w:rsidR="008C72D7" w:rsidRPr="003B4F76" w:rsidRDefault="008C72D7">
      <w:pPr>
        <w:pStyle w:val="FootnoteText"/>
        <w:rPr>
          <w:rFonts w:ascii="Times New Roman" w:hAnsi="Times New Roman" w:cs="Times New Roman"/>
        </w:rPr>
      </w:pPr>
      <w:r w:rsidRPr="003B4F76">
        <w:rPr>
          <w:rStyle w:val="FootnoteReference"/>
          <w:rFonts w:ascii="Times New Roman" w:hAnsi="Times New Roman" w:cs="Times New Roman"/>
        </w:rPr>
        <w:footnoteRef/>
      </w:r>
      <w:r w:rsidRPr="003B4F76">
        <w:rPr>
          <w:rFonts w:ascii="Times New Roman" w:hAnsi="Times New Roman" w:cs="Times New Roman"/>
        </w:rPr>
        <w:t xml:space="preserve"> As defined in s 588GA (5).</w:t>
      </w:r>
    </w:p>
  </w:footnote>
  <w:footnote w:id="4">
    <w:p w14:paraId="5DDD86ED" w14:textId="5392893B" w:rsidR="008C72D7" w:rsidRPr="003B4F76" w:rsidRDefault="008C72D7" w:rsidP="00082395">
      <w:pPr>
        <w:pStyle w:val="suggested-citation"/>
        <w:rPr>
          <w:sz w:val="20"/>
          <w:szCs w:val="20"/>
        </w:rPr>
      </w:pPr>
      <w:r w:rsidRPr="003B4F76">
        <w:rPr>
          <w:rStyle w:val="FootnoteReference"/>
          <w:sz w:val="20"/>
          <w:szCs w:val="20"/>
        </w:rPr>
        <w:footnoteRef/>
      </w:r>
      <w:r w:rsidRPr="003B4F76">
        <w:rPr>
          <w:sz w:val="20"/>
          <w:szCs w:val="20"/>
        </w:rPr>
        <w:t xml:space="preserve"> For discussion on the point that generally there is insufficient appreciation of the fact that different types of creditors have different interests, see </w:t>
      </w:r>
      <w:proofErr w:type="spellStart"/>
      <w:r w:rsidRPr="003B4F76">
        <w:rPr>
          <w:sz w:val="20"/>
          <w:szCs w:val="20"/>
        </w:rPr>
        <w:t>Koeck</w:t>
      </w:r>
      <w:proofErr w:type="spellEnd"/>
      <w:r w:rsidRPr="003B4F76">
        <w:rPr>
          <w:sz w:val="20"/>
          <w:szCs w:val="20"/>
        </w:rPr>
        <w:t xml:space="preserve">, William and Ramsay, Ian, The Importance of Distinguishing between Different Categories of Creditors for the Purposes of Company Law. </w:t>
      </w:r>
      <w:r w:rsidRPr="003B4F76">
        <w:rPr>
          <w:i/>
          <w:sz w:val="20"/>
          <w:szCs w:val="20"/>
        </w:rPr>
        <w:t>Company and Securities Law Journal</w:t>
      </w:r>
      <w:r w:rsidRPr="003B4F76">
        <w:rPr>
          <w:sz w:val="20"/>
          <w:szCs w:val="20"/>
        </w:rPr>
        <w:t xml:space="preserve">, Vol. 12, No. 2, 1994. Available at SSRN: </w:t>
      </w:r>
      <w:hyperlink r:id="rId5" w:tgtFrame="_blank" w:history="1">
        <w:r w:rsidRPr="003B4F76">
          <w:rPr>
            <w:rStyle w:val="Hyperlink"/>
            <w:sz w:val="20"/>
            <w:szCs w:val="20"/>
          </w:rPr>
          <w:t>https://ssrn.com/abstract=1024879</w:t>
        </w:r>
      </w:hyperlink>
    </w:p>
  </w:footnote>
  <w:footnote w:id="5">
    <w:p w14:paraId="2FFDC7FA" w14:textId="60FF7052" w:rsidR="008C72D7" w:rsidRPr="003B4F76" w:rsidRDefault="008C72D7">
      <w:pPr>
        <w:pStyle w:val="FootnoteText"/>
        <w:rPr>
          <w:rFonts w:ascii="Times New Roman" w:hAnsi="Times New Roman" w:cs="Times New Roman"/>
        </w:rPr>
      </w:pPr>
      <w:r w:rsidRPr="003B4F76">
        <w:rPr>
          <w:rStyle w:val="FootnoteReference"/>
          <w:rFonts w:ascii="Times New Roman" w:hAnsi="Times New Roman" w:cs="Times New Roman"/>
        </w:rPr>
        <w:footnoteRef/>
      </w:r>
      <w:r w:rsidRPr="003B4F76">
        <w:rPr>
          <w:rFonts w:ascii="Times New Roman" w:hAnsi="Times New Roman" w:cs="Times New Roman"/>
        </w:rPr>
        <w:t xml:space="preserve"> See collection of ju</w:t>
      </w:r>
      <w:r w:rsidR="009F52A5">
        <w:rPr>
          <w:rFonts w:ascii="Times New Roman" w:hAnsi="Times New Roman" w:cs="Times New Roman"/>
        </w:rPr>
        <w:t>dicial authorities in footnote 6</w:t>
      </w:r>
      <w:r w:rsidRPr="003B4F76">
        <w:rPr>
          <w:rFonts w:ascii="Times New Roman" w:hAnsi="Times New Roman" w:cs="Times New Roman"/>
        </w:rPr>
        <w:t>.</w:t>
      </w:r>
    </w:p>
  </w:footnote>
  <w:footnote w:id="6">
    <w:p w14:paraId="5C8975E0" w14:textId="77777777" w:rsidR="008C72D7" w:rsidRPr="003B4F76" w:rsidRDefault="008C72D7" w:rsidP="00082395">
      <w:pPr>
        <w:pStyle w:val="FootnoteText"/>
        <w:jc w:val="both"/>
        <w:rPr>
          <w:rFonts w:ascii="Times New Roman" w:hAnsi="Times New Roman" w:cs="Times New Roman"/>
        </w:rPr>
      </w:pPr>
      <w:r w:rsidRPr="003B4F76">
        <w:rPr>
          <w:rStyle w:val="FootnoteReference"/>
          <w:rFonts w:ascii="Times New Roman" w:hAnsi="Times New Roman" w:cs="Times New Roman"/>
        </w:rPr>
        <w:footnoteRef/>
      </w:r>
      <w:r w:rsidRPr="003B4F76">
        <w:rPr>
          <w:rFonts w:ascii="Times New Roman" w:hAnsi="Times New Roman" w:cs="Times New Roman"/>
        </w:rPr>
        <w:t xml:space="preserve"> </w:t>
      </w:r>
      <w:r w:rsidRPr="003B4F76">
        <w:rPr>
          <w:rFonts w:ascii="Times New Roman" w:hAnsi="Times New Roman" w:cs="Times New Roman"/>
          <w:i/>
        </w:rPr>
        <w:t xml:space="preserve">Walker v </w:t>
      </w:r>
      <w:proofErr w:type="spellStart"/>
      <w:r w:rsidRPr="003B4F76">
        <w:rPr>
          <w:rFonts w:ascii="Times New Roman" w:hAnsi="Times New Roman" w:cs="Times New Roman"/>
          <w:i/>
        </w:rPr>
        <w:t>Wimborne</w:t>
      </w:r>
      <w:proofErr w:type="spellEnd"/>
      <w:r w:rsidRPr="003B4F76">
        <w:rPr>
          <w:rFonts w:ascii="Times New Roman" w:hAnsi="Times New Roman" w:cs="Times New Roman"/>
        </w:rPr>
        <w:t xml:space="preserve"> (1976) 137 CLR 1; </w:t>
      </w:r>
      <w:proofErr w:type="spellStart"/>
      <w:r w:rsidRPr="003B4F76">
        <w:rPr>
          <w:rFonts w:ascii="Times New Roman" w:hAnsi="Times New Roman" w:cs="Times New Roman"/>
          <w:i/>
        </w:rPr>
        <w:t>Kinsela</w:t>
      </w:r>
      <w:proofErr w:type="spellEnd"/>
      <w:r w:rsidRPr="003B4F76">
        <w:rPr>
          <w:rFonts w:ascii="Times New Roman" w:hAnsi="Times New Roman" w:cs="Times New Roman"/>
          <w:i/>
        </w:rPr>
        <w:t xml:space="preserve"> v Russell </w:t>
      </w:r>
      <w:proofErr w:type="spellStart"/>
      <w:r w:rsidRPr="003B4F76">
        <w:rPr>
          <w:rFonts w:ascii="Times New Roman" w:hAnsi="Times New Roman" w:cs="Times New Roman"/>
          <w:i/>
        </w:rPr>
        <w:t>Kinsela</w:t>
      </w:r>
      <w:proofErr w:type="spellEnd"/>
      <w:r w:rsidRPr="003B4F76">
        <w:rPr>
          <w:rFonts w:ascii="Times New Roman" w:hAnsi="Times New Roman" w:cs="Times New Roman"/>
          <w:i/>
        </w:rPr>
        <w:t xml:space="preserve"> Pty Ltd (in </w:t>
      </w:r>
      <w:proofErr w:type="spellStart"/>
      <w:r w:rsidRPr="003B4F76">
        <w:rPr>
          <w:rFonts w:ascii="Times New Roman" w:hAnsi="Times New Roman" w:cs="Times New Roman"/>
          <w:i/>
        </w:rPr>
        <w:t>liq</w:t>
      </w:r>
      <w:proofErr w:type="spellEnd"/>
      <w:r w:rsidRPr="003B4F76">
        <w:rPr>
          <w:rFonts w:ascii="Times New Roman" w:hAnsi="Times New Roman" w:cs="Times New Roman"/>
          <w:i/>
        </w:rPr>
        <w:t>)</w:t>
      </w:r>
      <w:r w:rsidRPr="003B4F76">
        <w:rPr>
          <w:rFonts w:ascii="Times New Roman" w:hAnsi="Times New Roman" w:cs="Times New Roman"/>
        </w:rPr>
        <w:t xml:space="preserve"> (1986) 4 NSWLR 722; </w:t>
      </w:r>
      <w:r w:rsidRPr="003B4F76">
        <w:rPr>
          <w:rFonts w:ascii="Times New Roman" w:hAnsi="Times New Roman" w:cs="Times New Roman"/>
          <w:i/>
        </w:rPr>
        <w:t>Spies v R</w:t>
      </w:r>
      <w:r w:rsidRPr="003B4F76">
        <w:rPr>
          <w:rFonts w:ascii="Times New Roman" w:hAnsi="Times New Roman" w:cs="Times New Roman"/>
        </w:rPr>
        <w:t xml:space="preserve"> (2000) 201 CLR 603. For discussion of these seminal cases, see A Hargovan, ‘Directors’ Duties to Creditors in Australia after Spies v The Queen – Is the Development of an Independent Fiduciary Duty Dead or Alive?’</w:t>
      </w:r>
      <w:r w:rsidRPr="003B4F76">
        <w:rPr>
          <w:rFonts w:ascii="Times New Roman" w:hAnsi="Times New Roman" w:cs="Times New Roman"/>
          <w:i/>
        </w:rPr>
        <w:t xml:space="preserve"> </w:t>
      </w:r>
      <w:r w:rsidRPr="003B4F76">
        <w:rPr>
          <w:rFonts w:ascii="Times New Roman" w:hAnsi="Times New Roman" w:cs="Times New Roman"/>
        </w:rPr>
        <w:t xml:space="preserve">(2003) 21 </w:t>
      </w:r>
      <w:r w:rsidRPr="003B4F76">
        <w:rPr>
          <w:rFonts w:ascii="Times New Roman" w:hAnsi="Times New Roman" w:cs="Times New Roman"/>
          <w:i/>
        </w:rPr>
        <w:t xml:space="preserve">Company and Securities Law Journal </w:t>
      </w:r>
      <w:r w:rsidRPr="003B4F76">
        <w:rPr>
          <w:rFonts w:ascii="Times New Roman" w:hAnsi="Times New Roman" w:cs="Times New Roman"/>
        </w:rPr>
        <w:t xml:space="preserve">390; ‘Geneva finance and the “duty” of directors to creditors: imperfect obligation and critique’ (2004) 12 </w:t>
      </w:r>
      <w:r w:rsidRPr="003B4F76">
        <w:rPr>
          <w:rFonts w:ascii="Times New Roman" w:hAnsi="Times New Roman" w:cs="Times New Roman"/>
          <w:i/>
        </w:rPr>
        <w:t>Insolvency Law Journal</w:t>
      </w:r>
      <w:r w:rsidRPr="003B4F76">
        <w:rPr>
          <w:rFonts w:ascii="Times New Roman" w:hAnsi="Times New Roman" w:cs="Times New Roman"/>
        </w:rPr>
        <w:t xml:space="preserve"> 134. </w:t>
      </w:r>
    </w:p>
    <w:p w14:paraId="5890D098" w14:textId="72E61C4E" w:rsidR="008C72D7" w:rsidRDefault="008C72D7" w:rsidP="00082395">
      <w:pPr>
        <w:pStyle w:val="FootnoteText"/>
        <w:jc w:val="both"/>
        <w:rPr>
          <w:rStyle w:val="st"/>
          <w:rFonts w:ascii="Times New Roman" w:hAnsi="Times New Roman" w:cs="Times New Roman"/>
        </w:rPr>
      </w:pPr>
      <w:r w:rsidRPr="003B4F76">
        <w:rPr>
          <w:rFonts w:ascii="Times New Roman" w:hAnsi="Times New Roman" w:cs="Times New Roman"/>
        </w:rPr>
        <w:t xml:space="preserve">More recently, see </w:t>
      </w:r>
      <w:r w:rsidRPr="003B4F76">
        <w:rPr>
          <w:rFonts w:ascii="Times New Roman" w:hAnsi="Times New Roman" w:cs="Times New Roman"/>
          <w:i/>
        </w:rPr>
        <w:t xml:space="preserve">Westpac Banking Corporation v The Bell Group Ltd (in </w:t>
      </w:r>
      <w:proofErr w:type="spellStart"/>
      <w:r w:rsidRPr="003B4F76">
        <w:rPr>
          <w:rFonts w:ascii="Times New Roman" w:hAnsi="Times New Roman" w:cs="Times New Roman"/>
          <w:i/>
        </w:rPr>
        <w:t>liq</w:t>
      </w:r>
      <w:proofErr w:type="spellEnd"/>
      <w:r w:rsidRPr="003B4F76">
        <w:rPr>
          <w:rFonts w:ascii="Times New Roman" w:hAnsi="Times New Roman" w:cs="Times New Roman"/>
          <w:i/>
        </w:rPr>
        <w:t>) (No 3)</w:t>
      </w:r>
      <w:r w:rsidRPr="003B4F76">
        <w:rPr>
          <w:rFonts w:ascii="Times New Roman" w:hAnsi="Times New Roman" w:cs="Times New Roman"/>
        </w:rPr>
        <w:t xml:space="preserve"> (2012) 89 ACSR 1; [2012] WASCA 157 (hereinafter </w:t>
      </w:r>
      <w:r w:rsidRPr="003B4F76">
        <w:rPr>
          <w:rFonts w:ascii="Times New Roman" w:hAnsi="Times New Roman" w:cs="Times New Roman"/>
          <w:i/>
        </w:rPr>
        <w:t>Bell</w:t>
      </w:r>
      <w:r w:rsidRPr="003B4F76">
        <w:rPr>
          <w:rFonts w:ascii="Times New Roman" w:hAnsi="Times New Roman" w:cs="Times New Roman"/>
        </w:rPr>
        <w:t xml:space="preserve">).  For critical analysis, see A </w:t>
      </w:r>
      <w:r w:rsidRPr="003B4F76">
        <w:rPr>
          <w:rStyle w:val="Emphasis"/>
          <w:rFonts w:ascii="Times New Roman" w:hAnsi="Times New Roman" w:cs="Times New Roman"/>
        </w:rPr>
        <w:t>Hargovan</w:t>
      </w:r>
      <w:r w:rsidRPr="003B4F76">
        <w:rPr>
          <w:rStyle w:val="st"/>
          <w:rFonts w:ascii="Times New Roman" w:hAnsi="Times New Roman" w:cs="Times New Roman"/>
          <w:i/>
        </w:rPr>
        <w:t xml:space="preserve"> </w:t>
      </w:r>
      <w:r w:rsidRPr="003B4F76">
        <w:rPr>
          <w:rStyle w:val="st"/>
          <w:rFonts w:ascii="Times New Roman" w:hAnsi="Times New Roman" w:cs="Times New Roman"/>
        </w:rPr>
        <w:t xml:space="preserve">and J </w:t>
      </w:r>
      <w:r w:rsidRPr="003B4F76">
        <w:rPr>
          <w:rStyle w:val="Emphasis"/>
          <w:rFonts w:ascii="Times New Roman" w:hAnsi="Times New Roman" w:cs="Times New Roman"/>
        </w:rPr>
        <w:t>Harris</w:t>
      </w:r>
      <w:r w:rsidRPr="003B4F76">
        <w:rPr>
          <w:rStyle w:val="st"/>
          <w:rFonts w:ascii="Times New Roman" w:hAnsi="Times New Roman" w:cs="Times New Roman"/>
        </w:rPr>
        <w:t>, ‘</w:t>
      </w:r>
      <w:r w:rsidRPr="003B4F76">
        <w:rPr>
          <w:rStyle w:val="Emphasis"/>
          <w:rFonts w:ascii="Times New Roman" w:hAnsi="Times New Roman" w:cs="Times New Roman"/>
        </w:rPr>
        <w:t>For Whom the Bell Tolls</w:t>
      </w:r>
      <w:r w:rsidRPr="003B4F76">
        <w:rPr>
          <w:rStyle w:val="st"/>
          <w:rFonts w:ascii="Times New Roman" w:hAnsi="Times New Roman" w:cs="Times New Roman"/>
        </w:rPr>
        <w:t>: Directors' Duties to Creditors after Bell’</w:t>
      </w:r>
      <w:r w:rsidRPr="003B4F76">
        <w:rPr>
          <w:rStyle w:val="st"/>
          <w:rFonts w:ascii="Times New Roman" w:hAnsi="Times New Roman" w:cs="Times New Roman"/>
          <w:i/>
        </w:rPr>
        <w:t xml:space="preserve"> </w:t>
      </w:r>
      <w:r w:rsidRPr="003B4F76">
        <w:rPr>
          <w:rStyle w:val="st"/>
          <w:rFonts w:ascii="Times New Roman" w:hAnsi="Times New Roman" w:cs="Times New Roman"/>
        </w:rPr>
        <w:t xml:space="preserve">(2013) 35(2) </w:t>
      </w:r>
      <w:r w:rsidRPr="003B4F76">
        <w:rPr>
          <w:rStyle w:val="st"/>
          <w:rFonts w:ascii="Times New Roman" w:hAnsi="Times New Roman" w:cs="Times New Roman"/>
          <w:i/>
        </w:rPr>
        <w:t>Sydney Law Review</w:t>
      </w:r>
      <w:r w:rsidRPr="003B4F76">
        <w:rPr>
          <w:rStyle w:val="st"/>
          <w:rFonts w:ascii="Times New Roman" w:hAnsi="Times New Roman" w:cs="Times New Roman"/>
        </w:rPr>
        <w:t xml:space="preserve"> 433.</w:t>
      </w:r>
      <w:r w:rsidR="007800CC" w:rsidRPr="007800CC">
        <w:t xml:space="preserve"> </w:t>
      </w:r>
      <w:hyperlink r:id="rId6" w:history="1">
        <w:r w:rsidR="007800CC" w:rsidRPr="00097BAE">
          <w:rPr>
            <w:rStyle w:val="Hyperlink"/>
            <w:rFonts w:ascii="Times New Roman" w:hAnsi="Times New Roman" w:cs="Times New Roman"/>
          </w:rPr>
          <w:t>http://www.austlii.edu.au/au/journals/SydLawRw/2013/16.html</w:t>
        </w:r>
      </w:hyperlink>
    </w:p>
    <w:p w14:paraId="564741C7" w14:textId="77777777" w:rsidR="007800CC" w:rsidRPr="003B4F76" w:rsidRDefault="007800CC" w:rsidP="00082395">
      <w:pPr>
        <w:pStyle w:val="FootnoteText"/>
        <w:jc w:val="both"/>
        <w:rPr>
          <w:rFonts w:ascii="Times New Roman" w:hAnsi="Times New Roman" w:cs="Times New Roman"/>
        </w:rPr>
      </w:pPr>
    </w:p>
    <w:p w14:paraId="1422DADD" w14:textId="77777777" w:rsidR="008C72D7" w:rsidRPr="003B4F76" w:rsidRDefault="008C72D7" w:rsidP="00082395">
      <w:pPr>
        <w:pStyle w:val="FootnoteText"/>
        <w:jc w:val="both"/>
        <w:rPr>
          <w:rFonts w:ascii="Times New Roman" w:hAnsi="Times New Roman" w:cs="Times New Roman"/>
        </w:rPr>
      </w:pPr>
    </w:p>
    <w:p w14:paraId="2A11670D" w14:textId="5A968B75" w:rsidR="008C72D7" w:rsidRPr="003B4F76" w:rsidRDefault="008C72D7">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5154" w14:textId="3432839D" w:rsidR="008C72D7" w:rsidRDefault="008C72D7" w:rsidP="00D5650F">
    <w:pPr>
      <w:pStyle w:val="Header"/>
      <w:tabs>
        <w:tab w:val="left" w:pos="2410"/>
      </w:tabs>
    </w:pPr>
    <w:bookmarkStart w:id="1" w:name="_MacBuGuideStaticData_10468V"/>
    <w:bookmarkStart w:id="2" w:name="_MacBuGuideStaticData_1440V"/>
    <w:r>
      <w:rPr>
        <w:noProof/>
        <w:lang w:eastAsia="en-AU"/>
      </w:rPr>
      <w:drawing>
        <wp:anchor distT="0" distB="0" distL="114300" distR="114300" simplePos="0" relativeHeight="251659776" behindDoc="1" locked="0" layoutInCell="1" allowOverlap="1" wp14:anchorId="0DA78608" wp14:editId="5AF7AC3A">
          <wp:simplePos x="0" y="0"/>
          <wp:positionH relativeFrom="page">
            <wp:posOffset>8890</wp:posOffset>
          </wp:positionH>
          <wp:positionV relativeFrom="page">
            <wp:posOffset>-55245</wp:posOffset>
          </wp:positionV>
          <wp:extent cx="7566660" cy="2016758"/>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4_bnnr_word_doc_asb_head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6660" cy="2016758"/>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66B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D1ACD7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B34148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19A0F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D5A02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AAEBCB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8BA03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960A5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FA4F61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6F4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88AE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404FEE"/>
    <w:multiLevelType w:val="hybridMultilevel"/>
    <w:tmpl w:val="5CEEA234"/>
    <w:lvl w:ilvl="0" w:tplc="7F1CE0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3859F2"/>
    <w:multiLevelType w:val="hybridMultilevel"/>
    <w:tmpl w:val="CC623FB6"/>
    <w:lvl w:ilvl="0" w:tplc="669A7FD0">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EC782B"/>
    <w:multiLevelType w:val="multilevel"/>
    <w:tmpl w:val="AC90BB1A"/>
    <w:lvl w:ilvl="0">
      <w:start w:val="1"/>
      <w:numFmt w:val="bullet"/>
      <w:lvlText w:val="—"/>
      <w:lvlJc w:val="left"/>
      <w:pPr>
        <w:tabs>
          <w:tab w:val="num" w:pos="360"/>
        </w:tabs>
        <w:ind w:left="360" w:hanging="360"/>
      </w:pPr>
      <w:rPr>
        <w:rFonts w:ascii="Arial" w:hAnsi="Arial" w:hint="default"/>
        <w:b w:val="0"/>
        <w:i w:val="0"/>
        <w:sz w:val="18"/>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5F69CA"/>
    <w:multiLevelType w:val="multilevel"/>
    <w:tmpl w:val="AC90BB1A"/>
    <w:lvl w:ilvl="0">
      <w:start w:val="1"/>
      <w:numFmt w:val="bullet"/>
      <w:lvlText w:val="—"/>
      <w:lvlJc w:val="left"/>
      <w:pPr>
        <w:tabs>
          <w:tab w:val="num" w:pos="360"/>
        </w:tabs>
        <w:ind w:left="360" w:hanging="360"/>
      </w:pPr>
      <w:rPr>
        <w:rFonts w:ascii="Arial" w:hAnsi="Arial" w:hint="default"/>
        <w:b w:val="0"/>
        <w:i w:val="0"/>
        <w:sz w:val="18"/>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5C3268"/>
    <w:multiLevelType w:val="multilevel"/>
    <w:tmpl w:val="A9D26922"/>
    <w:lvl w:ilvl="0">
      <w:start w:val="1"/>
      <w:numFmt w:val="decimal"/>
      <w:pStyle w:val="numberedlis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C1290F"/>
    <w:multiLevelType w:val="hybridMultilevel"/>
    <w:tmpl w:val="D0D4F404"/>
    <w:lvl w:ilvl="0" w:tplc="EAB25758">
      <w:start w:val="1"/>
      <w:numFmt w:val="bullet"/>
      <w:lvlText w:val="•"/>
      <w:lvlJc w:val="left"/>
      <w:pPr>
        <w:tabs>
          <w:tab w:val="num" w:pos="720"/>
        </w:tabs>
        <w:ind w:left="720" w:hanging="360"/>
      </w:pPr>
      <w:rPr>
        <w:rFonts w:ascii="Arial" w:hAnsi="Arial" w:hint="default"/>
      </w:rPr>
    </w:lvl>
    <w:lvl w:ilvl="1" w:tplc="3940C78C" w:tentative="1">
      <w:start w:val="1"/>
      <w:numFmt w:val="bullet"/>
      <w:lvlText w:val="•"/>
      <w:lvlJc w:val="left"/>
      <w:pPr>
        <w:tabs>
          <w:tab w:val="num" w:pos="1440"/>
        </w:tabs>
        <w:ind w:left="1440" w:hanging="360"/>
      </w:pPr>
      <w:rPr>
        <w:rFonts w:ascii="Arial" w:hAnsi="Arial" w:hint="default"/>
      </w:rPr>
    </w:lvl>
    <w:lvl w:ilvl="2" w:tplc="C2D60EC8" w:tentative="1">
      <w:start w:val="1"/>
      <w:numFmt w:val="bullet"/>
      <w:lvlText w:val="•"/>
      <w:lvlJc w:val="left"/>
      <w:pPr>
        <w:tabs>
          <w:tab w:val="num" w:pos="2160"/>
        </w:tabs>
        <w:ind w:left="2160" w:hanging="360"/>
      </w:pPr>
      <w:rPr>
        <w:rFonts w:ascii="Arial" w:hAnsi="Arial" w:hint="default"/>
      </w:rPr>
    </w:lvl>
    <w:lvl w:ilvl="3" w:tplc="89FE714A" w:tentative="1">
      <w:start w:val="1"/>
      <w:numFmt w:val="bullet"/>
      <w:lvlText w:val="•"/>
      <w:lvlJc w:val="left"/>
      <w:pPr>
        <w:tabs>
          <w:tab w:val="num" w:pos="2880"/>
        </w:tabs>
        <w:ind w:left="2880" w:hanging="360"/>
      </w:pPr>
      <w:rPr>
        <w:rFonts w:ascii="Arial" w:hAnsi="Arial" w:hint="default"/>
      </w:rPr>
    </w:lvl>
    <w:lvl w:ilvl="4" w:tplc="84285CD0" w:tentative="1">
      <w:start w:val="1"/>
      <w:numFmt w:val="bullet"/>
      <w:lvlText w:val="•"/>
      <w:lvlJc w:val="left"/>
      <w:pPr>
        <w:tabs>
          <w:tab w:val="num" w:pos="3600"/>
        </w:tabs>
        <w:ind w:left="3600" w:hanging="360"/>
      </w:pPr>
      <w:rPr>
        <w:rFonts w:ascii="Arial" w:hAnsi="Arial" w:hint="default"/>
      </w:rPr>
    </w:lvl>
    <w:lvl w:ilvl="5" w:tplc="2ECE0E70" w:tentative="1">
      <w:start w:val="1"/>
      <w:numFmt w:val="bullet"/>
      <w:lvlText w:val="•"/>
      <w:lvlJc w:val="left"/>
      <w:pPr>
        <w:tabs>
          <w:tab w:val="num" w:pos="4320"/>
        </w:tabs>
        <w:ind w:left="4320" w:hanging="360"/>
      </w:pPr>
      <w:rPr>
        <w:rFonts w:ascii="Arial" w:hAnsi="Arial" w:hint="default"/>
      </w:rPr>
    </w:lvl>
    <w:lvl w:ilvl="6" w:tplc="406864A6" w:tentative="1">
      <w:start w:val="1"/>
      <w:numFmt w:val="bullet"/>
      <w:lvlText w:val="•"/>
      <w:lvlJc w:val="left"/>
      <w:pPr>
        <w:tabs>
          <w:tab w:val="num" w:pos="5040"/>
        </w:tabs>
        <w:ind w:left="5040" w:hanging="360"/>
      </w:pPr>
      <w:rPr>
        <w:rFonts w:ascii="Arial" w:hAnsi="Arial" w:hint="default"/>
      </w:rPr>
    </w:lvl>
    <w:lvl w:ilvl="7" w:tplc="9B0ECEDE" w:tentative="1">
      <w:start w:val="1"/>
      <w:numFmt w:val="bullet"/>
      <w:lvlText w:val="•"/>
      <w:lvlJc w:val="left"/>
      <w:pPr>
        <w:tabs>
          <w:tab w:val="num" w:pos="5760"/>
        </w:tabs>
        <w:ind w:left="5760" w:hanging="360"/>
      </w:pPr>
      <w:rPr>
        <w:rFonts w:ascii="Arial" w:hAnsi="Arial" w:hint="default"/>
      </w:rPr>
    </w:lvl>
    <w:lvl w:ilvl="8" w:tplc="D69A7E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CC330EC"/>
    <w:multiLevelType w:val="hybridMultilevel"/>
    <w:tmpl w:val="4F700982"/>
    <w:lvl w:ilvl="0" w:tplc="D77081B4">
      <w:start w:val="1"/>
      <w:numFmt w:val="bullet"/>
      <w:pStyle w:val="Bulletslevel2"/>
      <w:lvlText w:val="–"/>
      <w:lvlJc w:val="left"/>
      <w:pPr>
        <w:tabs>
          <w:tab w:val="num" w:pos="1080"/>
        </w:tabs>
        <w:ind w:left="1080" w:hanging="360"/>
      </w:pPr>
      <w:rPr>
        <w:rFonts w:ascii="Arial" w:hAnsi="Arial" w:hint="default"/>
        <w:b w:val="0"/>
        <w:i w:val="0"/>
        <w:color w:val="auto"/>
        <w:sz w:val="18"/>
      </w:rPr>
    </w:lvl>
    <w:lvl w:ilvl="1" w:tplc="822C4C28">
      <w:start w:val="1"/>
      <w:numFmt w:val="bullet"/>
      <w:pStyle w:val="Bulletslevel2"/>
      <w:lvlText w:val="o"/>
      <w:lvlJc w:val="left"/>
      <w:pPr>
        <w:tabs>
          <w:tab w:val="num" w:pos="1080"/>
        </w:tabs>
        <w:ind w:left="1080" w:hanging="360"/>
      </w:pPr>
      <w:rPr>
        <w:rFonts w:ascii="Courier New" w:hAnsi="Courier New" w:hint="default"/>
      </w:rPr>
    </w:lvl>
    <w:lvl w:ilvl="2" w:tplc="EE606CB0" w:tentative="1">
      <w:start w:val="1"/>
      <w:numFmt w:val="bullet"/>
      <w:lvlText w:val=""/>
      <w:lvlJc w:val="left"/>
      <w:pPr>
        <w:tabs>
          <w:tab w:val="num" w:pos="1800"/>
        </w:tabs>
        <w:ind w:left="1800" w:hanging="360"/>
      </w:pPr>
      <w:rPr>
        <w:rFonts w:ascii="Wingdings" w:hAnsi="Wingdings" w:hint="default"/>
      </w:rPr>
    </w:lvl>
    <w:lvl w:ilvl="3" w:tplc="032E70A6" w:tentative="1">
      <w:start w:val="1"/>
      <w:numFmt w:val="bullet"/>
      <w:lvlText w:val=""/>
      <w:lvlJc w:val="left"/>
      <w:pPr>
        <w:tabs>
          <w:tab w:val="num" w:pos="2520"/>
        </w:tabs>
        <w:ind w:left="2520" w:hanging="360"/>
      </w:pPr>
      <w:rPr>
        <w:rFonts w:ascii="Symbol" w:hAnsi="Symbol" w:hint="default"/>
      </w:rPr>
    </w:lvl>
    <w:lvl w:ilvl="4" w:tplc="219A6DDE" w:tentative="1">
      <w:start w:val="1"/>
      <w:numFmt w:val="bullet"/>
      <w:lvlText w:val="o"/>
      <w:lvlJc w:val="left"/>
      <w:pPr>
        <w:tabs>
          <w:tab w:val="num" w:pos="3240"/>
        </w:tabs>
        <w:ind w:left="3240" w:hanging="360"/>
      </w:pPr>
      <w:rPr>
        <w:rFonts w:ascii="Courier New" w:hAnsi="Courier New" w:hint="default"/>
      </w:rPr>
    </w:lvl>
    <w:lvl w:ilvl="5" w:tplc="396A1DC4" w:tentative="1">
      <w:start w:val="1"/>
      <w:numFmt w:val="bullet"/>
      <w:lvlText w:val=""/>
      <w:lvlJc w:val="left"/>
      <w:pPr>
        <w:tabs>
          <w:tab w:val="num" w:pos="3960"/>
        </w:tabs>
        <w:ind w:left="3960" w:hanging="360"/>
      </w:pPr>
      <w:rPr>
        <w:rFonts w:ascii="Wingdings" w:hAnsi="Wingdings" w:hint="default"/>
      </w:rPr>
    </w:lvl>
    <w:lvl w:ilvl="6" w:tplc="2AAC94B4" w:tentative="1">
      <w:start w:val="1"/>
      <w:numFmt w:val="bullet"/>
      <w:lvlText w:val=""/>
      <w:lvlJc w:val="left"/>
      <w:pPr>
        <w:tabs>
          <w:tab w:val="num" w:pos="4680"/>
        </w:tabs>
        <w:ind w:left="4680" w:hanging="360"/>
      </w:pPr>
      <w:rPr>
        <w:rFonts w:ascii="Symbol" w:hAnsi="Symbol" w:hint="default"/>
      </w:rPr>
    </w:lvl>
    <w:lvl w:ilvl="7" w:tplc="6A662AB4" w:tentative="1">
      <w:start w:val="1"/>
      <w:numFmt w:val="bullet"/>
      <w:lvlText w:val="o"/>
      <w:lvlJc w:val="left"/>
      <w:pPr>
        <w:tabs>
          <w:tab w:val="num" w:pos="5400"/>
        </w:tabs>
        <w:ind w:left="5400" w:hanging="360"/>
      </w:pPr>
      <w:rPr>
        <w:rFonts w:ascii="Courier New" w:hAnsi="Courier New" w:hint="default"/>
      </w:rPr>
    </w:lvl>
    <w:lvl w:ilvl="8" w:tplc="B6E0423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6E639AE"/>
    <w:multiLevelType w:val="hybridMultilevel"/>
    <w:tmpl w:val="AC90BB1A"/>
    <w:lvl w:ilvl="0" w:tplc="38F8F048">
      <w:start w:val="1"/>
      <w:numFmt w:val="bullet"/>
      <w:pStyle w:val="Bulletslevel1"/>
      <w:lvlText w:val="—"/>
      <w:lvlJc w:val="left"/>
      <w:pPr>
        <w:tabs>
          <w:tab w:val="num" w:pos="360"/>
        </w:tabs>
        <w:ind w:left="360" w:hanging="360"/>
      </w:pPr>
      <w:rPr>
        <w:rFonts w:ascii="Arial" w:hAnsi="Arial" w:hint="default"/>
        <w:b w:val="0"/>
        <w:i w:val="0"/>
        <w:sz w:val="18"/>
      </w:rPr>
    </w:lvl>
    <w:lvl w:ilvl="1" w:tplc="6A4201E6" w:tentative="1">
      <w:start w:val="1"/>
      <w:numFmt w:val="bullet"/>
      <w:lvlText w:val="o"/>
      <w:lvlJc w:val="left"/>
      <w:pPr>
        <w:tabs>
          <w:tab w:val="num" w:pos="1080"/>
        </w:tabs>
        <w:ind w:left="1080" w:hanging="360"/>
      </w:pPr>
      <w:rPr>
        <w:rFonts w:ascii="Courier New" w:hAnsi="Courier New" w:hint="default"/>
      </w:rPr>
    </w:lvl>
    <w:lvl w:ilvl="2" w:tplc="4E129AA4" w:tentative="1">
      <w:start w:val="1"/>
      <w:numFmt w:val="bullet"/>
      <w:lvlText w:val=""/>
      <w:lvlJc w:val="left"/>
      <w:pPr>
        <w:tabs>
          <w:tab w:val="num" w:pos="1800"/>
        </w:tabs>
        <w:ind w:left="1800" w:hanging="360"/>
      </w:pPr>
      <w:rPr>
        <w:rFonts w:ascii="Wingdings" w:hAnsi="Wingdings" w:hint="default"/>
      </w:rPr>
    </w:lvl>
    <w:lvl w:ilvl="3" w:tplc="32F2C300" w:tentative="1">
      <w:start w:val="1"/>
      <w:numFmt w:val="bullet"/>
      <w:lvlText w:val=""/>
      <w:lvlJc w:val="left"/>
      <w:pPr>
        <w:tabs>
          <w:tab w:val="num" w:pos="2520"/>
        </w:tabs>
        <w:ind w:left="2520" w:hanging="360"/>
      </w:pPr>
      <w:rPr>
        <w:rFonts w:ascii="Symbol" w:hAnsi="Symbol" w:hint="default"/>
      </w:rPr>
    </w:lvl>
    <w:lvl w:ilvl="4" w:tplc="84AC2A2C" w:tentative="1">
      <w:start w:val="1"/>
      <w:numFmt w:val="bullet"/>
      <w:lvlText w:val="o"/>
      <w:lvlJc w:val="left"/>
      <w:pPr>
        <w:tabs>
          <w:tab w:val="num" w:pos="3240"/>
        </w:tabs>
        <w:ind w:left="3240" w:hanging="360"/>
      </w:pPr>
      <w:rPr>
        <w:rFonts w:ascii="Courier New" w:hAnsi="Courier New" w:hint="default"/>
      </w:rPr>
    </w:lvl>
    <w:lvl w:ilvl="5" w:tplc="2020E048" w:tentative="1">
      <w:start w:val="1"/>
      <w:numFmt w:val="bullet"/>
      <w:lvlText w:val=""/>
      <w:lvlJc w:val="left"/>
      <w:pPr>
        <w:tabs>
          <w:tab w:val="num" w:pos="3960"/>
        </w:tabs>
        <w:ind w:left="3960" w:hanging="360"/>
      </w:pPr>
      <w:rPr>
        <w:rFonts w:ascii="Wingdings" w:hAnsi="Wingdings" w:hint="default"/>
      </w:rPr>
    </w:lvl>
    <w:lvl w:ilvl="6" w:tplc="E586D77C" w:tentative="1">
      <w:start w:val="1"/>
      <w:numFmt w:val="bullet"/>
      <w:lvlText w:val=""/>
      <w:lvlJc w:val="left"/>
      <w:pPr>
        <w:tabs>
          <w:tab w:val="num" w:pos="4680"/>
        </w:tabs>
        <w:ind w:left="4680" w:hanging="360"/>
      </w:pPr>
      <w:rPr>
        <w:rFonts w:ascii="Symbol" w:hAnsi="Symbol" w:hint="default"/>
      </w:rPr>
    </w:lvl>
    <w:lvl w:ilvl="7" w:tplc="47BC751C" w:tentative="1">
      <w:start w:val="1"/>
      <w:numFmt w:val="bullet"/>
      <w:lvlText w:val="o"/>
      <w:lvlJc w:val="left"/>
      <w:pPr>
        <w:tabs>
          <w:tab w:val="num" w:pos="5400"/>
        </w:tabs>
        <w:ind w:left="5400" w:hanging="360"/>
      </w:pPr>
      <w:rPr>
        <w:rFonts w:ascii="Courier New" w:hAnsi="Courier New" w:hint="default"/>
      </w:rPr>
    </w:lvl>
    <w:lvl w:ilvl="8" w:tplc="50425AC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E1A05FD"/>
    <w:multiLevelType w:val="hybridMultilevel"/>
    <w:tmpl w:val="C804FFFC"/>
    <w:lvl w:ilvl="0" w:tplc="2BB07EFA">
      <w:start w:val="1"/>
      <w:numFmt w:val="bullet"/>
      <w:lvlText w:val="•"/>
      <w:lvlJc w:val="left"/>
      <w:pPr>
        <w:tabs>
          <w:tab w:val="num" w:pos="720"/>
        </w:tabs>
        <w:ind w:left="720" w:hanging="360"/>
      </w:pPr>
      <w:rPr>
        <w:rFonts w:ascii="Arial" w:hAnsi="Arial" w:hint="default"/>
      </w:rPr>
    </w:lvl>
    <w:lvl w:ilvl="1" w:tplc="E2464388" w:tentative="1">
      <w:start w:val="1"/>
      <w:numFmt w:val="bullet"/>
      <w:lvlText w:val="•"/>
      <w:lvlJc w:val="left"/>
      <w:pPr>
        <w:tabs>
          <w:tab w:val="num" w:pos="1440"/>
        </w:tabs>
        <w:ind w:left="1440" w:hanging="360"/>
      </w:pPr>
      <w:rPr>
        <w:rFonts w:ascii="Arial" w:hAnsi="Arial" w:hint="default"/>
      </w:rPr>
    </w:lvl>
    <w:lvl w:ilvl="2" w:tplc="4C42083C" w:tentative="1">
      <w:start w:val="1"/>
      <w:numFmt w:val="bullet"/>
      <w:lvlText w:val="•"/>
      <w:lvlJc w:val="left"/>
      <w:pPr>
        <w:tabs>
          <w:tab w:val="num" w:pos="2160"/>
        </w:tabs>
        <w:ind w:left="2160" w:hanging="360"/>
      </w:pPr>
      <w:rPr>
        <w:rFonts w:ascii="Arial" w:hAnsi="Arial" w:hint="default"/>
      </w:rPr>
    </w:lvl>
    <w:lvl w:ilvl="3" w:tplc="3484116A" w:tentative="1">
      <w:start w:val="1"/>
      <w:numFmt w:val="bullet"/>
      <w:lvlText w:val="•"/>
      <w:lvlJc w:val="left"/>
      <w:pPr>
        <w:tabs>
          <w:tab w:val="num" w:pos="2880"/>
        </w:tabs>
        <w:ind w:left="2880" w:hanging="360"/>
      </w:pPr>
      <w:rPr>
        <w:rFonts w:ascii="Arial" w:hAnsi="Arial" w:hint="default"/>
      </w:rPr>
    </w:lvl>
    <w:lvl w:ilvl="4" w:tplc="53E4E2AC" w:tentative="1">
      <w:start w:val="1"/>
      <w:numFmt w:val="bullet"/>
      <w:lvlText w:val="•"/>
      <w:lvlJc w:val="left"/>
      <w:pPr>
        <w:tabs>
          <w:tab w:val="num" w:pos="3600"/>
        </w:tabs>
        <w:ind w:left="3600" w:hanging="360"/>
      </w:pPr>
      <w:rPr>
        <w:rFonts w:ascii="Arial" w:hAnsi="Arial" w:hint="default"/>
      </w:rPr>
    </w:lvl>
    <w:lvl w:ilvl="5" w:tplc="85FA6160" w:tentative="1">
      <w:start w:val="1"/>
      <w:numFmt w:val="bullet"/>
      <w:lvlText w:val="•"/>
      <w:lvlJc w:val="left"/>
      <w:pPr>
        <w:tabs>
          <w:tab w:val="num" w:pos="4320"/>
        </w:tabs>
        <w:ind w:left="4320" w:hanging="360"/>
      </w:pPr>
      <w:rPr>
        <w:rFonts w:ascii="Arial" w:hAnsi="Arial" w:hint="default"/>
      </w:rPr>
    </w:lvl>
    <w:lvl w:ilvl="6" w:tplc="19D8C976" w:tentative="1">
      <w:start w:val="1"/>
      <w:numFmt w:val="bullet"/>
      <w:lvlText w:val="•"/>
      <w:lvlJc w:val="left"/>
      <w:pPr>
        <w:tabs>
          <w:tab w:val="num" w:pos="5040"/>
        </w:tabs>
        <w:ind w:left="5040" w:hanging="360"/>
      </w:pPr>
      <w:rPr>
        <w:rFonts w:ascii="Arial" w:hAnsi="Arial" w:hint="default"/>
      </w:rPr>
    </w:lvl>
    <w:lvl w:ilvl="7" w:tplc="3A74C070" w:tentative="1">
      <w:start w:val="1"/>
      <w:numFmt w:val="bullet"/>
      <w:lvlText w:val="•"/>
      <w:lvlJc w:val="left"/>
      <w:pPr>
        <w:tabs>
          <w:tab w:val="num" w:pos="5760"/>
        </w:tabs>
        <w:ind w:left="5760" w:hanging="360"/>
      </w:pPr>
      <w:rPr>
        <w:rFonts w:ascii="Arial" w:hAnsi="Arial" w:hint="default"/>
      </w:rPr>
    </w:lvl>
    <w:lvl w:ilvl="8" w:tplc="348687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F6F21A6"/>
    <w:multiLevelType w:val="multilevel"/>
    <w:tmpl w:val="67EA188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8"/>
  </w:num>
  <w:num w:numId="3">
    <w:abstractNumId w:val="15"/>
  </w:num>
  <w:num w:numId="4">
    <w:abstractNumId w:val="20"/>
  </w:num>
  <w:num w:numId="5">
    <w:abstractNumId w:val="14"/>
  </w:num>
  <w:num w:numId="6">
    <w:abstractNumId w:val="13"/>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1"/>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6145" style="mso-wrap-style:none;mso-width-relative:margin;mso-height-relative:margin"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StaticGuides" w:val="1"/>
  </w:docVars>
  <w:rsids>
    <w:rsidRoot w:val="00F53614"/>
    <w:rsid w:val="00030294"/>
    <w:rsid w:val="00036944"/>
    <w:rsid w:val="00061CFE"/>
    <w:rsid w:val="00082395"/>
    <w:rsid w:val="000936F8"/>
    <w:rsid w:val="000F2212"/>
    <w:rsid w:val="001049BB"/>
    <w:rsid w:val="001073C3"/>
    <w:rsid w:val="00180011"/>
    <w:rsid w:val="00192AF2"/>
    <w:rsid w:val="001D37C3"/>
    <w:rsid w:val="001E1698"/>
    <w:rsid w:val="001E3A9E"/>
    <w:rsid w:val="002010C0"/>
    <w:rsid w:val="00220E1F"/>
    <w:rsid w:val="002B0777"/>
    <w:rsid w:val="002C2295"/>
    <w:rsid w:val="002D0147"/>
    <w:rsid w:val="002E0294"/>
    <w:rsid w:val="002F01FC"/>
    <w:rsid w:val="0036616F"/>
    <w:rsid w:val="00381579"/>
    <w:rsid w:val="003A7C56"/>
    <w:rsid w:val="003B4F76"/>
    <w:rsid w:val="003E743F"/>
    <w:rsid w:val="004A2479"/>
    <w:rsid w:val="004A35D8"/>
    <w:rsid w:val="005469E2"/>
    <w:rsid w:val="00552D37"/>
    <w:rsid w:val="0057406F"/>
    <w:rsid w:val="005A3477"/>
    <w:rsid w:val="005B35F6"/>
    <w:rsid w:val="005B6C0D"/>
    <w:rsid w:val="005D4C42"/>
    <w:rsid w:val="005F2D31"/>
    <w:rsid w:val="005F516D"/>
    <w:rsid w:val="00622FA3"/>
    <w:rsid w:val="00666C1F"/>
    <w:rsid w:val="00674DD3"/>
    <w:rsid w:val="006A007E"/>
    <w:rsid w:val="006B24C8"/>
    <w:rsid w:val="006F167B"/>
    <w:rsid w:val="006F54DB"/>
    <w:rsid w:val="0075571C"/>
    <w:rsid w:val="00774E2F"/>
    <w:rsid w:val="007800CC"/>
    <w:rsid w:val="00782C6B"/>
    <w:rsid w:val="007D46ED"/>
    <w:rsid w:val="008160E1"/>
    <w:rsid w:val="00822EAE"/>
    <w:rsid w:val="0088667A"/>
    <w:rsid w:val="008C72D7"/>
    <w:rsid w:val="008C7564"/>
    <w:rsid w:val="008F4944"/>
    <w:rsid w:val="00952693"/>
    <w:rsid w:val="009640A5"/>
    <w:rsid w:val="009B1B5B"/>
    <w:rsid w:val="009E7429"/>
    <w:rsid w:val="009F3BF5"/>
    <w:rsid w:val="009F52A5"/>
    <w:rsid w:val="00A43768"/>
    <w:rsid w:val="00A50F86"/>
    <w:rsid w:val="00A57020"/>
    <w:rsid w:val="00A772E6"/>
    <w:rsid w:val="00AA7F90"/>
    <w:rsid w:val="00AE7AED"/>
    <w:rsid w:val="00AF6A55"/>
    <w:rsid w:val="00B20C73"/>
    <w:rsid w:val="00B45EE3"/>
    <w:rsid w:val="00B7116B"/>
    <w:rsid w:val="00BA5842"/>
    <w:rsid w:val="00BF63F9"/>
    <w:rsid w:val="00C04774"/>
    <w:rsid w:val="00C31543"/>
    <w:rsid w:val="00C93B28"/>
    <w:rsid w:val="00CC1D37"/>
    <w:rsid w:val="00CE15F4"/>
    <w:rsid w:val="00D01231"/>
    <w:rsid w:val="00D01F97"/>
    <w:rsid w:val="00D407A2"/>
    <w:rsid w:val="00D446AD"/>
    <w:rsid w:val="00D5650F"/>
    <w:rsid w:val="00D81720"/>
    <w:rsid w:val="00DA0549"/>
    <w:rsid w:val="00DD4E1E"/>
    <w:rsid w:val="00E318FA"/>
    <w:rsid w:val="00E73BC4"/>
    <w:rsid w:val="00EB0C19"/>
    <w:rsid w:val="00EC0CA0"/>
    <w:rsid w:val="00EC15B2"/>
    <w:rsid w:val="00EC73EA"/>
    <w:rsid w:val="00F23E26"/>
    <w:rsid w:val="00F4045B"/>
    <w:rsid w:val="00F42075"/>
    <w:rsid w:val="00F5184D"/>
    <w:rsid w:val="00F53614"/>
    <w:rsid w:val="00F60020"/>
    <w:rsid w:val="00F736F2"/>
    <w:rsid w:val="00FB7A03"/>
    <w:rsid w:val="00FE4A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wrap-style:none;mso-width-relative:margin;mso-height-relative:margin" fill="f" fillcolor="white" stroke="f">
      <v:fill color="white" on="f"/>
      <v:stroke on="f"/>
      <v:textbox inset="0,0,0,0"/>
    </o:shapedefaults>
    <o:shapelayout v:ext="edit">
      <o:idmap v:ext="edit" data="1"/>
    </o:shapelayout>
  </w:shapeDefaults>
  <w:decimalSymbol w:val="."/>
  <w:listSeparator w:val=","/>
  <w14:docId w14:val="7C4ADB79"/>
  <w14:defaultImageDpi w14:val="300"/>
  <w15:docId w15:val="{4363BDC3-8FE1-4DB2-96D7-0CAD892A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C00EC"/>
    <w:pPr>
      <w:spacing w:after="200" w:line="276" w:lineRule="auto"/>
    </w:pPr>
    <w:rPr>
      <w:sz w:val="22"/>
      <w:szCs w:val="22"/>
    </w:rPr>
  </w:style>
  <w:style w:type="paragraph" w:styleId="Heading1">
    <w:name w:val="heading 1"/>
    <w:basedOn w:val="Normal"/>
    <w:next w:val="Normal"/>
    <w:link w:val="Heading1Char"/>
    <w:qFormat/>
    <w:rsid w:val="00472DA3"/>
    <w:pPr>
      <w:keepNext/>
      <w:spacing w:before="280" w:after="120" w:line="260" w:lineRule="atLeast"/>
      <w:outlineLvl w:val="0"/>
    </w:pPr>
    <w:rPr>
      <w:rFonts w:ascii="Arial Bold" w:eastAsia="Times New Roman" w:hAnsi="Arial Bold"/>
      <w:color w:val="004372"/>
      <w:kern w:val="32"/>
      <w:szCs w:val="24"/>
    </w:rPr>
  </w:style>
  <w:style w:type="paragraph" w:styleId="Heading2">
    <w:name w:val="heading 2"/>
    <w:basedOn w:val="Normal"/>
    <w:next w:val="Normal"/>
    <w:link w:val="Heading2Char"/>
    <w:qFormat/>
    <w:rsid w:val="00472DA3"/>
    <w:pPr>
      <w:keepNext/>
      <w:spacing w:before="240" w:after="60" w:line="240" w:lineRule="auto"/>
      <w:outlineLvl w:val="1"/>
    </w:pPr>
    <w:rPr>
      <w:rFonts w:ascii="Arial Bold" w:eastAsia="Times New Roman" w:hAnsi="Arial Bold"/>
      <w:color w:val="004372"/>
      <w:sz w:val="20"/>
      <w:szCs w:val="24"/>
    </w:rPr>
  </w:style>
  <w:style w:type="paragraph" w:styleId="Heading3">
    <w:name w:val="heading 3"/>
    <w:basedOn w:val="Normal"/>
    <w:next w:val="Normal"/>
    <w:link w:val="Heading3Char"/>
    <w:qFormat/>
    <w:rsid w:val="00472DA3"/>
    <w:pPr>
      <w:keepNext/>
      <w:spacing w:before="240" w:after="60" w:line="240" w:lineRule="auto"/>
      <w:outlineLvl w:val="2"/>
    </w:pPr>
    <w:rPr>
      <w:rFonts w:ascii="Arial Bold" w:eastAsia="Times New Roman" w:hAnsi="Arial Bold"/>
      <w:color w:val="004372"/>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36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3614"/>
    <w:rPr>
      <w:rFonts w:ascii="Tahoma" w:hAnsi="Tahoma" w:cs="Tahoma"/>
      <w:sz w:val="16"/>
      <w:szCs w:val="16"/>
      <w:lang w:val="en-AU"/>
    </w:rPr>
  </w:style>
  <w:style w:type="paragraph" w:styleId="Header">
    <w:name w:val="header"/>
    <w:basedOn w:val="Normal"/>
    <w:link w:val="HeaderChar"/>
    <w:uiPriority w:val="99"/>
    <w:unhideWhenUsed/>
    <w:rsid w:val="007E0EDC"/>
    <w:pPr>
      <w:tabs>
        <w:tab w:val="center" w:pos="4680"/>
        <w:tab w:val="right" w:pos="9360"/>
      </w:tabs>
      <w:spacing w:after="0" w:line="240" w:lineRule="auto"/>
    </w:pPr>
  </w:style>
  <w:style w:type="character" w:customStyle="1" w:styleId="HeaderChar">
    <w:name w:val="Header Char"/>
    <w:link w:val="Header"/>
    <w:uiPriority w:val="99"/>
    <w:rsid w:val="007E0EDC"/>
    <w:rPr>
      <w:lang w:val="en-AU"/>
    </w:rPr>
  </w:style>
  <w:style w:type="paragraph" w:styleId="Footer">
    <w:name w:val="footer"/>
    <w:basedOn w:val="Normal"/>
    <w:link w:val="FooterChar"/>
    <w:uiPriority w:val="99"/>
    <w:semiHidden/>
    <w:unhideWhenUsed/>
    <w:rsid w:val="007E0EDC"/>
    <w:pPr>
      <w:tabs>
        <w:tab w:val="center" w:pos="4680"/>
        <w:tab w:val="right" w:pos="9360"/>
      </w:tabs>
      <w:spacing w:after="0" w:line="240" w:lineRule="auto"/>
    </w:pPr>
  </w:style>
  <w:style w:type="character" w:customStyle="1" w:styleId="FooterChar">
    <w:name w:val="Footer Char"/>
    <w:link w:val="Footer"/>
    <w:uiPriority w:val="99"/>
    <w:semiHidden/>
    <w:rsid w:val="007E0EDC"/>
    <w:rPr>
      <w:lang w:val="en-AU"/>
    </w:rPr>
  </w:style>
  <w:style w:type="character" w:customStyle="1" w:styleId="Heading1Char">
    <w:name w:val="Heading 1 Char"/>
    <w:link w:val="Heading1"/>
    <w:rsid w:val="00472DA3"/>
    <w:rPr>
      <w:rFonts w:ascii="Arial Bold" w:eastAsia="Times New Roman" w:hAnsi="Arial Bold"/>
      <w:color w:val="004372"/>
      <w:kern w:val="32"/>
      <w:sz w:val="22"/>
    </w:rPr>
  </w:style>
  <w:style w:type="character" w:customStyle="1" w:styleId="Heading2Char">
    <w:name w:val="Heading 2 Char"/>
    <w:link w:val="Heading2"/>
    <w:rsid w:val="00472DA3"/>
    <w:rPr>
      <w:rFonts w:ascii="Arial Bold" w:eastAsia="Times New Roman" w:hAnsi="Arial Bold"/>
      <w:color w:val="004372"/>
      <w:sz w:val="20"/>
    </w:rPr>
  </w:style>
  <w:style w:type="character" w:customStyle="1" w:styleId="Heading3Char">
    <w:name w:val="Heading 3 Char"/>
    <w:link w:val="Heading3"/>
    <w:rsid w:val="00472DA3"/>
    <w:rPr>
      <w:rFonts w:ascii="Arial Bold" w:eastAsia="Times New Roman" w:hAnsi="Arial Bold"/>
      <w:color w:val="004372"/>
      <w:sz w:val="18"/>
    </w:rPr>
  </w:style>
  <w:style w:type="paragraph" w:styleId="BodyText">
    <w:name w:val="Body Text"/>
    <w:basedOn w:val="Normal"/>
    <w:link w:val="BodyTextChar"/>
    <w:rsid w:val="00C67ED7"/>
    <w:pPr>
      <w:spacing w:before="80" w:after="80" w:line="220" w:lineRule="exact"/>
    </w:pPr>
    <w:rPr>
      <w:rFonts w:ascii="Arial" w:eastAsia="Times New Roman" w:hAnsi="Arial"/>
      <w:sz w:val="18"/>
      <w:szCs w:val="24"/>
    </w:rPr>
  </w:style>
  <w:style w:type="character" w:customStyle="1" w:styleId="BodyTextChar">
    <w:name w:val="Body Text Char"/>
    <w:link w:val="BodyText"/>
    <w:rsid w:val="00C67ED7"/>
    <w:rPr>
      <w:rFonts w:ascii="Arial" w:eastAsia="Times New Roman" w:hAnsi="Arial"/>
      <w:sz w:val="18"/>
    </w:rPr>
  </w:style>
  <w:style w:type="paragraph" w:customStyle="1" w:styleId="Bulletslevel1">
    <w:name w:val="Bullets level 1"/>
    <w:basedOn w:val="BodyText"/>
    <w:rsid w:val="00CD3533"/>
    <w:pPr>
      <w:numPr>
        <w:numId w:val="2"/>
      </w:numPr>
    </w:pPr>
  </w:style>
  <w:style w:type="paragraph" w:customStyle="1" w:styleId="Bulletslevel2">
    <w:name w:val="Bullets level 2"/>
    <w:basedOn w:val="Bulletslevel1"/>
    <w:rsid w:val="00FF648A"/>
    <w:pPr>
      <w:numPr>
        <w:numId w:val="1"/>
      </w:numPr>
    </w:pPr>
  </w:style>
  <w:style w:type="paragraph" w:customStyle="1" w:styleId="numberedlist">
    <w:name w:val="numbered list"/>
    <w:basedOn w:val="BodyText"/>
    <w:rsid w:val="00542DDB"/>
    <w:pPr>
      <w:numPr>
        <w:numId w:val="3"/>
      </w:numPr>
    </w:pPr>
  </w:style>
  <w:style w:type="paragraph" w:customStyle="1" w:styleId="Form-followerlines">
    <w:name w:val="Form-follower lines"/>
    <w:basedOn w:val="BodyText"/>
    <w:rsid w:val="00542DDB"/>
    <w:pPr>
      <w:tabs>
        <w:tab w:val="right" w:leader="underscore" w:pos="8108"/>
      </w:tabs>
      <w:spacing w:line="300" w:lineRule="exact"/>
    </w:pPr>
  </w:style>
  <w:style w:type="paragraph" w:customStyle="1" w:styleId="Form-checkbox">
    <w:name w:val="Form-check box"/>
    <w:basedOn w:val="BodyText"/>
    <w:rsid w:val="00542DDB"/>
    <w:pPr>
      <w:tabs>
        <w:tab w:val="left" w:pos="5400"/>
        <w:tab w:val="left" w:pos="6300"/>
      </w:tabs>
    </w:pPr>
    <w:rPr>
      <w:lang w:val="en-US"/>
    </w:rPr>
  </w:style>
  <w:style w:type="paragraph" w:customStyle="1" w:styleId="Tableheading">
    <w:name w:val="Table heading"/>
    <w:basedOn w:val="BodyText"/>
    <w:qFormat/>
    <w:rsid w:val="00946ED9"/>
    <w:pPr>
      <w:shd w:val="clear" w:color="auto" w:fill="000000"/>
    </w:pPr>
    <w:rPr>
      <w:rFonts w:ascii="Arial Bold" w:hAnsi="Arial Bold"/>
      <w:color w:val="FFFFFF"/>
    </w:rPr>
  </w:style>
  <w:style w:type="paragraph" w:customStyle="1" w:styleId="Tablesubheadingrow">
    <w:name w:val="Table sub heading row"/>
    <w:basedOn w:val="BodyText"/>
    <w:qFormat/>
    <w:rsid w:val="00F93D70"/>
    <w:rPr>
      <w:lang w:val="en-US"/>
    </w:rPr>
  </w:style>
  <w:style w:type="character" w:styleId="PageNumber">
    <w:name w:val="page number"/>
    <w:basedOn w:val="DefaultParagraphFont"/>
    <w:rsid w:val="00E66EA6"/>
  </w:style>
  <w:style w:type="character" w:styleId="Hyperlink">
    <w:name w:val="Hyperlink"/>
    <w:basedOn w:val="DefaultParagraphFont"/>
    <w:uiPriority w:val="99"/>
    <w:rsid w:val="00B7116B"/>
    <w:rPr>
      <w:color w:val="0000FF" w:themeColor="hyperlink"/>
      <w:u w:val="single"/>
    </w:rPr>
  </w:style>
  <w:style w:type="character" w:styleId="FollowedHyperlink">
    <w:name w:val="FollowedHyperlink"/>
    <w:basedOn w:val="DefaultParagraphFont"/>
    <w:rsid w:val="00B7116B"/>
    <w:rPr>
      <w:color w:val="800080" w:themeColor="followedHyperlink"/>
      <w:u w:val="single"/>
    </w:rPr>
  </w:style>
  <w:style w:type="paragraph" w:styleId="FootnoteText">
    <w:name w:val="footnote text"/>
    <w:basedOn w:val="Normal"/>
    <w:link w:val="FootnoteTextChar"/>
    <w:uiPriority w:val="99"/>
    <w:unhideWhenUsed/>
    <w:rsid w:val="000936F8"/>
    <w:pPr>
      <w:spacing w:after="0" w:line="240" w:lineRule="auto"/>
    </w:pPr>
    <w:rPr>
      <w:rFonts w:asciiTheme="minorHAnsi" w:eastAsiaTheme="minorEastAsia" w:hAnsiTheme="minorHAnsi" w:cstheme="minorBidi"/>
      <w:sz w:val="20"/>
      <w:szCs w:val="20"/>
      <w:lang w:eastAsia="en-AU"/>
    </w:rPr>
  </w:style>
  <w:style w:type="character" w:customStyle="1" w:styleId="FootnoteTextChar">
    <w:name w:val="Footnote Text Char"/>
    <w:basedOn w:val="DefaultParagraphFont"/>
    <w:link w:val="FootnoteText"/>
    <w:uiPriority w:val="99"/>
    <w:rsid w:val="000936F8"/>
    <w:rPr>
      <w:rFonts w:asciiTheme="minorHAnsi" w:eastAsiaTheme="minorEastAsia" w:hAnsiTheme="minorHAnsi" w:cstheme="minorBidi"/>
      <w:lang w:eastAsia="en-AU"/>
    </w:rPr>
  </w:style>
  <w:style w:type="character" w:styleId="FootnoteReference">
    <w:name w:val="footnote reference"/>
    <w:aliases w:val="footnote ref"/>
    <w:basedOn w:val="DefaultParagraphFont"/>
    <w:unhideWhenUsed/>
    <w:rsid w:val="000936F8"/>
    <w:rPr>
      <w:vertAlign w:val="superscript"/>
    </w:rPr>
  </w:style>
  <w:style w:type="character" w:customStyle="1" w:styleId="st">
    <w:name w:val="st"/>
    <w:basedOn w:val="DefaultParagraphFont"/>
    <w:rsid w:val="000936F8"/>
  </w:style>
  <w:style w:type="character" w:styleId="Emphasis">
    <w:name w:val="Emphasis"/>
    <w:basedOn w:val="DefaultParagraphFont"/>
    <w:uiPriority w:val="20"/>
    <w:qFormat/>
    <w:rsid w:val="000936F8"/>
    <w:rPr>
      <w:i/>
      <w:iCs/>
    </w:rPr>
  </w:style>
  <w:style w:type="character" w:styleId="Strong">
    <w:name w:val="Strong"/>
    <w:basedOn w:val="DefaultParagraphFont"/>
    <w:uiPriority w:val="22"/>
    <w:qFormat/>
    <w:rsid w:val="000936F8"/>
    <w:rPr>
      <w:b/>
      <w:bCs/>
    </w:rPr>
  </w:style>
  <w:style w:type="paragraph" w:styleId="ListParagraph">
    <w:name w:val="List Paragraph"/>
    <w:basedOn w:val="Normal"/>
    <w:uiPriority w:val="34"/>
    <w:qFormat/>
    <w:rsid w:val="00F4045B"/>
    <w:pPr>
      <w:ind w:left="720"/>
      <w:contextualSpacing/>
    </w:pPr>
  </w:style>
  <w:style w:type="paragraph" w:customStyle="1" w:styleId="suggested-citation">
    <w:name w:val="suggested-citation"/>
    <w:basedOn w:val="Normal"/>
    <w:rsid w:val="00082395"/>
    <w:pPr>
      <w:spacing w:before="100" w:beforeAutospacing="1" w:after="100" w:afterAutospacing="1" w:line="240" w:lineRule="auto"/>
    </w:pPr>
    <w:rPr>
      <w:rFonts w:ascii="Times New Roman" w:eastAsia="Times New Roman" w:hAnsi="Times New Roman"/>
      <w:sz w:val="24"/>
      <w:szCs w:val="24"/>
      <w:lang w:eastAsia="en-AU"/>
    </w:rPr>
  </w:style>
  <w:style w:type="character" w:styleId="Mention">
    <w:name w:val="Mention"/>
    <w:basedOn w:val="DefaultParagraphFont"/>
    <w:uiPriority w:val="99"/>
    <w:semiHidden/>
    <w:unhideWhenUsed/>
    <w:rsid w:val="007800C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915724">
      <w:bodyDiv w:val="1"/>
      <w:marLeft w:val="0"/>
      <w:marRight w:val="0"/>
      <w:marTop w:val="0"/>
      <w:marBottom w:val="0"/>
      <w:divBdr>
        <w:top w:val="none" w:sz="0" w:space="0" w:color="auto"/>
        <w:left w:val="none" w:sz="0" w:space="0" w:color="auto"/>
        <w:bottom w:val="none" w:sz="0" w:space="0" w:color="auto"/>
        <w:right w:val="none" w:sz="0" w:space="0" w:color="auto"/>
      </w:divBdr>
    </w:div>
    <w:div w:id="1132288800">
      <w:bodyDiv w:val="1"/>
      <w:marLeft w:val="0"/>
      <w:marRight w:val="0"/>
      <w:marTop w:val="0"/>
      <w:marBottom w:val="0"/>
      <w:divBdr>
        <w:top w:val="none" w:sz="0" w:space="0" w:color="auto"/>
        <w:left w:val="none" w:sz="0" w:space="0" w:color="auto"/>
        <w:bottom w:val="none" w:sz="0" w:space="0" w:color="auto"/>
        <w:right w:val="none" w:sz="0" w:space="0" w:color="auto"/>
      </w:divBdr>
    </w:div>
    <w:div w:id="1345280926">
      <w:bodyDiv w:val="1"/>
      <w:marLeft w:val="0"/>
      <w:marRight w:val="0"/>
      <w:marTop w:val="0"/>
      <w:marBottom w:val="0"/>
      <w:divBdr>
        <w:top w:val="none" w:sz="0" w:space="0" w:color="auto"/>
        <w:left w:val="none" w:sz="0" w:space="0" w:color="auto"/>
        <w:bottom w:val="none" w:sz="0" w:space="0" w:color="auto"/>
        <w:right w:val="none" w:sz="0" w:space="0" w:color="auto"/>
      </w:divBdr>
      <w:divsChild>
        <w:div w:id="108863552">
          <w:marLeft w:val="547"/>
          <w:marRight w:val="0"/>
          <w:marTop w:val="96"/>
          <w:marBottom w:val="0"/>
          <w:divBdr>
            <w:top w:val="none" w:sz="0" w:space="0" w:color="auto"/>
            <w:left w:val="none" w:sz="0" w:space="0" w:color="auto"/>
            <w:bottom w:val="none" w:sz="0" w:space="0" w:color="auto"/>
            <w:right w:val="none" w:sz="0" w:space="0" w:color="auto"/>
          </w:divBdr>
        </w:div>
      </w:divsChild>
    </w:div>
    <w:div w:id="1827742979">
      <w:bodyDiv w:val="1"/>
      <w:marLeft w:val="0"/>
      <w:marRight w:val="0"/>
      <w:marTop w:val="0"/>
      <w:marBottom w:val="0"/>
      <w:divBdr>
        <w:top w:val="none" w:sz="0" w:space="0" w:color="auto"/>
        <w:left w:val="none" w:sz="0" w:space="0" w:color="auto"/>
        <w:bottom w:val="none" w:sz="0" w:space="0" w:color="auto"/>
        <w:right w:val="none" w:sz="0" w:space="0" w:color="auto"/>
      </w:divBdr>
    </w:div>
    <w:div w:id="1970429442">
      <w:bodyDiv w:val="1"/>
      <w:marLeft w:val="0"/>
      <w:marRight w:val="0"/>
      <w:marTop w:val="0"/>
      <w:marBottom w:val="0"/>
      <w:divBdr>
        <w:top w:val="none" w:sz="0" w:space="0" w:color="auto"/>
        <w:left w:val="none" w:sz="0" w:space="0" w:color="auto"/>
        <w:bottom w:val="none" w:sz="0" w:space="0" w:color="auto"/>
        <w:right w:val="none" w:sz="0" w:space="0" w:color="auto"/>
      </w:divBdr>
      <w:divsChild>
        <w:div w:id="520046330">
          <w:marLeft w:val="547"/>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hargovan@unsw.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law.unimelb.edu.au/__data/assets/pdf_file/0020/2274131/Phoenix-Activity-Recommendations-on-Detection-Disruption-and-Enforcement.pdf" TargetMode="External"/><Relationship Id="rId2" Type="http://schemas.openxmlformats.org/officeDocument/2006/relationships/hyperlink" Target="http://law.unimelb.edu.au/__data/assets/pdf_file/0004/2255350/Anderson,-Quantifying-Phoenix-Activity_Oct-2015.pdf" TargetMode="External"/><Relationship Id="rId1" Type="http://schemas.openxmlformats.org/officeDocument/2006/relationships/hyperlink" Target="http://law.unimelb.edu.au/__data/assets/pdf_file/0003/1730703/Defining-and-Profiling-Phoenix-Activity_Melbourne-Law-School.pdf" TargetMode="External"/><Relationship Id="rId6" Type="http://schemas.openxmlformats.org/officeDocument/2006/relationships/hyperlink" Target="http://www.austlii.edu.au/au/journals/SydLawRw/2013/16.html" TargetMode="External"/><Relationship Id="rId5" Type="http://schemas.openxmlformats.org/officeDocument/2006/relationships/hyperlink" Target="https://ssrn.com/abstract=1024879" TargetMode="External"/><Relationship Id="rId4" Type="http://schemas.openxmlformats.org/officeDocument/2006/relationships/hyperlink" Target="http://law.unimelb.edu.au/centres/cclsr/research/major-research-projects/regulating-fraudulent-phoenix-activ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2549" ma:contentTypeDescription=" " ma:contentTypeScope="" ma:versionID="8ce7114b49cdec0dca33bee71bb2cb3a">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f460448e7d47a31ac5105f029c3594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2017MG-90-17827</_dlc_DocId>
    <_dlc_DocIdUrl xmlns="d4dd4adf-ddb3-46a3-8d7c-fab3fb2a6bc7">
      <Url>http://tweb/sites/mg/fsd/_layouts/15/DocIdRedir.aspx?ID=2017MG-90-17827</Url>
      <Description>2017MG-90-17827</Description>
    </_dlc_DocIdUr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Props1.xml><?xml version="1.0" encoding="utf-8"?>
<ds:datastoreItem xmlns:ds="http://schemas.openxmlformats.org/officeDocument/2006/customXml" ds:itemID="{FE55BB4F-05D2-4995-9036-EBB313CB71CF}">
  <ds:schemaRefs>
    <ds:schemaRef ds:uri="http://schemas.microsoft.com/sharepoint/v3/contenttype/forms"/>
  </ds:schemaRefs>
</ds:datastoreItem>
</file>

<file path=customXml/itemProps2.xml><?xml version="1.0" encoding="utf-8"?>
<ds:datastoreItem xmlns:ds="http://schemas.openxmlformats.org/officeDocument/2006/customXml" ds:itemID="{5CEA9E85-9096-4B91-B887-4F4E524D8DC0}"/>
</file>

<file path=customXml/itemProps3.xml><?xml version="1.0" encoding="utf-8"?>
<ds:datastoreItem xmlns:ds="http://schemas.openxmlformats.org/officeDocument/2006/customXml" ds:itemID="{2FC29E2F-941C-42A1-BCF7-F008433F87F6}">
  <ds:schemaRef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b23a2fc7-3740-480f-b766-dc5ad04c1e36"/>
    <ds:schemaRef ds:uri="http://schemas.microsoft.com/office/2006/metadata/properties"/>
  </ds:schemaRefs>
</ds:datastoreItem>
</file>

<file path=customXml/itemProps4.xml><?xml version="1.0" encoding="utf-8"?>
<ds:datastoreItem xmlns:ds="http://schemas.openxmlformats.org/officeDocument/2006/customXml" ds:itemID="{5841D233-717C-4A76-8AAB-6C4B6C58F8B8}">
  <ds:schemaRefs>
    <ds:schemaRef ds:uri="http://schemas.microsoft.com/office/2006/metadata/longProperties"/>
  </ds:schemaRefs>
</ds:datastoreItem>
</file>

<file path=customXml/itemProps5.xml><?xml version="1.0" encoding="utf-8"?>
<ds:datastoreItem xmlns:ds="http://schemas.openxmlformats.org/officeDocument/2006/customXml" ds:itemID="{386C5D15-305F-4E3A-8C31-1C18EA2D694C}">
  <ds:schemaRefs>
    <ds:schemaRef ds:uri="http://schemas.openxmlformats.org/officeDocument/2006/bibliography"/>
  </ds:schemaRefs>
</ds:datastoreItem>
</file>

<file path=customXml/itemProps6.xml><?xml version="1.0" encoding="utf-8"?>
<ds:datastoreItem xmlns:ds="http://schemas.openxmlformats.org/officeDocument/2006/customXml" ds:itemID="{739BACE1-51D5-4FEC-90D0-BE7F4C61ED5D}"/>
</file>

<file path=customXml/itemProps7.xml><?xml version="1.0" encoding="utf-8"?>
<ds:datastoreItem xmlns:ds="http://schemas.openxmlformats.org/officeDocument/2006/customXml" ds:itemID="{AD0097DD-A797-4028-A21E-EEA7D77BC850}"/>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School of Tax Bus Law - Word Template</vt:lpstr>
    </vt:vector>
  </TitlesOfParts>
  <Company>University of New South Wales</Company>
  <LinksUpToDate>false</LinksUpToDate>
  <CharactersWithSpaces>5302</CharactersWithSpaces>
  <SharedDoc>false</SharedDoc>
  <HLinks>
    <vt:vector size="12" baseType="variant">
      <vt:variant>
        <vt:i4>7078002</vt:i4>
      </vt:variant>
      <vt:variant>
        <vt:i4>5438</vt:i4>
      </vt:variant>
      <vt:variant>
        <vt:i4>1025</vt:i4>
      </vt:variant>
      <vt:variant>
        <vt:i4>1</vt:i4>
      </vt:variant>
      <vt:variant>
        <vt:lpwstr>1500_business_agsm_2014_OL</vt:lpwstr>
      </vt:variant>
      <vt:variant>
        <vt:lpwstr/>
      </vt:variant>
      <vt:variant>
        <vt:i4>262167</vt:i4>
      </vt:variant>
      <vt:variant>
        <vt:i4>-1</vt:i4>
      </vt:variant>
      <vt:variant>
        <vt:i4>1036</vt:i4>
      </vt:variant>
      <vt:variant>
        <vt:i4>1</vt:i4>
      </vt:variant>
      <vt:variant>
        <vt:lpwstr>A4_bnnr_word_doc_asb_header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Tax Bus Law - Word Template</dc:title>
  <dc:creator>adminit</dc:creator>
  <cp:lastModifiedBy>Anil Hargovan</cp:lastModifiedBy>
  <cp:revision>2</cp:revision>
  <cp:lastPrinted>2017-04-24T05:10:00Z</cp:lastPrinted>
  <dcterms:created xsi:type="dcterms:W3CDTF">2017-04-24T05:52:00Z</dcterms:created>
  <dcterms:modified xsi:type="dcterms:W3CDTF">2017-04-24T05:52:00Z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9900</vt:r8>
  </property>
  <property fmtid="{D5CDD505-2E9C-101B-9397-08002B2CF9AE}" pid="3" name="Category">
    <vt:lpwstr>1. ASB Templates</vt:lpwstr>
  </property>
  <property fmtid="{D5CDD505-2E9C-101B-9397-08002B2CF9AE}" pid="4" name="OHS Newsletter?">
    <vt:lpwstr>0</vt:lpwstr>
  </property>
  <property fmtid="{D5CDD505-2E9C-101B-9397-08002B2CF9AE}" pid="5" name="ASBDocumentType">
    <vt:lpwstr>16</vt:lpwstr>
  </property>
  <property fmtid="{D5CDD505-2E9C-101B-9397-08002B2CF9AE}" pid="6" name="ASBDepartment">
    <vt:lpwstr>8</vt:lpwstr>
  </property>
  <property fmtid="{D5CDD505-2E9C-101B-9397-08002B2CF9AE}" pid="7" name="ASBUpdatedDate">
    <vt:lpwstr>2011-08-29T00:00:00Z</vt:lpwstr>
  </property>
  <property fmtid="{D5CDD505-2E9C-101B-9397-08002B2CF9AE}" pid="8" name="ContentTypeId">
    <vt:lpwstr>0x010100E95D40E5DFEA714B90E88DB5CE07A6B500935D0CF8835BE447895972B43AB8EC93</vt:lpwstr>
  </property>
  <property fmtid="{D5CDD505-2E9C-101B-9397-08002B2CF9AE}" pid="9" name="TemplateUrl">
    <vt:lpwstr/>
  </property>
  <property fmtid="{D5CDD505-2E9C-101B-9397-08002B2CF9AE}" pid="10" name="xd_Signature">
    <vt:bool>false</vt:bool>
  </property>
  <property fmtid="{D5CDD505-2E9C-101B-9397-08002B2CF9AE}" pid="11" name="xd_ProgID">
    <vt:lpwstr/>
  </property>
  <property fmtid="{D5CDD505-2E9C-101B-9397-08002B2CF9AE}" pid="12" name="TSYRecordClass">
    <vt:lpwstr>2;#TSY RA-9081 - Retain as national archives|bbf0bcde-1687-4ff2-bc57-f31b5d545d4b</vt:lpwstr>
  </property>
  <property fmtid="{D5CDD505-2E9C-101B-9397-08002B2CF9AE}" pid="13" name="_dlc_DocIdItemGuid">
    <vt:lpwstr>5c1844a3-e121-4257-aad8-3f26f22b2164</vt:lpwstr>
  </property>
  <property fmtid="{D5CDD505-2E9C-101B-9397-08002B2CF9AE}" pid="14" name="_AdHocReviewCycleID">
    <vt:i4>-723738788</vt:i4>
  </property>
  <property fmtid="{D5CDD505-2E9C-101B-9397-08002B2CF9AE}" pid="15" name="_NewReviewCycle">
    <vt:lpwstr/>
  </property>
  <property fmtid="{D5CDD505-2E9C-101B-9397-08002B2CF9AE}" pid="16" name="_EmailSubject">
    <vt:lpwstr>Update - Request a New Webpage Request #S42347 [SEC=UNCLASSIFIED]</vt:lpwstr>
  </property>
  <property fmtid="{D5CDD505-2E9C-101B-9397-08002B2CF9AE}" pid="17" name="_AuthorEmail">
    <vt:lpwstr>Jean.Skeat@treasury.gov.au</vt:lpwstr>
  </property>
  <property fmtid="{D5CDD505-2E9C-101B-9397-08002B2CF9AE}" pid="18" name="_AuthorEmailDisplayName">
    <vt:lpwstr>Skeat, Jean</vt:lpwstr>
  </property>
</Properties>
</file>