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956C9" w14:textId="77777777" w:rsidR="00EC44A6" w:rsidRDefault="00EC44A6" w:rsidP="00EC44A6">
      <w:pPr>
        <w:pStyle w:val="CoverTitleMain"/>
        <w:spacing w:after="360"/>
        <w:jc w:val="right"/>
      </w:pPr>
    </w:p>
    <w:p w14:paraId="1E332028" w14:textId="77777777" w:rsidR="00EC44A6" w:rsidRDefault="00EC44A6" w:rsidP="00EC44A6">
      <w:pPr>
        <w:pStyle w:val="CoverTitleMain"/>
        <w:spacing w:after="360"/>
      </w:pPr>
      <w:r>
        <w:rPr>
          <w:rFonts w:ascii="Book Antiqua" w:hAnsi="Book Antiqua"/>
          <w:smallCaps/>
          <w:noProof/>
          <w:color w:val="000000"/>
          <w:sz w:val="22"/>
        </w:rPr>
        <w:drawing>
          <wp:inline distT="0" distB="0" distL="0" distR="0" wp14:anchorId="677399A2" wp14:editId="58D9C593">
            <wp:extent cx="1423416" cy="71323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3416" cy="713232"/>
                    </a:xfrm>
                    <a:prstGeom prst="rect">
                      <a:avLst/>
                    </a:prstGeom>
                  </pic:spPr>
                </pic:pic>
              </a:graphicData>
            </a:graphic>
          </wp:inline>
        </w:drawing>
      </w:r>
    </w:p>
    <w:p w14:paraId="2A656EC9" w14:textId="77777777" w:rsidR="00EC44A6" w:rsidRDefault="00EC44A6" w:rsidP="00EC44A6">
      <w:pPr>
        <w:pStyle w:val="CoverTitleMain"/>
        <w:spacing w:after="360"/>
        <w:jc w:val="right"/>
      </w:pPr>
    </w:p>
    <w:p w14:paraId="1057CDBE" w14:textId="77777777" w:rsidR="00EC44A6" w:rsidRDefault="00EC44A6" w:rsidP="00EC44A6">
      <w:pPr>
        <w:pStyle w:val="CoverTitleMain"/>
        <w:spacing w:after="360"/>
        <w:jc w:val="right"/>
      </w:pPr>
    </w:p>
    <w:p w14:paraId="137CB8C2" w14:textId="7DD47EE8" w:rsidR="00EC44A6" w:rsidRPr="00EC44A6" w:rsidRDefault="0094278D" w:rsidP="00EC44A6">
      <w:pPr>
        <w:pStyle w:val="CoverTitleMain"/>
        <w:spacing w:after="360"/>
        <w:jc w:val="right"/>
        <w:rPr>
          <w:sz w:val="44"/>
        </w:rPr>
      </w:pPr>
      <w:r>
        <w:rPr>
          <w:sz w:val="44"/>
        </w:rPr>
        <w:t>L</w:t>
      </w:r>
      <w:r w:rsidR="00EC44A6" w:rsidRPr="00EC44A6">
        <w:rPr>
          <w:sz w:val="44"/>
        </w:rPr>
        <w:t>ift</w:t>
      </w:r>
      <w:r>
        <w:rPr>
          <w:sz w:val="44"/>
        </w:rPr>
        <w:t>ing</w:t>
      </w:r>
      <w:r w:rsidR="00EC44A6" w:rsidRPr="00EC44A6">
        <w:rPr>
          <w:sz w:val="44"/>
        </w:rPr>
        <w:t xml:space="preserve"> the professional, ethical and education standards in the </w:t>
      </w:r>
      <w:r w:rsidR="00EC44A6" w:rsidRPr="00EC44A6">
        <w:rPr>
          <w:sz w:val="44"/>
        </w:rPr>
        <w:br/>
      </w:r>
      <w:bookmarkStart w:id="0" w:name="_GoBack"/>
      <w:r w:rsidR="00EC44A6" w:rsidRPr="00EC44A6">
        <w:rPr>
          <w:sz w:val="44"/>
        </w:rPr>
        <w:t xml:space="preserve">financial services industry </w:t>
      </w:r>
      <w:bookmarkEnd w:id="0"/>
    </w:p>
    <w:p w14:paraId="32C8AFF0" w14:textId="0F5972DA" w:rsidR="00EC44A6" w:rsidRPr="00EC44A6" w:rsidRDefault="00EC44A6" w:rsidP="00EC44A6">
      <w:pPr>
        <w:pStyle w:val="CoverTitleSub"/>
        <w:pBdr>
          <w:top w:val="single" w:sz="4" w:space="1" w:color="auto"/>
        </w:pBdr>
        <w:spacing w:before="120"/>
        <w:jc w:val="right"/>
        <w:rPr>
          <w:sz w:val="34"/>
          <w:szCs w:val="34"/>
        </w:rPr>
      </w:pPr>
      <w:r>
        <w:br/>
      </w:r>
      <w:r w:rsidR="009E027D">
        <w:rPr>
          <w:sz w:val="34"/>
          <w:szCs w:val="34"/>
        </w:rPr>
        <w:t xml:space="preserve">Consultation on recommendations of the </w:t>
      </w:r>
      <w:r w:rsidRPr="00EC44A6">
        <w:rPr>
          <w:sz w:val="34"/>
          <w:szCs w:val="34"/>
        </w:rPr>
        <w:t>Parliamentary Joint Committee on Corporations and Financial Services’ inquiry into proposals to lift the professional, ethical and education standards in the financial services industry</w:t>
      </w:r>
    </w:p>
    <w:p w14:paraId="58124C46" w14:textId="77777777" w:rsidR="00EC44A6" w:rsidRDefault="00EC44A6" w:rsidP="00EC44A6">
      <w:pPr>
        <w:pStyle w:val="CoverTitleSub"/>
        <w:jc w:val="right"/>
      </w:pPr>
    </w:p>
    <w:p w14:paraId="5104FB36" w14:textId="77777777" w:rsidR="00EC44A6" w:rsidRPr="00FF42E1" w:rsidRDefault="00EC44A6" w:rsidP="00EC44A6">
      <w:pPr>
        <w:pStyle w:val="CoverTitleSub"/>
        <w:jc w:val="right"/>
        <w:rPr>
          <w:sz w:val="32"/>
          <w:szCs w:val="32"/>
        </w:rPr>
      </w:pPr>
      <w:r w:rsidRPr="00FF42E1">
        <w:rPr>
          <w:sz w:val="32"/>
          <w:szCs w:val="32"/>
        </w:rPr>
        <w:t>March 2015</w:t>
      </w:r>
    </w:p>
    <w:p w14:paraId="47262208" w14:textId="77777777" w:rsidR="00EC44A6" w:rsidRDefault="00EC44A6" w:rsidP="00EC44A6"/>
    <w:p w14:paraId="1CF45776" w14:textId="77777777" w:rsidR="000F06C5" w:rsidRDefault="000F06C5"/>
    <w:tbl>
      <w:tblPr>
        <w:tblW w:w="4885" w:type="pct"/>
        <w:tblInd w:w="108" w:type="dxa"/>
        <w:shd w:val="clear" w:color="auto" w:fill="E6E6E6"/>
        <w:tblLook w:val="01E0" w:firstRow="1" w:lastRow="1" w:firstColumn="1" w:lastColumn="1" w:noHBand="0" w:noVBand="0"/>
      </w:tblPr>
      <w:tblGrid>
        <w:gridCol w:w="9072"/>
      </w:tblGrid>
      <w:tr w:rsidR="000A7BCF" w14:paraId="106BABE3" w14:textId="77777777" w:rsidTr="00004538">
        <w:trPr>
          <w:trHeight w:val="11192"/>
        </w:trPr>
        <w:tc>
          <w:tcPr>
            <w:tcW w:w="5000" w:type="pct"/>
            <w:shd w:val="clear" w:color="auto" w:fill="E6E6E6"/>
          </w:tcPr>
          <w:p w14:paraId="64CC1970" w14:textId="77777777" w:rsidR="000A7BCF" w:rsidRDefault="00C73443">
            <w:pPr>
              <w:pStyle w:val="NotesHeading"/>
            </w:pPr>
            <w:r>
              <w:lastRenderedPageBreak/>
              <w:t>Consultation Process</w:t>
            </w:r>
          </w:p>
          <w:p w14:paraId="04F8DA26" w14:textId="77777777" w:rsidR="004516A4" w:rsidRPr="004516A4" w:rsidRDefault="004516A4" w:rsidP="004516A4">
            <w:pPr>
              <w:pStyle w:val="NotesHeading"/>
              <w:jc w:val="left"/>
              <w:rPr>
                <w:rFonts w:ascii="Book Antiqua" w:hAnsi="Book Antiqua"/>
                <w:smallCaps w:val="0"/>
                <w:sz w:val="22"/>
                <w:szCs w:val="20"/>
              </w:rPr>
            </w:pPr>
            <w:r w:rsidRPr="004516A4">
              <w:rPr>
                <w:rFonts w:ascii="Book Antiqua" w:hAnsi="Book Antiqua"/>
                <w:smallCaps w:val="0"/>
                <w:sz w:val="22"/>
                <w:szCs w:val="20"/>
              </w:rPr>
              <w:t>REQUEST FOR FEEDBACK AND COMMENTS</w:t>
            </w:r>
          </w:p>
          <w:p w14:paraId="59D58BF7" w14:textId="18D945B0" w:rsidR="004516A4" w:rsidRPr="004516A4" w:rsidRDefault="004516A4" w:rsidP="004516A4">
            <w:pPr>
              <w:pStyle w:val="NotesHeading"/>
              <w:jc w:val="left"/>
              <w:rPr>
                <w:rFonts w:ascii="Book Antiqua" w:hAnsi="Book Antiqua"/>
                <w:smallCaps w:val="0"/>
                <w:sz w:val="22"/>
                <w:szCs w:val="20"/>
              </w:rPr>
            </w:pPr>
            <w:r w:rsidRPr="004516A4">
              <w:rPr>
                <w:rFonts w:ascii="Book Antiqua" w:hAnsi="Book Antiqua"/>
                <w:smallCaps w:val="0"/>
                <w:sz w:val="22"/>
                <w:szCs w:val="20"/>
              </w:rPr>
              <w:t xml:space="preserve">Interested parties are invited to lodge written submissions </w:t>
            </w:r>
            <w:r w:rsidR="00C73443">
              <w:rPr>
                <w:rFonts w:ascii="Book Antiqua" w:hAnsi="Book Antiqua"/>
                <w:smallCaps w:val="0"/>
                <w:sz w:val="22"/>
                <w:szCs w:val="20"/>
              </w:rPr>
              <w:t>on the issues</w:t>
            </w:r>
            <w:r w:rsidR="00037B9D">
              <w:rPr>
                <w:rFonts w:ascii="Book Antiqua" w:hAnsi="Book Antiqua"/>
                <w:smallCaps w:val="0"/>
                <w:sz w:val="22"/>
                <w:szCs w:val="20"/>
              </w:rPr>
              <w:t xml:space="preserve"> raised </w:t>
            </w:r>
            <w:r w:rsidRPr="004516A4">
              <w:rPr>
                <w:rFonts w:ascii="Book Antiqua" w:hAnsi="Book Antiqua"/>
                <w:smallCaps w:val="0"/>
                <w:sz w:val="22"/>
                <w:szCs w:val="20"/>
              </w:rPr>
              <w:t>in this paper</w:t>
            </w:r>
            <w:r w:rsidR="000F06C5">
              <w:rPr>
                <w:rFonts w:ascii="Book Antiqua" w:hAnsi="Book Antiqua"/>
                <w:smallCaps w:val="0"/>
                <w:sz w:val="22"/>
                <w:szCs w:val="20"/>
              </w:rPr>
              <w:t xml:space="preserve"> by </w:t>
            </w:r>
            <w:r w:rsidR="006443A2">
              <w:rPr>
                <w:rFonts w:ascii="Book Antiqua" w:hAnsi="Book Antiqua"/>
                <w:smallCaps w:val="0"/>
                <w:sz w:val="22"/>
                <w:szCs w:val="20"/>
              </w:rPr>
              <w:t>Thursday, 7 May 2015</w:t>
            </w:r>
            <w:r w:rsidRPr="004516A4">
              <w:rPr>
                <w:rFonts w:ascii="Book Antiqua" w:hAnsi="Book Antiqua"/>
                <w:smallCaps w:val="0"/>
                <w:sz w:val="22"/>
                <w:szCs w:val="20"/>
              </w:rPr>
              <w:t>.</w:t>
            </w:r>
          </w:p>
          <w:p w14:paraId="70676A5B" w14:textId="77777777" w:rsidR="004516A4" w:rsidRPr="004516A4" w:rsidRDefault="00037B9D" w:rsidP="004516A4">
            <w:pPr>
              <w:pStyle w:val="NotesHeading"/>
              <w:jc w:val="left"/>
              <w:rPr>
                <w:rFonts w:ascii="Book Antiqua" w:hAnsi="Book Antiqua"/>
                <w:smallCaps w:val="0"/>
                <w:sz w:val="22"/>
                <w:szCs w:val="20"/>
              </w:rPr>
            </w:pPr>
            <w:r w:rsidRPr="00037B9D">
              <w:rPr>
                <w:rFonts w:ascii="Book Antiqua" w:hAnsi="Book Antiqua"/>
                <w:smallCaps w:val="0"/>
                <w:sz w:val="22"/>
                <w:szCs w:val="20"/>
              </w:rPr>
              <w:t xml:space="preserve">All information (including name and address details) contained in submissions will be made available to the public on the Treasury website unless you indicate that you would like all or part of your submission to remain in confidence. </w:t>
            </w:r>
            <w:r>
              <w:rPr>
                <w:rFonts w:ascii="Book Antiqua" w:hAnsi="Book Antiqua"/>
                <w:smallCaps w:val="0"/>
                <w:sz w:val="22"/>
                <w:szCs w:val="20"/>
              </w:rPr>
              <w:t xml:space="preserve"> </w:t>
            </w:r>
            <w:r w:rsidRPr="00037B9D">
              <w:rPr>
                <w:rFonts w:ascii="Book Antiqua" w:hAnsi="Book Antiqua"/>
                <w:smallCaps w:val="0"/>
                <w:sz w:val="22"/>
                <w:szCs w:val="20"/>
              </w:rPr>
              <w:t xml:space="preserve">Automatically generated confidentiality statements in emails do not suffice for this purpose. </w:t>
            </w:r>
            <w:r>
              <w:rPr>
                <w:rFonts w:ascii="Book Antiqua" w:hAnsi="Book Antiqua"/>
                <w:smallCaps w:val="0"/>
                <w:sz w:val="22"/>
                <w:szCs w:val="20"/>
              </w:rPr>
              <w:t xml:space="preserve"> </w:t>
            </w:r>
            <w:r w:rsidRPr="00037B9D">
              <w:rPr>
                <w:rFonts w:ascii="Book Antiqua" w:hAnsi="Book Antiqua"/>
                <w:smallCaps w:val="0"/>
                <w:sz w:val="22"/>
                <w:szCs w:val="20"/>
              </w:rPr>
              <w:t>Respondents who would like part of their submission to remain in confidence should provide this information marked as such in a separate attachment.</w:t>
            </w:r>
            <w:r>
              <w:rPr>
                <w:rFonts w:ascii="Book Antiqua" w:hAnsi="Book Antiqua"/>
                <w:smallCaps w:val="0"/>
                <w:sz w:val="22"/>
                <w:szCs w:val="20"/>
              </w:rPr>
              <w:t xml:space="preserve">  </w:t>
            </w:r>
            <w:r w:rsidR="004516A4" w:rsidRPr="004516A4">
              <w:rPr>
                <w:rFonts w:ascii="Book Antiqua" w:hAnsi="Book Antiqua"/>
                <w:smallCaps w:val="0"/>
                <w:sz w:val="22"/>
                <w:szCs w:val="20"/>
              </w:rPr>
              <w:t xml:space="preserve">A request made under the </w:t>
            </w:r>
            <w:r w:rsidR="004516A4" w:rsidRPr="004516A4">
              <w:rPr>
                <w:rFonts w:ascii="Book Antiqua" w:hAnsi="Book Antiqua"/>
                <w:i/>
                <w:smallCaps w:val="0"/>
                <w:sz w:val="22"/>
                <w:szCs w:val="20"/>
              </w:rPr>
              <w:t>Freedom of Information Act 1982</w:t>
            </w:r>
            <w:r w:rsidR="004516A4" w:rsidRPr="004516A4">
              <w:rPr>
                <w:rFonts w:ascii="Book Antiqua" w:hAnsi="Book Antiqua"/>
                <w:smallCaps w:val="0"/>
                <w:sz w:val="22"/>
                <w:szCs w:val="20"/>
              </w:rPr>
              <w:t xml:space="preserve"> for access to a submission marked confidential will be determined in accordance with that Act.</w:t>
            </w:r>
          </w:p>
          <w:p w14:paraId="4A6806EA" w14:textId="77777777" w:rsidR="004516A4" w:rsidRPr="004516A4" w:rsidRDefault="004516A4" w:rsidP="004516A4">
            <w:pPr>
              <w:pStyle w:val="NotesHeading"/>
              <w:jc w:val="left"/>
              <w:rPr>
                <w:rFonts w:ascii="Book Antiqua" w:hAnsi="Book Antiqua"/>
                <w:smallCaps w:val="0"/>
                <w:sz w:val="22"/>
                <w:szCs w:val="20"/>
              </w:rPr>
            </w:pPr>
            <w:r w:rsidRPr="004516A4">
              <w:rPr>
                <w:rFonts w:ascii="Book Antiqua" w:hAnsi="Book Antiqua"/>
                <w:smallCaps w:val="0"/>
                <w:sz w:val="22"/>
                <w:szCs w:val="20"/>
              </w:rPr>
              <w:t>Submissions should include the name of your organisation (or your name if the submission is made as an individual) and contact details for the submission, including an email address and contact telephone number where available. While submissions may be lodged electronically or by post, electronic lodgement is strongly preferred. For accessibility reasons, please email responses in a Word or RTF format. An additional PDF version may also be submitted.</w:t>
            </w:r>
          </w:p>
          <w:p w14:paraId="13DE2164" w14:textId="0C3CCA24" w:rsidR="000A7BCF" w:rsidRDefault="004516A4" w:rsidP="00CE1D38">
            <w:pPr>
              <w:pStyle w:val="Heading4"/>
            </w:pPr>
            <w:r w:rsidRPr="004516A4">
              <w:t>Closing date for submissions:</w:t>
            </w:r>
            <w:r w:rsidR="006443A2">
              <w:t xml:space="preserve"> Thursday, 7 May 2015</w:t>
            </w:r>
          </w:p>
          <w:p w14:paraId="4BB3BFC3" w14:textId="52CCD1BD" w:rsidR="008B4F59" w:rsidRDefault="008B4F59" w:rsidP="008B4F59">
            <w:pPr>
              <w:pStyle w:val="BoxText"/>
              <w:jc w:val="left"/>
            </w:pPr>
            <w:r w:rsidRPr="00037B9D">
              <w:t xml:space="preserve">Email:            </w:t>
            </w:r>
            <w:r w:rsidR="006443A2" w:rsidRPr="006443A2">
              <w:t>ProfessionalStandards@treasury.gov.au</w:t>
            </w:r>
          </w:p>
          <w:p w14:paraId="49D06BCA" w14:textId="77777777" w:rsidR="00BF225A" w:rsidRPr="00037B9D" w:rsidRDefault="00037B9D" w:rsidP="004516A4">
            <w:pPr>
              <w:pStyle w:val="BoxText"/>
              <w:jc w:val="left"/>
            </w:pPr>
            <w:r w:rsidRPr="00037B9D">
              <w:t>Address written submissions to :</w:t>
            </w:r>
          </w:p>
          <w:p w14:paraId="5BC3F6F4" w14:textId="5D214230" w:rsidR="00BF225A" w:rsidRPr="00E05EE8" w:rsidRDefault="00AC4EA1" w:rsidP="00037B9D">
            <w:pPr>
              <w:pStyle w:val="BoxText"/>
              <w:spacing w:after="0"/>
              <w:jc w:val="left"/>
            </w:pPr>
            <w:r>
              <w:t xml:space="preserve">         </w:t>
            </w:r>
            <w:r w:rsidR="00BF225A" w:rsidRPr="00037B9D">
              <w:t xml:space="preserve">  </w:t>
            </w:r>
            <w:r w:rsidR="00CE1D38" w:rsidRPr="00037B9D">
              <w:t xml:space="preserve">           </w:t>
            </w:r>
            <w:r w:rsidR="00BF225A" w:rsidRPr="00E05EE8">
              <w:t>Financial Services Unit</w:t>
            </w:r>
          </w:p>
          <w:p w14:paraId="07E5CEED" w14:textId="77777777" w:rsidR="00BF225A" w:rsidRPr="00BF225A" w:rsidRDefault="008B4F59" w:rsidP="008B4F59">
            <w:pPr>
              <w:pStyle w:val="BoxText"/>
              <w:spacing w:after="0"/>
              <w:jc w:val="left"/>
            </w:pPr>
            <w:r>
              <w:t xml:space="preserve">                      </w:t>
            </w:r>
            <w:r w:rsidR="00BF225A" w:rsidRPr="00BF225A">
              <w:t>Financial System and Services Division</w:t>
            </w:r>
          </w:p>
          <w:p w14:paraId="16401D3C" w14:textId="77777777" w:rsidR="00BF225A" w:rsidRDefault="008B4F59" w:rsidP="008B4F59">
            <w:pPr>
              <w:pStyle w:val="BoxText"/>
              <w:spacing w:after="0"/>
              <w:jc w:val="left"/>
            </w:pPr>
            <w:r>
              <w:t xml:space="preserve">                      </w:t>
            </w:r>
            <w:r w:rsidR="00BF225A" w:rsidRPr="00BF225A">
              <w:t>Markets G</w:t>
            </w:r>
            <w:r w:rsidR="00BF225A">
              <w:t>roup</w:t>
            </w:r>
          </w:p>
          <w:p w14:paraId="34AE570C" w14:textId="77777777" w:rsidR="00BF225A" w:rsidRDefault="008B4F59" w:rsidP="008B4F59">
            <w:pPr>
              <w:pStyle w:val="BoxText"/>
              <w:spacing w:after="0"/>
              <w:jc w:val="left"/>
            </w:pPr>
            <w:r>
              <w:t xml:space="preserve">                      </w:t>
            </w:r>
            <w:r w:rsidR="00BF225A">
              <w:t>The Treasury</w:t>
            </w:r>
          </w:p>
          <w:p w14:paraId="1F4E2F71" w14:textId="77777777" w:rsidR="00BF225A" w:rsidRDefault="008B4F59" w:rsidP="008B4F59">
            <w:pPr>
              <w:pStyle w:val="BoxText"/>
              <w:spacing w:after="0"/>
              <w:jc w:val="left"/>
            </w:pPr>
            <w:r>
              <w:t xml:space="preserve">                      </w:t>
            </w:r>
            <w:r w:rsidR="00BF225A">
              <w:t xml:space="preserve">Langton Crescent </w:t>
            </w:r>
          </w:p>
          <w:p w14:paraId="157ED1DA" w14:textId="77777777" w:rsidR="00BF225A" w:rsidRPr="00037B9D" w:rsidRDefault="008B4F59" w:rsidP="008B4F59">
            <w:pPr>
              <w:pStyle w:val="BoxText"/>
              <w:jc w:val="left"/>
              <w:rPr>
                <w:caps/>
              </w:rPr>
            </w:pPr>
            <w:r>
              <w:rPr>
                <w:caps/>
              </w:rPr>
              <w:t xml:space="preserve">                      </w:t>
            </w:r>
            <w:r w:rsidR="00BF225A" w:rsidRPr="00037B9D">
              <w:rPr>
                <w:caps/>
              </w:rPr>
              <w:t>Parkes  ACT  2600</w:t>
            </w:r>
          </w:p>
          <w:p w14:paraId="3D455CD5" w14:textId="13EA7A67" w:rsidR="00BF225A" w:rsidRPr="00BF225A" w:rsidRDefault="00BF225A" w:rsidP="00BF225A">
            <w:pPr>
              <w:pStyle w:val="BoxText"/>
              <w:jc w:val="left"/>
            </w:pPr>
            <w:r>
              <w:t xml:space="preserve">Enquiries: </w:t>
            </w:r>
            <w:r w:rsidR="00CE1D38">
              <w:t xml:space="preserve">   Enquiries can initially be directed to </w:t>
            </w:r>
            <w:r w:rsidR="006443A2">
              <w:t>Jongsok Oh</w:t>
            </w:r>
            <w:r w:rsidR="00CE1D38">
              <w:t xml:space="preserve"> (</w:t>
            </w:r>
            <w:r w:rsidR="00D23C2F">
              <w:t>02</w:t>
            </w:r>
            <w:r w:rsidR="006443A2">
              <w:t>)</w:t>
            </w:r>
            <w:r w:rsidR="00D23C2F">
              <w:t xml:space="preserve"> </w:t>
            </w:r>
            <w:r w:rsidR="00CE1D38">
              <w:t xml:space="preserve">6263 </w:t>
            </w:r>
            <w:r w:rsidR="006443A2">
              <w:t>4435</w:t>
            </w:r>
          </w:p>
          <w:p w14:paraId="2907198B" w14:textId="77777777" w:rsidR="00004538" w:rsidRPr="008950C5" w:rsidRDefault="00352FCF" w:rsidP="000F06C5">
            <w:pPr>
              <w:pStyle w:val="Disclaimer"/>
            </w:pPr>
            <w:r>
              <w:t xml:space="preserve">The </w:t>
            </w:r>
            <w:r w:rsidR="000F06C5">
              <w:t>proposals</w:t>
            </w:r>
            <w:r>
              <w:t xml:space="preserve"> outlined in this paper have not received Government approval and are obviously not yet law.  As a consequence, this paper is merely a guide as to how the </w:t>
            </w:r>
            <w:r w:rsidR="000F06C5">
              <w:t>proposals</w:t>
            </w:r>
            <w:r>
              <w:t xml:space="preserve"> might operate.</w:t>
            </w:r>
          </w:p>
        </w:tc>
      </w:tr>
    </w:tbl>
    <w:p w14:paraId="0DADD465" w14:textId="77777777" w:rsidR="005A05DD" w:rsidRDefault="005A05DD">
      <w:pPr>
        <w:pStyle w:val="Heading1"/>
      </w:pPr>
    </w:p>
    <w:p w14:paraId="60B9F19E" w14:textId="77777777" w:rsidR="001B12B4" w:rsidRDefault="001B12B4">
      <w:pPr>
        <w:pStyle w:val="Heading2"/>
      </w:pPr>
      <w:bookmarkStart w:id="1" w:name="_Toc306887371"/>
    </w:p>
    <w:p w14:paraId="58772CD0" w14:textId="45963463" w:rsidR="000A7BCF" w:rsidRDefault="001B12B4">
      <w:pPr>
        <w:pStyle w:val="Heading2"/>
      </w:pPr>
      <w:r>
        <w:lastRenderedPageBreak/>
        <w:t xml:space="preserve">Section </w:t>
      </w:r>
      <w:r w:rsidR="00E6388D">
        <w:t>1.</w:t>
      </w:r>
      <w:r w:rsidR="00237970">
        <w:t xml:space="preserve"> </w:t>
      </w:r>
      <w:r w:rsidR="00E6388D">
        <w:t xml:space="preserve"> </w:t>
      </w:r>
      <w:r w:rsidR="00352FCF">
        <w:t>Introduction</w:t>
      </w:r>
      <w:bookmarkEnd w:id="1"/>
    </w:p>
    <w:p w14:paraId="6EFF0F69" w14:textId="77777777" w:rsidR="008B1FB6" w:rsidRDefault="008B1FB6" w:rsidP="00AC0734">
      <w:pPr>
        <w:pStyle w:val="OutlineNumbered1"/>
      </w:pPr>
      <w:r>
        <w:t xml:space="preserve">Two important inquiries—the Parliamentary Joint Committee on Corporations and Financial </w:t>
      </w:r>
      <w:r w:rsidRPr="00EA1AFA">
        <w:t>Services’ inquiry into proposals to lift the professional, ethical and education standards in the financial services industry</w:t>
      </w:r>
      <w:r w:rsidR="00195C6B">
        <w:rPr>
          <w:rStyle w:val="FootnoteReference"/>
        </w:rPr>
        <w:footnoteReference w:id="2"/>
      </w:r>
      <w:r w:rsidRPr="00EA1AFA">
        <w:t xml:space="preserve"> </w:t>
      </w:r>
      <w:r>
        <w:t>(PJC) and the Financial System Inquiry</w:t>
      </w:r>
      <w:r w:rsidR="00195C6B">
        <w:rPr>
          <w:rStyle w:val="FootnoteReference"/>
        </w:rPr>
        <w:footnoteReference w:id="3"/>
      </w:r>
      <w:r>
        <w:t xml:space="preserve"> (FSI)—have both </w:t>
      </w:r>
      <w:r w:rsidR="001B12B4">
        <w:t>presented</w:t>
      </w:r>
      <w:r>
        <w:t xml:space="preserve"> their recommendations</w:t>
      </w:r>
      <w:r w:rsidR="001B12B4">
        <w:t xml:space="preserve"> to Government</w:t>
      </w:r>
      <w:r>
        <w:t>.</w:t>
      </w:r>
      <w:r w:rsidR="00195C6B">
        <w:t xml:space="preserve"> </w:t>
      </w:r>
    </w:p>
    <w:p w14:paraId="49FF25E8" w14:textId="2691E465" w:rsidR="00457BAC" w:rsidRDefault="008B1FB6" w:rsidP="00AC0734">
      <w:pPr>
        <w:pStyle w:val="OutlineNumbered1"/>
      </w:pPr>
      <w:r w:rsidRPr="008B1FB6">
        <w:t xml:space="preserve">These </w:t>
      </w:r>
      <w:r w:rsidR="009E027D">
        <w:t>inquiries</w:t>
      </w:r>
      <w:r w:rsidRPr="008B1FB6">
        <w:t xml:space="preserve"> </w:t>
      </w:r>
      <w:r w:rsidR="001B12B4">
        <w:t xml:space="preserve">found that </w:t>
      </w:r>
      <w:r w:rsidRPr="008B1FB6">
        <w:t xml:space="preserve">the current regulatory arrangements </w:t>
      </w:r>
      <w:r w:rsidR="001B12B4">
        <w:t xml:space="preserve">regarding professional standards </w:t>
      </w:r>
      <w:r w:rsidRPr="008B1FB6">
        <w:t xml:space="preserve">are no longer sufficient to </w:t>
      </w:r>
      <w:r w:rsidR="001B12B4">
        <w:t>ensure high quality consumer outcomes</w:t>
      </w:r>
      <w:r w:rsidRPr="008B1FB6">
        <w:t xml:space="preserve"> and to maintain public confidence in the </w:t>
      </w:r>
      <w:r w:rsidR="0094278D">
        <w:t xml:space="preserve">financial services </w:t>
      </w:r>
      <w:r w:rsidRPr="008B1FB6">
        <w:t>industry</w:t>
      </w:r>
      <w:r w:rsidR="001B12B4">
        <w:t xml:space="preserve">. </w:t>
      </w:r>
    </w:p>
    <w:p w14:paraId="1EE73067" w14:textId="77777777" w:rsidR="008B1FB6" w:rsidRDefault="008B1FB6" w:rsidP="00AC0734">
      <w:pPr>
        <w:pStyle w:val="OutlineNumbered1"/>
      </w:pPr>
      <w:r>
        <w:t xml:space="preserve">Following a number of high-profile advice and product failures, public confidence in the sector has </w:t>
      </w:r>
      <w:r w:rsidRPr="00B73FBA">
        <w:t>been shaken.</w:t>
      </w:r>
    </w:p>
    <w:p w14:paraId="2638A0AF" w14:textId="6836EC20" w:rsidR="00457BAC" w:rsidRDefault="00457BAC" w:rsidP="00AC0734">
      <w:pPr>
        <w:pStyle w:val="OutlineNumbered1"/>
        <w:rPr>
          <w:color w:val="000000" w:themeColor="text1"/>
        </w:rPr>
      </w:pPr>
      <w:r w:rsidRPr="006569DA">
        <w:rPr>
          <w:color w:val="000000" w:themeColor="text1"/>
        </w:rPr>
        <w:t xml:space="preserve">The Future of Financial Advice (FOFA) legislation was introduced to improve the trust and confidence of Australian retail investors in the financial advice sector. </w:t>
      </w:r>
      <w:r w:rsidR="00A0085D" w:rsidRPr="006569DA">
        <w:rPr>
          <w:color w:val="000000" w:themeColor="text1"/>
        </w:rPr>
        <w:t xml:space="preserve">Efforts to finalise remaining technical amendments </w:t>
      </w:r>
      <w:r w:rsidR="0094278D">
        <w:rPr>
          <w:color w:val="000000" w:themeColor="text1"/>
        </w:rPr>
        <w:t xml:space="preserve">to FOFA </w:t>
      </w:r>
      <w:r w:rsidR="00A0085D" w:rsidRPr="006569DA">
        <w:rPr>
          <w:color w:val="000000" w:themeColor="text1"/>
        </w:rPr>
        <w:t xml:space="preserve">are underway, and will give greater certainty to both consumers and the industry. </w:t>
      </w:r>
    </w:p>
    <w:p w14:paraId="65791511" w14:textId="424FD432" w:rsidR="00861704" w:rsidRDefault="00861704" w:rsidP="00AC0734">
      <w:pPr>
        <w:pStyle w:val="OutlineNumbered1"/>
      </w:pPr>
      <w:r>
        <w:t xml:space="preserve">The establishment of an industry-wide register of financial advisers </w:t>
      </w:r>
      <w:r w:rsidR="0094278D">
        <w:t xml:space="preserve">is another significant development. The adviser register </w:t>
      </w:r>
      <w:r w:rsidR="008B1FB6">
        <w:t>wi</w:t>
      </w:r>
      <w:r w:rsidR="008B1FB6" w:rsidRPr="008B1FB6">
        <w:t xml:space="preserve">ll enable </w:t>
      </w:r>
      <w:r w:rsidR="0094278D">
        <w:t>consumers</w:t>
      </w:r>
      <w:r w:rsidR="008B1FB6" w:rsidRPr="008B1FB6">
        <w:t xml:space="preserve">, employers and </w:t>
      </w:r>
      <w:r w:rsidR="0094278D">
        <w:t>the Australian Securities and Investments Commission (ASIC)</w:t>
      </w:r>
      <w:r w:rsidR="008B1FB6">
        <w:t xml:space="preserve"> </w:t>
      </w:r>
      <w:r w:rsidR="008B1FB6" w:rsidRPr="008B1FB6">
        <w:t>to verify the credentials of financial advisers</w:t>
      </w:r>
      <w:r w:rsidR="008B1FB6">
        <w:t>.</w:t>
      </w:r>
    </w:p>
    <w:p w14:paraId="712A0F8E" w14:textId="42D2C137" w:rsidR="00861704" w:rsidRDefault="00861704" w:rsidP="00AC0734">
      <w:pPr>
        <w:pStyle w:val="OutlineNumbered1"/>
      </w:pPr>
      <w:r w:rsidRPr="00EA1AFA">
        <w:t xml:space="preserve">A number of </w:t>
      </w:r>
      <w:r w:rsidR="008B5FA6">
        <w:t>major financial institutions</w:t>
      </w:r>
      <w:r w:rsidRPr="00EA1AFA">
        <w:t xml:space="preserve"> have </w:t>
      </w:r>
      <w:r w:rsidR="008B1FB6">
        <w:t xml:space="preserve">recently </w:t>
      </w:r>
      <w:r w:rsidRPr="00EA1AFA">
        <w:t>voluntarily announced that they have, or intend to</w:t>
      </w:r>
      <w:r w:rsidR="009E7A44">
        <w:t>,</w:t>
      </w:r>
      <w:r w:rsidRPr="00EA1AFA">
        <w:t xml:space="preserve"> increase</w:t>
      </w:r>
      <w:r w:rsidR="00273F38">
        <w:t>d</w:t>
      </w:r>
      <w:r w:rsidRPr="00EA1AFA">
        <w:t xml:space="preserve"> </w:t>
      </w:r>
      <w:r w:rsidR="00FE7CD2">
        <w:t>education</w:t>
      </w:r>
      <w:r w:rsidR="00FE7CD2" w:rsidRPr="00EA1AFA">
        <w:t xml:space="preserve"> </w:t>
      </w:r>
      <w:r w:rsidRPr="00EA1AFA">
        <w:t>standards for their advisers</w:t>
      </w:r>
      <w:r w:rsidR="009E027D">
        <w:t>.</w:t>
      </w:r>
      <w:r>
        <w:t xml:space="preserve"> </w:t>
      </w:r>
    </w:p>
    <w:p w14:paraId="75A3A761" w14:textId="419E01B5" w:rsidR="00E60E12" w:rsidRDefault="00861704" w:rsidP="00AC0734">
      <w:pPr>
        <w:pStyle w:val="OutlineNumbered1"/>
      </w:pPr>
      <w:r>
        <w:t>Th</w:t>
      </w:r>
      <w:r w:rsidR="00FE7CD2">
        <w:t xml:space="preserve">e Government is seeking to build on this momentum </w:t>
      </w:r>
      <w:r>
        <w:t xml:space="preserve">to develop a </w:t>
      </w:r>
      <w:r w:rsidR="00DA7EB6">
        <w:t>framework</w:t>
      </w:r>
      <w:r w:rsidR="008F3B54">
        <w:t xml:space="preserve"> to increase </w:t>
      </w:r>
      <w:r w:rsidR="008F3B54" w:rsidRPr="008F3B54">
        <w:t>the professional, ethical and education standards applied to financial advisers</w:t>
      </w:r>
      <w:r w:rsidR="008F3B54">
        <w:t>. This framework should</w:t>
      </w:r>
      <w:r w:rsidR="00DA7EB6">
        <w:t xml:space="preserve"> </w:t>
      </w:r>
      <w:r w:rsidR="00AA75C3">
        <w:t>include</w:t>
      </w:r>
      <w:r w:rsidR="00E60E12">
        <w:t>:</w:t>
      </w:r>
    </w:p>
    <w:p w14:paraId="22592A8D" w14:textId="77777777" w:rsidR="00E60E12" w:rsidRPr="006569DA" w:rsidRDefault="0031346C" w:rsidP="00273F38">
      <w:pPr>
        <w:pStyle w:val="Bullet"/>
        <w:tabs>
          <w:tab w:val="clear" w:pos="520"/>
          <w:tab w:val="num" w:pos="851"/>
        </w:tabs>
        <w:ind w:left="851" w:hanging="237"/>
        <w:rPr>
          <w:color w:val="000000" w:themeColor="text1"/>
        </w:rPr>
      </w:pPr>
      <w:r w:rsidRPr="006569DA">
        <w:rPr>
          <w:color w:val="000000" w:themeColor="text1"/>
        </w:rPr>
        <w:t>how</w:t>
      </w:r>
      <w:r w:rsidR="00AB398E" w:rsidRPr="006569DA">
        <w:rPr>
          <w:color w:val="000000" w:themeColor="text1"/>
        </w:rPr>
        <w:t xml:space="preserve"> </w:t>
      </w:r>
      <w:r w:rsidRPr="006569DA">
        <w:rPr>
          <w:color w:val="000000" w:themeColor="text1"/>
        </w:rPr>
        <w:t>standards</w:t>
      </w:r>
      <w:r w:rsidR="00E60E12" w:rsidRPr="006569DA">
        <w:rPr>
          <w:color w:val="000000" w:themeColor="text1"/>
        </w:rPr>
        <w:t xml:space="preserve"> </w:t>
      </w:r>
      <w:r w:rsidR="00235F23">
        <w:rPr>
          <w:color w:val="000000" w:themeColor="text1"/>
        </w:rPr>
        <w:t>will be lifted</w:t>
      </w:r>
      <w:r w:rsidR="00235F23" w:rsidDel="00882A3F">
        <w:rPr>
          <w:color w:val="000000" w:themeColor="text1"/>
        </w:rPr>
        <w:t xml:space="preserve"> </w:t>
      </w:r>
      <w:r w:rsidR="00235F23">
        <w:rPr>
          <w:color w:val="000000" w:themeColor="text1"/>
        </w:rPr>
        <w:t xml:space="preserve">and maintained at </w:t>
      </w:r>
      <w:r w:rsidR="002D4A76" w:rsidRPr="006569DA">
        <w:rPr>
          <w:color w:val="000000" w:themeColor="text1"/>
        </w:rPr>
        <w:t>a specified minimum level</w:t>
      </w:r>
      <w:r w:rsidR="00E60E12" w:rsidRPr="006569DA">
        <w:rPr>
          <w:color w:val="000000" w:themeColor="text1"/>
        </w:rPr>
        <w:t>;</w:t>
      </w:r>
      <w:r w:rsidR="00AB398E" w:rsidRPr="006569DA">
        <w:rPr>
          <w:color w:val="000000" w:themeColor="text1"/>
        </w:rPr>
        <w:t xml:space="preserve"> </w:t>
      </w:r>
    </w:p>
    <w:p w14:paraId="51C235DE" w14:textId="77777777" w:rsidR="00E60E12" w:rsidRPr="006569DA" w:rsidRDefault="00AB398E" w:rsidP="00273F38">
      <w:pPr>
        <w:pStyle w:val="Bullet"/>
        <w:tabs>
          <w:tab w:val="clear" w:pos="520"/>
          <w:tab w:val="num" w:pos="851"/>
        </w:tabs>
        <w:ind w:left="851" w:hanging="237"/>
        <w:rPr>
          <w:color w:val="000000" w:themeColor="text1"/>
        </w:rPr>
      </w:pPr>
      <w:r w:rsidRPr="006569DA">
        <w:rPr>
          <w:color w:val="000000" w:themeColor="text1"/>
        </w:rPr>
        <w:t xml:space="preserve">how </w:t>
      </w:r>
      <w:r w:rsidR="006569DA">
        <w:rPr>
          <w:color w:val="000000" w:themeColor="text1"/>
        </w:rPr>
        <w:t>minimum standards</w:t>
      </w:r>
      <w:r w:rsidR="00235F23">
        <w:rPr>
          <w:color w:val="000000" w:themeColor="text1"/>
        </w:rPr>
        <w:t xml:space="preserve"> will be </w:t>
      </w:r>
      <w:r w:rsidR="00235F23" w:rsidRPr="006569DA">
        <w:rPr>
          <w:color w:val="000000" w:themeColor="text1"/>
        </w:rPr>
        <w:t>monitor</w:t>
      </w:r>
      <w:r w:rsidR="00235F23">
        <w:rPr>
          <w:color w:val="000000" w:themeColor="text1"/>
        </w:rPr>
        <w:t>ed</w:t>
      </w:r>
      <w:r w:rsidR="00235F23" w:rsidRPr="006569DA">
        <w:rPr>
          <w:color w:val="000000" w:themeColor="text1"/>
        </w:rPr>
        <w:t xml:space="preserve"> and enforce</w:t>
      </w:r>
      <w:r w:rsidR="00235F23">
        <w:rPr>
          <w:color w:val="000000" w:themeColor="text1"/>
        </w:rPr>
        <w:t>d</w:t>
      </w:r>
      <w:r w:rsidR="00E60E12" w:rsidRPr="006569DA">
        <w:rPr>
          <w:color w:val="000000" w:themeColor="text1"/>
        </w:rPr>
        <w:t xml:space="preserve">; </w:t>
      </w:r>
      <w:r w:rsidRPr="006569DA">
        <w:rPr>
          <w:color w:val="000000" w:themeColor="text1"/>
        </w:rPr>
        <w:t>and</w:t>
      </w:r>
    </w:p>
    <w:p w14:paraId="22996CE7" w14:textId="3B7ACA8C" w:rsidR="00AB398E" w:rsidRPr="006569DA" w:rsidRDefault="00AA75C3" w:rsidP="00273F38">
      <w:pPr>
        <w:pStyle w:val="Bullet"/>
        <w:tabs>
          <w:tab w:val="clear" w:pos="520"/>
          <w:tab w:val="num" w:pos="851"/>
        </w:tabs>
        <w:ind w:left="851" w:hanging="237"/>
        <w:rPr>
          <w:color w:val="000000" w:themeColor="text1"/>
        </w:rPr>
      </w:pPr>
      <w:r>
        <w:rPr>
          <w:color w:val="000000" w:themeColor="text1"/>
        </w:rPr>
        <w:t xml:space="preserve">mechanisms for </w:t>
      </w:r>
      <w:r w:rsidR="00E60E12" w:rsidRPr="006569DA">
        <w:rPr>
          <w:color w:val="000000" w:themeColor="text1"/>
        </w:rPr>
        <w:t xml:space="preserve">the ongoing </w:t>
      </w:r>
      <w:r w:rsidR="00EA1AFA" w:rsidRPr="006569DA">
        <w:rPr>
          <w:color w:val="000000" w:themeColor="text1"/>
        </w:rPr>
        <w:t>professionali</w:t>
      </w:r>
      <w:r w:rsidR="00861704">
        <w:rPr>
          <w:color w:val="000000" w:themeColor="text1"/>
        </w:rPr>
        <w:t>s</w:t>
      </w:r>
      <w:r w:rsidR="00EA1AFA" w:rsidRPr="006569DA">
        <w:rPr>
          <w:color w:val="000000" w:themeColor="text1"/>
        </w:rPr>
        <w:t>ation</w:t>
      </w:r>
      <w:r w:rsidR="00E60E12" w:rsidRPr="006569DA">
        <w:rPr>
          <w:color w:val="000000" w:themeColor="text1"/>
        </w:rPr>
        <w:t xml:space="preserve"> of the industry</w:t>
      </w:r>
      <w:r w:rsidR="00BD7748">
        <w:rPr>
          <w:color w:val="000000" w:themeColor="text1"/>
        </w:rPr>
        <w:t>.</w:t>
      </w:r>
    </w:p>
    <w:p w14:paraId="72F398EE" w14:textId="297EF9F4" w:rsidR="006569DA" w:rsidRDefault="006569DA" w:rsidP="00AC0734">
      <w:pPr>
        <w:pStyle w:val="OutlineNumbered1"/>
      </w:pPr>
      <w:r w:rsidRPr="008B3E8E">
        <w:t>The framework should encompass core knowledge and skills relevant to all financial advisers</w:t>
      </w:r>
      <w:r w:rsidR="00235F23">
        <w:t>.</w:t>
      </w:r>
      <w:r w:rsidR="00861704">
        <w:t xml:space="preserve"> </w:t>
      </w:r>
      <w:r w:rsidR="00235F23">
        <w:t xml:space="preserve">It should </w:t>
      </w:r>
      <w:r w:rsidR="00AA75C3">
        <w:t xml:space="preserve">also be flexible, with </w:t>
      </w:r>
      <w:r w:rsidRPr="008B3E8E">
        <w:t xml:space="preserve">appropriate scope to </w:t>
      </w:r>
      <w:r w:rsidR="00AA75C3">
        <w:t xml:space="preserve">accommodate </w:t>
      </w:r>
      <w:r w:rsidRPr="008B3E8E">
        <w:t>advisers who provide advice on specific — or a limited range of — financial products</w:t>
      </w:r>
      <w:r w:rsidR="00235F23">
        <w:t xml:space="preserve">, and </w:t>
      </w:r>
      <w:r>
        <w:t xml:space="preserve">allow opportunity for advisers </w:t>
      </w:r>
      <w:r w:rsidRPr="00AC4EA1">
        <w:t>to</w:t>
      </w:r>
      <w:r w:rsidR="009517C9" w:rsidRPr="00AC4EA1">
        <w:t xml:space="preserve"> broaden their skills</w:t>
      </w:r>
      <w:r w:rsidR="00AA75C3" w:rsidRPr="00AC4EA1">
        <w:t xml:space="preserve"> in order to </w:t>
      </w:r>
      <w:r w:rsidR="00186AE6" w:rsidRPr="00AC4EA1">
        <w:t>move within the industry</w:t>
      </w:r>
      <w:r w:rsidRPr="00AC4EA1">
        <w:t>.</w:t>
      </w:r>
      <w:r w:rsidR="00235F23" w:rsidRPr="00AC4EA1">
        <w:t xml:space="preserve"> </w:t>
      </w:r>
      <w:r w:rsidR="00882A3F" w:rsidRPr="00AC4EA1">
        <w:t>The framework</w:t>
      </w:r>
      <w:r w:rsidR="00235F23" w:rsidRPr="00AC4EA1">
        <w:t xml:space="preserve"> should </w:t>
      </w:r>
      <w:r w:rsidR="00882A3F" w:rsidRPr="00AC4EA1">
        <w:t xml:space="preserve">also </w:t>
      </w:r>
      <w:r w:rsidR="009517C9" w:rsidRPr="00AC4EA1">
        <w:t>take into account</w:t>
      </w:r>
      <w:r w:rsidR="00235F23" w:rsidRPr="00AC4EA1">
        <w:t xml:space="preserve"> the</w:t>
      </w:r>
      <w:r w:rsidR="00544918" w:rsidRPr="00AC4EA1">
        <w:t xml:space="preserve"> di</w:t>
      </w:r>
      <w:r w:rsidR="00544918">
        <w:t xml:space="preserve">versity of advice situations, including </w:t>
      </w:r>
      <w:r w:rsidR="00544918" w:rsidRPr="00544918">
        <w:t>for individuals providing non-mainstream financial product advice, such as independent expert reports and actuarial services to retail clients.</w:t>
      </w:r>
    </w:p>
    <w:p w14:paraId="1830E2B8" w14:textId="5826A959" w:rsidR="009517C9" w:rsidRDefault="0077537B" w:rsidP="00AA75C3">
      <w:pPr>
        <w:pStyle w:val="OutlineNumbered1"/>
      </w:pPr>
      <w:r>
        <w:lastRenderedPageBreak/>
        <w:t>This framework will need to be developed in line with the Government’s commitment to reducing the cost of unnecessary or inefficient regulation imposed on individuals, business and community organisations</w:t>
      </w:r>
      <w:r w:rsidR="00AE4E71">
        <w:t xml:space="preserve"> by at least $1 billion a year.</w:t>
      </w:r>
    </w:p>
    <w:p w14:paraId="4AEFEFFB" w14:textId="0125B8EF" w:rsidR="00004538" w:rsidRDefault="00AC4EA1" w:rsidP="00AA75C3">
      <w:pPr>
        <w:pStyle w:val="OutlineNumbered1"/>
      </w:pPr>
      <w:r>
        <w:t xml:space="preserve">The </w:t>
      </w:r>
      <w:r w:rsidR="00004538">
        <w:t xml:space="preserve">PJC report outlines a comprehensive model to increase the professional standards of advisers, involving </w:t>
      </w:r>
      <w:r w:rsidR="00004538" w:rsidRPr="00812A38">
        <w:t xml:space="preserve">a co-regulatory </w:t>
      </w:r>
      <w:r w:rsidR="00004538">
        <w:t xml:space="preserve">approach where </w:t>
      </w:r>
      <w:r w:rsidR="00004538" w:rsidRPr="00812A38">
        <w:t>Government, professional associations, industry and academia all work in partnership</w:t>
      </w:r>
      <w:r w:rsidR="00004538">
        <w:t>.</w:t>
      </w:r>
      <w:r w:rsidR="00AA75C3">
        <w:t xml:space="preserve"> This model provides the basis for consultation.</w:t>
      </w:r>
    </w:p>
    <w:p w14:paraId="44727EE5" w14:textId="27DE0A01" w:rsidR="00FE7CD2" w:rsidRDefault="00FE7CD2" w:rsidP="009517C9">
      <w:pPr>
        <w:pStyle w:val="OutlineNumbered1"/>
      </w:pPr>
      <w:r>
        <w:t xml:space="preserve">The Government is undertaking a period of consultation to seek views on the core elements of the PJC model, importantly including how these elements should be implemented.  </w:t>
      </w:r>
    </w:p>
    <w:p w14:paraId="438605AE" w14:textId="09E84658" w:rsidR="009411A0" w:rsidRDefault="00F1577B" w:rsidP="00D83D23">
      <w:pPr>
        <w:pStyle w:val="Heading3"/>
      </w:pPr>
      <w:r>
        <w:t xml:space="preserve">1.1 </w:t>
      </w:r>
      <w:r w:rsidR="00237970">
        <w:t xml:space="preserve"> </w:t>
      </w:r>
      <w:r w:rsidR="009411A0">
        <w:t>The PJC model</w:t>
      </w:r>
    </w:p>
    <w:p w14:paraId="0794C21A" w14:textId="2BA38785" w:rsidR="000F0931" w:rsidRDefault="0077537B" w:rsidP="000F0931">
      <w:pPr>
        <w:pStyle w:val="OutlineNumbered1"/>
      </w:pPr>
      <w:r>
        <w:t>The PJC m</w:t>
      </w:r>
      <w:r w:rsidR="009411A0">
        <w:t>odel focusse</w:t>
      </w:r>
      <w:r w:rsidR="00004538">
        <w:t>s</w:t>
      </w:r>
      <w:r w:rsidR="009411A0">
        <w:t xml:space="preserve"> on individuals providing financial advice on Tier 1 financial products.</w:t>
      </w:r>
      <w:r w:rsidR="00273F38">
        <w:t xml:space="preserve"> </w:t>
      </w:r>
      <w:r w:rsidR="000F0931">
        <w:t xml:space="preserve">Tier 1 financial products include products such as </w:t>
      </w:r>
      <w:r w:rsidR="00AC4EA1">
        <w:t xml:space="preserve">life </w:t>
      </w:r>
      <w:r w:rsidR="000F0931">
        <w:t xml:space="preserve">insurance, shares, superannuation and managed investment schemes. Tier 1 financial products can be contrasted to Tier 2 financial products which are </w:t>
      </w:r>
      <w:r w:rsidR="00186AE6">
        <w:t xml:space="preserve">generally </w:t>
      </w:r>
      <w:r w:rsidR="000F0931">
        <w:t>simpler in nature. Tier 2 financial products include general insurance products, consumer credit insurance, and basic deposit products.</w:t>
      </w:r>
      <w:r w:rsidR="0035792D">
        <w:rPr>
          <w:rStyle w:val="FootnoteReference"/>
        </w:rPr>
        <w:footnoteReference w:id="4"/>
      </w:r>
    </w:p>
    <w:p w14:paraId="70E70369" w14:textId="77777777" w:rsidR="009411A0" w:rsidRDefault="009411A0" w:rsidP="009411A0">
      <w:pPr>
        <w:pStyle w:val="OutlineNumbered1"/>
      </w:pPr>
      <w:r>
        <w:t xml:space="preserve">Under the PJC </w:t>
      </w:r>
      <w:r w:rsidR="0077537B">
        <w:t>m</w:t>
      </w:r>
      <w:r>
        <w:t>odel</w:t>
      </w:r>
      <w:r w:rsidR="0094278D">
        <w:t>,</w:t>
      </w:r>
      <w:r>
        <w:t xml:space="preserve"> a financial adviser must be registered to provide financial advice.  To be registered, the financial adviser must:</w:t>
      </w:r>
    </w:p>
    <w:p w14:paraId="697AB42D" w14:textId="77777777" w:rsidR="009411A0" w:rsidRDefault="009411A0" w:rsidP="009625C2">
      <w:pPr>
        <w:pStyle w:val="Bullet"/>
        <w:tabs>
          <w:tab w:val="clear" w:pos="520"/>
          <w:tab w:val="num" w:pos="851"/>
        </w:tabs>
        <w:ind w:left="851" w:hanging="284"/>
      </w:pPr>
      <w:r>
        <w:t>be a member of a</w:t>
      </w:r>
      <w:r w:rsidR="00E03D3E">
        <w:t xml:space="preserve"> Professional </w:t>
      </w:r>
      <w:r w:rsidR="00186AE6">
        <w:t>Standards</w:t>
      </w:r>
      <w:r w:rsidR="00E03D3E">
        <w:t xml:space="preserve"> Council</w:t>
      </w:r>
      <w:r w:rsidR="00186AE6">
        <w:t>s</w:t>
      </w:r>
      <w:r w:rsidR="00186AE6">
        <w:rPr>
          <w:rStyle w:val="FootnoteReference"/>
        </w:rPr>
        <w:footnoteReference w:id="5"/>
      </w:r>
      <w:r w:rsidR="00E03D3E">
        <w:t xml:space="preserve"> </w:t>
      </w:r>
      <w:r w:rsidR="00186AE6">
        <w:t xml:space="preserve">(PSC) </w:t>
      </w:r>
      <w:r>
        <w:t>approved professional association;</w:t>
      </w:r>
    </w:p>
    <w:p w14:paraId="235F04E1" w14:textId="77777777" w:rsidR="009411A0" w:rsidRDefault="009411A0" w:rsidP="009625C2">
      <w:pPr>
        <w:pStyle w:val="Bullet"/>
        <w:tabs>
          <w:tab w:val="clear" w:pos="520"/>
          <w:tab w:val="num" w:pos="851"/>
        </w:tabs>
        <w:ind w:left="851" w:hanging="284"/>
      </w:pPr>
      <w:r>
        <w:t>be degree qualified;</w:t>
      </w:r>
    </w:p>
    <w:p w14:paraId="0F4B001C" w14:textId="77777777" w:rsidR="009411A0" w:rsidRDefault="009411A0" w:rsidP="009625C2">
      <w:pPr>
        <w:pStyle w:val="Bullet"/>
        <w:tabs>
          <w:tab w:val="clear" w:pos="520"/>
          <w:tab w:val="num" w:pos="851"/>
        </w:tabs>
        <w:ind w:left="851" w:hanging="284"/>
      </w:pPr>
      <w:r>
        <w:t>complete a professional year;</w:t>
      </w:r>
    </w:p>
    <w:p w14:paraId="4B4FF9E1" w14:textId="77777777" w:rsidR="009411A0" w:rsidRDefault="009411A0" w:rsidP="009625C2">
      <w:pPr>
        <w:pStyle w:val="Bullet"/>
        <w:tabs>
          <w:tab w:val="clear" w:pos="520"/>
          <w:tab w:val="num" w:pos="851"/>
        </w:tabs>
        <w:ind w:left="851" w:hanging="284"/>
      </w:pPr>
      <w:r>
        <w:t>pass a registration exam; and</w:t>
      </w:r>
    </w:p>
    <w:p w14:paraId="5632000F" w14:textId="77777777" w:rsidR="009411A0" w:rsidRDefault="009411A0" w:rsidP="009625C2">
      <w:pPr>
        <w:pStyle w:val="Bullet"/>
        <w:tabs>
          <w:tab w:val="clear" w:pos="520"/>
          <w:tab w:val="num" w:pos="851"/>
        </w:tabs>
        <w:ind w:left="851" w:hanging="284"/>
      </w:pPr>
      <w:r>
        <w:t>undertake ongoing professional development</w:t>
      </w:r>
      <w:r w:rsidR="00882A3F">
        <w:t>.</w:t>
      </w:r>
    </w:p>
    <w:p w14:paraId="649C8D05" w14:textId="0B03E651" w:rsidR="00173734" w:rsidRDefault="0077537B" w:rsidP="00173734">
      <w:pPr>
        <w:pStyle w:val="OutlineNumbered1"/>
      </w:pPr>
      <w:r>
        <w:t>The PJC m</w:t>
      </w:r>
      <w:r w:rsidR="009411A0">
        <w:t xml:space="preserve">odel requires approved professional associations to establish an independent, professional standards-setting body called the Financial Professionals' Education Council </w:t>
      </w:r>
      <w:r w:rsidR="00C31041">
        <w:t xml:space="preserve">(FPEC) </w:t>
      </w:r>
      <w:r w:rsidR="009411A0">
        <w:t>that will</w:t>
      </w:r>
      <w:r w:rsidR="009E7A44" w:rsidRPr="009E7A44">
        <w:t xml:space="preserve"> </w:t>
      </w:r>
      <w:r w:rsidR="009E7A44">
        <w:t>be controlled and funded by professional associations which have been approved by the PSC.</w:t>
      </w:r>
    </w:p>
    <w:p w14:paraId="741CED94" w14:textId="70A848EB" w:rsidR="009411A0" w:rsidRDefault="0077537B" w:rsidP="009411A0">
      <w:pPr>
        <w:pStyle w:val="OutlineNumbered1"/>
      </w:pPr>
      <w:r>
        <w:t>Under the PJC m</w:t>
      </w:r>
      <w:r w:rsidR="009411A0">
        <w:t xml:space="preserve">odel, professional association membership is mandatory, and the role of </w:t>
      </w:r>
      <w:r w:rsidR="0094278D">
        <w:t xml:space="preserve">a </w:t>
      </w:r>
      <w:r w:rsidR="009411A0">
        <w:t>professional association is</w:t>
      </w:r>
      <w:r w:rsidR="0094278D">
        <w:t xml:space="preserve"> to</w:t>
      </w:r>
      <w:r w:rsidR="009411A0">
        <w:t>:</w:t>
      </w:r>
    </w:p>
    <w:p w14:paraId="14D33A02" w14:textId="03025C6E" w:rsidR="009411A0" w:rsidRDefault="009411A0" w:rsidP="009625C2">
      <w:pPr>
        <w:pStyle w:val="Bullet"/>
        <w:tabs>
          <w:tab w:val="clear" w:pos="520"/>
          <w:tab w:val="num" w:pos="851"/>
        </w:tabs>
        <w:ind w:left="851" w:hanging="284"/>
      </w:pPr>
      <w:r>
        <w:t>advise ASIC when an adviser has passed the registration exam and completed their professional year;</w:t>
      </w:r>
    </w:p>
    <w:p w14:paraId="06652025" w14:textId="77777777" w:rsidR="009411A0" w:rsidRDefault="009411A0" w:rsidP="009625C2">
      <w:pPr>
        <w:pStyle w:val="Bullet"/>
        <w:tabs>
          <w:tab w:val="clear" w:pos="520"/>
          <w:tab w:val="num" w:pos="851"/>
        </w:tabs>
        <w:ind w:left="851" w:hanging="284"/>
      </w:pPr>
      <w:r>
        <w:lastRenderedPageBreak/>
        <w:t>advise ASIC if an adviser is no longer suitable to be registered;</w:t>
      </w:r>
    </w:p>
    <w:p w14:paraId="708ECE81" w14:textId="5718ABD9" w:rsidR="009411A0" w:rsidRDefault="009411A0" w:rsidP="009625C2">
      <w:pPr>
        <w:pStyle w:val="Bullet"/>
        <w:tabs>
          <w:tab w:val="clear" w:pos="520"/>
          <w:tab w:val="num" w:pos="851"/>
        </w:tabs>
        <w:ind w:left="851" w:hanging="284"/>
      </w:pPr>
      <w:r>
        <w:t xml:space="preserve">manage </w:t>
      </w:r>
      <w:r w:rsidR="0094278D">
        <w:t xml:space="preserve">members' </w:t>
      </w:r>
      <w:r>
        <w:t xml:space="preserve">professional year and </w:t>
      </w:r>
      <w:r w:rsidR="009E7A44">
        <w:t xml:space="preserve">continuing </w:t>
      </w:r>
      <w:r>
        <w:t>professional development;</w:t>
      </w:r>
    </w:p>
    <w:p w14:paraId="31952B5E" w14:textId="77777777" w:rsidR="009411A0" w:rsidRDefault="009411A0" w:rsidP="009625C2">
      <w:pPr>
        <w:pStyle w:val="Bullet"/>
        <w:tabs>
          <w:tab w:val="clear" w:pos="520"/>
          <w:tab w:val="num" w:pos="851"/>
        </w:tabs>
        <w:ind w:left="851" w:hanging="284"/>
      </w:pPr>
      <w:r>
        <w:t xml:space="preserve">establish a code of ethics for </w:t>
      </w:r>
      <w:r w:rsidR="0094278D">
        <w:t xml:space="preserve">member </w:t>
      </w:r>
      <w:r>
        <w:t>advisers; and</w:t>
      </w:r>
    </w:p>
    <w:p w14:paraId="42AD7C68" w14:textId="097AB610" w:rsidR="009411A0" w:rsidRDefault="009411A0" w:rsidP="009625C2">
      <w:pPr>
        <w:pStyle w:val="Bullet"/>
        <w:tabs>
          <w:tab w:val="clear" w:pos="520"/>
          <w:tab w:val="num" w:pos="851"/>
        </w:tabs>
        <w:ind w:left="851" w:hanging="284"/>
      </w:pPr>
      <w:r>
        <w:t xml:space="preserve">fund, control and be represented on the </w:t>
      </w:r>
      <w:r w:rsidR="00D242A6">
        <w:t>FPEC</w:t>
      </w:r>
      <w:r>
        <w:t>.</w:t>
      </w:r>
    </w:p>
    <w:p w14:paraId="1E3705A3" w14:textId="2EDF539E" w:rsidR="0094278D" w:rsidRDefault="00062BF3" w:rsidP="0094278D">
      <w:pPr>
        <w:pStyle w:val="Heading3"/>
      </w:pPr>
      <w:r>
        <w:t xml:space="preserve">1.2 </w:t>
      </w:r>
      <w:r w:rsidR="00237970">
        <w:t xml:space="preserve"> </w:t>
      </w:r>
      <w:r w:rsidR="0094278D">
        <w:t>Invitation  to consult</w:t>
      </w:r>
    </w:p>
    <w:p w14:paraId="3FDFFC41" w14:textId="77777777" w:rsidR="0094278D" w:rsidRDefault="00195C6B" w:rsidP="00444A8D">
      <w:pPr>
        <w:pStyle w:val="OutlineNumbered1"/>
      </w:pPr>
      <w:r>
        <w:t>This paper invite</w:t>
      </w:r>
      <w:r w:rsidR="002D4A19">
        <w:t>s</w:t>
      </w:r>
      <w:r>
        <w:t xml:space="preserve"> consultation on </w:t>
      </w:r>
      <w:r w:rsidR="00AC7B67">
        <w:t>R</w:t>
      </w:r>
      <w:r>
        <w:t>ecommendations 4,</w:t>
      </w:r>
      <w:r w:rsidR="009A2A70">
        <w:t xml:space="preserve"> </w:t>
      </w:r>
      <w:r>
        <w:t>5,</w:t>
      </w:r>
      <w:r w:rsidR="009A2A70">
        <w:t xml:space="preserve"> </w:t>
      </w:r>
      <w:r>
        <w:t>7,</w:t>
      </w:r>
      <w:r w:rsidR="009A2A70">
        <w:t xml:space="preserve"> </w:t>
      </w:r>
      <w:r>
        <w:t>8,</w:t>
      </w:r>
      <w:r w:rsidR="009A2A70">
        <w:t xml:space="preserve"> </w:t>
      </w:r>
      <w:r>
        <w:t>9,</w:t>
      </w:r>
      <w:r w:rsidR="009A2A70">
        <w:t xml:space="preserve"> </w:t>
      </w:r>
      <w:r>
        <w:t>10,</w:t>
      </w:r>
      <w:r w:rsidR="009A2A70">
        <w:t xml:space="preserve"> </w:t>
      </w:r>
      <w:r>
        <w:t>11,</w:t>
      </w:r>
      <w:r w:rsidR="009A2A70">
        <w:t xml:space="preserve"> </w:t>
      </w:r>
      <w:r>
        <w:t xml:space="preserve">12 and 13 of the PJC report. </w:t>
      </w:r>
    </w:p>
    <w:p w14:paraId="0EDD32BE" w14:textId="6E8505DE" w:rsidR="00444A8D" w:rsidRDefault="009A2A70" w:rsidP="00444A8D">
      <w:pPr>
        <w:pStyle w:val="OutlineNumbered1"/>
      </w:pPr>
      <w:r>
        <w:t>R</w:t>
      </w:r>
      <w:r w:rsidR="00444A8D">
        <w:t xml:space="preserve">ecommendations </w:t>
      </w:r>
      <w:r>
        <w:t>similar to 1, 2, 3 and 6</w:t>
      </w:r>
      <w:r w:rsidR="00882A3F">
        <w:t xml:space="preserve"> </w:t>
      </w:r>
      <w:r>
        <w:t xml:space="preserve">of the PJC report </w:t>
      </w:r>
      <w:r w:rsidR="00444A8D">
        <w:t xml:space="preserve">were also made </w:t>
      </w:r>
      <w:r w:rsidR="009E7A44">
        <w:t xml:space="preserve">by </w:t>
      </w:r>
      <w:r w:rsidR="00444A8D">
        <w:t xml:space="preserve">the </w:t>
      </w:r>
      <w:r w:rsidR="0081122D">
        <w:t>FSI</w:t>
      </w:r>
      <w:r w:rsidR="00444A8D">
        <w:t xml:space="preserve"> and are being addressed through the consultation process related to that </w:t>
      </w:r>
      <w:r w:rsidR="009E7A44">
        <w:t>i</w:t>
      </w:r>
      <w:r w:rsidR="00444A8D">
        <w:t>nquiry.</w:t>
      </w:r>
      <w:r>
        <w:t xml:space="preserve"> Recommendation 14 of the PJC report relates to the timing of implementation an</w:t>
      </w:r>
      <w:r w:rsidR="00FE2DA0">
        <w:t>d is addressed in general in S</w:t>
      </w:r>
      <w:r>
        <w:t xml:space="preserve">ection 9 of this </w:t>
      </w:r>
      <w:r w:rsidR="0094278D">
        <w:t xml:space="preserve">consultation </w:t>
      </w:r>
      <w:r>
        <w:t>paper.</w:t>
      </w:r>
      <w:r w:rsidR="008F3B54">
        <w:rPr>
          <w:rStyle w:val="FootnoteReference"/>
        </w:rPr>
        <w:footnoteReference w:id="6"/>
      </w:r>
    </w:p>
    <w:p w14:paraId="56F0506E" w14:textId="4B8E8956" w:rsidR="0094278D" w:rsidRDefault="0094278D" w:rsidP="0094278D">
      <w:pPr>
        <w:pStyle w:val="OutlineNumbered1"/>
        <w:keepNext/>
        <w:keepLines/>
      </w:pPr>
      <w:r>
        <w:t xml:space="preserve">The key elements of the PJC model are outlined in </w:t>
      </w:r>
      <w:r w:rsidR="00AC4EA1">
        <w:t>D</w:t>
      </w:r>
      <w:r>
        <w:t xml:space="preserve">iagram </w:t>
      </w:r>
      <w:r w:rsidR="00AC4EA1">
        <w:t>1</w:t>
      </w:r>
      <w:r>
        <w:t xml:space="preserve"> (including references to the relevant section of this consultation paper). </w:t>
      </w:r>
      <w:r w:rsidR="00AC4EA1">
        <w:t>The d</w:t>
      </w:r>
      <w:r>
        <w:t xml:space="preserve">iagram in Attachment </w:t>
      </w:r>
      <w:r w:rsidR="00AC4EA1">
        <w:t>B</w:t>
      </w:r>
      <w:r>
        <w:t xml:space="preserve"> outlines the roles and responsibilities of various parties in the PJC model.</w:t>
      </w:r>
    </w:p>
    <w:p w14:paraId="772F56B1" w14:textId="77777777" w:rsidR="00BD7748" w:rsidRDefault="00BD7748" w:rsidP="009517C9">
      <w:pPr>
        <w:rPr>
          <w:b/>
        </w:rPr>
      </w:pPr>
    </w:p>
    <w:p w14:paraId="17C8D033" w14:textId="77777777" w:rsidR="00BD7748" w:rsidRDefault="00BD7748" w:rsidP="009517C9">
      <w:pPr>
        <w:rPr>
          <w:b/>
        </w:rPr>
      </w:pPr>
    </w:p>
    <w:p w14:paraId="31D626F0" w14:textId="77777777" w:rsidR="00BD7748" w:rsidRDefault="00BD7748" w:rsidP="009517C9">
      <w:pPr>
        <w:rPr>
          <w:b/>
        </w:rPr>
      </w:pPr>
    </w:p>
    <w:p w14:paraId="0EECA4A8" w14:textId="77777777" w:rsidR="00BD7748" w:rsidRDefault="00BD7748" w:rsidP="009517C9">
      <w:pPr>
        <w:rPr>
          <w:b/>
        </w:rPr>
      </w:pPr>
    </w:p>
    <w:p w14:paraId="752F354D" w14:textId="77777777" w:rsidR="00BD7748" w:rsidRDefault="00BD7748" w:rsidP="009517C9">
      <w:pPr>
        <w:rPr>
          <w:b/>
        </w:rPr>
      </w:pPr>
    </w:p>
    <w:p w14:paraId="170514D4" w14:textId="77777777" w:rsidR="00BD7748" w:rsidRDefault="00BD7748" w:rsidP="009517C9">
      <w:pPr>
        <w:rPr>
          <w:b/>
        </w:rPr>
      </w:pPr>
    </w:p>
    <w:p w14:paraId="0C7B0886" w14:textId="77777777" w:rsidR="00BD7748" w:rsidRDefault="00BD7748" w:rsidP="009517C9">
      <w:pPr>
        <w:rPr>
          <w:b/>
        </w:rPr>
      </w:pPr>
    </w:p>
    <w:p w14:paraId="1E4160D3" w14:textId="77777777" w:rsidR="00BD7748" w:rsidRDefault="00BD7748" w:rsidP="009517C9">
      <w:pPr>
        <w:rPr>
          <w:b/>
        </w:rPr>
      </w:pPr>
    </w:p>
    <w:p w14:paraId="7A45A77A" w14:textId="77777777" w:rsidR="00BD7748" w:rsidRDefault="00BD7748" w:rsidP="009517C9">
      <w:pPr>
        <w:rPr>
          <w:b/>
        </w:rPr>
      </w:pPr>
    </w:p>
    <w:p w14:paraId="6901EA78" w14:textId="77777777" w:rsidR="00BD7748" w:rsidRDefault="00BD7748" w:rsidP="009517C9">
      <w:pPr>
        <w:rPr>
          <w:b/>
        </w:rPr>
      </w:pPr>
    </w:p>
    <w:p w14:paraId="17A241F0" w14:textId="77777777" w:rsidR="00BD7748" w:rsidRDefault="00BD7748" w:rsidP="009517C9">
      <w:pPr>
        <w:rPr>
          <w:b/>
        </w:rPr>
      </w:pPr>
    </w:p>
    <w:p w14:paraId="1B3CABBC" w14:textId="77777777" w:rsidR="00BD7748" w:rsidRDefault="00BD7748" w:rsidP="009517C9">
      <w:pPr>
        <w:rPr>
          <w:b/>
        </w:rPr>
      </w:pPr>
    </w:p>
    <w:p w14:paraId="6F3B992D" w14:textId="77777777" w:rsidR="00BD7748" w:rsidRDefault="00BD7748" w:rsidP="009517C9">
      <w:pPr>
        <w:rPr>
          <w:b/>
        </w:rPr>
      </w:pPr>
    </w:p>
    <w:p w14:paraId="650873F0" w14:textId="77777777" w:rsidR="00BD7748" w:rsidRDefault="00BD7748" w:rsidP="009517C9">
      <w:pPr>
        <w:rPr>
          <w:b/>
        </w:rPr>
      </w:pPr>
    </w:p>
    <w:p w14:paraId="5C4A68A5" w14:textId="4E791281" w:rsidR="0094278D" w:rsidRDefault="00012F00" w:rsidP="009517C9">
      <w:pPr>
        <w:rPr>
          <w:b/>
        </w:rPr>
      </w:pPr>
      <w:r>
        <w:rPr>
          <w:noProof/>
        </w:rPr>
        <w:lastRenderedPageBreak/>
        <w:drawing>
          <wp:anchor distT="0" distB="0" distL="114300" distR="114300" simplePos="0" relativeHeight="251667458" behindDoc="0" locked="0" layoutInCell="1" allowOverlap="1" wp14:anchorId="2087BD80" wp14:editId="185FD5ED">
            <wp:simplePos x="0" y="0"/>
            <wp:positionH relativeFrom="column">
              <wp:posOffset>4445</wp:posOffset>
            </wp:positionH>
            <wp:positionV relativeFrom="paragraph">
              <wp:posOffset>572135</wp:posOffset>
            </wp:positionV>
            <wp:extent cx="5753100" cy="58674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 sections.png"/>
                    <pic:cNvPicPr/>
                  </pic:nvPicPr>
                  <pic:blipFill rotWithShape="1">
                    <a:blip r:embed="rId10" cstate="print">
                      <a:extLst>
                        <a:ext uri="{28A0092B-C50C-407E-A947-70E740481C1C}">
                          <a14:useLocalDpi xmlns:a14="http://schemas.microsoft.com/office/drawing/2010/main" val="0"/>
                        </a:ext>
                      </a:extLst>
                    </a:blip>
                    <a:srcRect t="12281" b="15617"/>
                    <a:stretch/>
                  </pic:blipFill>
                  <pic:spPr bwMode="auto">
                    <a:xfrm>
                      <a:off x="0" y="0"/>
                      <a:ext cx="5753100" cy="586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278D" w:rsidRPr="009517C9">
        <w:rPr>
          <w:b/>
        </w:rPr>
        <w:t>Diagram 1:  Key components of the PJC model</w:t>
      </w:r>
    </w:p>
    <w:p w14:paraId="54F76B2A" w14:textId="77777777" w:rsidR="007A07F2" w:rsidRDefault="007A07F2" w:rsidP="007A07F2"/>
    <w:p w14:paraId="0CCD8BAE" w14:textId="37E46697" w:rsidR="00B73FBA" w:rsidRDefault="001657A7" w:rsidP="00041F54">
      <w:pPr>
        <w:pStyle w:val="Heading5"/>
        <w:keepLines/>
        <w:shd w:val="clear" w:color="auto" w:fill="FDE9D9" w:themeFill="accent6" w:themeFillTint="33"/>
      </w:pPr>
      <w:r>
        <w:t xml:space="preserve">Feedback sought </w:t>
      </w:r>
      <w:r w:rsidR="001E28BD">
        <w:t>—</w:t>
      </w:r>
      <w:r>
        <w:t xml:space="preserve"> </w:t>
      </w:r>
      <w:r w:rsidR="00E125F7">
        <w:t xml:space="preserve">the </w:t>
      </w:r>
      <w:r w:rsidR="00CE440D">
        <w:t xml:space="preserve">PJC model </w:t>
      </w:r>
      <w:r w:rsidR="00B73FBA">
        <w:t xml:space="preserve">  </w:t>
      </w:r>
    </w:p>
    <w:p w14:paraId="4474484F" w14:textId="53D6831C" w:rsidR="00CE440D" w:rsidRPr="00BB6FBA" w:rsidRDefault="00CE440D" w:rsidP="00CE440D">
      <w:pPr>
        <w:keepNext/>
        <w:keepLines/>
        <w:shd w:val="clear" w:color="auto" w:fill="FDE9D9" w:themeFill="accent6" w:themeFillTint="33"/>
        <w:rPr>
          <w:i/>
        </w:rPr>
      </w:pPr>
      <w:r w:rsidRPr="00BB6FBA">
        <w:rPr>
          <w:i/>
        </w:rPr>
        <w:t xml:space="preserve">The introduction of the model recommended by the PJC would represent a substantial change to the current regulatory </w:t>
      </w:r>
      <w:r w:rsidR="0094278D">
        <w:rPr>
          <w:i/>
        </w:rPr>
        <w:t>environment for</w:t>
      </w:r>
      <w:r w:rsidRPr="00BB6FBA">
        <w:rPr>
          <w:i/>
        </w:rPr>
        <w:t xml:space="preserve"> financial advisers.</w:t>
      </w:r>
    </w:p>
    <w:p w14:paraId="3C06DE15" w14:textId="77777777" w:rsidR="00BB6FBA" w:rsidRDefault="0046168E" w:rsidP="00BB6FBA">
      <w:pPr>
        <w:pStyle w:val="Heading5"/>
        <w:shd w:val="clear" w:color="auto" w:fill="FDE9D9" w:themeFill="accent6" w:themeFillTint="33"/>
      </w:pPr>
      <w:r>
        <w:t xml:space="preserve">Question 1.1 </w:t>
      </w:r>
    </w:p>
    <w:p w14:paraId="6E82AE3B" w14:textId="77777777" w:rsidR="00CE440D" w:rsidRDefault="00186AE6" w:rsidP="00BB6FBA">
      <w:pPr>
        <w:pStyle w:val="NoSpacing"/>
        <w:shd w:val="clear" w:color="auto" w:fill="FDE9D9" w:themeFill="accent6" w:themeFillTint="33"/>
      </w:pPr>
      <w:r>
        <w:t xml:space="preserve">What impact would </w:t>
      </w:r>
      <w:r w:rsidR="00CE440D">
        <w:t xml:space="preserve">the introduction of the PJC model </w:t>
      </w:r>
      <w:r>
        <w:t xml:space="preserve">have on the structure of </w:t>
      </w:r>
      <w:r w:rsidR="00CE440D">
        <w:t>the financial advice industry?</w:t>
      </w:r>
    </w:p>
    <w:p w14:paraId="26630F23" w14:textId="77777777" w:rsidR="00BB6FBA" w:rsidRDefault="00BB6FBA" w:rsidP="00BB6FBA">
      <w:pPr>
        <w:pStyle w:val="NoSpacing"/>
        <w:shd w:val="clear" w:color="auto" w:fill="FDE9D9" w:themeFill="accent6" w:themeFillTint="33"/>
      </w:pPr>
    </w:p>
    <w:p w14:paraId="5613DB64" w14:textId="77777777" w:rsidR="000D0033" w:rsidRPr="00BB6FBA" w:rsidRDefault="000D0033" w:rsidP="001E28BD">
      <w:pPr>
        <w:keepNext/>
        <w:keepLines/>
        <w:shd w:val="clear" w:color="auto" w:fill="FDE9D9" w:themeFill="accent6" w:themeFillTint="33"/>
        <w:rPr>
          <w:i/>
        </w:rPr>
      </w:pPr>
      <w:r w:rsidRPr="00BB6FBA">
        <w:rPr>
          <w:i/>
        </w:rPr>
        <w:lastRenderedPageBreak/>
        <w:t xml:space="preserve">The PJC model would apply equally to advisers working in different size firms and under different licensee structures. </w:t>
      </w:r>
    </w:p>
    <w:p w14:paraId="52D480D1" w14:textId="2C062E5B" w:rsidR="00BB6FBA" w:rsidRDefault="000D0033" w:rsidP="00BB6FBA">
      <w:pPr>
        <w:pStyle w:val="Heading5"/>
        <w:shd w:val="clear" w:color="auto" w:fill="FDE9D9" w:themeFill="accent6" w:themeFillTint="33"/>
      </w:pPr>
      <w:r>
        <w:t>Question 1.</w:t>
      </w:r>
      <w:r w:rsidR="00AB154B">
        <w:t>2</w:t>
      </w:r>
      <w:r>
        <w:t xml:space="preserve"> </w:t>
      </w:r>
    </w:p>
    <w:p w14:paraId="3D5EA492" w14:textId="0A141ED1" w:rsidR="00AB154B" w:rsidRDefault="000D0033" w:rsidP="002A4F74">
      <w:pPr>
        <w:pStyle w:val="NoSpacing"/>
        <w:shd w:val="clear" w:color="auto" w:fill="FDE9D9" w:themeFill="accent6" w:themeFillTint="33"/>
      </w:pPr>
      <w:r>
        <w:t xml:space="preserve">What are the practical implications of the </w:t>
      </w:r>
      <w:r w:rsidR="00710347">
        <w:t xml:space="preserve">PJC </w:t>
      </w:r>
      <w:r>
        <w:t>model applying to</w:t>
      </w:r>
      <w:r w:rsidR="00493435">
        <w:t xml:space="preserve"> advisers from</w:t>
      </w:r>
      <w:r>
        <w:t xml:space="preserve"> all sizes and types of firms?</w:t>
      </w:r>
    </w:p>
    <w:p w14:paraId="72DC5C4A" w14:textId="77777777" w:rsidR="00AB154B" w:rsidRDefault="00AB154B" w:rsidP="002A4F74">
      <w:pPr>
        <w:pStyle w:val="NoSpacing"/>
        <w:shd w:val="clear" w:color="auto" w:fill="FDE9D9" w:themeFill="accent6" w:themeFillTint="33"/>
      </w:pPr>
    </w:p>
    <w:p w14:paraId="0ACD6844" w14:textId="77777777" w:rsidR="00AB154B" w:rsidRDefault="00AB154B" w:rsidP="00AB154B">
      <w:pPr>
        <w:shd w:val="clear" w:color="auto" w:fill="FDE9D9" w:themeFill="accent6" w:themeFillTint="33"/>
        <w:rPr>
          <w:i/>
        </w:rPr>
      </w:pPr>
      <w:r w:rsidRPr="00347436">
        <w:rPr>
          <w:i/>
        </w:rPr>
        <w:t xml:space="preserve">Under the PJC model, ASIC, </w:t>
      </w:r>
      <w:r>
        <w:rPr>
          <w:i/>
        </w:rPr>
        <w:t>l</w:t>
      </w:r>
      <w:r w:rsidRPr="00347436">
        <w:rPr>
          <w:i/>
        </w:rPr>
        <w:t>icensees, the PSC, FPEC and the professional associations will have a role in raising standards and ensuring these are met on an ongoing basis</w:t>
      </w:r>
      <w:r>
        <w:rPr>
          <w:i/>
        </w:rPr>
        <w:t>.</w:t>
      </w:r>
    </w:p>
    <w:p w14:paraId="0525A30B" w14:textId="77777777" w:rsidR="00AB154B" w:rsidRPr="00ED3B74" w:rsidRDefault="00AB154B" w:rsidP="00AB154B">
      <w:pPr>
        <w:pStyle w:val="Heading5"/>
        <w:shd w:val="clear" w:color="auto" w:fill="FDE9D9" w:themeFill="accent6" w:themeFillTint="33"/>
        <w:spacing w:after="0"/>
        <w:rPr>
          <w:rFonts w:ascii="Book Antiqua" w:hAnsi="Book Antiqua"/>
          <w:b w:val="0"/>
          <w:bCs w:val="0"/>
          <w:iCs w:val="0"/>
          <w:color w:val="000000"/>
          <w:sz w:val="22"/>
        </w:rPr>
      </w:pPr>
      <w:r>
        <w:t>Question 1.3</w:t>
      </w:r>
    </w:p>
    <w:p w14:paraId="7F4A3C54" w14:textId="71FE412A" w:rsidR="00444A8D" w:rsidRPr="007A07F2" w:rsidRDefault="00AB154B" w:rsidP="007A07F2">
      <w:pPr>
        <w:shd w:val="clear" w:color="auto" w:fill="FDE9D9" w:themeFill="accent6" w:themeFillTint="33"/>
        <w:rPr>
          <w:i/>
        </w:rPr>
      </w:pPr>
      <w:r>
        <w:t xml:space="preserve">Are the lines of responsibility clear under the PJC model? </w:t>
      </w:r>
    </w:p>
    <w:p w14:paraId="462456DF"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5DF94FC2" w14:textId="12CC63FB" w:rsidR="00CE1D38" w:rsidRDefault="001B12B4" w:rsidP="00CE1D38">
      <w:pPr>
        <w:pStyle w:val="Heading2"/>
      </w:pPr>
      <w:r>
        <w:lastRenderedPageBreak/>
        <w:t xml:space="preserve">Section </w:t>
      </w:r>
      <w:r w:rsidR="00CE1D38">
        <w:t xml:space="preserve">2.  </w:t>
      </w:r>
      <w:r w:rsidR="00041F54">
        <w:t>Key aspects of t</w:t>
      </w:r>
      <w:r w:rsidR="00CE1D38">
        <w:t>he current regulatory framework</w:t>
      </w:r>
    </w:p>
    <w:p w14:paraId="4075BF3C" w14:textId="77777777" w:rsidR="00AE2BDE" w:rsidRDefault="00FC01FA" w:rsidP="0073176B">
      <w:pPr>
        <w:pStyle w:val="OutlineNumbered1"/>
      </w:pPr>
      <w:r>
        <w:t xml:space="preserve">Much of the current </w:t>
      </w:r>
      <w:r w:rsidR="00AE2BDE">
        <w:t>reg</w:t>
      </w:r>
      <w:r>
        <w:t xml:space="preserve">ulatory </w:t>
      </w:r>
      <w:r w:rsidR="00AE2BDE">
        <w:t xml:space="preserve">framework has its origins in the recommendations made by </w:t>
      </w:r>
      <w:r w:rsidR="0073176B">
        <w:t>t</w:t>
      </w:r>
      <w:r w:rsidR="0073176B" w:rsidRPr="0073176B">
        <w:t xml:space="preserve">he 1997 </w:t>
      </w:r>
      <w:r w:rsidR="0073176B" w:rsidRPr="0073176B">
        <w:rPr>
          <w:i/>
        </w:rPr>
        <w:t>Financial System Inquiry</w:t>
      </w:r>
      <w:r w:rsidR="0073176B" w:rsidRPr="0073176B">
        <w:t>, known as the Wallis inquiry</w:t>
      </w:r>
      <w:r w:rsidR="0094278D">
        <w:t>,</w:t>
      </w:r>
      <w:r w:rsidR="003425F7">
        <w:t xml:space="preserve"> </w:t>
      </w:r>
      <w:r w:rsidR="00653F9C">
        <w:t>and the Corporate Law Economic Reform Program (CLERP) Paper No. 6</w:t>
      </w:r>
      <w:r w:rsidR="0073176B">
        <w:t>.</w:t>
      </w:r>
      <w:r w:rsidR="00186AE6">
        <w:rPr>
          <w:rStyle w:val="FootnoteReference"/>
        </w:rPr>
        <w:footnoteReference w:id="7"/>
      </w:r>
      <w:r w:rsidR="0073176B">
        <w:t xml:space="preserve"> </w:t>
      </w:r>
    </w:p>
    <w:p w14:paraId="00364102" w14:textId="5A08E6B6" w:rsidR="00757151" w:rsidRPr="00011779" w:rsidRDefault="00757151" w:rsidP="00757151">
      <w:pPr>
        <w:pStyle w:val="OutlineNumbered1"/>
        <w:rPr>
          <w:b/>
          <w:i/>
        </w:rPr>
      </w:pPr>
      <w:r>
        <w:t xml:space="preserve">Individuals who provide financial product advice to retail clients in Australia are regulated by a two stage licensing and authorisation regime </w:t>
      </w:r>
      <w:r w:rsidR="00AD2F7C">
        <w:t xml:space="preserve">set out </w:t>
      </w:r>
      <w:r>
        <w:t xml:space="preserve">in </w:t>
      </w:r>
      <w:r w:rsidRPr="002B77E6">
        <w:t>the</w:t>
      </w:r>
      <w:r w:rsidRPr="00757151">
        <w:rPr>
          <w:i/>
        </w:rPr>
        <w:t xml:space="preserve"> Corporations Act 2001</w:t>
      </w:r>
      <w:r>
        <w:t xml:space="preserve"> (the </w:t>
      </w:r>
      <w:r w:rsidR="00011779">
        <w:t xml:space="preserve">Corporations </w:t>
      </w:r>
      <w:r>
        <w:t>Act</w:t>
      </w:r>
      <w:r w:rsidR="00AE4E71">
        <w:t>).</w:t>
      </w:r>
    </w:p>
    <w:p w14:paraId="3C68A5E5" w14:textId="74518649" w:rsidR="00221B40" w:rsidRDefault="00221B40" w:rsidP="00221B40">
      <w:pPr>
        <w:pStyle w:val="OutlineNumbered1"/>
      </w:pPr>
      <w:r>
        <w:t xml:space="preserve">A person who carries on </w:t>
      </w:r>
      <w:r w:rsidR="00AC4EA1">
        <w:t xml:space="preserve">a </w:t>
      </w:r>
      <w:r>
        <w:t xml:space="preserve">financial services business must obtain and maintain an Australian Financial Services </w:t>
      </w:r>
      <w:r w:rsidR="00882A3F">
        <w:t xml:space="preserve">(AFS) </w:t>
      </w:r>
      <w:r w:rsidR="009E027D">
        <w:t>Licence</w:t>
      </w:r>
      <w:r>
        <w:t xml:space="preserve"> with ASIC. This person is referred to as a financial services licensee (licensee).</w:t>
      </w:r>
    </w:p>
    <w:p w14:paraId="15B11691" w14:textId="77777777" w:rsidR="0035792D" w:rsidRDefault="00221B40" w:rsidP="0035792D">
      <w:pPr>
        <w:pStyle w:val="OutlineNumbered1"/>
      </w:pPr>
      <w:r>
        <w:t>A person carries on a financial service</w:t>
      </w:r>
      <w:r w:rsidR="00CC7B13">
        <w:t>s</w:t>
      </w:r>
      <w:r>
        <w:t xml:space="preserve"> business if they provide financial product advice. Financial product advice is a</w:t>
      </w:r>
      <w:r w:rsidRPr="00221B40">
        <w:t xml:space="preserve"> recommendation or a statement of opinion, or a report of either of those things, </w:t>
      </w:r>
      <w:r w:rsidR="00C01322">
        <w:t xml:space="preserve">that </w:t>
      </w:r>
      <w:r w:rsidRPr="00221B40">
        <w:t>is provided with the intention of influencing a person’s decision in relation to a financial product.</w:t>
      </w:r>
      <w:r>
        <w:rPr>
          <w:rStyle w:val="FootnoteReference"/>
        </w:rPr>
        <w:footnoteReference w:id="8"/>
      </w:r>
      <w:r w:rsidR="0035792D" w:rsidRPr="0035792D">
        <w:t xml:space="preserve"> </w:t>
      </w:r>
      <w:r w:rsidR="0035792D">
        <w:t>The AFS licencing regime covers those providing advice on Tier 1 and Tier 2 products.</w:t>
      </w:r>
    </w:p>
    <w:p w14:paraId="45BB6868" w14:textId="59E2D366" w:rsidR="00221B40" w:rsidRDefault="00AC4EA1" w:rsidP="00221B40">
      <w:pPr>
        <w:pStyle w:val="OutlineNumbered1"/>
      </w:pPr>
      <w:r>
        <w:t>F</w:t>
      </w:r>
      <w:r w:rsidR="00221B40">
        <w:t xml:space="preserve">inancial </w:t>
      </w:r>
      <w:r w:rsidR="00882A3F">
        <w:t xml:space="preserve">product </w:t>
      </w:r>
      <w:r w:rsidR="00221B40">
        <w:t xml:space="preserve">advice is classified </w:t>
      </w:r>
      <w:r w:rsidR="00CC7B13">
        <w:t xml:space="preserve">into </w:t>
      </w:r>
      <w:r w:rsidR="00221B40">
        <w:t>two categories. 'Personal advice' is advice which takes into account the personal financial circumstances of the client. Any other financial product advice that does not take into account the client’s personal circumstances is termed 'general advice</w:t>
      </w:r>
      <w:r w:rsidR="00CC7B13">
        <w:t>’</w:t>
      </w:r>
      <w:r w:rsidR="00221B40">
        <w:t>.</w:t>
      </w:r>
    </w:p>
    <w:p w14:paraId="41A12C4E" w14:textId="4C865B22" w:rsidR="0035792D" w:rsidRDefault="00221B40" w:rsidP="00221B40">
      <w:pPr>
        <w:pStyle w:val="OutlineNumbered1"/>
      </w:pPr>
      <w:r>
        <w:t xml:space="preserve">Individuals may provide financial product advice in a range of circumstances. They may be licensees themselves; or directors or employees of licensees. </w:t>
      </w:r>
      <w:r w:rsidR="00CC7B13">
        <w:t>Alternatively, t</w:t>
      </w:r>
      <w:r>
        <w:t>hey may be non</w:t>
      </w:r>
      <w:r>
        <w:noBreakHyphen/>
        <w:t>director/non-employee representatives of licensees — these individuals are referred to as ‘authorised representatives’.</w:t>
      </w:r>
      <w:r w:rsidR="007F769C" w:rsidRPr="007F769C">
        <w:t xml:space="preserve"> </w:t>
      </w:r>
    </w:p>
    <w:p w14:paraId="5F2D93F6" w14:textId="61F32077" w:rsidR="00221B40" w:rsidRDefault="00221B40" w:rsidP="00221B40">
      <w:pPr>
        <w:pStyle w:val="OutlineNumbered1"/>
      </w:pPr>
      <w:r>
        <w:t xml:space="preserve">In certain circumstances, an authorised representative can ‘sub-authorise’ another authorised representative to act on behalf of the licensee (see </w:t>
      </w:r>
      <w:r w:rsidR="00AC4EA1">
        <w:t>D</w:t>
      </w:r>
      <w:r>
        <w:t xml:space="preserve">iagram </w:t>
      </w:r>
      <w:r w:rsidR="00AC4EA1">
        <w:t>2</w:t>
      </w:r>
      <w:r>
        <w:t>)</w:t>
      </w:r>
      <w:r w:rsidR="009B41D8">
        <w:t>.</w:t>
      </w:r>
    </w:p>
    <w:p w14:paraId="39709A65" w14:textId="77777777" w:rsidR="00014D52" w:rsidRDefault="00014D52" w:rsidP="00CC7B13">
      <w:pPr>
        <w:pStyle w:val="OutlineNumbered1"/>
        <w:numPr>
          <w:ilvl w:val="0"/>
          <w:numId w:val="0"/>
        </w:numPr>
        <w:ind w:left="567"/>
        <w:rPr>
          <w:b/>
        </w:rPr>
      </w:pPr>
    </w:p>
    <w:p w14:paraId="5B92DC3F" w14:textId="77777777" w:rsidR="00276600" w:rsidRDefault="00276600" w:rsidP="00CC7B13">
      <w:pPr>
        <w:pStyle w:val="OutlineNumbered1"/>
        <w:numPr>
          <w:ilvl w:val="0"/>
          <w:numId w:val="0"/>
        </w:numPr>
        <w:ind w:left="567"/>
        <w:rPr>
          <w:b/>
        </w:rPr>
      </w:pPr>
    </w:p>
    <w:p w14:paraId="3C5141FA" w14:textId="77777777" w:rsidR="00276600" w:rsidRDefault="00276600" w:rsidP="00CC7B13">
      <w:pPr>
        <w:pStyle w:val="OutlineNumbered1"/>
        <w:numPr>
          <w:ilvl w:val="0"/>
          <w:numId w:val="0"/>
        </w:numPr>
        <w:ind w:left="567"/>
        <w:rPr>
          <w:b/>
        </w:rPr>
      </w:pPr>
    </w:p>
    <w:p w14:paraId="7933E5D1" w14:textId="77777777" w:rsidR="00276600" w:rsidRDefault="00276600" w:rsidP="00CC7B13">
      <w:pPr>
        <w:pStyle w:val="OutlineNumbered1"/>
        <w:numPr>
          <w:ilvl w:val="0"/>
          <w:numId w:val="0"/>
        </w:numPr>
        <w:ind w:left="567"/>
        <w:rPr>
          <w:b/>
        </w:rPr>
      </w:pPr>
    </w:p>
    <w:p w14:paraId="79F5DCEE" w14:textId="77777777" w:rsidR="00276600" w:rsidRDefault="00276600" w:rsidP="00CC7B13">
      <w:pPr>
        <w:pStyle w:val="OutlineNumbered1"/>
        <w:numPr>
          <w:ilvl w:val="0"/>
          <w:numId w:val="0"/>
        </w:numPr>
        <w:ind w:left="567"/>
        <w:rPr>
          <w:b/>
        </w:rPr>
      </w:pPr>
    </w:p>
    <w:p w14:paraId="2F5ABC97" w14:textId="77777777" w:rsidR="00276600" w:rsidRDefault="00276600" w:rsidP="00CC7B13">
      <w:pPr>
        <w:pStyle w:val="OutlineNumbered1"/>
        <w:numPr>
          <w:ilvl w:val="0"/>
          <w:numId w:val="0"/>
        </w:numPr>
        <w:ind w:left="567"/>
        <w:rPr>
          <w:b/>
        </w:rPr>
      </w:pPr>
    </w:p>
    <w:p w14:paraId="6B923779" w14:textId="77777777" w:rsidR="00276600" w:rsidRDefault="00276600" w:rsidP="00CC7B13">
      <w:pPr>
        <w:pStyle w:val="OutlineNumbered1"/>
        <w:numPr>
          <w:ilvl w:val="0"/>
          <w:numId w:val="0"/>
        </w:numPr>
        <w:ind w:left="567"/>
        <w:rPr>
          <w:b/>
        </w:rPr>
      </w:pPr>
    </w:p>
    <w:p w14:paraId="72922639" w14:textId="63F88FFC" w:rsidR="00CC7B13" w:rsidRPr="00493435" w:rsidRDefault="00CC7B13" w:rsidP="00CC7B13">
      <w:pPr>
        <w:pStyle w:val="OutlineNumbered1"/>
        <w:numPr>
          <w:ilvl w:val="0"/>
          <w:numId w:val="0"/>
        </w:numPr>
        <w:ind w:left="567"/>
        <w:rPr>
          <w:i/>
        </w:rPr>
      </w:pPr>
      <w:r>
        <w:rPr>
          <w:b/>
        </w:rPr>
        <w:lastRenderedPageBreak/>
        <w:t xml:space="preserve">Diagram 2: </w:t>
      </w:r>
      <w:r w:rsidR="00D06198">
        <w:rPr>
          <w:b/>
        </w:rPr>
        <w:t>Current regulatory arrangements</w:t>
      </w:r>
      <w:r w:rsidR="00493435">
        <w:rPr>
          <w:b/>
        </w:rPr>
        <w:t xml:space="preserve"> </w:t>
      </w:r>
    </w:p>
    <w:p w14:paraId="7D38A046" w14:textId="51B8A5E4" w:rsidR="0069206E" w:rsidRDefault="00012F00" w:rsidP="0069206E">
      <w:pPr>
        <w:jc w:val="center"/>
      </w:pPr>
      <w:r>
        <w:rPr>
          <w:noProof/>
        </w:rPr>
        <w:drawing>
          <wp:anchor distT="0" distB="0" distL="114300" distR="114300" simplePos="0" relativeHeight="251668482" behindDoc="0" locked="0" layoutInCell="1" allowOverlap="1" wp14:anchorId="16701AB3" wp14:editId="6A07E0C1">
            <wp:simplePos x="0" y="0"/>
            <wp:positionH relativeFrom="column">
              <wp:posOffset>4445</wp:posOffset>
            </wp:positionH>
            <wp:positionV relativeFrom="paragraph">
              <wp:posOffset>121285</wp:posOffset>
            </wp:positionV>
            <wp:extent cx="6101715" cy="52959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reg.png"/>
                    <pic:cNvPicPr/>
                  </pic:nvPicPr>
                  <pic:blipFill rotWithShape="1">
                    <a:blip r:embed="rId11" cstate="print">
                      <a:extLst>
                        <a:ext uri="{28A0092B-C50C-407E-A947-70E740481C1C}">
                          <a14:useLocalDpi xmlns:a14="http://schemas.microsoft.com/office/drawing/2010/main" val="0"/>
                        </a:ext>
                      </a:extLst>
                    </a:blip>
                    <a:srcRect t="21169" b="17427"/>
                    <a:stretch/>
                  </pic:blipFill>
                  <pic:spPr bwMode="auto">
                    <a:xfrm>
                      <a:off x="0" y="0"/>
                      <a:ext cx="6101715" cy="529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99937" w14:textId="2F9E9F9E" w:rsidR="007F769C" w:rsidRDefault="007F769C" w:rsidP="007F769C">
      <w:pPr>
        <w:pStyle w:val="OutlineNumbered1"/>
      </w:pPr>
      <w:r>
        <w:t>‘Representative’ is the overarching term used to describe authorised representatives, director representatives and employee representatives (including those that operate under a related body corporate of the licensee) and any other person acting on behalf of the licensee, that provide financial services under a licence.</w:t>
      </w:r>
    </w:p>
    <w:p w14:paraId="6E278927" w14:textId="48B85D97" w:rsidR="00882A3F" w:rsidRDefault="00C01322" w:rsidP="00882A3F">
      <w:pPr>
        <w:pStyle w:val="OutlineNumbered1"/>
      </w:pPr>
      <w:r>
        <w:t>Licensees are responsible</w:t>
      </w:r>
      <w:r w:rsidR="007F769C">
        <w:t xml:space="preserve"> for </w:t>
      </w:r>
      <w:r w:rsidR="00CC7B13">
        <w:t xml:space="preserve">the </w:t>
      </w:r>
      <w:r w:rsidR="007F769C">
        <w:t xml:space="preserve">day-to-day supervision of </w:t>
      </w:r>
      <w:r>
        <w:t xml:space="preserve">their </w:t>
      </w:r>
      <w:r w:rsidR="007F769C">
        <w:t>representatives.</w:t>
      </w:r>
      <w:r w:rsidR="0035792D">
        <w:t xml:space="preserve"> </w:t>
      </w:r>
      <w:r w:rsidR="00882A3F">
        <w:t xml:space="preserve">The </w:t>
      </w:r>
      <w:r w:rsidR="00882A3F" w:rsidRPr="002B77E6">
        <w:t>Corporations Act</w:t>
      </w:r>
      <w:r w:rsidR="00882A3F" w:rsidRPr="00882A3F">
        <w:rPr>
          <w:i/>
        </w:rPr>
        <w:t xml:space="preserve"> </w:t>
      </w:r>
      <w:r w:rsidR="00882A3F">
        <w:t>requires licensees to comply with the conditions on their AFS licence</w:t>
      </w:r>
      <w:r w:rsidR="00CC7B13">
        <w:t xml:space="preserve"> as imposed by ASIC</w:t>
      </w:r>
      <w:r w:rsidR="00882A3F">
        <w:t>, maintain competence to provide the financial services covered by their licence, and ensure that their representatives are adequately trained and competent to provide those financial services.</w:t>
      </w:r>
      <w:r w:rsidR="00CC7B13">
        <w:rPr>
          <w:rStyle w:val="FootnoteReference"/>
        </w:rPr>
        <w:footnoteReference w:id="9"/>
      </w:r>
    </w:p>
    <w:p w14:paraId="7DC58385" w14:textId="77777777" w:rsidR="006C122F" w:rsidRDefault="006C122F" w:rsidP="006C122F">
      <w:pPr>
        <w:pStyle w:val="OutlineNumbered1"/>
      </w:pPr>
      <w:r w:rsidRPr="00D23C2F">
        <w:lastRenderedPageBreak/>
        <w:t xml:space="preserve">Regulatory Guide 146 </w:t>
      </w:r>
      <w:r w:rsidRPr="00D23C2F">
        <w:rPr>
          <w:i/>
        </w:rPr>
        <w:t>Licensing: Training of financial product advisers</w:t>
      </w:r>
      <w:r w:rsidRPr="00D23C2F">
        <w:t xml:space="preserve"> (RG 146) sets out </w:t>
      </w:r>
      <w:r>
        <w:t>ASIC’s</w:t>
      </w:r>
      <w:r w:rsidRPr="00D23C2F">
        <w:t xml:space="preserve"> guidance on the minimum training standards for financial advisers and how advisers can meet these training standards</w:t>
      </w:r>
      <w:r>
        <w:t>. RG 146 establishes education and training requirements, but does not include an ethics component, nor does it specify minimum continuous professional development and experience requirements.</w:t>
      </w:r>
      <w:r w:rsidR="00882A3F">
        <w:t xml:space="preserve">  </w:t>
      </w:r>
    </w:p>
    <w:p w14:paraId="369F3B4A" w14:textId="77777777" w:rsidR="004A0C28" w:rsidRDefault="004A0C28" w:rsidP="004A0C28">
      <w:pPr>
        <w:pStyle w:val="OutlineNumbered1"/>
        <w:numPr>
          <w:ilvl w:val="0"/>
          <w:numId w:val="0"/>
        </w:numPr>
      </w:pPr>
    </w:p>
    <w:p w14:paraId="1D537231" w14:textId="0B050B17" w:rsidR="008758F3" w:rsidRDefault="008758F3" w:rsidP="008758F3">
      <w:pPr>
        <w:pStyle w:val="Heading5"/>
        <w:keepLines/>
        <w:shd w:val="clear" w:color="auto" w:fill="FDE9D9" w:themeFill="accent6" w:themeFillTint="33"/>
      </w:pPr>
      <w:r>
        <w:t xml:space="preserve">Feedback sought </w:t>
      </w:r>
      <w:r w:rsidR="001E28BD">
        <w:t>—</w:t>
      </w:r>
      <w:r w:rsidR="00C870DC">
        <w:t xml:space="preserve"> current</w:t>
      </w:r>
      <w:r>
        <w:t xml:space="preserve"> regulatory framework   </w:t>
      </w:r>
    </w:p>
    <w:p w14:paraId="2550726E" w14:textId="4245B387" w:rsidR="008758F3" w:rsidRPr="00BB6FBA" w:rsidRDefault="008758F3" w:rsidP="008758F3">
      <w:pPr>
        <w:keepNext/>
        <w:keepLines/>
        <w:shd w:val="clear" w:color="auto" w:fill="FDE9D9" w:themeFill="accent6" w:themeFillTint="33"/>
        <w:rPr>
          <w:i/>
        </w:rPr>
      </w:pPr>
      <w:r w:rsidRPr="00BB6FBA">
        <w:rPr>
          <w:i/>
        </w:rPr>
        <w:t xml:space="preserve">Under the current regulatory arrangements, the legal obligation to ensure advisers meet the relevant training and competency standards falls on licensees. ASIC </w:t>
      </w:r>
      <w:r w:rsidR="00C870DC">
        <w:rPr>
          <w:i/>
        </w:rPr>
        <w:t>is</w:t>
      </w:r>
      <w:r w:rsidRPr="00BB6FBA">
        <w:rPr>
          <w:i/>
        </w:rPr>
        <w:t xml:space="preserve"> responsible for ensuring that licensees comply with the conditions of</w:t>
      </w:r>
      <w:r w:rsidR="00C01322">
        <w:rPr>
          <w:i/>
        </w:rPr>
        <w:t xml:space="preserve"> their </w:t>
      </w:r>
      <w:r w:rsidR="00493435">
        <w:rPr>
          <w:i/>
        </w:rPr>
        <w:t>AFS</w:t>
      </w:r>
      <w:r w:rsidR="00C01322">
        <w:rPr>
          <w:i/>
        </w:rPr>
        <w:t xml:space="preserve"> licence</w:t>
      </w:r>
      <w:r w:rsidRPr="00BB6FBA">
        <w:rPr>
          <w:i/>
        </w:rPr>
        <w:t xml:space="preserve">. </w:t>
      </w:r>
    </w:p>
    <w:p w14:paraId="1A42BB62" w14:textId="70BC97A9" w:rsidR="008758F3" w:rsidRPr="00BB6FBA" w:rsidRDefault="008758F3" w:rsidP="008758F3">
      <w:pPr>
        <w:keepNext/>
        <w:keepLines/>
        <w:shd w:val="clear" w:color="auto" w:fill="FDE9D9" w:themeFill="accent6" w:themeFillTint="33"/>
        <w:rPr>
          <w:i/>
        </w:rPr>
      </w:pPr>
      <w:r w:rsidRPr="00BB6FBA">
        <w:rPr>
          <w:i/>
        </w:rPr>
        <w:t>Under the PJC model, responsibility for meeting (and ensuring compliance with) training and competency sta</w:t>
      </w:r>
      <w:r w:rsidR="00C01322">
        <w:rPr>
          <w:i/>
        </w:rPr>
        <w:t xml:space="preserve">ndards is </w:t>
      </w:r>
      <w:r w:rsidR="00AE4E71">
        <w:rPr>
          <w:i/>
        </w:rPr>
        <w:t xml:space="preserve">expanded </w:t>
      </w:r>
      <w:r w:rsidR="00C01322">
        <w:rPr>
          <w:i/>
        </w:rPr>
        <w:t>to individual</w:t>
      </w:r>
      <w:r w:rsidRPr="00BB6FBA">
        <w:rPr>
          <w:i/>
        </w:rPr>
        <w:t xml:space="preserve"> advisers and professional associations.</w:t>
      </w:r>
    </w:p>
    <w:p w14:paraId="0D1B54C7" w14:textId="77777777" w:rsidR="00BB6FBA" w:rsidRDefault="008758F3" w:rsidP="00BB6FBA">
      <w:pPr>
        <w:pStyle w:val="Heading5"/>
        <w:shd w:val="clear" w:color="auto" w:fill="FDE9D9" w:themeFill="accent6" w:themeFillTint="33"/>
      </w:pPr>
      <w:r>
        <w:t>Question 2.1</w:t>
      </w:r>
    </w:p>
    <w:p w14:paraId="6C901648" w14:textId="0954DA95" w:rsidR="008758F3" w:rsidRDefault="008758F3" w:rsidP="00BB6FBA">
      <w:pPr>
        <w:pStyle w:val="NoSpacing"/>
        <w:shd w:val="clear" w:color="auto" w:fill="FDE9D9" w:themeFill="accent6" w:themeFillTint="33"/>
      </w:pPr>
      <w:r>
        <w:t xml:space="preserve">What are the practical implications of this </w:t>
      </w:r>
      <w:r w:rsidR="00AE4E71">
        <w:t>overlapping of responsibilities</w:t>
      </w:r>
      <w:r>
        <w:t>?</w:t>
      </w:r>
      <w:r w:rsidR="00710347">
        <w:t xml:space="preserve"> </w:t>
      </w:r>
      <w:r w:rsidR="00C01322">
        <w:t>Would this shift have flow</w:t>
      </w:r>
      <w:r w:rsidR="00493435">
        <w:t>-</w:t>
      </w:r>
      <w:r w:rsidR="00C01322">
        <w:t>on implications for other provisions in the Corporations Act</w:t>
      </w:r>
      <w:r w:rsidR="00011779">
        <w:t>, or any other parts of the licensing regime</w:t>
      </w:r>
      <w:r w:rsidR="00C01322">
        <w:t>?</w:t>
      </w:r>
    </w:p>
    <w:p w14:paraId="6EB3A6A3" w14:textId="77777777" w:rsidR="00BB6FBA" w:rsidRDefault="00BB6FBA" w:rsidP="00BB6FBA">
      <w:pPr>
        <w:pStyle w:val="NoSpacing"/>
        <w:shd w:val="clear" w:color="auto" w:fill="FDE9D9" w:themeFill="accent6" w:themeFillTint="33"/>
      </w:pPr>
    </w:p>
    <w:p w14:paraId="7D0CBD5D" w14:textId="77777777" w:rsidR="00BB6FBA" w:rsidRDefault="008758F3" w:rsidP="00BB6FBA">
      <w:pPr>
        <w:pStyle w:val="Heading5"/>
        <w:shd w:val="clear" w:color="auto" w:fill="FDE9D9" w:themeFill="accent6" w:themeFillTint="33"/>
      </w:pPr>
      <w:r>
        <w:t>Question 2.</w:t>
      </w:r>
      <w:r w:rsidR="00DB5FC2">
        <w:t>2</w:t>
      </w:r>
    </w:p>
    <w:p w14:paraId="0A3053FE" w14:textId="3AD4266A" w:rsidR="00BB6FBA" w:rsidRDefault="005F0135" w:rsidP="00BB6FBA">
      <w:pPr>
        <w:pStyle w:val="NoSpacing"/>
        <w:shd w:val="clear" w:color="auto" w:fill="FDE9D9" w:themeFill="accent6" w:themeFillTint="33"/>
      </w:pPr>
      <w:r>
        <w:t xml:space="preserve">Should licensees maintain a legal obligation to ensure advisers meet relevant training and competency standards? </w:t>
      </w:r>
    </w:p>
    <w:p w14:paraId="5FF29693"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2F5E3431" w14:textId="26AD4310" w:rsidR="000A7BCF" w:rsidRDefault="001B12B4">
      <w:pPr>
        <w:pStyle w:val="Heading2"/>
      </w:pPr>
      <w:r>
        <w:lastRenderedPageBreak/>
        <w:t xml:space="preserve">Section </w:t>
      </w:r>
      <w:r w:rsidR="00004538">
        <w:t>3</w:t>
      </w:r>
      <w:r w:rsidR="00E6388D">
        <w:t xml:space="preserve">. </w:t>
      </w:r>
      <w:r w:rsidR="005A05DD">
        <w:t xml:space="preserve"> </w:t>
      </w:r>
      <w:r w:rsidR="00F90050">
        <w:t xml:space="preserve">Education </w:t>
      </w:r>
      <w:r w:rsidR="00E6388D">
        <w:t>and training s</w:t>
      </w:r>
      <w:r w:rsidR="00F90050">
        <w:t>tandards of financial advisers</w:t>
      </w:r>
    </w:p>
    <w:p w14:paraId="4C04FC9D" w14:textId="516C882F" w:rsidR="0034570E" w:rsidRDefault="00173734" w:rsidP="0034570E">
      <w:pPr>
        <w:pStyle w:val="Heading3"/>
      </w:pPr>
      <w:r>
        <w:t xml:space="preserve">3.1  </w:t>
      </w:r>
      <w:r w:rsidR="0034570E">
        <w:t>Education standards</w:t>
      </w:r>
    </w:p>
    <w:p w14:paraId="765BF171" w14:textId="3772D855" w:rsidR="00BA6840" w:rsidRDefault="00011779" w:rsidP="00857D2E">
      <w:pPr>
        <w:pStyle w:val="OutlineNumbered1"/>
      </w:pPr>
      <w:r>
        <w:t>Under t</w:t>
      </w:r>
      <w:r w:rsidR="00BA6840">
        <w:t>he PJC model</w:t>
      </w:r>
      <w:r>
        <w:t>,</w:t>
      </w:r>
      <w:r w:rsidR="00BA6840">
        <w:t xml:space="preserve"> </w:t>
      </w:r>
      <w:r w:rsidR="00BA6840" w:rsidRPr="00C24B2F">
        <w:t xml:space="preserve">the mandatory minimum educational standard for financial advisers </w:t>
      </w:r>
      <w:r w:rsidR="0019054A">
        <w:t xml:space="preserve">providing advice on Tier 1 products </w:t>
      </w:r>
      <w:r>
        <w:t>w</w:t>
      </w:r>
      <w:r w:rsidRPr="00C24B2F">
        <w:t xml:space="preserve">ould </w:t>
      </w:r>
      <w:r w:rsidR="00BA6840" w:rsidRPr="00C24B2F">
        <w:t xml:space="preserve">be increased to a degree qualification at </w:t>
      </w:r>
      <w:r w:rsidR="00D242A6">
        <w:t>AQF</w:t>
      </w:r>
      <w:r w:rsidR="00BA6840">
        <w:t xml:space="preserve"> level seven</w:t>
      </w:r>
      <w:r w:rsidR="00F1577B">
        <w:t xml:space="preserve"> </w:t>
      </w:r>
      <w:r w:rsidR="00FE2DA0">
        <w:t xml:space="preserve">(Bachelor Degree) </w:t>
      </w:r>
      <w:r w:rsidR="00F1577B">
        <w:t>(</w:t>
      </w:r>
      <w:r w:rsidR="008E1E83">
        <w:t>R</w:t>
      </w:r>
      <w:r w:rsidR="00F1577B">
        <w:t xml:space="preserve">ecommendation </w:t>
      </w:r>
      <w:r w:rsidR="008E1E83">
        <w:t>7</w:t>
      </w:r>
      <w:r w:rsidR="00F1577B">
        <w:t>)</w:t>
      </w:r>
      <w:r w:rsidR="00BA6840">
        <w:t xml:space="preserve">.  </w:t>
      </w:r>
    </w:p>
    <w:p w14:paraId="404A7729" w14:textId="77777777" w:rsidR="00022D39" w:rsidRDefault="00022D39" w:rsidP="00C24B2F">
      <w:pPr>
        <w:pStyle w:val="OutlineNumbered1"/>
      </w:pPr>
      <w:r>
        <w:t xml:space="preserve">The </w:t>
      </w:r>
      <w:r w:rsidR="0081122D">
        <w:t>FSI</w:t>
      </w:r>
      <w:r>
        <w:t xml:space="preserve"> also recommended that the minimum standard for those advising on Tier 1 products should include a relevant tertiary degree.</w:t>
      </w:r>
    </w:p>
    <w:p w14:paraId="03CA2429" w14:textId="77777777" w:rsidR="005B01DF" w:rsidRDefault="005B01DF" w:rsidP="00C24B2F">
      <w:pPr>
        <w:pStyle w:val="OutlineNumbered1"/>
      </w:pPr>
      <w:r>
        <w:t xml:space="preserve">Under current arrangements, </w:t>
      </w:r>
      <w:r w:rsidR="00A04974">
        <w:t>training courses meet standards if they have been assessed by an authorised assessor as meeting ASIC’s knowledge and skill requirements to the relevant educational level (</w:t>
      </w:r>
      <w:r w:rsidR="007F0B5F">
        <w:t>specified</w:t>
      </w:r>
      <w:r w:rsidR="00A04974">
        <w:t xml:space="preserve"> in RG 146).</w:t>
      </w:r>
      <w:r w:rsidR="00513598">
        <w:t xml:space="preserve"> The role of authorised assessor can be performed by register</w:t>
      </w:r>
      <w:r w:rsidR="007F0B5F">
        <w:t>ed training organisations; self</w:t>
      </w:r>
      <w:r w:rsidR="007F0B5F">
        <w:noBreakHyphen/>
      </w:r>
      <w:r w:rsidR="00513598">
        <w:t>accrediting organisations; or a professional or industry association relevant to the financial services industry that has been accredited by ASIC.</w:t>
      </w:r>
    </w:p>
    <w:p w14:paraId="165501F4" w14:textId="408F79BE" w:rsidR="00011779" w:rsidRDefault="005F0135" w:rsidP="00011779">
      <w:pPr>
        <w:pStyle w:val="OutlineNumbered1"/>
      </w:pPr>
      <w:r>
        <w:t>Some f</w:t>
      </w:r>
      <w:r w:rsidR="00011779" w:rsidRPr="004C4462">
        <w:t>inancial advisers</w:t>
      </w:r>
      <w:r>
        <w:t>, such as stockbrokers</w:t>
      </w:r>
      <w:r>
        <w:rPr>
          <w:rStyle w:val="FootnoteReference"/>
        </w:rPr>
        <w:footnoteReference w:id="10"/>
      </w:r>
      <w:r>
        <w:t>, and those who advise on tax matters</w:t>
      </w:r>
      <w:r>
        <w:rPr>
          <w:rStyle w:val="FootnoteReference"/>
        </w:rPr>
        <w:footnoteReference w:id="11"/>
      </w:r>
      <w:r>
        <w:t>, currently have to comply with sector-specific laws and regulatory bodies.</w:t>
      </w:r>
      <w:r w:rsidR="008100ED">
        <w:t xml:space="preserve"> </w:t>
      </w:r>
      <w:r>
        <w:t xml:space="preserve"> </w:t>
      </w:r>
    </w:p>
    <w:p w14:paraId="20563B58" w14:textId="239BDACA" w:rsidR="00D23C2F" w:rsidRDefault="00173734" w:rsidP="0034570E">
      <w:pPr>
        <w:pStyle w:val="Heading3"/>
      </w:pPr>
      <w:r>
        <w:t xml:space="preserve">3.2  </w:t>
      </w:r>
      <w:r w:rsidR="00D23C2F">
        <w:t xml:space="preserve">Training </w:t>
      </w:r>
      <w:r w:rsidR="0034570E">
        <w:t>standards</w:t>
      </w:r>
    </w:p>
    <w:p w14:paraId="272F70CB" w14:textId="61FEF50F" w:rsidR="008806EF" w:rsidRDefault="00011779" w:rsidP="00314FD7">
      <w:pPr>
        <w:pStyle w:val="OutlineNumbered1"/>
      </w:pPr>
      <w:r>
        <w:t>T</w:t>
      </w:r>
      <w:r w:rsidR="00C24B2F">
        <w:t>he</w:t>
      </w:r>
      <w:r w:rsidR="00004538">
        <w:t xml:space="preserve"> PJC </w:t>
      </w:r>
      <w:r>
        <w:t xml:space="preserve">model </w:t>
      </w:r>
      <w:r w:rsidR="0019054A">
        <w:t>requires</w:t>
      </w:r>
      <w:r w:rsidR="00AC7B67">
        <w:t xml:space="preserve"> the introduction of a </w:t>
      </w:r>
      <w:r w:rsidR="00314FD7">
        <w:t xml:space="preserve">structured professional year </w:t>
      </w:r>
      <w:r w:rsidR="00314FD7" w:rsidRPr="00314FD7">
        <w:t xml:space="preserve">that enables professional associations </w:t>
      </w:r>
      <w:r w:rsidR="00314FD7">
        <w:t>(in accordance with the requirements established by FPEC</w:t>
      </w:r>
      <w:r w:rsidR="00314FD7" w:rsidRPr="00314FD7">
        <w:t xml:space="preserve"> </w:t>
      </w:r>
      <w:r w:rsidR="00314FD7" w:rsidRPr="00FD608D">
        <w:t xml:space="preserve">and in cooperation with the </w:t>
      </w:r>
      <w:r w:rsidR="00493435">
        <w:t>licen</w:t>
      </w:r>
      <w:r w:rsidR="00BD7748">
        <w:t>s</w:t>
      </w:r>
      <w:r w:rsidR="00493435">
        <w:t>ee</w:t>
      </w:r>
      <w:r w:rsidR="00314FD7">
        <w:t xml:space="preserve">) </w:t>
      </w:r>
      <w:r w:rsidR="00314FD7" w:rsidRPr="00314FD7">
        <w:t>to conduct both mentoring and assessment of competence in a range of specified areas</w:t>
      </w:r>
      <w:r>
        <w:t xml:space="preserve"> (Recommendation </w:t>
      </w:r>
      <w:r w:rsidR="00CE74CC">
        <w:t>10</w:t>
      </w:r>
      <w:r>
        <w:t>)</w:t>
      </w:r>
      <w:r w:rsidR="00314FD7">
        <w:t xml:space="preserve">. </w:t>
      </w:r>
      <w:r w:rsidR="00273F38">
        <w:t>Ongoing</w:t>
      </w:r>
      <w:r w:rsidR="008806EF">
        <w:t xml:space="preserve"> professional </w:t>
      </w:r>
      <w:r w:rsidR="00273F38">
        <w:t xml:space="preserve">development </w:t>
      </w:r>
      <w:r w:rsidR="008806EF">
        <w:t>is discussed in Section 7 of this consultation paper.</w:t>
      </w:r>
    </w:p>
    <w:p w14:paraId="6206DCB5" w14:textId="77777777" w:rsidR="00314FD7" w:rsidRDefault="00B5406A" w:rsidP="00314FD7">
      <w:pPr>
        <w:pStyle w:val="OutlineNumbered1"/>
      </w:pPr>
      <w:r>
        <w:t xml:space="preserve">The formal assessment of this professional year would be </w:t>
      </w:r>
      <w:r w:rsidRPr="00FD608D">
        <w:t>complemen</w:t>
      </w:r>
      <w:r>
        <w:t>ted by an exam set by FPEC</w:t>
      </w:r>
      <w:r w:rsidR="00D34732">
        <w:t>,</w:t>
      </w:r>
      <w:r w:rsidRPr="00FD608D">
        <w:t xml:space="preserve"> conducted at the end of the professional year</w:t>
      </w:r>
      <w:r>
        <w:t xml:space="preserve">. </w:t>
      </w:r>
      <w:r w:rsidR="00011779">
        <w:t>The exam is discussed in Section 6 of this consultation paper.</w:t>
      </w:r>
    </w:p>
    <w:p w14:paraId="3C4DF81A" w14:textId="4EA9326B" w:rsidR="00314FD7" w:rsidRDefault="00314FD7" w:rsidP="00314FD7">
      <w:pPr>
        <w:pStyle w:val="OutlineNumbered1"/>
      </w:pPr>
      <w:r>
        <w:t xml:space="preserve">The </w:t>
      </w:r>
      <w:r w:rsidR="008E1E83">
        <w:t xml:space="preserve">PJC </w:t>
      </w:r>
      <w:r>
        <w:t>model then binds the successful completion of this year to the registration process</w:t>
      </w:r>
      <w:r w:rsidR="00AC7B67">
        <w:t>. S</w:t>
      </w:r>
      <w:r w:rsidR="00B5406A" w:rsidRPr="00B5406A">
        <w:t xml:space="preserve">uccessful completion of </w:t>
      </w:r>
      <w:r w:rsidR="008E1E83">
        <w:t xml:space="preserve">an </w:t>
      </w:r>
      <w:r w:rsidR="00B5406A" w:rsidRPr="00B5406A">
        <w:t xml:space="preserve">exam </w:t>
      </w:r>
      <w:r w:rsidR="00AC7B67">
        <w:t xml:space="preserve">would become </w:t>
      </w:r>
      <w:r w:rsidR="00B5406A" w:rsidRPr="00B5406A">
        <w:t>a prerequisite for the professional association to make the recommendation to ASIC that a financial adviser be listed on the ASIC register of financial advisers</w:t>
      </w:r>
      <w:r w:rsidR="008E1E83">
        <w:t xml:space="preserve"> (Recommendation 8)</w:t>
      </w:r>
      <w:r w:rsidR="00B5406A" w:rsidRPr="00B5406A">
        <w:t>.</w:t>
      </w:r>
      <w:r w:rsidR="00AC7B67">
        <w:t xml:space="preserve"> </w:t>
      </w:r>
      <w:r w:rsidR="007F0B5F">
        <w:t>T</w:t>
      </w:r>
      <w:r>
        <w:t xml:space="preserve">he </w:t>
      </w:r>
      <w:r w:rsidR="00B5406A">
        <w:t xml:space="preserve">registration process is discussed in </w:t>
      </w:r>
      <w:r w:rsidR="00FE2DA0">
        <w:t>S</w:t>
      </w:r>
      <w:r w:rsidR="008E1E83">
        <w:t xml:space="preserve">ection </w:t>
      </w:r>
      <w:r w:rsidR="00011779">
        <w:t>5</w:t>
      </w:r>
      <w:r w:rsidR="00BB360E">
        <w:t xml:space="preserve"> of this consultation paper</w:t>
      </w:r>
      <w:r>
        <w:t>.</w:t>
      </w:r>
    </w:p>
    <w:p w14:paraId="4C84D43A" w14:textId="77777777" w:rsidR="00276600" w:rsidRDefault="00276600" w:rsidP="00276600"/>
    <w:p w14:paraId="1633C9F3" w14:textId="44B37D61" w:rsidR="009E7FAA" w:rsidRDefault="009E7FAA" w:rsidP="00C24B2F">
      <w:pPr>
        <w:pStyle w:val="Heading5"/>
        <w:shd w:val="clear" w:color="auto" w:fill="FDE9D9" w:themeFill="accent6" w:themeFillTint="33"/>
      </w:pPr>
      <w:r w:rsidDel="001657A7">
        <w:lastRenderedPageBreak/>
        <w:t>Feedback sought</w:t>
      </w:r>
      <w:r w:rsidR="001657A7">
        <w:t xml:space="preserve"> </w:t>
      </w:r>
      <w:r w:rsidR="001E28BD">
        <w:t>—</w:t>
      </w:r>
      <w:r w:rsidR="001657A7">
        <w:t xml:space="preserve"> e</w:t>
      </w:r>
      <w:r w:rsidR="008E041C">
        <w:t>ducation and training standards</w:t>
      </w:r>
      <w:r w:rsidR="00E125F7">
        <w:t xml:space="preserve"> of financial advisers</w:t>
      </w:r>
    </w:p>
    <w:p w14:paraId="5BD73436" w14:textId="77777777" w:rsidR="004D595B" w:rsidRPr="00173734" w:rsidRDefault="004D595B" w:rsidP="00173734">
      <w:pPr>
        <w:pStyle w:val="Heading5"/>
        <w:shd w:val="clear" w:color="auto" w:fill="FDE9D9" w:themeFill="accent6" w:themeFillTint="33"/>
      </w:pPr>
      <w:r w:rsidRPr="00173734">
        <w:t>Question 3.1</w:t>
      </w:r>
    </w:p>
    <w:p w14:paraId="69FAD9A6" w14:textId="61470554" w:rsidR="004D595B" w:rsidRDefault="004D595B" w:rsidP="004D595B">
      <w:pPr>
        <w:pStyle w:val="NoSpacing"/>
        <w:shd w:val="clear" w:color="auto" w:fill="FDE9D9" w:themeFill="accent6" w:themeFillTint="33"/>
        <w:rPr>
          <w:b/>
          <w:i/>
        </w:rPr>
      </w:pPr>
      <w:r w:rsidRPr="005F0135">
        <w:t xml:space="preserve">How </w:t>
      </w:r>
      <w:r w:rsidR="00493435">
        <w:t xml:space="preserve">would </w:t>
      </w:r>
      <w:r w:rsidRPr="005F0135">
        <w:t xml:space="preserve">the PJC model interact with existing regulatory regimes for specific types of advisers, for example stockbrokers and tax advisers? </w:t>
      </w:r>
    </w:p>
    <w:p w14:paraId="577CB3EF" w14:textId="77777777" w:rsidR="004D595B" w:rsidRDefault="004D595B" w:rsidP="004D595B">
      <w:pPr>
        <w:pStyle w:val="NoSpacing"/>
        <w:shd w:val="clear" w:color="auto" w:fill="FDE9D9" w:themeFill="accent6" w:themeFillTint="33"/>
      </w:pPr>
    </w:p>
    <w:p w14:paraId="660FB09D" w14:textId="48454C5C" w:rsidR="004D595B" w:rsidRDefault="004D595B" w:rsidP="004D595B">
      <w:pPr>
        <w:pStyle w:val="NoSpacing"/>
        <w:shd w:val="clear" w:color="auto" w:fill="FDE9D9" w:themeFill="accent6" w:themeFillTint="33"/>
        <w:rPr>
          <w:i/>
        </w:rPr>
      </w:pPr>
      <w:r>
        <w:rPr>
          <w:i/>
        </w:rPr>
        <w:t>Under the</w:t>
      </w:r>
      <w:r w:rsidRPr="00FE2DA0">
        <w:rPr>
          <w:i/>
        </w:rPr>
        <w:t xml:space="preserve"> </w:t>
      </w:r>
      <w:r w:rsidR="00CE440D" w:rsidRPr="00FE2DA0">
        <w:rPr>
          <w:i/>
        </w:rPr>
        <w:t>PJC</w:t>
      </w:r>
      <w:r>
        <w:rPr>
          <w:i/>
        </w:rPr>
        <w:t xml:space="preserve"> model,</w:t>
      </w:r>
      <w:r w:rsidR="00CE440D" w:rsidRPr="00FE2DA0">
        <w:rPr>
          <w:i/>
        </w:rPr>
        <w:t xml:space="preserve"> financial advisers providing personal advice on Tier 1 products </w:t>
      </w:r>
      <w:r>
        <w:rPr>
          <w:i/>
        </w:rPr>
        <w:t xml:space="preserve">would </w:t>
      </w:r>
      <w:r w:rsidR="00CE440D" w:rsidRPr="00FE2DA0">
        <w:rPr>
          <w:i/>
        </w:rPr>
        <w:t xml:space="preserve">be required to hold a relevant </w:t>
      </w:r>
      <w:r w:rsidR="00FE2DA0">
        <w:rPr>
          <w:i/>
        </w:rPr>
        <w:t>Bachelor D</w:t>
      </w:r>
      <w:r w:rsidR="00CE440D" w:rsidRPr="00FE2DA0">
        <w:rPr>
          <w:i/>
        </w:rPr>
        <w:t xml:space="preserve">egree. </w:t>
      </w:r>
    </w:p>
    <w:p w14:paraId="70353BC2" w14:textId="77777777" w:rsidR="00237970" w:rsidRDefault="00237970" w:rsidP="00C870DC">
      <w:pPr>
        <w:pStyle w:val="Heading5"/>
        <w:shd w:val="clear" w:color="auto" w:fill="FDE9D9" w:themeFill="accent6" w:themeFillTint="33"/>
        <w:spacing w:after="0"/>
      </w:pPr>
    </w:p>
    <w:p w14:paraId="503A2115" w14:textId="63BABFF6" w:rsidR="0022474A" w:rsidRDefault="008E041C" w:rsidP="00237970">
      <w:pPr>
        <w:pStyle w:val="Heading5"/>
        <w:shd w:val="clear" w:color="auto" w:fill="FDE9D9" w:themeFill="accent6" w:themeFillTint="33"/>
      </w:pPr>
      <w:r>
        <w:t>Question 3.</w:t>
      </w:r>
      <w:r w:rsidR="004D595B">
        <w:t>2</w:t>
      </w:r>
    </w:p>
    <w:p w14:paraId="61141052" w14:textId="1EBAB90B" w:rsidR="004D595B" w:rsidRDefault="004D595B" w:rsidP="004D595B">
      <w:pPr>
        <w:pStyle w:val="NoSpacing"/>
        <w:shd w:val="clear" w:color="auto" w:fill="FDE9D9" w:themeFill="accent6" w:themeFillTint="33"/>
      </w:pPr>
      <w:r>
        <w:t xml:space="preserve">Is holding a relevant Bachelor Degree the appropriate </w:t>
      </w:r>
      <w:r w:rsidR="00FB4F10">
        <w:t xml:space="preserve">minimum </w:t>
      </w:r>
      <w:r>
        <w:t>education requirement?</w:t>
      </w:r>
      <w:r w:rsidR="00C870DC">
        <w:t xml:space="preserve"> What is a </w:t>
      </w:r>
      <w:r w:rsidR="00FB4F10">
        <w:t>“</w:t>
      </w:r>
      <w:r w:rsidR="00C870DC">
        <w:t>relevant</w:t>
      </w:r>
      <w:r w:rsidR="00FB4F10">
        <w:t>”</w:t>
      </w:r>
      <w:r w:rsidR="00C870DC">
        <w:t xml:space="preserve"> Bachelor Degree? </w:t>
      </w:r>
      <w:r w:rsidR="00643637">
        <w:t>Would this requirement limit the ability of other degree</w:t>
      </w:r>
      <w:r w:rsidR="00914EB3">
        <w:t>-</w:t>
      </w:r>
      <w:r w:rsidR="00643637">
        <w:t xml:space="preserve">qualified </w:t>
      </w:r>
      <w:r w:rsidR="00FB4F10">
        <w:t>individuals</w:t>
      </w:r>
      <w:r w:rsidR="00643637">
        <w:t xml:space="preserve"> to become financial adviser</w:t>
      </w:r>
      <w:r w:rsidR="00914EB3">
        <w:t>s</w:t>
      </w:r>
      <w:r w:rsidR="00643637">
        <w:t>?</w:t>
      </w:r>
    </w:p>
    <w:p w14:paraId="59C316FE" w14:textId="77777777" w:rsidR="004D595B" w:rsidRDefault="004D595B" w:rsidP="004A06FF">
      <w:pPr>
        <w:pStyle w:val="NoSpacing"/>
        <w:shd w:val="clear" w:color="auto" w:fill="FDE9D9" w:themeFill="accent6" w:themeFillTint="33"/>
      </w:pPr>
    </w:p>
    <w:p w14:paraId="2C55FC1F" w14:textId="77777777" w:rsidR="004D595B" w:rsidRDefault="004D595B" w:rsidP="004D595B">
      <w:pPr>
        <w:pStyle w:val="Heading5"/>
        <w:shd w:val="clear" w:color="auto" w:fill="FDE9D9" w:themeFill="accent6" w:themeFillTint="33"/>
      </w:pPr>
      <w:r>
        <w:t>Question 3.3</w:t>
      </w:r>
    </w:p>
    <w:p w14:paraId="79B5EFAC" w14:textId="77777777" w:rsidR="004D595B" w:rsidRDefault="00710347" w:rsidP="004A06FF">
      <w:pPr>
        <w:pStyle w:val="NoSpacing"/>
        <w:shd w:val="clear" w:color="auto" w:fill="FDE9D9" w:themeFill="accent6" w:themeFillTint="33"/>
      </w:pPr>
      <w:r>
        <w:t xml:space="preserve">What are the practical implications of requiring </w:t>
      </w:r>
      <w:r w:rsidR="00CE440D">
        <w:t>advisers to hold</w:t>
      </w:r>
      <w:r>
        <w:t xml:space="preserve"> a relevant </w:t>
      </w:r>
      <w:r w:rsidR="00FE2DA0">
        <w:t>Bachelor D</w:t>
      </w:r>
      <w:r>
        <w:t>egree</w:t>
      </w:r>
      <w:r w:rsidR="00CE440D">
        <w:t>?</w:t>
      </w:r>
      <w:r w:rsidR="004D595B">
        <w:t xml:space="preserve"> </w:t>
      </w:r>
    </w:p>
    <w:p w14:paraId="22B6EBE0" w14:textId="77777777" w:rsidR="004A06FF" w:rsidRDefault="004A06FF" w:rsidP="004A06FF">
      <w:pPr>
        <w:pStyle w:val="NoSpacing"/>
        <w:shd w:val="clear" w:color="auto" w:fill="FDE9D9" w:themeFill="accent6" w:themeFillTint="33"/>
      </w:pPr>
    </w:p>
    <w:p w14:paraId="5E83AC51" w14:textId="0B2D9237" w:rsidR="00CE440D" w:rsidRPr="004A06FF" w:rsidDel="0022474A" w:rsidRDefault="00CE440D" w:rsidP="00CE440D">
      <w:pPr>
        <w:shd w:val="clear" w:color="auto" w:fill="FDE9D9" w:themeFill="accent6" w:themeFillTint="33"/>
        <w:rPr>
          <w:i/>
        </w:rPr>
      </w:pPr>
      <w:r w:rsidRPr="004A06FF" w:rsidDel="0022474A">
        <w:rPr>
          <w:i/>
        </w:rPr>
        <w:t>Under the PJC model</w:t>
      </w:r>
      <w:r w:rsidR="004D595B">
        <w:rPr>
          <w:i/>
        </w:rPr>
        <w:t>,</w:t>
      </w:r>
      <w:r w:rsidRPr="004A06FF" w:rsidDel="0022474A">
        <w:rPr>
          <w:i/>
        </w:rPr>
        <w:t xml:space="preserve"> financial advisers providing personal advice on Tier 1 products would be required to undertake a professional year and </w:t>
      </w:r>
      <w:r w:rsidR="00FE2DA0" w:rsidDel="0022474A">
        <w:rPr>
          <w:i/>
        </w:rPr>
        <w:t>ongoing</w:t>
      </w:r>
      <w:r w:rsidRPr="004A06FF" w:rsidDel="0022474A">
        <w:rPr>
          <w:i/>
        </w:rPr>
        <w:t xml:space="preserve"> professional development.</w:t>
      </w:r>
    </w:p>
    <w:p w14:paraId="7C768540" w14:textId="77777777" w:rsidR="004D595B" w:rsidRDefault="004D595B" w:rsidP="004D595B">
      <w:pPr>
        <w:pStyle w:val="Heading5"/>
        <w:shd w:val="clear" w:color="auto" w:fill="FDE9D9" w:themeFill="accent6" w:themeFillTint="33"/>
      </w:pPr>
      <w:r>
        <w:t>Question 3.4</w:t>
      </w:r>
    </w:p>
    <w:p w14:paraId="7ACE34B5" w14:textId="54624F30" w:rsidR="005F0135" w:rsidRPr="00237970" w:rsidRDefault="004D595B" w:rsidP="00237970">
      <w:pPr>
        <w:pStyle w:val="NoSpacing"/>
        <w:shd w:val="clear" w:color="auto" w:fill="FDE9D9" w:themeFill="accent6" w:themeFillTint="33"/>
        <w:rPr>
          <w:b/>
          <w:i/>
        </w:rPr>
      </w:pPr>
      <w:r>
        <w:t xml:space="preserve">What are the practical implications of requiring </w:t>
      </w:r>
      <w:r w:rsidR="00AE4E71">
        <w:t xml:space="preserve">new </w:t>
      </w:r>
      <w:r>
        <w:t xml:space="preserve">advisers to undertake a </w:t>
      </w:r>
      <w:r w:rsidR="00237970">
        <w:t xml:space="preserve">structured </w:t>
      </w:r>
      <w:r>
        <w:t>professional year</w:t>
      </w:r>
      <w:r w:rsidR="00AE4E71">
        <w:t xml:space="preserve"> at the outset of their careers as financial advisers, as a way to develop on</w:t>
      </w:r>
      <w:r w:rsidR="00AE4E71">
        <w:noBreakHyphen/>
      </w:r>
      <w:r w:rsidR="00237970">
        <w:t xml:space="preserve">the-job skills? </w:t>
      </w:r>
      <w:r>
        <w:t xml:space="preserve"> </w:t>
      </w:r>
      <w:r w:rsidR="008806EF">
        <w:t xml:space="preserve"> </w:t>
      </w:r>
    </w:p>
    <w:p w14:paraId="59BDA6BE"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53C8F8F1" w14:textId="37F554A9" w:rsidR="00F90050" w:rsidRPr="00B400CB" w:rsidRDefault="001B12B4" w:rsidP="00F90050">
      <w:pPr>
        <w:pStyle w:val="Heading2"/>
        <w:rPr>
          <w:b w:val="0"/>
          <w:i/>
        </w:rPr>
      </w:pPr>
      <w:r>
        <w:lastRenderedPageBreak/>
        <w:t xml:space="preserve">Section </w:t>
      </w:r>
      <w:r w:rsidR="00004538">
        <w:t>4</w:t>
      </w:r>
      <w:r w:rsidR="00E6388D">
        <w:t xml:space="preserve">. </w:t>
      </w:r>
      <w:r w:rsidR="005A05DD">
        <w:t xml:space="preserve"> </w:t>
      </w:r>
      <w:r w:rsidR="00E6388D">
        <w:t>St</w:t>
      </w:r>
      <w:r w:rsidR="00237970">
        <w:t>r</w:t>
      </w:r>
      <w:r w:rsidR="004D595B">
        <w:t>ucture and role of a st</w:t>
      </w:r>
      <w:r w:rsidR="00E6388D">
        <w:t>andard</w:t>
      </w:r>
      <w:r w:rsidR="004D595B">
        <w:t>-</w:t>
      </w:r>
      <w:r w:rsidR="00E6388D">
        <w:t>setting body</w:t>
      </w:r>
      <w:r w:rsidR="004D595B">
        <w:t xml:space="preserve"> </w:t>
      </w:r>
    </w:p>
    <w:p w14:paraId="6003299D" w14:textId="16447C7D" w:rsidR="008806EF" w:rsidRDefault="008806EF" w:rsidP="008806EF">
      <w:pPr>
        <w:pStyle w:val="OutlineNumbered1"/>
      </w:pPr>
      <w:r>
        <w:t xml:space="preserve">The PJC model involves establishing an independent body —FPEC — </w:t>
      </w:r>
      <w:r w:rsidRPr="00F10C22">
        <w:t>to set and monitor the educational framework that applies to financial advisers</w:t>
      </w:r>
      <w:r w:rsidR="00BD7748">
        <w:t xml:space="preserve"> (Recommendation </w:t>
      </w:r>
      <w:r w:rsidR="00CE74CC">
        <w:t>10</w:t>
      </w:r>
      <w:r>
        <w:t xml:space="preserve">). FPEC would </w:t>
      </w:r>
      <w:r w:rsidRPr="00F10C22">
        <w:t xml:space="preserve">set core subjects to be undertaken, and on advice from the constituent professional associations, set sector specific subjects </w:t>
      </w:r>
      <w:r>
        <w:t>for different types of financial advice. FPEC would also set, maintain and accredit the qualifications and continuing professional development standards that are to apply to financial advisers (Recommendation 10).</w:t>
      </w:r>
    </w:p>
    <w:p w14:paraId="746053BC" w14:textId="29C4A7FE" w:rsidR="008806EF" w:rsidRDefault="008806EF" w:rsidP="008806EF">
      <w:pPr>
        <w:pStyle w:val="OutlineNumbered1"/>
      </w:pPr>
      <w:r>
        <w:t>The PJC recommends establishing FPEC as in its view</w:t>
      </w:r>
      <w:r w:rsidR="00493435">
        <w:t>,</w:t>
      </w:r>
      <w:r>
        <w:t xml:space="preserve"> limited progress has been made to improve the training standards of financial advisers under the current regulatory framework and since previous inquiries presented their findings.</w:t>
      </w:r>
      <w:r>
        <w:rPr>
          <w:rStyle w:val="FootnoteReference"/>
        </w:rPr>
        <w:footnoteReference w:id="12"/>
      </w:r>
      <w:r>
        <w:t xml:space="preserve"> </w:t>
      </w:r>
    </w:p>
    <w:p w14:paraId="2E793C1F" w14:textId="14910326" w:rsidR="00AC7B67" w:rsidRDefault="0022474A" w:rsidP="00AC7B67">
      <w:pPr>
        <w:pStyle w:val="OutlineNumbered1"/>
      </w:pPr>
      <w:r>
        <w:t xml:space="preserve">The PJC </w:t>
      </w:r>
      <w:r w:rsidR="0084430D">
        <w:t xml:space="preserve">considered </w:t>
      </w:r>
      <w:r>
        <w:t xml:space="preserve">that </w:t>
      </w:r>
      <w:r w:rsidR="0084430D">
        <w:t xml:space="preserve">having </w:t>
      </w:r>
      <w:r w:rsidR="00AC7B67" w:rsidRPr="00AC7B67">
        <w:t>multiple bodies administering the educational requirements for financial advisers</w:t>
      </w:r>
      <w:r w:rsidR="00AC7B67">
        <w:t xml:space="preserve"> (as per current arrangements)</w:t>
      </w:r>
      <w:r w:rsidR="00AC7B67" w:rsidRPr="00AC7B67">
        <w:t xml:space="preserve"> is not in the best interests of consumers.</w:t>
      </w:r>
      <w:r w:rsidR="00AC7B67">
        <w:t xml:space="preserve"> </w:t>
      </w:r>
    </w:p>
    <w:p w14:paraId="7C044F98" w14:textId="057BB6B1" w:rsidR="0022474A" w:rsidRDefault="0022474A" w:rsidP="006D52BB">
      <w:pPr>
        <w:pStyle w:val="OutlineNumbered1"/>
      </w:pPr>
      <w:r w:rsidRPr="00CD0CFF">
        <w:t xml:space="preserve">The PJC’s FPEC is based on the </w:t>
      </w:r>
      <w:r w:rsidR="00C600DA">
        <w:t>“</w:t>
      </w:r>
      <w:r w:rsidRPr="00CD0CFF">
        <w:t>Financial Planning Education Council</w:t>
      </w:r>
      <w:r w:rsidR="00C600DA">
        <w:t>”</w:t>
      </w:r>
      <w:r w:rsidRPr="00CD0CFF">
        <w:t xml:space="preserve"> established </w:t>
      </w:r>
      <w:r w:rsidR="00C600DA">
        <w:t>by the Financial Planning Association of Australia in 2011 which is industry-</w:t>
      </w:r>
      <w:r w:rsidRPr="00CD0CFF">
        <w:t>funded and comprises academics and industry professionals.</w:t>
      </w:r>
    </w:p>
    <w:p w14:paraId="7B320B89" w14:textId="77777777" w:rsidR="00AC0734" w:rsidRDefault="00CD0CFF" w:rsidP="00C31041">
      <w:pPr>
        <w:pStyle w:val="OutlineNumbered1"/>
      </w:pPr>
      <w:r>
        <w:t>The PJC recommends that FPEC:</w:t>
      </w:r>
      <w:r w:rsidR="00AB154B">
        <w:t xml:space="preserve"> </w:t>
      </w:r>
    </w:p>
    <w:p w14:paraId="438C87BA" w14:textId="49F17F7B" w:rsidR="00C31041" w:rsidRDefault="00875B18" w:rsidP="009625C2">
      <w:pPr>
        <w:pStyle w:val="Bullet"/>
        <w:tabs>
          <w:tab w:val="clear" w:pos="520"/>
          <w:tab w:val="left" w:pos="851"/>
        </w:tabs>
        <w:ind w:left="851" w:hanging="284"/>
      </w:pPr>
      <w:r>
        <w:t xml:space="preserve">be </w:t>
      </w:r>
      <w:r w:rsidR="00C31041">
        <w:t xml:space="preserve">controlled and funded by professional associations which have been approved by the </w:t>
      </w:r>
      <w:r w:rsidR="007117A1">
        <w:t>PSC</w:t>
      </w:r>
      <w:r w:rsidR="00C31041">
        <w:t>;</w:t>
      </w:r>
    </w:p>
    <w:p w14:paraId="013FCF47" w14:textId="77777777" w:rsidR="00C31041" w:rsidRDefault="00C31041" w:rsidP="009625C2">
      <w:pPr>
        <w:pStyle w:val="Bullet"/>
        <w:tabs>
          <w:tab w:val="clear" w:pos="520"/>
          <w:tab w:val="left" w:pos="851"/>
        </w:tabs>
        <w:ind w:left="851" w:hanging="284"/>
      </w:pPr>
      <w:r>
        <w:t xml:space="preserve">comprise a representative from each </w:t>
      </w:r>
      <w:r w:rsidR="007117A1">
        <w:t xml:space="preserve">approved </w:t>
      </w:r>
      <w:r>
        <w:t>professional association, an agreed number of academics, at least one consumer advocate, preferably two who represent different sectors</w:t>
      </w:r>
      <w:r w:rsidR="00875B18">
        <w:t>,</w:t>
      </w:r>
      <w:r>
        <w:t xml:space="preserve"> and an ethicist;</w:t>
      </w:r>
    </w:p>
    <w:p w14:paraId="07FF8F11" w14:textId="761C6556" w:rsidR="00C31041" w:rsidRDefault="00C31041" w:rsidP="009625C2">
      <w:pPr>
        <w:pStyle w:val="Bullet"/>
        <w:tabs>
          <w:tab w:val="clear" w:pos="520"/>
          <w:tab w:val="left" w:pos="851"/>
        </w:tabs>
        <w:ind w:left="851" w:hanging="284"/>
      </w:pPr>
      <w:r>
        <w:t>receive advice from ASIC about local and international trends and best practices to inform ongoing curriculum review;</w:t>
      </w:r>
    </w:p>
    <w:p w14:paraId="72204276" w14:textId="1727B8D8" w:rsidR="00C31041" w:rsidRDefault="006F2154" w:rsidP="009625C2">
      <w:pPr>
        <w:pStyle w:val="Bullet"/>
        <w:tabs>
          <w:tab w:val="clear" w:pos="520"/>
          <w:tab w:val="left" w:pos="851"/>
        </w:tabs>
        <w:ind w:left="851" w:hanging="284"/>
      </w:pPr>
      <w:r>
        <w:t>set</w:t>
      </w:r>
      <w:r w:rsidR="00C31041">
        <w:t xml:space="preserve"> curriculum requirements at </w:t>
      </w:r>
      <w:r w:rsidR="00875B18">
        <w:t>AQF</w:t>
      </w:r>
      <w:r w:rsidR="00C31041">
        <w:t xml:space="preserve"> level seven standard for core subjects and sector specific subjects (e.g. </w:t>
      </w:r>
      <w:r w:rsidR="00875B18">
        <w:t>s</w:t>
      </w:r>
      <w:r w:rsidR="00C31041">
        <w:t>elf-</w:t>
      </w:r>
      <w:r w:rsidR="00875B18">
        <w:t>m</w:t>
      </w:r>
      <w:r w:rsidR="00C31041">
        <w:t xml:space="preserve">anaged </w:t>
      </w:r>
      <w:r w:rsidR="00875B18">
        <w:t>s</w:t>
      </w:r>
      <w:r w:rsidR="00C31041">
        <w:t xml:space="preserve">uperannuation </w:t>
      </w:r>
      <w:r w:rsidR="00875B18">
        <w:t>f</w:t>
      </w:r>
      <w:r w:rsidR="00C31041">
        <w:t>und services, financial advice, insurance/risk or markets);</w:t>
      </w:r>
    </w:p>
    <w:p w14:paraId="5AA2928D" w14:textId="786D95A2" w:rsidR="00C31041" w:rsidRDefault="00C31041" w:rsidP="009625C2">
      <w:pPr>
        <w:pStyle w:val="Bullet"/>
        <w:tabs>
          <w:tab w:val="clear" w:pos="520"/>
          <w:tab w:val="left" w:pos="851"/>
        </w:tabs>
        <w:ind w:left="851" w:hanging="284"/>
      </w:pPr>
      <w:r>
        <w:t xml:space="preserve">develop a standardised framework and standard for the professional year to be administered by </w:t>
      </w:r>
      <w:r w:rsidR="00D808DA">
        <w:t xml:space="preserve">the </w:t>
      </w:r>
      <w:r>
        <w:t>professional associations;</w:t>
      </w:r>
    </w:p>
    <w:p w14:paraId="29DD200A" w14:textId="15455928" w:rsidR="00C31041" w:rsidRDefault="00C31041" w:rsidP="009625C2">
      <w:pPr>
        <w:pStyle w:val="Bullet"/>
        <w:tabs>
          <w:tab w:val="clear" w:pos="520"/>
          <w:tab w:val="left" w:pos="851"/>
        </w:tabs>
        <w:ind w:left="851" w:hanging="284"/>
      </w:pPr>
      <w:r>
        <w:t>develop and administer</w:t>
      </w:r>
      <w:r w:rsidR="00493435">
        <w:t>,</w:t>
      </w:r>
      <w:r>
        <w:t xml:space="preserve"> through an external, independent invigilator</w:t>
      </w:r>
      <w:r w:rsidR="00493435">
        <w:t>,</w:t>
      </w:r>
      <w:r>
        <w:t xml:space="preserve"> a registration exam at the end of the professional year; and</w:t>
      </w:r>
    </w:p>
    <w:p w14:paraId="2322D9EE" w14:textId="207A0C67" w:rsidR="00C31041" w:rsidRDefault="00C31041" w:rsidP="009625C2">
      <w:pPr>
        <w:pStyle w:val="Bullet"/>
        <w:tabs>
          <w:tab w:val="clear" w:pos="520"/>
          <w:tab w:val="left" w:pos="851"/>
        </w:tabs>
        <w:ind w:left="851" w:hanging="284"/>
      </w:pPr>
      <w:r>
        <w:t>establish and maintain the professional pathway for financial advisers</w:t>
      </w:r>
      <w:r w:rsidR="00493435">
        <w:t>,</w:t>
      </w:r>
      <w:r>
        <w:t xml:space="preserve"> including recognised prior learning provisions and continuing professional development.</w:t>
      </w:r>
    </w:p>
    <w:p w14:paraId="0B0F3F14" w14:textId="77777777" w:rsidR="00AB154B" w:rsidRDefault="00AB154B" w:rsidP="00AB154B">
      <w:pPr>
        <w:pStyle w:val="OutlineNumbered1"/>
      </w:pPr>
      <w:r>
        <w:lastRenderedPageBreak/>
        <w:t>Under the PJC model, a key role for FPEC is to determine Recognition of Prior Learning (RPL) criteria so as to provide existing advisers a transition pathway to be compliant with the new education standards. For further information on transitional arrangements, see Section</w:t>
      </w:r>
      <w:r w:rsidRPr="00AE385E">
        <w:t xml:space="preserve"> </w:t>
      </w:r>
      <w:r w:rsidR="008806EF" w:rsidRPr="00AE385E">
        <w:t>9</w:t>
      </w:r>
      <w:r>
        <w:rPr>
          <w:b/>
        </w:rPr>
        <w:t xml:space="preserve"> </w:t>
      </w:r>
      <w:r>
        <w:t>of this consultation paper.</w:t>
      </w:r>
    </w:p>
    <w:p w14:paraId="36FDBD9A" w14:textId="2346D227" w:rsidR="00CB15B7" w:rsidRDefault="00CB15B7" w:rsidP="00CB15B7">
      <w:pPr>
        <w:pStyle w:val="OutlineNumbered1"/>
      </w:pPr>
      <w:r>
        <w:t xml:space="preserve">As </w:t>
      </w:r>
      <w:r w:rsidR="0008799D">
        <w:t xml:space="preserve">FPEC is to be funded by </w:t>
      </w:r>
      <w:r>
        <w:t xml:space="preserve">industry, it would effectively be a self-regulating body.  </w:t>
      </w:r>
    </w:p>
    <w:p w14:paraId="41B40BEC" w14:textId="77777777" w:rsidR="00276600" w:rsidRDefault="00276600" w:rsidP="00276600"/>
    <w:p w14:paraId="4D03BE6A" w14:textId="368E6D6E" w:rsidR="008E56CB" w:rsidRDefault="008E56CB" w:rsidP="008E56CB">
      <w:pPr>
        <w:pStyle w:val="Heading5"/>
        <w:shd w:val="clear" w:color="auto" w:fill="FDE9D9" w:themeFill="accent6" w:themeFillTint="33"/>
      </w:pPr>
      <w:r w:rsidDel="001657A7">
        <w:t>Feedback sought</w:t>
      </w:r>
      <w:r w:rsidR="004A06FF">
        <w:t xml:space="preserve"> —</w:t>
      </w:r>
      <w:r w:rsidR="001657A7">
        <w:t xml:space="preserve"> </w:t>
      </w:r>
      <w:r w:rsidR="00E125F7">
        <w:t xml:space="preserve">structure and role of a </w:t>
      </w:r>
      <w:r w:rsidR="001657A7">
        <w:t>s</w:t>
      </w:r>
      <w:r w:rsidR="0084430D">
        <w:t>tanda</w:t>
      </w:r>
      <w:r w:rsidR="00E125F7">
        <w:t>rd-</w:t>
      </w:r>
      <w:r w:rsidR="008E041C">
        <w:t>setting body</w:t>
      </w:r>
      <w:r>
        <w:t xml:space="preserve">  </w:t>
      </w:r>
    </w:p>
    <w:p w14:paraId="23ACB40A" w14:textId="039EA1AE" w:rsidR="00CE440D" w:rsidRPr="004A06FF" w:rsidRDefault="00CE440D" w:rsidP="00CE440D">
      <w:pPr>
        <w:shd w:val="clear" w:color="auto" w:fill="FDE9D9" w:themeFill="accent6" w:themeFillTint="33"/>
        <w:rPr>
          <w:i/>
        </w:rPr>
      </w:pPr>
      <w:r w:rsidRPr="004A06FF">
        <w:rPr>
          <w:i/>
        </w:rPr>
        <w:t xml:space="preserve">The PJC model </w:t>
      </w:r>
      <w:r w:rsidR="00D808DA">
        <w:rPr>
          <w:i/>
        </w:rPr>
        <w:t xml:space="preserve">would </w:t>
      </w:r>
      <w:r w:rsidRPr="004A06FF">
        <w:rPr>
          <w:i/>
        </w:rPr>
        <w:t>establish an independent FPEC as the central body to set education standards, profession</w:t>
      </w:r>
      <w:r w:rsidR="004A06FF">
        <w:rPr>
          <w:i/>
        </w:rPr>
        <w:t>al</w:t>
      </w:r>
      <w:r w:rsidRPr="004A06FF">
        <w:rPr>
          <w:i/>
        </w:rPr>
        <w:t xml:space="preserve"> year requirements, r</w:t>
      </w:r>
      <w:r w:rsidR="0084430D">
        <w:rPr>
          <w:i/>
        </w:rPr>
        <w:t>egistration exam content and ongoing professional development</w:t>
      </w:r>
      <w:r w:rsidRPr="004A06FF">
        <w:rPr>
          <w:i/>
        </w:rPr>
        <w:t xml:space="preserve"> requirements. </w:t>
      </w:r>
    </w:p>
    <w:p w14:paraId="33839AB5" w14:textId="2D98BB1F" w:rsidR="00CE440D" w:rsidRPr="004A06FF" w:rsidRDefault="00CE440D" w:rsidP="00CE440D">
      <w:pPr>
        <w:shd w:val="clear" w:color="auto" w:fill="FDE9D9" w:themeFill="accent6" w:themeFillTint="33"/>
        <w:rPr>
          <w:i/>
        </w:rPr>
      </w:pPr>
      <w:r w:rsidRPr="004A06FF">
        <w:rPr>
          <w:i/>
        </w:rPr>
        <w:t>Under the PJC’s recommendations</w:t>
      </w:r>
      <w:r w:rsidR="00D808DA">
        <w:rPr>
          <w:i/>
        </w:rPr>
        <w:t>,</w:t>
      </w:r>
      <w:r w:rsidRPr="004A06FF">
        <w:rPr>
          <w:i/>
        </w:rPr>
        <w:t xml:space="preserve"> FPEC would be funded by approved professional </w:t>
      </w:r>
      <w:r w:rsidR="000C2C6E">
        <w:rPr>
          <w:i/>
        </w:rPr>
        <w:t>associations and would comprise</w:t>
      </w:r>
      <w:r w:rsidRPr="004A06FF">
        <w:rPr>
          <w:i/>
        </w:rPr>
        <w:t xml:space="preserve"> representatives from those associations, academi</w:t>
      </w:r>
      <w:r w:rsidR="00D808DA">
        <w:rPr>
          <w:i/>
        </w:rPr>
        <w:t>cs</w:t>
      </w:r>
      <w:r w:rsidRPr="004A06FF">
        <w:rPr>
          <w:i/>
        </w:rPr>
        <w:t xml:space="preserve">, consumer advocates and an ethicist. </w:t>
      </w:r>
    </w:p>
    <w:p w14:paraId="5AD2D8A2" w14:textId="77777777" w:rsidR="004A06FF" w:rsidRDefault="008E041C" w:rsidP="004A06FF">
      <w:pPr>
        <w:pStyle w:val="Heading5"/>
        <w:shd w:val="clear" w:color="auto" w:fill="FDE9D9" w:themeFill="accent6" w:themeFillTint="33"/>
      </w:pPr>
      <w:r>
        <w:t>Question 4.</w:t>
      </w:r>
      <w:r w:rsidR="002A4F74">
        <w:t>1</w:t>
      </w:r>
    </w:p>
    <w:p w14:paraId="65CDB89C" w14:textId="7DC23726" w:rsidR="003A163D" w:rsidRDefault="00CE440D" w:rsidP="00BD7748">
      <w:pPr>
        <w:pStyle w:val="NoSpacing"/>
        <w:shd w:val="clear" w:color="auto" w:fill="FDE9D9" w:themeFill="accent6" w:themeFillTint="33"/>
        <w:tabs>
          <w:tab w:val="left" w:pos="1560"/>
        </w:tabs>
        <w:spacing w:after="120"/>
      </w:pPr>
      <w:r>
        <w:t xml:space="preserve">What are the practical </w:t>
      </w:r>
      <w:r w:rsidR="00493435">
        <w:t>implications of</w:t>
      </w:r>
      <w:r>
        <w:t xml:space="preserve"> FPEC performing this role? For example</w:t>
      </w:r>
      <w:r w:rsidR="003A163D">
        <w:t>:</w:t>
      </w:r>
    </w:p>
    <w:p w14:paraId="203018E2" w14:textId="7246968D" w:rsidR="003A163D" w:rsidRDefault="003A163D" w:rsidP="009625C2">
      <w:pPr>
        <w:pStyle w:val="Bullet"/>
        <w:shd w:val="clear" w:color="auto" w:fill="FDE9D9" w:themeFill="accent6" w:themeFillTint="33"/>
      </w:pPr>
      <w:r>
        <w:t>h</w:t>
      </w:r>
      <w:r w:rsidR="00CE440D">
        <w:t>ow would FPEC interact</w:t>
      </w:r>
      <w:r>
        <w:t xml:space="preserve"> </w:t>
      </w:r>
      <w:r w:rsidR="00CE440D">
        <w:t>with regulators and government agencies, su</w:t>
      </w:r>
      <w:r w:rsidR="008E041C">
        <w:t>ch as ASIC</w:t>
      </w:r>
      <w:r w:rsidR="00493435">
        <w:t>,</w:t>
      </w:r>
      <w:r w:rsidR="008E041C">
        <w:t xml:space="preserve"> and education bodies?</w:t>
      </w:r>
    </w:p>
    <w:p w14:paraId="70375244" w14:textId="77777777" w:rsidR="00E617A4" w:rsidRDefault="003A163D" w:rsidP="009625C2">
      <w:pPr>
        <w:pStyle w:val="Bullet"/>
        <w:shd w:val="clear" w:color="auto" w:fill="FDE9D9" w:themeFill="accent6" w:themeFillTint="33"/>
      </w:pPr>
      <w:r>
        <w:t>would FPEC need to be supported by legislation in order to perform its role?</w:t>
      </w:r>
    </w:p>
    <w:p w14:paraId="155BF570" w14:textId="5934C82F" w:rsidR="00E617A4" w:rsidRDefault="003E0BC2" w:rsidP="009625C2">
      <w:pPr>
        <w:pStyle w:val="Bullet"/>
        <w:shd w:val="clear" w:color="auto" w:fill="FDE9D9" w:themeFill="accent6" w:themeFillTint="33"/>
      </w:pPr>
      <w:r>
        <w:t xml:space="preserve">is the </w:t>
      </w:r>
      <w:r w:rsidR="00B400CB">
        <w:t xml:space="preserve">recommended </w:t>
      </w:r>
      <w:r w:rsidR="00E617A4">
        <w:t>FPEC</w:t>
      </w:r>
      <w:r>
        <w:t xml:space="preserve"> membership </w:t>
      </w:r>
      <w:r w:rsidR="006F2154">
        <w:t>appropriate</w:t>
      </w:r>
      <w:r w:rsidR="00E617A4">
        <w:t>?</w:t>
      </w:r>
    </w:p>
    <w:p w14:paraId="03E39166" w14:textId="77777777" w:rsidR="004A06FF" w:rsidRDefault="002A4F74" w:rsidP="004A06FF">
      <w:pPr>
        <w:pStyle w:val="Heading5"/>
        <w:shd w:val="clear" w:color="auto" w:fill="FDE9D9" w:themeFill="accent6" w:themeFillTint="33"/>
      </w:pPr>
      <w:r>
        <w:t>Question 4.2</w:t>
      </w:r>
    </w:p>
    <w:p w14:paraId="59738354" w14:textId="269146E0" w:rsidR="001B16FA" w:rsidRPr="00004538" w:rsidRDefault="0084430D" w:rsidP="004A06FF">
      <w:pPr>
        <w:pStyle w:val="NoSpacing"/>
        <w:shd w:val="clear" w:color="auto" w:fill="FDE9D9" w:themeFill="accent6" w:themeFillTint="33"/>
      </w:pPr>
      <w:r>
        <w:t>Are there</w:t>
      </w:r>
      <w:r w:rsidR="00CE440D">
        <w:t xml:space="preserve"> alternat</w:t>
      </w:r>
      <w:r w:rsidR="006F2154">
        <w:t>ive</w:t>
      </w:r>
      <w:r w:rsidR="00CE440D">
        <w:t xml:space="preserve"> arrangements </w:t>
      </w:r>
      <w:r>
        <w:t xml:space="preserve">that </w:t>
      </w:r>
      <w:r w:rsidR="00CE440D">
        <w:t>would be more appropriate or effective?</w:t>
      </w:r>
    </w:p>
    <w:p w14:paraId="7C0B5D05"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3F82142B" w14:textId="6010B562" w:rsidR="00E6388D" w:rsidRDefault="001B12B4" w:rsidP="00F90050">
      <w:pPr>
        <w:pStyle w:val="Heading2"/>
      </w:pPr>
      <w:r>
        <w:lastRenderedPageBreak/>
        <w:t xml:space="preserve">Section </w:t>
      </w:r>
      <w:r w:rsidR="00004538">
        <w:t>5</w:t>
      </w:r>
      <w:r w:rsidR="00E6388D">
        <w:t xml:space="preserve">. </w:t>
      </w:r>
      <w:r w:rsidR="005A05DD">
        <w:t xml:space="preserve"> </w:t>
      </w:r>
      <w:r w:rsidR="00E6388D">
        <w:t>Registration</w:t>
      </w:r>
    </w:p>
    <w:p w14:paraId="7C4C899D" w14:textId="5444E6EC" w:rsidR="002A4F74" w:rsidRDefault="00E03D3E" w:rsidP="00E03D3E">
      <w:pPr>
        <w:pStyle w:val="OutlineNumbered1"/>
      </w:pPr>
      <w:r>
        <w:t xml:space="preserve">Under the PJC model, to be registered, </w:t>
      </w:r>
      <w:r w:rsidR="0084430D">
        <w:t>a</w:t>
      </w:r>
      <w:r>
        <w:t xml:space="preserve"> financial adviser must be listed on ASIC’s </w:t>
      </w:r>
      <w:r w:rsidR="0084430D">
        <w:t>r</w:t>
      </w:r>
      <w:r w:rsidR="00087D6C">
        <w:t xml:space="preserve">egister of </w:t>
      </w:r>
      <w:r w:rsidR="0084430D">
        <w:t>f</w:t>
      </w:r>
      <w:r w:rsidR="00087D6C">
        <w:t xml:space="preserve">inancial </w:t>
      </w:r>
      <w:r w:rsidR="0084430D">
        <w:t>a</w:t>
      </w:r>
      <w:r w:rsidR="00087D6C">
        <w:t xml:space="preserve">dvisers (the Register).  </w:t>
      </w:r>
    </w:p>
    <w:p w14:paraId="1F483DA1" w14:textId="77777777" w:rsidR="002A4F74" w:rsidRDefault="002A4F74" w:rsidP="002A4F74">
      <w:pPr>
        <w:keepNext/>
        <w:keepLines/>
        <w:shd w:val="clear" w:color="auto" w:fill="D9D9D9" w:themeFill="background1" w:themeFillShade="D9"/>
        <w:spacing w:after="0"/>
      </w:pPr>
    </w:p>
    <w:p w14:paraId="31710B0D" w14:textId="77777777" w:rsidR="002A4F74" w:rsidRDefault="002A4F74" w:rsidP="002A4F74">
      <w:pPr>
        <w:pStyle w:val="Heading3"/>
        <w:keepLines/>
        <w:shd w:val="clear" w:color="auto" w:fill="D9D9D9" w:themeFill="background1" w:themeFillShade="D9"/>
        <w:spacing w:before="0"/>
        <w:jc w:val="both"/>
      </w:pPr>
      <w:r>
        <w:t>Register of financial advisers</w:t>
      </w:r>
    </w:p>
    <w:p w14:paraId="58C1C916" w14:textId="7C690C38" w:rsidR="002A4F74" w:rsidRDefault="002A4F74" w:rsidP="002A4F74">
      <w:pPr>
        <w:keepNext/>
        <w:keepLines/>
        <w:shd w:val="clear" w:color="auto" w:fill="D9D9D9" w:themeFill="background1" w:themeFillShade="D9"/>
      </w:pPr>
      <w:r>
        <w:t>ASIC is currently establishing the Register.</w:t>
      </w:r>
      <w:r w:rsidR="00626F75">
        <w:rPr>
          <w:rStyle w:val="FootnoteReference"/>
        </w:rPr>
        <w:footnoteReference w:id="13"/>
      </w:r>
      <w:r w:rsidR="00626F75">
        <w:t xml:space="preserve"> </w:t>
      </w:r>
      <w:r>
        <w:t xml:space="preserve"> </w:t>
      </w:r>
      <w:r w:rsidRPr="00F1577B">
        <w:t xml:space="preserve">Prior to the introduction of the </w:t>
      </w:r>
      <w:r>
        <w:t>R</w:t>
      </w:r>
      <w:r w:rsidRPr="00F1577B">
        <w:t xml:space="preserve">egister, licensees were not </w:t>
      </w:r>
      <w:r>
        <w:t>required to provide ASIC</w:t>
      </w:r>
      <w:r w:rsidR="00273F38">
        <w:t xml:space="preserve"> </w:t>
      </w:r>
      <w:r>
        <w:t xml:space="preserve">with certain information on director or employee representatives that operate under their licence. </w:t>
      </w:r>
      <w:r w:rsidR="00493435">
        <w:t>L</w:t>
      </w:r>
      <w:r>
        <w:t xml:space="preserve">icensees were </w:t>
      </w:r>
      <w:r w:rsidR="00493435">
        <w:t xml:space="preserve">however </w:t>
      </w:r>
      <w:r>
        <w:t xml:space="preserve">required to lodge certain information </w:t>
      </w:r>
      <w:r w:rsidR="00626F75">
        <w:t xml:space="preserve">about their authorised representatives </w:t>
      </w:r>
      <w:r>
        <w:t xml:space="preserve">with ASIC, which was maintained on a separate register. </w:t>
      </w:r>
    </w:p>
    <w:p w14:paraId="1D4C4941" w14:textId="77777777" w:rsidR="002A4F74" w:rsidRDefault="002A4F74" w:rsidP="002A4F74">
      <w:pPr>
        <w:keepNext/>
        <w:keepLines/>
        <w:shd w:val="clear" w:color="auto" w:fill="D9D9D9" w:themeFill="background1" w:themeFillShade="D9"/>
      </w:pPr>
      <w:r>
        <w:t xml:space="preserve">Consequently, there was no register that provided information to consumers, the financial advice industry, or ASIC regarding employee and director representatives of licensees. </w:t>
      </w:r>
    </w:p>
    <w:p w14:paraId="12A30A8C" w14:textId="77777777" w:rsidR="002A4F74" w:rsidRDefault="002A4F74" w:rsidP="002A4F74">
      <w:pPr>
        <w:keepNext/>
        <w:keepLines/>
        <w:shd w:val="clear" w:color="auto" w:fill="D9D9D9" w:themeFill="background1" w:themeFillShade="D9"/>
      </w:pPr>
      <w:r>
        <w:t>The Register</w:t>
      </w:r>
      <w:r w:rsidDel="00200044">
        <w:t xml:space="preserve"> </w:t>
      </w:r>
      <w:r>
        <w:t>will contain information on all individuals who provide personal advice on Tier 1 financial products to retail clients under an AFS</w:t>
      </w:r>
      <w:r w:rsidDel="00200044">
        <w:t xml:space="preserve"> </w:t>
      </w:r>
      <w:r>
        <w:t xml:space="preserve">licence. This will enable consumers to verify that their individual adviser is appropriately authorised to provide advice and </w:t>
      </w:r>
      <w:r w:rsidR="00626F75">
        <w:t xml:space="preserve">to </w:t>
      </w:r>
      <w:r>
        <w:t>find out more information about the adviser before receiving financial advice.</w:t>
      </w:r>
    </w:p>
    <w:p w14:paraId="13D85EB9" w14:textId="77777777" w:rsidR="002A4F74" w:rsidRDefault="002A4F74" w:rsidP="00BD7748">
      <w:pPr>
        <w:keepNext/>
        <w:keepLines/>
        <w:shd w:val="clear" w:color="auto" w:fill="D9D9D9" w:themeFill="background1" w:themeFillShade="D9"/>
      </w:pPr>
      <w:r>
        <w:t>From March 2015, the Register will display:</w:t>
      </w:r>
    </w:p>
    <w:p w14:paraId="6EB6AC15" w14:textId="77777777" w:rsidR="002A4F74" w:rsidRDefault="002A4F74" w:rsidP="00BD7748">
      <w:pPr>
        <w:pStyle w:val="Bullet"/>
        <w:shd w:val="clear" w:color="auto" w:fill="D9D9D9" w:themeFill="background1" w:themeFillShade="D9"/>
      </w:pPr>
      <w:r>
        <w:t>each adviser's name, unique individual registration number and status;</w:t>
      </w:r>
    </w:p>
    <w:p w14:paraId="70F48967" w14:textId="77777777" w:rsidR="002A4F74" w:rsidRDefault="002A4F74" w:rsidP="00BD7748">
      <w:pPr>
        <w:pStyle w:val="Bullet"/>
        <w:shd w:val="clear" w:color="auto" w:fill="D9D9D9" w:themeFill="background1" w:themeFillShade="D9"/>
      </w:pPr>
      <w:r>
        <w:t xml:space="preserve">the year each adviser began advising, and each adviser’s five year advising history; </w:t>
      </w:r>
    </w:p>
    <w:p w14:paraId="70482449" w14:textId="77777777" w:rsidR="002A4F74" w:rsidRDefault="002A4F74" w:rsidP="00BD7748">
      <w:pPr>
        <w:pStyle w:val="Bullet"/>
        <w:shd w:val="clear" w:color="auto" w:fill="D9D9D9" w:themeFill="background1" w:themeFillShade="D9"/>
      </w:pPr>
      <w:r>
        <w:t>each adviser's current financial services licensee and authorised representative (if applicable), and a direct link to the business names associated with these entities;</w:t>
      </w:r>
    </w:p>
    <w:p w14:paraId="1AA4E5B4" w14:textId="77777777" w:rsidR="002A4F74" w:rsidRDefault="002A4F74" w:rsidP="00BD7748">
      <w:pPr>
        <w:pStyle w:val="Bullet"/>
        <w:shd w:val="clear" w:color="auto" w:fill="D9D9D9" w:themeFill="background1" w:themeFillShade="D9"/>
      </w:pPr>
      <w:r>
        <w:t>what product areas the adviser can provide advice on;</w:t>
      </w:r>
    </w:p>
    <w:p w14:paraId="430CF47F" w14:textId="77777777" w:rsidR="002A4F74" w:rsidRDefault="002A4F74" w:rsidP="00BD7748">
      <w:pPr>
        <w:pStyle w:val="Bullet"/>
        <w:shd w:val="clear" w:color="auto" w:fill="D9D9D9" w:themeFill="background1" w:themeFillShade="D9"/>
      </w:pPr>
      <w:r>
        <w:t>any bans, disqualifications or enforceable undertakings; and</w:t>
      </w:r>
    </w:p>
    <w:p w14:paraId="630C7843" w14:textId="77777777" w:rsidR="002A4F74" w:rsidRDefault="002A4F74" w:rsidP="00BD7748">
      <w:pPr>
        <w:pStyle w:val="Bullet"/>
        <w:shd w:val="clear" w:color="auto" w:fill="D9D9D9" w:themeFill="background1" w:themeFillShade="D9"/>
      </w:pPr>
      <w:r>
        <w:t>where applicable, each person that controls the financial services licensee.</w:t>
      </w:r>
    </w:p>
    <w:p w14:paraId="706E9128" w14:textId="77777777" w:rsidR="002A4F74" w:rsidRDefault="002A4F74" w:rsidP="00BD7748">
      <w:pPr>
        <w:keepNext/>
        <w:keepLines/>
        <w:shd w:val="clear" w:color="auto" w:fill="D9D9D9" w:themeFill="background1" w:themeFillShade="D9"/>
      </w:pPr>
      <w:r>
        <w:t>From May 2015, the Register will also display:</w:t>
      </w:r>
    </w:p>
    <w:p w14:paraId="5CC39E2C" w14:textId="77777777" w:rsidR="002A4F74" w:rsidRDefault="002A4F74" w:rsidP="00BD7748">
      <w:pPr>
        <w:pStyle w:val="Bullet"/>
        <w:shd w:val="clear" w:color="auto" w:fill="D9D9D9" w:themeFill="background1" w:themeFillShade="D9"/>
      </w:pPr>
      <w:r>
        <w:t xml:space="preserve">up to five of each adviser’s training courses and qualifications (as determined by licensees); and </w:t>
      </w:r>
    </w:p>
    <w:p w14:paraId="76BB5145" w14:textId="3C153B72" w:rsidR="002A4F74" w:rsidRDefault="002A4F74" w:rsidP="00BD7748">
      <w:pPr>
        <w:pStyle w:val="Bullet"/>
        <w:shd w:val="clear" w:color="auto" w:fill="D9D9D9" w:themeFill="background1" w:themeFillShade="D9"/>
      </w:pPr>
      <w:r>
        <w:t>up to five of each adviser’s professional association memberships (as determined by licensees).</w:t>
      </w:r>
    </w:p>
    <w:p w14:paraId="0B29C193" w14:textId="77777777" w:rsidR="00E03D3E" w:rsidRDefault="009E027D" w:rsidP="00E03D3E">
      <w:pPr>
        <w:pStyle w:val="OutlineNumbered1"/>
      </w:pPr>
      <w:r>
        <w:t>Under</w:t>
      </w:r>
      <w:r w:rsidR="002A4F74">
        <w:t xml:space="preserve"> the PJC model, t</w:t>
      </w:r>
      <w:r w:rsidR="00087D6C">
        <w:t xml:space="preserve">o </w:t>
      </w:r>
      <w:r w:rsidR="00B772C1">
        <w:t>be listed on the Register</w:t>
      </w:r>
      <w:r w:rsidR="00626F75">
        <w:t>,</w:t>
      </w:r>
      <w:r w:rsidR="00B772C1">
        <w:t xml:space="preserve"> </w:t>
      </w:r>
      <w:r w:rsidR="00087D6C">
        <w:t>an adviser must</w:t>
      </w:r>
      <w:r w:rsidR="00E03D3E">
        <w:t>:</w:t>
      </w:r>
    </w:p>
    <w:p w14:paraId="5BF3E178" w14:textId="31200FE7" w:rsidR="00E03D3E" w:rsidRDefault="00626F75" w:rsidP="009625C2">
      <w:pPr>
        <w:pStyle w:val="Bullet"/>
        <w:tabs>
          <w:tab w:val="clear" w:pos="520"/>
          <w:tab w:val="num" w:pos="851"/>
        </w:tabs>
        <w:ind w:left="851" w:hanging="284"/>
      </w:pPr>
      <w:r>
        <w:t>have met</w:t>
      </w:r>
      <w:r w:rsidR="00E03D3E">
        <w:t xml:space="preserve"> the education and training requirements (be degree qualified and have completed a professional year);</w:t>
      </w:r>
    </w:p>
    <w:p w14:paraId="361D93DB" w14:textId="77777777" w:rsidR="00E03D3E" w:rsidRDefault="00E03D3E" w:rsidP="009625C2">
      <w:pPr>
        <w:pStyle w:val="Bullet"/>
        <w:tabs>
          <w:tab w:val="clear" w:pos="520"/>
          <w:tab w:val="num" w:pos="851"/>
        </w:tabs>
        <w:ind w:left="851" w:hanging="284"/>
      </w:pPr>
      <w:r>
        <w:lastRenderedPageBreak/>
        <w:t>have passed a registration exam;</w:t>
      </w:r>
    </w:p>
    <w:p w14:paraId="27BE1B8A" w14:textId="77777777" w:rsidR="00E03D3E" w:rsidRDefault="00E03D3E" w:rsidP="009625C2">
      <w:pPr>
        <w:pStyle w:val="Bullet"/>
        <w:tabs>
          <w:tab w:val="clear" w:pos="520"/>
          <w:tab w:val="num" w:pos="851"/>
        </w:tabs>
        <w:ind w:left="851" w:hanging="284"/>
      </w:pPr>
      <w:r>
        <w:t>be undertaking ongoing professional development; and</w:t>
      </w:r>
    </w:p>
    <w:p w14:paraId="433354F3" w14:textId="53FDF12A" w:rsidR="00E03D3E" w:rsidRDefault="00E03D3E" w:rsidP="009625C2">
      <w:pPr>
        <w:pStyle w:val="Bullet"/>
        <w:tabs>
          <w:tab w:val="clear" w:pos="520"/>
          <w:tab w:val="num" w:pos="851"/>
        </w:tabs>
        <w:ind w:left="851" w:hanging="284"/>
      </w:pPr>
      <w:r>
        <w:t xml:space="preserve">be a member of a </w:t>
      </w:r>
      <w:r w:rsidR="007117A1">
        <w:t>PSC</w:t>
      </w:r>
      <w:r w:rsidR="00626F75">
        <w:t>-</w:t>
      </w:r>
      <w:r w:rsidR="007117A1">
        <w:t>approved</w:t>
      </w:r>
      <w:r>
        <w:t xml:space="preserve"> professional association.</w:t>
      </w:r>
    </w:p>
    <w:p w14:paraId="234EC39F" w14:textId="77777777" w:rsidR="00B772C1" w:rsidRDefault="00B772C1" w:rsidP="00D83D23">
      <w:pPr>
        <w:pStyle w:val="OutlineNumbered1"/>
      </w:pPr>
      <w:r>
        <w:t>The professional association of which the adviser is a member would then notify ASIC that the adviser has completed all the requirements.</w:t>
      </w:r>
    </w:p>
    <w:p w14:paraId="444F00FD" w14:textId="3D786864" w:rsidR="00087D6C" w:rsidRDefault="00B9160E" w:rsidP="00D83D23">
      <w:pPr>
        <w:pStyle w:val="OutlineNumbered1"/>
      </w:pPr>
      <w:r>
        <w:t xml:space="preserve">The </w:t>
      </w:r>
      <w:r w:rsidR="00626F75">
        <w:t xml:space="preserve">current function of the </w:t>
      </w:r>
      <w:r>
        <w:t xml:space="preserve">Register </w:t>
      </w:r>
      <w:r w:rsidR="00626F75">
        <w:t xml:space="preserve">is to </w:t>
      </w:r>
      <w:r>
        <w:t xml:space="preserve">provide </w:t>
      </w:r>
      <w:r w:rsidR="00087D6C">
        <w:t xml:space="preserve">a reference point for consumers, employers and ASIC itself to verify the credentials of financial advisers. </w:t>
      </w:r>
    </w:p>
    <w:p w14:paraId="25E5C806" w14:textId="77777777" w:rsidR="00D05F89" w:rsidRDefault="00087D6C" w:rsidP="00087D6C">
      <w:pPr>
        <w:pStyle w:val="OutlineNumbered1"/>
      </w:pPr>
      <w:r w:rsidRPr="00087D6C">
        <w:t xml:space="preserve">The PJC </w:t>
      </w:r>
      <w:r>
        <w:t>m</w:t>
      </w:r>
      <w:r w:rsidRPr="00087D6C">
        <w:t>odel recommends that the current</w:t>
      </w:r>
      <w:r w:rsidR="000A0731">
        <w:t xml:space="preserve"> function of the</w:t>
      </w:r>
      <w:r w:rsidRPr="00087D6C">
        <w:t xml:space="preserve"> Register be </w:t>
      </w:r>
      <w:r>
        <w:t>modified so</w:t>
      </w:r>
      <w:r w:rsidR="00D05F89">
        <w:t xml:space="preserve"> that being listed on the Register becomes a requirement to practice as a financial adviser. </w:t>
      </w:r>
    </w:p>
    <w:p w14:paraId="7B37470C" w14:textId="38A0AD0E" w:rsidR="00D05F89" w:rsidRDefault="00D05F89" w:rsidP="00087D6C">
      <w:pPr>
        <w:pStyle w:val="OutlineNumbered1"/>
      </w:pPr>
      <w:r>
        <w:t xml:space="preserve">This represents a partial shift in </w:t>
      </w:r>
      <w:r w:rsidR="00493435">
        <w:t xml:space="preserve">the </w:t>
      </w:r>
      <w:r>
        <w:t xml:space="preserve">regulatory regime, where the obligation to comply partly moves from the licensee to the individual adviser.  </w:t>
      </w:r>
    </w:p>
    <w:p w14:paraId="12AD9265" w14:textId="77777777" w:rsidR="00B772C1" w:rsidRDefault="00D05F89" w:rsidP="00087D6C">
      <w:pPr>
        <w:pStyle w:val="OutlineNumbered1"/>
      </w:pPr>
      <w:r>
        <w:t>The PJC also recommends expanding the Register</w:t>
      </w:r>
      <w:r w:rsidR="00087D6C" w:rsidRPr="00087D6C">
        <w:t xml:space="preserve"> to</w:t>
      </w:r>
      <w:r w:rsidR="00B772C1">
        <w:t>:</w:t>
      </w:r>
    </w:p>
    <w:p w14:paraId="27D5E9E9" w14:textId="77777777" w:rsidR="00B772C1" w:rsidRDefault="00B772C1" w:rsidP="009625C2">
      <w:pPr>
        <w:pStyle w:val="Bullet"/>
        <w:tabs>
          <w:tab w:val="clear" w:pos="520"/>
          <w:tab w:val="num" w:pos="851"/>
        </w:tabs>
        <w:ind w:left="851" w:hanging="284"/>
      </w:pPr>
      <w:r>
        <w:t>record any higher qualification awarded by a professional body to the adviser;</w:t>
      </w:r>
    </w:p>
    <w:p w14:paraId="547B527B" w14:textId="77777777" w:rsidR="00087D6C" w:rsidRDefault="00B772C1" w:rsidP="009625C2">
      <w:pPr>
        <w:pStyle w:val="Bullet"/>
        <w:tabs>
          <w:tab w:val="clear" w:pos="520"/>
          <w:tab w:val="num" w:pos="851"/>
        </w:tabs>
        <w:ind w:left="851" w:hanging="284"/>
      </w:pPr>
      <w:r>
        <w:t>include</w:t>
      </w:r>
      <w:r w:rsidRPr="00087D6C">
        <w:t xml:space="preserve"> </w:t>
      </w:r>
      <w:r w:rsidR="00087D6C" w:rsidRPr="00087D6C">
        <w:t>any censure or limitation placed on a financial adviser by a profes</w:t>
      </w:r>
      <w:r>
        <w:t>sional body, ASIC or a licensee; and</w:t>
      </w:r>
    </w:p>
    <w:p w14:paraId="1A18136D" w14:textId="77777777" w:rsidR="00B772C1" w:rsidRDefault="00B772C1" w:rsidP="009625C2">
      <w:pPr>
        <w:pStyle w:val="Bullet"/>
        <w:tabs>
          <w:tab w:val="clear" w:pos="520"/>
          <w:tab w:val="num" w:pos="851"/>
        </w:tabs>
        <w:ind w:left="851" w:hanging="284"/>
      </w:pPr>
      <w:r w:rsidRPr="00B772C1">
        <w:t xml:space="preserve">highlight </w:t>
      </w:r>
      <w:r>
        <w:t xml:space="preserve">where a professional association </w:t>
      </w:r>
      <w:r w:rsidR="002958ED">
        <w:t>has</w:t>
      </w:r>
      <w:r>
        <w:t xml:space="preserve"> suspended or revoked an adviser</w:t>
      </w:r>
      <w:r w:rsidR="007D0B5E">
        <w:t>’</w:t>
      </w:r>
      <w:r>
        <w:t xml:space="preserve">s membership, and so the adviser is </w:t>
      </w:r>
      <w:r w:rsidRPr="00B772C1">
        <w:t>no longer authori</w:t>
      </w:r>
      <w:r>
        <w:t>sed to provide financial advice.</w:t>
      </w:r>
    </w:p>
    <w:p w14:paraId="28ADEECD" w14:textId="77777777" w:rsidR="00D83D23" w:rsidRDefault="00F3666B" w:rsidP="00D83D23">
      <w:pPr>
        <w:pStyle w:val="OutlineNumbered1"/>
      </w:pPr>
      <w:r>
        <w:t xml:space="preserve">These recommendations are aimed at ensuring </w:t>
      </w:r>
      <w:r w:rsidR="00D83D23" w:rsidRPr="00D83D23">
        <w:t>only suitably qualified and competent financial advisers are allowed to provide financial advice.</w:t>
      </w:r>
    </w:p>
    <w:p w14:paraId="33AEFCC6" w14:textId="361A3BAD" w:rsidR="000858F6" w:rsidRDefault="00724E63" w:rsidP="000858F6">
      <w:pPr>
        <w:pStyle w:val="OutlineNumbered1"/>
      </w:pPr>
      <w:r>
        <w:t xml:space="preserve">A related </w:t>
      </w:r>
      <w:r w:rsidR="00626F75">
        <w:t xml:space="preserve">PJC </w:t>
      </w:r>
      <w:r>
        <w:t xml:space="preserve">recommendation is to </w:t>
      </w:r>
      <w:r w:rsidR="000858F6" w:rsidRPr="000858F6">
        <w:t>bring forward legislation to protect the titles 'financial adviser' and 'financial planner' and require that to be eligible to use the title 'financial adviser', an individual must be registered as a financial adviser</w:t>
      </w:r>
      <w:r w:rsidR="00626F75">
        <w:t xml:space="preserve"> (Recommendation 4)</w:t>
      </w:r>
      <w:r w:rsidR="000858F6" w:rsidRPr="000858F6">
        <w:t>.</w:t>
      </w:r>
    </w:p>
    <w:p w14:paraId="5B240AA6" w14:textId="277038FC" w:rsidR="00B772C1" w:rsidRDefault="00B772C1" w:rsidP="00904FCD">
      <w:pPr>
        <w:pStyle w:val="OutlineNumbered1"/>
      </w:pPr>
      <w:r>
        <w:t xml:space="preserve">This recommendation is also intended to </w:t>
      </w:r>
      <w:r w:rsidR="00904FCD">
        <w:t xml:space="preserve">assist consumers to better understand the nature of the information and advice they are receiving, and that </w:t>
      </w:r>
      <w:r w:rsidR="00904FCD" w:rsidRPr="00904FCD">
        <w:t xml:space="preserve">only suitably qualified people </w:t>
      </w:r>
      <w:r w:rsidR="00626F75" w:rsidRPr="00904FCD">
        <w:t>c</w:t>
      </w:r>
      <w:r w:rsidR="00626F75">
        <w:t>an</w:t>
      </w:r>
      <w:r w:rsidR="00626F75" w:rsidRPr="00904FCD">
        <w:t xml:space="preserve"> </w:t>
      </w:r>
      <w:r w:rsidR="00904FCD" w:rsidRPr="00904FCD">
        <w:t>legally provide financial (personal) advice</w:t>
      </w:r>
      <w:r w:rsidR="00BB360E">
        <w:t xml:space="preserve">. </w:t>
      </w:r>
      <w:r w:rsidR="00904FCD">
        <w:t>Protection of titles is a key part of separating professional and non-professional roles, and of placing higher value in being a professional.</w:t>
      </w:r>
    </w:p>
    <w:p w14:paraId="6036251C" w14:textId="77777777" w:rsidR="00276600" w:rsidRDefault="00276600" w:rsidP="00276600"/>
    <w:p w14:paraId="10B97087" w14:textId="2A305A64" w:rsidR="00037E2F" w:rsidRPr="00037E2F" w:rsidRDefault="00041F54" w:rsidP="004B26F4">
      <w:pPr>
        <w:pStyle w:val="Heading5"/>
        <w:shd w:val="clear" w:color="auto" w:fill="FDE9D9" w:themeFill="accent6" w:themeFillTint="33"/>
      </w:pPr>
      <w:r>
        <w:t>Feedback sought</w:t>
      </w:r>
      <w:r w:rsidR="004A06FF">
        <w:t xml:space="preserve"> </w:t>
      </w:r>
      <w:r w:rsidR="001B16FA">
        <w:t xml:space="preserve">— </w:t>
      </w:r>
      <w:r w:rsidR="00E125F7">
        <w:t>registration</w:t>
      </w:r>
    </w:p>
    <w:p w14:paraId="351EA5F0" w14:textId="73F4F23A" w:rsidR="00037E2F" w:rsidRPr="004B26F4" w:rsidRDefault="00037E2F" w:rsidP="00037E2F">
      <w:pPr>
        <w:shd w:val="clear" w:color="auto" w:fill="FDE9D9" w:themeFill="accent6" w:themeFillTint="33"/>
        <w:rPr>
          <w:i/>
        </w:rPr>
      </w:pPr>
      <w:r w:rsidRPr="004B26F4">
        <w:rPr>
          <w:i/>
        </w:rPr>
        <w:t>Under the PJC model</w:t>
      </w:r>
      <w:r w:rsidR="00626F75">
        <w:rPr>
          <w:i/>
        </w:rPr>
        <w:t>,</w:t>
      </w:r>
      <w:r w:rsidRPr="004B26F4">
        <w:rPr>
          <w:i/>
        </w:rPr>
        <w:t xml:space="preserve"> individuals must be listed on the </w:t>
      </w:r>
      <w:r w:rsidR="00AD18FB">
        <w:rPr>
          <w:i/>
        </w:rPr>
        <w:t>Register</w:t>
      </w:r>
      <w:r w:rsidRPr="004B26F4">
        <w:rPr>
          <w:i/>
        </w:rPr>
        <w:t xml:space="preserve"> in order to practice.</w:t>
      </w:r>
    </w:p>
    <w:p w14:paraId="73D0B92F" w14:textId="77777777" w:rsidR="004B26F4" w:rsidRDefault="00037E2F" w:rsidP="001E28BD">
      <w:pPr>
        <w:pStyle w:val="Heading5"/>
        <w:shd w:val="clear" w:color="auto" w:fill="FDE9D9" w:themeFill="accent6" w:themeFillTint="33"/>
      </w:pPr>
      <w:r w:rsidDel="002439A6">
        <w:t>Question 5.1</w:t>
      </w:r>
    </w:p>
    <w:p w14:paraId="295D277A" w14:textId="77777777" w:rsidR="00037E2F" w:rsidRDefault="00037E2F" w:rsidP="004B26F4">
      <w:pPr>
        <w:pStyle w:val="NoSpacing"/>
        <w:shd w:val="clear" w:color="auto" w:fill="FDE9D9" w:themeFill="accent6" w:themeFillTint="33"/>
      </w:pPr>
      <w:r w:rsidDel="002439A6">
        <w:t xml:space="preserve">What are the practical implications of </w:t>
      </w:r>
      <w:r w:rsidR="002439A6">
        <w:t>requiring individuals to be registered in order to provide financial advice</w:t>
      </w:r>
      <w:r>
        <w:t>?</w:t>
      </w:r>
    </w:p>
    <w:p w14:paraId="75C04045" w14:textId="77777777" w:rsidR="004B26F4" w:rsidRDefault="004B26F4" w:rsidP="004B26F4">
      <w:pPr>
        <w:pStyle w:val="NoSpacing"/>
        <w:shd w:val="clear" w:color="auto" w:fill="FDE9D9" w:themeFill="accent6" w:themeFillTint="33"/>
      </w:pPr>
    </w:p>
    <w:p w14:paraId="6B6E85CF" w14:textId="77777777" w:rsidR="008806EF" w:rsidRDefault="008806EF" w:rsidP="008806EF">
      <w:pPr>
        <w:pStyle w:val="Heading5"/>
        <w:shd w:val="clear" w:color="auto" w:fill="FDE9D9" w:themeFill="accent6" w:themeFillTint="33"/>
      </w:pPr>
      <w:r>
        <w:lastRenderedPageBreak/>
        <w:t>Question 5.2</w:t>
      </w:r>
    </w:p>
    <w:p w14:paraId="0A1041E0" w14:textId="77777777" w:rsidR="008806EF" w:rsidRDefault="008806EF" w:rsidP="008806EF">
      <w:pPr>
        <w:pStyle w:val="NoSpacing"/>
        <w:shd w:val="clear" w:color="auto" w:fill="FDE9D9" w:themeFill="accent6" w:themeFillTint="33"/>
      </w:pPr>
      <w:r>
        <w:t>Should it be the role of professional associations to notify ASIC that all requirements have been met for an adviser’s registration, and of factors which affect their subsequent fitness for registration?</w:t>
      </w:r>
    </w:p>
    <w:p w14:paraId="2CBBE29A" w14:textId="77777777" w:rsidR="008806EF" w:rsidRDefault="008806EF" w:rsidP="008806EF">
      <w:pPr>
        <w:pStyle w:val="NoSpacing"/>
        <w:shd w:val="clear" w:color="auto" w:fill="FDE9D9" w:themeFill="accent6" w:themeFillTint="33"/>
      </w:pPr>
    </w:p>
    <w:p w14:paraId="3EF0F893" w14:textId="7BA0CC4D" w:rsidR="00037E2F" w:rsidRPr="004B26F4" w:rsidRDefault="00037E2F" w:rsidP="00037E2F">
      <w:pPr>
        <w:shd w:val="clear" w:color="auto" w:fill="FDE9D9" w:themeFill="accent6" w:themeFillTint="33"/>
        <w:rPr>
          <w:i/>
        </w:rPr>
      </w:pPr>
      <w:r w:rsidRPr="004B26F4">
        <w:rPr>
          <w:i/>
        </w:rPr>
        <w:t>The PJC recommends that</w:t>
      </w:r>
      <w:r w:rsidR="005A4AD2">
        <w:rPr>
          <w:i/>
        </w:rPr>
        <w:t xml:space="preserve">, </w:t>
      </w:r>
      <w:r w:rsidRPr="004B26F4">
        <w:rPr>
          <w:i/>
        </w:rPr>
        <w:t xml:space="preserve">in addition to the information currently required to be listed on the </w:t>
      </w:r>
      <w:r w:rsidR="00AD18FB">
        <w:rPr>
          <w:i/>
        </w:rPr>
        <w:t>Register</w:t>
      </w:r>
      <w:r w:rsidR="005A4AD2">
        <w:rPr>
          <w:i/>
        </w:rPr>
        <w:t xml:space="preserve">, </w:t>
      </w:r>
      <w:r w:rsidRPr="004B26F4">
        <w:rPr>
          <w:i/>
        </w:rPr>
        <w:t>an adviser’s completion of the relevant education requirements, professional year</w:t>
      </w:r>
      <w:r w:rsidR="005A4AD2">
        <w:rPr>
          <w:i/>
        </w:rPr>
        <w:t xml:space="preserve"> and</w:t>
      </w:r>
      <w:r w:rsidRPr="004B26F4">
        <w:rPr>
          <w:i/>
        </w:rPr>
        <w:t xml:space="preserve"> registration exam, </w:t>
      </w:r>
      <w:r w:rsidR="00AD18FB">
        <w:rPr>
          <w:i/>
        </w:rPr>
        <w:t xml:space="preserve">and their </w:t>
      </w:r>
      <w:r w:rsidRPr="004B26F4">
        <w:rPr>
          <w:i/>
        </w:rPr>
        <w:t>professional association membership</w:t>
      </w:r>
      <w:r w:rsidR="00AD18FB">
        <w:rPr>
          <w:i/>
        </w:rPr>
        <w:t xml:space="preserve">, </w:t>
      </w:r>
      <w:r w:rsidRPr="004B26F4">
        <w:rPr>
          <w:i/>
        </w:rPr>
        <w:t>higher qualifications an</w:t>
      </w:r>
      <w:r w:rsidR="006548B8" w:rsidRPr="004B26F4">
        <w:rPr>
          <w:i/>
        </w:rPr>
        <w:t>d any censure</w:t>
      </w:r>
      <w:r w:rsidR="00AD18FB">
        <w:rPr>
          <w:i/>
        </w:rPr>
        <w:t xml:space="preserve"> or</w:t>
      </w:r>
      <w:r w:rsidR="006548B8" w:rsidRPr="004B26F4">
        <w:rPr>
          <w:i/>
        </w:rPr>
        <w:t xml:space="preserve"> ASIC action, also </w:t>
      </w:r>
      <w:r w:rsidRPr="004B26F4">
        <w:rPr>
          <w:i/>
        </w:rPr>
        <w:t>be listed.</w:t>
      </w:r>
    </w:p>
    <w:p w14:paraId="7DF416E2" w14:textId="1019D744" w:rsidR="004B26F4" w:rsidRDefault="00037E2F" w:rsidP="00691982">
      <w:pPr>
        <w:pStyle w:val="Heading5"/>
        <w:shd w:val="clear" w:color="auto" w:fill="FDE9D9" w:themeFill="accent6" w:themeFillTint="33"/>
      </w:pPr>
      <w:r>
        <w:t>Question 5.</w:t>
      </w:r>
      <w:r w:rsidR="000C1FB9">
        <w:t>3</w:t>
      </w:r>
    </w:p>
    <w:p w14:paraId="181ED15E" w14:textId="77777777" w:rsidR="004B26F4" w:rsidRDefault="00037E2F" w:rsidP="004B26F4">
      <w:pPr>
        <w:pStyle w:val="NoSpacing"/>
        <w:shd w:val="clear" w:color="auto" w:fill="FDE9D9" w:themeFill="accent6" w:themeFillTint="33"/>
      </w:pPr>
      <w:r>
        <w:t>What are the practical implications of having these criteria listed on a public adviser register?</w:t>
      </w:r>
    </w:p>
    <w:p w14:paraId="7152C0F6" w14:textId="77777777" w:rsidR="00691982" w:rsidRDefault="00691982" w:rsidP="004B26F4">
      <w:pPr>
        <w:pStyle w:val="NoSpacing"/>
        <w:shd w:val="clear" w:color="auto" w:fill="FDE9D9" w:themeFill="accent6" w:themeFillTint="33"/>
      </w:pPr>
      <w:r w:rsidRPr="004B26F4">
        <w:t xml:space="preserve"> </w:t>
      </w:r>
    </w:p>
    <w:p w14:paraId="0EC197F4" w14:textId="4A63FC7C" w:rsidR="004B26F4" w:rsidRDefault="00037E2F" w:rsidP="001E28BD">
      <w:pPr>
        <w:pStyle w:val="Heading5"/>
        <w:shd w:val="clear" w:color="auto" w:fill="FDE9D9" w:themeFill="accent6" w:themeFillTint="33"/>
      </w:pPr>
      <w:r>
        <w:t>Question 5.</w:t>
      </w:r>
      <w:r w:rsidR="000C1FB9">
        <w:t>4</w:t>
      </w:r>
    </w:p>
    <w:p w14:paraId="33EF2569" w14:textId="76E141A4" w:rsidR="00041F54" w:rsidRDefault="007D0B5E" w:rsidP="004B26F4">
      <w:pPr>
        <w:pStyle w:val="NoSpacing"/>
        <w:shd w:val="clear" w:color="auto" w:fill="FDE9D9" w:themeFill="accent6" w:themeFillTint="33"/>
      </w:pPr>
      <w:r>
        <w:t>Are there</w:t>
      </w:r>
      <w:r w:rsidR="00037E2F">
        <w:t xml:space="preserve"> alternat</w:t>
      </w:r>
      <w:r w:rsidR="006F2154">
        <w:t>ive</w:t>
      </w:r>
      <w:r w:rsidR="002439A6">
        <w:t xml:space="preserve"> or additional</w:t>
      </w:r>
      <w:r w:rsidR="00037E2F">
        <w:t xml:space="preserve"> criteria </w:t>
      </w:r>
      <w:r>
        <w:t xml:space="preserve">that </w:t>
      </w:r>
      <w:r w:rsidR="00037E2F">
        <w:t>should be listed</w:t>
      </w:r>
      <w:r w:rsidR="00C94C3B">
        <w:t xml:space="preserve"> on the Register</w:t>
      </w:r>
      <w:r w:rsidR="00037E2F">
        <w:t xml:space="preserve">? </w:t>
      </w:r>
    </w:p>
    <w:p w14:paraId="4FB345C3" w14:textId="77777777" w:rsidR="00186F62" w:rsidRDefault="00186F62" w:rsidP="0065082A">
      <w:pPr>
        <w:pStyle w:val="Heading5"/>
        <w:shd w:val="clear" w:color="auto" w:fill="FDE9D9" w:themeFill="accent6" w:themeFillTint="33"/>
        <w:spacing w:after="0"/>
        <w:rPr>
          <w:rFonts w:ascii="Book Antiqua" w:hAnsi="Book Antiqua"/>
          <w:b w:val="0"/>
          <w:i/>
          <w:color w:val="000000"/>
          <w:sz w:val="22"/>
        </w:rPr>
      </w:pPr>
    </w:p>
    <w:p w14:paraId="4EB87E77" w14:textId="49BF65EC" w:rsidR="0065082A" w:rsidRDefault="0065082A" w:rsidP="0065082A">
      <w:pPr>
        <w:pStyle w:val="Heading5"/>
        <w:shd w:val="clear" w:color="auto" w:fill="FDE9D9" w:themeFill="accent6" w:themeFillTint="33"/>
        <w:spacing w:after="0"/>
        <w:rPr>
          <w:rFonts w:ascii="Book Antiqua" w:hAnsi="Book Antiqua"/>
          <w:b w:val="0"/>
          <w:i/>
          <w:color w:val="000000"/>
          <w:sz w:val="22"/>
        </w:rPr>
      </w:pPr>
      <w:r w:rsidRPr="009376A3">
        <w:rPr>
          <w:rFonts w:ascii="Book Antiqua" w:hAnsi="Book Antiqua"/>
          <w:b w:val="0"/>
          <w:i/>
          <w:color w:val="000000"/>
          <w:sz w:val="22"/>
        </w:rPr>
        <w:t xml:space="preserve">The current </w:t>
      </w:r>
      <w:r w:rsidR="00AD18FB">
        <w:rPr>
          <w:rFonts w:ascii="Book Antiqua" w:hAnsi="Book Antiqua"/>
          <w:b w:val="0"/>
          <w:i/>
          <w:color w:val="000000"/>
          <w:sz w:val="22"/>
        </w:rPr>
        <w:t>R</w:t>
      </w:r>
      <w:r w:rsidRPr="009376A3">
        <w:rPr>
          <w:rFonts w:ascii="Book Antiqua" w:hAnsi="Book Antiqua"/>
          <w:b w:val="0"/>
          <w:i/>
          <w:color w:val="000000"/>
          <w:sz w:val="22"/>
        </w:rPr>
        <w:t xml:space="preserve">egister requires licensees to provide information to ASIC about individual advisers. Under the PJC model this responsibility would be shifted to professional associations. </w:t>
      </w:r>
    </w:p>
    <w:p w14:paraId="16D87AD8" w14:textId="77777777" w:rsidR="0065082A" w:rsidRPr="00A34C8A" w:rsidRDefault="0065082A" w:rsidP="0065082A">
      <w:pPr>
        <w:shd w:val="clear" w:color="auto" w:fill="FDE9D9" w:themeFill="accent6" w:themeFillTint="33"/>
        <w:spacing w:after="0" w:line="240" w:lineRule="auto"/>
      </w:pPr>
    </w:p>
    <w:p w14:paraId="09ED5B42" w14:textId="2AC78A8C" w:rsidR="0065082A" w:rsidRDefault="0065082A" w:rsidP="0065082A">
      <w:pPr>
        <w:pStyle w:val="Heading5"/>
        <w:shd w:val="clear" w:color="auto" w:fill="FDE9D9" w:themeFill="accent6" w:themeFillTint="33"/>
        <w:spacing w:after="0"/>
      </w:pPr>
      <w:r>
        <w:t>Question 5.5</w:t>
      </w:r>
    </w:p>
    <w:p w14:paraId="33082ACB" w14:textId="77777777" w:rsidR="00493435" w:rsidRDefault="0065082A" w:rsidP="00493435">
      <w:pPr>
        <w:pStyle w:val="Heading5"/>
        <w:shd w:val="clear" w:color="auto" w:fill="FDE9D9" w:themeFill="accent6" w:themeFillTint="33"/>
        <w:spacing w:after="0"/>
        <w:rPr>
          <w:rFonts w:ascii="Book Antiqua" w:hAnsi="Book Antiqua"/>
          <w:b w:val="0"/>
          <w:bCs w:val="0"/>
          <w:iCs w:val="0"/>
          <w:color w:val="000000"/>
          <w:sz w:val="22"/>
        </w:rPr>
      </w:pPr>
      <w:r w:rsidRPr="009376A3">
        <w:rPr>
          <w:rFonts w:ascii="Book Antiqua" w:hAnsi="Book Antiqua"/>
          <w:b w:val="0"/>
          <w:color w:val="000000"/>
          <w:sz w:val="22"/>
        </w:rPr>
        <w:t xml:space="preserve">What are the practical implications of </w:t>
      </w:r>
      <w:r>
        <w:rPr>
          <w:rFonts w:ascii="Book Antiqua" w:hAnsi="Book Antiqua"/>
          <w:b w:val="0"/>
          <w:color w:val="000000"/>
          <w:sz w:val="22"/>
        </w:rPr>
        <w:t>having professional associations perform this role</w:t>
      </w:r>
      <w:r w:rsidRPr="009376A3">
        <w:rPr>
          <w:rFonts w:ascii="Book Antiqua" w:hAnsi="Book Antiqua"/>
          <w:b w:val="0"/>
          <w:color w:val="000000"/>
          <w:sz w:val="22"/>
        </w:rPr>
        <w:t xml:space="preserve">? </w:t>
      </w:r>
      <w:r w:rsidRPr="009376A3">
        <w:rPr>
          <w:rFonts w:ascii="Book Antiqua" w:hAnsi="Book Antiqua"/>
          <w:b w:val="0"/>
          <w:bCs w:val="0"/>
          <w:iCs w:val="0"/>
          <w:color w:val="000000"/>
          <w:sz w:val="22"/>
        </w:rPr>
        <w:t>For example, are professional associations sufficiently resourced and how would they interact with ASIC in relation to these requirements?</w:t>
      </w:r>
      <w:r>
        <w:rPr>
          <w:rFonts w:ascii="Book Antiqua" w:hAnsi="Book Antiqua"/>
          <w:b w:val="0"/>
          <w:bCs w:val="0"/>
          <w:iCs w:val="0"/>
          <w:color w:val="000000"/>
          <w:sz w:val="22"/>
        </w:rPr>
        <w:t xml:space="preserve"> Does this approach dilute the responsibility of licensees</w:t>
      </w:r>
      <w:r w:rsidR="00186F62">
        <w:rPr>
          <w:rFonts w:ascii="Book Antiqua" w:hAnsi="Book Antiqua"/>
          <w:b w:val="0"/>
          <w:bCs w:val="0"/>
          <w:iCs w:val="0"/>
          <w:color w:val="000000"/>
          <w:sz w:val="22"/>
        </w:rPr>
        <w:t>?</w:t>
      </w:r>
      <w:r w:rsidR="00493435">
        <w:rPr>
          <w:rFonts w:ascii="Book Antiqua" w:hAnsi="Book Antiqua"/>
          <w:b w:val="0"/>
          <w:bCs w:val="0"/>
          <w:iCs w:val="0"/>
          <w:color w:val="000000"/>
          <w:sz w:val="22"/>
        </w:rPr>
        <w:t xml:space="preserve"> </w:t>
      </w:r>
    </w:p>
    <w:p w14:paraId="742F1CDB" w14:textId="77777777" w:rsidR="00BD7748" w:rsidRDefault="00BD7748" w:rsidP="00493435">
      <w:pPr>
        <w:pStyle w:val="Heading5"/>
        <w:shd w:val="clear" w:color="auto" w:fill="FDE9D9" w:themeFill="accent6" w:themeFillTint="33"/>
        <w:spacing w:after="0"/>
      </w:pPr>
    </w:p>
    <w:p w14:paraId="22035044" w14:textId="3FC8DB10" w:rsidR="00493435" w:rsidRDefault="00493435" w:rsidP="00493435">
      <w:pPr>
        <w:pStyle w:val="Heading5"/>
        <w:shd w:val="clear" w:color="auto" w:fill="FDE9D9" w:themeFill="accent6" w:themeFillTint="33"/>
        <w:spacing w:after="0"/>
      </w:pPr>
      <w:r>
        <w:t>Question 5.6</w:t>
      </w:r>
    </w:p>
    <w:p w14:paraId="22C82407" w14:textId="6C7446BE" w:rsidR="0065082A" w:rsidRPr="00004538" w:rsidRDefault="00493435" w:rsidP="00186F62">
      <w:pPr>
        <w:pStyle w:val="Heading5"/>
        <w:shd w:val="clear" w:color="auto" w:fill="FDE9D9" w:themeFill="accent6" w:themeFillTint="33"/>
        <w:spacing w:after="0"/>
      </w:pPr>
      <w:r>
        <w:rPr>
          <w:rFonts w:ascii="Book Antiqua" w:hAnsi="Book Antiqua"/>
          <w:b w:val="0"/>
          <w:color w:val="000000"/>
          <w:sz w:val="22"/>
        </w:rPr>
        <w:t>Is legislative protection of the titles ‘financial adviser’ and ‘financial planner’ necessary?</w:t>
      </w:r>
    </w:p>
    <w:p w14:paraId="7AF02F76"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787B08B4" w14:textId="6D9EAA17" w:rsidR="00E6388D" w:rsidRDefault="001B12B4" w:rsidP="00E6388D">
      <w:pPr>
        <w:pStyle w:val="Heading2"/>
      </w:pPr>
      <w:r>
        <w:lastRenderedPageBreak/>
        <w:t xml:space="preserve">Section </w:t>
      </w:r>
      <w:r w:rsidR="00004538">
        <w:t>6</w:t>
      </w:r>
      <w:r w:rsidR="00E6388D">
        <w:t xml:space="preserve">. </w:t>
      </w:r>
      <w:r w:rsidR="005A05DD">
        <w:t xml:space="preserve"> </w:t>
      </w:r>
      <w:r w:rsidR="00E6388D">
        <w:t>Exam</w:t>
      </w:r>
    </w:p>
    <w:p w14:paraId="2309E03F" w14:textId="6D898A74" w:rsidR="001A0E96" w:rsidRDefault="00AC7B67" w:rsidP="00E6388D">
      <w:pPr>
        <w:pStyle w:val="OutlineNumbered1"/>
      </w:pPr>
      <w:r>
        <w:t>T</w:t>
      </w:r>
      <w:r w:rsidR="001A0E96">
        <w:t xml:space="preserve">he PJC model </w:t>
      </w:r>
      <w:r w:rsidR="00626F75">
        <w:t xml:space="preserve">would introduce </w:t>
      </w:r>
      <w:r w:rsidR="001A0E96">
        <w:t>a registration exam at the end of the</w:t>
      </w:r>
      <w:r w:rsidR="00596274">
        <w:t xml:space="preserve"> structured year of professional development</w:t>
      </w:r>
      <w:r>
        <w:t xml:space="preserve"> (Recommendation</w:t>
      </w:r>
      <w:r w:rsidR="00C94C3B">
        <w:t>s</w:t>
      </w:r>
      <w:r>
        <w:t xml:space="preserve"> 5 and 8)</w:t>
      </w:r>
      <w:r w:rsidR="00BB360E">
        <w:t xml:space="preserve">. </w:t>
      </w:r>
      <w:r w:rsidR="001A0E96">
        <w:t>Candidates would need to pass this exam</w:t>
      </w:r>
      <w:r w:rsidR="00DC302C">
        <w:t>, along with meeting other requirements,</w:t>
      </w:r>
      <w:r w:rsidR="001A0E96">
        <w:t xml:space="preserve"> in order to be placed on </w:t>
      </w:r>
      <w:r w:rsidR="005C7D9E">
        <w:t>the R</w:t>
      </w:r>
      <w:r w:rsidR="001A0E96">
        <w:t>egister and</w:t>
      </w:r>
      <w:r w:rsidR="00F55EBA">
        <w:t xml:space="preserve"> hence be able to </w:t>
      </w:r>
      <w:r w:rsidR="001A0E96">
        <w:t xml:space="preserve">provide </w:t>
      </w:r>
      <w:r w:rsidR="00DC2849">
        <w:t xml:space="preserve">personal </w:t>
      </w:r>
      <w:r w:rsidR="001A0E96">
        <w:t xml:space="preserve">financial advice on </w:t>
      </w:r>
      <w:r w:rsidR="000A0731">
        <w:t>T</w:t>
      </w:r>
      <w:r w:rsidR="001A0E96">
        <w:t>ier 1 products.</w:t>
      </w:r>
    </w:p>
    <w:p w14:paraId="4CEC984B" w14:textId="4E72F644" w:rsidR="001A0E96" w:rsidRDefault="001A0E96" w:rsidP="00E6388D">
      <w:pPr>
        <w:pStyle w:val="OutlineNumbered1"/>
      </w:pPr>
      <w:r>
        <w:t>The exam</w:t>
      </w:r>
      <w:r w:rsidR="000B0E79">
        <w:t>, to be d</w:t>
      </w:r>
      <w:r>
        <w:t>eveloped by FPEC</w:t>
      </w:r>
      <w:r w:rsidR="000B0E79">
        <w:t>,</w:t>
      </w:r>
      <w:r>
        <w:t xml:space="preserve"> </w:t>
      </w:r>
      <w:r w:rsidR="000B0E79">
        <w:t xml:space="preserve">would assess theoretical and applied knowledge </w:t>
      </w:r>
      <w:r>
        <w:t>and be independently supervised</w:t>
      </w:r>
      <w:r w:rsidR="00FB7DE9">
        <w:t>, with FPEC selecting and monitoring the work of external invigilators</w:t>
      </w:r>
      <w:r>
        <w:t>.</w:t>
      </w:r>
      <w:r w:rsidR="00BB360E">
        <w:t xml:space="preserve"> </w:t>
      </w:r>
      <w:r w:rsidR="000B0E79">
        <w:t>FPEC would also establish a policy on the setting and conduct of the exam, including re-examination options.</w:t>
      </w:r>
    </w:p>
    <w:p w14:paraId="2B9B530F" w14:textId="17450455" w:rsidR="00F55EBA" w:rsidRDefault="00F55EBA" w:rsidP="001735FC">
      <w:pPr>
        <w:pStyle w:val="OutlineNumbered1"/>
      </w:pPr>
      <w:r>
        <w:t>An exam would be an objective way to ensure all financial advisers have the requisite training and knowledge to perform their duties to a reasonable minimum standard.</w:t>
      </w:r>
      <w:r w:rsidR="00BB360E">
        <w:t xml:space="preserve"> </w:t>
      </w:r>
      <w:r w:rsidR="000B0E79">
        <w:t xml:space="preserve">It </w:t>
      </w:r>
      <w:r>
        <w:t>could also be a central part of the transitional arr</w:t>
      </w:r>
      <w:r w:rsidR="00DC302C">
        <w:t>angements for existing advisers, along with a process of Recognised Prior Learning.</w:t>
      </w:r>
      <w:r w:rsidR="006F2154">
        <w:t xml:space="preserve"> For further information on transitional arrangements, see Section</w:t>
      </w:r>
      <w:r w:rsidR="006F2154" w:rsidRPr="00AE385E">
        <w:t xml:space="preserve"> 9</w:t>
      </w:r>
      <w:r w:rsidR="006F2154">
        <w:rPr>
          <w:b/>
        </w:rPr>
        <w:t xml:space="preserve"> </w:t>
      </w:r>
      <w:r w:rsidR="006F2154">
        <w:t xml:space="preserve">of this consultation paper. </w:t>
      </w:r>
    </w:p>
    <w:p w14:paraId="00CE29D0" w14:textId="77777777" w:rsidR="00596274" w:rsidRDefault="00596274" w:rsidP="00E6388D">
      <w:pPr>
        <w:pStyle w:val="OutlineNumbered1"/>
      </w:pPr>
      <w:r>
        <w:t xml:space="preserve">The </w:t>
      </w:r>
      <w:r w:rsidR="0081122D">
        <w:t>FSI</w:t>
      </w:r>
      <w:r>
        <w:t xml:space="preserve"> did not recommend a national exam for advisers, but noted that an exam could be considered if issues in adviser competency persist.</w:t>
      </w:r>
    </w:p>
    <w:p w14:paraId="3E1DFD16" w14:textId="77777777" w:rsidR="00276600" w:rsidRDefault="00276600" w:rsidP="00276600"/>
    <w:p w14:paraId="0026CF5B" w14:textId="287B5618" w:rsidR="00041F54" w:rsidRDefault="001657A7" w:rsidP="00041F54">
      <w:pPr>
        <w:pStyle w:val="Heading5"/>
        <w:keepLines/>
        <w:shd w:val="clear" w:color="auto" w:fill="FDE9D9" w:themeFill="accent6" w:themeFillTint="33"/>
      </w:pPr>
      <w:r>
        <w:t xml:space="preserve">Feedback sought </w:t>
      </w:r>
      <w:r w:rsidR="00E65CEE">
        <w:t>—</w:t>
      </w:r>
      <w:r w:rsidR="00E125F7">
        <w:t xml:space="preserve"> </w:t>
      </w:r>
      <w:r w:rsidR="006548B8">
        <w:t>exam</w:t>
      </w:r>
    </w:p>
    <w:p w14:paraId="6BED91C6" w14:textId="77777777" w:rsidR="00664993" w:rsidRPr="00E65CEE" w:rsidRDefault="00664993" w:rsidP="00664993">
      <w:pPr>
        <w:keepNext/>
        <w:keepLines/>
        <w:shd w:val="clear" w:color="auto" w:fill="FDE9D9" w:themeFill="accent6" w:themeFillTint="33"/>
        <w:rPr>
          <w:i/>
        </w:rPr>
      </w:pPr>
      <w:r w:rsidRPr="00E65CEE">
        <w:rPr>
          <w:i/>
        </w:rPr>
        <w:t>The PJC model introduces a registration exam at the end of the structured year of professional development.</w:t>
      </w:r>
    </w:p>
    <w:p w14:paraId="13FE5BB8" w14:textId="77777777" w:rsidR="00E65CEE" w:rsidRDefault="006548B8" w:rsidP="0057726A">
      <w:pPr>
        <w:pStyle w:val="Heading5"/>
        <w:shd w:val="clear" w:color="auto" w:fill="FDE9D9" w:themeFill="accent6" w:themeFillTint="33"/>
      </w:pPr>
      <w:r>
        <w:t>Question 6.1</w:t>
      </w:r>
    </w:p>
    <w:p w14:paraId="2011565F" w14:textId="1BD3BA54" w:rsidR="0057726A" w:rsidRDefault="00664993" w:rsidP="00E65CEE">
      <w:pPr>
        <w:pStyle w:val="NoSpacing"/>
        <w:shd w:val="clear" w:color="auto" w:fill="FDE9D9" w:themeFill="accent6" w:themeFillTint="33"/>
      </w:pPr>
      <w:r>
        <w:t xml:space="preserve">Do you consider a registration exam </w:t>
      </w:r>
      <w:r w:rsidR="00C94C3B">
        <w:t>should be a</w:t>
      </w:r>
      <w:r>
        <w:t xml:space="preserve"> component of a </w:t>
      </w:r>
      <w:r w:rsidR="006548B8">
        <w:t>framework</w:t>
      </w:r>
      <w:r>
        <w:t xml:space="preserve"> to improve professional standards? </w:t>
      </w:r>
      <w:r w:rsidR="008806EF">
        <w:t xml:space="preserve"> Should the exam apply to both existing and new advisers?</w:t>
      </w:r>
    </w:p>
    <w:p w14:paraId="542B3AA6" w14:textId="77777777" w:rsidR="00E65CEE" w:rsidRDefault="00E65CEE" w:rsidP="00E65CEE">
      <w:pPr>
        <w:pStyle w:val="NoSpacing"/>
        <w:shd w:val="clear" w:color="auto" w:fill="FDE9D9" w:themeFill="accent6" w:themeFillTint="33"/>
      </w:pPr>
    </w:p>
    <w:p w14:paraId="1975DEBB" w14:textId="77777777" w:rsidR="00E65CEE" w:rsidRDefault="006548B8" w:rsidP="00691982">
      <w:pPr>
        <w:pStyle w:val="Heading5"/>
        <w:shd w:val="clear" w:color="auto" w:fill="FDE9D9" w:themeFill="accent6" w:themeFillTint="33"/>
      </w:pPr>
      <w:r>
        <w:t>Que</w:t>
      </w:r>
      <w:r w:rsidR="0057726A">
        <w:t>stion 6.</w:t>
      </w:r>
      <w:r w:rsidR="00691982">
        <w:t>2</w:t>
      </w:r>
    </w:p>
    <w:p w14:paraId="59EE590A" w14:textId="77777777" w:rsidR="00691982" w:rsidRDefault="006548B8" w:rsidP="00E65CEE">
      <w:pPr>
        <w:pStyle w:val="NoSpacing"/>
        <w:shd w:val="clear" w:color="auto" w:fill="FDE9D9" w:themeFill="accent6" w:themeFillTint="33"/>
      </w:pPr>
      <w:r>
        <w:t>What</w:t>
      </w:r>
      <w:r w:rsidR="00664993">
        <w:t xml:space="preserve"> are the practical implications of the use of a registration exam? </w:t>
      </w:r>
    </w:p>
    <w:p w14:paraId="27DABBD0" w14:textId="77777777" w:rsidR="00E65CEE" w:rsidRDefault="00E65CEE" w:rsidP="00E65CEE">
      <w:pPr>
        <w:pStyle w:val="NoSpacing"/>
        <w:shd w:val="clear" w:color="auto" w:fill="FDE9D9" w:themeFill="accent6" w:themeFillTint="33"/>
      </w:pPr>
    </w:p>
    <w:p w14:paraId="25852E2B" w14:textId="6EFFFE53" w:rsidR="008806EF" w:rsidRDefault="008806EF" w:rsidP="008806EF">
      <w:pPr>
        <w:pStyle w:val="Heading5"/>
        <w:shd w:val="clear" w:color="auto" w:fill="FDE9D9" w:themeFill="accent6" w:themeFillTint="33"/>
      </w:pPr>
      <w:r>
        <w:t>Question 6.</w:t>
      </w:r>
      <w:r w:rsidR="00BD7748">
        <w:t>3</w:t>
      </w:r>
    </w:p>
    <w:p w14:paraId="633AFD8E" w14:textId="31A4CC89" w:rsidR="008806EF" w:rsidRDefault="008806EF" w:rsidP="00E65CEE">
      <w:pPr>
        <w:pStyle w:val="NoSpacing"/>
        <w:shd w:val="clear" w:color="auto" w:fill="FDE9D9" w:themeFill="accent6" w:themeFillTint="33"/>
      </w:pPr>
      <w:r>
        <w:t>What content</w:t>
      </w:r>
      <w:r w:rsidR="00173734">
        <w:t xml:space="preserve"> should be covered in the exam?</w:t>
      </w:r>
    </w:p>
    <w:p w14:paraId="1A478122" w14:textId="77777777" w:rsidR="00173734" w:rsidRDefault="00173734" w:rsidP="00E65CEE">
      <w:pPr>
        <w:pStyle w:val="NoSpacing"/>
        <w:shd w:val="clear" w:color="auto" w:fill="FDE9D9" w:themeFill="accent6" w:themeFillTint="33"/>
      </w:pPr>
    </w:p>
    <w:p w14:paraId="691E10A5" w14:textId="2FC0B145" w:rsidR="00C94C3B" w:rsidRDefault="00186F62" w:rsidP="00C94C3B">
      <w:pPr>
        <w:pStyle w:val="Heading5"/>
        <w:shd w:val="clear" w:color="auto" w:fill="FDE9D9" w:themeFill="accent6" w:themeFillTint="33"/>
      </w:pPr>
      <w:r>
        <w:t>Question 6.</w:t>
      </w:r>
      <w:r w:rsidR="00BD7748">
        <w:t>4</w:t>
      </w:r>
    </w:p>
    <w:p w14:paraId="0992E1D5" w14:textId="72C5E3A6" w:rsidR="00C94C3B" w:rsidRPr="00004538" w:rsidRDefault="00C94C3B" w:rsidP="00E65CEE">
      <w:pPr>
        <w:pStyle w:val="NoSpacing"/>
        <w:shd w:val="clear" w:color="auto" w:fill="FDE9D9" w:themeFill="accent6" w:themeFillTint="33"/>
      </w:pPr>
      <w:r>
        <w:t>Is FPEC the appropriate body to set the exam?</w:t>
      </w:r>
      <w:r w:rsidR="008806EF">
        <w:t xml:space="preserve">  Who should be responsible for invigilating the exam?</w:t>
      </w:r>
      <w:r w:rsidR="006F2154">
        <w:t xml:space="preserve"> Who should be responsible for marking the exams?</w:t>
      </w:r>
    </w:p>
    <w:p w14:paraId="13D12552"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62EE6F56" w14:textId="505D1D3F" w:rsidR="00F90050" w:rsidRDefault="001B12B4" w:rsidP="00F90050">
      <w:pPr>
        <w:pStyle w:val="Heading2"/>
      </w:pPr>
      <w:r>
        <w:lastRenderedPageBreak/>
        <w:t xml:space="preserve">Section </w:t>
      </w:r>
      <w:r w:rsidR="00004538">
        <w:t>7</w:t>
      </w:r>
      <w:r w:rsidR="00E6388D">
        <w:t>.</w:t>
      </w:r>
      <w:r w:rsidR="005A05DD">
        <w:t xml:space="preserve"> </w:t>
      </w:r>
      <w:r w:rsidR="00E6388D">
        <w:t xml:space="preserve"> </w:t>
      </w:r>
      <w:r w:rsidR="00F90050">
        <w:t>Ongoing professional development</w:t>
      </w:r>
    </w:p>
    <w:p w14:paraId="7032109A" w14:textId="77777777" w:rsidR="00D34732" w:rsidRDefault="001C443B" w:rsidP="006C122F">
      <w:pPr>
        <w:pStyle w:val="OutlineNumbered1"/>
      </w:pPr>
      <w:r>
        <w:t>Recommendation 9 of t</w:t>
      </w:r>
      <w:r w:rsidR="001A0E96">
        <w:t>he PJC model</w:t>
      </w:r>
      <w:r w:rsidR="00045499">
        <w:t xml:space="preserve"> </w:t>
      </w:r>
      <w:r>
        <w:t>requires</w:t>
      </w:r>
      <w:r w:rsidR="00045499">
        <w:t xml:space="preserve"> </w:t>
      </w:r>
      <w:r w:rsidR="00D34732">
        <w:t>mandatory ongoing professional development for financial advisers that:</w:t>
      </w:r>
    </w:p>
    <w:p w14:paraId="4BB3E665" w14:textId="77777777" w:rsidR="00D34732" w:rsidRDefault="00D34732" w:rsidP="009625C2">
      <w:pPr>
        <w:pStyle w:val="Bullet"/>
        <w:tabs>
          <w:tab w:val="clear" w:pos="520"/>
          <w:tab w:val="num" w:pos="851"/>
        </w:tabs>
        <w:ind w:left="851" w:hanging="284"/>
      </w:pPr>
      <w:r>
        <w:t xml:space="preserve">is set by their professional association in accordance with </w:t>
      </w:r>
      <w:r w:rsidR="000A0731">
        <w:t>PSC</w:t>
      </w:r>
      <w:r w:rsidR="001B16FA">
        <w:t xml:space="preserve"> standards</w:t>
      </w:r>
      <w:r>
        <w:t>; and</w:t>
      </w:r>
    </w:p>
    <w:p w14:paraId="4F9A93AC" w14:textId="4F46941B" w:rsidR="00F90050" w:rsidRDefault="00D34732" w:rsidP="009625C2">
      <w:pPr>
        <w:pStyle w:val="Bullet"/>
        <w:tabs>
          <w:tab w:val="clear" w:pos="520"/>
          <w:tab w:val="num" w:pos="851"/>
        </w:tabs>
        <w:ind w:left="851" w:hanging="284"/>
      </w:pPr>
      <w:r>
        <w:t>achieves a level of cross</w:t>
      </w:r>
      <w:r w:rsidR="001B16FA">
        <w:t>-</w:t>
      </w:r>
      <w:r>
        <w:t xml:space="preserve">industry standardisation recommended by </w:t>
      </w:r>
      <w:r w:rsidR="000A0731">
        <w:t>FPEC</w:t>
      </w:r>
      <w:r w:rsidR="00DA1389">
        <w:t>.</w:t>
      </w:r>
    </w:p>
    <w:p w14:paraId="7820054C" w14:textId="61ACB410" w:rsidR="00E05EE8" w:rsidRDefault="002C4A43" w:rsidP="00E05EE8">
      <w:pPr>
        <w:pStyle w:val="OutlineNumbered1"/>
      </w:pPr>
      <w:r>
        <w:t xml:space="preserve">The approved professional associations will have the responsibility to develop the ongoing professional development opportunities available </w:t>
      </w:r>
      <w:r w:rsidR="001B16FA">
        <w:t xml:space="preserve">to </w:t>
      </w:r>
      <w:r>
        <w:t>and expected of their members. W</w:t>
      </w:r>
      <w:r w:rsidR="00E05EE8" w:rsidRPr="00E05EE8">
        <w:t xml:space="preserve">hile professional associations must administer an appropriate level of continuing professional development to meet the PSC requirements, each association </w:t>
      </w:r>
      <w:r w:rsidR="000A0731">
        <w:t>is expected to</w:t>
      </w:r>
      <w:r w:rsidR="00E05EE8" w:rsidRPr="00E05EE8">
        <w:t xml:space="preserve"> work with FPEC to achieve a level of cross-industry standardisation.</w:t>
      </w:r>
    </w:p>
    <w:p w14:paraId="4748AB0A" w14:textId="77777777" w:rsidR="00276600" w:rsidRDefault="00276600" w:rsidP="00276600"/>
    <w:p w14:paraId="7F783050" w14:textId="77777777" w:rsidR="00041F54" w:rsidRDefault="00041F54" w:rsidP="00041F54">
      <w:pPr>
        <w:pStyle w:val="Heading5"/>
        <w:shd w:val="clear" w:color="auto" w:fill="FDE9D9" w:themeFill="accent6" w:themeFillTint="33"/>
      </w:pPr>
      <w:r w:rsidDel="001657A7">
        <w:t>Feedback sought</w:t>
      </w:r>
      <w:r w:rsidR="00E65CEE">
        <w:t xml:space="preserve"> —</w:t>
      </w:r>
      <w:r w:rsidR="001657A7">
        <w:t xml:space="preserve"> o</w:t>
      </w:r>
      <w:r w:rsidR="00010299">
        <w:t>ngoing professional development</w:t>
      </w:r>
    </w:p>
    <w:p w14:paraId="40E26912" w14:textId="77777777" w:rsidR="00010299" w:rsidRPr="00E65CEE" w:rsidRDefault="00010299" w:rsidP="00E65CEE">
      <w:pPr>
        <w:keepNext/>
        <w:keepLines/>
        <w:shd w:val="clear" w:color="auto" w:fill="FDE9D9" w:themeFill="accent6" w:themeFillTint="33"/>
        <w:rPr>
          <w:i/>
        </w:rPr>
      </w:pPr>
      <w:r w:rsidRPr="00E65CEE">
        <w:rPr>
          <w:i/>
        </w:rPr>
        <w:t xml:space="preserve">The PJC model requires mandatory ongoing professional development for financial advisers. </w:t>
      </w:r>
    </w:p>
    <w:p w14:paraId="48E5A2B1" w14:textId="77777777" w:rsidR="00E65CEE" w:rsidRDefault="006548B8">
      <w:pPr>
        <w:pStyle w:val="Heading5"/>
        <w:shd w:val="clear" w:color="auto" w:fill="FDE9D9" w:themeFill="accent6" w:themeFillTint="33"/>
      </w:pPr>
      <w:bookmarkStart w:id="2" w:name="OLE_LINK1"/>
      <w:bookmarkStart w:id="3" w:name="OLE_LINK2"/>
      <w:r>
        <w:t>Que</w:t>
      </w:r>
      <w:r w:rsidR="00010299">
        <w:t>stion 7</w:t>
      </w:r>
      <w:r>
        <w:t>.1</w:t>
      </w:r>
    </w:p>
    <w:p w14:paraId="2C9F4142" w14:textId="77777777" w:rsidR="006548B8" w:rsidRDefault="006548B8" w:rsidP="00E65CEE">
      <w:pPr>
        <w:pStyle w:val="NoSpacing"/>
        <w:shd w:val="clear" w:color="auto" w:fill="FDE9D9" w:themeFill="accent6" w:themeFillTint="33"/>
      </w:pPr>
      <w:r>
        <w:t>What are the practical implications of the proposed ongoing professional development requirements?</w:t>
      </w:r>
    </w:p>
    <w:p w14:paraId="74975C76" w14:textId="77777777" w:rsidR="00E65CEE" w:rsidRDefault="00E65CEE" w:rsidP="00E65CEE">
      <w:pPr>
        <w:pStyle w:val="NoSpacing"/>
        <w:shd w:val="clear" w:color="auto" w:fill="FDE9D9" w:themeFill="accent6" w:themeFillTint="33"/>
      </w:pPr>
    </w:p>
    <w:p w14:paraId="6DC312C0" w14:textId="77777777" w:rsidR="00E65CEE" w:rsidRDefault="00010299" w:rsidP="00010299">
      <w:pPr>
        <w:pStyle w:val="Heading5"/>
        <w:shd w:val="clear" w:color="auto" w:fill="FDE9D9" w:themeFill="accent6" w:themeFillTint="33"/>
      </w:pPr>
      <w:r>
        <w:t>Question 7.2</w:t>
      </w:r>
    </w:p>
    <w:p w14:paraId="5194E0A4" w14:textId="7CC86A59" w:rsidR="00041F54" w:rsidRPr="00004538" w:rsidDel="001B16FA" w:rsidRDefault="006548B8" w:rsidP="00E65CEE">
      <w:pPr>
        <w:pStyle w:val="NoSpacing"/>
        <w:shd w:val="clear" w:color="auto" w:fill="FDE9D9" w:themeFill="accent6" w:themeFillTint="33"/>
      </w:pPr>
      <w:r>
        <w:t xml:space="preserve">Are professional </w:t>
      </w:r>
      <w:r w:rsidR="00010299">
        <w:t>associations</w:t>
      </w:r>
      <w:r>
        <w:t xml:space="preserve"> well-placed to </w:t>
      </w:r>
      <w:r w:rsidR="00010299">
        <w:t xml:space="preserve">administer </w:t>
      </w:r>
      <w:r w:rsidR="00273F38">
        <w:t>ongoing</w:t>
      </w:r>
      <w:r w:rsidR="00010299">
        <w:t xml:space="preserve"> professional development requirements?</w:t>
      </w:r>
      <w:r w:rsidR="00010299" w:rsidRPr="00010299">
        <w:t xml:space="preserve"> </w:t>
      </w:r>
      <w:bookmarkEnd w:id="2"/>
      <w:bookmarkEnd w:id="3"/>
    </w:p>
    <w:p w14:paraId="18092018"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577AE026" w14:textId="184E89CC" w:rsidR="00F90050" w:rsidRDefault="001B12B4" w:rsidP="00F90050">
      <w:pPr>
        <w:pStyle w:val="Heading2"/>
      </w:pPr>
      <w:r>
        <w:lastRenderedPageBreak/>
        <w:t xml:space="preserve">Section </w:t>
      </w:r>
      <w:r w:rsidR="00004538">
        <w:t>8</w:t>
      </w:r>
      <w:r w:rsidR="00E6388D">
        <w:t xml:space="preserve">. </w:t>
      </w:r>
      <w:r w:rsidR="005A05DD">
        <w:t xml:space="preserve"> </w:t>
      </w:r>
      <w:r w:rsidR="001735FC">
        <w:t>Professional and e</w:t>
      </w:r>
      <w:r w:rsidR="00F90050">
        <w:t xml:space="preserve">thical </w:t>
      </w:r>
      <w:r w:rsidR="001735FC">
        <w:t>standards</w:t>
      </w:r>
    </w:p>
    <w:p w14:paraId="1FF5F337" w14:textId="2571026C" w:rsidR="005D6017" w:rsidRPr="00AE1EB7" w:rsidRDefault="00173734" w:rsidP="00173734">
      <w:pPr>
        <w:pStyle w:val="Heading3"/>
      </w:pPr>
      <w:r>
        <w:t xml:space="preserve">8.1  </w:t>
      </w:r>
      <w:r w:rsidR="005D6017">
        <w:t>Codes of ethics</w:t>
      </w:r>
    </w:p>
    <w:p w14:paraId="39803D8D" w14:textId="0A1321DC" w:rsidR="00243556" w:rsidRDefault="00243556" w:rsidP="001A0E96">
      <w:pPr>
        <w:pStyle w:val="OutlineNumbered1"/>
      </w:pPr>
      <w:r>
        <w:t xml:space="preserve">Codes of </w:t>
      </w:r>
      <w:r w:rsidR="008F7A11">
        <w:t>ethics</w:t>
      </w:r>
      <w:r>
        <w:t xml:space="preserve"> are one mechanism </w:t>
      </w:r>
      <w:r w:rsidR="00732187">
        <w:t>by which a profession can</w:t>
      </w:r>
      <w:r w:rsidR="00657C8B">
        <w:t xml:space="preserve"> </w:t>
      </w:r>
      <w:r>
        <w:t>raise standards and hold themselves to account</w:t>
      </w:r>
      <w:r w:rsidR="007F2D6D">
        <w:t>, and can complement other measures</w:t>
      </w:r>
      <w:r>
        <w:t>.</w:t>
      </w:r>
      <w:r w:rsidR="008F7A11">
        <w:t xml:space="preserve"> Such codes include both a set of requirements and the commitment of the members of the </w:t>
      </w:r>
      <w:r w:rsidR="00493435">
        <w:t>profession</w:t>
      </w:r>
      <w:r w:rsidR="008F7A11">
        <w:t xml:space="preserve"> to conform to, and uphold</w:t>
      </w:r>
      <w:r w:rsidR="00493435">
        <w:t>,</w:t>
      </w:r>
      <w:r w:rsidR="008F7A11">
        <w:t xml:space="preserve"> the rules stipulated in the code.</w:t>
      </w:r>
    </w:p>
    <w:p w14:paraId="07C62963" w14:textId="77777777" w:rsidR="00707AA5" w:rsidRDefault="008F7A11" w:rsidP="006C122F">
      <w:pPr>
        <w:pStyle w:val="OutlineNumbered1"/>
      </w:pPr>
      <w:r>
        <w:t xml:space="preserve">Promoting an ethical culture </w:t>
      </w:r>
      <w:r w:rsidR="00977523">
        <w:t xml:space="preserve">and ethical behaviour </w:t>
      </w:r>
      <w:r w:rsidR="001C443B">
        <w:t>is a core part of professionalis</w:t>
      </w:r>
      <w:r w:rsidR="00BB360E">
        <w:t>ation. T</w:t>
      </w:r>
      <w:r w:rsidR="00707AA5">
        <w:t xml:space="preserve">he </w:t>
      </w:r>
      <w:r w:rsidR="0081122D">
        <w:t>FSI</w:t>
      </w:r>
      <w:r w:rsidR="00707AA5">
        <w:t xml:space="preserve"> recommended ethical requirements be part of ongoing professional development.  </w:t>
      </w:r>
    </w:p>
    <w:p w14:paraId="582E624D" w14:textId="278F6EB9" w:rsidR="008F7A11" w:rsidRDefault="001B01D6" w:rsidP="001A0E96">
      <w:pPr>
        <w:pStyle w:val="OutlineNumbered1"/>
      </w:pPr>
      <w:r>
        <w:t xml:space="preserve">The PJC’s view </w:t>
      </w:r>
      <w:r w:rsidR="001B16FA">
        <w:t xml:space="preserve">is </w:t>
      </w:r>
      <w:r>
        <w:t xml:space="preserve">that there needs to be a change in the drivers of behaviour in the financial advice industry. To set this new benchmark, the PJC recommends that professional associations be required to establish codes of ethics which are compliant with the requirements of a Professional Standards Scheme under the </w:t>
      </w:r>
      <w:r w:rsidR="007F2D6D">
        <w:t>PSC</w:t>
      </w:r>
      <w:r w:rsidR="001C443B">
        <w:t xml:space="preserve"> (Recommendation 11)</w:t>
      </w:r>
      <w:r>
        <w:t>.</w:t>
      </w:r>
    </w:p>
    <w:p w14:paraId="067E0BAD" w14:textId="5B6B13F6" w:rsidR="005D6017" w:rsidRPr="00AE1EB7" w:rsidRDefault="00173734" w:rsidP="00173734">
      <w:pPr>
        <w:pStyle w:val="Heading3"/>
      </w:pPr>
      <w:r>
        <w:t xml:space="preserve">8.2  </w:t>
      </w:r>
      <w:r w:rsidR="005D6017">
        <w:t>Role of the PSC</w:t>
      </w:r>
    </w:p>
    <w:p w14:paraId="211FBAAB" w14:textId="77777777" w:rsidR="00493435" w:rsidRDefault="00493435" w:rsidP="001A0E96">
      <w:pPr>
        <w:pStyle w:val="OutlineNumbered1"/>
      </w:pPr>
      <w:r w:rsidRPr="00186F62">
        <w:t>The PSC occupies a pivotal role in the PJC model through its power to approve professional associations</w:t>
      </w:r>
      <w:r>
        <w:t>.</w:t>
      </w:r>
    </w:p>
    <w:p w14:paraId="3F91BB61" w14:textId="218505EE" w:rsidR="00493435" w:rsidRDefault="00493435" w:rsidP="001A0E96">
      <w:pPr>
        <w:pStyle w:val="OutlineNumbered1"/>
      </w:pPr>
      <w:r>
        <w:t>T</w:t>
      </w:r>
      <w:r w:rsidRPr="00186F62">
        <w:t xml:space="preserve">he PJC </w:t>
      </w:r>
      <w:r>
        <w:t>recognised that its model envisages</w:t>
      </w:r>
      <w:r w:rsidRPr="00186F62">
        <w:t xml:space="preserve"> an expanded role for the PSC, </w:t>
      </w:r>
      <w:r>
        <w:t xml:space="preserve">and </w:t>
      </w:r>
      <w:r w:rsidRPr="00186F62">
        <w:t>not</w:t>
      </w:r>
      <w:r>
        <w:t>ed</w:t>
      </w:r>
      <w:r w:rsidRPr="00186F62">
        <w:t xml:space="preserve"> </w:t>
      </w:r>
      <w:r>
        <w:t xml:space="preserve">that the PSC </w:t>
      </w:r>
      <w:r w:rsidRPr="00186F62">
        <w:t xml:space="preserve">may require additional resources to perform </w:t>
      </w:r>
      <w:r>
        <w:t>at this level</w:t>
      </w:r>
      <w:r w:rsidRPr="00186F62">
        <w:t>.</w:t>
      </w:r>
      <w:r w:rsidR="009625C2">
        <w:rPr>
          <w:rStyle w:val="FootnoteReference"/>
        </w:rPr>
        <w:footnoteReference w:id="14"/>
      </w:r>
      <w:r>
        <w:t xml:space="preserve"> </w:t>
      </w:r>
    </w:p>
    <w:p w14:paraId="2C92AE50" w14:textId="5948FCAC" w:rsidR="0004122B" w:rsidRDefault="005D6017" w:rsidP="001A0E96">
      <w:pPr>
        <w:pStyle w:val="OutlineNumbered1"/>
      </w:pPr>
      <w:r>
        <w:t>Under the PJC model, f</w:t>
      </w:r>
      <w:r w:rsidR="0004122B">
        <w:t>inancial sector professional associations that wish to h</w:t>
      </w:r>
      <w:r w:rsidR="00DC1819">
        <w:t xml:space="preserve">ave representation on FPEC and </w:t>
      </w:r>
      <w:r w:rsidR="0004122B">
        <w:t xml:space="preserve">be able to make recommendations to ASIC regarding registration of financial advisers, </w:t>
      </w:r>
      <w:r w:rsidR="007F2D6D">
        <w:t>are</w:t>
      </w:r>
      <w:r w:rsidR="0004122B">
        <w:t xml:space="preserve"> required to establish </w:t>
      </w:r>
      <w:r w:rsidR="007F2D6D">
        <w:t xml:space="preserve">PSC approved </w:t>
      </w:r>
      <w:r w:rsidR="0004122B">
        <w:t>Professional Standards Schemes within three years</w:t>
      </w:r>
      <w:r w:rsidR="001C443B">
        <w:t xml:space="preserve"> (Recommendation 12)</w:t>
      </w:r>
      <w:r w:rsidR="0004122B">
        <w:t>.</w:t>
      </w:r>
    </w:p>
    <w:p w14:paraId="1235EAF6" w14:textId="4FFF94A1" w:rsidR="005D2420" w:rsidRDefault="005D2420" w:rsidP="005D2420">
      <w:pPr>
        <w:pStyle w:val="OutlineNumbered1"/>
      </w:pPr>
      <w:r>
        <w:t xml:space="preserve">Professional Standards Schemes are legal instruments that cap the occupational liability of professionals who take part in an association’s scheme if a court upholds a claim against them. In return, members must raise their professional standards and hold insurance (or assets) up to the level of the applicable cap. The liability caps </w:t>
      </w:r>
      <w:r w:rsidR="001B16FA">
        <w:t>exist</w:t>
      </w:r>
      <w:r>
        <w:t xml:space="preserve"> to maintain affordable levels of professional indemnity insurance, as well as to improve professional standards and consumer protection. The </w:t>
      </w:r>
      <w:r w:rsidR="00FB4F10">
        <w:t>principle</w:t>
      </w:r>
      <w:r>
        <w:t xml:space="preserve"> is to reduce liability through better risk management.</w:t>
      </w:r>
    </w:p>
    <w:p w14:paraId="3983A62D" w14:textId="1876DF27" w:rsidR="006569DA" w:rsidRDefault="006569DA" w:rsidP="006569DA">
      <w:pPr>
        <w:pStyle w:val="OutlineNumbered1"/>
      </w:pPr>
      <w:r>
        <w:t xml:space="preserve">In assessing </w:t>
      </w:r>
      <w:r w:rsidR="001B16FA">
        <w:t xml:space="preserve">a </w:t>
      </w:r>
      <w:r>
        <w:t xml:space="preserve">professional association's application for a Professional Standards Scheme, the PSC considers: </w:t>
      </w:r>
    </w:p>
    <w:p w14:paraId="0A8AD8C7" w14:textId="77777777" w:rsidR="006569DA" w:rsidRDefault="006569DA" w:rsidP="009625C2">
      <w:pPr>
        <w:pStyle w:val="Bullet"/>
        <w:tabs>
          <w:tab w:val="clear" w:pos="520"/>
          <w:tab w:val="num" w:pos="851"/>
        </w:tabs>
        <w:ind w:left="851" w:hanging="284"/>
      </w:pPr>
      <w:r>
        <w:t xml:space="preserve">an analysis of the proposed scheme (prepared by the PSC's Secretariat); </w:t>
      </w:r>
    </w:p>
    <w:p w14:paraId="0BAB0843" w14:textId="77777777" w:rsidR="006569DA" w:rsidRDefault="006569DA" w:rsidP="009625C2">
      <w:pPr>
        <w:pStyle w:val="Bullet"/>
        <w:tabs>
          <w:tab w:val="clear" w:pos="520"/>
          <w:tab w:val="num" w:pos="851"/>
        </w:tabs>
        <w:ind w:left="851" w:hanging="284"/>
      </w:pPr>
      <w:r>
        <w:t xml:space="preserve">independent actuarial analysis of the members' liabilities; and </w:t>
      </w:r>
    </w:p>
    <w:p w14:paraId="3B68AE22" w14:textId="77777777" w:rsidR="006569DA" w:rsidRDefault="006569DA" w:rsidP="009625C2">
      <w:pPr>
        <w:pStyle w:val="Bullet"/>
        <w:tabs>
          <w:tab w:val="clear" w:pos="520"/>
          <w:tab w:val="num" w:pos="851"/>
        </w:tabs>
        <w:ind w:left="851" w:hanging="284"/>
      </w:pPr>
      <w:r>
        <w:lastRenderedPageBreak/>
        <w:t xml:space="preserve">material received from public consultation.  </w:t>
      </w:r>
    </w:p>
    <w:p w14:paraId="39ED263E" w14:textId="3456B32C" w:rsidR="006569DA" w:rsidRDefault="006569DA" w:rsidP="006569DA">
      <w:pPr>
        <w:pStyle w:val="OutlineNumbered1"/>
      </w:pPr>
      <w:r>
        <w:t xml:space="preserve">Applying for a scheme is an intensive process </w:t>
      </w:r>
      <w:r w:rsidR="001C443B">
        <w:t>that takes most associations around 12 months</w:t>
      </w:r>
      <w:r>
        <w:t xml:space="preserve">. </w:t>
      </w:r>
      <w:r w:rsidR="00DC1819">
        <w:t>P</w:t>
      </w:r>
      <w:r>
        <w:t>rofessional associations must</w:t>
      </w:r>
      <w:r w:rsidR="001B16FA">
        <w:t>:</w:t>
      </w:r>
      <w:r>
        <w:t xml:space="preserve"> ensure</w:t>
      </w:r>
      <w:r w:rsidR="001B16FA">
        <w:t xml:space="preserve"> that</w:t>
      </w:r>
      <w:r>
        <w:t xml:space="preserve"> their members are able to improve their risk management practices</w:t>
      </w:r>
      <w:r w:rsidR="001B16FA">
        <w:t>;</w:t>
      </w:r>
      <w:r>
        <w:t xml:space="preserve"> have appropriate continuing professional education requirements</w:t>
      </w:r>
      <w:r w:rsidR="001B16FA">
        <w:t>;</w:t>
      </w:r>
      <w:r>
        <w:t xml:space="preserve"> and have complaints and disciplinary mechanisms in place.</w:t>
      </w:r>
      <w:r w:rsidR="001C443B">
        <w:rPr>
          <w:rStyle w:val="FootnoteReference"/>
        </w:rPr>
        <w:footnoteReference w:id="15"/>
      </w:r>
      <w:r>
        <w:t xml:space="preserve">  </w:t>
      </w:r>
    </w:p>
    <w:p w14:paraId="261D8731" w14:textId="7CDA0509" w:rsidR="005D6017" w:rsidRPr="005D6017" w:rsidRDefault="00173734" w:rsidP="00173734">
      <w:pPr>
        <w:pStyle w:val="Heading3"/>
      </w:pPr>
      <w:r>
        <w:t xml:space="preserve">8.3  </w:t>
      </w:r>
      <w:r w:rsidR="005D6017">
        <w:t>Role of professional associations</w:t>
      </w:r>
    </w:p>
    <w:p w14:paraId="55D82749" w14:textId="6D2A12BA" w:rsidR="00095FE6" w:rsidRPr="00186F62" w:rsidRDefault="001C443B" w:rsidP="000C2C6E">
      <w:pPr>
        <w:pStyle w:val="OutlineNumbered1"/>
        <w:numPr>
          <w:ilvl w:val="0"/>
          <w:numId w:val="26"/>
        </w:numPr>
        <w:tabs>
          <w:tab w:val="clear" w:pos="2411"/>
          <w:tab w:val="num" w:pos="567"/>
        </w:tabs>
        <w:ind w:left="567"/>
      </w:pPr>
      <w:r>
        <w:t>U</w:t>
      </w:r>
      <w:r w:rsidR="0004122B">
        <w:t>nder the PJC model</w:t>
      </w:r>
      <w:r w:rsidR="001B16FA">
        <w:t>,</w:t>
      </w:r>
      <w:r w:rsidR="001B01D6">
        <w:t xml:space="preserve"> every financial adviser </w:t>
      </w:r>
      <w:r w:rsidR="00BB360E">
        <w:t xml:space="preserve">would be required to </w:t>
      </w:r>
      <w:r w:rsidR="001B01D6">
        <w:t>be a member of a professional association approved by the PSC</w:t>
      </w:r>
      <w:r>
        <w:t xml:space="preserve"> (Recommendation 13)</w:t>
      </w:r>
      <w:r w:rsidR="00095FE6">
        <w:t>.  This also means that all financial advisers will be working under the auspices of at least one compliant code of ethics</w:t>
      </w:r>
      <w:r w:rsidR="00186F62">
        <w:t>.</w:t>
      </w:r>
    </w:p>
    <w:p w14:paraId="6067F61B" w14:textId="16DA9B5A" w:rsidR="00095FE6" w:rsidRDefault="00095FE6" w:rsidP="00AC0734">
      <w:pPr>
        <w:pStyle w:val="OutlineNumbered1"/>
        <w:numPr>
          <w:ilvl w:val="0"/>
          <w:numId w:val="26"/>
        </w:numPr>
        <w:tabs>
          <w:tab w:val="clear" w:pos="2411"/>
          <w:tab w:val="num" w:pos="567"/>
        </w:tabs>
        <w:ind w:left="567"/>
      </w:pPr>
      <w:r>
        <w:t>Once approved</w:t>
      </w:r>
      <w:r w:rsidR="005A1F07">
        <w:t xml:space="preserve"> by the PSC</w:t>
      </w:r>
      <w:r>
        <w:t xml:space="preserve">, the professional association </w:t>
      </w:r>
      <w:r w:rsidR="00DC1819">
        <w:t xml:space="preserve">would </w:t>
      </w:r>
      <w:r>
        <w:t xml:space="preserve">advise ASIC regarding the fitness </w:t>
      </w:r>
      <w:r w:rsidR="001B16FA">
        <w:t xml:space="preserve">for </w:t>
      </w:r>
      <w:r w:rsidR="00B703DB">
        <w:t>registration</w:t>
      </w:r>
      <w:r w:rsidR="001B16FA">
        <w:t xml:space="preserve"> of its individual members</w:t>
      </w:r>
      <w:r>
        <w:t xml:space="preserve">, </w:t>
      </w:r>
      <w:r w:rsidR="001B16FA">
        <w:t xml:space="preserve">based on </w:t>
      </w:r>
      <w:r>
        <w:t xml:space="preserve">the requirements outlined </w:t>
      </w:r>
      <w:r w:rsidR="007F2D6D">
        <w:t xml:space="preserve">in </w:t>
      </w:r>
      <w:r w:rsidR="00FE2DA0">
        <w:t>S</w:t>
      </w:r>
      <w:r w:rsidR="001C443B">
        <w:t xml:space="preserve">ection 5 of this </w:t>
      </w:r>
      <w:r w:rsidR="00BB360E">
        <w:t>consultation</w:t>
      </w:r>
      <w:r w:rsidR="001C443B">
        <w:t xml:space="preserve"> paper</w:t>
      </w:r>
      <w:r>
        <w:t>. The approved professional association would also advise ASIC on the continuing fitness for registration of individual adviser</w:t>
      </w:r>
      <w:r w:rsidR="00DC1819">
        <w:t>s</w:t>
      </w:r>
      <w:r>
        <w:t xml:space="preserve"> based </w:t>
      </w:r>
      <w:r w:rsidR="00DC1819">
        <w:t xml:space="preserve">on </w:t>
      </w:r>
      <w:r>
        <w:t xml:space="preserve">their achievement of mandatory </w:t>
      </w:r>
      <w:r w:rsidR="00DC1819">
        <w:t>ongoing professional development</w:t>
      </w:r>
      <w:r>
        <w:t xml:space="preserve"> and compliance with the code of ethics. The approved professional association will be directly responsible for setting the benchmark expected of its members, and for holding them to account.</w:t>
      </w:r>
    </w:p>
    <w:p w14:paraId="0F595ACE" w14:textId="77777777" w:rsidR="00095FE6" w:rsidRDefault="00095FE6" w:rsidP="00AC0734">
      <w:pPr>
        <w:pStyle w:val="OutlineNumbered1"/>
        <w:numPr>
          <w:ilvl w:val="0"/>
          <w:numId w:val="26"/>
        </w:numPr>
        <w:tabs>
          <w:tab w:val="clear" w:pos="2411"/>
          <w:tab w:val="num" w:pos="567"/>
        </w:tabs>
        <w:ind w:left="567"/>
      </w:pPr>
      <w:r>
        <w:t>Under the current regulatory regime</w:t>
      </w:r>
      <w:r w:rsidR="001B16FA">
        <w:t>,</w:t>
      </w:r>
      <w:r>
        <w:t xml:space="preserve"> there is no requirement to be a member of a professional association</w:t>
      </w:r>
      <w:r w:rsidR="005D2420">
        <w:t>, thus a large number of advisers are not currently members of an association.</w:t>
      </w:r>
    </w:p>
    <w:p w14:paraId="4BFD3568" w14:textId="77777777" w:rsidR="00276600" w:rsidRDefault="00276600" w:rsidP="00276600"/>
    <w:p w14:paraId="71FD4103" w14:textId="77777777" w:rsidR="00041F54" w:rsidRDefault="00041F54" w:rsidP="00186F62">
      <w:pPr>
        <w:pStyle w:val="Heading5"/>
        <w:shd w:val="clear" w:color="auto" w:fill="FDE9D9" w:themeFill="accent6" w:themeFillTint="33"/>
        <w:spacing w:after="0"/>
      </w:pPr>
      <w:r w:rsidDel="001657A7">
        <w:t>Feedback sought</w:t>
      </w:r>
      <w:r w:rsidR="001657A7">
        <w:t xml:space="preserve"> </w:t>
      </w:r>
      <w:r w:rsidR="009376A3">
        <w:t>—</w:t>
      </w:r>
      <w:r w:rsidR="001657A7">
        <w:t xml:space="preserve"> </w:t>
      </w:r>
      <w:r w:rsidR="000029E2">
        <w:t>professional and ethical standards</w:t>
      </w:r>
      <w:r>
        <w:t xml:space="preserve">  </w:t>
      </w:r>
    </w:p>
    <w:p w14:paraId="57281851" w14:textId="2C79E062" w:rsidR="0065082A" w:rsidRDefault="0065082A" w:rsidP="00186F62">
      <w:pPr>
        <w:pStyle w:val="Heading6"/>
        <w:shd w:val="clear" w:color="auto" w:fill="FDE9D9" w:themeFill="accent6" w:themeFillTint="33"/>
        <w:spacing w:after="0"/>
      </w:pPr>
    </w:p>
    <w:p w14:paraId="13C3BF72" w14:textId="2B41A041" w:rsidR="0065082A" w:rsidRDefault="0065082A" w:rsidP="0065082A">
      <w:pPr>
        <w:pStyle w:val="Heading6"/>
        <w:shd w:val="clear" w:color="auto" w:fill="FDE9D9" w:themeFill="accent6" w:themeFillTint="33"/>
      </w:pPr>
      <w:r>
        <w:t>Code of ethics</w:t>
      </w:r>
    </w:p>
    <w:p w14:paraId="3CF88DA5" w14:textId="3AB70E54" w:rsidR="00186F62" w:rsidRDefault="00186F62" w:rsidP="00186F62">
      <w:pPr>
        <w:shd w:val="clear" w:color="auto" w:fill="FDE9D9" w:themeFill="accent6" w:themeFillTint="33"/>
        <w:spacing w:after="0" w:line="240" w:lineRule="auto"/>
        <w:rPr>
          <w:i/>
        </w:rPr>
      </w:pPr>
      <w:r w:rsidRPr="009376A3">
        <w:rPr>
          <w:i/>
        </w:rPr>
        <w:t xml:space="preserve">The PJC recommended that professional associations be required to establish codes of ethics that are approved </w:t>
      </w:r>
      <w:r w:rsidR="006F2154">
        <w:rPr>
          <w:i/>
        </w:rPr>
        <w:t xml:space="preserve">by </w:t>
      </w:r>
      <w:r w:rsidRPr="009376A3">
        <w:rPr>
          <w:i/>
        </w:rPr>
        <w:t xml:space="preserve">the PSC. </w:t>
      </w:r>
    </w:p>
    <w:p w14:paraId="6621F62B" w14:textId="33D236C2" w:rsidR="00186F62" w:rsidRDefault="00186F62" w:rsidP="00F9744B">
      <w:pPr>
        <w:pStyle w:val="Heading5"/>
        <w:shd w:val="clear" w:color="auto" w:fill="FDE9D9" w:themeFill="accent6" w:themeFillTint="33"/>
        <w:spacing w:after="0"/>
      </w:pPr>
    </w:p>
    <w:p w14:paraId="4DB7A32D" w14:textId="0EA69C16" w:rsidR="00186F62" w:rsidRDefault="00186F62" w:rsidP="00186F62">
      <w:pPr>
        <w:pStyle w:val="Heading5"/>
        <w:shd w:val="clear" w:color="auto" w:fill="FDE9D9" w:themeFill="accent6" w:themeFillTint="33"/>
        <w:spacing w:after="0"/>
      </w:pPr>
      <w:r>
        <w:t>Question 8.1</w:t>
      </w:r>
    </w:p>
    <w:p w14:paraId="18FBCB71" w14:textId="77777777" w:rsidR="00186F62" w:rsidRPr="0065082A" w:rsidRDefault="00186F62" w:rsidP="00186F62">
      <w:pPr>
        <w:pStyle w:val="Heading5"/>
        <w:shd w:val="clear" w:color="auto" w:fill="FDE9D9" w:themeFill="accent6" w:themeFillTint="33"/>
        <w:spacing w:after="0"/>
        <w:rPr>
          <w:rFonts w:ascii="Book Antiqua" w:hAnsi="Book Antiqua"/>
          <w:b w:val="0"/>
          <w:color w:val="000000"/>
          <w:sz w:val="22"/>
        </w:rPr>
      </w:pPr>
      <w:r w:rsidRPr="0065082A">
        <w:rPr>
          <w:rFonts w:ascii="Book Antiqua" w:hAnsi="Book Antiqua"/>
          <w:b w:val="0"/>
          <w:color w:val="000000"/>
          <w:sz w:val="22"/>
        </w:rPr>
        <w:t>What are the practical implications of having each professional association create its own code of ethics?  For example, what are the implications of having multiple codes as opposed to a single code?</w:t>
      </w:r>
    </w:p>
    <w:p w14:paraId="0EB87C94" w14:textId="77777777" w:rsidR="00186F62" w:rsidRDefault="00186F62" w:rsidP="00186F62">
      <w:pPr>
        <w:pStyle w:val="Heading5"/>
        <w:shd w:val="clear" w:color="auto" w:fill="FDE9D9" w:themeFill="accent6" w:themeFillTint="33"/>
        <w:spacing w:after="0"/>
      </w:pPr>
    </w:p>
    <w:p w14:paraId="568FFB07" w14:textId="340FFFED" w:rsidR="00186F62" w:rsidRDefault="00186F62" w:rsidP="00186F62">
      <w:pPr>
        <w:pStyle w:val="Heading5"/>
        <w:shd w:val="clear" w:color="auto" w:fill="FDE9D9" w:themeFill="accent6" w:themeFillTint="33"/>
        <w:spacing w:after="0"/>
      </w:pPr>
      <w:r>
        <w:t>Question 8.2</w:t>
      </w:r>
    </w:p>
    <w:p w14:paraId="6C9E1D66" w14:textId="204056F9" w:rsidR="00186F62" w:rsidRDefault="00186F62" w:rsidP="00186F62">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What are the practical implications of requiring that a code of ethics be approved by the PSC</w:t>
      </w:r>
      <w:r>
        <w:rPr>
          <w:rFonts w:ascii="Book Antiqua" w:hAnsi="Book Antiqua"/>
          <w:b w:val="0"/>
          <w:color w:val="000000"/>
          <w:sz w:val="22"/>
        </w:rPr>
        <w:t>?</w:t>
      </w:r>
      <w:r w:rsidRPr="009376A3">
        <w:rPr>
          <w:rFonts w:ascii="Book Antiqua" w:hAnsi="Book Antiqua"/>
          <w:b w:val="0"/>
          <w:color w:val="000000"/>
          <w:sz w:val="22"/>
        </w:rPr>
        <w:t xml:space="preserve"> </w:t>
      </w:r>
      <w:r>
        <w:rPr>
          <w:rFonts w:ascii="Book Antiqua" w:hAnsi="Book Antiqua"/>
          <w:b w:val="0"/>
          <w:color w:val="000000"/>
          <w:sz w:val="22"/>
        </w:rPr>
        <w:t xml:space="preserve">Are there </w:t>
      </w:r>
      <w:r w:rsidRPr="009376A3">
        <w:rPr>
          <w:rFonts w:ascii="Book Antiqua" w:hAnsi="Book Antiqua"/>
          <w:b w:val="0"/>
          <w:color w:val="000000"/>
          <w:sz w:val="22"/>
        </w:rPr>
        <w:t>alternat</w:t>
      </w:r>
      <w:r w:rsidR="006F2154">
        <w:rPr>
          <w:rFonts w:ascii="Book Antiqua" w:hAnsi="Book Antiqua"/>
          <w:b w:val="0"/>
          <w:color w:val="000000"/>
          <w:sz w:val="22"/>
        </w:rPr>
        <w:t>ive</w:t>
      </w:r>
      <w:r w:rsidRPr="009376A3">
        <w:rPr>
          <w:rFonts w:ascii="Book Antiqua" w:hAnsi="Book Antiqua"/>
          <w:b w:val="0"/>
          <w:color w:val="000000"/>
          <w:sz w:val="22"/>
        </w:rPr>
        <w:t xml:space="preserve"> approach</w:t>
      </w:r>
      <w:r>
        <w:rPr>
          <w:rFonts w:ascii="Book Antiqua" w:hAnsi="Book Antiqua"/>
          <w:b w:val="0"/>
          <w:color w:val="000000"/>
          <w:sz w:val="22"/>
        </w:rPr>
        <w:t>es that</w:t>
      </w:r>
      <w:r w:rsidRPr="009376A3">
        <w:rPr>
          <w:rFonts w:ascii="Book Antiqua" w:hAnsi="Book Antiqua"/>
          <w:b w:val="0"/>
          <w:color w:val="000000"/>
          <w:sz w:val="22"/>
        </w:rPr>
        <w:t xml:space="preserve"> would </w:t>
      </w:r>
      <w:r>
        <w:rPr>
          <w:rFonts w:ascii="Book Antiqua" w:hAnsi="Book Antiqua"/>
          <w:b w:val="0"/>
          <w:color w:val="000000"/>
          <w:sz w:val="22"/>
        </w:rPr>
        <w:t xml:space="preserve">be </w:t>
      </w:r>
      <w:r w:rsidRPr="009376A3">
        <w:rPr>
          <w:rFonts w:ascii="Book Antiqua" w:hAnsi="Book Antiqua"/>
          <w:b w:val="0"/>
          <w:color w:val="000000"/>
          <w:sz w:val="22"/>
        </w:rPr>
        <w:t>more appropriate</w:t>
      </w:r>
      <w:r>
        <w:rPr>
          <w:rFonts w:ascii="Book Antiqua" w:hAnsi="Book Antiqua"/>
          <w:b w:val="0"/>
          <w:color w:val="000000"/>
          <w:sz w:val="22"/>
        </w:rPr>
        <w:t xml:space="preserve"> or </w:t>
      </w:r>
      <w:r w:rsidRPr="009376A3">
        <w:rPr>
          <w:rFonts w:ascii="Book Antiqua" w:hAnsi="Book Antiqua"/>
          <w:b w:val="0"/>
          <w:color w:val="000000"/>
          <w:sz w:val="22"/>
        </w:rPr>
        <w:t xml:space="preserve">effective? </w:t>
      </w:r>
    </w:p>
    <w:p w14:paraId="1C3169A0" w14:textId="77777777" w:rsidR="00186F62" w:rsidRDefault="00186F62" w:rsidP="00F9744B">
      <w:pPr>
        <w:pStyle w:val="Heading5"/>
        <w:shd w:val="clear" w:color="auto" w:fill="FDE9D9" w:themeFill="accent6" w:themeFillTint="33"/>
        <w:spacing w:after="0"/>
      </w:pPr>
    </w:p>
    <w:p w14:paraId="0FCEBBA3" w14:textId="6CC84FF5" w:rsidR="00A34C8A" w:rsidRDefault="0065082A" w:rsidP="0065082A">
      <w:pPr>
        <w:pStyle w:val="Heading6"/>
        <w:shd w:val="clear" w:color="auto" w:fill="FDE9D9" w:themeFill="accent6" w:themeFillTint="33"/>
      </w:pPr>
      <w:r>
        <w:t>Role of the PSC</w:t>
      </w:r>
    </w:p>
    <w:p w14:paraId="0AB8C5B9" w14:textId="22B375EF" w:rsidR="0065082A" w:rsidRDefault="0065082A" w:rsidP="0065082A">
      <w:pPr>
        <w:pStyle w:val="Heading5"/>
        <w:shd w:val="clear" w:color="auto" w:fill="FDE9D9" w:themeFill="accent6" w:themeFillTint="33"/>
        <w:spacing w:after="0"/>
        <w:rPr>
          <w:rFonts w:ascii="Book Antiqua" w:hAnsi="Book Antiqua"/>
          <w:b w:val="0"/>
          <w:i/>
          <w:color w:val="000000"/>
          <w:sz w:val="22"/>
        </w:rPr>
      </w:pPr>
      <w:r w:rsidRPr="009376A3">
        <w:rPr>
          <w:rFonts w:ascii="Book Antiqua" w:hAnsi="Book Antiqua"/>
          <w:b w:val="0"/>
          <w:i/>
          <w:color w:val="000000"/>
          <w:sz w:val="22"/>
        </w:rPr>
        <w:t xml:space="preserve">The PJC model uses the PSC as a key mechanism to drive </w:t>
      </w:r>
      <w:r w:rsidR="006F2154">
        <w:rPr>
          <w:rFonts w:ascii="Book Antiqua" w:hAnsi="Book Antiqua"/>
          <w:b w:val="0"/>
          <w:i/>
          <w:color w:val="000000"/>
          <w:sz w:val="22"/>
        </w:rPr>
        <w:t>continuing</w:t>
      </w:r>
      <w:r w:rsidRPr="009376A3">
        <w:rPr>
          <w:rFonts w:ascii="Book Antiqua" w:hAnsi="Book Antiqua"/>
          <w:b w:val="0"/>
          <w:i/>
          <w:color w:val="000000"/>
          <w:sz w:val="22"/>
        </w:rPr>
        <w:t xml:space="preserve"> improvements in the professional standards of </w:t>
      </w:r>
      <w:r>
        <w:rPr>
          <w:rFonts w:ascii="Book Antiqua" w:hAnsi="Book Antiqua"/>
          <w:b w:val="0"/>
          <w:i/>
          <w:color w:val="000000"/>
          <w:sz w:val="22"/>
        </w:rPr>
        <w:t xml:space="preserve">the financial advice industry. </w:t>
      </w:r>
      <w:r w:rsidRPr="009376A3">
        <w:rPr>
          <w:rFonts w:ascii="Book Antiqua" w:hAnsi="Book Antiqua"/>
          <w:b w:val="0"/>
          <w:i/>
          <w:color w:val="000000"/>
          <w:sz w:val="22"/>
        </w:rPr>
        <w:t>Under the PJC model</w:t>
      </w:r>
      <w:r>
        <w:rPr>
          <w:rFonts w:ascii="Book Antiqua" w:hAnsi="Book Antiqua"/>
          <w:b w:val="0"/>
          <w:i/>
          <w:color w:val="000000"/>
          <w:sz w:val="22"/>
        </w:rPr>
        <w:t>, a</w:t>
      </w:r>
      <w:r w:rsidRPr="009376A3">
        <w:rPr>
          <w:rFonts w:ascii="Book Antiqua" w:hAnsi="Book Antiqua"/>
          <w:b w:val="0"/>
          <w:i/>
          <w:color w:val="000000"/>
          <w:sz w:val="22"/>
        </w:rPr>
        <w:t xml:space="preserve"> professional </w:t>
      </w:r>
      <w:r w:rsidRPr="009376A3">
        <w:rPr>
          <w:rFonts w:ascii="Book Antiqua" w:hAnsi="Book Antiqua"/>
          <w:b w:val="0"/>
          <w:i/>
          <w:color w:val="000000"/>
          <w:sz w:val="22"/>
        </w:rPr>
        <w:lastRenderedPageBreak/>
        <w:t xml:space="preserve">association will need to have schemes approved by the PSC in order for its members to be </w:t>
      </w:r>
      <w:r w:rsidRPr="009376A3">
        <w:rPr>
          <w:rFonts w:ascii="Book Antiqua" w:hAnsi="Book Antiqua"/>
          <w:b w:val="0"/>
          <w:bCs w:val="0"/>
          <w:i/>
          <w:iCs w:val="0"/>
          <w:color w:val="000000"/>
          <w:sz w:val="22"/>
        </w:rPr>
        <w:t>register</w:t>
      </w:r>
      <w:r>
        <w:rPr>
          <w:rFonts w:ascii="Book Antiqua" w:hAnsi="Book Antiqua"/>
          <w:b w:val="0"/>
          <w:bCs w:val="0"/>
          <w:i/>
          <w:iCs w:val="0"/>
          <w:color w:val="000000"/>
          <w:sz w:val="22"/>
        </w:rPr>
        <w:t>ed</w:t>
      </w:r>
      <w:r w:rsidRPr="009376A3">
        <w:rPr>
          <w:rFonts w:ascii="Book Antiqua" w:hAnsi="Book Antiqua"/>
          <w:b w:val="0"/>
          <w:i/>
          <w:color w:val="000000"/>
          <w:sz w:val="22"/>
        </w:rPr>
        <w:t xml:space="preserve"> as financial adviser</w:t>
      </w:r>
      <w:r>
        <w:rPr>
          <w:rFonts w:ascii="Book Antiqua" w:hAnsi="Book Antiqua"/>
          <w:b w:val="0"/>
          <w:i/>
          <w:color w:val="000000"/>
          <w:sz w:val="22"/>
        </w:rPr>
        <w:t>s</w:t>
      </w:r>
      <w:r>
        <w:rPr>
          <w:rFonts w:ascii="Book Antiqua" w:hAnsi="Book Antiqua"/>
          <w:b w:val="0"/>
          <w:bCs w:val="0"/>
          <w:i/>
          <w:iCs w:val="0"/>
          <w:color w:val="000000"/>
          <w:sz w:val="22"/>
        </w:rPr>
        <w:t>,</w:t>
      </w:r>
      <w:r w:rsidRPr="009376A3">
        <w:rPr>
          <w:rFonts w:ascii="Book Antiqua" w:hAnsi="Book Antiqua"/>
          <w:b w:val="0"/>
          <w:i/>
          <w:color w:val="000000"/>
          <w:sz w:val="22"/>
        </w:rPr>
        <w:t xml:space="preserve"> and for the association to be a member of FPEC.</w:t>
      </w:r>
    </w:p>
    <w:p w14:paraId="6C0626B6" w14:textId="77777777" w:rsidR="0065082A" w:rsidRDefault="0065082A" w:rsidP="00A34C8A">
      <w:pPr>
        <w:pStyle w:val="Heading5"/>
        <w:shd w:val="clear" w:color="auto" w:fill="FDE9D9" w:themeFill="accent6" w:themeFillTint="33"/>
        <w:spacing w:after="0"/>
      </w:pPr>
    </w:p>
    <w:p w14:paraId="796B62E9" w14:textId="47F933AB" w:rsidR="00186F62" w:rsidRDefault="00186F62" w:rsidP="00186F62">
      <w:pPr>
        <w:pStyle w:val="Heading5"/>
        <w:shd w:val="clear" w:color="auto" w:fill="FDE9D9" w:themeFill="accent6" w:themeFillTint="33"/>
        <w:spacing w:after="0"/>
      </w:pPr>
      <w:r>
        <w:t>Question 8.3</w:t>
      </w:r>
    </w:p>
    <w:p w14:paraId="27BE818D" w14:textId="5B8679E3" w:rsidR="00186F62" w:rsidRDefault="006F2154" w:rsidP="00186F62">
      <w:pPr>
        <w:pStyle w:val="Heading5"/>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Is t</w:t>
      </w:r>
      <w:r w:rsidR="00186F62" w:rsidRPr="009376A3">
        <w:rPr>
          <w:rFonts w:ascii="Book Antiqua" w:hAnsi="Book Antiqua"/>
          <w:b w:val="0"/>
          <w:color w:val="000000"/>
          <w:sz w:val="22"/>
        </w:rPr>
        <w:t>he PSC the appropriate body to drive improvements in professional standards</w:t>
      </w:r>
      <w:r w:rsidR="005A1F07">
        <w:rPr>
          <w:rFonts w:ascii="Book Antiqua" w:hAnsi="Book Antiqua"/>
          <w:b w:val="0"/>
          <w:color w:val="000000"/>
          <w:sz w:val="22"/>
        </w:rPr>
        <w:t xml:space="preserve"> in this industry</w:t>
      </w:r>
      <w:r w:rsidR="00186F62" w:rsidRPr="009376A3">
        <w:rPr>
          <w:rFonts w:ascii="Book Antiqua" w:hAnsi="Book Antiqua"/>
          <w:b w:val="0"/>
          <w:color w:val="000000"/>
          <w:sz w:val="22"/>
        </w:rPr>
        <w:t>?</w:t>
      </w:r>
      <w:r w:rsidR="00186F62" w:rsidRPr="00F9744B">
        <w:rPr>
          <w:rFonts w:ascii="Book Antiqua" w:hAnsi="Book Antiqua"/>
          <w:b w:val="0"/>
          <w:color w:val="000000"/>
          <w:sz w:val="22"/>
        </w:rPr>
        <w:t xml:space="preserve"> </w:t>
      </w:r>
      <w:r w:rsidR="00186F62">
        <w:rPr>
          <w:rFonts w:ascii="Book Antiqua" w:hAnsi="Book Antiqua"/>
          <w:b w:val="0"/>
          <w:color w:val="000000"/>
          <w:sz w:val="22"/>
        </w:rPr>
        <w:t>Are there</w:t>
      </w:r>
      <w:r>
        <w:rPr>
          <w:rFonts w:ascii="Book Antiqua" w:hAnsi="Book Antiqua"/>
          <w:b w:val="0"/>
          <w:color w:val="000000"/>
          <w:sz w:val="22"/>
        </w:rPr>
        <w:t xml:space="preserve"> alternative</w:t>
      </w:r>
      <w:r w:rsidR="00186F62" w:rsidRPr="009376A3">
        <w:rPr>
          <w:rFonts w:ascii="Book Antiqua" w:hAnsi="Book Antiqua"/>
          <w:b w:val="0"/>
          <w:color w:val="000000"/>
          <w:sz w:val="22"/>
        </w:rPr>
        <w:t xml:space="preserve"> arrangements </w:t>
      </w:r>
      <w:r w:rsidR="00186F62">
        <w:rPr>
          <w:rFonts w:ascii="Book Antiqua" w:hAnsi="Book Antiqua"/>
          <w:b w:val="0"/>
          <w:color w:val="000000"/>
          <w:sz w:val="22"/>
        </w:rPr>
        <w:t xml:space="preserve">that </w:t>
      </w:r>
      <w:r w:rsidR="00186F62" w:rsidRPr="009376A3">
        <w:rPr>
          <w:rFonts w:ascii="Book Antiqua" w:hAnsi="Book Antiqua"/>
          <w:b w:val="0"/>
          <w:color w:val="000000"/>
          <w:sz w:val="22"/>
        </w:rPr>
        <w:t xml:space="preserve">would </w:t>
      </w:r>
      <w:r w:rsidR="00186F62">
        <w:rPr>
          <w:rFonts w:ascii="Book Antiqua" w:hAnsi="Book Antiqua"/>
          <w:b w:val="0"/>
          <w:color w:val="000000"/>
          <w:sz w:val="22"/>
        </w:rPr>
        <w:t>be</w:t>
      </w:r>
      <w:r w:rsidR="00186F62" w:rsidRPr="009376A3">
        <w:rPr>
          <w:rFonts w:ascii="Book Antiqua" w:hAnsi="Book Antiqua"/>
          <w:b w:val="0"/>
          <w:color w:val="000000"/>
          <w:sz w:val="22"/>
        </w:rPr>
        <w:t xml:space="preserve"> more </w:t>
      </w:r>
      <w:r w:rsidR="00186F62">
        <w:rPr>
          <w:rFonts w:ascii="Book Antiqua" w:hAnsi="Book Antiqua"/>
          <w:b w:val="0"/>
          <w:color w:val="000000"/>
          <w:sz w:val="22"/>
        </w:rPr>
        <w:t xml:space="preserve">appropriate or </w:t>
      </w:r>
      <w:r w:rsidR="00186F62" w:rsidRPr="009376A3">
        <w:rPr>
          <w:rFonts w:ascii="Book Antiqua" w:hAnsi="Book Antiqua"/>
          <w:b w:val="0"/>
          <w:color w:val="000000"/>
          <w:sz w:val="22"/>
        </w:rPr>
        <w:t>effective?</w:t>
      </w:r>
    </w:p>
    <w:p w14:paraId="13F2FAF8" w14:textId="77777777" w:rsidR="00186F62" w:rsidRDefault="00186F62" w:rsidP="00A34C8A">
      <w:pPr>
        <w:pStyle w:val="Heading5"/>
        <w:shd w:val="clear" w:color="auto" w:fill="FDE9D9" w:themeFill="accent6" w:themeFillTint="33"/>
        <w:spacing w:after="0"/>
      </w:pPr>
    </w:p>
    <w:p w14:paraId="09010AE6" w14:textId="36A003FE" w:rsidR="009376A3" w:rsidRDefault="0093229A" w:rsidP="00A34C8A">
      <w:pPr>
        <w:pStyle w:val="Heading5"/>
        <w:shd w:val="clear" w:color="auto" w:fill="FDE9D9" w:themeFill="accent6" w:themeFillTint="33"/>
        <w:spacing w:after="0"/>
      </w:pPr>
      <w:r>
        <w:t>Question 8.</w:t>
      </w:r>
      <w:r w:rsidR="00186F62">
        <w:t>4</w:t>
      </w:r>
    </w:p>
    <w:p w14:paraId="080BD341" w14:textId="638C8A3A" w:rsidR="0093229A" w:rsidRDefault="0093229A" w:rsidP="00A34C8A">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 xml:space="preserve">What are the practical implications of having the PSC perform this role? </w:t>
      </w:r>
      <w:r w:rsidR="003F75DD" w:rsidRPr="009376A3">
        <w:rPr>
          <w:rFonts w:ascii="Book Antiqua" w:hAnsi="Book Antiqua"/>
          <w:b w:val="0"/>
          <w:color w:val="000000"/>
          <w:sz w:val="22"/>
        </w:rPr>
        <w:t>For example, h</w:t>
      </w:r>
      <w:r w:rsidRPr="009376A3">
        <w:rPr>
          <w:rFonts w:ascii="Book Antiqua" w:hAnsi="Book Antiqua"/>
          <w:b w:val="0"/>
          <w:color w:val="000000"/>
          <w:sz w:val="22"/>
        </w:rPr>
        <w:t>ow would the PSC interact with ASIC?</w:t>
      </w:r>
    </w:p>
    <w:p w14:paraId="48B412D8" w14:textId="77777777" w:rsidR="00A34C8A" w:rsidRPr="00A34C8A" w:rsidRDefault="00A34C8A" w:rsidP="00A34C8A">
      <w:pPr>
        <w:shd w:val="clear" w:color="auto" w:fill="FDE9D9" w:themeFill="accent6" w:themeFillTint="33"/>
        <w:spacing w:after="0" w:line="240" w:lineRule="auto"/>
      </w:pPr>
    </w:p>
    <w:p w14:paraId="4945678D" w14:textId="4BCF29E7" w:rsidR="009376A3" w:rsidRDefault="0093229A" w:rsidP="00A34C8A">
      <w:pPr>
        <w:pStyle w:val="Heading5"/>
        <w:shd w:val="clear" w:color="auto" w:fill="FDE9D9" w:themeFill="accent6" w:themeFillTint="33"/>
        <w:spacing w:after="0"/>
      </w:pPr>
      <w:r>
        <w:t>Question 8.</w:t>
      </w:r>
      <w:r w:rsidR="00186F62">
        <w:t>5</w:t>
      </w:r>
    </w:p>
    <w:p w14:paraId="06A26192" w14:textId="77777777" w:rsidR="0093229A" w:rsidRDefault="0093229A" w:rsidP="00A34C8A">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 xml:space="preserve">What are the practical implications of requiring professional associations to hold </w:t>
      </w:r>
      <w:r w:rsidR="003F75DD" w:rsidRPr="009376A3">
        <w:rPr>
          <w:rFonts w:ascii="Book Antiqua" w:hAnsi="Book Antiqua"/>
          <w:b w:val="0"/>
          <w:color w:val="000000"/>
          <w:sz w:val="22"/>
        </w:rPr>
        <w:t xml:space="preserve">a </w:t>
      </w:r>
      <w:r w:rsidRPr="009376A3">
        <w:rPr>
          <w:rFonts w:ascii="Book Antiqua" w:hAnsi="Book Antiqua"/>
          <w:b w:val="0"/>
          <w:color w:val="000000"/>
          <w:sz w:val="22"/>
        </w:rPr>
        <w:t>PSC</w:t>
      </w:r>
      <w:r w:rsidR="003F75DD" w:rsidRPr="009376A3">
        <w:rPr>
          <w:rFonts w:ascii="Book Antiqua" w:hAnsi="Book Antiqua"/>
          <w:b w:val="0"/>
          <w:color w:val="000000"/>
          <w:sz w:val="22"/>
        </w:rPr>
        <w:noBreakHyphen/>
      </w:r>
      <w:r>
        <w:rPr>
          <w:rFonts w:ascii="Book Antiqua" w:hAnsi="Book Antiqua"/>
          <w:b w:val="0"/>
          <w:color w:val="000000"/>
          <w:sz w:val="22"/>
        </w:rPr>
        <w:t xml:space="preserve">approved </w:t>
      </w:r>
      <w:r w:rsidR="009376A3">
        <w:rPr>
          <w:rFonts w:ascii="Book Antiqua" w:hAnsi="Book Antiqua"/>
          <w:b w:val="0"/>
          <w:bCs w:val="0"/>
          <w:iCs w:val="0"/>
          <w:color w:val="000000"/>
          <w:sz w:val="22"/>
        </w:rPr>
        <w:t>scheme</w:t>
      </w:r>
      <w:r w:rsidRPr="009376A3">
        <w:rPr>
          <w:rFonts w:ascii="Book Antiqua" w:hAnsi="Book Antiqua"/>
          <w:b w:val="0"/>
          <w:color w:val="000000"/>
          <w:sz w:val="22"/>
        </w:rPr>
        <w:t>?</w:t>
      </w:r>
    </w:p>
    <w:p w14:paraId="1E85CD3F" w14:textId="77777777" w:rsidR="00A34C8A" w:rsidRPr="00A34C8A" w:rsidRDefault="00A34C8A" w:rsidP="00A34C8A">
      <w:pPr>
        <w:shd w:val="clear" w:color="auto" w:fill="FDE9D9" w:themeFill="accent6" w:themeFillTint="33"/>
        <w:spacing w:after="0" w:line="240" w:lineRule="auto"/>
      </w:pPr>
    </w:p>
    <w:p w14:paraId="0E1FAE00" w14:textId="77777777" w:rsidR="0093229A" w:rsidRDefault="0093229A" w:rsidP="00A34C8A">
      <w:pPr>
        <w:pStyle w:val="Heading5"/>
        <w:shd w:val="clear" w:color="auto" w:fill="FDE9D9" w:themeFill="accent6" w:themeFillTint="33"/>
        <w:spacing w:after="0"/>
        <w:rPr>
          <w:rFonts w:ascii="Book Antiqua" w:hAnsi="Book Antiqua"/>
          <w:b w:val="0"/>
          <w:i/>
          <w:color w:val="000000"/>
          <w:sz w:val="22"/>
        </w:rPr>
      </w:pPr>
      <w:r w:rsidRPr="009376A3">
        <w:rPr>
          <w:rFonts w:ascii="Book Antiqua" w:hAnsi="Book Antiqua"/>
          <w:b w:val="0"/>
          <w:i/>
          <w:color w:val="000000"/>
          <w:sz w:val="22"/>
        </w:rPr>
        <w:t xml:space="preserve">Approval of a scheme under the PSC has previously meant capped liability for participants.  </w:t>
      </w:r>
    </w:p>
    <w:p w14:paraId="7062EDBE" w14:textId="77777777" w:rsidR="00A34C8A" w:rsidRPr="00A34C8A" w:rsidRDefault="00A34C8A" w:rsidP="00A34C8A">
      <w:pPr>
        <w:shd w:val="clear" w:color="auto" w:fill="FDE9D9" w:themeFill="accent6" w:themeFillTint="33"/>
        <w:spacing w:after="0" w:line="240" w:lineRule="auto"/>
      </w:pPr>
    </w:p>
    <w:p w14:paraId="1E47979F" w14:textId="6BEB77C6" w:rsidR="009376A3" w:rsidRDefault="0093229A" w:rsidP="00A34C8A">
      <w:pPr>
        <w:pStyle w:val="Heading5"/>
        <w:shd w:val="clear" w:color="auto" w:fill="FDE9D9" w:themeFill="accent6" w:themeFillTint="33"/>
        <w:spacing w:after="0"/>
      </w:pPr>
      <w:r>
        <w:t>Question 8.</w:t>
      </w:r>
      <w:r w:rsidR="00186F62">
        <w:t>6</w:t>
      </w:r>
    </w:p>
    <w:p w14:paraId="3B908382" w14:textId="1CBA6A2F" w:rsidR="0093229A" w:rsidRDefault="0093229A" w:rsidP="00A34C8A">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 xml:space="preserve">Is </w:t>
      </w:r>
      <w:r w:rsidR="00914EB3">
        <w:rPr>
          <w:rFonts w:ascii="Book Antiqua" w:hAnsi="Book Antiqua"/>
          <w:b w:val="0"/>
          <w:color w:val="000000"/>
          <w:sz w:val="22"/>
        </w:rPr>
        <w:t xml:space="preserve">it appropriate that liability </w:t>
      </w:r>
      <w:r w:rsidR="00914EB3" w:rsidRPr="009376A3">
        <w:rPr>
          <w:rFonts w:ascii="Book Antiqua" w:hAnsi="Book Antiqua"/>
          <w:b w:val="0"/>
          <w:color w:val="000000"/>
          <w:sz w:val="22"/>
        </w:rPr>
        <w:t xml:space="preserve">in relation to financial advice/services </w:t>
      </w:r>
      <w:r w:rsidR="00914EB3">
        <w:rPr>
          <w:rFonts w:ascii="Book Antiqua" w:hAnsi="Book Antiqua"/>
          <w:b w:val="0"/>
          <w:color w:val="000000"/>
          <w:sz w:val="22"/>
        </w:rPr>
        <w:t xml:space="preserve">be limited at this time?  Is </w:t>
      </w:r>
      <w:r w:rsidRPr="009376A3">
        <w:rPr>
          <w:rFonts w:ascii="Book Antiqua" w:hAnsi="Book Antiqua"/>
          <w:b w:val="0"/>
          <w:color w:val="000000"/>
          <w:sz w:val="22"/>
        </w:rPr>
        <w:t xml:space="preserve">limitation of liability </w:t>
      </w:r>
      <w:r w:rsidR="00914EB3">
        <w:rPr>
          <w:rFonts w:ascii="Book Antiqua" w:hAnsi="Book Antiqua"/>
          <w:b w:val="0"/>
          <w:color w:val="000000"/>
          <w:sz w:val="22"/>
        </w:rPr>
        <w:t>a necessary element for the operation of the PJC model</w:t>
      </w:r>
      <w:r w:rsidRPr="009376A3">
        <w:rPr>
          <w:rFonts w:ascii="Book Antiqua" w:hAnsi="Book Antiqua"/>
          <w:b w:val="0"/>
          <w:color w:val="000000"/>
          <w:sz w:val="22"/>
        </w:rPr>
        <w:t xml:space="preserve">? </w:t>
      </w:r>
    </w:p>
    <w:p w14:paraId="3211D66A" w14:textId="77777777" w:rsidR="00A34C8A" w:rsidRPr="00A34C8A" w:rsidRDefault="00A34C8A" w:rsidP="00A34C8A">
      <w:pPr>
        <w:shd w:val="clear" w:color="auto" w:fill="FDE9D9" w:themeFill="accent6" w:themeFillTint="33"/>
        <w:spacing w:after="0" w:line="240" w:lineRule="auto"/>
      </w:pPr>
    </w:p>
    <w:p w14:paraId="715B5F38" w14:textId="11FBC656" w:rsidR="009376A3" w:rsidRDefault="003F75DD" w:rsidP="00A34C8A">
      <w:pPr>
        <w:pStyle w:val="Heading5"/>
        <w:shd w:val="clear" w:color="auto" w:fill="FDE9D9" w:themeFill="accent6" w:themeFillTint="33"/>
        <w:spacing w:after="0"/>
      </w:pPr>
      <w:r>
        <w:t>Q</w:t>
      </w:r>
      <w:r w:rsidR="00186F62">
        <w:t>uestion 8.7</w:t>
      </w:r>
    </w:p>
    <w:p w14:paraId="5960E8D2" w14:textId="77777777" w:rsidR="003F75DD" w:rsidRDefault="003F75DD" w:rsidP="00A34C8A">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 xml:space="preserve">What are the practical implications of capping liability? For example, what changes to Commonwealth and/or state and territory legislation would be </w:t>
      </w:r>
      <w:r w:rsidR="007D2B2C" w:rsidRPr="009376A3">
        <w:rPr>
          <w:rFonts w:ascii="Book Antiqua" w:hAnsi="Book Antiqua"/>
          <w:b w:val="0"/>
          <w:color w:val="000000"/>
          <w:sz w:val="22"/>
        </w:rPr>
        <w:t>required?</w:t>
      </w:r>
    </w:p>
    <w:p w14:paraId="75D09554" w14:textId="77777777" w:rsidR="00A34C8A" w:rsidRPr="00A34C8A" w:rsidRDefault="00A34C8A" w:rsidP="00A34C8A">
      <w:pPr>
        <w:shd w:val="clear" w:color="auto" w:fill="FDE9D9" w:themeFill="accent6" w:themeFillTint="33"/>
        <w:spacing w:after="0" w:line="240" w:lineRule="auto"/>
      </w:pPr>
    </w:p>
    <w:p w14:paraId="5DFDBDEF" w14:textId="0AE08860" w:rsidR="009376A3" w:rsidRDefault="0093229A" w:rsidP="00A34C8A">
      <w:pPr>
        <w:pStyle w:val="Heading5"/>
        <w:shd w:val="clear" w:color="auto" w:fill="FDE9D9" w:themeFill="accent6" w:themeFillTint="33"/>
        <w:spacing w:after="0"/>
      </w:pPr>
      <w:r>
        <w:t>Question 8</w:t>
      </w:r>
      <w:r w:rsidR="00E919EB">
        <w:t>.</w:t>
      </w:r>
      <w:r w:rsidR="006F2154">
        <w:t>8</w:t>
      </w:r>
    </w:p>
    <w:p w14:paraId="6A6C74C7" w14:textId="362345B5" w:rsidR="0093229A" w:rsidRDefault="003F75DD" w:rsidP="00A34C8A">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Would an alternat</w:t>
      </w:r>
      <w:r w:rsidR="006F2154">
        <w:rPr>
          <w:rFonts w:ascii="Book Antiqua" w:hAnsi="Book Antiqua"/>
          <w:b w:val="0"/>
          <w:color w:val="000000"/>
          <w:sz w:val="22"/>
        </w:rPr>
        <w:t>ive</w:t>
      </w:r>
      <w:r w:rsidRPr="009376A3">
        <w:rPr>
          <w:rFonts w:ascii="Book Antiqua" w:hAnsi="Book Antiqua"/>
          <w:b w:val="0"/>
          <w:color w:val="000000"/>
          <w:sz w:val="22"/>
        </w:rPr>
        <w:t xml:space="preserve"> arrangement</w:t>
      </w:r>
      <w:r w:rsidR="007D2B2C" w:rsidRPr="009376A3">
        <w:rPr>
          <w:rFonts w:ascii="Book Antiqua" w:hAnsi="Book Antiqua"/>
          <w:b w:val="0"/>
          <w:color w:val="000000"/>
          <w:sz w:val="22"/>
        </w:rPr>
        <w:t xml:space="preserve">, </w:t>
      </w:r>
      <w:r w:rsidRPr="009376A3">
        <w:rPr>
          <w:rFonts w:ascii="Book Antiqua" w:hAnsi="Book Antiqua"/>
          <w:b w:val="0"/>
          <w:color w:val="000000"/>
          <w:sz w:val="22"/>
        </w:rPr>
        <w:t xml:space="preserve">under which a scheme’s approval would not limit </w:t>
      </w:r>
      <w:r w:rsidR="0093229A" w:rsidRPr="009376A3">
        <w:rPr>
          <w:rFonts w:ascii="Book Antiqua" w:hAnsi="Book Antiqua"/>
          <w:b w:val="0"/>
          <w:color w:val="000000"/>
          <w:sz w:val="22"/>
        </w:rPr>
        <w:t>liability</w:t>
      </w:r>
      <w:r w:rsidR="007D2B2C" w:rsidRPr="009376A3">
        <w:rPr>
          <w:rFonts w:ascii="Book Antiqua" w:hAnsi="Book Antiqua"/>
          <w:b w:val="0"/>
          <w:color w:val="000000"/>
          <w:sz w:val="22"/>
        </w:rPr>
        <w:t xml:space="preserve">, </w:t>
      </w:r>
      <w:r w:rsidRPr="009376A3">
        <w:rPr>
          <w:rFonts w:ascii="Book Antiqua" w:hAnsi="Book Antiqua"/>
          <w:b w:val="0"/>
          <w:color w:val="000000"/>
          <w:sz w:val="22"/>
        </w:rPr>
        <w:t xml:space="preserve">be </w:t>
      </w:r>
      <w:r w:rsidR="007D2B2C" w:rsidRPr="009376A3">
        <w:rPr>
          <w:rFonts w:ascii="Book Antiqua" w:hAnsi="Book Antiqua"/>
          <w:b w:val="0"/>
          <w:color w:val="000000"/>
          <w:sz w:val="22"/>
        </w:rPr>
        <w:t>practicable</w:t>
      </w:r>
      <w:r w:rsidR="0093229A" w:rsidRPr="009376A3">
        <w:rPr>
          <w:rFonts w:ascii="Book Antiqua" w:hAnsi="Book Antiqua"/>
          <w:b w:val="0"/>
          <w:color w:val="000000"/>
          <w:sz w:val="22"/>
        </w:rPr>
        <w:t>?</w:t>
      </w:r>
    </w:p>
    <w:p w14:paraId="5DC8F944" w14:textId="77777777" w:rsidR="00A34C8A" w:rsidRPr="00A34C8A" w:rsidRDefault="00A34C8A" w:rsidP="00A34C8A">
      <w:pPr>
        <w:shd w:val="clear" w:color="auto" w:fill="FDE9D9" w:themeFill="accent6" w:themeFillTint="33"/>
        <w:spacing w:after="0" w:line="240" w:lineRule="auto"/>
      </w:pPr>
    </w:p>
    <w:p w14:paraId="4EC502F6" w14:textId="50CC8643" w:rsidR="0065082A" w:rsidRDefault="0065082A" w:rsidP="0065082A">
      <w:pPr>
        <w:pStyle w:val="Heading6"/>
        <w:shd w:val="clear" w:color="auto" w:fill="FDE9D9" w:themeFill="accent6" w:themeFillTint="33"/>
      </w:pPr>
      <w:r>
        <w:t>Role of professional associations</w:t>
      </w:r>
    </w:p>
    <w:p w14:paraId="2793993C" w14:textId="638B3C05" w:rsidR="00186F62" w:rsidRDefault="00186F62" w:rsidP="00186F62">
      <w:pPr>
        <w:pStyle w:val="Heading5"/>
        <w:shd w:val="clear" w:color="auto" w:fill="FDE9D9" w:themeFill="accent6" w:themeFillTint="33"/>
        <w:spacing w:after="0"/>
      </w:pPr>
      <w:r w:rsidRPr="00385595">
        <w:t>Question 8.</w:t>
      </w:r>
      <w:r w:rsidR="006F2154">
        <w:t>9</w:t>
      </w:r>
    </w:p>
    <w:p w14:paraId="4BB6508A" w14:textId="6273CC9A" w:rsidR="00A34C8A" w:rsidRPr="00186F62" w:rsidRDefault="00186F62" w:rsidP="00186F62">
      <w:pPr>
        <w:pStyle w:val="Heading5"/>
        <w:shd w:val="clear" w:color="auto" w:fill="FDE9D9" w:themeFill="accent6" w:themeFillTint="33"/>
        <w:spacing w:after="0"/>
        <w:rPr>
          <w:rFonts w:ascii="Book Antiqua" w:hAnsi="Book Antiqua"/>
          <w:b w:val="0"/>
          <w:color w:val="000000"/>
          <w:sz w:val="22"/>
        </w:rPr>
      </w:pPr>
      <w:r w:rsidRPr="009376A3">
        <w:rPr>
          <w:rFonts w:ascii="Book Antiqua" w:hAnsi="Book Antiqua"/>
          <w:b w:val="0"/>
          <w:color w:val="000000"/>
          <w:sz w:val="22"/>
        </w:rPr>
        <w:t>What are the practical implications of mandating membership of a</w:t>
      </w:r>
      <w:r w:rsidR="005A1F07">
        <w:rPr>
          <w:rFonts w:ascii="Book Antiqua" w:hAnsi="Book Antiqua"/>
          <w:b w:val="0"/>
          <w:color w:val="000000"/>
          <w:sz w:val="22"/>
        </w:rPr>
        <w:t xml:space="preserve"> </w:t>
      </w:r>
      <w:r w:rsidRPr="009376A3">
        <w:rPr>
          <w:rFonts w:ascii="Book Antiqua" w:hAnsi="Book Antiqua"/>
          <w:b w:val="0"/>
          <w:color w:val="000000"/>
          <w:sz w:val="22"/>
        </w:rPr>
        <w:t>professional association?</w:t>
      </w:r>
      <w:r>
        <w:rPr>
          <w:rFonts w:ascii="Book Antiqua" w:hAnsi="Book Antiqua"/>
          <w:b w:val="0"/>
          <w:color w:val="000000"/>
          <w:sz w:val="22"/>
        </w:rPr>
        <w:t xml:space="preserve"> Are there implications arising from the increased responsibility on professional associations rather than on the licensee?</w:t>
      </w:r>
    </w:p>
    <w:p w14:paraId="7F09C00F" w14:textId="77777777" w:rsidR="00C95A39" w:rsidRDefault="00C95A39">
      <w:pPr>
        <w:spacing w:after="0" w:line="240" w:lineRule="auto"/>
        <w:jc w:val="left"/>
        <w:rPr>
          <w:rFonts w:ascii="Century Gothic" w:hAnsi="Century Gothic" w:cs="Arial"/>
          <w:b/>
          <w:bCs/>
          <w:iCs/>
          <w:smallCaps/>
          <w:color w:val="000080"/>
          <w:sz w:val="28"/>
          <w:szCs w:val="28"/>
        </w:rPr>
      </w:pPr>
      <w:r>
        <w:br w:type="page"/>
      </w:r>
    </w:p>
    <w:p w14:paraId="23AA80A9" w14:textId="52CF8AB9" w:rsidR="00B73FBA" w:rsidRDefault="001B12B4" w:rsidP="00B73FBA">
      <w:pPr>
        <w:pStyle w:val="Heading2"/>
      </w:pPr>
      <w:r>
        <w:lastRenderedPageBreak/>
        <w:t xml:space="preserve">Section </w:t>
      </w:r>
      <w:r w:rsidR="00004538">
        <w:t>9</w:t>
      </w:r>
      <w:r w:rsidR="00B73FBA">
        <w:t xml:space="preserve">. </w:t>
      </w:r>
      <w:r w:rsidR="005A05DD">
        <w:t xml:space="preserve"> </w:t>
      </w:r>
      <w:r w:rsidR="00B73FBA">
        <w:t>Other issues for consideration</w:t>
      </w:r>
    </w:p>
    <w:p w14:paraId="5F169FAC" w14:textId="29215AB7" w:rsidR="00B73FBA" w:rsidRDefault="00F9744B" w:rsidP="00B73FBA">
      <w:pPr>
        <w:pStyle w:val="Heading4"/>
      </w:pPr>
      <w:r>
        <w:t>A</w:t>
      </w:r>
      <w:r w:rsidRPr="00B73FBA">
        <w:t>dvi</w:t>
      </w:r>
      <w:r>
        <w:t xml:space="preserve">ce </w:t>
      </w:r>
      <w:r w:rsidR="00B73FBA">
        <w:t xml:space="preserve">on </w:t>
      </w:r>
      <w:r w:rsidR="00BB360E">
        <w:t>Tier 2 products</w:t>
      </w:r>
    </w:p>
    <w:p w14:paraId="01F85FE1" w14:textId="77777777" w:rsidR="00B105AA" w:rsidRDefault="000F0931" w:rsidP="0077537B">
      <w:pPr>
        <w:pStyle w:val="OutlineNumbered1"/>
      </w:pPr>
      <w:r>
        <w:t xml:space="preserve">The PJC model considers </w:t>
      </w:r>
      <w:r w:rsidR="0077537B">
        <w:t>individual</w:t>
      </w:r>
      <w:r w:rsidR="007F2D6D">
        <w:t xml:space="preserve">s providing personal advice on </w:t>
      </w:r>
      <w:r w:rsidR="0077537B">
        <w:t>Tier 1 financial products</w:t>
      </w:r>
      <w:r>
        <w:t xml:space="preserve">, but not </w:t>
      </w:r>
      <w:r w:rsidR="00B105AA">
        <w:t>Tier 2 financial products</w:t>
      </w:r>
      <w:r w:rsidR="00BB360E">
        <w:t>.</w:t>
      </w:r>
      <w:r w:rsidR="00B105AA">
        <w:t xml:space="preserve"> ASIC would continue to set </w:t>
      </w:r>
      <w:r w:rsidR="001550D0">
        <w:t xml:space="preserve">and enforce </w:t>
      </w:r>
      <w:r w:rsidR="00B105AA">
        <w:t>the minimum standards required for advice related to Tier 2 products.</w:t>
      </w:r>
    </w:p>
    <w:p w14:paraId="3082FEC6" w14:textId="77777777" w:rsidR="00511C63" w:rsidRDefault="00511C63" w:rsidP="00511C63">
      <w:pPr>
        <w:pStyle w:val="Heading4"/>
      </w:pPr>
      <w:r>
        <w:t>Transitional arrangements</w:t>
      </w:r>
    </w:p>
    <w:p w14:paraId="1E07DF92" w14:textId="0F0C453A" w:rsidR="00237F54" w:rsidRDefault="00237F54" w:rsidP="00237F54">
      <w:pPr>
        <w:pStyle w:val="OutlineNumbered1"/>
      </w:pPr>
      <w:r>
        <w:t xml:space="preserve">The PJC reports notes </w:t>
      </w:r>
      <w:r w:rsidRPr="00237F54">
        <w:t>that a variety of transitional arrangements may be needed for financial advisers who are at different stages of their careers</w:t>
      </w:r>
      <w:r>
        <w:t xml:space="preserve">, including for </w:t>
      </w:r>
      <w:r w:rsidRPr="00237F54">
        <w:t>people changing careers</w:t>
      </w:r>
      <w:r>
        <w:t>.</w:t>
      </w:r>
      <w:r>
        <w:rPr>
          <w:rStyle w:val="FootnoteReference"/>
        </w:rPr>
        <w:footnoteReference w:id="16"/>
      </w:r>
    </w:p>
    <w:p w14:paraId="0FB637A2" w14:textId="6C1F41F8" w:rsidR="00411BEC" w:rsidRPr="00237F54" w:rsidRDefault="00810860" w:rsidP="00411BEC">
      <w:pPr>
        <w:pStyle w:val="OutlineNumbered1"/>
        <w:rPr>
          <w:b/>
          <w:i/>
        </w:rPr>
      </w:pPr>
      <w:r>
        <w:t xml:space="preserve">The pool of existing advisers is </w:t>
      </w:r>
      <w:r w:rsidR="008F0ABF">
        <w:t>significant</w:t>
      </w:r>
      <w:r w:rsidR="00E85175">
        <w:t>.</w:t>
      </w:r>
      <w:r w:rsidR="008F0ABF">
        <w:rPr>
          <w:rStyle w:val="FootnoteReference"/>
        </w:rPr>
        <w:footnoteReference w:id="17"/>
      </w:r>
      <w:r>
        <w:t xml:space="preserve"> </w:t>
      </w:r>
      <w:r w:rsidR="00E85175">
        <w:t xml:space="preserve">The PJC was of the </w:t>
      </w:r>
      <w:r w:rsidR="00411BEC">
        <w:t>view</w:t>
      </w:r>
      <w:r w:rsidR="00E85175">
        <w:t xml:space="preserve"> that</w:t>
      </w:r>
      <w:r w:rsidR="00411BEC">
        <w:t xml:space="preserve"> </w:t>
      </w:r>
      <w:r w:rsidR="00411BEC" w:rsidRPr="0034570E">
        <w:t xml:space="preserve">even if </w:t>
      </w:r>
      <w:r w:rsidR="00411BEC">
        <w:t>existing advisers</w:t>
      </w:r>
      <w:r w:rsidR="00411BEC" w:rsidRPr="0034570E">
        <w:t xml:space="preserve"> do not hold formal tertiary qualifications, years of practice have equipped many </w:t>
      </w:r>
      <w:r w:rsidR="00411BEC">
        <w:t>of them</w:t>
      </w:r>
      <w:r w:rsidR="00411BEC" w:rsidRPr="0034570E">
        <w:t xml:space="preserve"> with the knowledge and experience to provide effective and ethical advice to consumers.</w:t>
      </w:r>
      <w:r w:rsidR="00411BEC">
        <w:rPr>
          <w:rStyle w:val="FootnoteReference"/>
        </w:rPr>
        <w:footnoteReference w:id="18"/>
      </w:r>
    </w:p>
    <w:p w14:paraId="66A017D6" w14:textId="2089DDB5" w:rsidR="00237F54" w:rsidRPr="00AE385E" w:rsidRDefault="00AE385E" w:rsidP="00411BEC">
      <w:pPr>
        <w:pStyle w:val="OutlineNumbered1"/>
        <w:rPr>
          <w:b/>
          <w:i/>
          <w:color w:val="000000" w:themeColor="text1"/>
        </w:rPr>
      </w:pPr>
      <w:r>
        <w:rPr>
          <w:color w:val="000000" w:themeColor="text1"/>
        </w:rPr>
        <w:t>The PJC report considered that structured and consistent assessment of existing advisers and people changing careers is central to maintaining the integrity of the profession. As such, FPEC would play a key role in determining R</w:t>
      </w:r>
      <w:r w:rsidR="00E85175">
        <w:rPr>
          <w:color w:val="000000" w:themeColor="text1"/>
        </w:rPr>
        <w:t xml:space="preserve">ecognised </w:t>
      </w:r>
      <w:r>
        <w:rPr>
          <w:color w:val="000000" w:themeColor="text1"/>
        </w:rPr>
        <w:t>P</w:t>
      </w:r>
      <w:r w:rsidR="00E85175">
        <w:rPr>
          <w:color w:val="000000" w:themeColor="text1"/>
        </w:rPr>
        <w:t xml:space="preserve">rior </w:t>
      </w:r>
      <w:r>
        <w:rPr>
          <w:color w:val="000000" w:themeColor="text1"/>
        </w:rPr>
        <w:t>L</w:t>
      </w:r>
      <w:r w:rsidR="00E85175">
        <w:rPr>
          <w:color w:val="000000" w:themeColor="text1"/>
        </w:rPr>
        <w:t>earning</w:t>
      </w:r>
      <w:r>
        <w:rPr>
          <w:color w:val="000000" w:themeColor="text1"/>
        </w:rPr>
        <w:t xml:space="preserve"> criteria and in developing transitional pathways.</w:t>
      </w:r>
    </w:p>
    <w:p w14:paraId="5A7F8FC8" w14:textId="77777777" w:rsidR="00B73FBA" w:rsidRDefault="00B73FBA" w:rsidP="00B73FBA">
      <w:pPr>
        <w:pStyle w:val="Heading4"/>
      </w:pPr>
      <w:r>
        <w:t xml:space="preserve">Timing </w:t>
      </w:r>
      <w:r w:rsidR="00B5406A">
        <w:t>and interim arrangements</w:t>
      </w:r>
    </w:p>
    <w:p w14:paraId="6ABBD394" w14:textId="5EF4BF6C" w:rsidR="007456B9" w:rsidRDefault="007456B9" w:rsidP="006C122F">
      <w:pPr>
        <w:pStyle w:val="OutlineNumbered1"/>
      </w:pPr>
      <w:r>
        <w:t>Recommendation 14 of t</w:t>
      </w:r>
      <w:r w:rsidR="00DC1819">
        <w:t xml:space="preserve">he PJC </w:t>
      </w:r>
      <w:r>
        <w:t xml:space="preserve">report </w:t>
      </w:r>
      <w:r w:rsidR="00DC1819">
        <w:t>set</w:t>
      </w:r>
      <w:r>
        <w:t>s</w:t>
      </w:r>
      <w:r w:rsidR="00DC1819">
        <w:t xml:space="preserve"> out a timeframe </w:t>
      </w:r>
      <w:r>
        <w:t xml:space="preserve">for implementing all of the recommendations. This timeline was developed with the view that swift and decisive action is required to raise the professional, ethical and education standards of financial advisers. </w:t>
      </w:r>
    </w:p>
    <w:p w14:paraId="59E9C1FE" w14:textId="7CAEE536" w:rsidR="00362B92" w:rsidRDefault="00362B92" w:rsidP="00362B92"/>
    <w:p w14:paraId="47CC1E30" w14:textId="77777777" w:rsidR="00362B92" w:rsidRDefault="00362B92" w:rsidP="00362B92"/>
    <w:p w14:paraId="6E606DA5" w14:textId="2E625A42" w:rsidR="00AC0734" w:rsidRPr="00AC0734" w:rsidRDefault="00AC0734" w:rsidP="00273F38">
      <w:pPr>
        <w:keepNext/>
        <w:keepLines/>
        <w:rPr>
          <w:b/>
        </w:rPr>
      </w:pPr>
      <w:r w:rsidRPr="00AC0734">
        <w:rPr>
          <w:b/>
        </w:rPr>
        <w:lastRenderedPageBreak/>
        <w:t>Table 1: Recommendation 14 of the PJC report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701"/>
      </w:tblGrid>
      <w:tr w:rsidR="00AC0734" w14:paraId="1550CDCE" w14:textId="77777777" w:rsidTr="00AC0734">
        <w:tc>
          <w:tcPr>
            <w:tcW w:w="7479" w:type="dxa"/>
          </w:tcPr>
          <w:p w14:paraId="26B7152B" w14:textId="5EDC133E" w:rsidR="00AC0734" w:rsidRDefault="00AC0734" w:rsidP="00273F38">
            <w:pPr>
              <w:pStyle w:val="Heading5"/>
              <w:keepLines/>
              <w:outlineLvl w:val="4"/>
            </w:pPr>
            <w:r>
              <w:t>Transitional arrangement and timeframes</w:t>
            </w:r>
          </w:p>
        </w:tc>
        <w:tc>
          <w:tcPr>
            <w:tcW w:w="1701" w:type="dxa"/>
          </w:tcPr>
          <w:p w14:paraId="58B3CE1D" w14:textId="164F0B3E" w:rsidR="00AC0734" w:rsidRDefault="00AC0734" w:rsidP="00273F38">
            <w:pPr>
              <w:pStyle w:val="Heading5"/>
              <w:keepLines/>
              <w:jc w:val="right"/>
              <w:outlineLvl w:val="4"/>
            </w:pPr>
            <w:r>
              <w:t>Date</w:t>
            </w:r>
          </w:p>
        </w:tc>
      </w:tr>
      <w:tr w:rsidR="00AC0734" w14:paraId="2EFF0137" w14:textId="77777777" w:rsidTr="00AC0734">
        <w:tc>
          <w:tcPr>
            <w:tcW w:w="7479" w:type="dxa"/>
          </w:tcPr>
          <w:p w14:paraId="57F427C9" w14:textId="0A432011" w:rsidR="00AC0734" w:rsidRPr="00AC0734" w:rsidRDefault="00AC0734" w:rsidP="00AC0734">
            <w:pPr>
              <w:rPr>
                <w:rFonts w:ascii="Century Gothic" w:hAnsi="Century Gothic"/>
                <w:sz w:val="20"/>
              </w:rPr>
            </w:pPr>
            <w:r w:rsidRPr="00AC0734">
              <w:rPr>
                <w:rFonts w:ascii="Century Gothic" w:hAnsi="Century Gothic"/>
                <w:sz w:val="20"/>
              </w:rPr>
              <w:t>Provisional registration (available to existing financial advisers from the implementation of the proposed government register until 1 Jan 2019 to address the goal of transparency)</w:t>
            </w:r>
          </w:p>
        </w:tc>
        <w:tc>
          <w:tcPr>
            <w:tcW w:w="1701" w:type="dxa"/>
          </w:tcPr>
          <w:p w14:paraId="4CA71C97" w14:textId="54B7F763" w:rsidR="00AC0734" w:rsidRPr="00AC0734" w:rsidRDefault="00AC0734" w:rsidP="003101C5">
            <w:pPr>
              <w:jc w:val="right"/>
              <w:rPr>
                <w:rFonts w:ascii="Century Gothic" w:hAnsi="Century Gothic"/>
                <w:sz w:val="20"/>
              </w:rPr>
            </w:pPr>
            <w:r w:rsidRPr="00AC0734">
              <w:rPr>
                <w:rFonts w:ascii="Century Gothic" w:hAnsi="Century Gothic"/>
                <w:sz w:val="20"/>
              </w:rPr>
              <w:t>Mar 2015</w:t>
            </w:r>
          </w:p>
        </w:tc>
      </w:tr>
      <w:tr w:rsidR="00AC0734" w14:paraId="43B779D3" w14:textId="77777777" w:rsidTr="00AC0734">
        <w:tc>
          <w:tcPr>
            <w:tcW w:w="7479" w:type="dxa"/>
          </w:tcPr>
          <w:p w14:paraId="07DE6B3C" w14:textId="24D9FD63" w:rsidR="00AC0734" w:rsidRPr="00AC0734" w:rsidRDefault="00AC0734" w:rsidP="00AC0734">
            <w:pPr>
              <w:rPr>
                <w:rFonts w:ascii="Century Gothic" w:hAnsi="Century Gothic"/>
                <w:sz w:val="20"/>
              </w:rPr>
            </w:pPr>
            <w:r w:rsidRPr="00AC0734">
              <w:rPr>
                <w:rFonts w:ascii="Century Gothic" w:hAnsi="Century Gothic"/>
                <w:sz w:val="20"/>
              </w:rPr>
              <w:t>Finance Professionals’ Education Council (FPEC) established</w:t>
            </w:r>
          </w:p>
        </w:tc>
        <w:tc>
          <w:tcPr>
            <w:tcW w:w="1701" w:type="dxa"/>
          </w:tcPr>
          <w:p w14:paraId="7AC47E83" w14:textId="5A350360" w:rsidR="00AC0734" w:rsidRPr="00AC0734" w:rsidRDefault="00AC0734" w:rsidP="003101C5">
            <w:pPr>
              <w:jc w:val="right"/>
              <w:rPr>
                <w:rFonts w:ascii="Century Gothic" w:hAnsi="Century Gothic"/>
                <w:sz w:val="20"/>
              </w:rPr>
            </w:pPr>
            <w:r w:rsidRPr="00AC0734">
              <w:rPr>
                <w:rFonts w:ascii="Century Gothic" w:hAnsi="Century Gothic"/>
                <w:sz w:val="20"/>
              </w:rPr>
              <w:t>1 Jul 2015</w:t>
            </w:r>
          </w:p>
        </w:tc>
      </w:tr>
      <w:tr w:rsidR="00AC0734" w14:paraId="2F09D1CB" w14:textId="77777777" w:rsidTr="00AC0734">
        <w:tc>
          <w:tcPr>
            <w:tcW w:w="7479" w:type="dxa"/>
          </w:tcPr>
          <w:p w14:paraId="70C95CC8" w14:textId="2162446E" w:rsidR="00AC0734" w:rsidRPr="00AC0734" w:rsidRDefault="00AC0734" w:rsidP="00AC0734">
            <w:pPr>
              <w:rPr>
                <w:rFonts w:ascii="Century Gothic" w:hAnsi="Century Gothic"/>
                <w:sz w:val="20"/>
              </w:rPr>
            </w:pPr>
            <w:r w:rsidRPr="00AC0734">
              <w:rPr>
                <w:rFonts w:ascii="Century Gothic" w:hAnsi="Century Gothic"/>
                <w:sz w:val="20"/>
              </w:rPr>
              <w:t>FPEC releases AQF-7 education standards for core and professional stream subjects</w:t>
            </w:r>
          </w:p>
        </w:tc>
        <w:tc>
          <w:tcPr>
            <w:tcW w:w="1701" w:type="dxa"/>
          </w:tcPr>
          <w:p w14:paraId="77F94948" w14:textId="49256598" w:rsidR="00AC0734" w:rsidRPr="00AC0734" w:rsidRDefault="00AC0734" w:rsidP="003101C5">
            <w:pPr>
              <w:jc w:val="right"/>
              <w:rPr>
                <w:rFonts w:ascii="Century Gothic" w:hAnsi="Century Gothic"/>
                <w:sz w:val="20"/>
              </w:rPr>
            </w:pPr>
            <w:r w:rsidRPr="00AC0734">
              <w:rPr>
                <w:rFonts w:ascii="Century Gothic" w:hAnsi="Century Gothic"/>
                <w:sz w:val="20"/>
              </w:rPr>
              <w:t>Jun 2016</w:t>
            </w:r>
          </w:p>
        </w:tc>
      </w:tr>
      <w:tr w:rsidR="00AC0734" w14:paraId="1C9F832B" w14:textId="77777777" w:rsidTr="00AC0734">
        <w:tc>
          <w:tcPr>
            <w:tcW w:w="7479" w:type="dxa"/>
          </w:tcPr>
          <w:p w14:paraId="26C2130B" w14:textId="791B6869" w:rsidR="00AC0734" w:rsidRPr="00AC0734" w:rsidRDefault="00AC0734" w:rsidP="00AC0734">
            <w:pPr>
              <w:rPr>
                <w:rFonts w:ascii="Century Gothic" w:hAnsi="Century Gothic"/>
                <w:sz w:val="20"/>
              </w:rPr>
            </w:pPr>
            <w:r w:rsidRPr="00AC0734">
              <w:rPr>
                <w:rFonts w:ascii="Century Gothic" w:hAnsi="Century Gothic"/>
                <w:sz w:val="20"/>
              </w:rPr>
              <w:t>Establishment of codes of ethics compliant with Professional Standards Scheme guidelines</w:t>
            </w:r>
          </w:p>
        </w:tc>
        <w:tc>
          <w:tcPr>
            <w:tcW w:w="1701" w:type="dxa"/>
          </w:tcPr>
          <w:p w14:paraId="7E614C9B" w14:textId="526EAD65" w:rsidR="00AC0734" w:rsidRPr="00AC0734" w:rsidRDefault="00AC0734" w:rsidP="003101C5">
            <w:pPr>
              <w:jc w:val="right"/>
              <w:rPr>
                <w:rFonts w:ascii="Century Gothic" w:hAnsi="Century Gothic"/>
                <w:sz w:val="20"/>
              </w:rPr>
            </w:pPr>
            <w:r w:rsidRPr="00AC0734">
              <w:rPr>
                <w:rFonts w:ascii="Century Gothic" w:hAnsi="Century Gothic"/>
                <w:sz w:val="20"/>
              </w:rPr>
              <w:t>Jul 2016</w:t>
            </w:r>
          </w:p>
        </w:tc>
      </w:tr>
      <w:tr w:rsidR="00AC0734" w14:paraId="58FF8D49" w14:textId="77777777" w:rsidTr="00AC0734">
        <w:tc>
          <w:tcPr>
            <w:tcW w:w="7479" w:type="dxa"/>
          </w:tcPr>
          <w:p w14:paraId="2E77C6E3" w14:textId="28A7B241" w:rsidR="00AC0734" w:rsidRPr="00AC0734" w:rsidRDefault="00AC0734" w:rsidP="00AC0734">
            <w:pPr>
              <w:rPr>
                <w:rFonts w:ascii="Century Gothic" w:hAnsi="Century Gothic"/>
                <w:sz w:val="20"/>
              </w:rPr>
            </w:pPr>
            <w:r w:rsidRPr="00AC0734">
              <w:rPr>
                <w:rFonts w:ascii="Century Gothic" w:hAnsi="Century Gothic"/>
                <w:sz w:val="20"/>
              </w:rPr>
              <w:t>FPEC approved AQF-7 courses available to commence</w:t>
            </w:r>
          </w:p>
        </w:tc>
        <w:tc>
          <w:tcPr>
            <w:tcW w:w="1701" w:type="dxa"/>
          </w:tcPr>
          <w:p w14:paraId="4415CA22" w14:textId="173633CF" w:rsidR="00AC0734" w:rsidRPr="00AC0734" w:rsidRDefault="00AC0734" w:rsidP="003101C5">
            <w:pPr>
              <w:jc w:val="right"/>
              <w:rPr>
                <w:rFonts w:ascii="Century Gothic" w:hAnsi="Century Gothic"/>
                <w:sz w:val="20"/>
              </w:rPr>
            </w:pPr>
            <w:r w:rsidRPr="00AC0734">
              <w:rPr>
                <w:rFonts w:ascii="Century Gothic" w:hAnsi="Century Gothic"/>
                <w:sz w:val="20"/>
              </w:rPr>
              <w:t>Jan 2017</w:t>
            </w:r>
          </w:p>
        </w:tc>
      </w:tr>
      <w:tr w:rsidR="00AC0734" w14:paraId="2CBD27BD" w14:textId="77777777" w:rsidTr="00AC0734">
        <w:tc>
          <w:tcPr>
            <w:tcW w:w="7479" w:type="dxa"/>
          </w:tcPr>
          <w:p w14:paraId="187CFED7" w14:textId="0E890CC1" w:rsidR="00AC0734" w:rsidRPr="00AC0734" w:rsidRDefault="00AC0734" w:rsidP="00AC0734">
            <w:pPr>
              <w:rPr>
                <w:rFonts w:ascii="Century Gothic" w:hAnsi="Century Gothic"/>
                <w:sz w:val="20"/>
              </w:rPr>
            </w:pPr>
            <w:r w:rsidRPr="00AC0734">
              <w:rPr>
                <w:rFonts w:ascii="Century Gothic" w:hAnsi="Century Gothic"/>
                <w:sz w:val="20"/>
              </w:rPr>
              <w:t>FPEC releases recognised prior learning framework (dealing with existing advisers and undergraduates who commence AQF-7 courses prior to Feb 2017)</w:t>
            </w:r>
          </w:p>
        </w:tc>
        <w:tc>
          <w:tcPr>
            <w:tcW w:w="1701" w:type="dxa"/>
          </w:tcPr>
          <w:p w14:paraId="0E494A89" w14:textId="10C313A4" w:rsidR="00AC0734" w:rsidRPr="00AC0734" w:rsidRDefault="00AC0734" w:rsidP="003101C5">
            <w:pPr>
              <w:jc w:val="right"/>
              <w:rPr>
                <w:rFonts w:ascii="Century Gothic" w:hAnsi="Century Gothic"/>
                <w:sz w:val="20"/>
              </w:rPr>
            </w:pPr>
            <w:r w:rsidRPr="00AC0734">
              <w:rPr>
                <w:rFonts w:ascii="Century Gothic" w:hAnsi="Century Gothic"/>
                <w:sz w:val="20"/>
              </w:rPr>
              <w:t>Jul 2016</w:t>
            </w:r>
          </w:p>
        </w:tc>
      </w:tr>
      <w:tr w:rsidR="00AC0734" w14:paraId="5160E24B" w14:textId="77777777" w:rsidTr="00AC0734">
        <w:tc>
          <w:tcPr>
            <w:tcW w:w="7479" w:type="dxa"/>
          </w:tcPr>
          <w:p w14:paraId="6FAA3973" w14:textId="6B6492DC" w:rsidR="00AC0734" w:rsidRPr="00AC0734" w:rsidRDefault="00AC0734" w:rsidP="00AC0734">
            <w:pPr>
              <w:rPr>
                <w:rFonts w:ascii="Century Gothic" w:hAnsi="Century Gothic"/>
                <w:sz w:val="20"/>
              </w:rPr>
            </w:pPr>
            <w:r w:rsidRPr="00AC0734">
              <w:rPr>
                <w:rFonts w:ascii="Century Gothic" w:hAnsi="Century Gothic"/>
                <w:sz w:val="20"/>
              </w:rPr>
              <w:t>FPEC releases professional year requirements including a recognised prior learning framework for existing advisers</w:t>
            </w:r>
          </w:p>
        </w:tc>
        <w:tc>
          <w:tcPr>
            <w:tcW w:w="1701" w:type="dxa"/>
          </w:tcPr>
          <w:p w14:paraId="706AEF07" w14:textId="7748FCA4" w:rsidR="00AC0734" w:rsidRPr="00AC0734" w:rsidRDefault="00AC0734" w:rsidP="003101C5">
            <w:pPr>
              <w:jc w:val="right"/>
              <w:rPr>
                <w:rFonts w:ascii="Century Gothic" w:hAnsi="Century Gothic"/>
                <w:sz w:val="20"/>
              </w:rPr>
            </w:pPr>
            <w:r w:rsidRPr="00AC0734">
              <w:rPr>
                <w:rFonts w:ascii="Century Gothic" w:hAnsi="Century Gothic"/>
                <w:sz w:val="20"/>
              </w:rPr>
              <w:t>Jul 2016</w:t>
            </w:r>
          </w:p>
        </w:tc>
      </w:tr>
      <w:tr w:rsidR="00AC0734" w14:paraId="58B4E31D" w14:textId="77777777" w:rsidTr="00AC0734">
        <w:tc>
          <w:tcPr>
            <w:tcW w:w="7479" w:type="dxa"/>
          </w:tcPr>
          <w:p w14:paraId="0CD62FBD" w14:textId="21D996CC" w:rsidR="00AC0734" w:rsidRPr="00AC0734" w:rsidRDefault="00AC0734" w:rsidP="00AC0734">
            <w:pPr>
              <w:rPr>
                <w:rFonts w:ascii="Century Gothic" w:hAnsi="Century Gothic"/>
                <w:sz w:val="20"/>
              </w:rPr>
            </w:pPr>
            <w:r w:rsidRPr="00AC0734">
              <w:rPr>
                <w:rFonts w:ascii="Century Gothic" w:hAnsi="Century Gothic"/>
                <w:sz w:val="20"/>
              </w:rPr>
              <w:t>Professional associations operating under PSC Professional Standards Schemes</w:t>
            </w:r>
          </w:p>
        </w:tc>
        <w:tc>
          <w:tcPr>
            <w:tcW w:w="1701" w:type="dxa"/>
          </w:tcPr>
          <w:p w14:paraId="0FF22CFF" w14:textId="206817A3" w:rsidR="00AC0734" w:rsidRPr="00AC0734" w:rsidRDefault="00AC0734" w:rsidP="003101C5">
            <w:pPr>
              <w:jc w:val="right"/>
              <w:rPr>
                <w:rFonts w:ascii="Century Gothic" w:hAnsi="Century Gothic"/>
                <w:sz w:val="20"/>
              </w:rPr>
            </w:pPr>
            <w:r w:rsidRPr="00AC0734">
              <w:rPr>
                <w:rFonts w:ascii="Century Gothic" w:hAnsi="Century Gothic"/>
                <w:sz w:val="20"/>
              </w:rPr>
              <w:t>1 Jan 2017</w:t>
            </w:r>
          </w:p>
        </w:tc>
      </w:tr>
      <w:tr w:rsidR="00AC0734" w14:paraId="3E916E76" w14:textId="77777777" w:rsidTr="00AC0734">
        <w:tc>
          <w:tcPr>
            <w:tcW w:w="7479" w:type="dxa"/>
          </w:tcPr>
          <w:p w14:paraId="6969F948" w14:textId="3A93021F" w:rsidR="00AC0734" w:rsidRPr="00AC0734" w:rsidRDefault="00AC0734" w:rsidP="00AC0734">
            <w:pPr>
              <w:rPr>
                <w:rFonts w:ascii="Century Gothic" w:hAnsi="Century Gothic"/>
                <w:sz w:val="20"/>
              </w:rPr>
            </w:pPr>
            <w:r w:rsidRPr="00AC0734">
              <w:rPr>
                <w:rFonts w:ascii="Century Gothic" w:hAnsi="Century Gothic"/>
                <w:sz w:val="20"/>
              </w:rPr>
              <w:t>Target date for existing financial advisers to qualify for full registration</w:t>
            </w:r>
          </w:p>
        </w:tc>
        <w:tc>
          <w:tcPr>
            <w:tcW w:w="1701" w:type="dxa"/>
          </w:tcPr>
          <w:p w14:paraId="218D2356" w14:textId="60FE1B33" w:rsidR="00AC0734" w:rsidRPr="00AC0734" w:rsidRDefault="00AC0734" w:rsidP="003101C5">
            <w:pPr>
              <w:jc w:val="right"/>
              <w:rPr>
                <w:rFonts w:ascii="Century Gothic" w:hAnsi="Century Gothic"/>
                <w:sz w:val="20"/>
              </w:rPr>
            </w:pPr>
            <w:r w:rsidRPr="00AC0734">
              <w:rPr>
                <w:rFonts w:ascii="Century Gothic" w:hAnsi="Century Gothic"/>
                <w:sz w:val="20"/>
              </w:rPr>
              <w:t>1 Jan 2018</w:t>
            </w:r>
          </w:p>
        </w:tc>
      </w:tr>
      <w:tr w:rsidR="00AC0734" w14:paraId="63A868CD" w14:textId="77777777" w:rsidTr="00AC0734">
        <w:tc>
          <w:tcPr>
            <w:tcW w:w="7479" w:type="dxa"/>
          </w:tcPr>
          <w:p w14:paraId="6C4784FF" w14:textId="2C5C3403" w:rsidR="00AC0734" w:rsidRPr="00AC0734" w:rsidRDefault="00AC0734" w:rsidP="00AC0734">
            <w:pPr>
              <w:rPr>
                <w:rFonts w:ascii="Century Gothic" w:hAnsi="Century Gothic"/>
                <w:sz w:val="20"/>
              </w:rPr>
            </w:pPr>
            <w:r w:rsidRPr="00AC0734">
              <w:rPr>
                <w:rFonts w:ascii="Century Gothic" w:hAnsi="Century Gothic"/>
                <w:sz w:val="20"/>
              </w:rPr>
              <w:t>Cut-off date for full registration – provisional registration no longer available</w:t>
            </w:r>
          </w:p>
        </w:tc>
        <w:tc>
          <w:tcPr>
            <w:tcW w:w="1701" w:type="dxa"/>
          </w:tcPr>
          <w:p w14:paraId="0EC62C91" w14:textId="73240914" w:rsidR="00AC0734" w:rsidRPr="00AC0734" w:rsidRDefault="00AC0734" w:rsidP="003101C5">
            <w:pPr>
              <w:jc w:val="right"/>
              <w:rPr>
                <w:rFonts w:ascii="Century Gothic" w:hAnsi="Century Gothic"/>
                <w:sz w:val="20"/>
              </w:rPr>
            </w:pPr>
            <w:r w:rsidRPr="00AC0734">
              <w:rPr>
                <w:rFonts w:ascii="Century Gothic" w:hAnsi="Century Gothic"/>
                <w:sz w:val="20"/>
              </w:rPr>
              <w:t>1 Jan 2019</w:t>
            </w:r>
          </w:p>
        </w:tc>
      </w:tr>
    </w:tbl>
    <w:p w14:paraId="003F7953" w14:textId="77777777" w:rsidR="00AC0734" w:rsidRDefault="00AC0734" w:rsidP="00AC0734"/>
    <w:p w14:paraId="42B0D27F" w14:textId="77777777" w:rsidR="005270CC" w:rsidRDefault="00526706" w:rsidP="00B73FBA">
      <w:pPr>
        <w:pStyle w:val="OutlineNumbered1"/>
      </w:pPr>
      <w:r>
        <w:t>The PJC model involves deferral of key policy considerations and frameworks to FPEC.  This will have implications for timing</w:t>
      </w:r>
      <w:r w:rsidR="00F9744B">
        <w:t>,</w:t>
      </w:r>
      <w:r>
        <w:t xml:space="preserve"> and interim arrangements may be needed whilst the proposed FPEC is being established and becomes operational.  </w:t>
      </w:r>
    </w:p>
    <w:p w14:paraId="4577F652" w14:textId="77777777" w:rsidR="00276600" w:rsidRDefault="00276600" w:rsidP="00276600"/>
    <w:p w14:paraId="24C49252" w14:textId="7CBE8E59" w:rsidR="003101C5" w:rsidRDefault="007B417F" w:rsidP="006548B8">
      <w:pPr>
        <w:pStyle w:val="Heading5"/>
        <w:shd w:val="clear" w:color="auto" w:fill="FDE9D9" w:themeFill="accent6" w:themeFillTint="33"/>
      </w:pPr>
      <w:r w:rsidDel="001657A7">
        <w:t>Feedback sought</w:t>
      </w:r>
      <w:r w:rsidR="001657A7">
        <w:t xml:space="preserve"> </w:t>
      </w:r>
      <w:r w:rsidR="00ED3B74">
        <w:t>—</w:t>
      </w:r>
      <w:r w:rsidR="00E125F7">
        <w:t xml:space="preserve"> o</w:t>
      </w:r>
      <w:r w:rsidR="003101C5">
        <w:t>ther issues for consideration</w:t>
      </w:r>
    </w:p>
    <w:p w14:paraId="0594CDC2" w14:textId="0A7EDB1F" w:rsidR="006548B8" w:rsidRDefault="003101C5" w:rsidP="003101C5">
      <w:pPr>
        <w:pStyle w:val="Heading6"/>
        <w:shd w:val="clear" w:color="auto" w:fill="FDE9D9" w:themeFill="accent6" w:themeFillTint="33"/>
      </w:pPr>
      <w:r>
        <w:t>Advice on t</w:t>
      </w:r>
      <w:r w:rsidR="006548B8">
        <w:t>ier 2 products</w:t>
      </w:r>
    </w:p>
    <w:p w14:paraId="5AD89EAF" w14:textId="77777777" w:rsidR="00ED3B74" w:rsidRDefault="006548B8" w:rsidP="006548B8">
      <w:pPr>
        <w:pStyle w:val="Heading5"/>
        <w:shd w:val="clear" w:color="auto" w:fill="FDE9D9" w:themeFill="accent6" w:themeFillTint="33"/>
      </w:pPr>
      <w:r>
        <w:t>Question 9.1</w:t>
      </w:r>
    </w:p>
    <w:p w14:paraId="434C8F5E" w14:textId="5AE560C1" w:rsidR="006548B8" w:rsidRDefault="006548B8" w:rsidP="00ED3B74">
      <w:pPr>
        <w:pStyle w:val="Heading5"/>
        <w:shd w:val="clear" w:color="auto" w:fill="FDE9D9" w:themeFill="accent6" w:themeFillTint="33"/>
        <w:spacing w:after="0"/>
        <w:rPr>
          <w:rFonts w:ascii="Book Antiqua" w:hAnsi="Book Antiqua"/>
          <w:b w:val="0"/>
          <w:color w:val="000000"/>
          <w:sz w:val="22"/>
        </w:rPr>
      </w:pPr>
      <w:r w:rsidRPr="00ED3B74">
        <w:rPr>
          <w:rFonts w:ascii="Book Antiqua" w:hAnsi="Book Antiqua"/>
          <w:b w:val="0"/>
          <w:color w:val="000000"/>
          <w:sz w:val="22"/>
        </w:rPr>
        <w:t xml:space="preserve">How </w:t>
      </w:r>
      <w:r w:rsidR="00F9744B">
        <w:rPr>
          <w:rFonts w:ascii="Book Antiqua" w:hAnsi="Book Antiqua"/>
          <w:b w:val="0"/>
          <w:color w:val="000000"/>
          <w:sz w:val="22"/>
        </w:rPr>
        <w:t>c</w:t>
      </w:r>
      <w:r w:rsidR="00F9744B" w:rsidRPr="00ED3B74">
        <w:rPr>
          <w:rFonts w:ascii="Book Antiqua" w:hAnsi="Book Antiqua"/>
          <w:b w:val="0"/>
          <w:color w:val="000000"/>
          <w:sz w:val="22"/>
        </w:rPr>
        <w:t xml:space="preserve">ould </w:t>
      </w:r>
      <w:r w:rsidRPr="00ED3B74">
        <w:rPr>
          <w:rFonts w:ascii="Book Antiqua" w:hAnsi="Book Antiqua"/>
          <w:b w:val="0"/>
          <w:color w:val="000000"/>
          <w:sz w:val="22"/>
        </w:rPr>
        <w:t xml:space="preserve">the PJC model interact with the existing </w:t>
      </w:r>
      <w:r w:rsidR="007456B9">
        <w:rPr>
          <w:rFonts w:ascii="Book Antiqua" w:hAnsi="Book Antiqua"/>
          <w:b w:val="0"/>
          <w:color w:val="000000"/>
          <w:sz w:val="22"/>
        </w:rPr>
        <w:t>T</w:t>
      </w:r>
      <w:r w:rsidRPr="00ED3B74">
        <w:rPr>
          <w:rFonts w:ascii="Book Antiqua" w:hAnsi="Book Antiqua"/>
          <w:b w:val="0"/>
          <w:color w:val="000000"/>
          <w:sz w:val="22"/>
        </w:rPr>
        <w:t>ier 2 adviser training and competency requirements?</w:t>
      </w:r>
    </w:p>
    <w:p w14:paraId="6B24E349" w14:textId="77777777" w:rsidR="005B4CD6" w:rsidRPr="005B4CD6" w:rsidRDefault="005B4CD6" w:rsidP="005B4CD6">
      <w:pPr>
        <w:shd w:val="clear" w:color="auto" w:fill="FDE9D9" w:themeFill="accent6" w:themeFillTint="33"/>
        <w:spacing w:after="0" w:line="240" w:lineRule="auto"/>
      </w:pPr>
    </w:p>
    <w:p w14:paraId="2168D331" w14:textId="5FFFE672" w:rsidR="00AB154B" w:rsidRDefault="003101C5" w:rsidP="003101C5">
      <w:pPr>
        <w:pStyle w:val="Heading6"/>
        <w:shd w:val="clear" w:color="auto" w:fill="FDE9D9" w:themeFill="accent6" w:themeFillTint="33"/>
      </w:pPr>
      <w:r>
        <w:lastRenderedPageBreak/>
        <w:t>T</w:t>
      </w:r>
      <w:r w:rsidR="00AB154B">
        <w:t>ransitional arrangements</w:t>
      </w:r>
    </w:p>
    <w:p w14:paraId="78B40CD7" w14:textId="4E2B0B31" w:rsidR="00AB154B" w:rsidRPr="00ED3B74" w:rsidRDefault="00AB154B" w:rsidP="00AB154B">
      <w:pPr>
        <w:pStyle w:val="Heading5"/>
        <w:shd w:val="clear" w:color="auto" w:fill="FDE9D9" w:themeFill="accent6" w:themeFillTint="33"/>
        <w:spacing w:after="0"/>
        <w:rPr>
          <w:rFonts w:ascii="Book Antiqua" w:hAnsi="Book Antiqua"/>
          <w:b w:val="0"/>
          <w:bCs w:val="0"/>
          <w:iCs w:val="0"/>
          <w:color w:val="000000"/>
          <w:sz w:val="22"/>
        </w:rPr>
      </w:pPr>
      <w:r>
        <w:t>Question 9.</w:t>
      </w:r>
      <w:r w:rsidR="003101C5">
        <w:t>2</w:t>
      </w:r>
    </w:p>
    <w:p w14:paraId="2E5D81E0" w14:textId="3612438F" w:rsidR="00AB154B" w:rsidRDefault="00AB154B" w:rsidP="00AB154B">
      <w:pPr>
        <w:pStyle w:val="Heading5"/>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Do you consider FPEC to be the best entity to determine transitional arrangements for existing advisers</w:t>
      </w:r>
      <w:r w:rsidR="005A1F07">
        <w:rPr>
          <w:rFonts w:ascii="Book Antiqua" w:hAnsi="Book Antiqua"/>
          <w:b w:val="0"/>
          <w:color w:val="000000"/>
          <w:sz w:val="22"/>
        </w:rPr>
        <w:t xml:space="preserve"> and advisers </w:t>
      </w:r>
      <w:r w:rsidR="00914EB3">
        <w:rPr>
          <w:rFonts w:ascii="Book Antiqua" w:hAnsi="Book Antiqua"/>
          <w:b w:val="0"/>
          <w:color w:val="000000"/>
          <w:sz w:val="22"/>
        </w:rPr>
        <w:t xml:space="preserve">wishing </w:t>
      </w:r>
      <w:r w:rsidR="00914EB3" w:rsidRPr="00914EB3">
        <w:rPr>
          <w:rFonts w:ascii="Book Antiqua" w:hAnsi="Book Antiqua"/>
          <w:b w:val="0"/>
          <w:color w:val="000000"/>
          <w:sz w:val="22"/>
        </w:rPr>
        <w:t>to move within the industry</w:t>
      </w:r>
      <w:r>
        <w:rPr>
          <w:rFonts w:ascii="Book Antiqua" w:hAnsi="Book Antiqua"/>
          <w:b w:val="0"/>
          <w:color w:val="000000"/>
          <w:sz w:val="22"/>
        </w:rPr>
        <w:t>?</w:t>
      </w:r>
    </w:p>
    <w:p w14:paraId="4C703B87" w14:textId="77777777" w:rsidR="00AE385E" w:rsidRDefault="00AE385E" w:rsidP="00273F38">
      <w:pPr>
        <w:pStyle w:val="Heading5"/>
        <w:shd w:val="clear" w:color="auto" w:fill="FDE9D9" w:themeFill="accent6" w:themeFillTint="33"/>
        <w:spacing w:after="0"/>
      </w:pPr>
    </w:p>
    <w:p w14:paraId="0DED3128" w14:textId="08A892B9" w:rsidR="008806EF" w:rsidRDefault="008806EF" w:rsidP="008806EF">
      <w:pPr>
        <w:pStyle w:val="Heading5"/>
        <w:shd w:val="clear" w:color="auto" w:fill="FDE9D9" w:themeFill="accent6" w:themeFillTint="33"/>
      </w:pPr>
      <w:r>
        <w:t>Que</w:t>
      </w:r>
      <w:r w:rsidR="003101C5">
        <w:t>stion 9.3</w:t>
      </w:r>
    </w:p>
    <w:p w14:paraId="3D50A5AA" w14:textId="7A83BB6D" w:rsidR="005A1F07" w:rsidRDefault="008806EF" w:rsidP="008806EF">
      <w:pPr>
        <w:pStyle w:val="NoSpacing"/>
        <w:shd w:val="clear" w:color="auto" w:fill="FDE9D9" w:themeFill="accent6" w:themeFillTint="33"/>
      </w:pPr>
      <w:r>
        <w:t xml:space="preserve">Do you consider </w:t>
      </w:r>
      <w:r w:rsidR="005A1F07">
        <w:t>R</w:t>
      </w:r>
      <w:r>
        <w:t xml:space="preserve">ecognised </w:t>
      </w:r>
      <w:r w:rsidR="005A1F07">
        <w:t>P</w:t>
      </w:r>
      <w:r>
        <w:t xml:space="preserve">rior </w:t>
      </w:r>
      <w:r w:rsidR="005A1F07">
        <w:t>L</w:t>
      </w:r>
      <w:r>
        <w:t>earning a suitable transition</w:t>
      </w:r>
      <w:r w:rsidR="000C2C6E">
        <w:t>al</w:t>
      </w:r>
      <w:r>
        <w:t xml:space="preserve"> arrangement for existing advisers?</w:t>
      </w:r>
      <w:r w:rsidRPr="00010299">
        <w:t xml:space="preserve"> </w:t>
      </w:r>
    </w:p>
    <w:p w14:paraId="72E32379" w14:textId="77777777" w:rsidR="005A1F07" w:rsidRDefault="005A1F07" w:rsidP="008806EF">
      <w:pPr>
        <w:pStyle w:val="NoSpacing"/>
        <w:shd w:val="clear" w:color="auto" w:fill="FDE9D9" w:themeFill="accent6" w:themeFillTint="33"/>
      </w:pPr>
    </w:p>
    <w:p w14:paraId="195F6180" w14:textId="796A44F1" w:rsidR="005A1F07" w:rsidRDefault="005A1F07" w:rsidP="005A1F07">
      <w:pPr>
        <w:pStyle w:val="Heading5"/>
        <w:shd w:val="clear" w:color="auto" w:fill="FDE9D9" w:themeFill="accent6" w:themeFillTint="33"/>
      </w:pPr>
      <w:r>
        <w:t>Question 9.4</w:t>
      </w:r>
    </w:p>
    <w:p w14:paraId="5F83879F" w14:textId="59F04DBD" w:rsidR="008806EF" w:rsidRPr="00004538" w:rsidRDefault="008806EF" w:rsidP="008806EF">
      <w:pPr>
        <w:pStyle w:val="NoSpacing"/>
        <w:shd w:val="clear" w:color="auto" w:fill="FDE9D9" w:themeFill="accent6" w:themeFillTint="33"/>
      </w:pPr>
      <w:r>
        <w:t>What is an appropriate timeframe over which existing advisers should transition to the new system?</w:t>
      </w:r>
    </w:p>
    <w:p w14:paraId="53F6D286" w14:textId="77777777" w:rsidR="00AB154B" w:rsidRDefault="00AB154B" w:rsidP="00273F38">
      <w:pPr>
        <w:pStyle w:val="Heading5"/>
        <w:shd w:val="clear" w:color="auto" w:fill="FDE9D9" w:themeFill="accent6" w:themeFillTint="33"/>
        <w:spacing w:after="0"/>
      </w:pPr>
    </w:p>
    <w:p w14:paraId="3EF750DF" w14:textId="37669FD0" w:rsidR="008806EF" w:rsidRPr="003101C5" w:rsidRDefault="008806EF" w:rsidP="008806EF">
      <w:pPr>
        <w:pStyle w:val="Heading5"/>
        <w:shd w:val="clear" w:color="auto" w:fill="FDE9D9" w:themeFill="accent6" w:themeFillTint="33"/>
        <w:spacing w:after="0"/>
      </w:pPr>
      <w:r w:rsidRPr="003101C5">
        <w:t>Question 9.</w:t>
      </w:r>
      <w:r w:rsidR="005A1F07">
        <w:t>5</w:t>
      </w:r>
    </w:p>
    <w:p w14:paraId="30E64DF5" w14:textId="546079DE" w:rsidR="008806EF" w:rsidRDefault="008806EF" w:rsidP="008806EF">
      <w:pPr>
        <w:pStyle w:val="Heading5"/>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Are there any</w:t>
      </w:r>
      <w:r w:rsidRPr="00ED3B74">
        <w:rPr>
          <w:rFonts w:ascii="Book Antiqua" w:hAnsi="Book Antiqua"/>
          <w:b w:val="0"/>
          <w:color w:val="000000"/>
          <w:sz w:val="22"/>
        </w:rPr>
        <w:t xml:space="preserve"> alternat</w:t>
      </w:r>
      <w:r w:rsidR="000C2C6E">
        <w:rPr>
          <w:rFonts w:ascii="Book Antiqua" w:hAnsi="Book Antiqua"/>
          <w:b w:val="0"/>
          <w:color w:val="000000"/>
          <w:sz w:val="22"/>
        </w:rPr>
        <w:t>ive</w:t>
      </w:r>
      <w:r w:rsidRPr="00ED3B74">
        <w:rPr>
          <w:rFonts w:ascii="Book Antiqua" w:hAnsi="Book Antiqua"/>
          <w:b w:val="0"/>
          <w:color w:val="000000"/>
          <w:sz w:val="22"/>
        </w:rPr>
        <w:t xml:space="preserve"> t</w:t>
      </w:r>
      <w:r>
        <w:rPr>
          <w:rFonts w:ascii="Book Antiqua" w:hAnsi="Book Antiqua"/>
          <w:b w:val="0"/>
          <w:color w:val="000000"/>
          <w:sz w:val="22"/>
        </w:rPr>
        <w:t>ransitional</w:t>
      </w:r>
      <w:r w:rsidRPr="00ED3B74">
        <w:rPr>
          <w:rFonts w:ascii="Book Antiqua" w:hAnsi="Book Antiqua"/>
          <w:b w:val="0"/>
          <w:color w:val="000000"/>
          <w:sz w:val="22"/>
        </w:rPr>
        <w:t xml:space="preserve"> arrangements </w:t>
      </w:r>
      <w:r>
        <w:rPr>
          <w:rFonts w:ascii="Book Antiqua" w:hAnsi="Book Antiqua"/>
          <w:b w:val="0"/>
          <w:color w:val="000000"/>
          <w:sz w:val="22"/>
        </w:rPr>
        <w:t>that would be</w:t>
      </w:r>
      <w:r w:rsidRPr="00ED3B74">
        <w:rPr>
          <w:rFonts w:ascii="Book Antiqua" w:hAnsi="Book Antiqua"/>
          <w:b w:val="0"/>
          <w:color w:val="000000"/>
          <w:sz w:val="22"/>
        </w:rPr>
        <w:t xml:space="preserve"> </w:t>
      </w:r>
      <w:r>
        <w:rPr>
          <w:rFonts w:ascii="Book Antiqua" w:hAnsi="Book Antiqua"/>
          <w:b w:val="0"/>
          <w:color w:val="000000"/>
          <w:sz w:val="22"/>
        </w:rPr>
        <w:t>more appropriate or effective, for either new or existing advisers?</w:t>
      </w:r>
    </w:p>
    <w:p w14:paraId="7D9708E9" w14:textId="77777777" w:rsidR="003101C5" w:rsidRPr="003101C5" w:rsidRDefault="003101C5" w:rsidP="003101C5">
      <w:pPr>
        <w:shd w:val="clear" w:color="auto" w:fill="FDE9D9" w:themeFill="accent6" w:themeFillTint="33"/>
        <w:spacing w:after="0"/>
      </w:pPr>
    </w:p>
    <w:p w14:paraId="36AA1019" w14:textId="51E5AC1E" w:rsidR="00AB154B" w:rsidRDefault="003101C5" w:rsidP="003101C5">
      <w:pPr>
        <w:pStyle w:val="Heading6"/>
        <w:shd w:val="clear" w:color="auto" w:fill="FDE9D9" w:themeFill="accent6" w:themeFillTint="33"/>
      </w:pPr>
      <w:r>
        <w:t>T</w:t>
      </w:r>
      <w:r w:rsidR="00AB154B">
        <w:t>iming</w:t>
      </w:r>
    </w:p>
    <w:p w14:paraId="35386134" w14:textId="09F73518" w:rsidR="006548B8" w:rsidRPr="00ED3B74" w:rsidRDefault="005C43AF" w:rsidP="006548B8">
      <w:pPr>
        <w:shd w:val="clear" w:color="auto" w:fill="FDE9D9" w:themeFill="accent6" w:themeFillTint="33"/>
        <w:rPr>
          <w:i/>
        </w:rPr>
      </w:pPr>
      <w:r w:rsidRPr="00ED3B74">
        <w:rPr>
          <w:i/>
        </w:rPr>
        <w:t>T</w:t>
      </w:r>
      <w:r w:rsidR="006548B8" w:rsidRPr="00ED3B74">
        <w:rPr>
          <w:i/>
        </w:rPr>
        <w:t>he PJC recommended an implementation timeline that would see FPEC establish education standards by June 2016, professional associations  operating under a PSC approved scheme by 1</w:t>
      </w:r>
      <w:r w:rsidR="003101C5">
        <w:rPr>
          <w:i/>
        </w:rPr>
        <w:t> </w:t>
      </w:r>
      <w:r w:rsidR="006548B8" w:rsidRPr="00ED3B74">
        <w:rPr>
          <w:i/>
        </w:rPr>
        <w:t>January 2017 and all advisers (new and existing) to be fully registered by 1 January 2019.</w:t>
      </w:r>
    </w:p>
    <w:p w14:paraId="4EF5E4BA" w14:textId="3A3C449C" w:rsidR="00ED3B74" w:rsidRDefault="006548B8" w:rsidP="00347436">
      <w:pPr>
        <w:pStyle w:val="Heading5"/>
        <w:shd w:val="clear" w:color="auto" w:fill="FDE9D9" w:themeFill="accent6" w:themeFillTint="33"/>
        <w:spacing w:after="0"/>
      </w:pPr>
      <w:r>
        <w:t>Question 9.</w:t>
      </w:r>
      <w:r w:rsidR="005A1F07">
        <w:t>6</w:t>
      </w:r>
    </w:p>
    <w:p w14:paraId="4A548F6F" w14:textId="24A9D024" w:rsidR="006548B8" w:rsidRDefault="006548B8" w:rsidP="00ED3B74">
      <w:pPr>
        <w:pStyle w:val="Heading5"/>
        <w:shd w:val="clear" w:color="auto" w:fill="FDE9D9" w:themeFill="accent6" w:themeFillTint="33"/>
        <w:spacing w:after="0"/>
        <w:rPr>
          <w:rFonts w:ascii="Book Antiqua" w:hAnsi="Book Antiqua"/>
          <w:b w:val="0"/>
          <w:color w:val="000000"/>
          <w:sz w:val="22"/>
        </w:rPr>
      </w:pPr>
      <w:r w:rsidRPr="00ED3B74">
        <w:rPr>
          <w:rFonts w:ascii="Book Antiqua" w:hAnsi="Book Antiqua"/>
          <w:b w:val="0"/>
          <w:color w:val="000000"/>
          <w:sz w:val="22"/>
        </w:rPr>
        <w:t xml:space="preserve">Are there any particular elements of the PJC model that present timing challenges? </w:t>
      </w:r>
    </w:p>
    <w:p w14:paraId="290F6354" w14:textId="77777777" w:rsidR="005B4CD6" w:rsidRPr="005B4CD6" w:rsidRDefault="005B4CD6" w:rsidP="005B4CD6">
      <w:pPr>
        <w:shd w:val="clear" w:color="auto" w:fill="FDE9D9" w:themeFill="accent6" w:themeFillTint="33"/>
        <w:spacing w:after="0" w:line="240" w:lineRule="auto"/>
      </w:pPr>
    </w:p>
    <w:p w14:paraId="4E62445D" w14:textId="4E46670C" w:rsidR="00ED3B74" w:rsidRPr="00ED3B74" w:rsidRDefault="006548B8" w:rsidP="00ED3B74">
      <w:pPr>
        <w:pStyle w:val="Heading5"/>
        <w:shd w:val="clear" w:color="auto" w:fill="FDE9D9" w:themeFill="accent6" w:themeFillTint="33"/>
        <w:spacing w:after="0"/>
        <w:rPr>
          <w:rFonts w:ascii="Book Antiqua" w:hAnsi="Book Antiqua"/>
          <w:b w:val="0"/>
          <w:bCs w:val="0"/>
          <w:iCs w:val="0"/>
          <w:color w:val="000000"/>
          <w:sz w:val="22"/>
        </w:rPr>
      </w:pPr>
      <w:r>
        <w:t>Question 9.</w:t>
      </w:r>
      <w:r w:rsidR="005A1F07">
        <w:t>7</w:t>
      </w:r>
    </w:p>
    <w:p w14:paraId="40D7B762" w14:textId="4FB55D30" w:rsidR="00347436" w:rsidRPr="003101C5" w:rsidRDefault="00E125F7" w:rsidP="003101C5">
      <w:pPr>
        <w:pStyle w:val="Heading5"/>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What timing or phasing would most effectively balance the recognised need to raise standards and competency in the short-term against practicalities of implementing a new model to raise standards of new and existing advisers over the longer term</w:t>
      </w:r>
      <w:r w:rsidR="00347436">
        <w:rPr>
          <w:rFonts w:ascii="Book Antiqua" w:hAnsi="Book Antiqua"/>
          <w:b w:val="0"/>
          <w:color w:val="000000"/>
          <w:sz w:val="22"/>
        </w:rPr>
        <w:t>?</w:t>
      </w:r>
    </w:p>
    <w:p w14:paraId="76D587FF" w14:textId="77777777" w:rsidR="00F90050" w:rsidRPr="00F90050" w:rsidRDefault="00F90050" w:rsidP="00F90050">
      <w:pPr>
        <w:pStyle w:val="OutlineNumbered1"/>
        <w:numPr>
          <w:ilvl w:val="0"/>
          <w:numId w:val="0"/>
        </w:numPr>
        <w:ind w:left="567" w:hanging="567"/>
      </w:pPr>
    </w:p>
    <w:p w14:paraId="78CF49C7" w14:textId="77777777" w:rsidR="001B12B4" w:rsidRDefault="00EC5CA0">
      <w:pPr>
        <w:spacing w:after="0" w:line="240" w:lineRule="auto"/>
        <w:jc w:val="left"/>
      </w:pPr>
      <w:r>
        <w:br w:type="page"/>
      </w:r>
    </w:p>
    <w:p w14:paraId="434E5925" w14:textId="77777777" w:rsidR="001B12B4" w:rsidRDefault="001B12B4" w:rsidP="001B12B4">
      <w:pPr>
        <w:pStyle w:val="Heading1"/>
      </w:pPr>
      <w:r>
        <w:lastRenderedPageBreak/>
        <w:t>Attachment A — Regulation impact</w:t>
      </w:r>
    </w:p>
    <w:p w14:paraId="2FBEB20A" w14:textId="77777777" w:rsidR="001B12B4" w:rsidRDefault="001B12B4" w:rsidP="001B12B4">
      <w:pPr>
        <w:pStyle w:val="Heading4"/>
      </w:pPr>
      <w:r>
        <w:t>Current industry arrangements and impact of any changes</w:t>
      </w:r>
    </w:p>
    <w:p w14:paraId="41C0FC0E" w14:textId="4F67E3D4" w:rsidR="001B12B4" w:rsidRDefault="001B12B4" w:rsidP="00505077">
      <w:r w:rsidRPr="004A6488">
        <w:t xml:space="preserve">The </w:t>
      </w:r>
      <w:r w:rsidRPr="003E27C8">
        <w:rPr>
          <w:i/>
        </w:rPr>
        <w:t>Australian Government Guide to Regulation</w:t>
      </w:r>
      <w:r>
        <w:t xml:space="preserve"> requires that every policy option be carefully assessed, its likely impact costed and a range of viable alternatives considered in a transparent and accountable way against the default position of no new regulation. In line with this, every policy proposal designed to introduce or abolish regulation must be accompanied by an Australian Government Regulation Impact Statement, or RIS.</w:t>
      </w:r>
    </w:p>
    <w:p w14:paraId="2392776F" w14:textId="77777777" w:rsidR="001B12B4" w:rsidRDefault="001B12B4" w:rsidP="00505077">
      <w:r>
        <w:t xml:space="preserve">A RIS must contain an overview of likely impacts, an outline of regulatory costs and cost offsets and analysis of the likely regulatory impact and a formal cost–benefit analysis of various policy options. </w:t>
      </w:r>
    </w:p>
    <w:p w14:paraId="44FCA8B4" w14:textId="77777777" w:rsidR="001B12B4" w:rsidRDefault="001B12B4" w:rsidP="00505077">
      <w:r>
        <w:t>Consistent with these requirements, a RIS considering different policy options for increasing the professional standards of financial advisers would be undertaken prior to a policy position being agreed by Government.</w:t>
      </w:r>
    </w:p>
    <w:p w14:paraId="1ABBEDD1" w14:textId="77777777" w:rsidR="004A0C28" w:rsidRDefault="004A0C28" w:rsidP="00505077"/>
    <w:p w14:paraId="2BE0D0E4" w14:textId="5ABDB5BA" w:rsidR="001B12B4" w:rsidRDefault="001B12B4" w:rsidP="002A4F74">
      <w:pPr>
        <w:pStyle w:val="Heading5"/>
        <w:keepNext w:val="0"/>
        <w:shd w:val="clear" w:color="auto" w:fill="FDE9D9" w:themeFill="accent6" w:themeFillTint="33"/>
      </w:pPr>
      <w:r>
        <w:t>Feedback sought</w:t>
      </w:r>
      <w:r w:rsidR="003101C5">
        <w:t xml:space="preserve"> – Regulation impact</w:t>
      </w:r>
    </w:p>
    <w:p w14:paraId="6ABA89F3" w14:textId="77777777" w:rsidR="001B12B4" w:rsidRPr="00CE1464" w:rsidRDefault="001B12B4" w:rsidP="002A4F74">
      <w:pPr>
        <w:shd w:val="clear" w:color="auto" w:fill="FDE9D9" w:themeFill="accent6" w:themeFillTint="33"/>
        <w:rPr>
          <w:i/>
        </w:rPr>
      </w:pPr>
      <w:r>
        <w:rPr>
          <w:i/>
        </w:rPr>
        <w:t>T</w:t>
      </w:r>
      <w:r w:rsidRPr="008A0A14">
        <w:rPr>
          <w:i/>
        </w:rPr>
        <w:t xml:space="preserve">o help inform the RIS process, which will consider a range of policy options (one of which would </w:t>
      </w:r>
      <w:r>
        <w:rPr>
          <w:i/>
        </w:rPr>
        <w:t xml:space="preserve">likely </w:t>
      </w:r>
      <w:r w:rsidRPr="008A0A14">
        <w:rPr>
          <w:i/>
        </w:rPr>
        <w:t>be the introduction of the PJC model), we are seeking information on the current</w:t>
      </w:r>
      <w:r>
        <w:rPr>
          <w:i/>
        </w:rPr>
        <w:t xml:space="preserve"> structure and education of the industry.</w:t>
      </w:r>
    </w:p>
    <w:p w14:paraId="114B284A" w14:textId="341C3586" w:rsidR="001B12B4" w:rsidRDefault="003101C5" w:rsidP="002A4F74">
      <w:pPr>
        <w:pStyle w:val="Heading5"/>
        <w:keepNext w:val="0"/>
        <w:shd w:val="clear" w:color="auto" w:fill="FDE9D9" w:themeFill="accent6" w:themeFillTint="33"/>
      </w:pPr>
      <w:r>
        <w:t>Question 1</w:t>
      </w:r>
    </w:p>
    <w:p w14:paraId="0B555FC6" w14:textId="77777777"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How many/what proportion of financial advisers are likely to be affected by the introduction of a new professional standards framework (such as that proposed by the PJC)? If you are a licensee, how many/what proportion of your advisers would likely be affected?</w:t>
      </w:r>
    </w:p>
    <w:p w14:paraId="6547EDF1" w14:textId="77777777" w:rsidR="001B12B4" w:rsidRDefault="001B12B4" w:rsidP="002A4F74">
      <w:pPr>
        <w:pStyle w:val="Heading5"/>
        <w:keepNext w:val="0"/>
        <w:shd w:val="clear" w:color="auto" w:fill="FDE9D9" w:themeFill="accent6" w:themeFillTint="33"/>
        <w:spacing w:after="0"/>
      </w:pPr>
    </w:p>
    <w:p w14:paraId="13802D8A" w14:textId="6548903C" w:rsidR="001B12B4" w:rsidRDefault="001B12B4" w:rsidP="002A4F74">
      <w:pPr>
        <w:pStyle w:val="Heading5"/>
        <w:keepNext w:val="0"/>
        <w:shd w:val="clear" w:color="auto" w:fill="FDE9D9" w:themeFill="accent6" w:themeFillTint="33"/>
      </w:pPr>
      <w:r>
        <w:t>Question 2</w:t>
      </w:r>
    </w:p>
    <w:p w14:paraId="375FCBB1" w14:textId="0FF50399"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 xml:space="preserve">What proportion of financial advisers working in the industry are typically new entrants </w:t>
      </w:r>
      <w:r w:rsidR="003101C5">
        <w:rPr>
          <w:rFonts w:ascii="Book Antiqua" w:hAnsi="Book Antiqua"/>
          <w:b w:val="0"/>
          <w:color w:val="000000"/>
          <w:sz w:val="22"/>
        </w:rPr>
        <w:t xml:space="preserve">(for example, graduates and those coming from other professions) </w:t>
      </w:r>
      <w:r>
        <w:rPr>
          <w:rFonts w:ascii="Book Antiqua" w:hAnsi="Book Antiqua"/>
          <w:b w:val="0"/>
          <w:color w:val="000000"/>
          <w:sz w:val="22"/>
        </w:rPr>
        <w:t xml:space="preserve">versus existing advisers </w:t>
      </w:r>
      <w:r w:rsidR="00147687">
        <w:rPr>
          <w:rFonts w:ascii="Book Antiqua" w:hAnsi="Book Antiqua"/>
          <w:b w:val="0"/>
          <w:color w:val="000000"/>
          <w:sz w:val="22"/>
        </w:rPr>
        <w:t xml:space="preserve">who </w:t>
      </w:r>
      <w:r>
        <w:rPr>
          <w:rFonts w:ascii="Book Antiqua" w:hAnsi="Book Antiqua"/>
          <w:b w:val="0"/>
          <w:color w:val="000000"/>
          <w:sz w:val="22"/>
        </w:rPr>
        <w:t>have been in the industry for a number of years? If you are a licensee, what proportion of your advisers are new entrants (versus existing advisers)?</w:t>
      </w:r>
    </w:p>
    <w:p w14:paraId="711626DB" w14:textId="77777777"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p>
    <w:p w14:paraId="79DD8C6D" w14:textId="3AF19995" w:rsidR="001B12B4" w:rsidRPr="00181252" w:rsidRDefault="001B12B4" w:rsidP="002A4F74">
      <w:pPr>
        <w:pStyle w:val="Heading5"/>
        <w:keepNext w:val="0"/>
        <w:shd w:val="clear" w:color="auto" w:fill="FDE9D9" w:themeFill="accent6" w:themeFillTint="33"/>
      </w:pPr>
      <w:r>
        <w:t>Question 3</w:t>
      </w:r>
    </w:p>
    <w:p w14:paraId="43612EF4" w14:textId="77777777"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r>
        <w:rPr>
          <w:rFonts w:ascii="Book Antiqua" w:hAnsi="Book Antiqua"/>
          <w:b w:val="0"/>
          <w:color w:val="000000"/>
          <w:sz w:val="22"/>
        </w:rPr>
        <w:t>What is the typical education level of financial advisers? If you are a licensee, what proportion of your advisers hold a relevant tertiary degree?</w:t>
      </w:r>
    </w:p>
    <w:p w14:paraId="02531C23" w14:textId="77777777" w:rsidR="001B12B4" w:rsidRDefault="001B12B4" w:rsidP="002A4F74">
      <w:pPr>
        <w:pStyle w:val="Heading5"/>
        <w:keepNext w:val="0"/>
        <w:shd w:val="clear" w:color="auto" w:fill="FDE9D9" w:themeFill="accent6" w:themeFillTint="33"/>
        <w:spacing w:after="0"/>
      </w:pPr>
    </w:p>
    <w:p w14:paraId="496B27DB" w14:textId="5113FC00" w:rsidR="001B12B4" w:rsidRPr="005B4CD6" w:rsidRDefault="001B12B4" w:rsidP="002A4F74">
      <w:pPr>
        <w:pStyle w:val="Heading5"/>
        <w:keepNext w:val="0"/>
        <w:shd w:val="clear" w:color="auto" w:fill="FDE9D9" w:themeFill="accent6" w:themeFillTint="33"/>
      </w:pPr>
      <w:r>
        <w:t>Question 4</w:t>
      </w:r>
    </w:p>
    <w:p w14:paraId="2EE4DECB" w14:textId="14300A46"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r w:rsidRPr="00B5462C">
        <w:rPr>
          <w:rFonts w:ascii="Book Antiqua" w:hAnsi="Book Antiqua"/>
          <w:b w:val="0"/>
          <w:color w:val="000000"/>
          <w:sz w:val="22"/>
        </w:rPr>
        <w:t xml:space="preserve">What </w:t>
      </w:r>
      <w:r>
        <w:rPr>
          <w:rFonts w:ascii="Book Antiqua" w:hAnsi="Book Antiqua"/>
          <w:b w:val="0"/>
          <w:color w:val="000000"/>
          <w:sz w:val="22"/>
        </w:rPr>
        <w:t xml:space="preserve">proportion </w:t>
      </w:r>
      <w:r w:rsidRPr="00B5462C">
        <w:rPr>
          <w:rFonts w:ascii="Book Antiqua" w:hAnsi="Book Antiqua"/>
          <w:b w:val="0"/>
          <w:color w:val="000000"/>
          <w:sz w:val="22"/>
        </w:rPr>
        <w:t xml:space="preserve">of </w:t>
      </w:r>
      <w:r>
        <w:rPr>
          <w:rFonts w:ascii="Book Antiqua" w:hAnsi="Book Antiqua"/>
          <w:b w:val="0"/>
          <w:color w:val="000000"/>
          <w:sz w:val="22"/>
        </w:rPr>
        <w:t xml:space="preserve">advisers are </w:t>
      </w:r>
      <w:r w:rsidRPr="00B5462C">
        <w:rPr>
          <w:rFonts w:ascii="Book Antiqua" w:hAnsi="Book Antiqua"/>
          <w:b w:val="0"/>
          <w:color w:val="000000"/>
          <w:sz w:val="22"/>
        </w:rPr>
        <w:t xml:space="preserve">currently members of </w:t>
      </w:r>
      <w:r w:rsidR="00147687">
        <w:rPr>
          <w:rFonts w:ascii="Book Antiqua" w:hAnsi="Book Antiqua"/>
          <w:b w:val="0"/>
          <w:color w:val="000000"/>
          <w:sz w:val="22"/>
        </w:rPr>
        <w:t xml:space="preserve">a </w:t>
      </w:r>
      <w:r w:rsidR="003101C5">
        <w:rPr>
          <w:rFonts w:ascii="Book Antiqua" w:hAnsi="Book Antiqua"/>
          <w:b w:val="0"/>
          <w:color w:val="000000"/>
          <w:sz w:val="22"/>
        </w:rPr>
        <w:t>professional a</w:t>
      </w:r>
      <w:r w:rsidRPr="00B5462C">
        <w:rPr>
          <w:rFonts w:ascii="Book Antiqua" w:hAnsi="Book Antiqua"/>
          <w:b w:val="0"/>
          <w:color w:val="000000"/>
          <w:sz w:val="22"/>
        </w:rPr>
        <w:t>ssociation</w:t>
      </w:r>
      <w:r w:rsidR="003101C5">
        <w:rPr>
          <w:rFonts w:ascii="Book Antiqua" w:hAnsi="Book Antiqua"/>
          <w:b w:val="0"/>
          <w:color w:val="000000"/>
          <w:sz w:val="22"/>
        </w:rPr>
        <w:t>(s)</w:t>
      </w:r>
      <w:r w:rsidRPr="00B5462C">
        <w:rPr>
          <w:rFonts w:ascii="Book Antiqua" w:hAnsi="Book Antiqua"/>
          <w:b w:val="0"/>
          <w:color w:val="000000"/>
          <w:sz w:val="22"/>
        </w:rPr>
        <w:t xml:space="preserve">? </w:t>
      </w:r>
      <w:r>
        <w:rPr>
          <w:rFonts w:ascii="Book Antiqua" w:hAnsi="Book Antiqua"/>
          <w:b w:val="0"/>
          <w:color w:val="000000"/>
          <w:sz w:val="22"/>
        </w:rPr>
        <w:t xml:space="preserve">If you are a licensee, what proportion of your advisers are members of </w:t>
      </w:r>
      <w:r w:rsidR="00147687">
        <w:rPr>
          <w:rFonts w:ascii="Book Antiqua" w:hAnsi="Book Antiqua"/>
          <w:b w:val="0"/>
          <w:color w:val="000000"/>
          <w:sz w:val="22"/>
        </w:rPr>
        <w:t xml:space="preserve">a </w:t>
      </w:r>
      <w:r>
        <w:rPr>
          <w:rFonts w:ascii="Book Antiqua" w:hAnsi="Book Antiqua"/>
          <w:b w:val="0"/>
          <w:color w:val="000000"/>
          <w:sz w:val="22"/>
        </w:rPr>
        <w:t>professional association</w:t>
      </w:r>
      <w:r w:rsidR="003101C5">
        <w:rPr>
          <w:rFonts w:ascii="Book Antiqua" w:hAnsi="Book Antiqua"/>
          <w:b w:val="0"/>
          <w:color w:val="000000"/>
          <w:sz w:val="22"/>
        </w:rPr>
        <w:t>(s)</w:t>
      </w:r>
      <w:r>
        <w:rPr>
          <w:rFonts w:ascii="Book Antiqua" w:hAnsi="Book Antiqua"/>
          <w:b w:val="0"/>
          <w:color w:val="000000"/>
          <w:sz w:val="22"/>
        </w:rPr>
        <w:t xml:space="preserve">? </w:t>
      </w:r>
    </w:p>
    <w:p w14:paraId="5E5BCB56" w14:textId="77777777" w:rsidR="003101C5" w:rsidRDefault="003101C5" w:rsidP="003101C5">
      <w:pPr>
        <w:shd w:val="clear" w:color="auto" w:fill="FDE9D9" w:themeFill="accent6" w:themeFillTint="33"/>
        <w:spacing w:after="0"/>
        <w:rPr>
          <w:i/>
        </w:rPr>
      </w:pPr>
    </w:p>
    <w:p w14:paraId="5024FD03" w14:textId="77777777" w:rsidR="001B12B4" w:rsidRPr="00CE1464" w:rsidRDefault="001B12B4" w:rsidP="002A4F74">
      <w:pPr>
        <w:shd w:val="clear" w:color="auto" w:fill="FDE9D9" w:themeFill="accent6" w:themeFillTint="33"/>
        <w:rPr>
          <w:i/>
        </w:rPr>
      </w:pPr>
      <w:r w:rsidRPr="00ED3B74">
        <w:rPr>
          <w:i/>
        </w:rPr>
        <w:t xml:space="preserve">The PJC </w:t>
      </w:r>
      <w:r>
        <w:rPr>
          <w:i/>
        </w:rPr>
        <w:t>model would represent a substantial change to current requirements.</w:t>
      </w:r>
    </w:p>
    <w:p w14:paraId="360B2EBD" w14:textId="77777777" w:rsidR="001B12B4" w:rsidRDefault="001B12B4" w:rsidP="009E027D">
      <w:pPr>
        <w:pStyle w:val="Heading5"/>
        <w:keepLines/>
        <w:shd w:val="clear" w:color="auto" w:fill="FDE9D9" w:themeFill="accent6" w:themeFillTint="33"/>
      </w:pPr>
      <w:r>
        <w:lastRenderedPageBreak/>
        <w:t>Question 5:</w:t>
      </w:r>
    </w:p>
    <w:p w14:paraId="660CC98C" w14:textId="77777777" w:rsidR="001B12B4" w:rsidRPr="006366CF" w:rsidRDefault="001B12B4" w:rsidP="00276600">
      <w:pPr>
        <w:pStyle w:val="Heading5"/>
        <w:keepLines/>
        <w:shd w:val="clear" w:color="auto" w:fill="FDE9D9" w:themeFill="accent6" w:themeFillTint="33"/>
        <w:rPr>
          <w:rFonts w:ascii="Book Antiqua" w:hAnsi="Book Antiqua"/>
          <w:b w:val="0"/>
          <w:color w:val="000000"/>
          <w:sz w:val="22"/>
        </w:rPr>
      </w:pPr>
      <w:r w:rsidRPr="006366CF">
        <w:rPr>
          <w:rFonts w:ascii="Book Antiqua" w:hAnsi="Book Antiqua"/>
          <w:b w:val="0"/>
          <w:color w:val="000000"/>
          <w:sz w:val="22"/>
        </w:rPr>
        <w:t xml:space="preserve">What are the likely costs </w:t>
      </w:r>
      <w:r>
        <w:rPr>
          <w:rFonts w:ascii="Book Antiqua" w:hAnsi="Book Antiqua"/>
          <w:b w:val="0"/>
          <w:color w:val="000000"/>
          <w:sz w:val="22"/>
        </w:rPr>
        <w:t xml:space="preserve">(labour and non-labour costs) </w:t>
      </w:r>
      <w:r w:rsidRPr="006366CF">
        <w:rPr>
          <w:rFonts w:ascii="Book Antiqua" w:hAnsi="Book Antiqua"/>
          <w:b w:val="0"/>
          <w:color w:val="000000"/>
          <w:sz w:val="22"/>
        </w:rPr>
        <w:t xml:space="preserve">associated with </w:t>
      </w:r>
      <w:r>
        <w:rPr>
          <w:rFonts w:ascii="Book Antiqua" w:hAnsi="Book Antiqua"/>
          <w:b w:val="0"/>
          <w:color w:val="000000"/>
          <w:sz w:val="22"/>
        </w:rPr>
        <w:t>the various elements</w:t>
      </w:r>
      <w:r w:rsidRPr="006366CF">
        <w:rPr>
          <w:rFonts w:ascii="Book Antiqua" w:hAnsi="Book Antiqua"/>
          <w:b w:val="0"/>
          <w:color w:val="000000"/>
          <w:sz w:val="22"/>
        </w:rPr>
        <w:t xml:space="preserve"> of the PJC model? </w:t>
      </w:r>
      <w:r>
        <w:rPr>
          <w:rFonts w:ascii="Book Antiqua" w:hAnsi="Book Antiqua"/>
          <w:b w:val="0"/>
          <w:color w:val="000000"/>
          <w:sz w:val="22"/>
        </w:rPr>
        <w:t>T</w:t>
      </w:r>
      <w:r w:rsidRPr="006366CF">
        <w:rPr>
          <w:rFonts w:ascii="Book Antiqua" w:hAnsi="Book Antiqua"/>
          <w:b w:val="0"/>
          <w:color w:val="000000"/>
          <w:sz w:val="22"/>
        </w:rPr>
        <w:t>hese costs could include</w:t>
      </w:r>
      <w:r>
        <w:rPr>
          <w:rFonts w:ascii="Book Antiqua" w:hAnsi="Book Antiqua"/>
          <w:b w:val="0"/>
          <w:color w:val="000000"/>
          <w:sz w:val="22"/>
        </w:rPr>
        <w:t>, for example,</w:t>
      </w:r>
      <w:r w:rsidRPr="006366CF">
        <w:rPr>
          <w:rFonts w:ascii="Book Antiqua" w:hAnsi="Book Antiqua"/>
          <w:b w:val="0"/>
          <w:color w:val="000000"/>
          <w:sz w:val="22"/>
        </w:rPr>
        <w:t xml:space="preserve"> the direct costs to:</w:t>
      </w:r>
    </w:p>
    <w:p w14:paraId="139CE53E" w14:textId="77777777" w:rsidR="001B12B4" w:rsidRPr="00063029" w:rsidRDefault="001B12B4" w:rsidP="009E027D">
      <w:pPr>
        <w:pStyle w:val="Bullet"/>
        <w:keepNext/>
        <w:keepLines/>
        <w:numPr>
          <w:ilvl w:val="0"/>
          <w:numId w:val="30"/>
        </w:numPr>
        <w:shd w:val="clear" w:color="auto" w:fill="FDE9D9" w:themeFill="accent6" w:themeFillTint="33"/>
        <w:spacing w:after="0" w:line="240" w:lineRule="auto"/>
        <w:jc w:val="left"/>
        <w:rPr>
          <w:b/>
        </w:rPr>
      </w:pPr>
      <w:r w:rsidRPr="00063029">
        <w:t xml:space="preserve">individual financial advisers; </w:t>
      </w:r>
    </w:p>
    <w:p w14:paraId="051325C9" w14:textId="77777777" w:rsidR="001B12B4" w:rsidRPr="00063029" w:rsidRDefault="001B12B4" w:rsidP="009E027D">
      <w:pPr>
        <w:pStyle w:val="Bullet"/>
        <w:keepNext/>
        <w:keepLines/>
        <w:numPr>
          <w:ilvl w:val="0"/>
          <w:numId w:val="30"/>
        </w:numPr>
        <w:shd w:val="clear" w:color="auto" w:fill="FDE9D9" w:themeFill="accent6" w:themeFillTint="33"/>
        <w:spacing w:after="0" w:line="240" w:lineRule="auto"/>
        <w:jc w:val="left"/>
        <w:rPr>
          <w:b/>
        </w:rPr>
      </w:pPr>
      <w:r w:rsidRPr="00063029">
        <w:t xml:space="preserve">professional associations; and </w:t>
      </w:r>
    </w:p>
    <w:p w14:paraId="4A9D5494" w14:textId="77777777" w:rsidR="001B12B4" w:rsidRPr="00063029" w:rsidRDefault="001B12B4" w:rsidP="009E027D">
      <w:pPr>
        <w:pStyle w:val="Bullet"/>
        <w:keepNext/>
        <w:keepLines/>
        <w:numPr>
          <w:ilvl w:val="0"/>
          <w:numId w:val="30"/>
        </w:numPr>
        <w:shd w:val="clear" w:color="auto" w:fill="FDE9D9" w:themeFill="accent6" w:themeFillTint="33"/>
        <w:spacing w:after="0" w:line="240" w:lineRule="auto"/>
        <w:jc w:val="left"/>
        <w:rPr>
          <w:b/>
        </w:rPr>
      </w:pPr>
      <w:r w:rsidRPr="00063029">
        <w:t>licensees.</w:t>
      </w:r>
    </w:p>
    <w:p w14:paraId="10C29353" w14:textId="77777777" w:rsidR="001B12B4" w:rsidRDefault="001B12B4" w:rsidP="002A4F74">
      <w:pPr>
        <w:pStyle w:val="Heading5"/>
        <w:keepNext w:val="0"/>
        <w:shd w:val="clear" w:color="auto" w:fill="FDE9D9" w:themeFill="accent6" w:themeFillTint="33"/>
        <w:spacing w:after="0"/>
        <w:rPr>
          <w:rFonts w:ascii="Book Antiqua" w:hAnsi="Book Antiqua"/>
          <w:b w:val="0"/>
          <w:color w:val="000000"/>
          <w:sz w:val="22"/>
        </w:rPr>
      </w:pPr>
    </w:p>
    <w:p w14:paraId="139A9DAA" w14:textId="33DEE383" w:rsidR="001B12B4" w:rsidRPr="006366CF" w:rsidRDefault="001B12B4" w:rsidP="002A4F74">
      <w:pPr>
        <w:pStyle w:val="Heading5"/>
        <w:keepNext w:val="0"/>
        <w:shd w:val="clear" w:color="auto" w:fill="FDE9D9" w:themeFill="accent6" w:themeFillTint="33"/>
        <w:spacing w:after="0"/>
        <w:rPr>
          <w:rFonts w:ascii="Book Antiqua" w:hAnsi="Book Antiqua"/>
          <w:b w:val="0"/>
          <w:color w:val="000000"/>
          <w:sz w:val="22"/>
        </w:rPr>
      </w:pPr>
      <w:r w:rsidRPr="006366CF">
        <w:rPr>
          <w:rFonts w:ascii="Book Antiqua" w:hAnsi="Book Antiqua"/>
          <w:b w:val="0"/>
          <w:color w:val="000000"/>
          <w:sz w:val="22"/>
        </w:rPr>
        <w:t>Are costs likely to vary between different size advice firms,</w:t>
      </w:r>
      <w:r>
        <w:rPr>
          <w:rFonts w:ascii="Book Antiqua" w:hAnsi="Book Antiqua"/>
          <w:b w:val="0"/>
          <w:color w:val="000000"/>
          <w:sz w:val="22"/>
        </w:rPr>
        <w:t xml:space="preserve"> different </w:t>
      </w:r>
      <w:r w:rsidRPr="006366CF">
        <w:rPr>
          <w:rFonts w:ascii="Book Antiqua" w:hAnsi="Book Antiqua"/>
          <w:b w:val="0"/>
          <w:color w:val="000000"/>
          <w:sz w:val="22"/>
        </w:rPr>
        <w:t xml:space="preserve">professional associations, etc? If so, how? </w:t>
      </w:r>
    </w:p>
    <w:p w14:paraId="2D9F3350" w14:textId="77777777" w:rsidR="001B12B4" w:rsidRDefault="001B12B4" w:rsidP="002A4F74">
      <w:pPr>
        <w:pStyle w:val="Heading5"/>
        <w:keepNext w:val="0"/>
        <w:shd w:val="clear" w:color="auto" w:fill="FDE9D9" w:themeFill="accent6" w:themeFillTint="33"/>
        <w:spacing w:after="0"/>
      </w:pPr>
    </w:p>
    <w:p w14:paraId="4F805283" w14:textId="368849D8" w:rsidR="001B12B4" w:rsidRPr="00CE1464" w:rsidRDefault="001B12B4" w:rsidP="002A4F74">
      <w:pPr>
        <w:shd w:val="clear" w:color="auto" w:fill="FDE9D9" w:themeFill="accent6" w:themeFillTint="33"/>
        <w:rPr>
          <w:i/>
        </w:rPr>
      </w:pPr>
      <w:r w:rsidRPr="00ED3B74">
        <w:rPr>
          <w:i/>
        </w:rPr>
        <w:t xml:space="preserve">The </w:t>
      </w:r>
      <w:r>
        <w:rPr>
          <w:i/>
        </w:rPr>
        <w:t>RIS will canvas</w:t>
      </w:r>
      <w:r w:rsidR="00140359">
        <w:rPr>
          <w:i/>
        </w:rPr>
        <w:t>s</w:t>
      </w:r>
      <w:r>
        <w:rPr>
          <w:i/>
        </w:rPr>
        <w:t xml:space="preserve"> various options and models for raising professional standards.</w:t>
      </w:r>
    </w:p>
    <w:p w14:paraId="08EA4C40" w14:textId="77777777" w:rsidR="001B12B4" w:rsidRDefault="001B12B4" w:rsidP="002A4F74">
      <w:pPr>
        <w:pStyle w:val="Heading5"/>
        <w:keepNext w:val="0"/>
        <w:shd w:val="clear" w:color="auto" w:fill="FDE9D9" w:themeFill="accent6" w:themeFillTint="33"/>
      </w:pPr>
      <w:r>
        <w:t>Question 6:</w:t>
      </w:r>
    </w:p>
    <w:p w14:paraId="7120EA4A" w14:textId="1BFF7DB5" w:rsidR="001B12B4" w:rsidRPr="003101C5" w:rsidRDefault="001B12B4" w:rsidP="003101C5">
      <w:pPr>
        <w:pStyle w:val="Heading5"/>
        <w:keepNext w:val="0"/>
        <w:shd w:val="clear" w:color="auto" w:fill="FDE9D9" w:themeFill="accent6" w:themeFillTint="33"/>
        <w:spacing w:after="0"/>
        <w:rPr>
          <w:rFonts w:ascii="Book Antiqua" w:hAnsi="Book Antiqua"/>
          <w:b w:val="0"/>
          <w:color w:val="000000"/>
          <w:sz w:val="22"/>
        </w:rPr>
      </w:pPr>
      <w:r w:rsidRPr="00B5462C">
        <w:rPr>
          <w:rFonts w:ascii="Book Antiqua" w:hAnsi="Book Antiqua"/>
          <w:b w:val="0"/>
          <w:color w:val="000000"/>
          <w:sz w:val="22"/>
        </w:rPr>
        <w:t xml:space="preserve">Are there </w:t>
      </w:r>
      <w:r>
        <w:rPr>
          <w:rFonts w:ascii="Book Antiqua" w:hAnsi="Book Antiqua"/>
          <w:b w:val="0"/>
          <w:color w:val="000000"/>
          <w:sz w:val="22"/>
        </w:rPr>
        <w:t>alternat</w:t>
      </w:r>
      <w:r w:rsidR="00E125F7">
        <w:rPr>
          <w:rFonts w:ascii="Book Antiqua" w:hAnsi="Book Antiqua"/>
          <w:b w:val="0"/>
          <w:color w:val="000000"/>
          <w:sz w:val="22"/>
        </w:rPr>
        <w:t>ive</w:t>
      </w:r>
      <w:r>
        <w:rPr>
          <w:rFonts w:ascii="Book Antiqua" w:hAnsi="Book Antiqua"/>
          <w:b w:val="0"/>
          <w:color w:val="000000"/>
          <w:sz w:val="22"/>
        </w:rPr>
        <w:t xml:space="preserve"> </w:t>
      </w:r>
      <w:r w:rsidRPr="00B5462C">
        <w:rPr>
          <w:rFonts w:ascii="Book Antiqua" w:hAnsi="Book Antiqua"/>
          <w:b w:val="0"/>
          <w:color w:val="000000"/>
          <w:sz w:val="22"/>
        </w:rPr>
        <w:t>options</w:t>
      </w:r>
      <w:r>
        <w:rPr>
          <w:rFonts w:ascii="Book Antiqua" w:hAnsi="Book Antiqua"/>
          <w:b w:val="0"/>
          <w:color w:val="000000"/>
          <w:sz w:val="22"/>
        </w:rPr>
        <w:t xml:space="preserve"> (other than the PJC model)</w:t>
      </w:r>
      <w:r w:rsidRPr="00B5462C">
        <w:rPr>
          <w:rFonts w:ascii="Book Antiqua" w:hAnsi="Book Antiqua"/>
          <w:b w:val="0"/>
          <w:color w:val="000000"/>
          <w:sz w:val="22"/>
        </w:rPr>
        <w:t xml:space="preserve"> which would provide an enhanced cost</w:t>
      </w:r>
      <w:r w:rsidR="00147687">
        <w:rPr>
          <w:rFonts w:ascii="Book Antiqua" w:hAnsi="Book Antiqua"/>
          <w:b w:val="0"/>
          <w:color w:val="000000"/>
          <w:sz w:val="22"/>
        </w:rPr>
        <w:t>-</w:t>
      </w:r>
      <w:r w:rsidRPr="00B5462C">
        <w:rPr>
          <w:rFonts w:ascii="Book Antiqua" w:hAnsi="Book Antiqua"/>
          <w:b w:val="0"/>
          <w:color w:val="000000"/>
          <w:sz w:val="22"/>
        </w:rPr>
        <w:t>benefit outcome?</w:t>
      </w:r>
    </w:p>
    <w:p w14:paraId="3F0D70E8" w14:textId="5938613D" w:rsidR="005A1F07" w:rsidRPr="005A1F07" w:rsidRDefault="005A1F07">
      <w:pPr>
        <w:spacing w:after="0" w:line="240" w:lineRule="auto"/>
        <w:jc w:val="left"/>
        <w:sectPr w:rsidR="005A1F07" w:rsidRPr="005A1F07" w:rsidSect="002F2B9D">
          <w:headerReference w:type="even" r:id="rId12"/>
          <w:headerReference w:type="default" r:id="rId13"/>
          <w:footerReference w:type="even" r:id="rId14"/>
          <w:footerReference w:type="default" r:id="rId15"/>
          <w:headerReference w:type="first" r:id="rId16"/>
          <w:footerReference w:type="first" r:id="rId17"/>
          <w:pgSz w:w="11906" w:h="16838" w:code="9"/>
          <w:pgMar w:top="1559" w:right="1418" w:bottom="1418" w:left="1418" w:header="709" w:footer="709" w:gutter="0"/>
          <w:cols w:space="708"/>
          <w:docGrid w:linePitch="360"/>
        </w:sectPr>
      </w:pPr>
    </w:p>
    <w:p w14:paraId="64DB6546" w14:textId="6BF59C57" w:rsidR="00012F00" w:rsidRPr="00012F00" w:rsidRDefault="00012F00" w:rsidP="00603514">
      <w:pPr>
        <w:pStyle w:val="Heading1"/>
        <w:spacing w:before="120"/>
      </w:pPr>
      <w:r>
        <w:rPr>
          <w:noProof/>
        </w:rPr>
        <w:lastRenderedPageBreak/>
        <w:drawing>
          <wp:anchor distT="0" distB="0" distL="114300" distR="114300" simplePos="0" relativeHeight="251669506" behindDoc="0" locked="0" layoutInCell="1" allowOverlap="1" wp14:anchorId="63CEACB1" wp14:editId="65FC5D65">
            <wp:simplePos x="0" y="0"/>
            <wp:positionH relativeFrom="column">
              <wp:posOffset>-132715</wp:posOffset>
            </wp:positionH>
            <wp:positionV relativeFrom="paragraph">
              <wp:posOffset>614045</wp:posOffset>
            </wp:positionV>
            <wp:extent cx="9105900" cy="4907280"/>
            <wp:effectExtent l="0" t="0" r="0" b="762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es.png"/>
                    <pic:cNvPicPr/>
                  </pic:nvPicPr>
                  <pic:blipFill rotWithShape="1">
                    <a:blip r:embed="rId18" cstate="print">
                      <a:extLst>
                        <a:ext uri="{28A0092B-C50C-407E-A947-70E740481C1C}">
                          <a14:useLocalDpi xmlns:a14="http://schemas.microsoft.com/office/drawing/2010/main" val="0"/>
                        </a:ext>
                      </a:extLst>
                    </a:blip>
                    <a:srcRect l="3101" t="16696" r="2724" b="11560"/>
                    <a:stretch/>
                  </pic:blipFill>
                  <pic:spPr bwMode="auto">
                    <a:xfrm>
                      <a:off x="0" y="0"/>
                      <a:ext cx="9105900" cy="4907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CA0">
        <w:t xml:space="preserve">Attachment </w:t>
      </w:r>
      <w:r w:rsidR="001B12B4">
        <w:t>B</w:t>
      </w:r>
      <w:r w:rsidR="00EC5CA0">
        <w:t xml:space="preserve"> — roles and responsibilities under the PJC model</w:t>
      </w:r>
    </w:p>
    <w:sectPr w:rsidR="00012F00" w:rsidRPr="00012F00" w:rsidSect="005A05DD">
      <w:pgSz w:w="16838" w:h="11906" w:orient="landscape" w:code="9"/>
      <w:pgMar w:top="1418" w:right="1418" w:bottom="1418"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772CE" w14:textId="77777777" w:rsidR="00BD7748" w:rsidRDefault="00BD7748">
      <w:pPr>
        <w:spacing w:after="0" w:line="240" w:lineRule="auto"/>
      </w:pPr>
      <w:r>
        <w:separator/>
      </w:r>
    </w:p>
  </w:endnote>
  <w:endnote w:type="continuationSeparator" w:id="0">
    <w:p w14:paraId="1FED6735" w14:textId="77777777" w:rsidR="00BD7748" w:rsidRDefault="00BD7748">
      <w:pPr>
        <w:spacing w:after="0" w:line="240" w:lineRule="auto"/>
      </w:pPr>
      <w:r>
        <w:continuationSeparator/>
      </w:r>
    </w:p>
  </w:endnote>
  <w:endnote w:type="continuationNotice" w:id="1">
    <w:p w14:paraId="35DAF7C8" w14:textId="77777777" w:rsidR="00BD7748" w:rsidRDefault="00BD7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C2697" w14:textId="77777777" w:rsidR="00593E44" w:rsidRDefault="00593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3A1D0" w14:textId="77777777" w:rsidR="00BD7748" w:rsidRDefault="00BD7748" w:rsidP="005A05DD">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3E44">
      <w:rPr>
        <w:rStyle w:val="PageNumber"/>
        <w:noProof/>
      </w:rPr>
      <w:t>2</w:t>
    </w:r>
    <w:r>
      <w:rPr>
        <w:rStyle w:val="PageNumber"/>
      </w:rPr>
      <w:fldChar w:fldCharType="end"/>
    </w:r>
  </w:p>
  <w:p w14:paraId="0AF36D46" w14:textId="77777777" w:rsidR="00BD7748" w:rsidRDefault="00BD77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656901"/>
      <w:docPartObj>
        <w:docPartGallery w:val="Page Numbers (Bottom of Page)"/>
        <w:docPartUnique/>
      </w:docPartObj>
    </w:sdtPr>
    <w:sdtEndPr/>
    <w:sdtContent>
      <w:p w14:paraId="0A945595" w14:textId="77777777" w:rsidR="00BD7748" w:rsidRDefault="00BD7748">
        <w:pPr>
          <w:pStyle w:val="Footer"/>
          <w:jc w:val="right"/>
        </w:pPr>
        <w:r>
          <w:t xml:space="preserve">Page </w:t>
        </w:r>
        <w:r>
          <w:fldChar w:fldCharType="begin"/>
        </w:r>
        <w:r>
          <w:instrText xml:space="preserve"> PAGE   \* MERGEFORMAT </w:instrText>
        </w:r>
        <w:r>
          <w:fldChar w:fldCharType="separate"/>
        </w:r>
        <w:r w:rsidR="00593E44">
          <w:rPr>
            <w:noProof/>
          </w:rPr>
          <w:t>28</w:t>
        </w:r>
        <w:r>
          <w:fldChar w:fldCharType="end"/>
        </w:r>
      </w:p>
    </w:sdtContent>
  </w:sdt>
  <w:p w14:paraId="77A3E66E" w14:textId="77777777" w:rsidR="00BD7748" w:rsidRDefault="00BD7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F5184" w14:textId="77777777" w:rsidR="00BD7748" w:rsidRDefault="00BD7748">
      <w:pPr>
        <w:spacing w:after="0" w:line="240" w:lineRule="auto"/>
      </w:pPr>
      <w:r>
        <w:separator/>
      </w:r>
    </w:p>
  </w:footnote>
  <w:footnote w:type="continuationSeparator" w:id="0">
    <w:p w14:paraId="094E5043" w14:textId="77777777" w:rsidR="00BD7748" w:rsidRDefault="00BD7748">
      <w:pPr>
        <w:spacing w:after="0" w:line="240" w:lineRule="auto"/>
      </w:pPr>
      <w:r>
        <w:continuationSeparator/>
      </w:r>
    </w:p>
  </w:footnote>
  <w:footnote w:type="continuationNotice" w:id="1">
    <w:p w14:paraId="21B6405A" w14:textId="77777777" w:rsidR="00BD7748" w:rsidRDefault="00BD7748">
      <w:pPr>
        <w:spacing w:after="0" w:line="240" w:lineRule="auto"/>
      </w:pPr>
    </w:p>
  </w:footnote>
  <w:footnote w:id="2">
    <w:p w14:paraId="5638A89E" w14:textId="77777777" w:rsidR="00BD7748" w:rsidRDefault="00BD7748">
      <w:pPr>
        <w:pStyle w:val="FootnoteText"/>
      </w:pPr>
      <w:r>
        <w:rPr>
          <w:rStyle w:val="FootnoteReference"/>
        </w:rPr>
        <w:footnoteRef/>
      </w:r>
      <w:r>
        <w:t xml:space="preserve"> Parliamentary </w:t>
      </w:r>
      <w:r w:rsidRPr="00195C6B">
        <w:t>Joint Committee on Corporations and Financial Services</w:t>
      </w:r>
      <w:r>
        <w:t>,</w:t>
      </w:r>
      <w:r w:rsidRPr="00195C6B">
        <w:t xml:space="preserve"> </w:t>
      </w:r>
      <w:r w:rsidRPr="00195C6B">
        <w:rPr>
          <w:i/>
        </w:rPr>
        <w:t>Inquiry into proposals to lift the professional, ethical and education standards in the financial services industry</w:t>
      </w:r>
      <w:r>
        <w:t xml:space="preserve">, December 2014, available at </w:t>
      </w:r>
      <w:hyperlink r:id="rId1" w:history="1">
        <w:r w:rsidRPr="00B037E4">
          <w:rPr>
            <w:rStyle w:val="Hyperlink"/>
          </w:rPr>
          <w:t>www.aph.gov.au</w:t>
        </w:r>
      </w:hyperlink>
      <w:r>
        <w:t>.</w:t>
      </w:r>
    </w:p>
  </w:footnote>
  <w:footnote w:id="3">
    <w:p w14:paraId="56A9966E" w14:textId="0F323564" w:rsidR="00BD7748" w:rsidRDefault="00BD7748">
      <w:pPr>
        <w:pStyle w:val="FootnoteText"/>
      </w:pPr>
      <w:r>
        <w:rPr>
          <w:rStyle w:val="FootnoteReference"/>
        </w:rPr>
        <w:footnoteRef/>
      </w:r>
      <w:r>
        <w:t xml:space="preserve"> Financial System Inquiry, </w:t>
      </w:r>
      <w:r>
        <w:rPr>
          <w:i/>
        </w:rPr>
        <w:t xml:space="preserve">Final </w:t>
      </w:r>
      <w:r w:rsidRPr="008B5FA6">
        <w:rPr>
          <w:i/>
        </w:rPr>
        <w:t>Report</w:t>
      </w:r>
      <w:r>
        <w:t xml:space="preserve">, November 2014, available at </w:t>
      </w:r>
      <w:hyperlink r:id="rId2" w:history="1">
        <w:r w:rsidRPr="00B037E4">
          <w:rPr>
            <w:rStyle w:val="Hyperlink"/>
          </w:rPr>
          <w:t>www.fsi.gov.au</w:t>
        </w:r>
      </w:hyperlink>
      <w:r>
        <w:rPr>
          <w:rStyle w:val="Hyperlink"/>
        </w:rPr>
        <w:t>.</w:t>
      </w:r>
    </w:p>
  </w:footnote>
  <w:footnote w:id="4">
    <w:p w14:paraId="79A0C245" w14:textId="66EFCCB5" w:rsidR="00BD7748" w:rsidRPr="0094278D" w:rsidRDefault="00BD7748">
      <w:pPr>
        <w:pStyle w:val="FootnoteText"/>
      </w:pPr>
      <w:r>
        <w:rPr>
          <w:rStyle w:val="FootnoteReference"/>
        </w:rPr>
        <w:footnoteRef/>
      </w:r>
      <w:r>
        <w:t xml:space="preserve"> ASIC divides prod</w:t>
      </w:r>
      <w:r w:rsidR="00273F38">
        <w:t>ucts into Tier 1 and Tier 2 in T</w:t>
      </w:r>
      <w:r>
        <w:t xml:space="preserve">able 3 of </w:t>
      </w:r>
      <w:r w:rsidRPr="0035792D">
        <w:t xml:space="preserve">Regulatory Guide 146 </w:t>
      </w:r>
      <w:r w:rsidRPr="0035792D">
        <w:rPr>
          <w:i/>
        </w:rPr>
        <w:t>Licensing: Training of financial product advisers</w:t>
      </w:r>
      <w:r>
        <w:t>.</w:t>
      </w:r>
    </w:p>
  </w:footnote>
  <w:footnote w:id="5">
    <w:p w14:paraId="2749C342" w14:textId="77777777" w:rsidR="00BD7748" w:rsidRDefault="00BD7748">
      <w:pPr>
        <w:pStyle w:val="FootnoteText"/>
      </w:pPr>
      <w:r>
        <w:rPr>
          <w:rStyle w:val="FootnoteReference"/>
        </w:rPr>
        <w:footnoteRef/>
      </w:r>
      <w:r>
        <w:t xml:space="preserve"> See </w:t>
      </w:r>
      <w:hyperlink r:id="rId3" w:history="1">
        <w:r w:rsidRPr="00E910D2">
          <w:rPr>
            <w:rStyle w:val="Hyperlink"/>
          </w:rPr>
          <w:t>www.psc.gov.au</w:t>
        </w:r>
      </w:hyperlink>
      <w:r>
        <w:t xml:space="preserve"> for further information on the Professional Standards Councils.</w:t>
      </w:r>
    </w:p>
  </w:footnote>
  <w:footnote w:id="6">
    <w:p w14:paraId="53D48DEC" w14:textId="77777777" w:rsidR="00BD7748" w:rsidRDefault="00BD7748">
      <w:pPr>
        <w:pStyle w:val="FootnoteText"/>
      </w:pPr>
      <w:r>
        <w:rPr>
          <w:rStyle w:val="FootnoteReference"/>
        </w:rPr>
        <w:footnoteRef/>
      </w:r>
      <w:r>
        <w:t xml:space="preserve"> To see the recommendations in full, see pages xiii-xvi of the PJC report, available at </w:t>
      </w:r>
      <w:hyperlink r:id="rId4" w:history="1">
        <w:r w:rsidRPr="00E910D2">
          <w:rPr>
            <w:rStyle w:val="Hyperlink"/>
          </w:rPr>
          <w:t>www.aph.gov.au</w:t>
        </w:r>
      </w:hyperlink>
      <w:r>
        <w:t>, and pages xxii-xxviii of the FSI Final Report, available at www.fsi.gov.au.</w:t>
      </w:r>
    </w:p>
  </w:footnote>
  <w:footnote w:id="7">
    <w:p w14:paraId="1C557380" w14:textId="77777777" w:rsidR="00BD7748" w:rsidRDefault="00BD7748">
      <w:pPr>
        <w:pStyle w:val="FootnoteText"/>
      </w:pPr>
      <w:r>
        <w:rPr>
          <w:rStyle w:val="FootnoteReference"/>
        </w:rPr>
        <w:footnoteRef/>
      </w:r>
      <w:r>
        <w:t xml:space="preserve"> The Financial System Inquiry 1996 (Wallis) final report is available at </w:t>
      </w:r>
      <w:hyperlink r:id="rId5" w:history="1">
        <w:r w:rsidRPr="00E910D2">
          <w:rPr>
            <w:rStyle w:val="Hyperlink"/>
          </w:rPr>
          <w:t>www.fsi.gov.au/publications</w:t>
        </w:r>
      </w:hyperlink>
      <w:r>
        <w:t xml:space="preserve">, and the CLERP Paper No. 6 is available at www.archive.treasury.gov.au. </w:t>
      </w:r>
    </w:p>
  </w:footnote>
  <w:footnote w:id="8">
    <w:p w14:paraId="153CA409" w14:textId="77777777" w:rsidR="00BD7748" w:rsidRDefault="00BD7748">
      <w:pPr>
        <w:pStyle w:val="FootnoteText"/>
      </w:pPr>
      <w:r>
        <w:rPr>
          <w:rStyle w:val="FootnoteReference"/>
        </w:rPr>
        <w:footnoteRef/>
      </w:r>
      <w:r>
        <w:t xml:space="preserve"> Section 766B, </w:t>
      </w:r>
      <w:r w:rsidRPr="00221B40">
        <w:rPr>
          <w:i/>
        </w:rPr>
        <w:t>Corporations Act 2001</w:t>
      </w:r>
      <w:r>
        <w:t>.</w:t>
      </w:r>
    </w:p>
  </w:footnote>
  <w:footnote w:id="9">
    <w:p w14:paraId="526D9907" w14:textId="77777777" w:rsidR="00BD7748" w:rsidRPr="00CC7B13" w:rsidRDefault="00BD7748">
      <w:pPr>
        <w:pStyle w:val="FootnoteText"/>
      </w:pPr>
      <w:r>
        <w:rPr>
          <w:rStyle w:val="FootnoteReference"/>
        </w:rPr>
        <w:footnoteRef/>
      </w:r>
      <w:r>
        <w:t xml:space="preserve"> Section 912A, </w:t>
      </w:r>
      <w:r>
        <w:rPr>
          <w:i/>
        </w:rPr>
        <w:t>Corporations Act 2001</w:t>
      </w:r>
      <w:r>
        <w:t>.</w:t>
      </w:r>
    </w:p>
  </w:footnote>
  <w:footnote w:id="10">
    <w:p w14:paraId="48C12B1A" w14:textId="62B7DFE1" w:rsidR="00BD7748" w:rsidRPr="00D009F4" w:rsidRDefault="00BD7748" w:rsidP="005F0135">
      <w:pPr>
        <w:pStyle w:val="FootnoteText"/>
      </w:pPr>
      <w:r>
        <w:rPr>
          <w:rStyle w:val="FootnoteReference"/>
        </w:rPr>
        <w:footnoteRef/>
      </w:r>
      <w:r>
        <w:t xml:space="preserve"> Stockbrokers who </w:t>
      </w:r>
      <w:r w:rsidRPr="00D009F4">
        <w:t xml:space="preserve">are market participants </w:t>
      </w:r>
      <w:r>
        <w:t xml:space="preserve">and hold </w:t>
      </w:r>
      <w:r w:rsidRPr="00D009F4">
        <w:t>AFS licence</w:t>
      </w:r>
      <w:r>
        <w:t xml:space="preserve">s are also subject to </w:t>
      </w:r>
      <w:r w:rsidRPr="00D009F4">
        <w:t xml:space="preserve">market integrity rules </w:t>
      </w:r>
      <w:r>
        <w:t xml:space="preserve">set out in </w:t>
      </w:r>
      <w:r w:rsidRPr="00237970">
        <w:rPr>
          <w:i/>
        </w:rPr>
        <w:t>ASIC Market Integrity Rules (ASX Market) 2010</w:t>
      </w:r>
      <w:r>
        <w:t>.</w:t>
      </w:r>
    </w:p>
  </w:footnote>
  <w:footnote w:id="11">
    <w:p w14:paraId="359F5272" w14:textId="77777777" w:rsidR="00BD7748" w:rsidRPr="005F0135" w:rsidRDefault="00BD7748" w:rsidP="005F0135">
      <w:pPr>
        <w:pStyle w:val="FootnoteText"/>
      </w:pPr>
      <w:r>
        <w:rPr>
          <w:rStyle w:val="FootnoteReference"/>
        </w:rPr>
        <w:footnoteRef/>
      </w:r>
      <w:r>
        <w:t xml:space="preserve"> Advisers who </w:t>
      </w:r>
      <w:r w:rsidRPr="004C4462">
        <w:t>provide tax advice are also regulated by the Tax Practi</w:t>
      </w:r>
      <w:r>
        <w:t xml:space="preserve">tioners Board, and must also comply with requirements under the </w:t>
      </w:r>
      <w:r w:rsidRPr="008E1E83">
        <w:rPr>
          <w:i/>
        </w:rPr>
        <w:t>Tax Agent Services Act 2009</w:t>
      </w:r>
      <w:r>
        <w:t>.</w:t>
      </w:r>
    </w:p>
  </w:footnote>
  <w:footnote w:id="12">
    <w:p w14:paraId="3C2ABCA0" w14:textId="77777777" w:rsidR="00BD7748" w:rsidRDefault="00BD7748" w:rsidP="008806EF">
      <w:pPr>
        <w:pStyle w:val="FootnoteText"/>
      </w:pPr>
      <w:r>
        <w:rPr>
          <w:rStyle w:val="FootnoteReference"/>
        </w:rPr>
        <w:footnoteRef/>
      </w:r>
      <w:r>
        <w:t xml:space="preserve"> Parliamentary Joint C</w:t>
      </w:r>
      <w:r w:rsidRPr="00AC2F9C">
        <w:t xml:space="preserve">ommittee on Corporations and Financial Service, </w:t>
      </w:r>
      <w:r w:rsidRPr="00AC2F9C">
        <w:rPr>
          <w:i/>
        </w:rPr>
        <w:t>Inquiry into Financial Products and Services in Australia</w:t>
      </w:r>
      <w:r w:rsidRPr="00AC2F9C">
        <w:t>, November 2009</w:t>
      </w:r>
      <w:r>
        <w:t>.</w:t>
      </w:r>
    </w:p>
  </w:footnote>
  <w:footnote w:id="13">
    <w:p w14:paraId="7D049AFC" w14:textId="77777777" w:rsidR="00BD7748" w:rsidRDefault="00BD7748" w:rsidP="00626F75">
      <w:pPr>
        <w:pStyle w:val="FootnoteText"/>
      </w:pPr>
      <w:r>
        <w:rPr>
          <w:rStyle w:val="FootnoteReference"/>
        </w:rPr>
        <w:footnoteRef/>
      </w:r>
      <w:r>
        <w:t xml:space="preserve"> See </w:t>
      </w:r>
      <w:hyperlink r:id="rId6" w:history="1">
        <w:r w:rsidRPr="00E910D2">
          <w:rPr>
            <w:rStyle w:val="Hyperlink"/>
          </w:rPr>
          <w:t>www.asic.gov.au/for-finance-professionals/afs-licensees/financial-advisers-register</w:t>
        </w:r>
      </w:hyperlink>
      <w:r>
        <w:t xml:space="preserve"> for more information on the Register.</w:t>
      </w:r>
    </w:p>
  </w:footnote>
  <w:footnote w:id="14">
    <w:p w14:paraId="5A9F1CFC" w14:textId="4E800D24" w:rsidR="009625C2" w:rsidRDefault="009625C2">
      <w:pPr>
        <w:pStyle w:val="FootnoteText"/>
      </w:pPr>
      <w:r>
        <w:rPr>
          <w:rStyle w:val="FootnoteReference"/>
        </w:rPr>
        <w:footnoteRef/>
      </w:r>
      <w:r>
        <w:t xml:space="preserve"> Parliamentary </w:t>
      </w:r>
      <w:r w:rsidRPr="00195C6B">
        <w:t>Joint Committee on Corporations and Financial Services</w:t>
      </w:r>
      <w:r>
        <w:t>,</w:t>
      </w:r>
      <w:r w:rsidRPr="00195C6B">
        <w:t xml:space="preserve"> </w:t>
      </w:r>
      <w:r w:rsidRPr="00195C6B">
        <w:rPr>
          <w:i/>
        </w:rPr>
        <w:t>Inquiry into proposals to lift the professional, ethical and education standards in the financial services industry</w:t>
      </w:r>
      <w:r>
        <w:t xml:space="preserve">, December 2014, p.70. Report available at </w:t>
      </w:r>
      <w:hyperlink r:id="rId7" w:history="1">
        <w:r w:rsidRPr="00B037E4">
          <w:rPr>
            <w:rStyle w:val="Hyperlink"/>
          </w:rPr>
          <w:t>www.aph.gov.au</w:t>
        </w:r>
      </w:hyperlink>
      <w:r>
        <w:t>.</w:t>
      </w:r>
    </w:p>
  </w:footnote>
  <w:footnote w:id="15">
    <w:p w14:paraId="7AA48F71" w14:textId="77777777" w:rsidR="00BD7748" w:rsidRDefault="00BD7748">
      <w:pPr>
        <w:pStyle w:val="FootnoteText"/>
      </w:pPr>
      <w:r>
        <w:rPr>
          <w:rStyle w:val="FootnoteReference"/>
        </w:rPr>
        <w:footnoteRef/>
      </w:r>
      <w:r>
        <w:t xml:space="preserve"> Further information is available on the Professional Standards Councils website, www.psc.gov.au.</w:t>
      </w:r>
    </w:p>
  </w:footnote>
  <w:footnote w:id="16">
    <w:p w14:paraId="64C87E89" w14:textId="16353647" w:rsidR="00BD7748" w:rsidRDefault="00BD7748">
      <w:pPr>
        <w:pStyle w:val="FootnoteText"/>
      </w:pPr>
      <w:r>
        <w:rPr>
          <w:rStyle w:val="FootnoteReference"/>
        </w:rPr>
        <w:footnoteRef/>
      </w:r>
      <w:r>
        <w:t xml:space="preserve"> Parliamentary </w:t>
      </w:r>
      <w:r w:rsidRPr="00195C6B">
        <w:t>Joint Committee on Corporations and Financial Services</w:t>
      </w:r>
      <w:r>
        <w:t>,</w:t>
      </w:r>
      <w:r w:rsidRPr="00195C6B">
        <w:t xml:space="preserve"> </w:t>
      </w:r>
      <w:r w:rsidRPr="00195C6B">
        <w:rPr>
          <w:i/>
        </w:rPr>
        <w:t>Inquiry into proposals to lift the professional, ethical and education standards in the financial services industry</w:t>
      </w:r>
      <w:r>
        <w:t xml:space="preserve">, December 2014, pp.55-56. Report available at </w:t>
      </w:r>
      <w:hyperlink r:id="rId8" w:history="1">
        <w:r w:rsidRPr="00B037E4">
          <w:rPr>
            <w:rStyle w:val="Hyperlink"/>
          </w:rPr>
          <w:t>www.aph.gov.au</w:t>
        </w:r>
      </w:hyperlink>
      <w:r>
        <w:t>.</w:t>
      </w:r>
    </w:p>
  </w:footnote>
  <w:footnote w:id="17">
    <w:p w14:paraId="1F174A4D" w14:textId="65E55B08" w:rsidR="00BD7748" w:rsidRDefault="00BD7748" w:rsidP="00E85175">
      <w:pPr>
        <w:pStyle w:val="FootnoteText"/>
      </w:pPr>
      <w:r>
        <w:rPr>
          <w:rStyle w:val="FootnoteReference"/>
        </w:rPr>
        <w:footnoteRef/>
      </w:r>
      <w:r>
        <w:t xml:space="preserve"> </w:t>
      </w:r>
      <w:r w:rsidRPr="00810860">
        <w:t>As at 10 May 2013</w:t>
      </w:r>
      <w:r>
        <w:t>,</w:t>
      </w:r>
      <w:r w:rsidRPr="00810860">
        <w:t xml:space="preserve"> there were 51,147 authorised representatives of AFS</w:t>
      </w:r>
      <w:r>
        <w:t xml:space="preserve"> licensees providing financial services advice in Australia (ASIC answers to questions on notice, 22 April (received 13 May 2013),  Schedule 2 of the Corporations Amendment (Simple Corporate Bonds and Other Measures) Bill 2013).</w:t>
      </w:r>
    </w:p>
  </w:footnote>
  <w:footnote w:id="18">
    <w:p w14:paraId="5C8103B6" w14:textId="66922DA5" w:rsidR="00BD7748" w:rsidRPr="00AC0734" w:rsidRDefault="00BD7748" w:rsidP="00411BEC">
      <w:pPr>
        <w:pStyle w:val="FootnoteText"/>
      </w:pPr>
      <w:r>
        <w:rPr>
          <w:rStyle w:val="FootnoteReference"/>
        </w:rPr>
        <w:footnoteRef/>
      </w:r>
      <w:r>
        <w:t xml:space="preserve"> Parliamentary </w:t>
      </w:r>
      <w:r w:rsidRPr="00195C6B">
        <w:t>Joint Committee on Corporations and Financial Services</w:t>
      </w:r>
      <w:r>
        <w:t>,</w:t>
      </w:r>
      <w:r w:rsidRPr="00195C6B">
        <w:t xml:space="preserve"> </w:t>
      </w:r>
      <w:r w:rsidRPr="00195C6B">
        <w:rPr>
          <w:i/>
        </w:rPr>
        <w:t>Inquiry into proposals to lift the professional, ethical and education standards in the financial services industry</w:t>
      </w:r>
      <w:r>
        <w:t xml:space="preserve">, December 2014, pp.55-56. Report available at </w:t>
      </w:r>
      <w:hyperlink r:id="rId9" w:history="1">
        <w:r w:rsidRPr="00B037E4">
          <w:rPr>
            <w:rStyle w:val="Hyperlink"/>
          </w:rPr>
          <w:t>www.aph.gov.au</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33436" w14:textId="77777777" w:rsidR="00593E44" w:rsidRDefault="00593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3219A" w14:textId="77777777" w:rsidR="00593E44" w:rsidRDefault="00593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AEAB" w14:textId="77777777" w:rsidR="00593E44" w:rsidRDefault="00593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4237C5"/>
    <w:multiLevelType w:val="multilevel"/>
    <w:tmpl w:val="A6800B9E"/>
    <w:numStyleLink w:val="Outlinenumbering"/>
  </w:abstractNum>
  <w:abstractNum w:abstractNumId="1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7440C8B"/>
    <w:multiLevelType w:val="multilevel"/>
    <w:tmpl w:val="BE1A6E5A"/>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hint="default"/>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3047"/>
        </w:tabs>
        <w:ind w:left="3047" w:hanging="360"/>
      </w:pPr>
      <w:rPr>
        <w:b w:val="0"/>
        <w:i w:val="0"/>
      </w:rPr>
    </w:lvl>
    <w:lvl w:ilvl="4">
      <w:start w:val="1"/>
      <w:numFmt w:val="lowerLetter"/>
      <w:lvlText w:val="(%5)"/>
      <w:lvlJc w:val="left"/>
      <w:pPr>
        <w:tabs>
          <w:tab w:val="num" w:pos="3407"/>
        </w:tabs>
        <w:ind w:left="3407" w:hanging="360"/>
      </w:pPr>
      <w:rPr>
        <w:b w:val="0"/>
        <w:i w:val="0"/>
      </w:rPr>
    </w:lvl>
    <w:lvl w:ilvl="5">
      <w:start w:val="1"/>
      <w:numFmt w:val="lowerRoman"/>
      <w:lvlText w:val="(%6)"/>
      <w:lvlJc w:val="left"/>
      <w:pPr>
        <w:tabs>
          <w:tab w:val="num" w:pos="3767"/>
        </w:tabs>
        <w:ind w:left="3767" w:hanging="360"/>
      </w:pPr>
      <w:rPr>
        <w:b w:val="0"/>
        <w:i w:val="0"/>
      </w:rPr>
    </w:lvl>
    <w:lvl w:ilvl="6">
      <w:start w:val="1"/>
      <w:numFmt w:val="decimal"/>
      <w:lvlText w:val="%7."/>
      <w:lvlJc w:val="left"/>
      <w:pPr>
        <w:tabs>
          <w:tab w:val="num" w:pos="4127"/>
        </w:tabs>
        <w:ind w:left="4127" w:hanging="360"/>
      </w:pPr>
      <w:rPr>
        <w:b w:val="0"/>
        <w:i w:val="0"/>
      </w:rPr>
    </w:lvl>
    <w:lvl w:ilvl="7">
      <w:start w:val="1"/>
      <w:numFmt w:val="lowerLetter"/>
      <w:lvlText w:val="%8."/>
      <w:lvlJc w:val="left"/>
      <w:pPr>
        <w:tabs>
          <w:tab w:val="num" w:pos="4487"/>
        </w:tabs>
        <w:ind w:left="4487" w:hanging="360"/>
      </w:pPr>
      <w:rPr>
        <w:b w:val="0"/>
        <w:i w:val="0"/>
      </w:rPr>
    </w:lvl>
    <w:lvl w:ilvl="8">
      <w:start w:val="1"/>
      <w:numFmt w:val="lowerRoman"/>
      <w:lvlText w:val="%9."/>
      <w:lvlJc w:val="left"/>
      <w:pPr>
        <w:tabs>
          <w:tab w:val="num" w:pos="4847"/>
        </w:tabs>
        <w:ind w:left="4847" w:hanging="360"/>
      </w:pPr>
      <w:rPr>
        <w:b w:val="0"/>
        <w:i w:val="0"/>
      </w:rPr>
    </w:lvl>
  </w:abstractNum>
  <w:abstractNum w:abstractNumId="16">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7">
    <w:nsid w:val="2DF54350"/>
    <w:multiLevelType w:val="multilevel"/>
    <w:tmpl w:val="A6800B9E"/>
    <w:styleLink w:val="Outlinenumbering"/>
    <w:lvl w:ilvl="0">
      <w:start w:val="1"/>
      <w:numFmt w:val="decimal"/>
      <w:lvlRestart w:val="0"/>
      <w:lvlText w:val="%1."/>
      <w:lvlJc w:val="left"/>
      <w:pPr>
        <w:tabs>
          <w:tab w:val="num" w:pos="2411"/>
        </w:tabs>
        <w:ind w:left="2411"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9">
    <w:nsid w:val="3C857931"/>
    <w:multiLevelType w:val="singleLevel"/>
    <w:tmpl w:val="0C09000F"/>
    <w:lvl w:ilvl="0">
      <w:start w:val="1"/>
      <w:numFmt w:val="decimal"/>
      <w:lvlText w:val="%1."/>
      <w:lvlJc w:val="left"/>
      <w:pPr>
        <w:tabs>
          <w:tab w:val="num" w:pos="720"/>
        </w:tabs>
        <w:ind w:left="720" w:hanging="360"/>
      </w:pPr>
    </w:lvl>
  </w:abstractNum>
  <w:abstractNum w:abstractNumId="20">
    <w:nsid w:val="418B22D4"/>
    <w:multiLevelType w:val="singleLevel"/>
    <w:tmpl w:val="0C09000F"/>
    <w:lvl w:ilvl="0">
      <w:start w:val="1"/>
      <w:numFmt w:val="decimal"/>
      <w:lvlText w:val="%1."/>
      <w:lvlJc w:val="left"/>
      <w:pPr>
        <w:tabs>
          <w:tab w:val="num" w:pos="720"/>
        </w:tabs>
        <w:ind w:left="720" w:hanging="360"/>
      </w:pPr>
    </w:lvl>
  </w:abstractNum>
  <w:abstractNum w:abstractNumId="21">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2">
    <w:nsid w:val="535357C1"/>
    <w:multiLevelType w:val="singleLevel"/>
    <w:tmpl w:val="0C09000F"/>
    <w:lvl w:ilvl="0">
      <w:start w:val="1"/>
      <w:numFmt w:val="decimal"/>
      <w:lvlText w:val="%1."/>
      <w:lvlJc w:val="left"/>
      <w:pPr>
        <w:tabs>
          <w:tab w:val="num" w:pos="720"/>
        </w:tabs>
        <w:ind w:left="720" w:hanging="360"/>
      </w:pPr>
    </w:lvl>
  </w:abstractNum>
  <w:abstractNum w:abstractNumId="23">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nsid w:val="63A04B83"/>
    <w:multiLevelType w:val="multilevel"/>
    <w:tmpl w:val="4844CF3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5FB0D17"/>
    <w:multiLevelType w:val="singleLevel"/>
    <w:tmpl w:val="0C09000F"/>
    <w:lvl w:ilvl="0">
      <w:start w:val="1"/>
      <w:numFmt w:val="decimal"/>
      <w:lvlText w:val="%1."/>
      <w:lvlJc w:val="left"/>
      <w:pPr>
        <w:tabs>
          <w:tab w:val="num" w:pos="720"/>
        </w:tabs>
        <w:ind w:left="720" w:hanging="360"/>
      </w:pPr>
    </w:lvl>
  </w:abstractNum>
  <w:abstractNum w:abstractNumId="27">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106398A"/>
    <w:multiLevelType w:val="multilevel"/>
    <w:tmpl w:val="3E26C5F8"/>
    <w:lvl w:ilvl="0">
      <w:start w:val="1"/>
      <w:numFmt w:val="bullet"/>
      <w:lvlText w:val="•"/>
      <w:lvlJc w:val="left"/>
      <w:pPr>
        <w:tabs>
          <w:tab w:val="num" w:pos="520"/>
        </w:tabs>
        <w:ind w:left="520" w:hanging="520"/>
      </w:pPr>
      <w:rPr>
        <w:rFonts w:ascii="Times New Roman" w:hAnsi="Times New Roman" w:cs="Times New Roman"/>
        <w:b w:val="0"/>
        <w:i w:val="0"/>
      </w:rPr>
    </w:lvl>
    <w:lvl w:ilvl="1">
      <w:start w:val="1"/>
      <w:numFmt w:val="bullet"/>
      <w:lvlText w:val=""/>
      <w:lvlJc w:val="left"/>
      <w:pPr>
        <w:tabs>
          <w:tab w:val="num" w:pos="1040"/>
        </w:tabs>
        <w:ind w:left="1040" w:hanging="520"/>
      </w:pPr>
      <w:rPr>
        <w:rFonts w:ascii="Symbol" w:hAnsi="Symbol" w:hint="default"/>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2527"/>
        </w:tabs>
        <w:ind w:left="2527" w:hanging="360"/>
      </w:pPr>
      <w:rPr>
        <w:b w:val="0"/>
        <w:i w:val="0"/>
      </w:rPr>
    </w:lvl>
    <w:lvl w:ilvl="4">
      <w:start w:val="1"/>
      <w:numFmt w:val="lowerLetter"/>
      <w:lvlText w:val="(%5)"/>
      <w:lvlJc w:val="left"/>
      <w:pPr>
        <w:tabs>
          <w:tab w:val="num" w:pos="2887"/>
        </w:tabs>
        <w:ind w:left="2887" w:hanging="360"/>
      </w:pPr>
      <w:rPr>
        <w:b w:val="0"/>
        <w:i w:val="0"/>
      </w:rPr>
    </w:lvl>
    <w:lvl w:ilvl="5">
      <w:start w:val="1"/>
      <w:numFmt w:val="lowerRoman"/>
      <w:lvlText w:val="(%6)"/>
      <w:lvlJc w:val="left"/>
      <w:pPr>
        <w:tabs>
          <w:tab w:val="num" w:pos="3247"/>
        </w:tabs>
        <w:ind w:left="3247" w:hanging="360"/>
      </w:pPr>
      <w:rPr>
        <w:b w:val="0"/>
        <w:i w:val="0"/>
      </w:rPr>
    </w:lvl>
    <w:lvl w:ilvl="6">
      <w:start w:val="1"/>
      <w:numFmt w:val="decimal"/>
      <w:lvlText w:val="%7."/>
      <w:lvlJc w:val="left"/>
      <w:pPr>
        <w:tabs>
          <w:tab w:val="num" w:pos="3607"/>
        </w:tabs>
        <w:ind w:left="3607" w:hanging="360"/>
      </w:pPr>
      <w:rPr>
        <w:b w:val="0"/>
        <w:i w:val="0"/>
      </w:rPr>
    </w:lvl>
    <w:lvl w:ilvl="7">
      <w:start w:val="1"/>
      <w:numFmt w:val="lowerLetter"/>
      <w:lvlText w:val="%8."/>
      <w:lvlJc w:val="left"/>
      <w:pPr>
        <w:tabs>
          <w:tab w:val="num" w:pos="3967"/>
        </w:tabs>
        <w:ind w:left="3967" w:hanging="360"/>
      </w:pPr>
      <w:rPr>
        <w:b w:val="0"/>
        <w:i w:val="0"/>
      </w:rPr>
    </w:lvl>
    <w:lvl w:ilvl="8">
      <w:start w:val="1"/>
      <w:numFmt w:val="lowerRoman"/>
      <w:lvlText w:val="%9."/>
      <w:lvlJc w:val="left"/>
      <w:pPr>
        <w:tabs>
          <w:tab w:val="num" w:pos="4327"/>
        </w:tabs>
        <w:ind w:left="4327" w:hanging="360"/>
      </w:pPr>
      <w:rPr>
        <w:b w:val="0"/>
        <w:i w:val="0"/>
      </w:rPr>
    </w:lvl>
  </w:abstractNum>
  <w:abstractNum w:abstractNumId="29">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B524813"/>
    <w:multiLevelType w:val="multilevel"/>
    <w:tmpl w:val="9034C5DA"/>
    <w:name w:val="StandardNumberedList"/>
    <w:lvl w:ilvl="0">
      <w:start w:val="1"/>
      <w:numFmt w:val="decimal"/>
      <w:pStyle w:val="OutlineNumbered1"/>
      <w:lvlText w:val="%1."/>
      <w:lvlJc w:val="left"/>
      <w:pPr>
        <w:tabs>
          <w:tab w:val="num" w:pos="520"/>
        </w:tabs>
        <w:ind w:left="520" w:hanging="520"/>
      </w:pPr>
      <w:rPr>
        <w:b w:val="0"/>
        <w:i w:val="0"/>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CC6405"/>
    <w:multiLevelType w:val="hybridMultilevel"/>
    <w:tmpl w:val="DBCA76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EBF275E"/>
    <w:multiLevelType w:val="multilevel"/>
    <w:tmpl w:val="B1BE3EF8"/>
    <w:lvl w:ilvl="0">
      <w:start w:val="67"/>
      <w:numFmt w:val="decimal"/>
      <w:lvlRestart w:val="0"/>
      <w:lvlText w:val="%1."/>
      <w:lvlJc w:val="left"/>
      <w:pPr>
        <w:tabs>
          <w:tab w:val="num" w:pos="2411"/>
        </w:tabs>
        <w:ind w:left="2411"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5"/>
  </w:num>
  <w:num w:numId="2">
    <w:abstractNumId w:val="13"/>
  </w:num>
  <w:num w:numId="3">
    <w:abstractNumId w:val="16"/>
  </w:num>
  <w:num w:numId="4">
    <w:abstractNumId w:val="21"/>
  </w:num>
  <w:num w:numId="5">
    <w:abstractNumId w:val="12"/>
  </w:num>
  <w:num w:numId="6">
    <w:abstractNumId w:val="12"/>
  </w:num>
  <w:num w:numId="7">
    <w:abstractNumId w:val="12"/>
  </w:num>
  <w:num w:numId="8">
    <w:abstractNumId w:val="29"/>
  </w:num>
  <w:num w:numId="9">
    <w:abstractNumId w:val="23"/>
  </w:num>
  <w:num w:numId="10">
    <w:abstractNumId w:val="10"/>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8"/>
  </w:num>
  <w:num w:numId="24">
    <w:abstractNumId w:val="14"/>
  </w:num>
  <w:num w:numId="25">
    <w:abstractNumId w:val="17"/>
  </w:num>
  <w:num w:numId="26">
    <w:abstractNumId w:val="32"/>
  </w:num>
  <w:num w:numId="27">
    <w:abstractNumId w:val="2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32"/>
  </w:num>
  <w:num w:numId="32">
    <w:abstractNumId w:val="32"/>
  </w:num>
  <w:num w:numId="33">
    <w:abstractNumId w:val="32"/>
  </w:num>
  <w:num w:numId="34">
    <w:abstractNumId w:val="32"/>
  </w:num>
  <w:num w:numId="35">
    <w:abstractNumId w:val="32"/>
  </w:num>
  <w:num w:numId="36">
    <w:abstractNumId w:val="32"/>
  </w:num>
  <w:num w:numId="37">
    <w:abstractNumId w:val="32"/>
  </w:num>
  <w:num w:numId="38">
    <w:abstractNumId w:val="32"/>
  </w:num>
  <w:num w:numId="39">
    <w:abstractNumId w:val="31"/>
  </w:num>
  <w:num w:numId="40">
    <w:abstractNumId w:val="30"/>
  </w:num>
  <w:num w:numId="41">
    <w:abstractNumId w:val="28"/>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4516A4"/>
    <w:rsid w:val="000029E2"/>
    <w:rsid w:val="00004538"/>
    <w:rsid w:val="00004CA9"/>
    <w:rsid w:val="00004F36"/>
    <w:rsid w:val="00010299"/>
    <w:rsid w:val="00011779"/>
    <w:rsid w:val="00012F00"/>
    <w:rsid w:val="00013EB6"/>
    <w:rsid w:val="00014CA9"/>
    <w:rsid w:val="00014D52"/>
    <w:rsid w:val="00022D39"/>
    <w:rsid w:val="00023DD0"/>
    <w:rsid w:val="00037B9D"/>
    <w:rsid w:val="00037E2F"/>
    <w:rsid w:val="0004122B"/>
    <w:rsid w:val="00041F54"/>
    <w:rsid w:val="00045499"/>
    <w:rsid w:val="00052C5E"/>
    <w:rsid w:val="00062BF3"/>
    <w:rsid w:val="000750E2"/>
    <w:rsid w:val="000858F6"/>
    <w:rsid w:val="00087663"/>
    <w:rsid w:val="0008799D"/>
    <w:rsid w:val="00087D6C"/>
    <w:rsid w:val="00095FE6"/>
    <w:rsid w:val="0009656D"/>
    <w:rsid w:val="000A0731"/>
    <w:rsid w:val="000A5814"/>
    <w:rsid w:val="000A7BCF"/>
    <w:rsid w:val="000B0E79"/>
    <w:rsid w:val="000C1FB9"/>
    <w:rsid w:val="000C2C6E"/>
    <w:rsid w:val="000D0033"/>
    <w:rsid w:val="000D13E6"/>
    <w:rsid w:val="000D2268"/>
    <w:rsid w:val="000E52ED"/>
    <w:rsid w:val="000F0427"/>
    <w:rsid w:val="000F06C5"/>
    <w:rsid w:val="000F0931"/>
    <w:rsid w:val="000F2C5A"/>
    <w:rsid w:val="000F544B"/>
    <w:rsid w:val="000F7ADC"/>
    <w:rsid w:val="00111E76"/>
    <w:rsid w:val="001134EE"/>
    <w:rsid w:val="0011462E"/>
    <w:rsid w:val="001177BC"/>
    <w:rsid w:val="00127293"/>
    <w:rsid w:val="001336B6"/>
    <w:rsid w:val="00140359"/>
    <w:rsid w:val="00147687"/>
    <w:rsid w:val="001522D4"/>
    <w:rsid w:val="001550D0"/>
    <w:rsid w:val="001620F9"/>
    <w:rsid w:val="001657A7"/>
    <w:rsid w:val="00166D5B"/>
    <w:rsid w:val="001735FC"/>
    <w:rsid w:val="00173734"/>
    <w:rsid w:val="0017499F"/>
    <w:rsid w:val="00186AE6"/>
    <w:rsid w:val="00186F62"/>
    <w:rsid w:val="0019054A"/>
    <w:rsid w:val="00191458"/>
    <w:rsid w:val="00195C6B"/>
    <w:rsid w:val="001A0E96"/>
    <w:rsid w:val="001A4CC5"/>
    <w:rsid w:val="001B01D6"/>
    <w:rsid w:val="001B12B4"/>
    <w:rsid w:val="001B16FA"/>
    <w:rsid w:val="001B5A3E"/>
    <w:rsid w:val="001C0D9F"/>
    <w:rsid w:val="001C12BA"/>
    <w:rsid w:val="001C443B"/>
    <w:rsid w:val="001E28BD"/>
    <w:rsid w:val="001E43D3"/>
    <w:rsid w:val="00200044"/>
    <w:rsid w:val="00200FFD"/>
    <w:rsid w:val="00210E9E"/>
    <w:rsid w:val="002214CB"/>
    <w:rsid w:val="00221B40"/>
    <w:rsid w:val="0022474A"/>
    <w:rsid w:val="00233E0E"/>
    <w:rsid w:val="00235F23"/>
    <w:rsid w:val="00237970"/>
    <w:rsid w:val="00237F54"/>
    <w:rsid w:val="00243556"/>
    <w:rsid w:val="002439A6"/>
    <w:rsid w:val="00246471"/>
    <w:rsid w:val="00273F38"/>
    <w:rsid w:val="00276419"/>
    <w:rsid w:val="00276600"/>
    <w:rsid w:val="002958ED"/>
    <w:rsid w:val="002A4F74"/>
    <w:rsid w:val="002B4AB3"/>
    <w:rsid w:val="002B77E6"/>
    <w:rsid w:val="002C4A43"/>
    <w:rsid w:val="002D4A19"/>
    <w:rsid w:val="002D4A76"/>
    <w:rsid w:val="002F1351"/>
    <w:rsid w:val="002F2B9D"/>
    <w:rsid w:val="003078A2"/>
    <w:rsid w:val="003101C5"/>
    <w:rsid w:val="0031346C"/>
    <w:rsid w:val="00314FD7"/>
    <w:rsid w:val="003425A7"/>
    <w:rsid w:val="003425F7"/>
    <w:rsid w:val="0034570E"/>
    <w:rsid w:val="003470B5"/>
    <w:rsid w:val="00347436"/>
    <w:rsid w:val="00352ACB"/>
    <w:rsid w:val="00352FBD"/>
    <w:rsid w:val="00352FCF"/>
    <w:rsid w:val="0035792D"/>
    <w:rsid w:val="00362B92"/>
    <w:rsid w:val="00382FEC"/>
    <w:rsid w:val="00385595"/>
    <w:rsid w:val="003A163D"/>
    <w:rsid w:val="003A6F96"/>
    <w:rsid w:val="003B0BD7"/>
    <w:rsid w:val="003C0914"/>
    <w:rsid w:val="003D0F75"/>
    <w:rsid w:val="003E0BC2"/>
    <w:rsid w:val="003F1267"/>
    <w:rsid w:val="003F75DD"/>
    <w:rsid w:val="00403C90"/>
    <w:rsid w:val="0041027C"/>
    <w:rsid w:val="00411BEC"/>
    <w:rsid w:val="00416B11"/>
    <w:rsid w:val="004365B8"/>
    <w:rsid w:val="004365D6"/>
    <w:rsid w:val="004376E6"/>
    <w:rsid w:val="00441D01"/>
    <w:rsid w:val="00444271"/>
    <w:rsid w:val="00444A8D"/>
    <w:rsid w:val="00447234"/>
    <w:rsid w:val="004516A4"/>
    <w:rsid w:val="004536E1"/>
    <w:rsid w:val="004555D0"/>
    <w:rsid w:val="00457BAC"/>
    <w:rsid w:val="0046168E"/>
    <w:rsid w:val="00466B31"/>
    <w:rsid w:val="00483AC5"/>
    <w:rsid w:val="004928EA"/>
    <w:rsid w:val="00493435"/>
    <w:rsid w:val="004A06FF"/>
    <w:rsid w:val="004A0C28"/>
    <w:rsid w:val="004B26F4"/>
    <w:rsid w:val="004C4462"/>
    <w:rsid w:val="004C4871"/>
    <w:rsid w:val="004D595B"/>
    <w:rsid w:val="004F25B8"/>
    <w:rsid w:val="004F5D25"/>
    <w:rsid w:val="005039EE"/>
    <w:rsid w:val="00505077"/>
    <w:rsid w:val="00511C63"/>
    <w:rsid w:val="00513598"/>
    <w:rsid w:val="00526706"/>
    <w:rsid w:val="005270CC"/>
    <w:rsid w:val="00544918"/>
    <w:rsid w:val="00547B56"/>
    <w:rsid w:val="0055352E"/>
    <w:rsid w:val="00572E7F"/>
    <w:rsid w:val="00575D33"/>
    <w:rsid w:val="0057726A"/>
    <w:rsid w:val="00582634"/>
    <w:rsid w:val="00585273"/>
    <w:rsid w:val="00593E44"/>
    <w:rsid w:val="00596274"/>
    <w:rsid w:val="005A05DD"/>
    <w:rsid w:val="005A1F07"/>
    <w:rsid w:val="005A41A3"/>
    <w:rsid w:val="005A4AD2"/>
    <w:rsid w:val="005B01DF"/>
    <w:rsid w:val="005B27C5"/>
    <w:rsid w:val="005B4CD6"/>
    <w:rsid w:val="005B540A"/>
    <w:rsid w:val="005C43AF"/>
    <w:rsid w:val="005C7D9E"/>
    <w:rsid w:val="005D2420"/>
    <w:rsid w:val="005D2E74"/>
    <w:rsid w:val="005D5EC1"/>
    <w:rsid w:val="005D6017"/>
    <w:rsid w:val="005E6D0B"/>
    <w:rsid w:val="005F0135"/>
    <w:rsid w:val="005F021F"/>
    <w:rsid w:val="00603514"/>
    <w:rsid w:val="006047BA"/>
    <w:rsid w:val="0060527D"/>
    <w:rsid w:val="0060573C"/>
    <w:rsid w:val="006239A0"/>
    <w:rsid w:val="00626F75"/>
    <w:rsid w:val="00643637"/>
    <w:rsid w:val="006443A2"/>
    <w:rsid w:val="0065082A"/>
    <w:rsid w:val="00653F9C"/>
    <w:rsid w:val="006548B8"/>
    <w:rsid w:val="006569DA"/>
    <w:rsid w:val="00657C8B"/>
    <w:rsid w:val="00664993"/>
    <w:rsid w:val="0067556D"/>
    <w:rsid w:val="00687688"/>
    <w:rsid w:val="00691982"/>
    <w:rsid w:val="0069206E"/>
    <w:rsid w:val="00694E91"/>
    <w:rsid w:val="006C122F"/>
    <w:rsid w:val="006D47AC"/>
    <w:rsid w:val="006D52BB"/>
    <w:rsid w:val="006E697E"/>
    <w:rsid w:val="006F2154"/>
    <w:rsid w:val="007031C4"/>
    <w:rsid w:val="00706927"/>
    <w:rsid w:val="00707606"/>
    <w:rsid w:val="00707A8C"/>
    <w:rsid w:val="00707AA5"/>
    <w:rsid w:val="00710347"/>
    <w:rsid w:val="007117A1"/>
    <w:rsid w:val="00713D91"/>
    <w:rsid w:val="0071509C"/>
    <w:rsid w:val="00717426"/>
    <w:rsid w:val="00724E63"/>
    <w:rsid w:val="0073176B"/>
    <w:rsid w:val="00732187"/>
    <w:rsid w:val="0073445B"/>
    <w:rsid w:val="00737E39"/>
    <w:rsid w:val="0074437D"/>
    <w:rsid w:val="007456B9"/>
    <w:rsid w:val="00756381"/>
    <w:rsid w:val="00757151"/>
    <w:rsid w:val="007710AD"/>
    <w:rsid w:val="0077537B"/>
    <w:rsid w:val="007A07F2"/>
    <w:rsid w:val="007B417F"/>
    <w:rsid w:val="007C1633"/>
    <w:rsid w:val="007D0B5E"/>
    <w:rsid w:val="007D2B2C"/>
    <w:rsid w:val="007D3E39"/>
    <w:rsid w:val="007F0B5F"/>
    <w:rsid w:val="007F2D6D"/>
    <w:rsid w:val="007F769C"/>
    <w:rsid w:val="008100ED"/>
    <w:rsid w:val="00810860"/>
    <w:rsid w:val="0081122D"/>
    <w:rsid w:val="00812A38"/>
    <w:rsid w:val="00833DAE"/>
    <w:rsid w:val="00841F0E"/>
    <w:rsid w:val="00842D10"/>
    <w:rsid w:val="0084430D"/>
    <w:rsid w:val="00857D2E"/>
    <w:rsid w:val="00861704"/>
    <w:rsid w:val="008663AB"/>
    <w:rsid w:val="008758F3"/>
    <w:rsid w:val="00875B18"/>
    <w:rsid w:val="008806EF"/>
    <w:rsid w:val="00882A3F"/>
    <w:rsid w:val="00882C24"/>
    <w:rsid w:val="008B06EC"/>
    <w:rsid w:val="008B1FB6"/>
    <w:rsid w:val="008B3E8E"/>
    <w:rsid w:val="008B4F59"/>
    <w:rsid w:val="008B5691"/>
    <w:rsid w:val="008B5FA6"/>
    <w:rsid w:val="008C11E9"/>
    <w:rsid w:val="008E02C0"/>
    <w:rsid w:val="008E041C"/>
    <w:rsid w:val="008E1E83"/>
    <w:rsid w:val="008E56CB"/>
    <w:rsid w:val="008F0ABF"/>
    <w:rsid w:val="008F0AF8"/>
    <w:rsid w:val="008F3B54"/>
    <w:rsid w:val="008F7A11"/>
    <w:rsid w:val="00901848"/>
    <w:rsid w:val="00904FCD"/>
    <w:rsid w:val="00906031"/>
    <w:rsid w:val="009113F4"/>
    <w:rsid w:val="00914EB3"/>
    <w:rsid w:val="00916449"/>
    <w:rsid w:val="00921AFF"/>
    <w:rsid w:val="00923D3D"/>
    <w:rsid w:val="0093229A"/>
    <w:rsid w:val="0093275C"/>
    <w:rsid w:val="00933713"/>
    <w:rsid w:val="009376A3"/>
    <w:rsid w:val="009411A0"/>
    <w:rsid w:val="0094278D"/>
    <w:rsid w:val="00946577"/>
    <w:rsid w:val="009517C9"/>
    <w:rsid w:val="009625C2"/>
    <w:rsid w:val="00962DA7"/>
    <w:rsid w:val="0097605B"/>
    <w:rsid w:val="00977523"/>
    <w:rsid w:val="009A1A43"/>
    <w:rsid w:val="009A2A70"/>
    <w:rsid w:val="009A4CB9"/>
    <w:rsid w:val="009B41D8"/>
    <w:rsid w:val="009B7F5A"/>
    <w:rsid w:val="009C4D8A"/>
    <w:rsid w:val="009E027D"/>
    <w:rsid w:val="009E7A44"/>
    <w:rsid w:val="009E7FAA"/>
    <w:rsid w:val="00A0085D"/>
    <w:rsid w:val="00A04974"/>
    <w:rsid w:val="00A05C53"/>
    <w:rsid w:val="00A11A57"/>
    <w:rsid w:val="00A13870"/>
    <w:rsid w:val="00A149CD"/>
    <w:rsid w:val="00A34C8A"/>
    <w:rsid w:val="00A461F2"/>
    <w:rsid w:val="00A475A9"/>
    <w:rsid w:val="00A624D9"/>
    <w:rsid w:val="00A811B2"/>
    <w:rsid w:val="00A839B3"/>
    <w:rsid w:val="00A86AFC"/>
    <w:rsid w:val="00A91CB4"/>
    <w:rsid w:val="00AA2238"/>
    <w:rsid w:val="00AA75C3"/>
    <w:rsid w:val="00AB154B"/>
    <w:rsid w:val="00AB398E"/>
    <w:rsid w:val="00AC0734"/>
    <w:rsid w:val="00AC2F9C"/>
    <w:rsid w:val="00AC4BB5"/>
    <w:rsid w:val="00AC4EA1"/>
    <w:rsid w:val="00AC5110"/>
    <w:rsid w:val="00AC6D82"/>
    <w:rsid w:val="00AC7B67"/>
    <w:rsid w:val="00AD18FB"/>
    <w:rsid w:val="00AD2F7C"/>
    <w:rsid w:val="00AE1EB7"/>
    <w:rsid w:val="00AE2BDE"/>
    <w:rsid w:val="00AE385E"/>
    <w:rsid w:val="00AE4E71"/>
    <w:rsid w:val="00AF16AF"/>
    <w:rsid w:val="00AF51BD"/>
    <w:rsid w:val="00AF5334"/>
    <w:rsid w:val="00AF6B0F"/>
    <w:rsid w:val="00AF70ED"/>
    <w:rsid w:val="00B00D66"/>
    <w:rsid w:val="00B105AA"/>
    <w:rsid w:val="00B400CB"/>
    <w:rsid w:val="00B41028"/>
    <w:rsid w:val="00B4773D"/>
    <w:rsid w:val="00B5163F"/>
    <w:rsid w:val="00B5406A"/>
    <w:rsid w:val="00B64C2E"/>
    <w:rsid w:val="00B703DB"/>
    <w:rsid w:val="00B7090F"/>
    <w:rsid w:val="00B73FBA"/>
    <w:rsid w:val="00B772C1"/>
    <w:rsid w:val="00B80BDC"/>
    <w:rsid w:val="00B91533"/>
    <w:rsid w:val="00B9160E"/>
    <w:rsid w:val="00BA63EA"/>
    <w:rsid w:val="00BA6840"/>
    <w:rsid w:val="00BB360E"/>
    <w:rsid w:val="00BB3663"/>
    <w:rsid w:val="00BB6FBA"/>
    <w:rsid w:val="00BD5803"/>
    <w:rsid w:val="00BD7748"/>
    <w:rsid w:val="00BF225A"/>
    <w:rsid w:val="00BF6902"/>
    <w:rsid w:val="00BF745D"/>
    <w:rsid w:val="00C01322"/>
    <w:rsid w:val="00C04E69"/>
    <w:rsid w:val="00C14AC5"/>
    <w:rsid w:val="00C24B2F"/>
    <w:rsid w:val="00C27329"/>
    <w:rsid w:val="00C31041"/>
    <w:rsid w:val="00C3624D"/>
    <w:rsid w:val="00C472BC"/>
    <w:rsid w:val="00C505F4"/>
    <w:rsid w:val="00C52339"/>
    <w:rsid w:val="00C53D35"/>
    <w:rsid w:val="00C5499E"/>
    <w:rsid w:val="00C600DA"/>
    <w:rsid w:val="00C651DF"/>
    <w:rsid w:val="00C73443"/>
    <w:rsid w:val="00C74C4B"/>
    <w:rsid w:val="00C76F10"/>
    <w:rsid w:val="00C870DC"/>
    <w:rsid w:val="00C94C3B"/>
    <w:rsid w:val="00C95A39"/>
    <w:rsid w:val="00CA437B"/>
    <w:rsid w:val="00CA601E"/>
    <w:rsid w:val="00CB0846"/>
    <w:rsid w:val="00CB15B7"/>
    <w:rsid w:val="00CC715A"/>
    <w:rsid w:val="00CC7B13"/>
    <w:rsid w:val="00CD0CFF"/>
    <w:rsid w:val="00CD2354"/>
    <w:rsid w:val="00CE0137"/>
    <w:rsid w:val="00CE1D38"/>
    <w:rsid w:val="00CE440D"/>
    <w:rsid w:val="00CE74CC"/>
    <w:rsid w:val="00CE76FB"/>
    <w:rsid w:val="00D002BB"/>
    <w:rsid w:val="00D009F4"/>
    <w:rsid w:val="00D05F89"/>
    <w:rsid w:val="00D060C8"/>
    <w:rsid w:val="00D06198"/>
    <w:rsid w:val="00D23C2F"/>
    <w:rsid w:val="00D242A6"/>
    <w:rsid w:val="00D34732"/>
    <w:rsid w:val="00D41C96"/>
    <w:rsid w:val="00D52C0C"/>
    <w:rsid w:val="00D559CE"/>
    <w:rsid w:val="00D805E1"/>
    <w:rsid w:val="00D808DA"/>
    <w:rsid w:val="00D83D23"/>
    <w:rsid w:val="00D93F4F"/>
    <w:rsid w:val="00DA1389"/>
    <w:rsid w:val="00DA7EB6"/>
    <w:rsid w:val="00DB5FC2"/>
    <w:rsid w:val="00DC1819"/>
    <w:rsid w:val="00DC2849"/>
    <w:rsid w:val="00DC302C"/>
    <w:rsid w:val="00DC5733"/>
    <w:rsid w:val="00E0182B"/>
    <w:rsid w:val="00E03D3E"/>
    <w:rsid w:val="00E05EE8"/>
    <w:rsid w:val="00E125F7"/>
    <w:rsid w:val="00E13990"/>
    <w:rsid w:val="00E16C50"/>
    <w:rsid w:val="00E46338"/>
    <w:rsid w:val="00E6094F"/>
    <w:rsid w:val="00E60E12"/>
    <w:rsid w:val="00E617A4"/>
    <w:rsid w:val="00E63627"/>
    <w:rsid w:val="00E6388D"/>
    <w:rsid w:val="00E65CEE"/>
    <w:rsid w:val="00E67028"/>
    <w:rsid w:val="00E85175"/>
    <w:rsid w:val="00E919EB"/>
    <w:rsid w:val="00EA1AFA"/>
    <w:rsid w:val="00EA2B5E"/>
    <w:rsid w:val="00EA542E"/>
    <w:rsid w:val="00EB01C2"/>
    <w:rsid w:val="00EC44A6"/>
    <w:rsid w:val="00EC5CA0"/>
    <w:rsid w:val="00EC6C48"/>
    <w:rsid w:val="00ED3B74"/>
    <w:rsid w:val="00EE0F27"/>
    <w:rsid w:val="00EF0C4F"/>
    <w:rsid w:val="00F03ED0"/>
    <w:rsid w:val="00F10C22"/>
    <w:rsid w:val="00F13CA4"/>
    <w:rsid w:val="00F14D1F"/>
    <w:rsid w:val="00F1577B"/>
    <w:rsid w:val="00F15813"/>
    <w:rsid w:val="00F21092"/>
    <w:rsid w:val="00F35C30"/>
    <w:rsid w:val="00F3666B"/>
    <w:rsid w:val="00F475FB"/>
    <w:rsid w:val="00F55EBA"/>
    <w:rsid w:val="00F7326F"/>
    <w:rsid w:val="00F90050"/>
    <w:rsid w:val="00F9744B"/>
    <w:rsid w:val="00FB1EDB"/>
    <w:rsid w:val="00FB4F10"/>
    <w:rsid w:val="00FB5131"/>
    <w:rsid w:val="00FB7DE9"/>
    <w:rsid w:val="00FC01FA"/>
    <w:rsid w:val="00FD608D"/>
    <w:rsid w:val="00FE2DA0"/>
    <w:rsid w:val="00FE7CD2"/>
    <w:rsid w:val="00FF2E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0A7BCF"/>
    <w:pPr>
      <w:spacing w:before="240" w:after="240"/>
      <w:outlineLvl w:val="1"/>
    </w:pPr>
    <w:rPr>
      <w:rFonts w:cs="Arial"/>
      <w:b/>
      <w:bCs/>
      <w:iCs/>
      <w:smallCaps/>
      <w:sz w:val="28"/>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link w:val="Heading5Char"/>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0A7BCF"/>
    <w:pPr>
      <w:spacing w:after="0"/>
    </w:pPr>
  </w:style>
  <w:style w:type="character" w:styleId="Hyperlink">
    <w:name w:val="Hyperlink"/>
    <w:basedOn w:val="DefaultParagraphFont"/>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0A7BCF"/>
    <w:rPr>
      <w:rFonts w:ascii="Arial" w:hAnsi="Arial"/>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 + line,b1,Body"/>
    <w:basedOn w:val="Normal"/>
    <w:link w:val="BulletChar"/>
    <w:qFormat/>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40"/>
      </w:numPr>
    </w:pPr>
  </w:style>
  <w:style w:type="paragraph" w:customStyle="1" w:styleId="OutlineNumbered2">
    <w:name w:val="Outline Numbered 2"/>
    <w:basedOn w:val="Normal"/>
    <w:rsid w:val="001E43D3"/>
    <w:pPr>
      <w:numPr>
        <w:ilvl w:val="1"/>
        <w:numId w:val="40"/>
      </w:numPr>
    </w:pPr>
  </w:style>
  <w:style w:type="paragraph" w:customStyle="1" w:styleId="OutlineNumbered3">
    <w:name w:val="Outline Numbered 3"/>
    <w:basedOn w:val="Normal"/>
    <w:rsid w:val="001E43D3"/>
    <w:pPr>
      <w:numPr>
        <w:ilvl w:val="2"/>
        <w:numId w:val="40"/>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0A7BCF"/>
    <w:pPr>
      <w:keepNext/>
    </w:pPr>
    <w:rPr>
      <w:rFonts w:ascii="Century Gothic" w:hAnsi="Century Gothic"/>
      <w:color w:val="000080"/>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0A7BCF"/>
    <w:pPr>
      <w:spacing w:after="360"/>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0A7BCF"/>
    <w:pPr>
      <w:tabs>
        <w:tab w:val="right" w:leader="dot" w:pos="9072"/>
      </w:tabs>
      <w:spacing w:before="180"/>
      <w:ind w:right="851"/>
    </w:pPr>
    <w:rPr>
      <w:b/>
      <w:smallCaps/>
      <w:sz w:val="22"/>
      <w:szCs w:val="22"/>
    </w:rPr>
  </w:style>
  <w:style w:type="paragraph" w:styleId="TOC2">
    <w:name w:val="toc 2"/>
    <w:basedOn w:val="HeadingBase"/>
    <w:next w:val="Normal"/>
    <w:uiPriority w:val="39"/>
    <w:rsid w:val="000A7BCF"/>
    <w:pPr>
      <w:tabs>
        <w:tab w:val="right" w:leader="dot" w:pos="9072"/>
      </w:tabs>
      <w:spacing w:before="40" w:after="20"/>
      <w:ind w:right="851"/>
    </w:pPr>
  </w:style>
  <w:style w:type="paragraph" w:styleId="TOC3">
    <w:name w:val="toc 3"/>
    <w:basedOn w:val="Normal"/>
    <w:next w:val="Normal"/>
    <w:rsid w:val="000A7BCF"/>
    <w:pPr>
      <w:tabs>
        <w:tab w:val="right" w:leader="dot" w:pos="9072"/>
      </w:tabs>
      <w:spacing w:before="20" w:after="0" w:line="240" w:lineRule="auto"/>
      <w:ind w:left="284" w:right="851"/>
    </w:p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jc w:val="center"/>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character" w:customStyle="1" w:styleId="BulletChar">
    <w:name w:val="Bullet Char"/>
    <w:aliases w:val="b Char,b + line Char Char,b Char Char"/>
    <w:basedOn w:val="DefaultParagraphFont"/>
    <w:link w:val="Bullet"/>
    <w:rsid w:val="001A4CC5"/>
    <w:rPr>
      <w:rFonts w:ascii="Book Antiqua" w:hAnsi="Book Antiqua"/>
      <w:color w:val="000000"/>
      <w:sz w:val="22"/>
    </w:rPr>
  </w:style>
  <w:style w:type="character" w:styleId="FootnoteReference">
    <w:name w:val="footnote reference"/>
    <w:basedOn w:val="DefaultParagraphFont"/>
    <w:uiPriority w:val="99"/>
    <w:semiHidden/>
    <w:unhideWhenUsed/>
    <w:rsid w:val="00004538"/>
    <w:rPr>
      <w:vertAlign w:val="superscript"/>
    </w:rPr>
  </w:style>
  <w:style w:type="paragraph" w:styleId="NormalWeb">
    <w:name w:val="Normal (Web)"/>
    <w:basedOn w:val="Normal"/>
    <w:uiPriority w:val="99"/>
    <w:semiHidden/>
    <w:unhideWhenUsed/>
    <w:rsid w:val="00221B40"/>
    <w:pPr>
      <w:spacing w:before="100" w:beforeAutospacing="1" w:after="100" w:afterAutospacing="1" w:line="240" w:lineRule="auto"/>
      <w:jc w:val="left"/>
    </w:pPr>
    <w:rPr>
      <w:rFonts w:ascii="Times New Roman" w:hAnsi="Times New Roman"/>
      <w:color w:val="auto"/>
      <w:sz w:val="24"/>
      <w:szCs w:val="24"/>
    </w:rPr>
  </w:style>
  <w:style w:type="character" w:customStyle="1" w:styleId="Heading5Char">
    <w:name w:val="Heading 5 Char"/>
    <w:basedOn w:val="DefaultParagraphFont"/>
    <w:link w:val="Heading5"/>
    <w:rsid w:val="000D0033"/>
    <w:rPr>
      <w:rFonts w:ascii="Century Gothic" w:hAnsi="Century Gothic"/>
      <w:b/>
      <w:bCs/>
      <w:iCs/>
      <w:color w:val="000080"/>
    </w:rPr>
  </w:style>
  <w:style w:type="character" w:styleId="CommentReference">
    <w:name w:val="annotation reference"/>
    <w:basedOn w:val="DefaultParagraphFont"/>
    <w:uiPriority w:val="99"/>
    <w:semiHidden/>
    <w:unhideWhenUsed/>
    <w:rsid w:val="001B5A3E"/>
    <w:rPr>
      <w:sz w:val="16"/>
      <w:szCs w:val="16"/>
    </w:rPr>
  </w:style>
  <w:style w:type="paragraph" w:styleId="CommentText">
    <w:name w:val="annotation text"/>
    <w:basedOn w:val="Normal"/>
    <w:link w:val="CommentTextChar"/>
    <w:uiPriority w:val="99"/>
    <w:semiHidden/>
    <w:unhideWhenUsed/>
    <w:rsid w:val="001B5A3E"/>
    <w:pPr>
      <w:spacing w:line="240" w:lineRule="auto"/>
    </w:pPr>
    <w:rPr>
      <w:sz w:val="20"/>
    </w:rPr>
  </w:style>
  <w:style w:type="character" w:customStyle="1" w:styleId="CommentTextChar">
    <w:name w:val="Comment Text Char"/>
    <w:basedOn w:val="DefaultParagraphFont"/>
    <w:link w:val="CommentText"/>
    <w:uiPriority w:val="99"/>
    <w:semiHidden/>
    <w:rsid w:val="001B5A3E"/>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1B5A3E"/>
    <w:rPr>
      <w:b/>
      <w:bCs/>
    </w:rPr>
  </w:style>
  <w:style w:type="character" w:customStyle="1" w:styleId="CommentSubjectChar">
    <w:name w:val="Comment Subject Char"/>
    <w:basedOn w:val="CommentTextChar"/>
    <w:link w:val="CommentSubject"/>
    <w:uiPriority w:val="99"/>
    <w:semiHidden/>
    <w:rsid w:val="001B5A3E"/>
    <w:rPr>
      <w:rFonts w:ascii="Book Antiqua" w:hAnsi="Book Antiqua"/>
      <w:b/>
      <w:bCs/>
      <w:color w:val="000000"/>
    </w:rPr>
  </w:style>
  <w:style w:type="paragraph" w:styleId="NoSpacing">
    <w:name w:val="No Spacing"/>
    <w:uiPriority w:val="1"/>
    <w:qFormat/>
    <w:rsid w:val="001177BC"/>
    <w:pPr>
      <w:jc w:val="both"/>
    </w:pPr>
    <w:rPr>
      <w:rFonts w:ascii="Book Antiqua" w:hAnsi="Book Antiqua"/>
      <w:color w:val="000000"/>
      <w:sz w:val="22"/>
    </w:rPr>
  </w:style>
  <w:style w:type="paragraph" w:styleId="Revision">
    <w:name w:val="Revision"/>
    <w:hidden/>
    <w:uiPriority w:val="99"/>
    <w:semiHidden/>
    <w:rsid w:val="000F544B"/>
    <w:rPr>
      <w:rFonts w:ascii="Book Antiqua" w:hAnsi="Book Antiqua"/>
      <w:color w:val="000000"/>
      <w:sz w:val="22"/>
    </w:rPr>
  </w:style>
  <w:style w:type="character" w:customStyle="1" w:styleId="FooterChar">
    <w:name w:val="Footer Char"/>
    <w:basedOn w:val="DefaultParagraphFont"/>
    <w:link w:val="Footer"/>
    <w:uiPriority w:val="99"/>
    <w:rsid w:val="00505077"/>
    <w:rPr>
      <w:rFonts w:ascii="Century Gothic" w:hAnsi="Century Gothic"/>
      <w:color w:val="00008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0A7BCF"/>
    <w:pPr>
      <w:spacing w:before="240" w:after="240"/>
      <w:outlineLvl w:val="1"/>
    </w:pPr>
    <w:rPr>
      <w:rFonts w:cs="Arial"/>
      <w:b/>
      <w:bCs/>
      <w:iCs/>
      <w:smallCaps/>
      <w:sz w:val="28"/>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link w:val="Heading5Char"/>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0A7BCF"/>
    <w:pPr>
      <w:spacing w:after="0"/>
    </w:pPr>
  </w:style>
  <w:style w:type="character" w:styleId="Hyperlink">
    <w:name w:val="Hyperlink"/>
    <w:basedOn w:val="DefaultParagraphFont"/>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0A7BCF"/>
    <w:rPr>
      <w:rFonts w:ascii="Arial" w:hAnsi="Arial"/>
      <w:sz w:val="18"/>
    </w:rPr>
  </w:style>
  <w:style w:type="paragraph" w:styleId="FootnoteText">
    <w:name w:val="footnote text"/>
    <w:basedOn w:val="Normal"/>
    <w:rsid w:val="005039EE"/>
    <w:pPr>
      <w:tabs>
        <w:tab w:val="left" w:pos="284"/>
      </w:tabs>
      <w:ind w:left="284" w:hanging="284"/>
    </w:pPr>
    <w:rPr>
      <w:sz w:val="18"/>
    </w:rPr>
  </w:style>
  <w:style w:type="paragraph" w:customStyle="1" w:styleId="Bullet">
    <w:name w:val="Bullet"/>
    <w:aliases w:val="b,b + line,b1,Body"/>
    <w:basedOn w:val="Normal"/>
    <w:link w:val="BulletChar"/>
    <w:qFormat/>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40"/>
      </w:numPr>
    </w:pPr>
  </w:style>
  <w:style w:type="paragraph" w:customStyle="1" w:styleId="OutlineNumbered2">
    <w:name w:val="Outline Numbered 2"/>
    <w:basedOn w:val="Normal"/>
    <w:rsid w:val="001E43D3"/>
    <w:pPr>
      <w:numPr>
        <w:ilvl w:val="1"/>
        <w:numId w:val="40"/>
      </w:numPr>
    </w:pPr>
  </w:style>
  <w:style w:type="paragraph" w:customStyle="1" w:styleId="OutlineNumbered3">
    <w:name w:val="Outline Numbered 3"/>
    <w:basedOn w:val="Normal"/>
    <w:rsid w:val="001E43D3"/>
    <w:pPr>
      <w:numPr>
        <w:ilvl w:val="2"/>
        <w:numId w:val="40"/>
      </w:numPr>
    </w:pPr>
  </w:style>
  <w:style w:type="paragraph" w:customStyle="1" w:styleId="AlphaParagraph">
    <w:name w:val="Alpha Paragraph"/>
    <w:basedOn w:val="Normal"/>
    <w:rsid w:val="000A7BCF"/>
    <w:pPr>
      <w:numPr>
        <w:numId w:val="3"/>
      </w:numPr>
      <w:tabs>
        <w:tab w:val="clear" w:pos="567"/>
        <w:tab w:val="num" w:pos="283"/>
      </w:tabs>
      <w:ind w:left="283" w:hanging="283"/>
    </w:pPr>
  </w:style>
  <w:style w:type="paragraph" w:customStyle="1" w:styleId="HeadingBase">
    <w:name w:val="Heading Base"/>
    <w:next w:val="Normal"/>
    <w:rsid w:val="000A7BCF"/>
    <w:pPr>
      <w:keepNext/>
    </w:pPr>
    <w:rPr>
      <w:rFonts w:ascii="Century Gothic" w:hAnsi="Century Gothic"/>
      <w:color w:val="000080"/>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27"/>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4"/>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0A7BCF"/>
    <w:pPr>
      <w:spacing w:after="360"/>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24"/>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rsid w:val="000A7BCF"/>
    <w:pPr>
      <w:tabs>
        <w:tab w:val="right" w:leader="dot" w:pos="9072"/>
      </w:tabs>
      <w:spacing w:before="180"/>
      <w:ind w:right="851"/>
    </w:pPr>
    <w:rPr>
      <w:b/>
      <w:smallCaps/>
      <w:sz w:val="22"/>
      <w:szCs w:val="22"/>
    </w:rPr>
  </w:style>
  <w:style w:type="paragraph" w:styleId="TOC2">
    <w:name w:val="toc 2"/>
    <w:basedOn w:val="HeadingBase"/>
    <w:next w:val="Normal"/>
    <w:uiPriority w:val="39"/>
    <w:rsid w:val="000A7BCF"/>
    <w:pPr>
      <w:tabs>
        <w:tab w:val="right" w:leader="dot" w:pos="9072"/>
      </w:tabs>
      <w:spacing w:before="40" w:after="20"/>
      <w:ind w:right="851"/>
    </w:pPr>
  </w:style>
  <w:style w:type="paragraph" w:styleId="TOC3">
    <w:name w:val="toc 3"/>
    <w:basedOn w:val="Normal"/>
    <w:next w:val="Normal"/>
    <w:rsid w:val="000A7BCF"/>
    <w:pPr>
      <w:tabs>
        <w:tab w:val="right" w:leader="dot" w:pos="9072"/>
      </w:tabs>
      <w:spacing w:before="20" w:after="0" w:line="240" w:lineRule="auto"/>
      <w:ind w:left="284" w:right="851"/>
    </w:p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10"/>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9"/>
      </w:numPr>
    </w:pPr>
  </w:style>
  <w:style w:type="paragraph" w:customStyle="1" w:styleId="BoxDash">
    <w:name w:val="Box Dash"/>
    <w:basedOn w:val="BoxTextBase"/>
    <w:rsid w:val="000A7BCF"/>
    <w:pPr>
      <w:numPr>
        <w:ilvl w:val="1"/>
        <w:numId w:val="9"/>
      </w:numPr>
    </w:pPr>
  </w:style>
  <w:style w:type="paragraph" w:customStyle="1" w:styleId="BoxDoubleDot">
    <w:name w:val="Box Double Dot"/>
    <w:basedOn w:val="BoxTextBase"/>
    <w:rsid w:val="000A7BCF"/>
    <w:pPr>
      <w:numPr>
        <w:ilvl w:val="2"/>
        <w:numId w:val="9"/>
      </w:numPr>
    </w:pPr>
  </w:style>
  <w:style w:type="paragraph" w:customStyle="1" w:styleId="RecommendationBullet">
    <w:name w:val="Recommendation Bullet"/>
    <w:basedOn w:val="RecommendationTextBase"/>
    <w:rsid w:val="000A7BCF"/>
    <w:pPr>
      <w:numPr>
        <w:numId w:val="22"/>
      </w:numPr>
    </w:pPr>
  </w:style>
  <w:style w:type="paragraph" w:customStyle="1" w:styleId="RecommendationDash">
    <w:name w:val="Recommendation Dash"/>
    <w:basedOn w:val="RecommendationTextBase"/>
    <w:rsid w:val="000A7BCF"/>
    <w:pPr>
      <w:numPr>
        <w:ilvl w:val="1"/>
        <w:numId w:val="22"/>
      </w:numPr>
    </w:pPr>
  </w:style>
  <w:style w:type="paragraph" w:customStyle="1" w:styleId="RecommendationDoubleDot">
    <w:name w:val="Recommendation Double Dot"/>
    <w:basedOn w:val="RecommendationTextBase"/>
    <w:rsid w:val="000A7BCF"/>
    <w:pPr>
      <w:numPr>
        <w:ilvl w:val="2"/>
        <w:numId w:val="22"/>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jc w:val="center"/>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25"/>
      </w:numPr>
    </w:pPr>
  </w:style>
  <w:style w:type="numbering" w:customStyle="1" w:styleId="Optionboxheading">
    <w:name w:val="Option box heading"/>
    <w:uiPriority w:val="99"/>
    <w:rsid w:val="00CA601E"/>
    <w:pPr>
      <w:numPr>
        <w:numId w:val="27"/>
      </w:numPr>
    </w:pPr>
  </w:style>
  <w:style w:type="character" w:customStyle="1" w:styleId="A5">
    <w:name w:val="A5"/>
    <w:uiPriority w:val="99"/>
    <w:rsid w:val="0011462E"/>
    <w:rPr>
      <w:rFonts w:cs="Swiss 721 BT"/>
      <w:color w:val="000000"/>
      <w:sz w:val="20"/>
      <w:szCs w:val="20"/>
    </w:rPr>
  </w:style>
  <w:style w:type="character" w:customStyle="1" w:styleId="BulletChar">
    <w:name w:val="Bullet Char"/>
    <w:aliases w:val="b Char,b + line Char Char,b Char Char"/>
    <w:basedOn w:val="DefaultParagraphFont"/>
    <w:link w:val="Bullet"/>
    <w:rsid w:val="001A4CC5"/>
    <w:rPr>
      <w:rFonts w:ascii="Book Antiqua" w:hAnsi="Book Antiqua"/>
      <w:color w:val="000000"/>
      <w:sz w:val="22"/>
    </w:rPr>
  </w:style>
  <w:style w:type="character" w:styleId="FootnoteReference">
    <w:name w:val="footnote reference"/>
    <w:basedOn w:val="DefaultParagraphFont"/>
    <w:uiPriority w:val="99"/>
    <w:semiHidden/>
    <w:unhideWhenUsed/>
    <w:rsid w:val="00004538"/>
    <w:rPr>
      <w:vertAlign w:val="superscript"/>
    </w:rPr>
  </w:style>
  <w:style w:type="paragraph" w:styleId="NormalWeb">
    <w:name w:val="Normal (Web)"/>
    <w:basedOn w:val="Normal"/>
    <w:uiPriority w:val="99"/>
    <w:semiHidden/>
    <w:unhideWhenUsed/>
    <w:rsid w:val="00221B40"/>
    <w:pPr>
      <w:spacing w:before="100" w:beforeAutospacing="1" w:after="100" w:afterAutospacing="1" w:line="240" w:lineRule="auto"/>
      <w:jc w:val="left"/>
    </w:pPr>
    <w:rPr>
      <w:rFonts w:ascii="Times New Roman" w:hAnsi="Times New Roman"/>
      <w:color w:val="auto"/>
      <w:sz w:val="24"/>
      <w:szCs w:val="24"/>
    </w:rPr>
  </w:style>
  <w:style w:type="character" w:customStyle="1" w:styleId="Heading5Char">
    <w:name w:val="Heading 5 Char"/>
    <w:basedOn w:val="DefaultParagraphFont"/>
    <w:link w:val="Heading5"/>
    <w:rsid w:val="000D0033"/>
    <w:rPr>
      <w:rFonts w:ascii="Century Gothic" w:hAnsi="Century Gothic"/>
      <w:b/>
      <w:bCs/>
      <w:iCs/>
      <w:color w:val="000080"/>
    </w:rPr>
  </w:style>
  <w:style w:type="character" w:styleId="CommentReference">
    <w:name w:val="annotation reference"/>
    <w:basedOn w:val="DefaultParagraphFont"/>
    <w:uiPriority w:val="99"/>
    <w:semiHidden/>
    <w:unhideWhenUsed/>
    <w:rsid w:val="001B5A3E"/>
    <w:rPr>
      <w:sz w:val="16"/>
      <w:szCs w:val="16"/>
    </w:rPr>
  </w:style>
  <w:style w:type="paragraph" w:styleId="CommentText">
    <w:name w:val="annotation text"/>
    <w:basedOn w:val="Normal"/>
    <w:link w:val="CommentTextChar"/>
    <w:uiPriority w:val="99"/>
    <w:semiHidden/>
    <w:unhideWhenUsed/>
    <w:rsid w:val="001B5A3E"/>
    <w:pPr>
      <w:spacing w:line="240" w:lineRule="auto"/>
    </w:pPr>
    <w:rPr>
      <w:sz w:val="20"/>
    </w:rPr>
  </w:style>
  <w:style w:type="character" w:customStyle="1" w:styleId="CommentTextChar">
    <w:name w:val="Comment Text Char"/>
    <w:basedOn w:val="DefaultParagraphFont"/>
    <w:link w:val="CommentText"/>
    <w:uiPriority w:val="99"/>
    <w:semiHidden/>
    <w:rsid w:val="001B5A3E"/>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1B5A3E"/>
    <w:rPr>
      <w:b/>
      <w:bCs/>
    </w:rPr>
  </w:style>
  <w:style w:type="character" w:customStyle="1" w:styleId="CommentSubjectChar">
    <w:name w:val="Comment Subject Char"/>
    <w:basedOn w:val="CommentTextChar"/>
    <w:link w:val="CommentSubject"/>
    <w:uiPriority w:val="99"/>
    <w:semiHidden/>
    <w:rsid w:val="001B5A3E"/>
    <w:rPr>
      <w:rFonts w:ascii="Book Antiqua" w:hAnsi="Book Antiqua"/>
      <w:b/>
      <w:bCs/>
      <w:color w:val="000000"/>
    </w:rPr>
  </w:style>
  <w:style w:type="paragraph" w:styleId="NoSpacing">
    <w:name w:val="No Spacing"/>
    <w:uiPriority w:val="1"/>
    <w:qFormat/>
    <w:rsid w:val="001177BC"/>
    <w:pPr>
      <w:jc w:val="both"/>
    </w:pPr>
    <w:rPr>
      <w:rFonts w:ascii="Book Antiqua" w:hAnsi="Book Antiqua"/>
      <w:color w:val="000000"/>
      <w:sz w:val="22"/>
    </w:rPr>
  </w:style>
  <w:style w:type="paragraph" w:styleId="Revision">
    <w:name w:val="Revision"/>
    <w:hidden/>
    <w:uiPriority w:val="99"/>
    <w:semiHidden/>
    <w:rsid w:val="000F544B"/>
    <w:rPr>
      <w:rFonts w:ascii="Book Antiqua" w:hAnsi="Book Antiqua"/>
      <w:color w:val="000000"/>
      <w:sz w:val="22"/>
    </w:rPr>
  </w:style>
  <w:style w:type="character" w:customStyle="1" w:styleId="FooterChar">
    <w:name w:val="Footer Char"/>
    <w:basedOn w:val="DefaultParagraphFont"/>
    <w:link w:val="Footer"/>
    <w:uiPriority w:val="99"/>
    <w:rsid w:val="00505077"/>
    <w:rPr>
      <w:rFonts w:ascii="Century Gothic" w:hAnsi="Century Gothic"/>
      <w:color w:val="000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449">
      <w:bodyDiv w:val="1"/>
      <w:marLeft w:val="0"/>
      <w:marRight w:val="0"/>
      <w:marTop w:val="0"/>
      <w:marBottom w:val="0"/>
      <w:divBdr>
        <w:top w:val="none" w:sz="0" w:space="0" w:color="auto"/>
        <w:left w:val="none" w:sz="0" w:space="0" w:color="auto"/>
        <w:bottom w:val="none" w:sz="0" w:space="0" w:color="auto"/>
        <w:right w:val="none" w:sz="0" w:space="0" w:color="auto"/>
      </w:divBdr>
    </w:div>
    <w:div w:id="26415264">
      <w:bodyDiv w:val="1"/>
      <w:marLeft w:val="0"/>
      <w:marRight w:val="0"/>
      <w:marTop w:val="0"/>
      <w:marBottom w:val="0"/>
      <w:divBdr>
        <w:top w:val="none" w:sz="0" w:space="0" w:color="auto"/>
        <w:left w:val="none" w:sz="0" w:space="0" w:color="auto"/>
        <w:bottom w:val="none" w:sz="0" w:space="0" w:color="auto"/>
        <w:right w:val="none" w:sz="0" w:space="0" w:color="auto"/>
      </w:divBdr>
    </w:div>
    <w:div w:id="43994197">
      <w:bodyDiv w:val="1"/>
      <w:marLeft w:val="0"/>
      <w:marRight w:val="0"/>
      <w:marTop w:val="0"/>
      <w:marBottom w:val="0"/>
      <w:divBdr>
        <w:top w:val="none" w:sz="0" w:space="0" w:color="auto"/>
        <w:left w:val="none" w:sz="0" w:space="0" w:color="auto"/>
        <w:bottom w:val="none" w:sz="0" w:space="0" w:color="auto"/>
        <w:right w:val="none" w:sz="0" w:space="0" w:color="auto"/>
      </w:divBdr>
    </w:div>
    <w:div w:id="183373556">
      <w:bodyDiv w:val="1"/>
      <w:marLeft w:val="0"/>
      <w:marRight w:val="0"/>
      <w:marTop w:val="0"/>
      <w:marBottom w:val="0"/>
      <w:divBdr>
        <w:top w:val="none" w:sz="0" w:space="0" w:color="auto"/>
        <w:left w:val="none" w:sz="0" w:space="0" w:color="auto"/>
        <w:bottom w:val="none" w:sz="0" w:space="0" w:color="auto"/>
        <w:right w:val="none" w:sz="0" w:space="0" w:color="auto"/>
      </w:divBdr>
    </w:div>
    <w:div w:id="290674804">
      <w:bodyDiv w:val="1"/>
      <w:marLeft w:val="0"/>
      <w:marRight w:val="0"/>
      <w:marTop w:val="0"/>
      <w:marBottom w:val="0"/>
      <w:divBdr>
        <w:top w:val="none" w:sz="0" w:space="0" w:color="auto"/>
        <w:left w:val="none" w:sz="0" w:space="0" w:color="auto"/>
        <w:bottom w:val="none" w:sz="0" w:space="0" w:color="auto"/>
        <w:right w:val="none" w:sz="0" w:space="0" w:color="auto"/>
      </w:divBdr>
    </w:div>
    <w:div w:id="368528969">
      <w:bodyDiv w:val="1"/>
      <w:marLeft w:val="0"/>
      <w:marRight w:val="0"/>
      <w:marTop w:val="0"/>
      <w:marBottom w:val="0"/>
      <w:divBdr>
        <w:top w:val="none" w:sz="0" w:space="0" w:color="auto"/>
        <w:left w:val="none" w:sz="0" w:space="0" w:color="auto"/>
        <w:bottom w:val="none" w:sz="0" w:space="0" w:color="auto"/>
        <w:right w:val="none" w:sz="0" w:space="0" w:color="auto"/>
      </w:divBdr>
    </w:div>
    <w:div w:id="758794429">
      <w:bodyDiv w:val="1"/>
      <w:marLeft w:val="0"/>
      <w:marRight w:val="0"/>
      <w:marTop w:val="0"/>
      <w:marBottom w:val="0"/>
      <w:divBdr>
        <w:top w:val="none" w:sz="0" w:space="0" w:color="auto"/>
        <w:left w:val="none" w:sz="0" w:space="0" w:color="auto"/>
        <w:bottom w:val="none" w:sz="0" w:space="0" w:color="auto"/>
        <w:right w:val="none" w:sz="0" w:space="0" w:color="auto"/>
      </w:divBdr>
    </w:div>
    <w:div w:id="821311633">
      <w:bodyDiv w:val="1"/>
      <w:marLeft w:val="0"/>
      <w:marRight w:val="0"/>
      <w:marTop w:val="0"/>
      <w:marBottom w:val="0"/>
      <w:divBdr>
        <w:top w:val="none" w:sz="0" w:space="0" w:color="auto"/>
        <w:left w:val="none" w:sz="0" w:space="0" w:color="auto"/>
        <w:bottom w:val="none" w:sz="0" w:space="0" w:color="auto"/>
        <w:right w:val="none" w:sz="0" w:space="0" w:color="auto"/>
      </w:divBdr>
    </w:div>
    <w:div w:id="1059404130">
      <w:bodyDiv w:val="1"/>
      <w:marLeft w:val="0"/>
      <w:marRight w:val="0"/>
      <w:marTop w:val="0"/>
      <w:marBottom w:val="0"/>
      <w:divBdr>
        <w:top w:val="none" w:sz="0" w:space="0" w:color="auto"/>
        <w:left w:val="none" w:sz="0" w:space="0" w:color="auto"/>
        <w:bottom w:val="none" w:sz="0" w:space="0" w:color="auto"/>
        <w:right w:val="none" w:sz="0" w:space="0" w:color="auto"/>
      </w:divBdr>
    </w:div>
    <w:div w:id="1217082245">
      <w:bodyDiv w:val="1"/>
      <w:marLeft w:val="0"/>
      <w:marRight w:val="0"/>
      <w:marTop w:val="0"/>
      <w:marBottom w:val="0"/>
      <w:divBdr>
        <w:top w:val="none" w:sz="0" w:space="0" w:color="auto"/>
        <w:left w:val="none" w:sz="0" w:space="0" w:color="auto"/>
        <w:bottom w:val="none" w:sz="0" w:space="0" w:color="auto"/>
        <w:right w:val="none" w:sz="0" w:space="0" w:color="auto"/>
      </w:divBdr>
    </w:div>
    <w:div w:id="1293319775">
      <w:bodyDiv w:val="1"/>
      <w:marLeft w:val="0"/>
      <w:marRight w:val="0"/>
      <w:marTop w:val="0"/>
      <w:marBottom w:val="0"/>
      <w:divBdr>
        <w:top w:val="none" w:sz="0" w:space="0" w:color="auto"/>
        <w:left w:val="none" w:sz="0" w:space="0" w:color="auto"/>
        <w:bottom w:val="none" w:sz="0" w:space="0" w:color="auto"/>
        <w:right w:val="none" w:sz="0" w:space="0" w:color="auto"/>
      </w:divBdr>
    </w:div>
    <w:div w:id="1318076752">
      <w:bodyDiv w:val="1"/>
      <w:marLeft w:val="0"/>
      <w:marRight w:val="0"/>
      <w:marTop w:val="0"/>
      <w:marBottom w:val="0"/>
      <w:divBdr>
        <w:top w:val="none" w:sz="0" w:space="0" w:color="auto"/>
        <w:left w:val="none" w:sz="0" w:space="0" w:color="auto"/>
        <w:bottom w:val="none" w:sz="0" w:space="0" w:color="auto"/>
        <w:right w:val="none" w:sz="0" w:space="0" w:color="auto"/>
      </w:divBdr>
    </w:div>
    <w:div w:id="1507864007">
      <w:bodyDiv w:val="1"/>
      <w:marLeft w:val="0"/>
      <w:marRight w:val="0"/>
      <w:marTop w:val="0"/>
      <w:marBottom w:val="0"/>
      <w:divBdr>
        <w:top w:val="none" w:sz="0" w:space="0" w:color="auto"/>
        <w:left w:val="none" w:sz="0" w:space="0" w:color="auto"/>
        <w:bottom w:val="none" w:sz="0" w:space="0" w:color="auto"/>
        <w:right w:val="none" w:sz="0" w:space="0" w:color="auto"/>
      </w:divBdr>
    </w:div>
    <w:div w:id="1654026057">
      <w:bodyDiv w:val="1"/>
      <w:marLeft w:val="0"/>
      <w:marRight w:val="0"/>
      <w:marTop w:val="0"/>
      <w:marBottom w:val="0"/>
      <w:divBdr>
        <w:top w:val="none" w:sz="0" w:space="0" w:color="auto"/>
        <w:left w:val="none" w:sz="0" w:space="0" w:color="auto"/>
        <w:bottom w:val="none" w:sz="0" w:space="0" w:color="auto"/>
        <w:right w:val="none" w:sz="0" w:space="0" w:color="auto"/>
      </w:divBdr>
    </w:div>
    <w:div w:id="1689021135">
      <w:bodyDiv w:val="1"/>
      <w:marLeft w:val="0"/>
      <w:marRight w:val="0"/>
      <w:marTop w:val="0"/>
      <w:marBottom w:val="0"/>
      <w:divBdr>
        <w:top w:val="none" w:sz="0" w:space="0" w:color="auto"/>
        <w:left w:val="none" w:sz="0" w:space="0" w:color="auto"/>
        <w:bottom w:val="none" w:sz="0" w:space="0" w:color="auto"/>
        <w:right w:val="none" w:sz="0" w:space="0" w:color="auto"/>
      </w:divBdr>
    </w:div>
    <w:div w:id="1718384764">
      <w:bodyDiv w:val="1"/>
      <w:marLeft w:val="0"/>
      <w:marRight w:val="0"/>
      <w:marTop w:val="0"/>
      <w:marBottom w:val="0"/>
      <w:divBdr>
        <w:top w:val="none" w:sz="0" w:space="0" w:color="auto"/>
        <w:left w:val="none" w:sz="0" w:space="0" w:color="auto"/>
        <w:bottom w:val="none" w:sz="0" w:space="0" w:color="auto"/>
        <w:right w:val="none" w:sz="0" w:space="0" w:color="auto"/>
      </w:divBdr>
    </w:div>
    <w:div w:id="1944994521">
      <w:bodyDiv w:val="1"/>
      <w:marLeft w:val="0"/>
      <w:marRight w:val="0"/>
      <w:marTop w:val="0"/>
      <w:marBottom w:val="0"/>
      <w:divBdr>
        <w:top w:val="none" w:sz="0" w:space="0" w:color="auto"/>
        <w:left w:val="none" w:sz="0" w:space="0" w:color="auto"/>
        <w:bottom w:val="none" w:sz="0" w:space="0" w:color="auto"/>
        <w:right w:val="none" w:sz="0" w:space="0" w:color="auto"/>
      </w:divBdr>
    </w:div>
    <w:div w:id="214099744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 TargetMode="External"/><Relationship Id="rId3" Type="http://schemas.openxmlformats.org/officeDocument/2006/relationships/hyperlink" Target="http://www.psc.gov.au" TargetMode="External"/><Relationship Id="rId7" Type="http://schemas.openxmlformats.org/officeDocument/2006/relationships/hyperlink" Target="http://www.aph.gov.au" TargetMode="External"/><Relationship Id="rId2" Type="http://schemas.openxmlformats.org/officeDocument/2006/relationships/hyperlink" Target="http://www.fsi.gov.au" TargetMode="External"/><Relationship Id="rId1" Type="http://schemas.openxmlformats.org/officeDocument/2006/relationships/hyperlink" Target="http://www.aph.gov.au" TargetMode="External"/><Relationship Id="rId6" Type="http://schemas.openxmlformats.org/officeDocument/2006/relationships/hyperlink" Target="http://www.asic.gov.au/for-finance-professionals/afs-licensees/financial-advisers-register" TargetMode="External"/><Relationship Id="rId5" Type="http://schemas.openxmlformats.org/officeDocument/2006/relationships/hyperlink" Target="http://www.fsi.gov.au/publications" TargetMode="External"/><Relationship Id="rId4" Type="http://schemas.openxmlformats.org/officeDocument/2006/relationships/hyperlink" Target="http://www.aph.gov.au" TargetMode="External"/><Relationship Id="rId9" Type="http://schemas.openxmlformats.org/officeDocument/2006/relationships/hyperlink" Target="http://www.ap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5676-D8AE-4374-9920-5BD99433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6027</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Lifting the professional, ethical and education standards in the financial services industry </vt:lpstr>
    </vt:vector>
  </TitlesOfParts>
  <Company/>
  <LinksUpToDate>false</LinksUpToDate>
  <CharactersWithSpaces>40712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Lifting the professional, ethical and education standards in the financial services industry </dc:title>
  <dc:subject/>
  <dc:creator/>
  <cp:keywords/>
  <cp:lastModifiedBy/>
  <cp:revision>1</cp:revision>
  <dcterms:created xsi:type="dcterms:W3CDTF">2015-03-25T05:49:00Z</dcterms:created>
  <dcterms:modified xsi:type="dcterms:W3CDTF">2015-03-25T05:49:00Z</dcterms:modified>
</cp:coreProperties>
</file>