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glossary/fontTable.xml" ContentType="application/vnd.openxmlformats-officedocument.wordprocessingml.fontTable+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customXml/itemProps6.xml" ContentType="application/vnd.openxmlformats-officedocument.customXmlProperties+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AA5467" w14:textId="020E9EE9" w:rsidR="00600B97" w:rsidRDefault="00BD7546" w:rsidP="00600B97">
      <w:pPr>
        <w:pStyle w:val="Title"/>
      </w:pPr>
      <w:r w:rsidRPr="00BD7546">
        <w:t>Commonwealth pre-budget submission 2</w:t>
      </w:r>
      <w:r w:rsidR="00A7535E">
        <w:t>019-2020</w:t>
      </w:r>
    </w:p>
    <w:p w14:paraId="3672AA17" w14:textId="26C80492" w:rsidR="00600B97" w:rsidRPr="00C3376B" w:rsidRDefault="00BD7546" w:rsidP="0054659F">
      <w:pPr>
        <w:pStyle w:val="DateSubject"/>
        <w:rPr>
          <w:rFonts w:asciiTheme="majorHAnsi" w:hAnsiTheme="majorHAnsi"/>
        </w:rPr>
      </w:pPr>
      <w:r>
        <w:rPr>
          <w:rFonts w:asciiTheme="majorHAnsi" w:hAnsiTheme="majorHAnsi"/>
        </w:rPr>
        <w:t>January 2019</w:t>
      </w:r>
    </w:p>
    <w:p w14:paraId="09731C90" w14:textId="201B8626" w:rsidR="009E5E4D" w:rsidRDefault="009E5E4D" w:rsidP="009356C3">
      <w:pPr>
        <w:rPr>
          <w:rFonts w:asciiTheme="majorHAnsi" w:hAnsiTheme="majorHAnsi"/>
          <w:sz w:val="22"/>
          <w:szCs w:val="22"/>
        </w:rPr>
      </w:pPr>
    </w:p>
    <w:p w14:paraId="437CD216" w14:textId="2ECBC863" w:rsidR="001300B9" w:rsidRPr="006B7BDB" w:rsidRDefault="001300B9" w:rsidP="001300B9">
      <w:pPr>
        <w:pStyle w:val="Subhead"/>
        <w:outlineLvl w:val="0"/>
        <w:rPr>
          <w:rFonts w:asciiTheme="majorHAnsi" w:hAnsiTheme="majorHAnsi"/>
        </w:rPr>
      </w:pPr>
      <w:r>
        <w:rPr>
          <w:rFonts w:asciiTheme="majorHAnsi" w:hAnsiTheme="majorHAnsi"/>
        </w:rPr>
        <w:t>Introduction</w:t>
      </w:r>
    </w:p>
    <w:p w14:paraId="44CA1FF1" w14:textId="3CB6CA33" w:rsidR="00BD7546" w:rsidRPr="00892626" w:rsidRDefault="00BD7546" w:rsidP="00BD7546">
      <w:pPr>
        <w:rPr>
          <w:rFonts w:asciiTheme="majorHAnsi" w:hAnsiTheme="majorHAnsi" w:cs="Arial"/>
          <w:sz w:val="22"/>
          <w:szCs w:val="22"/>
        </w:rPr>
      </w:pPr>
      <w:r w:rsidRPr="00892626">
        <w:rPr>
          <w:rFonts w:asciiTheme="majorHAnsi" w:hAnsiTheme="majorHAnsi" w:cs="Arial"/>
          <w:sz w:val="22"/>
          <w:szCs w:val="22"/>
        </w:rPr>
        <w:t>The Victorian Healthcare Association (VHA) welcomes the opportunity to contribut</w:t>
      </w:r>
      <w:r w:rsidR="00A7535E" w:rsidRPr="00892626">
        <w:rPr>
          <w:rFonts w:asciiTheme="majorHAnsi" w:hAnsiTheme="majorHAnsi" w:cs="Arial"/>
          <w:sz w:val="22"/>
          <w:szCs w:val="22"/>
        </w:rPr>
        <w:t xml:space="preserve">e to the development </w:t>
      </w:r>
      <w:proofErr w:type="gramStart"/>
      <w:r w:rsidR="00A7535E" w:rsidRPr="00892626">
        <w:rPr>
          <w:rFonts w:asciiTheme="majorHAnsi" w:hAnsiTheme="majorHAnsi" w:cs="Arial"/>
          <w:sz w:val="22"/>
          <w:szCs w:val="22"/>
        </w:rPr>
        <w:t>of the 2019-20</w:t>
      </w:r>
      <w:r w:rsidRPr="00892626">
        <w:rPr>
          <w:rFonts w:asciiTheme="majorHAnsi" w:hAnsiTheme="majorHAnsi" w:cs="Arial"/>
          <w:sz w:val="22"/>
          <w:szCs w:val="22"/>
        </w:rPr>
        <w:t xml:space="preserve"> Commonwealth Budget</w:t>
      </w:r>
      <w:proofErr w:type="gramEnd"/>
      <w:r w:rsidRPr="00892626">
        <w:rPr>
          <w:rFonts w:asciiTheme="majorHAnsi" w:hAnsiTheme="majorHAnsi" w:cs="Arial"/>
          <w:sz w:val="22"/>
          <w:szCs w:val="22"/>
        </w:rPr>
        <w:t xml:space="preserve">. </w:t>
      </w:r>
    </w:p>
    <w:p w14:paraId="44CF19AD" w14:textId="77777777" w:rsidR="00BD7546" w:rsidRPr="00892626" w:rsidRDefault="00BD7546" w:rsidP="00BD7546">
      <w:pPr>
        <w:rPr>
          <w:rFonts w:asciiTheme="majorHAnsi" w:hAnsiTheme="majorHAnsi" w:cs="Arial"/>
          <w:sz w:val="22"/>
          <w:szCs w:val="22"/>
        </w:rPr>
      </w:pPr>
    </w:p>
    <w:p w14:paraId="6DD86E93" w14:textId="3084691B" w:rsidR="00A77930" w:rsidRPr="00A77930" w:rsidRDefault="00A77930" w:rsidP="00A77930">
      <w:pPr>
        <w:rPr>
          <w:rFonts w:asciiTheme="majorHAnsi" w:hAnsiTheme="majorHAnsi" w:cs="Arial"/>
          <w:sz w:val="22"/>
          <w:szCs w:val="22"/>
        </w:rPr>
      </w:pPr>
      <w:r w:rsidRPr="00A77930">
        <w:rPr>
          <w:rFonts w:asciiTheme="majorHAnsi" w:hAnsiTheme="majorHAnsi" w:cs="Arial"/>
          <w:sz w:val="22"/>
          <w:szCs w:val="22"/>
        </w:rPr>
        <w:t>The Victorian Healthcare Association is the peak body supporting Victoria’s health s</w:t>
      </w:r>
      <w:r>
        <w:rPr>
          <w:rFonts w:asciiTheme="majorHAnsi" w:hAnsiTheme="majorHAnsi" w:cs="Arial"/>
          <w:sz w:val="22"/>
          <w:szCs w:val="22"/>
        </w:rPr>
        <w:t xml:space="preserve">ervices to deliver high quality </w:t>
      </w:r>
      <w:r w:rsidRPr="00A77930">
        <w:rPr>
          <w:rFonts w:asciiTheme="majorHAnsi" w:hAnsiTheme="majorHAnsi" w:cs="Arial"/>
          <w:sz w:val="22"/>
          <w:szCs w:val="22"/>
        </w:rPr>
        <w:t>care. Established in 1938, the VHA represents 96 per cent of the $19.4b Victorian public healthcare sector</w:t>
      </w:r>
      <w:r>
        <w:rPr>
          <w:rFonts w:asciiTheme="majorHAnsi" w:hAnsiTheme="majorHAnsi" w:cs="Arial"/>
          <w:sz w:val="22"/>
          <w:szCs w:val="22"/>
        </w:rPr>
        <w:t xml:space="preserve"> </w:t>
      </w:r>
      <w:r w:rsidRPr="00A77930">
        <w:rPr>
          <w:rFonts w:asciiTheme="majorHAnsi" w:hAnsiTheme="majorHAnsi" w:cs="Arial"/>
          <w:sz w:val="22"/>
          <w:szCs w:val="22"/>
        </w:rPr>
        <w:t>including public hospitals and community health services.</w:t>
      </w:r>
    </w:p>
    <w:p w14:paraId="62C106C0" w14:textId="77777777" w:rsidR="00A77930" w:rsidRDefault="00A77930" w:rsidP="00A77930">
      <w:pPr>
        <w:rPr>
          <w:rFonts w:asciiTheme="majorHAnsi" w:hAnsiTheme="majorHAnsi" w:cs="Arial"/>
          <w:sz w:val="22"/>
          <w:szCs w:val="22"/>
        </w:rPr>
      </w:pPr>
    </w:p>
    <w:p w14:paraId="40CA5A8F" w14:textId="2DCEF4E6" w:rsidR="00A77930" w:rsidRPr="00A77930" w:rsidRDefault="00A77930" w:rsidP="00A77930">
      <w:pPr>
        <w:rPr>
          <w:rFonts w:asciiTheme="majorHAnsi" w:hAnsiTheme="majorHAnsi" w:cs="Arial"/>
          <w:sz w:val="22"/>
          <w:szCs w:val="22"/>
        </w:rPr>
      </w:pPr>
      <w:r w:rsidRPr="00A77930">
        <w:rPr>
          <w:rFonts w:asciiTheme="majorHAnsi" w:hAnsiTheme="majorHAnsi" w:cs="Arial"/>
          <w:sz w:val="22"/>
          <w:szCs w:val="22"/>
        </w:rPr>
        <w:t>The VHA supports Victoria’s healthcare providers to respond to system reform, shape policy and advocate on key</w:t>
      </w:r>
      <w:r>
        <w:rPr>
          <w:rFonts w:asciiTheme="majorHAnsi" w:hAnsiTheme="majorHAnsi" w:cs="Arial"/>
          <w:sz w:val="22"/>
          <w:szCs w:val="22"/>
        </w:rPr>
        <w:t xml:space="preserve"> </w:t>
      </w:r>
      <w:r w:rsidRPr="00A77930">
        <w:rPr>
          <w:rFonts w:asciiTheme="majorHAnsi" w:hAnsiTheme="majorHAnsi" w:cs="Arial"/>
          <w:sz w:val="22"/>
          <w:szCs w:val="22"/>
        </w:rPr>
        <w:t>issues.</w:t>
      </w:r>
    </w:p>
    <w:p w14:paraId="7795D64C" w14:textId="77777777" w:rsidR="00A77930" w:rsidRDefault="00A77930" w:rsidP="00A77930">
      <w:pPr>
        <w:rPr>
          <w:rFonts w:asciiTheme="majorHAnsi" w:hAnsiTheme="majorHAnsi" w:cs="Arial"/>
          <w:sz w:val="22"/>
          <w:szCs w:val="22"/>
        </w:rPr>
      </w:pPr>
    </w:p>
    <w:p w14:paraId="1E2690EA" w14:textId="608229FD" w:rsidR="00A77930" w:rsidRDefault="00A77930" w:rsidP="00A77930">
      <w:pPr>
        <w:rPr>
          <w:rFonts w:asciiTheme="majorHAnsi" w:hAnsiTheme="majorHAnsi" w:cs="Arial"/>
          <w:sz w:val="22"/>
          <w:szCs w:val="22"/>
        </w:rPr>
      </w:pPr>
      <w:r w:rsidRPr="00A77930">
        <w:rPr>
          <w:rFonts w:asciiTheme="majorHAnsi" w:hAnsiTheme="majorHAnsi" w:cs="Arial"/>
          <w:sz w:val="22"/>
          <w:szCs w:val="22"/>
        </w:rPr>
        <w:t>In addition, the VHA assists its members with the implementation of major system reform and strategic business</w:t>
      </w:r>
      <w:r>
        <w:rPr>
          <w:rFonts w:asciiTheme="majorHAnsi" w:hAnsiTheme="majorHAnsi" w:cs="Arial"/>
          <w:sz w:val="22"/>
          <w:szCs w:val="22"/>
        </w:rPr>
        <w:t xml:space="preserve"> </w:t>
      </w:r>
      <w:r w:rsidRPr="00A77930">
        <w:rPr>
          <w:rFonts w:asciiTheme="majorHAnsi" w:hAnsiTheme="majorHAnsi" w:cs="Arial"/>
          <w:sz w:val="22"/>
          <w:szCs w:val="22"/>
        </w:rPr>
        <w:t>support and provides networking opportunities through topical and informative events on vital issues.</w:t>
      </w:r>
    </w:p>
    <w:p w14:paraId="5818E37A" w14:textId="77777777" w:rsidR="00BD7546" w:rsidRPr="00892626" w:rsidRDefault="00BD7546" w:rsidP="00BD7546">
      <w:pPr>
        <w:rPr>
          <w:rFonts w:asciiTheme="majorHAnsi" w:hAnsiTheme="majorHAnsi" w:cs="Arial"/>
          <w:sz w:val="22"/>
          <w:szCs w:val="22"/>
        </w:rPr>
      </w:pPr>
    </w:p>
    <w:p w14:paraId="1B5614D3" w14:textId="3C100C20" w:rsidR="00BD7546" w:rsidRPr="00892626" w:rsidRDefault="00A77930" w:rsidP="00BD7546">
      <w:pPr>
        <w:rPr>
          <w:rFonts w:asciiTheme="majorHAnsi" w:hAnsiTheme="majorHAnsi" w:cs="Arial"/>
          <w:sz w:val="22"/>
          <w:szCs w:val="22"/>
        </w:rPr>
      </w:pPr>
      <w:r>
        <w:rPr>
          <w:rFonts w:asciiTheme="majorHAnsi" w:hAnsiTheme="majorHAnsi" w:cs="Arial"/>
          <w:sz w:val="22"/>
          <w:szCs w:val="22"/>
        </w:rPr>
        <w:t>The VHA, in its submission, calls on the Australian Government</w:t>
      </w:r>
      <w:r w:rsidR="0070528E">
        <w:rPr>
          <w:rFonts w:asciiTheme="majorHAnsi" w:hAnsiTheme="majorHAnsi" w:cs="Arial"/>
          <w:sz w:val="22"/>
          <w:szCs w:val="22"/>
        </w:rPr>
        <w:t xml:space="preserve"> to focus on key areas of health policy that will enable the healthcare system to better ensure that patients receive the right care, in the right place, at the right time. Opportunities to reduce the burden on the healthcare system, particularly hospitals, are being missed; taking them will lead to better care, better outcomes and lower healthcare costs.</w:t>
      </w:r>
    </w:p>
    <w:p w14:paraId="4DDBB329" w14:textId="77777777" w:rsidR="00BD7546" w:rsidRPr="00892626" w:rsidRDefault="00BD7546" w:rsidP="00BD7546">
      <w:pPr>
        <w:rPr>
          <w:rFonts w:asciiTheme="majorHAnsi" w:hAnsiTheme="majorHAnsi" w:cs="Arial"/>
          <w:sz w:val="22"/>
          <w:szCs w:val="22"/>
        </w:rPr>
      </w:pPr>
    </w:p>
    <w:p w14:paraId="393F8DF4" w14:textId="7C62B9DE" w:rsidR="00A7535E" w:rsidRPr="00892626" w:rsidRDefault="00BD7546" w:rsidP="00A7535E">
      <w:pPr>
        <w:rPr>
          <w:rFonts w:asciiTheme="majorHAnsi" w:hAnsiTheme="majorHAnsi" w:cs="Arial"/>
          <w:sz w:val="22"/>
          <w:szCs w:val="22"/>
        </w:rPr>
      </w:pPr>
      <w:r w:rsidRPr="00892626">
        <w:rPr>
          <w:rFonts w:asciiTheme="majorHAnsi" w:hAnsiTheme="majorHAnsi" w:cs="Arial"/>
          <w:sz w:val="22"/>
          <w:szCs w:val="22"/>
        </w:rPr>
        <w:t>The</w:t>
      </w:r>
      <w:r w:rsidR="00A7535E" w:rsidRPr="00892626">
        <w:rPr>
          <w:rFonts w:asciiTheme="majorHAnsi" w:hAnsiTheme="majorHAnsi" w:cs="Arial"/>
          <w:sz w:val="22"/>
          <w:szCs w:val="22"/>
        </w:rPr>
        <w:t xml:space="preserve"> VHA calls on the Australian government to focu</w:t>
      </w:r>
      <w:r w:rsidR="0089584E">
        <w:rPr>
          <w:rFonts w:asciiTheme="majorHAnsi" w:hAnsiTheme="majorHAnsi" w:cs="Arial"/>
          <w:sz w:val="22"/>
          <w:szCs w:val="22"/>
        </w:rPr>
        <w:t>s health investment in the 2019-</w:t>
      </w:r>
      <w:r w:rsidR="00A7535E" w:rsidRPr="00892626">
        <w:rPr>
          <w:rFonts w:asciiTheme="majorHAnsi" w:hAnsiTheme="majorHAnsi" w:cs="Arial"/>
          <w:sz w:val="22"/>
          <w:szCs w:val="22"/>
        </w:rPr>
        <w:t xml:space="preserve">20 </w:t>
      </w:r>
      <w:proofErr w:type="gramStart"/>
      <w:r w:rsidR="00A7535E" w:rsidRPr="00892626">
        <w:rPr>
          <w:rFonts w:asciiTheme="majorHAnsi" w:hAnsiTheme="majorHAnsi" w:cs="Arial"/>
          <w:sz w:val="22"/>
          <w:szCs w:val="22"/>
        </w:rPr>
        <w:t>budget</w:t>
      </w:r>
      <w:proofErr w:type="gramEnd"/>
      <w:r w:rsidR="00A7535E" w:rsidRPr="00892626">
        <w:rPr>
          <w:rFonts w:asciiTheme="majorHAnsi" w:hAnsiTheme="majorHAnsi" w:cs="Arial"/>
          <w:sz w:val="22"/>
          <w:szCs w:val="22"/>
        </w:rPr>
        <w:t xml:space="preserve"> on the following five areas</w:t>
      </w:r>
      <w:r w:rsidR="00A77930">
        <w:rPr>
          <w:rFonts w:asciiTheme="majorHAnsi" w:hAnsiTheme="majorHAnsi" w:cs="Arial"/>
          <w:sz w:val="22"/>
          <w:szCs w:val="22"/>
        </w:rPr>
        <w:t>:</w:t>
      </w:r>
    </w:p>
    <w:p w14:paraId="486020D6" w14:textId="77777777" w:rsidR="00C6035B" w:rsidRDefault="00C6035B" w:rsidP="00A7535E">
      <w:pPr>
        <w:numPr>
          <w:ilvl w:val="0"/>
          <w:numId w:val="6"/>
        </w:numPr>
        <w:rPr>
          <w:rFonts w:asciiTheme="majorHAnsi" w:hAnsiTheme="majorHAnsi" w:cs="Arial"/>
          <w:b/>
          <w:sz w:val="22"/>
          <w:szCs w:val="22"/>
        </w:rPr>
      </w:pPr>
      <w:r>
        <w:rPr>
          <w:rFonts w:asciiTheme="majorHAnsi" w:hAnsiTheme="majorHAnsi" w:cs="Arial"/>
          <w:b/>
          <w:sz w:val="22"/>
          <w:szCs w:val="22"/>
        </w:rPr>
        <w:t>Promotion and prevention</w:t>
      </w:r>
    </w:p>
    <w:p w14:paraId="64EEE67C" w14:textId="2AD899E5" w:rsidR="00A7535E" w:rsidRPr="00892626" w:rsidRDefault="00A7535E" w:rsidP="00A7535E">
      <w:pPr>
        <w:numPr>
          <w:ilvl w:val="0"/>
          <w:numId w:val="6"/>
        </w:numPr>
        <w:rPr>
          <w:rFonts w:asciiTheme="majorHAnsi" w:hAnsiTheme="majorHAnsi" w:cs="Arial"/>
          <w:b/>
          <w:sz w:val="22"/>
          <w:szCs w:val="22"/>
        </w:rPr>
      </w:pPr>
      <w:r w:rsidRPr="00892626">
        <w:rPr>
          <w:rFonts w:asciiTheme="majorHAnsi" w:hAnsiTheme="majorHAnsi" w:cs="Arial"/>
          <w:b/>
          <w:sz w:val="22"/>
          <w:szCs w:val="22"/>
        </w:rPr>
        <w:t>Aged care</w:t>
      </w:r>
    </w:p>
    <w:p w14:paraId="3C0D0461" w14:textId="77777777" w:rsidR="00A7535E" w:rsidRPr="00892626" w:rsidRDefault="00A7535E" w:rsidP="00A7535E">
      <w:pPr>
        <w:numPr>
          <w:ilvl w:val="0"/>
          <w:numId w:val="6"/>
        </w:numPr>
        <w:rPr>
          <w:rFonts w:asciiTheme="majorHAnsi" w:hAnsiTheme="majorHAnsi" w:cs="Arial"/>
          <w:b/>
          <w:sz w:val="22"/>
          <w:szCs w:val="22"/>
        </w:rPr>
      </w:pPr>
      <w:r w:rsidRPr="00892626">
        <w:rPr>
          <w:rFonts w:asciiTheme="majorHAnsi" w:hAnsiTheme="majorHAnsi" w:cs="Arial"/>
          <w:b/>
          <w:sz w:val="22"/>
          <w:szCs w:val="22"/>
        </w:rPr>
        <w:t>Rural health</w:t>
      </w:r>
    </w:p>
    <w:p w14:paraId="5A6DD534" w14:textId="77777777" w:rsidR="00A7535E" w:rsidRPr="00892626" w:rsidRDefault="00A7535E" w:rsidP="00A7535E">
      <w:pPr>
        <w:numPr>
          <w:ilvl w:val="0"/>
          <w:numId w:val="6"/>
        </w:numPr>
        <w:rPr>
          <w:rFonts w:asciiTheme="majorHAnsi" w:hAnsiTheme="majorHAnsi" w:cs="Arial"/>
          <w:b/>
          <w:sz w:val="22"/>
          <w:szCs w:val="22"/>
        </w:rPr>
      </w:pPr>
      <w:r w:rsidRPr="00892626">
        <w:rPr>
          <w:rFonts w:asciiTheme="majorHAnsi" w:hAnsiTheme="majorHAnsi" w:cs="Arial"/>
          <w:b/>
          <w:sz w:val="22"/>
          <w:szCs w:val="22"/>
        </w:rPr>
        <w:t>Dental</w:t>
      </w:r>
    </w:p>
    <w:p w14:paraId="42990F2C" w14:textId="46FA06D5" w:rsidR="00A7535E" w:rsidRDefault="002D4075" w:rsidP="002D4075">
      <w:pPr>
        <w:numPr>
          <w:ilvl w:val="0"/>
          <w:numId w:val="6"/>
        </w:numPr>
        <w:rPr>
          <w:rFonts w:asciiTheme="majorHAnsi" w:hAnsiTheme="majorHAnsi" w:cs="Arial"/>
          <w:b/>
          <w:sz w:val="22"/>
          <w:szCs w:val="22"/>
        </w:rPr>
      </w:pPr>
      <w:r w:rsidRPr="002D4075">
        <w:rPr>
          <w:rFonts w:asciiTheme="majorHAnsi" w:hAnsiTheme="majorHAnsi" w:cs="Arial"/>
          <w:b/>
          <w:sz w:val="22"/>
          <w:szCs w:val="22"/>
        </w:rPr>
        <w:t>National Disability Insurance Scheme</w:t>
      </w:r>
    </w:p>
    <w:p w14:paraId="131F8B10" w14:textId="3C269764" w:rsidR="00334B2A" w:rsidRPr="00892626" w:rsidRDefault="00334B2A" w:rsidP="00A7535E">
      <w:pPr>
        <w:numPr>
          <w:ilvl w:val="0"/>
          <w:numId w:val="6"/>
        </w:numPr>
        <w:rPr>
          <w:rFonts w:asciiTheme="majorHAnsi" w:hAnsiTheme="majorHAnsi" w:cs="Arial"/>
          <w:b/>
          <w:sz w:val="22"/>
          <w:szCs w:val="22"/>
        </w:rPr>
      </w:pPr>
      <w:r>
        <w:rPr>
          <w:rFonts w:asciiTheme="majorHAnsi" w:hAnsiTheme="majorHAnsi" w:cs="Arial"/>
          <w:b/>
          <w:sz w:val="22"/>
          <w:szCs w:val="22"/>
        </w:rPr>
        <w:t>Data</w:t>
      </w:r>
    </w:p>
    <w:p w14:paraId="0074FEB2" w14:textId="77777777" w:rsidR="00BD7546" w:rsidRPr="00892626" w:rsidRDefault="00BD7546" w:rsidP="00BD7546">
      <w:pPr>
        <w:rPr>
          <w:rFonts w:asciiTheme="majorHAnsi" w:hAnsiTheme="majorHAnsi" w:cs="Arial"/>
          <w:sz w:val="22"/>
          <w:szCs w:val="22"/>
        </w:rPr>
      </w:pPr>
    </w:p>
    <w:p w14:paraId="027B99C2" w14:textId="20E5DC22" w:rsidR="00BD7546" w:rsidRPr="00892626" w:rsidRDefault="00A7535E" w:rsidP="00BD7546">
      <w:pPr>
        <w:rPr>
          <w:rFonts w:asciiTheme="majorHAnsi" w:hAnsiTheme="majorHAnsi" w:cs="Arial"/>
          <w:sz w:val="22"/>
          <w:szCs w:val="22"/>
        </w:rPr>
      </w:pPr>
      <w:r w:rsidRPr="00892626">
        <w:rPr>
          <w:rFonts w:asciiTheme="majorHAnsi" w:hAnsiTheme="majorHAnsi" w:cs="Arial"/>
          <w:sz w:val="22"/>
          <w:szCs w:val="22"/>
        </w:rPr>
        <w:t xml:space="preserve">The suggested recommendations will, if implemented, ensure access is maintained and public health services and community health organisations are able to continue to provide the quality healthcare for which they are renowned. </w:t>
      </w:r>
      <w:r w:rsidR="00BD7546" w:rsidRPr="00892626">
        <w:rPr>
          <w:rFonts w:asciiTheme="majorHAnsi" w:hAnsiTheme="majorHAnsi" w:cs="Arial"/>
          <w:sz w:val="22"/>
          <w:szCs w:val="22"/>
        </w:rPr>
        <w:t>These are expanded upon in the following pages.</w:t>
      </w:r>
    </w:p>
    <w:p w14:paraId="2A94A77F" w14:textId="77777777" w:rsidR="00F775A7" w:rsidRDefault="00F775A7">
      <w:pPr>
        <w:rPr>
          <w:rFonts w:asciiTheme="majorHAnsi" w:hAnsiTheme="majorHAnsi" w:cs="Arial"/>
          <w:color w:val="000000"/>
          <w:sz w:val="20"/>
          <w:szCs w:val="20"/>
        </w:rPr>
      </w:pPr>
      <w:r>
        <w:rPr>
          <w:rFonts w:asciiTheme="majorHAnsi" w:hAnsiTheme="majorHAnsi" w:cs="Arial"/>
          <w:sz w:val="20"/>
          <w:szCs w:val="20"/>
        </w:rPr>
        <w:br w:type="page"/>
      </w:r>
    </w:p>
    <w:p w14:paraId="4FCD56F8" w14:textId="44291016" w:rsidR="00F775A7" w:rsidRPr="006B7BDB" w:rsidRDefault="00F775A7" w:rsidP="00F775A7">
      <w:pPr>
        <w:pStyle w:val="Subhead"/>
        <w:outlineLvl w:val="0"/>
        <w:rPr>
          <w:rFonts w:asciiTheme="majorHAnsi" w:hAnsiTheme="majorHAnsi"/>
        </w:rPr>
      </w:pPr>
      <w:r>
        <w:rPr>
          <w:rFonts w:asciiTheme="majorHAnsi" w:hAnsiTheme="majorHAnsi"/>
        </w:rPr>
        <w:lastRenderedPageBreak/>
        <w:t>Content</w:t>
      </w:r>
    </w:p>
    <w:p w14:paraId="1860F147" w14:textId="4EADFD7E" w:rsidR="008330CD" w:rsidRPr="00AC6B48" w:rsidRDefault="008330CD" w:rsidP="008330CD">
      <w:pPr>
        <w:pStyle w:val="Default"/>
        <w:rPr>
          <w:rFonts w:asciiTheme="majorHAnsi" w:hAnsiTheme="majorHAnsi" w:cs="Arial"/>
          <w:b/>
          <w:sz w:val="22"/>
          <w:szCs w:val="20"/>
        </w:rPr>
      </w:pPr>
      <w:r w:rsidRPr="00AC6B48">
        <w:rPr>
          <w:rFonts w:asciiTheme="majorHAnsi" w:hAnsiTheme="majorHAnsi" w:cs="Arial"/>
          <w:b/>
          <w:sz w:val="22"/>
          <w:szCs w:val="20"/>
        </w:rPr>
        <w:t xml:space="preserve">Summary of </w:t>
      </w:r>
      <w:r w:rsidR="003D1896" w:rsidRPr="00AC6B48">
        <w:rPr>
          <w:rFonts w:asciiTheme="majorHAnsi" w:hAnsiTheme="majorHAnsi" w:cs="Arial"/>
          <w:b/>
          <w:sz w:val="22"/>
          <w:szCs w:val="20"/>
        </w:rPr>
        <w:t>recommendations</w:t>
      </w:r>
      <w:r w:rsidRPr="00AC6B48">
        <w:rPr>
          <w:rFonts w:asciiTheme="majorHAnsi" w:hAnsiTheme="majorHAnsi" w:cs="Arial"/>
          <w:b/>
          <w:sz w:val="22"/>
          <w:szCs w:val="20"/>
        </w:rPr>
        <w:tab/>
      </w:r>
      <w:r w:rsidRPr="00AC6B48">
        <w:rPr>
          <w:rFonts w:asciiTheme="majorHAnsi" w:hAnsiTheme="majorHAnsi" w:cs="Arial"/>
          <w:b/>
          <w:sz w:val="22"/>
          <w:szCs w:val="20"/>
        </w:rPr>
        <w:tab/>
      </w:r>
      <w:r w:rsidRPr="00AC6B48">
        <w:rPr>
          <w:rFonts w:asciiTheme="majorHAnsi" w:hAnsiTheme="majorHAnsi" w:cs="Arial"/>
          <w:b/>
          <w:sz w:val="22"/>
          <w:szCs w:val="20"/>
        </w:rPr>
        <w:tab/>
      </w:r>
      <w:r w:rsidRPr="00AC6B48">
        <w:rPr>
          <w:rFonts w:asciiTheme="majorHAnsi" w:hAnsiTheme="majorHAnsi" w:cs="Arial"/>
          <w:b/>
          <w:sz w:val="22"/>
          <w:szCs w:val="20"/>
        </w:rPr>
        <w:tab/>
      </w:r>
      <w:r w:rsidRPr="00AC6B48">
        <w:rPr>
          <w:rFonts w:asciiTheme="majorHAnsi" w:hAnsiTheme="majorHAnsi" w:cs="Arial"/>
          <w:b/>
          <w:sz w:val="22"/>
          <w:szCs w:val="20"/>
        </w:rPr>
        <w:tab/>
      </w:r>
      <w:r w:rsidRPr="00AC6B48">
        <w:rPr>
          <w:rFonts w:asciiTheme="majorHAnsi" w:hAnsiTheme="majorHAnsi" w:cs="Arial"/>
          <w:b/>
          <w:sz w:val="22"/>
          <w:szCs w:val="20"/>
        </w:rPr>
        <w:tab/>
      </w:r>
      <w:r w:rsidRPr="00AC6B48">
        <w:rPr>
          <w:rFonts w:asciiTheme="majorHAnsi" w:hAnsiTheme="majorHAnsi" w:cs="Arial"/>
          <w:b/>
          <w:sz w:val="22"/>
          <w:szCs w:val="20"/>
        </w:rPr>
        <w:tab/>
      </w:r>
      <w:r w:rsidRPr="00AC6B48">
        <w:rPr>
          <w:rFonts w:asciiTheme="majorHAnsi" w:hAnsiTheme="majorHAnsi" w:cs="Arial"/>
          <w:b/>
          <w:sz w:val="22"/>
          <w:szCs w:val="20"/>
        </w:rPr>
        <w:tab/>
        <w:t>3</w:t>
      </w:r>
    </w:p>
    <w:p w14:paraId="144B2FB5" w14:textId="77777777" w:rsidR="008330CD" w:rsidRPr="00AC6B48" w:rsidRDefault="008330CD" w:rsidP="008330CD">
      <w:pPr>
        <w:pStyle w:val="Default"/>
        <w:rPr>
          <w:rFonts w:asciiTheme="majorHAnsi" w:hAnsiTheme="majorHAnsi" w:cs="Arial"/>
          <w:b/>
          <w:sz w:val="22"/>
          <w:szCs w:val="20"/>
        </w:rPr>
      </w:pPr>
    </w:p>
    <w:p w14:paraId="7BB29BE4" w14:textId="36132361" w:rsidR="008330CD" w:rsidRPr="00AC6B48" w:rsidRDefault="008330CD" w:rsidP="008330CD">
      <w:pPr>
        <w:pStyle w:val="Default"/>
        <w:rPr>
          <w:rFonts w:asciiTheme="majorHAnsi" w:hAnsiTheme="majorHAnsi" w:cs="Arial"/>
          <w:b/>
          <w:sz w:val="22"/>
          <w:szCs w:val="20"/>
        </w:rPr>
      </w:pPr>
      <w:r w:rsidRPr="00AC6B48">
        <w:rPr>
          <w:rFonts w:asciiTheme="majorHAnsi" w:hAnsiTheme="majorHAnsi" w:cs="Arial"/>
          <w:b/>
          <w:sz w:val="22"/>
          <w:szCs w:val="20"/>
        </w:rPr>
        <w:t>P</w:t>
      </w:r>
      <w:r w:rsidR="00350627">
        <w:rPr>
          <w:rFonts w:asciiTheme="majorHAnsi" w:hAnsiTheme="majorHAnsi" w:cs="Arial"/>
          <w:b/>
          <w:sz w:val="22"/>
          <w:szCs w:val="20"/>
        </w:rPr>
        <w:t>romotion and prevention</w:t>
      </w:r>
      <w:r w:rsidR="00350627">
        <w:rPr>
          <w:rFonts w:asciiTheme="majorHAnsi" w:hAnsiTheme="majorHAnsi" w:cs="Arial"/>
          <w:b/>
          <w:sz w:val="22"/>
          <w:szCs w:val="20"/>
        </w:rPr>
        <w:tab/>
      </w:r>
      <w:r w:rsidR="00350627">
        <w:rPr>
          <w:rFonts w:asciiTheme="majorHAnsi" w:hAnsiTheme="majorHAnsi" w:cs="Arial"/>
          <w:b/>
          <w:sz w:val="22"/>
          <w:szCs w:val="20"/>
        </w:rPr>
        <w:tab/>
      </w:r>
      <w:r w:rsidR="00350627">
        <w:rPr>
          <w:rFonts w:asciiTheme="majorHAnsi" w:hAnsiTheme="majorHAnsi" w:cs="Arial"/>
          <w:b/>
          <w:sz w:val="22"/>
          <w:szCs w:val="20"/>
        </w:rPr>
        <w:tab/>
      </w:r>
      <w:r w:rsidR="00350627">
        <w:rPr>
          <w:rFonts w:asciiTheme="majorHAnsi" w:hAnsiTheme="majorHAnsi" w:cs="Arial"/>
          <w:b/>
          <w:sz w:val="22"/>
          <w:szCs w:val="20"/>
        </w:rPr>
        <w:tab/>
      </w:r>
      <w:r w:rsidR="00350627">
        <w:rPr>
          <w:rFonts w:asciiTheme="majorHAnsi" w:hAnsiTheme="majorHAnsi" w:cs="Arial"/>
          <w:b/>
          <w:sz w:val="22"/>
          <w:szCs w:val="20"/>
        </w:rPr>
        <w:tab/>
      </w:r>
      <w:r w:rsidR="00350627">
        <w:rPr>
          <w:rFonts w:asciiTheme="majorHAnsi" w:hAnsiTheme="majorHAnsi" w:cs="Arial"/>
          <w:b/>
          <w:sz w:val="22"/>
          <w:szCs w:val="20"/>
        </w:rPr>
        <w:tab/>
      </w:r>
      <w:r w:rsidR="00350627">
        <w:rPr>
          <w:rFonts w:asciiTheme="majorHAnsi" w:hAnsiTheme="majorHAnsi" w:cs="Arial"/>
          <w:b/>
          <w:sz w:val="22"/>
          <w:szCs w:val="20"/>
        </w:rPr>
        <w:tab/>
      </w:r>
      <w:r w:rsidR="00350627">
        <w:rPr>
          <w:rFonts w:asciiTheme="majorHAnsi" w:hAnsiTheme="majorHAnsi" w:cs="Arial"/>
          <w:b/>
          <w:sz w:val="22"/>
          <w:szCs w:val="20"/>
        </w:rPr>
        <w:tab/>
        <w:t>5</w:t>
      </w:r>
    </w:p>
    <w:p w14:paraId="2371E123" w14:textId="77777777" w:rsidR="008330CD" w:rsidRPr="00AC6B48" w:rsidRDefault="008330CD" w:rsidP="008330CD">
      <w:pPr>
        <w:pStyle w:val="Default"/>
        <w:rPr>
          <w:rFonts w:asciiTheme="majorHAnsi" w:hAnsiTheme="majorHAnsi" w:cs="Arial"/>
          <w:b/>
          <w:sz w:val="22"/>
          <w:szCs w:val="20"/>
        </w:rPr>
      </w:pPr>
    </w:p>
    <w:p w14:paraId="0E137071" w14:textId="2453BC95" w:rsidR="008330CD" w:rsidRPr="00AC6B48" w:rsidRDefault="008330CD" w:rsidP="008330CD">
      <w:pPr>
        <w:pStyle w:val="Default"/>
        <w:rPr>
          <w:rFonts w:asciiTheme="majorHAnsi" w:hAnsiTheme="majorHAnsi" w:cs="Arial"/>
          <w:b/>
          <w:sz w:val="22"/>
          <w:szCs w:val="20"/>
        </w:rPr>
      </w:pPr>
      <w:r w:rsidRPr="00AC6B48">
        <w:rPr>
          <w:rFonts w:asciiTheme="majorHAnsi" w:hAnsiTheme="majorHAnsi" w:cs="Arial"/>
          <w:b/>
          <w:sz w:val="22"/>
          <w:szCs w:val="20"/>
        </w:rPr>
        <w:t>Aged care</w:t>
      </w:r>
      <w:r w:rsidR="00350627">
        <w:rPr>
          <w:rFonts w:asciiTheme="majorHAnsi" w:hAnsiTheme="majorHAnsi" w:cs="Arial"/>
          <w:b/>
          <w:sz w:val="22"/>
          <w:szCs w:val="20"/>
        </w:rPr>
        <w:tab/>
      </w:r>
      <w:r w:rsidR="00350627">
        <w:rPr>
          <w:rFonts w:asciiTheme="majorHAnsi" w:hAnsiTheme="majorHAnsi" w:cs="Arial"/>
          <w:b/>
          <w:sz w:val="22"/>
          <w:szCs w:val="20"/>
        </w:rPr>
        <w:tab/>
      </w:r>
      <w:r w:rsidR="00350627">
        <w:rPr>
          <w:rFonts w:asciiTheme="majorHAnsi" w:hAnsiTheme="majorHAnsi" w:cs="Arial"/>
          <w:b/>
          <w:sz w:val="22"/>
          <w:szCs w:val="20"/>
        </w:rPr>
        <w:tab/>
      </w:r>
      <w:r w:rsidR="00350627">
        <w:rPr>
          <w:rFonts w:asciiTheme="majorHAnsi" w:hAnsiTheme="majorHAnsi" w:cs="Arial"/>
          <w:b/>
          <w:sz w:val="22"/>
          <w:szCs w:val="20"/>
        </w:rPr>
        <w:tab/>
      </w:r>
      <w:r w:rsidR="00350627">
        <w:rPr>
          <w:rFonts w:asciiTheme="majorHAnsi" w:hAnsiTheme="majorHAnsi" w:cs="Arial"/>
          <w:b/>
          <w:sz w:val="22"/>
          <w:szCs w:val="20"/>
        </w:rPr>
        <w:tab/>
      </w:r>
      <w:r w:rsidR="00350627">
        <w:rPr>
          <w:rFonts w:asciiTheme="majorHAnsi" w:hAnsiTheme="majorHAnsi" w:cs="Arial"/>
          <w:b/>
          <w:sz w:val="22"/>
          <w:szCs w:val="20"/>
        </w:rPr>
        <w:tab/>
      </w:r>
      <w:r w:rsidR="00350627">
        <w:rPr>
          <w:rFonts w:asciiTheme="majorHAnsi" w:hAnsiTheme="majorHAnsi" w:cs="Arial"/>
          <w:b/>
          <w:sz w:val="22"/>
          <w:szCs w:val="20"/>
        </w:rPr>
        <w:tab/>
      </w:r>
      <w:r w:rsidR="00350627">
        <w:rPr>
          <w:rFonts w:asciiTheme="majorHAnsi" w:hAnsiTheme="majorHAnsi" w:cs="Arial"/>
          <w:b/>
          <w:sz w:val="22"/>
          <w:szCs w:val="20"/>
        </w:rPr>
        <w:tab/>
      </w:r>
      <w:r w:rsidR="00350627">
        <w:rPr>
          <w:rFonts w:asciiTheme="majorHAnsi" w:hAnsiTheme="majorHAnsi" w:cs="Arial"/>
          <w:b/>
          <w:sz w:val="22"/>
          <w:szCs w:val="20"/>
        </w:rPr>
        <w:tab/>
      </w:r>
      <w:r w:rsidR="00350627">
        <w:rPr>
          <w:rFonts w:asciiTheme="majorHAnsi" w:hAnsiTheme="majorHAnsi" w:cs="Arial"/>
          <w:b/>
          <w:sz w:val="22"/>
          <w:szCs w:val="20"/>
        </w:rPr>
        <w:tab/>
        <w:t>7</w:t>
      </w:r>
    </w:p>
    <w:p w14:paraId="62D6BFE6" w14:textId="77777777" w:rsidR="008330CD" w:rsidRPr="00AC6B48" w:rsidRDefault="008330CD" w:rsidP="008330CD">
      <w:pPr>
        <w:pStyle w:val="Default"/>
        <w:rPr>
          <w:rFonts w:asciiTheme="majorHAnsi" w:hAnsiTheme="majorHAnsi" w:cs="Arial"/>
          <w:b/>
          <w:sz w:val="22"/>
          <w:szCs w:val="20"/>
        </w:rPr>
      </w:pPr>
    </w:p>
    <w:p w14:paraId="1ACD6736" w14:textId="6218D3B4" w:rsidR="008330CD" w:rsidRPr="00AC6B48" w:rsidRDefault="008330CD" w:rsidP="008330CD">
      <w:pPr>
        <w:pStyle w:val="Default"/>
        <w:rPr>
          <w:rFonts w:asciiTheme="majorHAnsi" w:hAnsiTheme="majorHAnsi" w:cs="Arial"/>
          <w:b/>
          <w:sz w:val="22"/>
          <w:szCs w:val="20"/>
        </w:rPr>
      </w:pPr>
      <w:r w:rsidRPr="00AC6B48">
        <w:rPr>
          <w:rFonts w:asciiTheme="majorHAnsi" w:hAnsiTheme="majorHAnsi" w:cs="Arial"/>
          <w:b/>
          <w:sz w:val="22"/>
          <w:szCs w:val="20"/>
        </w:rPr>
        <w:t>Rural health</w:t>
      </w:r>
      <w:r w:rsidR="00350627">
        <w:rPr>
          <w:rFonts w:asciiTheme="majorHAnsi" w:hAnsiTheme="majorHAnsi" w:cs="Arial"/>
          <w:b/>
          <w:sz w:val="22"/>
          <w:szCs w:val="20"/>
        </w:rPr>
        <w:tab/>
      </w:r>
      <w:r w:rsidR="00350627">
        <w:rPr>
          <w:rFonts w:asciiTheme="majorHAnsi" w:hAnsiTheme="majorHAnsi" w:cs="Arial"/>
          <w:b/>
          <w:sz w:val="22"/>
          <w:szCs w:val="20"/>
        </w:rPr>
        <w:tab/>
      </w:r>
      <w:r w:rsidR="00350627">
        <w:rPr>
          <w:rFonts w:asciiTheme="majorHAnsi" w:hAnsiTheme="majorHAnsi" w:cs="Arial"/>
          <w:b/>
          <w:sz w:val="22"/>
          <w:szCs w:val="20"/>
        </w:rPr>
        <w:tab/>
      </w:r>
      <w:r w:rsidR="00350627">
        <w:rPr>
          <w:rFonts w:asciiTheme="majorHAnsi" w:hAnsiTheme="majorHAnsi" w:cs="Arial"/>
          <w:b/>
          <w:sz w:val="22"/>
          <w:szCs w:val="20"/>
        </w:rPr>
        <w:tab/>
      </w:r>
      <w:r w:rsidR="00350627">
        <w:rPr>
          <w:rFonts w:asciiTheme="majorHAnsi" w:hAnsiTheme="majorHAnsi" w:cs="Arial"/>
          <w:b/>
          <w:sz w:val="22"/>
          <w:szCs w:val="20"/>
        </w:rPr>
        <w:tab/>
      </w:r>
      <w:r w:rsidR="00350627">
        <w:rPr>
          <w:rFonts w:asciiTheme="majorHAnsi" w:hAnsiTheme="majorHAnsi" w:cs="Arial"/>
          <w:b/>
          <w:sz w:val="22"/>
          <w:szCs w:val="20"/>
        </w:rPr>
        <w:tab/>
      </w:r>
      <w:r w:rsidR="00350627">
        <w:rPr>
          <w:rFonts w:asciiTheme="majorHAnsi" w:hAnsiTheme="majorHAnsi" w:cs="Arial"/>
          <w:b/>
          <w:sz w:val="22"/>
          <w:szCs w:val="20"/>
        </w:rPr>
        <w:tab/>
      </w:r>
      <w:r w:rsidR="00350627">
        <w:rPr>
          <w:rFonts w:asciiTheme="majorHAnsi" w:hAnsiTheme="majorHAnsi" w:cs="Arial"/>
          <w:b/>
          <w:sz w:val="22"/>
          <w:szCs w:val="20"/>
        </w:rPr>
        <w:tab/>
      </w:r>
      <w:r w:rsidR="00350627">
        <w:rPr>
          <w:rFonts w:asciiTheme="majorHAnsi" w:hAnsiTheme="majorHAnsi" w:cs="Arial"/>
          <w:b/>
          <w:sz w:val="22"/>
          <w:szCs w:val="20"/>
        </w:rPr>
        <w:tab/>
      </w:r>
      <w:r w:rsidR="00350627">
        <w:rPr>
          <w:rFonts w:asciiTheme="majorHAnsi" w:hAnsiTheme="majorHAnsi" w:cs="Arial"/>
          <w:b/>
          <w:sz w:val="22"/>
          <w:szCs w:val="20"/>
        </w:rPr>
        <w:tab/>
        <w:t>9</w:t>
      </w:r>
    </w:p>
    <w:p w14:paraId="638CBFA2" w14:textId="77777777" w:rsidR="008330CD" w:rsidRPr="00AC6B48" w:rsidRDefault="008330CD" w:rsidP="008330CD">
      <w:pPr>
        <w:pStyle w:val="Default"/>
        <w:rPr>
          <w:rFonts w:asciiTheme="majorHAnsi" w:hAnsiTheme="majorHAnsi" w:cs="Arial"/>
          <w:b/>
          <w:sz w:val="22"/>
          <w:szCs w:val="20"/>
        </w:rPr>
      </w:pPr>
    </w:p>
    <w:p w14:paraId="54FD3305" w14:textId="6505F538" w:rsidR="008330CD" w:rsidRPr="00AC6B48" w:rsidRDefault="008330CD" w:rsidP="008330CD">
      <w:pPr>
        <w:pStyle w:val="Default"/>
        <w:rPr>
          <w:rFonts w:asciiTheme="majorHAnsi" w:hAnsiTheme="majorHAnsi" w:cs="Arial"/>
          <w:b/>
          <w:sz w:val="22"/>
          <w:szCs w:val="20"/>
        </w:rPr>
      </w:pPr>
      <w:r w:rsidRPr="00AC6B48">
        <w:rPr>
          <w:rFonts w:asciiTheme="majorHAnsi" w:hAnsiTheme="majorHAnsi" w:cs="Arial"/>
          <w:b/>
          <w:sz w:val="22"/>
          <w:szCs w:val="20"/>
        </w:rPr>
        <w:t>Dental</w:t>
      </w:r>
      <w:r w:rsidR="00350627">
        <w:rPr>
          <w:rFonts w:asciiTheme="majorHAnsi" w:hAnsiTheme="majorHAnsi" w:cs="Arial"/>
          <w:b/>
          <w:sz w:val="22"/>
          <w:szCs w:val="20"/>
        </w:rPr>
        <w:tab/>
      </w:r>
      <w:r w:rsidR="00350627">
        <w:rPr>
          <w:rFonts w:asciiTheme="majorHAnsi" w:hAnsiTheme="majorHAnsi" w:cs="Arial"/>
          <w:b/>
          <w:sz w:val="22"/>
          <w:szCs w:val="20"/>
        </w:rPr>
        <w:tab/>
      </w:r>
      <w:r w:rsidR="00350627">
        <w:rPr>
          <w:rFonts w:asciiTheme="majorHAnsi" w:hAnsiTheme="majorHAnsi" w:cs="Arial"/>
          <w:b/>
          <w:sz w:val="22"/>
          <w:szCs w:val="20"/>
        </w:rPr>
        <w:tab/>
      </w:r>
      <w:r w:rsidR="00350627">
        <w:rPr>
          <w:rFonts w:asciiTheme="majorHAnsi" w:hAnsiTheme="majorHAnsi" w:cs="Arial"/>
          <w:b/>
          <w:sz w:val="22"/>
          <w:szCs w:val="20"/>
        </w:rPr>
        <w:tab/>
      </w:r>
      <w:r w:rsidR="00350627">
        <w:rPr>
          <w:rFonts w:asciiTheme="majorHAnsi" w:hAnsiTheme="majorHAnsi" w:cs="Arial"/>
          <w:b/>
          <w:sz w:val="22"/>
          <w:szCs w:val="20"/>
        </w:rPr>
        <w:tab/>
      </w:r>
      <w:r w:rsidR="00350627">
        <w:rPr>
          <w:rFonts w:asciiTheme="majorHAnsi" w:hAnsiTheme="majorHAnsi" w:cs="Arial"/>
          <w:b/>
          <w:sz w:val="22"/>
          <w:szCs w:val="20"/>
        </w:rPr>
        <w:tab/>
      </w:r>
      <w:r w:rsidR="00350627">
        <w:rPr>
          <w:rFonts w:asciiTheme="majorHAnsi" w:hAnsiTheme="majorHAnsi" w:cs="Arial"/>
          <w:b/>
          <w:sz w:val="22"/>
          <w:szCs w:val="20"/>
        </w:rPr>
        <w:tab/>
      </w:r>
      <w:r w:rsidR="00350627">
        <w:rPr>
          <w:rFonts w:asciiTheme="majorHAnsi" w:hAnsiTheme="majorHAnsi" w:cs="Arial"/>
          <w:b/>
          <w:sz w:val="22"/>
          <w:szCs w:val="20"/>
        </w:rPr>
        <w:tab/>
      </w:r>
      <w:r w:rsidR="00350627">
        <w:rPr>
          <w:rFonts w:asciiTheme="majorHAnsi" w:hAnsiTheme="majorHAnsi" w:cs="Arial"/>
          <w:b/>
          <w:sz w:val="22"/>
          <w:szCs w:val="20"/>
        </w:rPr>
        <w:tab/>
      </w:r>
      <w:r w:rsidR="00350627">
        <w:rPr>
          <w:rFonts w:asciiTheme="majorHAnsi" w:hAnsiTheme="majorHAnsi" w:cs="Arial"/>
          <w:b/>
          <w:sz w:val="22"/>
          <w:szCs w:val="20"/>
        </w:rPr>
        <w:tab/>
      </w:r>
      <w:r w:rsidR="00350627">
        <w:rPr>
          <w:rFonts w:asciiTheme="majorHAnsi" w:hAnsiTheme="majorHAnsi" w:cs="Arial"/>
          <w:b/>
          <w:sz w:val="22"/>
          <w:szCs w:val="20"/>
        </w:rPr>
        <w:tab/>
        <w:t>12</w:t>
      </w:r>
    </w:p>
    <w:p w14:paraId="29A084F7" w14:textId="77777777" w:rsidR="008330CD" w:rsidRPr="00AC6B48" w:rsidRDefault="008330CD" w:rsidP="008330CD">
      <w:pPr>
        <w:pStyle w:val="Default"/>
        <w:rPr>
          <w:rFonts w:asciiTheme="majorHAnsi" w:hAnsiTheme="majorHAnsi" w:cs="Arial"/>
          <w:b/>
          <w:sz w:val="22"/>
          <w:szCs w:val="20"/>
        </w:rPr>
      </w:pPr>
    </w:p>
    <w:p w14:paraId="0719CAF3" w14:textId="63F9F936" w:rsidR="008330CD" w:rsidRPr="00AC6B48" w:rsidRDefault="002D4075" w:rsidP="008330CD">
      <w:pPr>
        <w:pStyle w:val="Default"/>
        <w:rPr>
          <w:rFonts w:asciiTheme="majorHAnsi" w:hAnsiTheme="majorHAnsi" w:cs="Arial"/>
          <w:b/>
          <w:sz w:val="22"/>
          <w:szCs w:val="20"/>
        </w:rPr>
      </w:pPr>
      <w:r w:rsidRPr="002D4075">
        <w:rPr>
          <w:rFonts w:asciiTheme="majorHAnsi" w:hAnsiTheme="majorHAnsi" w:cs="Arial"/>
          <w:b/>
          <w:sz w:val="22"/>
          <w:szCs w:val="20"/>
        </w:rPr>
        <w:t>National Disability Insurance Scheme</w:t>
      </w:r>
      <w:r>
        <w:rPr>
          <w:rFonts w:asciiTheme="majorHAnsi" w:hAnsiTheme="majorHAnsi" w:cs="Arial"/>
          <w:b/>
          <w:sz w:val="22"/>
          <w:szCs w:val="20"/>
        </w:rPr>
        <w:tab/>
      </w:r>
      <w:r>
        <w:rPr>
          <w:rFonts w:asciiTheme="majorHAnsi" w:hAnsiTheme="majorHAnsi" w:cs="Arial"/>
          <w:b/>
          <w:sz w:val="22"/>
          <w:szCs w:val="20"/>
        </w:rPr>
        <w:tab/>
      </w:r>
      <w:r>
        <w:rPr>
          <w:rFonts w:asciiTheme="majorHAnsi" w:hAnsiTheme="majorHAnsi" w:cs="Arial"/>
          <w:b/>
          <w:sz w:val="22"/>
          <w:szCs w:val="20"/>
        </w:rPr>
        <w:tab/>
      </w:r>
      <w:r>
        <w:rPr>
          <w:rFonts w:asciiTheme="majorHAnsi" w:hAnsiTheme="majorHAnsi" w:cs="Arial"/>
          <w:b/>
          <w:sz w:val="22"/>
          <w:szCs w:val="20"/>
        </w:rPr>
        <w:tab/>
      </w:r>
      <w:r>
        <w:rPr>
          <w:rFonts w:asciiTheme="majorHAnsi" w:hAnsiTheme="majorHAnsi" w:cs="Arial"/>
          <w:b/>
          <w:sz w:val="22"/>
          <w:szCs w:val="20"/>
        </w:rPr>
        <w:tab/>
      </w:r>
      <w:r>
        <w:rPr>
          <w:rFonts w:asciiTheme="majorHAnsi" w:hAnsiTheme="majorHAnsi" w:cs="Arial"/>
          <w:b/>
          <w:sz w:val="22"/>
          <w:szCs w:val="20"/>
        </w:rPr>
        <w:tab/>
      </w:r>
      <w:r>
        <w:rPr>
          <w:rFonts w:asciiTheme="majorHAnsi" w:hAnsiTheme="majorHAnsi" w:cs="Arial"/>
          <w:b/>
          <w:sz w:val="22"/>
          <w:szCs w:val="20"/>
        </w:rPr>
        <w:tab/>
      </w:r>
      <w:r w:rsidR="00350627">
        <w:rPr>
          <w:rFonts w:asciiTheme="majorHAnsi" w:hAnsiTheme="majorHAnsi" w:cs="Arial"/>
          <w:b/>
          <w:sz w:val="22"/>
          <w:szCs w:val="20"/>
        </w:rPr>
        <w:t>14</w:t>
      </w:r>
    </w:p>
    <w:p w14:paraId="0E19CCC7" w14:textId="77777777" w:rsidR="008330CD" w:rsidRPr="00AC6B48" w:rsidRDefault="008330CD" w:rsidP="008330CD">
      <w:pPr>
        <w:pStyle w:val="Default"/>
        <w:rPr>
          <w:rFonts w:asciiTheme="majorHAnsi" w:hAnsiTheme="majorHAnsi" w:cs="Arial"/>
          <w:b/>
          <w:sz w:val="22"/>
          <w:szCs w:val="20"/>
        </w:rPr>
      </w:pPr>
    </w:p>
    <w:p w14:paraId="40077AC8" w14:textId="57C9DB35" w:rsidR="001300B9" w:rsidRPr="008330CD" w:rsidRDefault="008330CD" w:rsidP="008330CD">
      <w:pPr>
        <w:pStyle w:val="Default"/>
        <w:rPr>
          <w:rFonts w:asciiTheme="majorHAnsi" w:hAnsiTheme="majorHAnsi" w:cs="Arial"/>
          <w:sz w:val="20"/>
          <w:szCs w:val="20"/>
        </w:rPr>
      </w:pPr>
      <w:r w:rsidRPr="00AC6B48">
        <w:rPr>
          <w:rFonts w:asciiTheme="majorHAnsi" w:hAnsiTheme="majorHAnsi" w:cs="Arial"/>
          <w:b/>
          <w:sz w:val="22"/>
          <w:szCs w:val="20"/>
        </w:rPr>
        <w:t>Data</w:t>
      </w:r>
      <w:r w:rsidRPr="00AC6B48">
        <w:rPr>
          <w:rFonts w:asciiTheme="majorHAnsi" w:hAnsiTheme="majorHAnsi" w:cs="Arial"/>
          <w:b/>
          <w:sz w:val="22"/>
          <w:szCs w:val="20"/>
        </w:rPr>
        <w:tab/>
      </w:r>
      <w:r w:rsidRPr="00AC6B48">
        <w:rPr>
          <w:rFonts w:asciiTheme="majorHAnsi" w:hAnsiTheme="majorHAnsi" w:cs="Arial"/>
          <w:b/>
          <w:sz w:val="22"/>
          <w:szCs w:val="20"/>
        </w:rPr>
        <w:tab/>
      </w:r>
      <w:r w:rsidRPr="00AC6B48">
        <w:rPr>
          <w:rFonts w:asciiTheme="majorHAnsi" w:hAnsiTheme="majorHAnsi" w:cs="Arial"/>
          <w:b/>
          <w:sz w:val="22"/>
          <w:szCs w:val="20"/>
        </w:rPr>
        <w:tab/>
      </w:r>
      <w:r w:rsidRPr="00AC6B48">
        <w:rPr>
          <w:rFonts w:asciiTheme="majorHAnsi" w:hAnsiTheme="majorHAnsi" w:cs="Arial"/>
          <w:b/>
          <w:sz w:val="22"/>
          <w:szCs w:val="20"/>
        </w:rPr>
        <w:tab/>
      </w:r>
      <w:r w:rsidRPr="00AC6B48">
        <w:rPr>
          <w:rFonts w:asciiTheme="majorHAnsi" w:hAnsiTheme="majorHAnsi" w:cs="Arial"/>
          <w:b/>
          <w:sz w:val="22"/>
          <w:szCs w:val="20"/>
        </w:rPr>
        <w:tab/>
      </w:r>
      <w:r w:rsidRPr="00AC6B48">
        <w:rPr>
          <w:rFonts w:asciiTheme="majorHAnsi" w:hAnsiTheme="majorHAnsi" w:cs="Arial"/>
          <w:b/>
          <w:sz w:val="22"/>
          <w:szCs w:val="20"/>
        </w:rPr>
        <w:tab/>
      </w:r>
      <w:r w:rsidRPr="00AC6B48">
        <w:rPr>
          <w:rFonts w:asciiTheme="majorHAnsi" w:hAnsiTheme="majorHAnsi" w:cs="Arial"/>
          <w:b/>
          <w:sz w:val="22"/>
          <w:szCs w:val="20"/>
        </w:rPr>
        <w:tab/>
      </w:r>
      <w:r w:rsidRPr="00AC6B48">
        <w:rPr>
          <w:rFonts w:asciiTheme="majorHAnsi" w:hAnsiTheme="majorHAnsi" w:cs="Arial"/>
          <w:b/>
          <w:sz w:val="22"/>
          <w:szCs w:val="20"/>
        </w:rPr>
        <w:tab/>
      </w:r>
      <w:r w:rsidRPr="00AC6B48">
        <w:rPr>
          <w:rFonts w:asciiTheme="majorHAnsi" w:hAnsiTheme="majorHAnsi" w:cs="Arial"/>
          <w:b/>
          <w:sz w:val="22"/>
          <w:szCs w:val="20"/>
        </w:rPr>
        <w:tab/>
      </w:r>
      <w:r w:rsidRPr="00AC6B48">
        <w:rPr>
          <w:rFonts w:asciiTheme="majorHAnsi" w:hAnsiTheme="majorHAnsi" w:cs="Arial"/>
          <w:b/>
          <w:sz w:val="22"/>
          <w:szCs w:val="20"/>
        </w:rPr>
        <w:tab/>
      </w:r>
      <w:r w:rsidRPr="00AC6B48">
        <w:rPr>
          <w:rFonts w:asciiTheme="majorHAnsi" w:hAnsiTheme="majorHAnsi" w:cs="Arial"/>
          <w:b/>
          <w:sz w:val="22"/>
          <w:szCs w:val="20"/>
        </w:rPr>
        <w:tab/>
        <w:t>1</w:t>
      </w:r>
      <w:r w:rsidR="00350627">
        <w:rPr>
          <w:rFonts w:asciiTheme="majorHAnsi" w:hAnsiTheme="majorHAnsi" w:cs="Arial"/>
          <w:b/>
          <w:sz w:val="22"/>
          <w:szCs w:val="20"/>
        </w:rPr>
        <w:t>6</w:t>
      </w:r>
      <w:r w:rsidR="00BD7546" w:rsidRPr="008330CD">
        <w:rPr>
          <w:rFonts w:asciiTheme="majorHAnsi" w:hAnsiTheme="majorHAnsi" w:cs="Arial"/>
          <w:sz w:val="20"/>
          <w:szCs w:val="20"/>
        </w:rPr>
        <w:br w:type="page"/>
      </w:r>
    </w:p>
    <w:p w14:paraId="0BDFA2FA" w14:textId="03E2AAC3" w:rsidR="001300B9" w:rsidRPr="000C7952" w:rsidRDefault="001300B9" w:rsidP="001300B9">
      <w:pPr>
        <w:rPr>
          <w:rFonts w:asciiTheme="majorHAnsi" w:hAnsiTheme="majorHAnsi"/>
          <w:b/>
          <w:bCs/>
          <w:color w:val="00AFA2"/>
          <w:szCs w:val="28"/>
        </w:rPr>
      </w:pPr>
      <w:r w:rsidRPr="000C7952">
        <w:rPr>
          <w:rFonts w:asciiTheme="majorHAnsi" w:hAnsiTheme="majorHAnsi"/>
          <w:b/>
          <w:bCs/>
          <w:color w:val="00AFA2"/>
          <w:szCs w:val="28"/>
        </w:rPr>
        <w:lastRenderedPageBreak/>
        <w:t xml:space="preserve">Summary of </w:t>
      </w:r>
      <w:r w:rsidR="003D1896" w:rsidRPr="000C7952">
        <w:rPr>
          <w:rFonts w:asciiTheme="majorHAnsi" w:hAnsiTheme="majorHAnsi"/>
          <w:b/>
          <w:bCs/>
          <w:color w:val="00AFA2"/>
          <w:szCs w:val="28"/>
        </w:rPr>
        <w:t>recommendations</w:t>
      </w:r>
    </w:p>
    <w:p w14:paraId="3AEE5B93" w14:textId="77777777" w:rsidR="001300B9" w:rsidRPr="000C7952" w:rsidRDefault="001300B9" w:rsidP="001300B9">
      <w:pPr>
        <w:rPr>
          <w:rFonts w:asciiTheme="majorHAnsi" w:hAnsiTheme="majorHAnsi"/>
          <w:b/>
          <w:bCs/>
          <w:color w:val="00AFA2"/>
          <w:szCs w:val="28"/>
        </w:rPr>
      </w:pPr>
    </w:p>
    <w:p w14:paraId="7E003AE7" w14:textId="61F84E88" w:rsidR="00503341" w:rsidRPr="000C7952" w:rsidRDefault="00503341" w:rsidP="00503341">
      <w:pPr>
        <w:contextualSpacing/>
        <w:rPr>
          <w:rFonts w:asciiTheme="majorHAnsi" w:hAnsiTheme="majorHAnsi"/>
          <w:b/>
          <w:sz w:val="22"/>
          <w:szCs w:val="22"/>
        </w:rPr>
      </w:pPr>
      <w:r w:rsidRPr="000C7952">
        <w:rPr>
          <w:rFonts w:asciiTheme="majorHAnsi" w:hAnsiTheme="majorHAnsi"/>
          <w:b/>
          <w:sz w:val="22"/>
          <w:szCs w:val="22"/>
        </w:rPr>
        <w:t>Promotion and prevention</w:t>
      </w:r>
    </w:p>
    <w:p w14:paraId="4DC2B7C4" w14:textId="7AD0428D" w:rsidR="00503341" w:rsidRPr="000C7952" w:rsidRDefault="00503341" w:rsidP="000F2A80">
      <w:pPr>
        <w:pStyle w:val="ListParagraph"/>
        <w:numPr>
          <w:ilvl w:val="0"/>
          <w:numId w:val="15"/>
        </w:numPr>
        <w:rPr>
          <w:b/>
        </w:rPr>
      </w:pPr>
      <w:r w:rsidRPr="000C7952">
        <w:t>The development and implementation of a National Obesity Strategy</w:t>
      </w:r>
      <w:r w:rsidR="003D1896" w:rsidRPr="000C7952">
        <w:t xml:space="preserve"> to reduce ever-increasing demand on </w:t>
      </w:r>
      <w:r w:rsidR="008E3F10" w:rsidRPr="000C7952">
        <w:t xml:space="preserve">public </w:t>
      </w:r>
      <w:r w:rsidR="003D1896" w:rsidRPr="000C7952">
        <w:t>health services</w:t>
      </w:r>
      <w:r w:rsidR="00A6491A">
        <w:t>.</w:t>
      </w:r>
    </w:p>
    <w:p w14:paraId="79034ECA" w14:textId="169E675C" w:rsidR="00015D77" w:rsidRDefault="00015D77" w:rsidP="00015D77">
      <w:pPr>
        <w:pStyle w:val="ListParagraph"/>
        <w:numPr>
          <w:ilvl w:val="0"/>
          <w:numId w:val="15"/>
        </w:numPr>
      </w:pPr>
      <w:r>
        <w:t xml:space="preserve">Funding a national prevention strategy, combined with key programs </w:t>
      </w:r>
      <w:r w:rsidR="00A6491A">
        <w:t>to improve hospital utilisation.</w:t>
      </w:r>
    </w:p>
    <w:p w14:paraId="0EF28543" w14:textId="73CE3696" w:rsidR="00015D77" w:rsidRDefault="00015D77" w:rsidP="00015D77">
      <w:pPr>
        <w:pStyle w:val="ListParagraph"/>
        <w:numPr>
          <w:ilvl w:val="0"/>
          <w:numId w:val="15"/>
        </w:numPr>
      </w:pPr>
      <w:r>
        <w:t>Development of a ‘shared-risk’ funding model with states and territories that rewards health services that can reduce their acute separations for targeted patients, while delivering care in settings better-suited to patient needs, su</w:t>
      </w:r>
      <w:r w:rsidR="00A6491A">
        <w:t>ch as community health services.</w:t>
      </w:r>
    </w:p>
    <w:p w14:paraId="624B3BF6" w14:textId="5C927CF2" w:rsidR="00503341" w:rsidRPr="000C7952" w:rsidRDefault="00665701" w:rsidP="000F2A80">
      <w:pPr>
        <w:pStyle w:val="ListParagraph"/>
        <w:numPr>
          <w:ilvl w:val="0"/>
          <w:numId w:val="15"/>
        </w:numPr>
      </w:pPr>
      <w:r w:rsidRPr="000C7952">
        <w:t>Establish a national set of quality indicators for cardiac rehabilitation services</w:t>
      </w:r>
      <w:r w:rsidR="0013428B" w:rsidRPr="000C7952">
        <w:t>, as set out at the National Improving Cardiac Rehabilitation Measurement Think Tank</w:t>
      </w:r>
      <w:r w:rsidR="0014565A" w:rsidRPr="000C7952">
        <w:t xml:space="preserve">, to reduce the impact of repeat cardiac events on </w:t>
      </w:r>
      <w:r w:rsidR="008E3F10" w:rsidRPr="000C7952">
        <w:t xml:space="preserve">public </w:t>
      </w:r>
      <w:r w:rsidR="0014565A" w:rsidRPr="000C7952">
        <w:t>health services</w:t>
      </w:r>
      <w:r w:rsidR="00A6491A">
        <w:t>.</w:t>
      </w:r>
    </w:p>
    <w:p w14:paraId="1B308272" w14:textId="39AA4ECD" w:rsidR="00503341" w:rsidRPr="000C7952" w:rsidRDefault="00503341" w:rsidP="00503341">
      <w:pPr>
        <w:rPr>
          <w:rFonts w:asciiTheme="majorHAnsi" w:hAnsiTheme="majorHAnsi"/>
          <w:b/>
          <w:sz w:val="22"/>
          <w:szCs w:val="22"/>
        </w:rPr>
      </w:pPr>
      <w:r w:rsidRPr="000C7952">
        <w:rPr>
          <w:rFonts w:asciiTheme="majorHAnsi" w:hAnsiTheme="majorHAnsi"/>
          <w:b/>
          <w:sz w:val="22"/>
          <w:szCs w:val="22"/>
        </w:rPr>
        <w:t>Aged care</w:t>
      </w:r>
    </w:p>
    <w:p w14:paraId="58DB968F" w14:textId="516AB31A" w:rsidR="00503341" w:rsidRDefault="00503341" w:rsidP="00C6035B">
      <w:pPr>
        <w:numPr>
          <w:ilvl w:val="0"/>
          <w:numId w:val="4"/>
        </w:numPr>
        <w:rPr>
          <w:rFonts w:asciiTheme="majorHAnsi" w:hAnsiTheme="majorHAnsi" w:cs="Arial"/>
          <w:sz w:val="22"/>
          <w:szCs w:val="22"/>
        </w:rPr>
      </w:pPr>
      <w:r w:rsidRPr="000C7952">
        <w:rPr>
          <w:rFonts w:asciiTheme="majorHAnsi" w:hAnsiTheme="majorHAnsi" w:cs="Arial"/>
          <w:sz w:val="22"/>
          <w:szCs w:val="22"/>
        </w:rPr>
        <w:t xml:space="preserve">Funding </w:t>
      </w:r>
      <w:r w:rsidR="003D1896" w:rsidRPr="000C7952">
        <w:rPr>
          <w:rFonts w:asciiTheme="majorHAnsi" w:hAnsiTheme="majorHAnsi" w:cs="Arial"/>
          <w:sz w:val="22"/>
          <w:szCs w:val="22"/>
        </w:rPr>
        <w:t xml:space="preserve">the implementation of </w:t>
      </w:r>
      <w:r w:rsidR="00C6035B" w:rsidRPr="000C7952">
        <w:rPr>
          <w:rFonts w:asciiTheme="majorHAnsi" w:hAnsiTheme="majorHAnsi" w:cs="Arial"/>
          <w:sz w:val="22"/>
          <w:szCs w:val="22"/>
        </w:rPr>
        <w:t xml:space="preserve">the strategic actions set out in the strategy, </w:t>
      </w:r>
      <w:r w:rsidR="00CB752B" w:rsidRPr="00386D95">
        <w:rPr>
          <w:rFonts w:asciiTheme="majorHAnsi" w:hAnsiTheme="majorHAnsi" w:cs="Arial"/>
          <w:i/>
          <w:sz w:val="22"/>
          <w:szCs w:val="22"/>
        </w:rPr>
        <w:t>A Matter of Care –Australia’s Aged Care Workforce Strategy</w:t>
      </w:r>
      <w:r w:rsidR="003D1896" w:rsidRPr="000C7952">
        <w:rPr>
          <w:rFonts w:asciiTheme="majorHAnsi" w:hAnsiTheme="majorHAnsi" w:cs="Arial"/>
          <w:sz w:val="22"/>
          <w:szCs w:val="22"/>
        </w:rPr>
        <w:t>,</w:t>
      </w:r>
      <w:r w:rsidR="00C6035B" w:rsidRPr="000C7952">
        <w:rPr>
          <w:rFonts w:asciiTheme="majorHAnsi" w:hAnsiTheme="majorHAnsi" w:cs="Arial"/>
          <w:sz w:val="22"/>
          <w:szCs w:val="22"/>
        </w:rPr>
        <w:t xml:space="preserve"> developed by the Aged Care Workforce Strategy Taskforce</w:t>
      </w:r>
      <w:r w:rsidR="003D1896" w:rsidRPr="000C7952">
        <w:rPr>
          <w:rFonts w:asciiTheme="majorHAnsi" w:hAnsiTheme="majorHAnsi" w:cs="Arial"/>
          <w:sz w:val="22"/>
          <w:szCs w:val="22"/>
        </w:rPr>
        <w:t xml:space="preserve"> to encourage higher quality and safe</w:t>
      </w:r>
      <w:r w:rsidR="00C6035B" w:rsidRPr="000C7952">
        <w:rPr>
          <w:rFonts w:asciiTheme="majorHAnsi" w:hAnsiTheme="majorHAnsi" w:cs="Arial"/>
          <w:sz w:val="22"/>
          <w:szCs w:val="22"/>
        </w:rPr>
        <w:t>r</w:t>
      </w:r>
      <w:r w:rsidR="003D1896" w:rsidRPr="000C7952">
        <w:rPr>
          <w:rFonts w:asciiTheme="majorHAnsi" w:hAnsiTheme="majorHAnsi" w:cs="Arial"/>
          <w:sz w:val="22"/>
          <w:szCs w:val="22"/>
        </w:rPr>
        <w:t xml:space="preserve"> care</w:t>
      </w:r>
      <w:r w:rsidRPr="000C7952">
        <w:rPr>
          <w:rFonts w:asciiTheme="majorHAnsi" w:hAnsiTheme="majorHAnsi" w:cs="Arial"/>
          <w:sz w:val="22"/>
          <w:szCs w:val="22"/>
        </w:rPr>
        <w:t>.</w:t>
      </w:r>
    </w:p>
    <w:p w14:paraId="734E7B12" w14:textId="4F6AA926" w:rsidR="00967534" w:rsidRPr="00967534" w:rsidRDefault="00967534" w:rsidP="00967534">
      <w:pPr>
        <w:pStyle w:val="ListParagraph"/>
        <w:numPr>
          <w:ilvl w:val="0"/>
          <w:numId w:val="4"/>
        </w:numPr>
        <w:rPr>
          <w:rFonts w:cs="Arial"/>
        </w:rPr>
      </w:pPr>
      <w:r>
        <w:rPr>
          <w:rFonts w:cs="Arial"/>
        </w:rPr>
        <w:t xml:space="preserve">Ensuring that future </w:t>
      </w:r>
      <w:r w:rsidRPr="00967534">
        <w:rPr>
          <w:rFonts w:cs="Arial"/>
        </w:rPr>
        <w:t>Aged Care Funding Instrument reform adequately reflects the true cost of providing are for older people, and incentivise better health outcomes for older people.</w:t>
      </w:r>
    </w:p>
    <w:p w14:paraId="5BA58D27" w14:textId="5DF6A7FB" w:rsidR="00503341" w:rsidRPr="000C7952" w:rsidRDefault="00503341" w:rsidP="00503341">
      <w:pPr>
        <w:rPr>
          <w:rFonts w:asciiTheme="majorHAnsi" w:hAnsiTheme="majorHAnsi" w:cs="Arial"/>
          <w:b/>
          <w:sz w:val="22"/>
          <w:szCs w:val="22"/>
        </w:rPr>
      </w:pPr>
      <w:r w:rsidRPr="000C7952">
        <w:rPr>
          <w:rFonts w:asciiTheme="majorHAnsi" w:hAnsiTheme="majorHAnsi" w:cs="Arial"/>
          <w:b/>
          <w:sz w:val="22"/>
          <w:szCs w:val="22"/>
        </w:rPr>
        <w:t>Rural health</w:t>
      </w:r>
    </w:p>
    <w:p w14:paraId="53EE1301" w14:textId="5345E698" w:rsidR="00334B2A" w:rsidRPr="000C7952" w:rsidRDefault="008E3F10" w:rsidP="00C6035B">
      <w:pPr>
        <w:pStyle w:val="ListParagraph"/>
        <w:rPr>
          <w:b/>
        </w:rPr>
      </w:pPr>
      <w:r w:rsidRPr="000C7952">
        <w:t>Introduction of c</w:t>
      </w:r>
      <w:r w:rsidR="00334B2A" w:rsidRPr="000C7952">
        <w:t>hanges to</w:t>
      </w:r>
      <w:r w:rsidR="00DC1A8D" w:rsidRPr="000C7952">
        <w:t xml:space="preserve"> MBS billing</w:t>
      </w:r>
      <w:r w:rsidR="00405F9A" w:rsidRPr="000C7952">
        <w:t xml:space="preserve"> items</w:t>
      </w:r>
      <w:r w:rsidR="00DC1A8D" w:rsidRPr="000C7952">
        <w:t xml:space="preserve"> to help facilitate telehealth</w:t>
      </w:r>
      <w:r w:rsidR="007C2BE8" w:rsidRPr="000C7952">
        <w:t xml:space="preserve"> in rural and remote areas</w:t>
      </w:r>
      <w:r w:rsidR="00C6035B" w:rsidRPr="000C7952">
        <w:t>, with nurse practitioners, rural and isolated practice endorsed registered nurses, and allied health practitioners given telehealth item numbers to enable telehealth consultation</w:t>
      </w:r>
      <w:r w:rsidRPr="000C7952">
        <w:t xml:space="preserve"> in an </w:t>
      </w:r>
      <w:r w:rsidR="000779B8">
        <w:t>attempt</w:t>
      </w:r>
      <w:r w:rsidRPr="000C7952">
        <w:t xml:space="preserve"> to manage workforce shortages and increase equity of access to care in rural areas</w:t>
      </w:r>
      <w:r w:rsidR="00C6035B" w:rsidRPr="000C7952">
        <w:t>.</w:t>
      </w:r>
    </w:p>
    <w:p w14:paraId="63777D93" w14:textId="298FE97C" w:rsidR="00503341" w:rsidRPr="000C7952" w:rsidRDefault="008E3F10" w:rsidP="00C6035B">
      <w:pPr>
        <w:pStyle w:val="ListParagraph"/>
        <w:rPr>
          <w:b/>
        </w:rPr>
      </w:pPr>
      <w:r w:rsidRPr="000C7952">
        <w:t>Introduction of c</w:t>
      </w:r>
      <w:r w:rsidR="00AB15EE" w:rsidRPr="000C7952">
        <w:t xml:space="preserve">hanges to MBS billing items </w:t>
      </w:r>
      <w:r w:rsidR="00334B2A" w:rsidRPr="000C7952">
        <w:t>so that</w:t>
      </w:r>
      <w:r w:rsidR="00AB15EE" w:rsidRPr="000C7952">
        <w:t xml:space="preserve"> nurse practitioners </w:t>
      </w:r>
      <w:r w:rsidR="00334B2A" w:rsidRPr="000C7952">
        <w:t>are</w:t>
      </w:r>
      <w:r w:rsidR="00AB15EE" w:rsidRPr="000C7952">
        <w:t xml:space="preserve"> </w:t>
      </w:r>
      <w:r w:rsidR="00DC1A8D" w:rsidRPr="000C7952">
        <w:t>a more viable staffing option for rural and regional health providers</w:t>
      </w:r>
      <w:r w:rsidR="008C3500" w:rsidRPr="000C7952">
        <w:t xml:space="preserve">, </w:t>
      </w:r>
      <w:r w:rsidR="00C6035B" w:rsidRPr="000C7952">
        <w:t>able to bill for chronic health management plans, mental health care plans, advanced care directives, and telehealth</w:t>
      </w:r>
      <w:r w:rsidRPr="000C7952">
        <w:t>. This will enable nurse practitioners to overcome workforce shortages, particularly in regards to attracting and retaining doctors in rural and regional areas</w:t>
      </w:r>
      <w:r w:rsidR="00DC1A8D" w:rsidRPr="000C7952">
        <w:t xml:space="preserve">. </w:t>
      </w:r>
    </w:p>
    <w:p w14:paraId="240446EB" w14:textId="4F18C9CD" w:rsidR="00503341" w:rsidRPr="000C7952" w:rsidRDefault="00334B2A" w:rsidP="00334B2A">
      <w:pPr>
        <w:numPr>
          <w:ilvl w:val="0"/>
          <w:numId w:val="4"/>
        </w:numPr>
        <w:rPr>
          <w:rFonts w:asciiTheme="majorHAnsi" w:hAnsiTheme="majorHAnsi" w:cs="Arial"/>
          <w:sz w:val="22"/>
          <w:szCs w:val="22"/>
        </w:rPr>
      </w:pPr>
      <w:r w:rsidRPr="000C7952">
        <w:rPr>
          <w:rFonts w:asciiTheme="majorHAnsi" w:hAnsiTheme="majorHAnsi" w:cs="Arial"/>
          <w:sz w:val="22"/>
          <w:szCs w:val="22"/>
        </w:rPr>
        <w:t>I</w:t>
      </w:r>
      <w:r w:rsidR="00503341" w:rsidRPr="000C7952">
        <w:rPr>
          <w:rFonts w:asciiTheme="majorHAnsi" w:hAnsiTheme="majorHAnsi" w:cs="Arial"/>
          <w:sz w:val="22"/>
          <w:szCs w:val="22"/>
        </w:rPr>
        <w:t>mplement</w:t>
      </w:r>
      <w:r w:rsidRPr="000C7952">
        <w:rPr>
          <w:rFonts w:asciiTheme="majorHAnsi" w:hAnsiTheme="majorHAnsi" w:cs="Arial"/>
          <w:sz w:val="22"/>
          <w:szCs w:val="22"/>
        </w:rPr>
        <w:t>ation of</w:t>
      </w:r>
      <w:r w:rsidR="00503341" w:rsidRPr="000C7952">
        <w:rPr>
          <w:rFonts w:asciiTheme="majorHAnsi" w:hAnsiTheme="majorHAnsi" w:cs="Arial"/>
          <w:sz w:val="22"/>
          <w:szCs w:val="22"/>
        </w:rPr>
        <w:t xml:space="preserve"> all 19 recommendations of the National Rural Generalist Taskforce’s report, </w:t>
      </w:r>
      <w:r w:rsidR="00503341" w:rsidRPr="00386D95">
        <w:rPr>
          <w:rFonts w:asciiTheme="majorHAnsi" w:hAnsiTheme="majorHAnsi" w:cs="Arial"/>
          <w:i/>
          <w:sz w:val="22"/>
          <w:szCs w:val="22"/>
        </w:rPr>
        <w:t>Advice to the National Rural Health Commissioner on the Development of the National Rural Generalist Pathway</w:t>
      </w:r>
      <w:r w:rsidR="00C6035B" w:rsidRPr="000C7952">
        <w:rPr>
          <w:rFonts w:asciiTheme="majorHAnsi" w:hAnsiTheme="majorHAnsi" w:cs="Arial"/>
          <w:sz w:val="22"/>
          <w:szCs w:val="22"/>
        </w:rPr>
        <w:t>, to create a sustainable rural generalist pathway, which should lead to a viable route to rural and regional practice</w:t>
      </w:r>
      <w:r w:rsidR="008E3F10" w:rsidRPr="000C7952">
        <w:rPr>
          <w:rFonts w:asciiTheme="majorHAnsi" w:hAnsiTheme="majorHAnsi" w:cs="Arial"/>
          <w:sz w:val="22"/>
          <w:szCs w:val="22"/>
        </w:rPr>
        <w:t xml:space="preserve"> and help to mitigate rural workforce shortages</w:t>
      </w:r>
      <w:r w:rsidR="00503341" w:rsidRPr="000C7952">
        <w:rPr>
          <w:rFonts w:asciiTheme="majorHAnsi" w:hAnsiTheme="majorHAnsi" w:cs="Arial"/>
          <w:sz w:val="22"/>
          <w:szCs w:val="22"/>
        </w:rPr>
        <w:t xml:space="preserve">. </w:t>
      </w:r>
    </w:p>
    <w:p w14:paraId="2F8AA21C" w14:textId="6287E753" w:rsidR="00334B2A" w:rsidRPr="000C7952" w:rsidRDefault="00334B2A" w:rsidP="00334B2A">
      <w:pPr>
        <w:rPr>
          <w:rFonts w:asciiTheme="majorHAnsi" w:hAnsiTheme="majorHAnsi" w:cs="Arial"/>
          <w:b/>
          <w:sz w:val="22"/>
          <w:szCs w:val="22"/>
        </w:rPr>
      </w:pPr>
      <w:r w:rsidRPr="000C7952">
        <w:rPr>
          <w:rFonts w:asciiTheme="majorHAnsi" w:hAnsiTheme="majorHAnsi" w:cs="Arial"/>
          <w:b/>
          <w:sz w:val="22"/>
          <w:szCs w:val="22"/>
        </w:rPr>
        <w:t>Dental</w:t>
      </w:r>
    </w:p>
    <w:p w14:paraId="69319992" w14:textId="1918928A" w:rsidR="00503341" w:rsidRPr="000C7952" w:rsidRDefault="002D4075" w:rsidP="002330DD">
      <w:pPr>
        <w:numPr>
          <w:ilvl w:val="0"/>
          <w:numId w:val="4"/>
        </w:numPr>
        <w:rPr>
          <w:rFonts w:asciiTheme="majorHAnsi" w:hAnsiTheme="majorHAnsi" w:cs="Arial"/>
          <w:sz w:val="22"/>
          <w:szCs w:val="22"/>
        </w:rPr>
      </w:pPr>
      <w:r w:rsidRPr="000C7952">
        <w:rPr>
          <w:rFonts w:asciiTheme="majorHAnsi" w:hAnsiTheme="majorHAnsi" w:cs="Arial"/>
          <w:sz w:val="22"/>
          <w:szCs w:val="22"/>
        </w:rPr>
        <w:t>F</w:t>
      </w:r>
      <w:r w:rsidR="00535E3F" w:rsidRPr="000C7952">
        <w:rPr>
          <w:rFonts w:asciiTheme="majorHAnsi" w:hAnsiTheme="majorHAnsi" w:cs="Arial"/>
          <w:sz w:val="22"/>
          <w:szCs w:val="22"/>
        </w:rPr>
        <w:t xml:space="preserve">und and support the active promotion of the Child Dental Benefits </w:t>
      </w:r>
      <w:r w:rsidRPr="000C7952">
        <w:rPr>
          <w:rFonts w:asciiTheme="majorHAnsi" w:hAnsiTheme="majorHAnsi" w:cs="Arial"/>
          <w:sz w:val="22"/>
          <w:szCs w:val="22"/>
        </w:rPr>
        <w:t xml:space="preserve">Schedule to eligible families, </w:t>
      </w:r>
      <w:r w:rsidR="00535E3F" w:rsidRPr="000C7952">
        <w:rPr>
          <w:rFonts w:asciiTheme="majorHAnsi" w:hAnsiTheme="majorHAnsi" w:cs="Arial"/>
          <w:sz w:val="22"/>
          <w:szCs w:val="22"/>
        </w:rPr>
        <w:t xml:space="preserve">so the </w:t>
      </w:r>
      <w:r w:rsidR="008E3F10" w:rsidRPr="000C7952">
        <w:rPr>
          <w:rFonts w:asciiTheme="majorHAnsi" w:hAnsiTheme="majorHAnsi" w:cs="Arial"/>
          <w:sz w:val="22"/>
          <w:szCs w:val="22"/>
        </w:rPr>
        <w:t xml:space="preserve">public health </w:t>
      </w:r>
      <w:r w:rsidR="00535E3F" w:rsidRPr="000C7952">
        <w:rPr>
          <w:rFonts w:asciiTheme="majorHAnsi" w:hAnsiTheme="majorHAnsi" w:cs="Arial"/>
          <w:sz w:val="22"/>
          <w:szCs w:val="22"/>
        </w:rPr>
        <w:t>system benefit</w:t>
      </w:r>
      <w:r w:rsidRPr="000C7952">
        <w:rPr>
          <w:rFonts w:asciiTheme="majorHAnsi" w:hAnsiTheme="majorHAnsi" w:cs="Arial"/>
          <w:sz w:val="22"/>
          <w:szCs w:val="22"/>
        </w:rPr>
        <w:t>s</w:t>
      </w:r>
      <w:r w:rsidR="00535E3F" w:rsidRPr="000C7952">
        <w:rPr>
          <w:rFonts w:asciiTheme="majorHAnsi" w:hAnsiTheme="majorHAnsi" w:cs="Arial"/>
          <w:sz w:val="22"/>
          <w:szCs w:val="22"/>
        </w:rPr>
        <w:t xml:space="preserve"> from a preventative approach to </w:t>
      </w:r>
      <w:r w:rsidRPr="000C7952">
        <w:rPr>
          <w:rFonts w:asciiTheme="majorHAnsi" w:hAnsiTheme="majorHAnsi" w:cs="Arial"/>
          <w:sz w:val="22"/>
          <w:szCs w:val="22"/>
        </w:rPr>
        <w:t>poor oral health</w:t>
      </w:r>
      <w:r w:rsidR="00535E3F" w:rsidRPr="000C7952">
        <w:rPr>
          <w:rFonts w:asciiTheme="majorHAnsi" w:hAnsiTheme="majorHAnsi" w:cs="Arial"/>
          <w:sz w:val="22"/>
          <w:szCs w:val="22"/>
        </w:rPr>
        <w:t>.</w:t>
      </w:r>
    </w:p>
    <w:p w14:paraId="7D074A57" w14:textId="6DC7A151" w:rsidR="00805422" w:rsidRPr="00805422" w:rsidRDefault="00C6035B" w:rsidP="00805422">
      <w:pPr>
        <w:numPr>
          <w:ilvl w:val="0"/>
          <w:numId w:val="4"/>
        </w:numPr>
        <w:rPr>
          <w:rFonts w:cs="Arial"/>
        </w:rPr>
      </w:pPr>
      <w:r w:rsidRPr="000C7952">
        <w:rPr>
          <w:rFonts w:asciiTheme="majorHAnsi" w:hAnsiTheme="majorHAnsi" w:cs="Arial"/>
          <w:sz w:val="22"/>
          <w:szCs w:val="22"/>
        </w:rPr>
        <w:t>Creation of</w:t>
      </w:r>
      <w:r w:rsidR="00503341" w:rsidRPr="000C7952">
        <w:rPr>
          <w:rFonts w:asciiTheme="majorHAnsi" w:hAnsiTheme="majorHAnsi" w:cs="Arial"/>
          <w:sz w:val="22"/>
          <w:szCs w:val="22"/>
        </w:rPr>
        <w:t xml:space="preserve"> an Aged Pensioner Dental Benefits Schedule</w:t>
      </w:r>
      <w:r w:rsidRPr="000C7952">
        <w:rPr>
          <w:rFonts w:asciiTheme="majorHAnsi" w:hAnsiTheme="majorHAnsi" w:cs="Arial"/>
          <w:sz w:val="22"/>
          <w:szCs w:val="22"/>
        </w:rPr>
        <w:t>, with similarities to the</w:t>
      </w:r>
      <w:r w:rsidRPr="000C7952">
        <w:rPr>
          <w:rFonts w:asciiTheme="majorHAnsi" w:hAnsiTheme="majorHAnsi"/>
        </w:rPr>
        <w:t xml:space="preserve"> </w:t>
      </w:r>
      <w:r w:rsidRPr="000C7952">
        <w:rPr>
          <w:rFonts w:asciiTheme="majorHAnsi" w:hAnsiTheme="majorHAnsi" w:cs="Arial"/>
          <w:sz w:val="22"/>
          <w:szCs w:val="22"/>
        </w:rPr>
        <w:t>Child Dental Benefits Schedule</w:t>
      </w:r>
      <w:r w:rsidR="00DD4743" w:rsidRPr="000C7952">
        <w:rPr>
          <w:rFonts w:asciiTheme="majorHAnsi" w:hAnsiTheme="majorHAnsi" w:cs="Arial"/>
          <w:sz w:val="22"/>
          <w:szCs w:val="22"/>
        </w:rPr>
        <w:t xml:space="preserve">, to lessen the impact </w:t>
      </w:r>
      <w:r w:rsidR="008E3F10" w:rsidRPr="000C7952">
        <w:rPr>
          <w:rFonts w:asciiTheme="majorHAnsi" w:hAnsiTheme="majorHAnsi" w:cs="Arial"/>
          <w:sz w:val="22"/>
          <w:szCs w:val="22"/>
        </w:rPr>
        <w:t>that</w:t>
      </w:r>
      <w:r w:rsidR="00DD4743" w:rsidRPr="000C7952">
        <w:rPr>
          <w:rFonts w:asciiTheme="majorHAnsi" w:hAnsiTheme="majorHAnsi" w:cs="Arial"/>
          <w:sz w:val="22"/>
          <w:szCs w:val="22"/>
        </w:rPr>
        <w:t xml:space="preserve"> poor oral health</w:t>
      </w:r>
      <w:r w:rsidR="008E3F10" w:rsidRPr="000C7952">
        <w:rPr>
          <w:rFonts w:asciiTheme="majorHAnsi" w:hAnsiTheme="majorHAnsi" w:cs="Arial"/>
          <w:sz w:val="22"/>
          <w:szCs w:val="22"/>
        </w:rPr>
        <w:t xml:space="preserve">, </w:t>
      </w:r>
      <w:r w:rsidR="00A6491A">
        <w:rPr>
          <w:rFonts w:asciiTheme="majorHAnsi" w:hAnsiTheme="majorHAnsi" w:cs="Arial"/>
          <w:sz w:val="22"/>
          <w:szCs w:val="22"/>
        </w:rPr>
        <w:t>which lead</w:t>
      </w:r>
      <w:r w:rsidR="008E3F10" w:rsidRPr="000C7952">
        <w:rPr>
          <w:rFonts w:asciiTheme="majorHAnsi" w:hAnsiTheme="majorHAnsi" w:cs="Arial"/>
          <w:sz w:val="22"/>
          <w:szCs w:val="22"/>
        </w:rPr>
        <w:t xml:space="preserve"> to more acute conditions, has</w:t>
      </w:r>
      <w:r w:rsidR="00DD4743" w:rsidRPr="000C7952">
        <w:rPr>
          <w:rFonts w:asciiTheme="majorHAnsi" w:hAnsiTheme="majorHAnsi" w:cs="Arial"/>
          <w:sz w:val="22"/>
          <w:szCs w:val="22"/>
        </w:rPr>
        <w:t xml:space="preserve"> on hospitals.</w:t>
      </w:r>
      <w:r w:rsidR="00805422" w:rsidRPr="00805422">
        <w:t xml:space="preserve"> </w:t>
      </w:r>
    </w:p>
    <w:p w14:paraId="427D9E30" w14:textId="172BCAA9" w:rsidR="00805422" w:rsidRPr="00805422" w:rsidRDefault="00805422" w:rsidP="00805422">
      <w:pPr>
        <w:numPr>
          <w:ilvl w:val="0"/>
          <w:numId w:val="4"/>
        </w:numPr>
        <w:rPr>
          <w:rFonts w:asciiTheme="majorHAnsi" w:hAnsiTheme="majorHAnsi" w:cs="Arial"/>
          <w:sz w:val="22"/>
          <w:szCs w:val="22"/>
        </w:rPr>
      </w:pPr>
      <w:r>
        <w:rPr>
          <w:rFonts w:asciiTheme="majorHAnsi" w:hAnsiTheme="majorHAnsi" w:cs="Arial"/>
          <w:sz w:val="22"/>
          <w:szCs w:val="22"/>
        </w:rPr>
        <w:t>Recognition</w:t>
      </w:r>
      <w:r w:rsidRPr="00805422">
        <w:rPr>
          <w:rFonts w:asciiTheme="majorHAnsi" w:hAnsiTheme="majorHAnsi" w:cs="Arial"/>
          <w:sz w:val="22"/>
          <w:szCs w:val="22"/>
        </w:rPr>
        <w:t xml:space="preserve"> that continuation of funding based purely on outputs will only encourage providers to focus their services on delivering greater outputs. A portion of funding needs to </w:t>
      </w:r>
      <w:r w:rsidRPr="00805422">
        <w:rPr>
          <w:rFonts w:asciiTheme="majorHAnsi" w:hAnsiTheme="majorHAnsi" w:cs="Arial"/>
          <w:sz w:val="22"/>
          <w:szCs w:val="22"/>
        </w:rPr>
        <w:lastRenderedPageBreak/>
        <w:t>be quarantined to reward services that achieve great outcomes for clients including preventative work.</w:t>
      </w:r>
    </w:p>
    <w:p w14:paraId="682A7253" w14:textId="6A22A7F5" w:rsidR="00805422" w:rsidRPr="00805422" w:rsidRDefault="00805422" w:rsidP="00805422">
      <w:pPr>
        <w:numPr>
          <w:ilvl w:val="0"/>
          <w:numId w:val="4"/>
        </w:numPr>
        <w:rPr>
          <w:rFonts w:asciiTheme="majorHAnsi" w:hAnsiTheme="majorHAnsi" w:cs="Arial"/>
          <w:sz w:val="22"/>
          <w:szCs w:val="22"/>
        </w:rPr>
      </w:pPr>
      <w:r>
        <w:rPr>
          <w:rFonts w:asciiTheme="majorHAnsi" w:hAnsiTheme="majorHAnsi" w:cs="Arial"/>
          <w:sz w:val="22"/>
          <w:szCs w:val="22"/>
        </w:rPr>
        <w:t>R</w:t>
      </w:r>
      <w:r w:rsidRPr="00805422">
        <w:rPr>
          <w:rFonts w:asciiTheme="majorHAnsi" w:hAnsiTheme="majorHAnsi" w:cs="Arial"/>
          <w:sz w:val="22"/>
          <w:szCs w:val="22"/>
        </w:rPr>
        <w:t>eturn funding for public dental services through the National Partnership Agreement (NPA) on Adult Public Dental S</w:t>
      </w:r>
      <w:r w:rsidR="00A6491A">
        <w:rPr>
          <w:rFonts w:asciiTheme="majorHAnsi" w:hAnsiTheme="majorHAnsi" w:cs="Arial"/>
          <w:sz w:val="22"/>
          <w:szCs w:val="22"/>
        </w:rPr>
        <w:t>ervices to at least 2016 levels.</w:t>
      </w:r>
    </w:p>
    <w:p w14:paraId="10528596" w14:textId="792F14A0" w:rsidR="00503341" w:rsidRPr="00805422" w:rsidRDefault="00DD4169" w:rsidP="00805422">
      <w:pPr>
        <w:numPr>
          <w:ilvl w:val="0"/>
          <w:numId w:val="4"/>
        </w:numPr>
        <w:rPr>
          <w:rFonts w:asciiTheme="majorHAnsi" w:hAnsiTheme="majorHAnsi" w:cs="Arial"/>
          <w:sz w:val="22"/>
          <w:szCs w:val="22"/>
        </w:rPr>
      </w:pPr>
      <w:r>
        <w:rPr>
          <w:rFonts w:asciiTheme="majorHAnsi" w:hAnsiTheme="majorHAnsi" w:cs="Arial"/>
          <w:sz w:val="22"/>
          <w:szCs w:val="22"/>
        </w:rPr>
        <w:t>S</w:t>
      </w:r>
      <w:r w:rsidR="00805422" w:rsidRPr="00805422">
        <w:rPr>
          <w:rFonts w:asciiTheme="majorHAnsi" w:hAnsiTheme="majorHAnsi" w:cs="Arial"/>
          <w:sz w:val="22"/>
          <w:szCs w:val="22"/>
        </w:rPr>
        <w:t>upport</w:t>
      </w:r>
      <w:r>
        <w:rPr>
          <w:rFonts w:asciiTheme="majorHAnsi" w:hAnsiTheme="majorHAnsi" w:cs="Arial"/>
          <w:sz w:val="22"/>
          <w:szCs w:val="22"/>
        </w:rPr>
        <w:t xml:space="preserve"> for</w:t>
      </w:r>
      <w:r w:rsidR="00805422" w:rsidRPr="00805422">
        <w:rPr>
          <w:rFonts w:asciiTheme="majorHAnsi" w:hAnsiTheme="majorHAnsi" w:cs="Arial"/>
          <w:sz w:val="22"/>
          <w:szCs w:val="22"/>
        </w:rPr>
        <w:t xml:space="preserve"> longer term funding agreements (e.g. five to seven years) that match demand for services and enable providers to plan for and develop more innovative service provision.</w:t>
      </w:r>
    </w:p>
    <w:p w14:paraId="64A6BF8C" w14:textId="6F8CBAEE" w:rsidR="002D4075" w:rsidRPr="000C7952" w:rsidRDefault="002D4075" w:rsidP="002330DD">
      <w:pPr>
        <w:rPr>
          <w:rFonts w:asciiTheme="majorHAnsi" w:hAnsiTheme="majorHAnsi" w:cs="Arial"/>
          <w:b/>
          <w:sz w:val="22"/>
          <w:szCs w:val="22"/>
        </w:rPr>
      </w:pPr>
      <w:r w:rsidRPr="000C7952">
        <w:rPr>
          <w:rFonts w:asciiTheme="majorHAnsi" w:hAnsiTheme="majorHAnsi" w:cs="Arial"/>
          <w:b/>
          <w:sz w:val="22"/>
          <w:szCs w:val="22"/>
        </w:rPr>
        <w:t>National Disability Insurance Scheme</w:t>
      </w:r>
    </w:p>
    <w:p w14:paraId="13EE73DF" w14:textId="5C85DE29" w:rsidR="00503341" w:rsidRPr="000C7952" w:rsidRDefault="008C3500" w:rsidP="002D4075">
      <w:pPr>
        <w:numPr>
          <w:ilvl w:val="0"/>
          <w:numId w:val="11"/>
        </w:numPr>
        <w:rPr>
          <w:rFonts w:asciiTheme="majorHAnsi" w:hAnsiTheme="majorHAnsi" w:cs="Arial"/>
          <w:sz w:val="22"/>
          <w:szCs w:val="22"/>
        </w:rPr>
      </w:pPr>
      <w:r w:rsidRPr="000C7952">
        <w:rPr>
          <w:rFonts w:asciiTheme="majorHAnsi" w:hAnsiTheme="majorHAnsi" w:cs="Arial"/>
          <w:sz w:val="22"/>
          <w:szCs w:val="22"/>
        </w:rPr>
        <w:t xml:space="preserve">Provision for a funding </w:t>
      </w:r>
      <w:r w:rsidR="00503341" w:rsidRPr="000C7952">
        <w:rPr>
          <w:rFonts w:asciiTheme="majorHAnsi" w:hAnsiTheme="majorHAnsi" w:cs="Arial"/>
          <w:sz w:val="22"/>
          <w:szCs w:val="22"/>
        </w:rPr>
        <w:t xml:space="preserve">supplement for public health services </w:t>
      </w:r>
      <w:r w:rsidR="008E3F10" w:rsidRPr="000C7952">
        <w:rPr>
          <w:rFonts w:asciiTheme="majorHAnsi" w:hAnsiTheme="majorHAnsi" w:cs="Arial"/>
          <w:sz w:val="22"/>
          <w:szCs w:val="22"/>
        </w:rPr>
        <w:t>providing care</w:t>
      </w:r>
      <w:r w:rsidR="002D4075" w:rsidRPr="000C7952">
        <w:rPr>
          <w:rFonts w:asciiTheme="majorHAnsi" w:hAnsiTheme="majorHAnsi" w:cs="Arial"/>
          <w:sz w:val="22"/>
          <w:szCs w:val="22"/>
        </w:rPr>
        <w:t xml:space="preserve"> in acute care settings</w:t>
      </w:r>
      <w:r w:rsidR="00503341" w:rsidRPr="000C7952">
        <w:rPr>
          <w:rFonts w:asciiTheme="majorHAnsi" w:hAnsiTheme="majorHAnsi" w:cs="Arial"/>
          <w:sz w:val="22"/>
          <w:szCs w:val="22"/>
        </w:rPr>
        <w:t xml:space="preserve"> </w:t>
      </w:r>
      <w:r w:rsidR="008E3F10" w:rsidRPr="000C7952">
        <w:rPr>
          <w:rFonts w:asciiTheme="majorHAnsi" w:hAnsiTheme="majorHAnsi" w:cs="Arial"/>
          <w:sz w:val="22"/>
          <w:szCs w:val="22"/>
        </w:rPr>
        <w:t>to people with disability due to the fact they</w:t>
      </w:r>
      <w:r w:rsidR="00503341" w:rsidRPr="000C7952">
        <w:rPr>
          <w:rFonts w:asciiTheme="majorHAnsi" w:hAnsiTheme="majorHAnsi" w:cs="Arial"/>
          <w:sz w:val="22"/>
          <w:szCs w:val="22"/>
        </w:rPr>
        <w:t xml:space="preserve"> cannot be discharged </w:t>
      </w:r>
      <w:r w:rsidRPr="000C7952">
        <w:rPr>
          <w:rFonts w:asciiTheme="majorHAnsi" w:hAnsiTheme="majorHAnsi" w:cs="Arial"/>
          <w:sz w:val="22"/>
          <w:szCs w:val="22"/>
        </w:rPr>
        <w:t xml:space="preserve">and </w:t>
      </w:r>
      <w:r w:rsidR="00503341" w:rsidRPr="000C7952">
        <w:rPr>
          <w:rFonts w:asciiTheme="majorHAnsi" w:hAnsiTheme="majorHAnsi" w:cs="Arial"/>
          <w:sz w:val="22"/>
          <w:szCs w:val="22"/>
        </w:rPr>
        <w:t xml:space="preserve">are </w:t>
      </w:r>
      <w:r w:rsidRPr="000C7952">
        <w:rPr>
          <w:rFonts w:asciiTheme="majorHAnsi" w:hAnsiTheme="majorHAnsi" w:cs="Arial"/>
          <w:sz w:val="22"/>
          <w:szCs w:val="22"/>
        </w:rPr>
        <w:t>a</w:t>
      </w:r>
      <w:r w:rsidR="00503341" w:rsidRPr="000C7952">
        <w:rPr>
          <w:rFonts w:asciiTheme="majorHAnsi" w:hAnsiTheme="majorHAnsi" w:cs="Arial"/>
          <w:sz w:val="22"/>
          <w:szCs w:val="22"/>
        </w:rPr>
        <w:t xml:space="preserve">waiting </w:t>
      </w:r>
      <w:r w:rsidRPr="000C7952">
        <w:rPr>
          <w:rFonts w:asciiTheme="majorHAnsi" w:hAnsiTheme="majorHAnsi" w:cs="Arial"/>
          <w:sz w:val="22"/>
          <w:szCs w:val="22"/>
        </w:rPr>
        <w:t xml:space="preserve">implementation of </w:t>
      </w:r>
      <w:r w:rsidR="00503341" w:rsidRPr="000C7952">
        <w:rPr>
          <w:rFonts w:asciiTheme="majorHAnsi" w:hAnsiTheme="majorHAnsi" w:cs="Arial"/>
          <w:sz w:val="22"/>
          <w:szCs w:val="22"/>
        </w:rPr>
        <w:t>a</w:t>
      </w:r>
      <w:r w:rsidR="00A77930" w:rsidRPr="000C7952">
        <w:rPr>
          <w:rFonts w:asciiTheme="majorHAnsi" w:hAnsiTheme="majorHAnsi" w:cs="Arial"/>
          <w:sz w:val="22"/>
          <w:szCs w:val="22"/>
        </w:rPr>
        <w:t xml:space="preserve"> </w:t>
      </w:r>
      <w:r w:rsidR="002D4075" w:rsidRPr="000C7952">
        <w:rPr>
          <w:rFonts w:asciiTheme="majorHAnsi" w:hAnsiTheme="majorHAnsi" w:cs="Arial"/>
          <w:sz w:val="22"/>
          <w:szCs w:val="22"/>
        </w:rPr>
        <w:t xml:space="preserve">National Disability Insurance Scheme </w:t>
      </w:r>
      <w:r w:rsidR="00A77930" w:rsidRPr="000C7952">
        <w:rPr>
          <w:rFonts w:asciiTheme="majorHAnsi" w:hAnsiTheme="majorHAnsi" w:cs="Arial"/>
          <w:sz w:val="22"/>
          <w:szCs w:val="22"/>
        </w:rPr>
        <w:t>plan.</w:t>
      </w:r>
    </w:p>
    <w:p w14:paraId="4A1110CD" w14:textId="2951ECEB" w:rsidR="00A77930" w:rsidRPr="000C7952" w:rsidRDefault="00A77930" w:rsidP="000A4D43">
      <w:pPr>
        <w:pStyle w:val="ListParagraph"/>
        <w:numPr>
          <w:ilvl w:val="0"/>
          <w:numId w:val="11"/>
        </w:numPr>
        <w:rPr>
          <w:rFonts w:cs="Arial"/>
        </w:rPr>
      </w:pPr>
      <w:r w:rsidRPr="000C7952">
        <w:rPr>
          <w:rFonts w:cs="Arial"/>
        </w:rPr>
        <w:t>D</w:t>
      </w:r>
      <w:r w:rsidR="00503341" w:rsidRPr="000C7952">
        <w:rPr>
          <w:rFonts w:cs="Arial"/>
        </w:rPr>
        <w:t>evelop</w:t>
      </w:r>
      <w:r w:rsidRPr="000C7952">
        <w:rPr>
          <w:rFonts w:cs="Arial"/>
        </w:rPr>
        <w:t>ment of</w:t>
      </w:r>
      <w:r w:rsidR="00503341" w:rsidRPr="000C7952">
        <w:rPr>
          <w:rFonts w:cs="Arial"/>
        </w:rPr>
        <w:t xml:space="preserve"> a market strategy for managing natural monopoly markets in regional and rural areas</w:t>
      </w:r>
      <w:r w:rsidR="009903CC" w:rsidRPr="000C7952">
        <w:rPr>
          <w:rFonts w:cs="Arial"/>
        </w:rPr>
        <w:t xml:space="preserve"> where a ‘thin market’ may develop and inhibit service</w:t>
      </w:r>
      <w:r w:rsidR="002330DD" w:rsidRPr="000C7952">
        <w:rPr>
          <w:rFonts w:cs="Arial"/>
        </w:rPr>
        <w:t>, with proposals developed to</w:t>
      </w:r>
      <w:r w:rsidR="000C7952" w:rsidRPr="000C7952">
        <w:rPr>
          <w:rFonts w:cs="Arial"/>
        </w:rPr>
        <w:t>:</w:t>
      </w:r>
      <w:r w:rsidR="002330DD" w:rsidRPr="000C7952">
        <w:rPr>
          <w:rFonts w:cs="Arial"/>
        </w:rPr>
        <w:t xml:space="preserve"> support</w:t>
      </w:r>
      <w:r w:rsidR="002330DD" w:rsidRPr="000C7952">
        <w:t xml:space="preserve"> </w:t>
      </w:r>
      <w:r w:rsidR="002330DD" w:rsidRPr="000C7952">
        <w:rPr>
          <w:rFonts w:cs="Arial"/>
        </w:rPr>
        <w:t xml:space="preserve">sole allied health providers in a market; </w:t>
      </w:r>
      <w:r w:rsidR="000C7952" w:rsidRPr="000C7952">
        <w:rPr>
          <w:rFonts w:cs="Arial"/>
        </w:rPr>
        <w:t xml:space="preserve">provide </w:t>
      </w:r>
      <w:r w:rsidR="002330DD" w:rsidRPr="000C7952">
        <w:rPr>
          <w:rFonts w:cs="Arial"/>
        </w:rPr>
        <w:t>rural allowances for inc</w:t>
      </w:r>
      <w:r w:rsidR="000C7952" w:rsidRPr="000C7952">
        <w:rPr>
          <w:rFonts w:cs="Arial"/>
        </w:rPr>
        <w:t xml:space="preserve">reased costs and lack of scale; create a </w:t>
      </w:r>
      <w:r w:rsidR="002330DD" w:rsidRPr="000C7952">
        <w:rPr>
          <w:rFonts w:cs="Arial"/>
        </w:rPr>
        <w:t xml:space="preserve">geographic classification for loadings based on participant population and coverage; </w:t>
      </w:r>
      <w:r w:rsidR="000C7952" w:rsidRPr="000C7952">
        <w:rPr>
          <w:rFonts w:cs="Arial"/>
        </w:rPr>
        <w:t xml:space="preserve">create </w:t>
      </w:r>
      <w:r w:rsidR="000A739D" w:rsidRPr="000C7952">
        <w:rPr>
          <w:rFonts w:cs="Arial"/>
        </w:rPr>
        <w:t>principles to guide decision making for transport arrangements and funding that supports provider sustainability</w:t>
      </w:r>
      <w:r w:rsidR="000A4D43" w:rsidRPr="000C7952">
        <w:rPr>
          <w:rFonts w:cs="Arial"/>
        </w:rPr>
        <w:t xml:space="preserve">; </w:t>
      </w:r>
      <w:r w:rsidR="000C7952" w:rsidRPr="000C7952">
        <w:rPr>
          <w:rFonts w:cs="Arial"/>
        </w:rPr>
        <w:t>outline principles for</w:t>
      </w:r>
      <w:r w:rsidR="002330DD" w:rsidRPr="000C7952">
        <w:rPr>
          <w:rFonts w:cs="Arial"/>
        </w:rPr>
        <w:t xml:space="preserve"> a standard of allied health service access in small towns.</w:t>
      </w:r>
    </w:p>
    <w:p w14:paraId="1B892A04" w14:textId="1F6FE406" w:rsidR="00503341" w:rsidRPr="000C7952" w:rsidRDefault="00334B2A" w:rsidP="00503341">
      <w:pPr>
        <w:rPr>
          <w:rFonts w:asciiTheme="majorHAnsi" w:hAnsiTheme="majorHAnsi" w:cs="Arial"/>
          <w:b/>
          <w:sz w:val="22"/>
          <w:szCs w:val="22"/>
        </w:rPr>
      </w:pPr>
      <w:r w:rsidRPr="000C7952">
        <w:rPr>
          <w:rFonts w:asciiTheme="majorHAnsi" w:hAnsiTheme="majorHAnsi" w:cs="Arial"/>
          <w:b/>
          <w:sz w:val="22"/>
          <w:szCs w:val="22"/>
        </w:rPr>
        <w:t>Data</w:t>
      </w:r>
    </w:p>
    <w:p w14:paraId="646E1DF3" w14:textId="6FB83ED9" w:rsidR="00A77930" w:rsidRPr="000C7952" w:rsidRDefault="00A77930" w:rsidP="000C7952">
      <w:pPr>
        <w:numPr>
          <w:ilvl w:val="0"/>
          <w:numId w:val="14"/>
        </w:numPr>
        <w:rPr>
          <w:rFonts w:asciiTheme="majorHAnsi" w:hAnsiTheme="majorHAnsi" w:cs="Arial"/>
          <w:sz w:val="22"/>
          <w:szCs w:val="22"/>
        </w:rPr>
      </w:pPr>
      <w:r w:rsidRPr="000C7952">
        <w:rPr>
          <w:rFonts w:asciiTheme="majorHAnsi" w:hAnsiTheme="majorHAnsi" w:cs="Arial"/>
          <w:sz w:val="22"/>
          <w:szCs w:val="22"/>
        </w:rPr>
        <w:t>D</w:t>
      </w:r>
      <w:r w:rsidR="00F57285" w:rsidRPr="000C7952">
        <w:rPr>
          <w:rFonts w:asciiTheme="majorHAnsi" w:hAnsiTheme="majorHAnsi" w:cs="Arial"/>
          <w:sz w:val="22"/>
          <w:szCs w:val="22"/>
        </w:rPr>
        <w:t>evelopment of a Primary Health Care National Minimum Data Set</w:t>
      </w:r>
      <w:r w:rsidR="0014565A" w:rsidRPr="000C7952">
        <w:rPr>
          <w:rFonts w:asciiTheme="majorHAnsi" w:hAnsiTheme="majorHAnsi" w:cs="Arial"/>
          <w:sz w:val="22"/>
          <w:szCs w:val="22"/>
        </w:rPr>
        <w:t xml:space="preserve"> to map and chronicle primary healthcare</w:t>
      </w:r>
      <w:r w:rsidR="002330DD" w:rsidRPr="000C7952">
        <w:rPr>
          <w:rFonts w:asciiTheme="majorHAnsi" w:hAnsiTheme="majorHAnsi" w:cs="Arial"/>
          <w:sz w:val="22"/>
          <w:szCs w:val="22"/>
        </w:rPr>
        <w:t>,</w:t>
      </w:r>
      <w:r w:rsidR="0014565A" w:rsidRPr="000C7952">
        <w:rPr>
          <w:rFonts w:asciiTheme="majorHAnsi" w:hAnsiTheme="majorHAnsi" w:cs="Arial"/>
          <w:sz w:val="22"/>
          <w:szCs w:val="22"/>
        </w:rPr>
        <w:t xml:space="preserve"> like other healthcare areas</w:t>
      </w:r>
      <w:r w:rsidR="002330DD" w:rsidRPr="000C7952">
        <w:rPr>
          <w:rFonts w:asciiTheme="majorHAnsi" w:hAnsiTheme="majorHAnsi" w:cs="Arial"/>
          <w:sz w:val="22"/>
          <w:szCs w:val="22"/>
        </w:rPr>
        <w:t xml:space="preserve">, so that </w:t>
      </w:r>
      <w:r w:rsidR="00332C9D" w:rsidRPr="000C7952">
        <w:rPr>
          <w:rFonts w:asciiTheme="majorHAnsi" w:hAnsiTheme="majorHAnsi" w:cs="Arial"/>
          <w:sz w:val="22"/>
          <w:szCs w:val="22"/>
        </w:rPr>
        <w:t xml:space="preserve">patient outcomes and usage can be </w:t>
      </w:r>
      <w:r w:rsidR="005E774D">
        <w:rPr>
          <w:rFonts w:asciiTheme="majorHAnsi" w:hAnsiTheme="majorHAnsi" w:cs="Arial"/>
          <w:sz w:val="22"/>
          <w:szCs w:val="22"/>
        </w:rPr>
        <w:t>analysed</w:t>
      </w:r>
      <w:r w:rsidR="00332C9D" w:rsidRPr="000C7952">
        <w:rPr>
          <w:rFonts w:asciiTheme="majorHAnsi" w:hAnsiTheme="majorHAnsi" w:cs="Arial"/>
          <w:sz w:val="22"/>
          <w:szCs w:val="22"/>
        </w:rPr>
        <w:t xml:space="preserve">, which should </w:t>
      </w:r>
      <w:r w:rsidR="00D02805" w:rsidRPr="000C7952">
        <w:rPr>
          <w:rFonts w:asciiTheme="majorHAnsi" w:hAnsiTheme="majorHAnsi" w:cs="Arial"/>
          <w:sz w:val="22"/>
          <w:szCs w:val="22"/>
        </w:rPr>
        <w:t>enable health services</w:t>
      </w:r>
      <w:r w:rsidR="00332C9D" w:rsidRPr="000C7952">
        <w:rPr>
          <w:rFonts w:asciiTheme="majorHAnsi" w:hAnsiTheme="majorHAnsi" w:cs="Arial"/>
          <w:sz w:val="22"/>
          <w:szCs w:val="22"/>
        </w:rPr>
        <w:t xml:space="preserve"> to improve healthcare provision</w:t>
      </w:r>
      <w:r w:rsidR="00F57285" w:rsidRPr="000C7952">
        <w:rPr>
          <w:rFonts w:asciiTheme="majorHAnsi" w:hAnsiTheme="majorHAnsi" w:cs="Arial"/>
          <w:sz w:val="22"/>
          <w:szCs w:val="22"/>
        </w:rPr>
        <w:t>.</w:t>
      </w:r>
      <w:r w:rsidR="006D53C4" w:rsidRPr="000C7952">
        <w:rPr>
          <w:rFonts w:asciiTheme="majorHAnsi" w:hAnsiTheme="majorHAnsi" w:cs="Arial"/>
          <w:sz w:val="22"/>
          <w:szCs w:val="22"/>
        </w:rPr>
        <w:t xml:space="preserve"> </w:t>
      </w:r>
      <w:r w:rsidR="000C7952" w:rsidRPr="000C7952">
        <w:rPr>
          <w:rFonts w:asciiTheme="majorHAnsi" w:hAnsiTheme="majorHAnsi" w:cs="Arial"/>
          <w:sz w:val="22"/>
          <w:szCs w:val="22"/>
        </w:rPr>
        <w:t>This should be developed with the c</w:t>
      </w:r>
      <w:r w:rsidRPr="000C7952">
        <w:rPr>
          <w:rFonts w:asciiTheme="majorHAnsi" w:hAnsiTheme="majorHAnsi" w:cs="Arial"/>
          <w:sz w:val="22"/>
          <w:szCs w:val="22"/>
        </w:rPr>
        <w:t>reation of</w:t>
      </w:r>
      <w:r w:rsidR="006D53C4" w:rsidRPr="000C7952">
        <w:rPr>
          <w:rFonts w:asciiTheme="majorHAnsi" w:hAnsiTheme="majorHAnsi" w:cs="Arial"/>
          <w:sz w:val="22"/>
          <w:szCs w:val="22"/>
        </w:rPr>
        <w:t xml:space="preserve"> a nati</w:t>
      </w:r>
      <w:r w:rsidRPr="000C7952">
        <w:rPr>
          <w:rFonts w:asciiTheme="majorHAnsi" w:hAnsiTheme="majorHAnsi" w:cs="Arial"/>
          <w:sz w:val="22"/>
          <w:szCs w:val="22"/>
        </w:rPr>
        <w:t>onal</w:t>
      </w:r>
      <w:r w:rsidR="00741031" w:rsidRPr="000C7952">
        <w:rPr>
          <w:rFonts w:asciiTheme="majorHAnsi" w:hAnsiTheme="majorHAnsi" w:cs="Arial"/>
          <w:sz w:val="22"/>
          <w:szCs w:val="22"/>
        </w:rPr>
        <w:t xml:space="preserve"> data governance framework</w:t>
      </w:r>
      <w:r w:rsidR="0014565A" w:rsidRPr="000C7952">
        <w:rPr>
          <w:rFonts w:asciiTheme="majorHAnsi" w:hAnsiTheme="majorHAnsi" w:cs="Arial"/>
          <w:sz w:val="22"/>
          <w:szCs w:val="22"/>
        </w:rPr>
        <w:t xml:space="preserve"> to guide</w:t>
      </w:r>
      <w:r w:rsidR="00332C9D" w:rsidRPr="000C7952">
        <w:rPr>
          <w:rFonts w:asciiTheme="majorHAnsi" w:hAnsiTheme="majorHAnsi" w:cs="Arial"/>
          <w:sz w:val="22"/>
          <w:szCs w:val="22"/>
        </w:rPr>
        <w:t xml:space="preserve"> the</w:t>
      </w:r>
      <w:r w:rsidR="0014565A" w:rsidRPr="000C7952">
        <w:rPr>
          <w:rFonts w:asciiTheme="majorHAnsi" w:hAnsiTheme="majorHAnsi" w:cs="Arial"/>
          <w:sz w:val="22"/>
          <w:szCs w:val="22"/>
        </w:rPr>
        <w:t xml:space="preserve"> </w:t>
      </w:r>
      <w:r w:rsidR="00332C9D" w:rsidRPr="000C7952">
        <w:rPr>
          <w:rFonts w:asciiTheme="majorHAnsi" w:hAnsiTheme="majorHAnsi" w:cs="Arial"/>
          <w:sz w:val="22"/>
          <w:szCs w:val="22"/>
        </w:rPr>
        <w:t xml:space="preserve">Primary Health Care National Minimum Data Set </w:t>
      </w:r>
      <w:r w:rsidR="0014565A" w:rsidRPr="000C7952">
        <w:rPr>
          <w:rFonts w:asciiTheme="majorHAnsi" w:hAnsiTheme="majorHAnsi" w:cs="Arial"/>
          <w:sz w:val="22"/>
          <w:szCs w:val="22"/>
        </w:rPr>
        <w:t>and other national data sets</w:t>
      </w:r>
      <w:r w:rsidR="00332C9D" w:rsidRPr="000C7952">
        <w:rPr>
          <w:rFonts w:asciiTheme="majorHAnsi" w:hAnsiTheme="majorHAnsi" w:cs="Arial"/>
          <w:sz w:val="22"/>
          <w:szCs w:val="22"/>
        </w:rPr>
        <w:t xml:space="preserve"> so that they can be used together to generate more knowledge about the Australian health system</w:t>
      </w:r>
      <w:r w:rsidRPr="000C7952">
        <w:rPr>
          <w:rFonts w:asciiTheme="majorHAnsi" w:hAnsiTheme="majorHAnsi" w:cs="Arial"/>
          <w:sz w:val="22"/>
          <w:szCs w:val="22"/>
        </w:rPr>
        <w:t>.</w:t>
      </w:r>
      <w:r w:rsidR="000C7952" w:rsidRPr="000C7952">
        <w:rPr>
          <w:rFonts w:asciiTheme="majorHAnsi" w:hAnsiTheme="majorHAnsi" w:cs="Arial"/>
          <w:sz w:val="22"/>
          <w:szCs w:val="22"/>
        </w:rPr>
        <w:t xml:space="preserve"> </w:t>
      </w:r>
      <w:r w:rsidRPr="000C7952">
        <w:rPr>
          <w:rFonts w:asciiTheme="majorHAnsi" w:hAnsiTheme="majorHAnsi"/>
          <w:sz w:val="22"/>
        </w:rPr>
        <w:t>All</w:t>
      </w:r>
      <w:r w:rsidR="00F57285" w:rsidRPr="000C7952">
        <w:rPr>
          <w:rFonts w:asciiTheme="majorHAnsi" w:hAnsiTheme="majorHAnsi"/>
          <w:sz w:val="22"/>
        </w:rPr>
        <w:t xml:space="preserve"> primary health care services,</w:t>
      </w:r>
      <w:r w:rsidR="00741031" w:rsidRPr="000C7952">
        <w:rPr>
          <w:rFonts w:asciiTheme="majorHAnsi" w:hAnsiTheme="majorHAnsi"/>
          <w:sz w:val="22"/>
        </w:rPr>
        <w:t xml:space="preserve"> </w:t>
      </w:r>
      <w:r w:rsidR="008C3500" w:rsidRPr="000C7952">
        <w:rPr>
          <w:rFonts w:asciiTheme="majorHAnsi" w:hAnsiTheme="majorHAnsi"/>
          <w:sz w:val="22"/>
        </w:rPr>
        <w:t>including</w:t>
      </w:r>
      <w:r w:rsidR="00741031" w:rsidRPr="000C7952">
        <w:rPr>
          <w:rFonts w:asciiTheme="majorHAnsi" w:hAnsiTheme="majorHAnsi"/>
          <w:sz w:val="22"/>
        </w:rPr>
        <w:t xml:space="preserve"> community health services</w:t>
      </w:r>
      <w:r w:rsidR="00F57285" w:rsidRPr="000C7952">
        <w:rPr>
          <w:rFonts w:asciiTheme="majorHAnsi" w:hAnsiTheme="majorHAnsi"/>
          <w:sz w:val="22"/>
        </w:rPr>
        <w:t xml:space="preserve">, </w:t>
      </w:r>
      <w:r w:rsidR="000C7952">
        <w:rPr>
          <w:rFonts w:asciiTheme="majorHAnsi" w:hAnsiTheme="majorHAnsi"/>
          <w:sz w:val="22"/>
        </w:rPr>
        <w:t>must</w:t>
      </w:r>
      <w:r w:rsidRPr="000C7952">
        <w:rPr>
          <w:rFonts w:asciiTheme="majorHAnsi" w:hAnsiTheme="majorHAnsi"/>
          <w:sz w:val="22"/>
        </w:rPr>
        <w:t xml:space="preserve"> be a part of data collection</w:t>
      </w:r>
      <w:r w:rsidR="009903CC" w:rsidRPr="000C7952">
        <w:rPr>
          <w:rFonts w:asciiTheme="majorHAnsi" w:hAnsiTheme="majorHAnsi"/>
          <w:sz w:val="22"/>
        </w:rPr>
        <w:t xml:space="preserve"> for the </w:t>
      </w:r>
      <w:r w:rsidR="009903CC" w:rsidRPr="000C7952">
        <w:rPr>
          <w:rFonts w:asciiTheme="majorHAnsi" w:hAnsiTheme="majorHAnsi" w:cs="Arial"/>
          <w:sz w:val="22"/>
        </w:rPr>
        <w:t>Primary Health Care National Minimum Data Set</w:t>
      </w:r>
      <w:r w:rsidR="000C7952">
        <w:rPr>
          <w:rFonts w:asciiTheme="majorHAnsi" w:hAnsiTheme="majorHAnsi"/>
          <w:sz w:val="22"/>
        </w:rPr>
        <w:t>, so that the full spectrum of primary care can be analysed.</w:t>
      </w:r>
    </w:p>
    <w:p w14:paraId="2D8A4832" w14:textId="6B8E19F0" w:rsidR="001300B9" w:rsidRPr="000C7952" w:rsidRDefault="00A77930" w:rsidP="000F2A80">
      <w:pPr>
        <w:pStyle w:val="ListParagraph"/>
      </w:pPr>
      <w:r w:rsidRPr="000C7952">
        <w:t>I</w:t>
      </w:r>
      <w:r w:rsidR="003B0828" w:rsidRPr="000C7952">
        <w:t xml:space="preserve">ncreased reporting commitments </w:t>
      </w:r>
      <w:r w:rsidR="009903CC" w:rsidRPr="000C7952">
        <w:t xml:space="preserve">for the </w:t>
      </w:r>
      <w:r w:rsidR="009903CC" w:rsidRPr="000C7952">
        <w:rPr>
          <w:rFonts w:cs="Arial"/>
        </w:rPr>
        <w:t xml:space="preserve">Primary Health Care National Minimum Data Set </w:t>
      </w:r>
      <w:r w:rsidRPr="000C7952">
        <w:t>to be matched with</w:t>
      </w:r>
      <w:r w:rsidR="003B0828" w:rsidRPr="000C7952">
        <w:t xml:space="preserve"> funding increases</w:t>
      </w:r>
      <w:r w:rsidR="00332C9D" w:rsidRPr="000C7952">
        <w:t>, so that responsibility is not passed onto already stretched parts of the Australian health system</w:t>
      </w:r>
      <w:r w:rsidR="003B0828" w:rsidRPr="000C7952">
        <w:t>.</w:t>
      </w:r>
      <w:r w:rsidR="001300B9" w:rsidRPr="000C7952">
        <w:rPr>
          <w:sz w:val="18"/>
          <w:szCs w:val="20"/>
        </w:rPr>
        <w:br w:type="page"/>
      </w:r>
    </w:p>
    <w:p w14:paraId="570D2C72" w14:textId="39B28FE3" w:rsidR="00C3376B" w:rsidRPr="000C7952" w:rsidRDefault="00A7535E" w:rsidP="00C3376B">
      <w:pPr>
        <w:pStyle w:val="Subhead"/>
        <w:outlineLvl w:val="0"/>
        <w:rPr>
          <w:rFonts w:asciiTheme="majorHAnsi" w:hAnsiTheme="majorHAnsi"/>
        </w:rPr>
      </w:pPr>
      <w:r w:rsidRPr="000C7952">
        <w:rPr>
          <w:rFonts w:asciiTheme="majorHAnsi" w:hAnsiTheme="majorHAnsi"/>
        </w:rPr>
        <w:lastRenderedPageBreak/>
        <w:t>Promotion and prevention</w:t>
      </w:r>
    </w:p>
    <w:p w14:paraId="18FB89E7" w14:textId="77777777" w:rsidR="0001352F" w:rsidRPr="000C7952" w:rsidRDefault="0001352F" w:rsidP="00A7535E">
      <w:pPr>
        <w:rPr>
          <w:rFonts w:asciiTheme="majorHAnsi" w:hAnsiTheme="majorHAnsi" w:cs="Arial"/>
          <w:b/>
          <w:sz w:val="22"/>
          <w:szCs w:val="20"/>
        </w:rPr>
      </w:pPr>
      <w:r w:rsidRPr="000C7952">
        <w:rPr>
          <w:rFonts w:asciiTheme="majorHAnsi" w:hAnsiTheme="majorHAnsi" w:cs="Arial"/>
          <w:b/>
          <w:sz w:val="22"/>
          <w:szCs w:val="20"/>
        </w:rPr>
        <w:t>Situation</w:t>
      </w:r>
    </w:p>
    <w:p w14:paraId="7EC2F9A2" w14:textId="66A7C34D" w:rsidR="00A7535E" w:rsidRPr="000C7952" w:rsidRDefault="00A7535E" w:rsidP="00A7535E">
      <w:pPr>
        <w:rPr>
          <w:rFonts w:asciiTheme="majorHAnsi" w:hAnsiTheme="majorHAnsi" w:cs="Arial"/>
          <w:sz w:val="22"/>
          <w:szCs w:val="20"/>
        </w:rPr>
      </w:pPr>
      <w:r w:rsidRPr="000C7952">
        <w:rPr>
          <w:rFonts w:asciiTheme="majorHAnsi" w:hAnsiTheme="majorHAnsi" w:cs="Arial"/>
          <w:sz w:val="22"/>
          <w:szCs w:val="20"/>
        </w:rPr>
        <w:t>Three quarters of all Australians</w:t>
      </w:r>
      <w:r w:rsidR="00814939" w:rsidRPr="000C7952">
        <w:rPr>
          <w:rFonts w:asciiTheme="majorHAnsi" w:hAnsiTheme="majorHAnsi" w:cs="Arial"/>
          <w:sz w:val="22"/>
          <w:szCs w:val="20"/>
        </w:rPr>
        <w:t xml:space="preserve"> over the age of 65</w:t>
      </w:r>
      <w:r w:rsidRPr="000C7952">
        <w:rPr>
          <w:rFonts w:asciiTheme="majorHAnsi" w:hAnsiTheme="majorHAnsi" w:cs="Arial"/>
          <w:sz w:val="22"/>
          <w:szCs w:val="20"/>
        </w:rPr>
        <w:t xml:space="preserve"> have at least one chronic condition</w:t>
      </w:r>
      <w:r w:rsidR="00A30BE4" w:rsidRPr="000C7952">
        <w:rPr>
          <w:rStyle w:val="FootnoteReference"/>
          <w:rFonts w:asciiTheme="majorHAnsi" w:hAnsiTheme="majorHAnsi" w:cs="Arial"/>
          <w:sz w:val="22"/>
          <w:szCs w:val="20"/>
        </w:rPr>
        <w:footnoteReference w:id="1"/>
      </w:r>
      <w:r w:rsidR="00386D95">
        <w:rPr>
          <w:rFonts w:asciiTheme="majorHAnsi" w:hAnsiTheme="majorHAnsi" w:cs="Arial"/>
          <w:sz w:val="22"/>
          <w:szCs w:val="20"/>
        </w:rPr>
        <w:t>. W</w:t>
      </w:r>
      <w:r w:rsidRPr="000C7952">
        <w:rPr>
          <w:rFonts w:asciiTheme="majorHAnsi" w:hAnsiTheme="majorHAnsi" w:cs="Arial"/>
          <w:sz w:val="22"/>
          <w:szCs w:val="20"/>
        </w:rPr>
        <w:t>hile the cost of preventable hospitalisations attributed to chronic conditions is estimated to be at least $322 million per year</w:t>
      </w:r>
      <w:r w:rsidR="00A30BE4" w:rsidRPr="000C7952">
        <w:rPr>
          <w:rStyle w:val="FootnoteReference"/>
          <w:rFonts w:asciiTheme="majorHAnsi" w:hAnsiTheme="majorHAnsi" w:cs="Arial"/>
          <w:sz w:val="22"/>
          <w:szCs w:val="20"/>
        </w:rPr>
        <w:footnoteReference w:id="2"/>
      </w:r>
      <w:r w:rsidR="00386D95">
        <w:rPr>
          <w:rFonts w:asciiTheme="majorHAnsi" w:hAnsiTheme="majorHAnsi" w:cs="Arial"/>
          <w:sz w:val="22"/>
          <w:szCs w:val="20"/>
        </w:rPr>
        <w:t>, funding for</w:t>
      </w:r>
      <w:r w:rsidRPr="000C7952">
        <w:rPr>
          <w:rFonts w:asciiTheme="majorHAnsi" w:hAnsiTheme="majorHAnsi" w:cs="Arial"/>
          <w:sz w:val="22"/>
          <w:szCs w:val="20"/>
        </w:rPr>
        <w:t xml:space="preserve"> prevention</w:t>
      </w:r>
      <w:r w:rsidR="00386D95">
        <w:rPr>
          <w:rFonts w:asciiTheme="majorHAnsi" w:hAnsiTheme="majorHAnsi" w:cs="Arial"/>
          <w:sz w:val="22"/>
          <w:szCs w:val="20"/>
        </w:rPr>
        <w:t xml:space="preserve"> and early intervention</w:t>
      </w:r>
      <w:r w:rsidRPr="000C7952">
        <w:rPr>
          <w:rFonts w:asciiTheme="majorHAnsi" w:hAnsiTheme="majorHAnsi" w:cs="Arial"/>
          <w:sz w:val="22"/>
          <w:szCs w:val="20"/>
        </w:rPr>
        <w:t xml:space="preserve"> activities</w:t>
      </w:r>
      <w:r w:rsidR="00386D95">
        <w:rPr>
          <w:rFonts w:asciiTheme="majorHAnsi" w:hAnsiTheme="majorHAnsi" w:cs="Arial"/>
          <w:sz w:val="22"/>
          <w:szCs w:val="20"/>
        </w:rPr>
        <w:t xml:space="preserve"> has gone backwards.</w:t>
      </w:r>
    </w:p>
    <w:p w14:paraId="18EFACFF" w14:textId="77777777" w:rsidR="00A7535E" w:rsidRPr="000C7952" w:rsidRDefault="00A7535E" w:rsidP="00A7535E">
      <w:pPr>
        <w:rPr>
          <w:rFonts w:asciiTheme="majorHAnsi" w:hAnsiTheme="majorHAnsi" w:cs="Arial"/>
          <w:sz w:val="22"/>
          <w:szCs w:val="20"/>
        </w:rPr>
      </w:pPr>
    </w:p>
    <w:p w14:paraId="3DCC70C1" w14:textId="36AF9E66" w:rsidR="00A7535E" w:rsidRPr="000C7952" w:rsidRDefault="00A7535E" w:rsidP="00A7535E">
      <w:pPr>
        <w:rPr>
          <w:rFonts w:asciiTheme="majorHAnsi" w:hAnsiTheme="majorHAnsi" w:cs="Arial"/>
          <w:sz w:val="22"/>
          <w:szCs w:val="20"/>
        </w:rPr>
      </w:pPr>
      <w:r w:rsidRPr="000C7952">
        <w:rPr>
          <w:rFonts w:asciiTheme="majorHAnsi" w:hAnsiTheme="majorHAnsi" w:cs="Arial"/>
          <w:sz w:val="22"/>
          <w:szCs w:val="20"/>
        </w:rPr>
        <w:t xml:space="preserve">While the </w:t>
      </w:r>
      <w:r w:rsidR="0001352F" w:rsidRPr="000C7952">
        <w:rPr>
          <w:rFonts w:asciiTheme="majorHAnsi" w:hAnsiTheme="majorHAnsi" w:cs="Arial"/>
          <w:sz w:val="22"/>
          <w:szCs w:val="20"/>
        </w:rPr>
        <w:t>Australian</w:t>
      </w:r>
      <w:r w:rsidRPr="000C7952">
        <w:rPr>
          <w:rFonts w:asciiTheme="majorHAnsi" w:hAnsiTheme="majorHAnsi" w:cs="Arial"/>
          <w:sz w:val="22"/>
          <w:szCs w:val="20"/>
        </w:rPr>
        <w:t xml:space="preserve"> Government has taken steps to tackle the burden of chronic disease</w:t>
      </w:r>
      <w:r w:rsidR="006E30B2">
        <w:rPr>
          <w:rFonts w:asciiTheme="majorHAnsi" w:hAnsiTheme="majorHAnsi" w:cs="Arial"/>
          <w:sz w:val="22"/>
          <w:szCs w:val="20"/>
        </w:rPr>
        <w:t>,</w:t>
      </w:r>
      <w:r w:rsidRPr="000C7952">
        <w:rPr>
          <w:rFonts w:asciiTheme="majorHAnsi" w:hAnsiTheme="majorHAnsi" w:cs="Arial"/>
          <w:sz w:val="22"/>
          <w:szCs w:val="20"/>
        </w:rPr>
        <w:t xml:space="preserve"> including </w:t>
      </w:r>
      <w:r w:rsidR="00B613E9" w:rsidRPr="000C7952">
        <w:rPr>
          <w:rFonts w:asciiTheme="majorHAnsi" w:hAnsiTheme="majorHAnsi" w:cs="Arial"/>
          <w:sz w:val="22"/>
          <w:szCs w:val="20"/>
        </w:rPr>
        <w:t xml:space="preserve">development of the </w:t>
      </w:r>
      <w:r w:rsidRPr="000C7952">
        <w:rPr>
          <w:rFonts w:asciiTheme="majorHAnsi" w:hAnsiTheme="majorHAnsi" w:cs="Arial"/>
          <w:sz w:val="22"/>
          <w:szCs w:val="20"/>
        </w:rPr>
        <w:t xml:space="preserve">National Chronic Disease Framework, more needs to be done to improve the health and wellbeing of Australians and keep them out of </w:t>
      </w:r>
      <w:r w:rsidR="00B613E9" w:rsidRPr="000C7952">
        <w:rPr>
          <w:rFonts w:asciiTheme="majorHAnsi" w:hAnsiTheme="majorHAnsi" w:cs="Arial"/>
          <w:sz w:val="22"/>
          <w:szCs w:val="20"/>
        </w:rPr>
        <w:t xml:space="preserve">overstretched </w:t>
      </w:r>
      <w:r w:rsidR="006E30B2">
        <w:rPr>
          <w:rFonts w:asciiTheme="majorHAnsi" w:hAnsiTheme="majorHAnsi" w:cs="Arial"/>
          <w:sz w:val="22"/>
          <w:szCs w:val="20"/>
        </w:rPr>
        <w:t xml:space="preserve">public </w:t>
      </w:r>
      <w:r w:rsidRPr="000C7952">
        <w:rPr>
          <w:rFonts w:asciiTheme="majorHAnsi" w:hAnsiTheme="majorHAnsi" w:cs="Arial"/>
          <w:sz w:val="22"/>
          <w:szCs w:val="20"/>
        </w:rPr>
        <w:t>hospitals.</w:t>
      </w:r>
    </w:p>
    <w:p w14:paraId="06EC14C5" w14:textId="77777777" w:rsidR="000666DF" w:rsidRPr="000C7952" w:rsidRDefault="000666DF" w:rsidP="00A7535E">
      <w:pPr>
        <w:rPr>
          <w:rFonts w:asciiTheme="majorHAnsi" w:hAnsiTheme="majorHAnsi" w:cs="Arial"/>
          <w:sz w:val="22"/>
          <w:szCs w:val="20"/>
        </w:rPr>
      </w:pPr>
    </w:p>
    <w:p w14:paraId="6791AC05" w14:textId="1955B86D" w:rsidR="00BB4557" w:rsidRPr="000C7952" w:rsidRDefault="0089008F" w:rsidP="00BB4557">
      <w:pPr>
        <w:rPr>
          <w:rFonts w:asciiTheme="majorHAnsi" w:hAnsiTheme="majorHAnsi" w:cs="Arial"/>
          <w:sz w:val="22"/>
          <w:szCs w:val="20"/>
        </w:rPr>
      </w:pPr>
      <w:r w:rsidRPr="000C7952">
        <w:rPr>
          <w:rFonts w:asciiTheme="majorHAnsi" w:hAnsiTheme="majorHAnsi" w:cs="Arial"/>
          <w:sz w:val="22"/>
          <w:szCs w:val="20"/>
        </w:rPr>
        <w:t xml:space="preserve">While all chronic disease should be a priority, cardiovascular </w:t>
      </w:r>
      <w:r w:rsidR="000666DF" w:rsidRPr="000C7952">
        <w:rPr>
          <w:rFonts w:asciiTheme="majorHAnsi" w:hAnsiTheme="majorHAnsi" w:cs="Arial"/>
          <w:sz w:val="22"/>
          <w:szCs w:val="20"/>
        </w:rPr>
        <w:t>disease</w:t>
      </w:r>
      <w:r w:rsidRPr="000C7952">
        <w:rPr>
          <w:rFonts w:asciiTheme="majorHAnsi" w:hAnsiTheme="majorHAnsi" w:cs="Arial"/>
          <w:sz w:val="22"/>
          <w:szCs w:val="20"/>
        </w:rPr>
        <w:t xml:space="preserve"> </w:t>
      </w:r>
      <w:r w:rsidR="000666DF" w:rsidRPr="000C7952">
        <w:rPr>
          <w:rFonts w:asciiTheme="majorHAnsi" w:hAnsiTheme="majorHAnsi" w:cs="Arial"/>
          <w:sz w:val="22"/>
          <w:szCs w:val="20"/>
        </w:rPr>
        <w:t>continues to be the leading cause of death and most expensiv</w:t>
      </w:r>
      <w:r w:rsidR="006E30B2">
        <w:rPr>
          <w:rFonts w:asciiTheme="majorHAnsi" w:hAnsiTheme="majorHAnsi" w:cs="Arial"/>
          <w:sz w:val="22"/>
          <w:szCs w:val="20"/>
        </w:rPr>
        <w:t>e disease to treat in Australia</w:t>
      </w:r>
      <w:r w:rsidR="00A30BE4" w:rsidRPr="000C7952">
        <w:rPr>
          <w:rStyle w:val="FootnoteReference"/>
          <w:rFonts w:asciiTheme="majorHAnsi" w:hAnsiTheme="majorHAnsi" w:cs="Arial"/>
          <w:sz w:val="22"/>
          <w:szCs w:val="20"/>
        </w:rPr>
        <w:footnoteReference w:id="3"/>
      </w:r>
      <w:r w:rsidR="006E30B2">
        <w:rPr>
          <w:rFonts w:asciiTheme="majorHAnsi" w:hAnsiTheme="majorHAnsi" w:cs="Arial"/>
          <w:sz w:val="22"/>
          <w:szCs w:val="20"/>
        </w:rPr>
        <w:t>,</w:t>
      </w:r>
      <w:r w:rsidR="003C2010" w:rsidRPr="000C7952">
        <w:rPr>
          <w:rFonts w:asciiTheme="majorHAnsi" w:hAnsiTheme="majorHAnsi" w:cs="Arial"/>
          <w:sz w:val="22"/>
          <w:szCs w:val="20"/>
        </w:rPr>
        <w:t xml:space="preserve"> </w:t>
      </w:r>
      <w:r w:rsidR="0013428B" w:rsidRPr="000C7952">
        <w:rPr>
          <w:rFonts w:asciiTheme="majorHAnsi" w:hAnsiTheme="majorHAnsi" w:cs="Arial"/>
          <w:sz w:val="22"/>
          <w:szCs w:val="20"/>
        </w:rPr>
        <w:t>with</w:t>
      </w:r>
      <w:r w:rsidR="001D75E0" w:rsidRPr="000C7952">
        <w:rPr>
          <w:rFonts w:asciiTheme="majorHAnsi" w:hAnsiTheme="majorHAnsi" w:cs="Arial"/>
          <w:sz w:val="22"/>
          <w:szCs w:val="20"/>
        </w:rPr>
        <w:t xml:space="preserve"> $8.8 billion</w:t>
      </w:r>
      <w:r w:rsidR="0013428B" w:rsidRPr="000C7952">
        <w:rPr>
          <w:rFonts w:asciiTheme="majorHAnsi" w:hAnsiTheme="majorHAnsi" w:cs="Arial"/>
          <w:sz w:val="22"/>
          <w:szCs w:val="20"/>
        </w:rPr>
        <w:t xml:space="preserve"> spent annually</w:t>
      </w:r>
      <w:r w:rsidR="001D75E0" w:rsidRPr="000C7952">
        <w:rPr>
          <w:rFonts w:asciiTheme="majorHAnsi" w:hAnsiTheme="majorHAnsi" w:cs="Arial"/>
          <w:sz w:val="22"/>
          <w:szCs w:val="20"/>
        </w:rPr>
        <w:t xml:space="preserve"> in direct healthcare expenses</w:t>
      </w:r>
      <w:r w:rsidR="00CC6CEB" w:rsidRPr="000C7952">
        <w:rPr>
          <w:rStyle w:val="FootnoteReference"/>
          <w:rFonts w:asciiTheme="majorHAnsi" w:hAnsiTheme="majorHAnsi" w:cs="Arial"/>
          <w:sz w:val="22"/>
          <w:szCs w:val="20"/>
        </w:rPr>
        <w:footnoteReference w:id="4"/>
      </w:r>
      <w:r w:rsidR="00ED36EC">
        <w:rPr>
          <w:rFonts w:asciiTheme="majorHAnsi" w:hAnsiTheme="majorHAnsi" w:cs="Arial"/>
          <w:sz w:val="22"/>
          <w:szCs w:val="20"/>
        </w:rPr>
        <w:t>.</w:t>
      </w:r>
      <w:r w:rsidR="00894B0F" w:rsidRPr="000C7952">
        <w:rPr>
          <w:rFonts w:asciiTheme="majorHAnsi" w:hAnsiTheme="majorHAnsi" w:cs="Arial"/>
          <w:sz w:val="22"/>
          <w:szCs w:val="20"/>
        </w:rPr>
        <w:t xml:space="preserve"> </w:t>
      </w:r>
      <w:r w:rsidR="006E30B2">
        <w:rPr>
          <w:rFonts w:asciiTheme="majorHAnsi" w:hAnsiTheme="majorHAnsi" w:cs="Arial"/>
          <w:sz w:val="22"/>
          <w:szCs w:val="20"/>
        </w:rPr>
        <w:t>A</w:t>
      </w:r>
      <w:r w:rsidR="002B4CCF" w:rsidRPr="000C7952">
        <w:rPr>
          <w:rFonts w:asciiTheme="majorHAnsi" w:hAnsiTheme="majorHAnsi" w:cs="Arial"/>
          <w:sz w:val="22"/>
          <w:szCs w:val="20"/>
        </w:rPr>
        <w:t>dmissions due to cardiovascular disease</w:t>
      </w:r>
      <w:r w:rsidR="00CC6CEB" w:rsidRPr="000C7952">
        <w:rPr>
          <w:rFonts w:asciiTheme="majorHAnsi" w:hAnsiTheme="majorHAnsi" w:cs="Arial"/>
          <w:sz w:val="22"/>
          <w:szCs w:val="20"/>
        </w:rPr>
        <w:t>, which</w:t>
      </w:r>
      <w:r w:rsidR="003C2010" w:rsidRPr="000C7952">
        <w:rPr>
          <w:rFonts w:asciiTheme="majorHAnsi" w:hAnsiTheme="majorHAnsi" w:cs="Arial"/>
          <w:sz w:val="22"/>
          <w:szCs w:val="20"/>
        </w:rPr>
        <w:t xml:space="preserve"> are </w:t>
      </w:r>
      <w:r w:rsidR="00CC6CEB" w:rsidRPr="000C7952">
        <w:rPr>
          <w:rFonts w:asciiTheme="majorHAnsi" w:hAnsiTheme="majorHAnsi" w:cs="Arial"/>
          <w:sz w:val="22"/>
          <w:szCs w:val="20"/>
        </w:rPr>
        <w:t>mostly</w:t>
      </w:r>
      <w:r w:rsidR="002B4CCF" w:rsidRPr="000C7952">
        <w:rPr>
          <w:rFonts w:asciiTheme="majorHAnsi" w:hAnsiTheme="majorHAnsi" w:cs="Arial"/>
          <w:sz w:val="22"/>
          <w:szCs w:val="20"/>
        </w:rPr>
        <w:t xml:space="preserve"> </w:t>
      </w:r>
      <w:r w:rsidR="00CC6CEB" w:rsidRPr="000C7952">
        <w:rPr>
          <w:rFonts w:asciiTheme="majorHAnsi" w:hAnsiTheme="majorHAnsi" w:cs="Arial"/>
          <w:sz w:val="22"/>
          <w:szCs w:val="20"/>
        </w:rPr>
        <w:t>preventable</w:t>
      </w:r>
      <w:r w:rsidR="00CC6CEB" w:rsidRPr="000C7952">
        <w:rPr>
          <w:rStyle w:val="FootnoteReference"/>
          <w:rFonts w:asciiTheme="majorHAnsi" w:hAnsiTheme="majorHAnsi" w:cs="Arial"/>
          <w:sz w:val="22"/>
          <w:szCs w:val="20"/>
        </w:rPr>
        <w:footnoteReference w:id="5"/>
      </w:r>
      <w:r w:rsidR="00ED36EC">
        <w:rPr>
          <w:rFonts w:asciiTheme="majorHAnsi" w:hAnsiTheme="majorHAnsi" w:cs="Arial"/>
          <w:sz w:val="22"/>
          <w:szCs w:val="20"/>
        </w:rPr>
        <w:t>,</w:t>
      </w:r>
      <w:r w:rsidR="003C2010" w:rsidRPr="000C7952">
        <w:rPr>
          <w:rFonts w:asciiTheme="majorHAnsi" w:hAnsiTheme="majorHAnsi" w:cs="Arial"/>
          <w:sz w:val="22"/>
          <w:szCs w:val="20"/>
        </w:rPr>
        <w:t xml:space="preserve"> put a huge strain on</w:t>
      </w:r>
      <w:r w:rsidR="006E30B2">
        <w:rPr>
          <w:rFonts w:asciiTheme="majorHAnsi" w:hAnsiTheme="majorHAnsi" w:cs="Arial"/>
          <w:sz w:val="22"/>
          <w:szCs w:val="20"/>
        </w:rPr>
        <w:t xml:space="preserve"> public</w:t>
      </w:r>
      <w:r w:rsidR="003C2010" w:rsidRPr="000C7952">
        <w:rPr>
          <w:rFonts w:asciiTheme="majorHAnsi" w:hAnsiTheme="majorHAnsi" w:cs="Arial"/>
          <w:sz w:val="22"/>
          <w:szCs w:val="20"/>
        </w:rPr>
        <w:t xml:space="preserve"> hospitals</w:t>
      </w:r>
      <w:r w:rsidR="00BB4557" w:rsidRPr="000C7952">
        <w:rPr>
          <w:rFonts w:asciiTheme="majorHAnsi" w:hAnsiTheme="majorHAnsi" w:cs="Arial"/>
          <w:sz w:val="22"/>
          <w:szCs w:val="20"/>
        </w:rPr>
        <w:t>.</w:t>
      </w:r>
      <w:r w:rsidR="00894B0F" w:rsidRPr="000C7952">
        <w:rPr>
          <w:rFonts w:asciiTheme="majorHAnsi" w:hAnsiTheme="majorHAnsi"/>
        </w:rPr>
        <w:t xml:space="preserve"> </w:t>
      </w:r>
    </w:p>
    <w:p w14:paraId="2778C510" w14:textId="77777777" w:rsidR="00BB4557" w:rsidRPr="000C7952" w:rsidRDefault="00BB4557" w:rsidP="00BB4557">
      <w:pPr>
        <w:rPr>
          <w:rFonts w:asciiTheme="majorHAnsi" w:hAnsiTheme="majorHAnsi" w:cs="Arial"/>
          <w:sz w:val="22"/>
          <w:szCs w:val="20"/>
        </w:rPr>
      </w:pPr>
    </w:p>
    <w:p w14:paraId="5F2CCB41" w14:textId="1B14199D" w:rsidR="00BB4557" w:rsidRPr="000C7952" w:rsidRDefault="005632D6" w:rsidP="00483D95">
      <w:pPr>
        <w:rPr>
          <w:rFonts w:asciiTheme="majorHAnsi" w:hAnsiTheme="majorHAnsi" w:cs="Arial"/>
          <w:sz w:val="22"/>
          <w:szCs w:val="20"/>
        </w:rPr>
      </w:pPr>
      <w:r w:rsidRPr="000C7952">
        <w:rPr>
          <w:rFonts w:asciiTheme="majorHAnsi" w:hAnsiTheme="majorHAnsi" w:cs="Arial"/>
          <w:sz w:val="22"/>
          <w:szCs w:val="20"/>
        </w:rPr>
        <w:t>Poor secondary prevention means that</w:t>
      </w:r>
      <w:r w:rsidR="00015D77">
        <w:rPr>
          <w:rFonts w:asciiTheme="majorHAnsi" w:hAnsiTheme="majorHAnsi" w:cs="Arial"/>
          <w:sz w:val="22"/>
          <w:szCs w:val="20"/>
        </w:rPr>
        <w:t xml:space="preserve"> our public</w:t>
      </w:r>
      <w:r w:rsidRPr="000C7952">
        <w:rPr>
          <w:rFonts w:asciiTheme="majorHAnsi" w:hAnsiTheme="majorHAnsi" w:cs="Arial"/>
          <w:sz w:val="22"/>
          <w:szCs w:val="20"/>
        </w:rPr>
        <w:t xml:space="preserve"> hospitals are continually treating patients</w:t>
      </w:r>
      <w:r w:rsidR="00D47EED" w:rsidRPr="000C7952">
        <w:rPr>
          <w:rFonts w:asciiTheme="majorHAnsi" w:hAnsiTheme="majorHAnsi" w:cs="Arial"/>
          <w:sz w:val="22"/>
          <w:szCs w:val="20"/>
        </w:rPr>
        <w:t xml:space="preserve">, with a third of </w:t>
      </w:r>
      <w:r w:rsidR="00B613E9" w:rsidRPr="000C7952">
        <w:rPr>
          <w:rFonts w:asciiTheme="majorHAnsi" w:hAnsiTheme="majorHAnsi" w:cs="Arial"/>
          <w:sz w:val="22"/>
          <w:szCs w:val="20"/>
        </w:rPr>
        <w:t xml:space="preserve">people admitted for </w:t>
      </w:r>
      <w:r w:rsidR="00D47EED" w:rsidRPr="000C7952">
        <w:rPr>
          <w:rFonts w:asciiTheme="majorHAnsi" w:hAnsiTheme="majorHAnsi" w:cs="Arial"/>
          <w:sz w:val="22"/>
          <w:szCs w:val="20"/>
        </w:rPr>
        <w:t xml:space="preserve">heart attack having been </w:t>
      </w:r>
      <w:r w:rsidR="00B613E9" w:rsidRPr="000C7952">
        <w:rPr>
          <w:rFonts w:asciiTheme="majorHAnsi" w:hAnsiTheme="majorHAnsi" w:cs="Arial"/>
          <w:sz w:val="22"/>
          <w:szCs w:val="20"/>
        </w:rPr>
        <w:t xml:space="preserve">previously </w:t>
      </w:r>
      <w:r w:rsidR="00D47EED" w:rsidRPr="000C7952">
        <w:rPr>
          <w:rFonts w:asciiTheme="majorHAnsi" w:hAnsiTheme="majorHAnsi" w:cs="Arial"/>
          <w:sz w:val="22"/>
          <w:szCs w:val="20"/>
        </w:rPr>
        <w:t>treated for the condition before</w:t>
      </w:r>
      <w:r w:rsidR="00A30BE4" w:rsidRPr="000C7952">
        <w:rPr>
          <w:rStyle w:val="FootnoteReference"/>
          <w:rFonts w:asciiTheme="majorHAnsi" w:hAnsiTheme="majorHAnsi" w:cs="Arial"/>
          <w:sz w:val="22"/>
          <w:szCs w:val="20"/>
        </w:rPr>
        <w:footnoteReference w:id="6"/>
      </w:r>
      <w:r w:rsidR="00ED36EC">
        <w:rPr>
          <w:rFonts w:asciiTheme="majorHAnsi" w:hAnsiTheme="majorHAnsi" w:cs="Arial"/>
          <w:sz w:val="22"/>
          <w:szCs w:val="20"/>
        </w:rPr>
        <w:t>.</w:t>
      </w:r>
      <w:r w:rsidR="00D47EED" w:rsidRPr="000C7952">
        <w:rPr>
          <w:rFonts w:asciiTheme="majorHAnsi" w:hAnsiTheme="majorHAnsi" w:cs="Arial"/>
          <w:sz w:val="22"/>
          <w:szCs w:val="20"/>
        </w:rPr>
        <w:t xml:space="preserve"> </w:t>
      </w:r>
      <w:r w:rsidR="00B613E9" w:rsidRPr="000C7952">
        <w:rPr>
          <w:rFonts w:asciiTheme="majorHAnsi" w:hAnsiTheme="majorHAnsi" w:cs="Arial"/>
          <w:sz w:val="22"/>
          <w:szCs w:val="20"/>
        </w:rPr>
        <w:t>W</w:t>
      </w:r>
      <w:r w:rsidR="00BB4557" w:rsidRPr="000C7952">
        <w:rPr>
          <w:rFonts w:asciiTheme="majorHAnsi" w:hAnsiTheme="majorHAnsi" w:cs="Arial"/>
          <w:sz w:val="22"/>
          <w:szCs w:val="20"/>
        </w:rPr>
        <w:t>ith only 30</w:t>
      </w:r>
      <w:r w:rsidR="00B613E9" w:rsidRPr="000C7952">
        <w:rPr>
          <w:rFonts w:asciiTheme="majorHAnsi" w:hAnsiTheme="majorHAnsi" w:cs="Arial"/>
          <w:sz w:val="22"/>
          <w:szCs w:val="20"/>
        </w:rPr>
        <w:t xml:space="preserve"> per cent </w:t>
      </w:r>
      <w:r w:rsidR="00BB4557" w:rsidRPr="000C7952">
        <w:rPr>
          <w:rFonts w:asciiTheme="majorHAnsi" w:hAnsiTheme="majorHAnsi" w:cs="Arial"/>
          <w:sz w:val="22"/>
          <w:szCs w:val="20"/>
        </w:rPr>
        <w:t xml:space="preserve">of </w:t>
      </w:r>
      <w:r w:rsidRPr="000C7952">
        <w:rPr>
          <w:rFonts w:asciiTheme="majorHAnsi" w:hAnsiTheme="majorHAnsi" w:cs="Arial"/>
          <w:sz w:val="22"/>
          <w:szCs w:val="20"/>
        </w:rPr>
        <w:t>patients</w:t>
      </w:r>
      <w:r w:rsidR="00BB4557" w:rsidRPr="000C7952">
        <w:rPr>
          <w:rFonts w:asciiTheme="majorHAnsi" w:hAnsiTheme="majorHAnsi" w:cs="Arial"/>
          <w:sz w:val="22"/>
          <w:szCs w:val="20"/>
        </w:rPr>
        <w:t xml:space="preserve"> taking part in </w:t>
      </w:r>
      <w:r w:rsidR="00B613E9" w:rsidRPr="000C7952">
        <w:rPr>
          <w:rFonts w:asciiTheme="majorHAnsi" w:hAnsiTheme="majorHAnsi" w:cs="Arial"/>
          <w:sz w:val="22"/>
          <w:szCs w:val="20"/>
        </w:rPr>
        <w:t xml:space="preserve">cardiac rehabilitation after </w:t>
      </w:r>
      <w:r w:rsidR="0047092F" w:rsidRPr="000C7952">
        <w:rPr>
          <w:rFonts w:asciiTheme="majorHAnsi" w:hAnsiTheme="majorHAnsi" w:cs="Arial"/>
          <w:sz w:val="22"/>
          <w:szCs w:val="20"/>
        </w:rPr>
        <w:t xml:space="preserve">a </w:t>
      </w:r>
      <w:r w:rsidR="00B613E9" w:rsidRPr="000C7952">
        <w:rPr>
          <w:rFonts w:asciiTheme="majorHAnsi" w:hAnsiTheme="majorHAnsi" w:cs="Arial"/>
          <w:sz w:val="22"/>
          <w:szCs w:val="20"/>
        </w:rPr>
        <w:t xml:space="preserve">cardiovascular event, </w:t>
      </w:r>
      <w:r w:rsidR="0089008F" w:rsidRPr="000C7952">
        <w:rPr>
          <w:rFonts w:asciiTheme="majorHAnsi" w:hAnsiTheme="majorHAnsi" w:cs="Arial"/>
          <w:sz w:val="22"/>
          <w:szCs w:val="20"/>
        </w:rPr>
        <w:t>the potential for additional adverse events is increased along with the potential for</w:t>
      </w:r>
      <w:r w:rsidRPr="000C7952">
        <w:rPr>
          <w:rFonts w:asciiTheme="majorHAnsi" w:hAnsiTheme="majorHAnsi" w:cs="Arial"/>
          <w:sz w:val="22"/>
          <w:szCs w:val="20"/>
        </w:rPr>
        <w:t xml:space="preserve"> further costly hospitalisations</w:t>
      </w:r>
      <w:r w:rsidR="00A30BE4" w:rsidRPr="000C7952">
        <w:rPr>
          <w:rStyle w:val="FootnoteReference"/>
          <w:rFonts w:asciiTheme="majorHAnsi" w:hAnsiTheme="majorHAnsi" w:cs="Arial"/>
          <w:sz w:val="22"/>
          <w:szCs w:val="20"/>
        </w:rPr>
        <w:footnoteReference w:id="7"/>
      </w:r>
      <w:r w:rsidR="00ED36EC">
        <w:rPr>
          <w:rFonts w:asciiTheme="majorHAnsi" w:hAnsiTheme="majorHAnsi" w:cs="Arial"/>
          <w:sz w:val="22"/>
          <w:szCs w:val="20"/>
        </w:rPr>
        <w:t>.</w:t>
      </w:r>
      <w:r w:rsidR="0067016E" w:rsidRPr="000C7952">
        <w:rPr>
          <w:rFonts w:asciiTheme="majorHAnsi" w:hAnsiTheme="majorHAnsi" w:cs="Arial"/>
          <w:sz w:val="22"/>
          <w:szCs w:val="20"/>
        </w:rPr>
        <w:t xml:space="preserve"> Poor data also inhibits the ability to improve outcomes for patients across Australia</w:t>
      </w:r>
      <w:r w:rsidR="00483D95" w:rsidRPr="000C7952">
        <w:rPr>
          <w:rFonts w:asciiTheme="majorHAnsi" w:hAnsiTheme="majorHAnsi" w:cs="Arial"/>
          <w:sz w:val="22"/>
          <w:szCs w:val="20"/>
        </w:rPr>
        <w:t xml:space="preserve">, which was the focus of the recent National Improving Cardiac Rehabilitation Measurement Think Tank, a partnership between the </w:t>
      </w:r>
      <w:r w:rsidR="00015D77" w:rsidRPr="00015D77">
        <w:rPr>
          <w:rFonts w:asciiTheme="majorHAnsi" w:hAnsiTheme="majorHAnsi" w:cs="Arial"/>
          <w:sz w:val="22"/>
          <w:szCs w:val="20"/>
        </w:rPr>
        <w:t>S</w:t>
      </w:r>
      <w:r w:rsidR="00015D77">
        <w:rPr>
          <w:rFonts w:asciiTheme="majorHAnsi" w:hAnsiTheme="majorHAnsi" w:cs="Arial"/>
          <w:sz w:val="22"/>
          <w:szCs w:val="20"/>
        </w:rPr>
        <w:t xml:space="preserve">outh </w:t>
      </w:r>
      <w:r w:rsidR="00015D77" w:rsidRPr="00015D77">
        <w:rPr>
          <w:rFonts w:asciiTheme="majorHAnsi" w:hAnsiTheme="majorHAnsi" w:cs="Arial"/>
          <w:sz w:val="22"/>
          <w:szCs w:val="20"/>
        </w:rPr>
        <w:t>A</w:t>
      </w:r>
      <w:r w:rsidR="00015D77">
        <w:rPr>
          <w:rFonts w:asciiTheme="majorHAnsi" w:hAnsiTheme="majorHAnsi" w:cs="Arial"/>
          <w:sz w:val="22"/>
          <w:szCs w:val="20"/>
        </w:rPr>
        <w:t>ustralian</w:t>
      </w:r>
      <w:r w:rsidR="00015D77" w:rsidRPr="00015D77">
        <w:rPr>
          <w:rFonts w:asciiTheme="majorHAnsi" w:hAnsiTheme="majorHAnsi" w:cs="Arial"/>
          <w:sz w:val="22"/>
          <w:szCs w:val="20"/>
        </w:rPr>
        <w:t xml:space="preserve"> Academic Health Science and Translation Centre</w:t>
      </w:r>
      <w:r w:rsidR="00483D95" w:rsidRPr="000C7952">
        <w:rPr>
          <w:rFonts w:asciiTheme="majorHAnsi" w:hAnsiTheme="majorHAnsi" w:cs="Arial"/>
          <w:sz w:val="22"/>
          <w:szCs w:val="20"/>
        </w:rPr>
        <w:t xml:space="preserve">, the Australian Cardiovascular Health </w:t>
      </w:r>
      <w:r w:rsidR="00015D77">
        <w:rPr>
          <w:rFonts w:asciiTheme="majorHAnsi" w:hAnsiTheme="majorHAnsi" w:cs="Arial"/>
          <w:sz w:val="22"/>
          <w:szCs w:val="20"/>
        </w:rPr>
        <w:t>and Rehabilitation Association</w:t>
      </w:r>
      <w:r w:rsidR="00483D95" w:rsidRPr="000C7952">
        <w:rPr>
          <w:rFonts w:asciiTheme="majorHAnsi" w:hAnsiTheme="majorHAnsi" w:cs="Arial"/>
          <w:sz w:val="22"/>
          <w:szCs w:val="20"/>
        </w:rPr>
        <w:t xml:space="preserve"> and the National</w:t>
      </w:r>
      <w:r w:rsidR="00015D77">
        <w:rPr>
          <w:rFonts w:asciiTheme="majorHAnsi" w:hAnsiTheme="majorHAnsi" w:cs="Arial"/>
          <w:sz w:val="22"/>
          <w:szCs w:val="20"/>
        </w:rPr>
        <w:t xml:space="preserve"> Heart Foundation of Australia</w:t>
      </w:r>
      <w:r w:rsidR="00483D95" w:rsidRPr="000C7952">
        <w:rPr>
          <w:rFonts w:asciiTheme="majorHAnsi" w:hAnsiTheme="majorHAnsi" w:cs="Arial"/>
          <w:sz w:val="22"/>
          <w:szCs w:val="20"/>
        </w:rPr>
        <w:t>.</w:t>
      </w:r>
    </w:p>
    <w:p w14:paraId="11DAE2DF" w14:textId="77777777" w:rsidR="00BB4557" w:rsidRPr="000C7952" w:rsidRDefault="00BB4557" w:rsidP="00BB4557">
      <w:pPr>
        <w:rPr>
          <w:rFonts w:asciiTheme="majorHAnsi" w:hAnsiTheme="majorHAnsi" w:cs="Arial"/>
          <w:sz w:val="22"/>
          <w:szCs w:val="20"/>
        </w:rPr>
      </w:pPr>
    </w:p>
    <w:p w14:paraId="29E57733" w14:textId="6BC6A38E" w:rsidR="000666DF" w:rsidRPr="000C7952" w:rsidRDefault="003C2010" w:rsidP="00BB4557">
      <w:pPr>
        <w:rPr>
          <w:rFonts w:asciiTheme="majorHAnsi" w:hAnsiTheme="majorHAnsi" w:cs="Arial"/>
          <w:sz w:val="22"/>
          <w:szCs w:val="20"/>
        </w:rPr>
      </w:pPr>
      <w:r w:rsidRPr="000C7952">
        <w:rPr>
          <w:rFonts w:asciiTheme="majorHAnsi" w:hAnsiTheme="majorHAnsi" w:cs="Arial"/>
          <w:sz w:val="22"/>
          <w:szCs w:val="20"/>
        </w:rPr>
        <w:t xml:space="preserve">The Australian Government must </w:t>
      </w:r>
      <w:r w:rsidR="00015D77">
        <w:rPr>
          <w:rFonts w:asciiTheme="majorHAnsi" w:hAnsiTheme="majorHAnsi" w:cs="Arial"/>
          <w:sz w:val="22"/>
          <w:szCs w:val="20"/>
        </w:rPr>
        <w:t>support keeping</w:t>
      </w:r>
      <w:r w:rsidR="0089008F" w:rsidRPr="000C7952">
        <w:rPr>
          <w:rFonts w:asciiTheme="majorHAnsi" w:hAnsiTheme="majorHAnsi" w:cs="Arial"/>
          <w:sz w:val="22"/>
          <w:szCs w:val="20"/>
        </w:rPr>
        <w:t xml:space="preserve"> people well and out of </w:t>
      </w:r>
      <w:r w:rsidR="00015D77">
        <w:rPr>
          <w:rFonts w:asciiTheme="majorHAnsi" w:hAnsiTheme="majorHAnsi" w:cs="Arial"/>
          <w:sz w:val="22"/>
          <w:szCs w:val="20"/>
        </w:rPr>
        <w:t xml:space="preserve">public </w:t>
      </w:r>
      <w:r w:rsidR="0089008F" w:rsidRPr="000C7952">
        <w:rPr>
          <w:rFonts w:asciiTheme="majorHAnsi" w:hAnsiTheme="majorHAnsi" w:cs="Arial"/>
          <w:sz w:val="22"/>
          <w:szCs w:val="20"/>
        </w:rPr>
        <w:t xml:space="preserve">hospitals, </w:t>
      </w:r>
      <w:r w:rsidR="00D47EED" w:rsidRPr="000C7952">
        <w:rPr>
          <w:rFonts w:asciiTheme="majorHAnsi" w:hAnsiTheme="majorHAnsi" w:cs="Arial"/>
          <w:sz w:val="22"/>
          <w:szCs w:val="20"/>
        </w:rPr>
        <w:t xml:space="preserve">to reduce the </w:t>
      </w:r>
      <w:r w:rsidR="0089008F" w:rsidRPr="000C7952">
        <w:rPr>
          <w:rFonts w:asciiTheme="majorHAnsi" w:hAnsiTheme="majorHAnsi" w:cs="Arial"/>
          <w:sz w:val="22"/>
          <w:szCs w:val="20"/>
        </w:rPr>
        <w:t xml:space="preserve">overall </w:t>
      </w:r>
      <w:r w:rsidR="00D47EED" w:rsidRPr="000C7952">
        <w:rPr>
          <w:rFonts w:asciiTheme="majorHAnsi" w:hAnsiTheme="majorHAnsi" w:cs="Arial"/>
          <w:sz w:val="22"/>
          <w:szCs w:val="20"/>
        </w:rPr>
        <w:t xml:space="preserve">burden on </w:t>
      </w:r>
      <w:r w:rsidR="0089008F" w:rsidRPr="000C7952">
        <w:rPr>
          <w:rFonts w:asciiTheme="majorHAnsi" w:hAnsiTheme="majorHAnsi" w:cs="Arial"/>
          <w:sz w:val="22"/>
          <w:szCs w:val="20"/>
        </w:rPr>
        <w:t xml:space="preserve">our public </w:t>
      </w:r>
      <w:r w:rsidR="00D47EED" w:rsidRPr="000C7952">
        <w:rPr>
          <w:rFonts w:asciiTheme="majorHAnsi" w:hAnsiTheme="majorHAnsi" w:cs="Arial"/>
          <w:sz w:val="22"/>
          <w:szCs w:val="20"/>
        </w:rPr>
        <w:t>hospital</w:t>
      </w:r>
      <w:r w:rsidR="00015D77">
        <w:rPr>
          <w:rFonts w:asciiTheme="majorHAnsi" w:hAnsiTheme="majorHAnsi" w:cs="Arial"/>
          <w:sz w:val="22"/>
          <w:szCs w:val="20"/>
        </w:rPr>
        <w:t xml:space="preserve"> system, reduce</w:t>
      </w:r>
      <w:r w:rsidR="00D47EED" w:rsidRPr="000C7952">
        <w:rPr>
          <w:rFonts w:asciiTheme="majorHAnsi" w:hAnsiTheme="majorHAnsi" w:cs="Arial"/>
          <w:sz w:val="22"/>
          <w:szCs w:val="20"/>
        </w:rPr>
        <w:t xml:space="preserve"> costs</w:t>
      </w:r>
      <w:r w:rsidR="00015D77">
        <w:rPr>
          <w:rFonts w:asciiTheme="majorHAnsi" w:hAnsiTheme="majorHAnsi" w:cs="Arial"/>
          <w:sz w:val="22"/>
          <w:szCs w:val="20"/>
        </w:rPr>
        <w:t xml:space="preserve"> and to benefit the population</w:t>
      </w:r>
      <w:r w:rsidR="00D47EED" w:rsidRPr="000C7952">
        <w:rPr>
          <w:rFonts w:asciiTheme="majorHAnsi" w:hAnsiTheme="majorHAnsi" w:cs="Arial"/>
          <w:sz w:val="22"/>
          <w:szCs w:val="20"/>
        </w:rPr>
        <w:t>.</w:t>
      </w:r>
    </w:p>
    <w:p w14:paraId="72C8D02D" w14:textId="77777777" w:rsidR="00D26AF2" w:rsidRPr="000C7952" w:rsidRDefault="00D26AF2" w:rsidP="00A7535E">
      <w:pPr>
        <w:rPr>
          <w:rFonts w:asciiTheme="majorHAnsi" w:hAnsiTheme="majorHAnsi" w:cs="Arial"/>
          <w:sz w:val="22"/>
          <w:szCs w:val="20"/>
        </w:rPr>
      </w:pPr>
    </w:p>
    <w:p w14:paraId="29ACC486" w14:textId="532DD8F9" w:rsidR="00EC2DC4" w:rsidRPr="000C7952" w:rsidRDefault="00595CF1" w:rsidP="00A7535E">
      <w:pPr>
        <w:rPr>
          <w:rFonts w:asciiTheme="majorHAnsi" w:hAnsiTheme="majorHAnsi" w:cs="Arial"/>
          <w:sz w:val="22"/>
          <w:szCs w:val="20"/>
        </w:rPr>
      </w:pPr>
      <w:r w:rsidRPr="000C7952">
        <w:rPr>
          <w:rFonts w:asciiTheme="majorHAnsi" w:hAnsiTheme="majorHAnsi" w:cs="Arial"/>
          <w:b/>
          <w:i/>
          <w:sz w:val="22"/>
          <w:szCs w:val="20"/>
        </w:rPr>
        <w:t>Recommendation</w:t>
      </w:r>
      <w:r w:rsidR="0049199F" w:rsidRPr="000C7952">
        <w:rPr>
          <w:rFonts w:asciiTheme="majorHAnsi" w:hAnsiTheme="majorHAnsi" w:cs="Arial"/>
          <w:b/>
          <w:i/>
          <w:sz w:val="22"/>
          <w:szCs w:val="20"/>
        </w:rPr>
        <w:t>s</w:t>
      </w:r>
      <w:r w:rsidR="00A7535E" w:rsidRPr="000C7952">
        <w:rPr>
          <w:rFonts w:asciiTheme="majorHAnsi" w:hAnsiTheme="majorHAnsi" w:cs="Arial"/>
          <w:sz w:val="22"/>
          <w:szCs w:val="20"/>
        </w:rPr>
        <w:br/>
        <w:t xml:space="preserve">To combat and mitigate the impact of </w:t>
      </w:r>
      <w:r w:rsidR="00840B28" w:rsidRPr="000C7952">
        <w:rPr>
          <w:rFonts w:asciiTheme="majorHAnsi" w:hAnsiTheme="majorHAnsi" w:cs="Arial"/>
          <w:sz w:val="22"/>
          <w:szCs w:val="20"/>
        </w:rPr>
        <w:t>cardiovascular disease</w:t>
      </w:r>
      <w:r w:rsidR="00A7535E" w:rsidRPr="000C7952">
        <w:rPr>
          <w:rFonts w:asciiTheme="majorHAnsi" w:hAnsiTheme="majorHAnsi" w:cs="Arial"/>
          <w:sz w:val="22"/>
          <w:szCs w:val="20"/>
        </w:rPr>
        <w:t xml:space="preserve"> on the health system, the government must fund </w:t>
      </w:r>
      <w:r w:rsidR="00840B28" w:rsidRPr="000C7952">
        <w:rPr>
          <w:rFonts w:asciiTheme="majorHAnsi" w:hAnsiTheme="majorHAnsi" w:cs="Arial"/>
          <w:sz w:val="22"/>
          <w:szCs w:val="20"/>
        </w:rPr>
        <w:t xml:space="preserve">a range of </w:t>
      </w:r>
      <w:r w:rsidR="0090378A" w:rsidRPr="000C7952">
        <w:rPr>
          <w:rFonts w:asciiTheme="majorHAnsi" w:hAnsiTheme="majorHAnsi" w:cs="Arial"/>
          <w:sz w:val="22"/>
          <w:szCs w:val="20"/>
        </w:rPr>
        <w:t xml:space="preserve">holistic prevention and promotion </w:t>
      </w:r>
      <w:r w:rsidR="00840B28" w:rsidRPr="000C7952">
        <w:rPr>
          <w:rFonts w:asciiTheme="majorHAnsi" w:hAnsiTheme="majorHAnsi" w:cs="Arial"/>
          <w:sz w:val="22"/>
          <w:szCs w:val="20"/>
        </w:rPr>
        <w:t>initiatives. These include:</w:t>
      </w:r>
    </w:p>
    <w:p w14:paraId="782CB221" w14:textId="6A9EF4CB" w:rsidR="00A7535E" w:rsidRPr="000C7952" w:rsidRDefault="00015D77" w:rsidP="000F2A80">
      <w:pPr>
        <w:pStyle w:val="ListParagraph"/>
        <w:rPr>
          <w:b/>
        </w:rPr>
      </w:pPr>
      <w:r>
        <w:t>T</w:t>
      </w:r>
      <w:r w:rsidR="00840B28" w:rsidRPr="000C7952">
        <w:t xml:space="preserve">he development and implementation of a National Obesity Strategy, as set out </w:t>
      </w:r>
      <w:r w:rsidR="0090378A" w:rsidRPr="000C7952">
        <w:t>at the</w:t>
      </w:r>
      <w:r w:rsidR="00840B28" w:rsidRPr="000C7952">
        <w:t xml:space="preserve"> COAG Health Council on 12 October 2018,</w:t>
      </w:r>
      <w:r w:rsidR="0090378A" w:rsidRPr="000C7952">
        <w:t xml:space="preserve"> with a focus on </w:t>
      </w:r>
      <w:r w:rsidR="00A7535E" w:rsidRPr="000C7952">
        <w:t>supporting wellness promotion</w:t>
      </w:r>
      <w:r w:rsidR="0090378A" w:rsidRPr="000C7952">
        <w:t xml:space="preserve"> in</w:t>
      </w:r>
      <w:r w:rsidR="00A7535E" w:rsidRPr="000C7952">
        <w:t xml:space="preserve"> these areas:</w:t>
      </w:r>
    </w:p>
    <w:p w14:paraId="65BA9392" w14:textId="77777777" w:rsidR="00A7535E" w:rsidRPr="000C7952" w:rsidRDefault="00A7535E" w:rsidP="00EC2DC4">
      <w:pPr>
        <w:numPr>
          <w:ilvl w:val="1"/>
          <w:numId w:val="12"/>
        </w:numPr>
        <w:rPr>
          <w:rFonts w:asciiTheme="majorHAnsi" w:hAnsiTheme="majorHAnsi" w:cs="Arial"/>
          <w:sz w:val="22"/>
          <w:szCs w:val="20"/>
        </w:rPr>
      </w:pPr>
      <w:r w:rsidRPr="000C7952">
        <w:rPr>
          <w:rFonts w:asciiTheme="majorHAnsi" w:hAnsiTheme="majorHAnsi" w:cs="Arial"/>
          <w:sz w:val="22"/>
          <w:szCs w:val="20"/>
        </w:rPr>
        <w:lastRenderedPageBreak/>
        <w:t>healthy eating</w:t>
      </w:r>
    </w:p>
    <w:p w14:paraId="41BC4458" w14:textId="77777777" w:rsidR="00A7535E" w:rsidRPr="000C7952" w:rsidRDefault="00A7535E" w:rsidP="00EC2DC4">
      <w:pPr>
        <w:numPr>
          <w:ilvl w:val="1"/>
          <w:numId w:val="12"/>
        </w:numPr>
        <w:rPr>
          <w:rFonts w:asciiTheme="majorHAnsi" w:hAnsiTheme="majorHAnsi" w:cs="Arial"/>
          <w:sz w:val="22"/>
          <w:szCs w:val="20"/>
        </w:rPr>
      </w:pPr>
      <w:r w:rsidRPr="000C7952">
        <w:rPr>
          <w:rFonts w:asciiTheme="majorHAnsi" w:hAnsiTheme="majorHAnsi" w:cs="Arial"/>
          <w:sz w:val="22"/>
          <w:szCs w:val="20"/>
        </w:rPr>
        <w:t>smoking cessation</w:t>
      </w:r>
    </w:p>
    <w:p w14:paraId="6E96CAEB" w14:textId="77777777" w:rsidR="00A7535E" w:rsidRPr="000C7952" w:rsidRDefault="00A7535E" w:rsidP="00EC2DC4">
      <w:pPr>
        <w:numPr>
          <w:ilvl w:val="1"/>
          <w:numId w:val="12"/>
        </w:numPr>
        <w:rPr>
          <w:rFonts w:asciiTheme="majorHAnsi" w:hAnsiTheme="majorHAnsi" w:cs="Arial"/>
          <w:sz w:val="22"/>
          <w:szCs w:val="20"/>
        </w:rPr>
      </w:pPr>
      <w:r w:rsidRPr="000C7952">
        <w:rPr>
          <w:rFonts w:asciiTheme="majorHAnsi" w:hAnsiTheme="majorHAnsi" w:cs="Arial"/>
          <w:sz w:val="22"/>
          <w:szCs w:val="20"/>
        </w:rPr>
        <w:t>exercise campaigns</w:t>
      </w:r>
    </w:p>
    <w:p w14:paraId="4332499A" w14:textId="5E83F74F" w:rsidR="00015D77" w:rsidRDefault="00015D77" w:rsidP="00015D77">
      <w:pPr>
        <w:pStyle w:val="ListParagraph"/>
      </w:pPr>
      <w:r>
        <w:t>Funding a national prevention strategy, combined with key programs to improve hospital utilisation</w:t>
      </w:r>
      <w:r w:rsidR="00A6491A">
        <w:t>.</w:t>
      </w:r>
    </w:p>
    <w:p w14:paraId="702EBE9C" w14:textId="3C4E2FB1" w:rsidR="00015D77" w:rsidRDefault="00015D77" w:rsidP="00015D77">
      <w:pPr>
        <w:pStyle w:val="ListParagraph"/>
      </w:pPr>
      <w:r w:rsidRPr="00015D77">
        <w:t>A move to a ‘shared-risk’ funding model with states and territories that rewards health services that can reduce their acute separations for targeted patients, while delivering care in settings better-suited to patient needs, suc</w:t>
      </w:r>
      <w:r w:rsidR="00A6491A">
        <w:t>h as community health services.</w:t>
      </w:r>
      <w:bookmarkStart w:id="0" w:name="_GoBack"/>
      <w:bookmarkEnd w:id="0"/>
    </w:p>
    <w:p w14:paraId="52372919" w14:textId="02B1F1FA" w:rsidR="0090378A" w:rsidRPr="00015D77" w:rsidRDefault="00F95C86" w:rsidP="00015D77">
      <w:pPr>
        <w:pStyle w:val="ListParagraph"/>
      </w:pPr>
      <w:r w:rsidRPr="000C7952">
        <w:t>E</w:t>
      </w:r>
      <w:r w:rsidR="00665701" w:rsidRPr="000C7952">
        <w:t xml:space="preserve">stablish a national set of quality indicators for cardiac rehabilitation services, </w:t>
      </w:r>
      <w:r w:rsidR="00BB4557" w:rsidRPr="000C7952">
        <w:t xml:space="preserve">strengthening secondary prevention to </w:t>
      </w:r>
      <w:r w:rsidRPr="000C7952">
        <w:t>lesse</w:t>
      </w:r>
      <w:r w:rsidR="0095089C" w:rsidRPr="000C7952">
        <w:t>n</w:t>
      </w:r>
      <w:r w:rsidR="00BB4557" w:rsidRPr="000C7952">
        <w:t xml:space="preserve"> readmissions to hospital</w:t>
      </w:r>
      <w:r w:rsidR="00B20727" w:rsidRPr="000C7952">
        <w:t xml:space="preserve"> and lower healthcare costs</w:t>
      </w:r>
      <w:r w:rsidR="005B43F7" w:rsidRPr="000C7952">
        <w:t>.</w:t>
      </w:r>
      <w:r w:rsidR="0067016E" w:rsidRPr="000C7952">
        <w:t xml:space="preserve"> This was set out at the National Improving Cardiac Rehabilitation Measurement Think Tank forum in September 2018</w:t>
      </w:r>
      <w:r w:rsidR="0067016E" w:rsidRPr="000C7952">
        <w:rPr>
          <w:rStyle w:val="FootnoteReference"/>
        </w:rPr>
        <w:footnoteReference w:id="8"/>
      </w:r>
      <w:r w:rsidR="00ED36EC">
        <w:t>.</w:t>
      </w:r>
    </w:p>
    <w:p w14:paraId="00924149" w14:textId="05DF2B92" w:rsidR="00D26AF2" w:rsidRPr="000C7952" w:rsidRDefault="00595CF1">
      <w:pPr>
        <w:rPr>
          <w:rFonts w:asciiTheme="majorHAnsi" w:hAnsiTheme="majorHAnsi" w:cs="Arial"/>
          <w:sz w:val="22"/>
          <w:szCs w:val="20"/>
        </w:rPr>
      </w:pPr>
      <w:r w:rsidRPr="000C7952">
        <w:rPr>
          <w:rFonts w:asciiTheme="majorHAnsi" w:hAnsiTheme="majorHAnsi" w:cs="Arial"/>
          <w:sz w:val="22"/>
          <w:szCs w:val="20"/>
        </w:rPr>
        <w:br w:type="page"/>
      </w:r>
    </w:p>
    <w:p w14:paraId="0FB36300" w14:textId="05F85EA7" w:rsidR="00595CF1" w:rsidRPr="000C7952" w:rsidRDefault="00595CF1" w:rsidP="00595CF1">
      <w:pPr>
        <w:pStyle w:val="Subhead"/>
        <w:outlineLvl w:val="0"/>
        <w:rPr>
          <w:rFonts w:asciiTheme="majorHAnsi" w:hAnsiTheme="majorHAnsi"/>
        </w:rPr>
      </w:pPr>
      <w:r w:rsidRPr="000C7952">
        <w:rPr>
          <w:rFonts w:asciiTheme="majorHAnsi" w:hAnsiTheme="majorHAnsi"/>
        </w:rPr>
        <w:lastRenderedPageBreak/>
        <w:t>Aged care</w:t>
      </w:r>
    </w:p>
    <w:p w14:paraId="15583668" w14:textId="742BE77B" w:rsidR="00595CF1" w:rsidRPr="000C7952" w:rsidRDefault="00595CF1" w:rsidP="00595CF1">
      <w:pPr>
        <w:rPr>
          <w:rFonts w:asciiTheme="majorHAnsi" w:hAnsiTheme="majorHAnsi" w:cs="Arial"/>
          <w:b/>
          <w:sz w:val="22"/>
          <w:szCs w:val="20"/>
        </w:rPr>
      </w:pPr>
      <w:r w:rsidRPr="000C7952">
        <w:rPr>
          <w:rFonts w:asciiTheme="majorHAnsi" w:hAnsiTheme="majorHAnsi" w:cs="Arial"/>
          <w:b/>
          <w:sz w:val="22"/>
          <w:szCs w:val="20"/>
        </w:rPr>
        <w:t>Situation</w:t>
      </w:r>
    </w:p>
    <w:p w14:paraId="0D8CC129" w14:textId="1D412FCE" w:rsidR="00D26AF2" w:rsidRPr="000C7952" w:rsidRDefault="00D26AF2" w:rsidP="00765382">
      <w:pPr>
        <w:rPr>
          <w:rFonts w:asciiTheme="majorHAnsi" w:hAnsiTheme="majorHAnsi" w:cs="Arial"/>
          <w:sz w:val="22"/>
          <w:szCs w:val="20"/>
          <w:lang w:val="en-US"/>
        </w:rPr>
      </w:pPr>
      <w:r w:rsidRPr="000C7952">
        <w:rPr>
          <w:rFonts w:asciiTheme="majorHAnsi" w:hAnsiTheme="majorHAnsi" w:cs="Arial"/>
          <w:sz w:val="22"/>
          <w:szCs w:val="20"/>
          <w:lang w:val="en-US"/>
        </w:rPr>
        <w:t xml:space="preserve">Australia’s population is ageing and demand for aged care services is predicted to increase significantly at a time when aged care providers are struggling to </w:t>
      </w:r>
      <w:r w:rsidR="00ED36EC">
        <w:rPr>
          <w:rFonts w:asciiTheme="majorHAnsi" w:hAnsiTheme="majorHAnsi" w:cs="Arial"/>
          <w:sz w:val="22"/>
          <w:szCs w:val="20"/>
          <w:lang w:val="en-US"/>
        </w:rPr>
        <w:t>attract</w:t>
      </w:r>
      <w:r w:rsidRPr="000C7952">
        <w:rPr>
          <w:rFonts w:asciiTheme="majorHAnsi" w:hAnsiTheme="majorHAnsi" w:cs="Arial"/>
          <w:sz w:val="22"/>
          <w:szCs w:val="20"/>
          <w:lang w:val="en-US"/>
        </w:rPr>
        <w:t xml:space="preserve"> an adequate workforce.</w:t>
      </w:r>
    </w:p>
    <w:p w14:paraId="4B1AE2A3" w14:textId="77777777" w:rsidR="00D26AF2" w:rsidRPr="000C7952" w:rsidRDefault="00D26AF2" w:rsidP="00765382">
      <w:pPr>
        <w:rPr>
          <w:rFonts w:asciiTheme="majorHAnsi" w:hAnsiTheme="majorHAnsi" w:cs="Arial"/>
          <w:sz w:val="22"/>
          <w:szCs w:val="20"/>
          <w:lang w:val="en-US"/>
        </w:rPr>
      </w:pPr>
    </w:p>
    <w:p w14:paraId="776CE632" w14:textId="5426A9D4" w:rsidR="00D26AF2" w:rsidRPr="000C7952" w:rsidRDefault="00D26AF2" w:rsidP="00D26AF2">
      <w:pPr>
        <w:rPr>
          <w:rFonts w:asciiTheme="majorHAnsi" w:hAnsiTheme="majorHAnsi" w:cs="Arial"/>
          <w:sz w:val="22"/>
          <w:szCs w:val="20"/>
          <w:lang w:val="en-US"/>
        </w:rPr>
      </w:pPr>
      <w:r w:rsidRPr="000C7952">
        <w:rPr>
          <w:rFonts w:asciiTheme="majorHAnsi" w:hAnsiTheme="majorHAnsi" w:cs="Arial"/>
          <w:sz w:val="22"/>
          <w:szCs w:val="20"/>
          <w:lang w:val="en-US"/>
        </w:rPr>
        <w:t xml:space="preserve">The demographic challenges facing the aged care system are well documented and understood.  In its 2011 </w:t>
      </w:r>
      <w:r w:rsidRPr="000C7952">
        <w:rPr>
          <w:rFonts w:asciiTheme="majorHAnsi" w:hAnsiTheme="majorHAnsi" w:cs="Arial"/>
          <w:i/>
          <w:sz w:val="22"/>
          <w:szCs w:val="20"/>
          <w:lang w:val="en-US"/>
        </w:rPr>
        <w:t xml:space="preserve">Caring for Older Australians </w:t>
      </w:r>
      <w:r w:rsidRPr="000C7952">
        <w:rPr>
          <w:rFonts w:asciiTheme="majorHAnsi" w:hAnsiTheme="majorHAnsi" w:cs="Arial"/>
          <w:sz w:val="22"/>
          <w:szCs w:val="20"/>
          <w:lang w:val="en-US"/>
        </w:rPr>
        <w:t>report, the Productivity Commission found that by 2050 the aged care workforce will need to quadruple to meet demand</w:t>
      </w:r>
      <w:r w:rsidRPr="000C7952">
        <w:rPr>
          <w:rFonts w:asciiTheme="majorHAnsi" w:hAnsiTheme="majorHAnsi" w:cs="Arial"/>
          <w:sz w:val="22"/>
          <w:szCs w:val="20"/>
          <w:vertAlign w:val="superscript"/>
          <w:lang w:val="en-US"/>
        </w:rPr>
        <w:footnoteReference w:id="9"/>
      </w:r>
      <w:r w:rsidR="00ED36EC">
        <w:rPr>
          <w:rFonts w:asciiTheme="majorHAnsi" w:hAnsiTheme="majorHAnsi" w:cs="Arial"/>
          <w:sz w:val="22"/>
          <w:szCs w:val="20"/>
          <w:lang w:val="en-US"/>
        </w:rPr>
        <w:t>.</w:t>
      </w:r>
      <w:r w:rsidRPr="000C7952">
        <w:rPr>
          <w:rFonts w:asciiTheme="majorHAnsi" w:hAnsiTheme="majorHAnsi" w:cs="Arial"/>
          <w:sz w:val="22"/>
          <w:szCs w:val="20"/>
          <w:lang w:val="en-US"/>
        </w:rPr>
        <w:t xml:space="preserve"> The Productivity Commission also concluded that </w:t>
      </w:r>
      <w:proofErr w:type="spellStart"/>
      <w:r w:rsidRPr="000C7952">
        <w:rPr>
          <w:rFonts w:asciiTheme="majorHAnsi" w:hAnsiTheme="majorHAnsi" w:cs="Arial"/>
          <w:sz w:val="22"/>
          <w:szCs w:val="20"/>
          <w:lang w:val="en-US"/>
        </w:rPr>
        <w:t>labour</w:t>
      </w:r>
      <w:proofErr w:type="spellEnd"/>
      <w:r w:rsidRPr="000C7952">
        <w:rPr>
          <w:rFonts w:asciiTheme="majorHAnsi" w:hAnsiTheme="majorHAnsi" w:cs="Arial"/>
          <w:sz w:val="22"/>
          <w:szCs w:val="20"/>
          <w:lang w:val="en-US"/>
        </w:rPr>
        <w:t xml:space="preserve"> participation rates will likely fall from 65 per cent in 2012 to 60 per cent in 2060, with overall </w:t>
      </w:r>
      <w:proofErr w:type="spellStart"/>
      <w:r w:rsidRPr="000C7952">
        <w:rPr>
          <w:rFonts w:asciiTheme="majorHAnsi" w:hAnsiTheme="majorHAnsi" w:cs="Arial"/>
          <w:sz w:val="22"/>
          <w:szCs w:val="20"/>
          <w:lang w:val="en-US"/>
        </w:rPr>
        <w:t>labour</w:t>
      </w:r>
      <w:proofErr w:type="spellEnd"/>
      <w:r w:rsidRPr="000C7952">
        <w:rPr>
          <w:rFonts w:asciiTheme="majorHAnsi" w:hAnsiTheme="majorHAnsi" w:cs="Arial"/>
          <w:sz w:val="22"/>
          <w:szCs w:val="20"/>
          <w:lang w:val="en-US"/>
        </w:rPr>
        <w:t xml:space="preserve"> supply per capita contracting to 5 per cent</w:t>
      </w:r>
      <w:r w:rsidRPr="000C7952">
        <w:rPr>
          <w:rFonts w:asciiTheme="majorHAnsi" w:hAnsiTheme="majorHAnsi" w:cs="Arial"/>
          <w:sz w:val="22"/>
          <w:szCs w:val="20"/>
          <w:vertAlign w:val="superscript"/>
          <w:lang w:val="en-US"/>
        </w:rPr>
        <w:footnoteReference w:id="10"/>
      </w:r>
      <w:r w:rsidR="00ED36EC">
        <w:rPr>
          <w:rFonts w:asciiTheme="majorHAnsi" w:hAnsiTheme="majorHAnsi" w:cs="Arial"/>
          <w:sz w:val="22"/>
          <w:szCs w:val="20"/>
          <w:lang w:val="en-US"/>
        </w:rPr>
        <w:t>.</w:t>
      </w:r>
    </w:p>
    <w:p w14:paraId="617576EE" w14:textId="77777777" w:rsidR="00D26AF2" w:rsidRPr="000C7952" w:rsidRDefault="00D26AF2" w:rsidP="00765382">
      <w:pPr>
        <w:rPr>
          <w:rFonts w:asciiTheme="majorHAnsi" w:hAnsiTheme="majorHAnsi" w:cs="Arial"/>
          <w:sz w:val="22"/>
          <w:szCs w:val="20"/>
          <w:lang w:val="en-US"/>
        </w:rPr>
      </w:pPr>
    </w:p>
    <w:p w14:paraId="4C11AFED" w14:textId="241AC2AF" w:rsidR="002B4CCF" w:rsidRPr="000C7952" w:rsidRDefault="00CE0808" w:rsidP="002B4CCF">
      <w:pPr>
        <w:rPr>
          <w:rFonts w:asciiTheme="majorHAnsi" w:hAnsiTheme="majorHAnsi" w:cs="Arial"/>
          <w:sz w:val="22"/>
          <w:szCs w:val="20"/>
          <w:lang w:val="en-US"/>
        </w:rPr>
      </w:pPr>
      <w:r w:rsidRPr="000C7952">
        <w:rPr>
          <w:rFonts w:asciiTheme="majorHAnsi" w:hAnsiTheme="majorHAnsi" w:cs="Arial"/>
          <w:sz w:val="22"/>
          <w:szCs w:val="20"/>
          <w:lang w:val="en-US"/>
        </w:rPr>
        <w:t>This is a major issue, particularly in Victoria</w:t>
      </w:r>
      <w:r w:rsidR="002B4CCF" w:rsidRPr="000C7952">
        <w:rPr>
          <w:rFonts w:asciiTheme="majorHAnsi" w:hAnsiTheme="majorHAnsi" w:cs="Arial"/>
          <w:sz w:val="22"/>
          <w:szCs w:val="20"/>
          <w:lang w:val="en-US"/>
        </w:rPr>
        <w:t>,</w:t>
      </w:r>
      <w:r w:rsidRPr="000C7952">
        <w:rPr>
          <w:rFonts w:asciiTheme="majorHAnsi" w:hAnsiTheme="majorHAnsi" w:cs="Arial"/>
          <w:sz w:val="22"/>
          <w:szCs w:val="20"/>
          <w:lang w:val="en-US"/>
        </w:rPr>
        <w:t xml:space="preserve"> which has</w:t>
      </w:r>
      <w:r w:rsidR="002B4CCF" w:rsidRPr="000C7952">
        <w:rPr>
          <w:rFonts w:asciiTheme="majorHAnsi" w:hAnsiTheme="majorHAnsi" w:cs="Arial"/>
          <w:sz w:val="22"/>
          <w:szCs w:val="20"/>
          <w:lang w:val="en-US"/>
        </w:rPr>
        <w:t xml:space="preserve"> the majority of </w:t>
      </w:r>
      <w:r w:rsidRPr="000C7952">
        <w:rPr>
          <w:rFonts w:asciiTheme="majorHAnsi" w:hAnsiTheme="majorHAnsi" w:cs="Arial"/>
          <w:sz w:val="22"/>
          <w:szCs w:val="20"/>
          <w:lang w:val="en-US"/>
        </w:rPr>
        <w:t>Australia’s</w:t>
      </w:r>
      <w:r w:rsidR="002B4CCF" w:rsidRPr="000C7952">
        <w:rPr>
          <w:rFonts w:asciiTheme="majorHAnsi" w:hAnsiTheme="majorHAnsi" w:cs="Arial"/>
          <w:sz w:val="22"/>
          <w:szCs w:val="20"/>
          <w:lang w:val="en-US"/>
        </w:rPr>
        <w:t xml:space="preserve"> </w:t>
      </w:r>
      <w:r w:rsidRPr="000C7952">
        <w:rPr>
          <w:rFonts w:asciiTheme="majorHAnsi" w:hAnsiTheme="majorHAnsi" w:cs="Arial"/>
          <w:sz w:val="22"/>
          <w:szCs w:val="20"/>
          <w:lang w:val="en-US"/>
        </w:rPr>
        <w:t>residential aged care providers</w:t>
      </w:r>
      <w:r w:rsidR="002B4CCF" w:rsidRPr="000C7952">
        <w:rPr>
          <w:rFonts w:asciiTheme="majorHAnsi" w:hAnsiTheme="majorHAnsi" w:cs="Arial"/>
          <w:sz w:val="22"/>
          <w:szCs w:val="20"/>
          <w:vertAlign w:val="superscript"/>
          <w:lang w:val="en-US"/>
        </w:rPr>
        <w:footnoteReference w:id="11"/>
      </w:r>
      <w:r w:rsidR="00ED36EC">
        <w:rPr>
          <w:rFonts w:asciiTheme="majorHAnsi" w:hAnsiTheme="majorHAnsi" w:cs="Arial"/>
          <w:sz w:val="22"/>
          <w:szCs w:val="20"/>
          <w:lang w:val="en-US"/>
        </w:rPr>
        <w:t>,</w:t>
      </w:r>
      <w:r w:rsidR="002B4CCF" w:rsidRPr="000C7952">
        <w:rPr>
          <w:rFonts w:asciiTheme="majorHAnsi" w:hAnsiTheme="majorHAnsi" w:cs="Arial"/>
          <w:sz w:val="22"/>
          <w:szCs w:val="20"/>
          <w:lang w:val="en-US"/>
        </w:rPr>
        <w:t xml:space="preserve"> where the public sector makes up 24 per cent of residential aged care facilities and 12 per cent of places</w:t>
      </w:r>
      <w:r w:rsidR="002B4CCF" w:rsidRPr="000C7952">
        <w:rPr>
          <w:rFonts w:asciiTheme="majorHAnsi" w:hAnsiTheme="majorHAnsi" w:cs="Arial"/>
          <w:sz w:val="22"/>
          <w:szCs w:val="20"/>
          <w:vertAlign w:val="superscript"/>
          <w:lang w:val="en-US"/>
        </w:rPr>
        <w:footnoteReference w:id="12"/>
      </w:r>
      <w:r w:rsidR="00ED36EC">
        <w:rPr>
          <w:rFonts w:asciiTheme="majorHAnsi" w:hAnsiTheme="majorHAnsi" w:cs="Arial"/>
          <w:sz w:val="22"/>
          <w:szCs w:val="20"/>
          <w:lang w:val="en-US"/>
        </w:rPr>
        <w:t>.</w:t>
      </w:r>
      <w:r w:rsidR="002B4CCF" w:rsidRPr="000C7952">
        <w:rPr>
          <w:rFonts w:asciiTheme="majorHAnsi" w:hAnsiTheme="majorHAnsi" w:cs="Arial"/>
          <w:sz w:val="22"/>
          <w:szCs w:val="20"/>
          <w:lang w:val="en-US"/>
        </w:rPr>
        <w:t xml:space="preserve"> In Victoria, there are 77 public sector health services that also provide residential aged care across 182 facilities. Of these facilities, 162 (89 per cent) are located in regional and rural areas</w:t>
      </w:r>
      <w:r w:rsidR="002B4CCF" w:rsidRPr="000C7952">
        <w:rPr>
          <w:rFonts w:asciiTheme="majorHAnsi" w:hAnsiTheme="majorHAnsi" w:cs="Arial"/>
          <w:sz w:val="22"/>
          <w:szCs w:val="20"/>
          <w:vertAlign w:val="superscript"/>
          <w:lang w:val="en-US"/>
        </w:rPr>
        <w:footnoteReference w:id="13"/>
      </w:r>
      <w:r w:rsidR="00ED36EC">
        <w:rPr>
          <w:rFonts w:asciiTheme="majorHAnsi" w:hAnsiTheme="majorHAnsi" w:cs="Arial"/>
          <w:sz w:val="22"/>
          <w:szCs w:val="20"/>
          <w:lang w:val="en-US"/>
        </w:rPr>
        <w:t>.</w:t>
      </w:r>
    </w:p>
    <w:p w14:paraId="678659A5" w14:textId="77777777" w:rsidR="00CE0808" w:rsidRPr="000C7952" w:rsidRDefault="00CE0808" w:rsidP="002B4CCF">
      <w:pPr>
        <w:rPr>
          <w:rFonts w:asciiTheme="majorHAnsi" w:hAnsiTheme="majorHAnsi" w:cs="Arial"/>
          <w:sz w:val="22"/>
          <w:szCs w:val="20"/>
          <w:lang w:val="en-US"/>
        </w:rPr>
      </w:pPr>
    </w:p>
    <w:p w14:paraId="282A02C8" w14:textId="40043CC1" w:rsidR="00CE0808" w:rsidRPr="000C7952" w:rsidRDefault="00CE0808" w:rsidP="002B4CCF">
      <w:pPr>
        <w:rPr>
          <w:rFonts w:asciiTheme="majorHAnsi" w:hAnsiTheme="majorHAnsi" w:cs="Arial"/>
          <w:sz w:val="22"/>
          <w:szCs w:val="20"/>
          <w:lang w:val="en-US"/>
        </w:rPr>
      </w:pPr>
      <w:r w:rsidRPr="000C7952">
        <w:rPr>
          <w:rFonts w:asciiTheme="majorHAnsi" w:hAnsiTheme="majorHAnsi" w:cs="Arial"/>
          <w:sz w:val="22"/>
          <w:szCs w:val="20"/>
          <w:lang w:val="en-US"/>
        </w:rPr>
        <w:t>The process to rectify this major issue has begun, with the development and publication of a nation</w:t>
      </w:r>
      <w:r w:rsidR="001D75E0" w:rsidRPr="000C7952">
        <w:rPr>
          <w:rFonts w:asciiTheme="majorHAnsi" w:hAnsiTheme="majorHAnsi" w:cs="Arial"/>
          <w:sz w:val="22"/>
          <w:szCs w:val="20"/>
          <w:lang w:val="en-US"/>
        </w:rPr>
        <w:t xml:space="preserve">al aged care workforce strategy, </w:t>
      </w:r>
      <w:r w:rsidRPr="000C7952">
        <w:rPr>
          <w:rFonts w:asciiTheme="majorHAnsi" w:hAnsiTheme="majorHAnsi" w:cs="Arial"/>
          <w:i/>
          <w:sz w:val="22"/>
          <w:szCs w:val="20"/>
          <w:lang w:val="en-US"/>
        </w:rPr>
        <w:t>A Matter of Care –Australia’s Aged Care Workforce Strategy</w:t>
      </w:r>
      <w:r w:rsidRPr="000C7952">
        <w:rPr>
          <w:rFonts w:asciiTheme="majorHAnsi" w:hAnsiTheme="majorHAnsi" w:cs="Arial"/>
          <w:sz w:val="22"/>
          <w:szCs w:val="20"/>
          <w:lang w:val="en-US"/>
        </w:rPr>
        <w:t xml:space="preserve"> as well as the recent launch of the Royal Commission into Aged Care Quality and Safety.</w:t>
      </w:r>
    </w:p>
    <w:p w14:paraId="349B97C7" w14:textId="77777777" w:rsidR="0089008F" w:rsidRPr="000C7952" w:rsidRDefault="0089008F" w:rsidP="0089008F">
      <w:pPr>
        <w:rPr>
          <w:rFonts w:asciiTheme="majorHAnsi" w:hAnsiTheme="majorHAnsi" w:cs="Arial"/>
          <w:sz w:val="22"/>
          <w:szCs w:val="20"/>
        </w:rPr>
      </w:pPr>
    </w:p>
    <w:p w14:paraId="0CF9DE56" w14:textId="3720085B" w:rsidR="00422D36" w:rsidRPr="000C7952" w:rsidRDefault="005421C0">
      <w:pPr>
        <w:rPr>
          <w:rFonts w:asciiTheme="majorHAnsi" w:hAnsiTheme="majorHAnsi" w:cs="Arial"/>
          <w:sz w:val="22"/>
          <w:szCs w:val="20"/>
        </w:rPr>
      </w:pPr>
      <w:r w:rsidRPr="000C7952">
        <w:rPr>
          <w:rFonts w:asciiTheme="majorHAnsi" w:hAnsiTheme="majorHAnsi" w:cs="Arial"/>
          <w:i/>
          <w:sz w:val="22"/>
          <w:szCs w:val="20"/>
        </w:rPr>
        <w:t>A Matter of Care –</w:t>
      </w:r>
      <w:r w:rsidR="00892626" w:rsidRPr="000C7952">
        <w:rPr>
          <w:rFonts w:asciiTheme="majorHAnsi" w:hAnsiTheme="majorHAnsi" w:cs="Arial"/>
          <w:i/>
          <w:sz w:val="22"/>
          <w:szCs w:val="20"/>
        </w:rPr>
        <w:t xml:space="preserve">Australia’s Aged Care Workforce </w:t>
      </w:r>
      <w:r w:rsidR="00422D36" w:rsidRPr="000C7952">
        <w:rPr>
          <w:rFonts w:asciiTheme="majorHAnsi" w:hAnsiTheme="majorHAnsi" w:cs="Arial"/>
          <w:i/>
          <w:sz w:val="22"/>
          <w:szCs w:val="20"/>
        </w:rPr>
        <w:t>Strategy</w:t>
      </w:r>
      <w:r w:rsidR="00CC6CEB" w:rsidRPr="000C7952">
        <w:rPr>
          <w:rFonts w:asciiTheme="majorHAnsi" w:hAnsiTheme="majorHAnsi" w:cs="Arial"/>
          <w:sz w:val="22"/>
          <w:szCs w:val="20"/>
        </w:rPr>
        <w:t>,</w:t>
      </w:r>
      <w:r w:rsidR="00422D36" w:rsidRPr="000C7952">
        <w:rPr>
          <w:rFonts w:asciiTheme="majorHAnsi" w:hAnsiTheme="majorHAnsi" w:cs="Arial"/>
          <w:sz w:val="22"/>
          <w:szCs w:val="20"/>
        </w:rPr>
        <w:t xml:space="preserve"> </w:t>
      </w:r>
      <w:r w:rsidR="00CC6CEB" w:rsidRPr="000C7952">
        <w:rPr>
          <w:rFonts w:asciiTheme="majorHAnsi" w:hAnsiTheme="majorHAnsi" w:cs="Arial"/>
          <w:sz w:val="22"/>
          <w:szCs w:val="20"/>
        </w:rPr>
        <w:t xml:space="preserve">developed by Professor John </w:t>
      </w:r>
      <w:proofErr w:type="spellStart"/>
      <w:r w:rsidR="00CC6CEB" w:rsidRPr="000C7952">
        <w:rPr>
          <w:rFonts w:asciiTheme="majorHAnsi" w:hAnsiTheme="majorHAnsi" w:cs="Arial"/>
          <w:sz w:val="22"/>
          <w:szCs w:val="20"/>
        </w:rPr>
        <w:t>Pollaers</w:t>
      </w:r>
      <w:proofErr w:type="spellEnd"/>
      <w:r w:rsidR="00CC6CEB" w:rsidRPr="000C7952">
        <w:rPr>
          <w:rFonts w:asciiTheme="majorHAnsi" w:hAnsiTheme="majorHAnsi" w:cs="Arial"/>
          <w:sz w:val="22"/>
          <w:szCs w:val="20"/>
        </w:rPr>
        <w:t xml:space="preserve"> OAM, </w:t>
      </w:r>
      <w:r w:rsidR="00A537EF" w:rsidRPr="000C7952">
        <w:rPr>
          <w:rFonts w:asciiTheme="majorHAnsi" w:hAnsiTheme="majorHAnsi" w:cs="Arial"/>
          <w:sz w:val="22"/>
          <w:szCs w:val="20"/>
        </w:rPr>
        <w:t>set</w:t>
      </w:r>
      <w:r w:rsidR="00584864" w:rsidRPr="000C7952">
        <w:rPr>
          <w:rFonts w:asciiTheme="majorHAnsi" w:hAnsiTheme="majorHAnsi" w:cs="Arial"/>
          <w:sz w:val="22"/>
          <w:szCs w:val="20"/>
        </w:rPr>
        <w:t xml:space="preserve"> out</w:t>
      </w:r>
      <w:r w:rsidR="00892626" w:rsidRPr="000C7952">
        <w:rPr>
          <w:rFonts w:asciiTheme="majorHAnsi" w:hAnsiTheme="majorHAnsi" w:cs="Arial"/>
          <w:sz w:val="22"/>
          <w:szCs w:val="20"/>
        </w:rPr>
        <w:t xml:space="preserve"> 14 strategic actions </w:t>
      </w:r>
      <w:r w:rsidR="00ED36EC">
        <w:rPr>
          <w:rFonts w:asciiTheme="majorHAnsi" w:hAnsiTheme="majorHAnsi" w:cs="Arial"/>
          <w:sz w:val="22"/>
          <w:szCs w:val="20"/>
        </w:rPr>
        <w:t>to provide</w:t>
      </w:r>
      <w:r w:rsidR="00892626" w:rsidRPr="000C7952">
        <w:rPr>
          <w:rFonts w:asciiTheme="majorHAnsi" w:hAnsiTheme="majorHAnsi" w:cs="Arial"/>
          <w:sz w:val="22"/>
          <w:szCs w:val="20"/>
        </w:rPr>
        <w:t xml:space="preserve"> industry</w:t>
      </w:r>
      <w:r w:rsidR="00ED36EC">
        <w:rPr>
          <w:rFonts w:asciiTheme="majorHAnsi" w:hAnsiTheme="majorHAnsi" w:cs="Arial"/>
          <w:sz w:val="22"/>
          <w:szCs w:val="20"/>
        </w:rPr>
        <w:t xml:space="preserve"> with the</w:t>
      </w:r>
      <w:r w:rsidR="00892626" w:rsidRPr="000C7952">
        <w:rPr>
          <w:rFonts w:asciiTheme="majorHAnsi" w:hAnsiTheme="majorHAnsi" w:cs="Arial"/>
          <w:sz w:val="22"/>
          <w:szCs w:val="20"/>
        </w:rPr>
        <w:t xml:space="preserve"> tools</w:t>
      </w:r>
      <w:r w:rsidR="00ED36EC">
        <w:rPr>
          <w:rFonts w:asciiTheme="majorHAnsi" w:hAnsiTheme="majorHAnsi" w:cs="Arial"/>
          <w:sz w:val="22"/>
          <w:szCs w:val="20"/>
        </w:rPr>
        <w:t xml:space="preserve"> needed</w:t>
      </w:r>
      <w:r w:rsidR="00892626" w:rsidRPr="000C7952">
        <w:rPr>
          <w:rFonts w:asciiTheme="majorHAnsi" w:hAnsiTheme="majorHAnsi" w:cs="Arial"/>
          <w:sz w:val="22"/>
          <w:szCs w:val="20"/>
        </w:rPr>
        <w:t xml:space="preserve"> to improve aged care and ensure that the workforce is ready for the future direction of aged care. These strategic actions include:</w:t>
      </w:r>
    </w:p>
    <w:p w14:paraId="06109E40" w14:textId="77777777" w:rsidR="00892626" w:rsidRPr="000C7952" w:rsidRDefault="00892626" w:rsidP="00892626">
      <w:pPr>
        <w:numPr>
          <w:ilvl w:val="0"/>
          <w:numId w:val="13"/>
        </w:numPr>
        <w:rPr>
          <w:rFonts w:asciiTheme="majorHAnsi" w:hAnsiTheme="majorHAnsi" w:cs="Arial"/>
          <w:sz w:val="22"/>
          <w:szCs w:val="20"/>
        </w:rPr>
      </w:pPr>
      <w:r w:rsidRPr="000C7952">
        <w:rPr>
          <w:rFonts w:asciiTheme="majorHAnsi" w:hAnsiTheme="majorHAnsi" w:cs="Arial"/>
          <w:sz w:val="22"/>
          <w:szCs w:val="20"/>
        </w:rPr>
        <w:t>Creation of a social change campaign to reframe caring and promote the workforce</w:t>
      </w:r>
    </w:p>
    <w:p w14:paraId="4693B06D" w14:textId="77777777" w:rsidR="00892626" w:rsidRPr="000C7952" w:rsidRDefault="00892626" w:rsidP="00892626">
      <w:pPr>
        <w:numPr>
          <w:ilvl w:val="0"/>
          <w:numId w:val="13"/>
        </w:numPr>
        <w:rPr>
          <w:rFonts w:asciiTheme="majorHAnsi" w:hAnsiTheme="majorHAnsi" w:cs="Arial"/>
          <w:sz w:val="22"/>
          <w:szCs w:val="20"/>
        </w:rPr>
      </w:pPr>
      <w:r w:rsidRPr="000C7952">
        <w:rPr>
          <w:rFonts w:asciiTheme="majorHAnsi" w:hAnsiTheme="majorHAnsi" w:cs="Arial"/>
          <w:sz w:val="22"/>
          <w:szCs w:val="20"/>
        </w:rPr>
        <w:t>Voluntary industry code of practice</w:t>
      </w:r>
    </w:p>
    <w:p w14:paraId="2AE421C3" w14:textId="77777777" w:rsidR="00892626" w:rsidRPr="000C7952" w:rsidRDefault="00892626" w:rsidP="00892626">
      <w:pPr>
        <w:numPr>
          <w:ilvl w:val="0"/>
          <w:numId w:val="13"/>
        </w:numPr>
        <w:rPr>
          <w:rFonts w:asciiTheme="majorHAnsi" w:hAnsiTheme="majorHAnsi" w:cs="Arial"/>
          <w:sz w:val="22"/>
          <w:szCs w:val="20"/>
        </w:rPr>
      </w:pPr>
      <w:r w:rsidRPr="000C7952">
        <w:rPr>
          <w:rFonts w:asciiTheme="majorHAnsi" w:hAnsiTheme="majorHAnsi" w:cs="Arial"/>
          <w:sz w:val="22"/>
          <w:szCs w:val="20"/>
        </w:rPr>
        <w:t>Implementing new attraction and retention strategies for the workforce</w:t>
      </w:r>
    </w:p>
    <w:p w14:paraId="0CEFF95B" w14:textId="77777777" w:rsidR="00892626" w:rsidRPr="000C7952" w:rsidRDefault="00892626" w:rsidP="00892626">
      <w:pPr>
        <w:numPr>
          <w:ilvl w:val="0"/>
          <w:numId w:val="13"/>
        </w:numPr>
        <w:rPr>
          <w:rFonts w:asciiTheme="majorHAnsi" w:hAnsiTheme="majorHAnsi" w:cs="Arial"/>
          <w:sz w:val="22"/>
          <w:szCs w:val="20"/>
        </w:rPr>
      </w:pPr>
      <w:r w:rsidRPr="000C7952">
        <w:rPr>
          <w:rFonts w:asciiTheme="majorHAnsi" w:hAnsiTheme="majorHAnsi" w:cs="Arial"/>
          <w:sz w:val="22"/>
          <w:szCs w:val="20"/>
        </w:rPr>
        <w:t>Strengthening the interface between aged care and primary/acute care</w:t>
      </w:r>
    </w:p>
    <w:p w14:paraId="6D3DBE6B" w14:textId="77777777" w:rsidR="00892626" w:rsidRPr="000C7952" w:rsidRDefault="00892626" w:rsidP="00892626">
      <w:pPr>
        <w:numPr>
          <w:ilvl w:val="0"/>
          <w:numId w:val="13"/>
        </w:numPr>
        <w:rPr>
          <w:rFonts w:asciiTheme="majorHAnsi" w:hAnsiTheme="majorHAnsi" w:cs="Arial"/>
          <w:sz w:val="22"/>
          <w:szCs w:val="20"/>
        </w:rPr>
      </w:pPr>
      <w:r w:rsidRPr="000C7952">
        <w:rPr>
          <w:rFonts w:asciiTheme="majorHAnsi" w:hAnsiTheme="majorHAnsi" w:cs="Arial"/>
          <w:sz w:val="22"/>
          <w:szCs w:val="20"/>
        </w:rPr>
        <w:t>Establishing a remote accord</w:t>
      </w:r>
    </w:p>
    <w:p w14:paraId="74BF0F12" w14:textId="77777777" w:rsidR="00892626" w:rsidRPr="000C7952" w:rsidRDefault="00892626" w:rsidP="00892626">
      <w:pPr>
        <w:numPr>
          <w:ilvl w:val="0"/>
          <w:numId w:val="13"/>
        </w:numPr>
        <w:rPr>
          <w:rFonts w:asciiTheme="majorHAnsi" w:hAnsiTheme="majorHAnsi" w:cs="Arial"/>
          <w:sz w:val="22"/>
          <w:szCs w:val="20"/>
        </w:rPr>
      </w:pPr>
      <w:r w:rsidRPr="000C7952">
        <w:rPr>
          <w:rFonts w:asciiTheme="majorHAnsi" w:hAnsiTheme="majorHAnsi" w:cs="Arial"/>
          <w:sz w:val="22"/>
          <w:szCs w:val="20"/>
        </w:rPr>
        <w:t>Establishing an Aged Care Centre for Growth and Translational Research</w:t>
      </w:r>
    </w:p>
    <w:p w14:paraId="461F7B85" w14:textId="77777777" w:rsidR="00892626" w:rsidRPr="000C7952" w:rsidRDefault="00892626" w:rsidP="00892626">
      <w:pPr>
        <w:rPr>
          <w:rFonts w:asciiTheme="majorHAnsi" w:hAnsiTheme="majorHAnsi" w:cs="Arial"/>
          <w:sz w:val="22"/>
          <w:szCs w:val="20"/>
        </w:rPr>
      </w:pPr>
    </w:p>
    <w:p w14:paraId="2C2849BD" w14:textId="03996677" w:rsidR="00892626" w:rsidRPr="000C7952" w:rsidRDefault="00422D36" w:rsidP="00892626">
      <w:pPr>
        <w:rPr>
          <w:rFonts w:asciiTheme="majorHAnsi" w:hAnsiTheme="majorHAnsi" w:cs="Arial"/>
          <w:sz w:val="22"/>
          <w:szCs w:val="20"/>
        </w:rPr>
      </w:pPr>
      <w:r w:rsidRPr="000C7952">
        <w:rPr>
          <w:rFonts w:asciiTheme="majorHAnsi" w:hAnsiTheme="majorHAnsi" w:cs="Arial"/>
          <w:sz w:val="22"/>
          <w:szCs w:val="20"/>
        </w:rPr>
        <w:t xml:space="preserve">While the strategic actions contained within </w:t>
      </w:r>
      <w:r w:rsidR="005421C0" w:rsidRPr="000C7952">
        <w:rPr>
          <w:rFonts w:asciiTheme="majorHAnsi" w:hAnsiTheme="majorHAnsi" w:cs="Arial"/>
          <w:i/>
          <w:sz w:val="22"/>
          <w:szCs w:val="20"/>
        </w:rPr>
        <w:t>A Matter of Care –Australia’s Aged Care Workforce Strategy</w:t>
      </w:r>
      <w:r w:rsidR="00CE0808" w:rsidRPr="000C7952">
        <w:rPr>
          <w:rFonts w:asciiTheme="majorHAnsi" w:hAnsiTheme="majorHAnsi" w:cs="Arial"/>
          <w:sz w:val="22"/>
          <w:szCs w:val="20"/>
        </w:rPr>
        <w:t>,</w:t>
      </w:r>
      <w:r w:rsidR="005421C0" w:rsidRPr="000C7952">
        <w:rPr>
          <w:rFonts w:asciiTheme="majorHAnsi" w:hAnsiTheme="majorHAnsi" w:cs="Arial"/>
          <w:sz w:val="22"/>
          <w:szCs w:val="20"/>
        </w:rPr>
        <w:t xml:space="preserve"> </w:t>
      </w:r>
      <w:r w:rsidR="00CC6CEB" w:rsidRPr="000C7952">
        <w:rPr>
          <w:rFonts w:asciiTheme="majorHAnsi" w:hAnsiTheme="majorHAnsi" w:cs="Arial"/>
          <w:sz w:val="22"/>
          <w:szCs w:val="20"/>
        </w:rPr>
        <w:t>have</w:t>
      </w:r>
      <w:r w:rsidRPr="000C7952">
        <w:rPr>
          <w:rFonts w:asciiTheme="majorHAnsi" w:hAnsiTheme="majorHAnsi" w:cs="Arial"/>
          <w:sz w:val="22"/>
          <w:szCs w:val="20"/>
        </w:rPr>
        <w:t xml:space="preserve"> received strong government support, no funding </w:t>
      </w:r>
      <w:r w:rsidR="00CC6CEB" w:rsidRPr="000C7952">
        <w:rPr>
          <w:rFonts w:asciiTheme="majorHAnsi" w:hAnsiTheme="majorHAnsi" w:cs="Arial"/>
          <w:sz w:val="22"/>
          <w:szCs w:val="20"/>
        </w:rPr>
        <w:t xml:space="preserve">has been committed. </w:t>
      </w:r>
      <w:r w:rsidR="00892626" w:rsidRPr="000C7952">
        <w:rPr>
          <w:rFonts w:asciiTheme="majorHAnsi" w:hAnsiTheme="majorHAnsi" w:cs="Arial"/>
          <w:sz w:val="22"/>
          <w:szCs w:val="20"/>
        </w:rPr>
        <w:t>The strategy</w:t>
      </w:r>
      <w:r w:rsidR="00584864" w:rsidRPr="000C7952">
        <w:rPr>
          <w:rFonts w:asciiTheme="majorHAnsi" w:hAnsiTheme="majorHAnsi" w:cs="Arial"/>
          <w:sz w:val="22"/>
          <w:szCs w:val="20"/>
        </w:rPr>
        <w:t>,</w:t>
      </w:r>
      <w:r w:rsidR="001E3796" w:rsidRPr="000C7952">
        <w:rPr>
          <w:rFonts w:asciiTheme="majorHAnsi" w:hAnsiTheme="majorHAnsi" w:cs="Arial"/>
          <w:sz w:val="22"/>
          <w:szCs w:val="20"/>
        </w:rPr>
        <w:t xml:space="preserve"> if </w:t>
      </w:r>
      <w:r w:rsidR="00A537EF" w:rsidRPr="000C7952">
        <w:rPr>
          <w:rFonts w:asciiTheme="majorHAnsi" w:hAnsiTheme="majorHAnsi" w:cs="Arial"/>
          <w:sz w:val="22"/>
          <w:szCs w:val="20"/>
        </w:rPr>
        <w:t xml:space="preserve">fully </w:t>
      </w:r>
      <w:r w:rsidR="001E3796" w:rsidRPr="000C7952">
        <w:rPr>
          <w:rFonts w:asciiTheme="majorHAnsi" w:hAnsiTheme="majorHAnsi" w:cs="Arial"/>
          <w:sz w:val="22"/>
          <w:szCs w:val="20"/>
        </w:rPr>
        <w:t>implemented,</w:t>
      </w:r>
      <w:r w:rsidR="00584864" w:rsidRPr="000C7952">
        <w:rPr>
          <w:rFonts w:asciiTheme="majorHAnsi" w:hAnsiTheme="majorHAnsi" w:cs="Arial"/>
          <w:sz w:val="22"/>
          <w:szCs w:val="20"/>
        </w:rPr>
        <w:t xml:space="preserve"> </w:t>
      </w:r>
      <w:r w:rsidR="00ED36EC">
        <w:rPr>
          <w:rFonts w:asciiTheme="majorHAnsi" w:hAnsiTheme="majorHAnsi" w:cs="Arial"/>
          <w:sz w:val="22"/>
          <w:szCs w:val="20"/>
        </w:rPr>
        <w:t>would</w:t>
      </w:r>
      <w:r w:rsidR="00584864" w:rsidRPr="000C7952">
        <w:rPr>
          <w:rFonts w:asciiTheme="majorHAnsi" w:hAnsiTheme="majorHAnsi"/>
        </w:rPr>
        <w:t xml:space="preserve"> </w:t>
      </w:r>
      <w:r w:rsidR="00584864" w:rsidRPr="000C7952">
        <w:rPr>
          <w:rFonts w:asciiTheme="majorHAnsi" w:hAnsiTheme="majorHAnsi" w:cs="Arial"/>
          <w:sz w:val="22"/>
          <w:szCs w:val="20"/>
        </w:rPr>
        <w:t xml:space="preserve">grow and sustain the workforce providing aged care services and support </w:t>
      </w:r>
      <w:r w:rsidR="00584864" w:rsidRPr="000C7952">
        <w:rPr>
          <w:rFonts w:asciiTheme="majorHAnsi" w:hAnsiTheme="majorHAnsi" w:cs="Arial"/>
          <w:sz w:val="22"/>
          <w:szCs w:val="20"/>
        </w:rPr>
        <w:lastRenderedPageBreak/>
        <w:t>for older people, to meet their care needs in a variety of settings across Australia.</w:t>
      </w:r>
      <w:r w:rsidR="00892626" w:rsidRPr="000C7952">
        <w:rPr>
          <w:rFonts w:asciiTheme="majorHAnsi" w:hAnsiTheme="majorHAnsi" w:cs="Arial"/>
          <w:sz w:val="22"/>
          <w:szCs w:val="20"/>
        </w:rPr>
        <w:t xml:space="preserve"> </w:t>
      </w:r>
      <w:r w:rsidR="00C101E2" w:rsidRPr="000C7952">
        <w:rPr>
          <w:rFonts w:asciiTheme="majorHAnsi" w:hAnsiTheme="majorHAnsi" w:cs="Arial"/>
          <w:sz w:val="22"/>
          <w:szCs w:val="20"/>
        </w:rPr>
        <w:t xml:space="preserve">The Royal Commission into Aged Care Quality and Safety has already </w:t>
      </w:r>
      <w:r w:rsidR="00CC6CEB" w:rsidRPr="000C7952">
        <w:rPr>
          <w:rFonts w:asciiTheme="majorHAnsi" w:hAnsiTheme="majorHAnsi" w:cs="Arial"/>
          <w:sz w:val="22"/>
          <w:szCs w:val="20"/>
        </w:rPr>
        <w:t>begun</w:t>
      </w:r>
      <w:r w:rsidR="00C101E2" w:rsidRPr="000C7952">
        <w:rPr>
          <w:rFonts w:asciiTheme="majorHAnsi" w:hAnsiTheme="majorHAnsi" w:cs="Arial"/>
          <w:sz w:val="22"/>
          <w:szCs w:val="20"/>
        </w:rPr>
        <w:t xml:space="preserve"> to </w:t>
      </w:r>
      <w:r w:rsidRPr="000C7952">
        <w:rPr>
          <w:rFonts w:asciiTheme="majorHAnsi" w:hAnsiTheme="majorHAnsi" w:cs="Arial"/>
          <w:sz w:val="22"/>
          <w:szCs w:val="20"/>
        </w:rPr>
        <w:t xml:space="preserve">highlight the </w:t>
      </w:r>
      <w:r w:rsidR="00C101E2" w:rsidRPr="000C7952">
        <w:rPr>
          <w:rFonts w:asciiTheme="majorHAnsi" w:hAnsiTheme="majorHAnsi" w:cs="Arial"/>
          <w:sz w:val="22"/>
          <w:szCs w:val="20"/>
        </w:rPr>
        <w:t>importan</w:t>
      </w:r>
      <w:r w:rsidR="00967534">
        <w:rPr>
          <w:rFonts w:asciiTheme="majorHAnsi" w:hAnsiTheme="majorHAnsi" w:cs="Arial"/>
          <w:sz w:val="22"/>
          <w:szCs w:val="20"/>
        </w:rPr>
        <w:t>ce of a high-</w:t>
      </w:r>
      <w:r w:rsidRPr="000C7952">
        <w:rPr>
          <w:rFonts w:asciiTheme="majorHAnsi" w:hAnsiTheme="majorHAnsi" w:cs="Arial"/>
          <w:sz w:val="22"/>
          <w:szCs w:val="20"/>
        </w:rPr>
        <w:t>quality, well-trained</w:t>
      </w:r>
      <w:r w:rsidR="00C101E2" w:rsidRPr="000C7952">
        <w:rPr>
          <w:rFonts w:asciiTheme="majorHAnsi" w:hAnsiTheme="majorHAnsi" w:cs="Arial"/>
          <w:sz w:val="22"/>
          <w:szCs w:val="20"/>
        </w:rPr>
        <w:t xml:space="preserve"> workforce to </w:t>
      </w:r>
      <w:r w:rsidRPr="000C7952">
        <w:rPr>
          <w:rFonts w:asciiTheme="majorHAnsi" w:hAnsiTheme="majorHAnsi" w:cs="Arial"/>
          <w:sz w:val="22"/>
          <w:szCs w:val="20"/>
        </w:rPr>
        <w:t xml:space="preserve">the </w:t>
      </w:r>
      <w:r w:rsidR="00C101E2" w:rsidRPr="000C7952">
        <w:rPr>
          <w:rFonts w:asciiTheme="majorHAnsi" w:hAnsiTheme="majorHAnsi" w:cs="Arial"/>
          <w:sz w:val="22"/>
          <w:szCs w:val="20"/>
        </w:rPr>
        <w:t xml:space="preserve">quality </w:t>
      </w:r>
      <w:r w:rsidRPr="000C7952">
        <w:rPr>
          <w:rFonts w:asciiTheme="majorHAnsi" w:hAnsiTheme="majorHAnsi" w:cs="Arial"/>
          <w:sz w:val="22"/>
          <w:szCs w:val="20"/>
        </w:rPr>
        <w:t xml:space="preserve">and safety </w:t>
      </w:r>
      <w:r w:rsidR="00C101E2" w:rsidRPr="000C7952">
        <w:rPr>
          <w:rFonts w:asciiTheme="majorHAnsi" w:hAnsiTheme="majorHAnsi" w:cs="Arial"/>
          <w:sz w:val="22"/>
          <w:szCs w:val="20"/>
        </w:rPr>
        <w:t xml:space="preserve">of care. </w:t>
      </w:r>
      <w:r w:rsidRPr="000C7952">
        <w:rPr>
          <w:rFonts w:asciiTheme="majorHAnsi" w:hAnsiTheme="majorHAnsi" w:cs="Arial"/>
          <w:sz w:val="22"/>
          <w:szCs w:val="20"/>
        </w:rPr>
        <w:t xml:space="preserve">While </w:t>
      </w:r>
      <w:r w:rsidR="001E3796" w:rsidRPr="000C7952">
        <w:rPr>
          <w:rFonts w:asciiTheme="majorHAnsi" w:hAnsiTheme="majorHAnsi" w:cs="Arial"/>
          <w:sz w:val="22"/>
          <w:szCs w:val="20"/>
        </w:rPr>
        <w:t xml:space="preserve">responsibility for implementation </w:t>
      </w:r>
      <w:r w:rsidRPr="000C7952">
        <w:rPr>
          <w:rFonts w:asciiTheme="majorHAnsi" w:hAnsiTheme="majorHAnsi" w:cs="Arial"/>
          <w:sz w:val="22"/>
          <w:szCs w:val="20"/>
        </w:rPr>
        <w:t xml:space="preserve">largely rests with </w:t>
      </w:r>
      <w:r w:rsidR="001E3796" w:rsidRPr="000C7952">
        <w:rPr>
          <w:rFonts w:asciiTheme="majorHAnsi" w:hAnsiTheme="majorHAnsi" w:cs="Arial"/>
          <w:sz w:val="22"/>
          <w:szCs w:val="20"/>
        </w:rPr>
        <w:t xml:space="preserve">industry, </w:t>
      </w:r>
      <w:r w:rsidRPr="000C7952">
        <w:rPr>
          <w:rFonts w:asciiTheme="majorHAnsi" w:hAnsiTheme="majorHAnsi" w:cs="Arial"/>
          <w:sz w:val="22"/>
          <w:szCs w:val="20"/>
        </w:rPr>
        <w:t>no funding has been made available</w:t>
      </w:r>
      <w:r w:rsidR="00584864" w:rsidRPr="000C7952">
        <w:rPr>
          <w:rFonts w:asciiTheme="majorHAnsi" w:hAnsiTheme="majorHAnsi" w:cs="Arial"/>
          <w:sz w:val="22"/>
          <w:szCs w:val="20"/>
        </w:rPr>
        <w:t xml:space="preserve">. </w:t>
      </w:r>
    </w:p>
    <w:p w14:paraId="3F820FD4" w14:textId="77777777" w:rsidR="00595CF1" w:rsidRPr="000C7952" w:rsidRDefault="00595CF1" w:rsidP="00595CF1">
      <w:pPr>
        <w:rPr>
          <w:rFonts w:asciiTheme="majorHAnsi" w:hAnsiTheme="majorHAnsi" w:cs="Arial"/>
          <w:sz w:val="22"/>
          <w:szCs w:val="20"/>
        </w:rPr>
      </w:pPr>
    </w:p>
    <w:p w14:paraId="7BA61479" w14:textId="3A3D10AF" w:rsidR="00595CF1" w:rsidRPr="000C7952" w:rsidRDefault="00E54F61" w:rsidP="00595CF1">
      <w:pPr>
        <w:rPr>
          <w:rFonts w:asciiTheme="majorHAnsi" w:hAnsiTheme="majorHAnsi" w:cs="Arial"/>
          <w:b/>
          <w:i/>
          <w:sz w:val="22"/>
          <w:szCs w:val="20"/>
        </w:rPr>
      </w:pPr>
      <w:r w:rsidRPr="000C7952">
        <w:rPr>
          <w:rFonts w:asciiTheme="majorHAnsi" w:hAnsiTheme="majorHAnsi" w:cs="Arial"/>
          <w:b/>
          <w:i/>
          <w:sz w:val="22"/>
          <w:szCs w:val="20"/>
        </w:rPr>
        <w:t>Recommendations</w:t>
      </w:r>
    </w:p>
    <w:p w14:paraId="6D5183D8" w14:textId="761DA035" w:rsidR="00595CF1" w:rsidRDefault="00CA54A4" w:rsidP="004760E2">
      <w:pPr>
        <w:pStyle w:val="ListParagraph"/>
        <w:numPr>
          <w:ilvl w:val="0"/>
          <w:numId w:val="4"/>
        </w:numPr>
        <w:rPr>
          <w:rFonts w:cs="Arial"/>
          <w:szCs w:val="20"/>
        </w:rPr>
      </w:pPr>
      <w:r>
        <w:rPr>
          <w:rFonts w:cs="Arial"/>
          <w:szCs w:val="20"/>
        </w:rPr>
        <w:t>The Australian Government must c</w:t>
      </w:r>
      <w:r w:rsidR="00595CF1" w:rsidRPr="00CA54A4">
        <w:rPr>
          <w:rFonts w:cs="Arial"/>
          <w:szCs w:val="20"/>
        </w:rPr>
        <w:t xml:space="preserve">ommit to </w:t>
      </w:r>
      <w:r w:rsidR="004760E2">
        <w:rPr>
          <w:rFonts w:cs="Arial"/>
          <w:szCs w:val="20"/>
        </w:rPr>
        <w:t>support and fund</w:t>
      </w:r>
      <w:r w:rsidR="00E54F61" w:rsidRPr="00CA54A4">
        <w:rPr>
          <w:rFonts w:cs="Arial"/>
          <w:szCs w:val="20"/>
        </w:rPr>
        <w:t xml:space="preserve"> </w:t>
      </w:r>
      <w:r w:rsidR="004760E2">
        <w:rPr>
          <w:rFonts w:cs="Arial"/>
          <w:szCs w:val="20"/>
        </w:rPr>
        <w:t xml:space="preserve">the implementation of </w:t>
      </w:r>
      <w:r w:rsidR="00422D36" w:rsidRPr="00CA54A4">
        <w:rPr>
          <w:rFonts w:cs="Arial"/>
          <w:szCs w:val="20"/>
        </w:rPr>
        <w:t>all</w:t>
      </w:r>
      <w:r w:rsidR="004760E2">
        <w:rPr>
          <w:rFonts w:cs="Arial"/>
          <w:szCs w:val="20"/>
        </w:rPr>
        <w:t xml:space="preserve"> the</w:t>
      </w:r>
      <w:r w:rsidR="00422D36" w:rsidRPr="00CA54A4">
        <w:rPr>
          <w:rFonts w:cs="Arial"/>
          <w:szCs w:val="20"/>
        </w:rPr>
        <w:t xml:space="preserve"> </w:t>
      </w:r>
      <w:r w:rsidR="004760E2">
        <w:rPr>
          <w:rFonts w:cs="Arial"/>
          <w:szCs w:val="20"/>
        </w:rPr>
        <w:t>strategic actions included in</w:t>
      </w:r>
      <w:r w:rsidR="00595CF1" w:rsidRPr="00CA54A4">
        <w:rPr>
          <w:rFonts w:cs="Arial"/>
          <w:szCs w:val="20"/>
        </w:rPr>
        <w:t xml:space="preserve"> </w:t>
      </w:r>
      <w:r w:rsidR="00A30BE4" w:rsidRPr="00967534">
        <w:rPr>
          <w:rFonts w:cs="Arial"/>
          <w:i/>
          <w:szCs w:val="20"/>
        </w:rPr>
        <w:t xml:space="preserve">A Matter of Care –Australia’s </w:t>
      </w:r>
      <w:r w:rsidR="00967534" w:rsidRPr="00967534">
        <w:rPr>
          <w:rFonts w:cs="Arial"/>
          <w:i/>
          <w:szCs w:val="20"/>
        </w:rPr>
        <w:t>Aged Care Workforce Strategy</w:t>
      </w:r>
      <w:r w:rsidR="004760E2">
        <w:rPr>
          <w:rFonts w:cs="Arial"/>
          <w:szCs w:val="20"/>
        </w:rPr>
        <w:t xml:space="preserve">, as </w:t>
      </w:r>
      <w:r w:rsidRPr="00CA54A4">
        <w:rPr>
          <w:rFonts w:cs="Arial"/>
          <w:szCs w:val="20"/>
        </w:rPr>
        <w:t>developed by the Aged Care Workforce Strategy Taskforce</w:t>
      </w:r>
      <w:r w:rsidR="004760E2">
        <w:rPr>
          <w:rFonts w:cs="Arial"/>
          <w:szCs w:val="20"/>
        </w:rPr>
        <w:t>,</w:t>
      </w:r>
      <w:r w:rsidRPr="00CA54A4">
        <w:rPr>
          <w:rFonts w:cs="Arial"/>
          <w:szCs w:val="20"/>
        </w:rPr>
        <w:t xml:space="preserve"> to </w:t>
      </w:r>
      <w:r w:rsidR="004760E2">
        <w:rPr>
          <w:rFonts w:cs="Arial"/>
          <w:szCs w:val="20"/>
        </w:rPr>
        <w:t>enable aged care services to deliver higher quality and safer care for older people.</w:t>
      </w:r>
    </w:p>
    <w:p w14:paraId="69980EAF" w14:textId="5A481645" w:rsidR="00967534" w:rsidRPr="00967534" w:rsidRDefault="00967534" w:rsidP="00967534">
      <w:pPr>
        <w:pStyle w:val="ListParagraph"/>
        <w:numPr>
          <w:ilvl w:val="0"/>
          <w:numId w:val="4"/>
        </w:numPr>
        <w:rPr>
          <w:rFonts w:cs="Arial"/>
          <w:szCs w:val="20"/>
        </w:rPr>
      </w:pPr>
      <w:r w:rsidRPr="00967534">
        <w:rPr>
          <w:rFonts w:cs="Arial"/>
          <w:szCs w:val="20"/>
        </w:rPr>
        <w:t xml:space="preserve">The Australian Government must </w:t>
      </w:r>
      <w:r>
        <w:rPr>
          <w:rFonts w:cs="Arial"/>
          <w:szCs w:val="20"/>
        </w:rPr>
        <w:t>ensure</w:t>
      </w:r>
      <w:r w:rsidRPr="00967534">
        <w:rPr>
          <w:rFonts w:cs="Arial"/>
          <w:szCs w:val="20"/>
        </w:rPr>
        <w:t xml:space="preserve"> </w:t>
      </w:r>
      <w:r>
        <w:rPr>
          <w:rFonts w:cs="Arial"/>
          <w:szCs w:val="20"/>
        </w:rPr>
        <w:t>t</w:t>
      </w:r>
      <w:r w:rsidRPr="00967534">
        <w:rPr>
          <w:rFonts w:cs="Arial"/>
          <w:szCs w:val="20"/>
        </w:rPr>
        <w:t>hat Aged Care Funding Instrument reform adequately reflects the true cost of</w:t>
      </w:r>
      <w:r>
        <w:rPr>
          <w:rFonts w:cs="Arial"/>
          <w:szCs w:val="20"/>
        </w:rPr>
        <w:t xml:space="preserve"> </w:t>
      </w:r>
      <w:r w:rsidRPr="00967534">
        <w:rPr>
          <w:rFonts w:cs="Arial"/>
          <w:szCs w:val="20"/>
        </w:rPr>
        <w:t>providing are for older people, and incentivise better health outcomes for older</w:t>
      </w:r>
      <w:r>
        <w:rPr>
          <w:rFonts w:cs="Arial"/>
          <w:szCs w:val="20"/>
        </w:rPr>
        <w:t xml:space="preserve"> </w:t>
      </w:r>
      <w:r w:rsidRPr="00967534">
        <w:rPr>
          <w:rFonts w:cs="Arial"/>
          <w:szCs w:val="20"/>
        </w:rPr>
        <w:t>people.</w:t>
      </w:r>
    </w:p>
    <w:p w14:paraId="1E403773" w14:textId="77E46041" w:rsidR="00DC1A8D" w:rsidRPr="000C7952" w:rsidRDefault="00DC1A8D">
      <w:pPr>
        <w:rPr>
          <w:rFonts w:asciiTheme="majorHAnsi" w:hAnsiTheme="majorHAnsi"/>
          <w:sz w:val="22"/>
          <w:szCs w:val="22"/>
        </w:rPr>
      </w:pPr>
      <w:r w:rsidRPr="000C7952">
        <w:rPr>
          <w:rFonts w:asciiTheme="majorHAnsi" w:hAnsiTheme="majorHAnsi"/>
          <w:sz w:val="22"/>
          <w:szCs w:val="22"/>
        </w:rPr>
        <w:br w:type="page"/>
      </w:r>
    </w:p>
    <w:p w14:paraId="45456C12" w14:textId="7848EE8F" w:rsidR="00C3376B" w:rsidRPr="000C7952" w:rsidRDefault="00DC1A8D" w:rsidP="00C3376B">
      <w:pPr>
        <w:pStyle w:val="Subhead"/>
        <w:outlineLvl w:val="0"/>
        <w:rPr>
          <w:rFonts w:asciiTheme="majorHAnsi" w:hAnsiTheme="majorHAnsi"/>
        </w:rPr>
      </w:pPr>
      <w:r w:rsidRPr="000C7952">
        <w:rPr>
          <w:rFonts w:asciiTheme="majorHAnsi" w:hAnsiTheme="majorHAnsi"/>
        </w:rPr>
        <w:lastRenderedPageBreak/>
        <w:t>Rural health</w:t>
      </w:r>
    </w:p>
    <w:p w14:paraId="3C69FFC3" w14:textId="77777777" w:rsidR="00DC1A8D" w:rsidRPr="000C7952" w:rsidRDefault="00DC1A8D" w:rsidP="00DC1A8D">
      <w:pPr>
        <w:rPr>
          <w:rFonts w:asciiTheme="majorHAnsi" w:hAnsiTheme="majorHAnsi" w:cs="Arial"/>
          <w:b/>
          <w:sz w:val="22"/>
          <w:szCs w:val="20"/>
        </w:rPr>
      </w:pPr>
      <w:r w:rsidRPr="000C7952">
        <w:rPr>
          <w:rFonts w:asciiTheme="majorHAnsi" w:hAnsiTheme="majorHAnsi" w:cs="Arial"/>
          <w:b/>
          <w:sz w:val="22"/>
          <w:szCs w:val="20"/>
        </w:rPr>
        <w:t>Situation</w:t>
      </w:r>
    </w:p>
    <w:p w14:paraId="02169A44" w14:textId="4E8ED0F5" w:rsidR="009C69E0" w:rsidRPr="000C7952" w:rsidRDefault="00422D36" w:rsidP="009C69E0">
      <w:pPr>
        <w:rPr>
          <w:rFonts w:asciiTheme="majorHAnsi" w:hAnsiTheme="majorHAnsi" w:cs="Arial"/>
          <w:sz w:val="22"/>
          <w:szCs w:val="20"/>
        </w:rPr>
      </w:pPr>
      <w:r w:rsidRPr="000C7952">
        <w:rPr>
          <w:rFonts w:asciiTheme="majorHAnsi" w:hAnsiTheme="majorHAnsi" w:cs="Arial"/>
          <w:sz w:val="22"/>
          <w:szCs w:val="20"/>
        </w:rPr>
        <w:t xml:space="preserve">People in rural </w:t>
      </w:r>
      <w:r w:rsidR="009C69E0" w:rsidRPr="000C7952">
        <w:rPr>
          <w:rFonts w:asciiTheme="majorHAnsi" w:hAnsiTheme="majorHAnsi" w:cs="Arial"/>
          <w:sz w:val="22"/>
          <w:szCs w:val="20"/>
        </w:rPr>
        <w:t xml:space="preserve">and regional areas continue to have lower life expectancy, greater difficulty accessing health services and worse outcomes on leading indicators of health </w:t>
      </w:r>
      <w:r w:rsidRPr="000C7952">
        <w:rPr>
          <w:rFonts w:asciiTheme="majorHAnsi" w:hAnsiTheme="majorHAnsi" w:cs="Arial"/>
          <w:sz w:val="22"/>
          <w:szCs w:val="20"/>
        </w:rPr>
        <w:t xml:space="preserve">when compared with people living in </w:t>
      </w:r>
      <w:r w:rsidR="009C69E0" w:rsidRPr="000C7952">
        <w:rPr>
          <w:rFonts w:asciiTheme="majorHAnsi" w:hAnsiTheme="majorHAnsi" w:cs="Arial"/>
          <w:sz w:val="22"/>
          <w:szCs w:val="20"/>
        </w:rPr>
        <w:t>metropolitan</w:t>
      </w:r>
      <w:r w:rsidRPr="000C7952">
        <w:rPr>
          <w:rFonts w:asciiTheme="majorHAnsi" w:hAnsiTheme="majorHAnsi" w:cs="Arial"/>
          <w:sz w:val="22"/>
          <w:szCs w:val="20"/>
        </w:rPr>
        <w:t xml:space="preserve"> areas</w:t>
      </w:r>
      <w:r w:rsidR="00885525" w:rsidRPr="000C7952">
        <w:rPr>
          <w:rStyle w:val="FootnoteReference"/>
          <w:rFonts w:asciiTheme="majorHAnsi" w:hAnsiTheme="majorHAnsi" w:cs="Arial"/>
          <w:sz w:val="22"/>
          <w:szCs w:val="20"/>
        </w:rPr>
        <w:footnoteReference w:id="14"/>
      </w:r>
      <w:r w:rsidR="0007774F">
        <w:rPr>
          <w:rFonts w:asciiTheme="majorHAnsi" w:hAnsiTheme="majorHAnsi" w:cs="Arial"/>
          <w:sz w:val="22"/>
          <w:szCs w:val="20"/>
        </w:rPr>
        <w:t>.</w:t>
      </w:r>
      <w:r w:rsidR="009C69E0" w:rsidRPr="000C7952">
        <w:rPr>
          <w:rFonts w:asciiTheme="majorHAnsi" w:hAnsiTheme="majorHAnsi" w:cs="Arial"/>
          <w:sz w:val="22"/>
          <w:szCs w:val="20"/>
        </w:rPr>
        <w:t xml:space="preserve"> </w:t>
      </w:r>
      <w:r w:rsidR="00466311" w:rsidRPr="000C7952">
        <w:rPr>
          <w:rFonts w:asciiTheme="majorHAnsi" w:hAnsiTheme="majorHAnsi" w:cs="Arial"/>
          <w:sz w:val="22"/>
          <w:szCs w:val="20"/>
        </w:rPr>
        <w:t xml:space="preserve">One </w:t>
      </w:r>
      <w:r w:rsidRPr="000C7952">
        <w:rPr>
          <w:rFonts w:asciiTheme="majorHAnsi" w:hAnsiTheme="majorHAnsi" w:cs="Arial"/>
          <w:sz w:val="22"/>
          <w:szCs w:val="20"/>
        </w:rPr>
        <w:t xml:space="preserve">reason for these outcomes is </w:t>
      </w:r>
      <w:r w:rsidR="00466311" w:rsidRPr="000C7952">
        <w:rPr>
          <w:rFonts w:asciiTheme="majorHAnsi" w:hAnsiTheme="majorHAnsi" w:cs="Arial"/>
          <w:sz w:val="22"/>
          <w:szCs w:val="20"/>
        </w:rPr>
        <w:t>workforce shortages which hinder ability to access care</w:t>
      </w:r>
      <w:r w:rsidR="00466311" w:rsidRPr="000C7952">
        <w:rPr>
          <w:rStyle w:val="FootnoteReference"/>
          <w:rFonts w:asciiTheme="majorHAnsi" w:hAnsiTheme="majorHAnsi" w:cs="Arial"/>
          <w:sz w:val="22"/>
          <w:szCs w:val="20"/>
        </w:rPr>
        <w:footnoteReference w:id="15"/>
      </w:r>
      <w:r w:rsidR="0007774F">
        <w:rPr>
          <w:rFonts w:asciiTheme="majorHAnsi" w:hAnsiTheme="majorHAnsi" w:cs="Arial"/>
          <w:sz w:val="22"/>
          <w:szCs w:val="20"/>
        </w:rPr>
        <w:t>.</w:t>
      </w:r>
      <w:r w:rsidR="009C69E0" w:rsidRPr="000C7952">
        <w:rPr>
          <w:rFonts w:asciiTheme="majorHAnsi" w:hAnsiTheme="majorHAnsi" w:cs="Arial"/>
          <w:sz w:val="22"/>
          <w:szCs w:val="20"/>
        </w:rPr>
        <w:t xml:space="preserve"> This has led to higher rates of potentially preventable hospitalisations</w:t>
      </w:r>
      <w:r w:rsidR="00885525" w:rsidRPr="000C7952">
        <w:rPr>
          <w:rStyle w:val="FootnoteReference"/>
          <w:rFonts w:asciiTheme="majorHAnsi" w:hAnsiTheme="majorHAnsi" w:cs="Arial"/>
          <w:sz w:val="22"/>
          <w:szCs w:val="20"/>
        </w:rPr>
        <w:footnoteReference w:id="16"/>
      </w:r>
      <w:r w:rsidR="0007774F">
        <w:rPr>
          <w:rFonts w:asciiTheme="majorHAnsi" w:hAnsiTheme="majorHAnsi" w:cs="Arial"/>
          <w:sz w:val="22"/>
          <w:szCs w:val="20"/>
        </w:rPr>
        <w:t>,</w:t>
      </w:r>
      <w:r w:rsidR="00B01E8F" w:rsidRPr="000C7952">
        <w:rPr>
          <w:rFonts w:asciiTheme="majorHAnsi" w:hAnsiTheme="majorHAnsi" w:cs="Arial"/>
          <w:sz w:val="22"/>
          <w:szCs w:val="20"/>
        </w:rPr>
        <w:t xml:space="preserve"> </w:t>
      </w:r>
      <w:r w:rsidRPr="000C7952">
        <w:rPr>
          <w:rFonts w:asciiTheme="majorHAnsi" w:hAnsiTheme="majorHAnsi" w:cs="Arial"/>
          <w:sz w:val="22"/>
          <w:szCs w:val="20"/>
        </w:rPr>
        <w:t xml:space="preserve">placing </w:t>
      </w:r>
      <w:r w:rsidR="00B01E8F" w:rsidRPr="000C7952">
        <w:rPr>
          <w:rFonts w:asciiTheme="majorHAnsi" w:hAnsiTheme="majorHAnsi" w:cs="Arial"/>
          <w:sz w:val="22"/>
          <w:szCs w:val="20"/>
        </w:rPr>
        <w:t>further strain on the health system</w:t>
      </w:r>
      <w:r w:rsidR="009C69E0" w:rsidRPr="000C7952">
        <w:rPr>
          <w:rFonts w:asciiTheme="majorHAnsi" w:hAnsiTheme="majorHAnsi" w:cs="Arial"/>
          <w:sz w:val="22"/>
          <w:szCs w:val="20"/>
        </w:rPr>
        <w:t>.</w:t>
      </w:r>
    </w:p>
    <w:p w14:paraId="12684BFB" w14:textId="77777777" w:rsidR="009C69E0" w:rsidRPr="000C7952" w:rsidRDefault="009C69E0" w:rsidP="009C69E0">
      <w:pPr>
        <w:rPr>
          <w:rFonts w:asciiTheme="majorHAnsi" w:hAnsiTheme="majorHAnsi" w:cs="Arial"/>
          <w:sz w:val="22"/>
          <w:szCs w:val="20"/>
        </w:rPr>
      </w:pPr>
    </w:p>
    <w:p w14:paraId="5D02027B" w14:textId="0CB9A065" w:rsidR="00461CF6" w:rsidRPr="000C7952" w:rsidRDefault="0007774F" w:rsidP="00D61A30">
      <w:pPr>
        <w:rPr>
          <w:rFonts w:asciiTheme="majorHAnsi" w:hAnsiTheme="majorHAnsi" w:cs="Arial"/>
          <w:sz w:val="22"/>
          <w:szCs w:val="20"/>
        </w:rPr>
      </w:pPr>
      <w:r>
        <w:rPr>
          <w:rFonts w:asciiTheme="majorHAnsi" w:hAnsiTheme="majorHAnsi" w:cs="Arial"/>
          <w:sz w:val="22"/>
          <w:szCs w:val="20"/>
        </w:rPr>
        <w:t>R</w:t>
      </w:r>
      <w:r w:rsidR="00461CF6" w:rsidRPr="000C7952">
        <w:rPr>
          <w:rFonts w:asciiTheme="majorHAnsi" w:hAnsiTheme="majorHAnsi" w:cs="Arial"/>
          <w:sz w:val="22"/>
          <w:szCs w:val="20"/>
        </w:rPr>
        <w:t>ural generalists</w:t>
      </w:r>
      <w:r w:rsidR="00737B10" w:rsidRPr="000C7952">
        <w:rPr>
          <w:rFonts w:asciiTheme="majorHAnsi" w:hAnsiTheme="majorHAnsi" w:cs="Arial"/>
          <w:sz w:val="22"/>
          <w:szCs w:val="20"/>
        </w:rPr>
        <w:t xml:space="preserve"> practitioners</w:t>
      </w:r>
      <w:r>
        <w:rPr>
          <w:rFonts w:asciiTheme="majorHAnsi" w:hAnsiTheme="majorHAnsi" w:cs="Arial"/>
          <w:sz w:val="22"/>
          <w:szCs w:val="20"/>
        </w:rPr>
        <w:t xml:space="preserve"> have been identified a potential solution to workforce shortages</w:t>
      </w:r>
      <w:r w:rsidR="00737B10" w:rsidRPr="000C7952">
        <w:rPr>
          <w:rFonts w:asciiTheme="majorHAnsi" w:hAnsiTheme="majorHAnsi" w:cs="Arial"/>
          <w:sz w:val="22"/>
          <w:szCs w:val="20"/>
        </w:rPr>
        <w:t xml:space="preserve">. Rural generalists learn the specific skills to work in rural and regional </w:t>
      </w:r>
      <w:r w:rsidR="00856F9E" w:rsidRPr="000C7952">
        <w:rPr>
          <w:rFonts w:asciiTheme="majorHAnsi" w:hAnsiTheme="majorHAnsi" w:cs="Arial"/>
          <w:sz w:val="22"/>
          <w:szCs w:val="20"/>
        </w:rPr>
        <w:t>areas</w:t>
      </w:r>
      <w:r w:rsidR="00737B10" w:rsidRPr="000C7952">
        <w:rPr>
          <w:rFonts w:asciiTheme="majorHAnsi" w:hAnsiTheme="majorHAnsi" w:cs="Arial"/>
          <w:sz w:val="22"/>
          <w:szCs w:val="20"/>
        </w:rPr>
        <w:t xml:space="preserve"> while being taught in a rural and regional </w:t>
      </w:r>
      <w:r>
        <w:rPr>
          <w:rFonts w:asciiTheme="majorHAnsi" w:hAnsiTheme="majorHAnsi" w:cs="Arial"/>
          <w:sz w:val="22"/>
          <w:szCs w:val="20"/>
        </w:rPr>
        <w:t>setting</w:t>
      </w:r>
      <w:r w:rsidR="00737B10" w:rsidRPr="000C7952">
        <w:rPr>
          <w:rFonts w:asciiTheme="majorHAnsi" w:hAnsiTheme="majorHAnsi" w:cs="Arial"/>
          <w:sz w:val="22"/>
          <w:szCs w:val="20"/>
        </w:rPr>
        <w:t xml:space="preserve">, which has been found to contribute to health professionals being more likely to practice in country </w:t>
      </w:r>
      <w:r>
        <w:rPr>
          <w:rFonts w:asciiTheme="majorHAnsi" w:hAnsiTheme="majorHAnsi" w:cs="Arial"/>
          <w:sz w:val="22"/>
          <w:szCs w:val="20"/>
        </w:rPr>
        <w:t>areas</w:t>
      </w:r>
      <w:r w:rsidR="00EA6607" w:rsidRPr="000C7952">
        <w:rPr>
          <w:rStyle w:val="FootnoteReference"/>
          <w:rFonts w:asciiTheme="majorHAnsi" w:hAnsiTheme="majorHAnsi" w:cs="Arial"/>
          <w:sz w:val="22"/>
          <w:szCs w:val="20"/>
        </w:rPr>
        <w:footnoteReference w:id="17"/>
      </w:r>
      <w:r>
        <w:rPr>
          <w:rFonts w:asciiTheme="majorHAnsi" w:hAnsiTheme="majorHAnsi" w:cs="Arial"/>
          <w:sz w:val="22"/>
          <w:szCs w:val="20"/>
        </w:rPr>
        <w:t>.</w:t>
      </w:r>
      <w:r w:rsidR="00737B10" w:rsidRPr="000C7952">
        <w:rPr>
          <w:rFonts w:asciiTheme="majorHAnsi" w:hAnsiTheme="majorHAnsi" w:cs="Arial"/>
          <w:sz w:val="22"/>
          <w:szCs w:val="20"/>
        </w:rPr>
        <w:t xml:space="preserve"> This led to the </w:t>
      </w:r>
      <w:r w:rsidR="00856F9E" w:rsidRPr="000C7952">
        <w:rPr>
          <w:rFonts w:asciiTheme="majorHAnsi" w:hAnsiTheme="majorHAnsi" w:cs="Arial"/>
          <w:sz w:val="22"/>
          <w:szCs w:val="20"/>
        </w:rPr>
        <w:t xml:space="preserve">December 2018 </w:t>
      </w:r>
      <w:r w:rsidR="00737B10" w:rsidRPr="000C7952">
        <w:rPr>
          <w:rFonts w:asciiTheme="majorHAnsi" w:hAnsiTheme="majorHAnsi" w:cs="Arial"/>
          <w:sz w:val="22"/>
          <w:szCs w:val="20"/>
        </w:rPr>
        <w:t xml:space="preserve">publication of </w:t>
      </w:r>
      <w:r w:rsidR="00461CF6" w:rsidRPr="000C7952">
        <w:rPr>
          <w:rFonts w:asciiTheme="majorHAnsi" w:hAnsiTheme="majorHAnsi" w:cs="Arial"/>
          <w:sz w:val="22"/>
          <w:szCs w:val="20"/>
        </w:rPr>
        <w:t xml:space="preserve">the National Rural Generalist Taskforce’s report, </w:t>
      </w:r>
      <w:r w:rsidR="00461CF6" w:rsidRPr="000C7952">
        <w:rPr>
          <w:rFonts w:asciiTheme="majorHAnsi" w:hAnsiTheme="majorHAnsi" w:cs="Arial"/>
          <w:i/>
          <w:sz w:val="22"/>
          <w:szCs w:val="20"/>
        </w:rPr>
        <w:t>Advice to the National Rural Health Commissioner on the Development of the National Rural Generalist Pathway</w:t>
      </w:r>
      <w:r w:rsidR="00461CF6" w:rsidRPr="000C7952">
        <w:rPr>
          <w:rFonts w:asciiTheme="majorHAnsi" w:hAnsiTheme="majorHAnsi" w:cs="Arial"/>
          <w:sz w:val="22"/>
          <w:szCs w:val="20"/>
        </w:rPr>
        <w:t xml:space="preserve">, </w:t>
      </w:r>
      <w:r w:rsidR="00856F9E" w:rsidRPr="000C7952">
        <w:rPr>
          <w:rFonts w:asciiTheme="majorHAnsi" w:hAnsiTheme="majorHAnsi" w:cs="Arial"/>
          <w:sz w:val="22"/>
          <w:szCs w:val="20"/>
        </w:rPr>
        <w:t>which set out 19 recommendations for the creation of an education and professional development pathway for practitioners wanting to work in rural and regional areas</w:t>
      </w:r>
      <w:r w:rsidR="00EA6607" w:rsidRPr="000C7952">
        <w:rPr>
          <w:rStyle w:val="FootnoteReference"/>
          <w:rFonts w:asciiTheme="majorHAnsi" w:hAnsiTheme="majorHAnsi" w:cs="Arial"/>
          <w:sz w:val="22"/>
          <w:szCs w:val="20"/>
        </w:rPr>
        <w:footnoteReference w:id="18"/>
      </w:r>
      <w:r>
        <w:rPr>
          <w:rFonts w:asciiTheme="majorHAnsi" w:hAnsiTheme="majorHAnsi" w:cs="Arial"/>
          <w:sz w:val="22"/>
          <w:szCs w:val="20"/>
        </w:rPr>
        <w:t>.</w:t>
      </w:r>
      <w:r w:rsidR="00D61A30" w:rsidRPr="000C7952">
        <w:rPr>
          <w:rFonts w:asciiTheme="majorHAnsi" w:hAnsiTheme="majorHAnsi"/>
        </w:rPr>
        <w:t xml:space="preserve"> </w:t>
      </w:r>
      <w:r w:rsidR="00D61A30" w:rsidRPr="000C7952">
        <w:rPr>
          <w:rFonts w:asciiTheme="majorHAnsi" w:hAnsiTheme="majorHAnsi" w:cs="Arial"/>
          <w:sz w:val="22"/>
          <w:szCs w:val="20"/>
        </w:rPr>
        <w:t>The recommendations include the adoption of the proposed National Rural Generalist Training Pathway, a rural loading for all clinical services, and recognising rural hospita</w:t>
      </w:r>
      <w:r>
        <w:rPr>
          <w:rFonts w:asciiTheme="majorHAnsi" w:hAnsiTheme="majorHAnsi" w:cs="Arial"/>
          <w:sz w:val="22"/>
          <w:szCs w:val="20"/>
        </w:rPr>
        <w:t>l teaching and research in the hospital funding a</w:t>
      </w:r>
      <w:r w:rsidR="00D61A30" w:rsidRPr="000C7952">
        <w:rPr>
          <w:rFonts w:asciiTheme="majorHAnsi" w:hAnsiTheme="majorHAnsi" w:cs="Arial"/>
          <w:sz w:val="22"/>
          <w:szCs w:val="20"/>
        </w:rPr>
        <w:t>greements.</w:t>
      </w:r>
    </w:p>
    <w:p w14:paraId="31260B37" w14:textId="77777777" w:rsidR="00461CF6" w:rsidRPr="000C7952" w:rsidRDefault="00461CF6">
      <w:pPr>
        <w:rPr>
          <w:rFonts w:asciiTheme="majorHAnsi" w:hAnsiTheme="majorHAnsi" w:cs="Arial"/>
          <w:sz w:val="22"/>
          <w:szCs w:val="20"/>
        </w:rPr>
      </w:pPr>
    </w:p>
    <w:p w14:paraId="30047513" w14:textId="3A709B8D" w:rsidR="00461CF6" w:rsidRPr="000C7952" w:rsidRDefault="0007774F">
      <w:pPr>
        <w:rPr>
          <w:rFonts w:asciiTheme="majorHAnsi" w:hAnsiTheme="majorHAnsi"/>
          <w:sz w:val="22"/>
          <w:szCs w:val="22"/>
        </w:rPr>
      </w:pPr>
      <w:r>
        <w:rPr>
          <w:rFonts w:asciiTheme="majorHAnsi" w:hAnsiTheme="majorHAnsi" w:cs="Arial"/>
          <w:sz w:val="22"/>
          <w:szCs w:val="20"/>
        </w:rPr>
        <w:t xml:space="preserve">Distance is another barrier to rural care, but digital technology can overcome this. </w:t>
      </w:r>
      <w:r w:rsidR="00461CF6" w:rsidRPr="000C7952">
        <w:rPr>
          <w:rFonts w:asciiTheme="majorHAnsi" w:hAnsiTheme="majorHAnsi" w:cs="Arial"/>
          <w:sz w:val="22"/>
          <w:szCs w:val="20"/>
        </w:rPr>
        <w:t>Telehealth</w:t>
      </w:r>
      <w:r w:rsidR="00856F9E" w:rsidRPr="000C7952">
        <w:rPr>
          <w:rFonts w:asciiTheme="majorHAnsi" w:hAnsiTheme="majorHAnsi" w:cs="Arial"/>
          <w:sz w:val="22"/>
          <w:szCs w:val="20"/>
        </w:rPr>
        <w:t xml:space="preserve"> has also long been identified by the Australian Government as a potential solution to the complexities of r</w:t>
      </w:r>
      <w:r>
        <w:rPr>
          <w:rFonts w:asciiTheme="majorHAnsi" w:hAnsiTheme="majorHAnsi" w:cs="Arial"/>
          <w:sz w:val="22"/>
          <w:szCs w:val="20"/>
        </w:rPr>
        <w:t>ural healthcare. Since the 1990</w:t>
      </w:r>
      <w:r w:rsidR="00856F9E" w:rsidRPr="000C7952">
        <w:rPr>
          <w:rFonts w:asciiTheme="majorHAnsi" w:hAnsiTheme="majorHAnsi" w:cs="Arial"/>
          <w:sz w:val="22"/>
          <w:szCs w:val="20"/>
        </w:rPr>
        <w:t>s, the Australian Government has invested in telehealth programs or made billing changes to encourage uptake</w:t>
      </w:r>
      <w:r w:rsidR="009903CC" w:rsidRPr="000C7952">
        <w:rPr>
          <w:rStyle w:val="FootnoteReference"/>
          <w:rFonts w:asciiTheme="majorHAnsi" w:hAnsiTheme="majorHAnsi" w:cs="Arial"/>
          <w:sz w:val="22"/>
          <w:szCs w:val="20"/>
        </w:rPr>
        <w:footnoteReference w:id="19"/>
      </w:r>
      <w:r w:rsidR="00856F9E" w:rsidRPr="000C7952">
        <w:rPr>
          <w:rFonts w:asciiTheme="majorHAnsi" w:hAnsiTheme="majorHAnsi" w:cs="Arial"/>
          <w:sz w:val="22"/>
          <w:szCs w:val="20"/>
        </w:rPr>
        <w:t xml:space="preserve">; </w:t>
      </w:r>
      <w:r w:rsidR="00856F9E" w:rsidRPr="000C7952">
        <w:rPr>
          <w:rFonts w:asciiTheme="majorHAnsi" w:hAnsiTheme="majorHAnsi"/>
          <w:sz w:val="22"/>
          <w:szCs w:val="22"/>
        </w:rPr>
        <w:t xml:space="preserve">recent changes to the criteria for Better Access to Mental Health Care Medicare rebates were to increase access to mental health services via telehealth for people in rural and remote regions. </w:t>
      </w:r>
      <w:r w:rsidR="00856F9E" w:rsidRPr="000C7952">
        <w:rPr>
          <w:rFonts w:asciiTheme="majorHAnsi" w:hAnsiTheme="majorHAnsi" w:cs="Arial"/>
          <w:sz w:val="22"/>
          <w:szCs w:val="22"/>
        </w:rPr>
        <w:t xml:space="preserve">The Australian Government must, however, make </w:t>
      </w:r>
      <w:r w:rsidR="00856F9E" w:rsidRPr="000C7952">
        <w:rPr>
          <w:rFonts w:asciiTheme="majorHAnsi" w:hAnsiTheme="majorHAnsi" w:cs="Arial"/>
          <w:sz w:val="22"/>
          <w:szCs w:val="22"/>
        </w:rPr>
        <w:lastRenderedPageBreak/>
        <w:t xml:space="preserve">sure that </w:t>
      </w:r>
      <w:r w:rsidR="00F2523C" w:rsidRPr="000C7952">
        <w:rPr>
          <w:rFonts w:asciiTheme="majorHAnsi" w:hAnsiTheme="majorHAnsi" w:cs="Arial"/>
          <w:sz w:val="22"/>
          <w:szCs w:val="22"/>
        </w:rPr>
        <w:t xml:space="preserve">telehealth </w:t>
      </w:r>
      <w:r w:rsidR="00856F9E" w:rsidRPr="000C7952">
        <w:rPr>
          <w:rFonts w:asciiTheme="majorHAnsi" w:hAnsiTheme="majorHAnsi" w:cs="Arial"/>
          <w:sz w:val="22"/>
          <w:szCs w:val="22"/>
        </w:rPr>
        <w:t>regulations are up</w:t>
      </w:r>
      <w:r>
        <w:rPr>
          <w:rFonts w:asciiTheme="majorHAnsi" w:hAnsiTheme="majorHAnsi" w:cs="Arial"/>
          <w:sz w:val="22"/>
          <w:szCs w:val="22"/>
        </w:rPr>
        <w:t xml:space="preserve"> to date with the reality in rural areas</w:t>
      </w:r>
      <w:r w:rsidR="00856F9E" w:rsidRPr="000C7952">
        <w:rPr>
          <w:rFonts w:asciiTheme="majorHAnsi" w:hAnsiTheme="majorHAnsi" w:cs="Arial"/>
          <w:sz w:val="22"/>
          <w:szCs w:val="22"/>
        </w:rPr>
        <w:t>. With access to care worse in rural and regional areas</w:t>
      </w:r>
      <w:r w:rsidR="00F2523C" w:rsidRPr="000C7952">
        <w:rPr>
          <w:rFonts w:asciiTheme="majorHAnsi" w:hAnsiTheme="majorHAnsi" w:cs="Arial"/>
          <w:sz w:val="22"/>
          <w:szCs w:val="22"/>
        </w:rPr>
        <w:t>, due to w</w:t>
      </w:r>
      <w:r w:rsidR="00856F9E" w:rsidRPr="000C7952">
        <w:rPr>
          <w:rFonts w:asciiTheme="majorHAnsi" w:hAnsiTheme="majorHAnsi" w:cs="Arial"/>
          <w:sz w:val="22"/>
          <w:szCs w:val="22"/>
        </w:rPr>
        <w:t>orkforce</w:t>
      </w:r>
      <w:r w:rsidR="00F2523C" w:rsidRPr="000C7952">
        <w:rPr>
          <w:rFonts w:asciiTheme="majorHAnsi" w:hAnsiTheme="majorHAnsi" w:cs="Arial"/>
          <w:sz w:val="22"/>
          <w:szCs w:val="22"/>
        </w:rPr>
        <w:t xml:space="preserve"> and distance pressures,</w:t>
      </w:r>
      <w:r w:rsidRPr="0007774F">
        <w:t xml:space="preserve"> </w:t>
      </w:r>
      <w:r w:rsidRPr="0007774F">
        <w:rPr>
          <w:rFonts w:asciiTheme="majorHAnsi" w:hAnsiTheme="majorHAnsi" w:cs="Arial"/>
          <w:sz w:val="22"/>
          <w:szCs w:val="22"/>
        </w:rPr>
        <w:t xml:space="preserve">it </w:t>
      </w:r>
      <w:r>
        <w:rPr>
          <w:rFonts w:asciiTheme="majorHAnsi" w:hAnsiTheme="majorHAnsi" w:cs="Arial"/>
          <w:sz w:val="22"/>
          <w:szCs w:val="22"/>
        </w:rPr>
        <w:t>is</w:t>
      </w:r>
      <w:r w:rsidRPr="0007774F">
        <w:rPr>
          <w:rFonts w:asciiTheme="majorHAnsi" w:hAnsiTheme="majorHAnsi" w:cs="Arial"/>
          <w:sz w:val="22"/>
          <w:szCs w:val="22"/>
        </w:rPr>
        <w:t xml:space="preserve"> essential that a range of health professionals</w:t>
      </w:r>
      <w:r w:rsidR="00F2523C" w:rsidRPr="000C7952">
        <w:rPr>
          <w:rFonts w:asciiTheme="majorHAnsi" w:hAnsiTheme="majorHAnsi" w:cs="Arial"/>
          <w:sz w:val="22"/>
          <w:szCs w:val="22"/>
        </w:rPr>
        <w:t xml:space="preserve"> </w:t>
      </w:r>
      <w:r>
        <w:rPr>
          <w:rFonts w:asciiTheme="majorHAnsi" w:hAnsiTheme="majorHAnsi" w:cs="Arial"/>
          <w:sz w:val="22"/>
          <w:szCs w:val="22"/>
        </w:rPr>
        <w:t>are</w:t>
      </w:r>
      <w:r w:rsidR="00F2523C" w:rsidRPr="000C7952">
        <w:rPr>
          <w:rFonts w:asciiTheme="majorHAnsi" w:hAnsiTheme="majorHAnsi" w:cs="Arial"/>
          <w:sz w:val="22"/>
          <w:szCs w:val="22"/>
        </w:rPr>
        <w:t xml:space="preserve"> </w:t>
      </w:r>
      <w:r w:rsidR="00280C48">
        <w:rPr>
          <w:rFonts w:asciiTheme="majorHAnsi" w:hAnsiTheme="majorHAnsi" w:cs="Arial"/>
          <w:sz w:val="22"/>
          <w:szCs w:val="22"/>
        </w:rPr>
        <w:t>enabled</w:t>
      </w:r>
      <w:r w:rsidR="00F2523C" w:rsidRPr="000C7952">
        <w:rPr>
          <w:rFonts w:asciiTheme="majorHAnsi" w:hAnsiTheme="majorHAnsi" w:cs="Arial"/>
          <w:sz w:val="22"/>
          <w:szCs w:val="22"/>
        </w:rPr>
        <w:t xml:space="preserve"> to deliver care via telehealth. Nurse practitioners, rural and isolated practice endorsed registered nurses (RIPERN), and allied health practitioners </w:t>
      </w:r>
      <w:r>
        <w:rPr>
          <w:rFonts w:asciiTheme="majorHAnsi" w:hAnsiTheme="majorHAnsi" w:cs="Arial"/>
          <w:sz w:val="22"/>
          <w:szCs w:val="22"/>
        </w:rPr>
        <w:t>require</w:t>
      </w:r>
      <w:r w:rsidR="00F2523C" w:rsidRPr="000C7952">
        <w:rPr>
          <w:rFonts w:asciiTheme="majorHAnsi" w:hAnsiTheme="majorHAnsi" w:cs="Arial"/>
          <w:sz w:val="22"/>
          <w:szCs w:val="22"/>
        </w:rPr>
        <w:t xml:space="preserve"> telehealth billing codes if they are able to be</w:t>
      </w:r>
      <w:r>
        <w:rPr>
          <w:rFonts w:asciiTheme="majorHAnsi" w:hAnsiTheme="majorHAnsi" w:cs="Arial"/>
          <w:sz w:val="22"/>
          <w:szCs w:val="22"/>
        </w:rPr>
        <w:t xml:space="preserve"> a viable staffing option</w:t>
      </w:r>
      <w:r w:rsidR="00F2523C" w:rsidRPr="000C7952">
        <w:rPr>
          <w:rFonts w:asciiTheme="majorHAnsi" w:hAnsiTheme="majorHAnsi" w:cs="Arial"/>
          <w:sz w:val="22"/>
          <w:szCs w:val="22"/>
        </w:rPr>
        <w:t xml:space="preserve"> to ensure that rural and regional patients have greater access to care.</w:t>
      </w:r>
      <w:r w:rsidR="008B4784" w:rsidRPr="000C7952">
        <w:rPr>
          <w:rFonts w:asciiTheme="majorHAnsi" w:hAnsiTheme="majorHAnsi"/>
        </w:rPr>
        <w:t xml:space="preserve"> </w:t>
      </w:r>
      <w:r w:rsidR="00280C48">
        <w:rPr>
          <w:rFonts w:asciiTheme="majorHAnsi" w:hAnsiTheme="majorHAnsi" w:cs="Arial"/>
          <w:sz w:val="22"/>
          <w:szCs w:val="22"/>
        </w:rPr>
        <w:t>The current requirement to have</w:t>
      </w:r>
      <w:r w:rsidR="008B4784" w:rsidRPr="000C7952">
        <w:rPr>
          <w:rFonts w:asciiTheme="majorHAnsi" w:hAnsiTheme="majorHAnsi" w:cs="Arial"/>
          <w:sz w:val="22"/>
          <w:szCs w:val="22"/>
        </w:rPr>
        <w:t xml:space="preserve"> a medical specialist to be present at the consultation inhibits their ability to deliver benefits for the system and patients.</w:t>
      </w:r>
    </w:p>
    <w:p w14:paraId="09C2D8E2" w14:textId="77777777" w:rsidR="00461CF6" w:rsidRPr="000C7952" w:rsidRDefault="00461CF6">
      <w:pPr>
        <w:rPr>
          <w:rFonts w:asciiTheme="majorHAnsi" w:hAnsiTheme="majorHAnsi" w:cs="Arial"/>
          <w:sz w:val="22"/>
          <w:szCs w:val="20"/>
        </w:rPr>
      </w:pPr>
    </w:p>
    <w:p w14:paraId="18FFA6A1" w14:textId="1E04F9BF" w:rsidR="00C155B7" w:rsidRPr="000C7952" w:rsidRDefault="00461CF6" w:rsidP="00C155B7">
      <w:pPr>
        <w:rPr>
          <w:rFonts w:asciiTheme="majorHAnsi" w:hAnsiTheme="majorHAnsi" w:cs="Arial"/>
          <w:sz w:val="22"/>
          <w:szCs w:val="20"/>
        </w:rPr>
      </w:pPr>
      <w:r w:rsidRPr="000C7952">
        <w:rPr>
          <w:rFonts w:asciiTheme="majorHAnsi" w:hAnsiTheme="majorHAnsi" w:cs="Arial"/>
          <w:sz w:val="22"/>
          <w:szCs w:val="20"/>
        </w:rPr>
        <w:t>Nurse practitioners</w:t>
      </w:r>
      <w:r w:rsidR="00EA5F8B" w:rsidRPr="000C7952">
        <w:rPr>
          <w:rFonts w:asciiTheme="majorHAnsi" w:hAnsiTheme="majorHAnsi" w:cs="Arial"/>
          <w:sz w:val="22"/>
          <w:szCs w:val="20"/>
        </w:rPr>
        <w:t>, similarly, also need to be enabled to play a greater role in rural and regional healthcare</w:t>
      </w:r>
      <w:r w:rsidR="00C155B7" w:rsidRPr="000C7952">
        <w:rPr>
          <w:rFonts w:asciiTheme="majorHAnsi" w:hAnsiTheme="majorHAnsi"/>
          <w:sz w:val="22"/>
        </w:rPr>
        <w:t>. Nurse practitioners deliver care across the health care spectrum from primary through to acute care; fulfilling different, but equally important roles, in the health system. Nurse practitioners, in particular, are a cost-effective and successful solution to addressing rural</w:t>
      </w:r>
      <w:r w:rsidR="00280C48">
        <w:rPr>
          <w:rFonts w:asciiTheme="majorHAnsi" w:hAnsiTheme="majorHAnsi"/>
          <w:sz w:val="22"/>
        </w:rPr>
        <w:t xml:space="preserve"> and regional workforce issues,</w:t>
      </w:r>
      <w:r w:rsidR="00C155B7" w:rsidRPr="000C7952">
        <w:rPr>
          <w:rFonts w:asciiTheme="majorHAnsi" w:hAnsiTheme="majorHAnsi"/>
          <w:sz w:val="22"/>
        </w:rPr>
        <w:t xml:space="preserve"> and</w:t>
      </w:r>
      <w:r w:rsidR="00280C48">
        <w:rPr>
          <w:rFonts w:asciiTheme="majorHAnsi" w:hAnsiTheme="majorHAnsi"/>
          <w:sz w:val="22"/>
        </w:rPr>
        <w:t xml:space="preserve"> help</w:t>
      </w:r>
      <w:r w:rsidR="00C155B7" w:rsidRPr="000C7952">
        <w:rPr>
          <w:rFonts w:asciiTheme="majorHAnsi" w:hAnsiTheme="majorHAnsi"/>
          <w:sz w:val="22"/>
        </w:rPr>
        <w:t xml:space="preserve"> overcome challenges around</w:t>
      </w:r>
      <w:r w:rsidR="00C155B7" w:rsidRPr="000C7952">
        <w:rPr>
          <w:rFonts w:asciiTheme="majorHAnsi" w:hAnsiTheme="majorHAnsi"/>
        </w:rPr>
        <w:t xml:space="preserve"> </w:t>
      </w:r>
      <w:r w:rsidR="00C155B7" w:rsidRPr="000C7952">
        <w:rPr>
          <w:rFonts w:asciiTheme="majorHAnsi" w:hAnsiTheme="majorHAnsi"/>
          <w:sz w:val="22"/>
        </w:rPr>
        <w:t xml:space="preserve">attracting and retaining general practitioners. Despite this, </w:t>
      </w:r>
      <w:r w:rsidR="008B4784" w:rsidRPr="000C7952">
        <w:rPr>
          <w:rFonts w:asciiTheme="majorHAnsi" w:hAnsiTheme="majorHAnsi" w:cs="Arial"/>
          <w:sz w:val="22"/>
          <w:szCs w:val="20"/>
        </w:rPr>
        <w:t>there are</w:t>
      </w:r>
      <w:r w:rsidR="00C155B7" w:rsidRPr="000C7952">
        <w:rPr>
          <w:rFonts w:asciiTheme="majorHAnsi" w:hAnsiTheme="majorHAnsi" w:cs="Arial"/>
          <w:sz w:val="22"/>
          <w:szCs w:val="20"/>
        </w:rPr>
        <w:t xml:space="preserve"> barriers in the system</w:t>
      </w:r>
      <w:r w:rsidR="008B4784" w:rsidRPr="000C7952">
        <w:rPr>
          <w:rFonts w:asciiTheme="majorHAnsi" w:hAnsiTheme="majorHAnsi" w:cs="Arial"/>
          <w:sz w:val="22"/>
          <w:szCs w:val="20"/>
        </w:rPr>
        <w:t xml:space="preserve"> for their utilisation;</w:t>
      </w:r>
      <w:r w:rsidR="00C155B7" w:rsidRPr="000C7952">
        <w:rPr>
          <w:rFonts w:asciiTheme="majorHAnsi" w:hAnsiTheme="majorHAnsi" w:cs="Arial"/>
          <w:sz w:val="22"/>
          <w:szCs w:val="20"/>
        </w:rPr>
        <w:t xml:space="preserve"> they are unable to claim against Medicare Benefits Scheme (MBS) item numbers for chronic health management </w:t>
      </w:r>
      <w:r w:rsidR="00483D95" w:rsidRPr="000C7952">
        <w:rPr>
          <w:rFonts w:asciiTheme="majorHAnsi" w:hAnsiTheme="majorHAnsi" w:cs="Arial"/>
          <w:sz w:val="22"/>
          <w:szCs w:val="20"/>
        </w:rPr>
        <w:t>plans</w:t>
      </w:r>
      <w:r w:rsidR="00374D19" w:rsidRPr="000C7952">
        <w:rPr>
          <w:rStyle w:val="FootnoteReference"/>
          <w:rFonts w:asciiTheme="majorHAnsi" w:hAnsiTheme="majorHAnsi" w:cs="Arial"/>
          <w:sz w:val="22"/>
          <w:szCs w:val="20"/>
        </w:rPr>
        <w:footnoteReference w:id="20"/>
      </w:r>
      <w:r w:rsidR="00280C48">
        <w:rPr>
          <w:rFonts w:asciiTheme="majorHAnsi" w:hAnsiTheme="majorHAnsi" w:cs="Arial"/>
          <w:sz w:val="22"/>
          <w:szCs w:val="20"/>
        </w:rPr>
        <w:t>,</w:t>
      </w:r>
      <w:r w:rsidR="00C155B7" w:rsidRPr="000C7952">
        <w:rPr>
          <w:rFonts w:asciiTheme="majorHAnsi" w:hAnsiTheme="majorHAnsi" w:cs="Arial"/>
          <w:sz w:val="22"/>
          <w:szCs w:val="20"/>
        </w:rPr>
        <w:t xml:space="preserve"> mental health care plans</w:t>
      </w:r>
      <w:r w:rsidR="00374D19" w:rsidRPr="000C7952">
        <w:rPr>
          <w:rStyle w:val="FootnoteReference"/>
          <w:rFonts w:asciiTheme="majorHAnsi" w:hAnsiTheme="majorHAnsi" w:cs="Arial"/>
          <w:sz w:val="22"/>
          <w:szCs w:val="20"/>
        </w:rPr>
        <w:footnoteReference w:id="21"/>
      </w:r>
      <w:r w:rsidR="00280C48">
        <w:rPr>
          <w:rFonts w:asciiTheme="majorHAnsi" w:hAnsiTheme="majorHAnsi" w:cs="Arial"/>
          <w:sz w:val="22"/>
          <w:szCs w:val="20"/>
        </w:rPr>
        <w:t>,</w:t>
      </w:r>
      <w:r w:rsidR="00C155B7" w:rsidRPr="000C7952">
        <w:rPr>
          <w:rFonts w:asciiTheme="majorHAnsi" w:hAnsiTheme="majorHAnsi" w:cs="Arial"/>
          <w:sz w:val="22"/>
          <w:szCs w:val="20"/>
        </w:rPr>
        <w:t xml:space="preserve"> </w:t>
      </w:r>
      <w:r w:rsidR="00280C48">
        <w:rPr>
          <w:rFonts w:asciiTheme="majorHAnsi" w:hAnsiTheme="majorHAnsi" w:cs="Arial"/>
          <w:sz w:val="22"/>
          <w:szCs w:val="20"/>
        </w:rPr>
        <w:t>and</w:t>
      </w:r>
      <w:r w:rsidR="00C155B7" w:rsidRPr="000C7952">
        <w:rPr>
          <w:rFonts w:asciiTheme="majorHAnsi" w:hAnsiTheme="majorHAnsi" w:cs="Arial"/>
          <w:sz w:val="22"/>
          <w:szCs w:val="20"/>
        </w:rPr>
        <w:t xml:space="preserve"> for the completion of </w:t>
      </w:r>
      <w:r w:rsidR="00BC6AF8" w:rsidRPr="000C7952">
        <w:rPr>
          <w:rFonts w:asciiTheme="majorHAnsi" w:hAnsiTheme="majorHAnsi" w:cs="Arial"/>
          <w:sz w:val="22"/>
          <w:szCs w:val="20"/>
        </w:rPr>
        <w:t>an advance care directive</w:t>
      </w:r>
      <w:r w:rsidR="00374D19" w:rsidRPr="000C7952">
        <w:rPr>
          <w:rStyle w:val="FootnoteReference"/>
          <w:rFonts w:asciiTheme="majorHAnsi" w:hAnsiTheme="majorHAnsi" w:cs="Arial"/>
          <w:sz w:val="22"/>
          <w:szCs w:val="20"/>
        </w:rPr>
        <w:footnoteReference w:id="22"/>
      </w:r>
      <w:r w:rsidR="00280C48">
        <w:rPr>
          <w:rFonts w:asciiTheme="majorHAnsi" w:hAnsiTheme="majorHAnsi" w:cs="Arial"/>
          <w:sz w:val="22"/>
          <w:szCs w:val="20"/>
        </w:rPr>
        <w:t>.</w:t>
      </w:r>
      <w:r w:rsidR="00C155B7" w:rsidRPr="000C7952">
        <w:rPr>
          <w:rFonts w:asciiTheme="majorHAnsi" w:hAnsiTheme="majorHAnsi" w:cs="Arial"/>
          <w:sz w:val="22"/>
          <w:szCs w:val="20"/>
        </w:rPr>
        <w:t xml:space="preserve"> </w:t>
      </w:r>
      <w:r w:rsidR="00280C48">
        <w:rPr>
          <w:rFonts w:asciiTheme="majorHAnsi" w:hAnsiTheme="majorHAnsi" w:cs="Arial"/>
          <w:sz w:val="22"/>
          <w:szCs w:val="20"/>
        </w:rPr>
        <w:t>T</w:t>
      </w:r>
      <w:r w:rsidR="00C155B7" w:rsidRPr="000C7952">
        <w:rPr>
          <w:rFonts w:asciiTheme="majorHAnsi" w:hAnsiTheme="majorHAnsi" w:cs="Arial"/>
          <w:sz w:val="22"/>
          <w:szCs w:val="20"/>
        </w:rPr>
        <w:t>hey are unable to autonomously work under MBS telehealth item numbers, requiring a medical specialist to be present at the consultation, severely impacting delivery of care in rural settings.</w:t>
      </w:r>
    </w:p>
    <w:p w14:paraId="1D11A2DB" w14:textId="77777777" w:rsidR="00461CF6" w:rsidRPr="000C7952" w:rsidRDefault="00461CF6">
      <w:pPr>
        <w:rPr>
          <w:rFonts w:asciiTheme="majorHAnsi" w:hAnsiTheme="majorHAnsi" w:cs="Arial"/>
          <w:sz w:val="22"/>
          <w:szCs w:val="20"/>
        </w:rPr>
      </w:pPr>
    </w:p>
    <w:p w14:paraId="31E3728D" w14:textId="551381CC" w:rsidR="00DC1A8D" w:rsidRPr="000C7952" w:rsidRDefault="00B01E8F">
      <w:pPr>
        <w:rPr>
          <w:rFonts w:asciiTheme="majorHAnsi" w:hAnsiTheme="majorHAnsi" w:cs="Arial"/>
          <w:sz w:val="22"/>
          <w:szCs w:val="20"/>
        </w:rPr>
      </w:pPr>
      <w:r w:rsidRPr="000C7952">
        <w:rPr>
          <w:rFonts w:asciiTheme="majorHAnsi" w:hAnsiTheme="majorHAnsi" w:cs="Arial"/>
          <w:sz w:val="22"/>
          <w:szCs w:val="20"/>
        </w:rPr>
        <w:t xml:space="preserve">To </w:t>
      </w:r>
      <w:r w:rsidR="00280C48">
        <w:rPr>
          <w:rFonts w:asciiTheme="majorHAnsi" w:hAnsiTheme="majorHAnsi" w:cs="Arial"/>
          <w:sz w:val="22"/>
          <w:szCs w:val="20"/>
        </w:rPr>
        <w:t>support improved</w:t>
      </w:r>
      <w:r w:rsidRPr="000C7952">
        <w:rPr>
          <w:rFonts w:asciiTheme="majorHAnsi" w:hAnsiTheme="majorHAnsi" w:cs="Arial"/>
          <w:sz w:val="22"/>
          <w:szCs w:val="20"/>
        </w:rPr>
        <w:t xml:space="preserve"> health inequity, </w:t>
      </w:r>
      <w:r w:rsidR="00422D36" w:rsidRPr="000C7952">
        <w:rPr>
          <w:rFonts w:asciiTheme="majorHAnsi" w:hAnsiTheme="majorHAnsi" w:cs="Arial"/>
          <w:sz w:val="22"/>
          <w:szCs w:val="20"/>
        </w:rPr>
        <w:t xml:space="preserve">the </w:t>
      </w:r>
      <w:r w:rsidRPr="000C7952">
        <w:rPr>
          <w:rFonts w:asciiTheme="majorHAnsi" w:hAnsiTheme="majorHAnsi" w:cs="Arial"/>
          <w:sz w:val="22"/>
          <w:szCs w:val="20"/>
        </w:rPr>
        <w:t xml:space="preserve">Australian Government must </w:t>
      </w:r>
      <w:r w:rsidR="00280C48">
        <w:rPr>
          <w:rFonts w:asciiTheme="majorHAnsi" w:hAnsiTheme="majorHAnsi" w:cs="Arial"/>
          <w:sz w:val="22"/>
          <w:szCs w:val="20"/>
        </w:rPr>
        <w:t>enable</w:t>
      </w:r>
      <w:r w:rsidRPr="000C7952">
        <w:rPr>
          <w:rFonts w:asciiTheme="majorHAnsi" w:hAnsiTheme="majorHAnsi" w:cs="Arial"/>
          <w:sz w:val="22"/>
          <w:szCs w:val="20"/>
        </w:rPr>
        <w:t xml:space="preserve"> </w:t>
      </w:r>
      <w:r w:rsidR="00DC1A8D" w:rsidRPr="000C7952">
        <w:rPr>
          <w:rFonts w:asciiTheme="majorHAnsi" w:hAnsiTheme="majorHAnsi" w:cs="Arial"/>
          <w:sz w:val="22"/>
          <w:szCs w:val="20"/>
        </w:rPr>
        <w:t>innovative models of service delivery, such as nurse-led outpatient models</w:t>
      </w:r>
      <w:r w:rsidR="00ED02E6" w:rsidRPr="000C7952">
        <w:rPr>
          <w:rFonts w:asciiTheme="majorHAnsi" w:hAnsiTheme="majorHAnsi" w:cs="Arial"/>
          <w:sz w:val="22"/>
          <w:szCs w:val="20"/>
        </w:rPr>
        <w:t xml:space="preserve">, improved use of telehealth and approaches to attracting and retaining health professionals in rural locations. </w:t>
      </w:r>
      <w:r w:rsidR="00DC1A8D" w:rsidRPr="000C7952">
        <w:rPr>
          <w:rFonts w:asciiTheme="majorHAnsi" w:hAnsiTheme="majorHAnsi" w:cs="Arial"/>
          <w:sz w:val="22"/>
          <w:szCs w:val="20"/>
        </w:rPr>
        <w:t xml:space="preserve"> </w:t>
      </w:r>
    </w:p>
    <w:p w14:paraId="7DAE69A1" w14:textId="77777777" w:rsidR="00DC1A8D" w:rsidRPr="000C7952" w:rsidRDefault="00DC1A8D" w:rsidP="00DC1A8D">
      <w:pPr>
        <w:rPr>
          <w:rFonts w:asciiTheme="majorHAnsi" w:hAnsiTheme="majorHAnsi" w:cs="Arial"/>
          <w:sz w:val="22"/>
          <w:szCs w:val="20"/>
        </w:rPr>
      </w:pPr>
    </w:p>
    <w:p w14:paraId="27174099" w14:textId="61AF6E8B" w:rsidR="00DC1A8D" w:rsidRPr="000C7952" w:rsidRDefault="005D20F3" w:rsidP="00DC1A8D">
      <w:pPr>
        <w:rPr>
          <w:rFonts w:asciiTheme="majorHAnsi" w:hAnsiTheme="majorHAnsi" w:cs="Arial"/>
          <w:b/>
          <w:i/>
          <w:sz w:val="22"/>
          <w:szCs w:val="20"/>
        </w:rPr>
      </w:pPr>
      <w:r w:rsidRPr="000C7952">
        <w:rPr>
          <w:rFonts w:asciiTheme="majorHAnsi" w:hAnsiTheme="majorHAnsi" w:cs="Arial"/>
          <w:b/>
          <w:i/>
          <w:sz w:val="22"/>
          <w:szCs w:val="20"/>
        </w:rPr>
        <w:t>Recommendations</w:t>
      </w:r>
    </w:p>
    <w:p w14:paraId="0D55BE69" w14:textId="690ADB34" w:rsidR="00BB5F31" w:rsidRPr="000779B8" w:rsidRDefault="00DC1A8D" w:rsidP="000779B8">
      <w:pPr>
        <w:pStyle w:val="ListParagraph"/>
        <w:numPr>
          <w:ilvl w:val="0"/>
          <w:numId w:val="4"/>
        </w:numPr>
      </w:pPr>
      <w:r w:rsidRPr="000779B8">
        <w:t xml:space="preserve">The </w:t>
      </w:r>
      <w:r w:rsidR="008F3BB5" w:rsidRPr="000779B8">
        <w:rPr>
          <w:rFonts w:cs="Arial"/>
        </w:rPr>
        <w:t xml:space="preserve">Australian Government </w:t>
      </w:r>
      <w:r w:rsidRPr="000779B8">
        <w:t>must make changes to MBS billing</w:t>
      </w:r>
      <w:r w:rsidR="00405F9A" w:rsidRPr="000779B8">
        <w:t xml:space="preserve"> items</w:t>
      </w:r>
      <w:r w:rsidRPr="000779B8">
        <w:t xml:space="preserve"> to help facilitate telehealth</w:t>
      </w:r>
      <w:r w:rsidR="007C2BE8" w:rsidRPr="000779B8">
        <w:t xml:space="preserve"> in rural and remote areas</w:t>
      </w:r>
      <w:r w:rsidR="00AB15EE" w:rsidRPr="000779B8">
        <w:t>.</w:t>
      </w:r>
      <w:r w:rsidR="00AF4789" w:rsidRPr="000779B8">
        <w:t xml:space="preserve"> Nurse </w:t>
      </w:r>
      <w:r w:rsidR="00ED02E6" w:rsidRPr="000779B8">
        <w:t>practitioners</w:t>
      </w:r>
      <w:r w:rsidR="00AF4789" w:rsidRPr="000779B8">
        <w:t>,</w:t>
      </w:r>
      <w:r w:rsidR="00412D55" w:rsidRPr="000779B8">
        <w:t xml:space="preserve"> </w:t>
      </w:r>
      <w:r w:rsidR="0013428B" w:rsidRPr="000779B8">
        <w:t>RIPERN</w:t>
      </w:r>
      <w:r w:rsidR="00412D55" w:rsidRPr="000779B8">
        <w:t xml:space="preserve"> </w:t>
      </w:r>
      <w:r w:rsidR="00ED02E6" w:rsidRPr="000779B8">
        <w:t>n</w:t>
      </w:r>
      <w:r w:rsidR="00412D55" w:rsidRPr="000779B8">
        <w:t>urses</w:t>
      </w:r>
      <w:r w:rsidR="00AF4789" w:rsidRPr="000779B8">
        <w:t xml:space="preserve">, and allied health practitioners </w:t>
      </w:r>
      <w:r w:rsidR="007C2BE8" w:rsidRPr="000779B8">
        <w:t>need to</w:t>
      </w:r>
      <w:r w:rsidR="00405F9A" w:rsidRPr="000779B8">
        <w:t xml:space="preserve"> be </w:t>
      </w:r>
      <w:r w:rsidR="00280C48">
        <w:t>eligible for</w:t>
      </w:r>
      <w:r w:rsidR="00405F9A" w:rsidRPr="000779B8">
        <w:t xml:space="preserve"> telehealth item numbers</w:t>
      </w:r>
      <w:r w:rsidR="00AF4789" w:rsidRPr="000779B8">
        <w:t xml:space="preserve"> to enable</w:t>
      </w:r>
      <w:r w:rsidR="007C2BE8" w:rsidRPr="000779B8">
        <w:t xml:space="preserve"> telehealth consultation</w:t>
      </w:r>
      <w:r w:rsidR="000779B8" w:rsidRPr="000779B8">
        <w:t xml:space="preserve"> in an </w:t>
      </w:r>
      <w:r w:rsidR="000779B8">
        <w:t>attempt</w:t>
      </w:r>
      <w:r w:rsidR="000779B8" w:rsidRPr="000779B8">
        <w:t xml:space="preserve"> to manage workforce shortages and increase equity of access to care in rural areas.</w:t>
      </w:r>
    </w:p>
    <w:p w14:paraId="45929B85" w14:textId="4D1EB500" w:rsidR="00461CF6" w:rsidRPr="000779B8" w:rsidRDefault="00AB15EE" w:rsidP="000779B8">
      <w:pPr>
        <w:pStyle w:val="ListParagraph"/>
        <w:numPr>
          <w:ilvl w:val="0"/>
          <w:numId w:val="4"/>
        </w:numPr>
      </w:pPr>
      <w:r w:rsidRPr="000779B8">
        <w:t xml:space="preserve">The Australian Government must commit to make changes to MBS billing items </w:t>
      </w:r>
      <w:r w:rsidR="00BB5F31" w:rsidRPr="000779B8">
        <w:t xml:space="preserve">to </w:t>
      </w:r>
      <w:r w:rsidRPr="000779B8">
        <w:t>enable nurse practitioners to bill for chronic health management pla</w:t>
      </w:r>
      <w:r w:rsidR="00531BD2" w:rsidRPr="000779B8">
        <w:t>ns</w:t>
      </w:r>
      <w:r w:rsidRPr="000779B8">
        <w:t>, mental health care plans, advanced care directives, and telehealt</w:t>
      </w:r>
      <w:r w:rsidR="00334B2A" w:rsidRPr="000779B8">
        <w:t>h item numbers. This will make nurse p</w:t>
      </w:r>
      <w:r w:rsidRPr="000779B8">
        <w:t xml:space="preserve">ractitioners </w:t>
      </w:r>
      <w:r w:rsidR="00DC1A8D" w:rsidRPr="000779B8">
        <w:t>a more viable staffing option for rural and regional health providers</w:t>
      </w:r>
      <w:r w:rsidRPr="000779B8">
        <w:t>, removing restrictions on their ability to care for patients</w:t>
      </w:r>
      <w:r w:rsidR="000779B8">
        <w:t xml:space="preserve">, to help </w:t>
      </w:r>
      <w:r w:rsidR="000779B8" w:rsidRPr="000779B8">
        <w:t xml:space="preserve">overcome workforce shortages, particularly in regards to attracting and retaining doctors in rural and regional areas. </w:t>
      </w:r>
    </w:p>
    <w:p w14:paraId="733EA4CE" w14:textId="571BBAA6" w:rsidR="00DC1A8D" w:rsidRPr="000C7952" w:rsidRDefault="00DC1A8D" w:rsidP="00461CF6">
      <w:pPr>
        <w:numPr>
          <w:ilvl w:val="0"/>
          <w:numId w:val="4"/>
        </w:numPr>
        <w:rPr>
          <w:rFonts w:asciiTheme="majorHAnsi" w:hAnsiTheme="majorHAnsi" w:cs="Arial"/>
          <w:sz w:val="20"/>
          <w:szCs w:val="20"/>
        </w:rPr>
      </w:pPr>
      <w:r w:rsidRPr="000C7952">
        <w:rPr>
          <w:rFonts w:asciiTheme="majorHAnsi" w:hAnsiTheme="majorHAnsi" w:cs="Arial"/>
          <w:sz w:val="22"/>
          <w:szCs w:val="20"/>
        </w:rPr>
        <w:t xml:space="preserve">The </w:t>
      </w:r>
      <w:r w:rsidR="00BB5F31" w:rsidRPr="000C7952">
        <w:rPr>
          <w:rFonts w:asciiTheme="majorHAnsi" w:hAnsiTheme="majorHAnsi" w:cs="Arial"/>
          <w:sz w:val="22"/>
          <w:szCs w:val="20"/>
        </w:rPr>
        <w:t xml:space="preserve">Australian Government </w:t>
      </w:r>
      <w:r w:rsidRPr="000C7952">
        <w:rPr>
          <w:rFonts w:asciiTheme="majorHAnsi" w:hAnsiTheme="majorHAnsi" w:cs="Arial"/>
          <w:sz w:val="22"/>
          <w:szCs w:val="20"/>
        </w:rPr>
        <w:t xml:space="preserve">must </w:t>
      </w:r>
      <w:r w:rsidR="00BC1C03" w:rsidRPr="000C7952">
        <w:rPr>
          <w:rFonts w:asciiTheme="majorHAnsi" w:hAnsiTheme="majorHAnsi" w:cs="Arial"/>
          <w:sz w:val="22"/>
          <w:szCs w:val="20"/>
        </w:rPr>
        <w:t xml:space="preserve">implement all 19 recommendations of the National Rural Generalist Taskforce’s </w:t>
      </w:r>
      <w:r w:rsidR="00207082" w:rsidRPr="000C7952">
        <w:rPr>
          <w:rFonts w:asciiTheme="majorHAnsi" w:hAnsiTheme="majorHAnsi" w:cs="Arial"/>
          <w:sz w:val="22"/>
          <w:szCs w:val="20"/>
        </w:rPr>
        <w:t xml:space="preserve">report, </w:t>
      </w:r>
      <w:r w:rsidR="00207082" w:rsidRPr="00EB4AC2">
        <w:rPr>
          <w:rFonts w:asciiTheme="majorHAnsi" w:hAnsiTheme="majorHAnsi" w:cs="Arial"/>
          <w:i/>
          <w:sz w:val="22"/>
          <w:szCs w:val="20"/>
        </w:rPr>
        <w:t>Advice to the National Rural Health Commissioner on the Development of the National Rural Generalist Pathway</w:t>
      </w:r>
      <w:r w:rsidR="00207082" w:rsidRPr="000C7952">
        <w:rPr>
          <w:rFonts w:asciiTheme="majorHAnsi" w:hAnsiTheme="majorHAnsi" w:cs="Arial"/>
          <w:sz w:val="22"/>
          <w:szCs w:val="20"/>
        </w:rPr>
        <w:t>.</w:t>
      </w:r>
      <w:r w:rsidR="000C4E61" w:rsidRPr="000C7952">
        <w:rPr>
          <w:rFonts w:asciiTheme="majorHAnsi" w:hAnsiTheme="majorHAnsi" w:cs="Arial"/>
          <w:sz w:val="22"/>
          <w:szCs w:val="20"/>
        </w:rPr>
        <w:t xml:space="preserve"> This </w:t>
      </w:r>
      <w:r w:rsidR="00EB4AC2">
        <w:rPr>
          <w:rFonts w:asciiTheme="majorHAnsi" w:hAnsiTheme="majorHAnsi" w:cs="Arial"/>
          <w:sz w:val="22"/>
          <w:szCs w:val="20"/>
        </w:rPr>
        <w:t>would</w:t>
      </w:r>
      <w:r w:rsidR="000C4E61" w:rsidRPr="000C7952">
        <w:rPr>
          <w:rFonts w:asciiTheme="majorHAnsi" w:hAnsiTheme="majorHAnsi" w:cs="Arial"/>
          <w:sz w:val="22"/>
          <w:szCs w:val="20"/>
        </w:rPr>
        <w:t xml:space="preserve"> be delivered </w:t>
      </w:r>
      <w:r w:rsidR="00BB5F31" w:rsidRPr="000C7952">
        <w:rPr>
          <w:rFonts w:asciiTheme="majorHAnsi" w:hAnsiTheme="majorHAnsi" w:cs="Arial"/>
          <w:sz w:val="22"/>
          <w:szCs w:val="20"/>
        </w:rPr>
        <w:t xml:space="preserve">as </w:t>
      </w:r>
      <w:r w:rsidR="000C4E61" w:rsidRPr="000C7952">
        <w:rPr>
          <w:rFonts w:asciiTheme="majorHAnsi" w:hAnsiTheme="majorHAnsi" w:cs="Arial"/>
          <w:sz w:val="22"/>
          <w:szCs w:val="20"/>
        </w:rPr>
        <w:t xml:space="preserve">a staged </w:t>
      </w:r>
      <w:r w:rsidR="000C4E61" w:rsidRPr="000C7952">
        <w:rPr>
          <w:rFonts w:asciiTheme="majorHAnsi" w:hAnsiTheme="majorHAnsi" w:cs="Arial"/>
          <w:sz w:val="22"/>
          <w:szCs w:val="20"/>
        </w:rPr>
        <w:lastRenderedPageBreak/>
        <w:t xml:space="preserve">implementation plan, with ongoing consultation and </w:t>
      </w:r>
      <w:r w:rsidR="00EB4AC2">
        <w:rPr>
          <w:rFonts w:asciiTheme="majorHAnsi" w:hAnsiTheme="majorHAnsi" w:cs="Arial"/>
          <w:sz w:val="22"/>
          <w:szCs w:val="20"/>
        </w:rPr>
        <w:t>funding</w:t>
      </w:r>
      <w:r w:rsidR="000C4E61" w:rsidRPr="000C7952">
        <w:rPr>
          <w:rFonts w:asciiTheme="majorHAnsi" w:hAnsiTheme="majorHAnsi" w:cs="Arial"/>
          <w:sz w:val="22"/>
          <w:szCs w:val="20"/>
        </w:rPr>
        <w:t xml:space="preserve"> support.</w:t>
      </w:r>
      <w:r w:rsidR="00B61361" w:rsidRPr="000C7952">
        <w:rPr>
          <w:rFonts w:asciiTheme="majorHAnsi" w:hAnsiTheme="majorHAnsi" w:cs="Arial"/>
          <w:sz w:val="22"/>
          <w:szCs w:val="20"/>
        </w:rPr>
        <w:t xml:space="preserve"> This pathway is a crucial step to overcoming long-term and systemic workforce issues in rural and regional areas which have long inhibited the quality of care that patients can receive.</w:t>
      </w:r>
      <w:r w:rsidR="000C4E61" w:rsidRPr="000C7952">
        <w:rPr>
          <w:rFonts w:asciiTheme="majorHAnsi" w:hAnsiTheme="majorHAnsi" w:cs="Arial"/>
          <w:sz w:val="22"/>
          <w:szCs w:val="20"/>
        </w:rPr>
        <w:t xml:space="preserve"> </w:t>
      </w:r>
      <w:r w:rsidRPr="000C7952">
        <w:rPr>
          <w:rFonts w:asciiTheme="majorHAnsi" w:hAnsiTheme="majorHAnsi"/>
          <w:sz w:val="22"/>
          <w:szCs w:val="22"/>
        </w:rPr>
        <w:br w:type="page"/>
      </w:r>
    </w:p>
    <w:p w14:paraId="4CF25E7E" w14:textId="270E38EF" w:rsidR="00DC1A8D" w:rsidRPr="000C7952" w:rsidRDefault="00DC1A8D" w:rsidP="00DC1A8D">
      <w:pPr>
        <w:pStyle w:val="Subhead"/>
        <w:outlineLvl w:val="0"/>
        <w:rPr>
          <w:rFonts w:asciiTheme="majorHAnsi" w:hAnsiTheme="majorHAnsi"/>
        </w:rPr>
      </w:pPr>
      <w:r w:rsidRPr="000C7952">
        <w:rPr>
          <w:rFonts w:asciiTheme="majorHAnsi" w:hAnsiTheme="majorHAnsi"/>
        </w:rPr>
        <w:lastRenderedPageBreak/>
        <w:t>Dental</w:t>
      </w:r>
    </w:p>
    <w:p w14:paraId="07C502EF" w14:textId="2C0E51EF" w:rsidR="00DC1A8D" w:rsidRPr="000C7952" w:rsidRDefault="00DC1A8D" w:rsidP="00DC1A8D">
      <w:pPr>
        <w:rPr>
          <w:rFonts w:asciiTheme="majorHAnsi" w:hAnsiTheme="majorHAnsi" w:cs="Arial"/>
          <w:b/>
          <w:sz w:val="22"/>
          <w:szCs w:val="20"/>
        </w:rPr>
      </w:pPr>
      <w:r w:rsidRPr="000C7952">
        <w:rPr>
          <w:rFonts w:asciiTheme="majorHAnsi" w:hAnsiTheme="majorHAnsi" w:cs="Arial"/>
          <w:b/>
          <w:sz w:val="22"/>
          <w:szCs w:val="20"/>
        </w:rPr>
        <w:t>Situation</w:t>
      </w:r>
    </w:p>
    <w:p w14:paraId="5CF93D8D" w14:textId="51298337" w:rsidR="00EC08C9" w:rsidRPr="000C7952" w:rsidRDefault="00DC1A8D" w:rsidP="00DC1A8D">
      <w:pPr>
        <w:rPr>
          <w:rFonts w:asciiTheme="majorHAnsi" w:hAnsiTheme="majorHAnsi" w:cs="Arial"/>
          <w:sz w:val="22"/>
          <w:szCs w:val="20"/>
        </w:rPr>
      </w:pPr>
      <w:r w:rsidRPr="000C7952">
        <w:rPr>
          <w:rFonts w:asciiTheme="majorHAnsi" w:hAnsiTheme="majorHAnsi" w:cs="Arial"/>
          <w:sz w:val="22"/>
          <w:szCs w:val="20"/>
        </w:rPr>
        <w:t xml:space="preserve">Oral health is an important determinant of </w:t>
      </w:r>
      <w:r w:rsidR="006A1C9F" w:rsidRPr="000C7952">
        <w:rPr>
          <w:rFonts w:asciiTheme="majorHAnsi" w:hAnsiTheme="majorHAnsi" w:cs="Arial"/>
          <w:sz w:val="22"/>
          <w:szCs w:val="20"/>
        </w:rPr>
        <w:t xml:space="preserve">overall </w:t>
      </w:r>
      <w:r w:rsidRPr="000C7952">
        <w:rPr>
          <w:rFonts w:asciiTheme="majorHAnsi" w:hAnsiTheme="majorHAnsi" w:cs="Arial"/>
          <w:sz w:val="22"/>
          <w:szCs w:val="20"/>
        </w:rPr>
        <w:t>health and wellbeing</w:t>
      </w:r>
      <w:r w:rsidR="003421CF" w:rsidRPr="000C7952">
        <w:rPr>
          <w:rFonts w:asciiTheme="majorHAnsi" w:hAnsiTheme="majorHAnsi" w:cs="Arial"/>
          <w:sz w:val="22"/>
          <w:szCs w:val="20"/>
        </w:rPr>
        <w:t xml:space="preserve"> with poor oral health connected to a range of chronic conditions</w:t>
      </w:r>
      <w:r w:rsidR="00104895" w:rsidRPr="000C7952">
        <w:rPr>
          <w:rFonts w:asciiTheme="majorHAnsi" w:hAnsiTheme="majorHAnsi" w:cs="Arial"/>
          <w:sz w:val="22"/>
          <w:szCs w:val="20"/>
        </w:rPr>
        <w:t xml:space="preserve"> including obesity, cardiovascular disease and Type 2 diabetes</w:t>
      </w:r>
      <w:r w:rsidR="00E4410A" w:rsidRPr="000C7952">
        <w:rPr>
          <w:rStyle w:val="FootnoteReference"/>
          <w:rFonts w:asciiTheme="majorHAnsi" w:hAnsiTheme="majorHAnsi" w:cs="Arial"/>
          <w:sz w:val="22"/>
          <w:szCs w:val="20"/>
        </w:rPr>
        <w:footnoteReference w:id="23"/>
      </w:r>
      <w:r w:rsidR="000D6D95">
        <w:rPr>
          <w:rFonts w:asciiTheme="majorHAnsi" w:hAnsiTheme="majorHAnsi" w:cs="Arial"/>
          <w:sz w:val="22"/>
          <w:szCs w:val="20"/>
        </w:rPr>
        <w:t>.</w:t>
      </w:r>
      <w:r w:rsidR="00AB07FE" w:rsidRPr="000C7952">
        <w:rPr>
          <w:rFonts w:asciiTheme="majorHAnsi" w:hAnsiTheme="majorHAnsi" w:cs="Arial"/>
          <w:sz w:val="22"/>
          <w:szCs w:val="20"/>
        </w:rPr>
        <w:t xml:space="preserve"> There are l</w:t>
      </w:r>
      <w:r w:rsidRPr="000C7952">
        <w:rPr>
          <w:rFonts w:asciiTheme="majorHAnsi" w:hAnsiTheme="majorHAnsi" w:cs="Arial"/>
          <w:sz w:val="22"/>
          <w:szCs w:val="20"/>
        </w:rPr>
        <w:t>ong waiting times for access to public dental services, in some cases up to two years</w:t>
      </w:r>
      <w:r w:rsidR="00AB07FE" w:rsidRPr="000C7952">
        <w:rPr>
          <w:rFonts w:asciiTheme="majorHAnsi" w:hAnsiTheme="majorHAnsi" w:cs="Arial"/>
          <w:sz w:val="22"/>
          <w:szCs w:val="20"/>
        </w:rPr>
        <w:t xml:space="preserve"> in Victoria</w:t>
      </w:r>
      <w:r w:rsidRPr="000C7952">
        <w:rPr>
          <w:rFonts w:asciiTheme="majorHAnsi" w:hAnsiTheme="majorHAnsi" w:cs="Arial"/>
          <w:sz w:val="22"/>
          <w:szCs w:val="20"/>
        </w:rPr>
        <w:t>,</w:t>
      </w:r>
      <w:r w:rsidR="00C3229A" w:rsidRPr="000C7952">
        <w:rPr>
          <w:rFonts w:asciiTheme="majorHAnsi" w:hAnsiTheme="majorHAnsi" w:cs="Arial"/>
          <w:sz w:val="22"/>
          <w:szCs w:val="20"/>
        </w:rPr>
        <w:t xml:space="preserve"> </w:t>
      </w:r>
      <w:r w:rsidR="00AB07FE" w:rsidRPr="000C7952">
        <w:rPr>
          <w:rFonts w:asciiTheme="majorHAnsi" w:hAnsiTheme="majorHAnsi" w:cs="Arial"/>
          <w:sz w:val="22"/>
          <w:szCs w:val="20"/>
        </w:rPr>
        <w:t>while</w:t>
      </w:r>
      <w:r w:rsidR="00C3229A" w:rsidRPr="000C7952">
        <w:rPr>
          <w:rFonts w:asciiTheme="majorHAnsi" w:hAnsiTheme="majorHAnsi" w:cs="Arial"/>
          <w:sz w:val="22"/>
          <w:szCs w:val="20"/>
        </w:rPr>
        <w:t xml:space="preserve"> </w:t>
      </w:r>
      <w:r w:rsidR="00AB07FE" w:rsidRPr="000C7952">
        <w:rPr>
          <w:rFonts w:asciiTheme="majorHAnsi" w:hAnsiTheme="majorHAnsi" w:cs="Arial"/>
          <w:sz w:val="22"/>
          <w:szCs w:val="20"/>
        </w:rPr>
        <w:t xml:space="preserve">the </w:t>
      </w:r>
      <w:r w:rsidR="00885525" w:rsidRPr="000C7952">
        <w:rPr>
          <w:rFonts w:asciiTheme="majorHAnsi" w:hAnsiTheme="majorHAnsi" w:cs="Arial"/>
          <w:sz w:val="22"/>
          <w:szCs w:val="20"/>
        </w:rPr>
        <w:t>high</w:t>
      </w:r>
      <w:r w:rsidR="00C3229A" w:rsidRPr="000C7952">
        <w:rPr>
          <w:rFonts w:asciiTheme="majorHAnsi" w:hAnsiTheme="majorHAnsi" w:cs="Arial"/>
          <w:sz w:val="22"/>
          <w:szCs w:val="20"/>
        </w:rPr>
        <w:t xml:space="preserve"> cost</w:t>
      </w:r>
      <w:r w:rsidR="00AB07FE" w:rsidRPr="000C7952">
        <w:rPr>
          <w:rFonts w:asciiTheme="majorHAnsi" w:hAnsiTheme="majorHAnsi" w:cs="Arial"/>
          <w:sz w:val="22"/>
          <w:szCs w:val="20"/>
        </w:rPr>
        <w:t xml:space="preserve"> of care was last year identified by over half a million people as the reason they did not access care</w:t>
      </w:r>
      <w:r w:rsidR="00E4410A" w:rsidRPr="000C7952">
        <w:rPr>
          <w:rStyle w:val="FootnoteReference"/>
          <w:rFonts w:asciiTheme="majorHAnsi" w:hAnsiTheme="majorHAnsi" w:cs="Arial"/>
          <w:sz w:val="22"/>
          <w:szCs w:val="20"/>
        </w:rPr>
        <w:footnoteReference w:id="24"/>
      </w:r>
      <w:r w:rsidR="000D6D95">
        <w:rPr>
          <w:rFonts w:asciiTheme="majorHAnsi" w:hAnsiTheme="majorHAnsi" w:cs="Arial"/>
          <w:sz w:val="22"/>
          <w:szCs w:val="20"/>
        </w:rPr>
        <w:t>.</w:t>
      </w:r>
      <w:r w:rsidR="00281FD1" w:rsidRPr="000C7952">
        <w:rPr>
          <w:rFonts w:asciiTheme="majorHAnsi" w:hAnsiTheme="majorHAnsi" w:cs="Arial"/>
          <w:sz w:val="22"/>
          <w:szCs w:val="20"/>
        </w:rPr>
        <w:t xml:space="preserve"> Thi</w:t>
      </w:r>
      <w:r w:rsidR="00AB07FE" w:rsidRPr="000C7952">
        <w:rPr>
          <w:rFonts w:asciiTheme="majorHAnsi" w:hAnsiTheme="majorHAnsi" w:cs="Arial"/>
          <w:sz w:val="22"/>
          <w:szCs w:val="20"/>
        </w:rPr>
        <w:t>s</w:t>
      </w:r>
      <w:r w:rsidR="00885525" w:rsidRPr="000C7952">
        <w:rPr>
          <w:rFonts w:asciiTheme="majorHAnsi" w:hAnsiTheme="majorHAnsi" w:cs="Arial"/>
          <w:sz w:val="22"/>
          <w:szCs w:val="20"/>
        </w:rPr>
        <w:t xml:space="preserve"> </w:t>
      </w:r>
      <w:r w:rsidRPr="000C7952">
        <w:rPr>
          <w:rFonts w:asciiTheme="majorHAnsi" w:hAnsiTheme="majorHAnsi" w:cs="Arial"/>
          <w:sz w:val="22"/>
          <w:szCs w:val="20"/>
        </w:rPr>
        <w:t>leads to delays in</w:t>
      </w:r>
      <w:r w:rsidR="006A1C9F" w:rsidRPr="000C7952">
        <w:rPr>
          <w:rFonts w:asciiTheme="majorHAnsi" w:hAnsiTheme="majorHAnsi" w:cs="Arial"/>
          <w:sz w:val="22"/>
          <w:szCs w:val="20"/>
        </w:rPr>
        <w:t xml:space="preserve"> people</w:t>
      </w:r>
      <w:r w:rsidRPr="000C7952">
        <w:rPr>
          <w:rFonts w:asciiTheme="majorHAnsi" w:hAnsiTheme="majorHAnsi" w:cs="Arial"/>
          <w:sz w:val="22"/>
          <w:szCs w:val="20"/>
        </w:rPr>
        <w:t xml:space="preserve"> receiving </w:t>
      </w:r>
      <w:r w:rsidR="00C3229A" w:rsidRPr="000C7952">
        <w:rPr>
          <w:rFonts w:asciiTheme="majorHAnsi" w:hAnsiTheme="majorHAnsi" w:cs="Arial"/>
          <w:sz w:val="22"/>
          <w:szCs w:val="20"/>
        </w:rPr>
        <w:t>treatment</w:t>
      </w:r>
      <w:r w:rsidRPr="000C7952">
        <w:rPr>
          <w:rFonts w:asciiTheme="majorHAnsi" w:hAnsiTheme="majorHAnsi" w:cs="Arial"/>
          <w:sz w:val="22"/>
          <w:szCs w:val="20"/>
        </w:rPr>
        <w:t xml:space="preserve"> </w:t>
      </w:r>
      <w:r w:rsidR="006A1C9F" w:rsidRPr="000C7952">
        <w:rPr>
          <w:rFonts w:asciiTheme="majorHAnsi" w:hAnsiTheme="majorHAnsi" w:cs="Arial"/>
          <w:sz w:val="22"/>
          <w:szCs w:val="20"/>
        </w:rPr>
        <w:t xml:space="preserve">resulting in </w:t>
      </w:r>
      <w:r w:rsidRPr="000C7952">
        <w:rPr>
          <w:rFonts w:asciiTheme="majorHAnsi" w:hAnsiTheme="majorHAnsi" w:cs="Arial"/>
          <w:sz w:val="22"/>
          <w:szCs w:val="20"/>
        </w:rPr>
        <w:t>further deterioration of dental health</w:t>
      </w:r>
      <w:r w:rsidR="006A1C9F" w:rsidRPr="000C7952">
        <w:rPr>
          <w:rFonts w:asciiTheme="majorHAnsi" w:hAnsiTheme="majorHAnsi" w:cs="Arial"/>
          <w:sz w:val="22"/>
          <w:szCs w:val="20"/>
        </w:rPr>
        <w:t xml:space="preserve"> and </w:t>
      </w:r>
      <w:r w:rsidR="003421CF" w:rsidRPr="000C7952">
        <w:rPr>
          <w:rFonts w:asciiTheme="majorHAnsi" w:hAnsiTheme="majorHAnsi" w:cs="Arial"/>
          <w:sz w:val="22"/>
          <w:szCs w:val="20"/>
        </w:rPr>
        <w:t>compounding the issue</w:t>
      </w:r>
      <w:r w:rsidRPr="000C7952">
        <w:rPr>
          <w:rFonts w:asciiTheme="majorHAnsi" w:hAnsiTheme="majorHAnsi" w:cs="Arial"/>
          <w:sz w:val="22"/>
          <w:szCs w:val="20"/>
        </w:rPr>
        <w:t>.</w:t>
      </w:r>
      <w:r w:rsidR="00592253" w:rsidRPr="000C7952">
        <w:rPr>
          <w:rFonts w:asciiTheme="majorHAnsi" w:hAnsiTheme="majorHAnsi" w:cs="Arial"/>
          <w:sz w:val="22"/>
          <w:szCs w:val="20"/>
        </w:rPr>
        <w:t xml:space="preserve"> </w:t>
      </w:r>
      <w:r w:rsidR="001121F0" w:rsidRPr="001121F0">
        <w:rPr>
          <w:rFonts w:asciiTheme="majorHAnsi" w:hAnsiTheme="majorHAnsi" w:cs="Arial"/>
          <w:sz w:val="22"/>
          <w:szCs w:val="20"/>
        </w:rPr>
        <w:t>In 2015-16 there were 67,266 potentially preventable hospitalisations for oral health problems and almost one-third of these were children under the age of nine years</w:t>
      </w:r>
      <w:r w:rsidR="001121F0" w:rsidRPr="001121F0">
        <w:rPr>
          <w:rFonts w:asciiTheme="majorHAnsi" w:hAnsiTheme="majorHAnsi" w:cs="Arial"/>
          <w:sz w:val="22"/>
          <w:szCs w:val="20"/>
          <w:vertAlign w:val="superscript"/>
        </w:rPr>
        <w:footnoteReference w:id="25"/>
      </w:r>
      <w:r w:rsidR="001121F0">
        <w:rPr>
          <w:rFonts w:asciiTheme="majorHAnsi" w:hAnsiTheme="majorHAnsi" w:cs="Arial"/>
          <w:sz w:val="22"/>
          <w:szCs w:val="20"/>
        </w:rPr>
        <w:t>.</w:t>
      </w:r>
    </w:p>
    <w:p w14:paraId="4590B1F1" w14:textId="77777777" w:rsidR="00AB07FE" w:rsidRPr="000C7952" w:rsidRDefault="00AB07FE" w:rsidP="00DC1A8D">
      <w:pPr>
        <w:rPr>
          <w:rFonts w:asciiTheme="majorHAnsi" w:hAnsiTheme="majorHAnsi" w:cs="Arial"/>
          <w:sz w:val="22"/>
          <w:szCs w:val="20"/>
        </w:rPr>
      </w:pPr>
    </w:p>
    <w:p w14:paraId="6515FED9" w14:textId="56F9A587" w:rsidR="00EC08C9" w:rsidRPr="000C7952" w:rsidRDefault="001121F0" w:rsidP="00E4410A">
      <w:pPr>
        <w:rPr>
          <w:rFonts w:asciiTheme="majorHAnsi" w:hAnsiTheme="majorHAnsi" w:cs="Arial"/>
          <w:sz w:val="22"/>
          <w:szCs w:val="20"/>
        </w:rPr>
      </w:pPr>
      <w:r>
        <w:rPr>
          <w:rFonts w:asciiTheme="majorHAnsi" w:hAnsiTheme="majorHAnsi" w:cs="Arial"/>
          <w:sz w:val="22"/>
          <w:szCs w:val="20"/>
        </w:rPr>
        <w:t>Poor oral health</w:t>
      </w:r>
      <w:r w:rsidR="0035352C" w:rsidRPr="000C7952">
        <w:rPr>
          <w:rFonts w:asciiTheme="majorHAnsi" w:hAnsiTheme="majorHAnsi" w:cs="Arial"/>
          <w:sz w:val="22"/>
          <w:szCs w:val="20"/>
        </w:rPr>
        <w:t xml:space="preserve"> has the second highest disease expenditure in Australia</w:t>
      </w:r>
      <w:r w:rsidR="00885525" w:rsidRPr="000C7952">
        <w:rPr>
          <w:rStyle w:val="FootnoteReference"/>
          <w:rFonts w:asciiTheme="majorHAnsi" w:hAnsiTheme="majorHAnsi" w:cs="Arial"/>
          <w:sz w:val="22"/>
          <w:szCs w:val="20"/>
        </w:rPr>
        <w:footnoteReference w:id="26"/>
      </w:r>
      <w:r>
        <w:rPr>
          <w:rFonts w:asciiTheme="majorHAnsi" w:hAnsiTheme="majorHAnsi" w:cs="Arial"/>
          <w:sz w:val="22"/>
          <w:szCs w:val="20"/>
        </w:rPr>
        <w:t>.</w:t>
      </w:r>
      <w:r w:rsidR="00F219CC" w:rsidRPr="000C7952">
        <w:rPr>
          <w:rFonts w:asciiTheme="majorHAnsi" w:hAnsiTheme="majorHAnsi" w:cs="Arial"/>
          <w:sz w:val="22"/>
          <w:szCs w:val="20"/>
        </w:rPr>
        <w:t xml:space="preserve"> </w:t>
      </w:r>
      <w:r w:rsidR="00DC1A8D" w:rsidRPr="000C7952">
        <w:rPr>
          <w:rFonts w:asciiTheme="majorHAnsi" w:hAnsiTheme="majorHAnsi" w:cs="Arial"/>
          <w:sz w:val="22"/>
          <w:szCs w:val="20"/>
        </w:rPr>
        <w:t xml:space="preserve">The benefits of </w:t>
      </w:r>
      <w:r w:rsidR="003421CF" w:rsidRPr="000C7952">
        <w:rPr>
          <w:rFonts w:asciiTheme="majorHAnsi" w:hAnsiTheme="majorHAnsi" w:cs="Arial"/>
          <w:sz w:val="22"/>
          <w:szCs w:val="20"/>
        </w:rPr>
        <w:t>inhibiting</w:t>
      </w:r>
      <w:r w:rsidR="00DC1A8D" w:rsidRPr="000C7952">
        <w:rPr>
          <w:rFonts w:asciiTheme="majorHAnsi" w:hAnsiTheme="majorHAnsi" w:cs="Arial"/>
          <w:sz w:val="22"/>
          <w:szCs w:val="20"/>
        </w:rPr>
        <w:t xml:space="preserve"> </w:t>
      </w:r>
      <w:r w:rsidR="003421CF" w:rsidRPr="000C7952">
        <w:rPr>
          <w:rFonts w:asciiTheme="majorHAnsi" w:hAnsiTheme="majorHAnsi" w:cs="Arial"/>
          <w:sz w:val="22"/>
          <w:szCs w:val="20"/>
        </w:rPr>
        <w:t xml:space="preserve">poor </w:t>
      </w:r>
      <w:r w:rsidR="00DC1A8D" w:rsidRPr="000C7952">
        <w:rPr>
          <w:rFonts w:asciiTheme="majorHAnsi" w:hAnsiTheme="majorHAnsi" w:cs="Arial"/>
          <w:sz w:val="22"/>
          <w:szCs w:val="20"/>
        </w:rPr>
        <w:t>oral health</w:t>
      </w:r>
      <w:r w:rsidR="003421CF" w:rsidRPr="000C7952">
        <w:rPr>
          <w:rFonts w:asciiTheme="majorHAnsi" w:hAnsiTheme="majorHAnsi" w:cs="Arial"/>
          <w:sz w:val="22"/>
          <w:szCs w:val="20"/>
        </w:rPr>
        <w:t>care from developing into other costly medical issues</w:t>
      </w:r>
      <w:r w:rsidR="00DC1A8D" w:rsidRPr="000C7952">
        <w:rPr>
          <w:rFonts w:asciiTheme="majorHAnsi" w:hAnsiTheme="majorHAnsi" w:cs="Arial"/>
          <w:sz w:val="22"/>
          <w:szCs w:val="20"/>
        </w:rPr>
        <w:t xml:space="preserve"> are clear</w:t>
      </w:r>
      <w:r w:rsidR="00F219CC" w:rsidRPr="000C7952">
        <w:rPr>
          <w:rFonts w:asciiTheme="majorHAnsi" w:hAnsiTheme="majorHAnsi" w:cs="Arial"/>
          <w:sz w:val="22"/>
          <w:szCs w:val="20"/>
        </w:rPr>
        <w:t xml:space="preserve"> from the disease expenditure and preventable admissions</w:t>
      </w:r>
      <w:r w:rsidR="003421CF" w:rsidRPr="000C7952">
        <w:rPr>
          <w:rFonts w:asciiTheme="majorHAnsi" w:hAnsiTheme="majorHAnsi" w:cs="Arial"/>
          <w:sz w:val="22"/>
          <w:szCs w:val="20"/>
        </w:rPr>
        <w:t>,</w:t>
      </w:r>
      <w:r w:rsidR="00DC1A8D" w:rsidRPr="000C7952">
        <w:rPr>
          <w:rFonts w:asciiTheme="majorHAnsi" w:hAnsiTheme="majorHAnsi" w:cs="Arial"/>
          <w:sz w:val="22"/>
          <w:szCs w:val="20"/>
        </w:rPr>
        <w:t xml:space="preserve"> </w:t>
      </w:r>
      <w:r>
        <w:rPr>
          <w:rFonts w:asciiTheme="majorHAnsi" w:hAnsiTheme="majorHAnsi" w:cs="Arial"/>
          <w:sz w:val="22"/>
          <w:szCs w:val="20"/>
        </w:rPr>
        <w:t>with a</w:t>
      </w:r>
      <w:r w:rsidR="006A1C9F" w:rsidRPr="000C7952">
        <w:rPr>
          <w:rFonts w:asciiTheme="majorHAnsi" w:hAnsiTheme="majorHAnsi" w:cs="Arial"/>
          <w:sz w:val="22"/>
          <w:szCs w:val="20"/>
        </w:rPr>
        <w:t xml:space="preserve"> national </w:t>
      </w:r>
      <w:r w:rsidR="00FE1F5D" w:rsidRPr="000C7952">
        <w:rPr>
          <w:rFonts w:asciiTheme="majorHAnsi" w:hAnsiTheme="majorHAnsi" w:cs="Arial"/>
          <w:sz w:val="22"/>
          <w:szCs w:val="20"/>
        </w:rPr>
        <w:t xml:space="preserve">approach </w:t>
      </w:r>
      <w:r w:rsidR="006A1C9F" w:rsidRPr="000C7952">
        <w:rPr>
          <w:rFonts w:asciiTheme="majorHAnsi" w:hAnsiTheme="majorHAnsi" w:cs="Arial"/>
          <w:sz w:val="22"/>
          <w:szCs w:val="20"/>
        </w:rPr>
        <w:t xml:space="preserve">required </w:t>
      </w:r>
      <w:r w:rsidR="00FE1F5D" w:rsidRPr="000C7952">
        <w:rPr>
          <w:rFonts w:asciiTheme="majorHAnsi" w:hAnsiTheme="majorHAnsi" w:cs="Arial"/>
          <w:sz w:val="22"/>
          <w:szCs w:val="20"/>
        </w:rPr>
        <w:t xml:space="preserve">to limit the need for </w:t>
      </w:r>
      <w:r w:rsidR="00805422">
        <w:rPr>
          <w:rFonts w:asciiTheme="majorHAnsi" w:hAnsiTheme="majorHAnsi" w:cs="Arial"/>
          <w:sz w:val="22"/>
          <w:szCs w:val="20"/>
        </w:rPr>
        <w:t>avoidable hospitalisation</w:t>
      </w:r>
      <w:r w:rsidR="00DC1A8D" w:rsidRPr="000C7952">
        <w:rPr>
          <w:rFonts w:asciiTheme="majorHAnsi" w:hAnsiTheme="majorHAnsi" w:cs="Arial"/>
          <w:sz w:val="22"/>
          <w:szCs w:val="20"/>
        </w:rPr>
        <w:t>.</w:t>
      </w:r>
      <w:r w:rsidR="00EC08C9" w:rsidRPr="000C7952">
        <w:rPr>
          <w:rFonts w:asciiTheme="majorHAnsi" w:hAnsiTheme="majorHAnsi" w:cs="Arial"/>
          <w:sz w:val="22"/>
          <w:szCs w:val="20"/>
        </w:rPr>
        <w:t xml:space="preserve"> </w:t>
      </w:r>
      <w:r w:rsidR="000A4D43" w:rsidRPr="000C7952">
        <w:rPr>
          <w:rFonts w:asciiTheme="majorHAnsi" w:hAnsiTheme="majorHAnsi" w:cs="Arial"/>
          <w:sz w:val="22"/>
          <w:szCs w:val="20"/>
        </w:rPr>
        <w:t xml:space="preserve">With the </w:t>
      </w:r>
      <w:r w:rsidR="00B62345" w:rsidRPr="000C7952">
        <w:rPr>
          <w:rFonts w:asciiTheme="majorHAnsi" w:hAnsiTheme="majorHAnsi" w:cs="Arial"/>
          <w:sz w:val="22"/>
          <w:szCs w:val="20"/>
        </w:rPr>
        <w:t>Australia’s demographi</w:t>
      </w:r>
      <w:r w:rsidR="00805422">
        <w:rPr>
          <w:rFonts w:asciiTheme="majorHAnsi" w:hAnsiTheme="majorHAnsi" w:cs="Arial"/>
          <w:sz w:val="22"/>
          <w:szCs w:val="20"/>
        </w:rPr>
        <w:t>cs getting older, and nearly 20 per cent</w:t>
      </w:r>
      <w:r w:rsidR="00B62345" w:rsidRPr="000C7952">
        <w:rPr>
          <w:rFonts w:asciiTheme="majorHAnsi" w:hAnsiTheme="majorHAnsi" w:cs="Arial"/>
          <w:sz w:val="22"/>
          <w:szCs w:val="20"/>
        </w:rPr>
        <w:t xml:space="preserve"> of adults aged over 65 having no natural teeth</w:t>
      </w:r>
      <w:r w:rsidR="00B62345" w:rsidRPr="000C7952">
        <w:rPr>
          <w:rStyle w:val="FootnoteReference"/>
          <w:rFonts w:asciiTheme="majorHAnsi" w:hAnsiTheme="majorHAnsi" w:cs="Arial"/>
          <w:sz w:val="22"/>
          <w:szCs w:val="20"/>
        </w:rPr>
        <w:footnoteReference w:id="27"/>
      </w:r>
      <w:r w:rsidR="00B62345" w:rsidRPr="000C7952">
        <w:rPr>
          <w:rFonts w:asciiTheme="majorHAnsi" w:hAnsiTheme="majorHAnsi" w:cs="Arial"/>
          <w:sz w:val="22"/>
          <w:szCs w:val="20"/>
        </w:rPr>
        <w:t xml:space="preserve"> and a three-quarters having a chronic disease</w:t>
      </w:r>
      <w:r w:rsidR="00B62345" w:rsidRPr="000C7952">
        <w:rPr>
          <w:rStyle w:val="FootnoteReference"/>
          <w:rFonts w:asciiTheme="majorHAnsi" w:hAnsiTheme="majorHAnsi" w:cs="Arial"/>
          <w:sz w:val="22"/>
          <w:szCs w:val="20"/>
        </w:rPr>
        <w:footnoteReference w:id="28"/>
      </w:r>
      <w:r w:rsidR="00B62345" w:rsidRPr="000C7952">
        <w:rPr>
          <w:rFonts w:asciiTheme="majorHAnsi" w:hAnsiTheme="majorHAnsi" w:cs="Arial"/>
          <w:sz w:val="22"/>
          <w:szCs w:val="20"/>
        </w:rPr>
        <w:t>, it is important that steps are taken to limit this growing burden on</w:t>
      </w:r>
      <w:r w:rsidR="00805422">
        <w:rPr>
          <w:rFonts w:asciiTheme="majorHAnsi" w:hAnsiTheme="majorHAnsi" w:cs="Arial"/>
          <w:sz w:val="22"/>
          <w:szCs w:val="20"/>
        </w:rPr>
        <w:t xml:space="preserve"> public</w:t>
      </w:r>
      <w:r w:rsidR="00B62345" w:rsidRPr="000C7952">
        <w:rPr>
          <w:rFonts w:asciiTheme="majorHAnsi" w:hAnsiTheme="majorHAnsi" w:cs="Arial"/>
          <w:sz w:val="22"/>
          <w:szCs w:val="20"/>
        </w:rPr>
        <w:t xml:space="preserve"> health services.</w:t>
      </w:r>
    </w:p>
    <w:p w14:paraId="556E347D" w14:textId="77777777" w:rsidR="00EC08C9" w:rsidRPr="000C7952" w:rsidRDefault="00EC08C9" w:rsidP="00DC1A8D">
      <w:pPr>
        <w:rPr>
          <w:rFonts w:asciiTheme="majorHAnsi" w:hAnsiTheme="majorHAnsi" w:cs="Arial"/>
          <w:sz w:val="22"/>
          <w:szCs w:val="20"/>
        </w:rPr>
      </w:pPr>
    </w:p>
    <w:p w14:paraId="71EF3872" w14:textId="2E44B00C" w:rsidR="006B6793" w:rsidRPr="000C7952" w:rsidRDefault="00805422" w:rsidP="00DC1A8D">
      <w:pPr>
        <w:rPr>
          <w:rFonts w:asciiTheme="majorHAnsi" w:hAnsiTheme="majorHAnsi" w:cs="Arial"/>
          <w:sz w:val="22"/>
          <w:szCs w:val="20"/>
        </w:rPr>
      </w:pPr>
      <w:r>
        <w:rPr>
          <w:rFonts w:asciiTheme="majorHAnsi" w:hAnsiTheme="majorHAnsi" w:cs="Arial"/>
          <w:sz w:val="22"/>
          <w:szCs w:val="20"/>
        </w:rPr>
        <w:t>While the Australian Government funds the Child Dental Benefits Schedule, o</w:t>
      </w:r>
      <w:r w:rsidR="006B6793" w:rsidRPr="000C7952">
        <w:rPr>
          <w:rFonts w:asciiTheme="majorHAnsi" w:hAnsiTheme="majorHAnsi" w:cs="Arial"/>
          <w:sz w:val="22"/>
          <w:szCs w:val="20"/>
        </w:rPr>
        <w:t>nly 30</w:t>
      </w:r>
      <w:r w:rsidR="0024058B" w:rsidRPr="000C7952">
        <w:rPr>
          <w:rFonts w:asciiTheme="majorHAnsi" w:hAnsiTheme="majorHAnsi" w:cs="Arial"/>
          <w:sz w:val="22"/>
          <w:szCs w:val="20"/>
        </w:rPr>
        <w:t xml:space="preserve"> per cent</w:t>
      </w:r>
      <w:r w:rsidR="006B6793" w:rsidRPr="000C7952">
        <w:rPr>
          <w:rFonts w:asciiTheme="majorHAnsi" w:hAnsiTheme="majorHAnsi" w:cs="Arial"/>
          <w:sz w:val="22"/>
          <w:szCs w:val="20"/>
        </w:rPr>
        <w:t xml:space="preserve"> of the 3.4 million children eligible to be treated on the Child Dental Benefits Schedule have accessed it</w:t>
      </w:r>
      <w:r w:rsidR="00960004" w:rsidRPr="000C7952">
        <w:rPr>
          <w:rStyle w:val="FootnoteReference"/>
          <w:rFonts w:asciiTheme="majorHAnsi" w:hAnsiTheme="majorHAnsi" w:cs="Arial"/>
          <w:sz w:val="22"/>
          <w:szCs w:val="20"/>
        </w:rPr>
        <w:footnoteReference w:id="29"/>
      </w:r>
      <w:r>
        <w:rPr>
          <w:rFonts w:asciiTheme="majorHAnsi" w:hAnsiTheme="majorHAnsi" w:cs="Arial"/>
          <w:sz w:val="22"/>
          <w:szCs w:val="20"/>
        </w:rPr>
        <w:t>;</w:t>
      </w:r>
      <w:r w:rsidR="006B6793" w:rsidRPr="000C7952">
        <w:rPr>
          <w:rFonts w:asciiTheme="majorHAnsi" w:hAnsiTheme="majorHAnsi" w:cs="Arial"/>
          <w:sz w:val="22"/>
          <w:szCs w:val="20"/>
        </w:rPr>
        <w:t xml:space="preserve"> this signals a clear </w:t>
      </w:r>
      <w:r w:rsidR="0024058B" w:rsidRPr="000C7952">
        <w:rPr>
          <w:rFonts w:asciiTheme="majorHAnsi" w:hAnsiTheme="majorHAnsi" w:cs="Arial"/>
          <w:sz w:val="22"/>
          <w:szCs w:val="20"/>
        </w:rPr>
        <w:t xml:space="preserve">requirement to </w:t>
      </w:r>
      <w:r w:rsidR="006B6793" w:rsidRPr="000C7952">
        <w:rPr>
          <w:rFonts w:asciiTheme="majorHAnsi" w:hAnsiTheme="majorHAnsi" w:cs="Arial"/>
          <w:sz w:val="22"/>
          <w:szCs w:val="20"/>
        </w:rPr>
        <w:t xml:space="preserve">improve awareness and </w:t>
      </w:r>
      <w:r w:rsidR="0024058B" w:rsidRPr="000C7952">
        <w:rPr>
          <w:rFonts w:asciiTheme="majorHAnsi" w:hAnsiTheme="majorHAnsi" w:cs="Arial"/>
          <w:sz w:val="22"/>
          <w:szCs w:val="20"/>
        </w:rPr>
        <w:t xml:space="preserve">drive </w:t>
      </w:r>
      <w:r w:rsidR="006B6793" w:rsidRPr="000C7952">
        <w:rPr>
          <w:rFonts w:asciiTheme="majorHAnsi" w:hAnsiTheme="majorHAnsi" w:cs="Arial"/>
          <w:sz w:val="22"/>
          <w:szCs w:val="20"/>
        </w:rPr>
        <w:t xml:space="preserve">uptake. </w:t>
      </w:r>
      <w:r w:rsidR="0024058B" w:rsidRPr="000C7952">
        <w:rPr>
          <w:rFonts w:asciiTheme="majorHAnsi" w:hAnsiTheme="majorHAnsi" w:cs="Arial"/>
          <w:sz w:val="22"/>
          <w:szCs w:val="20"/>
        </w:rPr>
        <w:t>Driving p</w:t>
      </w:r>
      <w:r w:rsidR="006B6793" w:rsidRPr="000C7952">
        <w:rPr>
          <w:rFonts w:asciiTheme="majorHAnsi" w:hAnsiTheme="majorHAnsi" w:cs="Arial"/>
          <w:sz w:val="22"/>
          <w:szCs w:val="20"/>
        </w:rPr>
        <w:t>revention at an early age will lessen the need for invasive and expensive trea</w:t>
      </w:r>
      <w:r>
        <w:rPr>
          <w:rFonts w:asciiTheme="majorHAnsi" w:hAnsiTheme="majorHAnsi" w:cs="Arial"/>
          <w:sz w:val="22"/>
          <w:szCs w:val="20"/>
        </w:rPr>
        <w:t>tments under general anaesthetic</w:t>
      </w:r>
      <w:r w:rsidR="0024058B" w:rsidRPr="000C7952">
        <w:rPr>
          <w:rFonts w:asciiTheme="majorHAnsi" w:hAnsiTheme="majorHAnsi" w:cs="Arial"/>
          <w:sz w:val="22"/>
          <w:szCs w:val="20"/>
        </w:rPr>
        <w:t xml:space="preserve"> down the track</w:t>
      </w:r>
      <w:r w:rsidR="006B6793" w:rsidRPr="000C7952">
        <w:rPr>
          <w:rFonts w:asciiTheme="majorHAnsi" w:hAnsiTheme="majorHAnsi" w:cs="Arial"/>
          <w:sz w:val="22"/>
          <w:szCs w:val="20"/>
        </w:rPr>
        <w:t>.</w:t>
      </w:r>
    </w:p>
    <w:p w14:paraId="01556BF9" w14:textId="77777777" w:rsidR="006B6793" w:rsidRPr="000C7952" w:rsidRDefault="006B6793" w:rsidP="00DC1A8D">
      <w:pPr>
        <w:rPr>
          <w:rFonts w:asciiTheme="majorHAnsi" w:hAnsiTheme="majorHAnsi" w:cs="Arial"/>
          <w:sz w:val="22"/>
          <w:szCs w:val="20"/>
        </w:rPr>
      </w:pPr>
    </w:p>
    <w:p w14:paraId="5508360E" w14:textId="6673E0D2" w:rsidR="00DC1A8D" w:rsidRPr="000C7952" w:rsidRDefault="00EC08C9" w:rsidP="00DC1A8D">
      <w:pPr>
        <w:rPr>
          <w:rFonts w:asciiTheme="majorHAnsi" w:hAnsiTheme="majorHAnsi" w:cs="Arial"/>
          <w:sz w:val="22"/>
          <w:szCs w:val="20"/>
        </w:rPr>
      </w:pPr>
      <w:r w:rsidRPr="000C7952">
        <w:rPr>
          <w:rFonts w:asciiTheme="majorHAnsi" w:hAnsiTheme="majorHAnsi" w:cs="Arial"/>
          <w:sz w:val="22"/>
          <w:szCs w:val="20"/>
        </w:rPr>
        <w:t xml:space="preserve">The Australian Government must support preventative dental healthcare initiatives, which will lead to improved clinical outcomes for patients, reduce the burden on </w:t>
      </w:r>
      <w:proofErr w:type="spellStart"/>
      <w:r w:rsidR="00805422">
        <w:rPr>
          <w:rFonts w:asciiTheme="majorHAnsi" w:hAnsiTheme="majorHAnsi" w:cs="Arial"/>
          <w:sz w:val="22"/>
          <w:szCs w:val="20"/>
        </w:rPr>
        <w:t>public</w:t>
      </w:r>
      <w:r w:rsidRPr="000C7952">
        <w:rPr>
          <w:rFonts w:asciiTheme="majorHAnsi" w:hAnsiTheme="majorHAnsi" w:cs="Arial"/>
          <w:sz w:val="22"/>
          <w:szCs w:val="20"/>
        </w:rPr>
        <w:t>hospitals</w:t>
      </w:r>
      <w:proofErr w:type="spellEnd"/>
      <w:r w:rsidRPr="000C7952">
        <w:rPr>
          <w:rFonts w:asciiTheme="majorHAnsi" w:hAnsiTheme="majorHAnsi" w:cs="Arial"/>
          <w:sz w:val="22"/>
          <w:szCs w:val="20"/>
        </w:rPr>
        <w:t>, and mitigate healt</w:t>
      </w:r>
      <w:r w:rsidR="0024058B" w:rsidRPr="000C7952">
        <w:rPr>
          <w:rFonts w:asciiTheme="majorHAnsi" w:hAnsiTheme="majorHAnsi" w:cs="Arial"/>
          <w:sz w:val="22"/>
          <w:szCs w:val="20"/>
        </w:rPr>
        <w:t>h system</w:t>
      </w:r>
      <w:r w:rsidRPr="000C7952">
        <w:rPr>
          <w:rFonts w:asciiTheme="majorHAnsi" w:hAnsiTheme="majorHAnsi" w:cs="Arial"/>
          <w:sz w:val="22"/>
          <w:szCs w:val="20"/>
        </w:rPr>
        <w:t xml:space="preserve"> costs.</w:t>
      </w:r>
      <w:r w:rsidR="00885525" w:rsidRPr="000C7952">
        <w:rPr>
          <w:rFonts w:asciiTheme="majorHAnsi" w:hAnsiTheme="majorHAnsi" w:cs="Arial"/>
          <w:sz w:val="22"/>
          <w:szCs w:val="20"/>
        </w:rPr>
        <w:t xml:space="preserve"> </w:t>
      </w:r>
    </w:p>
    <w:p w14:paraId="370E8922" w14:textId="77777777" w:rsidR="00DC1A8D" w:rsidRPr="000C7952" w:rsidRDefault="00DC1A8D" w:rsidP="00DC1A8D">
      <w:pPr>
        <w:rPr>
          <w:rFonts w:asciiTheme="majorHAnsi" w:hAnsiTheme="majorHAnsi" w:cs="Arial"/>
          <w:sz w:val="22"/>
          <w:szCs w:val="20"/>
        </w:rPr>
      </w:pPr>
    </w:p>
    <w:p w14:paraId="72105621" w14:textId="20E9BDA6" w:rsidR="00592253" w:rsidRPr="000C7952" w:rsidRDefault="00592253" w:rsidP="00592253">
      <w:pPr>
        <w:rPr>
          <w:rFonts w:asciiTheme="majorHAnsi" w:hAnsiTheme="majorHAnsi" w:cs="Arial"/>
          <w:b/>
          <w:i/>
          <w:sz w:val="22"/>
          <w:szCs w:val="20"/>
        </w:rPr>
      </w:pPr>
      <w:r w:rsidRPr="000C7952">
        <w:rPr>
          <w:rFonts w:asciiTheme="majorHAnsi" w:hAnsiTheme="majorHAnsi" w:cs="Arial"/>
          <w:b/>
          <w:i/>
          <w:sz w:val="22"/>
          <w:szCs w:val="20"/>
        </w:rPr>
        <w:lastRenderedPageBreak/>
        <w:t>Recommendation</w:t>
      </w:r>
      <w:r w:rsidR="0049199F" w:rsidRPr="000C7952">
        <w:rPr>
          <w:rFonts w:asciiTheme="majorHAnsi" w:hAnsiTheme="majorHAnsi" w:cs="Arial"/>
          <w:b/>
          <w:i/>
          <w:sz w:val="22"/>
          <w:szCs w:val="20"/>
        </w:rPr>
        <w:t>s</w:t>
      </w:r>
    </w:p>
    <w:p w14:paraId="6B48FBF2" w14:textId="5450A881" w:rsidR="000F2A80" w:rsidRPr="000C7952" w:rsidRDefault="00805422" w:rsidP="000F2A80">
      <w:pPr>
        <w:pStyle w:val="ListParagraph"/>
      </w:pPr>
      <w:r>
        <w:t>T</w:t>
      </w:r>
      <w:r w:rsidR="000F2A80" w:rsidRPr="000C7952">
        <w:t xml:space="preserve">he Australian Government </w:t>
      </w:r>
      <w:r>
        <w:t>must</w:t>
      </w:r>
      <w:r w:rsidR="000F2A80" w:rsidRPr="000C7952">
        <w:t xml:space="preserve"> fund and support the active promotion of the Child Dental Benefits Schedule to eligible families,</w:t>
      </w:r>
      <w:r w:rsidR="000F2A80" w:rsidRPr="000C7952">
        <w:rPr>
          <w:rStyle w:val="FootnoteReference"/>
        </w:rPr>
        <w:footnoteReference w:id="30"/>
      </w:r>
      <w:r w:rsidR="000F2A80" w:rsidRPr="000C7952">
        <w:t xml:space="preserve"> so that the</w:t>
      </w:r>
      <w:r w:rsidR="00211D8E">
        <w:t xml:space="preserve"> public health</w:t>
      </w:r>
      <w:r w:rsidR="000F2A80" w:rsidRPr="000C7952">
        <w:t xml:space="preserve"> system may benefit from a greater preventative approach to dental care.</w:t>
      </w:r>
    </w:p>
    <w:p w14:paraId="10909833" w14:textId="2D81EE27" w:rsidR="00EC08C9" w:rsidRPr="00805422" w:rsidRDefault="00EC08C9" w:rsidP="00211D8E">
      <w:pPr>
        <w:pStyle w:val="ListParagraph"/>
      </w:pPr>
      <w:r w:rsidRPr="000C7952">
        <w:t>The Australian Government must support dental healthcare initiatives</w:t>
      </w:r>
      <w:r w:rsidR="006B6793" w:rsidRPr="000C7952">
        <w:t xml:space="preserve"> to lessen the impact of poor oral health</w:t>
      </w:r>
      <w:r w:rsidR="00211D8E">
        <w:t>,</w:t>
      </w:r>
      <w:r w:rsidR="00211D8E" w:rsidRPr="00211D8E">
        <w:t xml:space="preserve"> leading to more acute conditions, </w:t>
      </w:r>
      <w:r w:rsidR="006B6793" w:rsidRPr="000C7952">
        <w:t>on hospitals</w:t>
      </w:r>
      <w:r w:rsidRPr="000C7952">
        <w:t>, including</w:t>
      </w:r>
      <w:r w:rsidR="000F2A80" w:rsidRPr="000C7952">
        <w:t xml:space="preserve"> </w:t>
      </w:r>
      <w:r w:rsidRPr="000C7952">
        <w:rPr>
          <w:rFonts w:cs="Arial"/>
          <w:szCs w:val="20"/>
        </w:rPr>
        <w:t xml:space="preserve">an extension of the Child Dental Benefits Schedule </w:t>
      </w:r>
      <w:r w:rsidR="00D31D73" w:rsidRPr="000C7952">
        <w:rPr>
          <w:rFonts w:cs="Arial"/>
          <w:szCs w:val="20"/>
        </w:rPr>
        <w:t>to an Aged Pensioner Dental Benefits Schedule, with eligibility confined to a specific age and concession card status</w:t>
      </w:r>
      <w:r w:rsidR="000F2A80" w:rsidRPr="000C7952">
        <w:rPr>
          <w:rFonts w:cs="Arial"/>
          <w:szCs w:val="20"/>
        </w:rPr>
        <w:t>.</w:t>
      </w:r>
    </w:p>
    <w:p w14:paraId="33EC5DF6" w14:textId="77777777" w:rsidR="00EC08C9" w:rsidRPr="00805422" w:rsidRDefault="00805422" w:rsidP="00805422">
      <w:pPr>
        <w:pStyle w:val="ListParagraph"/>
      </w:pPr>
      <w:r w:rsidRPr="00805422">
        <w:t>The Australian Government must recognise that continuation of funding based purely on outputs will only encourage providers to focus their services on delivering greater outputs. A portion of funding needs to be quarantined to reward services that achieve great outcomes for clients including preventative work.</w:t>
      </w:r>
    </w:p>
    <w:p w14:paraId="2743A214" w14:textId="480FA54A" w:rsidR="00805422" w:rsidRDefault="00805422" w:rsidP="00805422">
      <w:pPr>
        <w:pStyle w:val="ListParagraph"/>
      </w:pPr>
      <w:r w:rsidRPr="00805422">
        <w:t xml:space="preserve">The Australian Government must </w:t>
      </w:r>
      <w:r>
        <w:t>r</w:t>
      </w:r>
      <w:r w:rsidRPr="00805422">
        <w:t>eturn funding for public dental services through the National Partnership Agreement (NPA) on Adult Public Dental Ser</w:t>
      </w:r>
      <w:r>
        <w:t xml:space="preserve">vices to at least 2016 levels </w:t>
      </w:r>
    </w:p>
    <w:p w14:paraId="785D30D5" w14:textId="5E20FBEF" w:rsidR="00805422" w:rsidRDefault="00805422" w:rsidP="00805422">
      <w:pPr>
        <w:pStyle w:val="ListParagraph"/>
      </w:pPr>
      <w:r w:rsidRPr="00805422">
        <w:t xml:space="preserve">The Australian Government must </w:t>
      </w:r>
      <w:r>
        <w:t>support l</w:t>
      </w:r>
      <w:r w:rsidRPr="00805422">
        <w:t>onger term funding agreements (e.g. five to seven years) that match demand for services and enable providers to plan for and develop more</w:t>
      </w:r>
      <w:r>
        <w:t xml:space="preserve"> innovative service provision.</w:t>
      </w:r>
    </w:p>
    <w:p w14:paraId="136E50F5" w14:textId="7C0BADFB" w:rsidR="00DC1A8D" w:rsidRPr="000C7952" w:rsidRDefault="00DC1A8D">
      <w:pPr>
        <w:rPr>
          <w:rFonts w:asciiTheme="majorHAnsi" w:hAnsiTheme="majorHAnsi"/>
          <w:sz w:val="22"/>
          <w:szCs w:val="22"/>
        </w:rPr>
      </w:pPr>
      <w:r w:rsidRPr="000C7952">
        <w:rPr>
          <w:rFonts w:asciiTheme="majorHAnsi" w:hAnsiTheme="majorHAnsi"/>
          <w:sz w:val="22"/>
          <w:szCs w:val="22"/>
        </w:rPr>
        <w:br w:type="page"/>
      </w:r>
    </w:p>
    <w:p w14:paraId="4FADEE81" w14:textId="363CBD02" w:rsidR="00DC1A8D" w:rsidRPr="000C7952" w:rsidRDefault="00DC1A8D" w:rsidP="00DC1A8D">
      <w:pPr>
        <w:pStyle w:val="Subhead"/>
        <w:outlineLvl w:val="0"/>
        <w:rPr>
          <w:rFonts w:asciiTheme="majorHAnsi" w:hAnsiTheme="majorHAnsi"/>
        </w:rPr>
      </w:pPr>
      <w:r w:rsidRPr="000C7952">
        <w:rPr>
          <w:rFonts w:asciiTheme="majorHAnsi" w:hAnsiTheme="majorHAnsi"/>
        </w:rPr>
        <w:lastRenderedPageBreak/>
        <w:t>N</w:t>
      </w:r>
      <w:r w:rsidR="002E5035" w:rsidRPr="000C7952">
        <w:rPr>
          <w:rFonts w:asciiTheme="majorHAnsi" w:hAnsiTheme="majorHAnsi"/>
        </w:rPr>
        <w:t xml:space="preserve">ational </w:t>
      </w:r>
      <w:r w:rsidRPr="000C7952">
        <w:rPr>
          <w:rFonts w:asciiTheme="majorHAnsi" w:hAnsiTheme="majorHAnsi"/>
        </w:rPr>
        <w:t>D</w:t>
      </w:r>
      <w:r w:rsidR="002E5035" w:rsidRPr="000C7952">
        <w:rPr>
          <w:rFonts w:asciiTheme="majorHAnsi" w:hAnsiTheme="majorHAnsi"/>
        </w:rPr>
        <w:t xml:space="preserve">isability </w:t>
      </w:r>
      <w:r w:rsidRPr="000C7952">
        <w:rPr>
          <w:rFonts w:asciiTheme="majorHAnsi" w:hAnsiTheme="majorHAnsi"/>
        </w:rPr>
        <w:t>I</w:t>
      </w:r>
      <w:r w:rsidR="002E5035" w:rsidRPr="000C7952">
        <w:rPr>
          <w:rFonts w:asciiTheme="majorHAnsi" w:hAnsiTheme="majorHAnsi"/>
        </w:rPr>
        <w:t xml:space="preserve">nsurance </w:t>
      </w:r>
      <w:r w:rsidRPr="000C7952">
        <w:rPr>
          <w:rFonts w:asciiTheme="majorHAnsi" w:hAnsiTheme="majorHAnsi"/>
        </w:rPr>
        <w:t>S</w:t>
      </w:r>
      <w:r w:rsidR="002E5035" w:rsidRPr="000C7952">
        <w:rPr>
          <w:rFonts w:asciiTheme="majorHAnsi" w:hAnsiTheme="majorHAnsi"/>
        </w:rPr>
        <w:t>cheme</w:t>
      </w:r>
    </w:p>
    <w:p w14:paraId="5D012362" w14:textId="77777777" w:rsidR="00DC1A8D" w:rsidRPr="000C7952" w:rsidRDefault="00DC1A8D" w:rsidP="00DC1A8D">
      <w:pPr>
        <w:rPr>
          <w:rFonts w:asciiTheme="majorHAnsi" w:hAnsiTheme="majorHAnsi" w:cs="Arial"/>
          <w:b/>
          <w:sz w:val="22"/>
          <w:szCs w:val="22"/>
        </w:rPr>
      </w:pPr>
      <w:r w:rsidRPr="000C7952">
        <w:rPr>
          <w:rFonts w:asciiTheme="majorHAnsi" w:hAnsiTheme="majorHAnsi" w:cs="Arial"/>
          <w:b/>
          <w:sz w:val="22"/>
          <w:szCs w:val="22"/>
        </w:rPr>
        <w:t>Situation</w:t>
      </w:r>
    </w:p>
    <w:p w14:paraId="049E9E8C" w14:textId="093342A7" w:rsidR="00DC1A8D" w:rsidRPr="000C7952" w:rsidRDefault="00DC1A8D" w:rsidP="00DC1A8D">
      <w:pPr>
        <w:rPr>
          <w:rFonts w:asciiTheme="majorHAnsi" w:hAnsiTheme="majorHAnsi" w:cs="Arial"/>
          <w:sz w:val="22"/>
          <w:szCs w:val="22"/>
        </w:rPr>
      </w:pPr>
      <w:r w:rsidRPr="000C7952">
        <w:rPr>
          <w:rFonts w:asciiTheme="majorHAnsi" w:hAnsiTheme="majorHAnsi" w:cs="Arial"/>
          <w:sz w:val="22"/>
          <w:szCs w:val="22"/>
        </w:rPr>
        <w:t xml:space="preserve">The VHA and its members are committed to ensuring that the </w:t>
      </w:r>
      <w:r w:rsidR="002E5035" w:rsidRPr="000C7952">
        <w:rPr>
          <w:rFonts w:asciiTheme="majorHAnsi" w:hAnsiTheme="majorHAnsi" w:cs="Arial"/>
          <w:sz w:val="22"/>
          <w:szCs w:val="22"/>
        </w:rPr>
        <w:t>Natio</w:t>
      </w:r>
      <w:r w:rsidR="00286D65" w:rsidRPr="000C7952">
        <w:rPr>
          <w:rFonts w:asciiTheme="majorHAnsi" w:hAnsiTheme="majorHAnsi" w:cs="Arial"/>
          <w:sz w:val="22"/>
          <w:szCs w:val="22"/>
        </w:rPr>
        <w:t>nal Disability Insurance Scheme</w:t>
      </w:r>
      <w:r w:rsidRPr="000C7952">
        <w:rPr>
          <w:rFonts w:asciiTheme="majorHAnsi" w:hAnsiTheme="majorHAnsi" w:cs="Arial"/>
          <w:sz w:val="22"/>
          <w:szCs w:val="22"/>
        </w:rPr>
        <w:t xml:space="preserve"> </w:t>
      </w:r>
      <w:r w:rsidR="00982F1E" w:rsidRPr="000C7952">
        <w:rPr>
          <w:rFonts w:asciiTheme="majorHAnsi" w:hAnsiTheme="majorHAnsi" w:cs="Arial"/>
          <w:sz w:val="22"/>
          <w:szCs w:val="22"/>
        </w:rPr>
        <w:t xml:space="preserve">(NDIS) </w:t>
      </w:r>
      <w:r w:rsidRPr="000C7952">
        <w:rPr>
          <w:rFonts w:asciiTheme="majorHAnsi" w:hAnsiTheme="majorHAnsi" w:cs="Arial"/>
          <w:sz w:val="22"/>
          <w:szCs w:val="22"/>
        </w:rPr>
        <w:t xml:space="preserve">is able to deliver the best possible care for those that need it, </w:t>
      </w:r>
      <w:r w:rsidR="00C7428B">
        <w:rPr>
          <w:rFonts w:asciiTheme="majorHAnsi" w:hAnsiTheme="majorHAnsi" w:cs="Arial"/>
          <w:sz w:val="22"/>
          <w:szCs w:val="22"/>
        </w:rPr>
        <w:t>however</w:t>
      </w:r>
      <w:r w:rsidRPr="000C7952">
        <w:rPr>
          <w:rFonts w:asciiTheme="majorHAnsi" w:hAnsiTheme="majorHAnsi" w:cs="Arial"/>
          <w:sz w:val="22"/>
          <w:szCs w:val="22"/>
        </w:rPr>
        <w:t xml:space="preserve"> there are gaps in the system </w:t>
      </w:r>
      <w:r w:rsidR="0024058B" w:rsidRPr="000C7952">
        <w:rPr>
          <w:rFonts w:asciiTheme="majorHAnsi" w:hAnsiTheme="majorHAnsi" w:cs="Arial"/>
          <w:sz w:val="22"/>
          <w:szCs w:val="22"/>
        </w:rPr>
        <w:t xml:space="preserve">that </w:t>
      </w:r>
      <w:r w:rsidRPr="000C7952">
        <w:rPr>
          <w:rFonts w:asciiTheme="majorHAnsi" w:hAnsiTheme="majorHAnsi" w:cs="Arial"/>
          <w:sz w:val="22"/>
          <w:szCs w:val="22"/>
        </w:rPr>
        <w:t xml:space="preserve">are inhibiting </w:t>
      </w:r>
      <w:r w:rsidR="0024058B" w:rsidRPr="000C7952">
        <w:rPr>
          <w:rFonts w:asciiTheme="majorHAnsi" w:hAnsiTheme="majorHAnsi" w:cs="Arial"/>
          <w:sz w:val="22"/>
          <w:szCs w:val="22"/>
        </w:rPr>
        <w:t>access</w:t>
      </w:r>
      <w:r w:rsidRPr="000C7952">
        <w:rPr>
          <w:rFonts w:asciiTheme="majorHAnsi" w:hAnsiTheme="majorHAnsi" w:cs="Arial"/>
          <w:sz w:val="22"/>
          <w:szCs w:val="22"/>
        </w:rPr>
        <w:t xml:space="preserve"> and leading to inefficiencies in care.</w:t>
      </w:r>
    </w:p>
    <w:p w14:paraId="543523FF" w14:textId="77777777" w:rsidR="00DC1A8D" w:rsidRPr="000C7952" w:rsidRDefault="00DC1A8D" w:rsidP="00DC1A8D">
      <w:pPr>
        <w:rPr>
          <w:rFonts w:asciiTheme="majorHAnsi" w:hAnsiTheme="majorHAnsi" w:cs="Arial"/>
          <w:sz w:val="22"/>
          <w:szCs w:val="22"/>
        </w:rPr>
      </w:pPr>
    </w:p>
    <w:p w14:paraId="5D3AD386" w14:textId="37F64727" w:rsidR="0024058B" w:rsidRPr="000C7952" w:rsidRDefault="0024058B" w:rsidP="00DC1A8D">
      <w:pPr>
        <w:rPr>
          <w:rFonts w:asciiTheme="majorHAnsi" w:hAnsiTheme="majorHAnsi" w:cs="Arial"/>
          <w:sz w:val="22"/>
          <w:szCs w:val="22"/>
        </w:rPr>
      </w:pPr>
      <w:r w:rsidRPr="000C7952">
        <w:rPr>
          <w:rFonts w:asciiTheme="majorHAnsi" w:hAnsiTheme="majorHAnsi" w:cs="Arial"/>
          <w:sz w:val="22"/>
          <w:szCs w:val="22"/>
        </w:rPr>
        <w:t>Consumers</w:t>
      </w:r>
      <w:r w:rsidR="00391898" w:rsidRPr="000C7952">
        <w:rPr>
          <w:rFonts w:asciiTheme="majorHAnsi" w:hAnsiTheme="majorHAnsi" w:cs="Arial"/>
          <w:sz w:val="22"/>
          <w:szCs w:val="22"/>
        </w:rPr>
        <w:t xml:space="preserve"> are</w:t>
      </w:r>
      <w:r w:rsidR="001211F1" w:rsidRPr="000C7952">
        <w:rPr>
          <w:rFonts w:asciiTheme="majorHAnsi" w:hAnsiTheme="majorHAnsi" w:cs="Arial"/>
          <w:sz w:val="22"/>
          <w:szCs w:val="22"/>
        </w:rPr>
        <w:t xml:space="preserve"> </w:t>
      </w:r>
      <w:r w:rsidRPr="000C7952">
        <w:rPr>
          <w:rFonts w:asciiTheme="majorHAnsi" w:hAnsiTheme="majorHAnsi" w:cs="Arial"/>
          <w:sz w:val="22"/>
          <w:szCs w:val="22"/>
        </w:rPr>
        <w:t xml:space="preserve">regularly forced to stay in the care of a hospital for an extended period, at great cost to the system, while they await </w:t>
      </w:r>
      <w:r w:rsidR="00C7428B">
        <w:rPr>
          <w:rFonts w:asciiTheme="majorHAnsi" w:hAnsiTheme="majorHAnsi" w:cs="Arial"/>
          <w:sz w:val="22"/>
          <w:szCs w:val="22"/>
        </w:rPr>
        <w:t xml:space="preserve">an NDIS </w:t>
      </w:r>
      <w:r w:rsidRPr="000C7952">
        <w:rPr>
          <w:rFonts w:asciiTheme="majorHAnsi" w:hAnsiTheme="majorHAnsi" w:cs="Arial"/>
          <w:sz w:val="22"/>
          <w:szCs w:val="22"/>
        </w:rPr>
        <w:t>plan evaluation</w:t>
      </w:r>
      <w:r w:rsidR="00391898" w:rsidRPr="000C7952">
        <w:rPr>
          <w:rFonts w:asciiTheme="majorHAnsi" w:hAnsiTheme="majorHAnsi" w:cs="Arial"/>
          <w:sz w:val="22"/>
          <w:szCs w:val="22"/>
        </w:rPr>
        <w:t xml:space="preserve">. </w:t>
      </w:r>
      <w:r w:rsidR="00C7428B">
        <w:rPr>
          <w:rFonts w:asciiTheme="majorHAnsi" w:hAnsiTheme="majorHAnsi" w:cs="Arial"/>
          <w:sz w:val="22"/>
          <w:szCs w:val="22"/>
        </w:rPr>
        <w:t>P</w:t>
      </w:r>
      <w:r w:rsidRPr="000C7952">
        <w:rPr>
          <w:rFonts w:asciiTheme="majorHAnsi" w:hAnsiTheme="majorHAnsi" w:cs="Arial"/>
          <w:sz w:val="22"/>
          <w:szCs w:val="22"/>
        </w:rPr>
        <w:t xml:space="preserve">ublic </w:t>
      </w:r>
      <w:r w:rsidR="00EF5D34" w:rsidRPr="000C7952">
        <w:rPr>
          <w:rFonts w:asciiTheme="majorHAnsi" w:hAnsiTheme="majorHAnsi" w:cs="Arial"/>
          <w:sz w:val="22"/>
          <w:szCs w:val="22"/>
        </w:rPr>
        <w:t>hospitals</w:t>
      </w:r>
      <w:r w:rsidR="00DC1A8D" w:rsidRPr="000C7952">
        <w:rPr>
          <w:rFonts w:asciiTheme="majorHAnsi" w:hAnsiTheme="majorHAnsi" w:cs="Arial"/>
          <w:sz w:val="22"/>
          <w:szCs w:val="22"/>
        </w:rPr>
        <w:t xml:space="preserve"> are not funded to look after those who cannot be </w:t>
      </w:r>
      <w:r w:rsidR="001211F1" w:rsidRPr="000C7952">
        <w:rPr>
          <w:rFonts w:asciiTheme="majorHAnsi" w:hAnsiTheme="majorHAnsi" w:cs="Arial"/>
          <w:sz w:val="22"/>
          <w:szCs w:val="22"/>
        </w:rPr>
        <w:t>discharged</w:t>
      </w:r>
      <w:r w:rsidR="00DC1A8D" w:rsidRPr="000C7952">
        <w:rPr>
          <w:rFonts w:asciiTheme="majorHAnsi" w:hAnsiTheme="majorHAnsi" w:cs="Arial"/>
          <w:sz w:val="22"/>
          <w:szCs w:val="22"/>
        </w:rPr>
        <w:t xml:space="preserve"> </w:t>
      </w:r>
      <w:r w:rsidRPr="000C7952">
        <w:rPr>
          <w:rFonts w:asciiTheme="majorHAnsi" w:hAnsiTheme="majorHAnsi" w:cs="Arial"/>
          <w:sz w:val="22"/>
          <w:szCs w:val="22"/>
        </w:rPr>
        <w:t>nor are they</w:t>
      </w:r>
      <w:r w:rsidR="00DC1A8D" w:rsidRPr="000C7952">
        <w:rPr>
          <w:rFonts w:asciiTheme="majorHAnsi" w:hAnsiTheme="majorHAnsi" w:cs="Arial"/>
          <w:sz w:val="22"/>
          <w:szCs w:val="22"/>
        </w:rPr>
        <w:t xml:space="preserve"> funded to compile the evidence that </w:t>
      </w:r>
      <w:r w:rsidR="00AB7059" w:rsidRPr="000C7952">
        <w:rPr>
          <w:rFonts w:asciiTheme="majorHAnsi" w:hAnsiTheme="majorHAnsi" w:cs="Arial"/>
          <w:sz w:val="22"/>
          <w:szCs w:val="22"/>
        </w:rPr>
        <w:t>is necessary</w:t>
      </w:r>
      <w:r w:rsidR="00982F1E" w:rsidRPr="000C7952">
        <w:rPr>
          <w:rFonts w:asciiTheme="majorHAnsi" w:hAnsiTheme="majorHAnsi" w:cs="Arial"/>
          <w:sz w:val="22"/>
          <w:szCs w:val="22"/>
        </w:rPr>
        <w:t xml:space="preserve"> for</w:t>
      </w:r>
      <w:r w:rsidR="00AB7059" w:rsidRPr="000C7952">
        <w:rPr>
          <w:rFonts w:asciiTheme="majorHAnsi" w:hAnsiTheme="majorHAnsi" w:cs="Arial"/>
          <w:sz w:val="22"/>
          <w:szCs w:val="22"/>
        </w:rPr>
        <w:t xml:space="preserve"> </w:t>
      </w:r>
      <w:r w:rsidR="00982F1E" w:rsidRPr="000C7952">
        <w:rPr>
          <w:rFonts w:asciiTheme="majorHAnsi" w:hAnsiTheme="majorHAnsi" w:cs="Arial"/>
          <w:sz w:val="22"/>
          <w:szCs w:val="22"/>
        </w:rPr>
        <w:t>NDIS</w:t>
      </w:r>
      <w:r w:rsidR="00286D65" w:rsidRPr="000C7952">
        <w:rPr>
          <w:rFonts w:asciiTheme="majorHAnsi" w:hAnsiTheme="majorHAnsi" w:cs="Arial"/>
          <w:sz w:val="22"/>
          <w:szCs w:val="22"/>
        </w:rPr>
        <w:t xml:space="preserve"> </w:t>
      </w:r>
      <w:r w:rsidR="00AB7059" w:rsidRPr="000C7952">
        <w:rPr>
          <w:rFonts w:asciiTheme="majorHAnsi" w:hAnsiTheme="majorHAnsi" w:cs="Arial"/>
          <w:sz w:val="22"/>
          <w:szCs w:val="22"/>
        </w:rPr>
        <w:t>access requests</w:t>
      </w:r>
      <w:r w:rsidR="00DC1A8D" w:rsidRPr="000C7952">
        <w:rPr>
          <w:rFonts w:asciiTheme="majorHAnsi" w:hAnsiTheme="majorHAnsi" w:cs="Arial"/>
          <w:sz w:val="22"/>
          <w:szCs w:val="22"/>
        </w:rPr>
        <w:t xml:space="preserve">. </w:t>
      </w:r>
      <w:r w:rsidR="0078701B" w:rsidRPr="000C7952">
        <w:rPr>
          <w:rFonts w:asciiTheme="majorHAnsi" w:hAnsiTheme="majorHAnsi" w:cs="Arial"/>
          <w:sz w:val="22"/>
          <w:szCs w:val="22"/>
        </w:rPr>
        <w:t>A 2018 report by the Summer Foundation</w:t>
      </w:r>
      <w:r w:rsidR="00C7428B">
        <w:rPr>
          <w:rFonts w:asciiTheme="majorHAnsi" w:hAnsiTheme="majorHAnsi" w:cs="Arial"/>
          <w:sz w:val="22"/>
          <w:szCs w:val="22"/>
        </w:rPr>
        <w:t xml:space="preserve"> </w:t>
      </w:r>
      <w:r w:rsidR="00694F80" w:rsidRPr="000C7952">
        <w:rPr>
          <w:rFonts w:asciiTheme="majorHAnsi" w:hAnsiTheme="majorHAnsi" w:cs="Arial"/>
          <w:sz w:val="22"/>
          <w:szCs w:val="22"/>
        </w:rPr>
        <w:t>found that hospitals</w:t>
      </w:r>
      <w:r w:rsidR="0078701B" w:rsidRPr="000C7952">
        <w:rPr>
          <w:rFonts w:asciiTheme="majorHAnsi" w:hAnsiTheme="majorHAnsi" w:cs="Arial"/>
          <w:sz w:val="22"/>
          <w:szCs w:val="22"/>
        </w:rPr>
        <w:t xml:space="preserve"> require additional staff resources to meet NDIS system demands</w:t>
      </w:r>
      <w:r w:rsidR="00694F80" w:rsidRPr="000C7952">
        <w:rPr>
          <w:rFonts w:asciiTheme="majorHAnsi" w:hAnsiTheme="majorHAnsi" w:cs="Arial"/>
          <w:sz w:val="22"/>
          <w:szCs w:val="22"/>
        </w:rPr>
        <w:t>, while l</w:t>
      </w:r>
      <w:r w:rsidR="0078701B" w:rsidRPr="000C7952">
        <w:rPr>
          <w:rFonts w:asciiTheme="majorHAnsi" w:hAnsiTheme="majorHAnsi" w:cs="Arial"/>
          <w:sz w:val="22"/>
          <w:szCs w:val="22"/>
        </w:rPr>
        <w:t xml:space="preserve">onger stays in acute </w:t>
      </w:r>
      <w:r w:rsidR="00694F80" w:rsidRPr="000C7952">
        <w:rPr>
          <w:rFonts w:asciiTheme="majorHAnsi" w:hAnsiTheme="majorHAnsi" w:cs="Arial"/>
          <w:sz w:val="22"/>
          <w:szCs w:val="22"/>
        </w:rPr>
        <w:t>beds is impacting on ability to meet</w:t>
      </w:r>
      <w:r w:rsidR="0078701B" w:rsidRPr="000C7952">
        <w:rPr>
          <w:rFonts w:asciiTheme="majorHAnsi" w:hAnsiTheme="majorHAnsi" w:cs="Arial"/>
          <w:sz w:val="22"/>
          <w:szCs w:val="22"/>
        </w:rPr>
        <w:t xml:space="preserve"> incoming demand</w:t>
      </w:r>
      <w:r w:rsidR="00C7428B" w:rsidRPr="000C7952">
        <w:rPr>
          <w:rStyle w:val="FootnoteReference"/>
          <w:rFonts w:asciiTheme="majorHAnsi" w:hAnsiTheme="majorHAnsi" w:cs="Arial"/>
          <w:sz w:val="22"/>
          <w:szCs w:val="22"/>
        </w:rPr>
        <w:footnoteReference w:id="31"/>
      </w:r>
      <w:r w:rsidR="0078701B" w:rsidRPr="000C7952">
        <w:rPr>
          <w:rFonts w:asciiTheme="majorHAnsi" w:hAnsiTheme="majorHAnsi" w:cs="Arial"/>
          <w:sz w:val="22"/>
          <w:szCs w:val="22"/>
        </w:rPr>
        <w:t>.</w:t>
      </w:r>
      <w:r w:rsidRPr="000C7952">
        <w:rPr>
          <w:rFonts w:asciiTheme="majorHAnsi" w:hAnsiTheme="majorHAnsi" w:cs="Arial"/>
          <w:sz w:val="22"/>
          <w:szCs w:val="22"/>
        </w:rPr>
        <w:t xml:space="preserve"> </w:t>
      </w:r>
    </w:p>
    <w:p w14:paraId="67002562" w14:textId="77777777" w:rsidR="0024058B" w:rsidRPr="000C7952" w:rsidRDefault="0024058B" w:rsidP="00DC1A8D">
      <w:pPr>
        <w:rPr>
          <w:rFonts w:asciiTheme="majorHAnsi" w:hAnsiTheme="majorHAnsi" w:cs="Arial"/>
          <w:sz w:val="22"/>
          <w:szCs w:val="22"/>
        </w:rPr>
      </w:pPr>
    </w:p>
    <w:p w14:paraId="7A3DAD72" w14:textId="362CAD1D" w:rsidR="007244EE" w:rsidRPr="000C7952" w:rsidRDefault="00E7662B" w:rsidP="00DC1A8D">
      <w:pPr>
        <w:rPr>
          <w:rFonts w:asciiTheme="majorHAnsi" w:hAnsiTheme="majorHAnsi" w:cs="Arial"/>
          <w:sz w:val="22"/>
          <w:szCs w:val="22"/>
        </w:rPr>
      </w:pPr>
      <w:r w:rsidRPr="000C7952">
        <w:rPr>
          <w:rFonts w:asciiTheme="majorHAnsi" w:hAnsiTheme="majorHAnsi" w:cs="Arial"/>
          <w:sz w:val="22"/>
          <w:szCs w:val="22"/>
        </w:rPr>
        <w:t xml:space="preserve">In </w:t>
      </w:r>
      <w:r w:rsidR="0024058B" w:rsidRPr="000C7952">
        <w:rPr>
          <w:rFonts w:asciiTheme="majorHAnsi" w:hAnsiTheme="majorHAnsi" w:cs="Arial"/>
          <w:sz w:val="22"/>
          <w:szCs w:val="22"/>
        </w:rPr>
        <w:t xml:space="preserve">many areas of </w:t>
      </w:r>
      <w:r w:rsidR="001F0D3D" w:rsidRPr="000C7952">
        <w:rPr>
          <w:rFonts w:asciiTheme="majorHAnsi" w:hAnsiTheme="majorHAnsi" w:cs="Arial"/>
          <w:sz w:val="22"/>
          <w:szCs w:val="22"/>
        </w:rPr>
        <w:t xml:space="preserve">rural </w:t>
      </w:r>
      <w:r w:rsidR="0024058B" w:rsidRPr="000C7952">
        <w:rPr>
          <w:rFonts w:asciiTheme="majorHAnsi" w:hAnsiTheme="majorHAnsi" w:cs="Arial"/>
          <w:sz w:val="22"/>
          <w:szCs w:val="22"/>
        </w:rPr>
        <w:t xml:space="preserve">Australia, </w:t>
      </w:r>
      <w:r w:rsidR="001F0D3D" w:rsidRPr="000C7952">
        <w:rPr>
          <w:rFonts w:asciiTheme="majorHAnsi" w:hAnsiTheme="majorHAnsi" w:cs="Arial"/>
          <w:sz w:val="22"/>
          <w:szCs w:val="22"/>
        </w:rPr>
        <w:t>there is</w:t>
      </w:r>
      <w:r w:rsidRPr="000C7952">
        <w:rPr>
          <w:rFonts w:asciiTheme="majorHAnsi" w:hAnsiTheme="majorHAnsi" w:cs="Arial"/>
          <w:sz w:val="22"/>
          <w:szCs w:val="22"/>
        </w:rPr>
        <w:t xml:space="preserve"> </w:t>
      </w:r>
      <w:r w:rsidR="001F0D3D" w:rsidRPr="000C7952">
        <w:rPr>
          <w:rFonts w:asciiTheme="majorHAnsi" w:hAnsiTheme="majorHAnsi" w:cs="Arial"/>
          <w:sz w:val="22"/>
          <w:szCs w:val="22"/>
        </w:rPr>
        <w:t>hi</w:t>
      </w:r>
      <w:r w:rsidRPr="000C7952">
        <w:rPr>
          <w:rFonts w:asciiTheme="majorHAnsi" w:hAnsiTheme="majorHAnsi" w:cs="Arial"/>
          <w:sz w:val="22"/>
          <w:szCs w:val="22"/>
        </w:rPr>
        <w:t>gh potential for market failure</w:t>
      </w:r>
      <w:r w:rsidR="001F0D3D" w:rsidRPr="000C7952">
        <w:rPr>
          <w:rFonts w:asciiTheme="majorHAnsi" w:hAnsiTheme="majorHAnsi" w:cs="Arial"/>
          <w:sz w:val="22"/>
          <w:szCs w:val="22"/>
        </w:rPr>
        <w:t xml:space="preserve"> where </w:t>
      </w:r>
      <w:r w:rsidR="002E5035" w:rsidRPr="000C7952">
        <w:rPr>
          <w:rFonts w:asciiTheme="majorHAnsi" w:hAnsiTheme="majorHAnsi" w:cs="Arial"/>
          <w:sz w:val="22"/>
          <w:szCs w:val="22"/>
        </w:rPr>
        <w:t xml:space="preserve">allied health services </w:t>
      </w:r>
      <w:r w:rsidR="001F0D3D" w:rsidRPr="000C7952">
        <w:rPr>
          <w:rFonts w:asciiTheme="majorHAnsi" w:hAnsiTheme="majorHAnsi" w:cs="Arial"/>
          <w:sz w:val="22"/>
          <w:szCs w:val="22"/>
        </w:rPr>
        <w:t xml:space="preserve">and supports are not available for purchase by </w:t>
      </w:r>
      <w:r w:rsidR="00982F1E" w:rsidRPr="000C7952">
        <w:rPr>
          <w:rFonts w:asciiTheme="majorHAnsi" w:hAnsiTheme="majorHAnsi" w:cs="Arial"/>
          <w:sz w:val="22"/>
          <w:szCs w:val="22"/>
        </w:rPr>
        <w:t xml:space="preserve">NDIS </w:t>
      </w:r>
      <w:r w:rsidR="001F0D3D" w:rsidRPr="000C7952">
        <w:rPr>
          <w:rFonts w:asciiTheme="majorHAnsi" w:hAnsiTheme="majorHAnsi" w:cs="Arial"/>
          <w:sz w:val="22"/>
          <w:szCs w:val="22"/>
        </w:rPr>
        <w:t xml:space="preserve">participants. Any geographic area </w:t>
      </w:r>
      <w:r w:rsidR="009C69E0" w:rsidRPr="000C7952">
        <w:rPr>
          <w:rFonts w:asciiTheme="majorHAnsi" w:hAnsiTheme="majorHAnsi" w:cs="Arial"/>
          <w:sz w:val="22"/>
          <w:szCs w:val="22"/>
        </w:rPr>
        <w:t>with a dispersed</w:t>
      </w:r>
      <w:r w:rsidR="001F0D3D" w:rsidRPr="000C7952">
        <w:rPr>
          <w:rFonts w:asciiTheme="majorHAnsi" w:hAnsiTheme="majorHAnsi" w:cs="Arial"/>
          <w:sz w:val="22"/>
          <w:szCs w:val="22"/>
        </w:rPr>
        <w:t xml:space="preserve"> population and </w:t>
      </w:r>
      <w:r w:rsidR="009C69E0" w:rsidRPr="000C7952">
        <w:rPr>
          <w:rFonts w:asciiTheme="majorHAnsi" w:hAnsiTheme="majorHAnsi" w:cs="Arial"/>
          <w:sz w:val="22"/>
          <w:szCs w:val="22"/>
        </w:rPr>
        <w:t xml:space="preserve">insufficient </w:t>
      </w:r>
      <w:r w:rsidR="001F0D3D" w:rsidRPr="000C7952">
        <w:rPr>
          <w:rFonts w:asciiTheme="majorHAnsi" w:hAnsiTheme="majorHAnsi" w:cs="Arial"/>
          <w:sz w:val="22"/>
          <w:szCs w:val="22"/>
        </w:rPr>
        <w:t>demand to support a monopoly provider</w:t>
      </w:r>
      <w:r w:rsidRPr="000C7952">
        <w:rPr>
          <w:rFonts w:asciiTheme="majorHAnsi" w:hAnsiTheme="majorHAnsi" w:cs="Arial"/>
          <w:sz w:val="22"/>
          <w:szCs w:val="22"/>
        </w:rPr>
        <w:t>, known</w:t>
      </w:r>
      <w:r w:rsidRPr="000C7952">
        <w:rPr>
          <w:rFonts w:asciiTheme="majorHAnsi" w:hAnsiTheme="majorHAnsi"/>
        </w:rPr>
        <w:t xml:space="preserve"> </w:t>
      </w:r>
      <w:r w:rsidRPr="000C7952">
        <w:rPr>
          <w:rFonts w:asciiTheme="majorHAnsi" w:hAnsiTheme="majorHAnsi" w:cs="Arial"/>
          <w:sz w:val="22"/>
          <w:szCs w:val="22"/>
        </w:rPr>
        <w:t xml:space="preserve">as a </w:t>
      </w:r>
      <w:r w:rsidR="002E5035" w:rsidRPr="000C7952">
        <w:rPr>
          <w:rFonts w:asciiTheme="majorHAnsi" w:hAnsiTheme="majorHAnsi" w:cs="Arial"/>
          <w:sz w:val="22"/>
          <w:szCs w:val="22"/>
        </w:rPr>
        <w:t>‘</w:t>
      </w:r>
      <w:r w:rsidRPr="000C7952">
        <w:rPr>
          <w:rFonts w:asciiTheme="majorHAnsi" w:hAnsiTheme="majorHAnsi" w:cs="Arial"/>
          <w:sz w:val="22"/>
          <w:szCs w:val="22"/>
        </w:rPr>
        <w:t>thin market</w:t>
      </w:r>
      <w:r w:rsidR="002E5035" w:rsidRPr="000C7952">
        <w:rPr>
          <w:rFonts w:asciiTheme="majorHAnsi" w:hAnsiTheme="majorHAnsi" w:cs="Arial"/>
          <w:sz w:val="22"/>
          <w:szCs w:val="22"/>
        </w:rPr>
        <w:t>’</w:t>
      </w:r>
      <w:r w:rsidRPr="000C7952">
        <w:rPr>
          <w:rFonts w:asciiTheme="majorHAnsi" w:hAnsiTheme="majorHAnsi" w:cs="Arial"/>
          <w:sz w:val="22"/>
          <w:szCs w:val="22"/>
        </w:rPr>
        <w:t xml:space="preserve">, </w:t>
      </w:r>
      <w:r w:rsidR="001F0D3D" w:rsidRPr="000C7952">
        <w:rPr>
          <w:rFonts w:asciiTheme="majorHAnsi" w:hAnsiTheme="majorHAnsi" w:cs="Arial"/>
          <w:sz w:val="22"/>
          <w:szCs w:val="22"/>
        </w:rPr>
        <w:t xml:space="preserve">will drive significant gaps for participants. Fee for service pricing is creating complex challenges in thin markets for providers to achieve sustainability and viability for many </w:t>
      </w:r>
      <w:r w:rsidR="00982F1E" w:rsidRPr="000C7952">
        <w:rPr>
          <w:rFonts w:asciiTheme="majorHAnsi" w:hAnsiTheme="majorHAnsi" w:cs="Arial"/>
          <w:sz w:val="22"/>
          <w:szCs w:val="22"/>
        </w:rPr>
        <w:t xml:space="preserve">NDIS </w:t>
      </w:r>
      <w:r w:rsidR="001F0D3D" w:rsidRPr="000C7952">
        <w:rPr>
          <w:rFonts w:asciiTheme="majorHAnsi" w:hAnsiTheme="majorHAnsi" w:cs="Arial"/>
          <w:sz w:val="22"/>
          <w:szCs w:val="22"/>
        </w:rPr>
        <w:t xml:space="preserve">services. </w:t>
      </w:r>
    </w:p>
    <w:p w14:paraId="034D2A07" w14:textId="77777777" w:rsidR="007244EE" w:rsidRPr="000C7952" w:rsidRDefault="007244EE" w:rsidP="00DC1A8D">
      <w:pPr>
        <w:rPr>
          <w:rFonts w:asciiTheme="majorHAnsi" w:hAnsiTheme="majorHAnsi" w:cs="Arial"/>
          <w:sz w:val="22"/>
          <w:szCs w:val="22"/>
        </w:rPr>
      </w:pPr>
    </w:p>
    <w:p w14:paraId="08E3A19C" w14:textId="408AF424" w:rsidR="001F0D3D" w:rsidRPr="000C7952" w:rsidRDefault="00E7662B" w:rsidP="00DC1A8D">
      <w:pPr>
        <w:rPr>
          <w:rFonts w:asciiTheme="majorHAnsi" w:hAnsiTheme="majorHAnsi" w:cs="Arial"/>
          <w:sz w:val="22"/>
          <w:szCs w:val="22"/>
        </w:rPr>
      </w:pPr>
      <w:r w:rsidRPr="000C7952">
        <w:rPr>
          <w:rFonts w:asciiTheme="majorHAnsi" w:hAnsiTheme="majorHAnsi" w:cs="Arial"/>
          <w:sz w:val="22"/>
          <w:szCs w:val="22"/>
        </w:rPr>
        <w:t xml:space="preserve">Recent analysis carried </w:t>
      </w:r>
      <w:r w:rsidR="009C69E0" w:rsidRPr="000C7952">
        <w:rPr>
          <w:rFonts w:asciiTheme="majorHAnsi" w:hAnsiTheme="majorHAnsi" w:cs="Arial"/>
          <w:sz w:val="22"/>
          <w:szCs w:val="22"/>
        </w:rPr>
        <w:t xml:space="preserve">out </w:t>
      </w:r>
      <w:r w:rsidR="00BF5573">
        <w:rPr>
          <w:rFonts w:asciiTheme="majorHAnsi" w:hAnsiTheme="majorHAnsi" w:cs="Arial"/>
          <w:sz w:val="22"/>
          <w:szCs w:val="22"/>
        </w:rPr>
        <w:t>by</w:t>
      </w:r>
      <w:r w:rsidRPr="000C7952">
        <w:rPr>
          <w:rFonts w:asciiTheme="majorHAnsi" w:hAnsiTheme="majorHAnsi" w:cs="Arial"/>
          <w:sz w:val="22"/>
          <w:szCs w:val="22"/>
        </w:rPr>
        <w:t xml:space="preserve"> the VHA has shown that</w:t>
      </w:r>
      <w:r w:rsidRPr="000C7952">
        <w:rPr>
          <w:rFonts w:asciiTheme="majorHAnsi" w:hAnsiTheme="majorHAnsi"/>
        </w:rPr>
        <w:t xml:space="preserve"> </w:t>
      </w:r>
      <w:r w:rsidRPr="000C7952">
        <w:rPr>
          <w:rFonts w:asciiTheme="majorHAnsi" w:hAnsiTheme="majorHAnsi" w:cs="Arial"/>
          <w:sz w:val="22"/>
          <w:szCs w:val="22"/>
        </w:rPr>
        <w:t xml:space="preserve">no small town </w:t>
      </w:r>
      <w:r w:rsidR="00461CF6" w:rsidRPr="000C7952">
        <w:rPr>
          <w:rFonts w:asciiTheme="majorHAnsi" w:hAnsiTheme="majorHAnsi" w:cs="Arial"/>
          <w:sz w:val="22"/>
          <w:szCs w:val="22"/>
        </w:rPr>
        <w:t xml:space="preserve">allied health </w:t>
      </w:r>
      <w:r w:rsidRPr="000C7952">
        <w:rPr>
          <w:rFonts w:asciiTheme="majorHAnsi" w:hAnsiTheme="majorHAnsi" w:cs="Arial"/>
          <w:sz w:val="22"/>
          <w:szCs w:val="22"/>
        </w:rPr>
        <w:t>provider</w:t>
      </w:r>
      <w:r w:rsidR="009C69E0" w:rsidRPr="000C7952">
        <w:rPr>
          <w:rFonts w:asciiTheme="majorHAnsi" w:hAnsiTheme="majorHAnsi" w:cs="Arial"/>
          <w:sz w:val="22"/>
          <w:szCs w:val="22"/>
        </w:rPr>
        <w:t xml:space="preserve"> in Victoria</w:t>
      </w:r>
      <w:r w:rsidRPr="000C7952">
        <w:rPr>
          <w:rFonts w:asciiTheme="majorHAnsi" w:hAnsiTheme="majorHAnsi" w:cs="Arial"/>
          <w:sz w:val="22"/>
          <w:szCs w:val="22"/>
        </w:rPr>
        <w:t xml:space="preserve"> </w:t>
      </w:r>
      <w:r w:rsidR="0024058B" w:rsidRPr="000C7952">
        <w:rPr>
          <w:rFonts w:asciiTheme="majorHAnsi" w:hAnsiTheme="majorHAnsi" w:cs="Arial"/>
          <w:sz w:val="22"/>
          <w:szCs w:val="22"/>
        </w:rPr>
        <w:t>is likely</w:t>
      </w:r>
      <w:r w:rsidRPr="000C7952">
        <w:rPr>
          <w:rFonts w:asciiTheme="majorHAnsi" w:hAnsiTheme="majorHAnsi" w:cs="Arial"/>
          <w:sz w:val="22"/>
          <w:szCs w:val="22"/>
        </w:rPr>
        <w:t xml:space="preserve"> to </w:t>
      </w:r>
      <w:r w:rsidR="002E5035" w:rsidRPr="000C7952">
        <w:rPr>
          <w:rFonts w:asciiTheme="majorHAnsi" w:hAnsiTheme="majorHAnsi" w:cs="Arial"/>
          <w:sz w:val="22"/>
          <w:szCs w:val="22"/>
        </w:rPr>
        <w:t>‘</w:t>
      </w:r>
      <w:r w:rsidRPr="000C7952">
        <w:rPr>
          <w:rFonts w:asciiTheme="majorHAnsi" w:hAnsiTheme="majorHAnsi" w:cs="Arial"/>
          <w:sz w:val="22"/>
          <w:szCs w:val="22"/>
        </w:rPr>
        <w:t>break-even</w:t>
      </w:r>
      <w:r w:rsidR="002E5035" w:rsidRPr="000C7952">
        <w:rPr>
          <w:rFonts w:asciiTheme="majorHAnsi" w:hAnsiTheme="majorHAnsi" w:cs="Arial"/>
          <w:sz w:val="22"/>
          <w:szCs w:val="22"/>
        </w:rPr>
        <w:t>’</w:t>
      </w:r>
      <w:r w:rsidRPr="000C7952">
        <w:rPr>
          <w:rFonts w:asciiTheme="majorHAnsi" w:hAnsiTheme="majorHAnsi" w:cs="Arial"/>
          <w:sz w:val="22"/>
          <w:szCs w:val="22"/>
        </w:rPr>
        <w:t xml:space="preserve"> on any </w:t>
      </w:r>
      <w:r w:rsidR="00982F1E" w:rsidRPr="000C7952">
        <w:rPr>
          <w:rFonts w:asciiTheme="majorHAnsi" w:hAnsiTheme="majorHAnsi" w:cs="Arial"/>
          <w:sz w:val="22"/>
          <w:szCs w:val="22"/>
        </w:rPr>
        <w:t xml:space="preserve">NDIS </w:t>
      </w:r>
      <w:r w:rsidRPr="000C7952">
        <w:rPr>
          <w:rFonts w:asciiTheme="majorHAnsi" w:hAnsiTheme="majorHAnsi" w:cs="Arial"/>
          <w:sz w:val="22"/>
          <w:szCs w:val="22"/>
        </w:rPr>
        <w:t>market scenario, while a number of</w:t>
      </w:r>
      <w:r w:rsidRPr="000C7952">
        <w:rPr>
          <w:rFonts w:asciiTheme="majorHAnsi" w:hAnsiTheme="majorHAnsi"/>
        </w:rPr>
        <w:t xml:space="preserve"> </w:t>
      </w:r>
      <w:r w:rsidRPr="000C7952">
        <w:rPr>
          <w:rFonts w:asciiTheme="majorHAnsi" w:hAnsiTheme="majorHAnsi" w:cs="Arial"/>
          <w:sz w:val="22"/>
          <w:szCs w:val="22"/>
        </w:rPr>
        <w:t>large towns will struggle to offer a choice of service providers</w:t>
      </w:r>
      <w:r w:rsidR="00BF5573" w:rsidRPr="000C7952">
        <w:rPr>
          <w:rStyle w:val="FootnoteReference"/>
          <w:rFonts w:asciiTheme="majorHAnsi" w:hAnsiTheme="majorHAnsi" w:cs="Arial"/>
          <w:sz w:val="22"/>
          <w:szCs w:val="22"/>
        </w:rPr>
        <w:footnoteReference w:id="32"/>
      </w:r>
      <w:r w:rsidRPr="000C7952">
        <w:rPr>
          <w:rFonts w:asciiTheme="majorHAnsi" w:hAnsiTheme="majorHAnsi" w:cs="Arial"/>
          <w:sz w:val="22"/>
          <w:szCs w:val="22"/>
        </w:rPr>
        <w:t xml:space="preserve">. </w:t>
      </w:r>
      <w:r w:rsidR="0049199F" w:rsidRPr="000C7952">
        <w:rPr>
          <w:rFonts w:asciiTheme="majorHAnsi" w:hAnsiTheme="majorHAnsi" w:cs="Arial"/>
          <w:sz w:val="22"/>
          <w:szCs w:val="22"/>
        </w:rPr>
        <w:t xml:space="preserve">There is growing concern and conjecture in the sector around the viability of </w:t>
      </w:r>
      <w:r w:rsidR="00982F1E" w:rsidRPr="000C7952">
        <w:rPr>
          <w:rFonts w:asciiTheme="majorHAnsi" w:hAnsiTheme="majorHAnsi" w:cs="Arial"/>
          <w:sz w:val="22"/>
          <w:szCs w:val="22"/>
        </w:rPr>
        <w:t xml:space="preserve">NDIS </w:t>
      </w:r>
      <w:r w:rsidR="0049199F" w:rsidRPr="000C7952">
        <w:rPr>
          <w:rFonts w:asciiTheme="majorHAnsi" w:hAnsiTheme="majorHAnsi" w:cs="Arial"/>
          <w:sz w:val="22"/>
          <w:szCs w:val="22"/>
        </w:rPr>
        <w:t xml:space="preserve">services under the </w:t>
      </w:r>
      <w:r w:rsidR="00286D65" w:rsidRPr="000C7952">
        <w:rPr>
          <w:rFonts w:asciiTheme="majorHAnsi" w:hAnsiTheme="majorHAnsi" w:cs="Arial"/>
          <w:sz w:val="22"/>
          <w:szCs w:val="22"/>
        </w:rPr>
        <w:t>National Disability Insurance Agency</w:t>
      </w:r>
      <w:r w:rsidR="00982F1E" w:rsidRPr="000C7952">
        <w:rPr>
          <w:rFonts w:asciiTheme="majorHAnsi" w:hAnsiTheme="majorHAnsi" w:cs="Arial"/>
          <w:sz w:val="22"/>
          <w:szCs w:val="22"/>
        </w:rPr>
        <w:t xml:space="preserve"> (NDIA)</w:t>
      </w:r>
      <w:r w:rsidR="00286D65" w:rsidRPr="000C7952">
        <w:rPr>
          <w:rFonts w:asciiTheme="majorHAnsi" w:hAnsiTheme="majorHAnsi" w:cs="Arial"/>
          <w:sz w:val="22"/>
          <w:szCs w:val="22"/>
        </w:rPr>
        <w:t xml:space="preserve"> </w:t>
      </w:r>
      <w:r w:rsidR="0049199F" w:rsidRPr="000C7952">
        <w:rPr>
          <w:rFonts w:asciiTheme="majorHAnsi" w:hAnsiTheme="majorHAnsi" w:cs="Arial"/>
          <w:sz w:val="22"/>
          <w:szCs w:val="22"/>
        </w:rPr>
        <w:t xml:space="preserve">funding model. </w:t>
      </w:r>
    </w:p>
    <w:p w14:paraId="052B758D" w14:textId="77777777" w:rsidR="00DC1A8D" w:rsidRPr="000C7952" w:rsidRDefault="00DC1A8D" w:rsidP="00DC1A8D">
      <w:pPr>
        <w:rPr>
          <w:rFonts w:asciiTheme="majorHAnsi" w:hAnsiTheme="majorHAnsi" w:cs="Arial"/>
          <w:sz w:val="22"/>
          <w:szCs w:val="22"/>
        </w:rPr>
      </w:pPr>
    </w:p>
    <w:p w14:paraId="57F85D5A" w14:textId="421D4014" w:rsidR="0049199F" w:rsidRPr="000C7952" w:rsidRDefault="0049199F" w:rsidP="00DC1A8D">
      <w:pPr>
        <w:rPr>
          <w:rFonts w:asciiTheme="majorHAnsi" w:hAnsiTheme="majorHAnsi" w:cs="Arial"/>
          <w:b/>
          <w:i/>
          <w:sz w:val="22"/>
          <w:szCs w:val="22"/>
        </w:rPr>
      </w:pPr>
      <w:r w:rsidRPr="000C7952">
        <w:rPr>
          <w:rFonts w:asciiTheme="majorHAnsi" w:hAnsiTheme="majorHAnsi" w:cs="Arial"/>
          <w:b/>
          <w:i/>
          <w:sz w:val="22"/>
          <w:szCs w:val="22"/>
        </w:rPr>
        <w:t>Recommendations</w:t>
      </w:r>
    </w:p>
    <w:p w14:paraId="0D7E52D6" w14:textId="7533C3B0" w:rsidR="00673D8E" w:rsidRPr="007A7A91" w:rsidRDefault="00895EED" w:rsidP="007A7A91">
      <w:pPr>
        <w:pStyle w:val="ListParagraph"/>
        <w:numPr>
          <w:ilvl w:val="0"/>
          <w:numId w:val="11"/>
        </w:numPr>
        <w:rPr>
          <w:rFonts w:cs="Arial"/>
        </w:rPr>
      </w:pPr>
      <w:r w:rsidRPr="007A7A91">
        <w:rPr>
          <w:rFonts w:cs="Arial"/>
        </w:rPr>
        <w:t>The Australian Government must deliver a</w:t>
      </w:r>
      <w:r w:rsidR="00673D8E" w:rsidRPr="007A7A91">
        <w:rPr>
          <w:rFonts w:cs="Arial"/>
        </w:rPr>
        <w:t xml:space="preserve"> ‘presumptive positive’ funding supplement for </w:t>
      </w:r>
      <w:r w:rsidR="007A7A91" w:rsidRPr="007A7A91">
        <w:rPr>
          <w:rFonts w:cs="Arial"/>
        </w:rPr>
        <w:t xml:space="preserve">public health services providing care in acute care settings to people with disability due to the fact they cannot be discharged and are awaiting implementation of a </w:t>
      </w:r>
      <w:r w:rsidR="007A7A91">
        <w:rPr>
          <w:rFonts w:cs="Arial"/>
        </w:rPr>
        <w:t xml:space="preserve">NDIS </w:t>
      </w:r>
      <w:r w:rsidR="007A7A91" w:rsidRPr="007A7A91">
        <w:rPr>
          <w:rFonts w:cs="Arial"/>
        </w:rPr>
        <w:t>plan.</w:t>
      </w:r>
      <w:r w:rsidR="00673D8E" w:rsidRPr="007A7A91">
        <w:rPr>
          <w:rFonts w:cs="Arial"/>
        </w:rPr>
        <w:t xml:space="preserve"> This should be funded to the equivalent of an acute bed day for each day the person is in hospital</w:t>
      </w:r>
      <w:r w:rsidR="00982F1E" w:rsidRPr="007A7A91">
        <w:rPr>
          <w:rFonts w:cs="Arial"/>
        </w:rPr>
        <w:t xml:space="preserve"> awaiting a</w:t>
      </w:r>
      <w:r w:rsidR="00BF5573">
        <w:rPr>
          <w:rFonts w:cs="Arial"/>
        </w:rPr>
        <w:t>n</w:t>
      </w:r>
      <w:r w:rsidR="006D52AD" w:rsidRPr="007A7A91">
        <w:rPr>
          <w:rFonts w:cs="Arial"/>
        </w:rPr>
        <w:t xml:space="preserve"> </w:t>
      </w:r>
      <w:r w:rsidR="00FD7DDC" w:rsidRPr="007A7A91">
        <w:rPr>
          <w:rFonts w:cs="Arial"/>
        </w:rPr>
        <w:t xml:space="preserve">NDIS </w:t>
      </w:r>
      <w:r w:rsidR="006D52AD" w:rsidRPr="007A7A91">
        <w:rPr>
          <w:rFonts w:cs="Arial"/>
        </w:rPr>
        <w:t>plan</w:t>
      </w:r>
      <w:r w:rsidRPr="007A7A91">
        <w:rPr>
          <w:rFonts w:cs="Arial"/>
        </w:rPr>
        <w:t>, enabling hospitals to deliver the care required</w:t>
      </w:r>
      <w:r w:rsidR="00C14F3C" w:rsidRPr="007A7A91">
        <w:rPr>
          <w:rFonts w:cs="Arial"/>
        </w:rPr>
        <w:t>.</w:t>
      </w:r>
    </w:p>
    <w:p w14:paraId="2A1498FB" w14:textId="488E8FFF" w:rsidR="0049199F" w:rsidRPr="000C7952" w:rsidRDefault="00895EED" w:rsidP="00982F1E">
      <w:pPr>
        <w:numPr>
          <w:ilvl w:val="0"/>
          <w:numId w:val="11"/>
        </w:numPr>
        <w:rPr>
          <w:rFonts w:asciiTheme="majorHAnsi" w:hAnsiTheme="majorHAnsi" w:cs="Arial"/>
          <w:sz w:val="22"/>
          <w:szCs w:val="22"/>
        </w:rPr>
      </w:pPr>
      <w:r w:rsidRPr="000C7952">
        <w:rPr>
          <w:rFonts w:asciiTheme="majorHAnsi" w:hAnsiTheme="majorHAnsi" w:cs="Arial"/>
          <w:sz w:val="22"/>
          <w:szCs w:val="22"/>
        </w:rPr>
        <w:t xml:space="preserve">The Australian Government must </w:t>
      </w:r>
      <w:r w:rsidR="0049199F" w:rsidRPr="000C7952">
        <w:rPr>
          <w:rFonts w:asciiTheme="majorHAnsi" w:hAnsiTheme="majorHAnsi" w:cs="Arial"/>
          <w:sz w:val="22"/>
          <w:szCs w:val="22"/>
        </w:rPr>
        <w:t xml:space="preserve">ensure that the </w:t>
      </w:r>
      <w:r w:rsidR="00FD7DDC" w:rsidRPr="000C7952">
        <w:rPr>
          <w:rFonts w:asciiTheme="majorHAnsi" w:hAnsiTheme="majorHAnsi" w:cs="Arial"/>
          <w:sz w:val="22"/>
          <w:szCs w:val="22"/>
        </w:rPr>
        <w:t>NDIA</w:t>
      </w:r>
      <w:r w:rsidR="00982F1E" w:rsidRPr="000C7952">
        <w:rPr>
          <w:rFonts w:asciiTheme="majorHAnsi" w:hAnsiTheme="majorHAnsi" w:cs="Arial"/>
          <w:sz w:val="22"/>
          <w:szCs w:val="22"/>
        </w:rPr>
        <w:t xml:space="preserve"> </w:t>
      </w:r>
      <w:r w:rsidR="0049199F" w:rsidRPr="000C7952">
        <w:rPr>
          <w:rFonts w:asciiTheme="majorHAnsi" w:hAnsiTheme="majorHAnsi" w:cs="Arial"/>
          <w:sz w:val="22"/>
          <w:szCs w:val="22"/>
        </w:rPr>
        <w:t>develop</w:t>
      </w:r>
      <w:r w:rsidR="00707675" w:rsidRPr="000C7952">
        <w:rPr>
          <w:rFonts w:asciiTheme="majorHAnsi" w:hAnsiTheme="majorHAnsi" w:cs="Arial"/>
          <w:sz w:val="22"/>
          <w:szCs w:val="22"/>
        </w:rPr>
        <w:t>s</w:t>
      </w:r>
      <w:r w:rsidR="0049199F" w:rsidRPr="000C7952">
        <w:rPr>
          <w:rFonts w:asciiTheme="majorHAnsi" w:hAnsiTheme="majorHAnsi" w:cs="Arial"/>
          <w:sz w:val="22"/>
          <w:szCs w:val="22"/>
        </w:rPr>
        <w:t xml:space="preserve"> a market strategy for managing natural monopoly markets in regional and rural areas that considers:</w:t>
      </w:r>
    </w:p>
    <w:p w14:paraId="733D8B81" w14:textId="4AB3EF64" w:rsidR="0049199F" w:rsidRPr="000C7952" w:rsidRDefault="00673D8E" w:rsidP="00FD7DDC">
      <w:pPr>
        <w:numPr>
          <w:ilvl w:val="1"/>
          <w:numId w:val="11"/>
        </w:numPr>
        <w:rPr>
          <w:rFonts w:asciiTheme="majorHAnsi" w:hAnsiTheme="majorHAnsi" w:cs="Arial"/>
          <w:sz w:val="22"/>
          <w:szCs w:val="22"/>
        </w:rPr>
      </w:pPr>
      <w:r w:rsidRPr="000C7952">
        <w:rPr>
          <w:rFonts w:asciiTheme="majorHAnsi" w:hAnsiTheme="majorHAnsi" w:cs="Arial"/>
          <w:sz w:val="22"/>
          <w:szCs w:val="22"/>
        </w:rPr>
        <w:t>f</w:t>
      </w:r>
      <w:r w:rsidR="0049199F" w:rsidRPr="000C7952">
        <w:rPr>
          <w:rFonts w:asciiTheme="majorHAnsi" w:hAnsiTheme="majorHAnsi" w:cs="Arial"/>
          <w:sz w:val="22"/>
          <w:szCs w:val="22"/>
        </w:rPr>
        <w:t xml:space="preserve">unding sustainable </w:t>
      </w:r>
      <w:r w:rsidR="00FD7DDC" w:rsidRPr="000C7952">
        <w:rPr>
          <w:rFonts w:asciiTheme="majorHAnsi" w:hAnsiTheme="majorHAnsi" w:cs="Arial"/>
          <w:sz w:val="22"/>
          <w:szCs w:val="22"/>
        </w:rPr>
        <w:t xml:space="preserve">NDIS </w:t>
      </w:r>
      <w:r w:rsidR="0049199F" w:rsidRPr="000C7952">
        <w:rPr>
          <w:rFonts w:asciiTheme="majorHAnsi" w:hAnsiTheme="majorHAnsi" w:cs="Arial"/>
          <w:sz w:val="22"/>
          <w:szCs w:val="22"/>
        </w:rPr>
        <w:t>allied health services where they are the sole provider of allied</w:t>
      </w:r>
      <w:r w:rsidR="006D52AD" w:rsidRPr="000C7952">
        <w:rPr>
          <w:rFonts w:asciiTheme="majorHAnsi" w:hAnsiTheme="majorHAnsi" w:cs="Arial"/>
          <w:sz w:val="22"/>
          <w:szCs w:val="22"/>
        </w:rPr>
        <w:t xml:space="preserve"> health services in that market</w:t>
      </w:r>
    </w:p>
    <w:p w14:paraId="1B1DC828" w14:textId="1CA80CFD" w:rsidR="0049199F" w:rsidRPr="000C7952" w:rsidRDefault="00673D8E" w:rsidP="0049199F">
      <w:pPr>
        <w:numPr>
          <w:ilvl w:val="1"/>
          <w:numId w:val="11"/>
        </w:numPr>
        <w:rPr>
          <w:rFonts w:asciiTheme="majorHAnsi" w:hAnsiTheme="majorHAnsi" w:cs="Arial"/>
          <w:sz w:val="22"/>
          <w:szCs w:val="22"/>
        </w:rPr>
      </w:pPr>
      <w:r w:rsidRPr="000C7952">
        <w:rPr>
          <w:rFonts w:asciiTheme="majorHAnsi" w:hAnsiTheme="majorHAnsi" w:cs="Arial"/>
          <w:sz w:val="22"/>
          <w:szCs w:val="22"/>
        </w:rPr>
        <w:t>b</w:t>
      </w:r>
      <w:r w:rsidR="0049199F" w:rsidRPr="000C7952">
        <w:rPr>
          <w:rFonts w:asciiTheme="majorHAnsi" w:hAnsiTheme="majorHAnsi" w:cs="Arial"/>
          <w:sz w:val="22"/>
          <w:szCs w:val="22"/>
        </w:rPr>
        <w:t>enchmarking provider efficiency in a remote</w:t>
      </w:r>
      <w:r w:rsidRPr="000C7952">
        <w:rPr>
          <w:rFonts w:asciiTheme="majorHAnsi" w:hAnsiTheme="majorHAnsi" w:cs="Arial"/>
          <w:sz w:val="22"/>
          <w:szCs w:val="22"/>
        </w:rPr>
        <w:t xml:space="preserve"> and rural service environment, </w:t>
      </w:r>
      <w:r w:rsidR="006D52AD" w:rsidRPr="000C7952">
        <w:rPr>
          <w:rFonts w:asciiTheme="majorHAnsi" w:hAnsiTheme="majorHAnsi" w:cs="Arial"/>
          <w:sz w:val="22"/>
          <w:szCs w:val="22"/>
        </w:rPr>
        <w:t>with</w:t>
      </w:r>
      <w:r w:rsidR="0049199F" w:rsidRPr="000C7952">
        <w:rPr>
          <w:rFonts w:asciiTheme="majorHAnsi" w:hAnsiTheme="majorHAnsi" w:cs="Arial"/>
          <w:sz w:val="22"/>
          <w:szCs w:val="22"/>
        </w:rPr>
        <w:t xml:space="preserve"> allowances for increased overheads and employment costs </w:t>
      </w:r>
      <w:r w:rsidR="006D52AD" w:rsidRPr="000C7952">
        <w:rPr>
          <w:rFonts w:asciiTheme="majorHAnsi" w:hAnsiTheme="majorHAnsi" w:cs="Arial"/>
          <w:sz w:val="22"/>
          <w:szCs w:val="22"/>
        </w:rPr>
        <w:t>due to lack of scale</w:t>
      </w:r>
    </w:p>
    <w:p w14:paraId="60945669" w14:textId="05EA0FCB" w:rsidR="0049199F" w:rsidRPr="000C7952" w:rsidRDefault="00673D8E" w:rsidP="00FD7DDC">
      <w:pPr>
        <w:numPr>
          <w:ilvl w:val="1"/>
          <w:numId w:val="11"/>
        </w:numPr>
        <w:rPr>
          <w:rFonts w:asciiTheme="majorHAnsi" w:hAnsiTheme="majorHAnsi" w:cs="Arial"/>
          <w:sz w:val="22"/>
          <w:szCs w:val="22"/>
        </w:rPr>
      </w:pPr>
      <w:r w:rsidRPr="000C7952">
        <w:rPr>
          <w:rFonts w:asciiTheme="majorHAnsi" w:hAnsiTheme="majorHAnsi" w:cs="Arial"/>
          <w:sz w:val="22"/>
          <w:szCs w:val="22"/>
        </w:rPr>
        <w:t>the development of</w:t>
      </w:r>
      <w:r w:rsidR="0049199F" w:rsidRPr="000C7952">
        <w:rPr>
          <w:rFonts w:asciiTheme="majorHAnsi" w:hAnsiTheme="majorHAnsi" w:cs="Arial"/>
          <w:sz w:val="22"/>
          <w:szCs w:val="22"/>
        </w:rPr>
        <w:t xml:space="preserve"> a purpose-built </w:t>
      </w:r>
      <w:r w:rsidR="00FD7DDC" w:rsidRPr="000C7952">
        <w:rPr>
          <w:rFonts w:asciiTheme="majorHAnsi" w:hAnsiTheme="majorHAnsi" w:cs="Arial"/>
          <w:sz w:val="22"/>
          <w:szCs w:val="22"/>
        </w:rPr>
        <w:t xml:space="preserve">NDIS </w:t>
      </w:r>
      <w:r w:rsidR="0049199F" w:rsidRPr="000C7952">
        <w:rPr>
          <w:rFonts w:asciiTheme="majorHAnsi" w:hAnsiTheme="majorHAnsi" w:cs="Arial"/>
          <w:sz w:val="22"/>
          <w:szCs w:val="22"/>
        </w:rPr>
        <w:t xml:space="preserve">geographic classification based on service coverage areas, mapping geographic classifications based on participant population and coverage, so appropriate loadings can be applied to </w:t>
      </w:r>
      <w:r w:rsidR="006D52AD" w:rsidRPr="000C7952">
        <w:rPr>
          <w:rFonts w:asciiTheme="majorHAnsi" w:hAnsiTheme="majorHAnsi" w:cs="Arial"/>
          <w:sz w:val="22"/>
          <w:szCs w:val="22"/>
        </w:rPr>
        <w:t>the price controls</w:t>
      </w:r>
    </w:p>
    <w:p w14:paraId="35C3D69B" w14:textId="69650894" w:rsidR="0049199F" w:rsidRPr="000C7952" w:rsidRDefault="006D52AD" w:rsidP="00FD7DDC">
      <w:pPr>
        <w:numPr>
          <w:ilvl w:val="1"/>
          <w:numId w:val="11"/>
        </w:numPr>
        <w:rPr>
          <w:rFonts w:asciiTheme="majorHAnsi" w:hAnsiTheme="majorHAnsi" w:cs="Arial"/>
          <w:sz w:val="22"/>
          <w:szCs w:val="22"/>
        </w:rPr>
      </w:pPr>
      <w:r w:rsidRPr="000C7952">
        <w:rPr>
          <w:rFonts w:asciiTheme="majorHAnsi" w:hAnsiTheme="majorHAnsi" w:cs="Arial"/>
          <w:sz w:val="22"/>
          <w:szCs w:val="22"/>
        </w:rPr>
        <w:lastRenderedPageBreak/>
        <w:t>d</w:t>
      </w:r>
      <w:r w:rsidR="0049199F" w:rsidRPr="000C7952">
        <w:rPr>
          <w:rFonts w:asciiTheme="majorHAnsi" w:hAnsiTheme="majorHAnsi" w:cs="Arial"/>
          <w:sz w:val="22"/>
          <w:szCs w:val="22"/>
        </w:rPr>
        <w:t>evelop</w:t>
      </w:r>
      <w:r w:rsidRPr="000C7952">
        <w:rPr>
          <w:rFonts w:asciiTheme="majorHAnsi" w:hAnsiTheme="majorHAnsi" w:cs="Arial"/>
          <w:sz w:val="22"/>
          <w:szCs w:val="22"/>
        </w:rPr>
        <w:t>ing</w:t>
      </w:r>
      <w:r w:rsidR="0049199F" w:rsidRPr="000C7952">
        <w:rPr>
          <w:rFonts w:asciiTheme="majorHAnsi" w:hAnsiTheme="majorHAnsi" w:cs="Arial"/>
          <w:sz w:val="22"/>
          <w:szCs w:val="22"/>
        </w:rPr>
        <w:t xml:space="preserve"> a set of principles that will guide decision making for transport arrangements and funding that balances the </w:t>
      </w:r>
      <w:r w:rsidR="00FD7DDC" w:rsidRPr="000C7952">
        <w:rPr>
          <w:rFonts w:asciiTheme="majorHAnsi" w:hAnsiTheme="majorHAnsi" w:cs="Arial"/>
          <w:sz w:val="22"/>
          <w:szCs w:val="22"/>
        </w:rPr>
        <w:t>NDIS</w:t>
      </w:r>
      <w:r w:rsidR="00982F1E" w:rsidRPr="000C7952">
        <w:rPr>
          <w:rFonts w:asciiTheme="majorHAnsi" w:hAnsiTheme="majorHAnsi" w:cs="Arial"/>
          <w:sz w:val="22"/>
          <w:szCs w:val="22"/>
        </w:rPr>
        <w:t xml:space="preserve"> </w:t>
      </w:r>
      <w:r w:rsidR="0049199F" w:rsidRPr="000C7952">
        <w:rPr>
          <w:rFonts w:asciiTheme="majorHAnsi" w:hAnsiTheme="majorHAnsi" w:cs="Arial"/>
          <w:sz w:val="22"/>
          <w:szCs w:val="22"/>
        </w:rPr>
        <w:t xml:space="preserve">goals of </w:t>
      </w:r>
      <w:r w:rsidR="002E5035" w:rsidRPr="000C7952">
        <w:rPr>
          <w:rFonts w:asciiTheme="majorHAnsi" w:hAnsiTheme="majorHAnsi" w:cs="Arial"/>
          <w:sz w:val="22"/>
          <w:szCs w:val="22"/>
        </w:rPr>
        <w:t>‘</w:t>
      </w:r>
      <w:r w:rsidR="0049199F" w:rsidRPr="000C7952">
        <w:rPr>
          <w:rFonts w:asciiTheme="majorHAnsi" w:hAnsiTheme="majorHAnsi" w:cs="Arial"/>
          <w:sz w:val="22"/>
          <w:szCs w:val="22"/>
        </w:rPr>
        <w:t>reasonable and necessary</w:t>
      </w:r>
      <w:r w:rsidR="002E5035" w:rsidRPr="000C7952">
        <w:rPr>
          <w:rFonts w:asciiTheme="majorHAnsi" w:hAnsiTheme="majorHAnsi" w:cs="Arial"/>
          <w:sz w:val="22"/>
          <w:szCs w:val="22"/>
        </w:rPr>
        <w:t>’</w:t>
      </w:r>
      <w:r w:rsidR="0049199F" w:rsidRPr="000C7952">
        <w:rPr>
          <w:rFonts w:asciiTheme="majorHAnsi" w:hAnsiTheme="majorHAnsi" w:cs="Arial"/>
          <w:sz w:val="22"/>
          <w:szCs w:val="22"/>
        </w:rPr>
        <w:t xml:space="preserve"> with </w:t>
      </w:r>
      <w:r w:rsidR="002E5035" w:rsidRPr="000C7952">
        <w:rPr>
          <w:rFonts w:asciiTheme="majorHAnsi" w:hAnsiTheme="majorHAnsi" w:cs="Arial"/>
          <w:sz w:val="22"/>
          <w:szCs w:val="22"/>
        </w:rPr>
        <w:t>‘</w:t>
      </w:r>
      <w:r w:rsidR="0049199F" w:rsidRPr="000C7952">
        <w:rPr>
          <w:rFonts w:asciiTheme="majorHAnsi" w:hAnsiTheme="majorHAnsi" w:cs="Arial"/>
          <w:sz w:val="22"/>
          <w:szCs w:val="22"/>
        </w:rPr>
        <w:t>choice and control</w:t>
      </w:r>
      <w:r w:rsidR="002E5035" w:rsidRPr="000C7952">
        <w:rPr>
          <w:rFonts w:asciiTheme="majorHAnsi" w:hAnsiTheme="majorHAnsi" w:cs="Arial"/>
          <w:sz w:val="22"/>
          <w:szCs w:val="22"/>
        </w:rPr>
        <w:t>’</w:t>
      </w:r>
      <w:r w:rsidR="0049199F" w:rsidRPr="000C7952">
        <w:rPr>
          <w:rFonts w:asciiTheme="majorHAnsi" w:hAnsiTheme="majorHAnsi" w:cs="Arial"/>
          <w:sz w:val="22"/>
          <w:szCs w:val="22"/>
        </w:rPr>
        <w:t xml:space="preserve"> </w:t>
      </w:r>
      <w:r w:rsidR="00C14F3C" w:rsidRPr="000C7952">
        <w:rPr>
          <w:rFonts w:asciiTheme="majorHAnsi" w:hAnsiTheme="majorHAnsi" w:cs="Arial"/>
          <w:sz w:val="22"/>
          <w:szCs w:val="22"/>
        </w:rPr>
        <w:t>and</w:t>
      </w:r>
      <w:r w:rsidR="0049199F" w:rsidRPr="000C7952">
        <w:rPr>
          <w:rFonts w:asciiTheme="majorHAnsi" w:hAnsiTheme="majorHAnsi" w:cs="Arial"/>
          <w:sz w:val="22"/>
          <w:szCs w:val="22"/>
        </w:rPr>
        <w:t xml:space="preserve"> that also su</w:t>
      </w:r>
      <w:r w:rsidRPr="000C7952">
        <w:rPr>
          <w:rFonts w:asciiTheme="majorHAnsi" w:hAnsiTheme="majorHAnsi" w:cs="Arial"/>
          <w:sz w:val="22"/>
          <w:szCs w:val="22"/>
        </w:rPr>
        <w:t>pports provider sustainability</w:t>
      </w:r>
    </w:p>
    <w:p w14:paraId="50C82A4F" w14:textId="63F90367" w:rsidR="00461CF6" w:rsidRPr="007A7A91" w:rsidRDefault="0049199F" w:rsidP="007A7A91">
      <w:pPr>
        <w:numPr>
          <w:ilvl w:val="1"/>
          <w:numId w:val="11"/>
        </w:numPr>
        <w:rPr>
          <w:rFonts w:asciiTheme="majorHAnsi" w:hAnsiTheme="majorHAnsi" w:cs="Arial"/>
          <w:sz w:val="22"/>
          <w:szCs w:val="22"/>
        </w:rPr>
      </w:pPr>
      <w:proofErr w:type="gramStart"/>
      <w:r w:rsidRPr="000C7952">
        <w:rPr>
          <w:rFonts w:asciiTheme="majorHAnsi" w:hAnsiTheme="majorHAnsi" w:cs="Arial"/>
          <w:sz w:val="22"/>
          <w:szCs w:val="22"/>
        </w:rPr>
        <w:t>principles</w:t>
      </w:r>
      <w:proofErr w:type="gramEnd"/>
      <w:r w:rsidRPr="000C7952">
        <w:rPr>
          <w:rFonts w:asciiTheme="majorHAnsi" w:hAnsiTheme="majorHAnsi" w:cs="Arial"/>
          <w:sz w:val="22"/>
          <w:szCs w:val="22"/>
        </w:rPr>
        <w:t xml:space="preserve"> outlining a standard of allied health</w:t>
      </w:r>
      <w:r w:rsidR="006D52AD" w:rsidRPr="000C7952">
        <w:rPr>
          <w:rFonts w:asciiTheme="majorHAnsi" w:hAnsiTheme="majorHAnsi" w:cs="Arial"/>
          <w:sz w:val="22"/>
          <w:szCs w:val="22"/>
        </w:rPr>
        <w:t xml:space="preserve"> service access in small towns. </w:t>
      </w:r>
      <w:r w:rsidR="00461CF6" w:rsidRPr="007A7A91">
        <w:rPr>
          <w:rFonts w:asciiTheme="majorHAnsi" w:hAnsiTheme="majorHAnsi"/>
        </w:rPr>
        <w:br w:type="page"/>
      </w:r>
    </w:p>
    <w:p w14:paraId="2D8119C8" w14:textId="44FF944A" w:rsidR="008E34D1" w:rsidRPr="000C7952" w:rsidRDefault="006A43C6" w:rsidP="008E34D1">
      <w:pPr>
        <w:pStyle w:val="Subhead"/>
        <w:outlineLvl w:val="0"/>
        <w:rPr>
          <w:rFonts w:asciiTheme="majorHAnsi" w:hAnsiTheme="majorHAnsi"/>
        </w:rPr>
      </w:pPr>
      <w:r w:rsidRPr="000C7952">
        <w:rPr>
          <w:rFonts w:asciiTheme="majorHAnsi" w:hAnsiTheme="majorHAnsi"/>
        </w:rPr>
        <w:lastRenderedPageBreak/>
        <w:t>Data</w:t>
      </w:r>
    </w:p>
    <w:p w14:paraId="4CC6E94B" w14:textId="77777777" w:rsidR="008E34D1" w:rsidRPr="000C7952" w:rsidRDefault="008E34D1" w:rsidP="008E34D1">
      <w:pPr>
        <w:rPr>
          <w:rFonts w:asciiTheme="majorHAnsi" w:hAnsiTheme="majorHAnsi" w:cs="Arial"/>
          <w:b/>
          <w:sz w:val="22"/>
          <w:szCs w:val="22"/>
        </w:rPr>
      </w:pPr>
      <w:r w:rsidRPr="000C7952">
        <w:rPr>
          <w:rFonts w:asciiTheme="majorHAnsi" w:hAnsiTheme="majorHAnsi" w:cs="Arial"/>
          <w:b/>
          <w:sz w:val="22"/>
          <w:szCs w:val="22"/>
        </w:rPr>
        <w:t>Situation</w:t>
      </w:r>
    </w:p>
    <w:p w14:paraId="4146062F" w14:textId="314BB9B7" w:rsidR="00F10950" w:rsidRPr="000C7952" w:rsidRDefault="00F10950" w:rsidP="00D9629F">
      <w:pPr>
        <w:rPr>
          <w:rFonts w:asciiTheme="majorHAnsi" w:hAnsiTheme="majorHAnsi" w:cs="Arial"/>
          <w:sz w:val="22"/>
          <w:szCs w:val="22"/>
        </w:rPr>
      </w:pPr>
      <w:r w:rsidRPr="000C7952">
        <w:rPr>
          <w:rFonts w:asciiTheme="majorHAnsi" w:hAnsiTheme="majorHAnsi" w:cs="Arial"/>
          <w:sz w:val="22"/>
          <w:szCs w:val="22"/>
        </w:rPr>
        <w:t>Better utilisation of data is seen</w:t>
      </w:r>
      <w:r w:rsidR="006D53C4" w:rsidRPr="000C7952">
        <w:rPr>
          <w:rFonts w:asciiTheme="majorHAnsi" w:hAnsiTheme="majorHAnsi" w:cs="Arial"/>
          <w:sz w:val="22"/>
          <w:szCs w:val="22"/>
        </w:rPr>
        <w:t xml:space="preserve"> globally</w:t>
      </w:r>
      <w:r w:rsidRPr="000C7952">
        <w:rPr>
          <w:rFonts w:asciiTheme="majorHAnsi" w:hAnsiTheme="majorHAnsi" w:cs="Arial"/>
          <w:sz w:val="22"/>
          <w:szCs w:val="22"/>
        </w:rPr>
        <w:t xml:space="preserve"> </w:t>
      </w:r>
      <w:r w:rsidR="00B72057" w:rsidRPr="000C7952">
        <w:rPr>
          <w:rFonts w:asciiTheme="majorHAnsi" w:hAnsiTheme="majorHAnsi" w:cs="Arial"/>
          <w:sz w:val="22"/>
          <w:szCs w:val="22"/>
        </w:rPr>
        <w:t xml:space="preserve">as the future </w:t>
      </w:r>
      <w:r w:rsidR="005046AA" w:rsidRPr="000C7952">
        <w:rPr>
          <w:rFonts w:asciiTheme="majorHAnsi" w:hAnsiTheme="majorHAnsi" w:cs="Arial"/>
          <w:sz w:val="22"/>
          <w:szCs w:val="22"/>
        </w:rPr>
        <w:t xml:space="preserve">basis </w:t>
      </w:r>
      <w:r w:rsidR="00B72057" w:rsidRPr="000C7952">
        <w:rPr>
          <w:rFonts w:asciiTheme="majorHAnsi" w:hAnsiTheme="majorHAnsi" w:cs="Arial"/>
          <w:sz w:val="22"/>
          <w:szCs w:val="22"/>
        </w:rPr>
        <w:t xml:space="preserve">of </w:t>
      </w:r>
      <w:r w:rsidR="005046AA" w:rsidRPr="000C7952">
        <w:rPr>
          <w:rFonts w:asciiTheme="majorHAnsi" w:hAnsiTheme="majorHAnsi" w:cs="Arial"/>
          <w:sz w:val="22"/>
          <w:szCs w:val="22"/>
        </w:rPr>
        <w:t xml:space="preserve">good decision-making in </w:t>
      </w:r>
      <w:r w:rsidR="006D53C4" w:rsidRPr="000C7952">
        <w:rPr>
          <w:rFonts w:asciiTheme="majorHAnsi" w:hAnsiTheme="majorHAnsi" w:cs="Arial"/>
          <w:sz w:val="22"/>
          <w:szCs w:val="22"/>
        </w:rPr>
        <w:t xml:space="preserve">healthcare; it is </w:t>
      </w:r>
      <w:r w:rsidR="005046AA" w:rsidRPr="000C7952">
        <w:rPr>
          <w:rFonts w:asciiTheme="majorHAnsi" w:hAnsiTheme="majorHAnsi" w:cs="Arial"/>
          <w:sz w:val="22"/>
          <w:szCs w:val="22"/>
        </w:rPr>
        <w:t xml:space="preserve">also </w:t>
      </w:r>
      <w:r w:rsidR="006D53C4" w:rsidRPr="000C7952">
        <w:rPr>
          <w:rFonts w:asciiTheme="majorHAnsi" w:hAnsiTheme="majorHAnsi" w:cs="Arial"/>
          <w:sz w:val="22"/>
          <w:szCs w:val="22"/>
        </w:rPr>
        <w:t>the basis for emerging digital healthcare capabilities and a growing focus on patient outcomes.</w:t>
      </w:r>
    </w:p>
    <w:p w14:paraId="506B5B09" w14:textId="77777777" w:rsidR="00F10950" w:rsidRPr="000C7952" w:rsidRDefault="00F10950" w:rsidP="00D9629F">
      <w:pPr>
        <w:rPr>
          <w:rFonts w:asciiTheme="majorHAnsi" w:hAnsiTheme="majorHAnsi" w:cs="Arial"/>
          <w:sz w:val="22"/>
          <w:szCs w:val="22"/>
        </w:rPr>
      </w:pPr>
    </w:p>
    <w:p w14:paraId="463CAAF4" w14:textId="367EE7BB" w:rsidR="00F10950" w:rsidRPr="000C7952" w:rsidRDefault="00F43B56" w:rsidP="00D9629F">
      <w:pPr>
        <w:rPr>
          <w:rFonts w:asciiTheme="majorHAnsi" w:hAnsiTheme="majorHAnsi" w:cs="Arial"/>
          <w:sz w:val="22"/>
          <w:szCs w:val="22"/>
        </w:rPr>
      </w:pPr>
      <w:r>
        <w:rPr>
          <w:rFonts w:asciiTheme="majorHAnsi" w:hAnsiTheme="majorHAnsi" w:cs="Arial"/>
          <w:sz w:val="22"/>
          <w:szCs w:val="22"/>
        </w:rPr>
        <w:t>Currently i</w:t>
      </w:r>
      <w:r w:rsidR="00E93E4A" w:rsidRPr="000C7952">
        <w:rPr>
          <w:rFonts w:asciiTheme="majorHAnsi" w:hAnsiTheme="majorHAnsi" w:cs="Arial"/>
          <w:sz w:val="22"/>
          <w:szCs w:val="22"/>
        </w:rPr>
        <w:t>n the</w:t>
      </w:r>
      <w:r w:rsidR="006D53C4" w:rsidRPr="000C7952">
        <w:rPr>
          <w:rFonts w:asciiTheme="majorHAnsi" w:hAnsiTheme="majorHAnsi" w:cs="Arial"/>
          <w:sz w:val="22"/>
          <w:szCs w:val="22"/>
        </w:rPr>
        <w:t xml:space="preserve"> Australian</w:t>
      </w:r>
      <w:r w:rsidR="00E93E4A" w:rsidRPr="000C7952">
        <w:rPr>
          <w:rFonts w:asciiTheme="majorHAnsi" w:hAnsiTheme="majorHAnsi" w:cs="Arial"/>
          <w:sz w:val="22"/>
          <w:szCs w:val="22"/>
        </w:rPr>
        <w:t xml:space="preserve"> health</w:t>
      </w:r>
      <w:r w:rsidR="006D53C4" w:rsidRPr="000C7952">
        <w:rPr>
          <w:rFonts w:asciiTheme="majorHAnsi" w:hAnsiTheme="majorHAnsi" w:cs="Arial"/>
          <w:sz w:val="22"/>
          <w:szCs w:val="22"/>
        </w:rPr>
        <w:t>care</w:t>
      </w:r>
      <w:r w:rsidR="00E93E4A" w:rsidRPr="000C7952">
        <w:rPr>
          <w:rFonts w:asciiTheme="majorHAnsi" w:hAnsiTheme="majorHAnsi" w:cs="Arial"/>
          <w:sz w:val="22"/>
          <w:szCs w:val="22"/>
        </w:rPr>
        <w:t xml:space="preserve"> sector there are over ten </w:t>
      </w:r>
      <w:r w:rsidR="008676E4" w:rsidRPr="000C7952">
        <w:rPr>
          <w:rFonts w:asciiTheme="majorHAnsi" w:hAnsiTheme="majorHAnsi" w:cs="Arial"/>
          <w:sz w:val="22"/>
          <w:szCs w:val="22"/>
        </w:rPr>
        <w:t>national minimum d</w:t>
      </w:r>
      <w:r w:rsidR="00925F50" w:rsidRPr="000C7952">
        <w:rPr>
          <w:rFonts w:asciiTheme="majorHAnsi" w:hAnsiTheme="majorHAnsi" w:cs="Arial"/>
          <w:sz w:val="22"/>
          <w:szCs w:val="22"/>
        </w:rPr>
        <w:t>ata</w:t>
      </w:r>
      <w:r w:rsidR="008676E4" w:rsidRPr="000C7952">
        <w:rPr>
          <w:rFonts w:asciiTheme="majorHAnsi" w:hAnsiTheme="majorHAnsi" w:cs="Arial"/>
          <w:sz w:val="22"/>
          <w:szCs w:val="22"/>
        </w:rPr>
        <w:t xml:space="preserve"> </w:t>
      </w:r>
      <w:r w:rsidR="00925F50" w:rsidRPr="000C7952">
        <w:rPr>
          <w:rFonts w:asciiTheme="majorHAnsi" w:hAnsiTheme="majorHAnsi" w:cs="Arial"/>
          <w:sz w:val="22"/>
          <w:szCs w:val="22"/>
        </w:rPr>
        <w:t>set</w:t>
      </w:r>
      <w:r w:rsidR="005906F0" w:rsidRPr="000C7952">
        <w:rPr>
          <w:rFonts w:asciiTheme="majorHAnsi" w:hAnsiTheme="majorHAnsi" w:cs="Arial"/>
          <w:sz w:val="22"/>
          <w:szCs w:val="22"/>
        </w:rPr>
        <w:t>s</w:t>
      </w:r>
      <w:r w:rsidR="00925F50" w:rsidRPr="000C7952">
        <w:rPr>
          <w:rFonts w:asciiTheme="majorHAnsi" w:hAnsiTheme="majorHAnsi" w:cs="Arial"/>
          <w:sz w:val="22"/>
          <w:szCs w:val="22"/>
        </w:rPr>
        <w:t xml:space="preserve"> (NMDS) </w:t>
      </w:r>
      <w:r w:rsidR="008676E4" w:rsidRPr="000C7952">
        <w:rPr>
          <w:rFonts w:asciiTheme="majorHAnsi" w:hAnsiTheme="majorHAnsi" w:cs="Arial"/>
          <w:sz w:val="22"/>
          <w:szCs w:val="22"/>
        </w:rPr>
        <w:t>which include</w:t>
      </w:r>
      <w:r w:rsidR="00EF5D34" w:rsidRPr="000C7952">
        <w:rPr>
          <w:rFonts w:asciiTheme="majorHAnsi" w:hAnsiTheme="majorHAnsi" w:cs="Arial"/>
          <w:sz w:val="22"/>
          <w:szCs w:val="22"/>
        </w:rPr>
        <w:t>s</w:t>
      </w:r>
      <w:r w:rsidR="008676E4" w:rsidRPr="000C7952">
        <w:rPr>
          <w:rFonts w:asciiTheme="majorHAnsi" w:hAnsiTheme="majorHAnsi" w:cs="Arial"/>
          <w:sz w:val="22"/>
          <w:szCs w:val="22"/>
        </w:rPr>
        <w:t xml:space="preserve"> </w:t>
      </w:r>
      <w:r w:rsidR="00E93E4A" w:rsidRPr="000C7952">
        <w:rPr>
          <w:rFonts w:asciiTheme="majorHAnsi" w:hAnsiTheme="majorHAnsi" w:cs="Arial"/>
          <w:sz w:val="22"/>
          <w:szCs w:val="22"/>
        </w:rPr>
        <w:t>admitted and non-admitted patient</w:t>
      </w:r>
      <w:r w:rsidR="00F10950" w:rsidRPr="000C7952">
        <w:rPr>
          <w:rFonts w:asciiTheme="majorHAnsi" w:hAnsiTheme="majorHAnsi" w:cs="Arial"/>
          <w:sz w:val="22"/>
          <w:szCs w:val="22"/>
        </w:rPr>
        <w:t xml:space="preserve"> </w:t>
      </w:r>
      <w:r w:rsidR="00E93E4A" w:rsidRPr="000C7952">
        <w:rPr>
          <w:rFonts w:asciiTheme="majorHAnsi" w:hAnsiTheme="majorHAnsi" w:cs="Arial"/>
          <w:sz w:val="22"/>
          <w:szCs w:val="22"/>
        </w:rPr>
        <w:t xml:space="preserve">care in hospitals, elective surgery waiting times, </w:t>
      </w:r>
      <w:r w:rsidR="00EF5D34" w:rsidRPr="000C7952">
        <w:rPr>
          <w:rFonts w:asciiTheme="majorHAnsi" w:hAnsiTheme="majorHAnsi" w:cs="Arial"/>
          <w:sz w:val="22"/>
          <w:szCs w:val="22"/>
        </w:rPr>
        <w:t xml:space="preserve">and community </w:t>
      </w:r>
      <w:r w:rsidR="00E93E4A" w:rsidRPr="000C7952">
        <w:rPr>
          <w:rFonts w:asciiTheme="majorHAnsi" w:hAnsiTheme="majorHAnsi" w:cs="Arial"/>
          <w:sz w:val="22"/>
          <w:szCs w:val="22"/>
        </w:rPr>
        <w:t>mental health</w:t>
      </w:r>
      <w:r w:rsidR="00F10950" w:rsidRPr="000C7952">
        <w:rPr>
          <w:rFonts w:asciiTheme="majorHAnsi" w:hAnsiTheme="majorHAnsi" w:cs="Arial"/>
          <w:sz w:val="22"/>
          <w:szCs w:val="22"/>
        </w:rPr>
        <w:t xml:space="preserve"> </w:t>
      </w:r>
      <w:r w:rsidR="00E93E4A" w:rsidRPr="000C7952">
        <w:rPr>
          <w:rFonts w:asciiTheme="majorHAnsi" w:hAnsiTheme="majorHAnsi" w:cs="Arial"/>
          <w:sz w:val="22"/>
          <w:szCs w:val="22"/>
        </w:rPr>
        <w:t>care.</w:t>
      </w:r>
      <w:r w:rsidR="006D53C4" w:rsidRPr="000C7952">
        <w:rPr>
          <w:rFonts w:asciiTheme="majorHAnsi" w:hAnsiTheme="majorHAnsi" w:cs="Arial"/>
          <w:sz w:val="22"/>
          <w:szCs w:val="22"/>
        </w:rPr>
        <w:t xml:space="preserve"> </w:t>
      </w:r>
      <w:r w:rsidR="00EF5D34" w:rsidRPr="000C7952">
        <w:rPr>
          <w:rFonts w:asciiTheme="majorHAnsi" w:hAnsiTheme="majorHAnsi" w:cs="Arial"/>
          <w:sz w:val="22"/>
          <w:szCs w:val="22"/>
        </w:rPr>
        <w:t xml:space="preserve">These NMDS </w:t>
      </w:r>
      <w:r w:rsidR="006D53C4" w:rsidRPr="000C7952">
        <w:rPr>
          <w:rFonts w:asciiTheme="majorHAnsi" w:hAnsiTheme="majorHAnsi" w:cs="Arial"/>
          <w:sz w:val="22"/>
          <w:szCs w:val="22"/>
        </w:rPr>
        <w:t xml:space="preserve">provide valuable </w:t>
      </w:r>
      <w:r w:rsidR="00EF5D34" w:rsidRPr="000C7952">
        <w:rPr>
          <w:rFonts w:asciiTheme="majorHAnsi" w:hAnsiTheme="majorHAnsi" w:cs="Arial"/>
          <w:sz w:val="22"/>
          <w:szCs w:val="22"/>
        </w:rPr>
        <w:t>evidence</w:t>
      </w:r>
      <w:r w:rsidR="005046AA" w:rsidRPr="000C7952">
        <w:rPr>
          <w:rFonts w:asciiTheme="majorHAnsi" w:hAnsiTheme="majorHAnsi" w:cs="Arial"/>
          <w:sz w:val="22"/>
          <w:szCs w:val="22"/>
        </w:rPr>
        <w:t>-base</w:t>
      </w:r>
      <w:r w:rsidR="006D53C4" w:rsidRPr="000C7952">
        <w:rPr>
          <w:rFonts w:asciiTheme="majorHAnsi" w:hAnsiTheme="majorHAnsi" w:cs="Arial"/>
          <w:sz w:val="22"/>
          <w:szCs w:val="22"/>
        </w:rPr>
        <w:t xml:space="preserve"> that is intrinsic</w:t>
      </w:r>
      <w:r w:rsidR="00925F50" w:rsidRPr="000C7952">
        <w:rPr>
          <w:rFonts w:asciiTheme="majorHAnsi" w:hAnsiTheme="majorHAnsi" w:cs="Arial"/>
          <w:sz w:val="22"/>
          <w:szCs w:val="22"/>
        </w:rPr>
        <w:t xml:space="preserve"> to decisions made at all level</w:t>
      </w:r>
      <w:r>
        <w:rPr>
          <w:rFonts w:asciiTheme="majorHAnsi" w:hAnsiTheme="majorHAnsi" w:cs="Arial"/>
          <w:sz w:val="22"/>
          <w:szCs w:val="22"/>
        </w:rPr>
        <w:t>s</w:t>
      </w:r>
      <w:r w:rsidR="00925F50" w:rsidRPr="000C7952">
        <w:rPr>
          <w:rFonts w:asciiTheme="majorHAnsi" w:hAnsiTheme="majorHAnsi" w:cs="Arial"/>
          <w:sz w:val="22"/>
          <w:szCs w:val="22"/>
        </w:rPr>
        <w:t xml:space="preserve"> of healthcare.</w:t>
      </w:r>
    </w:p>
    <w:p w14:paraId="16F51C3B" w14:textId="77777777" w:rsidR="00F10950" w:rsidRPr="000C7952" w:rsidRDefault="00F10950" w:rsidP="00D9629F">
      <w:pPr>
        <w:rPr>
          <w:rFonts w:asciiTheme="majorHAnsi" w:hAnsiTheme="majorHAnsi" w:cs="Arial"/>
          <w:sz w:val="22"/>
          <w:szCs w:val="22"/>
        </w:rPr>
      </w:pPr>
    </w:p>
    <w:p w14:paraId="2609BD69" w14:textId="398B77C7" w:rsidR="00F92D84" w:rsidRPr="000C7952" w:rsidRDefault="005046AA" w:rsidP="00F92D84">
      <w:pPr>
        <w:rPr>
          <w:rFonts w:asciiTheme="majorHAnsi" w:hAnsiTheme="majorHAnsi"/>
          <w:sz w:val="22"/>
          <w:szCs w:val="22"/>
        </w:rPr>
      </w:pPr>
      <w:r w:rsidRPr="000C7952">
        <w:rPr>
          <w:rFonts w:asciiTheme="majorHAnsi" w:hAnsiTheme="majorHAnsi" w:cs="Arial"/>
          <w:sz w:val="22"/>
          <w:szCs w:val="22"/>
        </w:rPr>
        <w:t>Despite significant investment in providing primary health care services, which in 2016-17 constituted approximately 34 per cent of total Commonwealth health expenditure</w:t>
      </w:r>
      <w:r w:rsidR="007244EE" w:rsidRPr="000C7952">
        <w:rPr>
          <w:rStyle w:val="FootnoteReference"/>
          <w:rFonts w:asciiTheme="majorHAnsi" w:hAnsiTheme="majorHAnsi" w:cs="Arial"/>
          <w:sz w:val="22"/>
          <w:szCs w:val="22"/>
        </w:rPr>
        <w:footnoteReference w:id="33"/>
      </w:r>
      <w:r w:rsidR="00F43B56">
        <w:rPr>
          <w:rFonts w:asciiTheme="majorHAnsi" w:hAnsiTheme="majorHAnsi" w:cs="Arial"/>
          <w:sz w:val="22"/>
          <w:szCs w:val="22"/>
        </w:rPr>
        <w:t>,</w:t>
      </w:r>
      <w:r w:rsidRPr="000C7952">
        <w:rPr>
          <w:rFonts w:asciiTheme="majorHAnsi" w:hAnsiTheme="majorHAnsi" w:cs="Arial"/>
          <w:sz w:val="22"/>
          <w:szCs w:val="22"/>
        </w:rPr>
        <w:t xml:space="preserve"> little is known about what services are being delivered, where they are being delivered, who they are being delivered to and what the outcomes are.</w:t>
      </w:r>
      <w:r w:rsidRPr="000C7952">
        <w:rPr>
          <w:rFonts w:asciiTheme="majorHAnsi" w:hAnsiTheme="majorHAnsi"/>
          <w:sz w:val="22"/>
          <w:szCs w:val="22"/>
        </w:rPr>
        <w:t xml:space="preserve"> </w:t>
      </w:r>
      <w:r w:rsidR="003E194A" w:rsidRPr="000C7952">
        <w:rPr>
          <w:rFonts w:asciiTheme="majorHAnsi" w:hAnsiTheme="majorHAnsi"/>
          <w:sz w:val="22"/>
          <w:szCs w:val="22"/>
        </w:rPr>
        <w:t>Central collection and collation of primary health data is now essential, with the potential to result in a better understanding of what drives best patient outcomes and areas for service improvement.</w:t>
      </w:r>
    </w:p>
    <w:p w14:paraId="33DDA159" w14:textId="77777777" w:rsidR="005046AA" w:rsidRPr="000C7952" w:rsidRDefault="005046AA" w:rsidP="005046AA">
      <w:pPr>
        <w:rPr>
          <w:rFonts w:asciiTheme="majorHAnsi" w:hAnsiTheme="majorHAnsi"/>
          <w:sz w:val="22"/>
          <w:szCs w:val="22"/>
        </w:rPr>
      </w:pPr>
    </w:p>
    <w:p w14:paraId="621D8AB1" w14:textId="02980AB2" w:rsidR="005046AA" w:rsidRPr="000C7952" w:rsidRDefault="00F92D84" w:rsidP="000D70E6">
      <w:pPr>
        <w:rPr>
          <w:rFonts w:asciiTheme="majorHAnsi" w:hAnsiTheme="majorHAnsi"/>
          <w:sz w:val="22"/>
          <w:szCs w:val="22"/>
        </w:rPr>
      </w:pPr>
      <w:r w:rsidRPr="000C7952">
        <w:rPr>
          <w:rFonts w:asciiTheme="majorHAnsi" w:hAnsiTheme="majorHAnsi"/>
          <w:sz w:val="22"/>
          <w:szCs w:val="22"/>
        </w:rPr>
        <w:t xml:space="preserve">There have been recent positive steps towards this. </w:t>
      </w:r>
      <w:r w:rsidR="00FD7DDC" w:rsidRPr="000C7952">
        <w:rPr>
          <w:rFonts w:asciiTheme="majorHAnsi" w:hAnsiTheme="majorHAnsi"/>
          <w:sz w:val="22"/>
          <w:szCs w:val="22"/>
        </w:rPr>
        <w:t>T</w:t>
      </w:r>
      <w:r w:rsidR="005046AA" w:rsidRPr="000C7952">
        <w:rPr>
          <w:rFonts w:asciiTheme="majorHAnsi" w:hAnsiTheme="majorHAnsi"/>
          <w:sz w:val="22"/>
          <w:szCs w:val="22"/>
        </w:rPr>
        <w:t>he</w:t>
      </w:r>
      <w:r w:rsidR="005906F0" w:rsidRPr="000C7952">
        <w:rPr>
          <w:rFonts w:asciiTheme="majorHAnsi" w:hAnsiTheme="majorHAnsi"/>
          <w:sz w:val="22"/>
          <w:szCs w:val="22"/>
        </w:rPr>
        <w:t xml:space="preserve"> Australian Government </w:t>
      </w:r>
      <w:r w:rsidR="005046AA" w:rsidRPr="000C7952">
        <w:rPr>
          <w:rFonts w:asciiTheme="majorHAnsi" w:hAnsiTheme="majorHAnsi"/>
          <w:sz w:val="22"/>
          <w:szCs w:val="22"/>
        </w:rPr>
        <w:t>funded</w:t>
      </w:r>
      <w:r w:rsidR="005906F0" w:rsidRPr="000C7952">
        <w:rPr>
          <w:rFonts w:asciiTheme="majorHAnsi" w:hAnsiTheme="majorHAnsi"/>
          <w:sz w:val="22"/>
          <w:szCs w:val="22"/>
        </w:rPr>
        <w:t xml:space="preserve"> the Australian Institute of Health and Welfare</w:t>
      </w:r>
      <w:r w:rsidR="00F57285" w:rsidRPr="000C7952">
        <w:rPr>
          <w:rFonts w:asciiTheme="majorHAnsi" w:hAnsiTheme="majorHAnsi"/>
          <w:sz w:val="22"/>
          <w:szCs w:val="22"/>
        </w:rPr>
        <w:t xml:space="preserve"> </w:t>
      </w:r>
      <w:r w:rsidR="00925F50" w:rsidRPr="000C7952">
        <w:rPr>
          <w:rFonts w:asciiTheme="majorHAnsi" w:hAnsiTheme="majorHAnsi"/>
          <w:sz w:val="22"/>
          <w:szCs w:val="22"/>
        </w:rPr>
        <w:t>to establish a Primary Health Care Data Unit and to develop a National Primary Health Care Data Asset</w:t>
      </w:r>
      <w:r w:rsidR="00FD7DDC" w:rsidRPr="000C7952">
        <w:rPr>
          <w:rFonts w:asciiTheme="majorHAnsi" w:hAnsiTheme="majorHAnsi"/>
          <w:sz w:val="22"/>
          <w:szCs w:val="22"/>
        </w:rPr>
        <w:t xml:space="preserve"> in</w:t>
      </w:r>
      <w:r w:rsidR="00FD7DDC" w:rsidRPr="000C7952">
        <w:rPr>
          <w:rFonts w:asciiTheme="majorHAnsi" w:hAnsiTheme="majorHAnsi"/>
        </w:rPr>
        <w:t xml:space="preserve"> </w:t>
      </w:r>
      <w:r w:rsidR="00FD7DDC" w:rsidRPr="000C7952">
        <w:rPr>
          <w:rFonts w:asciiTheme="majorHAnsi" w:hAnsiTheme="majorHAnsi"/>
          <w:sz w:val="22"/>
          <w:szCs w:val="22"/>
        </w:rPr>
        <w:t xml:space="preserve">the 2018-2019 </w:t>
      </w:r>
      <w:proofErr w:type="gramStart"/>
      <w:r w:rsidR="00FD7DDC" w:rsidRPr="000C7952">
        <w:rPr>
          <w:rFonts w:asciiTheme="majorHAnsi" w:hAnsiTheme="majorHAnsi"/>
          <w:sz w:val="22"/>
          <w:szCs w:val="22"/>
        </w:rPr>
        <w:t>budget</w:t>
      </w:r>
      <w:proofErr w:type="gramEnd"/>
      <w:r w:rsidR="005906F0" w:rsidRPr="000C7952">
        <w:rPr>
          <w:rFonts w:asciiTheme="majorHAnsi" w:hAnsiTheme="majorHAnsi"/>
          <w:sz w:val="22"/>
          <w:szCs w:val="22"/>
        </w:rPr>
        <w:t>.</w:t>
      </w:r>
      <w:r w:rsidR="00F57285" w:rsidRPr="000C7952">
        <w:rPr>
          <w:rFonts w:asciiTheme="majorHAnsi" w:hAnsiTheme="majorHAnsi"/>
          <w:sz w:val="22"/>
          <w:szCs w:val="22"/>
        </w:rPr>
        <w:t xml:space="preserve"> </w:t>
      </w:r>
      <w:r w:rsidR="003E194A" w:rsidRPr="000C7952">
        <w:rPr>
          <w:rFonts w:asciiTheme="majorHAnsi" w:hAnsiTheme="majorHAnsi"/>
          <w:sz w:val="22"/>
          <w:szCs w:val="22"/>
        </w:rPr>
        <w:t xml:space="preserve">While the </w:t>
      </w:r>
      <w:r w:rsidR="00EF5D34" w:rsidRPr="000C7952">
        <w:rPr>
          <w:rFonts w:asciiTheme="majorHAnsi" w:hAnsiTheme="majorHAnsi"/>
          <w:sz w:val="22"/>
          <w:szCs w:val="22"/>
        </w:rPr>
        <w:t xml:space="preserve">Data Asset is </w:t>
      </w:r>
      <w:r w:rsidR="003D6611" w:rsidRPr="000C7952">
        <w:rPr>
          <w:rFonts w:asciiTheme="majorHAnsi" w:hAnsiTheme="majorHAnsi"/>
          <w:sz w:val="22"/>
          <w:szCs w:val="22"/>
        </w:rPr>
        <w:t>an improvement on current data knowledge</w:t>
      </w:r>
      <w:r w:rsidR="003E194A" w:rsidRPr="000C7952">
        <w:rPr>
          <w:rFonts w:asciiTheme="majorHAnsi" w:hAnsiTheme="majorHAnsi"/>
          <w:sz w:val="22"/>
          <w:szCs w:val="22"/>
        </w:rPr>
        <w:t xml:space="preserve">, </w:t>
      </w:r>
      <w:r w:rsidR="003D6611" w:rsidRPr="000C7952">
        <w:rPr>
          <w:rFonts w:asciiTheme="majorHAnsi" w:hAnsiTheme="majorHAnsi"/>
          <w:sz w:val="22"/>
          <w:szCs w:val="22"/>
        </w:rPr>
        <w:t>the Australian Government needs to pursue a</w:t>
      </w:r>
      <w:r w:rsidR="00EF5D34" w:rsidRPr="000C7952">
        <w:rPr>
          <w:rFonts w:asciiTheme="majorHAnsi" w:hAnsiTheme="majorHAnsi"/>
          <w:sz w:val="22"/>
          <w:szCs w:val="22"/>
        </w:rPr>
        <w:t xml:space="preserve"> NMDS</w:t>
      </w:r>
      <w:r w:rsidR="003D6611" w:rsidRPr="000C7952">
        <w:rPr>
          <w:rFonts w:asciiTheme="majorHAnsi" w:hAnsiTheme="majorHAnsi"/>
          <w:sz w:val="22"/>
          <w:szCs w:val="22"/>
        </w:rPr>
        <w:t xml:space="preserve"> </w:t>
      </w:r>
      <w:r w:rsidR="00F43B56">
        <w:rPr>
          <w:rFonts w:asciiTheme="majorHAnsi" w:hAnsiTheme="majorHAnsi"/>
          <w:sz w:val="22"/>
          <w:szCs w:val="22"/>
        </w:rPr>
        <w:t>that</w:t>
      </w:r>
      <w:r w:rsidR="003D6611" w:rsidRPr="000C7952">
        <w:rPr>
          <w:rFonts w:asciiTheme="majorHAnsi" w:hAnsiTheme="majorHAnsi"/>
          <w:sz w:val="22"/>
          <w:szCs w:val="22"/>
        </w:rPr>
        <w:t xml:space="preserve"> will provide more useful knowledge</w:t>
      </w:r>
      <w:r w:rsidR="00FD7DDC" w:rsidRPr="000C7952">
        <w:rPr>
          <w:rFonts w:asciiTheme="majorHAnsi" w:hAnsiTheme="majorHAnsi"/>
          <w:sz w:val="22"/>
          <w:szCs w:val="22"/>
        </w:rPr>
        <w:t xml:space="preserve"> on outcomes and usage</w:t>
      </w:r>
      <w:r w:rsidR="003D6611" w:rsidRPr="000C7952">
        <w:rPr>
          <w:rFonts w:asciiTheme="majorHAnsi" w:hAnsiTheme="majorHAnsi"/>
          <w:sz w:val="22"/>
          <w:szCs w:val="22"/>
        </w:rPr>
        <w:t xml:space="preserve"> to improve services</w:t>
      </w:r>
      <w:r w:rsidR="00F57285" w:rsidRPr="000C7952">
        <w:rPr>
          <w:rFonts w:asciiTheme="majorHAnsi" w:hAnsiTheme="majorHAnsi"/>
          <w:sz w:val="22"/>
          <w:szCs w:val="22"/>
        </w:rPr>
        <w:t>.</w:t>
      </w:r>
      <w:r w:rsidR="005906F0" w:rsidRPr="000C7952">
        <w:rPr>
          <w:rFonts w:asciiTheme="majorHAnsi" w:hAnsiTheme="majorHAnsi"/>
          <w:sz w:val="22"/>
          <w:szCs w:val="22"/>
        </w:rPr>
        <w:t xml:space="preserve"> To be effective, the Australian Government must</w:t>
      </w:r>
      <w:r w:rsidRPr="000C7952">
        <w:rPr>
          <w:rFonts w:asciiTheme="majorHAnsi" w:hAnsiTheme="majorHAnsi"/>
          <w:sz w:val="22"/>
          <w:szCs w:val="22"/>
        </w:rPr>
        <w:t xml:space="preserve"> also</w:t>
      </w:r>
      <w:r w:rsidR="005906F0" w:rsidRPr="000C7952">
        <w:rPr>
          <w:rFonts w:asciiTheme="majorHAnsi" w:hAnsiTheme="majorHAnsi"/>
          <w:sz w:val="22"/>
          <w:szCs w:val="22"/>
        </w:rPr>
        <w:t xml:space="preserve"> recognise that some primary health care settings will need support to provide the data required</w:t>
      </w:r>
      <w:r w:rsidR="00F57285" w:rsidRPr="000C7952">
        <w:rPr>
          <w:rFonts w:asciiTheme="majorHAnsi" w:hAnsiTheme="majorHAnsi"/>
          <w:sz w:val="22"/>
          <w:szCs w:val="22"/>
        </w:rPr>
        <w:t xml:space="preserve"> for a NMDS</w:t>
      </w:r>
      <w:r w:rsidR="00EF5D34" w:rsidRPr="000C7952">
        <w:rPr>
          <w:rFonts w:asciiTheme="majorHAnsi" w:hAnsiTheme="majorHAnsi"/>
          <w:sz w:val="22"/>
          <w:szCs w:val="22"/>
        </w:rPr>
        <w:t>; responsibility cannot be allowed to fall solely on already stressed parts of the healthcare system</w:t>
      </w:r>
      <w:r w:rsidR="000D70E6" w:rsidRPr="000C7952">
        <w:rPr>
          <w:rFonts w:asciiTheme="majorHAnsi" w:hAnsiTheme="majorHAnsi"/>
          <w:sz w:val="22"/>
          <w:szCs w:val="22"/>
        </w:rPr>
        <w:t>.</w:t>
      </w:r>
      <w:r w:rsidR="00B8599E" w:rsidRPr="000C7952">
        <w:rPr>
          <w:rFonts w:asciiTheme="majorHAnsi" w:hAnsiTheme="majorHAnsi"/>
          <w:sz w:val="22"/>
          <w:szCs w:val="22"/>
        </w:rPr>
        <w:t xml:space="preserve"> </w:t>
      </w:r>
    </w:p>
    <w:p w14:paraId="5DE0511C" w14:textId="77777777" w:rsidR="008E34D1" w:rsidRPr="000C7952" w:rsidRDefault="008E34D1" w:rsidP="008E34D1">
      <w:pPr>
        <w:rPr>
          <w:rFonts w:asciiTheme="majorHAnsi" w:hAnsiTheme="majorHAnsi" w:cs="Arial"/>
          <w:sz w:val="22"/>
          <w:szCs w:val="22"/>
        </w:rPr>
      </w:pPr>
    </w:p>
    <w:p w14:paraId="0194830E" w14:textId="773010A2" w:rsidR="008E34D1" w:rsidRPr="000C7952" w:rsidRDefault="0049199F" w:rsidP="008E34D1">
      <w:pPr>
        <w:rPr>
          <w:rFonts w:asciiTheme="majorHAnsi" w:hAnsiTheme="majorHAnsi" w:cs="Arial"/>
          <w:b/>
          <w:i/>
          <w:sz w:val="22"/>
          <w:szCs w:val="22"/>
        </w:rPr>
      </w:pPr>
      <w:r w:rsidRPr="000C7952">
        <w:rPr>
          <w:rFonts w:asciiTheme="majorHAnsi" w:hAnsiTheme="majorHAnsi" w:cs="Arial"/>
          <w:b/>
          <w:i/>
          <w:sz w:val="22"/>
          <w:szCs w:val="22"/>
        </w:rPr>
        <w:t>Recommendations</w:t>
      </w:r>
    </w:p>
    <w:p w14:paraId="4B75D008" w14:textId="5EAD6FB1" w:rsidR="00925F50" w:rsidRPr="000C7952" w:rsidRDefault="00B8599E" w:rsidP="00925F50">
      <w:pPr>
        <w:rPr>
          <w:rFonts w:asciiTheme="majorHAnsi" w:hAnsiTheme="majorHAnsi" w:cs="Arial"/>
          <w:sz w:val="22"/>
          <w:szCs w:val="22"/>
        </w:rPr>
      </w:pPr>
      <w:r w:rsidRPr="000C7952">
        <w:rPr>
          <w:rFonts w:asciiTheme="majorHAnsi" w:hAnsiTheme="majorHAnsi" w:cs="Arial"/>
          <w:sz w:val="22"/>
          <w:szCs w:val="22"/>
        </w:rPr>
        <w:t>The VHA echoes the calls</w:t>
      </w:r>
      <w:r w:rsidR="00F92D84" w:rsidRPr="000C7952">
        <w:rPr>
          <w:rFonts w:asciiTheme="majorHAnsi" w:hAnsiTheme="majorHAnsi" w:cs="Arial"/>
          <w:sz w:val="22"/>
          <w:szCs w:val="22"/>
        </w:rPr>
        <w:t xml:space="preserve"> of the Australian Healthcare and Hospitals Association for the creation of a national minimum data set for primary health</w:t>
      </w:r>
      <w:r w:rsidR="00F92D84" w:rsidRPr="000C7952">
        <w:rPr>
          <w:rStyle w:val="FootnoteReference"/>
          <w:rFonts w:asciiTheme="majorHAnsi" w:hAnsiTheme="majorHAnsi" w:cs="Arial"/>
          <w:sz w:val="22"/>
          <w:szCs w:val="22"/>
        </w:rPr>
        <w:footnoteReference w:id="34"/>
      </w:r>
      <w:r w:rsidR="00F43B56">
        <w:rPr>
          <w:rFonts w:asciiTheme="majorHAnsi" w:hAnsiTheme="majorHAnsi" w:cs="Arial"/>
          <w:sz w:val="22"/>
          <w:szCs w:val="22"/>
        </w:rPr>
        <w:t>.</w:t>
      </w:r>
      <w:r w:rsidR="00F92D84" w:rsidRPr="000C7952">
        <w:rPr>
          <w:rFonts w:asciiTheme="majorHAnsi" w:hAnsiTheme="majorHAnsi" w:cs="Arial"/>
          <w:sz w:val="22"/>
          <w:szCs w:val="22"/>
        </w:rPr>
        <w:t xml:space="preserve"> </w:t>
      </w:r>
      <w:r w:rsidR="00925F50" w:rsidRPr="000C7952">
        <w:rPr>
          <w:rFonts w:asciiTheme="majorHAnsi" w:hAnsiTheme="majorHAnsi" w:cs="Arial"/>
          <w:sz w:val="22"/>
          <w:szCs w:val="22"/>
        </w:rPr>
        <w:t xml:space="preserve">The Australian Government must build on </w:t>
      </w:r>
      <w:r w:rsidR="000D70E6" w:rsidRPr="000C7952">
        <w:rPr>
          <w:rFonts w:asciiTheme="majorHAnsi" w:hAnsiTheme="majorHAnsi" w:cs="Arial"/>
          <w:sz w:val="22"/>
          <w:szCs w:val="22"/>
        </w:rPr>
        <w:t>it</w:t>
      </w:r>
      <w:r w:rsidR="00FB3662" w:rsidRPr="000C7952">
        <w:rPr>
          <w:rFonts w:asciiTheme="majorHAnsi" w:hAnsiTheme="majorHAnsi" w:cs="Arial"/>
          <w:sz w:val="22"/>
          <w:szCs w:val="22"/>
        </w:rPr>
        <w:t>s</w:t>
      </w:r>
      <w:r w:rsidR="000D70E6" w:rsidRPr="000C7952">
        <w:rPr>
          <w:rFonts w:asciiTheme="majorHAnsi" w:hAnsiTheme="majorHAnsi" w:cs="Arial"/>
          <w:sz w:val="22"/>
          <w:szCs w:val="22"/>
        </w:rPr>
        <w:t xml:space="preserve"> National Primary Health Care Data Asset </w:t>
      </w:r>
      <w:r w:rsidR="00925F50" w:rsidRPr="000C7952">
        <w:rPr>
          <w:rFonts w:asciiTheme="majorHAnsi" w:hAnsiTheme="majorHAnsi" w:cs="Arial"/>
          <w:sz w:val="22"/>
          <w:szCs w:val="22"/>
        </w:rPr>
        <w:t>commitment by:</w:t>
      </w:r>
    </w:p>
    <w:p w14:paraId="38819A10" w14:textId="47CF4321" w:rsidR="00F57285" w:rsidRPr="000C7952" w:rsidRDefault="00F57285" w:rsidP="005C2AAD">
      <w:pPr>
        <w:pStyle w:val="ListParagraph"/>
      </w:pPr>
      <w:r w:rsidRPr="000C7952">
        <w:t xml:space="preserve">supporting the </w:t>
      </w:r>
      <w:r w:rsidR="00B8599E" w:rsidRPr="000C7952">
        <w:t xml:space="preserve">Australian Institute of Health and Welfare </w:t>
      </w:r>
      <w:r w:rsidRPr="000C7952">
        <w:t>to lead the development of a Primary Health Care National Minimum Data Set</w:t>
      </w:r>
      <w:r w:rsidR="006D53C4" w:rsidRPr="000C7952">
        <w:t xml:space="preserve"> </w:t>
      </w:r>
      <w:r w:rsidR="005C2AAD" w:rsidRPr="005C2AAD">
        <w:t xml:space="preserve">to map and chronicle primary healthcare, like other healthcare areas, so that patient outcomes and usage can be </w:t>
      </w:r>
      <w:r w:rsidR="005C2AAD">
        <w:t>analysed</w:t>
      </w:r>
      <w:r w:rsidR="005C2AAD" w:rsidRPr="005C2AAD">
        <w:t>, which should enable health services to improve healthcare provision</w:t>
      </w:r>
    </w:p>
    <w:p w14:paraId="167CE320" w14:textId="092AE3C3" w:rsidR="00F57285" w:rsidRPr="000C7952" w:rsidRDefault="00741031" w:rsidP="000F2A80">
      <w:pPr>
        <w:pStyle w:val="ListParagraph"/>
        <w:rPr>
          <w:b/>
        </w:rPr>
      </w:pPr>
      <w:r w:rsidRPr="000C7952">
        <w:t xml:space="preserve">ensuring </w:t>
      </w:r>
      <w:r w:rsidR="006D53C4" w:rsidRPr="000C7952">
        <w:t>alignment with other national data sets in health through a nati</w:t>
      </w:r>
      <w:r w:rsidR="00A77930" w:rsidRPr="000C7952">
        <w:t>onal</w:t>
      </w:r>
      <w:r w:rsidRPr="000C7952">
        <w:t xml:space="preserve"> data governance framework, to chronicle the entire health experience in Australia which will lead to service improvements</w:t>
      </w:r>
    </w:p>
    <w:p w14:paraId="7E90C8F1" w14:textId="700E18ED" w:rsidR="00F57285" w:rsidRPr="000C7952" w:rsidRDefault="00F57285" w:rsidP="005C2AAD">
      <w:pPr>
        <w:pStyle w:val="ListParagraph"/>
        <w:rPr>
          <w:b/>
        </w:rPr>
      </w:pPr>
      <w:r w:rsidRPr="000C7952">
        <w:t>ensuring that other aspects of primary health care services,</w:t>
      </w:r>
      <w:r w:rsidR="00741031" w:rsidRPr="000C7952">
        <w:t xml:space="preserve"> such as community health </w:t>
      </w:r>
      <w:r w:rsidR="00741031" w:rsidRPr="000C7952">
        <w:lastRenderedPageBreak/>
        <w:t>services</w:t>
      </w:r>
      <w:r w:rsidRPr="000C7952">
        <w:t>, are a key focus of data collection</w:t>
      </w:r>
      <w:r w:rsidR="00741031" w:rsidRPr="000C7952">
        <w:t>, and not just general practice</w:t>
      </w:r>
      <w:r w:rsidR="005C2AAD" w:rsidRPr="005C2AAD">
        <w:t xml:space="preserve">, so that the full spectrum </w:t>
      </w:r>
      <w:r w:rsidR="005C2AAD">
        <w:t>of primary care can be analysed</w:t>
      </w:r>
    </w:p>
    <w:p w14:paraId="368F9094" w14:textId="69606341" w:rsidR="00C3376B" w:rsidRDefault="003B0828" w:rsidP="00C3376B">
      <w:pPr>
        <w:pStyle w:val="ListParagraph"/>
      </w:pPr>
      <w:proofErr w:type="gramStart"/>
      <w:r w:rsidRPr="000C7952">
        <w:t>ensuring</w:t>
      </w:r>
      <w:proofErr w:type="gramEnd"/>
      <w:r w:rsidRPr="000C7952">
        <w:t xml:space="preserve"> that any increased reporting commitments on primary care services are</w:t>
      </w:r>
      <w:r w:rsidR="005C2AAD">
        <w:t xml:space="preserve"> reflected in funding increases, so that responsibility is not passed onto already stretched parts of the Australian health system.</w:t>
      </w:r>
    </w:p>
    <w:p w14:paraId="7A44E6FF" w14:textId="77777777" w:rsidR="00F43B56" w:rsidRDefault="00F43B56" w:rsidP="00F43B56">
      <w:pPr>
        <w:pStyle w:val="Subhead"/>
        <w:outlineLvl w:val="0"/>
        <w:rPr>
          <w:rFonts w:asciiTheme="minorHAnsi" w:hAnsiTheme="minorHAnsi" w:cstheme="minorBidi"/>
          <w:b w:val="0"/>
          <w:bCs w:val="0"/>
          <w:color w:val="auto"/>
        </w:rPr>
      </w:pPr>
    </w:p>
    <w:p w14:paraId="405EB8B3" w14:textId="77777777" w:rsidR="00F43B56" w:rsidRDefault="00F43B56" w:rsidP="00F43B56">
      <w:pPr>
        <w:pStyle w:val="Subhead"/>
        <w:outlineLvl w:val="0"/>
        <w:rPr>
          <w:rFonts w:asciiTheme="minorHAnsi" w:hAnsiTheme="minorHAnsi" w:cstheme="minorBidi"/>
          <w:b w:val="0"/>
          <w:bCs w:val="0"/>
          <w:color w:val="auto"/>
        </w:rPr>
      </w:pPr>
    </w:p>
    <w:p w14:paraId="0CE092CE" w14:textId="77777777" w:rsidR="00F43B56" w:rsidRDefault="00F43B56" w:rsidP="00F43B56">
      <w:pPr>
        <w:pStyle w:val="Subhead"/>
        <w:outlineLvl w:val="0"/>
        <w:rPr>
          <w:rFonts w:asciiTheme="minorHAnsi" w:hAnsiTheme="minorHAnsi" w:cstheme="minorBidi"/>
          <w:b w:val="0"/>
          <w:bCs w:val="0"/>
          <w:color w:val="auto"/>
        </w:rPr>
      </w:pPr>
    </w:p>
    <w:p w14:paraId="300A10FB" w14:textId="77777777" w:rsidR="00F43B56" w:rsidRPr="000C7952" w:rsidRDefault="00F43B56" w:rsidP="00F43B56">
      <w:pPr>
        <w:pStyle w:val="Subhead"/>
        <w:outlineLvl w:val="0"/>
        <w:rPr>
          <w:rFonts w:asciiTheme="majorHAnsi" w:hAnsiTheme="majorHAnsi"/>
          <w:color w:val="auto"/>
        </w:rPr>
      </w:pPr>
      <w:r w:rsidRPr="000C7952">
        <w:rPr>
          <w:rFonts w:asciiTheme="majorHAnsi" w:hAnsiTheme="majorHAnsi"/>
          <w:color w:val="auto"/>
        </w:rPr>
        <w:t>For more information, contact:</w:t>
      </w:r>
    </w:p>
    <w:p w14:paraId="0D3A338B" w14:textId="77777777" w:rsidR="00F43B56" w:rsidRPr="000C7952" w:rsidRDefault="00F43B56" w:rsidP="00F43B56">
      <w:pPr>
        <w:rPr>
          <w:rFonts w:asciiTheme="majorHAnsi" w:hAnsiTheme="majorHAnsi" w:cs="Arial"/>
          <w:sz w:val="22"/>
          <w:szCs w:val="22"/>
          <w:lang w:val="en-US"/>
        </w:rPr>
      </w:pPr>
      <w:r w:rsidRPr="000C7952">
        <w:rPr>
          <w:rFonts w:asciiTheme="majorHAnsi" w:hAnsiTheme="majorHAnsi" w:cs="Arial"/>
          <w:sz w:val="22"/>
          <w:szCs w:val="22"/>
          <w:lang w:val="en-US"/>
        </w:rPr>
        <w:t xml:space="preserve">Tom Symondson </w:t>
      </w:r>
    </w:p>
    <w:p w14:paraId="0CD8247B" w14:textId="77777777" w:rsidR="00F43B56" w:rsidRPr="000C7952" w:rsidRDefault="00F43B56" w:rsidP="00F43B56">
      <w:pPr>
        <w:rPr>
          <w:rFonts w:asciiTheme="majorHAnsi" w:hAnsiTheme="majorHAnsi" w:cs="Arial"/>
          <w:sz w:val="22"/>
          <w:szCs w:val="22"/>
          <w:lang w:val="en-US"/>
        </w:rPr>
      </w:pPr>
      <w:r w:rsidRPr="000C7952">
        <w:rPr>
          <w:rFonts w:asciiTheme="majorHAnsi" w:hAnsiTheme="majorHAnsi" w:cs="Arial"/>
          <w:sz w:val="22"/>
          <w:szCs w:val="22"/>
          <w:lang w:val="en-US"/>
        </w:rPr>
        <w:t xml:space="preserve">Chief Executive Officer </w:t>
      </w:r>
    </w:p>
    <w:p w14:paraId="5AFC3303" w14:textId="77777777" w:rsidR="00F43B56" w:rsidRPr="000C7952" w:rsidRDefault="00F43B56" w:rsidP="00F43B56">
      <w:pPr>
        <w:rPr>
          <w:rFonts w:asciiTheme="majorHAnsi" w:hAnsiTheme="majorHAnsi" w:cs="Arial"/>
          <w:sz w:val="22"/>
          <w:szCs w:val="22"/>
          <w:lang w:val="en-US"/>
        </w:rPr>
      </w:pPr>
      <w:hyperlink r:id="rId9" w:history="1">
        <w:r w:rsidRPr="000C7952">
          <w:rPr>
            <w:rStyle w:val="Hyperlink"/>
            <w:rFonts w:asciiTheme="majorHAnsi" w:hAnsiTheme="majorHAnsi" w:cs="Arial"/>
            <w:sz w:val="22"/>
            <w:szCs w:val="22"/>
            <w:lang w:val="en-US"/>
          </w:rPr>
          <w:t>tom.symondson@vha.org.au</w:t>
        </w:r>
      </w:hyperlink>
    </w:p>
    <w:p w14:paraId="183DDA00" w14:textId="77777777" w:rsidR="00F43B56" w:rsidRPr="000C7952" w:rsidRDefault="00F43B56" w:rsidP="00F43B56">
      <w:pPr>
        <w:rPr>
          <w:rFonts w:asciiTheme="majorHAnsi" w:hAnsiTheme="majorHAnsi" w:cs="Arial"/>
          <w:sz w:val="22"/>
          <w:szCs w:val="22"/>
          <w:lang w:val="en-US"/>
        </w:rPr>
      </w:pPr>
      <w:r w:rsidRPr="000C7952">
        <w:rPr>
          <w:rFonts w:asciiTheme="majorHAnsi" w:hAnsiTheme="majorHAnsi" w:cs="Arial"/>
          <w:sz w:val="22"/>
          <w:szCs w:val="22"/>
          <w:lang w:val="en-US"/>
        </w:rPr>
        <w:t>03 9094 7777</w:t>
      </w:r>
    </w:p>
    <w:p w14:paraId="17E0F8A9" w14:textId="77777777" w:rsidR="00F43B56" w:rsidRPr="000C7952" w:rsidRDefault="00F43B56" w:rsidP="00F43B56">
      <w:pPr>
        <w:rPr>
          <w:rFonts w:asciiTheme="majorHAnsi" w:hAnsiTheme="majorHAnsi" w:cs="Arial"/>
          <w:sz w:val="22"/>
          <w:szCs w:val="22"/>
        </w:rPr>
      </w:pPr>
    </w:p>
    <w:p w14:paraId="2CB029E3" w14:textId="77777777" w:rsidR="00F43B56" w:rsidRPr="000C7952" w:rsidRDefault="00F43B56" w:rsidP="00F43B56">
      <w:pPr>
        <w:rPr>
          <w:rFonts w:asciiTheme="majorHAnsi" w:hAnsiTheme="majorHAnsi" w:cs="Arial"/>
          <w:sz w:val="22"/>
          <w:szCs w:val="22"/>
        </w:rPr>
      </w:pPr>
      <w:r w:rsidRPr="000C7952">
        <w:rPr>
          <w:rFonts w:asciiTheme="majorHAnsi" w:hAnsiTheme="majorHAnsi" w:cs="Arial"/>
          <w:sz w:val="22"/>
          <w:szCs w:val="22"/>
        </w:rPr>
        <w:t>Emma Liepa</w:t>
      </w:r>
    </w:p>
    <w:p w14:paraId="7D43AFAB" w14:textId="77777777" w:rsidR="00F43B56" w:rsidRPr="000C7952" w:rsidRDefault="00F43B56" w:rsidP="00F43B56">
      <w:pPr>
        <w:rPr>
          <w:rFonts w:asciiTheme="majorHAnsi" w:hAnsiTheme="majorHAnsi" w:cs="Arial"/>
          <w:sz w:val="22"/>
          <w:szCs w:val="22"/>
        </w:rPr>
      </w:pPr>
      <w:r w:rsidRPr="000C7952">
        <w:rPr>
          <w:rFonts w:asciiTheme="majorHAnsi" w:hAnsiTheme="majorHAnsi" w:cs="Arial"/>
          <w:sz w:val="22"/>
          <w:szCs w:val="22"/>
        </w:rPr>
        <w:t>Director of Policy and Strategy</w:t>
      </w:r>
    </w:p>
    <w:p w14:paraId="28B73AE5" w14:textId="77777777" w:rsidR="00F43B56" w:rsidRPr="000C7952" w:rsidRDefault="00F43B56" w:rsidP="00F43B56">
      <w:pPr>
        <w:rPr>
          <w:rFonts w:asciiTheme="majorHAnsi" w:hAnsiTheme="majorHAnsi" w:cs="Arial"/>
          <w:sz w:val="22"/>
          <w:szCs w:val="22"/>
        </w:rPr>
      </w:pPr>
      <w:r w:rsidRPr="000C7952">
        <w:rPr>
          <w:rFonts w:asciiTheme="majorHAnsi" w:hAnsiTheme="majorHAnsi" w:cs="Arial"/>
          <w:sz w:val="22"/>
          <w:szCs w:val="22"/>
        </w:rPr>
        <w:t xml:space="preserve">Email: </w:t>
      </w:r>
      <w:hyperlink r:id="rId10" w:history="1">
        <w:r w:rsidRPr="000C7952">
          <w:rPr>
            <w:rStyle w:val="Hyperlink"/>
            <w:rFonts w:asciiTheme="majorHAnsi" w:hAnsiTheme="majorHAnsi" w:cs="Arial"/>
            <w:sz w:val="22"/>
            <w:szCs w:val="22"/>
          </w:rPr>
          <w:t>emma.liepa@vha.org.au</w:t>
        </w:r>
      </w:hyperlink>
    </w:p>
    <w:p w14:paraId="185B1BC4" w14:textId="77777777" w:rsidR="00F43B56" w:rsidRPr="000C7952" w:rsidRDefault="00F43B56" w:rsidP="00F43B56">
      <w:pPr>
        <w:rPr>
          <w:rFonts w:asciiTheme="majorHAnsi" w:hAnsiTheme="majorHAnsi" w:cs="Arial"/>
          <w:sz w:val="22"/>
          <w:szCs w:val="22"/>
        </w:rPr>
      </w:pPr>
      <w:r w:rsidRPr="000C7952">
        <w:rPr>
          <w:rFonts w:asciiTheme="majorHAnsi" w:hAnsiTheme="majorHAnsi" w:cs="Arial"/>
          <w:sz w:val="22"/>
          <w:szCs w:val="22"/>
        </w:rPr>
        <w:t>Phone: 03 9094 7777</w:t>
      </w:r>
    </w:p>
    <w:p w14:paraId="29EEC21E" w14:textId="77777777" w:rsidR="00F43B56" w:rsidRPr="00F43B56" w:rsidRDefault="00F43B56" w:rsidP="00F43B56"/>
    <w:sectPr w:rsidR="00F43B56" w:rsidRPr="00F43B56" w:rsidSect="00600B97">
      <w:headerReference w:type="default" r:id="rId11"/>
      <w:footerReference w:type="even" r:id="rId12"/>
      <w:footerReference w:type="default" r:id="rId13"/>
      <w:pgSz w:w="11900" w:h="16840"/>
      <w:pgMar w:top="2722" w:right="1134" w:bottom="1560" w:left="1701" w:header="1701" w:footer="445"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718A31B" w15:done="0"/>
  <w15:commentEx w15:paraId="161AAF0E" w15:done="0"/>
  <w15:commentEx w15:paraId="4F59314D" w15:done="0"/>
  <w15:commentEx w15:paraId="2B4256C9" w15:done="0"/>
  <w15:commentEx w15:paraId="1C198BBF" w15:done="0"/>
  <w15:commentEx w15:paraId="2B8B0986" w15:done="0"/>
  <w15:commentEx w15:paraId="656CB812" w15:done="0"/>
  <w15:commentEx w15:paraId="6C89BE8F" w15:done="0"/>
  <w15:commentEx w15:paraId="05E17FF2" w15:done="0"/>
  <w15:commentEx w15:paraId="46DB1759" w15:done="0"/>
  <w15:commentEx w15:paraId="13EB76FF" w15:done="0"/>
  <w15:commentEx w15:paraId="560BEAC8" w15:done="0"/>
  <w15:commentEx w15:paraId="029D4089" w15:done="0"/>
  <w15:commentEx w15:paraId="653162FF" w15:done="0"/>
  <w15:commentEx w15:paraId="6087F383" w15:done="0"/>
  <w15:commentEx w15:paraId="0B3A6B9B" w15:done="0"/>
  <w15:commentEx w15:paraId="694F89D3" w15:done="0"/>
  <w15:commentEx w15:paraId="1AC797BF" w15:done="0"/>
  <w15:commentEx w15:paraId="76917B05" w15:done="0"/>
  <w15:commentEx w15:paraId="2F7E7BAC" w15:done="0"/>
  <w15:commentEx w15:paraId="60859427" w15:done="0"/>
  <w15:commentEx w15:paraId="7FA8B6F8" w15:done="0"/>
  <w15:commentEx w15:paraId="1F4C71CF" w15:done="0"/>
  <w15:commentEx w15:paraId="2D768608" w15:done="0"/>
  <w15:commentEx w15:paraId="67910E15" w15:done="0"/>
  <w15:commentEx w15:paraId="55EF8EC2" w15:done="0"/>
  <w15:commentEx w15:paraId="71D51A79" w15:done="0"/>
  <w15:commentEx w15:paraId="2F959332" w15:paraIdParent="71D51A79" w15:done="0"/>
  <w15:commentEx w15:paraId="20FA9179" w15:done="0"/>
  <w15:commentEx w15:paraId="520FF6C4" w15:done="0"/>
  <w15:commentEx w15:paraId="763B8CAC" w15:done="0"/>
  <w15:commentEx w15:paraId="52DCBC53" w15:done="0"/>
  <w15:commentEx w15:paraId="088C1AC3" w15:done="0"/>
  <w15:commentEx w15:paraId="07424279" w15:done="0"/>
  <w15:commentEx w15:paraId="234AFE47" w15:done="0"/>
  <w15:commentEx w15:paraId="4E715204" w15:done="0"/>
  <w15:commentEx w15:paraId="0F935418" w15:done="0"/>
  <w15:commentEx w15:paraId="1D3E4DC8" w15:done="0"/>
  <w15:commentEx w15:paraId="23D9FF07" w15:done="0"/>
  <w15:commentEx w15:paraId="7D984ED5" w15:done="0"/>
  <w15:commentEx w15:paraId="6894D065" w15:done="0"/>
  <w15:commentEx w15:paraId="7C047EA1" w15:done="0"/>
  <w15:commentEx w15:paraId="2EC18B4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18A31B" w16cid:durableId="1FF59557"/>
  <w16cid:commentId w16cid:paraId="161AAF0E" w16cid:durableId="1FF59567"/>
  <w16cid:commentId w16cid:paraId="4F59314D" w16cid:durableId="1FF596FB"/>
  <w16cid:commentId w16cid:paraId="2B4256C9" w16cid:durableId="1FF59862"/>
  <w16cid:commentId w16cid:paraId="1C198BBF" w16cid:durableId="1FF598B2"/>
  <w16cid:commentId w16cid:paraId="2B8B0986" w16cid:durableId="1FF598CA"/>
  <w16cid:commentId w16cid:paraId="656CB812" w16cid:durableId="1FF5992C"/>
  <w16cid:commentId w16cid:paraId="6C89BE8F" w16cid:durableId="1FF5995D"/>
  <w16cid:commentId w16cid:paraId="05E17FF2" w16cid:durableId="1FF59969"/>
  <w16cid:commentId w16cid:paraId="46DB1759" w16cid:durableId="1FF59A6C"/>
  <w16cid:commentId w16cid:paraId="13EB76FF" w16cid:durableId="1FF59A5F"/>
  <w16cid:commentId w16cid:paraId="560BEAC8" w16cid:durableId="1FF59AA0"/>
  <w16cid:commentId w16cid:paraId="029D4089" w16cid:durableId="1FF59B56"/>
  <w16cid:commentId w16cid:paraId="653162FF" w16cid:durableId="1FF5A44E"/>
  <w16cid:commentId w16cid:paraId="6087F383" w16cid:durableId="1FF5A670"/>
  <w16cid:commentId w16cid:paraId="0B3A6B9B" w16cid:durableId="1FF5A4FA"/>
  <w16cid:commentId w16cid:paraId="694F89D3" w16cid:durableId="1FF5A756"/>
  <w16cid:commentId w16cid:paraId="1AC797BF" w16cid:durableId="1FF5A72E"/>
  <w16cid:commentId w16cid:paraId="76917B05" w16cid:durableId="1FF5A70B"/>
  <w16cid:commentId w16cid:paraId="2F7E7BAC" w16cid:durableId="1FF5A979"/>
  <w16cid:commentId w16cid:paraId="60859427" w16cid:durableId="1FF5A81B"/>
  <w16cid:commentId w16cid:paraId="7FA8B6F8" w16cid:durableId="1FF5A881"/>
  <w16cid:commentId w16cid:paraId="1F4C71CF" w16cid:durableId="1FF5AA1D"/>
  <w16cid:commentId w16cid:paraId="2D768608" w16cid:durableId="1FF5AC2D"/>
  <w16cid:commentId w16cid:paraId="67910E15" w16cid:durableId="1FF5AC50"/>
  <w16cid:commentId w16cid:paraId="55EF8EC2" w16cid:durableId="1FF5AC63"/>
  <w16cid:commentId w16cid:paraId="71D51A79" w16cid:durableId="1FF5ACAE"/>
  <w16cid:commentId w16cid:paraId="2F959332" w16cid:durableId="1FF5ACAF"/>
  <w16cid:commentId w16cid:paraId="20FA9179" w16cid:durableId="1FF5ACE2"/>
  <w16cid:commentId w16cid:paraId="520FF6C4" w16cid:durableId="1FF5AD36"/>
  <w16cid:commentId w16cid:paraId="763B8CAC" w16cid:durableId="1FF5AD3D"/>
  <w16cid:commentId w16cid:paraId="52DCBC53" w16cid:durableId="1FF5ADBB"/>
  <w16cid:commentId w16cid:paraId="088C1AC3" w16cid:durableId="1FF5AED9"/>
  <w16cid:commentId w16cid:paraId="07424279" w16cid:durableId="1FF5AEE9"/>
  <w16cid:commentId w16cid:paraId="234AFE47" w16cid:durableId="1FF5AFAC"/>
  <w16cid:commentId w16cid:paraId="4E715204" w16cid:durableId="1FF5B06C"/>
  <w16cid:commentId w16cid:paraId="0F935418" w16cid:durableId="1FF5B074"/>
  <w16cid:commentId w16cid:paraId="1D3E4DC8" w16cid:durableId="1FF5B127"/>
  <w16cid:commentId w16cid:paraId="23D9FF07" w16cid:durableId="1FF5B1FB"/>
  <w16cid:commentId w16cid:paraId="7D984ED5" w16cid:durableId="1FF5B1E8"/>
  <w16cid:commentId w16cid:paraId="6894D065" w16cid:durableId="1FF5B288"/>
  <w16cid:commentId w16cid:paraId="7C047EA1" w16cid:durableId="1FF5B560"/>
  <w16cid:commentId w16cid:paraId="2EC18B4F" w16cid:durableId="1FF5B5A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5370A7" w14:textId="77777777" w:rsidR="00805422" w:rsidRDefault="00805422" w:rsidP="00A77930">
      <w:r>
        <w:separator/>
      </w:r>
    </w:p>
  </w:endnote>
  <w:endnote w:type="continuationSeparator" w:id="0">
    <w:p w14:paraId="52DC5FCD" w14:textId="77777777" w:rsidR="00805422" w:rsidRDefault="00805422" w:rsidP="00A77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BoldMT">
    <w:altName w:val="Arial"/>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E2F7F" w14:textId="77777777" w:rsidR="00805422" w:rsidRDefault="00805422">
    <w:pPr>
      <w:pStyle w:val="Footer"/>
    </w:pPr>
    <w:sdt>
      <w:sdtPr>
        <w:id w:val="-689839617"/>
        <w:placeholder>
          <w:docPart w:val="C58FDF1FBDC7D24EB4F36C203AA55DF6"/>
        </w:placeholder>
        <w:temporary/>
        <w:showingPlcHdr/>
      </w:sdtPr>
      <w:sdtContent>
        <w:r>
          <w:t>[Type text]</w:t>
        </w:r>
      </w:sdtContent>
    </w:sdt>
    <w:r>
      <w:ptab w:relativeTo="margin" w:alignment="center" w:leader="none"/>
    </w:r>
    <w:sdt>
      <w:sdtPr>
        <w:id w:val="1305735274"/>
        <w:placeholder>
          <w:docPart w:val="FB2E92A41989EF4F9A91ACA67D1707C0"/>
        </w:placeholder>
        <w:temporary/>
        <w:showingPlcHdr/>
      </w:sdtPr>
      <w:sdtContent>
        <w:r>
          <w:t>[Type text]</w:t>
        </w:r>
      </w:sdtContent>
    </w:sdt>
    <w:r>
      <w:ptab w:relativeTo="margin" w:alignment="right" w:leader="none"/>
    </w:r>
    <w:sdt>
      <w:sdtPr>
        <w:id w:val="2133430719"/>
        <w:placeholder>
          <w:docPart w:val="33ACC8EC23888244AEA795194CF5258C"/>
        </w:placeholder>
        <w:temporary/>
        <w:showingPlcHdr/>
      </w:sdtPr>
      <w:sdtContent>
        <w:r>
          <w:t>[Type text]</w:t>
        </w:r>
      </w:sdtContent>
    </w:sdt>
  </w:p>
  <w:p w14:paraId="0A60F92D" w14:textId="77777777" w:rsidR="00805422" w:rsidRDefault="0080542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BEA10A" w14:textId="77777777" w:rsidR="00805422" w:rsidRPr="00EF2860" w:rsidRDefault="00805422" w:rsidP="00A77930">
    <w:pPr>
      <w:widowControl w:val="0"/>
      <w:autoSpaceDE w:val="0"/>
      <w:autoSpaceDN w:val="0"/>
      <w:adjustRightInd w:val="0"/>
      <w:spacing w:line="190" w:lineRule="atLeast"/>
      <w:textAlignment w:val="center"/>
      <w:rPr>
        <w:rFonts w:ascii="Verdana" w:hAnsi="Verdana" w:cs="Arial"/>
        <w:color w:val="006685"/>
        <w:spacing w:val="-2"/>
        <w:sz w:val="8"/>
        <w:szCs w:val="8"/>
        <w:lang w:val="en-GB"/>
      </w:rPr>
    </w:pPr>
  </w:p>
  <w:p w14:paraId="7F50FB35" w14:textId="77777777" w:rsidR="00805422" w:rsidRPr="00EF2860" w:rsidRDefault="00805422" w:rsidP="00A77930">
    <w:pPr>
      <w:widowControl w:val="0"/>
      <w:suppressAutoHyphens/>
      <w:autoSpaceDE w:val="0"/>
      <w:autoSpaceDN w:val="0"/>
      <w:adjustRightInd w:val="0"/>
      <w:spacing w:before="100" w:line="140" w:lineRule="atLeast"/>
      <w:jc w:val="right"/>
      <w:textAlignment w:val="center"/>
      <w:rPr>
        <w:rFonts w:ascii="Verdana" w:hAnsi="Verdana" w:cs="Arial"/>
        <w:color w:val="57595C"/>
        <w:sz w:val="13"/>
        <w:szCs w:val="13"/>
      </w:rPr>
    </w:pPr>
    <w:r w:rsidRPr="00EF2860">
      <w:rPr>
        <w:rFonts w:ascii="Verdana" w:hAnsi="Verdana" w:cs="Times New Roman"/>
        <w:color w:val="57595C"/>
        <w:sz w:val="13"/>
        <w:szCs w:val="13"/>
      </w:rPr>
      <w:t xml:space="preserve">Page </w:t>
    </w:r>
    <w:r w:rsidRPr="00EF2860">
      <w:rPr>
        <w:rFonts w:ascii="Verdana" w:hAnsi="Verdana" w:cs="Times New Roman"/>
        <w:color w:val="57595C"/>
        <w:sz w:val="13"/>
        <w:szCs w:val="13"/>
      </w:rPr>
      <w:fldChar w:fldCharType="begin"/>
    </w:r>
    <w:r w:rsidRPr="00EF2860">
      <w:rPr>
        <w:rFonts w:ascii="Verdana" w:hAnsi="Verdana" w:cs="Times New Roman"/>
        <w:color w:val="57595C"/>
        <w:sz w:val="13"/>
        <w:szCs w:val="13"/>
      </w:rPr>
      <w:instrText xml:space="preserve"> PAGE </w:instrText>
    </w:r>
    <w:r w:rsidRPr="00EF2860">
      <w:rPr>
        <w:rFonts w:ascii="Verdana" w:hAnsi="Verdana" w:cs="Times New Roman"/>
        <w:color w:val="57595C"/>
        <w:sz w:val="13"/>
        <w:szCs w:val="13"/>
      </w:rPr>
      <w:fldChar w:fldCharType="separate"/>
    </w:r>
    <w:r w:rsidR="00A6491A">
      <w:rPr>
        <w:rFonts w:ascii="Verdana" w:hAnsi="Verdana" w:cs="Times New Roman"/>
        <w:noProof/>
        <w:color w:val="57595C"/>
        <w:sz w:val="13"/>
        <w:szCs w:val="13"/>
      </w:rPr>
      <w:t>12</w:t>
    </w:r>
    <w:r w:rsidRPr="00EF2860">
      <w:rPr>
        <w:rFonts w:ascii="Verdana" w:hAnsi="Verdana" w:cs="Times New Roman"/>
        <w:color w:val="57595C"/>
        <w:sz w:val="13"/>
        <w:szCs w:val="13"/>
      </w:rPr>
      <w:fldChar w:fldCharType="end"/>
    </w:r>
  </w:p>
  <w:p w14:paraId="60C21D4F" w14:textId="77777777" w:rsidR="00805422" w:rsidRDefault="0080542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EB79D9" w14:textId="77777777" w:rsidR="00805422" w:rsidRDefault="00805422" w:rsidP="00A77930">
      <w:r>
        <w:separator/>
      </w:r>
    </w:p>
  </w:footnote>
  <w:footnote w:type="continuationSeparator" w:id="0">
    <w:p w14:paraId="04F11892" w14:textId="77777777" w:rsidR="00805422" w:rsidRDefault="00805422" w:rsidP="00A77930">
      <w:r>
        <w:continuationSeparator/>
      </w:r>
    </w:p>
  </w:footnote>
  <w:footnote w:id="1">
    <w:p w14:paraId="70FE3095" w14:textId="629FA93F" w:rsidR="00805422" w:rsidRDefault="00805422">
      <w:pPr>
        <w:pStyle w:val="FootnoteText"/>
      </w:pPr>
      <w:r>
        <w:rPr>
          <w:rStyle w:val="FootnoteReference"/>
        </w:rPr>
        <w:footnoteRef/>
      </w:r>
      <w:r>
        <w:t xml:space="preserve"> </w:t>
      </w:r>
      <w:proofErr w:type="spellStart"/>
      <w:r w:rsidRPr="00814939">
        <w:t>Swerissen</w:t>
      </w:r>
      <w:proofErr w:type="spellEnd"/>
      <w:r w:rsidRPr="00814939">
        <w:t>,</w:t>
      </w:r>
      <w:r>
        <w:t xml:space="preserve"> H., </w:t>
      </w:r>
      <w:r w:rsidRPr="00814939">
        <w:t>Duckett</w:t>
      </w:r>
      <w:r>
        <w:t>, S., 2016,</w:t>
      </w:r>
      <w:r w:rsidRPr="00814939">
        <w:t xml:space="preserve"> </w:t>
      </w:r>
      <w:r w:rsidRPr="00894B0F">
        <w:rPr>
          <w:i/>
        </w:rPr>
        <w:t>Chronic failure in primary care</w:t>
      </w:r>
      <w:r w:rsidRPr="00814939">
        <w:t>, Grattan Institute (</w:t>
      </w:r>
      <w:hyperlink r:id="rId1" w:history="1">
        <w:r w:rsidRPr="003B0F83">
          <w:rPr>
            <w:rStyle w:val="Hyperlink"/>
          </w:rPr>
          <w:t>https://grattan.edu.au/wp-content/uploads/2016/03/936-chronic-failure-in-primary-care.pdf</w:t>
        </w:r>
      </w:hyperlink>
      <w:r w:rsidRPr="00814939">
        <w:t>)</w:t>
      </w:r>
      <w:r>
        <w:t xml:space="preserve"> </w:t>
      </w:r>
    </w:p>
  </w:footnote>
  <w:footnote w:id="2">
    <w:p w14:paraId="417DEEA9" w14:textId="2DD8085B" w:rsidR="00805422" w:rsidRDefault="00805422">
      <w:pPr>
        <w:pStyle w:val="FootnoteText"/>
      </w:pPr>
      <w:r>
        <w:rPr>
          <w:rStyle w:val="FootnoteReference"/>
        </w:rPr>
        <w:footnoteRef/>
      </w:r>
      <w:r>
        <w:t xml:space="preserve"> Ibid.</w:t>
      </w:r>
    </w:p>
  </w:footnote>
  <w:footnote w:id="3">
    <w:p w14:paraId="1B1F25F3" w14:textId="53C55B15" w:rsidR="00805422" w:rsidRDefault="00805422">
      <w:pPr>
        <w:pStyle w:val="FootnoteText"/>
      </w:pPr>
      <w:r>
        <w:rPr>
          <w:rStyle w:val="FootnoteReference"/>
        </w:rPr>
        <w:footnoteRef/>
      </w:r>
      <w:r>
        <w:t xml:space="preserve"> Ibid.</w:t>
      </w:r>
    </w:p>
  </w:footnote>
  <w:footnote w:id="4">
    <w:p w14:paraId="1B09A30B" w14:textId="11939FAB" w:rsidR="00805422" w:rsidRDefault="00805422">
      <w:pPr>
        <w:pStyle w:val="FootnoteText"/>
      </w:pPr>
      <w:r>
        <w:rPr>
          <w:rStyle w:val="FootnoteReference"/>
        </w:rPr>
        <w:footnoteRef/>
      </w:r>
      <w:r>
        <w:t xml:space="preserve"> Stroke Foundation, 2018, </w:t>
      </w:r>
      <w:r w:rsidRPr="00894B0F">
        <w:rPr>
          <w:i/>
        </w:rPr>
        <w:t>Time for action on heart disease and stroke</w:t>
      </w:r>
      <w:r>
        <w:t>, Stroke Foundation, Media release (</w:t>
      </w:r>
      <w:hyperlink r:id="rId2" w:history="1">
        <w:r w:rsidRPr="00D221ED">
          <w:rPr>
            <w:rStyle w:val="Hyperlink"/>
          </w:rPr>
          <w:t>https://strokefoundation.org.au/Media-Releases/2018/10/29/02/56/Time-for-action-on-heart-disease-and-stroke</w:t>
        </w:r>
      </w:hyperlink>
      <w:r>
        <w:t xml:space="preserve">) </w:t>
      </w:r>
    </w:p>
  </w:footnote>
  <w:footnote w:id="5">
    <w:p w14:paraId="096FB0C0" w14:textId="676125BB" w:rsidR="00805422" w:rsidRDefault="00805422">
      <w:pPr>
        <w:pStyle w:val="FootnoteText"/>
      </w:pPr>
      <w:r>
        <w:rPr>
          <w:rStyle w:val="FootnoteReference"/>
        </w:rPr>
        <w:footnoteRef/>
      </w:r>
      <w:r>
        <w:t xml:space="preserve"> Ibid.</w:t>
      </w:r>
    </w:p>
  </w:footnote>
  <w:footnote w:id="6">
    <w:p w14:paraId="0B473C5C" w14:textId="6924BDAE" w:rsidR="00805422" w:rsidRDefault="00805422">
      <w:pPr>
        <w:pStyle w:val="FootnoteText"/>
      </w:pPr>
      <w:r>
        <w:rPr>
          <w:rStyle w:val="FootnoteReference"/>
        </w:rPr>
        <w:footnoteRef/>
      </w:r>
      <w:r>
        <w:t xml:space="preserve"> Heart Foundation, 2016, </w:t>
      </w:r>
      <w:r w:rsidRPr="00894B0F">
        <w:rPr>
          <w:i/>
        </w:rPr>
        <w:t>Cardiac Rehabilitation Factsheet</w:t>
      </w:r>
      <w:r>
        <w:t xml:space="preserve">, </w:t>
      </w:r>
      <w:r w:rsidRPr="0067016E">
        <w:t>National Heart Foundation of Australia</w:t>
      </w:r>
      <w:r>
        <w:t xml:space="preserve"> (</w:t>
      </w:r>
      <w:hyperlink r:id="rId3" w:history="1">
        <w:r w:rsidRPr="003B0F83">
          <w:rPr>
            <w:rStyle w:val="Hyperlink"/>
          </w:rPr>
          <w:t>https://www.heartfoundation.org.au/images/uploads/publications/HF.Cardiac_Rehab_Factsheet_WEBHR.pdf</w:t>
        </w:r>
      </w:hyperlink>
      <w:r>
        <w:t xml:space="preserve"> </w:t>
      </w:r>
    </w:p>
  </w:footnote>
  <w:footnote w:id="7">
    <w:p w14:paraId="4226119F" w14:textId="2733AFED" w:rsidR="00805422" w:rsidRDefault="00805422">
      <w:pPr>
        <w:pStyle w:val="FootnoteText"/>
      </w:pPr>
      <w:r>
        <w:rPr>
          <w:rStyle w:val="FootnoteReference"/>
        </w:rPr>
        <w:footnoteRef/>
      </w:r>
      <w:r>
        <w:t xml:space="preserve"> Ibid.</w:t>
      </w:r>
    </w:p>
  </w:footnote>
  <w:footnote w:id="8">
    <w:p w14:paraId="4C20117A" w14:textId="2F297F61" w:rsidR="00805422" w:rsidRDefault="00805422" w:rsidP="0067016E">
      <w:pPr>
        <w:pStyle w:val="FootnoteText"/>
      </w:pPr>
      <w:r>
        <w:rPr>
          <w:rStyle w:val="FootnoteReference"/>
        </w:rPr>
        <w:footnoteRef/>
      </w:r>
      <w:r>
        <w:t xml:space="preserve"> National Improving Cardiac Rehabilitation Measurement in Australia Think Tank, 2018, </w:t>
      </w:r>
      <w:r w:rsidRPr="0067016E">
        <w:rPr>
          <w:i/>
        </w:rPr>
        <w:t>Improving Cardiac Rehabilitation Measurement in Australia Think Tank Communique</w:t>
      </w:r>
      <w:r>
        <w:t>,</w:t>
      </w:r>
      <w:r w:rsidRPr="0067016E">
        <w:t xml:space="preserve"> </w:t>
      </w:r>
      <w:r>
        <w:t>SA Translation Centre, the Australian Cardiovascular Health and Rehabilitation Association and the National Heart Foundation of Australia (</w:t>
      </w:r>
      <w:hyperlink r:id="rId4" w:history="1">
        <w:r w:rsidRPr="00D221ED">
          <w:rPr>
            <w:rStyle w:val="Hyperlink"/>
          </w:rPr>
          <w:t>https://www.heartfoundation.org.au/images/uploads/main/241018_Communique_FINAL.pdf</w:t>
        </w:r>
      </w:hyperlink>
      <w:r>
        <w:t xml:space="preserve">) </w:t>
      </w:r>
    </w:p>
  </w:footnote>
  <w:footnote w:id="9">
    <w:p w14:paraId="2C29CE6B" w14:textId="3C45AF73" w:rsidR="00805422" w:rsidRPr="00894B0F" w:rsidRDefault="00805422" w:rsidP="00D26AF2">
      <w:pPr>
        <w:pStyle w:val="FootnoteText"/>
        <w:rPr>
          <w:rFonts w:cs="Arial"/>
        </w:rPr>
      </w:pPr>
      <w:r w:rsidRPr="00894B0F">
        <w:rPr>
          <w:rStyle w:val="FootnoteReference"/>
          <w:rFonts w:cs="Arial"/>
        </w:rPr>
        <w:footnoteRef/>
      </w:r>
      <w:r w:rsidRPr="00894B0F">
        <w:rPr>
          <w:rFonts w:cs="Arial"/>
        </w:rPr>
        <w:t xml:space="preserve"> Productivity Commission, 2011, </w:t>
      </w:r>
      <w:r w:rsidRPr="00894B0F">
        <w:rPr>
          <w:rFonts w:cs="Arial"/>
          <w:i/>
        </w:rPr>
        <w:t>Caring For Older Australians, Report No. 55</w:t>
      </w:r>
      <w:r w:rsidRPr="00894B0F">
        <w:rPr>
          <w:rFonts w:cs="Arial"/>
        </w:rPr>
        <w:t xml:space="preserve">, </w:t>
      </w:r>
      <w:r w:rsidRPr="00894B0F">
        <w:rPr>
          <w:rFonts w:cs="Arial"/>
          <w:i/>
        </w:rPr>
        <w:t xml:space="preserve">Final Inquiry Report, </w:t>
      </w:r>
      <w:r>
        <w:rPr>
          <w:rFonts w:cs="Arial"/>
        </w:rPr>
        <w:t>Australian Government</w:t>
      </w:r>
    </w:p>
  </w:footnote>
  <w:footnote w:id="10">
    <w:p w14:paraId="5AE0AAC6" w14:textId="76D92223" w:rsidR="00805422" w:rsidRPr="00894B0F" w:rsidRDefault="00805422" w:rsidP="00D26AF2">
      <w:pPr>
        <w:pStyle w:val="FootnoteText"/>
      </w:pPr>
      <w:r w:rsidRPr="00894B0F">
        <w:rPr>
          <w:rStyle w:val="FootnoteReference"/>
        </w:rPr>
        <w:footnoteRef/>
      </w:r>
      <w:r w:rsidRPr="00894B0F">
        <w:t xml:space="preserve"> Productivity Commission, 2013, </w:t>
      </w:r>
      <w:r w:rsidRPr="00894B0F">
        <w:rPr>
          <w:i/>
        </w:rPr>
        <w:t>An Ageing Australia: Preparing for the Future, Commission Research Paper</w:t>
      </w:r>
      <w:r>
        <w:t>, Australian Government</w:t>
      </w:r>
    </w:p>
  </w:footnote>
  <w:footnote w:id="11">
    <w:p w14:paraId="5D97028B" w14:textId="029BD789" w:rsidR="00805422" w:rsidRPr="00894B0F" w:rsidRDefault="00805422" w:rsidP="002B4CCF">
      <w:pPr>
        <w:pStyle w:val="FootnoteText"/>
        <w:rPr>
          <w:rFonts w:cs="Arial"/>
          <w:i/>
        </w:rPr>
      </w:pPr>
      <w:r w:rsidRPr="00894B0F">
        <w:rPr>
          <w:rStyle w:val="FootnoteReference"/>
          <w:rFonts w:cs="Arial"/>
        </w:rPr>
        <w:footnoteRef/>
      </w:r>
      <w:r>
        <w:rPr>
          <w:rFonts w:cs="Arial"/>
        </w:rPr>
        <w:t xml:space="preserve"> ACFA 2015</w:t>
      </w:r>
      <w:r w:rsidRPr="00894B0F">
        <w:rPr>
          <w:rFonts w:cs="Arial"/>
        </w:rPr>
        <w:t xml:space="preserve">, </w:t>
      </w:r>
      <w:r w:rsidRPr="00894B0F">
        <w:rPr>
          <w:rFonts w:cs="Arial"/>
          <w:i/>
        </w:rPr>
        <w:t>Third report of the Funding and Financing of the Aged Care Sector,</w:t>
      </w:r>
      <w:r w:rsidRPr="00894B0F">
        <w:rPr>
          <w:rFonts w:cs="Arial"/>
        </w:rPr>
        <w:t xml:space="preserve"> Aged Care Financing Authority, Department of Social Services, </w:t>
      </w:r>
      <w:r>
        <w:rPr>
          <w:rFonts w:cs="Arial"/>
        </w:rPr>
        <w:t>Australian Government</w:t>
      </w:r>
    </w:p>
  </w:footnote>
  <w:footnote w:id="12">
    <w:p w14:paraId="05497A79" w14:textId="6CF22663" w:rsidR="00805422" w:rsidRPr="00DA4FA3" w:rsidRDefault="00805422" w:rsidP="002B4CCF">
      <w:pPr>
        <w:pStyle w:val="FootnoteText"/>
        <w:rPr>
          <w:rFonts w:cs="Arial"/>
        </w:rPr>
      </w:pPr>
      <w:r w:rsidRPr="00894B0F">
        <w:rPr>
          <w:rStyle w:val="FootnoteReference"/>
          <w:rFonts w:cs="Arial"/>
        </w:rPr>
        <w:footnoteRef/>
      </w:r>
      <w:r w:rsidRPr="00894B0F">
        <w:rPr>
          <w:rFonts w:cs="Arial"/>
        </w:rPr>
        <w:t xml:space="preserve"> Australian Institute of Health and Welfare</w:t>
      </w:r>
      <w:r>
        <w:rPr>
          <w:rFonts w:cs="Arial"/>
        </w:rPr>
        <w:t>,</w:t>
      </w:r>
      <w:r w:rsidRPr="00894B0F">
        <w:rPr>
          <w:rFonts w:cs="Arial"/>
        </w:rPr>
        <w:t xml:space="preserve"> 2012, </w:t>
      </w:r>
      <w:r w:rsidRPr="00894B0F">
        <w:rPr>
          <w:rFonts w:cs="Arial"/>
          <w:i/>
        </w:rPr>
        <w:t>Service Outlets for Residential Aged Care,</w:t>
      </w:r>
      <w:r w:rsidRPr="00894B0F">
        <w:rPr>
          <w:rFonts w:cs="Arial"/>
        </w:rPr>
        <w:t xml:space="preserve"> </w:t>
      </w:r>
      <w:r w:rsidRPr="00DA4FA3">
        <w:rPr>
          <w:rFonts w:cs="Arial"/>
        </w:rPr>
        <w:t>Australian Institute of Health and Welfare</w:t>
      </w:r>
      <w:r w:rsidRPr="00894B0F">
        <w:rPr>
          <w:rFonts w:cs="Arial"/>
        </w:rPr>
        <w:t xml:space="preserve"> </w:t>
      </w:r>
      <w:r>
        <w:rPr>
          <w:rFonts w:cs="Arial"/>
        </w:rPr>
        <w:t>(</w:t>
      </w:r>
      <w:hyperlink r:id="rId5" w:history="1">
        <w:r w:rsidRPr="00894B0F">
          <w:rPr>
            <w:rStyle w:val="Hyperlink"/>
            <w:rFonts w:cs="Arial"/>
          </w:rPr>
          <w:t>http://www.aihw.gov.au/aged-care/residential-and-community-2011-12/services-and-places/</w:t>
        </w:r>
      </w:hyperlink>
      <w:r>
        <w:rPr>
          <w:rStyle w:val="Hyperlink"/>
          <w:rFonts w:cs="Arial"/>
          <w:color w:val="auto"/>
          <w:u w:val="none"/>
        </w:rPr>
        <w:t>)</w:t>
      </w:r>
    </w:p>
  </w:footnote>
  <w:footnote w:id="13">
    <w:p w14:paraId="6EEC1D9D" w14:textId="27CEBA5B" w:rsidR="00805422" w:rsidRPr="00F14446" w:rsidRDefault="00805422" w:rsidP="002B4CCF">
      <w:pPr>
        <w:pStyle w:val="FootnoteText"/>
        <w:rPr>
          <w:rFonts w:cs="Arial"/>
          <w:sz w:val="16"/>
          <w:szCs w:val="16"/>
        </w:rPr>
      </w:pPr>
      <w:r w:rsidRPr="00894B0F">
        <w:rPr>
          <w:rStyle w:val="FootnoteReference"/>
          <w:rFonts w:cs="Arial"/>
        </w:rPr>
        <w:footnoteRef/>
      </w:r>
      <w:r w:rsidRPr="00894B0F">
        <w:rPr>
          <w:rFonts w:cs="Arial"/>
        </w:rPr>
        <w:t xml:space="preserve"> </w:t>
      </w:r>
      <w:r w:rsidRPr="00DA4FA3">
        <w:rPr>
          <w:rFonts w:cs="Arial"/>
        </w:rPr>
        <w:t xml:space="preserve">Department of Health and Human Services, 2015,  </w:t>
      </w:r>
      <w:r w:rsidRPr="00DA4FA3">
        <w:rPr>
          <w:rFonts w:cs="Arial"/>
          <w:i/>
        </w:rPr>
        <w:t xml:space="preserve">List of PSRACS Facilities, </w:t>
      </w:r>
      <w:r w:rsidRPr="00DA4FA3">
        <w:rPr>
          <w:rFonts w:cs="Arial"/>
        </w:rPr>
        <w:t>March 2015, Victorian Government (</w:t>
      </w:r>
      <w:hyperlink r:id="rId6" w:history="1">
        <w:r w:rsidRPr="00DA4FA3">
          <w:rPr>
            <w:rStyle w:val="Hyperlink"/>
            <w:rFonts w:cs="Arial"/>
          </w:rPr>
          <w:t>http://www.health.vic.gov.au/agedcare/services/residential.htm</w:t>
        </w:r>
      </w:hyperlink>
      <w:r w:rsidRPr="00DA4FA3">
        <w:rPr>
          <w:rFonts w:cs="Arial"/>
        </w:rPr>
        <w:t>)</w:t>
      </w:r>
    </w:p>
  </w:footnote>
  <w:footnote w:id="14">
    <w:p w14:paraId="7E05C18F" w14:textId="2F8F374E" w:rsidR="00805422" w:rsidRDefault="00805422">
      <w:pPr>
        <w:pStyle w:val="FootnoteText"/>
      </w:pPr>
      <w:r>
        <w:rPr>
          <w:rStyle w:val="FootnoteReference"/>
        </w:rPr>
        <w:footnoteRef/>
      </w:r>
      <w:r>
        <w:t xml:space="preserve"> </w:t>
      </w:r>
      <w:r w:rsidRPr="00466311">
        <w:t>Australian Institute of Health and Welfare,</w:t>
      </w:r>
      <w:r>
        <w:t xml:space="preserve"> 2017, </w:t>
      </w:r>
      <w:r w:rsidRPr="00466311">
        <w:rPr>
          <w:i/>
        </w:rPr>
        <w:t>Rural and remote health</w:t>
      </w:r>
      <w:r>
        <w:t xml:space="preserve">, </w:t>
      </w:r>
      <w:r w:rsidRPr="00466311">
        <w:t xml:space="preserve">Australian </w:t>
      </w:r>
      <w:r>
        <w:t>Institute of Health and Welfare (</w:t>
      </w:r>
      <w:hyperlink r:id="rId7" w:history="1">
        <w:r w:rsidRPr="00D221ED">
          <w:rPr>
            <w:rStyle w:val="Hyperlink"/>
          </w:rPr>
          <w:t>https://www.aihw.gov.au/reports/rural-health/rural-remote-health/contents/rural-health</w:t>
        </w:r>
      </w:hyperlink>
      <w:r>
        <w:t>)</w:t>
      </w:r>
    </w:p>
  </w:footnote>
  <w:footnote w:id="15">
    <w:p w14:paraId="2937780E" w14:textId="651B955E" w:rsidR="00805422" w:rsidRDefault="00805422">
      <w:pPr>
        <w:pStyle w:val="FootnoteText"/>
      </w:pPr>
      <w:r>
        <w:rPr>
          <w:rStyle w:val="FootnoteReference"/>
        </w:rPr>
        <w:footnoteRef/>
      </w:r>
      <w:r>
        <w:t xml:space="preserve"> </w:t>
      </w:r>
      <w:r w:rsidRPr="00466311">
        <w:t>National Rural Health Alliance</w:t>
      </w:r>
      <w:r>
        <w:t>, 2015,</w:t>
      </w:r>
      <w:r w:rsidRPr="00466311">
        <w:t xml:space="preserve"> </w:t>
      </w:r>
      <w:r w:rsidRPr="00466311">
        <w:rPr>
          <w:i/>
        </w:rPr>
        <w:t>Cardiovascular disease in rural Australia</w:t>
      </w:r>
      <w:r w:rsidRPr="00466311">
        <w:t>, Fact Sheet – May 2015 2015, National Rural Health Alliance and Heart Foundation (</w:t>
      </w:r>
      <w:hyperlink r:id="rId8" w:history="1">
        <w:r w:rsidRPr="00466311">
          <w:rPr>
            <w:rStyle w:val="Hyperlink"/>
          </w:rPr>
          <w:t>http://ruralhealth.org.au/sites/default/files/publications/cardiovascular-disease-fact-sheet-may-2015.pdf</w:t>
        </w:r>
      </w:hyperlink>
      <w:r w:rsidRPr="00466311">
        <w:t>)</w:t>
      </w:r>
    </w:p>
  </w:footnote>
  <w:footnote w:id="16">
    <w:p w14:paraId="335A8AFA" w14:textId="4FEE79DD" w:rsidR="00805422" w:rsidRDefault="00805422">
      <w:pPr>
        <w:pStyle w:val="FootnoteText"/>
      </w:pPr>
      <w:r>
        <w:rPr>
          <w:rStyle w:val="FootnoteReference"/>
        </w:rPr>
        <w:footnoteRef/>
      </w:r>
      <w:r>
        <w:t xml:space="preserve"> </w:t>
      </w:r>
      <w:r w:rsidRPr="00466311">
        <w:t>Australian Institute of Health and Welfare</w:t>
      </w:r>
      <w:r>
        <w:t>,</w:t>
      </w:r>
      <w:r w:rsidRPr="00466311">
        <w:t xml:space="preserve"> </w:t>
      </w:r>
      <w:r>
        <w:t>2016,</w:t>
      </w:r>
      <w:r w:rsidRPr="00466311">
        <w:t xml:space="preserve"> </w:t>
      </w:r>
      <w:r w:rsidRPr="00466311">
        <w:rPr>
          <w:i/>
        </w:rPr>
        <w:t>Australia's health 2016</w:t>
      </w:r>
      <w:r>
        <w:t>, Australia's health series no.15,</w:t>
      </w:r>
      <w:r w:rsidRPr="00466311">
        <w:t xml:space="preserve"> Australian </w:t>
      </w:r>
      <w:r>
        <w:t>Institute of Health and Welfare (</w:t>
      </w:r>
      <w:hyperlink r:id="rId9" w:history="1">
        <w:r w:rsidRPr="00D221ED">
          <w:rPr>
            <w:rStyle w:val="Hyperlink"/>
          </w:rPr>
          <w:t>https://www.aihw.gov.au/getmedia/9844cefb-7745-4dd8-9ee2-f4d1c3d6a727/19787-AH16.pdf.aspx</w:t>
        </w:r>
      </w:hyperlink>
      <w:r>
        <w:t xml:space="preserve">) </w:t>
      </w:r>
    </w:p>
  </w:footnote>
  <w:footnote w:id="17">
    <w:p w14:paraId="0C875D82" w14:textId="6627A6C6" w:rsidR="00805422" w:rsidRPr="00A93E67" w:rsidRDefault="00805422" w:rsidP="00F90412">
      <w:pPr>
        <w:pStyle w:val="FootnoteText"/>
      </w:pPr>
      <w:r>
        <w:rPr>
          <w:rStyle w:val="FootnoteReference"/>
        </w:rPr>
        <w:footnoteRef/>
      </w:r>
      <w:r>
        <w:t xml:space="preserve"> </w:t>
      </w:r>
      <w:proofErr w:type="spellStart"/>
      <w:r>
        <w:t>Playford</w:t>
      </w:r>
      <w:proofErr w:type="spellEnd"/>
      <w:r>
        <w:t xml:space="preserve">, D., Ngo, H., Gupta, S., </w:t>
      </w:r>
      <w:proofErr w:type="spellStart"/>
      <w:r>
        <w:t>Puddey</w:t>
      </w:r>
      <w:proofErr w:type="spellEnd"/>
      <w:r>
        <w:t xml:space="preserve">, I., 2017, </w:t>
      </w:r>
      <w:r w:rsidRPr="00A93E67">
        <w:rPr>
          <w:i/>
        </w:rPr>
        <w:t>Opting for rural practice: the influence of medical student origin, intention and immersion experience</w:t>
      </w:r>
      <w:r>
        <w:t>, MJA 207 (4), Medical Journal of Australia (</w:t>
      </w:r>
      <w:hyperlink r:id="rId10" w:history="1">
        <w:r w:rsidRPr="00D221ED">
          <w:rPr>
            <w:rStyle w:val="Hyperlink"/>
          </w:rPr>
          <w:t>https://www.mja.com.au/system/files/issues/207_04/10.5694mja16.01322.pdf</w:t>
        </w:r>
      </w:hyperlink>
      <w:r>
        <w:t xml:space="preserve">) </w:t>
      </w:r>
    </w:p>
  </w:footnote>
  <w:footnote w:id="18">
    <w:p w14:paraId="1E38CB2C" w14:textId="4D3AFFEC" w:rsidR="00805422" w:rsidRDefault="00805422">
      <w:pPr>
        <w:pStyle w:val="FootnoteText"/>
      </w:pPr>
      <w:r>
        <w:rPr>
          <w:rStyle w:val="FootnoteReference"/>
        </w:rPr>
        <w:footnoteRef/>
      </w:r>
      <w:r>
        <w:t xml:space="preserve"> National Rural Generalist Taskforce, 2018, </w:t>
      </w:r>
      <w:r w:rsidRPr="00F90412">
        <w:rPr>
          <w:i/>
        </w:rPr>
        <w:t>Advice to the National Rural Health Commissioner on the Development of the National Rural Generalist Pathway</w:t>
      </w:r>
      <w:r>
        <w:t>,</w:t>
      </w:r>
      <w:r w:rsidRPr="00F90412">
        <w:t xml:space="preserve"> National Rural Health Commissioner</w:t>
      </w:r>
      <w:r>
        <w:t xml:space="preserve"> (</w:t>
      </w:r>
      <w:hyperlink r:id="rId11" w:history="1">
        <w:r w:rsidRPr="00D221ED">
          <w:rPr>
            <w:rStyle w:val="Hyperlink"/>
          </w:rPr>
          <w:t>http://www.health.gov.au/internet/main/publishing.nsf/Content/2922D6D8BBCE122FCA2581D30076D09A/$File/Advice-to-the-National-Rural-Health-Commissioner-on-the-Development-of-the-National-Rural-Generalist-Pathway.pdf</w:t>
        </w:r>
      </w:hyperlink>
      <w:r>
        <w:t xml:space="preserve">) </w:t>
      </w:r>
    </w:p>
  </w:footnote>
  <w:footnote w:id="19">
    <w:p w14:paraId="1BBB01A2" w14:textId="1CBF22FA" w:rsidR="00805422" w:rsidRDefault="00805422" w:rsidP="00F90412">
      <w:pPr>
        <w:pStyle w:val="FootnoteText"/>
      </w:pPr>
      <w:r>
        <w:rPr>
          <w:rStyle w:val="FootnoteReference"/>
        </w:rPr>
        <w:footnoteRef/>
      </w:r>
      <w:r>
        <w:t xml:space="preserve"> Health and Community Services Committee, 2014, </w:t>
      </w:r>
      <w:r w:rsidRPr="00F90412">
        <w:rPr>
          <w:i/>
        </w:rPr>
        <w:t>Inquiry into telehealth services in Queensland</w:t>
      </w:r>
      <w:r>
        <w:t>, Report No.55, Parliament of Queensland (</w:t>
      </w:r>
      <w:hyperlink r:id="rId12" w:history="1">
        <w:r w:rsidRPr="00D221ED">
          <w:rPr>
            <w:rStyle w:val="Hyperlink"/>
          </w:rPr>
          <w:t>https://www.parliament.qld.gov.au/documents/committees/HCSC/2014/InquiryTelehealth/rep-055-12Sep2014.pdf</w:t>
        </w:r>
      </w:hyperlink>
      <w:r>
        <w:t>)</w:t>
      </w:r>
    </w:p>
  </w:footnote>
  <w:footnote w:id="20">
    <w:p w14:paraId="67D9EE6C" w14:textId="5FBA8655" w:rsidR="00805422" w:rsidRDefault="00805422">
      <w:pPr>
        <w:pStyle w:val="FootnoteText"/>
      </w:pPr>
      <w:r>
        <w:rPr>
          <w:rStyle w:val="FootnoteReference"/>
        </w:rPr>
        <w:footnoteRef/>
      </w:r>
      <w:r>
        <w:t xml:space="preserve"> Department of Health, 2014,  </w:t>
      </w:r>
      <w:r w:rsidRPr="00374D19">
        <w:rPr>
          <w:i/>
        </w:rPr>
        <w:t>Chronic Disease Management (formerly Enhanced Primary Care or EPC) — GP services</w:t>
      </w:r>
      <w:r>
        <w:t>,</w:t>
      </w:r>
      <w:r w:rsidRPr="00374D19">
        <w:t xml:space="preserve"> </w:t>
      </w:r>
      <w:r>
        <w:t>Australian Government (</w:t>
      </w:r>
      <w:hyperlink r:id="rId13" w:history="1">
        <w:r w:rsidRPr="005677BD">
          <w:rPr>
            <w:rStyle w:val="Hyperlink"/>
          </w:rPr>
          <w:t>http://www.health.gov.au/internet/main/publishing.nsf/Content/mbsprimarycare-chronicdiseasemanagement</w:t>
        </w:r>
      </w:hyperlink>
      <w:r>
        <w:t>)</w:t>
      </w:r>
    </w:p>
  </w:footnote>
  <w:footnote w:id="21">
    <w:p w14:paraId="6308C782" w14:textId="738C12CF" w:rsidR="00805422" w:rsidRDefault="00805422">
      <w:pPr>
        <w:pStyle w:val="FootnoteText"/>
      </w:pPr>
      <w:r>
        <w:rPr>
          <w:rStyle w:val="FootnoteReference"/>
        </w:rPr>
        <w:footnoteRef/>
      </w:r>
      <w:r>
        <w:t xml:space="preserve"> </w:t>
      </w:r>
      <w:proofErr w:type="spellStart"/>
      <w:r>
        <w:t>Healthdirect</w:t>
      </w:r>
      <w:proofErr w:type="spellEnd"/>
      <w:r>
        <w:t xml:space="preserve"> Australia, 2017, </w:t>
      </w:r>
      <w:r w:rsidRPr="00374D19">
        <w:rPr>
          <w:i/>
        </w:rPr>
        <w:t>Mental health care plan</w:t>
      </w:r>
      <w:r>
        <w:t>, Australian Government (</w:t>
      </w:r>
      <w:hyperlink r:id="rId14" w:history="1">
        <w:r w:rsidRPr="005677BD">
          <w:rPr>
            <w:rStyle w:val="Hyperlink"/>
          </w:rPr>
          <w:t>https://www.healthdirect.gov.au/mental-health-care-plan</w:t>
        </w:r>
      </w:hyperlink>
      <w:r>
        <w:t>)</w:t>
      </w:r>
    </w:p>
  </w:footnote>
  <w:footnote w:id="22">
    <w:p w14:paraId="3753560F" w14:textId="2DD2301A" w:rsidR="00805422" w:rsidRPr="00374D19" w:rsidRDefault="00805422">
      <w:pPr>
        <w:pStyle w:val="FootnoteText"/>
      </w:pPr>
      <w:r>
        <w:rPr>
          <w:rStyle w:val="FootnoteReference"/>
        </w:rPr>
        <w:footnoteRef/>
      </w:r>
      <w:r>
        <w:t xml:space="preserve"> Better Health, 2018, </w:t>
      </w:r>
      <w:r>
        <w:rPr>
          <w:i/>
        </w:rPr>
        <w:t>Advance care plans</w:t>
      </w:r>
      <w:r>
        <w:t>, Victorian Government (</w:t>
      </w:r>
      <w:hyperlink r:id="rId15" w:history="1">
        <w:r w:rsidRPr="005677BD">
          <w:rPr>
            <w:rStyle w:val="Hyperlink"/>
          </w:rPr>
          <w:t>https://www.betterhealth.vic.gov.au/health/servicesandsupport/advance-care-plans</w:t>
        </w:r>
      </w:hyperlink>
      <w:r>
        <w:t>)</w:t>
      </w:r>
    </w:p>
  </w:footnote>
  <w:footnote w:id="23">
    <w:p w14:paraId="37040763" w14:textId="045B4FC2" w:rsidR="00805422" w:rsidRDefault="00805422">
      <w:pPr>
        <w:pStyle w:val="FootnoteText"/>
      </w:pPr>
      <w:r>
        <w:rPr>
          <w:rStyle w:val="FootnoteReference"/>
        </w:rPr>
        <w:footnoteRef/>
      </w:r>
      <w:r>
        <w:t xml:space="preserve"> </w:t>
      </w:r>
      <w:r w:rsidRPr="003624CE">
        <w:t>D</w:t>
      </w:r>
      <w:r>
        <w:t xml:space="preserve">ental </w:t>
      </w:r>
      <w:r w:rsidRPr="003624CE">
        <w:t>H</w:t>
      </w:r>
      <w:r>
        <w:t xml:space="preserve">ealth </w:t>
      </w:r>
      <w:r w:rsidRPr="003624CE">
        <w:t>S</w:t>
      </w:r>
      <w:r>
        <w:t xml:space="preserve">ervices </w:t>
      </w:r>
      <w:r w:rsidRPr="003624CE">
        <w:t>V</w:t>
      </w:r>
      <w:r>
        <w:t>ictoria</w:t>
      </w:r>
      <w:r w:rsidRPr="003624CE">
        <w:t>,</w:t>
      </w:r>
      <w:r>
        <w:t xml:space="preserve"> 2011,</w:t>
      </w:r>
      <w:r w:rsidRPr="003624CE">
        <w:t xml:space="preserve"> </w:t>
      </w:r>
      <w:r w:rsidRPr="0012178F">
        <w:rPr>
          <w:i/>
        </w:rPr>
        <w:t>Links between oral health and general health - the case for action</w:t>
      </w:r>
      <w:r w:rsidRPr="003624CE">
        <w:t>, Dental</w:t>
      </w:r>
      <w:r>
        <w:t xml:space="preserve"> Health Services Victoria </w:t>
      </w:r>
      <w:r w:rsidRPr="003624CE">
        <w:t>(</w:t>
      </w:r>
      <w:hyperlink r:id="rId16" w:history="1">
        <w:r w:rsidRPr="003624CE">
          <w:rPr>
            <w:rStyle w:val="Hyperlink"/>
          </w:rPr>
          <w:t>https://www.dhsv.org.au/__data/assets/pdf_file/0013/2515/links-between-oral-health-and-general-health-the-case-for-action.pdf</w:t>
        </w:r>
      </w:hyperlink>
      <w:r w:rsidRPr="003624CE">
        <w:t>)</w:t>
      </w:r>
    </w:p>
  </w:footnote>
  <w:footnote w:id="24">
    <w:p w14:paraId="7849221F" w14:textId="73CD9821" w:rsidR="00805422" w:rsidRDefault="00805422">
      <w:pPr>
        <w:pStyle w:val="FootnoteText"/>
      </w:pPr>
      <w:r>
        <w:rPr>
          <w:rStyle w:val="FootnoteReference"/>
        </w:rPr>
        <w:footnoteRef/>
      </w:r>
      <w:r>
        <w:t xml:space="preserve"> Duckett, S., 2018, </w:t>
      </w:r>
      <w:r w:rsidRPr="0012178F">
        <w:rPr>
          <w:i/>
        </w:rPr>
        <w:t>The tooth hurts but Victoria’s public dental system is broken</w:t>
      </w:r>
      <w:r>
        <w:t>, 11.11.2018, The Age (</w:t>
      </w:r>
      <w:hyperlink r:id="rId17" w:history="1">
        <w:r w:rsidRPr="00D221ED">
          <w:rPr>
            <w:rStyle w:val="Hyperlink"/>
          </w:rPr>
          <w:t>https://grattan.edu.au/news/the-tooth-hurts-but-victorias-public-dental-system-is-broken/</w:t>
        </w:r>
      </w:hyperlink>
      <w:r>
        <w:t xml:space="preserve">) </w:t>
      </w:r>
    </w:p>
  </w:footnote>
  <w:footnote w:id="25">
    <w:p w14:paraId="722F57C6" w14:textId="77777777" w:rsidR="00805422" w:rsidRDefault="00805422" w:rsidP="001121F0">
      <w:pPr>
        <w:pStyle w:val="FootnoteText"/>
      </w:pPr>
      <w:r>
        <w:rPr>
          <w:rStyle w:val="FootnoteReference"/>
        </w:rPr>
        <w:footnoteRef/>
      </w:r>
      <w:r>
        <w:t xml:space="preserve"> </w:t>
      </w:r>
      <w:r w:rsidRPr="001E1A29">
        <w:t>Australian Health Policy Collaboration</w:t>
      </w:r>
      <w:r>
        <w:t xml:space="preserve">, 2018, </w:t>
      </w:r>
      <w:r w:rsidRPr="001E1A29">
        <w:rPr>
          <w:i/>
        </w:rPr>
        <w:t>Nothing to smile about – oral health report</w:t>
      </w:r>
      <w:r>
        <w:t>, Australia’s Oral Health Tracker, Victoria University and Australian Dental Association (</w:t>
      </w:r>
      <w:hyperlink r:id="rId18" w:history="1">
        <w:r w:rsidRPr="00D221ED">
          <w:rPr>
            <w:rStyle w:val="Hyperlink"/>
          </w:rPr>
          <w:t>https://www.vu.edu.au/about-vu/news-events/news/nothing-to-smile-about-oral-health-report</w:t>
        </w:r>
      </w:hyperlink>
      <w:r>
        <w:t xml:space="preserve">) </w:t>
      </w:r>
    </w:p>
  </w:footnote>
  <w:footnote w:id="26">
    <w:p w14:paraId="229E9FD9" w14:textId="75888E99" w:rsidR="00805422" w:rsidRDefault="00805422">
      <w:pPr>
        <w:pStyle w:val="FootnoteText"/>
      </w:pPr>
      <w:r>
        <w:rPr>
          <w:rStyle w:val="FootnoteReference"/>
        </w:rPr>
        <w:footnoteRef/>
      </w:r>
      <w:r>
        <w:t xml:space="preserve"> </w:t>
      </w:r>
      <w:proofErr w:type="spellStart"/>
      <w:r w:rsidRPr="001E1A29">
        <w:t>Swerissen</w:t>
      </w:r>
      <w:proofErr w:type="spellEnd"/>
      <w:r w:rsidRPr="001E1A29">
        <w:t xml:space="preserve">, H., Duckett, S., 2016, </w:t>
      </w:r>
      <w:r w:rsidRPr="001E1A29">
        <w:rPr>
          <w:i/>
        </w:rPr>
        <w:t>Chronic failure in primary care</w:t>
      </w:r>
      <w:r w:rsidRPr="001E1A29">
        <w:t>, Grattan Institute (</w:t>
      </w:r>
      <w:hyperlink r:id="rId19" w:history="1">
        <w:r w:rsidRPr="001E1A29">
          <w:rPr>
            <w:rStyle w:val="Hyperlink"/>
          </w:rPr>
          <w:t>https://grattan.edu.au/wp-content/uploads/2016/03/936-chronic-failure-in-primary-care.pdf</w:t>
        </w:r>
      </w:hyperlink>
      <w:r w:rsidRPr="001E1A29">
        <w:t>)</w:t>
      </w:r>
    </w:p>
  </w:footnote>
  <w:footnote w:id="27">
    <w:p w14:paraId="745565D8" w14:textId="71338DAF" w:rsidR="00805422" w:rsidRPr="00B62345" w:rsidRDefault="00805422" w:rsidP="00B62345">
      <w:pPr>
        <w:pStyle w:val="FootnoteText"/>
        <w:rPr>
          <w:i/>
        </w:rPr>
      </w:pPr>
      <w:r>
        <w:rPr>
          <w:rStyle w:val="FootnoteReference"/>
        </w:rPr>
        <w:footnoteRef/>
      </w:r>
      <w:r>
        <w:t xml:space="preserve"> </w:t>
      </w:r>
      <w:proofErr w:type="spellStart"/>
      <w:r w:rsidRPr="00B62345">
        <w:t>Chrisopoulos</w:t>
      </w:r>
      <w:proofErr w:type="spellEnd"/>
      <w:r>
        <w:t>,</w:t>
      </w:r>
      <w:r w:rsidRPr="00B62345">
        <w:t xml:space="preserve"> S</w:t>
      </w:r>
      <w:r>
        <w:t>.</w:t>
      </w:r>
      <w:r w:rsidRPr="00B62345">
        <w:t>, Harford</w:t>
      </w:r>
      <w:r>
        <w:t>,</w:t>
      </w:r>
      <w:r w:rsidRPr="00B62345">
        <w:t xml:space="preserve"> JE</w:t>
      </w:r>
      <w:r>
        <w:t>., and</w:t>
      </w:r>
      <w:r w:rsidRPr="00B62345">
        <w:t xml:space="preserve"> </w:t>
      </w:r>
      <w:proofErr w:type="spellStart"/>
      <w:r w:rsidRPr="00B62345">
        <w:t>Ellershaw</w:t>
      </w:r>
      <w:proofErr w:type="spellEnd"/>
      <w:r>
        <w:t>,</w:t>
      </w:r>
      <w:r w:rsidRPr="00B62345">
        <w:t xml:space="preserve"> A</w:t>
      </w:r>
      <w:r>
        <w:t>., 2016,</w:t>
      </w:r>
      <w:r w:rsidRPr="00B62345">
        <w:t xml:space="preserve"> </w:t>
      </w:r>
      <w:r w:rsidRPr="00B62345">
        <w:rPr>
          <w:i/>
        </w:rPr>
        <w:t>Oral health and dental care in Australia: key</w:t>
      </w:r>
    </w:p>
    <w:p w14:paraId="77D984B7" w14:textId="317D8721" w:rsidR="00805422" w:rsidRDefault="00805422" w:rsidP="00B62345">
      <w:pPr>
        <w:pStyle w:val="FootnoteText"/>
      </w:pPr>
      <w:r w:rsidRPr="00B62345">
        <w:rPr>
          <w:i/>
        </w:rPr>
        <w:t>facts and figures 2015</w:t>
      </w:r>
      <w:r>
        <w:t>, Australian Institute of Health and Welfare (</w:t>
      </w:r>
      <w:hyperlink r:id="rId20" w:history="1">
        <w:r w:rsidRPr="005677BD">
          <w:rPr>
            <w:rStyle w:val="Hyperlink"/>
          </w:rPr>
          <w:t>https://www.aihw.gov.au/getmedia/57922dca-62f3-4bf7-9ddc-6d8e550c7c58/19000.pdf.aspx?inline=true</w:t>
        </w:r>
      </w:hyperlink>
      <w:r>
        <w:t xml:space="preserve">) </w:t>
      </w:r>
    </w:p>
  </w:footnote>
  <w:footnote w:id="28">
    <w:p w14:paraId="4145210C" w14:textId="25FD6CB8" w:rsidR="00805422" w:rsidRDefault="00805422">
      <w:pPr>
        <w:pStyle w:val="FootnoteText"/>
      </w:pPr>
      <w:r>
        <w:rPr>
          <w:rStyle w:val="FootnoteReference"/>
        </w:rPr>
        <w:footnoteRef/>
      </w:r>
      <w:r>
        <w:t xml:space="preserve"> </w:t>
      </w:r>
      <w:proofErr w:type="spellStart"/>
      <w:r w:rsidRPr="00B62345">
        <w:t>Swerissen</w:t>
      </w:r>
      <w:proofErr w:type="spellEnd"/>
      <w:r w:rsidRPr="00B62345">
        <w:t xml:space="preserve">, H., Duckett, S., 2016, </w:t>
      </w:r>
      <w:r w:rsidRPr="00B62345">
        <w:rPr>
          <w:i/>
        </w:rPr>
        <w:t>Chronic failure in primary care</w:t>
      </w:r>
      <w:r w:rsidRPr="00B62345">
        <w:t>, Grattan Institute (</w:t>
      </w:r>
      <w:hyperlink r:id="rId21" w:history="1">
        <w:r w:rsidRPr="00B62345">
          <w:rPr>
            <w:rStyle w:val="Hyperlink"/>
          </w:rPr>
          <w:t>https://grattan.edu.au/wp-content/uploads/2016/03/936-chronic-failure-in-primary-care.pdf</w:t>
        </w:r>
      </w:hyperlink>
      <w:r w:rsidRPr="00B62345">
        <w:t>)</w:t>
      </w:r>
    </w:p>
  </w:footnote>
  <w:footnote w:id="29">
    <w:p w14:paraId="6804E045" w14:textId="42DC069D" w:rsidR="00805422" w:rsidRPr="00960004" w:rsidRDefault="00805422">
      <w:pPr>
        <w:pStyle w:val="FootnoteText"/>
      </w:pPr>
      <w:r>
        <w:rPr>
          <w:rStyle w:val="FootnoteReference"/>
        </w:rPr>
        <w:footnoteRef/>
      </w:r>
      <w:r>
        <w:t xml:space="preserve"> Public Health Association Australia, 2018, </w:t>
      </w:r>
      <w:r>
        <w:rPr>
          <w:i/>
        </w:rPr>
        <w:t>Top 10 public health successes over the last 20 years</w:t>
      </w:r>
      <w:r>
        <w:t xml:space="preserve">, </w:t>
      </w:r>
      <w:r w:rsidRPr="00060129">
        <w:t>PHAA Monograph Series No. 2</w:t>
      </w:r>
      <w:r>
        <w:t>,</w:t>
      </w:r>
      <w:r w:rsidRPr="00060129">
        <w:t xml:space="preserve"> Public Health Association Australia</w:t>
      </w:r>
      <w:r>
        <w:t xml:space="preserve"> (</w:t>
      </w:r>
      <w:hyperlink r:id="rId22" w:history="1">
        <w:r w:rsidRPr="005677BD">
          <w:rPr>
            <w:rStyle w:val="Hyperlink"/>
          </w:rPr>
          <w:t>https://www.phaa.net.au/documents/item/3241</w:t>
        </w:r>
      </w:hyperlink>
      <w:r>
        <w:t>)</w:t>
      </w:r>
    </w:p>
  </w:footnote>
  <w:footnote w:id="30">
    <w:p w14:paraId="58157530" w14:textId="6439F9F6" w:rsidR="00805422" w:rsidRPr="000F2A80" w:rsidRDefault="00805422">
      <w:pPr>
        <w:pStyle w:val="FootnoteText"/>
      </w:pPr>
      <w:r>
        <w:rPr>
          <w:rStyle w:val="FootnoteReference"/>
        </w:rPr>
        <w:footnoteRef/>
      </w:r>
      <w:r>
        <w:t xml:space="preserve"> </w:t>
      </w:r>
      <w:r w:rsidRPr="000F2A80">
        <w:t>Australian Healthcare and Hospitals Association</w:t>
      </w:r>
      <w:r>
        <w:t xml:space="preserve">, 2019, </w:t>
      </w:r>
      <w:r>
        <w:rPr>
          <w:i/>
        </w:rPr>
        <w:t>2019-20 Pre-budget submission to Treasury</w:t>
      </w:r>
      <w:r>
        <w:t xml:space="preserve">, </w:t>
      </w:r>
      <w:r w:rsidRPr="000F2A80">
        <w:t>Australian Healthcare and Hospitals Association</w:t>
      </w:r>
      <w:r>
        <w:t xml:space="preserve"> (</w:t>
      </w:r>
      <w:hyperlink r:id="rId23" w:history="1">
        <w:r w:rsidRPr="005677BD">
          <w:rPr>
            <w:rStyle w:val="Hyperlink"/>
          </w:rPr>
          <w:t>https://ahha.asn.au/system/files/docs/publications/ahha_pre-budget_2019-20_submission_to_treasury.pdf</w:t>
        </w:r>
      </w:hyperlink>
      <w:r>
        <w:t>)</w:t>
      </w:r>
    </w:p>
  </w:footnote>
  <w:footnote w:id="31">
    <w:p w14:paraId="33B4BE53" w14:textId="77777777" w:rsidR="00C7428B" w:rsidRDefault="00C7428B" w:rsidP="00C7428B">
      <w:pPr>
        <w:pStyle w:val="FootnoteText"/>
      </w:pPr>
      <w:r>
        <w:rPr>
          <w:rStyle w:val="FootnoteReference"/>
        </w:rPr>
        <w:footnoteRef/>
      </w:r>
      <w:r>
        <w:t xml:space="preserve"> </w:t>
      </w:r>
      <w:r w:rsidRPr="0039222F">
        <w:t xml:space="preserve">George </w:t>
      </w:r>
      <w:proofErr w:type="spellStart"/>
      <w:r w:rsidRPr="0039222F">
        <w:t>Taleporos</w:t>
      </w:r>
      <w:proofErr w:type="spellEnd"/>
      <w:r>
        <w:t>, Inquiry into the implementation of the National Disability Insurance Scheme and the provision of disability services in New South Wales, Summer Foundation, August 2018 (</w:t>
      </w:r>
      <w:hyperlink r:id="rId24" w:history="1">
        <w:r w:rsidRPr="003B0F83">
          <w:rPr>
            <w:rStyle w:val="Hyperlink"/>
          </w:rPr>
          <w:t>https://www.parliament.nsw.gov.au/lcdocs/submissions/61381/0204%20Summer%20Foundation.pdf</w:t>
        </w:r>
      </w:hyperlink>
      <w:r>
        <w:t xml:space="preserve">) </w:t>
      </w:r>
    </w:p>
  </w:footnote>
  <w:footnote w:id="32">
    <w:p w14:paraId="2DC4E28B" w14:textId="77777777" w:rsidR="00BF5573" w:rsidRDefault="00BF5573" w:rsidP="00BF5573">
      <w:pPr>
        <w:pStyle w:val="FootnoteText"/>
      </w:pPr>
      <w:r>
        <w:rPr>
          <w:rStyle w:val="FootnoteReference"/>
        </w:rPr>
        <w:footnoteRef/>
      </w:r>
      <w:r>
        <w:t xml:space="preserve"> </w:t>
      </w:r>
      <w:proofErr w:type="gramStart"/>
      <w:r>
        <w:t>Defined as having a population of less than 10,000 people.</w:t>
      </w:r>
      <w:proofErr w:type="gramEnd"/>
    </w:p>
  </w:footnote>
  <w:footnote w:id="33">
    <w:p w14:paraId="6C403FC0" w14:textId="06D789BC" w:rsidR="00805422" w:rsidRPr="007244EE" w:rsidRDefault="00805422" w:rsidP="007244EE">
      <w:pPr>
        <w:pStyle w:val="FootnoteText"/>
      </w:pPr>
      <w:r>
        <w:rPr>
          <w:rStyle w:val="FootnoteReference"/>
        </w:rPr>
        <w:footnoteRef/>
      </w:r>
      <w:r>
        <w:t xml:space="preserve"> Thorpe, M., Sweeney, S., 2019, </w:t>
      </w:r>
      <w:r w:rsidRPr="007244EE">
        <w:rPr>
          <w:i/>
        </w:rPr>
        <w:t>Call for the establishment of a primary health care national minimum data set</w:t>
      </w:r>
      <w:r>
        <w:t xml:space="preserve">, </w:t>
      </w:r>
      <w:proofErr w:type="spellStart"/>
      <w:r>
        <w:t>Deeble</w:t>
      </w:r>
      <w:proofErr w:type="spellEnd"/>
      <w:r>
        <w:t xml:space="preserve"> Institute Issues Brief No. 29, </w:t>
      </w:r>
      <w:proofErr w:type="spellStart"/>
      <w:r>
        <w:t>Deeble</w:t>
      </w:r>
      <w:proofErr w:type="spellEnd"/>
      <w:r>
        <w:t xml:space="preserve"> Institute for Health Policy Research (</w:t>
      </w:r>
      <w:hyperlink r:id="rId25" w:history="1">
        <w:r w:rsidRPr="00D221ED">
          <w:rPr>
            <w:rStyle w:val="Hyperlink"/>
          </w:rPr>
          <w:t>https://ahha.asn.au/system/files/docs/publications/deeble_issues_brief_no_29_primary_healthcare_nmds.pdf</w:t>
        </w:r>
      </w:hyperlink>
      <w:r>
        <w:t xml:space="preserve">) </w:t>
      </w:r>
    </w:p>
  </w:footnote>
  <w:footnote w:id="34">
    <w:p w14:paraId="7E60D441" w14:textId="76294926" w:rsidR="00805422" w:rsidRDefault="00805422">
      <w:pPr>
        <w:pStyle w:val="FootnoteText"/>
      </w:pPr>
      <w:r>
        <w:rPr>
          <w:rStyle w:val="FootnoteReference"/>
        </w:rPr>
        <w:footnoteRef/>
      </w:r>
      <w:r>
        <w:t xml:space="preserve"> </w:t>
      </w:r>
      <w:r w:rsidRPr="007244EE">
        <w:t>Australian Healthcare and Hospitals Association</w:t>
      </w:r>
      <w:r>
        <w:t xml:space="preserve">, 2019, </w:t>
      </w:r>
      <w:r w:rsidRPr="007244EE">
        <w:rPr>
          <w:i/>
        </w:rPr>
        <w:t>We need a national primary healthcare data set</w:t>
      </w:r>
      <w:r>
        <w:t xml:space="preserve">, Media release, </w:t>
      </w:r>
      <w:r w:rsidRPr="007244EE">
        <w:t>Australian Healthcare and Hospitals Association</w:t>
      </w:r>
      <w:r>
        <w:t xml:space="preserve"> (</w:t>
      </w:r>
      <w:hyperlink r:id="rId26" w:history="1">
        <w:r w:rsidRPr="00D221ED">
          <w:rPr>
            <w:rStyle w:val="Hyperlink"/>
          </w:rPr>
          <w:t>https://ahha.asn.au/news/we-need-national-primary-healthcare-data-set</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2CD948" w14:textId="286F3C64" w:rsidR="00805422" w:rsidRDefault="00805422">
    <w:pPr>
      <w:pStyle w:val="Header"/>
    </w:pPr>
    <w:bookmarkStart w:id="1" w:name="_MacBuGuideStaticData_2840H"/>
    <w:r>
      <w:rPr>
        <w:noProof/>
        <w:lang w:eastAsia="en-AU"/>
      </w:rPr>
      <mc:AlternateContent>
        <mc:Choice Requires="wps">
          <w:drawing>
            <wp:anchor distT="0" distB="0" distL="114300" distR="114300" simplePos="0" relativeHeight="251668992" behindDoc="0" locked="0" layoutInCell="1" allowOverlap="1" wp14:anchorId="53E35363" wp14:editId="1FAB97EC">
              <wp:simplePos x="0" y="0"/>
              <wp:positionH relativeFrom="page">
                <wp:posOffset>182880</wp:posOffset>
              </wp:positionH>
              <wp:positionV relativeFrom="page">
                <wp:posOffset>1097280</wp:posOffset>
              </wp:positionV>
              <wp:extent cx="539750" cy="7164125"/>
              <wp:effectExtent l="0" t="0" r="12700" b="17780"/>
              <wp:wrapThrough wrapText="bothSides">
                <wp:wrapPolygon edited="0">
                  <wp:start x="0" y="0"/>
                  <wp:lineTo x="0" y="21596"/>
                  <wp:lineTo x="21346" y="21596"/>
                  <wp:lineTo x="21346" y="0"/>
                  <wp:lineTo x="0" y="0"/>
                </wp:wrapPolygon>
              </wp:wrapThrough>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750" cy="716412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3041FFA3" w14:textId="29BA984F" w:rsidR="00805422" w:rsidRPr="00EF2860" w:rsidRDefault="00805422" w:rsidP="008560A3">
                          <w:pPr>
                            <w:jc w:val="center"/>
                            <w:rPr>
                              <w:rFonts w:ascii="Verdana" w:hAnsi="Verdana" w:cs="Arial"/>
                              <w:b/>
                              <w:bCs/>
                              <w:caps/>
                              <w:color w:val="FFFFFF" w:themeColor="background1"/>
                              <w:sz w:val="52"/>
                              <w:szCs w:val="60"/>
                            </w:rPr>
                          </w:pPr>
                          <w:r>
                            <w:rPr>
                              <w:rFonts w:ascii="Verdana" w:hAnsi="Verdana" w:cs="Arial"/>
                              <w:b/>
                              <w:bCs/>
                              <w:caps/>
                              <w:color w:val="FFFFFF" w:themeColor="background1"/>
                              <w:sz w:val="52"/>
                              <w:szCs w:val="60"/>
                            </w:rPr>
                            <w:t>Commonwealth Budget 2019-20</w:t>
                          </w:r>
                        </w:p>
                      </w:txbxContent>
                    </wps:txbx>
                    <wps:bodyPr rot="0" spcFirstLastPara="0" vertOverflow="overflow" horzOverflow="overflow" vert="vert270"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14.4pt;margin-top:86.4pt;width:42.5pt;height:564.1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" filled="f" stroked="f">
              <v:path arrowok="t"/>
              <v:textbox style="layout-flow:vertical;mso-layout-flow-alt:bottom-to-top" inset="0,0,0,0">
                <w:txbxContent>
                  <w:p w14:paraId="3041FFA3" w14:textId="29BA984F" w:rsidR="00805422" w:rsidRPr="00EF2860" w:rsidRDefault="00805422" w:rsidP="008560A3">
                    <w:pPr>
                      <w:jc w:val="center"/>
                      <w:rPr>
                        <w:rFonts w:ascii="Verdana" w:hAnsi="Verdana" w:cs="Arial"/>
                        <w:b/>
                        <w:bCs/>
                        <w:caps/>
                        <w:color w:val="FFFFFF" w:themeColor="background1"/>
                        <w:sz w:val="52"/>
                        <w:szCs w:val="60"/>
                      </w:rPr>
                    </w:pPr>
                    <w:r>
                      <w:rPr>
                        <w:rFonts w:ascii="Verdana" w:hAnsi="Verdana" w:cs="Arial"/>
                        <w:b/>
                        <w:bCs/>
                        <w:caps/>
                        <w:color w:val="FFFFFF" w:themeColor="background1"/>
                        <w:sz w:val="52"/>
                        <w:szCs w:val="60"/>
                      </w:rPr>
                      <w:t>Commonwealth Budget 2019-20</w:t>
                    </w:r>
                  </w:p>
                </w:txbxContent>
              </v:textbox>
              <w10:wrap type="through" anchorx="page" anchory="page"/>
            </v:shape>
          </w:pict>
        </mc:Fallback>
      </mc:AlternateContent>
    </w:r>
    <w:r>
      <w:rPr>
        <w:noProof/>
        <w:lang w:eastAsia="en-AU"/>
      </w:rPr>
      <w:drawing>
        <wp:anchor distT="0" distB="0" distL="114300" distR="114300" simplePos="0" relativeHeight="251692544" behindDoc="0" locked="0" layoutInCell="1" allowOverlap="1" wp14:anchorId="03838744" wp14:editId="67E8DBEC">
          <wp:simplePos x="0" y="0"/>
          <wp:positionH relativeFrom="page">
            <wp:posOffset>1003300</wp:posOffset>
          </wp:positionH>
          <wp:positionV relativeFrom="page">
            <wp:posOffset>546100</wp:posOffset>
          </wp:positionV>
          <wp:extent cx="2578100" cy="723900"/>
          <wp:effectExtent l="25400" t="0" r="0" b="0"/>
          <wp:wrapNone/>
          <wp:docPr id="1" name="Picture 0" descr="VHA_Logo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HA_Logo_PRINT.jpg"/>
                  <pic:cNvPicPr/>
                </pic:nvPicPr>
                <pic:blipFill>
                  <a:blip r:embed="rId1"/>
                  <a:stretch>
                    <a:fillRect/>
                  </a:stretch>
                </pic:blipFill>
                <pic:spPr>
                  <a:xfrm>
                    <a:off x="0" y="0"/>
                    <a:ext cx="2578100" cy="723900"/>
                  </a:xfrm>
                  <a:prstGeom prst="rect">
                    <a:avLst/>
                  </a:prstGeom>
                </pic:spPr>
              </pic:pic>
            </a:graphicData>
          </a:graphic>
        </wp:anchor>
      </w:drawing>
    </w:r>
    <w:r>
      <w:rPr>
        <w:noProof/>
        <w:lang w:eastAsia="en-AU"/>
      </w:rPr>
      <mc:AlternateContent>
        <mc:Choice Requires="wps">
          <w:drawing>
            <wp:anchor distT="0" distB="0" distL="114300" distR="114300" simplePos="0" relativeHeight="251645440" behindDoc="0" locked="0" layoutInCell="1" allowOverlap="1" wp14:anchorId="6B49CA9E" wp14:editId="29C955C3">
              <wp:simplePos x="0" y="0"/>
              <wp:positionH relativeFrom="page">
                <wp:posOffset>180340</wp:posOffset>
              </wp:positionH>
              <wp:positionV relativeFrom="page">
                <wp:posOffset>180975</wp:posOffset>
              </wp:positionV>
              <wp:extent cx="539750" cy="10331450"/>
              <wp:effectExtent l="0" t="0" r="3810" b="3175"/>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 cy="10331450"/>
                      </a:xfrm>
                      <a:prstGeom prst="rect">
                        <a:avLst/>
                      </a:prstGeom>
                      <a:solidFill>
                        <a:srgbClr val="004A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13593B9" id="Rectangle 7" o:spid="_x0000_s1026" style="position:absolute;margin-left:14.2pt;margin-top:14.25pt;width:42.5pt;height:813.5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" fillcolor="#004a72" stroked="f">
              <w10:wrap anchorx="page" anchory="page"/>
            </v:rect>
          </w:pict>
        </mc:Fallback>
      </mc:AlternateContent>
    </w:r>
    <w:bookmarkEnd w:id="1"/>
  </w:p>
  <w:p w14:paraId="12987C25" w14:textId="77777777" w:rsidR="00805422" w:rsidRDefault="0080542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41140"/>
    <w:multiLevelType w:val="hybridMultilevel"/>
    <w:tmpl w:val="E01C21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D2D7564"/>
    <w:multiLevelType w:val="hybridMultilevel"/>
    <w:tmpl w:val="B578390A"/>
    <w:lvl w:ilvl="0" w:tplc="8028E60A">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F5B1A10"/>
    <w:multiLevelType w:val="hybridMultilevel"/>
    <w:tmpl w:val="0926728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27E35D59"/>
    <w:multiLevelType w:val="hybridMultilevel"/>
    <w:tmpl w:val="2AF448F2"/>
    <w:lvl w:ilvl="0" w:tplc="DD50F304">
      <w:start w:val="1"/>
      <w:numFmt w:val="bullet"/>
      <w:pStyle w:val="BulletList"/>
      <w:lvlText w:val=""/>
      <w:lvlJc w:val="left"/>
      <w:pPr>
        <w:ind w:left="800" w:hanging="2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nsid w:val="32CC7E6E"/>
    <w:multiLevelType w:val="hybridMultilevel"/>
    <w:tmpl w:val="42C4D0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51935CB"/>
    <w:multiLevelType w:val="hybridMultilevel"/>
    <w:tmpl w:val="EEACE05A"/>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nsid w:val="3C67044D"/>
    <w:multiLevelType w:val="hybridMultilevel"/>
    <w:tmpl w:val="78DE3C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F8347C6"/>
    <w:multiLevelType w:val="hybridMultilevel"/>
    <w:tmpl w:val="917E09C4"/>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nsid w:val="44053094"/>
    <w:multiLevelType w:val="hybridMultilevel"/>
    <w:tmpl w:val="E3B2A434"/>
    <w:lvl w:ilvl="0" w:tplc="5A76B608">
      <w:numFmt w:val="bullet"/>
      <w:lvlText w:val="-"/>
      <w:lvlJc w:val="left"/>
      <w:pPr>
        <w:ind w:left="420" w:hanging="360"/>
      </w:pPr>
      <w:rPr>
        <w:rFonts w:ascii="Arial" w:eastAsiaTheme="minorHAnsi"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9">
    <w:nsid w:val="495C03CF"/>
    <w:multiLevelType w:val="hybridMultilevel"/>
    <w:tmpl w:val="96ACB7DA"/>
    <w:lvl w:ilvl="0" w:tplc="5774907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55AE33E9"/>
    <w:multiLevelType w:val="hybridMultilevel"/>
    <w:tmpl w:val="84C4BCE2"/>
    <w:lvl w:ilvl="0" w:tplc="D2BACA56">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63B6523"/>
    <w:multiLevelType w:val="hybridMultilevel"/>
    <w:tmpl w:val="5CF48A12"/>
    <w:lvl w:ilvl="0" w:tplc="5582B8EA">
      <w:start w:val="1"/>
      <w:numFmt w:val="bullet"/>
      <w:lvlText w:val=""/>
      <w:lvlJc w:val="left"/>
      <w:pPr>
        <w:ind w:left="720" w:hanging="360"/>
      </w:pPr>
      <w:rPr>
        <w:rFonts w:ascii="Symbol" w:hAnsi="Symbol" w:hint="default"/>
      </w:rPr>
    </w:lvl>
    <w:lvl w:ilvl="1" w:tplc="9B44EDFA">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5F4236B9"/>
    <w:multiLevelType w:val="hybridMultilevel"/>
    <w:tmpl w:val="654C7D82"/>
    <w:lvl w:ilvl="0" w:tplc="BBC28C1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682645F1"/>
    <w:multiLevelType w:val="hybridMultilevel"/>
    <w:tmpl w:val="2FEA9E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B347151"/>
    <w:multiLevelType w:val="hybridMultilevel"/>
    <w:tmpl w:val="FE54870E"/>
    <w:lvl w:ilvl="0" w:tplc="3ADC8D6C">
      <w:numFmt w:val="bullet"/>
      <w:lvlText w:val="•"/>
      <w:lvlJc w:val="left"/>
      <w:pPr>
        <w:ind w:left="720" w:hanging="360"/>
      </w:pPr>
      <w:rPr>
        <w:rFonts w:ascii="Calibri" w:eastAsiaTheme="minorEastAsia"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0F537F5"/>
    <w:multiLevelType w:val="hybridMultilevel"/>
    <w:tmpl w:val="CA244554"/>
    <w:lvl w:ilvl="0" w:tplc="116E1906">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7FA73D4"/>
    <w:multiLevelType w:val="hybridMultilevel"/>
    <w:tmpl w:val="D9C4F0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7A0E50D0"/>
    <w:multiLevelType w:val="hybridMultilevel"/>
    <w:tmpl w:val="C702192E"/>
    <w:lvl w:ilvl="0" w:tplc="730C1FC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0"/>
  </w:num>
  <w:num w:numId="4">
    <w:abstractNumId w:val="12"/>
  </w:num>
  <w:num w:numId="5">
    <w:abstractNumId w:val="6"/>
  </w:num>
  <w:num w:numId="6">
    <w:abstractNumId w:val="17"/>
  </w:num>
  <w:num w:numId="7">
    <w:abstractNumId w:val="14"/>
  </w:num>
  <w:num w:numId="8">
    <w:abstractNumId w:val="5"/>
  </w:num>
  <w:num w:numId="9">
    <w:abstractNumId w:val="7"/>
  </w:num>
  <w:num w:numId="10">
    <w:abstractNumId w:val="11"/>
  </w:num>
  <w:num w:numId="11">
    <w:abstractNumId w:val="13"/>
  </w:num>
  <w:num w:numId="12">
    <w:abstractNumId w:val="10"/>
  </w:num>
  <w:num w:numId="13">
    <w:abstractNumId w:val="2"/>
  </w:num>
  <w:num w:numId="14">
    <w:abstractNumId w:val="15"/>
  </w:num>
  <w:num w:numId="15">
    <w:abstractNumId w:val="4"/>
  </w:num>
  <w:num w:numId="16">
    <w:abstractNumId w:val="16"/>
  </w:num>
  <w:num w:numId="17">
    <w:abstractNumId w:val="9"/>
  </w:num>
  <w:num w:numId="18">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mma Liepa">
    <w15:presenceInfo w15:providerId="AD" w15:userId="S-1-5-21-1742940756-1998203233-3081361542-13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16385">
      <o:colormru v:ext="edit" colors="#004a72,#129087,#44c700,#fff9e4,#009d8e,#00988a,#009a8b,#8b1075"/>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 w:name="ShowStaticGuides" w:val="1"/>
  </w:docVars>
  <w:rsids>
    <w:rsidRoot w:val="007220DB"/>
    <w:rsid w:val="0001352F"/>
    <w:rsid w:val="00015D77"/>
    <w:rsid w:val="00032864"/>
    <w:rsid w:val="00044AA9"/>
    <w:rsid w:val="00060129"/>
    <w:rsid w:val="000666DF"/>
    <w:rsid w:val="0007774F"/>
    <w:rsid w:val="000779B8"/>
    <w:rsid w:val="0008024D"/>
    <w:rsid w:val="000A0DCC"/>
    <w:rsid w:val="000A4D43"/>
    <w:rsid w:val="000A739D"/>
    <w:rsid w:val="000C4E61"/>
    <w:rsid w:val="000C7952"/>
    <w:rsid w:val="000D6D95"/>
    <w:rsid w:val="000D70E6"/>
    <w:rsid w:val="000F2A80"/>
    <w:rsid w:val="00104895"/>
    <w:rsid w:val="001121F0"/>
    <w:rsid w:val="001211F1"/>
    <w:rsid w:val="0012178F"/>
    <w:rsid w:val="001300B9"/>
    <w:rsid w:val="0013428B"/>
    <w:rsid w:val="0014565A"/>
    <w:rsid w:val="001D75E0"/>
    <w:rsid w:val="001E1A29"/>
    <w:rsid w:val="001E3796"/>
    <w:rsid w:val="001F0D3D"/>
    <w:rsid w:val="00207082"/>
    <w:rsid w:val="00211D8E"/>
    <w:rsid w:val="00220564"/>
    <w:rsid w:val="002330DD"/>
    <w:rsid w:val="00234CA8"/>
    <w:rsid w:val="0024058B"/>
    <w:rsid w:val="00256673"/>
    <w:rsid w:val="00280C48"/>
    <w:rsid w:val="00281FD1"/>
    <w:rsid w:val="00286D65"/>
    <w:rsid w:val="002A4ABD"/>
    <w:rsid w:val="002B4CCF"/>
    <w:rsid w:val="002C2252"/>
    <w:rsid w:val="002D4075"/>
    <w:rsid w:val="002E466C"/>
    <w:rsid w:val="002E5035"/>
    <w:rsid w:val="00322587"/>
    <w:rsid w:val="00331219"/>
    <w:rsid w:val="003320A3"/>
    <w:rsid w:val="00332C9D"/>
    <w:rsid w:val="00334B2A"/>
    <w:rsid w:val="003421CF"/>
    <w:rsid w:val="00350627"/>
    <w:rsid w:val="00352215"/>
    <w:rsid w:val="0035352C"/>
    <w:rsid w:val="003624CE"/>
    <w:rsid w:val="00374D19"/>
    <w:rsid w:val="00386D95"/>
    <w:rsid w:val="00391898"/>
    <w:rsid w:val="0039222F"/>
    <w:rsid w:val="003B0828"/>
    <w:rsid w:val="003B6A05"/>
    <w:rsid w:val="003C2010"/>
    <w:rsid w:val="003C4455"/>
    <w:rsid w:val="003D1896"/>
    <w:rsid w:val="003D6611"/>
    <w:rsid w:val="003E194A"/>
    <w:rsid w:val="003F6A5B"/>
    <w:rsid w:val="00405F9A"/>
    <w:rsid w:val="00412D55"/>
    <w:rsid w:val="00422D36"/>
    <w:rsid w:val="004342B4"/>
    <w:rsid w:val="00461CF6"/>
    <w:rsid w:val="00466311"/>
    <w:rsid w:val="0047092F"/>
    <w:rsid w:val="004760E2"/>
    <w:rsid w:val="00483D95"/>
    <w:rsid w:val="0049199F"/>
    <w:rsid w:val="004D5AE5"/>
    <w:rsid w:val="004E4CE7"/>
    <w:rsid w:val="004E529D"/>
    <w:rsid w:val="00503341"/>
    <w:rsid w:val="005046AA"/>
    <w:rsid w:val="00531BD2"/>
    <w:rsid w:val="00535E3F"/>
    <w:rsid w:val="005421C0"/>
    <w:rsid w:val="0054659F"/>
    <w:rsid w:val="005632D6"/>
    <w:rsid w:val="00584864"/>
    <w:rsid w:val="005906F0"/>
    <w:rsid w:val="00592253"/>
    <w:rsid w:val="00595CF1"/>
    <w:rsid w:val="005B43F7"/>
    <w:rsid w:val="005B57B9"/>
    <w:rsid w:val="005B7BC2"/>
    <w:rsid w:val="005C2AAD"/>
    <w:rsid w:val="005D20F3"/>
    <w:rsid w:val="005E1C54"/>
    <w:rsid w:val="005E774D"/>
    <w:rsid w:val="005F4744"/>
    <w:rsid w:val="00600B97"/>
    <w:rsid w:val="006162C9"/>
    <w:rsid w:val="00616551"/>
    <w:rsid w:val="00622985"/>
    <w:rsid w:val="006538CF"/>
    <w:rsid w:val="006618CD"/>
    <w:rsid w:val="00661A3C"/>
    <w:rsid w:val="00664D48"/>
    <w:rsid w:val="00665701"/>
    <w:rsid w:val="0067016E"/>
    <w:rsid w:val="00673D8E"/>
    <w:rsid w:val="00694F80"/>
    <w:rsid w:val="006A1C9F"/>
    <w:rsid w:val="006A43C6"/>
    <w:rsid w:val="006B1235"/>
    <w:rsid w:val="006B6793"/>
    <w:rsid w:val="006D52AD"/>
    <w:rsid w:val="006D53C4"/>
    <w:rsid w:val="006E30B2"/>
    <w:rsid w:val="006F73D0"/>
    <w:rsid w:val="0070528E"/>
    <w:rsid w:val="00707675"/>
    <w:rsid w:val="007220DB"/>
    <w:rsid w:val="007244EE"/>
    <w:rsid w:val="00732598"/>
    <w:rsid w:val="00737B10"/>
    <w:rsid w:val="00741031"/>
    <w:rsid w:val="00765382"/>
    <w:rsid w:val="0078701B"/>
    <w:rsid w:val="00787EAA"/>
    <w:rsid w:val="007A631F"/>
    <w:rsid w:val="007A7A91"/>
    <w:rsid w:val="007B70F7"/>
    <w:rsid w:val="007C2BE8"/>
    <w:rsid w:val="007E7222"/>
    <w:rsid w:val="007F6182"/>
    <w:rsid w:val="00805422"/>
    <w:rsid w:val="00814939"/>
    <w:rsid w:val="008330CD"/>
    <w:rsid w:val="00836B44"/>
    <w:rsid w:val="00840B28"/>
    <w:rsid w:val="00847189"/>
    <w:rsid w:val="008560A3"/>
    <w:rsid w:val="00856F9E"/>
    <w:rsid w:val="008676E4"/>
    <w:rsid w:val="00885525"/>
    <w:rsid w:val="0089008F"/>
    <w:rsid w:val="00892626"/>
    <w:rsid w:val="00894B0F"/>
    <w:rsid w:val="0089584E"/>
    <w:rsid w:val="00895EED"/>
    <w:rsid w:val="008A540F"/>
    <w:rsid w:val="008B4784"/>
    <w:rsid w:val="008C3500"/>
    <w:rsid w:val="008D183A"/>
    <w:rsid w:val="008E34D1"/>
    <w:rsid w:val="008E3F10"/>
    <w:rsid w:val="008F3BB5"/>
    <w:rsid w:val="0090378A"/>
    <w:rsid w:val="00913021"/>
    <w:rsid w:val="0092416B"/>
    <w:rsid w:val="00925F50"/>
    <w:rsid w:val="009356C3"/>
    <w:rsid w:val="0095089C"/>
    <w:rsid w:val="00960004"/>
    <w:rsid w:val="00967534"/>
    <w:rsid w:val="0097750F"/>
    <w:rsid w:val="00982F1E"/>
    <w:rsid w:val="009903CC"/>
    <w:rsid w:val="009C69E0"/>
    <w:rsid w:val="009D6747"/>
    <w:rsid w:val="009E5E4D"/>
    <w:rsid w:val="00A30BE4"/>
    <w:rsid w:val="00A53382"/>
    <w:rsid w:val="00A537EF"/>
    <w:rsid w:val="00A55742"/>
    <w:rsid w:val="00A6491A"/>
    <w:rsid w:val="00A7535E"/>
    <w:rsid w:val="00A77930"/>
    <w:rsid w:val="00A77E7B"/>
    <w:rsid w:val="00A808C7"/>
    <w:rsid w:val="00A93E67"/>
    <w:rsid w:val="00AA579E"/>
    <w:rsid w:val="00AB07FE"/>
    <w:rsid w:val="00AB15EE"/>
    <w:rsid w:val="00AB7059"/>
    <w:rsid w:val="00AC6B48"/>
    <w:rsid w:val="00AF4789"/>
    <w:rsid w:val="00B01E8F"/>
    <w:rsid w:val="00B20727"/>
    <w:rsid w:val="00B43271"/>
    <w:rsid w:val="00B61361"/>
    <w:rsid w:val="00B613E9"/>
    <w:rsid w:val="00B62345"/>
    <w:rsid w:val="00B72057"/>
    <w:rsid w:val="00B8599E"/>
    <w:rsid w:val="00BB28CD"/>
    <w:rsid w:val="00BB4557"/>
    <w:rsid w:val="00BB5F31"/>
    <w:rsid w:val="00BC1C03"/>
    <w:rsid w:val="00BC4D3D"/>
    <w:rsid w:val="00BC6AF8"/>
    <w:rsid w:val="00BD7546"/>
    <w:rsid w:val="00BF5573"/>
    <w:rsid w:val="00C101E2"/>
    <w:rsid w:val="00C14F3C"/>
    <w:rsid w:val="00C155B7"/>
    <w:rsid w:val="00C3229A"/>
    <w:rsid w:val="00C3376B"/>
    <w:rsid w:val="00C6035B"/>
    <w:rsid w:val="00C672B5"/>
    <w:rsid w:val="00C7428B"/>
    <w:rsid w:val="00C75A62"/>
    <w:rsid w:val="00C81129"/>
    <w:rsid w:val="00CA33CA"/>
    <w:rsid w:val="00CA54A4"/>
    <w:rsid w:val="00CB752B"/>
    <w:rsid w:val="00CC6CEB"/>
    <w:rsid w:val="00CE0808"/>
    <w:rsid w:val="00CF0512"/>
    <w:rsid w:val="00D02805"/>
    <w:rsid w:val="00D20DA8"/>
    <w:rsid w:val="00D26AF2"/>
    <w:rsid w:val="00D31D73"/>
    <w:rsid w:val="00D452AD"/>
    <w:rsid w:val="00D47EED"/>
    <w:rsid w:val="00D61A30"/>
    <w:rsid w:val="00D80092"/>
    <w:rsid w:val="00D84C20"/>
    <w:rsid w:val="00D9629F"/>
    <w:rsid w:val="00DA18F8"/>
    <w:rsid w:val="00DA4FA3"/>
    <w:rsid w:val="00DC1A8D"/>
    <w:rsid w:val="00DD4169"/>
    <w:rsid w:val="00DD4743"/>
    <w:rsid w:val="00E4410A"/>
    <w:rsid w:val="00E52A72"/>
    <w:rsid w:val="00E54F61"/>
    <w:rsid w:val="00E61CD1"/>
    <w:rsid w:val="00E7662B"/>
    <w:rsid w:val="00E81418"/>
    <w:rsid w:val="00E9122C"/>
    <w:rsid w:val="00E93E4A"/>
    <w:rsid w:val="00EA5F8B"/>
    <w:rsid w:val="00EA6607"/>
    <w:rsid w:val="00EB4AC2"/>
    <w:rsid w:val="00EC08C9"/>
    <w:rsid w:val="00EC0CC2"/>
    <w:rsid w:val="00EC2DC4"/>
    <w:rsid w:val="00EC606D"/>
    <w:rsid w:val="00ED02E6"/>
    <w:rsid w:val="00ED36EC"/>
    <w:rsid w:val="00EF2860"/>
    <w:rsid w:val="00EF5D34"/>
    <w:rsid w:val="00F0011A"/>
    <w:rsid w:val="00F07B64"/>
    <w:rsid w:val="00F10950"/>
    <w:rsid w:val="00F219CC"/>
    <w:rsid w:val="00F2523C"/>
    <w:rsid w:val="00F43B56"/>
    <w:rsid w:val="00F57285"/>
    <w:rsid w:val="00F6160F"/>
    <w:rsid w:val="00F775A7"/>
    <w:rsid w:val="00F90412"/>
    <w:rsid w:val="00F92D84"/>
    <w:rsid w:val="00F95C86"/>
    <w:rsid w:val="00FA546F"/>
    <w:rsid w:val="00FB3662"/>
    <w:rsid w:val="00FC4919"/>
    <w:rsid w:val="00FD7DDC"/>
    <w:rsid w:val="00FE1F5D"/>
    <w:rsid w:val="00FE7C0A"/>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colormru v:ext="edit" colors="#004a72,#129087,#44c700,#fff9e4,#009d8e,#00988a,#009a8b,#8b1075"/>
    </o:shapedefaults>
    <o:shapelayout v:ext="edit">
      <o:idmap v:ext="edit" data="1"/>
    </o:shapelayout>
  </w:shapeDefaults>
  <w:decimalSymbol w:val="."/>
  <w:listSeparator w:val=","/>
  <w14:docId w14:val="20B30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lsdException w:name="heading 5" w:semiHidden="0" w:unhideWhenUsed="0"/>
    <w:lsdException w:name="heading 6" w:semiHidden="0" w:unhideWhenUsed="0"/>
    <w:lsdException w:name="heading 8" w:semiHidden="0" w:unhideWhenUsed="0"/>
    <w:lsdException w:name="heading 9" w:semiHidden="0" w:unhideWhenUsed="0"/>
    <w:lsdException w:name="index 1" w:semiHidden="0" w:unhideWhenUsed="0"/>
    <w:lsdException w:name="index 2" w:semiHidden="0" w:unhideWhenUsed="0"/>
    <w:lsdException w:name="index 3" w:semiHidden="0" w:unhideWhenUsed="0"/>
    <w:lsdException w:name="annotation text" w:uiPriority="99"/>
    <w:lsdException w:name="header" w:uiPriority="99"/>
    <w:lsdException w:name="footer" w:uiPriority="99"/>
    <w:lsdException w:name="footnote reference" w:uiPriority="99"/>
    <w:lsdException w:name="annotation reference" w:uiPriority="99"/>
    <w:lsdException w:name="page number" w:uiPriority="99"/>
    <w:lsdException w:name="List Bullet 3" w:semiHidden="0" w:unhideWhenUsed="0"/>
    <w:lsdException w:name="List Number 2" w:semiHidden="0" w:unhideWhenUsed="0"/>
    <w:lsdException w:name="List Number 3" w:semiHidden="0" w:unhideWhenUsed="0"/>
    <w:lsdException w:name="Title" w:semiHidden="0" w:uiPriority="10" w:unhideWhenUsed="0" w:qFormat="1"/>
    <w:lsdException w:name="Subtitle" w:semiHidden="0" w:uiPriority="11" w:unhideWhenUsed="0" w:qFormat="1"/>
    <w:lsdException w:name="Body Text 2" w:semiHidden="0" w:unhideWhenUsed="0"/>
    <w:lsdException w:name="Body Text 3" w:semiHidden="0" w:unhideWhenUsed="0"/>
    <w:lsdException w:name="Body Text Indent 2" w:semiHidden="0" w:unhideWhenUsed="0"/>
    <w:lsdException w:name="Body Text Indent 3" w:semiHidden="0" w:unhideWhenUsed="0"/>
    <w:lsdException w:name="Strong" w:semiHidden="0" w:unhideWhenUsed="0"/>
    <w:lsdException w:name="Emphasis" w:semiHidden="0" w:unhideWhenUsed="0"/>
    <w:lsdException w:name="Normal (Web)" w:uiPriority="99"/>
    <w:lsdException w:name="No List" w:uiPriority="99"/>
    <w:lsdException w:name="Balloon Text" w:uiPriority="99"/>
    <w:lsdException w:name="Table Grid" w:uiPriority="59"/>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503341"/>
    <w:rPr>
      <w:lang w:val="en-AU"/>
    </w:rPr>
  </w:style>
  <w:style w:type="paragraph" w:styleId="Heading1">
    <w:name w:val="heading 1"/>
    <w:basedOn w:val="Normal"/>
    <w:next w:val="Normal"/>
    <w:link w:val="Heading1Char"/>
    <w:uiPriority w:val="9"/>
    <w:qFormat/>
    <w:rsid w:val="008560A3"/>
    <w:pPr>
      <w:keepNext/>
      <w:keepLines/>
      <w:spacing w:before="480" w:after="240" w:line="300" w:lineRule="exact"/>
      <w:outlineLvl w:val="0"/>
    </w:pPr>
    <w:rPr>
      <w:rFonts w:ascii="Arial" w:eastAsiaTheme="majorEastAsia" w:hAnsi="Arial" w:cstheme="majorBidi"/>
      <w:b/>
      <w:bCs/>
      <w:color w:val="00B0A3"/>
      <w:sz w:val="36"/>
      <w:szCs w:val="28"/>
      <w:lang w:val="en-US"/>
    </w:rPr>
  </w:style>
  <w:style w:type="paragraph" w:styleId="Heading2">
    <w:name w:val="heading 2"/>
    <w:basedOn w:val="Normal"/>
    <w:next w:val="Normal"/>
    <w:link w:val="Heading2Char"/>
    <w:uiPriority w:val="9"/>
    <w:unhideWhenUsed/>
    <w:qFormat/>
    <w:rsid w:val="008560A3"/>
    <w:pPr>
      <w:keepNext/>
      <w:keepLines/>
      <w:spacing w:line="320" w:lineRule="exact"/>
      <w:outlineLvl w:val="1"/>
    </w:pPr>
    <w:rPr>
      <w:rFonts w:ascii="Arial" w:eastAsiaTheme="majorEastAsia" w:hAnsi="Arial" w:cstheme="majorBidi"/>
      <w:b/>
      <w:bCs/>
      <w:color w:val="00B0A3"/>
      <w:sz w:val="28"/>
      <w:szCs w:val="26"/>
      <w:lang w:val="en-US"/>
    </w:rPr>
  </w:style>
  <w:style w:type="paragraph" w:styleId="Heading3">
    <w:name w:val="heading 3"/>
    <w:basedOn w:val="Normal"/>
    <w:next w:val="Normal"/>
    <w:link w:val="Heading3Char"/>
    <w:uiPriority w:val="9"/>
    <w:unhideWhenUsed/>
    <w:qFormat/>
    <w:rsid w:val="008560A3"/>
    <w:pPr>
      <w:keepNext/>
      <w:keepLines/>
      <w:spacing w:line="300" w:lineRule="exact"/>
      <w:outlineLvl w:val="2"/>
    </w:pPr>
    <w:rPr>
      <w:rFonts w:ascii="Arial" w:eastAsiaTheme="majorEastAsia" w:hAnsi="Arial" w:cstheme="majorBidi"/>
      <w:b/>
      <w:bCs/>
      <w:color w:val="00B0A3"/>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1B7EE5"/>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customStyle="1" w:styleId="MainHeading">
    <w:name w:val="Main Heading"/>
    <w:basedOn w:val="Normal"/>
    <w:autoRedefine/>
    <w:uiPriority w:val="99"/>
    <w:qFormat/>
    <w:rsid w:val="00D80092"/>
    <w:pPr>
      <w:widowControl w:val="0"/>
      <w:suppressAutoHyphens/>
      <w:autoSpaceDE w:val="0"/>
      <w:autoSpaceDN w:val="0"/>
      <w:adjustRightInd w:val="0"/>
      <w:spacing w:after="227"/>
      <w:textAlignment w:val="center"/>
      <w:outlineLvl w:val="0"/>
    </w:pPr>
    <w:rPr>
      <w:rFonts w:ascii="Verdana" w:hAnsi="Verdana" w:cs="Arial-BoldMT"/>
      <w:b/>
      <w:bCs/>
      <w:color w:val="00B0A3"/>
      <w:sz w:val="44"/>
      <w:szCs w:val="22"/>
    </w:rPr>
  </w:style>
  <w:style w:type="paragraph" w:customStyle="1" w:styleId="Copy">
    <w:name w:val="Copy"/>
    <w:basedOn w:val="Normal"/>
    <w:autoRedefine/>
    <w:uiPriority w:val="99"/>
    <w:qFormat/>
    <w:rsid w:val="00EF203F"/>
    <w:pPr>
      <w:widowControl w:val="0"/>
      <w:suppressAutoHyphens/>
      <w:autoSpaceDE w:val="0"/>
      <w:autoSpaceDN w:val="0"/>
      <w:adjustRightInd w:val="0"/>
      <w:spacing w:before="113" w:line="280" w:lineRule="atLeast"/>
      <w:textAlignment w:val="center"/>
    </w:pPr>
    <w:rPr>
      <w:rFonts w:ascii="Arial" w:hAnsi="Arial" w:cs="ArialMT"/>
      <w:color w:val="000000"/>
      <w:sz w:val="20"/>
      <w:szCs w:val="22"/>
    </w:rPr>
  </w:style>
  <w:style w:type="paragraph" w:customStyle="1" w:styleId="Subhead">
    <w:name w:val="Subhead"/>
    <w:basedOn w:val="Normal"/>
    <w:autoRedefine/>
    <w:uiPriority w:val="99"/>
    <w:qFormat/>
    <w:rsid w:val="00A5033A"/>
    <w:pPr>
      <w:widowControl w:val="0"/>
      <w:tabs>
        <w:tab w:val="left" w:pos="340"/>
        <w:tab w:val="left" w:pos="680"/>
        <w:tab w:val="left" w:pos="1020"/>
        <w:tab w:val="left" w:pos="1361"/>
        <w:tab w:val="left" w:pos="1701"/>
      </w:tabs>
      <w:suppressAutoHyphens/>
      <w:autoSpaceDE w:val="0"/>
      <w:autoSpaceDN w:val="0"/>
      <w:adjustRightInd w:val="0"/>
      <w:spacing w:after="120"/>
      <w:textAlignment w:val="center"/>
    </w:pPr>
    <w:rPr>
      <w:rFonts w:ascii="Arial" w:hAnsi="Arial" w:cs="Arial"/>
      <w:b/>
      <w:bCs/>
      <w:color w:val="00B0A3"/>
    </w:rPr>
  </w:style>
  <w:style w:type="paragraph" w:customStyle="1" w:styleId="CopyBullet">
    <w:name w:val="Copy Bullet"/>
    <w:basedOn w:val="Normal"/>
    <w:autoRedefine/>
    <w:uiPriority w:val="99"/>
    <w:qFormat/>
    <w:rsid w:val="00EF203F"/>
    <w:pPr>
      <w:widowControl w:val="0"/>
      <w:tabs>
        <w:tab w:val="left" w:pos="540"/>
        <w:tab w:val="left" w:pos="567"/>
        <w:tab w:val="left" w:pos="800"/>
        <w:tab w:val="left" w:pos="850"/>
        <w:tab w:val="left" w:pos="1134"/>
        <w:tab w:val="left" w:pos="1417"/>
      </w:tabs>
      <w:suppressAutoHyphens/>
      <w:autoSpaceDE w:val="0"/>
      <w:autoSpaceDN w:val="0"/>
      <w:adjustRightInd w:val="0"/>
      <w:spacing w:before="113" w:line="280" w:lineRule="atLeast"/>
      <w:ind w:left="340" w:hanging="340"/>
      <w:textAlignment w:val="center"/>
    </w:pPr>
    <w:rPr>
      <w:rFonts w:ascii="Arial" w:hAnsi="Arial" w:cs="ArialMT"/>
      <w:color w:val="000000"/>
      <w:sz w:val="20"/>
      <w:szCs w:val="22"/>
    </w:rPr>
  </w:style>
  <w:style w:type="paragraph" w:styleId="Header">
    <w:name w:val="header"/>
    <w:basedOn w:val="Normal"/>
    <w:link w:val="HeaderChar"/>
    <w:uiPriority w:val="99"/>
    <w:unhideWhenUsed/>
    <w:rsid w:val="00AC5BED"/>
    <w:pPr>
      <w:tabs>
        <w:tab w:val="center" w:pos="4320"/>
        <w:tab w:val="right" w:pos="8640"/>
      </w:tabs>
    </w:pPr>
  </w:style>
  <w:style w:type="character" w:customStyle="1" w:styleId="HeaderChar">
    <w:name w:val="Header Char"/>
    <w:basedOn w:val="DefaultParagraphFont"/>
    <w:link w:val="Header"/>
    <w:uiPriority w:val="99"/>
    <w:rsid w:val="00AC5BED"/>
  </w:style>
  <w:style w:type="paragraph" w:styleId="Footer">
    <w:name w:val="footer"/>
    <w:basedOn w:val="Normal"/>
    <w:link w:val="FooterChar"/>
    <w:uiPriority w:val="99"/>
    <w:unhideWhenUsed/>
    <w:rsid w:val="00AC5BED"/>
    <w:pPr>
      <w:tabs>
        <w:tab w:val="center" w:pos="4320"/>
        <w:tab w:val="right" w:pos="8640"/>
      </w:tabs>
    </w:pPr>
  </w:style>
  <w:style w:type="character" w:customStyle="1" w:styleId="FooterChar">
    <w:name w:val="Footer Char"/>
    <w:basedOn w:val="DefaultParagraphFont"/>
    <w:link w:val="Footer"/>
    <w:uiPriority w:val="99"/>
    <w:rsid w:val="00AC5BED"/>
  </w:style>
  <w:style w:type="character" w:styleId="PageNumber">
    <w:name w:val="page number"/>
    <w:basedOn w:val="DefaultParagraphFont"/>
    <w:uiPriority w:val="99"/>
    <w:semiHidden/>
    <w:unhideWhenUsed/>
    <w:rsid w:val="005103B4"/>
  </w:style>
  <w:style w:type="paragraph" w:styleId="ListParagraph">
    <w:name w:val="List Paragraph"/>
    <w:basedOn w:val="Normal"/>
    <w:autoRedefine/>
    <w:uiPriority w:val="34"/>
    <w:qFormat/>
    <w:rsid w:val="000F2A80"/>
    <w:pPr>
      <w:numPr>
        <w:numId w:val="18"/>
      </w:numPr>
      <w:contextualSpacing/>
    </w:pPr>
    <w:rPr>
      <w:rFonts w:asciiTheme="majorHAnsi" w:hAnsiTheme="majorHAnsi"/>
      <w:sz w:val="22"/>
      <w:szCs w:val="22"/>
    </w:rPr>
  </w:style>
  <w:style w:type="paragraph" w:customStyle="1" w:styleId="DateSubject">
    <w:name w:val="Date &amp; Subject"/>
    <w:qFormat/>
    <w:rsid w:val="00CB38E4"/>
    <w:pPr>
      <w:spacing w:line="360" w:lineRule="atLeast"/>
    </w:pPr>
    <w:rPr>
      <w:rFonts w:ascii="Arial" w:hAnsi="Arial" w:cs="Arial"/>
      <w:b/>
      <w:bCs/>
      <w:color w:val="000000" w:themeColor="text1"/>
      <w:sz w:val="28"/>
      <w:szCs w:val="28"/>
    </w:rPr>
  </w:style>
  <w:style w:type="paragraph" w:customStyle="1" w:styleId="BulletList">
    <w:name w:val="Bullet List"/>
    <w:autoRedefine/>
    <w:qFormat/>
    <w:rsid w:val="00002E19"/>
    <w:pPr>
      <w:widowControl w:val="0"/>
      <w:numPr>
        <w:numId w:val="1"/>
      </w:numPr>
      <w:tabs>
        <w:tab w:val="left" w:pos="540"/>
        <w:tab w:val="left" w:pos="567"/>
        <w:tab w:val="left" w:pos="800"/>
        <w:tab w:val="left" w:pos="850"/>
        <w:tab w:val="left" w:pos="1134"/>
        <w:tab w:val="left" w:pos="1417"/>
      </w:tabs>
      <w:suppressAutoHyphens/>
      <w:autoSpaceDE w:val="0"/>
      <w:autoSpaceDN w:val="0"/>
      <w:adjustRightInd w:val="0"/>
      <w:spacing w:before="113" w:line="280" w:lineRule="atLeast"/>
      <w:ind w:hanging="261"/>
      <w:textAlignment w:val="center"/>
    </w:pPr>
    <w:rPr>
      <w:rFonts w:ascii="Arial" w:hAnsi="Arial" w:cs="ArialMT"/>
      <w:color w:val="000000"/>
      <w:sz w:val="20"/>
      <w:szCs w:val="22"/>
    </w:rPr>
  </w:style>
  <w:style w:type="paragraph" w:customStyle="1" w:styleId="CopyNumbers">
    <w:name w:val="Copy Numbers"/>
    <w:basedOn w:val="Normal"/>
    <w:autoRedefine/>
    <w:qFormat/>
    <w:rsid w:val="004E2B1C"/>
    <w:pPr>
      <w:widowControl w:val="0"/>
      <w:tabs>
        <w:tab w:val="left" w:pos="540"/>
        <w:tab w:val="left" w:pos="567"/>
        <w:tab w:val="left" w:pos="800"/>
        <w:tab w:val="left" w:pos="850"/>
        <w:tab w:val="left" w:pos="1134"/>
        <w:tab w:val="left" w:pos="1417"/>
      </w:tabs>
      <w:suppressAutoHyphens/>
      <w:autoSpaceDE w:val="0"/>
      <w:autoSpaceDN w:val="0"/>
      <w:adjustRightInd w:val="0"/>
      <w:spacing w:before="113" w:line="280" w:lineRule="atLeast"/>
      <w:ind w:left="340" w:hanging="340"/>
      <w:textAlignment w:val="center"/>
    </w:pPr>
    <w:rPr>
      <w:rFonts w:ascii="Arial" w:hAnsi="Arial" w:cs="ArialMT"/>
      <w:color w:val="000000"/>
      <w:sz w:val="20"/>
      <w:szCs w:val="22"/>
    </w:rPr>
  </w:style>
  <w:style w:type="character" w:styleId="Hyperlink">
    <w:name w:val="Hyperlink"/>
    <w:basedOn w:val="DefaultParagraphFont"/>
    <w:rsid w:val="00342C1C"/>
    <w:rPr>
      <w:color w:val="0000FF" w:themeColor="hyperlink"/>
      <w:u w:val="single"/>
    </w:rPr>
  </w:style>
  <w:style w:type="paragraph" w:customStyle="1" w:styleId="alicexxBodyTextMinutes">
    <w:name w:val="alice x.x Body Text Minutes"/>
    <w:basedOn w:val="Normal"/>
    <w:link w:val="alicexxBodyTextMinutesChar"/>
    <w:qFormat/>
    <w:rsid w:val="00342C1C"/>
    <w:pPr>
      <w:tabs>
        <w:tab w:val="left" w:pos="1701"/>
        <w:tab w:val="right" w:pos="9720"/>
      </w:tabs>
      <w:ind w:left="1134" w:right="-79"/>
    </w:pPr>
    <w:rPr>
      <w:rFonts w:ascii="Verdana" w:eastAsia="Times New Roman" w:hAnsi="Verdana" w:cs="Times New Roman"/>
      <w:sz w:val="20"/>
      <w:szCs w:val="20"/>
    </w:rPr>
  </w:style>
  <w:style w:type="character" w:customStyle="1" w:styleId="alicexxBodyTextMinutesChar">
    <w:name w:val="alice x.x Body Text Minutes Char"/>
    <w:link w:val="alicexxBodyTextMinutes"/>
    <w:locked/>
    <w:rsid w:val="00342C1C"/>
    <w:rPr>
      <w:rFonts w:ascii="Verdana" w:eastAsia="Times New Roman" w:hAnsi="Verdana" w:cs="Times New Roman"/>
      <w:sz w:val="20"/>
      <w:szCs w:val="20"/>
      <w:lang w:val="en-AU"/>
    </w:rPr>
  </w:style>
  <w:style w:type="paragraph" w:customStyle="1" w:styleId="PFLevel1">
    <w:name w:val="PF Level 1"/>
    <w:basedOn w:val="Normal"/>
    <w:rsid w:val="00342C1C"/>
    <w:pPr>
      <w:tabs>
        <w:tab w:val="left" w:pos="924"/>
        <w:tab w:val="left" w:pos="1848"/>
        <w:tab w:val="left" w:pos="2773"/>
        <w:tab w:val="left" w:pos="3697"/>
        <w:tab w:val="left" w:pos="4621"/>
        <w:tab w:val="left" w:pos="5545"/>
        <w:tab w:val="left" w:pos="6469"/>
        <w:tab w:val="left" w:pos="7394"/>
        <w:tab w:val="left" w:pos="8318"/>
      </w:tabs>
      <w:spacing w:after="200" w:line="276" w:lineRule="auto"/>
      <w:ind w:left="924"/>
    </w:pPr>
    <w:rPr>
      <w:rFonts w:eastAsiaTheme="minorHAnsi"/>
      <w:sz w:val="22"/>
      <w:szCs w:val="22"/>
    </w:rPr>
  </w:style>
  <w:style w:type="paragraph" w:styleId="BalloonText">
    <w:name w:val="Balloon Text"/>
    <w:basedOn w:val="Normal"/>
    <w:link w:val="BalloonTextChar"/>
    <w:uiPriority w:val="99"/>
    <w:semiHidden/>
    <w:unhideWhenUsed/>
    <w:rsid w:val="00D110A6"/>
    <w:rPr>
      <w:rFonts w:ascii="Tahoma" w:hAnsi="Tahoma" w:cs="Tahoma"/>
      <w:sz w:val="16"/>
      <w:szCs w:val="16"/>
    </w:rPr>
  </w:style>
  <w:style w:type="character" w:customStyle="1" w:styleId="BalloonTextChar">
    <w:name w:val="Balloon Text Char"/>
    <w:basedOn w:val="DefaultParagraphFont"/>
    <w:link w:val="BalloonText"/>
    <w:uiPriority w:val="99"/>
    <w:semiHidden/>
    <w:rsid w:val="00D110A6"/>
    <w:rPr>
      <w:rFonts w:ascii="Tahoma" w:hAnsi="Tahoma" w:cs="Tahoma"/>
      <w:sz w:val="16"/>
      <w:szCs w:val="16"/>
    </w:rPr>
  </w:style>
  <w:style w:type="character" w:customStyle="1" w:styleId="Heading1Char">
    <w:name w:val="Heading 1 Char"/>
    <w:basedOn w:val="DefaultParagraphFont"/>
    <w:link w:val="Heading1"/>
    <w:uiPriority w:val="9"/>
    <w:rsid w:val="008560A3"/>
    <w:rPr>
      <w:rFonts w:ascii="Arial" w:eastAsiaTheme="majorEastAsia" w:hAnsi="Arial" w:cstheme="majorBidi"/>
      <w:b/>
      <w:bCs/>
      <w:color w:val="00B0A3"/>
      <w:sz w:val="36"/>
      <w:szCs w:val="28"/>
    </w:rPr>
  </w:style>
  <w:style w:type="character" w:customStyle="1" w:styleId="Heading2Char">
    <w:name w:val="Heading 2 Char"/>
    <w:basedOn w:val="DefaultParagraphFont"/>
    <w:link w:val="Heading2"/>
    <w:uiPriority w:val="9"/>
    <w:rsid w:val="008560A3"/>
    <w:rPr>
      <w:rFonts w:ascii="Arial" w:eastAsiaTheme="majorEastAsia" w:hAnsi="Arial" w:cstheme="majorBidi"/>
      <w:b/>
      <w:bCs/>
      <w:color w:val="00B0A3"/>
      <w:sz w:val="28"/>
      <w:szCs w:val="26"/>
    </w:rPr>
  </w:style>
  <w:style w:type="character" w:customStyle="1" w:styleId="Heading3Char">
    <w:name w:val="Heading 3 Char"/>
    <w:basedOn w:val="DefaultParagraphFont"/>
    <w:link w:val="Heading3"/>
    <w:uiPriority w:val="9"/>
    <w:rsid w:val="008560A3"/>
    <w:rPr>
      <w:rFonts w:ascii="Arial" w:eastAsiaTheme="majorEastAsia" w:hAnsi="Arial" w:cstheme="majorBidi"/>
      <w:b/>
      <w:bCs/>
      <w:color w:val="00B0A3"/>
    </w:rPr>
  </w:style>
  <w:style w:type="paragraph" w:styleId="Title">
    <w:name w:val="Title"/>
    <w:basedOn w:val="Normal"/>
    <w:next w:val="Normal"/>
    <w:link w:val="TitleChar"/>
    <w:uiPriority w:val="10"/>
    <w:qFormat/>
    <w:rsid w:val="008560A3"/>
    <w:pPr>
      <w:spacing w:after="300"/>
      <w:contextualSpacing/>
    </w:pPr>
    <w:rPr>
      <w:rFonts w:ascii="Arial" w:eastAsiaTheme="majorEastAsia" w:hAnsi="Arial" w:cstheme="majorBidi"/>
      <w:b/>
      <w:color w:val="00B0A3"/>
      <w:spacing w:val="5"/>
      <w:kern w:val="28"/>
      <w:sz w:val="52"/>
      <w:szCs w:val="52"/>
      <w:lang w:val="en-US"/>
    </w:rPr>
  </w:style>
  <w:style w:type="character" w:customStyle="1" w:styleId="TitleChar">
    <w:name w:val="Title Char"/>
    <w:basedOn w:val="DefaultParagraphFont"/>
    <w:link w:val="Title"/>
    <w:uiPriority w:val="10"/>
    <w:rsid w:val="008560A3"/>
    <w:rPr>
      <w:rFonts w:ascii="Arial" w:eastAsiaTheme="majorEastAsia" w:hAnsi="Arial" w:cstheme="majorBidi"/>
      <w:b/>
      <w:color w:val="00B0A3"/>
      <w:spacing w:val="5"/>
      <w:kern w:val="28"/>
      <w:sz w:val="52"/>
      <w:szCs w:val="52"/>
    </w:rPr>
  </w:style>
  <w:style w:type="paragraph" w:styleId="Subtitle">
    <w:name w:val="Subtitle"/>
    <w:basedOn w:val="Normal"/>
    <w:next w:val="Normal"/>
    <w:link w:val="SubtitleChar"/>
    <w:uiPriority w:val="11"/>
    <w:qFormat/>
    <w:rsid w:val="008560A3"/>
    <w:pPr>
      <w:numPr>
        <w:ilvl w:val="1"/>
      </w:numPr>
      <w:spacing w:before="113" w:line="360" w:lineRule="auto"/>
    </w:pPr>
    <w:rPr>
      <w:rFonts w:ascii="Arial" w:eastAsiaTheme="majorEastAsia" w:hAnsi="Arial" w:cstheme="majorBidi"/>
      <w:b/>
      <w:i/>
      <w:iCs/>
      <w:color w:val="00B0A3"/>
      <w:spacing w:val="15"/>
      <w:sz w:val="40"/>
      <w:lang w:val="en-US"/>
    </w:rPr>
  </w:style>
  <w:style w:type="character" w:customStyle="1" w:styleId="SubtitleChar">
    <w:name w:val="Subtitle Char"/>
    <w:basedOn w:val="DefaultParagraphFont"/>
    <w:link w:val="Subtitle"/>
    <w:uiPriority w:val="11"/>
    <w:rsid w:val="008560A3"/>
    <w:rPr>
      <w:rFonts w:ascii="Arial" w:eastAsiaTheme="majorEastAsia" w:hAnsi="Arial" w:cstheme="majorBidi"/>
      <w:b/>
      <w:i/>
      <w:iCs/>
      <w:color w:val="00B0A3"/>
      <w:spacing w:val="15"/>
      <w:sz w:val="40"/>
    </w:rPr>
  </w:style>
  <w:style w:type="character" w:styleId="CommentReference">
    <w:name w:val="annotation reference"/>
    <w:basedOn w:val="DefaultParagraphFont"/>
    <w:uiPriority w:val="99"/>
    <w:semiHidden/>
    <w:unhideWhenUsed/>
    <w:rsid w:val="00AA579E"/>
    <w:rPr>
      <w:sz w:val="16"/>
      <w:szCs w:val="16"/>
    </w:rPr>
  </w:style>
  <w:style w:type="paragraph" w:styleId="CommentText">
    <w:name w:val="annotation text"/>
    <w:basedOn w:val="Normal"/>
    <w:link w:val="CommentTextChar"/>
    <w:uiPriority w:val="99"/>
    <w:semiHidden/>
    <w:unhideWhenUsed/>
    <w:rsid w:val="00AA579E"/>
    <w:pPr>
      <w:spacing w:after="160"/>
    </w:pPr>
    <w:rPr>
      <w:rFonts w:eastAsiaTheme="minorHAnsi"/>
      <w:sz w:val="20"/>
      <w:szCs w:val="20"/>
    </w:rPr>
  </w:style>
  <w:style w:type="character" w:customStyle="1" w:styleId="CommentTextChar">
    <w:name w:val="Comment Text Char"/>
    <w:basedOn w:val="DefaultParagraphFont"/>
    <w:link w:val="CommentText"/>
    <w:uiPriority w:val="99"/>
    <w:semiHidden/>
    <w:rsid w:val="00AA579E"/>
    <w:rPr>
      <w:rFonts w:eastAsiaTheme="minorHAnsi"/>
      <w:sz w:val="20"/>
      <w:szCs w:val="20"/>
      <w:lang w:val="en-AU"/>
    </w:rPr>
  </w:style>
  <w:style w:type="paragraph" w:styleId="NoSpacing">
    <w:name w:val="No Spacing"/>
    <w:uiPriority w:val="1"/>
    <w:qFormat/>
    <w:rsid w:val="00AA579E"/>
    <w:rPr>
      <w:rFonts w:eastAsiaTheme="minorHAnsi"/>
      <w:sz w:val="22"/>
      <w:szCs w:val="22"/>
      <w:lang w:val="en-AU"/>
    </w:rPr>
  </w:style>
  <w:style w:type="table" w:styleId="TableGrid">
    <w:name w:val="Table Grid"/>
    <w:basedOn w:val="TableNormal"/>
    <w:uiPriority w:val="59"/>
    <w:rsid w:val="00AA579E"/>
    <w:rPr>
      <w:rFonts w:eastAsia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
    <w:name w:val="DHHS body"/>
    <w:qFormat/>
    <w:rsid w:val="00AA579E"/>
    <w:pPr>
      <w:spacing w:after="120" w:line="270" w:lineRule="atLeast"/>
    </w:pPr>
    <w:rPr>
      <w:rFonts w:ascii="Arial" w:eastAsia="Times" w:hAnsi="Arial" w:cs="Times New Roman"/>
      <w:sz w:val="20"/>
      <w:szCs w:val="20"/>
      <w:lang w:val="en-AU"/>
    </w:rPr>
  </w:style>
  <w:style w:type="paragraph" w:styleId="CommentSubject">
    <w:name w:val="annotation subject"/>
    <w:basedOn w:val="CommentText"/>
    <w:next w:val="CommentText"/>
    <w:link w:val="CommentSubjectChar"/>
    <w:semiHidden/>
    <w:unhideWhenUsed/>
    <w:rsid w:val="00AA579E"/>
    <w:pPr>
      <w:spacing w:after="0"/>
    </w:pPr>
    <w:rPr>
      <w:rFonts w:eastAsiaTheme="minorEastAsia"/>
      <w:b/>
      <w:bCs/>
    </w:rPr>
  </w:style>
  <w:style w:type="character" w:customStyle="1" w:styleId="CommentSubjectChar">
    <w:name w:val="Comment Subject Char"/>
    <w:basedOn w:val="CommentTextChar"/>
    <w:link w:val="CommentSubject"/>
    <w:semiHidden/>
    <w:rsid w:val="00AA579E"/>
    <w:rPr>
      <w:rFonts w:eastAsiaTheme="minorHAnsi"/>
      <w:b/>
      <w:bCs/>
      <w:sz w:val="20"/>
      <w:szCs w:val="20"/>
      <w:lang w:val="en-AU"/>
    </w:rPr>
  </w:style>
  <w:style w:type="paragraph" w:styleId="Revision">
    <w:name w:val="Revision"/>
    <w:hidden/>
    <w:semiHidden/>
    <w:rsid w:val="00AA579E"/>
    <w:rPr>
      <w:lang w:val="en-AU"/>
    </w:rPr>
  </w:style>
  <w:style w:type="paragraph" w:styleId="NormalWeb">
    <w:name w:val="Normal (Web)"/>
    <w:basedOn w:val="Normal"/>
    <w:uiPriority w:val="99"/>
    <w:semiHidden/>
    <w:unhideWhenUsed/>
    <w:rsid w:val="00AA579E"/>
    <w:pPr>
      <w:spacing w:before="100" w:beforeAutospacing="1" w:after="100" w:afterAutospacing="1"/>
    </w:pPr>
    <w:rPr>
      <w:rFonts w:ascii="Times New Roman" w:eastAsia="Times New Roman" w:hAnsi="Times New Roman" w:cs="Times New Roman"/>
      <w:lang w:eastAsia="en-AU"/>
    </w:rPr>
  </w:style>
  <w:style w:type="character" w:customStyle="1" w:styleId="UnresolvedMention1">
    <w:name w:val="Unresolved Mention1"/>
    <w:basedOn w:val="DefaultParagraphFont"/>
    <w:uiPriority w:val="99"/>
    <w:semiHidden/>
    <w:unhideWhenUsed/>
    <w:rsid w:val="00AA579E"/>
    <w:rPr>
      <w:color w:val="605E5C"/>
      <w:shd w:val="clear" w:color="auto" w:fill="E1DFDD"/>
    </w:rPr>
  </w:style>
  <w:style w:type="paragraph" w:customStyle="1" w:styleId="Default">
    <w:name w:val="Default"/>
    <w:rsid w:val="001300B9"/>
    <w:pPr>
      <w:autoSpaceDE w:val="0"/>
      <w:autoSpaceDN w:val="0"/>
      <w:adjustRightInd w:val="0"/>
    </w:pPr>
    <w:rPr>
      <w:rFonts w:ascii="Verdana" w:hAnsi="Verdana" w:cs="Verdana"/>
      <w:color w:val="000000"/>
      <w:lang w:val="en-AU"/>
    </w:rPr>
  </w:style>
  <w:style w:type="paragraph" w:styleId="FootnoteText">
    <w:name w:val="footnote text"/>
    <w:basedOn w:val="Normal"/>
    <w:link w:val="FootnoteTextChar"/>
    <w:unhideWhenUsed/>
    <w:rsid w:val="00D84C20"/>
    <w:rPr>
      <w:sz w:val="20"/>
      <w:szCs w:val="20"/>
    </w:rPr>
  </w:style>
  <w:style w:type="character" w:customStyle="1" w:styleId="FootnoteTextChar">
    <w:name w:val="Footnote Text Char"/>
    <w:basedOn w:val="DefaultParagraphFont"/>
    <w:link w:val="FootnoteText"/>
    <w:rsid w:val="00D84C20"/>
    <w:rPr>
      <w:sz w:val="20"/>
      <w:szCs w:val="20"/>
      <w:lang w:val="en-AU"/>
    </w:rPr>
  </w:style>
  <w:style w:type="character" w:styleId="FootnoteReference">
    <w:name w:val="footnote reference"/>
    <w:basedOn w:val="DefaultParagraphFont"/>
    <w:uiPriority w:val="99"/>
    <w:semiHidden/>
    <w:unhideWhenUsed/>
    <w:rsid w:val="00D84C20"/>
    <w:rPr>
      <w:vertAlign w:val="superscript"/>
    </w:rPr>
  </w:style>
  <w:style w:type="character" w:styleId="FollowedHyperlink">
    <w:name w:val="FollowedHyperlink"/>
    <w:basedOn w:val="DefaultParagraphFont"/>
    <w:semiHidden/>
    <w:unhideWhenUsed/>
    <w:rsid w:val="00894B0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lsdException w:name="heading 5" w:semiHidden="0" w:unhideWhenUsed="0"/>
    <w:lsdException w:name="heading 6" w:semiHidden="0" w:unhideWhenUsed="0"/>
    <w:lsdException w:name="heading 8" w:semiHidden="0" w:unhideWhenUsed="0"/>
    <w:lsdException w:name="heading 9" w:semiHidden="0" w:unhideWhenUsed="0"/>
    <w:lsdException w:name="index 1" w:semiHidden="0" w:unhideWhenUsed="0"/>
    <w:lsdException w:name="index 2" w:semiHidden="0" w:unhideWhenUsed="0"/>
    <w:lsdException w:name="index 3" w:semiHidden="0" w:unhideWhenUsed="0"/>
    <w:lsdException w:name="annotation text" w:uiPriority="99"/>
    <w:lsdException w:name="header" w:uiPriority="99"/>
    <w:lsdException w:name="footer" w:uiPriority="99"/>
    <w:lsdException w:name="footnote reference" w:uiPriority="99"/>
    <w:lsdException w:name="annotation reference" w:uiPriority="99"/>
    <w:lsdException w:name="page number" w:uiPriority="99"/>
    <w:lsdException w:name="List Bullet 3" w:semiHidden="0" w:unhideWhenUsed="0"/>
    <w:lsdException w:name="List Number 2" w:semiHidden="0" w:unhideWhenUsed="0"/>
    <w:lsdException w:name="List Number 3" w:semiHidden="0" w:unhideWhenUsed="0"/>
    <w:lsdException w:name="Title" w:semiHidden="0" w:uiPriority="10" w:unhideWhenUsed="0" w:qFormat="1"/>
    <w:lsdException w:name="Subtitle" w:semiHidden="0" w:uiPriority="11" w:unhideWhenUsed="0" w:qFormat="1"/>
    <w:lsdException w:name="Body Text 2" w:semiHidden="0" w:unhideWhenUsed="0"/>
    <w:lsdException w:name="Body Text 3" w:semiHidden="0" w:unhideWhenUsed="0"/>
    <w:lsdException w:name="Body Text Indent 2" w:semiHidden="0" w:unhideWhenUsed="0"/>
    <w:lsdException w:name="Body Text Indent 3" w:semiHidden="0" w:unhideWhenUsed="0"/>
    <w:lsdException w:name="Strong" w:semiHidden="0" w:unhideWhenUsed="0"/>
    <w:lsdException w:name="Emphasis" w:semiHidden="0" w:unhideWhenUsed="0"/>
    <w:lsdException w:name="Normal (Web)" w:uiPriority="99"/>
    <w:lsdException w:name="No List" w:uiPriority="99"/>
    <w:lsdException w:name="Balloon Text" w:uiPriority="99"/>
    <w:lsdException w:name="Table Grid" w:uiPriority="59"/>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503341"/>
    <w:rPr>
      <w:lang w:val="en-AU"/>
    </w:rPr>
  </w:style>
  <w:style w:type="paragraph" w:styleId="Heading1">
    <w:name w:val="heading 1"/>
    <w:basedOn w:val="Normal"/>
    <w:next w:val="Normal"/>
    <w:link w:val="Heading1Char"/>
    <w:uiPriority w:val="9"/>
    <w:qFormat/>
    <w:rsid w:val="008560A3"/>
    <w:pPr>
      <w:keepNext/>
      <w:keepLines/>
      <w:spacing w:before="480" w:after="240" w:line="300" w:lineRule="exact"/>
      <w:outlineLvl w:val="0"/>
    </w:pPr>
    <w:rPr>
      <w:rFonts w:ascii="Arial" w:eastAsiaTheme="majorEastAsia" w:hAnsi="Arial" w:cstheme="majorBidi"/>
      <w:b/>
      <w:bCs/>
      <w:color w:val="00B0A3"/>
      <w:sz w:val="36"/>
      <w:szCs w:val="28"/>
      <w:lang w:val="en-US"/>
    </w:rPr>
  </w:style>
  <w:style w:type="paragraph" w:styleId="Heading2">
    <w:name w:val="heading 2"/>
    <w:basedOn w:val="Normal"/>
    <w:next w:val="Normal"/>
    <w:link w:val="Heading2Char"/>
    <w:uiPriority w:val="9"/>
    <w:unhideWhenUsed/>
    <w:qFormat/>
    <w:rsid w:val="008560A3"/>
    <w:pPr>
      <w:keepNext/>
      <w:keepLines/>
      <w:spacing w:line="320" w:lineRule="exact"/>
      <w:outlineLvl w:val="1"/>
    </w:pPr>
    <w:rPr>
      <w:rFonts w:ascii="Arial" w:eastAsiaTheme="majorEastAsia" w:hAnsi="Arial" w:cstheme="majorBidi"/>
      <w:b/>
      <w:bCs/>
      <w:color w:val="00B0A3"/>
      <w:sz w:val="28"/>
      <w:szCs w:val="26"/>
      <w:lang w:val="en-US"/>
    </w:rPr>
  </w:style>
  <w:style w:type="paragraph" w:styleId="Heading3">
    <w:name w:val="heading 3"/>
    <w:basedOn w:val="Normal"/>
    <w:next w:val="Normal"/>
    <w:link w:val="Heading3Char"/>
    <w:uiPriority w:val="9"/>
    <w:unhideWhenUsed/>
    <w:qFormat/>
    <w:rsid w:val="008560A3"/>
    <w:pPr>
      <w:keepNext/>
      <w:keepLines/>
      <w:spacing w:line="300" w:lineRule="exact"/>
      <w:outlineLvl w:val="2"/>
    </w:pPr>
    <w:rPr>
      <w:rFonts w:ascii="Arial" w:eastAsiaTheme="majorEastAsia" w:hAnsi="Arial" w:cstheme="majorBidi"/>
      <w:b/>
      <w:bCs/>
      <w:color w:val="00B0A3"/>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1B7EE5"/>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customStyle="1" w:styleId="MainHeading">
    <w:name w:val="Main Heading"/>
    <w:basedOn w:val="Normal"/>
    <w:autoRedefine/>
    <w:uiPriority w:val="99"/>
    <w:qFormat/>
    <w:rsid w:val="00D80092"/>
    <w:pPr>
      <w:widowControl w:val="0"/>
      <w:suppressAutoHyphens/>
      <w:autoSpaceDE w:val="0"/>
      <w:autoSpaceDN w:val="0"/>
      <w:adjustRightInd w:val="0"/>
      <w:spacing w:after="227"/>
      <w:textAlignment w:val="center"/>
      <w:outlineLvl w:val="0"/>
    </w:pPr>
    <w:rPr>
      <w:rFonts w:ascii="Verdana" w:hAnsi="Verdana" w:cs="Arial-BoldMT"/>
      <w:b/>
      <w:bCs/>
      <w:color w:val="00B0A3"/>
      <w:sz w:val="44"/>
      <w:szCs w:val="22"/>
    </w:rPr>
  </w:style>
  <w:style w:type="paragraph" w:customStyle="1" w:styleId="Copy">
    <w:name w:val="Copy"/>
    <w:basedOn w:val="Normal"/>
    <w:autoRedefine/>
    <w:uiPriority w:val="99"/>
    <w:qFormat/>
    <w:rsid w:val="00EF203F"/>
    <w:pPr>
      <w:widowControl w:val="0"/>
      <w:suppressAutoHyphens/>
      <w:autoSpaceDE w:val="0"/>
      <w:autoSpaceDN w:val="0"/>
      <w:adjustRightInd w:val="0"/>
      <w:spacing w:before="113" w:line="280" w:lineRule="atLeast"/>
      <w:textAlignment w:val="center"/>
    </w:pPr>
    <w:rPr>
      <w:rFonts w:ascii="Arial" w:hAnsi="Arial" w:cs="ArialMT"/>
      <w:color w:val="000000"/>
      <w:sz w:val="20"/>
      <w:szCs w:val="22"/>
    </w:rPr>
  </w:style>
  <w:style w:type="paragraph" w:customStyle="1" w:styleId="Subhead">
    <w:name w:val="Subhead"/>
    <w:basedOn w:val="Normal"/>
    <w:autoRedefine/>
    <w:uiPriority w:val="99"/>
    <w:qFormat/>
    <w:rsid w:val="00A5033A"/>
    <w:pPr>
      <w:widowControl w:val="0"/>
      <w:tabs>
        <w:tab w:val="left" w:pos="340"/>
        <w:tab w:val="left" w:pos="680"/>
        <w:tab w:val="left" w:pos="1020"/>
        <w:tab w:val="left" w:pos="1361"/>
        <w:tab w:val="left" w:pos="1701"/>
      </w:tabs>
      <w:suppressAutoHyphens/>
      <w:autoSpaceDE w:val="0"/>
      <w:autoSpaceDN w:val="0"/>
      <w:adjustRightInd w:val="0"/>
      <w:spacing w:after="120"/>
      <w:textAlignment w:val="center"/>
    </w:pPr>
    <w:rPr>
      <w:rFonts w:ascii="Arial" w:hAnsi="Arial" w:cs="Arial"/>
      <w:b/>
      <w:bCs/>
      <w:color w:val="00B0A3"/>
    </w:rPr>
  </w:style>
  <w:style w:type="paragraph" w:customStyle="1" w:styleId="CopyBullet">
    <w:name w:val="Copy Bullet"/>
    <w:basedOn w:val="Normal"/>
    <w:autoRedefine/>
    <w:uiPriority w:val="99"/>
    <w:qFormat/>
    <w:rsid w:val="00EF203F"/>
    <w:pPr>
      <w:widowControl w:val="0"/>
      <w:tabs>
        <w:tab w:val="left" w:pos="540"/>
        <w:tab w:val="left" w:pos="567"/>
        <w:tab w:val="left" w:pos="800"/>
        <w:tab w:val="left" w:pos="850"/>
        <w:tab w:val="left" w:pos="1134"/>
        <w:tab w:val="left" w:pos="1417"/>
      </w:tabs>
      <w:suppressAutoHyphens/>
      <w:autoSpaceDE w:val="0"/>
      <w:autoSpaceDN w:val="0"/>
      <w:adjustRightInd w:val="0"/>
      <w:spacing w:before="113" w:line="280" w:lineRule="atLeast"/>
      <w:ind w:left="340" w:hanging="340"/>
      <w:textAlignment w:val="center"/>
    </w:pPr>
    <w:rPr>
      <w:rFonts w:ascii="Arial" w:hAnsi="Arial" w:cs="ArialMT"/>
      <w:color w:val="000000"/>
      <w:sz w:val="20"/>
      <w:szCs w:val="22"/>
    </w:rPr>
  </w:style>
  <w:style w:type="paragraph" w:styleId="Header">
    <w:name w:val="header"/>
    <w:basedOn w:val="Normal"/>
    <w:link w:val="HeaderChar"/>
    <w:uiPriority w:val="99"/>
    <w:unhideWhenUsed/>
    <w:rsid w:val="00AC5BED"/>
    <w:pPr>
      <w:tabs>
        <w:tab w:val="center" w:pos="4320"/>
        <w:tab w:val="right" w:pos="8640"/>
      </w:tabs>
    </w:pPr>
  </w:style>
  <w:style w:type="character" w:customStyle="1" w:styleId="HeaderChar">
    <w:name w:val="Header Char"/>
    <w:basedOn w:val="DefaultParagraphFont"/>
    <w:link w:val="Header"/>
    <w:uiPriority w:val="99"/>
    <w:rsid w:val="00AC5BED"/>
  </w:style>
  <w:style w:type="paragraph" w:styleId="Footer">
    <w:name w:val="footer"/>
    <w:basedOn w:val="Normal"/>
    <w:link w:val="FooterChar"/>
    <w:uiPriority w:val="99"/>
    <w:unhideWhenUsed/>
    <w:rsid w:val="00AC5BED"/>
    <w:pPr>
      <w:tabs>
        <w:tab w:val="center" w:pos="4320"/>
        <w:tab w:val="right" w:pos="8640"/>
      </w:tabs>
    </w:pPr>
  </w:style>
  <w:style w:type="character" w:customStyle="1" w:styleId="FooterChar">
    <w:name w:val="Footer Char"/>
    <w:basedOn w:val="DefaultParagraphFont"/>
    <w:link w:val="Footer"/>
    <w:uiPriority w:val="99"/>
    <w:rsid w:val="00AC5BED"/>
  </w:style>
  <w:style w:type="character" w:styleId="PageNumber">
    <w:name w:val="page number"/>
    <w:basedOn w:val="DefaultParagraphFont"/>
    <w:uiPriority w:val="99"/>
    <w:semiHidden/>
    <w:unhideWhenUsed/>
    <w:rsid w:val="005103B4"/>
  </w:style>
  <w:style w:type="paragraph" w:styleId="ListParagraph">
    <w:name w:val="List Paragraph"/>
    <w:basedOn w:val="Normal"/>
    <w:autoRedefine/>
    <w:uiPriority w:val="34"/>
    <w:qFormat/>
    <w:rsid w:val="000F2A80"/>
    <w:pPr>
      <w:numPr>
        <w:numId w:val="18"/>
      </w:numPr>
      <w:contextualSpacing/>
    </w:pPr>
    <w:rPr>
      <w:rFonts w:asciiTheme="majorHAnsi" w:hAnsiTheme="majorHAnsi"/>
      <w:sz w:val="22"/>
      <w:szCs w:val="22"/>
    </w:rPr>
  </w:style>
  <w:style w:type="paragraph" w:customStyle="1" w:styleId="DateSubject">
    <w:name w:val="Date &amp; Subject"/>
    <w:qFormat/>
    <w:rsid w:val="00CB38E4"/>
    <w:pPr>
      <w:spacing w:line="360" w:lineRule="atLeast"/>
    </w:pPr>
    <w:rPr>
      <w:rFonts w:ascii="Arial" w:hAnsi="Arial" w:cs="Arial"/>
      <w:b/>
      <w:bCs/>
      <w:color w:val="000000" w:themeColor="text1"/>
      <w:sz w:val="28"/>
      <w:szCs w:val="28"/>
    </w:rPr>
  </w:style>
  <w:style w:type="paragraph" w:customStyle="1" w:styleId="BulletList">
    <w:name w:val="Bullet List"/>
    <w:autoRedefine/>
    <w:qFormat/>
    <w:rsid w:val="00002E19"/>
    <w:pPr>
      <w:widowControl w:val="0"/>
      <w:numPr>
        <w:numId w:val="1"/>
      </w:numPr>
      <w:tabs>
        <w:tab w:val="left" w:pos="540"/>
        <w:tab w:val="left" w:pos="567"/>
        <w:tab w:val="left" w:pos="800"/>
        <w:tab w:val="left" w:pos="850"/>
        <w:tab w:val="left" w:pos="1134"/>
        <w:tab w:val="left" w:pos="1417"/>
      </w:tabs>
      <w:suppressAutoHyphens/>
      <w:autoSpaceDE w:val="0"/>
      <w:autoSpaceDN w:val="0"/>
      <w:adjustRightInd w:val="0"/>
      <w:spacing w:before="113" w:line="280" w:lineRule="atLeast"/>
      <w:ind w:hanging="261"/>
      <w:textAlignment w:val="center"/>
    </w:pPr>
    <w:rPr>
      <w:rFonts w:ascii="Arial" w:hAnsi="Arial" w:cs="ArialMT"/>
      <w:color w:val="000000"/>
      <w:sz w:val="20"/>
      <w:szCs w:val="22"/>
    </w:rPr>
  </w:style>
  <w:style w:type="paragraph" w:customStyle="1" w:styleId="CopyNumbers">
    <w:name w:val="Copy Numbers"/>
    <w:basedOn w:val="Normal"/>
    <w:autoRedefine/>
    <w:qFormat/>
    <w:rsid w:val="004E2B1C"/>
    <w:pPr>
      <w:widowControl w:val="0"/>
      <w:tabs>
        <w:tab w:val="left" w:pos="540"/>
        <w:tab w:val="left" w:pos="567"/>
        <w:tab w:val="left" w:pos="800"/>
        <w:tab w:val="left" w:pos="850"/>
        <w:tab w:val="left" w:pos="1134"/>
        <w:tab w:val="left" w:pos="1417"/>
      </w:tabs>
      <w:suppressAutoHyphens/>
      <w:autoSpaceDE w:val="0"/>
      <w:autoSpaceDN w:val="0"/>
      <w:adjustRightInd w:val="0"/>
      <w:spacing w:before="113" w:line="280" w:lineRule="atLeast"/>
      <w:ind w:left="340" w:hanging="340"/>
      <w:textAlignment w:val="center"/>
    </w:pPr>
    <w:rPr>
      <w:rFonts w:ascii="Arial" w:hAnsi="Arial" w:cs="ArialMT"/>
      <w:color w:val="000000"/>
      <w:sz w:val="20"/>
      <w:szCs w:val="22"/>
    </w:rPr>
  </w:style>
  <w:style w:type="character" w:styleId="Hyperlink">
    <w:name w:val="Hyperlink"/>
    <w:basedOn w:val="DefaultParagraphFont"/>
    <w:rsid w:val="00342C1C"/>
    <w:rPr>
      <w:color w:val="0000FF" w:themeColor="hyperlink"/>
      <w:u w:val="single"/>
    </w:rPr>
  </w:style>
  <w:style w:type="paragraph" w:customStyle="1" w:styleId="alicexxBodyTextMinutes">
    <w:name w:val="alice x.x Body Text Minutes"/>
    <w:basedOn w:val="Normal"/>
    <w:link w:val="alicexxBodyTextMinutesChar"/>
    <w:qFormat/>
    <w:rsid w:val="00342C1C"/>
    <w:pPr>
      <w:tabs>
        <w:tab w:val="left" w:pos="1701"/>
        <w:tab w:val="right" w:pos="9720"/>
      </w:tabs>
      <w:ind w:left="1134" w:right="-79"/>
    </w:pPr>
    <w:rPr>
      <w:rFonts w:ascii="Verdana" w:eastAsia="Times New Roman" w:hAnsi="Verdana" w:cs="Times New Roman"/>
      <w:sz w:val="20"/>
      <w:szCs w:val="20"/>
    </w:rPr>
  </w:style>
  <w:style w:type="character" w:customStyle="1" w:styleId="alicexxBodyTextMinutesChar">
    <w:name w:val="alice x.x Body Text Minutes Char"/>
    <w:link w:val="alicexxBodyTextMinutes"/>
    <w:locked/>
    <w:rsid w:val="00342C1C"/>
    <w:rPr>
      <w:rFonts w:ascii="Verdana" w:eastAsia="Times New Roman" w:hAnsi="Verdana" w:cs="Times New Roman"/>
      <w:sz w:val="20"/>
      <w:szCs w:val="20"/>
      <w:lang w:val="en-AU"/>
    </w:rPr>
  </w:style>
  <w:style w:type="paragraph" w:customStyle="1" w:styleId="PFLevel1">
    <w:name w:val="PF Level 1"/>
    <w:basedOn w:val="Normal"/>
    <w:rsid w:val="00342C1C"/>
    <w:pPr>
      <w:tabs>
        <w:tab w:val="left" w:pos="924"/>
        <w:tab w:val="left" w:pos="1848"/>
        <w:tab w:val="left" w:pos="2773"/>
        <w:tab w:val="left" w:pos="3697"/>
        <w:tab w:val="left" w:pos="4621"/>
        <w:tab w:val="left" w:pos="5545"/>
        <w:tab w:val="left" w:pos="6469"/>
        <w:tab w:val="left" w:pos="7394"/>
        <w:tab w:val="left" w:pos="8318"/>
      </w:tabs>
      <w:spacing w:after="200" w:line="276" w:lineRule="auto"/>
      <w:ind w:left="924"/>
    </w:pPr>
    <w:rPr>
      <w:rFonts w:eastAsiaTheme="minorHAnsi"/>
      <w:sz w:val="22"/>
      <w:szCs w:val="22"/>
    </w:rPr>
  </w:style>
  <w:style w:type="paragraph" w:styleId="BalloonText">
    <w:name w:val="Balloon Text"/>
    <w:basedOn w:val="Normal"/>
    <w:link w:val="BalloonTextChar"/>
    <w:uiPriority w:val="99"/>
    <w:semiHidden/>
    <w:unhideWhenUsed/>
    <w:rsid w:val="00D110A6"/>
    <w:rPr>
      <w:rFonts w:ascii="Tahoma" w:hAnsi="Tahoma" w:cs="Tahoma"/>
      <w:sz w:val="16"/>
      <w:szCs w:val="16"/>
    </w:rPr>
  </w:style>
  <w:style w:type="character" w:customStyle="1" w:styleId="BalloonTextChar">
    <w:name w:val="Balloon Text Char"/>
    <w:basedOn w:val="DefaultParagraphFont"/>
    <w:link w:val="BalloonText"/>
    <w:uiPriority w:val="99"/>
    <w:semiHidden/>
    <w:rsid w:val="00D110A6"/>
    <w:rPr>
      <w:rFonts w:ascii="Tahoma" w:hAnsi="Tahoma" w:cs="Tahoma"/>
      <w:sz w:val="16"/>
      <w:szCs w:val="16"/>
    </w:rPr>
  </w:style>
  <w:style w:type="character" w:customStyle="1" w:styleId="Heading1Char">
    <w:name w:val="Heading 1 Char"/>
    <w:basedOn w:val="DefaultParagraphFont"/>
    <w:link w:val="Heading1"/>
    <w:uiPriority w:val="9"/>
    <w:rsid w:val="008560A3"/>
    <w:rPr>
      <w:rFonts w:ascii="Arial" w:eastAsiaTheme="majorEastAsia" w:hAnsi="Arial" w:cstheme="majorBidi"/>
      <w:b/>
      <w:bCs/>
      <w:color w:val="00B0A3"/>
      <w:sz w:val="36"/>
      <w:szCs w:val="28"/>
    </w:rPr>
  </w:style>
  <w:style w:type="character" w:customStyle="1" w:styleId="Heading2Char">
    <w:name w:val="Heading 2 Char"/>
    <w:basedOn w:val="DefaultParagraphFont"/>
    <w:link w:val="Heading2"/>
    <w:uiPriority w:val="9"/>
    <w:rsid w:val="008560A3"/>
    <w:rPr>
      <w:rFonts w:ascii="Arial" w:eastAsiaTheme="majorEastAsia" w:hAnsi="Arial" w:cstheme="majorBidi"/>
      <w:b/>
      <w:bCs/>
      <w:color w:val="00B0A3"/>
      <w:sz w:val="28"/>
      <w:szCs w:val="26"/>
    </w:rPr>
  </w:style>
  <w:style w:type="character" w:customStyle="1" w:styleId="Heading3Char">
    <w:name w:val="Heading 3 Char"/>
    <w:basedOn w:val="DefaultParagraphFont"/>
    <w:link w:val="Heading3"/>
    <w:uiPriority w:val="9"/>
    <w:rsid w:val="008560A3"/>
    <w:rPr>
      <w:rFonts w:ascii="Arial" w:eastAsiaTheme="majorEastAsia" w:hAnsi="Arial" w:cstheme="majorBidi"/>
      <w:b/>
      <w:bCs/>
      <w:color w:val="00B0A3"/>
    </w:rPr>
  </w:style>
  <w:style w:type="paragraph" w:styleId="Title">
    <w:name w:val="Title"/>
    <w:basedOn w:val="Normal"/>
    <w:next w:val="Normal"/>
    <w:link w:val="TitleChar"/>
    <w:uiPriority w:val="10"/>
    <w:qFormat/>
    <w:rsid w:val="008560A3"/>
    <w:pPr>
      <w:spacing w:after="300"/>
      <w:contextualSpacing/>
    </w:pPr>
    <w:rPr>
      <w:rFonts w:ascii="Arial" w:eastAsiaTheme="majorEastAsia" w:hAnsi="Arial" w:cstheme="majorBidi"/>
      <w:b/>
      <w:color w:val="00B0A3"/>
      <w:spacing w:val="5"/>
      <w:kern w:val="28"/>
      <w:sz w:val="52"/>
      <w:szCs w:val="52"/>
      <w:lang w:val="en-US"/>
    </w:rPr>
  </w:style>
  <w:style w:type="character" w:customStyle="1" w:styleId="TitleChar">
    <w:name w:val="Title Char"/>
    <w:basedOn w:val="DefaultParagraphFont"/>
    <w:link w:val="Title"/>
    <w:uiPriority w:val="10"/>
    <w:rsid w:val="008560A3"/>
    <w:rPr>
      <w:rFonts w:ascii="Arial" w:eastAsiaTheme="majorEastAsia" w:hAnsi="Arial" w:cstheme="majorBidi"/>
      <w:b/>
      <w:color w:val="00B0A3"/>
      <w:spacing w:val="5"/>
      <w:kern w:val="28"/>
      <w:sz w:val="52"/>
      <w:szCs w:val="52"/>
    </w:rPr>
  </w:style>
  <w:style w:type="paragraph" w:styleId="Subtitle">
    <w:name w:val="Subtitle"/>
    <w:basedOn w:val="Normal"/>
    <w:next w:val="Normal"/>
    <w:link w:val="SubtitleChar"/>
    <w:uiPriority w:val="11"/>
    <w:qFormat/>
    <w:rsid w:val="008560A3"/>
    <w:pPr>
      <w:numPr>
        <w:ilvl w:val="1"/>
      </w:numPr>
      <w:spacing w:before="113" w:line="360" w:lineRule="auto"/>
    </w:pPr>
    <w:rPr>
      <w:rFonts w:ascii="Arial" w:eastAsiaTheme="majorEastAsia" w:hAnsi="Arial" w:cstheme="majorBidi"/>
      <w:b/>
      <w:i/>
      <w:iCs/>
      <w:color w:val="00B0A3"/>
      <w:spacing w:val="15"/>
      <w:sz w:val="40"/>
      <w:lang w:val="en-US"/>
    </w:rPr>
  </w:style>
  <w:style w:type="character" w:customStyle="1" w:styleId="SubtitleChar">
    <w:name w:val="Subtitle Char"/>
    <w:basedOn w:val="DefaultParagraphFont"/>
    <w:link w:val="Subtitle"/>
    <w:uiPriority w:val="11"/>
    <w:rsid w:val="008560A3"/>
    <w:rPr>
      <w:rFonts w:ascii="Arial" w:eastAsiaTheme="majorEastAsia" w:hAnsi="Arial" w:cstheme="majorBidi"/>
      <w:b/>
      <w:i/>
      <w:iCs/>
      <w:color w:val="00B0A3"/>
      <w:spacing w:val="15"/>
      <w:sz w:val="40"/>
    </w:rPr>
  </w:style>
  <w:style w:type="character" w:styleId="CommentReference">
    <w:name w:val="annotation reference"/>
    <w:basedOn w:val="DefaultParagraphFont"/>
    <w:uiPriority w:val="99"/>
    <w:semiHidden/>
    <w:unhideWhenUsed/>
    <w:rsid w:val="00AA579E"/>
    <w:rPr>
      <w:sz w:val="16"/>
      <w:szCs w:val="16"/>
    </w:rPr>
  </w:style>
  <w:style w:type="paragraph" w:styleId="CommentText">
    <w:name w:val="annotation text"/>
    <w:basedOn w:val="Normal"/>
    <w:link w:val="CommentTextChar"/>
    <w:uiPriority w:val="99"/>
    <w:semiHidden/>
    <w:unhideWhenUsed/>
    <w:rsid w:val="00AA579E"/>
    <w:pPr>
      <w:spacing w:after="160"/>
    </w:pPr>
    <w:rPr>
      <w:rFonts w:eastAsiaTheme="minorHAnsi"/>
      <w:sz w:val="20"/>
      <w:szCs w:val="20"/>
    </w:rPr>
  </w:style>
  <w:style w:type="character" w:customStyle="1" w:styleId="CommentTextChar">
    <w:name w:val="Comment Text Char"/>
    <w:basedOn w:val="DefaultParagraphFont"/>
    <w:link w:val="CommentText"/>
    <w:uiPriority w:val="99"/>
    <w:semiHidden/>
    <w:rsid w:val="00AA579E"/>
    <w:rPr>
      <w:rFonts w:eastAsiaTheme="minorHAnsi"/>
      <w:sz w:val="20"/>
      <w:szCs w:val="20"/>
      <w:lang w:val="en-AU"/>
    </w:rPr>
  </w:style>
  <w:style w:type="paragraph" w:styleId="NoSpacing">
    <w:name w:val="No Spacing"/>
    <w:uiPriority w:val="1"/>
    <w:qFormat/>
    <w:rsid w:val="00AA579E"/>
    <w:rPr>
      <w:rFonts w:eastAsiaTheme="minorHAnsi"/>
      <w:sz w:val="22"/>
      <w:szCs w:val="22"/>
      <w:lang w:val="en-AU"/>
    </w:rPr>
  </w:style>
  <w:style w:type="table" w:styleId="TableGrid">
    <w:name w:val="Table Grid"/>
    <w:basedOn w:val="TableNormal"/>
    <w:uiPriority w:val="59"/>
    <w:rsid w:val="00AA579E"/>
    <w:rPr>
      <w:rFonts w:eastAsia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
    <w:name w:val="DHHS body"/>
    <w:qFormat/>
    <w:rsid w:val="00AA579E"/>
    <w:pPr>
      <w:spacing w:after="120" w:line="270" w:lineRule="atLeast"/>
    </w:pPr>
    <w:rPr>
      <w:rFonts w:ascii="Arial" w:eastAsia="Times" w:hAnsi="Arial" w:cs="Times New Roman"/>
      <w:sz w:val="20"/>
      <w:szCs w:val="20"/>
      <w:lang w:val="en-AU"/>
    </w:rPr>
  </w:style>
  <w:style w:type="paragraph" w:styleId="CommentSubject">
    <w:name w:val="annotation subject"/>
    <w:basedOn w:val="CommentText"/>
    <w:next w:val="CommentText"/>
    <w:link w:val="CommentSubjectChar"/>
    <w:semiHidden/>
    <w:unhideWhenUsed/>
    <w:rsid w:val="00AA579E"/>
    <w:pPr>
      <w:spacing w:after="0"/>
    </w:pPr>
    <w:rPr>
      <w:rFonts w:eastAsiaTheme="minorEastAsia"/>
      <w:b/>
      <w:bCs/>
    </w:rPr>
  </w:style>
  <w:style w:type="character" w:customStyle="1" w:styleId="CommentSubjectChar">
    <w:name w:val="Comment Subject Char"/>
    <w:basedOn w:val="CommentTextChar"/>
    <w:link w:val="CommentSubject"/>
    <w:semiHidden/>
    <w:rsid w:val="00AA579E"/>
    <w:rPr>
      <w:rFonts w:eastAsiaTheme="minorHAnsi"/>
      <w:b/>
      <w:bCs/>
      <w:sz w:val="20"/>
      <w:szCs w:val="20"/>
      <w:lang w:val="en-AU"/>
    </w:rPr>
  </w:style>
  <w:style w:type="paragraph" w:styleId="Revision">
    <w:name w:val="Revision"/>
    <w:hidden/>
    <w:semiHidden/>
    <w:rsid w:val="00AA579E"/>
    <w:rPr>
      <w:lang w:val="en-AU"/>
    </w:rPr>
  </w:style>
  <w:style w:type="paragraph" w:styleId="NormalWeb">
    <w:name w:val="Normal (Web)"/>
    <w:basedOn w:val="Normal"/>
    <w:uiPriority w:val="99"/>
    <w:semiHidden/>
    <w:unhideWhenUsed/>
    <w:rsid w:val="00AA579E"/>
    <w:pPr>
      <w:spacing w:before="100" w:beforeAutospacing="1" w:after="100" w:afterAutospacing="1"/>
    </w:pPr>
    <w:rPr>
      <w:rFonts w:ascii="Times New Roman" w:eastAsia="Times New Roman" w:hAnsi="Times New Roman" w:cs="Times New Roman"/>
      <w:lang w:eastAsia="en-AU"/>
    </w:rPr>
  </w:style>
  <w:style w:type="character" w:customStyle="1" w:styleId="UnresolvedMention1">
    <w:name w:val="Unresolved Mention1"/>
    <w:basedOn w:val="DefaultParagraphFont"/>
    <w:uiPriority w:val="99"/>
    <w:semiHidden/>
    <w:unhideWhenUsed/>
    <w:rsid w:val="00AA579E"/>
    <w:rPr>
      <w:color w:val="605E5C"/>
      <w:shd w:val="clear" w:color="auto" w:fill="E1DFDD"/>
    </w:rPr>
  </w:style>
  <w:style w:type="paragraph" w:customStyle="1" w:styleId="Default">
    <w:name w:val="Default"/>
    <w:rsid w:val="001300B9"/>
    <w:pPr>
      <w:autoSpaceDE w:val="0"/>
      <w:autoSpaceDN w:val="0"/>
      <w:adjustRightInd w:val="0"/>
    </w:pPr>
    <w:rPr>
      <w:rFonts w:ascii="Verdana" w:hAnsi="Verdana" w:cs="Verdana"/>
      <w:color w:val="000000"/>
      <w:lang w:val="en-AU"/>
    </w:rPr>
  </w:style>
  <w:style w:type="paragraph" w:styleId="FootnoteText">
    <w:name w:val="footnote text"/>
    <w:basedOn w:val="Normal"/>
    <w:link w:val="FootnoteTextChar"/>
    <w:unhideWhenUsed/>
    <w:rsid w:val="00D84C20"/>
    <w:rPr>
      <w:sz w:val="20"/>
      <w:szCs w:val="20"/>
    </w:rPr>
  </w:style>
  <w:style w:type="character" w:customStyle="1" w:styleId="FootnoteTextChar">
    <w:name w:val="Footnote Text Char"/>
    <w:basedOn w:val="DefaultParagraphFont"/>
    <w:link w:val="FootnoteText"/>
    <w:rsid w:val="00D84C20"/>
    <w:rPr>
      <w:sz w:val="20"/>
      <w:szCs w:val="20"/>
      <w:lang w:val="en-AU"/>
    </w:rPr>
  </w:style>
  <w:style w:type="character" w:styleId="FootnoteReference">
    <w:name w:val="footnote reference"/>
    <w:basedOn w:val="DefaultParagraphFont"/>
    <w:uiPriority w:val="99"/>
    <w:semiHidden/>
    <w:unhideWhenUsed/>
    <w:rsid w:val="00D84C20"/>
    <w:rPr>
      <w:vertAlign w:val="superscript"/>
    </w:rPr>
  </w:style>
  <w:style w:type="character" w:styleId="FollowedHyperlink">
    <w:name w:val="FollowedHyperlink"/>
    <w:basedOn w:val="DefaultParagraphFont"/>
    <w:semiHidden/>
    <w:unhideWhenUsed/>
    <w:rsid w:val="00894B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016304">
      <w:bodyDiv w:val="1"/>
      <w:marLeft w:val="0"/>
      <w:marRight w:val="0"/>
      <w:marTop w:val="0"/>
      <w:marBottom w:val="0"/>
      <w:divBdr>
        <w:top w:val="none" w:sz="0" w:space="0" w:color="auto"/>
        <w:left w:val="none" w:sz="0" w:space="0" w:color="auto"/>
        <w:bottom w:val="none" w:sz="0" w:space="0" w:color="auto"/>
        <w:right w:val="none" w:sz="0" w:space="0" w:color="auto"/>
      </w:divBdr>
      <w:divsChild>
        <w:div w:id="740491532">
          <w:marLeft w:val="0"/>
          <w:marRight w:val="0"/>
          <w:marTop w:val="0"/>
          <w:marBottom w:val="0"/>
          <w:divBdr>
            <w:top w:val="none" w:sz="0" w:space="0" w:color="auto"/>
            <w:left w:val="none" w:sz="0" w:space="0" w:color="auto"/>
            <w:bottom w:val="none" w:sz="0" w:space="0" w:color="auto"/>
            <w:right w:val="none" w:sz="0" w:space="0" w:color="auto"/>
          </w:divBdr>
        </w:div>
        <w:div w:id="1460758248">
          <w:marLeft w:val="0"/>
          <w:marRight w:val="0"/>
          <w:marTop w:val="0"/>
          <w:marBottom w:val="0"/>
          <w:divBdr>
            <w:top w:val="none" w:sz="0" w:space="0" w:color="auto"/>
            <w:left w:val="none" w:sz="0" w:space="0" w:color="auto"/>
            <w:bottom w:val="none" w:sz="0" w:space="0" w:color="auto"/>
            <w:right w:val="none" w:sz="0" w:space="0" w:color="auto"/>
          </w:divBdr>
          <w:divsChild>
            <w:div w:id="52841993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26" Type="http://schemas.openxmlformats.org/officeDocument/2006/relationships/customXml" Target="../customXml/item7.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footer" Target="footer1.xml"/><Relationship Id="rId25" Type="http://schemas.openxmlformats.org/officeDocument/2006/relationships/customXml" Target="../customXml/item6.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customXml" Target="../customXml/item5.xml"/><Relationship Id="rId5" Type="http://schemas.openxmlformats.org/officeDocument/2006/relationships/settings" Target="settings.xml"/><Relationship Id="rId15" Type="http://schemas.openxmlformats.org/officeDocument/2006/relationships/glossaryDocument" Target="glossary/document.xml"/><Relationship Id="rId23" Type="http://schemas.openxmlformats.org/officeDocument/2006/relationships/customXml" Target="../customXml/item4.xml"/><Relationship Id="rId10" Type="http://schemas.openxmlformats.org/officeDocument/2006/relationships/hyperlink" Target="mailto:emma.liepa@vha.org.au" TargetMode="Externa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yperlink" Target="mailto:tom.symondson@vha.org.au"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ruralhealth.org.au/sites/default/files/publications/cardiovascular-disease-fact-sheet-may-2015.pdf" TargetMode="External"/><Relationship Id="rId13" Type="http://schemas.openxmlformats.org/officeDocument/2006/relationships/hyperlink" Target="http://www.health.gov.au/internet/main/publishing.nsf/Content/mbsprimarycare-chronicdiseasemanagement" TargetMode="External"/><Relationship Id="rId18" Type="http://schemas.openxmlformats.org/officeDocument/2006/relationships/hyperlink" Target="https://www.vu.edu.au/about-vu/news-events/news/nothing-to-smile-about-oral-health-report" TargetMode="External"/><Relationship Id="rId26" Type="http://schemas.openxmlformats.org/officeDocument/2006/relationships/hyperlink" Target="https://ahha.asn.au/news/we-need-national-primary-healthcare-data-set" TargetMode="External"/><Relationship Id="rId3" Type="http://schemas.openxmlformats.org/officeDocument/2006/relationships/hyperlink" Target="https://www.heartfoundation.org.au/images/uploads/publications/HF.Cardiac_Rehab_Factsheet_WEBHR.pdf" TargetMode="External"/><Relationship Id="rId21" Type="http://schemas.openxmlformats.org/officeDocument/2006/relationships/hyperlink" Target="https://grattan.edu.au/wp-content/uploads/2016/03/936-chronic-failure-in-primary-care.pdf" TargetMode="External"/><Relationship Id="rId7" Type="http://schemas.openxmlformats.org/officeDocument/2006/relationships/hyperlink" Target="https://www.aihw.gov.au/reports/rural-health/rural-remote-health/contents/rural-health" TargetMode="External"/><Relationship Id="rId12" Type="http://schemas.openxmlformats.org/officeDocument/2006/relationships/hyperlink" Target="https://www.parliament.qld.gov.au/documents/committees/HCSC/2014/InquiryTelehealth/rep-055-12Sep2014.pdf" TargetMode="External"/><Relationship Id="rId17" Type="http://schemas.openxmlformats.org/officeDocument/2006/relationships/hyperlink" Target="https://grattan.edu.au/news/the-tooth-hurts-but-victorias-public-dental-system-is-broken/" TargetMode="External"/><Relationship Id="rId25" Type="http://schemas.openxmlformats.org/officeDocument/2006/relationships/hyperlink" Target="https://ahha.asn.au/system/files/docs/publications/deeble_issues_brief_no_29_primary_healthcare_nmds.pdf" TargetMode="External"/><Relationship Id="rId2" Type="http://schemas.openxmlformats.org/officeDocument/2006/relationships/hyperlink" Target="https://strokefoundation.org.au/Media-Releases/2018/10/29/02/56/Time-for-action-on-heart-disease-and-stroke" TargetMode="External"/><Relationship Id="rId16" Type="http://schemas.openxmlformats.org/officeDocument/2006/relationships/hyperlink" Target="https://www.dhsv.org.au/__data/assets/pdf_file/0013/2515/links-between-oral-health-and-general-health-the-case-for-action.pdf" TargetMode="External"/><Relationship Id="rId20" Type="http://schemas.openxmlformats.org/officeDocument/2006/relationships/hyperlink" Target="https://www.aihw.gov.au/getmedia/57922dca-62f3-4bf7-9ddc-6d8e550c7c58/19000.pdf.aspx?inline=true" TargetMode="External"/><Relationship Id="rId1" Type="http://schemas.openxmlformats.org/officeDocument/2006/relationships/hyperlink" Target="https://grattan.edu.au/wp-content/uploads/2016/03/936-chronic-failure-in-primary-care.pdf" TargetMode="External"/><Relationship Id="rId6" Type="http://schemas.openxmlformats.org/officeDocument/2006/relationships/hyperlink" Target="http://www.health.vic.gov.au/agedcare/services/residential.htm" TargetMode="External"/><Relationship Id="rId11" Type="http://schemas.openxmlformats.org/officeDocument/2006/relationships/hyperlink" Target="http://www.health.gov.au/internet/main/publishing.nsf/Content/2922D6D8BBCE122FCA2581D30076D09A/$File/Advice-to-the-National-Rural-Health-Commissioner-on-the-Development-of-the-National-Rural-Generalist-Pathway.pdf" TargetMode="External"/><Relationship Id="rId24" Type="http://schemas.openxmlformats.org/officeDocument/2006/relationships/hyperlink" Target="https://www.parliament.nsw.gov.au/lcdocs/submissions/61381/0204%20Summer%20Foundation.pdf" TargetMode="External"/><Relationship Id="rId5" Type="http://schemas.openxmlformats.org/officeDocument/2006/relationships/hyperlink" Target="http://www.aihw.gov.au/aged-care/residential-and-community-2011-12/services-and-places/" TargetMode="External"/><Relationship Id="rId15" Type="http://schemas.openxmlformats.org/officeDocument/2006/relationships/hyperlink" Target="https://www.betterhealth.vic.gov.au/health/servicesandsupport/advance-care-plans" TargetMode="External"/><Relationship Id="rId23" Type="http://schemas.openxmlformats.org/officeDocument/2006/relationships/hyperlink" Target="https://ahha.asn.au/system/files/docs/publications/ahha_pre-budget_2019-20_submission_to_treasury.pdf" TargetMode="External"/><Relationship Id="rId10" Type="http://schemas.openxmlformats.org/officeDocument/2006/relationships/hyperlink" Target="https://www.mja.com.au/system/files/issues/207_04/10.5694mja16.01322.pdf" TargetMode="External"/><Relationship Id="rId19" Type="http://schemas.openxmlformats.org/officeDocument/2006/relationships/hyperlink" Target="https://grattan.edu.au/wp-content/uploads/2016/03/936-chronic-failure-in-primary-care.pdf" TargetMode="External"/><Relationship Id="rId4" Type="http://schemas.openxmlformats.org/officeDocument/2006/relationships/hyperlink" Target="https://www.heartfoundation.org.au/images/uploads/main/241018_Communique_FINAL.pdf" TargetMode="External"/><Relationship Id="rId9" Type="http://schemas.openxmlformats.org/officeDocument/2006/relationships/hyperlink" Target="https://www.aihw.gov.au/getmedia/9844cefb-7745-4dd8-9ee2-f4d1c3d6a727/19787-AH16.pdf.aspx" TargetMode="External"/><Relationship Id="rId14" Type="http://schemas.openxmlformats.org/officeDocument/2006/relationships/hyperlink" Target="https://www.healthdirect.gov.au/mental-health-care-plan" TargetMode="External"/><Relationship Id="rId22" Type="http://schemas.openxmlformats.org/officeDocument/2006/relationships/hyperlink" Target="https://www.phaa.net.au/documents/item/324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58FDF1FBDC7D24EB4F36C203AA55DF6"/>
        <w:category>
          <w:name w:val="General"/>
          <w:gallery w:val="placeholder"/>
        </w:category>
        <w:types>
          <w:type w:val="bbPlcHdr"/>
        </w:types>
        <w:behaviors>
          <w:behavior w:val="content"/>
        </w:behaviors>
        <w:guid w:val="{30D9F162-5781-DC4A-947D-9525B75112BF}"/>
      </w:docPartPr>
      <w:docPartBody>
        <w:p w:rsidR="00856D0E" w:rsidRDefault="00856D0E">
          <w:pPr>
            <w:pStyle w:val="C58FDF1FBDC7D24EB4F36C203AA55DF6"/>
          </w:pPr>
          <w:r>
            <w:t>[Type text]</w:t>
          </w:r>
        </w:p>
      </w:docPartBody>
    </w:docPart>
    <w:docPart>
      <w:docPartPr>
        <w:name w:val="FB2E92A41989EF4F9A91ACA67D1707C0"/>
        <w:category>
          <w:name w:val="General"/>
          <w:gallery w:val="placeholder"/>
        </w:category>
        <w:types>
          <w:type w:val="bbPlcHdr"/>
        </w:types>
        <w:behaviors>
          <w:behavior w:val="content"/>
        </w:behaviors>
        <w:guid w:val="{250BA58A-CD92-244F-A2AC-31D350A26F94}"/>
      </w:docPartPr>
      <w:docPartBody>
        <w:p w:rsidR="00856D0E" w:rsidRDefault="00856D0E">
          <w:pPr>
            <w:pStyle w:val="FB2E92A41989EF4F9A91ACA67D1707C0"/>
          </w:pPr>
          <w:r>
            <w:t>[Type text]</w:t>
          </w:r>
        </w:p>
      </w:docPartBody>
    </w:docPart>
    <w:docPart>
      <w:docPartPr>
        <w:name w:val="33ACC8EC23888244AEA795194CF5258C"/>
        <w:category>
          <w:name w:val="General"/>
          <w:gallery w:val="placeholder"/>
        </w:category>
        <w:types>
          <w:type w:val="bbPlcHdr"/>
        </w:types>
        <w:behaviors>
          <w:behavior w:val="content"/>
        </w:behaviors>
        <w:guid w:val="{26CA95D3-3AD6-B049-948F-665605E35CC4}"/>
      </w:docPartPr>
      <w:docPartBody>
        <w:p w:rsidR="00856D0E" w:rsidRDefault="00856D0E">
          <w:pPr>
            <w:pStyle w:val="33ACC8EC23888244AEA795194CF5258C"/>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BoldMT">
    <w:altName w:val="Arial"/>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embedSystemFonts/>
  <w:revisionView w:inkAnnotations="0"/>
  <w:defaultTabStop w:val="720"/>
  <w:drawingGridHorizontalSpacing w:val="360"/>
  <w:drawingGridVerticalSpacing w:val="360"/>
  <w:displayHorizontalDrawingGridEvery w:val="0"/>
  <w:displayVerticalDrawingGridEvery w:val="0"/>
  <w:characterSpacingControl w:val="doNotCompress"/>
  <w:compat>
    <w:useFELayout/>
    <w:doNotAutofitConstrainedTables/>
    <w:splitPgBreakAndParaMark/>
    <w:doNotVertAlignCellWithSp/>
    <w:doNotBreakConstrainedForcedTable/>
    <w:useAnsiKerningPairs/>
    <w:cachedColBalance/>
    <w:compatSetting w:name="compatibilityMode" w:uri="http://schemas.microsoft.com/office/word" w:val="12"/>
  </w:compat>
  <w:rsids>
    <w:rsidRoot w:val="00856D0E"/>
    <w:rsid w:val="001833FA"/>
    <w:rsid w:val="00202C03"/>
    <w:rsid w:val="00345399"/>
    <w:rsid w:val="00476145"/>
    <w:rsid w:val="004A7C54"/>
    <w:rsid w:val="004D4065"/>
    <w:rsid w:val="007759E8"/>
    <w:rsid w:val="007F4A1A"/>
    <w:rsid w:val="00856D0E"/>
    <w:rsid w:val="00A17C5A"/>
    <w:rsid w:val="00B962B2"/>
    <w:rsid w:val="00C01792"/>
    <w:rsid w:val="00C12F0C"/>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D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58FDF1FBDC7D24EB4F36C203AA55DF6">
    <w:name w:val="C58FDF1FBDC7D24EB4F36C203AA55DF6"/>
    <w:rsid w:val="00856D0E"/>
  </w:style>
  <w:style w:type="paragraph" w:customStyle="1" w:styleId="FB2E92A41989EF4F9A91ACA67D1707C0">
    <w:name w:val="FB2E92A41989EF4F9A91ACA67D1707C0"/>
    <w:rsid w:val="00856D0E"/>
  </w:style>
  <w:style w:type="paragraph" w:customStyle="1" w:styleId="33ACC8EC23888244AEA795194CF5258C">
    <w:name w:val="33ACC8EC23888244AEA795194CF5258C"/>
    <w:rsid w:val="00856D0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Treasury Document" ma:contentTypeID="0x010100C1F664D0940F85469AA434981483399000F4DE3D0581DC214CAE2C0C5F81A0F4A1" ma:contentTypeVersion="17927" ma:contentTypeDescription="" ma:contentTypeScope="" ma:versionID="fe07e9850183902da89560eea46850c3">
  <xsd:schema xmlns:xsd="http://www.w3.org/2001/XMLSchema" xmlns:xs="http://www.w3.org/2001/XMLSchema" xmlns:p="http://schemas.microsoft.com/office/2006/metadata/properties" xmlns:ns1="http://schemas.microsoft.com/sharepoint/v3" xmlns:ns2="0f563589-9cf9-4143-b1eb-fb0534803d38" xmlns:ns3="768d4202-dccb-4ec8-a008-7abfadedbb89" targetNamespace="http://schemas.microsoft.com/office/2006/metadata/properties" ma:root="true" ma:fieldsID="8d642d00000b9e0bea28e7de4a21388a" ns1:_="" ns2:_="" ns3:_="">
    <xsd:import namespace="http://schemas.microsoft.com/sharepoint/v3"/>
    <xsd:import namespace="0f563589-9cf9-4143-b1eb-fb0534803d38"/>
    <xsd:import namespace="768d4202-dccb-4ec8-a008-7abfadedbb89"/>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744a181c-ef96-49fb-bb25-caaa70f3be67}" ma:internalName="TaxCatchAll" ma:showField="CatchAllData" ma:web="768d4202-dccb-4ec8-a008-7abfadedbb8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44a181c-ef96-49fb-bb25-caaa70f3be67}" ma:internalName="TaxCatchAllLabel" ma:readOnly="true" ma:showField="CatchAllDataLabel" ma:web="768d4202-dccb-4ec8-a008-7abfadedbb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8d4202-dccb-4ec8-a008-7abfadedbb89"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8733 - Destroy 10 years after action completed|18609896-7c96-418c-bbc1-db3751e97ee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b330c83-4366-417f-afba-a14519698ff5" ContentTypeId="0x010100E726210826AA43828690450C811EB923009CA11FFD1E014DF4B1FA162D0F61129800536EFC5E36A043E99FB960C1AA37427A" PreviousValue="false"/>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C1F664D0940F85469AA4349814833990|1757814118" UniqueId="99e9c385-4551-4564-9f26-636b8fa6da1c">
      <p:Name>Auditing</p:Name>
      <p:Description>Audits user actions on documents and list items to the Audit Log.</p:Description>
      <p:CustomData>
        <Audit>
          <Update/>
          <DeleteRestore/>
        </Audit>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_dlc_DocId xmlns="0f563589-9cf9-4143-b1eb-fb0534803d38">2019MINS-957875958-451</_dlc_DocId>
    <TaxCatchAll xmlns="0f563589-9cf9-4143-b1eb-fb0534803d38">
      <Value>3</Value>
    </TaxCatchAll>
    <_dlc_DocIdUrl xmlns="0f563589-9cf9-4143-b1eb-fb0534803d38">
      <Url>http://tweb/sites/mins/activity/prebudget/_layouts/15/DocIdRedir.aspx?ID=2019MINS-957875958-451</Url>
      <Description>2019MINS-957875958-451</Description>
    </_dlc_DocIdUrl>
    <lb508a4dc5e84436a0fe496b536466aa xmlns="768d4202-dccb-4ec8-a008-7abfadedbb89">
      <Terms xmlns="http://schemas.microsoft.com/office/infopath/2007/PartnerControls">
        <TermInfo xmlns="http://schemas.microsoft.com/office/infopath/2007/PartnerControls">
          <TermName xmlns="http://schemas.microsoft.com/office/infopath/2007/PartnerControls">TSY RA-8730 - Retain as national archives</TermName>
          <TermId xmlns="http://schemas.microsoft.com/office/infopath/2007/PartnerControls">77f958b9-774b-411f-8853-551bb899336c</TermId>
        </TermInfo>
      </Terms>
    </lb508a4dc5e84436a0fe496b536466aa>
  </documentManagement>
</p:properties>
</file>

<file path=customXml/itemProps1.xml><?xml version="1.0" encoding="utf-8"?>
<ds:datastoreItem xmlns:ds="http://schemas.openxmlformats.org/officeDocument/2006/customXml" ds:itemID="{44686D6C-7671-4FE0-8616-0DFEB9343CA6}">
  <ds:schemaRefs>
    <ds:schemaRef ds:uri="http://schemas.openxmlformats.org/officeDocument/2006/bibliography"/>
  </ds:schemaRefs>
</ds:datastoreItem>
</file>

<file path=customXml/itemProps2.xml><?xml version="1.0" encoding="utf-8"?>
<ds:datastoreItem xmlns:ds="http://schemas.openxmlformats.org/officeDocument/2006/customXml" ds:itemID="{BF7C5850-03FA-443A-97BC-B29B2213EDA2}"/>
</file>

<file path=customXml/itemProps3.xml><?xml version="1.0" encoding="utf-8"?>
<ds:datastoreItem xmlns:ds="http://schemas.openxmlformats.org/officeDocument/2006/customXml" ds:itemID="{5C4FB48E-A263-47DF-BBF4-3B5D08D8DA9D}"/>
</file>

<file path=customXml/itemProps4.xml><?xml version="1.0" encoding="utf-8"?>
<ds:datastoreItem xmlns:ds="http://schemas.openxmlformats.org/officeDocument/2006/customXml" ds:itemID="{DF339425-2620-42B8-A068-CEB2D1DF1BAC}"/>
</file>

<file path=customXml/itemProps5.xml><?xml version="1.0" encoding="utf-8"?>
<ds:datastoreItem xmlns:ds="http://schemas.openxmlformats.org/officeDocument/2006/customXml" ds:itemID="{6A382242-6F64-461A-BC56-F0AFF20F798D}"/>
</file>

<file path=customXml/itemProps6.xml><?xml version="1.0" encoding="utf-8"?>
<ds:datastoreItem xmlns:ds="http://schemas.openxmlformats.org/officeDocument/2006/customXml" ds:itemID="{66A475C2-48AD-4081-8783-0E515A898A15}"/>
</file>

<file path=customXml/itemProps7.xml><?xml version="1.0" encoding="utf-8"?>
<ds:datastoreItem xmlns:ds="http://schemas.openxmlformats.org/officeDocument/2006/customXml" ds:itemID="{4992A004-0FC2-47B9-8C28-1DF251EF548A}"/>
</file>

<file path=docProps/app.xml><?xml version="1.0" encoding="utf-8"?>
<Properties xmlns="http://schemas.openxmlformats.org/officeDocument/2006/extended-properties" xmlns:vt="http://schemas.openxmlformats.org/officeDocument/2006/docPropsVTypes">
  <Template>Normal</Template>
  <TotalTime>4</TotalTime>
  <Pages>17</Pages>
  <Words>4280</Words>
  <Characters>24402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Beau Cummin</dc:creator>
  <cp:lastModifiedBy>Ben Rogers</cp:lastModifiedBy>
  <cp:revision>3</cp:revision>
  <cp:lastPrinted>2019-01-18T05:52:00Z</cp:lastPrinted>
  <dcterms:created xsi:type="dcterms:W3CDTF">2019-02-01T06:01:00Z</dcterms:created>
  <dcterms:modified xsi:type="dcterms:W3CDTF">2019-02-01T06:04:00Z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11d689b7-9f47-4bc8-ade4-04c5550a5ec9</vt:lpwstr>
  </property>
  <property fmtid="{D5CDD505-2E9C-101B-9397-08002B2CF9AE}" pid="3" name="ContentTypeId">
    <vt:lpwstr>0x010100C1F664D0940F85469AA434981483399000F4DE3D0581DC214CAE2C0C5F81A0F4A1</vt:lpwstr>
  </property>
  <property fmtid="{D5CDD505-2E9C-101B-9397-08002B2CF9AE}" pid="4" name="TSYRecordClass">
    <vt:lpwstr>3;#TSY RA-8730 - Retain as national archives|77f958b9-774b-411f-8853-551bb899336c</vt:lpwstr>
  </property>
  <property fmtid="{D5CDD505-2E9C-101B-9397-08002B2CF9AE}" pid="5" name="RecordPoint_WorkflowType">
    <vt:lpwstr>ActiveSubmitStub</vt:lpwstr>
  </property>
  <property fmtid="{D5CDD505-2E9C-101B-9397-08002B2CF9AE}" pid="6" name="RecordPoint_ActiveItemSiteId">
    <vt:lpwstr>{a3a280d1-e8f1-4ce7-94f0-aaa2322da0dd}</vt:lpwstr>
  </property>
  <property fmtid="{D5CDD505-2E9C-101B-9397-08002B2CF9AE}" pid="7" name="RecordPoint_ActiveItemListId">
    <vt:lpwstr>{11a07c86-5882-407a-83c1-3607840816f8}</vt:lpwstr>
  </property>
  <property fmtid="{D5CDD505-2E9C-101B-9397-08002B2CF9AE}" pid="8" name="RecordPoint_ActiveItemUniqueId">
    <vt:lpwstr>{b6da7b58-c502-4ec7-933e-c99515823bf0}</vt:lpwstr>
  </property>
  <property fmtid="{D5CDD505-2E9C-101B-9397-08002B2CF9AE}" pid="9" name="RecordPoint_ActiveItemWebId">
    <vt:lpwstr>{2af1fd9f-9360-4de3-abf2-ccd65f89a90c}</vt:lpwstr>
  </property>
  <property fmtid="{D5CDD505-2E9C-101B-9397-08002B2CF9AE}" pid="10" name="RecordPoint_RecordNumberSubmitted">
    <vt:lpwstr>R0001990834</vt:lpwstr>
  </property>
  <property fmtid="{D5CDD505-2E9C-101B-9397-08002B2CF9AE}" pid="11" name="RecordPoint_SubmissionCompleted">
    <vt:lpwstr>2019-02-04T15:46:19.5621104+11:00</vt:lpwstr>
  </property>
</Properties>
</file>