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6D686" w14:textId="77777777" w:rsidR="00157645" w:rsidRPr="00F62B03" w:rsidRDefault="00157645" w:rsidP="00454530">
      <w:pPr>
        <w:spacing w:after="120" w:line="360" w:lineRule="auto"/>
        <w:jc w:val="both"/>
        <w:rPr>
          <w:rFonts w:ascii="Times New Roman" w:eastAsia="Times New Roman" w:hAnsi="Times New Roman" w:cs="Times New Roman"/>
          <w:b/>
          <w:sz w:val="24"/>
          <w:szCs w:val="24"/>
          <w:lang w:eastAsia="en-AU"/>
        </w:rPr>
      </w:pPr>
      <w:bookmarkStart w:id="0" w:name="_GoBack"/>
      <w:bookmarkEnd w:id="0"/>
      <w:r w:rsidRPr="00F62B03">
        <w:rPr>
          <w:rFonts w:ascii="Times New Roman" w:eastAsia="Times New Roman" w:hAnsi="Times New Roman" w:cs="Times New Roman"/>
          <w:b/>
          <w:noProof/>
          <w:sz w:val="24"/>
          <w:szCs w:val="24"/>
          <w:lang w:eastAsia="en-AU"/>
        </w:rPr>
        <w:drawing>
          <wp:inline distT="0" distB="0" distL="0" distR="0" wp14:anchorId="44D5EBD0" wp14:editId="5DC467D9">
            <wp:extent cx="2692400" cy="1841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AGraphics_Logo_Colour - Cop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2400" cy="1841500"/>
                    </a:xfrm>
                    <a:prstGeom prst="rect">
                      <a:avLst/>
                    </a:prstGeom>
                  </pic:spPr>
                </pic:pic>
              </a:graphicData>
            </a:graphic>
          </wp:inline>
        </w:drawing>
      </w:r>
    </w:p>
    <w:p w14:paraId="6DD0C072" w14:textId="77777777" w:rsidR="00157645" w:rsidRPr="00F62B03" w:rsidRDefault="00157645" w:rsidP="00454530">
      <w:pPr>
        <w:spacing w:after="120" w:line="360" w:lineRule="auto"/>
        <w:jc w:val="both"/>
        <w:rPr>
          <w:rFonts w:ascii="Times New Roman" w:eastAsia="Times New Roman" w:hAnsi="Times New Roman" w:cs="Times New Roman"/>
          <w:b/>
          <w:sz w:val="24"/>
          <w:szCs w:val="24"/>
          <w:lang w:eastAsia="en-AU"/>
        </w:rPr>
      </w:pPr>
    </w:p>
    <w:p w14:paraId="7C73D996" w14:textId="77777777" w:rsidR="00157645" w:rsidRPr="00F62B03" w:rsidRDefault="00157645" w:rsidP="00454530">
      <w:pPr>
        <w:spacing w:after="120" w:line="360" w:lineRule="auto"/>
        <w:jc w:val="both"/>
        <w:rPr>
          <w:rFonts w:ascii="Times New Roman" w:eastAsia="Times New Roman" w:hAnsi="Times New Roman" w:cs="Times New Roman"/>
          <w:b/>
          <w:sz w:val="24"/>
          <w:szCs w:val="24"/>
          <w:lang w:eastAsia="en-AU"/>
        </w:rPr>
      </w:pPr>
    </w:p>
    <w:p w14:paraId="036F3938" w14:textId="77777777" w:rsidR="00157645" w:rsidRPr="00F62B03" w:rsidRDefault="00157645" w:rsidP="00454530">
      <w:pPr>
        <w:spacing w:after="120" w:line="360" w:lineRule="auto"/>
        <w:jc w:val="both"/>
        <w:rPr>
          <w:rFonts w:ascii="Times New Roman" w:eastAsia="Times New Roman" w:hAnsi="Times New Roman" w:cs="Times New Roman"/>
          <w:b/>
          <w:sz w:val="24"/>
          <w:szCs w:val="24"/>
          <w:lang w:eastAsia="en-AU"/>
        </w:rPr>
      </w:pPr>
    </w:p>
    <w:p w14:paraId="5CF2D835" w14:textId="77777777" w:rsidR="00157645" w:rsidRPr="00F62B03" w:rsidRDefault="00157645" w:rsidP="00AF7DF1">
      <w:pPr>
        <w:spacing w:after="120" w:line="360" w:lineRule="auto"/>
        <w:jc w:val="center"/>
        <w:rPr>
          <w:rFonts w:ascii="Times New Roman" w:eastAsia="Times New Roman" w:hAnsi="Times New Roman" w:cs="Times New Roman"/>
          <w:b/>
          <w:sz w:val="24"/>
          <w:szCs w:val="24"/>
          <w:lang w:eastAsia="en-AU"/>
        </w:rPr>
      </w:pPr>
      <w:r w:rsidRPr="00F62B03">
        <w:rPr>
          <w:rFonts w:ascii="Times New Roman" w:eastAsia="Times New Roman" w:hAnsi="Times New Roman" w:cs="Times New Roman"/>
          <w:b/>
          <w:sz w:val="24"/>
          <w:szCs w:val="24"/>
          <w:lang w:eastAsia="en-AU"/>
        </w:rPr>
        <w:t xml:space="preserve">REIA </w:t>
      </w:r>
      <w:r w:rsidR="008C6214" w:rsidRPr="00F62B03">
        <w:rPr>
          <w:rFonts w:ascii="Times New Roman" w:eastAsia="Times New Roman" w:hAnsi="Times New Roman" w:cs="Times New Roman"/>
          <w:b/>
          <w:sz w:val="24"/>
          <w:szCs w:val="24"/>
          <w:lang w:eastAsia="en-AU"/>
        </w:rPr>
        <w:t>PRE BUDGET SUBMISSION 201</w:t>
      </w:r>
      <w:r w:rsidR="00E32356">
        <w:rPr>
          <w:rFonts w:ascii="Times New Roman" w:eastAsia="Times New Roman" w:hAnsi="Times New Roman" w:cs="Times New Roman"/>
          <w:b/>
          <w:sz w:val="24"/>
          <w:szCs w:val="24"/>
          <w:lang w:eastAsia="en-AU"/>
        </w:rPr>
        <w:t>9</w:t>
      </w:r>
      <w:r w:rsidR="008C6214" w:rsidRPr="00F62B03">
        <w:rPr>
          <w:rFonts w:ascii="Times New Roman" w:eastAsia="Times New Roman" w:hAnsi="Times New Roman" w:cs="Times New Roman"/>
          <w:b/>
          <w:sz w:val="24"/>
          <w:szCs w:val="24"/>
          <w:lang w:eastAsia="en-AU"/>
        </w:rPr>
        <w:t>-20</w:t>
      </w:r>
      <w:r w:rsidR="00E32356">
        <w:rPr>
          <w:rFonts w:ascii="Times New Roman" w:eastAsia="Times New Roman" w:hAnsi="Times New Roman" w:cs="Times New Roman"/>
          <w:b/>
          <w:sz w:val="24"/>
          <w:szCs w:val="24"/>
          <w:lang w:eastAsia="en-AU"/>
        </w:rPr>
        <w:t>20</w:t>
      </w:r>
    </w:p>
    <w:p w14:paraId="6B5D524D" w14:textId="77777777" w:rsidR="00157645" w:rsidRPr="00F62B03" w:rsidRDefault="00E32356" w:rsidP="00AF7DF1">
      <w:pPr>
        <w:spacing w:after="120" w:line="360" w:lineRule="auto"/>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JANUARY</w:t>
      </w:r>
      <w:r w:rsidR="00DE0F16">
        <w:rPr>
          <w:rFonts w:ascii="Times New Roman" w:eastAsia="Times New Roman" w:hAnsi="Times New Roman" w:cs="Times New Roman"/>
          <w:b/>
          <w:sz w:val="24"/>
          <w:szCs w:val="24"/>
          <w:lang w:eastAsia="en-AU"/>
        </w:rPr>
        <w:t xml:space="preserve"> </w:t>
      </w:r>
      <w:r w:rsidR="00157645" w:rsidRPr="00F62B03">
        <w:rPr>
          <w:rFonts w:ascii="Times New Roman" w:eastAsia="Times New Roman" w:hAnsi="Times New Roman" w:cs="Times New Roman"/>
          <w:b/>
          <w:sz w:val="24"/>
          <w:szCs w:val="24"/>
          <w:lang w:eastAsia="en-AU"/>
        </w:rPr>
        <w:t>201</w:t>
      </w:r>
      <w:r>
        <w:rPr>
          <w:rFonts w:ascii="Times New Roman" w:eastAsia="Times New Roman" w:hAnsi="Times New Roman" w:cs="Times New Roman"/>
          <w:b/>
          <w:sz w:val="24"/>
          <w:szCs w:val="24"/>
          <w:lang w:eastAsia="en-AU"/>
        </w:rPr>
        <w:t>9</w:t>
      </w:r>
    </w:p>
    <w:p w14:paraId="762B4722" w14:textId="77777777" w:rsidR="00157645" w:rsidRPr="00F62B03" w:rsidRDefault="00157645" w:rsidP="00454530">
      <w:pPr>
        <w:spacing w:after="120" w:line="360" w:lineRule="auto"/>
        <w:jc w:val="both"/>
        <w:rPr>
          <w:rFonts w:ascii="Times New Roman" w:hAnsi="Times New Roman" w:cs="Times New Roman"/>
          <w:b/>
          <w:sz w:val="24"/>
          <w:szCs w:val="24"/>
        </w:rPr>
      </w:pPr>
    </w:p>
    <w:p w14:paraId="7554EA98" w14:textId="77777777" w:rsidR="00157645" w:rsidRPr="00F62B03" w:rsidRDefault="00157645" w:rsidP="00454530">
      <w:pPr>
        <w:spacing w:after="120" w:line="360" w:lineRule="auto"/>
        <w:jc w:val="both"/>
        <w:rPr>
          <w:rFonts w:ascii="Times New Roman" w:hAnsi="Times New Roman" w:cs="Times New Roman"/>
          <w:b/>
          <w:sz w:val="24"/>
          <w:szCs w:val="24"/>
        </w:rPr>
      </w:pPr>
    </w:p>
    <w:p w14:paraId="55B8C42D" w14:textId="77777777" w:rsidR="00157645" w:rsidRPr="00F62B03" w:rsidRDefault="00157645" w:rsidP="00454530">
      <w:pPr>
        <w:spacing w:after="120" w:line="360" w:lineRule="auto"/>
        <w:jc w:val="both"/>
        <w:rPr>
          <w:rFonts w:ascii="Times New Roman" w:hAnsi="Times New Roman" w:cs="Times New Roman"/>
          <w:b/>
          <w:sz w:val="24"/>
          <w:szCs w:val="24"/>
        </w:rPr>
      </w:pPr>
    </w:p>
    <w:p w14:paraId="2C4ACF09" w14:textId="77777777" w:rsidR="00E42E8C" w:rsidRPr="00F62B03" w:rsidRDefault="00E42E8C" w:rsidP="00454530">
      <w:pPr>
        <w:spacing w:after="120" w:line="360" w:lineRule="auto"/>
        <w:jc w:val="both"/>
        <w:rPr>
          <w:rFonts w:ascii="Times New Roman" w:hAnsi="Times New Roman" w:cs="Times New Roman"/>
          <w:b/>
          <w:sz w:val="24"/>
          <w:szCs w:val="24"/>
        </w:rPr>
      </w:pPr>
    </w:p>
    <w:p w14:paraId="4CF55A32" w14:textId="77777777" w:rsidR="00E42E8C" w:rsidRPr="00F62B03" w:rsidRDefault="00E42E8C" w:rsidP="00454530">
      <w:pPr>
        <w:spacing w:after="120" w:line="360" w:lineRule="auto"/>
        <w:jc w:val="both"/>
        <w:rPr>
          <w:rFonts w:ascii="Times New Roman" w:hAnsi="Times New Roman" w:cs="Times New Roman"/>
          <w:b/>
          <w:sz w:val="24"/>
          <w:szCs w:val="24"/>
        </w:rPr>
      </w:pPr>
    </w:p>
    <w:p w14:paraId="7B920667" w14:textId="77777777" w:rsidR="00157645" w:rsidRPr="00F62B03" w:rsidRDefault="00157645" w:rsidP="00454530">
      <w:pPr>
        <w:spacing w:after="120" w:line="360" w:lineRule="auto"/>
        <w:jc w:val="both"/>
        <w:rPr>
          <w:rFonts w:ascii="Times New Roman" w:hAnsi="Times New Roman" w:cs="Times New Roman"/>
          <w:b/>
          <w:sz w:val="24"/>
          <w:szCs w:val="24"/>
        </w:rPr>
      </w:pPr>
    </w:p>
    <w:p w14:paraId="2C0CA03F" w14:textId="77777777" w:rsidR="00157645" w:rsidRPr="00F62B03" w:rsidRDefault="00157645" w:rsidP="00454530">
      <w:pPr>
        <w:spacing w:after="120" w:line="360" w:lineRule="auto"/>
        <w:jc w:val="both"/>
        <w:rPr>
          <w:rFonts w:ascii="Times New Roman" w:hAnsi="Times New Roman" w:cs="Times New Roman"/>
          <w:b/>
          <w:sz w:val="24"/>
          <w:szCs w:val="24"/>
        </w:rPr>
      </w:pPr>
      <w:r w:rsidRPr="00F62B03">
        <w:rPr>
          <w:rFonts w:ascii="Times New Roman" w:hAnsi="Times New Roman" w:cs="Times New Roman"/>
          <w:b/>
          <w:sz w:val="24"/>
          <w:szCs w:val="24"/>
        </w:rPr>
        <w:t>PREPARED BY</w:t>
      </w:r>
    </w:p>
    <w:p w14:paraId="7B6C49E7" w14:textId="77777777" w:rsidR="00157645" w:rsidRPr="00F62B03" w:rsidRDefault="00157645" w:rsidP="00454530">
      <w:pPr>
        <w:spacing w:after="120" w:line="360" w:lineRule="auto"/>
        <w:jc w:val="both"/>
        <w:rPr>
          <w:rFonts w:ascii="Times New Roman" w:hAnsi="Times New Roman" w:cs="Times New Roman"/>
          <w:b/>
          <w:sz w:val="24"/>
          <w:szCs w:val="24"/>
        </w:rPr>
      </w:pPr>
      <w:r w:rsidRPr="00F62B03">
        <w:rPr>
          <w:rFonts w:ascii="Times New Roman" w:hAnsi="Times New Roman" w:cs="Times New Roman"/>
          <w:b/>
          <w:sz w:val="24"/>
          <w:szCs w:val="24"/>
        </w:rPr>
        <w:t xml:space="preserve">Real Estate Institute of Australia (REIA) </w:t>
      </w:r>
    </w:p>
    <w:p w14:paraId="045C2BE4" w14:textId="77777777" w:rsidR="00157645" w:rsidRPr="00F62B03" w:rsidRDefault="00157645" w:rsidP="00454530">
      <w:pPr>
        <w:spacing w:after="120" w:line="360" w:lineRule="auto"/>
        <w:jc w:val="both"/>
        <w:rPr>
          <w:rFonts w:ascii="Times New Roman" w:hAnsi="Times New Roman" w:cs="Times New Roman"/>
          <w:sz w:val="24"/>
          <w:szCs w:val="24"/>
        </w:rPr>
      </w:pPr>
      <w:r w:rsidRPr="00F62B03">
        <w:rPr>
          <w:rFonts w:ascii="Times New Roman" w:hAnsi="Times New Roman" w:cs="Times New Roman"/>
          <w:sz w:val="24"/>
          <w:szCs w:val="24"/>
        </w:rPr>
        <w:t>PO Box 234</w:t>
      </w:r>
    </w:p>
    <w:p w14:paraId="5F0C7ECD" w14:textId="77777777" w:rsidR="00157645" w:rsidRPr="00F62B03" w:rsidRDefault="00892093" w:rsidP="0045453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DEAKIN WEST</w:t>
      </w:r>
      <w:r w:rsidR="00157645" w:rsidRPr="00F62B03">
        <w:rPr>
          <w:rFonts w:ascii="Times New Roman" w:hAnsi="Times New Roman" w:cs="Times New Roman"/>
          <w:sz w:val="24"/>
          <w:szCs w:val="24"/>
        </w:rPr>
        <w:t xml:space="preserve"> ACT 2600</w:t>
      </w:r>
    </w:p>
    <w:p w14:paraId="7D69686B" w14:textId="77777777" w:rsidR="00157645" w:rsidRPr="00F62B03" w:rsidRDefault="00157645" w:rsidP="00454530">
      <w:pPr>
        <w:spacing w:after="120" w:line="360" w:lineRule="auto"/>
        <w:jc w:val="both"/>
        <w:rPr>
          <w:rFonts w:ascii="Times New Roman" w:hAnsi="Times New Roman" w:cs="Times New Roman"/>
          <w:sz w:val="24"/>
          <w:szCs w:val="24"/>
        </w:rPr>
      </w:pPr>
      <w:proofErr w:type="spellStart"/>
      <w:r w:rsidRPr="00F62B03">
        <w:rPr>
          <w:rFonts w:ascii="Times New Roman" w:hAnsi="Times New Roman" w:cs="Times New Roman"/>
          <w:sz w:val="24"/>
          <w:szCs w:val="24"/>
        </w:rPr>
        <w:t>Ph</w:t>
      </w:r>
      <w:proofErr w:type="spellEnd"/>
      <w:r w:rsidRPr="00F62B03">
        <w:rPr>
          <w:rFonts w:ascii="Times New Roman" w:hAnsi="Times New Roman" w:cs="Times New Roman"/>
          <w:sz w:val="24"/>
          <w:szCs w:val="24"/>
        </w:rPr>
        <w:t xml:space="preserve">: 02 6282 4277                                                                                  </w:t>
      </w:r>
    </w:p>
    <w:p w14:paraId="4FD7CAEE" w14:textId="77777777" w:rsidR="00157645" w:rsidRPr="00F62B03" w:rsidRDefault="00157645" w:rsidP="00454530">
      <w:pPr>
        <w:spacing w:after="120" w:line="360" w:lineRule="auto"/>
        <w:ind w:left="720"/>
        <w:rPr>
          <w:rFonts w:ascii="Times New Roman" w:hAnsi="Times New Roman" w:cs="Times New Roman"/>
          <w:sz w:val="24"/>
          <w:szCs w:val="24"/>
        </w:rPr>
      </w:pPr>
      <w:r w:rsidRPr="00F62B03">
        <w:rPr>
          <w:rFonts w:ascii="Times New Roman" w:hAnsi="Times New Roman" w:cs="Times New Roman"/>
          <w:noProof/>
          <w:sz w:val="24"/>
          <w:szCs w:val="24"/>
          <w:lang w:eastAsia="en-AU"/>
        </w:rPr>
        <w:drawing>
          <wp:inline distT="0" distB="0" distL="0" distR="0" wp14:anchorId="52D0CF24" wp14:editId="2FA773B7">
            <wp:extent cx="199623" cy="199623"/>
            <wp:effectExtent l="0" t="0" r="0" b="0"/>
            <wp:docPr id="6" name="Picture 6"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782" cy="199782"/>
                    </a:xfrm>
                    <a:prstGeom prst="rect">
                      <a:avLst/>
                    </a:prstGeom>
                    <a:noFill/>
                    <a:ln>
                      <a:noFill/>
                    </a:ln>
                  </pic:spPr>
                </pic:pic>
              </a:graphicData>
            </a:graphic>
          </wp:inline>
        </w:drawing>
      </w:r>
      <w:r w:rsidRPr="00F62B03">
        <w:rPr>
          <w:rFonts w:ascii="Times New Roman" w:hAnsi="Times New Roman" w:cs="Times New Roman"/>
          <w:sz w:val="24"/>
          <w:szCs w:val="24"/>
        </w:rPr>
        <w:t xml:space="preserve"> </w:t>
      </w:r>
      <w:hyperlink r:id="rId18" w:history="1">
        <w:r w:rsidRPr="00F62B03">
          <w:rPr>
            <w:rStyle w:val="Hyperlink"/>
            <w:rFonts w:ascii="Times New Roman" w:hAnsi="Times New Roman" w:cs="Times New Roman"/>
            <w:color w:val="auto"/>
            <w:sz w:val="24"/>
            <w:szCs w:val="24"/>
          </w:rPr>
          <w:t>@</w:t>
        </w:r>
        <w:proofErr w:type="spellStart"/>
        <w:r w:rsidRPr="00F62B03">
          <w:rPr>
            <w:rStyle w:val="Hyperlink"/>
            <w:rFonts w:ascii="Times New Roman" w:hAnsi="Times New Roman" w:cs="Times New Roman"/>
            <w:color w:val="auto"/>
            <w:sz w:val="24"/>
            <w:szCs w:val="24"/>
          </w:rPr>
          <w:t>REIANational</w:t>
        </w:r>
        <w:proofErr w:type="spellEnd"/>
      </w:hyperlink>
      <w:r w:rsidRPr="00F62B03">
        <w:rPr>
          <w:rStyle w:val="screen-name4"/>
          <w:rFonts w:ascii="Times New Roman" w:hAnsi="Times New Roman" w:cs="Times New Roman"/>
          <w:sz w:val="24"/>
          <w:szCs w:val="24"/>
        </w:rPr>
        <w:br/>
      </w:r>
      <w:r w:rsidRPr="00F62B03">
        <w:rPr>
          <w:rFonts w:ascii="Times New Roman" w:hAnsi="Times New Roman" w:cs="Times New Roman"/>
          <w:noProof/>
          <w:sz w:val="24"/>
          <w:szCs w:val="24"/>
          <w:lang w:eastAsia="en-AU"/>
        </w:rPr>
        <w:drawing>
          <wp:inline distT="0" distB="0" distL="0" distR="0" wp14:anchorId="460F12F0" wp14:editId="4B566AC3">
            <wp:extent cx="199623" cy="199623"/>
            <wp:effectExtent l="0" t="0" r="0" b="0"/>
            <wp:docPr id="7" name="Picture 7"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a:hlinkClick r:id="rId19" tgtFrame="_blank"/>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783" cy="199783"/>
                    </a:xfrm>
                    <a:prstGeom prst="rect">
                      <a:avLst/>
                    </a:prstGeom>
                    <a:noFill/>
                    <a:ln>
                      <a:noFill/>
                    </a:ln>
                  </pic:spPr>
                </pic:pic>
              </a:graphicData>
            </a:graphic>
          </wp:inline>
        </w:drawing>
      </w:r>
      <w:r w:rsidRPr="00F62B03">
        <w:rPr>
          <w:rStyle w:val="screen-name4"/>
          <w:rFonts w:ascii="Times New Roman" w:hAnsi="Times New Roman" w:cs="Times New Roman"/>
          <w:sz w:val="24"/>
          <w:szCs w:val="24"/>
        </w:rPr>
        <w:t xml:space="preserve"> </w:t>
      </w:r>
      <w:hyperlink r:id="rId21" w:history="1">
        <w:r w:rsidRPr="00F62B03">
          <w:rPr>
            <w:rStyle w:val="Hyperlink"/>
            <w:rFonts w:ascii="Times New Roman" w:hAnsi="Times New Roman" w:cs="Times New Roman"/>
            <w:color w:val="auto"/>
            <w:sz w:val="24"/>
            <w:szCs w:val="24"/>
          </w:rPr>
          <w:t>REIA</w:t>
        </w:r>
      </w:hyperlink>
    </w:p>
    <w:p w14:paraId="2490E241" w14:textId="77777777" w:rsidR="00AF7DF1" w:rsidRDefault="00157645" w:rsidP="00F62B03">
      <w:pPr>
        <w:rPr>
          <w:rFonts w:ascii="Times New Roman" w:hAnsi="Times New Roman" w:cs="Times New Roman"/>
        </w:rPr>
      </w:pPr>
      <w:r w:rsidRPr="00F62B03">
        <w:rPr>
          <w:rFonts w:ascii="Times New Roman" w:hAnsi="Times New Roman" w:cs="Times New Roman"/>
        </w:rPr>
        <w:br w:type="page"/>
      </w:r>
    </w:p>
    <w:p w14:paraId="6544B0A0" w14:textId="77777777" w:rsidR="00AF7DF1" w:rsidRDefault="00AF7DF1" w:rsidP="00F62B03">
      <w:pPr>
        <w:rPr>
          <w:rFonts w:ascii="Times New Roman" w:eastAsia="Times New Roman" w:hAnsi="Times New Roman" w:cs="Times New Roman"/>
          <w:b/>
          <w:noProof/>
          <w:sz w:val="24"/>
          <w:szCs w:val="24"/>
          <w:lang w:eastAsia="en-AU"/>
        </w:rPr>
      </w:pPr>
    </w:p>
    <w:p w14:paraId="1738E23D" w14:textId="77777777" w:rsidR="00AF7DF1" w:rsidRDefault="00AF7DF1" w:rsidP="00F62B03">
      <w:pPr>
        <w:rPr>
          <w:rFonts w:ascii="Times New Roman" w:eastAsia="Times New Roman" w:hAnsi="Times New Roman" w:cs="Times New Roman"/>
          <w:b/>
          <w:noProof/>
          <w:sz w:val="24"/>
          <w:szCs w:val="24"/>
          <w:lang w:eastAsia="en-AU"/>
        </w:rPr>
      </w:pPr>
    </w:p>
    <w:p w14:paraId="7C4BF827" w14:textId="77777777" w:rsidR="00AF7DF1" w:rsidRDefault="00AF7DF1" w:rsidP="00F62B03">
      <w:pPr>
        <w:rPr>
          <w:rFonts w:ascii="Times New Roman" w:eastAsia="Times New Roman" w:hAnsi="Times New Roman" w:cs="Times New Roman"/>
          <w:b/>
          <w:noProof/>
          <w:sz w:val="24"/>
          <w:szCs w:val="24"/>
          <w:lang w:eastAsia="en-AU"/>
        </w:rPr>
      </w:pPr>
    </w:p>
    <w:p w14:paraId="097BE0A4" w14:textId="77777777" w:rsidR="00AF7DF1" w:rsidRDefault="00AF7DF1" w:rsidP="00F62B03">
      <w:pPr>
        <w:rPr>
          <w:rFonts w:ascii="Times New Roman" w:hAnsi="Times New Roman" w:cs="Times New Roman"/>
        </w:rPr>
      </w:pPr>
    </w:p>
    <w:p w14:paraId="7065996A" w14:textId="77777777" w:rsidR="00AF7DF1" w:rsidRDefault="00AF7DF1" w:rsidP="00F62B03">
      <w:pPr>
        <w:rPr>
          <w:rFonts w:ascii="Times New Roman" w:hAnsi="Times New Roman" w:cs="Times New Roman"/>
        </w:rPr>
      </w:pPr>
    </w:p>
    <w:p w14:paraId="04BB6D4D" w14:textId="77777777" w:rsidR="00E32356" w:rsidRDefault="00A053D1" w:rsidP="00F62B03">
      <w:pPr>
        <w:rPr>
          <w:rFonts w:ascii="Times New Roman" w:hAnsi="Times New Roman" w:cs="Times New Roman"/>
          <w:b/>
        </w:rPr>
      </w:pPr>
      <w:r w:rsidRPr="00F62B03">
        <w:rPr>
          <w:rFonts w:ascii="Times New Roman" w:hAnsi="Times New Roman" w:cs="Times New Roman"/>
          <w:b/>
        </w:rPr>
        <w:t xml:space="preserve">REIA </w:t>
      </w:r>
      <w:r w:rsidR="00483C12" w:rsidRPr="00F62B03">
        <w:rPr>
          <w:rFonts w:ascii="Times New Roman" w:hAnsi="Times New Roman" w:cs="Times New Roman"/>
          <w:b/>
        </w:rPr>
        <w:t>PRESENTS THE GOVERNMENT WITH PROPOSALS FOR THE 201</w:t>
      </w:r>
      <w:r w:rsidR="00E32356">
        <w:rPr>
          <w:rFonts w:ascii="Times New Roman" w:hAnsi="Times New Roman" w:cs="Times New Roman"/>
          <w:b/>
        </w:rPr>
        <w:t>9</w:t>
      </w:r>
      <w:r w:rsidR="00483C12" w:rsidRPr="00F62B03">
        <w:rPr>
          <w:rFonts w:ascii="Times New Roman" w:hAnsi="Times New Roman" w:cs="Times New Roman"/>
          <w:b/>
        </w:rPr>
        <w:t>/</w:t>
      </w:r>
      <w:r w:rsidR="00E32356">
        <w:rPr>
          <w:rFonts w:ascii="Times New Roman" w:hAnsi="Times New Roman" w:cs="Times New Roman"/>
          <w:b/>
        </w:rPr>
        <w:t>20</w:t>
      </w:r>
    </w:p>
    <w:p w14:paraId="255CC4C4" w14:textId="77777777" w:rsidR="003B6D40" w:rsidRPr="00F62B03" w:rsidRDefault="00483C12" w:rsidP="00F62B03">
      <w:pPr>
        <w:rPr>
          <w:rFonts w:ascii="Times New Roman" w:hAnsi="Times New Roman" w:cs="Times New Roman"/>
          <w:b/>
        </w:rPr>
      </w:pPr>
      <w:r w:rsidRPr="00F62B03">
        <w:rPr>
          <w:rFonts w:ascii="Times New Roman" w:hAnsi="Times New Roman" w:cs="Times New Roman"/>
          <w:b/>
        </w:rPr>
        <w:t>FEDERAL BUDGET</w:t>
      </w:r>
    </w:p>
    <w:p w14:paraId="72F569F8" w14:textId="77777777" w:rsidR="009C56BF" w:rsidRPr="00F62B03" w:rsidRDefault="009C56BF" w:rsidP="00F62B03">
      <w:pPr>
        <w:rPr>
          <w:rFonts w:ascii="Times New Roman" w:hAnsi="Times New Roman" w:cs="Times New Roman"/>
        </w:rPr>
      </w:pPr>
      <w:r w:rsidRPr="00F62B03">
        <w:rPr>
          <w:rFonts w:ascii="Times New Roman" w:hAnsi="Times New Roman" w:cs="Times New Roman"/>
        </w:rPr>
        <w:t xml:space="preserve">The Real Estate Institute of Australia (REIA) is the peak national association for the real estate profession in Australia. </w:t>
      </w:r>
    </w:p>
    <w:p w14:paraId="4BEF35F8" w14:textId="77777777" w:rsidR="009C56BF" w:rsidRPr="00F62B03" w:rsidRDefault="009C56BF" w:rsidP="00F62B03">
      <w:pPr>
        <w:rPr>
          <w:rFonts w:ascii="Times New Roman" w:hAnsi="Times New Roman" w:cs="Times New Roman"/>
        </w:rPr>
      </w:pPr>
      <w:r w:rsidRPr="00F62B03">
        <w:rPr>
          <w:rFonts w:ascii="Times New Roman" w:hAnsi="Times New Roman" w:cs="Times New Roman"/>
        </w:rPr>
        <w:t>REIA’s members are the State and Territory Real Estate Institutes, through which around 75</w:t>
      </w:r>
      <w:r w:rsidR="000D0544" w:rsidRPr="00F62B03">
        <w:rPr>
          <w:rFonts w:ascii="Times New Roman" w:hAnsi="Times New Roman" w:cs="Times New Roman"/>
        </w:rPr>
        <w:t>%</w:t>
      </w:r>
      <w:r w:rsidR="000845C0" w:rsidRPr="00F62B03">
        <w:rPr>
          <w:rFonts w:ascii="Times New Roman" w:hAnsi="Times New Roman" w:cs="Times New Roman"/>
        </w:rPr>
        <w:t xml:space="preserve"> </w:t>
      </w:r>
      <w:r w:rsidRPr="00F62B03">
        <w:rPr>
          <w:rFonts w:ascii="Times New Roman" w:hAnsi="Times New Roman" w:cs="Times New Roman"/>
        </w:rPr>
        <w:t xml:space="preserve">of real estate agencies are collectively represented. The 2011 Census records the Rental, Hiring and Real Estate Services Industry employment </w:t>
      </w:r>
      <w:r w:rsidR="001E6324" w:rsidRPr="00F62B03">
        <w:rPr>
          <w:rFonts w:ascii="Times New Roman" w:hAnsi="Times New Roman" w:cs="Times New Roman"/>
        </w:rPr>
        <w:t xml:space="preserve">as </w:t>
      </w:r>
      <w:r w:rsidRPr="00F62B03">
        <w:rPr>
          <w:rFonts w:ascii="Times New Roman" w:hAnsi="Times New Roman" w:cs="Times New Roman"/>
        </w:rPr>
        <w:t xml:space="preserve">sitting at a total of 117,880. </w:t>
      </w:r>
      <w:r w:rsidR="001E3EF1" w:rsidRPr="00F62B03">
        <w:rPr>
          <w:rFonts w:ascii="Times New Roman" w:hAnsi="Times New Roman" w:cs="Times New Roman"/>
        </w:rPr>
        <w:t xml:space="preserve">Key </w:t>
      </w:r>
      <w:r w:rsidRPr="00F62B03">
        <w:rPr>
          <w:rFonts w:ascii="Times New Roman" w:hAnsi="Times New Roman" w:cs="Times New Roman"/>
        </w:rPr>
        <w:t xml:space="preserve">data recorded by </w:t>
      </w:r>
      <w:r w:rsidR="00F562D1" w:rsidRPr="00F62B03">
        <w:rPr>
          <w:rFonts w:ascii="Times New Roman" w:hAnsi="Times New Roman" w:cs="Times New Roman"/>
        </w:rPr>
        <w:t>the Australian Bureau of Statistics (</w:t>
      </w:r>
      <w:r w:rsidRPr="00F62B03">
        <w:rPr>
          <w:rFonts w:ascii="Times New Roman" w:hAnsi="Times New Roman" w:cs="Times New Roman"/>
        </w:rPr>
        <w:t>ABS</w:t>
      </w:r>
      <w:r w:rsidR="00F562D1" w:rsidRPr="00F62B03">
        <w:rPr>
          <w:rFonts w:ascii="Times New Roman" w:hAnsi="Times New Roman" w:cs="Times New Roman"/>
        </w:rPr>
        <w:t>)</w:t>
      </w:r>
      <w:r w:rsidRPr="00F62B03">
        <w:rPr>
          <w:rFonts w:ascii="Times New Roman" w:hAnsi="Times New Roman" w:cs="Times New Roman"/>
        </w:rPr>
        <w:t xml:space="preserve"> Census </w:t>
      </w:r>
      <w:r w:rsidR="001E3EF1" w:rsidRPr="00F62B03">
        <w:rPr>
          <w:rFonts w:ascii="Times New Roman" w:hAnsi="Times New Roman" w:cs="Times New Roman"/>
        </w:rPr>
        <w:t>identified</w:t>
      </w:r>
      <w:r w:rsidR="00F562D1" w:rsidRPr="00F62B03">
        <w:rPr>
          <w:rFonts w:ascii="Times New Roman" w:hAnsi="Times New Roman" w:cs="Times New Roman"/>
        </w:rPr>
        <w:t xml:space="preserve">, </w:t>
      </w:r>
      <w:r w:rsidR="001E3EF1" w:rsidRPr="00F62B03">
        <w:rPr>
          <w:rFonts w:ascii="Times New Roman" w:hAnsi="Times New Roman" w:cs="Times New Roman"/>
        </w:rPr>
        <w:t>by occupation</w:t>
      </w:r>
      <w:r w:rsidR="00F562D1" w:rsidRPr="00F62B03">
        <w:rPr>
          <w:rFonts w:ascii="Times New Roman" w:hAnsi="Times New Roman" w:cs="Times New Roman"/>
        </w:rPr>
        <w:t>,</w:t>
      </w:r>
      <w:r w:rsidR="001E3EF1" w:rsidRPr="00F62B03">
        <w:rPr>
          <w:rFonts w:ascii="Times New Roman" w:hAnsi="Times New Roman" w:cs="Times New Roman"/>
        </w:rPr>
        <w:t xml:space="preserve"> </w:t>
      </w:r>
      <w:r w:rsidRPr="00F62B03">
        <w:rPr>
          <w:rFonts w:ascii="Times New Roman" w:hAnsi="Times New Roman" w:cs="Times New Roman"/>
        </w:rPr>
        <w:t xml:space="preserve">64,699 </w:t>
      </w:r>
      <w:r w:rsidR="002A7C15" w:rsidRPr="00F62B03">
        <w:rPr>
          <w:rFonts w:ascii="Times New Roman" w:hAnsi="Times New Roman" w:cs="Times New Roman"/>
        </w:rPr>
        <w:t>business brokers, property managers, principals, real estate agents and representatives</w:t>
      </w:r>
      <w:r w:rsidRPr="00F62B03">
        <w:rPr>
          <w:rFonts w:ascii="Times New Roman" w:hAnsi="Times New Roman" w:cs="Times New Roman"/>
        </w:rPr>
        <w:t>.</w:t>
      </w:r>
    </w:p>
    <w:p w14:paraId="32F65412" w14:textId="77777777" w:rsidR="009C56BF" w:rsidRPr="00F62B03" w:rsidRDefault="009C56BF" w:rsidP="00F62B03">
      <w:pPr>
        <w:rPr>
          <w:rFonts w:ascii="Times New Roman" w:hAnsi="Times New Roman" w:cs="Times New Roman"/>
        </w:rPr>
      </w:pPr>
      <w:r w:rsidRPr="00F62B03">
        <w:rPr>
          <w:rFonts w:ascii="Times New Roman" w:hAnsi="Times New Roman" w:cs="Times New Roman"/>
        </w:rPr>
        <w:t>REIA represents an important element of the broader property and construction sector which together makes a significant contribution to Australia’s social climate and economic development. Property contributes $300 billion annually in economic activity.</w:t>
      </w:r>
    </w:p>
    <w:p w14:paraId="2F03FC60" w14:textId="77777777" w:rsidR="009C56BF" w:rsidRPr="00F62B03" w:rsidRDefault="009C56BF" w:rsidP="00F62B03">
      <w:pPr>
        <w:rPr>
          <w:rFonts w:ascii="Times New Roman" w:hAnsi="Times New Roman" w:cs="Times New Roman"/>
        </w:rPr>
      </w:pPr>
      <w:r w:rsidRPr="00F62B03">
        <w:rPr>
          <w:rFonts w:ascii="Times New Roman" w:hAnsi="Times New Roman" w:cs="Times New Roman"/>
        </w:rPr>
        <w:t>Importantly, REIA represents an integral element of the small business sector. Some 99</w:t>
      </w:r>
      <w:r w:rsidR="000D0544" w:rsidRPr="00F62B03">
        <w:rPr>
          <w:rFonts w:ascii="Times New Roman" w:hAnsi="Times New Roman" w:cs="Times New Roman"/>
        </w:rPr>
        <w:t>%</w:t>
      </w:r>
      <w:r w:rsidRPr="00F62B03">
        <w:rPr>
          <w:rFonts w:ascii="Times New Roman" w:hAnsi="Times New Roman" w:cs="Times New Roman"/>
        </w:rPr>
        <w:t xml:space="preserve"> of real estate agencies are small businesses and 11</w:t>
      </w:r>
      <w:r w:rsidR="000D0544" w:rsidRPr="00F62B03">
        <w:rPr>
          <w:rFonts w:ascii="Times New Roman" w:hAnsi="Times New Roman" w:cs="Times New Roman"/>
        </w:rPr>
        <w:t>%</w:t>
      </w:r>
      <w:r w:rsidR="000845C0" w:rsidRPr="00F62B03">
        <w:rPr>
          <w:rFonts w:ascii="Times New Roman" w:hAnsi="Times New Roman" w:cs="Times New Roman"/>
        </w:rPr>
        <w:t xml:space="preserve"> </w:t>
      </w:r>
      <w:r w:rsidRPr="00F62B03">
        <w:rPr>
          <w:rFonts w:ascii="Times New Roman" w:hAnsi="Times New Roman" w:cs="Times New Roman"/>
        </w:rPr>
        <w:t>of all small businesses in Australia are involved in real estate. Only 0.6</w:t>
      </w:r>
      <w:r w:rsidR="000D0544" w:rsidRPr="00F62B03">
        <w:rPr>
          <w:rFonts w:ascii="Times New Roman" w:hAnsi="Times New Roman" w:cs="Times New Roman"/>
        </w:rPr>
        <w:t>%</w:t>
      </w:r>
      <w:r w:rsidR="000845C0" w:rsidRPr="00F62B03">
        <w:rPr>
          <w:rFonts w:ascii="Times New Roman" w:hAnsi="Times New Roman" w:cs="Times New Roman"/>
        </w:rPr>
        <w:t xml:space="preserve"> </w:t>
      </w:r>
      <w:r w:rsidRPr="00F62B03">
        <w:rPr>
          <w:rFonts w:ascii="Times New Roman" w:hAnsi="Times New Roman" w:cs="Times New Roman"/>
        </w:rPr>
        <w:t xml:space="preserve">of businesses employ 50 or more persons. </w:t>
      </w:r>
    </w:p>
    <w:p w14:paraId="46F5AD71" w14:textId="77777777" w:rsidR="009C56BF" w:rsidRDefault="009C56BF" w:rsidP="00F62B03">
      <w:pPr>
        <w:rPr>
          <w:rFonts w:ascii="Times New Roman" w:hAnsi="Times New Roman" w:cs="Times New Roman"/>
        </w:rPr>
      </w:pPr>
      <w:r w:rsidRPr="00F62B03">
        <w:rPr>
          <w:rFonts w:ascii="Times New Roman" w:hAnsi="Times New Roman" w:cs="Times New Roman"/>
        </w:rPr>
        <w:t xml:space="preserve">REIA is committed to providing and assisting </w:t>
      </w:r>
      <w:r w:rsidR="001E3EF1" w:rsidRPr="00F62B03">
        <w:rPr>
          <w:rFonts w:ascii="Times New Roman" w:hAnsi="Times New Roman" w:cs="Times New Roman"/>
        </w:rPr>
        <w:t xml:space="preserve">with </w:t>
      </w:r>
      <w:r w:rsidRPr="00F62B03">
        <w:rPr>
          <w:rFonts w:ascii="Times New Roman" w:hAnsi="Times New Roman" w:cs="Times New Roman"/>
        </w:rPr>
        <w:t xml:space="preserve">research and well-informed advice to the Federal Government, Opposition, professional members of the real estate sector, media and the public on a range of issues affecting the property market. </w:t>
      </w:r>
    </w:p>
    <w:p w14:paraId="5A0B953A" w14:textId="77777777" w:rsidR="001228C7" w:rsidRDefault="001228C7">
      <w:pPr>
        <w:rPr>
          <w:rFonts w:ascii="Times New Roman" w:hAnsi="Times New Roman" w:cs="Times New Roman"/>
        </w:rPr>
      </w:pPr>
      <w:r>
        <w:rPr>
          <w:rFonts w:ascii="Times New Roman" w:hAnsi="Times New Roman" w:cs="Times New Roman"/>
        </w:rPr>
        <w:br w:type="page"/>
      </w:r>
    </w:p>
    <w:p w14:paraId="0968AF5C" w14:textId="77777777" w:rsidR="009C56BF" w:rsidRPr="00F62B03" w:rsidRDefault="009C56BF" w:rsidP="00F62B03">
      <w:pPr>
        <w:rPr>
          <w:rFonts w:ascii="Times New Roman" w:hAnsi="Times New Roman" w:cs="Times New Roman"/>
          <w:b/>
        </w:rPr>
      </w:pPr>
      <w:r w:rsidRPr="00F62B03">
        <w:rPr>
          <w:rFonts w:ascii="Times New Roman" w:hAnsi="Times New Roman" w:cs="Times New Roman"/>
          <w:b/>
        </w:rPr>
        <w:lastRenderedPageBreak/>
        <w:t>Introduction</w:t>
      </w:r>
      <w:r w:rsidR="009A6828" w:rsidRPr="00F62B03">
        <w:rPr>
          <w:rFonts w:ascii="Times New Roman" w:hAnsi="Times New Roman" w:cs="Times New Roman"/>
          <w:b/>
        </w:rPr>
        <w:t xml:space="preserve"> </w:t>
      </w:r>
    </w:p>
    <w:p w14:paraId="101C155F" w14:textId="77777777" w:rsidR="00B77B1A" w:rsidRPr="00B46640" w:rsidRDefault="00B77B1A" w:rsidP="00F62B03">
      <w:pPr>
        <w:rPr>
          <w:rFonts w:ascii="Times New Roman" w:hAnsi="Times New Roman" w:cs="Times New Roman"/>
        </w:rPr>
      </w:pPr>
      <w:r w:rsidRPr="00B46640">
        <w:rPr>
          <w:rFonts w:ascii="Times New Roman" w:hAnsi="Times New Roman" w:cs="Times New Roman"/>
        </w:rPr>
        <w:t>The Real Estate Institute of Australia (REIA) welcomes the opportunity to present the Govern</w:t>
      </w:r>
      <w:r w:rsidR="000462C1" w:rsidRPr="00B46640">
        <w:rPr>
          <w:rFonts w:ascii="Times New Roman" w:hAnsi="Times New Roman" w:cs="Times New Roman"/>
        </w:rPr>
        <w:t>ment with proposals for the 201</w:t>
      </w:r>
      <w:r w:rsidR="00E32356">
        <w:rPr>
          <w:rFonts w:ascii="Times New Roman" w:hAnsi="Times New Roman" w:cs="Times New Roman"/>
        </w:rPr>
        <w:t>9</w:t>
      </w:r>
      <w:r w:rsidRPr="00B46640">
        <w:rPr>
          <w:rFonts w:ascii="Times New Roman" w:hAnsi="Times New Roman" w:cs="Times New Roman"/>
        </w:rPr>
        <w:t>/</w:t>
      </w:r>
      <w:r w:rsidR="00E32356">
        <w:rPr>
          <w:rFonts w:ascii="Times New Roman" w:hAnsi="Times New Roman" w:cs="Times New Roman"/>
        </w:rPr>
        <w:t>20</w:t>
      </w:r>
      <w:r w:rsidR="002970C5" w:rsidRPr="00B46640">
        <w:rPr>
          <w:rFonts w:ascii="Times New Roman" w:hAnsi="Times New Roman" w:cs="Times New Roman"/>
        </w:rPr>
        <w:t xml:space="preserve"> </w:t>
      </w:r>
      <w:r w:rsidR="00A84DD8" w:rsidRPr="00B46640">
        <w:rPr>
          <w:rFonts w:ascii="Times New Roman" w:hAnsi="Times New Roman" w:cs="Times New Roman"/>
        </w:rPr>
        <w:t xml:space="preserve">Federal Budget and </w:t>
      </w:r>
      <w:r w:rsidR="00BE7348" w:rsidRPr="00B46640">
        <w:rPr>
          <w:rFonts w:ascii="Times New Roman" w:hAnsi="Times New Roman" w:cs="Times New Roman"/>
        </w:rPr>
        <w:t xml:space="preserve">in the context of </w:t>
      </w:r>
      <w:r w:rsidR="00A84DD8" w:rsidRPr="00B46640">
        <w:rPr>
          <w:rFonts w:ascii="Times New Roman" w:hAnsi="Times New Roman" w:cs="Times New Roman"/>
        </w:rPr>
        <w:t xml:space="preserve">its preparation, seeks Government consideration </w:t>
      </w:r>
      <w:r w:rsidR="00A84DD8" w:rsidRPr="00155E47">
        <w:rPr>
          <w:rFonts w:ascii="Times New Roman" w:hAnsi="Times New Roman" w:cs="Times New Roman"/>
        </w:rPr>
        <w:t>of</w:t>
      </w:r>
      <w:r w:rsidR="004316EC" w:rsidRPr="00155E47">
        <w:rPr>
          <w:rFonts w:ascii="Times New Roman" w:hAnsi="Times New Roman" w:cs="Times New Roman"/>
        </w:rPr>
        <w:t xml:space="preserve"> </w:t>
      </w:r>
      <w:r w:rsidR="00B362BB">
        <w:rPr>
          <w:rFonts w:ascii="Times New Roman" w:hAnsi="Times New Roman" w:cs="Times New Roman"/>
        </w:rPr>
        <w:t>five</w:t>
      </w:r>
      <w:r w:rsidR="0085692D" w:rsidRPr="00B46640">
        <w:rPr>
          <w:rFonts w:ascii="Times New Roman" w:hAnsi="Times New Roman" w:cs="Times New Roman"/>
        </w:rPr>
        <w:t xml:space="preserve"> </w:t>
      </w:r>
      <w:r w:rsidRPr="00B46640">
        <w:rPr>
          <w:rFonts w:ascii="Times New Roman" w:hAnsi="Times New Roman" w:cs="Times New Roman"/>
        </w:rPr>
        <w:t>specific matters.</w:t>
      </w:r>
    </w:p>
    <w:p w14:paraId="206C92CA" w14:textId="77777777" w:rsidR="0080446E" w:rsidRPr="00B46640" w:rsidRDefault="00B77B1A" w:rsidP="00F62B03">
      <w:pPr>
        <w:rPr>
          <w:rFonts w:ascii="Times New Roman" w:hAnsi="Times New Roman" w:cs="Times New Roman"/>
        </w:rPr>
      </w:pPr>
      <w:r w:rsidRPr="00B46640">
        <w:rPr>
          <w:rFonts w:ascii="Times New Roman" w:hAnsi="Times New Roman" w:cs="Times New Roman"/>
        </w:rPr>
        <w:t xml:space="preserve">The two </w:t>
      </w:r>
      <w:r w:rsidR="002970C5" w:rsidRPr="00B46640">
        <w:rPr>
          <w:rFonts w:ascii="Times New Roman" w:hAnsi="Times New Roman" w:cs="Times New Roman"/>
        </w:rPr>
        <w:t xml:space="preserve">primary </w:t>
      </w:r>
      <w:r w:rsidRPr="00B46640">
        <w:rPr>
          <w:rFonts w:ascii="Times New Roman" w:hAnsi="Times New Roman" w:cs="Times New Roman"/>
        </w:rPr>
        <w:t xml:space="preserve">focuses of REIA’s proposals are </w:t>
      </w:r>
      <w:r w:rsidR="001E6324" w:rsidRPr="00B46640">
        <w:rPr>
          <w:rFonts w:ascii="Times New Roman" w:hAnsi="Times New Roman" w:cs="Times New Roman"/>
        </w:rPr>
        <w:t xml:space="preserve">firstly </w:t>
      </w:r>
      <w:r w:rsidR="00FF32FD" w:rsidRPr="00B46640">
        <w:rPr>
          <w:rFonts w:ascii="Times New Roman" w:hAnsi="Times New Roman" w:cs="Times New Roman"/>
        </w:rPr>
        <w:t xml:space="preserve">taxation as it relates to property </w:t>
      </w:r>
      <w:r w:rsidR="0080446E" w:rsidRPr="00B46640">
        <w:rPr>
          <w:rFonts w:ascii="Times New Roman" w:hAnsi="Times New Roman" w:cs="Times New Roman"/>
        </w:rPr>
        <w:t xml:space="preserve">and </w:t>
      </w:r>
      <w:r w:rsidR="00FF32FD" w:rsidRPr="00B46640">
        <w:rPr>
          <w:rFonts w:ascii="Times New Roman" w:hAnsi="Times New Roman" w:cs="Times New Roman"/>
        </w:rPr>
        <w:t xml:space="preserve">the need for </w:t>
      </w:r>
      <w:r w:rsidR="0080446E" w:rsidRPr="00B46640">
        <w:rPr>
          <w:rFonts w:ascii="Times New Roman" w:hAnsi="Times New Roman" w:cs="Times New Roman"/>
        </w:rPr>
        <w:t xml:space="preserve">a holistic approach and secondly </w:t>
      </w:r>
      <w:r w:rsidRPr="00B46640">
        <w:rPr>
          <w:rFonts w:ascii="Times New Roman" w:hAnsi="Times New Roman" w:cs="Times New Roman"/>
        </w:rPr>
        <w:t>housing affordability</w:t>
      </w:r>
      <w:r w:rsidR="00155E47">
        <w:rPr>
          <w:rFonts w:ascii="Times New Roman" w:hAnsi="Times New Roman" w:cs="Times New Roman"/>
        </w:rPr>
        <w:t xml:space="preserve"> for first home buyers.</w:t>
      </w:r>
    </w:p>
    <w:p w14:paraId="0048087B" w14:textId="77777777" w:rsidR="00B77B1A" w:rsidRPr="00B46640" w:rsidRDefault="000C34C6" w:rsidP="00F62B03">
      <w:pPr>
        <w:rPr>
          <w:rFonts w:ascii="Times New Roman" w:hAnsi="Times New Roman" w:cs="Times New Roman"/>
        </w:rPr>
      </w:pPr>
      <w:r w:rsidRPr="00B46640">
        <w:rPr>
          <w:rFonts w:ascii="Times New Roman" w:hAnsi="Times New Roman" w:cs="Times New Roman"/>
        </w:rPr>
        <w:t>T</w:t>
      </w:r>
      <w:r w:rsidR="00D00845" w:rsidRPr="00B46640">
        <w:rPr>
          <w:rFonts w:ascii="Times New Roman" w:hAnsi="Times New Roman" w:cs="Times New Roman"/>
        </w:rPr>
        <w:t xml:space="preserve">he need </w:t>
      </w:r>
      <w:r w:rsidR="0080446E" w:rsidRPr="00B46640">
        <w:rPr>
          <w:rFonts w:ascii="Times New Roman" w:hAnsi="Times New Roman" w:cs="Times New Roman"/>
        </w:rPr>
        <w:t xml:space="preserve">for Government to recognise the importance of the </w:t>
      </w:r>
      <w:r w:rsidR="000D46CC" w:rsidRPr="00B46640">
        <w:rPr>
          <w:rFonts w:ascii="Times New Roman" w:hAnsi="Times New Roman" w:cs="Times New Roman"/>
        </w:rPr>
        <w:t xml:space="preserve">property sector </w:t>
      </w:r>
      <w:r w:rsidR="0080446E" w:rsidRPr="00B46640">
        <w:rPr>
          <w:rFonts w:ascii="Times New Roman" w:hAnsi="Times New Roman" w:cs="Times New Roman"/>
        </w:rPr>
        <w:t xml:space="preserve">as a driver of economic </w:t>
      </w:r>
      <w:r w:rsidR="00914954" w:rsidRPr="00B46640">
        <w:rPr>
          <w:rFonts w:ascii="Times New Roman" w:hAnsi="Times New Roman" w:cs="Times New Roman"/>
        </w:rPr>
        <w:t xml:space="preserve">growth </w:t>
      </w:r>
      <w:r w:rsidR="0080446E" w:rsidRPr="00B46640">
        <w:rPr>
          <w:rFonts w:ascii="Times New Roman" w:hAnsi="Times New Roman" w:cs="Times New Roman"/>
        </w:rPr>
        <w:t xml:space="preserve">by appointing a Minister of </w:t>
      </w:r>
      <w:r w:rsidR="002970C5" w:rsidRPr="00B46640">
        <w:rPr>
          <w:rFonts w:ascii="Times New Roman" w:hAnsi="Times New Roman" w:cs="Times New Roman"/>
        </w:rPr>
        <w:t xml:space="preserve">Property Services and to ensure the availability of reliable data to formulate policy </w:t>
      </w:r>
      <w:r w:rsidR="008A0908">
        <w:rPr>
          <w:rFonts w:ascii="Times New Roman" w:hAnsi="Times New Roman" w:cs="Times New Roman"/>
        </w:rPr>
        <w:t>are</w:t>
      </w:r>
      <w:r w:rsidR="00BD4317" w:rsidRPr="00B46640">
        <w:rPr>
          <w:rFonts w:ascii="Times New Roman" w:hAnsi="Times New Roman" w:cs="Times New Roman"/>
        </w:rPr>
        <w:t xml:space="preserve"> </w:t>
      </w:r>
      <w:r w:rsidRPr="00B46640">
        <w:rPr>
          <w:rFonts w:ascii="Times New Roman" w:hAnsi="Times New Roman" w:cs="Times New Roman"/>
        </w:rPr>
        <w:t>also addressed</w:t>
      </w:r>
      <w:r w:rsidR="00D00845" w:rsidRPr="00B46640">
        <w:rPr>
          <w:rFonts w:ascii="Times New Roman" w:hAnsi="Times New Roman" w:cs="Times New Roman"/>
        </w:rPr>
        <w:t>.</w:t>
      </w:r>
    </w:p>
    <w:p w14:paraId="667A19E4" w14:textId="77777777" w:rsidR="00B77B1A" w:rsidRPr="00B46640" w:rsidRDefault="00B77B1A" w:rsidP="00F62B03">
      <w:pPr>
        <w:rPr>
          <w:rFonts w:ascii="Times New Roman" w:hAnsi="Times New Roman" w:cs="Times New Roman"/>
        </w:rPr>
      </w:pPr>
      <w:r w:rsidRPr="00B46640">
        <w:rPr>
          <w:rFonts w:ascii="Times New Roman" w:hAnsi="Times New Roman" w:cs="Times New Roman"/>
        </w:rPr>
        <w:t xml:space="preserve">By addressing these key areas REIA’s proposals are aimed at contributing to Australia’s continuing economic development and productivity. </w:t>
      </w:r>
    </w:p>
    <w:p w14:paraId="75403D68" w14:textId="77777777" w:rsidR="00231B6D" w:rsidRPr="00B46640" w:rsidRDefault="006D42AA" w:rsidP="00F62B03">
      <w:pPr>
        <w:rPr>
          <w:rFonts w:ascii="Times New Roman" w:hAnsi="Times New Roman" w:cs="Times New Roman"/>
          <w:b/>
        </w:rPr>
      </w:pPr>
      <w:r w:rsidRPr="00B46640">
        <w:rPr>
          <w:rFonts w:ascii="Times New Roman" w:hAnsi="Times New Roman" w:cs="Times New Roman"/>
          <w:b/>
        </w:rPr>
        <w:t>Economic Background</w:t>
      </w:r>
    </w:p>
    <w:p w14:paraId="3C80B77E" w14:textId="77777777" w:rsidR="00E764ED" w:rsidRPr="00B46640" w:rsidRDefault="00E764ED" w:rsidP="00F62B03">
      <w:pPr>
        <w:rPr>
          <w:rFonts w:ascii="Times New Roman" w:hAnsi="Times New Roman" w:cs="Times New Roman"/>
        </w:rPr>
      </w:pPr>
      <w:r w:rsidRPr="00B46640">
        <w:rPr>
          <w:rFonts w:ascii="Times New Roman" w:hAnsi="Times New Roman" w:cs="Times New Roman"/>
        </w:rPr>
        <w:t xml:space="preserve">The economic circumstances </w:t>
      </w:r>
      <w:r w:rsidR="00CF2272" w:rsidRPr="00B46640">
        <w:rPr>
          <w:rFonts w:ascii="Times New Roman" w:hAnsi="Times New Roman" w:cs="Times New Roman"/>
        </w:rPr>
        <w:t xml:space="preserve">whilst showing signs of improvement </w:t>
      </w:r>
      <w:r w:rsidRPr="00B46640">
        <w:rPr>
          <w:rFonts w:ascii="Times New Roman" w:hAnsi="Times New Roman" w:cs="Times New Roman"/>
        </w:rPr>
        <w:t>are not greatly different to what they were when the 201</w:t>
      </w:r>
      <w:r w:rsidR="00E4563A">
        <w:rPr>
          <w:rFonts w:ascii="Times New Roman" w:hAnsi="Times New Roman" w:cs="Times New Roman"/>
        </w:rPr>
        <w:t>8</w:t>
      </w:r>
      <w:r w:rsidRPr="00B46640">
        <w:rPr>
          <w:rFonts w:ascii="Times New Roman" w:hAnsi="Times New Roman" w:cs="Times New Roman"/>
        </w:rPr>
        <w:t>-1</w:t>
      </w:r>
      <w:r w:rsidR="00E4563A">
        <w:rPr>
          <w:rFonts w:ascii="Times New Roman" w:hAnsi="Times New Roman" w:cs="Times New Roman"/>
        </w:rPr>
        <w:t>9</w:t>
      </w:r>
      <w:r w:rsidRPr="00B46640">
        <w:rPr>
          <w:rFonts w:ascii="Times New Roman" w:hAnsi="Times New Roman" w:cs="Times New Roman"/>
        </w:rPr>
        <w:t xml:space="preserve"> Budget was </w:t>
      </w:r>
      <w:r w:rsidR="003A6F12" w:rsidRPr="00B46640">
        <w:rPr>
          <w:rFonts w:ascii="Times New Roman" w:hAnsi="Times New Roman" w:cs="Times New Roman"/>
        </w:rPr>
        <w:t>delivered:</w:t>
      </w:r>
      <w:r w:rsidR="007C3B21" w:rsidRPr="00B46640">
        <w:rPr>
          <w:rFonts w:ascii="Times New Roman" w:hAnsi="Times New Roman" w:cs="Times New Roman"/>
        </w:rPr>
        <w:t xml:space="preserve"> whilst unemployment has shown modest improvement wages growth is low;</w:t>
      </w:r>
      <w:r w:rsidR="003A6F12" w:rsidRPr="00B46640">
        <w:rPr>
          <w:rFonts w:ascii="Times New Roman" w:hAnsi="Times New Roman" w:cs="Times New Roman"/>
        </w:rPr>
        <w:t xml:space="preserve"> growth</w:t>
      </w:r>
      <w:r w:rsidRPr="00B46640">
        <w:rPr>
          <w:rFonts w:ascii="Times New Roman" w:hAnsi="Times New Roman" w:cs="Times New Roman"/>
        </w:rPr>
        <w:t xml:space="preserve"> is still below </w:t>
      </w:r>
      <w:r w:rsidR="003A6F12" w:rsidRPr="00B46640">
        <w:rPr>
          <w:rFonts w:ascii="Times New Roman" w:hAnsi="Times New Roman" w:cs="Times New Roman"/>
        </w:rPr>
        <w:t xml:space="preserve">trend; </w:t>
      </w:r>
      <w:r w:rsidRPr="00B46640">
        <w:rPr>
          <w:rFonts w:ascii="Times New Roman" w:hAnsi="Times New Roman" w:cs="Times New Roman"/>
        </w:rPr>
        <w:t xml:space="preserve">and business and consumer confidence are still low despite </w:t>
      </w:r>
      <w:r w:rsidR="004B1C4A" w:rsidRPr="00B46640">
        <w:rPr>
          <w:rFonts w:ascii="Times New Roman" w:hAnsi="Times New Roman" w:cs="Times New Roman"/>
        </w:rPr>
        <w:t>f</w:t>
      </w:r>
      <w:r w:rsidR="00E4563A">
        <w:rPr>
          <w:rFonts w:ascii="Times New Roman" w:hAnsi="Times New Roman" w:cs="Times New Roman"/>
        </w:rPr>
        <w:t>ive</w:t>
      </w:r>
      <w:r w:rsidR="00FE28DD" w:rsidRPr="00B46640">
        <w:rPr>
          <w:rFonts w:ascii="Times New Roman" w:hAnsi="Times New Roman" w:cs="Times New Roman"/>
        </w:rPr>
        <w:t xml:space="preserve"> </w:t>
      </w:r>
      <w:r w:rsidRPr="00B46640">
        <w:rPr>
          <w:rFonts w:ascii="Times New Roman" w:hAnsi="Times New Roman" w:cs="Times New Roman"/>
        </w:rPr>
        <w:t>year</w:t>
      </w:r>
      <w:r w:rsidR="002970C5" w:rsidRPr="00B46640">
        <w:rPr>
          <w:rFonts w:ascii="Times New Roman" w:hAnsi="Times New Roman" w:cs="Times New Roman"/>
        </w:rPr>
        <w:t xml:space="preserve">s </w:t>
      </w:r>
      <w:r w:rsidRPr="00B46640">
        <w:rPr>
          <w:rFonts w:ascii="Times New Roman" w:hAnsi="Times New Roman" w:cs="Times New Roman"/>
        </w:rPr>
        <w:t>of record low interest rates.</w:t>
      </w:r>
    </w:p>
    <w:p w14:paraId="310C283A" w14:textId="77777777" w:rsidR="00C6027A" w:rsidRDefault="00C6027A" w:rsidP="00F62B03">
      <w:pPr>
        <w:rPr>
          <w:rFonts w:ascii="Times New Roman" w:hAnsi="Times New Roman" w:cs="Times New Roman"/>
        </w:rPr>
      </w:pPr>
      <w:r w:rsidRPr="00B46640">
        <w:rPr>
          <w:rFonts w:ascii="Times New Roman" w:hAnsi="Times New Roman" w:cs="Times New Roman"/>
        </w:rPr>
        <w:t>In 201</w:t>
      </w:r>
      <w:r w:rsidR="00E4563A">
        <w:rPr>
          <w:rFonts w:ascii="Times New Roman" w:hAnsi="Times New Roman" w:cs="Times New Roman"/>
        </w:rPr>
        <w:t>8</w:t>
      </w:r>
      <w:r w:rsidRPr="00B46640">
        <w:rPr>
          <w:rFonts w:ascii="Times New Roman" w:hAnsi="Times New Roman" w:cs="Times New Roman"/>
        </w:rPr>
        <w:t>, the recovery of the global economy continued</w:t>
      </w:r>
      <w:r w:rsidR="00454530" w:rsidRPr="00B46640">
        <w:rPr>
          <w:rFonts w:ascii="Times New Roman" w:hAnsi="Times New Roman" w:cs="Times New Roman"/>
        </w:rPr>
        <w:t>,</w:t>
      </w:r>
      <w:r w:rsidRPr="00B46640">
        <w:rPr>
          <w:rFonts w:ascii="Times New Roman" w:hAnsi="Times New Roman" w:cs="Times New Roman"/>
        </w:rPr>
        <w:t xml:space="preserve"> </w:t>
      </w:r>
      <w:r w:rsidR="00CD799B" w:rsidRPr="00B46640">
        <w:rPr>
          <w:rFonts w:ascii="Times New Roman" w:hAnsi="Times New Roman" w:cs="Times New Roman"/>
        </w:rPr>
        <w:t>albeit at a slower-</w:t>
      </w:r>
      <w:r w:rsidRPr="00B46640">
        <w:rPr>
          <w:rFonts w:ascii="Times New Roman" w:hAnsi="Times New Roman" w:cs="Times New Roman"/>
        </w:rPr>
        <w:t>than</w:t>
      </w:r>
      <w:r w:rsidR="00CD799B" w:rsidRPr="00B46640">
        <w:rPr>
          <w:rFonts w:ascii="Times New Roman" w:hAnsi="Times New Roman" w:cs="Times New Roman"/>
        </w:rPr>
        <w:t>-</w:t>
      </w:r>
      <w:r w:rsidRPr="00B46640">
        <w:rPr>
          <w:rFonts w:ascii="Times New Roman" w:hAnsi="Times New Roman" w:cs="Times New Roman"/>
        </w:rPr>
        <w:t xml:space="preserve">expected </w:t>
      </w:r>
      <w:r w:rsidR="00CD799B" w:rsidRPr="00B46640">
        <w:rPr>
          <w:rFonts w:ascii="Times New Roman" w:hAnsi="Times New Roman" w:cs="Times New Roman"/>
        </w:rPr>
        <w:t xml:space="preserve">rate with growth in </w:t>
      </w:r>
      <w:r w:rsidR="00503258" w:rsidRPr="00B46640">
        <w:rPr>
          <w:rFonts w:ascii="Times New Roman" w:hAnsi="Times New Roman" w:cs="Times New Roman"/>
        </w:rPr>
        <w:t xml:space="preserve">the </w:t>
      </w:r>
      <w:r w:rsidR="00CD799B" w:rsidRPr="00B46640">
        <w:rPr>
          <w:rFonts w:ascii="Times New Roman" w:hAnsi="Times New Roman" w:cs="Times New Roman"/>
        </w:rPr>
        <w:t xml:space="preserve">economies of Australia’s major trading partners being </w:t>
      </w:r>
      <w:r w:rsidR="00BD4317" w:rsidRPr="00B46640">
        <w:rPr>
          <w:rFonts w:ascii="Times New Roman" w:hAnsi="Times New Roman" w:cs="Times New Roman"/>
        </w:rPr>
        <w:t xml:space="preserve">below </w:t>
      </w:r>
      <w:r w:rsidR="00CD799B" w:rsidRPr="00B46640">
        <w:rPr>
          <w:rFonts w:ascii="Times New Roman" w:hAnsi="Times New Roman" w:cs="Times New Roman"/>
        </w:rPr>
        <w:t>their historical average.</w:t>
      </w:r>
    </w:p>
    <w:p w14:paraId="3A700F8A" w14:textId="77777777" w:rsidR="00042137" w:rsidRPr="00042137" w:rsidRDefault="00042137" w:rsidP="00042137">
      <w:pPr>
        <w:rPr>
          <w:rFonts w:ascii="Times New Roman" w:hAnsi="Times New Roman" w:cs="Times New Roman"/>
        </w:rPr>
      </w:pPr>
      <w:r>
        <w:rPr>
          <w:rFonts w:ascii="Times New Roman" w:hAnsi="Times New Roman" w:cs="Times New Roman"/>
        </w:rPr>
        <w:t>The RBA’s Minutes of its December 2018 Board meeting note that “</w:t>
      </w:r>
      <w:r w:rsidRPr="00042137">
        <w:rPr>
          <w:rFonts w:ascii="Times New Roman" w:hAnsi="Times New Roman" w:cs="Times New Roman"/>
        </w:rPr>
        <w:t>growth in a number of economies had slowed this year; softer external demand, at least partly related to trade tensions and the associated uncertainty, had been a common driver of the slowdown</w:t>
      </w:r>
      <w:r>
        <w:rPr>
          <w:rFonts w:ascii="Times New Roman" w:hAnsi="Times New Roman" w:cs="Times New Roman"/>
        </w:rPr>
        <w:t>” and “</w:t>
      </w:r>
      <w:r w:rsidRPr="00042137">
        <w:rPr>
          <w:rFonts w:ascii="Times New Roman" w:hAnsi="Times New Roman" w:cs="Times New Roman"/>
        </w:rPr>
        <w:t>indicators of external demand, such as new export orders, had softened in the euro area, Japan and other parts of Asia</w:t>
      </w:r>
      <w:r>
        <w:rPr>
          <w:rFonts w:ascii="Times New Roman" w:hAnsi="Times New Roman" w:cs="Times New Roman"/>
        </w:rPr>
        <w:t>”.</w:t>
      </w:r>
    </w:p>
    <w:p w14:paraId="7810EC22" w14:textId="77777777" w:rsidR="00C454AE" w:rsidRPr="00B46640" w:rsidRDefault="004A7AD9" w:rsidP="00F62B03">
      <w:pPr>
        <w:rPr>
          <w:rFonts w:ascii="Times New Roman" w:hAnsi="Times New Roman" w:cs="Times New Roman"/>
        </w:rPr>
      </w:pPr>
      <w:r>
        <w:rPr>
          <w:rFonts w:ascii="Times New Roman" w:hAnsi="Times New Roman" w:cs="Times New Roman"/>
        </w:rPr>
        <w:t xml:space="preserve">September </w:t>
      </w:r>
      <w:r w:rsidR="001F70DD" w:rsidRPr="00B46640">
        <w:rPr>
          <w:rFonts w:ascii="Times New Roman" w:hAnsi="Times New Roman" w:cs="Times New Roman"/>
        </w:rPr>
        <w:t>quarter 201</w:t>
      </w:r>
      <w:r>
        <w:rPr>
          <w:rFonts w:ascii="Times New Roman" w:hAnsi="Times New Roman" w:cs="Times New Roman"/>
        </w:rPr>
        <w:t>8</w:t>
      </w:r>
      <w:r w:rsidR="001F70DD" w:rsidRPr="00B46640">
        <w:rPr>
          <w:rFonts w:ascii="Times New Roman" w:hAnsi="Times New Roman" w:cs="Times New Roman"/>
        </w:rPr>
        <w:t xml:space="preserve"> National </w:t>
      </w:r>
      <w:r w:rsidR="00042137">
        <w:rPr>
          <w:rFonts w:ascii="Times New Roman" w:hAnsi="Times New Roman" w:cs="Times New Roman"/>
        </w:rPr>
        <w:t>A</w:t>
      </w:r>
      <w:r w:rsidR="001F70DD" w:rsidRPr="00B46640">
        <w:rPr>
          <w:rFonts w:ascii="Times New Roman" w:hAnsi="Times New Roman" w:cs="Times New Roman"/>
        </w:rPr>
        <w:t xml:space="preserve">ccounts show that </w:t>
      </w:r>
      <w:r>
        <w:rPr>
          <w:rFonts w:ascii="Times New Roman" w:hAnsi="Times New Roman" w:cs="Times New Roman"/>
        </w:rPr>
        <w:t xml:space="preserve">quarterly growth </w:t>
      </w:r>
      <w:r w:rsidR="00C454AE" w:rsidRPr="00B46640">
        <w:rPr>
          <w:rFonts w:ascii="Times New Roman" w:hAnsi="Times New Roman" w:cs="Times New Roman"/>
        </w:rPr>
        <w:t xml:space="preserve">in </w:t>
      </w:r>
      <w:r w:rsidR="00042137">
        <w:rPr>
          <w:rFonts w:ascii="Times New Roman" w:hAnsi="Times New Roman" w:cs="Times New Roman"/>
        </w:rPr>
        <w:t xml:space="preserve">Australian </w:t>
      </w:r>
      <w:r w:rsidR="001F70DD" w:rsidRPr="00B46640">
        <w:rPr>
          <w:rFonts w:ascii="Times New Roman" w:hAnsi="Times New Roman" w:cs="Times New Roman"/>
        </w:rPr>
        <w:t xml:space="preserve">GDP </w:t>
      </w:r>
      <w:r w:rsidR="00C454AE" w:rsidRPr="00B46640">
        <w:rPr>
          <w:rFonts w:ascii="Times New Roman" w:hAnsi="Times New Roman" w:cs="Times New Roman"/>
        </w:rPr>
        <w:t xml:space="preserve">slumped to </w:t>
      </w:r>
      <w:r>
        <w:rPr>
          <w:rFonts w:ascii="Times New Roman" w:hAnsi="Times New Roman" w:cs="Times New Roman"/>
        </w:rPr>
        <w:t>0.6</w:t>
      </w:r>
      <w:r w:rsidR="00C454AE" w:rsidRPr="00B46640">
        <w:rPr>
          <w:rFonts w:ascii="Times New Roman" w:hAnsi="Times New Roman" w:cs="Times New Roman"/>
        </w:rPr>
        <w:t xml:space="preserve"> per cent </w:t>
      </w:r>
      <w:r>
        <w:rPr>
          <w:rFonts w:ascii="Times New Roman" w:hAnsi="Times New Roman" w:cs="Times New Roman"/>
        </w:rPr>
        <w:t xml:space="preserve">in trend terms compared </w:t>
      </w:r>
      <w:r w:rsidR="001F70DD" w:rsidRPr="00B46640">
        <w:rPr>
          <w:rFonts w:ascii="Times New Roman" w:hAnsi="Times New Roman" w:cs="Times New Roman"/>
        </w:rPr>
        <w:t xml:space="preserve">to </w:t>
      </w:r>
      <w:r>
        <w:rPr>
          <w:rFonts w:ascii="Times New Roman" w:hAnsi="Times New Roman" w:cs="Times New Roman"/>
        </w:rPr>
        <w:t>0.8</w:t>
      </w:r>
      <w:r w:rsidR="001F70DD" w:rsidRPr="00B46640">
        <w:rPr>
          <w:rFonts w:ascii="Times New Roman" w:hAnsi="Times New Roman" w:cs="Times New Roman"/>
        </w:rPr>
        <w:t xml:space="preserve"> per cent in </w:t>
      </w:r>
      <w:r>
        <w:rPr>
          <w:rFonts w:ascii="Times New Roman" w:hAnsi="Times New Roman" w:cs="Times New Roman"/>
        </w:rPr>
        <w:t xml:space="preserve">each of the previous three quarters. </w:t>
      </w:r>
      <w:r w:rsidR="00C454AE" w:rsidRPr="00B46640">
        <w:rPr>
          <w:rFonts w:ascii="Times New Roman" w:hAnsi="Times New Roman" w:cs="Times New Roman"/>
        </w:rPr>
        <w:t>Falling home construction was a contributor to the outcome.</w:t>
      </w:r>
    </w:p>
    <w:p w14:paraId="3C3FCDBC" w14:textId="77777777" w:rsidR="00787D9D" w:rsidRDefault="00D27CC1" w:rsidP="00787D9D">
      <w:pPr>
        <w:rPr>
          <w:rFonts w:ascii="Times New Roman" w:hAnsi="Times New Roman" w:cs="Times New Roman"/>
        </w:rPr>
      </w:pPr>
      <w:r w:rsidRPr="00B46640">
        <w:rPr>
          <w:rFonts w:ascii="Times New Roman" w:hAnsi="Times New Roman" w:cs="Times New Roman"/>
        </w:rPr>
        <w:t>A</w:t>
      </w:r>
      <w:r w:rsidR="00B77B1A" w:rsidRPr="00B46640">
        <w:rPr>
          <w:rFonts w:ascii="Times New Roman" w:hAnsi="Times New Roman" w:cs="Times New Roman"/>
        </w:rPr>
        <w:t>ccording to the</w:t>
      </w:r>
      <w:r w:rsidR="00796B43" w:rsidRPr="00B46640">
        <w:rPr>
          <w:rFonts w:ascii="Times New Roman" w:hAnsi="Times New Roman" w:cs="Times New Roman"/>
        </w:rPr>
        <w:t xml:space="preserve"> </w:t>
      </w:r>
      <w:r w:rsidR="00440079" w:rsidRPr="00B46640">
        <w:rPr>
          <w:rFonts w:ascii="Times New Roman" w:hAnsi="Times New Roman" w:cs="Times New Roman"/>
        </w:rPr>
        <w:t xml:space="preserve">World </w:t>
      </w:r>
      <w:r w:rsidR="00796B43" w:rsidRPr="00B46640">
        <w:rPr>
          <w:rFonts w:ascii="Times New Roman" w:hAnsi="Times New Roman" w:cs="Times New Roman"/>
        </w:rPr>
        <w:t xml:space="preserve">Economic Outlook presented by the </w:t>
      </w:r>
      <w:r w:rsidR="00B77B1A" w:rsidRPr="00B46640">
        <w:rPr>
          <w:rFonts w:ascii="Times New Roman" w:hAnsi="Times New Roman" w:cs="Times New Roman"/>
        </w:rPr>
        <w:t>International Monetary Fund (IMF)</w:t>
      </w:r>
      <w:r w:rsidR="00796B43" w:rsidRPr="00B46640">
        <w:rPr>
          <w:rFonts w:ascii="Times New Roman" w:hAnsi="Times New Roman" w:cs="Times New Roman"/>
        </w:rPr>
        <w:t xml:space="preserve"> in </w:t>
      </w:r>
      <w:r w:rsidRPr="00B46640">
        <w:rPr>
          <w:rFonts w:ascii="Times New Roman" w:hAnsi="Times New Roman" w:cs="Times New Roman"/>
        </w:rPr>
        <w:t xml:space="preserve">October </w:t>
      </w:r>
      <w:r w:rsidR="009363FF" w:rsidRPr="00B46640">
        <w:rPr>
          <w:rFonts w:ascii="Times New Roman" w:hAnsi="Times New Roman" w:cs="Times New Roman"/>
        </w:rPr>
        <w:t>201</w:t>
      </w:r>
      <w:r w:rsidR="00787D9D">
        <w:rPr>
          <w:rFonts w:ascii="Times New Roman" w:hAnsi="Times New Roman" w:cs="Times New Roman"/>
        </w:rPr>
        <w:t>8 said</w:t>
      </w:r>
      <w:r w:rsidRPr="00B46640">
        <w:rPr>
          <w:rFonts w:ascii="Times New Roman" w:hAnsi="Times New Roman" w:cs="Times New Roman"/>
        </w:rPr>
        <w:t xml:space="preserve">, </w:t>
      </w:r>
      <w:r w:rsidR="00F34414" w:rsidRPr="00B46640">
        <w:rPr>
          <w:rFonts w:ascii="Times New Roman" w:hAnsi="Times New Roman" w:cs="Times New Roman"/>
        </w:rPr>
        <w:t>“</w:t>
      </w:r>
      <w:proofErr w:type="gramStart"/>
      <w:r w:rsidR="00787D9D">
        <w:rPr>
          <w:rFonts w:ascii="Times New Roman" w:hAnsi="Times New Roman" w:cs="Times New Roman"/>
        </w:rPr>
        <w:t>t</w:t>
      </w:r>
      <w:r w:rsidR="00787D9D" w:rsidRPr="00787D9D">
        <w:rPr>
          <w:rFonts w:ascii="Times New Roman" w:hAnsi="Times New Roman" w:cs="Times New Roman"/>
        </w:rPr>
        <w:t>he</w:t>
      </w:r>
      <w:proofErr w:type="gramEnd"/>
      <w:r w:rsidR="00787D9D" w:rsidRPr="00787D9D">
        <w:rPr>
          <w:rFonts w:ascii="Times New Roman" w:hAnsi="Times New Roman" w:cs="Times New Roman"/>
        </w:rPr>
        <w:t xml:space="preserve"> steady expansion under way since mid-2016</w:t>
      </w:r>
      <w:r w:rsidR="00787D9D">
        <w:rPr>
          <w:rFonts w:ascii="Times New Roman" w:hAnsi="Times New Roman" w:cs="Times New Roman"/>
        </w:rPr>
        <w:t xml:space="preserve"> </w:t>
      </w:r>
      <w:r w:rsidR="00787D9D" w:rsidRPr="00787D9D">
        <w:rPr>
          <w:rFonts w:ascii="Times New Roman" w:hAnsi="Times New Roman" w:cs="Times New Roman"/>
        </w:rPr>
        <w:t>continues, with global growth for 2018–19 projected</w:t>
      </w:r>
      <w:r w:rsidR="00787D9D">
        <w:rPr>
          <w:rFonts w:ascii="Times New Roman" w:hAnsi="Times New Roman" w:cs="Times New Roman"/>
        </w:rPr>
        <w:t xml:space="preserve"> </w:t>
      </w:r>
      <w:r w:rsidR="00787D9D" w:rsidRPr="00787D9D">
        <w:rPr>
          <w:rFonts w:ascii="Times New Roman" w:hAnsi="Times New Roman" w:cs="Times New Roman"/>
        </w:rPr>
        <w:t>to remain at its 2017 level. At the same time, however,</w:t>
      </w:r>
      <w:r w:rsidR="00787D9D">
        <w:rPr>
          <w:rFonts w:ascii="Times New Roman" w:hAnsi="Times New Roman" w:cs="Times New Roman"/>
        </w:rPr>
        <w:t xml:space="preserve"> </w:t>
      </w:r>
      <w:r w:rsidR="00787D9D" w:rsidRPr="00787D9D">
        <w:rPr>
          <w:rFonts w:ascii="Times New Roman" w:hAnsi="Times New Roman" w:cs="Times New Roman"/>
        </w:rPr>
        <w:t>the expansion has become less balanced and may have</w:t>
      </w:r>
      <w:r w:rsidR="00787D9D">
        <w:rPr>
          <w:rFonts w:ascii="Times New Roman" w:hAnsi="Times New Roman" w:cs="Times New Roman"/>
        </w:rPr>
        <w:t xml:space="preserve"> </w:t>
      </w:r>
      <w:r w:rsidR="00787D9D" w:rsidRPr="00787D9D">
        <w:rPr>
          <w:rFonts w:ascii="Times New Roman" w:hAnsi="Times New Roman" w:cs="Times New Roman"/>
        </w:rPr>
        <w:t>peaked in some major economies. Downside risks to</w:t>
      </w:r>
      <w:r w:rsidR="00787D9D">
        <w:rPr>
          <w:rFonts w:ascii="Times New Roman" w:hAnsi="Times New Roman" w:cs="Times New Roman"/>
        </w:rPr>
        <w:t xml:space="preserve"> </w:t>
      </w:r>
      <w:r w:rsidR="00787D9D" w:rsidRPr="00787D9D">
        <w:rPr>
          <w:rFonts w:ascii="Times New Roman" w:hAnsi="Times New Roman" w:cs="Times New Roman"/>
        </w:rPr>
        <w:t>global growth have risen in the past six months and the</w:t>
      </w:r>
      <w:r w:rsidR="00787D9D">
        <w:rPr>
          <w:rFonts w:ascii="Times New Roman" w:hAnsi="Times New Roman" w:cs="Times New Roman"/>
        </w:rPr>
        <w:t xml:space="preserve"> </w:t>
      </w:r>
      <w:r w:rsidR="00787D9D" w:rsidRPr="00787D9D">
        <w:rPr>
          <w:rFonts w:ascii="Times New Roman" w:hAnsi="Times New Roman" w:cs="Times New Roman"/>
        </w:rPr>
        <w:t>potential for upside surprises has receded.</w:t>
      </w:r>
      <w:r w:rsidR="00787D9D">
        <w:rPr>
          <w:rFonts w:ascii="Times New Roman" w:hAnsi="Times New Roman" w:cs="Times New Roman"/>
        </w:rPr>
        <w:t xml:space="preserve"> </w:t>
      </w:r>
      <w:r w:rsidR="00787D9D" w:rsidRPr="00787D9D">
        <w:rPr>
          <w:rFonts w:ascii="Times New Roman" w:hAnsi="Times New Roman" w:cs="Times New Roman"/>
        </w:rPr>
        <w:t>Global growth is projected at 3.7 percent for 2018</w:t>
      </w:r>
      <w:r w:rsidR="00787D9D">
        <w:rPr>
          <w:rFonts w:ascii="Times New Roman" w:hAnsi="Times New Roman" w:cs="Times New Roman"/>
        </w:rPr>
        <w:t>/</w:t>
      </w:r>
      <w:r w:rsidR="00787D9D" w:rsidRPr="00787D9D">
        <w:rPr>
          <w:rFonts w:ascii="Times New Roman" w:hAnsi="Times New Roman" w:cs="Times New Roman"/>
        </w:rPr>
        <w:t>19</w:t>
      </w:r>
      <w:r w:rsidR="00787D9D">
        <w:rPr>
          <w:rFonts w:ascii="Times New Roman" w:hAnsi="Times New Roman" w:cs="Times New Roman"/>
        </w:rPr>
        <w:t xml:space="preserve"> </w:t>
      </w:r>
      <w:r w:rsidR="00787D9D" w:rsidRPr="00787D9D">
        <w:rPr>
          <w:rFonts w:ascii="Times New Roman" w:hAnsi="Times New Roman" w:cs="Times New Roman"/>
        </w:rPr>
        <w:t>—0.2 percentage point</w:t>
      </w:r>
      <w:r w:rsidR="00787D9D">
        <w:rPr>
          <w:rFonts w:ascii="Times New Roman" w:hAnsi="Times New Roman" w:cs="Times New Roman"/>
        </w:rPr>
        <w:t>s</w:t>
      </w:r>
      <w:r w:rsidR="00787D9D" w:rsidRPr="00787D9D">
        <w:rPr>
          <w:rFonts w:ascii="Times New Roman" w:hAnsi="Times New Roman" w:cs="Times New Roman"/>
        </w:rPr>
        <w:t xml:space="preserve"> lower for both years</w:t>
      </w:r>
      <w:r w:rsidR="00787D9D">
        <w:rPr>
          <w:rFonts w:ascii="Times New Roman" w:hAnsi="Times New Roman" w:cs="Times New Roman"/>
        </w:rPr>
        <w:t xml:space="preserve"> than forecast in April 2018”.</w:t>
      </w:r>
    </w:p>
    <w:p w14:paraId="76C48906" w14:textId="77777777" w:rsidR="00D350EE" w:rsidRPr="00D350EE" w:rsidRDefault="00B25ED3" w:rsidP="00D350EE">
      <w:pPr>
        <w:rPr>
          <w:rFonts w:ascii="Times New Roman" w:hAnsi="Times New Roman" w:cs="Times New Roman"/>
        </w:rPr>
      </w:pPr>
      <w:r w:rsidRPr="00B46640">
        <w:rPr>
          <w:rFonts w:ascii="Times New Roman" w:hAnsi="Times New Roman" w:cs="Times New Roman"/>
        </w:rPr>
        <w:t>In</w:t>
      </w:r>
      <w:r w:rsidR="007119AC" w:rsidRPr="00B46640">
        <w:rPr>
          <w:rFonts w:ascii="Times New Roman" w:hAnsi="Times New Roman" w:cs="Times New Roman"/>
        </w:rPr>
        <w:t xml:space="preserve"> the</w:t>
      </w:r>
      <w:r w:rsidRPr="00B46640">
        <w:rPr>
          <w:rFonts w:ascii="Times New Roman" w:hAnsi="Times New Roman" w:cs="Times New Roman"/>
        </w:rPr>
        <w:t xml:space="preserve"> </w:t>
      </w:r>
      <w:r w:rsidR="001A4A58" w:rsidRPr="00B46640">
        <w:rPr>
          <w:rFonts w:ascii="Times New Roman" w:hAnsi="Times New Roman" w:cs="Times New Roman"/>
        </w:rPr>
        <w:t xml:space="preserve">Mid-Year Economic and Fiscal Outlook </w:t>
      </w:r>
      <w:r w:rsidRPr="00B46640">
        <w:rPr>
          <w:rFonts w:ascii="Times New Roman" w:hAnsi="Times New Roman" w:cs="Times New Roman"/>
        </w:rPr>
        <w:t>released</w:t>
      </w:r>
      <w:r w:rsidR="002E568F" w:rsidRPr="00B46640">
        <w:rPr>
          <w:rFonts w:ascii="Times New Roman" w:hAnsi="Times New Roman" w:cs="Times New Roman"/>
        </w:rPr>
        <w:t xml:space="preserve"> by Treasury </w:t>
      </w:r>
      <w:r w:rsidR="001A4A58" w:rsidRPr="00B46640">
        <w:rPr>
          <w:rFonts w:ascii="Times New Roman" w:hAnsi="Times New Roman" w:cs="Times New Roman"/>
        </w:rPr>
        <w:t xml:space="preserve">in </w:t>
      </w:r>
      <w:r w:rsidRPr="00B46640">
        <w:rPr>
          <w:rFonts w:ascii="Times New Roman" w:hAnsi="Times New Roman" w:cs="Times New Roman"/>
        </w:rPr>
        <w:t>late 201</w:t>
      </w:r>
      <w:r w:rsidR="00787D9D">
        <w:rPr>
          <w:rFonts w:ascii="Times New Roman" w:hAnsi="Times New Roman" w:cs="Times New Roman"/>
        </w:rPr>
        <w:t>8</w:t>
      </w:r>
      <w:r w:rsidR="005B0A61" w:rsidRPr="00B46640">
        <w:rPr>
          <w:rFonts w:ascii="Times New Roman" w:hAnsi="Times New Roman" w:cs="Times New Roman"/>
        </w:rPr>
        <w:t>,</w:t>
      </w:r>
      <w:r w:rsidRPr="00B46640">
        <w:rPr>
          <w:rFonts w:ascii="Times New Roman" w:hAnsi="Times New Roman" w:cs="Times New Roman"/>
        </w:rPr>
        <w:t xml:space="preserve"> </w:t>
      </w:r>
      <w:r w:rsidR="00D350EE" w:rsidRPr="00B46640">
        <w:rPr>
          <w:rFonts w:ascii="Times New Roman" w:hAnsi="Times New Roman" w:cs="Times New Roman"/>
        </w:rPr>
        <w:t>real GDP is forecast to grow by</w:t>
      </w:r>
      <w:r w:rsidR="00D350EE">
        <w:rPr>
          <w:rFonts w:ascii="Times New Roman" w:hAnsi="Times New Roman" w:cs="Times New Roman"/>
        </w:rPr>
        <w:t xml:space="preserve"> </w:t>
      </w:r>
      <w:r w:rsidR="00D350EE" w:rsidRPr="00D350EE">
        <w:rPr>
          <w:rFonts w:ascii="Times New Roman" w:hAnsi="Times New Roman" w:cs="Times New Roman"/>
        </w:rPr>
        <w:t>3 per cent in fiscal 2020, down from the originally forecast 3.25 per cent.</w:t>
      </w:r>
      <w:r w:rsidR="00D350EE">
        <w:rPr>
          <w:rFonts w:ascii="Times New Roman" w:hAnsi="Times New Roman" w:cs="Times New Roman"/>
        </w:rPr>
        <w:t xml:space="preserve"> </w:t>
      </w:r>
      <w:r w:rsidR="00D350EE" w:rsidRPr="00D350EE">
        <w:rPr>
          <w:rFonts w:ascii="Times New Roman" w:hAnsi="Times New Roman" w:cs="Times New Roman"/>
        </w:rPr>
        <w:t>The update forecast</w:t>
      </w:r>
      <w:r w:rsidR="00D350EE">
        <w:rPr>
          <w:rFonts w:ascii="Times New Roman" w:hAnsi="Times New Roman" w:cs="Times New Roman"/>
        </w:rPr>
        <w:t>s</w:t>
      </w:r>
      <w:r w:rsidR="00D350EE" w:rsidRPr="00D350EE">
        <w:rPr>
          <w:rFonts w:ascii="Times New Roman" w:hAnsi="Times New Roman" w:cs="Times New Roman"/>
        </w:rPr>
        <w:t xml:space="preserve"> wages to grow at a slower rate than first thought </w:t>
      </w:r>
      <w:r w:rsidR="00D350EE">
        <w:rPr>
          <w:rFonts w:ascii="Times New Roman" w:hAnsi="Times New Roman" w:cs="Times New Roman"/>
        </w:rPr>
        <w:t xml:space="preserve">- </w:t>
      </w:r>
      <w:r w:rsidR="00D350EE" w:rsidRPr="00D350EE">
        <w:rPr>
          <w:rFonts w:ascii="Times New Roman" w:hAnsi="Times New Roman" w:cs="Times New Roman"/>
        </w:rPr>
        <w:t xml:space="preserve">2.5 per cent in fiscal 2019, down from the 2.75 per cent forecast in the May budget </w:t>
      </w:r>
      <w:r w:rsidR="00D350EE">
        <w:rPr>
          <w:rFonts w:ascii="Times New Roman" w:hAnsi="Times New Roman" w:cs="Times New Roman"/>
        </w:rPr>
        <w:t xml:space="preserve">- </w:t>
      </w:r>
      <w:r w:rsidR="00D350EE" w:rsidRPr="00D350EE">
        <w:rPr>
          <w:rFonts w:ascii="Times New Roman" w:hAnsi="Times New Roman" w:cs="Times New Roman"/>
        </w:rPr>
        <w:t>and likely to slow consumption</w:t>
      </w:r>
      <w:r w:rsidR="00D350EE">
        <w:rPr>
          <w:rFonts w:ascii="Times New Roman" w:hAnsi="Times New Roman" w:cs="Times New Roman"/>
        </w:rPr>
        <w:t>.</w:t>
      </w:r>
      <w:r w:rsidR="00D350EE" w:rsidRPr="00D350EE">
        <w:rPr>
          <w:rFonts w:ascii="Times New Roman" w:hAnsi="Times New Roman" w:cs="Times New Roman"/>
        </w:rPr>
        <w:t xml:space="preserve"> </w:t>
      </w:r>
    </w:p>
    <w:p w14:paraId="6CC9A250" w14:textId="77777777" w:rsidR="00305FEA" w:rsidRPr="00F62B03" w:rsidRDefault="00B77B1A" w:rsidP="00F62B03">
      <w:pPr>
        <w:rPr>
          <w:rFonts w:ascii="Times New Roman" w:hAnsi="Times New Roman" w:cs="Times New Roman"/>
        </w:rPr>
      </w:pPr>
      <w:r w:rsidRPr="00F62B03">
        <w:rPr>
          <w:rFonts w:ascii="Times New Roman" w:hAnsi="Times New Roman" w:cs="Times New Roman"/>
        </w:rPr>
        <w:t>For a number of years</w:t>
      </w:r>
      <w:r w:rsidR="00505B93" w:rsidRPr="00F62B03">
        <w:rPr>
          <w:rFonts w:ascii="Times New Roman" w:hAnsi="Times New Roman" w:cs="Times New Roman"/>
        </w:rPr>
        <w:t xml:space="preserve"> now, as Australia’s economy transition</w:t>
      </w:r>
      <w:r w:rsidR="002E568F">
        <w:rPr>
          <w:rFonts w:ascii="Times New Roman" w:hAnsi="Times New Roman" w:cs="Times New Roman"/>
        </w:rPr>
        <w:t>s</w:t>
      </w:r>
      <w:r w:rsidR="00505B93" w:rsidRPr="00F62B03">
        <w:rPr>
          <w:rFonts w:ascii="Times New Roman" w:hAnsi="Times New Roman" w:cs="Times New Roman"/>
        </w:rPr>
        <w:t xml:space="preserve"> from resource investment to other drivers of growth and economic activity</w:t>
      </w:r>
      <w:r w:rsidRPr="00F62B03">
        <w:rPr>
          <w:rFonts w:ascii="Times New Roman" w:hAnsi="Times New Roman" w:cs="Times New Roman"/>
        </w:rPr>
        <w:t xml:space="preserve">, </w:t>
      </w:r>
      <w:r w:rsidR="00440079" w:rsidRPr="00F62B03">
        <w:rPr>
          <w:rFonts w:ascii="Times New Roman" w:hAnsi="Times New Roman" w:cs="Times New Roman"/>
        </w:rPr>
        <w:t>significant differences in economic performance across industries and regions have</w:t>
      </w:r>
      <w:r w:rsidRPr="00F62B03">
        <w:rPr>
          <w:rFonts w:ascii="Times New Roman" w:hAnsi="Times New Roman" w:cs="Times New Roman"/>
        </w:rPr>
        <w:t xml:space="preserve"> been a distinctive feature of the economy.</w:t>
      </w:r>
      <w:r w:rsidR="00262573" w:rsidRPr="00F62B03">
        <w:rPr>
          <w:rFonts w:ascii="Times New Roman" w:hAnsi="Times New Roman" w:cs="Times New Roman"/>
        </w:rPr>
        <w:t xml:space="preserve"> </w:t>
      </w:r>
      <w:r w:rsidR="00305FEA" w:rsidRPr="00F62B03">
        <w:rPr>
          <w:rFonts w:ascii="Times New Roman" w:hAnsi="Times New Roman" w:cs="Times New Roman"/>
        </w:rPr>
        <w:t xml:space="preserve">Whilst it </w:t>
      </w:r>
      <w:r w:rsidR="00A37A9A">
        <w:rPr>
          <w:rFonts w:ascii="Times New Roman" w:hAnsi="Times New Roman" w:cs="Times New Roman"/>
        </w:rPr>
        <w:t>has been</w:t>
      </w:r>
      <w:r w:rsidR="00305FEA" w:rsidRPr="00F62B03">
        <w:rPr>
          <w:rFonts w:ascii="Times New Roman" w:hAnsi="Times New Roman" w:cs="Times New Roman"/>
        </w:rPr>
        <w:t xml:space="preserve"> expected that </w:t>
      </w:r>
      <w:r w:rsidR="00305FEA" w:rsidRPr="00F62B03">
        <w:rPr>
          <w:rFonts w:ascii="Times New Roman" w:hAnsi="Times New Roman" w:cs="Times New Roman"/>
        </w:rPr>
        <w:lastRenderedPageBreak/>
        <w:t>the weakening Australian dollar w</w:t>
      </w:r>
      <w:r w:rsidR="00A37A9A">
        <w:rPr>
          <w:rFonts w:ascii="Times New Roman" w:hAnsi="Times New Roman" w:cs="Times New Roman"/>
        </w:rPr>
        <w:t xml:space="preserve">ould </w:t>
      </w:r>
      <w:r w:rsidR="00305FEA" w:rsidRPr="00F62B03">
        <w:rPr>
          <w:rFonts w:ascii="Times New Roman" w:hAnsi="Times New Roman" w:cs="Times New Roman"/>
        </w:rPr>
        <w:t xml:space="preserve">provide a much needed stimulus to a number of sectors the </w:t>
      </w:r>
      <w:r w:rsidR="00A37A9A">
        <w:rPr>
          <w:rFonts w:ascii="Times New Roman" w:hAnsi="Times New Roman" w:cs="Times New Roman"/>
        </w:rPr>
        <w:t xml:space="preserve">full </w:t>
      </w:r>
      <w:r w:rsidR="00305FEA" w:rsidRPr="00F62B03">
        <w:rPr>
          <w:rFonts w:ascii="Times New Roman" w:hAnsi="Times New Roman" w:cs="Times New Roman"/>
        </w:rPr>
        <w:t>impact of t</w:t>
      </w:r>
      <w:r w:rsidR="00832A63" w:rsidRPr="00F62B03">
        <w:rPr>
          <w:rFonts w:ascii="Times New Roman" w:hAnsi="Times New Roman" w:cs="Times New Roman"/>
        </w:rPr>
        <w:t>h</w:t>
      </w:r>
      <w:r w:rsidR="00305FEA" w:rsidRPr="00F62B03">
        <w:rPr>
          <w:rFonts w:ascii="Times New Roman" w:hAnsi="Times New Roman" w:cs="Times New Roman"/>
        </w:rPr>
        <w:t>is is still some time away.</w:t>
      </w:r>
    </w:p>
    <w:p w14:paraId="0E64CFED" w14:textId="77777777" w:rsidR="00DA6F17" w:rsidRPr="00F62B03" w:rsidRDefault="00305FEA" w:rsidP="00F62B03">
      <w:pPr>
        <w:rPr>
          <w:rFonts w:ascii="Times New Roman" w:hAnsi="Times New Roman" w:cs="Times New Roman"/>
        </w:rPr>
      </w:pPr>
      <w:r w:rsidRPr="00F62B03">
        <w:rPr>
          <w:rFonts w:ascii="Times New Roman" w:hAnsi="Times New Roman" w:cs="Times New Roman"/>
        </w:rPr>
        <w:t>Importantly,</w:t>
      </w:r>
      <w:r w:rsidR="00262573" w:rsidRPr="00F62B03">
        <w:rPr>
          <w:rFonts w:ascii="Times New Roman" w:hAnsi="Times New Roman" w:cs="Times New Roman"/>
        </w:rPr>
        <w:t xml:space="preserve"> dwelling investment </w:t>
      </w:r>
      <w:r w:rsidRPr="00F62B03">
        <w:rPr>
          <w:rFonts w:ascii="Times New Roman" w:hAnsi="Times New Roman" w:cs="Times New Roman"/>
        </w:rPr>
        <w:t xml:space="preserve">supported by historically low interest rates has </w:t>
      </w:r>
      <w:r w:rsidR="006D42AA" w:rsidRPr="00F62B03">
        <w:rPr>
          <w:rFonts w:ascii="Times New Roman" w:hAnsi="Times New Roman" w:cs="Times New Roman"/>
        </w:rPr>
        <w:t xml:space="preserve">been </w:t>
      </w:r>
      <w:r w:rsidR="00505B93" w:rsidRPr="00F62B03">
        <w:rPr>
          <w:rFonts w:ascii="Times New Roman" w:hAnsi="Times New Roman" w:cs="Times New Roman"/>
        </w:rPr>
        <w:t xml:space="preserve">a significant </w:t>
      </w:r>
      <w:r w:rsidR="00262573" w:rsidRPr="00F62B03">
        <w:rPr>
          <w:rFonts w:ascii="Times New Roman" w:hAnsi="Times New Roman" w:cs="Times New Roman"/>
        </w:rPr>
        <w:t xml:space="preserve">contributor to growth </w:t>
      </w:r>
      <w:r w:rsidRPr="00F62B03">
        <w:rPr>
          <w:rFonts w:ascii="Times New Roman" w:hAnsi="Times New Roman" w:cs="Times New Roman"/>
        </w:rPr>
        <w:t xml:space="preserve">in </w:t>
      </w:r>
      <w:r w:rsidR="00262573" w:rsidRPr="00F62B03">
        <w:rPr>
          <w:rFonts w:ascii="Times New Roman" w:hAnsi="Times New Roman" w:cs="Times New Roman"/>
        </w:rPr>
        <w:t>the Australian economy</w:t>
      </w:r>
      <w:r w:rsidR="00714581" w:rsidRPr="00F62B03">
        <w:rPr>
          <w:rFonts w:ascii="Times New Roman" w:hAnsi="Times New Roman" w:cs="Times New Roman"/>
        </w:rPr>
        <w:t xml:space="preserve"> </w:t>
      </w:r>
      <w:r w:rsidR="00505B93" w:rsidRPr="00F62B03">
        <w:rPr>
          <w:rFonts w:ascii="Times New Roman" w:hAnsi="Times New Roman" w:cs="Times New Roman"/>
        </w:rPr>
        <w:t>since</w:t>
      </w:r>
      <w:r w:rsidR="00714581" w:rsidRPr="00F62B03">
        <w:rPr>
          <w:rFonts w:ascii="Times New Roman" w:hAnsi="Times New Roman" w:cs="Times New Roman"/>
        </w:rPr>
        <w:t xml:space="preserve"> 2013</w:t>
      </w:r>
      <w:r w:rsidR="00503258">
        <w:rPr>
          <w:rFonts w:ascii="Times New Roman" w:hAnsi="Times New Roman" w:cs="Times New Roman"/>
        </w:rPr>
        <w:t>/</w:t>
      </w:r>
      <w:r w:rsidR="00714581" w:rsidRPr="00F62B03">
        <w:rPr>
          <w:rFonts w:ascii="Times New Roman" w:hAnsi="Times New Roman" w:cs="Times New Roman"/>
        </w:rPr>
        <w:t>14</w:t>
      </w:r>
      <w:r w:rsidR="00262573" w:rsidRPr="00F62B03">
        <w:rPr>
          <w:rFonts w:ascii="Times New Roman" w:hAnsi="Times New Roman" w:cs="Times New Roman"/>
        </w:rPr>
        <w:t xml:space="preserve">. </w:t>
      </w:r>
      <w:r w:rsidRPr="00F62B03">
        <w:rPr>
          <w:rFonts w:ascii="Times New Roman" w:hAnsi="Times New Roman" w:cs="Times New Roman"/>
        </w:rPr>
        <w:t>Au</w:t>
      </w:r>
      <w:r w:rsidR="00DA6F17" w:rsidRPr="00F62B03">
        <w:rPr>
          <w:rFonts w:ascii="Times New Roman" w:hAnsi="Times New Roman" w:cs="Times New Roman"/>
        </w:rPr>
        <w:t xml:space="preserve">stralia’s property industry </w:t>
      </w:r>
      <w:r w:rsidR="002E568F">
        <w:rPr>
          <w:rFonts w:ascii="Times New Roman" w:hAnsi="Times New Roman" w:cs="Times New Roman"/>
        </w:rPr>
        <w:t xml:space="preserve">has been a </w:t>
      </w:r>
      <w:r w:rsidR="00DA6F17" w:rsidRPr="00F62B03">
        <w:rPr>
          <w:rFonts w:ascii="Times New Roman" w:hAnsi="Times New Roman" w:cs="Times New Roman"/>
        </w:rPr>
        <w:t>main driver of economic growth and increased employment in the transition away from a decade-long reliance on mining.</w:t>
      </w:r>
    </w:p>
    <w:p w14:paraId="4C896A20" w14:textId="77777777" w:rsidR="0031074C" w:rsidRPr="00F62B03" w:rsidRDefault="0031074C" w:rsidP="00F62B03">
      <w:pPr>
        <w:rPr>
          <w:rFonts w:ascii="Times New Roman" w:hAnsi="Times New Roman" w:cs="Times New Roman"/>
        </w:rPr>
      </w:pPr>
      <w:r w:rsidRPr="00F62B03">
        <w:rPr>
          <w:rFonts w:ascii="Times New Roman" w:hAnsi="Times New Roman" w:cs="Times New Roman"/>
        </w:rPr>
        <w:t>Providing a stimulus to economic activity outside the mining sector, including the housing and building sectors, was amongst the main reasons for the RBA to keep the official cash rate at record low levels since August 2013.</w:t>
      </w:r>
    </w:p>
    <w:p w14:paraId="4EB91BD9" w14:textId="77777777" w:rsidR="00D350EE" w:rsidRDefault="008A455B" w:rsidP="00F62B03">
      <w:pPr>
        <w:rPr>
          <w:rFonts w:ascii="Times New Roman" w:hAnsi="Times New Roman" w:cs="Times New Roman"/>
        </w:rPr>
      </w:pPr>
      <w:r w:rsidRPr="00F62B03">
        <w:rPr>
          <w:rFonts w:ascii="Times New Roman" w:hAnsi="Times New Roman" w:cs="Times New Roman"/>
        </w:rPr>
        <w:t>New home building has been a crucial support to economic growth over the past t</w:t>
      </w:r>
      <w:r w:rsidR="00A37A9A">
        <w:rPr>
          <w:rFonts w:ascii="Times New Roman" w:hAnsi="Times New Roman" w:cs="Times New Roman"/>
        </w:rPr>
        <w:t>hree</w:t>
      </w:r>
      <w:r w:rsidRPr="00F62B03">
        <w:rPr>
          <w:rFonts w:ascii="Times New Roman" w:hAnsi="Times New Roman" w:cs="Times New Roman"/>
        </w:rPr>
        <w:t xml:space="preserve"> years</w:t>
      </w:r>
      <w:r w:rsidR="0031074C" w:rsidRPr="00F62B03">
        <w:rPr>
          <w:rFonts w:ascii="Times New Roman" w:hAnsi="Times New Roman" w:cs="Times New Roman"/>
        </w:rPr>
        <w:t xml:space="preserve">. </w:t>
      </w:r>
      <w:r w:rsidR="006F0B4A">
        <w:rPr>
          <w:rFonts w:ascii="Times New Roman" w:hAnsi="Times New Roman" w:cs="Times New Roman"/>
        </w:rPr>
        <w:t>This however is now on the wane.</w:t>
      </w:r>
    </w:p>
    <w:p w14:paraId="2E6E45F3" w14:textId="77777777" w:rsidR="006F0B4A" w:rsidRDefault="00276DC2" w:rsidP="006F0B4A">
      <w:pPr>
        <w:rPr>
          <w:rFonts w:ascii="Times New Roman" w:hAnsi="Times New Roman" w:cs="Times New Roman"/>
        </w:rPr>
      </w:pPr>
      <w:r>
        <w:rPr>
          <w:rFonts w:ascii="Times New Roman" w:hAnsi="Times New Roman" w:cs="Times New Roman"/>
        </w:rPr>
        <w:t xml:space="preserve">APRA </w:t>
      </w:r>
      <w:r w:rsidR="006F0B4A" w:rsidRPr="006F0B4A">
        <w:rPr>
          <w:rFonts w:ascii="Times New Roman" w:hAnsi="Times New Roman" w:cs="Times New Roman"/>
        </w:rPr>
        <w:t xml:space="preserve">credit restrictions, the Banking Royal Commission, difficulties borrowing against self-managed super funds (SMSFs), less foreign investors and fears of changes to negative gearing and capital gains tax </w:t>
      </w:r>
      <w:r>
        <w:rPr>
          <w:rFonts w:ascii="Times New Roman" w:hAnsi="Times New Roman" w:cs="Times New Roman"/>
        </w:rPr>
        <w:t xml:space="preserve">following </w:t>
      </w:r>
      <w:r w:rsidR="006F0B4A" w:rsidRPr="006F0B4A">
        <w:rPr>
          <w:rFonts w:ascii="Times New Roman" w:hAnsi="Times New Roman" w:cs="Times New Roman"/>
        </w:rPr>
        <w:t xml:space="preserve">the next Federal election </w:t>
      </w:r>
      <w:r w:rsidR="00F45C2F">
        <w:rPr>
          <w:rFonts w:ascii="Times New Roman" w:hAnsi="Times New Roman" w:cs="Times New Roman"/>
        </w:rPr>
        <w:t>are</w:t>
      </w:r>
      <w:r w:rsidR="006F0B4A" w:rsidRPr="006F0B4A">
        <w:rPr>
          <w:rFonts w:ascii="Times New Roman" w:hAnsi="Times New Roman" w:cs="Times New Roman"/>
        </w:rPr>
        <w:t xml:space="preserve"> having a major impact on the property market</w:t>
      </w:r>
      <w:r w:rsidR="00F45C2F">
        <w:rPr>
          <w:rFonts w:ascii="Times New Roman" w:hAnsi="Times New Roman" w:cs="Times New Roman"/>
        </w:rPr>
        <w:t xml:space="preserve"> which in turn impacts on building activity and economic growth.</w:t>
      </w:r>
    </w:p>
    <w:p w14:paraId="577E4741" w14:textId="77777777" w:rsidR="00F45C2F" w:rsidRDefault="00F45C2F" w:rsidP="00F45C2F">
      <w:pPr>
        <w:rPr>
          <w:rFonts w:ascii="Times New Roman" w:hAnsi="Times New Roman" w:cs="Times New Roman"/>
        </w:rPr>
      </w:pPr>
      <w:r w:rsidRPr="006F0B4A">
        <w:rPr>
          <w:rFonts w:ascii="Times New Roman" w:hAnsi="Times New Roman" w:cs="Times New Roman"/>
        </w:rPr>
        <w:t xml:space="preserve">Credit growth across the </w:t>
      </w:r>
      <w:r>
        <w:rPr>
          <w:rFonts w:ascii="Times New Roman" w:hAnsi="Times New Roman" w:cs="Times New Roman"/>
        </w:rPr>
        <w:t xml:space="preserve">housing </w:t>
      </w:r>
      <w:r w:rsidRPr="006F0B4A">
        <w:rPr>
          <w:rFonts w:ascii="Times New Roman" w:hAnsi="Times New Roman" w:cs="Times New Roman"/>
        </w:rPr>
        <w:t>market is the lowest it has been since the 1983 recession</w:t>
      </w:r>
      <w:r>
        <w:rPr>
          <w:rFonts w:ascii="Times New Roman" w:hAnsi="Times New Roman" w:cs="Times New Roman"/>
        </w:rPr>
        <w:t xml:space="preserve"> </w:t>
      </w:r>
      <w:r w:rsidR="00FC25F8">
        <w:rPr>
          <w:rFonts w:ascii="Times New Roman" w:hAnsi="Times New Roman" w:cs="Times New Roman"/>
        </w:rPr>
        <w:t xml:space="preserve">with </w:t>
      </w:r>
      <w:r w:rsidR="00FC25F8" w:rsidRPr="006F0B4A">
        <w:rPr>
          <w:rFonts w:ascii="Times New Roman" w:hAnsi="Times New Roman" w:cs="Times New Roman"/>
        </w:rPr>
        <w:t>growth</w:t>
      </w:r>
      <w:r>
        <w:rPr>
          <w:rFonts w:ascii="Times New Roman" w:hAnsi="Times New Roman" w:cs="Times New Roman"/>
        </w:rPr>
        <w:t xml:space="preserve"> in lending </w:t>
      </w:r>
      <w:r w:rsidRPr="006F0B4A">
        <w:rPr>
          <w:rFonts w:ascii="Times New Roman" w:hAnsi="Times New Roman" w:cs="Times New Roman"/>
        </w:rPr>
        <w:t xml:space="preserve">to investors </w:t>
      </w:r>
      <w:r>
        <w:rPr>
          <w:rFonts w:ascii="Times New Roman" w:hAnsi="Times New Roman" w:cs="Times New Roman"/>
        </w:rPr>
        <w:t xml:space="preserve">being </w:t>
      </w:r>
      <w:r w:rsidRPr="006F0B4A">
        <w:rPr>
          <w:rFonts w:ascii="Times New Roman" w:hAnsi="Times New Roman" w:cs="Times New Roman"/>
        </w:rPr>
        <w:t>the lowest on record.</w:t>
      </w:r>
    </w:p>
    <w:p w14:paraId="2280697F" w14:textId="77777777" w:rsidR="00D350EE" w:rsidRDefault="00F45C2F" w:rsidP="00F62B03">
      <w:pPr>
        <w:rPr>
          <w:rFonts w:ascii="Times New Roman" w:hAnsi="Times New Roman" w:cs="Times New Roman"/>
        </w:rPr>
      </w:pPr>
      <w:r>
        <w:rPr>
          <w:rFonts w:ascii="Times New Roman" w:hAnsi="Times New Roman" w:cs="Times New Roman"/>
        </w:rPr>
        <w:t xml:space="preserve">The Council of Financial Regulators at their meeting at the end of 2018 have noted this and </w:t>
      </w:r>
      <w:r w:rsidR="006F0B4A" w:rsidRPr="006F0B4A">
        <w:rPr>
          <w:rFonts w:ascii="Times New Roman" w:hAnsi="Times New Roman" w:cs="Times New Roman"/>
          <w:highlight w:val="yellow"/>
        </w:rPr>
        <w:t xml:space="preserve"> </w:t>
      </w:r>
      <w:r w:rsidR="006F0B4A" w:rsidRPr="00F45C2F">
        <w:rPr>
          <w:rFonts w:ascii="Times New Roman" w:hAnsi="Times New Roman" w:cs="Times New Roman"/>
        </w:rPr>
        <w:t xml:space="preserve">expressed concern that a reduction in bank lending in response to the </w:t>
      </w:r>
      <w:r w:rsidR="00FC25F8">
        <w:rPr>
          <w:rFonts w:ascii="Times New Roman" w:hAnsi="Times New Roman" w:cs="Times New Roman"/>
        </w:rPr>
        <w:t>R</w:t>
      </w:r>
      <w:r w:rsidR="006F0B4A" w:rsidRPr="00F45C2F">
        <w:rPr>
          <w:rFonts w:ascii="Times New Roman" w:hAnsi="Times New Roman" w:cs="Times New Roman"/>
        </w:rPr>
        <w:t xml:space="preserve">oyal </w:t>
      </w:r>
      <w:r w:rsidR="00FC25F8">
        <w:rPr>
          <w:rFonts w:ascii="Times New Roman" w:hAnsi="Times New Roman" w:cs="Times New Roman"/>
        </w:rPr>
        <w:t>C</w:t>
      </w:r>
      <w:r w:rsidR="006F0B4A" w:rsidRPr="00F45C2F">
        <w:rPr>
          <w:rFonts w:ascii="Times New Roman" w:hAnsi="Times New Roman" w:cs="Times New Roman"/>
        </w:rPr>
        <w:t xml:space="preserve">ommission into </w:t>
      </w:r>
      <w:r w:rsidR="00FC25F8">
        <w:rPr>
          <w:rFonts w:ascii="Times New Roman" w:hAnsi="Times New Roman" w:cs="Times New Roman"/>
        </w:rPr>
        <w:t>F</w:t>
      </w:r>
      <w:r w:rsidR="006F0B4A" w:rsidRPr="00F45C2F">
        <w:rPr>
          <w:rFonts w:ascii="Times New Roman" w:hAnsi="Times New Roman" w:cs="Times New Roman"/>
        </w:rPr>
        <w:t xml:space="preserve">inancial </w:t>
      </w:r>
      <w:r w:rsidR="00FC25F8">
        <w:rPr>
          <w:rFonts w:ascii="Times New Roman" w:hAnsi="Times New Roman" w:cs="Times New Roman"/>
        </w:rPr>
        <w:t>S</w:t>
      </w:r>
      <w:r w:rsidR="006F0B4A" w:rsidRPr="00F45C2F">
        <w:rPr>
          <w:rFonts w:ascii="Times New Roman" w:hAnsi="Times New Roman" w:cs="Times New Roman"/>
        </w:rPr>
        <w:t>ervices and tougher regulations will cut the flow of credit required to help the economy grow.</w:t>
      </w:r>
    </w:p>
    <w:p w14:paraId="335C01A8" w14:textId="77777777" w:rsidR="00505B93" w:rsidRPr="00F62B03" w:rsidRDefault="008A455B" w:rsidP="00F62B03">
      <w:pPr>
        <w:rPr>
          <w:rFonts w:ascii="Times New Roman" w:hAnsi="Times New Roman" w:cs="Times New Roman"/>
        </w:rPr>
      </w:pPr>
      <w:r w:rsidRPr="00F62B03">
        <w:rPr>
          <w:rFonts w:ascii="Times New Roman" w:hAnsi="Times New Roman" w:cs="Times New Roman"/>
        </w:rPr>
        <w:t>The challenge during 201</w:t>
      </w:r>
      <w:r w:rsidR="00D350EE">
        <w:rPr>
          <w:rFonts w:ascii="Times New Roman" w:hAnsi="Times New Roman" w:cs="Times New Roman"/>
        </w:rPr>
        <w:t>9</w:t>
      </w:r>
      <w:r w:rsidR="00503258">
        <w:rPr>
          <w:rFonts w:ascii="Times New Roman" w:hAnsi="Times New Roman" w:cs="Times New Roman"/>
        </w:rPr>
        <w:t>/</w:t>
      </w:r>
      <w:r w:rsidR="00D350EE">
        <w:rPr>
          <w:rFonts w:ascii="Times New Roman" w:hAnsi="Times New Roman" w:cs="Times New Roman"/>
        </w:rPr>
        <w:t>20</w:t>
      </w:r>
      <w:r w:rsidRPr="00F62B03">
        <w:rPr>
          <w:rFonts w:ascii="Times New Roman" w:hAnsi="Times New Roman" w:cs="Times New Roman"/>
        </w:rPr>
        <w:t xml:space="preserve"> will be </w:t>
      </w:r>
      <w:r w:rsidR="005B0A61" w:rsidRPr="00F62B03">
        <w:rPr>
          <w:rFonts w:ascii="Times New Roman" w:hAnsi="Times New Roman" w:cs="Times New Roman"/>
        </w:rPr>
        <w:t xml:space="preserve">to </w:t>
      </w:r>
      <w:r w:rsidRPr="00F62B03">
        <w:rPr>
          <w:rFonts w:ascii="Times New Roman" w:hAnsi="Times New Roman" w:cs="Times New Roman"/>
        </w:rPr>
        <w:t>manage the transition to</w:t>
      </w:r>
      <w:r w:rsidR="0031074C" w:rsidRPr="00F62B03">
        <w:rPr>
          <w:rFonts w:ascii="Times New Roman" w:hAnsi="Times New Roman" w:cs="Times New Roman"/>
        </w:rPr>
        <w:t xml:space="preserve"> </w:t>
      </w:r>
      <w:r w:rsidRPr="00F62B03">
        <w:rPr>
          <w:rFonts w:ascii="Times New Roman" w:hAnsi="Times New Roman" w:cs="Times New Roman"/>
        </w:rPr>
        <w:t>lower volumes of new home building</w:t>
      </w:r>
      <w:r w:rsidR="0031074C" w:rsidRPr="00F62B03">
        <w:rPr>
          <w:rFonts w:ascii="Times New Roman" w:hAnsi="Times New Roman" w:cs="Times New Roman"/>
        </w:rPr>
        <w:t>.</w:t>
      </w:r>
    </w:p>
    <w:p w14:paraId="6BB85FAC" w14:textId="77777777" w:rsidR="00DA6F17" w:rsidRPr="00F62B03" w:rsidRDefault="00305FEA" w:rsidP="00F62B03">
      <w:pPr>
        <w:rPr>
          <w:rFonts w:ascii="Times New Roman" w:hAnsi="Times New Roman" w:cs="Times New Roman"/>
        </w:rPr>
      </w:pPr>
      <w:r w:rsidRPr="00F62B03">
        <w:rPr>
          <w:rFonts w:ascii="Times New Roman" w:hAnsi="Times New Roman" w:cs="Times New Roman"/>
        </w:rPr>
        <w:t>It is against this background that REIA’s Pre Budget Submission for 201</w:t>
      </w:r>
      <w:r w:rsidR="00EF49E5">
        <w:rPr>
          <w:rFonts w:ascii="Times New Roman" w:hAnsi="Times New Roman" w:cs="Times New Roman"/>
        </w:rPr>
        <w:t>9</w:t>
      </w:r>
      <w:r w:rsidRPr="00F62B03">
        <w:rPr>
          <w:rFonts w:ascii="Times New Roman" w:hAnsi="Times New Roman" w:cs="Times New Roman"/>
        </w:rPr>
        <w:t>/</w:t>
      </w:r>
      <w:r w:rsidR="00EF49E5">
        <w:rPr>
          <w:rFonts w:ascii="Times New Roman" w:hAnsi="Times New Roman" w:cs="Times New Roman"/>
        </w:rPr>
        <w:t>20</w:t>
      </w:r>
      <w:r w:rsidR="00C454AE">
        <w:rPr>
          <w:rFonts w:ascii="Times New Roman" w:hAnsi="Times New Roman" w:cs="Times New Roman"/>
        </w:rPr>
        <w:t xml:space="preserve"> </w:t>
      </w:r>
      <w:r w:rsidR="006D42AA" w:rsidRPr="00F62B03">
        <w:rPr>
          <w:rFonts w:ascii="Times New Roman" w:hAnsi="Times New Roman" w:cs="Times New Roman"/>
        </w:rPr>
        <w:t xml:space="preserve">is framed and seeks </w:t>
      </w:r>
      <w:r w:rsidR="00DA6F17" w:rsidRPr="00F62B03">
        <w:rPr>
          <w:rFonts w:ascii="Times New Roman" w:hAnsi="Times New Roman" w:cs="Times New Roman"/>
        </w:rPr>
        <w:t xml:space="preserve">Government </w:t>
      </w:r>
      <w:r w:rsidR="00454530" w:rsidRPr="00F62B03">
        <w:rPr>
          <w:rFonts w:ascii="Times New Roman" w:hAnsi="Times New Roman" w:cs="Times New Roman"/>
        </w:rPr>
        <w:t xml:space="preserve">action </w:t>
      </w:r>
      <w:r w:rsidR="00DA6F17" w:rsidRPr="00F62B03">
        <w:rPr>
          <w:rFonts w:ascii="Times New Roman" w:hAnsi="Times New Roman" w:cs="Times New Roman"/>
        </w:rPr>
        <w:t xml:space="preserve">to </w:t>
      </w:r>
      <w:r w:rsidR="00C030B0">
        <w:rPr>
          <w:rFonts w:ascii="Times New Roman" w:hAnsi="Times New Roman" w:cs="Times New Roman"/>
        </w:rPr>
        <w:t xml:space="preserve">maintain activity </w:t>
      </w:r>
      <w:r w:rsidR="00DA6F17" w:rsidRPr="00F62B03">
        <w:rPr>
          <w:rFonts w:ascii="Times New Roman" w:hAnsi="Times New Roman" w:cs="Times New Roman"/>
        </w:rPr>
        <w:t>in th</w:t>
      </w:r>
      <w:r w:rsidR="00FF1E56">
        <w:rPr>
          <w:rFonts w:ascii="Times New Roman" w:hAnsi="Times New Roman" w:cs="Times New Roman"/>
        </w:rPr>
        <w:t xml:space="preserve">e property sector which </w:t>
      </w:r>
      <w:r w:rsidR="00DA6F17" w:rsidRPr="00F62B03">
        <w:rPr>
          <w:rFonts w:ascii="Times New Roman" w:hAnsi="Times New Roman" w:cs="Times New Roman"/>
        </w:rPr>
        <w:t xml:space="preserve">is critical </w:t>
      </w:r>
      <w:r w:rsidR="00FF1E56">
        <w:rPr>
          <w:rFonts w:ascii="Times New Roman" w:hAnsi="Times New Roman" w:cs="Times New Roman"/>
        </w:rPr>
        <w:t>to the Australian economy.</w:t>
      </w:r>
    </w:p>
    <w:p w14:paraId="1B3B3AEE" w14:textId="77777777" w:rsidR="00B77B1A" w:rsidRPr="00F62B03" w:rsidRDefault="00195F02" w:rsidP="00F62B03">
      <w:pPr>
        <w:rPr>
          <w:rFonts w:ascii="Times New Roman" w:hAnsi="Times New Roman" w:cs="Times New Roman"/>
        </w:rPr>
      </w:pPr>
      <w:r w:rsidRPr="00F62B03">
        <w:rPr>
          <w:rFonts w:ascii="Times New Roman" w:hAnsi="Times New Roman" w:cs="Times New Roman"/>
        </w:rPr>
        <w:t xml:space="preserve">Whilst </w:t>
      </w:r>
      <w:r w:rsidR="006D42AA" w:rsidRPr="00F62B03">
        <w:rPr>
          <w:rFonts w:ascii="Times New Roman" w:hAnsi="Times New Roman" w:cs="Times New Roman"/>
        </w:rPr>
        <w:t>i</w:t>
      </w:r>
      <w:r w:rsidR="001059A0" w:rsidRPr="00F62B03">
        <w:rPr>
          <w:rFonts w:ascii="Times New Roman" w:hAnsi="Times New Roman" w:cs="Times New Roman"/>
        </w:rPr>
        <w:t xml:space="preserve">nvestor activity in housing </w:t>
      </w:r>
      <w:r w:rsidR="00AB5409">
        <w:rPr>
          <w:rFonts w:ascii="Times New Roman" w:hAnsi="Times New Roman" w:cs="Times New Roman"/>
        </w:rPr>
        <w:t xml:space="preserve">has in large part been responsible for the </w:t>
      </w:r>
      <w:r w:rsidR="001059A0" w:rsidRPr="00F62B03">
        <w:rPr>
          <w:rFonts w:ascii="Times New Roman" w:hAnsi="Times New Roman" w:cs="Times New Roman"/>
        </w:rPr>
        <w:t xml:space="preserve">supply response from the building sector </w:t>
      </w:r>
      <w:r w:rsidRPr="00F62B03">
        <w:rPr>
          <w:rFonts w:ascii="Times New Roman" w:hAnsi="Times New Roman" w:cs="Times New Roman"/>
        </w:rPr>
        <w:t>contributing to economic growth</w:t>
      </w:r>
      <w:r w:rsidR="005B0A61" w:rsidRPr="00F62B03">
        <w:rPr>
          <w:rFonts w:ascii="Times New Roman" w:hAnsi="Times New Roman" w:cs="Times New Roman"/>
        </w:rPr>
        <w:t>,</w:t>
      </w:r>
      <w:r w:rsidR="00454530" w:rsidRPr="00F62B03">
        <w:rPr>
          <w:rFonts w:ascii="Times New Roman" w:hAnsi="Times New Roman" w:cs="Times New Roman"/>
        </w:rPr>
        <w:t xml:space="preserve"> </w:t>
      </w:r>
      <w:r w:rsidRPr="00F62B03">
        <w:rPr>
          <w:rFonts w:ascii="Times New Roman" w:hAnsi="Times New Roman" w:cs="Times New Roman"/>
        </w:rPr>
        <w:t>this</w:t>
      </w:r>
      <w:r w:rsidR="00A37A9A">
        <w:rPr>
          <w:rFonts w:ascii="Times New Roman" w:hAnsi="Times New Roman" w:cs="Times New Roman"/>
        </w:rPr>
        <w:t>, up until recently,</w:t>
      </w:r>
      <w:r w:rsidRPr="00F62B03">
        <w:rPr>
          <w:rFonts w:ascii="Times New Roman" w:hAnsi="Times New Roman" w:cs="Times New Roman"/>
        </w:rPr>
        <w:t xml:space="preserve"> ha</w:t>
      </w:r>
      <w:r w:rsidR="00A37A9A">
        <w:rPr>
          <w:rFonts w:ascii="Times New Roman" w:hAnsi="Times New Roman" w:cs="Times New Roman"/>
        </w:rPr>
        <w:t>d</w:t>
      </w:r>
      <w:r w:rsidRPr="00F62B03">
        <w:rPr>
          <w:rFonts w:ascii="Times New Roman" w:hAnsi="Times New Roman" w:cs="Times New Roman"/>
        </w:rPr>
        <w:t xml:space="preserve"> </w:t>
      </w:r>
      <w:r w:rsidR="001059A0" w:rsidRPr="00F62B03">
        <w:rPr>
          <w:rFonts w:ascii="Times New Roman" w:hAnsi="Times New Roman" w:cs="Times New Roman"/>
        </w:rPr>
        <w:t>been at t</w:t>
      </w:r>
      <w:r w:rsidR="00454530" w:rsidRPr="00F62B03">
        <w:rPr>
          <w:rFonts w:ascii="Times New Roman" w:hAnsi="Times New Roman" w:cs="Times New Roman"/>
        </w:rPr>
        <w:t xml:space="preserve">he cost of first home buyers and </w:t>
      </w:r>
      <w:r w:rsidR="00AB5409">
        <w:rPr>
          <w:rFonts w:ascii="Times New Roman" w:hAnsi="Times New Roman" w:cs="Times New Roman"/>
        </w:rPr>
        <w:t xml:space="preserve">their ability to enter the housing market. </w:t>
      </w:r>
    </w:p>
    <w:p w14:paraId="4A507016" w14:textId="77777777" w:rsidR="00155E47" w:rsidRDefault="00B77B1A" w:rsidP="00DF0399">
      <w:pPr>
        <w:rPr>
          <w:rFonts w:ascii="Times New Roman" w:hAnsi="Times New Roman" w:cs="Times New Roman"/>
          <w:b/>
          <w:lang w:val="en-US"/>
        </w:rPr>
      </w:pPr>
      <w:r w:rsidRPr="00310319">
        <w:rPr>
          <w:rFonts w:ascii="Times New Roman" w:hAnsi="Times New Roman" w:cs="Times New Roman"/>
        </w:rPr>
        <w:t>The graph</w:t>
      </w:r>
      <w:r w:rsidR="004C04C2" w:rsidRPr="00310319">
        <w:rPr>
          <w:rFonts w:ascii="Times New Roman" w:hAnsi="Times New Roman" w:cs="Times New Roman"/>
        </w:rPr>
        <w:t xml:space="preserve"> </w:t>
      </w:r>
      <w:r w:rsidRPr="00310319">
        <w:rPr>
          <w:rFonts w:ascii="Times New Roman" w:hAnsi="Times New Roman" w:cs="Times New Roman"/>
        </w:rPr>
        <w:t xml:space="preserve">below shows the number of loans to home buyers </w:t>
      </w:r>
      <w:r w:rsidR="004C04C2" w:rsidRPr="00310319">
        <w:rPr>
          <w:rFonts w:ascii="Times New Roman" w:hAnsi="Times New Roman" w:cs="Times New Roman"/>
        </w:rPr>
        <w:t xml:space="preserve">(excluding refinancing) </w:t>
      </w:r>
      <w:r w:rsidRPr="00310319">
        <w:rPr>
          <w:rFonts w:ascii="Times New Roman" w:hAnsi="Times New Roman" w:cs="Times New Roman"/>
        </w:rPr>
        <w:t>and the proportion of first home buyers in the housing finance commitments from November 20</w:t>
      </w:r>
      <w:r w:rsidR="004C04C2" w:rsidRPr="00310319">
        <w:rPr>
          <w:rFonts w:ascii="Times New Roman" w:hAnsi="Times New Roman" w:cs="Times New Roman"/>
        </w:rPr>
        <w:t>0</w:t>
      </w:r>
      <w:r w:rsidR="00760EDB" w:rsidRPr="00310319">
        <w:rPr>
          <w:rFonts w:ascii="Times New Roman" w:hAnsi="Times New Roman" w:cs="Times New Roman"/>
        </w:rPr>
        <w:t>0</w:t>
      </w:r>
      <w:r w:rsidR="004C04C2" w:rsidRPr="00310319">
        <w:rPr>
          <w:rFonts w:ascii="Times New Roman" w:hAnsi="Times New Roman" w:cs="Times New Roman"/>
        </w:rPr>
        <w:t>.</w:t>
      </w:r>
      <w:r w:rsidRPr="00310319">
        <w:rPr>
          <w:rFonts w:ascii="Times New Roman" w:hAnsi="Times New Roman" w:cs="Times New Roman"/>
        </w:rPr>
        <w:t xml:space="preserve"> </w:t>
      </w:r>
      <w:r w:rsidR="004C04C2" w:rsidRPr="00310319">
        <w:rPr>
          <w:rFonts w:ascii="Times New Roman" w:hAnsi="Times New Roman" w:cs="Times New Roman"/>
        </w:rPr>
        <w:t xml:space="preserve">We can see </w:t>
      </w:r>
      <w:r w:rsidR="00205FEE" w:rsidRPr="00310319">
        <w:rPr>
          <w:rFonts w:ascii="Times New Roman" w:hAnsi="Times New Roman" w:cs="Times New Roman"/>
        </w:rPr>
        <w:t xml:space="preserve">that since April 2012, when official interest rates were 4.25 per cent compared to the current </w:t>
      </w:r>
      <w:r w:rsidR="005F6271" w:rsidRPr="00310319">
        <w:rPr>
          <w:rFonts w:ascii="Times New Roman" w:hAnsi="Times New Roman" w:cs="Times New Roman"/>
        </w:rPr>
        <w:t>1.5</w:t>
      </w:r>
      <w:r w:rsidR="00205FEE" w:rsidRPr="00310319">
        <w:rPr>
          <w:rFonts w:ascii="Times New Roman" w:hAnsi="Times New Roman" w:cs="Times New Roman"/>
        </w:rPr>
        <w:t xml:space="preserve"> per cent, </w:t>
      </w:r>
      <w:r w:rsidRPr="00310319">
        <w:rPr>
          <w:rFonts w:ascii="Times New Roman" w:hAnsi="Times New Roman" w:cs="Times New Roman"/>
        </w:rPr>
        <w:t xml:space="preserve">the participation of first home buyers declined </w:t>
      </w:r>
      <w:r w:rsidR="00205FEE" w:rsidRPr="00310319">
        <w:rPr>
          <w:rFonts w:ascii="Times New Roman" w:hAnsi="Times New Roman" w:cs="Times New Roman"/>
        </w:rPr>
        <w:t>by 17 percent</w:t>
      </w:r>
      <w:r w:rsidR="00760EDB" w:rsidRPr="00310319">
        <w:rPr>
          <w:rFonts w:ascii="Times New Roman" w:hAnsi="Times New Roman" w:cs="Times New Roman"/>
        </w:rPr>
        <w:t xml:space="preserve"> until a pick up in the last </w:t>
      </w:r>
      <w:r w:rsidR="00310319" w:rsidRPr="00310319">
        <w:rPr>
          <w:rFonts w:ascii="Times New Roman" w:hAnsi="Times New Roman" w:cs="Times New Roman"/>
        </w:rPr>
        <w:t>year</w:t>
      </w:r>
      <w:r w:rsidR="00760EDB" w:rsidRPr="00310319">
        <w:rPr>
          <w:rFonts w:ascii="Times New Roman" w:hAnsi="Times New Roman" w:cs="Times New Roman"/>
        </w:rPr>
        <w:t>.</w:t>
      </w:r>
      <w:r w:rsidRPr="00310319">
        <w:rPr>
          <w:rFonts w:ascii="Times New Roman" w:hAnsi="Times New Roman" w:cs="Times New Roman"/>
        </w:rPr>
        <w:t xml:space="preserve"> This decline is despite</w:t>
      </w:r>
      <w:r w:rsidR="005F6271" w:rsidRPr="00310319">
        <w:rPr>
          <w:rFonts w:ascii="Times New Roman" w:hAnsi="Times New Roman" w:cs="Times New Roman"/>
        </w:rPr>
        <w:t xml:space="preserve"> ten </w:t>
      </w:r>
      <w:r w:rsidRPr="00310319">
        <w:rPr>
          <w:rFonts w:ascii="Times New Roman" w:hAnsi="Times New Roman" w:cs="Times New Roman"/>
        </w:rPr>
        <w:t xml:space="preserve">cuts in the official interest rate </w:t>
      </w:r>
      <w:r w:rsidR="00205FEE" w:rsidRPr="00310319">
        <w:rPr>
          <w:rFonts w:ascii="Times New Roman" w:hAnsi="Times New Roman" w:cs="Times New Roman"/>
        </w:rPr>
        <w:t>over that period.</w:t>
      </w:r>
    </w:p>
    <w:p w14:paraId="0AE8DB9B" w14:textId="77777777" w:rsidR="00310319" w:rsidRDefault="00310319" w:rsidP="00DF0399">
      <w:pPr>
        <w:rPr>
          <w:rFonts w:ascii="Times New Roman" w:hAnsi="Times New Roman" w:cs="Times New Roman"/>
          <w:b/>
          <w:lang w:val="en-US"/>
        </w:rPr>
      </w:pPr>
    </w:p>
    <w:p w14:paraId="223D7418" w14:textId="77777777" w:rsidR="00310319" w:rsidRDefault="00310319" w:rsidP="00DF0399">
      <w:pPr>
        <w:rPr>
          <w:rFonts w:ascii="Times New Roman" w:hAnsi="Times New Roman" w:cs="Times New Roman"/>
          <w:b/>
          <w:lang w:val="en-US"/>
        </w:rPr>
      </w:pPr>
    </w:p>
    <w:p w14:paraId="2A9B8BB2" w14:textId="77777777" w:rsidR="00310319" w:rsidRDefault="00310319" w:rsidP="00DF0399">
      <w:pPr>
        <w:rPr>
          <w:rFonts w:ascii="Times New Roman" w:hAnsi="Times New Roman" w:cs="Times New Roman"/>
          <w:b/>
          <w:lang w:val="en-US"/>
        </w:rPr>
      </w:pPr>
    </w:p>
    <w:p w14:paraId="2C4AF060" w14:textId="77777777" w:rsidR="00310319" w:rsidRDefault="00310319" w:rsidP="00DF0399">
      <w:pPr>
        <w:rPr>
          <w:rFonts w:ascii="Times New Roman" w:hAnsi="Times New Roman" w:cs="Times New Roman"/>
          <w:b/>
          <w:lang w:val="en-US"/>
        </w:rPr>
      </w:pPr>
    </w:p>
    <w:p w14:paraId="51F45C01" w14:textId="77777777" w:rsidR="00DF0399" w:rsidRPr="00DF0399" w:rsidRDefault="00DF0399" w:rsidP="00DF0399">
      <w:pPr>
        <w:rPr>
          <w:rFonts w:ascii="Times New Roman" w:hAnsi="Times New Roman" w:cs="Times New Roman"/>
          <w:b/>
        </w:rPr>
      </w:pPr>
      <w:r w:rsidRPr="00DF0399">
        <w:rPr>
          <w:rFonts w:ascii="Times New Roman" w:hAnsi="Times New Roman" w:cs="Times New Roman"/>
          <w:b/>
          <w:lang w:val="en-US"/>
        </w:rPr>
        <w:lastRenderedPageBreak/>
        <w:t xml:space="preserve">Finance Approvals and the Proportion </w:t>
      </w:r>
      <w:r>
        <w:rPr>
          <w:rFonts w:ascii="Times New Roman" w:hAnsi="Times New Roman" w:cs="Times New Roman"/>
          <w:b/>
          <w:lang w:val="en-US"/>
        </w:rPr>
        <w:t>o</w:t>
      </w:r>
      <w:r w:rsidRPr="00DF0399">
        <w:rPr>
          <w:rFonts w:ascii="Times New Roman" w:hAnsi="Times New Roman" w:cs="Times New Roman"/>
          <w:b/>
          <w:lang w:val="en-US"/>
        </w:rPr>
        <w:t>f First Home Buyers (excluding refinancing)</w:t>
      </w:r>
    </w:p>
    <w:p w14:paraId="267A76FE" w14:textId="77777777" w:rsidR="00DF0399" w:rsidRDefault="00310319" w:rsidP="00F62B03">
      <w:pPr>
        <w:rPr>
          <w:rFonts w:ascii="Times New Roman" w:hAnsi="Times New Roman" w:cs="Times New Roman"/>
        </w:rPr>
      </w:pPr>
      <w:r>
        <w:rPr>
          <w:noProof/>
          <w:lang w:eastAsia="en-AU"/>
        </w:rPr>
        <w:drawing>
          <wp:inline distT="0" distB="0" distL="0" distR="0" wp14:anchorId="4D4A920E" wp14:editId="40D20D69">
            <wp:extent cx="5731510" cy="3740870"/>
            <wp:effectExtent l="0" t="0" r="2540" b="0"/>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318EC74-2EF1-477B-B154-DD061528F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33C5F1" w14:textId="77777777" w:rsidR="00DF0399" w:rsidRPr="00DF0399" w:rsidRDefault="00DF0399" w:rsidP="00DF0399">
      <w:pPr>
        <w:rPr>
          <w:rFonts w:ascii="Times New Roman" w:hAnsi="Times New Roman" w:cs="Times New Roman"/>
        </w:rPr>
      </w:pPr>
      <w:r w:rsidRPr="00DF0399">
        <w:rPr>
          <w:rFonts w:ascii="Times New Roman" w:hAnsi="Times New Roman" w:cs="Times New Roman"/>
        </w:rPr>
        <w:t>Source: 5609 Housing Finance Australia 2000 – 201</w:t>
      </w:r>
      <w:r w:rsidR="00310319">
        <w:rPr>
          <w:rFonts w:ascii="Times New Roman" w:hAnsi="Times New Roman" w:cs="Times New Roman"/>
        </w:rPr>
        <w:t>8</w:t>
      </w:r>
      <w:r w:rsidRPr="00DF0399">
        <w:rPr>
          <w:rFonts w:ascii="Times New Roman" w:hAnsi="Times New Roman" w:cs="Times New Roman"/>
        </w:rPr>
        <w:t xml:space="preserve"> (ABS)</w:t>
      </w:r>
    </w:p>
    <w:p w14:paraId="343D75F5" w14:textId="77777777" w:rsidR="00DF0399" w:rsidRDefault="00DF0399" w:rsidP="00F62B03">
      <w:pPr>
        <w:jc w:val="center"/>
        <w:rPr>
          <w:rFonts w:ascii="Times New Roman" w:hAnsi="Times New Roman" w:cs="Times New Roman"/>
          <w:b/>
          <w:highlight w:val="yellow"/>
        </w:rPr>
      </w:pPr>
    </w:p>
    <w:p w14:paraId="34E315D1" w14:textId="77777777" w:rsidR="00B54A7B" w:rsidRDefault="00B54A7B" w:rsidP="00F62B03">
      <w:pPr>
        <w:rPr>
          <w:rFonts w:ascii="Times New Roman" w:hAnsi="Times New Roman" w:cs="Times New Roman"/>
        </w:rPr>
      </w:pPr>
      <w:r>
        <w:rPr>
          <w:rFonts w:ascii="Times New Roman" w:hAnsi="Times New Roman" w:cs="Times New Roman"/>
        </w:rPr>
        <w:t>Whilst historically low interest rates may make mortgage payments achievable for first home buyers it is the deposit gap together with stamp duties that are the insurmountable hurdle.</w:t>
      </w:r>
    </w:p>
    <w:p w14:paraId="06C8B64A" w14:textId="77777777" w:rsidR="00B77B1A" w:rsidRPr="00F62B03" w:rsidRDefault="00B77B1A" w:rsidP="00F62B03">
      <w:pPr>
        <w:rPr>
          <w:rFonts w:ascii="Times New Roman" w:hAnsi="Times New Roman" w:cs="Times New Roman"/>
        </w:rPr>
      </w:pPr>
      <w:r w:rsidRPr="00F62B03">
        <w:rPr>
          <w:rFonts w:ascii="Times New Roman" w:hAnsi="Times New Roman" w:cs="Times New Roman"/>
        </w:rPr>
        <w:t>With first home buyers finding it difficult to enter the housing market</w:t>
      </w:r>
      <w:r w:rsidR="00832A63" w:rsidRPr="00F62B03">
        <w:rPr>
          <w:rFonts w:ascii="Times New Roman" w:hAnsi="Times New Roman" w:cs="Times New Roman"/>
        </w:rPr>
        <w:t>,</w:t>
      </w:r>
      <w:r w:rsidRPr="00F62B03">
        <w:rPr>
          <w:rFonts w:ascii="Times New Roman" w:hAnsi="Times New Roman" w:cs="Times New Roman"/>
        </w:rPr>
        <w:t xml:space="preserve"> home ownership in Australia is declining after four decades of stable levels.</w:t>
      </w:r>
      <w:r w:rsidR="00FC25F8">
        <w:rPr>
          <w:rFonts w:ascii="Times New Roman" w:hAnsi="Times New Roman" w:cs="Times New Roman"/>
        </w:rPr>
        <w:t xml:space="preserve"> </w:t>
      </w:r>
      <w:r w:rsidRPr="00F62B03">
        <w:rPr>
          <w:rFonts w:ascii="Times New Roman" w:hAnsi="Times New Roman" w:cs="Times New Roman"/>
        </w:rPr>
        <w:t>Th</w:t>
      </w:r>
      <w:r w:rsidR="00C96C46">
        <w:rPr>
          <w:rFonts w:ascii="Times New Roman" w:hAnsi="Times New Roman" w:cs="Times New Roman"/>
        </w:rPr>
        <w:t xml:space="preserve">is </w:t>
      </w:r>
      <w:r w:rsidRPr="00F62B03">
        <w:rPr>
          <w:rFonts w:ascii="Times New Roman" w:hAnsi="Times New Roman" w:cs="Times New Roman"/>
        </w:rPr>
        <w:t xml:space="preserve">drop </w:t>
      </w:r>
      <w:r w:rsidR="00C96C46">
        <w:rPr>
          <w:rFonts w:ascii="Times New Roman" w:hAnsi="Times New Roman" w:cs="Times New Roman"/>
        </w:rPr>
        <w:t xml:space="preserve">is being </w:t>
      </w:r>
      <w:r w:rsidRPr="00F62B03">
        <w:rPr>
          <w:rFonts w:ascii="Times New Roman" w:hAnsi="Times New Roman" w:cs="Times New Roman"/>
        </w:rPr>
        <w:t>evidence</w:t>
      </w:r>
      <w:r w:rsidR="004C05A6" w:rsidRPr="00F62B03">
        <w:rPr>
          <w:rFonts w:ascii="Times New Roman" w:hAnsi="Times New Roman" w:cs="Times New Roman"/>
        </w:rPr>
        <w:t>d</w:t>
      </w:r>
      <w:r w:rsidRPr="00F62B03">
        <w:rPr>
          <w:rFonts w:ascii="Times New Roman" w:hAnsi="Times New Roman" w:cs="Times New Roman"/>
        </w:rPr>
        <w:t xml:space="preserve"> across all states and territories and </w:t>
      </w:r>
      <w:r w:rsidR="00C96C46">
        <w:rPr>
          <w:rFonts w:ascii="Times New Roman" w:hAnsi="Times New Roman" w:cs="Times New Roman"/>
        </w:rPr>
        <w:t xml:space="preserve">is </w:t>
      </w:r>
      <w:r w:rsidRPr="00F62B03">
        <w:rPr>
          <w:rFonts w:ascii="Times New Roman" w:hAnsi="Times New Roman" w:cs="Times New Roman"/>
        </w:rPr>
        <w:t xml:space="preserve">most pronounced in the 35 to 44 age group. </w:t>
      </w:r>
      <w:r w:rsidR="00FC25F8">
        <w:rPr>
          <w:rFonts w:ascii="Times New Roman" w:hAnsi="Times New Roman" w:cs="Times New Roman"/>
        </w:rPr>
        <w:t xml:space="preserve">Research shows that it seems certain </w:t>
      </w:r>
      <w:r w:rsidR="00FC25F8" w:rsidRPr="00F62B03">
        <w:rPr>
          <w:rFonts w:ascii="Times New Roman" w:hAnsi="Times New Roman" w:cs="Times New Roman"/>
        </w:rPr>
        <w:t>that the rate of home ownership w</w:t>
      </w:r>
      <w:r w:rsidR="00FC25F8">
        <w:rPr>
          <w:rFonts w:ascii="Times New Roman" w:hAnsi="Times New Roman" w:cs="Times New Roman"/>
        </w:rPr>
        <w:t xml:space="preserve">ill </w:t>
      </w:r>
      <w:r w:rsidR="00FC25F8" w:rsidRPr="00F62B03">
        <w:rPr>
          <w:rFonts w:ascii="Times New Roman" w:hAnsi="Times New Roman" w:cs="Times New Roman"/>
        </w:rPr>
        <w:t>drop furthe</w:t>
      </w:r>
      <w:r w:rsidR="00FC25F8">
        <w:rPr>
          <w:rFonts w:ascii="Times New Roman" w:hAnsi="Times New Roman" w:cs="Times New Roman"/>
        </w:rPr>
        <w:t xml:space="preserve">r. </w:t>
      </w:r>
      <w:r w:rsidRPr="00F62B03">
        <w:rPr>
          <w:rFonts w:ascii="Times New Roman" w:hAnsi="Times New Roman" w:cs="Times New Roman"/>
        </w:rPr>
        <w:t xml:space="preserve">The National Housing Supply Council, in its 2012-13 report, </w:t>
      </w:r>
      <w:r w:rsidR="00FC25F8">
        <w:rPr>
          <w:rFonts w:ascii="Times New Roman" w:hAnsi="Times New Roman" w:cs="Times New Roman"/>
        </w:rPr>
        <w:t>pointed to this and more recently AHURI also identifies this.</w:t>
      </w:r>
    </w:p>
    <w:p w14:paraId="5D05F3AC" w14:textId="77777777" w:rsidR="00D15549" w:rsidRDefault="00C96C46" w:rsidP="00F62B03">
      <w:pPr>
        <w:rPr>
          <w:rFonts w:ascii="Times New Roman" w:hAnsi="Times New Roman" w:cs="Times New Roman"/>
        </w:rPr>
      </w:pPr>
      <w:r>
        <w:rPr>
          <w:rFonts w:ascii="Times New Roman" w:hAnsi="Times New Roman" w:cs="Times New Roman"/>
        </w:rPr>
        <w:t>Not with standing measures introduced in the 2017 Budget to address housing affordability</w:t>
      </w:r>
      <w:r w:rsidR="00D15549">
        <w:rPr>
          <w:rFonts w:ascii="Times New Roman" w:hAnsi="Times New Roman" w:cs="Times New Roman"/>
        </w:rPr>
        <w:t xml:space="preserve"> by first home buyers</w:t>
      </w:r>
      <w:r w:rsidR="00B77B1A" w:rsidRPr="00F62B03">
        <w:rPr>
          <w:rFonts w:ascii="Times New Roman" w:hAnsi="Times New Roman" w:cs="Times New Roman"/>
        </w:rPr>
        <w:t xml:space="preserve"> the </w:t>
      </w:r>
      <w:r w:rsidR="00D15549">
        <w:rPr>
          <w:rFonts w:ascii="Times New Roman" w:hAnsi="Times New Roman" w:cs="Times New Roman"/>
        </w:rPr>
        <w:t xml:space="preserve">need to address </w:t>
      </w:r>
      <w:r w:rsidR="00B77B1A" w:rsidRPr="00F62B03">
        <w:rPr>
          <w:rFonts w:ascii="Times New Roman" w:hAnsi="Times New Roman" w:cs="Times New Roman"/>
        </w:rPr>
        <w:t>supply of affordable housing as a priority policy issue</w:t>
      </w:r>
      <w:r w:rsidR="00D15549">
        <w:rPr>
          <w:rFonts w:ascii="Times New Roman" w:hAnsi="Times New Roman" w:cs="Times New Roman"/>
        </w:rPr>
        <w:t xml:space="preserve"> continues</w:t>
      </w:r>
      <w:r w:rsidR="00B77B1A" w:rsidRPr="00F62B03">
        <w:rPr>
          <w:rFonts w:ascii="Times New Roman" w:hAnsi="Times New Roman" w:cs="Times New Roman"/>
        </w:rPr>
        <w:t xml:space="preserve">. </w:t>
      </w:r>
    </w:p>
    <w:p w14:paraId="4861EF91" w14:textId="77777777" w:rsidR="00832A63" w:rsidRPr="00F62B03" w:rsidRDefault="004F3280" w:rsidP="00F62B03">
      <w:pPr>
        <w:rPr>
          <w:rFonts w:ascii="Times New Roman" w:hAnsi="Times New Roman" w:cs="Times New Roman"/>
        </w:rPr>
      </w:pPr>
      <w:r w:rsidRPr="00F62B03">
        <w:rPr>
          <w:rFonts w:ascii="Times New Roman" w:eastAsia="Times New Roman" w:hAnsi="Times New Roman" w:cs="Times New Roman"/>
          <w:color w:val="000000"/>
          <w:lang w:val="en-GB"/>
        </w:rPr>
        <w:t>At a roundtable discussion on housing affordability convened by t</w:t>
      </w:r>
      <w:r w:rsidR="004C05A6" w:rsidRPr="00F62B03">
        <w:rPr>
          <w:rFonts w:ascii="Times New Roman" w:eastAsia="Times New Roman" w:hAnsi="Times New Roman" w:cs="Times New Roman"/>
          <w:color w:val="000000"/>
          <w:lang w:val="en-GB"/>
        </w:rPr>
        <w:t xml:space="preserve">he REIA </w:t>
      </w:r>
      <w:r w:rsidRPr="00F62B03">
        <w:rPr>
          <w:rFonts w:ascii="Times New Roman" w:eastAsia="Times New Roman" w:hAnsi="Times New Roman" w:cs="Times New Roman"/>
          <w:color w:val="000000"/>
          <w:lang w:val="en-GB"/>
        </w:rPr>
        <w:t xml:space="preserve">in 2014 with participation by </w:t>
      </w:r>
      <w:r w:rsidR="004C05A6" w:rsidRPr="00F62B03">
        <w:rPr>
          <w:rFonts w:ascii="Times New Roman" w:eastAsia="Times New Roman" w:hAnsi="Times New Roman" w:cs="Times New Roman"/>
          <w:color w:val="000000"/>
          <w:lang w:val="en-GB"/>
        </w:rPr>
        <w:t>Government</w:t>
      </w:r>
      <w:r w:rsidRPr="00F62B03">
        <w:rPr>
          <w:rFonts w:ascii="Times New Roman" w:eastAsia="Times New Roman" w:hAnsi="Times New Roman" w:cs="Times New Roman"/>
          <w:color w:val="000000"/>
          <w:lang w:val="en-GB"/>
        </w:rPr>
        <w:t xml:space="preserve">, including the then Minister for Social Services, the Hon Kevin Andrews, </w:t>
      </w:r>
      <w:r w:rsidR="004C05A6" w:rsidRPr="00F62B03">
        <w:rPr>
          <w:rFonts w:ascii="Times New Roman" w:eastAsia="Times New Roman" w:hAnsi="Times New Roman" w:cs="Times New Roman"/>
          <w:color w:val="000000"/>
          <w:lang w:val="en-GB"/>
        </w:rPr>
        <w:t xml:space="preserve">and industry leaders from real estate, construction, finance and community sectors, </w:t>
      </w:r>
      <w:r w:rsidRPr="00F62B03">
        <w:rPr>
          <w:rFonts w:ascii="Times New Roman" w:eastAsia="Times New Roman" w:hAnsi="Times New Roman" w:cs="Times New Roman"/>
          <w:color w:val="000000"/>
          <w:lang w:val="en-GB"/>
        </w:rPr>
        <w:t xml:space="preserve">it was agreed that the </w:t>
      </w:r>
      <w:r w:rsidRPr="00F62B03">
        <w:rPr>
          <w:rFonts w:ascii="Times New Roman" w:hAnsi="Times New Roman" w:cs="Times New Roman"/>
        </w:rPr>
        <w:t>availability</w:t>
      </w:r>
      <w:r w:rsidR="00B77B1A" w:rsidRPr="00F62B03">
        <w:rPr>
          <w:rFonts w:ascii="Times New Roman" w:hAnsi="Times New Roman" w:cs="Times New Roman"/>
        </w:rPr>
        <w:t xml:space="preserve"> of affordable housing is a goal that is shared by governments and all sectors of the community. </w:t>
      </w:r>
      <w:r w:rsidRPr="00F62B03">
        <w:rPr>
          <w:rFonts w:ascii="Times New Roman" w:hAnsi="Times New Roman" w:cs="Times New Roman"/>
        </w:rPr>
        <w:t xml:space="preserve">It </w:t>
      </w:r>
      <w:r w:rsidR="00B77B1A" w:rsidRPr="00F62B03">
        <w:rPr>
          <w:rFonts w:ascii="Times New Roman" w:hAnsi="Times New Roman" w:cs="Times New Roman"/>
        </w:rPr>
        <w:t>impacts on the functioning of the economy as well as the wellbeing of individuals and the cohesiveness of communities and society.</w:t>
      </w:r>
      <w:r w:rsidR="001F10E9" w:rsidRPr="00F62B03">
        <w:rPr>
          <w:rFonts w:ascii="Times New Roman" w:hAnsi="Times New Roman" w:cs="Times New Roman"/>
        </w:rPr>
        <w:t xml:space="preserve"> </w:t>
      </w:r>
      <w:r w:rsidR="00C87E98" w:rsidRPr="00F62B03">
        <w:rPr>
          <w:rFonts w:ascii="Times New Roman" w:hAnsi="Times New Roman" w:cs="Times New Roman"/>
          <w:lang w:val="en-US"/>
        </w:rPr>
        <w:t xml:space="preserve">The roundtable participants all agreed that </w:t>
      </w:r>
      <w:r w:rsidR="00C87E98" w:rsidRPr="00F62B03">
        <w:rPr>
          <w:rFonts w:ascii="Times New Roman" w:hAnsi="Times New Roman" w:cs="Times New Roman"/>
        </w:rPr>
        <w:t xml:space="preserve">a priority policy issue </w:t>
      </w:r>
      <w:r w:rsidR="00454530" w:rsidRPr="00F62B03">
        <w:rPr>
          <w:rFonts w:ascii="Times New Roman" w:hAnsi="Times New Roman" w:cs="Times New Roman"/>
        </w:rPr>
        <w:t>is to address</w:t>
      </w:r>
      <w:r w:rsidR="00C87E98" w:rsidRPr="00F62B03">
        <w:rPr>
          <w:rFonts w:ascii="Times New Roman" w:hAnsi="Times New Roman" w:cs="Times New Roman"/>
        </w:rPr>
        <w:t xml:space="preserve"> the undersupply of housing.</w:t>
      </w:r>
    </w:p>
    <w:p w14:paraId="70305E99" w14:textId="77777777" w:rsidR="000D2B0D" w:rsidRPr="00F62B03" w:rsidRDefault="00C42810" w:rsidP="00C42810">
      <w:pPr>
        <w:rPr>
          <w:rFonts w:ascii="Times New Roman" w:hAnsi="Times New Roman" w:cs="Times New Roman"/>
          <w:b/>
          <w:lang w:val="en-US"/>
        </w:rPr>
      </w:pPr>
      <w:r>
        <w:rPr>
          <w:rFonts w:ascii="Times New Roman" w:hAnsi="Times New Roman" w:cs="Times New Roman"/>
          <w:lang w:val="en-US"/>
        </w:rPr>
        <w:t xml:space="preserve">Without addressing supply </w:t>
      </w:r>
      <w:r w:rsidR="00832A63" w:rsidRPr="00F62B03">
        <w:rPr>
          <w:rFonts w:ascii="Times New Roman" w:hAnsi="Times New Roman" w:cs="Times New Roman"/>
          <w:lang w:val="en-US"/>
        </w:rPr>
        <w:t xml:space="preserve">the gap between the supply and demand for housing will increase </w:t>
      </w:r>
      <w:r w:rsidR="00454530" w:rsidRPr="00F62B03">
        <w:rPr>
          <w:rFonts w:ascii="Times New Roman" w:hAnsi="Times New Roman" w:cs="Times New Roman"/>
          <w:lang w:val="en-US"/>
        </w:rPr>
        <w:t xml:space="preserve">in the future, </w:t>
      </w:r>
      <w:r w:rsidR="00832A63" w:rsidRPr="00F62B03">
        <w:rPr>
          <w:rFonts w:ascii="Times New Roman" w:hAnsi="Times New Roman" w:cs="Times New Roman"/>
          <w:lang w:val="en-US"/>
        </w:rPr>
        <w:t>putting further pressure on housing prices.</w:t>
      </w:r>
    </w:p>
    <w:p w14:paraId="0AA9F405" w14:textId="77777777" w:rsidR="004C05A6" w:rsidRPr="00F62B03" w:rsidRDefault="00C87E98" w:rsidP="00F62B03">
      <w:pPr>
        <w:rPr>
          <w:rFonts w:ascii="Times New Roman" w:hAnsi="Times New Roman" w:cs="Times New Roman"/>
        </w:rPr>
      </w:pPr>
      <w:r w:rsidRPr="00F62B03">
        <w:rPr>
          <w:rFonts w:ascii="Times New Roman" w:hAnsi="Times New Roman" w:cs="Times New Roman"/>
          <w:lang w:val="en-US"/>
        </w:rPr>
        <w:lastRenderedPageBreak/>
        <w:t>A</w:t>
      </w:r>
      <w:r w:rsidR="004C05A6" w:rsidRPr="00F62B03">
        <w:rPr>
          <w:rFonts w:ascii="Times New Roman" w:hAnsi="Times New Roman" w:cs="Times New Roman"/>
          <w:lang w:val="en-US"/>
        </w:rPr>
        <w:t xml:space="preserve">ffordable housing is </w:t>
      </w:r>
      <w:r w:rsidR="004C05A6" w:rsidRPr="00F62B03">
        <w:rPr>
          <w:rFonts w:ascii="Times New Roman" w:hAnsi="Times New Roman" w:cs="Times New Roman"/>
        </w:rPr>
        <w:t>a complex issue, with a number of economic, social and infrastructure factors influencing it. These include: the deposit gap for first home buyers; demographic change; the effect of stamp duties and taxes; development application processes</w:t>
      </w:r>
      <w:r w:rsidR="006E73C7" w:rsidRPr="00F62B03">
        <w:rPr>
          <w:rFonts w:ascii="Times New Roman" w:hAnsi="Times New Roman" w:cs="Times New Roman"/>
        </w:rPr>
        <w:t>;</w:t>
      </w:r>
      <w:r w:rsidR="005F6271">
        <w:rPr>
          <w:rFonts w:ascii="Times New Roman" w:hAnsi="Times New Roman" w:cs="Times New Roman"/>
        </w:rPr>
        <w:t xml:space="preserve"> </w:t>
      </w:r>
      <w:r w:rsidR="00FE7623" w:rsidRPr="00F62B03">
        <w:rPr>
          <w:rFonts w:ascii="Times New Roman" w:hAnsi="Times New Roman" w:cs="Times New Roman"/>
        </w:rPr>
        <w:t>skills shortages</w:t>
      </w:r>
      <w:r w:rsidR="006E73C7" w:rsidRPr="00F62B03">
        <w:rPr>
          <w:rFonts w:ascii="Times New Roman" w:hAnsi="Times New Roman" w:cs="Times New Roman"/>
        </w:rPr>
        <w:t>,</w:t>
      </w:r>
      <w:r w:rsidR="004C05A6" w:rsidRPr="00F62B03">
        <w:rPr>
          <w:rFonts w:ascii="Times New Roman" w:hAnsi="Times New Roman" w:cs="Times New Roman"/>
        </w:rPr>
        <w:t xml:space="preserve"> and</w:t>
      </w:r>
      <w:r w:rsidR="006E73C7" w:rsidRPr="00F62B03">
        <w:rPr>
          <w:rFonts w:ascii="Times New Roman" w:hAnsi="Times New Roman" w:cs="Times New Roman"/>
        </w:rPr>
        <w:t>;</w:t>
      </w:r>
      <w:r w:rsidR="004C05A6" w:rsidRPr="00F62B03">
        <w:rPr>
          <w:rFonts w:ascii="Times New Roman" w:hAnsi="Times New Roman" w:cs="Times New Roman"/>
        </w:rPr>
        <w:t xml:space="preserve"> lack of urban infrastructure.</w:t>
      </w:r>
    </w:p>
    <w:p w14:paraId="35030E9A" w14:textId="77777777" w:rsidR="00454530" w:rsidRDefault="008823DA" w:rsidP="00F62B03">
      <w:pPr>
        <w:rPr>
          <w:rFonts w:ascii="Times New Roman" w:hAnsi="Times New Roman" w:cs="Times New Roman"/>
        </w:rPr>
      </w:pPr>
      <w:r w:rsidRPr="00F62B03">
        <w:rPr>
          <w:rFonts w:ascii="Times New Roman" w:hAnsi="Times New Roman" w:cs="Times New Roman"/>
        </w:rPr>
        <w:t xml:space="preserve">The </w:t>
      </w:r>
      <w:r w:rsidR="003314C5">
        <w:rPr>
          <w:rFonts w:ascii="Times New Roman" w:hAnsi="Times New Roman" w:cs="Times New Roman"/>
        </w:rPr>
        <w:t xml:space="preserve">property </w:t>
      </w:r>
      <w:r w:rsidRPr="00F62B03">
        <w:rPr>
          <w:rFonts w:ascii="Times New Roman" w:hAnsi="Times New Roman" w:cs="Times New Roman"/>
        </w:rPr>
        <w:t>sector needs to be a crucial and integral element</w:t>
      </w:r>
      <w:r>
        <w:rPr>
          <w:rFonts w:ascii="Times New Roman" w:hAnsi="Times New Roman" w:cs="Times New Roman"/>
        </w:rPr>
        <w:t xml:space="preserve"> of the </w:t>
      </w:r>
      <w:r w:rsidR="00DB5DE9" w:rsidRPr="00F62B03">
        <w:rPr>
          <w:rFonts w:ascii="Times New Roman" w:hAnsi="Times New Roman" w:cs="Times New Roman"/>
        </w:rPr>
        <w:t>201</w:t>
      </w:r>
      <w:r w:rsidR="00C42810">
        <w:rPr>
          <w:rFonts w:ascii="Times New Roman" w:hAnsi="Times New Roman" w:cs="Times New Roman"/>
        </w:rPr>
        <w:t>9</w:t>
      </w:r>
      <w:r w:rsidR="00DB5DE9" w:rsidRPr="00F62B03">
        <w:rPr>
          <w:rFonts w:ascii="Times New Roman" w:hAnsi="Times New Roman" w:cs="Times New Roman"/>
        </w:rPr>
        <w:t>/</w:t>
      </w:r>
      <w:r w:rsidR="00C42810">
        <w:rPr>
          <w:rFonts w:ascii="Times New Roman" w:hAnsi="Times New Roman" w:cs="Times New Roman"/>
        </w:rPr>
        <w:t>20</w:t>
      </w:r>
      <w:r w:rsidR="00DB5DE9" w:rsidRPr="00F62B03">
        <w:rPr>
          <w:rFonts w:ascii="Times New Roman" w:hAnsi="Times New Roman" w:cs="Times New Roman"/>
        </w:rPr>
        <w:t xml:space="preserve"> Budget </w:t>
      </w:r>
      <w:r>
        <w:rPr>
          <w:rFonts w:ascii="Times New Roman" w:hAnsi="Times New Roman" w:cs="Times New Roman"/>
        </w:rPr>
        <w:t xml:space="preserve">and </w:t>
      </w:r>
      <w:r w:rsidR="003314C5">
        <w:rPr>
          <w:rFonts w:ascii="Times New Roman" w:hAnsi="Times New Roman" w:cs="Times New Roman"/>
        </w:rPr>
        <w:t xml:space="preserve">housing affordability and </w:t>
      </w:r>
      <w:r w:rsidR="00DB5DE9" w:rsidRPr="00F62B03">
        <w:rPr>
          <w:rFonts w:ascii="Times New Roman" w:hAnsi="Times New Roman" w:cs="Times New Roman"/>
        </w:rPr>
        <w:t>the</w:t>
      </w:r>
      <w:r w:rsidR="003314C5">
        <w:rPr>
          <w:rFonts w:ascii="Times New Roman" w:hAnsi="Times New Roman" w:cs="Times New Roman"/>
        </w:rPr>
        <w:t xml:space="preserve"> taxation of housing need to be addressed in a holistic manner rather than the often simplistic debate about negative gearing as if it’s abolition is the panacea for all things.</w:t>
      </w:r>
      <w:r w:rsidR="00DB5DE9" w:rsidRPr="00F62B03">
        <w:rPr>
          <w:rFonts w:ascii="Times New Roman" w:hAnsi="Times New Roman" w:cs="Times New Roman"/>
        </w:rPr>
        <w:t xml:space="preserve"> </w:t>
      </w:r>
    </w:p>
    <w:p w14:paraId="5153F8EB" w14:textId="77777777" w:rsidR="005F6271" w:rsidRPr="001228C7" w:rsidRDefault="005F6271" w:rsidP="005F6271">
      <w:pPr>
        <w:rPr>
          <w:rFonts w:ascii="Times New Roman" w:hAnsi="Times New Roman" w:cs="Times New Roman"/>
          <w:b/>
          <w:i/>
          <w:lang w:val="en-US"/>
        </w:rPr>
      </w:pPr>
      <w:r w:rsidRPr="00892093">
        <w:rPr>
          <w:rFonts w:ascii="Times New Roman" w:hAnsi="Times New Roman" w:cs="Times New Roman"/>
          <w:b/>
          <w:lang w:val="en-US"/>
        </w:rPr>
        <w:t xml:space="preserve">Taxation and Housing Supply </w:t>
      </w:r>
    </w:p>
    <w:p w14:paraId="1D813A72" w14:textId="77777777" w:rsidR="005F6271" w:rsidRDefault="005F6271" w:rsidP="005F6271">
      <w:pPr>
        <w:rPr>
          <w:rFonts w:ascii="Times New Roman" w:hAnsi="Times New Roman" w:cs="Times New Roman"/>
          <w:lang w:val="en-US"/>
        </w:rPr>
      </w:pPr>
      <w:r w:rsidRPr="00F62B03">
        <w:rPr>
          <w:rFonts w:ascii="Times New Roman" w:hAnsi="Times New Roman" w:cs="Times New Roman"/>
          <w:lang w:val="en-US"/>
        </w:rPr>
        <w:t>Taxes are one of the factors determining investment in housing and thus housing supply and influencing housing affordability.</w:t>
      </w:r>
    </w:p>
    <w:p w14:paraId="01ABF08C" w14:textId="77777777"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With increasing house prices in Australia’s two largest capital cities over the past two years, there have been many claims that the current tax treatment of negative gearing and capital gains of residential property is exacerbating housing affordability issues. This is simply not the case. Indeed the public interest is being served and advanced through negative gearing and the treatment of CGT.</w:t>
      </w:r>
    </w:p>
    <w:p w14:paraId="3C37E920" w14:textId="77777777"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The current taxation arrangements provide many Australians with the opportunity to invest in property and augment their savings in particular their retirement savings and at the same time improve rental affordability through an increased supply of rental housing.</w:t>
      </w:r>
    </w:p>
    <w:p w14:paraId="47F7484B" w14:textId="77777777" w:rsidR="005F6271" w:rsidRPr="00F62B03" w:rsidRDefault="00C97C71" w:rsidP="005F6271">
      <w:pPr>
        <w:rPr>
          <w:rFonts w:ascii="Times New Roman" w:hAnsi="Times New Roman" w:cs="Times New Roman"/>
          <w:lang w:val="en-US"/>
        </w:rPr>
      </w:pPr>
      <w:r>
        <w:rPr>
          <w:rFonts w:ascii="Times New Roman" w:hAnsi="Times New Roman" w:cs="Times New Roman"/>
          <w:lang w:val="en-US"/>
        </w:rPr>
        <w:t>Independent research commissioned by the REIA shows that</w:t>
      </w:r>
      <w:r w:rsidR="005F6271" w:rsidRPr="00F62B03">
        <w:rPr>
          <w:rFonts w:ascii="Times New Roman" w:hAnsi="Times New Roman" w:cs="Times New Roman"/>
          <w:lang w:val="en-US"/>
        </w:rPr>
        <w:t>:</w:t>
      </w:r>
    </w:p>
    <w:p w14:paraId="749D43A7"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Negative gearing is a tax deduction for investments in a variety of assets, including property investments, share investments and business ventures</w:t>
      </w:r>
    </w:p>
    <w:p w14:paraId="503958C6"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The ability of investors to gear and use debt is a crucial part of investing and fostering economic growth. It is a fundamental principle that taxpayers should be able to deduct the associated costs incurred in earning income from investments, including the cost of borrowing. The ability to deduct the cost of debt and losses against income is necessary to ensure that investments are not taxed punitively</w:t>
      </w:r>
    </w:p>
    <w:p w14:paraId="430F8E8E"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The rationale for the 50 per cent discount on capital gains is to ensure that only real capital gains are taxed (not nominal capital gains). This approach replaced the previous indexation of capital gains in 1999</w:t>
      </w:r>
    </w:p>
    <w:p w14:paraId="46DCA345"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If nominal capital gains are taxed without discount then investors will be taxed on a gain they have not made</w:t>
      </w:r>
    </w:p>
    <w:p w14:paraId="19706510"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Negative gearing is not a special concession for property — it is a legitimate deduction of expenses in the course of earning income from investments in all asset classes until the investment generates a positive income stream in the future</w:t>
      </w:r>
    </w:p>
    <w:p w14:paraId="07E1C5DF"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Property is not the investment class that benefits the most from the CGT discount. The majority (around 60 per cent) of the capital gains are sourced from shares, while capital gains from real estate investments (which include residential and other types of property) represent approximately 26 per cent of the total capital gains of taxable individuals. Individuals across all income ranges benefit from the CGT discount. However, the highest proportion of taxable net capital gains income tends to be received by individuals at the higher end of the income distribution and hence these individuals receive a larger share of the benefits from the CGT discount</w:t>
      </w:r>
    </w:p>
    <w:p w14:paraId="7B70B22E"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lastRenderedPageBreak/>
        <w:t>Negative gearing benefits a range of Australian households by providing all individuals with an opportunity to invest in property, not just those in higher income brackets. Seven out of ten property investors who benefit from negative gearing earn a taxable income of less than $80,001 a year. Furthermore, while individuals with incomes higher than $80,001 claim around 40 per cent of losses on investment property, those earning less than $80,001 a year claim the majority of rental losses (above 60 per cent of all losses).The data also shows that the majority of investors own only one property and this has not significantly changed over time</w:t>
      </w:r>
    </w:p>
    <w:p w14:paraId="2D709B6D"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Negative gearing contributes to the provision of new housing — total dwelling commencements have been on a growth trend since the 1950s. A significant proportion of these new dwellings have been financed by investors. Around a third of all new dwellings construction is financed by investors every year and the absolute amount of investor loans committed to new housing has increased by more than seven-fold since 1986</w:t>
      </w:r>
    </w:p>
    <w:p w14:paraId="54078315"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 xml:space="preserve">An increase in rental supply means higher rental vacancies and lower rents than would otherwise be the case. The benefit to renters from improved rental affordability was directly </w:t>
      </w:r>
      <w:proofErr w:type="spellStart"/>
      <w:r w:rsidRPr="00892093">
        <w:rPr>
          <w:rFonts w:ascii="Times New Roman" w:hAnsi="Times New Roman"/>
          <w:lang w:val="en-US"/>
        </w:rPr>
        <w:t>recognised</w:t>
      </w:r>
      <w:proofErr w:type="spellEnd"/>
      <w:r w:rsidRPr="00892093">
        <w:rPr>
          <w:rFonts w:ascii="Times New Roman" w:hAnsi="Times New Roman"/>
          <w:lang w:val="en-US"/>
        </w:rPr>
        <w:t xml:space="preserve"> by the Henry Tax Review (2010) which noted that ‘the current tax advantages available to highly geared investment can operate as a subsidy to renters by placing downward pressure on rents</w:t>
      </w:r>
      <w:r w:rsidR="00C42810">
        <w:rPr>
          <w:rFonts w:ascii="Times New Roman" w:hAnsi="Times New Roman"/>
          <w:lang w:val="en-US"/>
        </w:rPr>
        <w:t>”</w:t>
      </w:r>
    </w:p>
    <w:p w14:paraId="3F3C9857"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Quarantining of expense deductions against corresponding income would primarily only affect the timing of tax payments, so would not result in large tax collection increase for the Government</w:t>
      </w:r>
    </w:p>
    <w:p w14:paraId="12AD2809" w14:textId="77777777" w:rsidR="005F6271" w:rsidRPr="00892093" w:rsidRDefault="005F6271" w:rsidP="005F6271">
      <w:pPr>
        <w:pStyle w:val="ListParagraph"/>
        <w:numPr>
          <w:ilvl w:val="0"/>
          <w:numId w:val="21"/>
        </w:numPr>
        <w:rPr>
          <w:rFonts w:ascii="Times New Roman" w:hAnsi="Times New Roman"/>
          <w:lang w:val="en-US"/>
        </w:rPr>
      </w:pPr>
      <w:r w:rsidRPr="00892093">
        <w:rPr>
          <w:rFonts w:ascii="Times New Roman" w:hAnsi="Times New Roman"/>
          <w:lang w:val="en-US"/>
        </w:rPr>
        <w:t>Limiting negative gearing to a maximum number of properties per taxpayer – as has been suggested by many commentators - would be highly distortionary, notwithstanding the practicality of determining an acceptable upper limit.</w:t>
      </w:r>
    </w:p>
    <w:p w14:paraId="17E5A05D" w14:textId="77777777"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The repeal of the current arrangements would shrink savings and investment and see increases in rents and the need for greater government investment in social housing.</w:t>
      </w:r>
    </w:p>
    <w:p w14:paraId="5F45C103" w14:textId="77777777" w:rsidR="002B1553" w:rsidRDefault="005F6271" w:rsidP="008137B8">
      <w:pPr>
        <w:rPr>
          <w:rFonts w:ascii="Times New Roman" w:hAnsi="Times New Roman" w:cs="Times New Roman"/>
          <w:lang w:val="en-US"/>
        </w:rPr>
      </w:pPr>
      <w:r w:rsidRPr="00F62B03">
        <w:rPr>
          <w:rFonts w:ascii="Times New Roman" w:hAnsi="Times New Roman" w:cs="Times New Roman"/>
          <w:lang w:val="en-US"/>
        </w:rPr>
        <w:t>The graph below shows the impact of the increase in investment properties in Australia and in Sydney and Melbourne, where the greatest investment activity has occurred</w:t>
      </w:r>
      <w:r w:rsidR="00B362BB">
        <w:rPr>
          <w:rFonts w:ascii="Times New Roman" w:hAnsi="Times New Roman" w:cs="Times New Roman"/>
          <w:lang w:val="en-US"/>
        </w:rPr>
        <w:t>, has had on rents</w:t>
      </w:r>
      <w:r w:rsidRPr="00F62B03">
        <w:rPr>
          <w:rFonts w:ascii="Times New Roman" w:hAnsi="Times New Roman" w:cs="Times New Roman"/>
          <w:lang w:val="en-US"/>
        </w:rPr>
        <w:t>. From the end of 2011, when investment in housing started to pick up, the rate of increase in rents has plummeted.</w:t>
      </w:r>
    </w:p>
    <w:p w14:paraId="120A76E5" w14:textId="77777777" w:rsidR="00C67111" w:rsidRPr="00190D62" w:rsidRDefault="00F23D2B" w:rsidP="002B1553">
      <w:pPr>
        <w:rPr>
          <w:rFonts w:ascii="Times New Roman" w:hAnsi="Times New Roman" w:cs="Times New Roman"/>
          <w:lang w:val="en-US"/>
        </w:rPr>
      </w:pPr>
      <w:r w:rsidRPr="00C67111">
        <w:rPr>
          <w:rFonts w:ascii="Times New Roman" w:hAnsi="Times New Roman" w:cs="Times New Roman"/>
          <w:lang w:val="en-US"/>
        </w:rPr>
        <w:t>The September 2018 CPI figures show that r</w:t>
      </w:r>
      <w:r w:rsidR="002B1553" w:rsidRPr="00C67111">
        <w:rPr>
          <w:rFonts w:ascii="Times New Roman" w:hAnsi="Times New Roman" w:cs="Times New Roman"/>
          <w:lang w:val="en-US"/>
        </w:rPr>
        <w:t xml:space="preserve">ents increased by 0.4% for the quarter and increased by just </w:t>
      </w:r>
      <w:r w:rsidRPr="00C67111">
        <w:rPr>
          <w:rFonts w:ascii="Times New Roman" w:hAnsi="Times New Roman" w:cs="Times New Roman"/>
          <w:lang w:val="en-US"/>
        </w:rPr>
        <w:t>1</w:t>
      </w:r>
      <w:r w:rsidR="002B1553" w:rsidRPr="00C67111">
        <w:rPr>
          <w:rFonts w:ascii="Times New Roman" w:hAnsi="Times New Roman" w:cs="Times New Roman"/>
          <w:lang w:val="en-US"/>
        </w:rPr>
        <w:t xml:space="preserve">.6% for the year. </w:t>
      </w:r>
      <w:r w:rsidRPr="00C67111">
        <w:rPr>
          <w:rFonts w:ascii="Times New Roman" w:hAnsi="Times New Roman" w:cs="Times New Roman"/>
          <w:lang w:val="en-US"/>
        </w:rPr>
        <w:t xml:space="preserve">This is the lowest annual increase in rents since December 1998. </w:t>
      </w:r>
      <w:r w:rsidR="00C67111" w:rsidRPr="00C67111">
        <w:rPr>
          <w:rFonts w:ascii="Times New Roman" w:hAnsi="Times New Roman" w:cs="Times New Roman"/>
          <w:lang w:val="en-US"/>
        </w:rPr>
        <w:t xml:space="preserve">In Sydney and Melbourne, where much of the investor activity has been focused, the increase in rents in the past </w:t>
      </w:r>
      <w:r w:rsidR="00C67111" w:rsidRPr="00190D62">
        <w:rPr>
          <w:rFonts w:ascii="Times New Roman" w:hAnsi="Times New Roman" w:cs="Times New Roman"/>
          <w:lang w:val="en-US"/>
        </w:rPr>
        <w:t>twelve months has been 1.9 per cent and 1.8 per cent respectively.</w:t>
      </w:r>
    </w:p>
    <w:p w14:paraId="367FEAC3" w14:textId="77777777" w:rsidR="008137B8" w:rsidRPr="008137B8" w:rsidRDefault="002B1553" w:rsidP="002B1553">
      <w:pPr>
        <w:rPr>
          <w:rFonts w:ascii="Times New Roman" w:hAnsi="Times New Roman" w:cs="Times New Roman"/>
          <w:lang w:val="en-US"/>
        </w:rPr>
      </w:pPr>
      <w:r w:rsidRPr="00190D62">
        <w:rPr>
          <w:rFonts w:ascii="Times New Roman" w:hAnsi="Times New Roman" w:cs="Times New Roman"/>
          <w:lang w:val="en-US"/>
        </w:rPr>
        <w:t>The CPI figures show that the increased investment in housing has kept growth in rents lower than they have been historically and is clear testament that the current taxation arrangements benefit renters and that any change in the treatment of negative gearing and capital gains tax would see an increase in rents.</w:t>
      </w:r>
      <w:r w:rsidR="008137B8" w:rsidRPr="008137B8">
        <w:rPr>
          <w:rFonts w:ascii="Times New Roman" w:hAnsi="Times New Roman" w:cs="Times New Roman"/>
          <w:lang w:val="en-US"/>
        </w:rPr>
        <w:t xml:space="preserve"> </w:t>
      </w:r>
    </w:p>
    <w:p w14:paraId="645DFDD3" w14:textId="77777777" w:rsidR="00310319" w:rsidRDefault="00310319" w:rsidP="00BA3E0B">
      <w:pPr>
        <w:rPr>
          <w:rFonts w:ascii="Times New Roman" w:hAnsi="Times New Roman" w:cs="Times New Roman"/>
          <w:b/>
          <w:lang w:val="en-US"/>
        </w:rPr>
      </w:pPr>
    </w:p>
    <w:p w14:paraId="04DF7055" w14:textId="77777777" w:rsidR="00310319" w:rsidRDefault="00310319" w:rsidP="00BA3E0B">
      <w:pPr>
        <w:rPr>
          <w:rFonts w:ascii="Times New Roman" w:hAnsi="Times New Roman" w:cs="Times New Roman"/>
          <w:b/>
          <w:lang w:val="en-US"/>
        </w:rPr>
      </w:pPr>
    </w:p>
    <w:p w14:paraId="0AE516D8" w14:textId="77777777" w:rsidR="00310319" w:rsidRDefault="00310319" w:rsidP="00BA3E0B">
      <w:pPr>
        <w:rPr>
          <w:rFonts w:ascii="Times New Roman" w:hAnsi="Times New Roman" w:cs="Times New Roman"/>
          <w:b/>
          <w:lang w:val="en-US"/>
        </w:rPr>
      </w:pPr>
    </w:p>
    <w:p w14:paraId="11AA0528" w14:textId="77777777" w:rsidR="00310319" w:rsidRDefault="00310319" w:rsidP="00BA3E0B">
      <w:pPr>
        <w:rPr>
          <w:rFonts w:ascii="Times New Roman" w:hAnsi="Times New Roman" w:cs="Times New Roman"/>
          <w:b/>
          <w:lang w:val="en-US"/>
        </w:rPr>
      </w:pPr>
    </w:p>
    <w:p w14:paraId="42949B36" w14:textId="77777777" w:rsidR="005F6271" w:rsidRDefault="005F6271" w:rsidP="00BA3E0B">
      <w:pPr>
        <w:rPr>
          <w:rFonts w:ascii="Times New Roman" w:hAnsi="Times New Roman" w:cs="Times New Roman"/>
          <w:b/>
          <w:lang w:val="en-US"/>
        </w:rPr>
      </w:pPr>
      <w:r w:rsidRPr="00892093">
        <w:rPr>
          <w:rFonts w:ascii="Times New Roman" w:hAnsi="Times New Roman" w:cs="Times New Roman"/>
          <w:b/>
          <w:lang w:val="en-US"/>
        </w:rPr>
        <w:lastRenderedPageBreak/>
        <w:t>ANNUAL CHANGE IN RENTS: AUSTRALIA, SYDNEY AND MELBOURNE</w:t>
      </w:r>
    </w:p>
    <w:p w14:paraId="5A132BA0" w14:textId="77777777" w:rsidR="00310319" w:rsidRDefault="00310319" w:rsidP="00BA3E0B">
      <w:pPr>
        <w:rPr>
          <w:rFonts w:ascii="Times New Roman" w:hAnsi="Times New Roman" w:cs="Times New Roman"/>
          <w:b/>
          <w:lang w:val="en-US"/>
        </w:rPr>
      </w:pPr>
      <w:r>
        <w:rPr>
          <w:noProof/>
          <w:lang w:eastAsia="en-AU"/>
        </w:rPr>
        <w:drawing>
          <wp:inline distT="0" distB="0" distL="0" distR="0" wp14:anchorId="55594551" wp14:editId="5CC51BE6">
            <wp:extent cx="5731510" cy="3745799"/>
            <wp:effectExtent l="0" t="0" r="2540" b="7620"/>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A365DE-AB86-4A2D-9A13-6961550769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C7D7E21" w14:textId="77777777" w:rsidR="000B2E26" w:rsidRPr="000B2E26" w:rsidRDefault="000B2E26" w:rsidP="000B2E26">
      <w:pPr>
        <w:rPr>
          <w:rFonts w:ascii="Times New Roman" w:hAnsi="Times New Roman" w:cs="Times New Roman"/>
        </w:rPr>
      </w:pPr>
      <w:r w:rsidRPr="000B2E26">
        <w:rPr>
          <w:rFonts w:ascii="Times New Roman" w:hAnsi="Times New Roman" w:cs="Times New Roman"/>
        </w:rPr>
        <w:t>Source: 6401.0 Consumer Price Index, Australia 2000 – 201</w:t>
      </w:r>
      <w:r w:rsidR="00310319">
        <w:rPr>
          <w:rFonts w:ascii="Times New Roman" w:hAnsi="Times New Roman" w:cs="Times New Roman"/>
        </w:rPr>
        <w:t>8</w:t>
      </w:r>
      <w:r w:rsidRPr="000B2E26">
        <w:rPr>
          <w:rFonts w:ascii="Times New Roman" w:hAnsi="Times New Roman" w:cs="Times New Roman"/>
        </w:rPr>
        <w:t xml:space="preserve"> (ABS)</w:t>
      </w:r>
    </w:p>
    <w:p w14:paraId="655C8C21" w14:textId="77777777" w:rsidR="000B2E26" w:rsidRDefault="000B2E26" w:rsidP="005F6271">
      <w:pPr>
        <w:rPr>
          <w:rFonts w:ascii="Times New Roman" w:hAnsi="Times New Roman" w:cs="Times New Roman"/>
          <w:lang w:val="en-US"/>
        </w:rPr>
      </w:pPr>
    </w:p>
    <w:p w14:paraId="2A78CD85" w14:textId="77777777"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 xml:space="preserve">Both Re-think and the Henry Review, note that stamp duties are some of the most inefficient taxes levied in Australia. Re-think goes on to say whilst stamp duties on the transfer of property are the second-largest source of state tax revenue (generating 24 per cent of state tax revenue) they are a highly volatile tax, with revenue fluctuating by over 50 per cent in previous years. Stamp duties also impact on consumers by increasing the cost of buying and selling houses. As house prices increase over time, unadjusted progressive tax rates also increase the tax burden associated with stamp duty. This adds to transaction costs and contributes to the high costs of moving which discourage mobility, impedes economic growth and leads to an </w:t>
      </w:r>
      <w:proofErr w:type="spellStart"/>
      <w:r w:rsidRPr="00F62B03">
        <w:rPr>
          <w:rFonts w:ascii="Times New Roman" w:hAnsi="Times New Roman" w:cs="Times New Roman"/>
          <w:lang w:val="en-US"/>
        </w:rPr>
        <w:t>underutilisation</w:t>
      </w:r>
      <w:proofErr w:type="spellEnd"/>
      <w:r w:rsidRPr="00F62B03">
        <w:rPr>
          <w:rFonts w:ascii="Times New Roman" w:hAnsi="Times New Roman" w:cs="Times New Roman"/>
          <w:lang w:val="en-US"/>
        </w:rPr>
        <w:t xml:space="preserve"> of the housing stock as older residents are reluctant to downsize.</w:t>
      </w:r>
    </w:p>
    <w:p w14:paraId="777120A2" w14:textId="77777777"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 xml:space="preserve">Stamp duty is also inequitable for those who move more frequently, for work related reasons for example, than those that do not as they face higher costs even if their circumstances are otherwise similar. Choices between renting and </w:t>
      </w:r>
      <w:r w:rsidR="003B5590" w:rsidRPr="00F62B03">
        <w:rPr>
          <w:rFonts w:ascii="Times New Roman" w:hAnsi="Times New Roman" w:cs="Times New Roman"/>
          <w:lang w:val="en-US"/>
        </w:rPr>
        <w:t>buying</w:t>
      </w:r>
      <w:r w:rsidRPr="00F62B03">
        <w:rPr>
          <w:rFonts w:ascii="Times New Roman" w:hAnsi="Times New Roman" w:cs="Times New Roman"/>
          <w:lang w:val="en-US"/>
        </w:rPr>
        <w:t xml:space="preserve"> and between moving house and renovating are also distorted by stamp duties.</w:t>
      </w:r>
    </w:p>
    <w:p w14:paraId="49FDE555" w14:textId="77777777"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According to the Henry Review “stamp duties on conveyances are inconsistent with the needs of a modern tax system …..</w:t>
      </w:r>
      <w:proofErr w:type="gramStart"/>
      <w:r w:rsidRPr="00F62B03">
        <w:rPr>
          <w:rFonts w:ascii="Times New Roman" w:hAnsi="Times New Roman" w:cs="Times New Roman"/>
          <w:lang w:val="en-US"/>
        </w:rPr>
        <w:t>and</w:t>
      </w:r>
      <w:proofErr w:type="gramEnd"/>
      <w:r w:rsidRPr="00F62B03">
        <w:rPr>
          <w:rFonts w:ascii="Times New Roman" w:hAnsi="Times New Roman" w:cs="Times New Roman"/>
          <w:lang w:val="en-US"/>
        </w:rPr>
        <w:t xml:space="preserve"> should be replaced with a more efficient means of raising revenue”.</w:t>
      </w:r>
    </w:p>
    <w:p w14:paraId="2C53B8BC" w14:textId="77777777"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t>State governments cannot eliminate inefficient taxes without going into deficit or having to reduce expenditure substantially. Hence cooperation between the Australian Government and the States is needed to undertake reform of inefficient state taxes.</w:t>
      </w:r>
    </w:p>
    <w:p w14:paraId="22E2C962" w14:textId="77777777" w:rsidR="005F6271" w:rsidRPr="00F62B03" w:rsidRDefault="005F6271" w:rsidP="005F6271">
      <w:pPr>
        <w:rPr>
          <w:rFonts w:ascii="Times New Roman" w:hAnsi="Times New Roman" w:cs="Times New Roman"/>
          <w:lang w:val="en-US"/>
        </w:rPr>
      </w:pPr>
      <w:r w:rsidRPr="00F62B03">
        <w:rPr>
          <w:rFonts w:ascii="Times New Roman" w:hAnsi="Times New Roman" w:cs="Times New Roman"/>
          <w:lang w:val="en-US"/>
        </w:rPr>
        <w:lastRenderedPageBreak/>
        <w:t>Economic analysis shows that economic activity in Australia can be lifted by just shifting the composition of taxes from high economic cost State taxes to lower cost Australia-wide taxes, without changing the overall level of tax revenues. The Centre of International Economics in its report, State Business Tax Reform in 2009 showed that the abolition of stamp duties on residential and non-residential property, removal of insurance duties and reform of land taxes and payroll taxes is projected to increase long run GDP by 1.7 per cent per year and investment by 4.4 per cent per year.</w:t>
      </w:r>
    </w:p>
    <w:p w14:paraId="71547A35" w14:textId="77777777" w:rsidR="004A1CE3" w:rsidRDefault="004A1CE3" w:rsidP="005F6271">
      <w:pPr>
        <w:rPr>
          <w:rFonts w:ascii="Times New Roman" w:hAnsi="Times New Roman" w:cs="Times New Roman"/>
          <w:lang w:val="en-US"/>
        </w:rPr>
      </w:pPr>
      <w:r>
        <w:rPr>
          <w:rFonts w:ascii="Times New Roman" w:hAnsi="Times New Roman" w:cs="Times New Roman"/>
          <w:lang w:val="en-US"/>
        </w:rPr>
        <w:t xml:space="preserve">Stamp duties are also a major hurdle for first home buyers </w:t>
      </w:r>
      <w:r w:rsidR="00214455">
        <w:rPr>
          <w:rFonts w:ascii="Times New Roman" w:hAnsi="Times New Roman" w:cs="Times New Roman"/>
          <w:lang w:val="en-US"/>
        </w:rPr>
        <w:t xml:space="preserve">and older home owners. For first home buyers stamp duty </w:t>
      </w:r>
      <w:r>
        <w:rPr>
          <w:rFonts w:ascii="Times New Roman" w:hAnsi="Times New Roman" w:cs="Times New Roman"/>
          <w:lang w:val="en-US"/>
        </w:rPr>
        <w:t>often mak</w:t>
      </w:r>
      <w:r w:rsidR="00214455">
        <w:rPr>
          <w:rFonts w:ascii="Times New Roman" w:hAnsi="Times New Roman" w:cs="Times New Roman"/>
          <w:lang w:val="en-US"/>
        </w:rPr>
        <w:t xml:space="preserve">es </w:t>
      </w:r>
      <w:r>
        <w:rPr>
          <w:rFonts w:ascii="Times New Roman" w:hAnsi="Times New Roman" w:cs="Times New Roman"/>
          <w:lang w:val="en-US"/>
        </w:rPr>
        <w:t xml:space="preserve">the difference between the ability to buy and not to. </w:t>
      </w:r>
      <w:r w:rsidR="00214455">
        <w:rPr>
          <w:rFonts w:ascii="Times New Roman" w:hAnsi="Times New Roman" w:cs="Times New Roman"/>
          <w:lang w:val="en-US"/>
        </w:rPr>
        <w:t xml:space="preserve">For older home owners considering down sizing to accommodation more suited to their needs in retirement stamp duty is </w:t>
      </w:r>
      <w:r w:rsidR="00075365">
        <w:rPr>
          <w:rFonts w:ascii="Times New Roman" w:hAnsi="Times New Roman" w:cs="Times New Roman"/>
          <w:lang w:val="en-US"/>
        </w:rPr>
        <w:t xml:space="preserve">frequently </w:t>
      </w:r>
      <w:r w:rsidR="00214455">
        <w:rPr>
          <w:rFonts w:ascii="Times New Roman" w:hAnsi="Times New Roman" w:cs="Times New Roman"/>
          <w:lang w:val="en-US"/>
        </w:rPr>
        <w:t xml:space="preserve">given as </w:t>
      </w:r>
      <w:r w:rsidR="00075365">
        <w:rPr>
          <w:rFonts w:ascii="Times New Roman" w:hAnsi="Times New Roman" w:cs="Times New Roman"/>
          <w:lang w:val="en-US"/>
        </w:rPr>
        <w:t xml:space="preserve">the </w:t>
      </w:r>
      <w:r w:rsidR="00214455">
        <w:rPr>
          <w:rFonts w:ascii="Times New Roman" w:hAnsi="Times New Roman" w:cs="Times New Roman"/>
          <w:lang w:val="en-US"/>
        </w:rPr>
        <w:t>reason</w:t>
      </w:r>
      <w:r w:rsidR="00075365">
        <w:rPr>
          <w:rFonts w:ascii="Times New Roman" w:hAnsi="Times New Roman" w:cs="Times New Roman"/>
          <w:lang w:val="en-US"/>
        </w:rPr>
        <w:t xml:space="preserve"> preventing such a move. Stamp duties are thus preventing a more efficient use of the housing stock and could be exacerbating the supply problem.</w:t>
      </w:r>
    </w:p>
    <w:p w14:paraId="50E139A4" w14:textId="77777777" w:rsidR="000A4E08" w:rsidRDefault="00373073" w:rsidP="000A4E08">
      <w:pPr>
        <w:rPr>
          <w:rFonts w:ascii="Times New Roman" w:hAnsi="Times New Roman" w:cs="Times New Roman"/>
        </w:rPr>
      </w:pPr>
      <w:r>
        <w:rPr>
          <w:rFonts w:ascii="Times New Roman" w:hAnsi="Times New Roman" w:cs="Times New Roman"/>
        </w:rPr>
        <w:t xml:space="preserve">A </w:t>
      </w:r>
      <w:r w:rsidR="000A4E08" w:rsidRPr="000A4E08">
        <w:rPr>
          <w:rFonts w:ascii="Times New Roman" w:hAnsi="Times New Roman" w:cs="Times New Roman"/>
        </w:rPr>
        <w:t>study by AHURI on taxation reform compar</w:t>
      </w:r>
      <w:r>
        <w:rPr>
          <w:rFonts w:ascii="Times New Roman" w:hAnsi="Times New Roman" w:cs="Times New Roman"/>
        </w:rPr>
        <w:t xml:space="preserve">ing </w:t>
      </w:r>
      <w:r w:rsidR="000A4E08" w:rsidRPr="000A4E08">
        <w:rPr>
          <w:rFonts w:ascii="Times New Roman" w:hAnsi="Times New Roman" w:cs="Times New Roman"/>
        </w:rPr>
        <w:t>reform of stamp duties, capital gains tax and changes to negative gearing in terms of their economic and social impact and on affordability</w:t>
      </w:r>
      <w:r>
        <w:rPr>
          <w:rFonts w:ascii="Times New Roman" w:hAnsi="Times New Roman" w:cs="Times New Roman"/>
        </w:rPr>
        <w:t xml:space="preserve"> </w:t>
      </w:r>
      <w:r w:rsidR="000A4E08" w:rsidRPr="000A4E08">
        <w:rPr>
          <w:rFonts w:ascii="Times New Roman" w:hAnsi="Times New Roman" w:cs="Times New Roman"/>
        </w:rPr>
        <w:t>conclu</w:t>
      </w:r>
      <w:r>
        <w:rPr>
          <w:rFonts w:ascii="Times New Roman" w:hAnsi="Times New Roman" w:cs="Times New Roman"/>
        </w:rPr>
        <w:t xml:space="preserve">des </w:t>
      </w:r>
      <w:r w:rsidR="000A4E08" w:rsidRPr="000A4E08">
        <w:rPr>
          <w:rFonts w:ascii="Times New Roman" w:hAnsi="Times New Roman" w:cs="Times New Roman"/>
        </w:rPr>
        <w:t>that state tax reform delivers greater benefits than changes to CGT and negative gearing.</w:t>
      </w:r>
    </w:p>
    <w:p w14:paraId="6B6D221D" w14:textId="77777777" w:rsidR="005F6271" w:rsidRDefault="005F6271" w:rsidP="005F6271">
      <w:pPr>
        <w:rPr>
          <w:rFonts w:ascii="Times New Roman" w:hAnsi="Times New Roman" w:cs="Times New Roman"/>
          <w:lang w:val="en-US"/>
        </w:rPr>
      </w:pPr>
      <w:r w:rsidRPr="000463B2">
        <w:rPr>
          <w:rFonts w:ascii="Times New Roman" w:hAnsi="Times New Roman" w:cs="Times New Roman"/>
          <w:lang w:val="en-US"/>
        </w:rPr>
        <w:t xml:space="preserve">The Federal Government needs to show leadership </w:t>
      </w:r>
      <w:r w:rsidR="004A1CE3" w:rsidRPr="000463B2">
        <w:rPr>
          <w:rFonts w:ascii="Times New Roman" w:hAnsi="Times New Roman" w:cs="Times New Roman"/>
          <w:lang w:val="en-US"/>
        </w:rPr>
        <w:t xml:space="preserve">in addressing housing affordability </w:t>
      </w:r>
      <w:r w:rsidR="000463B2" w:rsidRPr="000463B2">
        <w:rPr>
          <w:rFonts w:ascii="Times New Roman" w:hAnsi="Times New Roman" w:cs="Times New Roman"/>
          <w:lang w:val="en-US"/>
        </w:rPr>
        <w:t xml:space="preserve">by taking </w:t>
      </w:r>
      <w:r w:rsidR="004A1CE3" w:rsidRPr="000463B2">
        <w:rPr>
          <w:rFonts w:ascii="Times New Roman" w:hAnsi="Times New Roman" w:cs="Times New Roman"/>
        </w:rPr>
        <w:t xml:space="preserve">a coordinated and holistic </w:t>
      </w:r>
      <w:r w:rsidR="000463B2" w:rsidRPr="000463B2">
        <w:rPr>
          <w:rFonts w:ascii="Times New Roman" w:hAnsi="Times New Roman" w:cs="Times New Roman"/>
        </w:rPr>
        <w:t xml:space="preserve">approach </w:t>
      </w:r>
      <w:r w:rsidR="000463B2">
        <w:rPr>
          <w:rFonts w:ascii="Times New Roman" w:hAnsi="Times New Roman" w:cs="Times New Roman"/>
        </w:rPr>
        <w:t xml:space="preserve">of </w:t>
      </w:r>
      <w:r w:rsidR="004A1CE3" w:rsidRPr="000463B2">
        <w:rPr>
          <w:rFonts w:ascii="Times New Roman" w:hAnsi="Times New Roman" w:cs="Times New Roman"/>
        </w:rPr>
        <w:t>all levels of government</w:t>
      </w:r>
      <w:r w:rsidR="004A1CE3" w:rsidRPr="000463B2">
        <w:rPr>
          <w:rFonts w:ascii="Times New Roman" w:hAnsi="Times New Roman" w:cs="Times New Roman"/>
          <w:lang w:val="en-US"/>
        </w:rPr>
        <w:t xml:space="preserve"> in </w:t>
      </w:r>
      <w:r w:rsidR="000463B2" w:rsidRPr="000463B2">
        <w:rPr>
          <w:rFonts w:ascii="Times New Roman" w:hAnsi="Times New Roman" w:cs="Times New Roman"/>
          <w:lang w:val="en-US"/>
        </w:rPr>
        <w:t xml:space="preserve">objectively </w:t>
      </w:r>
      <w:r w:rsidR="004A1CE3" w:rsidRPr="000463B2">
        <w:rPr>
          <w:rFonts w:ascii="Times New Roman" w:hAnsi="Times New Roman" w:cs="Times New Roman"/>
          <w:lang w:val="en-US"/>
        </w:rPr>
        <w:t xml:space="preserve">addressing all </w:t>
      </w:r>
      <w:r w:rsidR="000463B2" w:rsidRPr="000463B2">
        <w:rPr>
          <w:rFonts w:ascii="Times New Roman" w:hAnsi="Times New Roman" w:cs="Times New Roman"/>
          <w:lang w:val="en-US"/>
        </w:rPr>
        <w:t>property taxes.</w:t>
      </w:r>
      <w:r w:rsidRPr="00F62B03">
        <w:rPr>
          <w:rFonts w:ascii="Times New Roman" w:hAnsi="Times New Roman" w:cs="Times New Roman"/>
          <w:lang w:val="en-US"/>
        </w:rPr>
        <w:t xml:space="preserve"> </w:t>
      </w:r>
    </w:p>
    <w:p w14:paraId="54C2B50F" w14:textId="77777777" w:rsidR="0085692D" w:rsidRPr="00341D51" w:rsidRDefault="0085692D" w:rsidP="0085692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lang w:val="en-US"/>
        </w:rPr>
      </w:pPr>
      <w:r w:rsidRPr="00341D51">
        <w:rPr>
          <w:rFonts w:ascii="Times New Roman" w:hAnsi="Times New Roman" w:cs="Times New Roman"/>
          <w:b/>
          <w:lang w:val="en-US"/>
        </w:rPr>
        <w:t xml:space="preserve">REIA recommends that the Australian Government take a leadership role </w:t>
      </w:r>
      <w:r>
        <w:rPr>
          <w:rFonts w:ascii="Times New Roman" w:hAnsi="Times New Roman" w:cs="Times New Roman"/>
          <w:b/>
          <w:lang w:val="en-US"/>
        </w:rPr>
        <w:t>in</w:t>
      </w:r>
      <w:r w:rsidRPr="000463B2">
        <w:rPr>
          <w:rFonts w:ascii="Times New Roman" w:hAnsi="Times New Roman" w:cs="Times New Roman"/>
          <w:b/>
          <w:lang w:val="en-US"/>
        </w:rPr>
        <w:t xml:space="preserve"> taking a </w:t>
      </w:r>
      <w:r w:rsidR="00373073" w:rsidRPr="000463B2">
        <w:rPr>
          <w:rFonts w:ascii="Times New Roman" w:hAnsi="Times New Roman" w:cs="Times New Roman"/>
          <w:b/>
          <w:lang w:val="en-US"/>
        </w:rPr>
        <w:t>coordinated</w:t>
      </w:r>
      <w:r w:rsidRPr="000463B2">
        <w:rPr>
          <w:rFonts w:ascii="Times New Roman" w:hAnsi="Times New Roman" w:cs="Times New Roman"/>
          <w:b/>
          <w:lang w:val="en-US"/>
        </w:rPr>
        <w:t xml:space="preserve"> and holistic approach of all levels of government in objectively addressing all property taxes.</w:t>
      </w:r>
    </w:p>
    <w:p w14:paraId="4CA8EA53" w14:textId="77777777" w:rsidR="0085692D" w:rsidRDefault="0085692D" w:rsidP="005F6271">
      <w:pPr>
        <w:rPr>
          <w:rFonts w:ascii="Times New Roman" w:hAnsi="Times New Roman" w:cs="Times New Roman"/>
          <w:lang w:val="en-US"/>
        </w:rPr>
      </w:pPr>
    </w:p>
    <w:p w14:paraId="07323EE2" w14:textId="77777777" w:rsidR="005F6271" w:rsidRPr="00341D51" w:rsidRDefault="0085692D" w:rsidP="005F627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lang w:val="en-US"/>
        </w:rPr>
      </w:pPr>
      <w:r w:rsidRPr="0085692D">
        <w:rPr>
          <w:rFonts w:ascii="Times New Roman" w:hAnsi="Times New Roman" w:cs="Times New Roman"/>
          <w:b/>
          <w:lang w:val="en-US"/>
        </w:rPr>
        <w:t xml:space="preserve">REIA recommends that until a </w:t>
      </w:r>
      <w:r w:rsidR="00373073" w:rsidRPr="0085692D">
        <w:rPr>
          <w:rFonts w:ascii="Times New Roman" w:hAnsi="Times New Roman" w:cs="Times New Roman"/>
          <w:b/>
          <w:lang w:val="en-US"/>
        </w:rPr>
        <w:t>coordinated</w:t>
      </w:r>
      <w:r w:rsidRPr="0085692D">
        <w:rPr>
          <w:rFonts w:ascii="Times New Roman" w:hAnsi="Times New Roman" w:cs="Times New Roman"/>
          <w:b/>
          <w:lang w:val="en-US"/>
        </w:rPr>
        <w:t xml:space="preserve"> and holistic approach in objectively addressing all property taxes is undertaken that negative gearing and capital gains tax on property investments are retained in its current form.</w:t>
      </w:r>
    </w:p>
    <w:p w14:paraId="2DA31794" w14:textId="77777777" w:rsidR="00310319" w:rsidRDefault="00310319" w:rsidP="00F62B03">
      <w:pPr>
        <w:rPr>
          <w:rFonts w:ascii="Times New Roman" w:hAnsi="Times New Roman" w:cs="Times New Roman"/>
          <w:b/>
          <w:lang w:val="en-US"/>
        </w:rPr>
      </w:pPr>
    </w:p>
    <w:p w14:paraId="64CC5A6F" w14:textId="77777777" w:rsidR="00B77B1A" w:rsidRPr="00892093" w:rsidRDefault="00B77B1A" w:rsidP="00F62B03">
      <w:pPr>
        <w:rPr>
          <w:rFonts w:ascii="Times New Roman" w:hAnsi="Times New Roman" w:cs="Times New Roman"/>
          <w:b/>
          <w:lang w:val="en-US"/>
        </w:rPr>
      </w:pPr>
      <w:r w:rsidRPr="00892093">
        <w:rPr>
          <w:rFonts w:ascii="Times New Roman" w:hAnsi="Times New Roman" w:cs="Times New Roman"/>
          <w:b/>
          <w:lang w:val="en-US"/>
        </w:rPr>
        <w:t>First Home Buyers</w:t>
      </w:r>
    </w:p>
    <w:p w14:paraId="0EB65415" w14:textId="77777777" w:rsidR="00B362BB" w:rsidRDefault="00B77B1A" w:rsidP="00F62B03">
      <w:pPr>
        <w:rPr>
          <w:rFonts w:ascii="Times New Roman" w:hAnsi="Times New Roman" w:cs="Times New Roman"/>
        </w:rPr>
      </w:pPr>
      <w:r w:rsidRPr="00F62B03">
        <w:rPr>
          <w:rFonts w:ascii="Times New Roman" w:hAnsi="Times New Roman" w:cs="Times New Roman"/>
        </w:rPr>
        <w:t xml:space="preserve">Housing affordability is an acute issue for first home buyers. The easing in monetary policy </w:t>
      </w:r>
      <w:r w:rsidR="00454530" w:rsidRPr="00F62B03">
        <w:rPr>
          <w:rFonts w:ascii="Times New Roman" w:hAnsi="Times New Roman" w:cs="Times New Roman"/>
        </w:rPr>
        <w:t>commenced</w:t>
      </w:r>
      <w:r w:rsidRPr="00F62B03">
        <w:rPr>
          <w:rFonts w:ascii="Times New Roman" w:hAnsi="Times New Roman" w:cs="Times New Roman"/>
        </w:rPr>
        <w:t xml:space="preserve"> in November 2011 </w:t>
      </w:r>
      <w:r w:rsidR="00FC3F3A" w:rsidRPr="00F62B03">
        <w:rPr>
          <w:rFonts w:ascii="Times New Roman" w:hAnsi="Times New Roman" w:cs="Times New Roman"/>
        </w:rPr>
        <w:t xml:space="preserve">has since seen </w:t>
      </w:r>
      <w:r w:rsidR="00FE7623" w:rsidRPr="00F62B03">
        <w:rPr>
          <w:rFonts w:ascii="Times New Roman" w:hAnsi="Times New Roman" w:cs="Times New Roman"/>
        </w:rPr>
        <w:t xml:space="preserve">a </w:t>
      </w:r>
      <w:r w:rsidR="002034C4">
        <w:rPr>
          <w:rFonts w:ascii="Times New Roman" w:hAnsi="Times New Roman" w:cs="Times New Roman"/>
        </w:rPr>
        <w:t xml:space="preserve">300 </w:t>
      </w:r>
      <w:r w:rsidRPr="00F62B03">
        <w:rPr>
          <w:rFonts w:ascii="Times New Roman" w:hAnsi="Times New Roman" w:cs="Times New Roman"/>
        </w:rPr>
        <w:t>basis points reduction in the o</w:t>
      </w:r>
      <w:r w:rsidR="00454530" w:rsidRPr="00F62B03">
        <w:rPr>
          <w:rFonts w:ascii="Times New Roman" w:hAnsi="Times New Roman" w:cs="Times New Roman"/>
        </w:rPr>
        <w:t xml:space="preserve">fficial interest rate which has, </w:t>
      </w:r>
      <w:r w:rsidRPr="00F62B03">
        <w:rPr>
          <w:rFonts w:ascii="Times New Roman" w:hAnsi="Times New Roman" w:cs="Times New Roman"/>
        </w:rPr>
        <w:t>albeit with a longer lag than expected</w:t>
      </w:r>
      <w:r w:rsidR="00454530" w:rsidRPr="00F62B03">
        <w:rPr>
          <w:rFonts w:ascii="Times New Roman" w:hAnsi="Times New Roman" w:cs="Times New Roman"/>
        </w:rPr>
        <w:t>,</w:t>
      </w:r>
      <w:r w:rsidRPr="00F62B03">
        <w:rPr>
          <w:rFonts w:ascii="Times New Roman" w:hAnsi="Times New Roman" w:cs="Times New Roman"/>
        </w:rPr>
        <w:t xml:space="preserve"> resulted in an increase in housing finance approvals.</w:t>
      </w:r>
      <w:r w:rsidR="00E85E1B">
        <w:rPr>
          <w:rFonts w:ascii="Times New Roman" w:hAnsi="Times New Roman" w:cs="Times New Roman"/>
        </w:rPr>
        <w:t xml:space="preserve"> </w:t>
      </w:r>
    </w:p>
    <w:p w14:paraId="03C4517F" w14:textId="77777777" w:rsidR="00B77B1A" w:rsidRPr="00F62B03" w:rsidRDefault="00AB2086" w:rsidP="00F62B03">
      <w:pPr>
        <w:rPr>
          <w:rFonts w:ascii="Times New Roman" w:hAnsi="Times New Roman" w:cs="Times New Roman"/>
        </w:rPr>
      </w:pPr>
      <w:r w:rsidRPr="006D03D0">
        <w:rPr>
          <w:rFonts w:ascii="Times New Roman" w:hAnsi="Times New Roman" w:cs="Times New Roman"/>
        </w:rPr>
        <w:t xml:space="preserve">Based on ABS data for </w:t>
      </w:r>
      <w:r w:rsidR="00B362BB">
        <w:rPr>
          <w:rFonts w:ascii="Times New Roman" w:hAnsi="Times New Roman" w:cs="Times New Roman"/>
        </w:rPr>
        <w:t>November 2018</w:t>
      </w:r>
      <w:r w:rsidR="007C4469">
        <w:rPr>
          <w:rFonts w:ascii="Times New Roman" w:hAnsi="Times New Roman" w:cs="Times New Roman"/>
        </w:rPr>
        <w:t xml:space="preserve"> </w:t>
      </w:r>
      <w:r w:rsidRPr="006D03D0">
        <w:rPr>
          <w:rFonts w:ascii="Times New Roman" w:hAnsi="Times New Roman" w:cs="Times New Roman"/>
        </w:rPr>
        <w:t>the proportion of first home buyers, as part of the total owner-occupied housing finance commitments</w:t>
      </w:r>
      <w:r w:rsidR="002E01E3" w:rsidRPr="006D03D0">
        <w:rPr>
          <w:rFonts w:ascii="Times New Roman" w:hAnsi="Times New Roman" w:cs="Times New Roman"/>
        </w:rPr>
        <w:t>, was 1</w:t>
      </w:r>
      <w:r w:rsidR="00B362BB">
        <w:rPr>
          <w:rFonts w:ascii="Times New Roman" w:hAnsi="Times New Roman" w:cs="Times New Roman"/>
        </w:rPr>
        <w:t>8.3</w:t>
      </w:r>
      <w:r w:rsidR="002E01E3" w:rsidRPr="006D03D0">
        <w:rPr>
          <w:rFonts w:ascii="Times New Roman" w:hAnsi="Times New Roman" w:cs="Times New Roman"/>
        </w:rPr>
        <w:t xml:space="preserve"> per cent</w:t>
      </w:r>
      <w:r w:rsidR="007C4469">
        <w:rPr>
          <w:rFonts w:ascii="Times New Roman" w:hAnsi="Times New Roman" w:cs="Times New Roman"/>
        </w:rPr>
        <w:t>.</w:t>
      </w:r>
      <w:r w:rsidR="002E01E3" w:rsidRPr="006D03D0">
        <w:rPr>
          <w:rFonts w:ascii="Times New Roman" w:hAnsi="Times New Roman" w:cs="Times New Roman"/>
        </w:rPr>
        <w:t xml:space="preserve"> </w:t>
      </w:r>
      <w:r w:rsidR="006D03D0" w:rsidRPr="006D03D0">
        <w:rPr>
          <w:rFonts w:ascii="Times New Roman" w:hAnsi="Times New Roman" w:cs="Times New Roman"/>
        </w:rPr>
        <w:t xml:space="preserve">The current rate is higher than the </w:t>
      </w:r>
      <w:r w:rsidR="00B77B1A" w:rsidRPr="006D03D0">
        <w:rPr>
          <w:rFonts w:ascii="Times New Roman" w:hAnsi="Times New Roman" w:cs="Times New Roman"/>
        </w:rPr>
        <w:t>historically low</w:t>
      </w:r>
      <w:r w:rsidR="006D03D0" w:rsidRPr="006D03D0">
        <w:rPr>
          <w:rFonts w:ascii="Times New Roman" w:hAnsi="Times New Roman" w:cs="Times New Roman"/>
        </w:rPr>
        <w:t xml:space="preserve"> </w:t>
      </w:r>
      <w:r w:rsidR="00B77B1A" w:rsidRPr="006D03D0">
        <w:rPr>
          <w:rFonts w:ascii="Times New Roman" w:hAnsi="Times New Roman" w:cs="Times New Roman"/>
        </w:rPr>
        <w:t>point of</w:t>
      </w:r>
      <w:r w:rsidR="006D03D0" w:rsidRPr="006D03D0">
        <w:rPr>
          <w:rFonts w:ascii="Times New Roman" w:hAnsi="Times New Roman" w:cs="Times New Roman"/>
        </w:rPr>
        <w:t xml:space="preserve"> 12.9 per cent in March 2016 </w:t>
      </w:r>
      <w:r w:rsidR="00310319">
        <w:rPr>
          <w:rFonts w:ascii="Times New Roman" w:hAnsi="Times New Roman" w:cs="Times New Roman"/>
        </w:rPr>
        <w:t>but</w:t>
      </w:r>
      <w:r w:rsidR="006D03D0" w:rsidRPr="006D03D0">
        <w:rPr>
          <w:rFonts w:ascii="Times New Roman" w:hAnsi="Times New Roman" w:cs="Times New Roman"/>
        </w:rPr>
        <w:t xml:space="preserve"> is in contrast to the high of 31.4 per cent in May 2009 when the Government increased </w:t>
      </w:r>
      <w:r w:rsidR="007C4469">
        <w:rPr>
          <w:rFonts w:ascii="Times New Roman" w:hAnsi="Times New Roman" w:cs="Times New Roman"/>
        </w:rPr>
        <w:t>t</w:t>
      </w:r>
      <w:r w:rsidR="006D03D0" w:rsidRPr="006D03D0">
        <w:rPr>
          <w:rFonts w:ascii="Times New Roman" w:hAnsi="Times New Roman" w:cs="Times New Roman"/>
        </w:rPr>
        <w:t xml:space="preserve">he </w:t>
      </w:r>
      <w:r w:rsidR="006D03D0" w:rsidRPr="00F62B03">
        <w:rPr>
          <w:rFonts w:ascii="Times New Roman" w:hAnsi="Times New Roman" w:cs="Times New Roman"/>
        </w:rPr>
        <w:t xml:space="preserve">First Home Owner Grant (FHOG) </w:t>
      </w:r>
      <w:r w:rsidR="006D03D0" w:rsidRPr="006D03D0">
        <w:rPr>
          <w:rFonts w:ascii="Times New Roman" w:hAnsi="Times New Roman" w:cs="Times New Roman"/>
        </w:rPr>
        <w:t>as part of its GFC measures</w:t>
      </w:r>
      <w:r w:rsidR="00454530" w:rsidRPr="006D03D0">
        <w:rPr>
          <w:rFonts w:ascii="Times New Roman" w:hAnsi="Times New Roman" w:cs="Times New Roman"/>
        </w:rPr>
        <w:t>,</w:t>
      </w:r>
      <w:r w:rsidR="00B77B1A" w:rsidRPr="006D03D0">
        <w:rPr>
          <w:rFonts w:ascii="Times New Roman" w:hAnsi="Times New Roman" w:cs="Times New Roman"/>
        </w:rPr>
        <w:t xml:space="preserve"> indicating the urgent need to address the issue.</w:t>
      </w:r>
    </w:p>
    <w:p w14:paraId="1D771A87" w14:textId="77777777" w:rsidR="009B708D" w:rsidRPr="00F62B03" w:rsidRDefault="009B708D" w:rsidP="00F62B03">
      <w:pPr>
        <w:rPr>
          <w:rFonts w:ascii="Times New Roman" w:hAnsi="Times New Roman" w:cs="Times New Roman"/>
        </w:rPr>
      </w:pPr>
      <w:r w:rsidRPr="00F62B03">
        <w:rPr>
          <w:rFonts w:ascii="Times New Roman" w:hAnsi="Times New Roman" w:cs="Times New Roman"/>
        </w:rPr>
        <w:t>With three quarters of Australian first home buyers having less than a 20% deposit</w:t>
      </w:r>
      <w:r w:rsidR="00CE1541" w:rsidRPr="00F62B03">
        <w:rPr>
          <w:rFonts w:ascii="Times New Roman" w:hAnsi="Times New Roman" w:cs="Times New Roman"/>
        </w:rPr>
        <w:t xml:space="preserve"> and thus incurring mortgage insurance</w:t>
      </w:r>
      <w:r w:rsidRPr="00F62B03">
        <w:rPr>
          <w:rFonts w:ascii="Times New Roman" w:hAnsi="Times New Roman" w:cs="Times New Roman"/>
        </w:rPr>
        <w:t xml:space="preserve">, it is critical that first home buyers have </w:t>
      </w:r>
      <w:r w:rsidR="00CE1541" w:rsidRPr="00F62B03">
        <w:rPr>
          <w:rFonts w:ascii="Times New Roman" w:hAnsi="Times New Roman" w:cs="Times New Roman"/>
        </w:rPr>
        <w:t xml:space="preserve">an </w:t>
      </w:r>
      <w:r w:rsidR="00726DD7" w:rsidRPr="00F62B03">
        <w:rPr>
          <w:rFonts w:ascii="Times New Roman" w:hAnsi="Times New Roman" w:cs="Times New Roman"/>
        </w:rPr>
        <w:t xml:space="preserve">additional </w:t>
      </w:r>
      <w:r w:rsidRPr="00F62B03">
        <w:rPr>
          <w:rFonts w:ascii="Times New Roman" w:hAnsi="Times New Roman" w:cs="Times New Roman"/>
        </w:rPr>
        <w:t xml:space="preserve">way of </w:t>
      </w:r>
      <w:r w:rsidR="00726DD7" w:rsidRPr="00F62B03">
        <w:rPr>
          <w:rFonts w:ascii="Times New Roman" w:hAnsi="Times New Roman" w:cs="Times New Roman"/>
        </w:rPr>
        <w:t xml:space="preserve">supplementing </w:t>
      </w:r>
      <w:r w:rsidRPr="00F62B03">
        <w:rPr>
          <w:rFonts w:ascii="Times New Roman" w:hAnsi="Times New Roman" w:cs="Times New Roman"/>
        </w:rPr>
        <w:t>their deposit</w:t>
      </w:r>
      <w:r w:rsidR="00726DD7" w:rsidRPr="00F62B03">
        <w:rPr>
          <w:rFonts w:ascii="Times New Roman" w:hAnsi="Times New Roman" w:cs="Times New Roman"/>
        </w:rPr>
        <w:t xml:space="preserve"> savings</w:t>
      </w:r>
      <w:r w:rsidRPr="00F62B03">
        <w:rPr>
          <w:rFonts w:ascii="Times New Roman" w:hAnsi="Times New Roman" w:cs="Times New Roman"/>
        </w:rPr>
        <w:t>.</w:t>
      </w:r>
    </w:p>
    <w:p w14:paraId="7D417904" w14:textId="77777777" w:rsidR="00713C3A" w:rsidRPr="00F62B03" w:rsidRDefault="00713C3A" w:rsidP="00F62B03">
      <w:pPr>
        <w:rPr>
          <w:rFonts w:ascii="Times New Roman" w:hAnsi="Times New Roman" w:cs="Times New Roman"/>
        </w:rPr>
      </w:pPr>
      <w:r w:rsidRPr="00F62B03">
        <w:rPr>
          <w:rFonts w:ascii="Times New Roman" w:hAnsi="Times New Roman" w:cs="Times New Roman"/>
        </w:rPr>
        <w:t xml:space="preserve">REIA believes in the benefits of continuing the high ownership level in Australia, particularly as the population ages, and strongly encourages the Commonwealth Government to help implement </w:t>
      </w:r>
      <w:r w:rsidRPr="00F62B03">
        <w:rPr>
          <w:rFonts w:ascii="Times New Roman" w:hAnsi="Times New Roman" w:cs="Times New Roman"/>
        </w:rPr>
        <w:lastRenderedPageBreak/>
        <w:t>solutions that will assist aspiring first home buyers.</w:t>
      </w:r>
      <w:r w:rsidR="008765C0" w:rsidRPr="00F62B03">
        <w:rPr>
          <w:rFonts w:ascii="Times New Roman" w:hAnsi="Times New Roman" w:cs="Times New Roman"/>
        </w:rPr>
        <w:t xml:space="preserve"> Such assistance should be uniform and should not discriminate </w:t>
      </w:r>
      <w:r w:rsidR="00726DD7" w:rsidRPr="00F62B03">
        <w:rPr>
          <w:rFonts w:ascii="Times New Roman" w:hAnsi="Times New Roman" w:cs="Times New Roman"/>
        </w:rPr>
        <w:t>between buyers of new or established housing.</w:t>
      </w:r>
    </w:p>
    <w:p w14:paraId="53CC95B3" w14:textId="77777777" w:rsidR="00B77B1A" w:rsidRPr="00F62B03" w:rsidRDefault="00B77B1A" w:rsidP="00F62B03">
      <w:pPr>
        <w:rPr>
          <w:rFonts w:ascii="Times New Roman" w:hAnsi="Times New Roman" w:cs="Times New Roman"/>
          <w:lang w:val="en-US"/>
        </w:rPr>
      </w:pPr>
      <w:r w:rsidRPr="00F62B03">
        <w:rPr>
          <w:rFonts w:ascii="Times New Roman" w:hAnsi="Times New Roman" w:cs="Times New Roman"/>
          <w:lang w:val="en-US"/>
        </w:rPr>
        <w:t>Superannuation is an important financial asset of Australian households. Aside from home ownership it is the second most important financial asset with 82.1% of all Australian households holding at least some savings in their superannuation account and the average value across all households at $142,429 (HILDA Survey).</w:t>
      </w:r>
    </w:p>
    <w:p w14:paraId="6A97C89E" w14:textId="77777777" w:rsidR="00B77B1A" w:rsidRDefault="00B77B1A" w:rsidP="00F62B03">
      <w:pPr>
        <w:rPr>
          <w:rFonts w:ascii="Times New Roman" w:hAnsi="Times New Roman" w:cs="Times New Roman"/>
          <w:lang w:val="en-US"/>
        </w:rPr>
      </w:pPr>
      <w:r w:rsidRPr="00F62B03">
        <w:rPr>
          <w:rFonts w:ascii="Times New Roman" w:hAnsi="Times New Roman" w:cs="Times New Roman"/>
          <w:lang w:val="en-US"/>
        </w:rPr>
        <w:t>Superannuation and home ownership are both components of a retiree</w:t>
      </w:r>
      <w:r w:rsidR="003433F7" w:rsidRPr="00F62B03">
        <w:rPr>
          <w:rFonts w:ascii="Times New Roman" w:hAnsi="Times New Roman" w:cs="Times New Roman"/>
          <w:lang w:val="en-US"/>
        </w:rPr>
        <w:t>’</w:t>
      </w:r>
      <w:r w:rsidRPr="00F62B03">
        <w:rPr>
          <w:rFonts w:ascii="Times New Roman" w:hAnsi="Times New Roman" w:cs="Times New Roman"/>
          <w:lang w:val="en-US"/>
        </w:rPr>
        <w:t>s “nest egg” and not competing products. By buying earlier in life retirees have every prospect of having a higher equity on retirement and a larger “nest egg” on downsizing. Too much attention has be</w:t>
      </w:r>
      <w:r w:rsidR="00886CEB" w:rsidRPr="00F62B03">
        <w:rPr>
          <w:rFonts w:ascii="Times New Roman" w:hAnsi="Times New Roman" w:cs="Times New Roman"/>
          <w:lang w:val="en-US"/>
        </w:rPr>
        <w:t>en</w:t>
      </w:r>
      <w:r w:rsidRPr="00F62B03">
        <w:rPr>
          <w:rFonts w:ascii="Times New Roman" w:hAnsi="Times New Roman" w:cs="Times New Roman"/>
          <w:lang w:val="en-US"/>
        </w:rPr>
        <w:t xml:space="preserve"> focused on the accumulation of a nest egg through superannuation at the expense of other more practical considerations which not </w:t>
      </w:r>
      <w:r w:rsidR="003433F7" w:rsidRPr="00F62B03">
        <w:rPr>
          <w:rFonts w:ascii="Times New Roman" w:hAnsi="Times New Roman" w:cs="Times New Roman"/>
          <w:lang w:val="en-US"/>
        </w:rPr>
        <w:t xml:space="preserve">only </w:t>
      </w:r>
      <w:r w:rsidRPr="00F62B03">
        <w:rPr>
          <w:rFonts w:ascii="Times New Roman" w:hAnsi="Times New Roman" w:cs="Times New Roman"/>
          <w:lang w:val="en-US"/>
        </w:rPr>
        <w:t>improve the quality of life at an earlier age but result in a greater retirement “nest egg”.</w:t>
      </w:r>
    </w:p>
    <w:p w14:paraId="5BF8585F" w14:textId="77777777" w:rsidR="00823C2A" w:rsidRDefault="00B77B1A" w:rsidP="00823C2A">
      <w:pPr>
        <w:rPr>
          <w:rFonts w:ascii="Times New Roman" w:hAnsi="Times New Roman" w:cs="Times New Roman"/>
          <w:lang w:val="en-US"/>
        </w:rPr>
      </w:pPr>
      <w:r w:rsidRPr="00F62B03">
        <w:rPr>
          <w:rFonts w:ascii="Times New Roman" w:hAnsi="Times New Roman" w:cs="Times New Roman"/>
          <w:lang w:val="en-US"/>
        </w:rPr>
        <w:t xml:space="preserve">Furthermore, access to superannuation for the purchase of </w:t>
      </w:r>
      <w:r w:rsidR="00F90BDE" w:rsidRPr="00F62B03">
        <w:rPr>
          <w:rFonts w:ascii="Times New Roman" w:hAnsi="Times New Roman" w:cs="Times New Roman"/>
          <w:lang w:val="en-US"/>
        </w:rPr>
        <w:t xml:space="preserve">a </w:t>
      </w:r>
      <w:r w:rsidRPr="00F62B03">
        <w:rPr>
          <w:rFonts w:ascii="Times New Roman" w:hAnsi="Times New Roman" w:cs="Times New Roman"/>
          <w:lang w:val="en-US"/>
        </w:rPr>
        <w:t xml:space="preserve">first home </w:t>
      </w:r>
      <w:r w:rsidR="00F90BDE" w:rsidRPr="00F62B03">
        <w:rPr>
          <w:rFonts w:ascii="Times New Roman" w:hAnsi="Times New Roman" w:cs="Times New Roman"/>
          <w:lang w:val="en-US"/>
        </w:rPr>
        <w:t xml:space="preserve">could help </w:t>
      </w:r>
      <w:r w:rsidRPr="00F62B03">
        <w:rPr>
          <w:rFonts w:ascii="Times New Roman" w:hAnsi="Times New Roman" w:cs="Times New Roman"/>
          <w:lang w:val="en-US"/>
        </w:rPr>
        <w:t>reverse the trend of f</w:t>
      </w:r>
      <w:r w:rsidR="00F90BDE" w:rsidRPr="00F62B03">
        <w:rPr>
          <w:rFonts w:ascii="Times New Roman" w:hAnsi="Times New Roman" w:cs="Times New Roman"/>
          <w:lang w:val="en-US"/>
        </w:rPr>
        <w:t>alling home ownership and address</w:t>
      </w:r>
      <w:r w:rsidRPr="00F62B03">
        <w:rPr>
          <w:rFonts w:ascii="Times New Roman" w:hAnsi="Times New Roman" w:cs="Times New Roman"/>
          <w:lang w:val="en-US"/>
        </w:rPr>
        <w:t xml:space="preserve"> the looming </w:t>
      </w:r>
      <w:r w:rsidR="00F90BDE" w:rsidRPr="00F62B03">
        <w:rPr>
          <w:rFonts w:ascii="Times New Roman" w:hAnsi="Times New Roman" w:cs="Times New Roman"/>
          <w:lang w:val="en-US"/>
        </w:rPr>
        <w:t xml:space="preserve">significant </w:t>
      </w:r>
      <w:r w:rsidRPr="00F62B03">
        <w:rPr>
          <w:rFonts w:ascii="Times New Roman" w:hAnsi="Times New Roman" w:cs="Times New Roman"/>
          <w:lang w:val="en-US"/>
        </w:rPr>
        <w:t xml:space="preserve">policy problem of  </w:t>
      </w:r>
      <w:r w:rsidR="00F90BDE" w:rsidRPr="00F62B03">
        <w:rPr>
          <w:rFonts w:ascii="Times New Roman" w:hAnsi="Times New Roman" w:cs="Times New Roman"/>
          <w:lang w:val="en-US"/>
        </w:rPr>
        <w:t xml:space="preserve">a </w:t>
      </w:r>
      <w:r w:rsidRPr="00F62B03">
        <w:rPr>
          <w:rFonts w:ascii="Times New Roman" w:hAnsi="Times New Roman" w:cs="Times New Roman"/>
          <w:lang w:val="en-US"/>
        </w:rPr>
        <w:t>large numbers of long-term renters aged 45 years and over remaining in the rental sector and possibly requiring rental support in later years.</w:t>
      </w:r>
    </w:p>
    <w:p w14:paraId="616321D5" w14:textId="77777777" w:rsidR="00823C2A" w:rsidRDefault="00823C2A" w:rsidP="00823C2A">
      <w:pPr>
        <w:rPr>
          <w:rFonts w:ascii="Times New Roman" w:hAnsi="Times New Roman" w:cs="Times New Roman"/>
          <w:lang w:val="en-US"/>
        </w:rPr>
      </w:pPr>
      <w:r>
        <w:rPr>
          <w:rFonts w:ascii="Times New Roman" w:hAnsi="Times New Roman" w:cs="Times New Roman"/>
          <w:lang w:val="en-US"/>
        </w:rPr>
        <w:t xml:space="preserve">The 2017 Budget measure of allowing first home buyers </w:t>
      </w:r>
      <w:r w:rsidRPr="00823C2A">
        <w:rPr>
          <w:rFonts w:ascii="Times New Roman" w:hAnsi="Times New Roman" w:cs="Times New Roman"/>
        </w:rPr>
        <w:t>to apply to withdraw voluntary contributions made to super after 1</w:t>
      </w:r>
      <w:r>
        <w:rPr>
          <w:rFonts w:ascii="Times New Roman" w:hAnsi="Times New Roman" w:cs="Times New Roman"/>
        </w:rPr>
        <w:t xml:space="preserve"> </w:t>
      </w:r>
      <w:r w:rsidRPr="00823C2A">
        <w:rPr>
          <w:rFonts w:ascii="Times New Roman" w:hAnsi="Times New Roman" w:cs="Times New Roman"/>
        </w:rPr>
        <w:t>July 2017 for a home deposit</w:t>
      </w:r>
      <w:r>
        <w:rPr>
          <w:rFonts w:ascii="Times New Roman" w:hAnsi="Times New Roman" w:cs="Times New Roman"/>
        </w:rPr>
        <w:t xml:space="preserve"> recognises this and is a welcome initiative.</w:t>
      </w:r>
    </w:p>
    <w:p w14:paraId="3315C2BE" w14:textId="77777777" w:rsidR="00823C2A" w:rsidRPr="00F62B03" w:rsidRDefault="00823C2A" w:rsidP="00823C2A">
      <w:pPr>
        <w:rPr>
          <w:rFonts w:ascii="Times New Roman" w:hAnsi="Times New Roman" w:cs="Times New Roman"/>
          <w:lang w:val="en-US"/>
        </w:rPr>
      </w:pPr>
      <w:r w:rsidRPr="00F62B03">
        <w:rPr>
          <w:rFonts w:ascii="Times New Roman" w:hAnsi="Times New Roman" w:cs="Times New Roman"/>
          <w:lang w:val="en-US"/>
        </w:rPr>
        <w:t xml:space="preserve">Allowing access to a </w:t>
      </w:r>
      <w:r w:rsidR="00E91966">
        <w:rPr>
          <w:rFonts w:ascii="Times New Roman" w:hAnsi="Times New Roman" w:cs="Times New Roman"/>
          <w:lang w:val="en-US"/>
        </w:rPr>
        <w:t xml:space="preserve">pre 1 July 2017 voluntary contributions to </w:t>
      </w:r>
      <w:r w:rsidRPr="00F62B03">
        <w:rPr>
          <w:rFonts w:ascii="Times New Roman" w:hAnsi="Times New Roman" w:cs="Times New Roman"/>
          <w:lang w:val="en-US"/>
        </w:rPr>
        <w:t xml:space="preserve">superannuation funds would help prospective buyers to save for a deposit faster. </w:t>
      </w:r>
      <w:r w:rsidR="00E91966">
        <w:rPr>
          <w:rFonts w:ascii="Times New Roman" w:hAnsi="Times New Roman" w:cs="Times New Roman"/>
          <w:lang w:val="en-US"/>
        </w:rPr>
        <w:t>The mechanism for accessing these funds has already been established by the 2017 Budget initiative of t</w:t>
      </w:r>
      <w:r w:rsidR="00E91966" w:rsidRPr="00E91966">
        <w:rPr>
          <w:rFonts w:ascii="Times New Roman" w:hAnsi="Times New Roman" w:cs="Times New Roman"/>
        </w:rPr>
        <w:t xml:space="preserve">he </w:t>
      </w:r>
      <w:r w:rsidR="00E91966" w:rsidRPr="00E91966">
        <w:rPr>
          <w:rFonts w:ascii="Times New Roman" w:hAnsi="Times New Roman" w:cs="Times New Roman"/>
          <w:bCs/>
        </w:rPr>
        <w:t>First Home Super Saver</w:t>
      </w:r>
      <w:r w:rsidR="00E91966" w:rsidRPr="00E91966">
        <w:rPr>
          <w:rFonts w:ascii="Times New Roman" w:hAnsi="Times New Roman" w:cs="Times New Roman"/>
        </w:rPr>
        <w:t xml:space="preserve"> (FHSS) </w:t>
      </w:r>
      <w:r w:rsidR="00E91966" w:rsidRPr="00E91966">
        <w:rPr>
          <w:rFonts w:ascii="Times New Roman" w:hAnsi="Times New Roman" w:cs="Times New Roman"/>
          <w:bCs/>
        </w:rPr>
        <w:t>Scheme</w:t>
      </w:r>
      <w:r w:rsidR="00E91966">
        <w:rPr>
          <w:rFonts w:ascii="Times New Roman" w:hAnsi="Times New Roman" w:cs="Times New Roman"/>
          <w:lang w:val="en-US"/>
        </w:rPr>
        <w:t>.</w:t>
      </w:r>
    </w:p>
    <w:p w14:paraId="64DCCF1C" w14:textId="77777777" w:rsidR="00B77B1A" w:rsidRDefault="00F90BDE" w:rsidP="00F62B03">
      <w:pPr>
        <w:rPr>
          <w:rFonts w:ascii="Times New Roman" w:hAnsi="Times New Roman" w:cs="Times New Roman"/>
          <w:lang w:val="en-US"/>
        </w:rPr>
      </w:pPr>
      <w:r w:rsidRPr="00F62B03">
        <w:rPr>
          <w:rFonts w:ascii="Times New Roman" w:hAnsi="Times New Roman" w:cs="Times New Roman"/>
          <w:lang w:val="en-US"/>
        </w:rPr>
        <w:t xml:space="preserve">The use of </w:t>
      </w:r>
      <w:r w:rsidR="00B77B1A" w:rsidRPr="00F62B03">
        <w:rPr>
          <w:rFonts w:ascii="Times New Roman" w:hAnsi="Times New Roman" w:cs="Times New Roman"/>
          <w:lang w:val="en-US"/>
        </w:rPr>
        <w:t xml:space="preserve">retirement savings </w:t>
      </w:r>
      <w:r w:rsidRPr="00F62B03">
        <w:rPr>
          <w:rFonts w:ascii="Times New Roman" w:hAnsi="Times New Roman" w:cs="Times New Roman"/>
          <w:lang w:val="en-US"/>
        </w:rPr>
        <w:t xml:space="preserve">for a first home purchase </w:t>
      </w:r>
      <w:r w:rsidR="00B77B1A" w:rsidRPr="00F62B03">
        <w:rPr>
          <w:rFonts w:ascii="Times New Roman" w:hAnsi="Times New Roman" w:cs="Times New Roman"/>
          <w:lang w:val="en-US"/>
        </w:rPr>
        <w:t>has already proven to be successful in Canada, New Zealand and Singapore.</w:t>
      </w:r>
    </w:p>
    <w:p w14:paraId="06024815" w14:textId="77777777" w:rsidR="00155E47" w:rsidRPr="00F62B03" w:rsidRDefault="00155E47" w:rsidP="00F62B03">
      <w:pPr>
        <w:rPr>
          <w:rFonts w:ascii="Times New Roman" w:hAnsi="Times New Roman" w:cs="Times New Roman"/>
          <w:lang w:val="en-US"/>
        </w:rPr>
      </w:pPr>
    </w:p>
    <w:p w14:paraId="2093F81E" w14:textId="77777777" w:rsidR="00B77B1A" w:rsidRPr="00341D51" w:rsidRDefault="00B77B1A" w:rsidP="00AF7DF1">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lang w:val="en-US"/>
        </w:rPr>
      </w:pPr>
      <w:r w:rsidRPr="00341D51">
        <w:rPr>
          <w:rFonts w:ascii="Times New Roman" w:hAnsi="Times New Roman" w:cs="Times New Roman"/>
          <w:b/>
          <w:lang w:val="en-US"/>
        </w:rPr>
        <w:t xml:space="preserve">The REIA proposes </w:t>
      </w:r>
      <w:r w:rsidR="00886CEB" w:rsidRPr="00341D51">
        <w:rPr>
          <w:rFonts w:ascii="Times New Roman" w:hAnsi="Times New Roman" w:cs="Times New Roman"/>
          <w:b/>
          <w:lang w:val="en-US"/>
        </w:rPr>
        <w:t xml:space="preserve">that </w:t>
      </w:r>
      <w:r w:rsidRPr="00341D51">
        <w:rPr>
          <w:rFonts w:ascii="Times New Roman" w:hAnsi="Times New Roman" w:cs="Times New Roman"/>
          <w:b/>
          <w:lang w:val="en-US"/>
        </w:rPr>
        <w:t xml:space="preserve">the Commonwealth Government </w:t>
      </w:r>
      <w:r w:rsidR="00E91966">
        <w:rPr>
          <w:rFonts w:ascii="Times New Roman" w:hAnsi="Times New Roman" w:cs="Times New Roman"/>
          <w:b/>
          <w:lang w:val="en-US"/>
        </w:rPr>
        <w:t xml:space="preserve">extend the current </w:t>
      </w:r>
      <w:r w:rsidR="00E91966" w:rsidRPr="00E91966">
        <w:rPr>
          <w:rFonts w:ascii="Times New Roman" w:hAnsi="Times New Roman" w:cs="Times New Roman"/>
          <w:b/>
          <w:bCs/>
        </w:rPr>
        <w:t>First Home Super</w:t>
      </w:r>
      <w:r w:rsidR="002366FF">
        <w:rPr>
          <w:rFonts w:ascii="Times New Roman" w:hAnsi="Times New Roman" w:cs="Times New Roman"/>
          <w:b/>
          <w:bCs/>
        </w:rPr>
        <w:t xml:space="preserve"> </w:t>
      </w:r>
      <w:r w:rsidR="00E91966" w:rsidRPr="00E91966">
        <w:rPr>
          <w:rFonts w:ascii="Times New Roman" w:hAnsi="Times New Roman" w:cs="Times New Roman"/>
          <w:b/>
          <w:bCs/>
        </w:rPr>
        <w:t>Saver</w:t>
      </w:r>
      <w:r w:rsidR="00E91966" w:rsidRPr="00E91966">
        <w:rPr>
          <w:rFonts w:ascii="Times New Roman" w:hAnsi="Times New Roman" w:cs="Times New Roman"/>
          <w:b/>
        </w:rPr>
        <w:t xml:space="preserve"> (FHSS) </w:t>
      </w:r>
      <w:r w:rsidR="00E91966" w:rsidRPr="00E91966">
        <w:rPr>
          <w:rFonts w:ascii="Times New Roman" w:hAnsi="Times New Roman" w:cs="Times New Roman"/>
          <w:b/>
          <w:bCs/>
        </w:rPr>
        <w:t>Scheme</w:t>
      </w:r>
      <w:r w:rsidR="00E91966" w:rsidRPr="00E91966">
        <w:rPr>
          <w:rFonts w:ascii="Times New Roman" w:hAnsi="Times New Roman" w:cs="Times New Roman"/>
          <w:b/>
        </w:rPr>
        <w:t xml:space="preserve"> </w:t>
      </w:r>
      <w:r w:rsidR="002366FF">
        <w:rPr>
          <w:rFonts w:ascii="Times New Roman" w:hAnsi="Times New Roman" w:cs="Times New Roman"/>
          <w:b/>
        </w:rPr>
        <w:t xml:space="preserve">to allow first home buyers to have </w:t>
      </w:r>
      <w:r w:rsidRPr="00341D51">
        <w:rPr>
          <w:rFonts w:ascii="Times New Roman" w:hAnsi="Times New Roman" w:cs="Times New Roman"/>
          <w:b/>
          <w:lang w:val="en-US"/>
        </w:rPr>
        <w:t xml:space="preserve">access to their </w:t>
      </w:r>
      <w:r w:rsidR="002366FF">
        <w:rPr>
          <w:rFonts w:ascii="Times New Roman" w:hAnsi="Times New Roman"/>
          <w:b/>
          <w:lang w:val="en-US"/>
        </w:rPr>
        <w:t xml:space="preserve">pre 1 July 2017 </w:t>
      </w:r>
      <w:r w:rsidR="002366FF">
        <w:rPr>
          <w:rFonts w:ascii="Times New Roman" w:hAnsi="Times New Roman" w:cs="Times New Roman"/>
          <w:b/>
          <w:lang w:val="en-US"/>
        </w:rPr>
        <w:t xml:space="preserve">voluntary </w:t>
      </w:r>
      <w:r w:rsidR="002366FF" w:rsidRPr="00341D51">
        <w:rPr>
          <w:rFonts w:ascii="Times New Roman" w:hAnsi="Times New Roman" w:cs="Times New Roman"/>
          <w:b/>
          <w:lang w:val="en-US"/>
        </w:rPr>
        <w:t xml:space="preserve">superannuation </w:t>
      </w:r>
      <w:r w:rsidR="002366FF">
        <w:rPr>
          <w:rFonts w:ascii="Times New Roman" w:hAnsi="Times New Roman" w:cs="Times New Roman"/>
          <w:b/>
          <w:lang w:val="en-US"/>
        </w:rPr>
        <w:t>contributions</w:t>
      </w:r>
      <w:r w:rsidR="002366FF">
        <w:rPr>
          <w:rFonts w:ascii="Times New Roman" w:hAnsi="Times New Roman"/>
          <w:b/>
          <w:lang w:val="en-US"/>
        </w:rPr>
        <w:t>, including earnings,</w:t>
      </w:r>
      <w:r w:rsidR="002366FF">
        <w:rPr>
          <w:rFonts w:ascii="Times New Roman" w:hAnsi="Times New Roman" w:cs="Times New Roman"/>
          <w:b/>
          <w:lang w:val="en-US"/>
        </w:rPr>
        <w:t xml:space="preserve"> </w:t>
      </w:r>
      <w:r w:rsidRPr="00341D51">
        <w:rPr>
          <w:rFonts w:ascii="Times New Roman" w:hAnsi="Times New Roman" w:cs="Times New Roman"/>
          <w:b/>
          <w:lang w:val="en-US"/>
        </w:rPr>
        <w:t>for the purpose of rais</w:t>
      </w:r>
      <w:r w:rsidR="00A36D3E" w:rsidRPr="00341D51">
        <w:rPr>
          <w:rFonts w:ascii="Times New Roman" w:hAnsi="Times New Roman" w:cs="Times New Roman"/>
          <w:b/>
          <w:lang w:val="en-US"/>
        </w:rPr>
        <w:t xml:space="preserve">ing a deposit for </w:t>
      </w:r>
      <w:r w:rsidR="002366FF">
        <w:rPr>
          <w:rFonts w:ascii="Times New Roman" w:hAnsi="Times New Roman" w:cs="Times New Roman"/>
          <w:b/>
          <w:lang w:val="en-US"/>
        </w:rPr>
        <w:t xml:space="preserve">a </w:t>
      </w:r>
      <w:r w:rsidR="00A36D3E" w:rsidRPr="00341D51">
        <w:rPr>
          <w:rFonts w:ascii="Times New Roman" w:hAnsi="Times New Roman" w:cs="Times New Roman"/>
          <w:b/>
          <w:lang w:val="en-US"/>
        </w:rPr>
        <w:t>home.</w:t>
      </w:r>
    </w:p>
    <w:p w14:paraId="67A249FF" w14:textId="77777777" w:rsidR="00B362BB" w:rsidRDefault="00B362BB" w:rsidP="00F62B03">
      <w:pPr>
        <w:rPr>
          <w:rFonts w:ascii="Times New Roman" w:hAnsi="Times New Roman" w:cs="Times New Roman"/>
          <w:b/>
          <w:lang w:val="en-US"/>
        </w:rPr>
      </w:pPr>
    </w:p>
    <w:p w14:paraId="57FDB731" w14:textId="77777777" w:rsidR="000463B2" w:rsidRPr="000463B2" w:rsidRDefault="000463B2" w:rsidP="00F62B03">
      <w:pPr>
        <w:rPr>
          <w:rFonts w:ascii="Times New Roman" w:hAnsi="Times New Roman" w:cs="Times New Roman"/>
          <w:b/>
          <w:lang w:val="en-US"/>
        </w:rPr>
      </w:pPr>
      <w:r>
        <w:rPr>
          <w:rFonts w:ascii="Times New Roman" w:hAnsi="Times New Roman" w:cs="Times New Roman"/>
          <w:b/>
          <w:lang w:val="en-US"/>
        </w:rPr>
        <w:t xml:space="preserve">Appointment of Minister </w:t>
      </w:r>
      <w:r w:rsidR="00F877A4">
        <w:rPr>
          <w:rFonts w:ascii="Times New Roman" w:hAnsi="Times New Roman" w:cs="Times New Roman"/>
          <w:b/>
          <w:lang w:val="en-US"/>
        </w:rPr>
        <w:t>of Property</w:t>
      </w:r>
      <w:r w:rsidR="00EC1406">
        <w:rPr>
          <w:rFonts w:ascii="Times New Roman" w:hAnsi="Times New Roman" w:cs="Times New Roman"/>
          <w:b/>
          <w:lang w:val="en-US"/>
        </w:rPr>
        <w:t xml:space="preserve"> Services</w:t>
      </w:r>
    </w:p>
    <w:p w14:paraId="3B69C0CC" w14:textId="77777777" w:rsidR="000463B2" w:rsidRPr="000463B2" w:rsidRDefault="000463B2" w:rsidP="000463B2">
      <w:pPr>
        <w:rPr>
          <w:rFonts w:ascii="Times New Roman" w:hAnsi="Times New Roman" w:cs="Times New Roman"/>
        </w:rPr>
      </w:pPr>
      <w:r w:rsidRPr="000463B2">
        <w:rPr>
          <w:rFonts w:ascii="Times New Roman" w:hAnsi="Times New Roman" w:cs="Times New Roman"/>
        </w:rPr>
        <w:t xml:space="preserve">The property sector is one of the largest sectors in the Australian economy in terms of employment, GDP and investment. It has been the driver of economic growth since the decline in investment in the mining sector commenced. No matter what changes occur in the composition of sources of growth, property will continue to </w:t>
      </w:r>
      <w:r w:rsidR="00F877A4">
        <w:rPr>
          <w:rFonts w:ascii="Times New Roman" w:hAnsi="Times New Roman" w:cs="Times New Roman"/>
        </w:rPr>
        <w:t xml:space="preserve">be </w:t>
      </w:r>
      <w:r w:rsidRPr="000463B2">
        <w:rPr>
          <w:rFonts w:ascii="Times New Roman" w:hAnsi="Times New Roman" w:cs="Times New Roman"/>
        </w:rPr>
        <w:t>a major source of employment and investment for decades to come as well as the major asset class for the majority of Australians.</w:t>
      </w:r>
    </w:p>
    <w:p w14:paraId="63161E76" w14:textId="77777777" w:rsidR="00CC3B9A" w:rsidRDefault="000463B2" w:rsidP="000463B2">
      <w:pPr>
        <w:rPr>
          <w:rFonts w:ascii="Times New Roman" w:hAnsi="Times New Roman" w:cs="Times New Roman"/>
        </w:rPr>
      </w:pPr>
      <w:r w:rsidRPr="000463B2">
        <w:rPr>
          <w:rFonts w:ascii="Times New Roman" w:hAnsi="Times New Roman" w:cs="Times New Roman"/>
        </w:rPr>
        <w:t>Despite this, at both a state and federal level</w:t>
      </w:r>
      <w:r w:rsidR="00914954">
        <w:rPr>
          <w:rFonts w:ascii="Times New Roman" w:hAnsi="Times New Roman" w:cs="Times New Roman"/>
        </w:rPr>
        <w:t xml:space="preserve"> </w:t>
      </w:r>
      <w:r w:rsidRPr="000463B2">
        <w:rPr>
          <w:rFonts w:ascii="Times New Roman" w:hAnsi="Times New Roman" w:cs="Times New Roman"/>
        </w:rPr>
        <w:t>there is no single entity and/or elected official responsible for all aspects of property</w:t>
      </w:r>
      <w:r w:rsidR="00F877A4">
        <w:rPr>
          <w:rFonts w:ascii="Times New Roman" w:hAnsi="Times New Roman" w:cs="Times New Roman"/>
        </w:rPr>
        <w:t>.</w:t>
      </w:r>
      <w:r w:rsidRPr="000463B2">
        <w:rPr>
          <w:rFonts w:ascii="Times New Roman" w:hAnsi="Times New Roman" w:cs="Times New Roman"/>
        </w:rPr>
        <w:t xml:space="preserve"> </w:t>
      </w:r>
    </w:p>
    <w:p w14:paraId="629B723A" w14:textId="77777777" w:rsidR="00F877A4" w:rsidRDefault="00F877A4" w:rsidP="000463B2">
      <w:pPr>
        <w:rPr>
          <w:rFonts w:ascii="Times New Roman" w:hAnsi="Times New Roman" w:cs="Times New Roman"/>
        </w:rPr>
      </w:pPr>
      <w:proofErr w:type="gramStart"/>
      <w:r>
        <w:rPr>
          <w:rFonts w:ascii="Times New Roman" w:hAnsi="Times New Roman" w:cs="Times New Roman"/>
        </w:rPr>
        <w:lastRenderedPageBreak/>
        <w:t xml:space="preserve">Recognising the importance that the property sector plays in the economy as well as </w:t>
      </w:r>
      <w:r w:rsidR="00102B96">
        <w:rPr>
          <w:rFonts w:ascii="Times New Roman" w:hAnsi="Times New Roman" w:cs="Times New Roman"/>
        </w:rPr>
        <w:t xml:space="preserve">in policy with taxation of property and housing affordability being at the forefront of public policy debate </w:t>
      </w:r>
      <w:r w:rsidR="00983B5E">
        <w:rPr>
          <w:rFonts w:ascii="Times New Roman" w:hAnsi="Times New Roman" w:cs="Times New Roman"/>
        </w:rPr>
        <w:t>REIA advocates</w:t>
      </w:r>
      <w:r>
        <w:rPr>
          <w:rFonts w:ascii="Times New Roman" w:hAnsi="Times New Roman" w:cs="Times New Roman"/>
        </w:rPr>
        <w:t xml:space="preserve"> the appointment </w:t>
      </w:r>
      <w:r w:rsidR="00983B5E">
        <w:rPr>
          <w:rFonts w:ascii="Times New Roman" w:hAnsi="Times New Roman" w:cs="Times New Roman"/>
        </w:rPr>
        <w:t>of a Minister for Property Services.</w:t>
      </w:r>
      <w:proofErr w:type="gramEnd"/>
      <w:r>
        <w:rPr>
          <w:rFonts w:ascii="Times New Roman" w:hAnsi="Times New Roman" w:cs="Times New Roman"/>
        </w:rPr>
        <w:t xml:space="preserve"> </w:t>
      </w:r>
    </w:p>
    <w:p w14:paraId="007A015A" w14:textId="77777777" w:rsidR="00983B5E" w:rsidRPr="00341D51" w:rsidRDefault="00983B5E" w:rsidP="00983B5E">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cs="Times New Roman"/>
          <w:b/>
          <w:lang w:val="en-US"/>
        </w:rPr>
      </w:pPr>
      <w:r w:rsidRPr="00341D51">
        <w:rPr>
          <w:rFonts w:ascii="Times New Roman" w:hAnsi="Times New Roman" w:cs="Times New Roman"/>
          <w:b/>
          <w:lang w:val="en-US"/>
        </w:rPr>
        <w:t xml:space="preserve">The REIA proposes </w:t>
      </w:r>
      <w:r>
        <w:rPr>
          <w:rFonts w:ascii="Times New Roman" w:hAnsi="Times New Roman" w:cs="Times New Roman"/>
          <w:b/>
          <w:lang w:val="en-US"/>
        </w:rPr>
        <w:t>the appointment of a Minister for Property Services.</w:t>
      </w:r>
    </w:p>
    <w:p w14:paraId="63928AD9" w14:textId="77777777" w:rsidR="00CC3B9A" w:rsidRDefault="00CC3B9A" w:rsidP="000463B2">
      <w:pPr>
        <w:rPr>
          <w:rFonts w:ascii="Times New Roman" w:hAnsi="Times New Roman" w:cs="Times New Roman"/>
          <w:b/>
        </w:rPr>
      </w:pPr>
    </w:p>
    <w:p w14:paraId="07E586AC" w14:textId="77777777" w:rsidR="00983B5E" w:rsidRDefault="000463B2" w:rsidP="000463B2">
      <w:pPr>
        <w:rPr>
          <w:rFonts w:ascii="Times New Roman" w:hAnsi="Times New Roman" w:cs="Times New Roman"/>
          <w:b/>
          <w:lang w:val="en-US"/>
        </w:rPr>
      </w:pPr>
      <w:r w:rsidRPr="00892093">
        <w:rPr>
          <w:rFonts w:ascii="Times New Roman" w:hAnsi="Times New Roman" w:cs="Times New Roman"/>
          <w:b/>
        </w:rPr>
        <w:t>T</w:t>
      </w:r>
      <w:r w:rsidRPr="00892093">
        <w:rPr>
          <w:rFonts w:ascii="Times New Roman" w:hAnsi="Times New Roman" w:cs="Times New Roman"/>
          <w:b/>
          <w:lang w:val="en-US"/>
        </w:rPr>
        <w:t xml:space="preserve">he Availability of Reliable Data on Housing </w:t>
      </w:r>
    </w:p>
    <w:p w14:paraId="0B6C1947" w14:textId="77777777" w:rsidR="000463B2" w:rsidRPr="00F62B03" w:rsidRDefault="000463B2" w:rsidP="000463B2">
      <w:pPr>
        <w:rPr>
          <w:rFonts w:ascii="Times New Roman" w:hAnsi="Times New Roman" w:cs="Times New Roman"/>
          <w:lang w:val="en-US"/>
        </w:rPr>
      </w:pPr>
      <w:r w:rsidRPr="00F62B03">
        <w:rPr>
          <w:rFonts w:ascii="Times New Roman" w:hAnsi="Times New Roman" w:cs="Times New Roman"/>
          <w:lang w:val="en-US"/>
        </w:rPr>
        <w:t xml:space="preserve">The National Housing Supply Council – that was established in 2008 to monitor housing demand, supply and affordability in Australia and to identify gaps between housing supply and demand - was abolished at the end of 2013. </w:t>
      </w:r>
    </w:p>
    <w:p w14:paraId="4D127363" w14:textId="77777777" w:rsidR="000463B2" w:rsidRPr="00F62B03" w:rsidRDefault="000463B2" w:rsidP="000463B2">
      <w:pPr>
        <w:rPr>
          <w:rFonts w:ascii="Times New Roman" w:hAnsi="Times New Roman" w:cs="Times New Roman"/>
          <w:lang w:val="en-US"/>
        </w:rPr>
      </w:pPr>
      <w:r w:rsidRPr="00F62B03">
        <w:rPr>
          <w:rFonts w:ascii="Times New Roman" w:hAnsi="Times New Roman" w:cs="Times New Roman"/>
          <w:lang w:val="en-US"/>
        </w:rPr>
        <w:t xml:space="preserve">With housing affordability </w:t>
      </w:r>
      <w:proofErr w:type="spellStart"/>
      <w:r w:rsidRPr="00F62B03">
        <w:rPr>
          <w:rFonts w:ascii="Times New Roman" w:hAnsi="Times New Roman" w:cs="Times New Roman"/>
          <w:lang w:val="en-US"/>
        </w:rPr>
        <w:t>recognised</w:t>
      </w:r>
      <w:proofErr w:type="spellEnd"/>
      <w:r w:rsidRPr="00F62B03">
        <w:rPr>
          <w:rFonts w:ascii="Times New Roman" w:hAnsi="Times New Roman" w:cs="Times New Roman"/>
          <w:lang w:val="en-US"/>
        </w:rPr>
        <w:t xml:space="preserve"> as a policy priority, it is imperative that the information contained in the Council’s State of Supply Report continues to be available. The document provided valuable information, not only to Government policy makers but also to industry.</w:t>
      </w:r>
    </w:p>
    <w:p w14:paraId="57E17873" w14:textId="77777777" w:rsidR="000463B2" w:rsidRDefault="000463B2" w:rsidP="000463B2">
      <w:pPr>
        <w:rPr>
          <w:rFonts w:ascii="Times New Roman" w:hAnsi="Times New Roman" w:cs="Times New Roman"/>
          <w:lang w:val="en-US"/>
        </w:rPr>
      </w:pPr>
      <w:r w:rsidRPr="00F62B03">
        <w:rPr>
          <w:rFonts w:ascii="Times New Roman" w:hAnsi="Times New Roman" w:cs="Times New Roman"/>
          <w:lang w:val="en-US"/>
        </w:rPr>
        <w:t>The availability of reliable data</w:t>
      </w:r>
      <w:r w:rsidR="00983B5E">
        <w:rPr>
          <w:rFonts w:ascii="Times New Roman" w:hAnsi="Times New Roman" w:cs="Times New Roman"/>
          <w:lang w:val="en-US"/>
        </w:rPr>
        <w:t xml:space="preserve">, including first home buyers, </w:t>
      </w:r>
      <w:r w:rsidRPr="00F62B03">
        <w:rPr>
          <w:rFonts w:ascii="Times New Roman" w:hAnsi="Times New Roman" w:cs="Times New Roman"/>
          <w:lang w:val="en-US"/>
        </w:rPr>
        <w:t>to formulate appropriate policies and then to monitor their effectiveness is crucial to this and the REIA would like to contribute to the dialogue and offer assistance to such a forum.</w:t>
      </w:r>
    </w:p>
    <w:p w14:paraId="7FD6CBA9" w14:textId="77777777" w:rsidR="000463B2" w:rsidRPr="00341D51" w:rsidRDefault="000463B2" w:rsidP="000463B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r w:rsidRPr="00341D51">
        <w:rPr>
          <w:rFonts w:ascii="Times New Roman" w:hAnsi="Times New Roman"/>
          <w:b/>
          <w:lang w:val="en-US"/>
        </w:rPr>
        <w:t>The REIA proposes that the Government establishes a mechanism to ensure the availability of reliable data on housing demand and supply in order to formulate appropriate policies and to monitor their effectiveness.</w:t>
      </w:r>
    </w:p>
    <w:p w14:paraId="6E500435" w14:textId="77777777" w:rsidR="00155E47" w:rsidRDefault="00155E47" w:rsidP="00F62B03">
      <w:pPr>
        <w:rPr>
          <w:rFonts w:ascii="Times New Roman" w:hAnsi="Times New Roman" w:cs="Times New Roman"/>
          <w:b/>
          <w:lang w:val="en-US"/>
        </w:rPr>
      </w:pPr>
    </w:p>
    <w:p w14:paraId="0EBE622A" w14:textId="77777777" w:rsidR="00782D92" w:rsidRPr="00892093" w:rsidRDefault="00782D92" w:rsidP="00F62B03">
      <w:pPr>
        <w:rPr>
          <w:rFonts w:ascii="Times New Roman" w:hAnsi="Times New Roman" w:cs="Times New Roman"/>
          <w:b/>
          <w:lang w:val="en-US"/>
        </w:rPr>
      </w:pPr>
      <w:r w:rsidRPr="00892093">
        <w:rPr>
          <w:rFonts w:ascii="Times New Roman" w:hAnsi="Times New Roman" w:cs="Times New Roman"/>
          <w:b/>
          <w:lang w:val="en-US"/>
        </w:rPr>
        <w:t>REIA Recommendations</w:t>
      </w:r>
    </w:p>
    <w:p w14:paraId="38C890F1" w14:textId="77777777" w:rsidR="00C72196" w:rsidRPr="00F62B03" w:rsidRDefault="00C72196" w:rsidP="00F62B03">
      <w:pPr>
        <w:rPr>
          <w:rFonts w:ascii="Times New Roman" w:hAnsi="Times New Roman" w:cs="Times New Roman"/>
          <w:lang w:val="en-US"/>
        </w:rPr>
      </w:pPr>
      <w:r w:rsidRPr="00F62B03">
        <w:rPr>
          <w:rFonts w:ascii="Times New Roman" w:hAnsi="Times New Roman" w:cs="Times New Roman"/>
          <w:lang w:val="en-US"/>
        </w:rPr>
        <w:t>In summary, REIA asks the Commonwealth Government to consider the following:</w:t>
      </w:r>
    </w:p>
    <w:p w14:paraId="016D436C" w14:textId="77777777" w:rsidR="00344671" w:rsidRDefault="00BA3E0B" w:rsidP="00AF7DF1">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r>
        <w:rPr>
          <w:rFonts w:ascii="Times New Roman" w:hAnsi="Times New Roman"/>
          <w:b/>
          <w:lang w:val="en-US"/>
        </w:rPr>
        <w:t>T</w:t>
      </w:r>
      <w:r w:rsidRPr="00341D51">
        <w:rPr>
          <w:rFonts w:ascii="Times New Roman" w:hAnsi="Times New Roman"/>
          <w:b/>
          <w:lang w:val="en-US"/>
        </w:rPr>
        <w:t xml:space="preserve">ake a leadership role </w:t>
      </w:r>
      <w:r w:rsidR="0085692D">
        <w:rPr>
          <w:rFonts w:ascii="Times New Roman" w:hAnsi="Times New Roman"/>
          <w:b/>
          <w:lang w:val="en-US"/>
        </w:rPr>
        <w:t>in</w:t>
      </w:r>
      <w:r w:rsidRPr="000463B2">
        <w:rPr>
          <w:rFonts w:ascii="Times New Roman" w:hAnsi="Times New Roman"/>
          <w:b/>
          <w:lang w:val="en-US"/>
        </w:rPr>
        <w:t xml:space="preserve"> taking a </w:t>
      </w:r>
      <w:r w:rsidR="00B362BB" w:rsidRPr="000463B2">
        <w:rPr>
          <w:rFonts w:ascii="Times New Roman" w:hAnsi="Times New Roman"/>
          <w:b/>
          <w:lang w:val="en-US"/>
        </w:rPr>
        <w:t>coordinated</w:t>
      </w:r>
      <w:r w:rsidRPr="000463B2">
        <w:rPr>
          <w:rFonts w:ascii="Times New Roman" w:hAnsi="Times New Roman"/>
          <w:b/>
          <w:lang w:val="en-US"/>
        </w:rPr>
        <w:t xml:space="preserve"> and holistic approach of all levels of government in objectively addressing all property taxes</w:t>
      </w:r>
    </w:p>
    <w:p w14:paraId="57C03FDA" w14:textId="77777777" w:rsidR="00344671" w:rsidRDefault="00344671" w:rsidP="00AF7DF1">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r w:rsidRPr="00344671">
        <w:rPr>
          <w:rFonts w:ascii="Times New Roman" w:hAnsi="Times New Roman"/>
          <w:b/>
          <w:lang w:val="en-US"/>
        </w:rPr>
        <w:t xml:space="preserve">Until a </w:t>
      </w:r>
      <w:r w:rsidR="00B362BB" w:rsidRPr="00344671">
        <w:rPr>
          <w:rFonts w:ascii="Times New Roman" w:hAnsi="Times New Roman"/>
          <w:b/>
          <w:lang w:val="en-US"/>
        </w:rPr>
        <w:t>coordinated</w:t>
      </w:r>
      <w:r w:rsidRPr="00344671">
        <w:rPr>
          <w:rFonts w:ascii="Times New Roman" w:hAnsi="Times New Roman"/>
          <w:b/>
          <w:lang w:val="en-US"/>
        </w:rPr>
        <w:t xml:space="preserve"> and holistic approach in objectively addressing all property taxes is undertaken that negative gearing and capital gains tax on property investments are retained in its current form.</w:t>
      </w:r>
    </w:p>
    <w:p w14:paraId="055E8230" w14:textId="77777777" w:rsidR="00782D92" w:rsidRPr="00344671" w:rsidRDefault="002366FF" w:rsidP="00AF7DF1">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r>
        <w:rPr>
          <w:rFonts w:ascii="Times New Roman" w:hAnsi="Times New Roman"/>
          <w:b/>
          <w:lang w:val="en-US"/>
        </w:rPr>
        <w:t xml:space="preserve">Extend the current </w:t>
      </w:r>
      <w:r w:rsidRPr="00E91966">
        <w:rPr>
          <w:rFonts w:ascii="Times New Roman" w:hAnsi="Times New Roman"/>
          <w:b/>
          <w:bCs/>
        </w:rPr>
        <w:t>First Home Super</w:t>
      </w:r>
      <w:r>
        <w:rPr>
          <w:rFonts w:ascii="Times New Roman" w:hAnsi="Times New Roman"/>
          <w:b/>
          <w:bCs/>
        </w:rPr>
        <w:t xml:space="preserve"> </w:t>
      </w:r>
      <w:r w:rsidRPr="00E91966">
        <w:rPr>
          <w:rFonts w:ascii="Times New Roman" w:hAnsi="Times New Roman"/>
          <w:b/>
          <w:bCs/>
        </w:rPr>
        <w:t>Saver</w:t>
      </w:r>
      <w:r w:rsidRPr="00E91966">
        <w:rPr>
          <w:rFonts w:ascii="Times New Roman" w:hAnsi="Times New Roman"/>
          <w:b/>
        </w:rPr>
        <w:t xml:space="preserve"> (FHSS) </w:t>
      </w:r>
      <w:r w:rsidRPr="00E91966">
        <w:rPr>
          <w:rFonts w:ascii="Times New Roman" w:hAnsi="Times New Roman"/>
          <w:b/>
          <w:bCs/>
        </w:rPr>
        <w:t>Scheme</w:t>
      </w:r>
      <w:r w:rsidRPr="00E91966">
        <w:rPr>
          <w:rFonts w:ascii="Times New Roman" w:hAnsi="Times New Roman"/>
          <w:b/>
        </w:rPr>
        <w:t xml:space="preserve"> </w:t>
      </w:r>
      <w:r>
        <w:rPr>
          <w:rFonts w:ascii="Times New Roman" w:hAnsi="Times New Roman"/>
          <w:b/>
        </w:rPr>
        <w:t xml:space="preserve">to allow first home buyers to have </w:t>
      </w:r>
      <w:r w:rsidRPr="00341D51">
        <w:rPr>
          <w:rFonts w:ascii="Times New Roman" w:hAnsi="Times New Roman"/>
          <w:b/>
          <w:lang w:val="en-US"/>
        </w:rPr>
        <w:t xml:space="preserve">access to their </w:t>
      </w:r>
      <w:r>
        <w:rPr>
          <w:rFonts w:ascii="Times New Roman" w:hAnsi="Times New Roman"/>
          <w:b/>
          <w:lang w:val="en-US"/>
        </w:rPr>
        <w:t xml:space="preserve">pre 1 July 2017 voluntary </w:t>
      </w:r>
      <w:r w:rsidRPr="00341D51">
        <w:rPr>
          <w:rFonts w:ascii="Times New Roman" w:hAnsi="Times New Roman"/>
          <w:b/>
          <w:lang w:val="en-US"/>
        </w:rPr>
        <w:t xml:space="preserve">superannuation </w:t>
      </w:r>
      <w:r>
        <w:rPr>
          <w:rFonts w:ascii="Times New Roman" w:hAnsi="Times New Roman"/>
          <w:b/>
          <w:lang w:val="en-US"/>
        </w:rPr>
        <w:t xml:space="preserve">contributions, including earnings, </w:t>
      </w:r>
      <w:r w:rsidRPr="00341D51">
        <w:rPr>
          <w:rFonts w:ascii="Times New Roman" w:hAnsi="Times New Roman"/>
          <w:b/>
          <w:lang w:val="en-US"/>
        </w:rPr>
        <w:t xml:space="preserve">for the purpose of raising a deposit for </w:t>
      </w:r>
      <w:r>
        <w:rPr>
          <w:rFonts w:ascii="Times New Roman" w:hAnsi="Times New Roman"/>
          <w:b/>
          <w:lang w:val="en-US"/>
        </w:rPr>
        <w:t xml:space="preserve">a </w:t>
      </w:r>
      <w:r w:rsidRPr="00341D51">
        <w:rPr>
          <w:rFonts w:ascii="Times New Roman" w:hAnsi="Times New Roman"/>
          <w:b/>
          <w:lang w:val="en-US"/>
        </w:rPr>
        <w:t>home</w:t>
      </w:r>
      <w:r>
        <w:rPr>
          <w:rFonts w:ascii="Times New Roman" w:hAnsi="Times New Roman"/>
          <w:b/>
          <w:lang w:val="en-US"/>
        </w:rPr>
        <w:t>.</w:t>
      </w:r>
      <w:r w:rsidR="00782D92" w:rsidRPr="00344671">
        <w:rPr>
          <w:rFonts w:ascii="Times New Roman" w:hAnsi="Times New Roman"/>
          <w:b/>
          <w:lang w:val="en-US"/>
        </w:rPr>
        <w:t xml:space="preserve"> </w:t>
      </w:r>
    </w:p>
    <w:p w14:paraId="15B53146" w14:textId="77777777" w:rsidR="00983B5E" w:rsidRPr="00983B5E" w:rsidRDefault="00983B5E" w:rsidP="00AF7DF1">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r w:rsidRPr="00983B5E">
        <w:rPr>
          <w:rFonts w:ascii="Times New Roman" w:hAnsi="Times New Roman"/>
          <w:b/>
          <w:lang w:val="en-US"/>
        </w:rPr>
        <w:t>The appointment of a Minister for Property Services.</w:t>
      </w:r>
    </w:p>
    <w:p w14:paraId="633008FE" w14:textId="77777777" w:rsidR="00983B5E" w:rsidRPr="00983B5E" w:rsidRDefault="00344671" w:rsidP="00AF7DF1">
      <w:pPr>
        <w:pStyle w:val="ListParagraph"/>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Times New Roman" w:hAnsi="Times New Roman"/>
          <w:b/>
          <w:lang w:val="en-US"/>
        </w:rPr>
      </w:pPr>
      <w:r>
        <w:rPr>
          <w:rFonts w:ascii="Times New Roman" w:hAnsi="Times New Roman"/>
          <w:b/>
          <w:lang w:val="en-US"/>
        </w:rPr>
        <w:t>E</w:t>
      </w:r>
      <w:r w:rsidR="00983B5E" w:rsidRPr="00983B5E">
        <w:rPr>
          <w:rFonts w:ascii="Times New Roman" w:hAnsi="Times New Roman"/>
          <w:b/>
          <w:lang w:val="en-US"/>
        </w:rPr>
        <w:t>stablish</w:t>
      </w:r>
      <w:r>
        <w:rPr>
          <w:rFonts w:ascii="Times New Roman" w:hAnsi="Times New Roman"/>
          <w:b/>
          <w:lang w:val="en-US"/>
        </w:rPr>
        <w:t xml:space="preserve"> </w:t>
      </w:r>
      <w:r w:rsidR="00983B5E" w:rsidRPr="00983B5E">
        <w:rPr>
          <w:rFonts w:ascii="Times New Roman" w:hAnsi="Times New Roman"/>
          <w:b/>
          <w:lang w:val="en-US"/>
        </w:rPr>
        <w:t>a mechanism to ensure the availability of reliable data on housing demand and supply in order to formulate appropriate policies and to monitor their effectiveness.</w:t>
      </w:r>
    </w:p>
    <w:sectPr w:rsidR="00983B5E" w:rsidRPr="00983B5E" w:rsidSect="00157645">
      <w:footerReference w:type="default" r:id="rId2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FAAEE" w14:textId="77777777" w:rsidR="001E7B89" w:rsidRDefault="001E7B89" w:rsidP="00F0722B">
      <w:pPr>
        <w:spacing w:after="0" w:line="240" w:lineRule="auto"/>
      </w:pPr>
      <w:r>
        <w:separator/>
      </w:r>
    </w:p>
  </w:endnote>
  <w:endnote w:type="continuationSeparator" w:id="0">
    <w:p w14:paraId="28A644FE" w14:textId="77777777" w:rsidR="001E7B89" w:rsidRDefault="001E7B89" w:rsidP="00F0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261653"/>
      <w:docPartObj>
        <w:docPartGallery w:val="Page Numbers (Bottom of Page)"/>
        <w:docPartUnique/>
      </w:docPartObj>
    </w:sdtPr>
    <w:sdtEndPr>
      <w:rPr>
        <w:noProof/>
      </w:rPr>
    </w:sdtEndPr>
    <w:sdtContent>
      <w:p w14:paraId="6CFE0A67" w14:textId="77777777" w:rsidR="00C96C46" w:rsidRDefault="007A62FC">
        <w:pPr>
          <w:pStyle w:val="Footer"/>
          <w:jc w:val="right"/>
        </w:pPr>
        <w:r>
          <w:fldChar w:fldCharType="begin"/>
        </w:r>
        <w:r>
          <w:instrText xml:space="preserve"> PAGE   \* MERGEFORMAT </w:instrText>
        </w:r>
        <w:r>
          <w:fldChar w:fldCharType="separate"/>
        </w:r>
        <w:r w:rsidR="00322987">
          <w:rPr>
            <w:noProof/>
          </w:rPr>
          <w:t>2</w:t>
        </w:r>
        <w:r>
          <w:rPr>
            <w:noProof/>
          </w:rPr>
          <w:fldChar w:fldCharType="end"/>
        </w:r>
      </w:p>
    </w:sdtContent>
  </w:sdt>
  <w:p w14:paraId="68E1F7D8" w14:textId="77777777" w:rsidR="00C96C46" w:rsidRDefault="00C96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C40D7" w14:textId="77777777" w:rsidR="001E7B89" w:rsidRDefault="001E7B89" w:rsidP="00F0722B">
      <w:pPr>
        <w:spacing w:after="0" w:line="240" w:lineRule="auto"/>
      </w:pPr>
      <w:r>
        <w:separator/>
      </w:r>
    </w:p>
  </w:footnote>
  <w:footnote w:type="continuationSeparator" w:id="0">
    <w:p w14:paraId="6378A7D4" w14:textId="77777777" w:rsidR="001E7B89" w:rsidRDefault="001E7B89" w:rsidP="00F07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5DB"/>
    <w:multiLevelType w:val="hybridMultilevel"/>
    <w:tmpl w:val="B10EF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6672BA"/>
    <w:multiLevelType w:val="hybridMultilevel"/>
    <w:tmpl w:val="6B562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383B6E"/>
    <w:multiLevelType w:val="hybridMultilevel"/>
    <w:tmpl w:val="50067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F77D9D"/>
    <w:multiLevelType w:val="hybridMultilevel"/>
    <w:tmpl w:val="7A00F4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197C20"/>
    <w:multiLevelType w:val="hybridMultilevel"/>
    <w:tmpl w:val="3A8A2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871027"/>
    <w:multiLevelType w:val="hybridMultilevel"/>
    <w:tmpl w:val="DCBE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E9513A"/>
    <w:multiLevelType w:val="hybridMultilevel"/>
    <w:tmpl w:val="AF968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A86C5E"/>
    <w:multiLevelType w:val="hybridMultilevel"/>
    <w:tmpl w:val="61C2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5D1304"/>
    <w:multiLevelType w:val="hybridMultilevel"/>
    <w:tmpl w:val="8466E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AF2555"/>
    <w:multiLevelType w:val="hybridMultilevel"/>
    <w:tmpl w:val="F0360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A37EDE"/>
    <w:multiLevelType w:val="hybridMultilevel"/>
    <w:tmpl w:val="9C18C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964036"/>
    <w:multiLevelType w:val="hybridMultilevel"/>
    <w:tmpl w:val="2CF05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8D45353"/>
    <w:multiLevelType w:val="hybridMultilevel"/>
    <w:tmpl w:val="60BC7F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B37AF0"/>
    <w:multiLevelType w:val="hybridMultilevel"/>
    <w:tmpl w:val="3760A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06F27B8"/>
    <w:multiLevelType w:val="hybridMultilevel"/>
    <w:tmpl w:val="1214E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A601D0"/>
    <w:multiLevelType w:val="hybridMultilevel"/>
    <w:tmpl w:val="92E4D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A82918"/>
    <w:multiLevelType w:val="hybridMultilevel"/>
    <w:tmpl w:val="7FE4B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A939E0"/>
    <w:multiLevelType w:val="hybridMultilevel"/>
    <w:tmpl w:val="DD328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68F6F81"/>
    <w:multiLevelType w:val="hybridMultilevel"/>
    <w:tmpl w:val="EBFA81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C53A6D"/>
    <w:multiLevelType w:val="hybridMultilevel"/>
    <w:tmpl w:val="49140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2743FBE"/>
    <w:multiLevelType w:val="hybridMultilevel"/>
    <w:tmpl w:val="362CB1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BE5264"/>
    <w:multiLevelType w:val="hybridMultilevel"/>
    <w:tmpl w:val="248EE4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6616565"/>
    <w:multiLevelType w:val="hybridMultilevel"/>
    <w:tmpl w:val="FB1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10F1429"/>
    <w:multiLevelType w:val="hybridMultilevel"/>
    <w:tmpl w:val="1EB42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95F1124"/>
    <w:multiLevelType w:val="hybridMultilevel"/>
    <w:tmpl w:val="9EA8F9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A0F6DBE"/>
    <w:multiLevelType w:val="hybridMultilevel"/>
    <w:tmpl w:val="B7420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EEF6627"/>
    <w:multiLevelType w:val="hybridMultilevel"/>
    <w:tmpl w:val="592A1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19"/>
  </w:num>
  <w:num w:numId="5">
    <w:abstractNumId w:val="0"/>
  </w:num>
  <w:num w:numId="6">
    <w:abstractNumId w:val="2"/>
  </w:num>
  <w:num w:numId="7">
    <w:abstractNumId w:val="25"/>
  </w:num>
  <w:num w:numId="8">
    <w:abstractNumId w:val="5"/>
  </w:num>
  <w:num w:numId="9">
    <w:abstractNumId w:val="7"/>
  </w:num>
  <w:num w:numId="10">
    <w:abstractNumId w:val="12"/>
  </w:num>
  <w:num w:numId="11">
    <w:abstractNumId w:val="26"/>
  </w:num>
  <w:num w:numId="12">
    <w:abstractNumId w:val="14"/>
  </w:num>
  <w:num w:numId="13">
    <w:abstractNumId w:val="10"/>
  </w:num>
  <w:num w:numId="14">
    <w:abstractNumId w:val="11"/>
  </w:num>
  <w:num w:numId="15">
    <w:abstractNumId w:val="24"/>
  </w:num>
  <w:num w:numId="16">
    <w:abstractNumId w:val="17"/>
  </w:num>
  <w:num w:numId="17">
    <w:abstractNumId w:val="4"/>
  </w:num>
  <w:num w:numId="18">
    <w:abstractNumId w:val="13"/>
  </w:num>
  <w:num w:numId="19">
    <w:abstractNumId w:val="3"/>
  </w:num>
  <w:num w:numId="20">
    <w:abstractNumId w:val="1"/>
  </w:num>
  <w:num w:numId="21">
    <w:abstractNumId w:val="16"/>
  </w:num>
  <w:num w:numId="22">
    <w:abstractNumId w:val="8"/>
  </w:num>
  <w:num w:numId="23">
    <w:abstractNumId w:val="23"/>
  </w:num>
  <w:num w:numId="24">
    <w:abstractNumId w:val="15"/>
  </w:num>
  <w:num w:numId="25">
    <w:abstractNumId w:val="21"/>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BF"/>
    <w:rsid w:val="00002FD5"/>
    <w:rsid w:val="00003C5E"/>
    <w:rsid w:val="00025E5B"/>
    <w:rsid w:val="00031ACC"/>
    <w:rsid w:val="000340E1"/>
    <w:rsid w:val="000366DD"/>
    <w:rsid w:val="00042137"/>
    <w:rsid w:val="000422C5"/>
    <w:rsid w:val="000462C1"/>
    <w:rsid w:val="000463B2"/>
    <w:rsid w:val="000549E6"/>
    <w:rsid w:val="000558E8"/>
    <w:rsid w:val="0005673F"/>
    <w:rsid w:val="0006048F"/>
    <w:rsid w:val="00060F24"/>
    <w:rsid w:val="000738F3"/>
    <w:rsid w:val="00075365"/>
    <w:rsid w:val="000845C0"/>
    <w:rsid w:val="00090410"/>
    <w:rsid w:val="00092FFE"/>
    <w:rsid w:val="000A1AE4"/>
    <w:rsid w:val="000A4E08"/>
    <w:rsid w:val="000B150B"/>
    <w:rsid w:val="000B2E26"/>
    <w:rsid w:val="000B39EE"/>
    <w:rsid w:val="000B3D3B"/>
    <w:rsid w:val="000B4C96"/>
    <w:rsid w:val="000B5079"/>
    <w:rsid w:val="000B64CE"/>
    <w:rsid w:val="000B7EA8"/>
    <w:rsid w:val="000C34C6"/>
    <w:rsid w:val="000D0544"/>
    <w:rsid w:val="000D2B0D"/>
    <w:rsid w:val="000D46CC"/>
    <w:rsid w:val="000E175E"/>
    <w:rsid w:val="000E250C"/>
    <w:rsid w:val="000E6969"/>
    <w:rsid w:val="000F3A88"/>
    <w:rsid w:val="00102B96"/>
    <w:rsid w:val="001059A0"/>
    <w:rsid w:val="00110604"/>
    <w:rsid w:val="00111AC5"/>
    <w:rsid w:val="001228C7"/>
    <w:rsid w:val="00125846"/>
    <w:rsid w:val="00154823"/>
    <w:rsid w:val="00155E47"/>
    <w:rsid w:val="00157645"/>
    <w:rsid w:val="00157FCA"/>
    <w:rsid w:val="00173088"/>
    <w:rsid w:val="0017697F"/>
    <w:rsid w:val="001825F2"/>
    <w:rsid w:val="00190D62"/>
    <w:rsid w:val="00195F02"/>
    <w:rsid w:val="001A3611"/>
    <w:rsid w:val="001A4A58"/>
    <w:rsid w:val="001C1A0B"/>
    <w:rsid w:val="001C20C2"/>
    <w:rsid w:val="001C6DA6"/>
    <w:rsid w:val="001D7A6E"/>
    <w:rsid w:val="001E3EF1"/>
    <w:rsid w:val="001E6324"/>
    <w:rsid w:val="001E7B89"/>
    <w:rsid w:val="001F10E9"/>
    <w:rsid w:val="001F33B1"/>
    <w:rsid w:val="001F70DD"/>
    <w:rsid w:val="002034C4"/>
    <w:rsid w:val="00205FEE"/>
    <w:rsid w:val="00206521"/>
    <w:rsid w:val="00206682"/>
    <w:rsid w:val="002132A7"/>
    <w:rsid w:val="00214455"/>
    <w:rsid w:val="002219C5"/>
    <w:rsid w:val="00231B6D"/>
    <w:rsid w:val="002366FF"/>
    <w:rsid w:val="00242211"/>
    <w:rsid w:val="00243E1E"/>
    <w:rsid w:val="002523AC"/>
    <w:rsid w:val="00253F15"/>
    <w:rsid w:val="00260261"/>
    <w:rsid w:val="00262573"/>
    <w:rsid w:val="00270361"/>
    <w:rsid w:val="0027246B"/>
    <w:rsid w:val="00276DC2"/>
    <w:rsid w:val="00280046"/>
    <w:rsid w:val="00283AD3"/>
    <w:rsid w:val="002849A6"/>
    <w:rsid w:val="002970C5"/>
    <w:rsid w:val="002A7C15"/>
    <w:rsid w:val="002B1553"/>
    <w:rsid w:val="002B3C72"/>
    <w:rsid w:val="002C3B11"/>
    <w:rsid w:val="002C40FF"/>
    <w:rsid w:val="002D3E37"/>
    <w:rsid w:val="002E01E3"/>
    <w:rsid w:val="002E1C5D"/>
    <w:rsid w:val="002E2FB0"/>
    <w:rsid w:val="002E568F"/>
    <w:rsid w:val="002F5EBC"/>
    <w:rsid w:val="00305FEA"/>
    <w:rsid w:val="00310319"/>
    <w:rsid w:val="0031074C"/>
    <w:rsid w:val="00317D75"/>
    <w:rsid w:val="00322987"/>
    <w:rsid w:val="003314C5"/>
    <w:rsid w:val="003334D2"/>
    <w:rsid w:val="00336E8C"/>
    <w:rsid w:val="00336F10"/>
    <w:rsid w:val="00337BF5"/>
    <w:rsid w:val="003417C8"/>
    <w:rsid w:val="00341D51"/>
    <w:rsid w:val="003433F7"/>
    <w:rsid w:val="00344671"/>
    <w:rsid w:val="00345066"/>
    <w:rsid w:val="00347598"/>
    <w:rsid w:val="003634CF"/>
    <w:rsid w:val="00372163"/>
    <w:rsid w:val="00373073"/>
    <w:rsid w:val="0038057A"/>
    <w:rsid w:val="00384F85"/>
    <w:rsid w:val="0038509A"/>
    <w:rsid w:val="00393710"/>
    <w:rsid w:val="00396BE7"/>
    <w:rsid w:val="003A2A72"/>
    <w:rsid w:val="003A4479"/>
    <w:rsid w:val="003A6F12"/>
    <w:rsid w:val="003B23CA"/>
    <w:rsid w:val="003B4DA2"/>
    <w:rsid w:val="003B5590"/>
    <w:rsid w:val="003B6D40"/>
    <w:rsid w:val="003D104A"/>
    <w:rsid w:val="003D1083"/>
    <w:rsid w:val="003E5FEB"/>
    <w:rsid w:val="003E75D1"/>
    <w:rsid w:val="003F0C37"/>
    <w:rsid w:val="003F6ACB"/>
    <w:rsid w:val="003F6D91"/>
    <w:rsid w:val="00410396"/>
    <w:rsid w:val="00412081"/>
    <w:rsid w:val="00412366"/>
    <w:rsid w:val="0042016A"/>
    <w:rsid w:val="00420ED4"/>
    <w:rsid w:val="004316EC"/>
    <w:rsid w:val="00440079"/>
    <w:rsid w:val="00454530"/>
    <w:rsid w:val="004615CC"/>
    <w:rsid w:val="00462635"/>
    <w:rsid w:val="00464C2D"/>
    <w:rsid w:val="00483C12"/>
    <w:rsid w:val="004870B7"/>
    <w:rsid w:val="0049121C"/>
    <w:rsid w:val="004A1CE3"/>
    <w:rsid w:val="004A6FD3"/>
    <w:rsid w:val="004A7AD9"/>
    <w:rsid w:val="004B1C4A"/>
    <w:rsid w:val="004B4671"/>
    <w:rsid w:val="004C04C2"/>
    <w:rsid w:val="004C05A6"/>
    <w:rsid w:val="004D3AA6"/>
    <w:rsid w:val="004E487A"/>
    <w:rsid w:val="004F3280"/>
    <w:rsid w:val="00503258"/>
    <w:rsid w:val="00503F88"/>
    <w:rsid w:val="005057DA"/>
    <w:rsid w:val="00505B93"/>
    <w:rsid w:val="0051161A"/>
    <w:rsid w:val="00522F4F"/>
    <w:rsid w:val="00527FC7"/>
    <w:rsid w:val="00534E90"/>
    <w:rsid w:val="00542B06"/>
    <w:rsid w:val="00546360"/>
    <w:rsid w:val="00551943"/>
    <w:rsid w:val="00553A03"/>
    <w:rsid w:val="00572968"/>
    <w:rsid w:val="005828F0"/>
    <w:rsid w:val="005950CC"/>
    <w:rsid w:val="005A2232"/>
    <w:rsid w:val="005A57DE"/>
    <w:rsid w:val="005B0A61"/>
    <w:rsid w:val="005C198B"/>
    <w:rsid w:val="005C6AE2"/>
    <w:rsid w:val="005D4477"/>
    <w:rsid w:val="005D5440"/>
    <w:rsid w:val="005E30E8"/>
    <w:rsid w:val="005E489A"/>
    <w:rsid w:val="005E5BE0"/>
    <w:rsid w:val="005F6271"/>
    <w:rsid w:val="0060184E"/>
    <w:rsid w:val="00612EE3"/>
    <w:rsid w:val="00617700"/>
    <w:rsid w:val="00620CA9"/>
    <w:rsid w:val="00632387"/>
    <w:rsid w:val="00634C84"/>
    <w:rsid w:val="00645FDA"/>
    <w:rsid w:val="00647D2C"/>
    <w:rsid w:val="006546DC"/>
    <w:rsid w:val="0066267D"/>
    <w:rsid w:val="006667E8"/>
    <w:rsid w:val="00674435"/>
    <w:rsid w:val="00682884"/>
    <w:rsid w:val="00697EFC"/>
    <w:rsid w:val="006A16EA"/>
    <w:rsid w:val="006A7694"/>
    <w:rsid w:val="006B1E3C"/>
    <w:rsid w:val="006B7517"/>
    <w:rsid w:val="006C623B"/>
    <w:rsid w:val="006D03D0"/>
    <w:rsid w:val="006D42AA"/>
    <w:rsid w:val="006D431F"/>
    <w:rsid w:val="006E558C"/>
    <w:rsid w:val="006E55F4"/>
    <w:rsid w:val="006E73C7"/>
    <w:rsid w:val="006F0B4A"/>
    <w:rsid w:val="006F2869"/>
    <w:rsid w:val="006F6273"/>
    <w:rsid w:val="0070181F"/>
    <w:rsid w:val="007119AC"/>
    <w:rsid w:val="00711EB0"/>
    <w:rsid w:val="00713C3A"/>
    <w:rsid w:val="00714581"/>
    <w:rsid w:val="00726DD7"/>
    <w:rsid w:val="00734E81"/>
    <w:rsid w:val="00760EDB"/>
    <w:rsid w:val="00763117"/>
    <w:rsid w:val="00776C34"/>
    <w:rsid w:val="00780927"/>
    <w:rsid w:val="00782D92"/>
    <w:rsid w:val="00787D9D"/>
    <w:rsid w:val="0079089C"/>
    <w:rsid w:val="007911F2"/>
    <w:rsid w:val="00791554"/>
    <w:rsid w:val="00795E13"/>
    <w:rsid w:val="00796B43"/>
    <w:rsid w:val="00797AE6"/>
    <w:rsid w:val="007A62FC"/>
    <w:rsid w:val="007A787B"/>
    <w:rsid w:val="007B234A"/>
    <w:rsid w:val="007B346C"/>
    <w:rsid w:val="007C3B21"/>
    <w:rsid w:val="007C4469"/>
    <w:rsid w:val="007D6E50"/>
    <w:rsid w:val="007F6F0A"/>
    <w:rsid w:val="0080270E"/>
    <w:rsid w:val="0080446E"/>
    <w:rsid w:val="008137B8"/>
    <w:rsid w:val="00815A4C"/>
    <w:rsid w:val="00823C2A"/>
    <w:rsid w:val="00832A63"/>
    <w:rsid w:val="00834615"/>
    <w:rsid w:val="00841BA6"/>
    <w:rsid w:val="0084740F"/>
    <w:rsid w:val="008504ED"/>
    <w:rsid w:val="0085692D"/>
    <w:rsid w:val="00870073"/>
    <w:rsid w:val="00873911"/>
    <w:rsid w:val="00874AB7"/>
    <w:rsid w:val="008754B5"/>
    <w:rsid w:val="008765C0"/>
    <w:rsid w:val="008819F9"/>
    <w:rsid w:val="00881D74"/>
    <w:rsid w:val="008823DA"/>
    <w:rsid w:val="00886CEB"/>
    <w:rsid w:val="0088717C"/>
    <w:rsid w:val="00892093"/>
    <w:rsid w:val="008A0908"/>
    <w:rsid w:val="008A455B"/>
    <w:rsid w:val="008C31EB"/>
    <w:rsid w:val="008C6214"/>
    <w:rsid w:val="008D059E"/>
    <w:rsid w:val="008D4E0E"/>
    <w:rsid w:val="008E0D31"/>
    <w:rsid w:val="008E197E"/>
    <w:rsid w:val="008E3D87"/>
    <w:rsid w:val="008F07D6"/>
    <w:rsid w:val="008F31B0"/>
    <w:rsid w:val="008F672A"/>
    <w:rsid w:val="008F69BB"/>
    <w:rsid w:val="00903B27"/>
    <w:rsid w:val="00905494"/>
    <w:rsid w:val="00907C93"/>
    <w:rsid w:val="00914954"/>
    <w:rsid w:val="00922717"/>
    <w:rsid w:val="009359F1"/>
    <w:rsid w:val="009363FF"/>
    <w:rsid w:val="0093686A"/>
    <w:rsid w:val="00936D70"/>
    <w:rsid w:val="00937BB2"/>
    <w:rsid w:val="00941793"/>
    <w:rsid w:val="00946003"/>
    <w:rsid w:val="00955368"/>
    <w:rsid w:val="00963629"/>
    <w:rsid w:val="00972491"/>
    <w:rsid w:val="009736B4"/>
    <w:rsid w:val="00980CA8"/>
    <w:rsid w:val="00983B5E"/>
    <w:rsid w:val="009855EA"/>
    <w:rsid w:val="009A1569"/>
    <w:rsid w:val="009A6828"/>
    <w:rsid w:val="009A754D"/>
    <w:rsid w:val="009B6EF1"/>
    <w:rsid w:val="009B708D"/>
    <w:rsid w:val="009C2FFF"/>
    <w:rsid w:val="009C56BF"/>
    <w:rsid w:val="009C5B3F"/>
    <w:rsid w:val="009D7841"/>
    <w:rsid w:val="009F467A"/>
    <w:rsid w:val="00A053D1"/>
    <w:rsid w:val="00A07ECD"/>
    <w:rsid w:val="00A1113E"/>
    <w:rsid w:val="00A115F3"/>
    <w:rsid w:val="00A16DEB"/>
    <w:rsid w:val="00A34DFE"/>
    <w:rsid w:val="00A3514E"/>
    <w:rsid w:val="00A35F19"/>
    <w:rsid w:val="00A36335"/>
    <w:rsid w:val="00A36D3E"/>
    <w:rsid w:val="00A37A9A"/>
    <w:rsid w:val="00A46F30"/>
    <w:rsid w:val="00A50AE1"/>
    <w:rsid w:val="00A53439"/>
    <w:rsid w:val="00A53D3E"/>
    <w:rsid w:val="00A61457"/>
    <w:rsid w:val="00A7195D"/>
    <w:rsid w:val="00A71E6E"/>
    <w:rsid w:val="00A74D4B"/>
    <w:rsid w:val="00A84DD8"/>
    <w:rsid w:val="00A86B43"/>
    <w:rsid w:val="00A914C3"/>
    <w:rsid w:val="00A934B9"/>
    <w:rsid w:val="00AA4F98"/>
    <w:rsid w:val="00AB2086"/>
    <w:rsid w:val="00AB5409"/>
    <w:rsid w:val="00AB63F0"/>
    <w:rsid w:val="00AB7F75"/>
    <w:rsid w:val="00AC1D1F"/>
    <w:rsid w:val="00AC71B6"/>
    <w:rsid w:val="00AC72C7"/>
    <w:rsid w:val="00AC7FD9"/>
    <w:rsid w:val="00AD3FC7"/>
    <w:rsid w:val="00AE3161"/>
    <w:rsid w:val="00AE5A3E"/>
    <w:rsid w:val="00AE6F5A"/>
    <w:rsid w:val="00AF0F80"/>
    <w:rsid w:val="00AF66AC"/>
    <w:rsid w:val="00AF6E9E"/>
    <w:rsid w:val="00AF7DF1"/>
    <w:rsid w:val="00B02A30"/>
    <w:rsid w:val="00B128C2"/>
    <w:rsid w:val="00B15233"/>
    <w:rsid w:val="00B16E54"/>
    <w:rsid w:val="00B20513"/>
    <w:rsid w:val="00B25ED3"/>
    <w:rsid w:val="00B362BB"/>
    <w:rsid w:val="00B46640"/>
    <w:rsid w:val="00B505BE"/>
    <w:rsid w:val="00B54A7B"/>
    <w:rsid w:val="00B7573D"/>
    <w:rsid w:val="00B75E1D"/>
    <w:rsid w:val="00B77B1A"/>
    <w:rsid w:val="00B975A9"/>
    <w:rsid w:val="00BA3E0B"/>
    <w:rsid w:val="00BD1058"/>
    <w:rsid w:val="00BD1282"/>
    <w:rsid w:val="00BD4317"/>
    <w:rsid w:val="00BD5441"/>
    <w:rsid w:val="00BE7348"/>
    <w:rsid w:val="00BF46FD"/>
    <w:rsid w:val="00BF5DCF"/>
    <w:rsid w:val="00BF78B9"/>
    <w:rsid w:val="00C030B0"/>
    <w:rsid w:val="00C04567"/>
    <w:rsid w:val="00C0751A"/>
    <w:rsid w:val="00C21721"/>
    <w:rsid w:val="00C24A39"/>
    <w:rsid w:val="00C25507"/>
    <w:rsid w:val="00C2778A"/>
    <w:rsid w:val="00C35F63"/>
    <w:rsid w:val="00C42810"/>
    <w:rsid w:val="00C454AE"/>
    <w:rsid w:val="00C5094E"/>
    <w:rsid w:val="00C6027A"/>
    <w:rsid w:val="00C67111"/>
    <w:rsid w:val="00C71E9C"/>
    <w:rsid w:val="00C72196"/>
    <w:rsid w:val="00C81965"/>
    <w:rsid w:val="00C85814"/>
    <w:rsid w:val="00C87E98"/>
    <w:rsid w:val="00C96C46"/>
    <w:rsid w:val="00C97C71"/>
    <w:rsid w:val="00CA695C"/>
    <w:rsid w:val="00CA7060"/>
    <w:rsid w:val="00CA7844"/>
    <w:rsid w:val="00CB32AD"/>
    <w:rsid w:val="00CC1DCA"/>
    <w:rsid w:val="00CC3B9A"/>
    <w:rsid w:val="00CC425C"/>
    <w:rsid w:val="00CC70A5"/>
    <w:rsid w:val="00CD4039"/>
    <w:rsid w:val="00CD5978"/>
    <w:rsid w:val="00CD799B"/>
    <w:rsid w:val="00CE0BE6"/>
    <w:rsid w:val="00CE112F"/>
    <w:rsid w:val="00CE1541"/>
    <w:rsid w:val="00CE28A7"/>
    <w:rsid w:val="00CE3A82"/>
    <w:rsid w:val="00CE78E2"/>
    <w:rsid w:val="00CF2272"/>
    <w:rsid w:val="00CF5D98"/>
    <w:rsid w:val="00D00845"/>
    <w:rsid w:val="00D06231"/>
    <w:rsid w:val="00D07C30"/>
    <w:rsid w:val="00D10E89"/>
    <w:rsid w:val="00D1263F"/>
    <w:rsid w:val="00D12D8A"/>
    <w:rsid w:val="00D13FD5"/>
    <w:rsid w:val="00D1519C"/>
    <w:rsid w:val="00D15549"/>
    <w:rsid w:val="00D16D8B"/>
    <w:rsid w:val="00D2101C"/>
    <w:rsid w:val="00D27CC1"/>
    <w:rsid w:val="00D350EE"/>
    <w:rsid w:val="00D36700"/>
    <w:rsid w:val="00D43A4E"/>
    <w:rsid w:val="00D468F5"/>
    <w:rsid w:val="00D6639D"/>
    <w:rsid w:val="00D668E4"/>
    <w:rsid w:val="00D7508E"/>
    <w:rsid w:val="00D767C1"/>
    <w:rsid w:val="00D912E9"/>
    <w:rsid w:val="00D9302A"/>
    <w:rsid w:val="00D9705C"/>
    <w:rsid w:val="00DA11D1"/>
    <w:rsid w:val="00DA1882"/>
    <w:rsid w:val="00DA60AC"/>
    <w:rsid w:val="00DA65A9"/>
    <w:rsid w:val="00DA6F17"/>
    <w:rsid w:val="00DB3057"/>
    <w:rsid w:val="00DB3E23"/>
    <w:rsid w:val="00DB5C98"/>
    <w:rsid w:val="00DB5DE9"/>
    <w:rsid w:val="00DC01D6"/>
    <w:rsid w:val="00DC47E0"/>
    <w:rsid w:val="00DC4D30"/>
    <w:rsid w:val="00DC54E0"/>
    <w:rsid w:val="00DD391A"/>
    <w:rsid w:val="00DE0F16"/>
    <w:rsid w:val="00DE22A8"/>
    <w:rsid w:val="00DE2A68"/>
    <w:rsid w:val="00DE3ADF"/>
    <w:rsid w:val="00DF0399"/>
    <w:rsid w:val="00DF0E33"/>
    <w:rsid w:val="00DF7578"/>
    <w:rsid w:val="00E00FB4"/>
    <w:rsid w:val="00E10552"/>
    <w:rsid w:val="00E10571"/>
    <w:rsid w:val="00E20A3F"/>
    <w:rsid w:val="00E266C4"/>
    <w:rsid w:val="00E32356"/>
    <w:rsid w:val="00E40137"/>
    <w:rsid w:val="00E4286C"/>
    <w:rsid w:val="00E42E8C"/>
    <w:rsid w:val="00E4563A"/>
    <w:rsid w:val="00E54E4D"/>
    <w:rsid w:val="00E6102B"/>
    <w:rsid w:val="00E64B98"/>
    <w:rsid w:val="00E754D7"/>
    <w:rsid w:val="00E764ED"/>
    <w:rsid w:val="00E766F7"/>
    <w:rsid w:val="00E85E1B"/>
    <w:rsid w:val="00E91408"/>
    <w:rsid w:val="00E91966"/>
    <w:rsid w:val="00E95FDE"/>
    <w:rsid w:val="00EA1067"/>
    <w:rsid w:val="00EA4B8C"/>
    <w:rsid w:val="00EA57F8"/>
    <w:rsid w:val="00EA6A3C"/>
    <w:rsid w:val="00EB727D"/>
    <w:rsid w:val="00EC1406"/>
    <w:rsid w:val="00ED64DD"/>
    <w:rsid w:val="00EE2089"/>
    <w:rsid w:val="00EF0B5C"/>
    <w:rsid w:val="00EF49E5"/>
    <w:rsid w:val="00F02F42"/>
    <w:rsid w:val="00F0653F"/>
    <w:rsid w:val="00F0722B"/>
    <w:rsid w:val="00F1564F"/>
    <w:rsid w:val="00F23D2B"/>
    <w:rsid w:val="00F34004"/>
    <w:rsid w:val="00F34414"/>
    <w:rsid w:val="00F35942"/>
    <w:rsid w:val="00F45C2F"/>
    <w:rsid w:val="00F4704D"/>
    <w:rsid w:val="00F562D1"/>
    <w:rsid w:val="00F62B03"/>
    <w:rsid w:val="00F733A1"/>
    <w:rsid w:val="00F73F81"/>
    <w:rsid w:val="00F82462"/>
    <w:rsid w:val="00F84851"/>
    <w:rsid w:val="00F877A4"/>
    <w:rsid w:val="00F90BDE"/>
    <w:rsid w:val="00F90CDB"/>
    <w:rsid w:val="00FA7A0F"/>
    <w:rsid w:val="00FB5293"/>
    <w:rsid w:val="00FC1CFB"/>
    <w:rsid w:val="00FC25F8"/>
    <w:rsid w:val="00FC2D31"/>
    <w:rsid w:val="00FC303D"/>
    <w:rsid w:val="00FC3F3A"/>
    <w:rsid w:val="00FD7C5A"/>
    <w:rsid w:val="00FE12A9"/>
    <w:rsid w:val="00FE28DD"/>
    <w:rsid w:val="00FE3355"/>
    <w:rsid w:val="00FE7623"/>
    <w:rsid w:val="00FF057D"/>
    <w:rsid w:val="00FF13A9"/>
    <w:rsid w:val="00FF1E56"/>
    <w:rsid w:val="00FF3232"/>
    <w:rsid w:val="00FF32FD"/>
    <w:rsid w:val="00FF7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0E5A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22B"/>
  </w:style>
  <w:style w:type="paragraph" w:styleId="Footer">
    <w:name w:val="footer"/>
    <w:basedOn w:val="Normal"/>
    <w:link w:val="FooterChar"/>
    <w:uiPriority w:val="99"/>
    <w:unhideWhenUsed/>
    <w:rsid w:val="00F0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22B"/>
  </w:style>
  <w:style w:type="paragraph" w:styleId="BalloonText">
    <w:name w:val="Balloon Text"/>
    <w:basedOn w:val="Normal"/>
    <w:link w:val="BalloonTextChar"/>
    <w:uiPriority w:val="99"/>
    <w:semiHidden/>
    <w:unhideWhenUsed/>
    <w:rsid w:val="00A9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B9"/>
    <w:rPr>
      <w:rFonts w:ascii="Tahoma" w:hAnsi="Tahoma" w:cs="Tahoma"/>
      <w:sz w:val="16"/>
      <w:szCs w:val="16"/>
    </w:rPr>
  </w:style>
  <w:style w:type="paragraph" w:styleId="ListParagraph">
    <w:name w:val="List Paragraph"/>
    <w:basedOn w:val="Normal"/>
    <w:uiPriority w:val="34"/>
    <w:qFormat/>
    <w:rsid w:val="00E4286C"/>
    <w:pPr>
      <w:ind w:left="720"/>
      <w:contextualSpacing/>
    </w:pPr>
    <w:rPr>
      <w:rFonts w:ascii="Calibri" w:eastAsia="Calibri" w:hAnsi="Calibri" w:cs="Times New Roman"/>
    </w:rPr>
  </w:style>
  <w:style w:type="table" w:styleId="TableGrid">
    <w:name w:val="Table Grid"/>
    <w:basedOn w:val="TableNormal"/>
    <w:uiPriority w:val="59"/>
    <w:rsid w:val="00E42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A82"/>
    <w:rPr>
      <w:color w:val="0000FF" w:themeColor="hyperlink"/>
      <w:u w:val="single"/>
    </w:rPr>
  </w:style>
  <w:style w:type="character" w:styleId="FollowedHyperlink">
    <w:name w:val="FollowedHyperlink"/>
    <w:basedOn w:val="DefaultParagraphFont"/>
    <w:uiPriority w:val="99"/>
    <w:semiHidden/>
    <w:unhideWhenUsed/>
    <w:rsid w:val="006E558C"/>
    <w:rPr>
      <w:color w:val="800080" w:themeColor="followedHyperlink"/>
      <w:u w:val="single"/>
    </w:rPr>
  </w:style>
  <w:style w:type="character" w:customStyle="1" w:styleId="screen-name4">
    <w:name w:val="screen-name4"/>
    <w:basedOn w:val="DefaultParagraphFont"/>
    <w:rsid w:val="00157645"/>
  </w:style>
  <w:style w:type="character" w:customStyle="1" w:styleId="apple-converted-space">
    <w:name w:val="apple-converted-space"/>
    <w:basedOn w:val="DefaultParagraphFont"/>
    <w:rsid w:val="000A1AE4"/>
  </w:style>
  <w:style w:type="paragraph" w:customStyle="1" w:styleId="Default">
    <w:name w:val="Default"/>
    <w:rsid w:val="00DE2A68"/>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uiPriority w:val="99"/>
    <w:semiHidden/>
    <w:unhideWhenUsed/>
    <w:rsid w:val="00CC4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25C"/>
    <w:rPr>
      <w:sz w:val="20"/>
      <w:szCs w:val="20"/>
    </w:rPr>
  </w:style>
  <w:style w:type="character" w:styleId="FootnoteReference">
    <w:name w:val="footnote reference"/>
    <w:basedOn w:val="DefaultParagraphFont"/>
    <w:uiPriority w:val="99"/>
    <w:semiHidden/>
    <w:unhideWhenUsed/>
    <w:rsid w:val="00CC425C"/>
    <w:rPr>
      <w:vertAlign w:val="superscript"/>
    </w:rPr>
  </w:style>
  <w:style w:type="character" w:styleId="CommentReference">
    <w:name w:val="annotation reference"/>
    <w:basedOn w:val="DefaultParagraphFont"/>
    <w:uiPriority w:val="99"/>
    <w:semiHidden/>
    <w:unhideWhenUsed/>
    <w:rsid w:val="00454530"/>
    <w:rPr>
      <w:sz w:val="16"/>
      <w:szCs w:val="16"/>
    </w:rPr>
  </w:style>
  <w:style w:type="paragraph" w:styleId="CommentText">
    <w:name w:val="annotation text"/>
    <w:basedOn w:val="Normal"/>
    <w:link w:val="CommentTextChar"/>
    <w:uiPriority w:val="99"/>
    <w:semiHidden/>
    <w:unhideWhenUsed/>
    <w:rsid w:val="00454530"/>
    <w:pPr>
      <w:spacing w:line="240" w:lineRule="auto"/>
    </w:pPr>
    <w:rPr>
      <w:sz w:val="20"/>
      <w:szCs w:val="20"/>
    </w:rPr>
  </w:style>
  <w:style w:type="character" w:customStyle="1" w:styleId="CommentTextChar">
    <w:name w:val="Comment Text Char"/>
    <w:basedOn w:val="DefaultParagraphFont"/>
    <w:link w:val="CommentText"/>
    <w:uiPriority w:val="99"/>
    <w:semiHidden/>
    <w:rsid w:val="00454530"/>
    <w:rPr>
      <w:sz w:val="20"/>
      <w:szCs w:val="20"/>
    </w:rPr>
  </w:style>
  <w:style w:type="paragraph" w:styleId="CommentSubject">
    <w:name w:val="annotation subject"/>
    <w:basedOn w:val="CommentText"/>
    <w:next w:val="CommentText"/>
    <w:link w:val="CommentSubjectChar"/>
    <w:uiPriority w:val="99"/>
    <w:semiHidden/>
    <w:unhideWhenUsed/>
    <w:rsid w:val="00454530"/>
    <w:rPr>
      <w:b/>
      <w:bCs/>
    </w:rPr>
  </w:style>
  <w:style w:type="character" w:customStyle="1" w:styleId="CommentSubjectChar">
    <w:name w:val="Comment Subject Char"/>
    <w:basedOn w:val="CommentTextChar"/>
    <w:link w:val="CommentSubject"/>
    <w:uiPriority w:val="99"/>
    <w:semiHidden/>
    <w:rsid w:val="00454530"/>
    <w:rPr>
      <w:b/>
      <w:bCs/>
      <w:sz w:val="20"/>
      <w:szCs w:val="20"/>
    </w:rPr>
  </w:style>
  <w:style w:type="paragraph" w:styleId="NormalWeb">
    <w:name w:val="Normal (Web)"/>
    <w:basedOn w:val="Normal"/>
    <w:uiPriority w:val="99"/>
    <w:unhideWhenUsed/>
    <w:rsid w:val="00B4664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22B"/>
  </w:style>
  <w:style w:type="paragraph" w:styleId="Footer">
    <w:name w:val="footer"/>
    <w:basedOn w:val="Normal"/>
    <w:link w:val="FooterChar"/>
    <w:uiPriority w:val="99"/>
    <w:unhideWhenUsed/>
    <w:rsid w:val="00F07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22B"/>
  </w:style>
  <w:style w:type="paragraph" w:styleId="BalloonText">
    <w:name w:val="Balloon Text"/>
    <w:basedOn w:val="Normal"/>
    <w:link w:val="BalloonTextChar"/>
    <w:uiPriority w:val="99"/>
    <w:semiHidden/>
    <w:unhideWhenUsed/>
    <w:rsid w:val="00A9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4B9"/>
    <w:rPr>
      <w:rFonts w:ascii="Tahoma" w:hAnsi="Tahoma" w:cs="Tahoma"/>
      <w:sz w:val="16"/>
      <w:szCs w:val="16"/>
    </w:rPr>
  </w:style>
  <w:style w:type="paragraph" w:styleId="ListParagraph">
    <w:name w:val="List Paragraph"/>
    <w:basedOn w:val="Normal"/>
    <w:uiPriority w:val="34"/>
    <w:qFormat/>
    <w:rsid w:val="00E4286C"/>
    <w:pPr>
      <w:ind w:left="720"/>
      <w:contextualSpacing/>
    </w:pPr>
    <w:rPr>
      <w:rFonts w:ascii="Calibri" w:eastAsia="Calibri" w:hAnsi="Calibri" w:cs="Times New Roman"/>
    </w:rPr>
  </w:style>
  <w:style w:type="table" w:styleId="TableGrid">
    <w:name w:val="Table Grid"/>
    <w:basedOn w:val="TableNormal"/>
    <w:uiPriority w:val="59"/>
    <w:rsid w:val="00E42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3A82"/>
    <w:rPr>
      <w:color w:val="0000FF" w:themeColor="hyperlink"/>
      <w:u w:val="single"/>
    </w:rPr>
  </w:style>
  <w:style w:type="character" w:styleId="FollowedHyperlink">
    <w:name w:val="FollowedHyperlink"/>
    <w:basedOn w:val="DefaultParagraphFont"/>
    <w:uiPriority w:val="99"/>
    <w:semiHidden/>
    <w:unhideWhenUsed/>
    <w:rsid w:val="006E558C"/>
    <w:rPr>
      <w:color w:val="800080" w:themeColor="followedHyperlink"/>
      <w:u w:val="single"/>
    </w:rPr>
  </w:style>
  <w:style w:type="character" w:customStyle="1" w:styleId="screen-name4">
    <w:name w:val="screen-name4"/>
    <w:basedOn w:val="DefaultParagraphFont"/>
    <w:rsid w:val="00157645"/>
  </w:style>
  <w:style w:type="character" w:customStyle="1" w:styleId="apple-converted-space">
    <w:name w:val="apple-converted-space"/>
    <w:basedOn w:val="DefaultParagraphFont"/>
    <w:rsid w:val="000A1AE4"/>
  </w:style>
  <w:style w:type="paragraph" w:customStyle="1" w:styleId="Default">
    <w:name w:val="Default"/>
    <w:rsid w:val="00DE2A68"/>
    <w:pPr>
      <w:autoSpaceDE w:val="0"/>
      <w:autoSpaceDN w:val="0"/>
      <w:adjustRightInd w:val="0"/>
      <w:spacing w:after="0" w:line="240" w:lineRule="auto"/>
    </w:pPr>
    <w:rPr>
      <w:rFonts w:ascii="Calibri" w:eastAsia="Times New Roman" w:hAnsi="Calibri" w:cs="Calibri"/>
      <w:color w:val="000000"/>
      <w:sz w:val="24"/>
      <w:szCs w:val="24"/>
    </w:rPr>
  </w:style>
  <w:style w:type="paragraph" w:styleId="FootnoteText">
    <w:name w:val="footnote text"/>
    <w:basedOn w:val="Normal"/>
    <w:link w:val="FootnoteTextChar"/>
    <w:uiPriority w:val="99"/>
    <w:semiHidden/>
    <w:unhideWhenUsed/>
    <w:rsid w:val="00CC4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25C"/>
    <w:rPr>
      <w:sz w:val="20"/>
      <w:szCs w:val="20"/>
    </w:rPr>
  </w:style>
  <w:style w:type="character" w:styleId="FootnoteReference">
    <w:name w:val="footnote reference"/>
    <w:basedOn w:val="DefaultParagraphFont"/>
    <w:uiPriority w:val="99"/>
    <w:semiHidden/>
    <w:unhideWhenUsed/>
    <w:rsid w:val="00CC425C"/>
    <w:rPr>
      <w:vertAlign w:val="superscript"/>
    </w:rPr>
  </w:style>
  <w:style w:type="character" w:styleId="CommentReference">
    <w:name w:val="annotation reference"/>
    <w:basedOn w:val="DefaultParagraphFont"/>
    <w:uiPriority w:val="99"/>
    <w:semiHidden/>
    <w:unhideWhenUsed/>
    <w:rsid w:val="00454530"/>
    <w:rPr>
      <w:sz w:val="16"/>
      <w:szCs w:val="16"/>
    </w:rPr>
  </w:style>
  <w:style w:type="paragraph" w:styleId="CommentText">
    <w:name w:val="annotation text"/>
    <w:basedOn w:val="Normal"/>
    <w:link w:val="CommentTextChar"/>
    <w:uiPriority w:val="99"/>
    <w:semiHidden/>
    <w:unhideWhenUsed/>
    <w:rsid w:val="00454530"/>
    <w:pPr>
      <w:spacing w:line="240" w:lineRule="auto"/>
    </w:pPr>
    <w:rPr>
      <w:sz w:val="20"/>
      <w:szCs w:val="20"/>
    </w:rPr>
  </w:style>
  <w:style w:type="character" w:customStyle="1" w:styleId="CommentTextChar">
    <w:name w:val="Comment Text Char"/>
    <w:basedOn w:val="DefaultParagraphFont"/>
    <w:link w:val="CommentText"/>
    <w:uiPriority w:val="99"/>
    <w:semiHidden/>
    <w:rsid w:val="00454530"/>
    <w:rPr>
      <w:sz w:val="20"/>
      <w:szCs w:val="20"/>
    </w:rPr>
  </w:style>
  <w:style w:type="paragraph" w:styleId="CommentSubject">
    <w:name w:val="annotation subject"/>
    <w:basedOn w:val="CommentText"/>
    <w:next w:val="CommentText"/>
    <w:link w:val="CommentSubjectChar"/>
    <w:uiPriority w:val="99"/>
    <w:semiHidden/>
    <w:unhideWhenUsed/>
    <w:rsid w:val="00454530"/>
    <w:rPr>
      <w:b/>
      <w:bCs/>
    </w:rPr>
  </w:style>
  <w:style w:type="character" w:customStyle="1" w:styleId="CommentSubjectChar">
    <w:name w:val="Comment Subject Char"/>
    <w:basedOn w:val="CommentTextChar"/>
    <w:link w:val="CommentSubject"/>
    <w:uiPriority w:val="99"/>
    <w:semiHidden/>
    <w:rsid w:val="00454530"/>
    <w:rPr>
      <w:b/>
      <w:bCs/>
      <w:sz w:val="20"/>
      <w:szCs w:val="20"/>
    </w:rPr>
  </w:style>
  <w:style w:type="paragraph" w:styleId="NormalWeb">
    <w:name w:val="Normal (Web)"/>
    <w:basedOn w:val="Normal"/>
    <w:uiPriority w:val="99"/>
    <w:unhideWhenUsed/>
    <w:rsid w:val="00B466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515">
          <w:marLeft w:val="0"/>
          <w:marRight w:val="0"/>
          <w:marTop w:val="0"/>
          <w:marBottom w:val="0"/>
          <w:divBdr>
            <w:top w:val="none" w:sz="0" w:space="0" w:color="auto"/>
            <w:left w:val="none" w:sz="0" w:space="0" w:color="auto"/>
            <w:bottom w:val="none" w:sz="0" w:space="0" w:color="auto"/>
            <w:right w:val="none" w:sz="0" w:space="0" w:color="auto"/>
          </w:divBdr>
          <w:divsChild>
            <w:div w:id="307785243">
              <w:marLeft w:val="0"/>
              <w:marRight w:val="0"/>
              <w:marTop w:val="0"/>
              <w:marBottom w:val="0"/>
              <w:divBdr>
                <w:top w:val="none" w:sz="0" w:space="0" w:color="auto"/>
                <w:left w:val="none" w:sz="0" w:space="0" w:color="auto"/>
                <w:bottom w:val="none" w:sz="0" w:space="0" w:color="auto"/>
                <w:right w:val="none" w:sz="0" w:space="0" w:color="auto"/>
              </w:divBdr>
              <w:divsChild>
                <w:div w:id="1033070359">
                  <w:marLeft w:val="0"/>
                  <w:marRight w:val="0"/>
                  <w:marTop w:val="0"/>
                  <w:marBottom w:val="0"/>
                  <w:divBdr>
                    <w:top w:val="none" w:sz="0" w:space="0" w:color="auto"/>
                    <w:left w:val="none" w:sz="0" w:space="0" w:color="auto"/>
                    <w:bottom w:val="none" w:sz="0" w:space="0" w:color="auto"/>
                    <w:right w:val="none" w:sz="0" w:space="0" w:color="auto"/>
                  </w:divBdr>
                  <w:divsChild>
                    <w:div w:id="887646504">
                      <w:marLeft w:val="0"/>
                      <w:marRight w:val="0"/>
                      <w:marTop w:val="0"/>
                      <w:marBottom w:val="0"/>
                      <w:divBdr>
                        <w:top w:val="none" w:sz="0" w:space="0" w:color="auto"/>
                        <w:left w:val="none" w:sz="0" w:space="0" w:color="auto"/>
                        <w:bottom w:val="none" w:sz="0" w:space="0" w:color="auto"/>
                        <w:right w:val="none" w:sz="0" w:space="0" w:color="auto"/>
                      </w:divBdr>
                      <w:divsChild>
                        <w:div w:id="595748028">
                          <w:marLeft w:val="0"/>
                          <w:marRight w:val="0"/>
                          <w:marTop w:val="0"/>
                          <w:marBottom w:val="0"/>
                          <w:divBdr>
                            <w:top w:val="none" w:sz="0" w:space="0" w:color="auto"/>
                            <w:left w:val="none" w:sz="0" w:space="0" w:color="auto"/>
                            <w:bottom w:val="none" w:sz="0" w:space="0" w:color="auto"/>
                            <w:right w:val="none" w:sz="0" w:space="0" w:color="auto"/>
                          </w:divBdr>
                          <w:divsChild>
                            <w:div w:id="2128040783">
                              <w:marLeft w:val="0"/>
                              <w:marRight w:val="0"/>
                              <w:marTop w:val="0"/>
                              <w:marBottom w:val="0"/>
                              <w:divBdr>
                                <w:top w:val="none" w:sz="0" w:space="0" w:color="auto"/>
                                <w:left w:val="none" w:sz="0" w:space="0" w:color="auto"/>
                                <w:bottom w:val="none" w:sz="0" w:space="0" w:color="auto"/>
                                <w:right w:val="none" w:sz="0" w:space="0" w:color="auto"/>
                              </w:divBdr>
                              <w:divsChild>
                                <w:div w:id="15184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8724">
      <w:bodyDiv w:val="1"/>
      <w:marLeft w:val="0"/>
      <w:marRight w:val="0"/>
      <w:marTop w:val="0"/>
      <w:marBottom w:val="0"/>
      <w:divBdr>
        <w:top w:val="none" w:sz="0" w:space="0" w:color="auto"/>
        <w:left w:val="none" w:sz="0" w:space="0" w:color="auto"/>
        <w:bottom w:val="none" w:sz="0" w:space="0" w:color="auto"/>
        <w:right w:val="none" w:sz="0" w:space="0" w:color="auto"/>
      </w:divBdr>
      <w:divsChild>
        <w:div w:id="130052164">
          <w:marLeft w:val="0"/>
          <w:marRight w:val="0"/>
          <w:marTop w:val="0"/>
          <w:marBottom w:val="0"/>
          <w:divBdr>
            <w:top w:val="none" w:sz="0" w:space="0" w:color="auto"/>
            <w:left w:val="none" w:sz="0" w:space="0" w:color="auto"/>
            <w:bottom w:val="none" w:sz="0" w:space="0" w:color="auto"/>
            <w:right w:val="none" w:sz="0" w:space="0" w:color="auto"/>
          </w:divBdr>
          <w:divsChild>
            <w:div w:id="1198666242">
              <w:marLeft w:val="0"/>
              <w:marRight w:val="0"/>
              <w:marTop w:val="0"/>
              <w:marBottom w:val="0"/>
              <w:divBdr>
                <w:top w:val="none" w:sz="0" w:space="0" w:color="auto"/>
                <w:left w:val="none" w:sz="0" w:space="0" w:color="auto"/>
                <w:bottom w:val="none" w:sz="0" w:space="0" w:color="auto"/>
                <w:right w:val="none" w:sz="0" w:space="0" w:color="auto"/>
              </w:divBdr>
              <w:divsChild>
                <w:div w:id="2129348465">
                  <w:marLeft w:val="15"/>
                  <w:marRight w:val="15"/>
                  <w:marTop w:val="0"/>
                  <w:marBottom w:val="0"/>
                  <w:divBdr>
                    <w:top w:val="single" w:sz="6" w:space="0" w:color="FFFFFF"/>
                    <w:left w:val="single" w:sz="6" w:space="0" w:color="FFFFFF"/>
                    <w:bottom w:val="single" w:sz="6" w:space="11" w:color="FFFFFF"/>
                    <w:right w:val="single" w:sz="6" w:space="0" w:color="FFFFFF"/>
                  </w:divBdr>
                  <w:divsChild>
                    <w:div w:id="1400207832">
                      <w:marLeft w:val="300"/>
                      <w:marRight w:val="300"/>
                      <w:marTop w:val="300"/>
                      <w:marBottom w:val="0"/>
                      <w:divBdr>
                        <w:top w:val="none" w:sz="0" w:space="0" w:color="auto"/>
                        <w:left w:val="none" w:sz="0" w:space="0" w:color="auto"/>
                        <w:bottom w:val="none" w:sz="0" w:space="0" w:color="auto"/>
                        <w:right w:val="none" w:sz="0" w:space="0" w:color="auto"/>
                      </w:divBdr>
                      <w:divsChild>
                        <w:div w:id="1033263926">
                          <w:marLeft w:val="0"/>
                          <w:marRight w:val="0"/>
                          <w:marTop w:val="0"/>
                          <w:marBottom w:val="0"/>
                          <w:divBdr>
                            <w:top w:val="none" w:sz="0" w:space="0" w:color="auto"/>
                            <w:left w:val="none" w:sz="0" w:space="0" w:color="auto"/>
                            <w:bottom w:val="none" w:sz="0" w:space="0" w:color="auto"/>
                            <w:right w:val="none" w:sz="0" w:space="0" w:color="auto"/>
                          </w:divBdr>
                          <w:divsChild>
                            <w:div w:id="1622345039">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sChild>
    </w:div>
    <w:div w:id="248389309">
      <w:bodyDiv w:val="1"/>
      <w:marLeft w:val="0"/>
      <w:marRight w:val="0"/>
      <w:marTop w:val="0"/>
      <w:marBottom w:val="0"/>
      <w:divBdr>
        <w:top w:val="none" w:sz="0" w:space="0" w:color="auto"/>
        <w:left w:val="none" w:sz="0" w:space="0" w:color="auto"/>
        <w:bottom w:val="none" w:sz="0" w:space="0" w:color="auto"/>
        <w:right w:val="none" w:sz="0" w:space="0" w:color="auto"/>
      </w:divBdr>
      <w:divsChild>
        <w:div w:id="1524124911">
          <w:marLeft w:val="0"/>
          <w:marRight w:val="0"/>
          <w:marTop w:val="0"/>
          <w:marBottom w:val="0"/>
          <w:divBdr>
            <w:top w:val="none" w:sz="0" w:space="0" w:color="auto"/>
            <w:left w:val="none" w:sz="0" w:space="0" w:color="auto"/>
            <w:bottom w:val="none" w:sz="0" w:space="0" w:color="auto"/>
            <w:right w:val="none" w:sz="0" w:space="0" w:color="auto"/>
          </w:divBdr>
          <w:divsChild>
            <w:div w:id="1546678239">
              <w:marLeft w:val="0"/>
              <w:marRight w:val="0"/>
              <w:marTop w:val="0"/>
              <w:marBottom w:val="0"/>
              <w:divBdr>
                <w:top w:val="none" w:sz="0" w:space="0" w:color="auto"/>
                <w:left w:val="none" w:sz="0" w:space="0" w:color="auto"/>
                <w:bottom w:val="none" w:sz="0" w:space="0" w:color="auto"/>
                <w:right w:val="none" w:sz="0" w:space="0" w:color="auto"/>
              </w:divBdr>
              <w:divsChild>
                <w:div w:id="17750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69712">
      <w:bodyDiv w:val="1"/>
      <w:marLeft w:val="0"/>
      <w:marRight w:val="0"/>
      <w:marTop w:val="0"/>
      <w:marBottom w:val="0"/>
      <w:divBdr>
        <w:top w:val="none" w:sz="0" w:space="0" w:color="auto"/>
        <w:left w:val="none" w:sz="0" w:space="0" w:color="auto"/>
        <w:bottom w:val="none" w:sz="0" w:space="0" w:color="auto"/>
        <w:right w:val="none" w:sz="0" w:space="0" w:color="auto"/>
      </w:divBdr>
      <w:divsChild>
        <w:div w:id="713698684">
          <w:marLeft w:val="0"/>
          <w:marRight w:val="0"/>
          <w:marTop w:val="0"/>
          <w:marBottom w:val="0"/>
          <w:divBdr>
            <w:top w:val="none" w:sz="0" w:space="0" w:color="auto"/>
            <w:left w:val="none" w:sz="0" w:space="0" w:color="auto"/>
            <w:bottom w:val="none" w:sz="0" w:space="0" w:color="auto"/>
            <w:right w:val="none" w:sz="0" w:space="0" w:color="auto"/>
          </w:divBdr>
        </w:div>
        <w:div w:id="2084333332">
          <w:marLeft w:val="0"/>
          <w:marRight w:val="0"/>
          <w:marTop w:val="0"/>
          <w:marBottom w:val="0"/>
          <w:divBdr>
            <w:top w:val="none" w:sz="0" w:space="0" w:color="auto"/>
            <w:left w:val="none" w:sz="0" w:space="0" w:color="auto"/>
            <w:bottom w:val="none" w:sz="0" w:space="0" w:color="auto"/>
            <w:right w:val="none" w:sz="0" w:space="0" w:color="auto"/>
          </w:divBdr>
        </w:div>
        <w:div w:id="385645558">
          <w:marLeft w:val="0"/>
          <w:marRight w:val="0"/>
          <w:marTop w:val="0"/>
          <w:marBottom w:val="0"/>
          <w:divBdr>
            <w:top w:val="none" w:sz="0" w:space="0" w:color="auto"/>
            <w:left w:val="none" w:sz="0" w:space="0" w:color="auto"/>
            <w:bottom w:val="none" w:sz="0" w:space="0" w:color="auto"/>
            <w:right w:val="none" w:sz="0" w:space="0" w:color="auto"/>
          </w:divBdr>
        </w:div>
        <w:div w:id="838303448">
          <w:marLeft w:val="0"/>
          <w:marRight w:val="0"/>
          <w:marTop w:val="0"/>
          <w:marBottom w:val="0"/>
          <w:divBdr>
            <w:top w:val="none" w:sz="0" w:space="0" w:color="auto"/>
            <w:left w:val="none" w:sz="0" w:space="0" w:color="auto"/>
            <w:bottom w:val="none" w:sz="0" w:space="0" w:color="auto"/>
            <w:right w:val="none" w:sz="0" w:space="0" w:color="auto"/>
          </w:divBdr>
        </w:div>
        <w:div w:id="1109542369">
          <w:marLeft w:val="0"/>
          <w:marRight w:val="0"/>
          <w:marTop w:val="0"/>
          <w:marBottom w:val="0"/>
          <w:divBdr>
            <w:top w:val="none" w:sz="0" w:space="0" w:color="auto"/>
            <w:left w:val="none" w:sz="0" w:space="0" w:color="auto"/>
            <w:bottom w:val="none" w:sz="0" w:space="0" w:color="auto"/>
            <w:right w:val="none" w:sz="0" w:space="0" w:color="auto"/>
          </w:divBdr>
        </w:div>
        <w:div w:id="1960990454">
          <w:marLeft w:val="0"/>
          <w:marRight w:val="0"/>
          <w:marTop w:val="0"/>
          <w:marBottom w:val="0"/>
          <w:divBdr>
            <w:top w:val="none" w:sz="0" w:space="0" w:color="auto"/>
            <w:left w:val="none" w:sz="0" w:space="0" w:color="auto"/>
            <w:bottom w:val="none" w:sz="0" w:space="0" w:color="auto"/>
            <w:right w:val="none" w:sz="0" w:space="0" w:color="auto"/>
          </w:divBdr>
        </w:div>
        <w:div w:id="1190609178">
          <w:marLeft w:val="0"/>
          <w:marRight w:val="0"/>
          <w:marTop w:val="0"/>
          <w:marBottom w:val="0"/>
          <w:divBdr>
            <w:top w:val="none" w:sz="0" w:space="0" w:color="auto"/>
            <w:left w:val="none" w:sz="0" w:space="0" w:color="auto"/>
            <w:bottom w:val="none" w:sz="0" w:space="0" w:color="auto"/>
            <w:right w:val="none" w:sz="0" w:space="0" w:color="auto"/>
          </w:divBdr>
        </w:div>
        <w:div w:id="458031528">
          <w:marLeft w:val="0"/>
          <w:marRight w:val="0"/>
          <w:marTop w:val="0"/>
          <w:marBottom w:val="0"/>
          <w:divBdr>
            <w:top w:val="none" w:sz="0" w:space="0" w:color="auto"/>
            <w:left w:val="none" w:sz="0" w:space="0" w:color="auto"/>
            <w:bottom w:val="none" w:sz="0" w:space="0" w:color="auto"/>
            <w:right w:val="none" w:sz="0" w:space="0" w:color="auto"/>
          </w:divBdr>
        </w:div>
        <w:div w:id="466972551">
          <w:marLeft w:val="0"/>
          <w:marRight w:val="0"/>
          <w:marTop w:val="0"/>
          <w:marBottom w:val="0"/>
          <w:divBdr>
            <w:top w:val="none" w:sz="0" w:space="0" w:color="auto"/>
            <w:left w:val="none" w:sz="0" w:space="0" w:color="auto"/>
            <w:bottom w:val="none" w:sz="0" w:space="0" w:color="auto"/>
            <w:right w:val="none" w:sz="0" w:space="0" w:color="auto"/>
          </w:divBdr>
        </w:div>
        <w:div w:id="750934327">
          <w:marLeft w:val="0"/>
          <w:marRight w:val="0"/>
          <w:marTop w:val="0"/>
          <w:marBottom w:val="0"/>
          <w:divBdr>
            <w:top w:val="none" w:sz="0" w:space="0" w:color="auto"/>
            <w:left w:val="none" w:sz="0" w:space="0" w:color="auto"/>
            <w:bottom w:val="none" w:sz="0" w:space="0" w:color="auto"/>
            <w:right w:val="none" w:sz="0" w:space="0" w:color="auto"/>
          </w:divBdr>
        </w:div>
        <w:div w:id="801925551">
          <w:marLeft w:val="0"/>
          <w:marRight w:val="0"/>
          <w:marTop w:val="0"/>
          <w:marBottom w:val="0"/>
          <w:divBdr>
            <w:top w:val="none" w:sz="0" w:space="0" w:color="auto"/>
            <w:left w:val="none" w:sz="0" w:space="0" w:color="auto"/>
            <w:bottom w:val="none" w:sz="0" w:space="0" w:color="auto"/>
            <w:right w:val="none" w:sz="0" w:space="0" w:color="auto"/>
          </w:divBdr>
        </w:div>
        <w:div w:id="356271358">
          <w:marLeft w:val="0"/>
          <w:marRight w:val="0"/>
          <w:marTop w:val="0"/>
          <w:marBottom w:val="0"/>
          <w:divBdr>
            <w:top w:val="none" w:sz="0" w:space="0" w:color="auto"/>
            <w:left w:val="none" w:sz="0" w:space="0" w:color="auto"/>
            <w:bottom w:val="none" w:sz="0" w:space="0" w:color="auto"/>
            <w:right w:val="none" w:sz="0" w:space="0" w:color="auto"/>
          </w:divBdr>
        </w:div>
        <w:div w:id="1375036283">
          <w:marLeft w:val="0"/>
          <w:marRight w:val="0"/>
          <w:marTop w:val="0"/>
          <w:marBottom w:val="0"/>
          <w:divBdr>
            <w:top w:val="none" w:sz="0" w:space="0" w:color="auto"/>
            <w:left w:val="none" w:sz="0" w:space="0" w:color="auto"/>
            <w:bottom w:val="none" w:sz="0" w:space="0" w:color="auto"/>
            <w:right w:val="none" w:sz="0" w:space="0" w:color="auto"/>
          </w:divBdr>
        </w:div>
        <w:div w:id="2130779973">
          <w:marLeft w:val="0"/>
          <w:marRight w:val="0"/>
          <w:marTop w:val="0"/>
          <w:marBottom w:val="0"/>
          <w:divBdr>
            <w:top w:val="none" w:sz="0" w:space="0" w:color="auto"/>
            <w:left w:val="none" w:sz="0" w:space="0" w:color="auto"/>
            <w:bottom w:val="none" w:sz="0" w:space="0" w:color="auto"/>
            <w:right w:val="none" w:sz="0" w:space="0" w:color="auto"/>
          </w:divBdr>
        </w:div>
        <w:div w:id="862742781">
          <w:marLeft w:val="0"/>
          <w:marRight w:val="0"/>
          <w:marTop w:val="0"/>
          <w:marBottom w:val="0"/>
          <w:divBdr>
            <w:top w:val="none" w:sz="0" w:space="0" w:color="auto"/>
            <w:left w:val="none" w:sz="0" w:space="0" w:color="auto"/>
            <w:bottom w:val="none" w:sz="0" w:space="0" w:color="auto"/>
            <w:right w:val="none" w:sz="0" w:space="0" w:color="auto"/>
          </w:divBdr>
        </w:div>
        <w:div w:id="1695568149">
          <w:marLeft w:val="0"/>
          <w:marRight w:val="0"/>
          <w:marTop w:val="0"/>
          <w:marBottom w:val="0"/>
          <w:divBdr>
            <w:top w:val="none" w:sz="0" w:space="0" w:color="auto"/>
            <w:left w:val="none" w:sz="0" w:space="0" w:color="auto"/>
            <w:bottom w:val="none" w:sz="0" w:space="0" w:color="auto"/>
            <w:right w:val="none" w:sz="0" w:space="0" w:color="auto"/>
          </w:divBdr>
        </w:div>
        <w:div w:id="1131361576">
          <w:marLeft w:val="0"/>
          <w:marRight w:val="0"/>
          <w:marTop w:val="0"/>
          <w:marBottom w:val="0"/>
          <w:divBdr>
            <w:top w:val="none" w:sz="0" w:space="0" w:color="auto"/>
            <w:left w:val="none" w:sz="0" w:space="0" w:color="auto"/>
            <w:bottom w:val="none" w:sz="0" w:space="0" w:color="auto"/>
            <w:right w:val="none" w:sz="0" w:space="0" w:color="auto"/>
          </w:divBdr>
        </w:div>
        <w:div w:id="1243026169">
          <w:marLeft w:val="0"/>
          <w:marRight w:val="0"/>
          <w:marTop w:val="0"/>
          <w:marBottom w:val="0"/>
          <w:divBdr>
            <w:top w:val="none" w:sz="0" w:space="0" w:color="auto"/>
            <w:left w:val="none" w:sz="0" w:space="0" w:color="auto"/>
            <w:bottom w:val="none" w:sz="0" w:space="0" w:color="auto"/>
            <w:right w:val="none" w:sz="0" w:space="0" w:color="auto"/>
          </w:divBdr>
        </w:div>
        <w:div w:id="1594897952">
          <w:marLeft w:val="0"/>
          <w:marRight w:val="0"/>
          <w:marTop w:val="0"/>
          <w:marBottom w:val="0"/>
          <w:divBdr>
            <w:top w:val="none" w:sz="0" w:space="0" w:color="auto"/>
            <w:left w:val="none" w:sz="0" w:space="0" w:color="auto"/>
            <w:bottom w:val="none" w:sz="0" w:space="0" w:color="auto"/>
            <w:right w:val="none" w:sz="0" w:space="0" w:color="auto"/>
          </w:divBdr>
        </w:div>
        <w:div w:id="27344547">
          <w:marLeft w:val="0"/>
          <w:marRight w:val="0"/>
          <w:marTop w:val="0"/>
          <w:marBottom w:val="0"/>
          <w:divBdr>
            <w:top w:val="none" w:sz="0" w:space="0" w:color="auto"/>
            <w:left w:val="none" w:sz="0" w:space="0" w:color="auto"/>
            <w:bottom w:val="none" w:sz="0" w:space="0" w:color="auto"/>
            <w:right w:val="none" w:sz="0" w:space="0" w:color="auto"/>
          </w:divBdr>
        </w:div>
        <w:div w:id="191188822">
          <w:marLeft w:val="0"/>
          <w:marRight w:val="0"/>
          <w:marTop w:val="0"/>
          <w:marBottom w:val="0"/>
          <w:divBdr>
            <w:top w:val="none" w:sz="0" w:space="0" w:color="auto"/>
            <w:left w:val="none" w:sz="0" w:space="0" w:color="auto"/>
            <w:bottom w:val="none" w:sz="0" w:space="0" w:color="auto"/>
            <w:right w:val="none" w:sz="0" w:space="0" w:color="auto"/>
          </w:divBdr>
        </w:div>
        <w:div w:id="780418910">
          <w:marLeft w:val="0"/>
          <w:marRight w:val="0"/>
          <w:marTop w:val="0"/>
          <w:marBottom w:val="0"/>
          <w:divBdr>
            <w:top w:val="none" w:sz="0" w:space="0" w:color="auto"/>
            <w:left w:val="none" w:sz="0" w:space="0" w:color="auto"/>
            <w:bottom w:val="none" w:sz="0" w:space="0" w:color="auto"/>
            <w:right w:val="none" w:sz="0" w:space="0" w:color="auto"/>
          </w:divBdr>
        </w:div>
        <w:div w:id="142283745">
          <w:marLeft w:val="0"/>
          <w:marRight w:val="0"/>
          <w:marTop w:val="0"/>
          <w:marBottom w:val="0"/>
          <w:divBdr>
            <w:top w:val="none" w:sz="0" w:space="0" w:color="auto"/>
            <w:left w:val="none" w:sz="0" w:space="0" w:color="auto"/>
            <w:bottom w:val="none" w:sz="0" w:space="0" w:color="auto"/>
            <w:right w:val="none" w:sz="0" w:space="0" w:color="auto"/>
          </w:divBdr>
        </w:div>
        <w:div w:id="607590776">
          <w:marLeft w:val="0"/>
          <w:marRight w:val="0"/>
          <w:marTop w:val="0"/>
          <w:marBottom w:val="0"/>
          <w:divBdr>
            <w:top w:val="none" w:sz="0" w:space="0" w:color="auto"/>
            <w:left w:val="none" w:sz="0" w:space="0" w:color="auto"/>
            <w:bottom w:val="none" w:sz="0" w:space="0" w:color="auto"/>
            <w:right w:val="none" w:sz="0" w:space="0" w:color="auto"/>
          </w:divBdr>
        </w:div>
        <w:div w:id="353001574">
          <w:marLeft w:val="0"/>
          <w:marRight w:val="0"/>
          <w:marTop w:val="0"/>
          <w:marBottom w:val="0"/>
          <w:divBdr>
            <w:top w:val="none" w:sz="0" w:space="0" w:color="auto"/>
            <w:left w:val="none" w:sz="0" w:space="0" w:color="auto"/>
            <w:bottom w:val="none" w:sz="0" w:space="0" w:color="auto"/>
            <w:right w:val="none" w:sz="0" w:space="0" w:color="auto"/>
          </w:divBdr>
        </w:div>
        <w:div w:id="1252616917">
          <w:marLeft w:val="0"/>
          <w:marRight w:val="0"/>
          <w:marTop w:val="0"/>
          <w:marBottom w:val="0"/>
          <w:divBdr>
            <w:top w:val="none" w:sz="0" w:space="0" w:color="auto"/>
            <w:left w:val="none" w:sz="0" w:space="0" w:color="auto"/>
            <w:bottom w:val="none" w:sz="0" w:space="0" w:color="auto"/>
            <w:right w:val="none" w:sz="0" w:space="0" w:color="auto"/>
          </w:divBdr>
        </w:div>
        <w:div w:id="675885941">
          <w:marLeft w:val="0"/>
          <w:marRight w:val="0"/>
          <w:marTop w:val="0"/>
          <w:marBottom w:val="0"/>
          <w:divBdr>
            <w:top w:val="none" w:sz="0" w:space="0" w:color="auto"/>
            <w:left w:val="none" w:sz="0" w:space="0" w:color="auto"/>
            <w:bottom w:val="none" w:sz="0" w:space="0" w:color="auto"/>
            <w:right w:val="none" w:sz="0" w:space="0" w:color="auto"/>
          </w:divBdr>
        </w:div>
        <w:div w:id="753474770">
          <w:marLeft w:val="0"/>
          <w:marRight w:val="0"/>
          <w:marTop w:val="0"/>
          <w:marBottom w:val="0"/>
          <w:divBdr>
            <w:top w:val="none" w:sz="0" w:space="0" w:color="auto"/>
            <w:left w:val="none" w:sz="0" w:space="0" w:color="auto"/>
            <w:bottom w:val="none" w:sz="0" w:space="0" w:color="auto"/>
            <w:right w:val="none" w:sz="0" w:space="0" w:color="auto"/>
          </w:divBdr>
        </w:div>
        <w:div w:id="896820327">
          <w:marLeft w:val="0"/>
          <w:marRight w:val="0"/>
          <w:marTop w:val="0"/>
          <w:marBottom w:val="0"/>
          <w:divBdr>
            <w:top w:val="none" w:sz="0" w:space="0" w:color="auto"/>
            <w:left w:val="none" w:sz="0" w:space="0" w:color="auto"/>
            <w:bottom w:val="none" w:sz="0" w:space="0" w:color="auto"/>
            <w:right w:val="none" w:sz="0" w:space="0" w:color="auto"/>
          </w:divBdr>
        </w:div>
        <w:div w:id="1754011244">
          <w:marLeft w:val="0"/>
          <w:marRight w:val="0"/>
          <w:marTop w:val="0"/>
          <w:marBottom w:val="0"/>
          <w:divBdr>
            <w:top w:val="none" w:sz="0" w:space="0" w:color="auto"/>
            <w:left w:val="none" w:sz="0" w:space="0" w:color="auto"/>
            <w:bottom w:val="none" w:sz="0" w:space="0" w:color="auto"/>
            <w:right w:val="none" w:sz="0" w:space="0" w:color="auto"/>
          </w:divBdr>
        </w:div>
        <w:div w:id="972949478">
          <w:marLeft w:val="0"/>
          <w:marRight w:val="0"/>
          <w:marTop w:val="0"/>
          <w:marBottom w:val="0"/>
          <w:divBdr>
            <w:top w:val="none" w:sz="0" w:space="0" w:color="auto"/>
            <w:left w:val="none" w:sz="0" w:space="0" w:color="auto"/>
            <w:bottom w:val="none" w:sz="0" w:space="0" w:color="auto"/>
            <w:right w:val="none" w:sz="0" w:space="0" w:color="auto"/>
          </w:divBdr>
        </w:div>
      </w:divsChild>
    </w:div>
    <w:div w:id="328487832">
      <w:bodyDiv w:val="1"/>
      <w:marLeft w:val="0"/>
      <w:marRight w:val="0"/>
      <w:marTop w:val="0"/>
      <w:marBottom w:val="0"/>
      <w:divBdr>
        <w:top w:val="none" w:sz="0" w:space="0" w:color="auto"/>
        <w:left w:val="none" w:sz="0" w:space="0" w:color="auto"/>
        <w:bottom w:val="none" w:sz="0" w:space="0" w:color="auto"/>
        <w:right w:val="none" w:sz="0" w:space="0" w:color="auto"/>
      </w:divBdr>
    </w:div>
    <w:div w:id="488054887">
      <w:bodyDiv w:val="1"/>
      <w:marLeft w:val="0"/>
      <w:marRight w:val="0"/>
      <w:marTop w:val="0"/>
      <w:marBottom w:val="0"/>
      <w:divBdr>
        <w:top w:val="none" w:sz="0" w:space="0" w:color="auto"/>
        <w:left w:val="none" w:sz="0" w:space="0" w:color="auto"/>
        <w:bottom w:val="none" w:sz="0" w:space="0" w:color="auto"/>
        <w:right w:val="none" w:sz="0" w:space="0" w:color="auto"/>
      </w:divBdr>
    </w:div>
    <w:div w:id="501429036">
      <w:bodyDiv w:val="1"/>
      <w:marLeft w:val="0"/>
      <w:marRight w:val="0"/>
      <w:marTop w:val="0"/>
      <w:marBottom w:val="0"/>
      <w:divBdr>
        <w:top w:val="none" w:sz="0" w:space="0" w:color="auto"/>
        <w:left w:val="none" w:sz="0" w:space="0" w:color="auto"/>
        <w:bottom w:val="none" w:sz="0" w:space="0" w:color="auto"/>
        <w:right w:val="none" w:sz="0" w:space="0" w:color="auto"/>
      </w:divBdr>
      <w:divsChild>
        <w:div w:id="104812357">
          <w:marLeft w:val="0"/>
          <w:marRight w:val="0"/>
          <w:marTop w:val="0"/>
          <w:marBottom w:val="0"/>
          <w:divBdr>
            <w:top w:val="none" w:sz="0" w:space="0" w:color="auto"/>
            <w:left w:val="none" w:sz="0" w:space="0" w:color="auto"/>
            <w:bottom w:val="none" w:sz="0" w:space="0" w:color="auto"/>
            <w:right w:val="none" w:sz="0" w:space="0" w:color="auto"/>
          </w:divBdr>
          <w:divsChild>
            <w:div w:id="860239729">
              <w:marLeft w:val="0"/>
              <w:marRight w:val="0"/>
              <w:marTop w:val="0"/>
              <w:marBottom w:val="0"/>
              <w:divBdr>
                <w:top w:val="none" w:sz="0" w:space="0" w:color="auto"/>
                <w:left w:val="none" w:sz="0" w:space="0" w:color="auto"/>
                <w:bottom w:val="none" w:sz="0" w:space="0" w:color="auto"/>
                <w:right w:val="none" w:sz="0" w:space="0" w:color="auto"/>
              </w:divBdr>
              <w:divsChild>
                <w:div w:id="1725332300">
                  <w:marLeft w:val="0"/>
                  <w:marRight w:val="0"/>
                  <w:marTop w:val="0"/>
                  <w:marBottom w:val="0"/>
                  <w:divBdr>
                    <w:top w:val="none" w:sz="0" w:space="0" w:color="auto"/>
                    <w:left w:val="none" w:sz="0" w:space="0" w:color="auto"/>
                    <w:bottom w:val="none" w:sz="0" w:space="0" w:color="auto"/>
                    <w:right w:val="none" w:sz="0" w:space="0" w:color="auto"/>
                  </w:divBdr>
                  <w:divsChild>
                    <w:div w:id="1639064124">
                      <w:marLeft w:val="0"/>
                      <w:marRight w:val="0"/>
                      <w:marTop w:val="0"/>
                      <w:marBottom w:val="0"/>
                      <w:divBdr>
                        <w:top w:val="none" w:sz="0" w:space="0" w:color="auto"/>
                        <w:left w:val="none" w:sz="0" w:space="0" w:color="auto"/>
                        <w:bottom w:val="none" w:sz="0" w:space="0" w:color="auto"/>
                        <w:right w:val="none" w:sz="0" w:space="0" w:color="auto"/>
                      </w:divBdr>
                      <w:divsChild>
                        <w:div w:id="20448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9477">
      <w:bodyDiv w:val="1"/>
      <w:marLeft w:val="0"/>
      <w:marRight w:val="0"/>
      <w:marTop w:val="0"/>
      <w:marBottom w:val="0"/>
      <w:divBdr>
        <w:top w:val="none" w:sz="0" w:space="0" w:color="auto"/>
        <w:left w:val="none" w:sz="0" w:space="0" w:color="auto"/>
        <w:bottom w:val="none" w:sz="0" w:space="0" w:color="auto"/>
        <w:right w:val="none" w:sz="0" w:space="0" w:color="auto"/>
      </w:divBdr>
    </w:div>
    <w:div w:id="583875384">
      <w:bodyDiv w:val="1"/>
      <w:marLeft w:val="0"/>
      <w:marRight w:val="0"/>
      <w:marTop w:val="0"/>
      <w:marBottom w:val="0"/>
      <w:divBdr>
        <w:top w:val="none" w:sz="0" w:space="0" w:color="auto"/>
        <w:left w:val="none" w:sz="0" w:space="0" w:color="auto"/>
        <w:bottom w:val="none" w:sz="0" w:space="0" w:color="auto"/>
        <w:right w:val="none" w:sz="0" w:space="0" w:color="auto"/>
      </w:divBdr>
    </w:div>
    <w:div w:id="642657267">
      <w:bodyDiv w:val="1"/>
      <w:marLeft w:val="0"/>
      <w:marRight w:val="0"/>
      <w:marTop w:val="0"/>
      <w:marBottom w:val="0"/>
      <w:divBdr>
        <w:top w:val="none" w:sz="0" w:space="0" w:color="auto"/>
        <w:left w:val="none" w:sz="0" w:space="0" w:color="auto"/>
        <w:bottom w:val="none" w:sz="0" w:space="0" w:color="auto"/>
        <w:right w:val="none" w:sz="0" w:space="0" w:color="auto"/>
      </w:divBdr>
    </w:div>
    <w:div w:id="768280127">
      <w:bodyDiv w:val="1"/>
      <w:marLeft w:val="0"/>
      <w:marRight w:val="0"/>
      <w:marTop w:val="0"/>
      <w:marBottom w:val="0"/>
      <w:divBdr>
        <w:top w:val="none" w:sz="0" w:space="0" w:color="auto"/>
        <w:left w:val="none" w:sz="0" w:space="0" w:color="auto"/>
        <w:bottom w:val="none" w:sz="0" w:space="0" w:color="auto"/>
        <w:right w:val="none" w:sz="0" w:space="0" w:color="auto"/>
      </w:divBdr>
      <w:divsChild>
        <w:div w:id="523636047">
          <w:marLeft w:val="0"/>
          <w:marRight w:val="0"/>
          <w:marTop w:val="300"/>
          <w:marBottom w:val="300"/>
          <w:divBdr>
            <w:top w:val="none" w:sz="0" w:space="0" w:color="auto"/>
            <w:left w:val="none" w:sz="0" w:space="0" w:color="auto"/>
            <w:bottom w:val="none" w:sz="0" w:space="0" w:color="auto"/>
            <w:right w:val="none" w:sz="0" w:space="0" w:color="auto"/>
          </w:divBdr>
          <w:divsChild>
            <w:div w:id="824394581">
              <w:marLeft w:val="0"/>
              <w:marRight w:val="0"/>
              <w:marTop w:val="0"/>
              <w:marBottom w:val="0"/>
              <w:divBdr>
                <w:top w:val="none" w:sz="0" w:space="0" w:color="auto"/>
                <w:left w:val="none" w:sz="0" w:space="0" w:color="auto"/>
                <w:bottom w:val="none" w:sz="0" w:space="0" w:color="auto"/>
                <w:right w:val="none" w:sz="0" w:space="0" w:color="auto"/>
              </w:divBdr>
              <w:divsChild>
                <w:div w:id="30305919">
                  <w:marLeft w:val="150"/>
                  <w:marRight w:val="150"/>
                  <w:marTop w:val="150"/>
                  <w:marBottom w:val="150"/>
                  <w:divBdr>
                    <w:top w:val="none" w:sz="0" w:space="0" w:color="auto"/>
                    <w:left w:val="none" w:sz="0" w:space="0" w:color="auto"/>
                    <w:bottom w:val="none" w:sz="0" w:space="0" w:color="auto"/>
                    <w:right w:val="none" w:sz="0" w:space="0" w:color="auto"/>
                  </w:divBdr>
                  <w:divsChild>
                    <w:div w:id="1373842642">
                      <w:marLeft w:val="0"/>
                      <w:marRight w:val="0"/>
                      <w:marTop w:val="0"/>
                      <w:marBottom w:val="0"/>
                      <w:divBdr>
                        <w:top w:val="none" w:sz="0" w:space="0" w:color="auto"/>
                        <w:left w:val="none" w:sz="0" w:space="0" w:color="auto"/>
                        <w:bottom w:val="none" w:sz="0" w:space="0" w:color="auto"/>
                        <w:right w:val="none" w:sz="0" w:space="0" w:color="auto"/>
                      </w:divBdr>
                      <w:divsChild>
                        <w:div w:id="845438377">
                          <w:marLeft w:val="0"/>
                          <w:marRight w:val="0"/>
                          <w:marTop w:val="0"/>
                          <w:marBottom w:val="0"/>
                          <w:divBdr>
                            <w:top w:val="none" w:sz="0" w:space="0" w:color="auto"/>
                            <w:left w:val="none" w:sz="0" w:space="0" w:color="auto"/>
                            <w:bottom w:val="none" w:sz="0" w:space="0" w:color="auto"/>
                            <w:right w:val="none" w:sz="0" w:space="0" w:color="auto"/>
                          </w:divBdr>
                          <w:divsChild>
                            <w:div w:id="520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89692">
      <w:bodyDiv w:val="1"/>
      <w:marLeft w:val="0"/>
      <w:marRight w:val="0"/>
      <w:marTop w:val="0"/>
      <w:marBottom w:val="0"/>
      <w:divBdr>
        <w:top w:val="none" w:sz="0" w:space="0" w:color="auto"/>
        <w:left w:val="none" w:sz="0" w:space="0" w:color="auto"/>
        <w:bottom w:val="none" w:sz="0" w:space="0" w:color="auto"/>
        <w:right w:val="none" w:sz="0" w:space="0" w:color="auto"/>
      </w:divBdr>
      <w:divsChild>
        <w:div w:id="724067947">
          <w:marLeft w:val="0"/>
          <w:marRight w:val="0"/>
          <w:marTop w:val="0"/>
          <w:marBottom w:val="0"/>
          <w:divBdr>
            <w:top w:val="none" w:sz="0" w:space="0" w:color="auto"/>
            <w:left w:val="none" w:sz="0" w:space="0" w:color="auto"/>
            <w:bottom w:val="none" w:sz="0" w:space="0" w:color="auto"/>
            <w:right w:val="none" w:sz="0" w:space="0" w:color="auto"/>
          </w:divBdr>
          <w:divsChild>
            <w:div w:id="2114200092">
              <w:marLeft w:val="0"/>
              <w:marRight w:val="0"/>
              <w:marTop w:val="0"/>
              <w:marBottom w:val="0"/>
              <w:divBdr>
                <w:top w:val="none" w:sz="0" w:space="0" w:color="auto"/>
                <w:left w:val="none" w:sz="0" w:space="0" w:color="auto"/>
                <w:bottom w:val="none" w:sz="0" w:space="0" w:color="auto"/>
                <w:right w:val="none" w:sz="0" w:space="0" w:color="auto"/>
              </w:divBdr>
              <w:divsChild>
                <w:div w:id="1073626343">
                  <w:marLeft w:val="0"/>
                  <w:marRight w:val="0"/>
                  <w:marTop w:val="0"/>
                  <w:marBottom w:val="0"/>
                  <w:divBdr>
                    <w:top w:val="none" w:sz="0" w:space="0" w:color="auto"/>
                    <w:left w:val="none" w:sz="0" w:space="0" w:color="auto"/>
                    <w:bottom w:val="none" w:sz="0" w:space="0" w:color="auto"/>
                    <w:right w:val="none" w:sz="0" w:space="0" w:color="auto"/>
                  </w:divBdr>
                  <w:divsChild>
                    <w:div w:id="1634287872">
                      <w:marLeft w:val="0"/>
                      <w:marRight w:val="0"/>
                      <w:marTop w:val="0"/>
                      <w:marBottom w:val="0"/>
                      <w:divBdr>
                        <w:top w:val="none" w:sz="0" w:space="0" w:color="auto"/>
                        <w:left w:val="none" w:sz="0" w:space="0" w:color="auto"/>
                        <w:bottom w:val="none" w:sz="0" w:space="0" w:color="auto"/>
                        <w:right w:val="none" w:sz="0" w:space="0" w:color="auto"/>
                      </w:divBdr>
                      <w:divsChild>
                        <w:div w:id="16622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984682">
      <w:bodyDiv w:val="1"/>
      <w:marLeft w:val="0"/>
      <w:marRight w:val="0"/>
      <w:marTop w:val="0"/>
      <w:marBottom w:val="0"/>
      <w:divBdr>
        <w:top w:val="none" w:sz="0" w:space="0" w:color="auto"/>
        <w:left w:val="none" w:sz="0" w:space="0" w:color="auto"/>
        <w:bottom w:val="none" w:sz="0" w:space="0" w:color="auto"/>
        <w:right w:val="none" w:sz="0" w:space="0" w:color="auto"/>
      </w:divBdr>
    </w:div>
    <w:div w:id="1146509634">
      <w:bodyDiv w:val="1"/>
      <w:marLeft w:val="0"/>
      <w:marRight w:val="0"/>
      <w:marTop w:val="0"/>
      <w:marBottom w:val="0"/>
      <w:divBdr>
        <w:top w:val="none" w:sz="0" w:space="0" w:color="auto"/>
        <w:left w:val="none" w:sz="0" w:space="0" w:color="auto"/>
        <w:bottom w:val="none" w:sz="0" w:space="0" w:color="auto"/>
        <w:right w:val="none" w:sz="0" w:space="0" w:color="auto"/>
      </w:divBdr>
      <w:divsChild>
        <w:div w:id="924338870">
          <w:marLeft w:val="216"/>
          <w:marRight w:val="216"/>
          <w:marTop w:val="336"/>
          <w:marBottom w:val="216"/>
          <w:divBdr>
            <w:top w:val="none" w:sz="0" w:space="0" w:color="auto"/>
            <w:left w:val="none" w:sz="0" w:space="0" w:color="auto"/>
            <w:bottom w:val="none" w:sz="0" w:space="0" w:color="auto"/>
            <w:right w:val="none" w:sz="0" w:space="0" w:color="auto"/>
          </w:divBdr>
          <w:divsChild>
            <w:div w:id="485785133">
              <w:marLeft w:val="2700"/>
              <w:marRight w:val="240"/>
              <w:marTop w:val="0"/>
              <w:marBottom w:val="0"/>
              <w:divBdr>
                <w:top w:val="none" w:sz="0" w:space="0" w:color="auto"/>
                <w:left w:val="none" w:sz="0" w:space="0" w:color="auto"/>
                <w:bottom w:val="none" w:sz="0" w:space="0" w:color="auto"/>
                <w:right w:val="none" w:sz="0" w:space="0" w:color="auto"/>
              </w:divBdr>
              <w:divsChild>
                <w:div w:id="412627712">
                  <w:marLeft w:val="0"/>
                  <w:marRight w:val="0"/>
                  <w:marTop w:val="0"/>
                  <w:marBottom w:val="0"/>
                  <w:divBdr>
                    <w:top w:val="none" w:sz="0" w:space="0" w:color="auto"/>
                    <w:left w:val="none" w:sz="0" w:space="0" w:color="auto"/>
                    <w:bottom w:val="none" w:sz="0" w:space="0" w:color="auto"/>
                    <w:right w:val="none" w:sz="0" w:space="0" w:color="auto"/>
                  </w:divBdr>
                  <w:divsChild>
                    <w:div w:id="211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2968">
      <w:bodyDiv w:val="1"/>
      <w:marLeft w:val="0"/>
      <w:marRight w:val="0"/>
      <w:marTop w:val="0"/>
      <w:marBottom w:val="0"/>
      <w:divBdr>
        <w:top w:val="none" w:sz="0" w:space="0" w:color="auto"/>
        <w:left w:val="none" w:sz="0" w:space="0" w:color="auto"/>
        <w:bottom w:val="none" w:sz="0" w:space="0" w:color="auto"/>
        <w:right w:val="none" w:sz="0" w:space="0" w:color="auto"/>
      </w:divBdr>
    </w:div>
    <w:div w:id="1462773220">
      <w:bodyDiv w:val="1"/>
      <w:marLeft w:val="0"/>
      <w:marRight w:val="0"/>
      <w:marTop w:val="0"/>
      <w:marBottom w:val="0"/>
      <w:divBdr>
        <w:top w:val="none" w:sz="0" w:space="0" w:color="auto"/>
        <w:left w:val="none" w:sz="0" w:space="0" w:color="auto"/>
        <w:bottom w:val="none" w:sz="0" w:space="0" w:color="auto"/>
        <w:right w:val="none" w:sz="0" w:space="0" w:color="auto"/>
      </w:divBdr>
      <w:divsChild>
        <w:div w:id="1851484263">
          <w:marLeft w:val="0"/>
          <w:marRight w:val="0"/>
          <w:marTop w:val="0"/>
          <w:marBottom w:val="0"/>
          <w:divBdr>
            <w:top w:val="none" w:sz="0" w:space="0" w:color="auto"/>
            <w:left w:val="none" w:sz="0" w:space="0" w:color="auto"/>
            <w:bottom w:val="none" w:sz="0" w:space="0" w:color="auto"/>
            <w:right w:val="none" w:sz="0" w:space="0" w:color="auto"/>
          </w:divBdr>
          <w:divsChild>
            <w:div w:id="2119133277">
              <w:marLeft w:val="0"/>
              <w:marRight w:val="0"/>
              <w:marTop w:val="0"/>
              <w:marBottom w:val="0"/>
              <w:divBdr>
                <w:top w:val="none" w:sz="0" w:space="0" w:color="auto"/>
                <w:left w:val="none" w:sz="0" w:space="0" w:color="auto"/>
                <w:bottom w:val="none" w:sz="0" w:space="0" w:color="auto"/>
                <w:right w:val="none" w:sz="0" w:space="0" w:color="auto"/>
              </w:divBdr>
              <w:divsChild>
                <w:div w:id="1600486712">
                  <w:marLeft w:val="0"/>
                  <w:marRight w:val="0"/>
                  <w:marTop w:val="0"/>
                  <w:marBottom w:val="0"/>
                  <w:divBdr>
                    <w:top w:val="none" w:sz="0" w:space="0" w:color="auto"/>
                    <w:left w:val="none" w:sz="0" w:space="0" w:color="auto"/>
                    <w:bottom w:val="none" w:sz="0" w:space="0" w:color="auto"/>
                    <w:right w:val="none" w:sz="0" w:space="0" w:color="auto"/>
                  </w:divBdr>
                  <w:divsChild>
                    <w:div w:id="722827735">
                      <w:marLeft w:val="0"/>
                      <w:marRight w:val="0"/>
                      <w:marTop w:val="0"/>
                      <w:marBottom w:val="0"/>
                      <w:divBdr>
                        <w:top w:val="none" w:sz="0" w:space="0" w:color="auto"/>
                        <w:left w:val="none" w:sz="0" w:space="0" w:color="auto"/>
                        <w:bottom w:val="none" w:sz="0" w:space="0" w:color="auto"/>
                        <w:right w:val="none" w:sz="0" w:space="0" w:color="auto"/>
                      </w:divBdr>
                      <w:divsChild>
                        <w:div w:id="10794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048896">
      <w:bodyDiv w:val="1"/>
      <w:marLeft w:val="0"/>
      <w:marRight w:val="0"/>
      <w:marTop w:val="0"/>
      <w:marBottom w:val="0"/>
      <w:divBdr>
        <w:top w:val="none" w:sz="0" w:space="0" w:color="auto"/>
        <w:left w:val="none" w:sz="0" w:space="0" w:color="auto"/>
        <w:bottom w:val="none" w:sz="0" w:space="0" w:color="auto"/>
        <w:right w:val="none" w:sz="0" w:space="0" w:color="auto"/>
      </w:divBdr>
    </w:div>
    <w:div w:id="1877812075">
      <w:bodyDiv w:val="1"/>
      <w:marLeft w:val="0"/>
      <w:marRight w:val="0"/>
      <w:marTop w:val="0"/>
      <w:marBottom w:val="0"/>
      <w:divBdr>
        <w:top w:val="none" w:sz="0" w:space="0" w:color="auto"/>
        <w:left w:val="none" w:sz="0" w:space="0" w:color="auto"/>
        <w:bottom w:val="none" w:sz="0" w:space="0" w:color="auto"/>
        <w:right w:val="none" w:sz="0" w:space="0" w:color="auto"/>
      </w:divBdr>
      <w:divsChild>
        <w:div w:id="1226572089">
          <w:marLeft w:val="0"/>
          <w:marRight w:val="0"/>
          <w:marTop w:val="0"/>
          <w:marBottom w:val="0"/>
          <w:divBdr>
            <w:top w:val="none" w:sz="0" w:space="0" w:color="auto"/>
            <w:left w:val="none" w:sz="0" w:space="0" w:color="auto"/>
            <w:bottom w:val="none" w:sz="0" w:space="0" w:color="auto"/>
            <w:right w:val="none" w:sz="0" w:space="0" w:color="auto"/>
          </w:divBdr>
          <w:divsChild>
            <w:div w:id="707294582">
              <w:marLeft w:val="0"/>
              <w:marRight w:val="0"/>
              <w:marTop w:val="0"/>
              <w:marBottom w:val="0"/>
              <w:divBdr>
                <w:top w:val="none" w:sz="0" w:space="0" w:color="auto"/>
                <w:left w:val="none" w:sz="0" w:space="0" w:color="auto"/>
                <w:bottom w:val="none" w:sz="0" w:space="0" w:color="auto"/>
                <w:right w:val="none" w:sz="0" w:space="0" w:color="auto"/>
              </w:divBdr>
              <w:divsChild>
                <w:div w:id="1874034187">
                  <w:marLeft w:val="0"/>
                  <w:marRight w:val="0"/>
                  <w:marTop w:val="0"/>
                  <w:marBottom w:val="0"/>
                  <w:divBdr>
                    <w:top w:val="none" w:sz="0" w:space="0" w:color="auto"/>
                    <w:left w:val="none" w:sz="0" w:space="0" w:color="auto"/>
                    <w:bottom w:val="none" w:sz="0" w:space="0" w:color="auto"/>
                    <w:right w:val="none" w:sz="0" w:space="0" w:color="auto"/>
                  </w:divBdr>
                  <w:divsChild>
                    <w:div w:id="1493789943">
                      <w:marLeft w:val="0"/>
                      <w:marRight w:val="0"/>
                      <w:marTop w:val="0"/>
                      <w:marBottom w:val="0"/>
                      <w:divBdr>
                        <w:top w:val="none" w:sz="0" w:space="0" w:color="auto"/>
                        <w:left w:val="none" w:sz="0" w:space="0" w:color="auto"/>
                        <w:bottom w:val="none" w:sz="0" w:space="0" w:color="auto"/>
                        <w:right w:val="none" w:sz="0" w:space="0" w:color="auto"/>
                      </w:divBdr>
                      <w:divsChild>
                        <w:div w:id="1181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903754">
      <w:bodyDiv w:val="1"/>
      <w:marLeft w:val="0"/>
      <w:marRight w:val="0"/>
      <w:marTop w:val="0"/>
      <w:marBottom w:val="0"/>
      <w:divBdr>
        <w:top w:val="none" w:sz="0" w:space="0" w:color="auto"/>
        <w:left w:val="none" w:sz="0" w:space="0" w:color="auto"/>
        <w:bottom w:val="none" w:sz="0" w:space="0" w:color="auto"/>
        <w:right w:val="none" w:sz="0" w:space="0" w:color="auto"/>
      </w:divBdr>
      <w:divsChild>
        <w:div w:id="1727412261">
          <w:marLeft w:val="0"/>
          <w:marRight w:val="0"/>
          <w:marTop w:val="0"/>
          <w:marBottom w:val="0"/>
          <w:divBdr>
            <w:top w:val="none" w:sz="0" w:space="0" w:color="auto"/>
            <w:left w:val="none" w:sz="0" w:space="0" w:color="auto"/>
            <w:bottom w:val="none" w:sz="0" w:space="0" w:color="auto"/>
            <w:right w:val="none" w:sz="0" w:space="0" w:color="auto"/>
          </w:divBdr>
          <w:divsChild>
            <w:div w:id="1980068781">
              <w:marLeft w:val="0"/>
              <w:marRight w:val="0"/>
              <w:marTop w:val="0"/>
              <w:marBottom w:val="0"/>
              <w:divBdr>
                <w:top w:val="none" w:sz="0" w:space="0" w:color="auto"/>
                <w:left w:val="none" w:sz="0" w:space="0" w:color="auto"/>
                <w:bottom w:val="none" w:sz="0" w:space="0" w:color="auto"/>
                <w:right w:val="none" w:sz="0" w:space="0" w:color="auto"/>
              </w:divBdr>
              <w:divsChild>
                <w:div w:id="1599751723">
                  <w:marLeft w:val="0"/>
                  <w:marRight w:val="0"/>
                  <w:marTop w:val="0"/>
                  <w:marBottom w:val="0"/>
                  <w:divBdr>
                    <w:top w:val="none" w:sz="0" w:space="0" w:color="auto"/>
                    <w:left w:val="none" w:sz="0" w:space="0" w:color="auto"/>
                    <w:bottom w:val="none" w:sz="0" w:space="0" w:color="auto"/>
                    <w:right w:val="none" w:sz="0" w:space="0" w:color="auto"/>
                  </w:divBdr>
                  <w:divsChild>
                    <w:div w:id="1824658232">
                      <w:marLeft w:val="0"/>
                      <w:marRight w:val="0"/>
                      <w:marTop w:val="0"/>
                      <w:marBottom w:val="0"/>
                      <w:divBdr>
                        <w:top w:val="none" w:sz="0" w:space="0" w:color="auto"/>
                        <w:left w:val="none" w:sz="0" w:space="0" w:color="auto"/>
                        <w:bottom w:val="none" w:sz="0" w:space="0" w:color="auto"/>
                        <w:right w:val="none" w:sz="0" w:space="0" w:color="auto"/>
                      </w:divBdr>
                      <w:divsChild>
                        <w:div w:id="5448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twitter.com/REIANationa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acebook.com/pages/Real-Estate-Institute-of-Australia-REIA/304742799577937?fref=ts"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REIANationa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chart" Target="charts/chart2.xml"/><Relationship Id="rId10" Type="http://schemas.microsoft.com/office/2007/relationships/stylesWithEffects" Target="stylesWithEffects.xml"/><Relationship Id="rId19" Type="http://schemas.openxmlformats.org/officeDocument/2006/relationships/hyperlink" Target="https://www.facebook.com/#!/pages/Real-Estate-Institute-of-Australia-REIA/304742799577937?fref=ts" TargetMode="External"/><Relationship Id="rId22" Type="http://schemas.openxmlformats.org/officeDocument/2006/relationships/chart" Target="charts/chart1.xml"/><Relationship Id="rId9" Type="http://schemas.openxmlformats.org/officeDocument/2006/relationships/styles" Target="styles.xml"/><Relationship Id="rId14"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D:\REIA\Requests\20190121%20Reques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IA\Requests\20190121%20Reques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Loans!$L$10</c:f>
              <c:strCache>
                <c:ptCount val="1"/>
                <c:pt idx="0">
                  <c:v>Total loans (excluding refinancing)</c:v>
                </c:pt>
              </c:strCache>
            </c:strRef>
          </c:tx>
          <c:spPr>
            <a:solidFill>
              <a:schemeClr val="accent1"/>
            </a:solidFill>
            <a:ln>
              <a:noFill/>
            </a:ln>
            <a:effectLst/>
          </c:spPr>
          <c:invertIfNegative val="0"/>
          <c:cat>
            <c:numRef>
              <c:f>Loans!$K$11:$K$237</c:f>
              <c:numCache>
                <c:formatCode>yyyy</c:formatCode>
                <c:ptCount val="22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pt idx="152">
                  <c:v>41153</c:v>
                </c:pt>
                <c:pt idx="153">
                  <c:v>41183</c:v>
                </c:pt>
                <c:pt idx="154">
                  <c:v>41214</c:v>
                </c:pt>
                <c:pt idx="155">
                  <c:v>41244</c:v>
                </c:pt>
                <c:pt idx="156">
                  <c:v>41275</c:v>
                </c:pt>
                <c:pt idx="157">
                  <c:v>41306</c:v>
                </c:pt>
                <c:pt idx="158">
                  <c:v>41334</c:v>
                </c:pt>
                <c:pt idx="159">
                  <c:v>41365</c:v>
                </c:pt>
                <c:pt idx="160">
                  <c:v>41395</c:v>
                </c:pt>
                <c:pt idx="161">
                  <c:v>41426</c:v>
                </c:pt>
                <c:pt idx="162">
                  <c:v>41456</c:v>
                </c:pt>
                <c:pt idx="163">
                  <c:v>41487</c:v>
                </c:pt>
                <c:pt idx="164">
                  <c:v>41518</c:v>
                </c:pt>
                <c:pt idx="165">
                  <c:v>41548</c:v>
                </c:pt>
                <c:pt idx="166">
                  <c:v>41579</c:v>
                </c:pt>
                <c:pt idx="167">
                  <c:v>41609</c:v>
                </c:pt>
                <c:pt idx="168">
                  <c:v>41640</c:v>
                </c:pt>
                <c:pt idx="169">
                  <c:v>41671</c:v>
                </c:pt>
                <c:pt idx="170">
                  <c:v>41699</c:v>
                </c:pt>
                <c:pt idx="171">
                  <c:v>41730</c:v>
                </c:pt>
                <c:pt idx="172">
                  <c:v>41760</c:v>
                </c:pt>
                <c:pt idx="173">
                  <c:v>41791</c:v>
                </c:pt>
                <c:pt idx="174">
                  <c:v>41821</c:v>
                </c:pt>
                <c:pt idx="175">
                  <c:v>41852</c:v>
                </c:pt>
                <c:pt idx="176">
                  <c:v>41883</c:v>
                </c:pt>
                <c:pt idx="177">
                  <c:v>41913</c:v>
                </c:pt>
                <c:pt idx="178">
                  <c:v>41944</c:v>
                </c:pt>
                <c:pt idx="179">
                  <c:v>41974</c:v>
                </c:pt>
                <c:pt idx="180">
                  <c:v>42005</c:v>
                </c:pt>
                <c:pt idx="181">
                  <c:v>42036</c:v>
                </c:pt>
                <c:pt idx="182">
                  <c:v>42064</c:v>
                </c:pt>
                <c:pt idx="183">
                  <c:v>42095</c:v>
                </c:pt>
                <c:pt idx="184">
                  <c:v>42125</c:v>
                </c:pt>
                <c:pt idx="185">
                  <c:v>42156</c:v>
                </c:pt>
                <c:pt idx="186">
                  <c:v>42186</c:v>
                </c:pt>
                <c:pt idx="187">
                  <c:v>42217</c:v>
                </c:pt>
                <c:pt idx="188">
                  <c:v>42248</c:v>
                </c:pt>
                <c:pt idx="189">
                  <c:v>42278</c:v>
                </c:pt>
                <c:pt idx="190">
                  <c:v>42309</c:v>
                </c:pt>
                <c:pt idx="191">
                  <c:v>42339</c:v>
                </c:pt>
                <c:pt idx="192">
                  <c:v>42370</c:v>
                </c:pt>
                <c:pt idx="193">
                  <c:v>42401</c:v>
                </c:pt>
                <c:pt idx="194">
                  <c:v>42430</c:v>
                </c:pt>
                <c:pt idx="195">
                  <c:v>42461</c:v>
                </c:pt>
                <c:pt idx="196">
                  <c:v>42491</c:v>
                </c:pt>
                <c:pt idx="197">
                  <c:v>42522</c:v>
                </c:pt>
                <c:pt idx="198">
                  <c:v>42552</c:v>
                </c:pt>
                <c:pt idx="199">
                  <c:v>42583</c:v>
                </c:pt>
                <c:pt idx="200">
                  <c:v>42614</c:v>
                </c:pt>
                <c:pt idx="201">
                  <c:v>42644</c:v>
                </c:pt>
                <c:pt idx="202">
                  <c:v>42675</c:v>
                </c:pt>
                <c:pt idx="203">
                  <c:v>42705</c:v>
                </c:pt>
                <c:pt idx="204">
                  <c:v>42736</c:v>
                </c:pt>
                <c:pt idx="205">
                  <c:v>42767</c:v>
                </c:pt>
                <c:pt idx="206">
                  <c:v>42795</c:v>
                </c:pt>
                <c:pt idx="207">
                  <c:v>42826</c:v>
                </c:pt>
                <c:pt idx="208">
                  <c:v>42856</c:v>
                </c:pt>
                <c:pt idx="209">
                  <c:v>42887</c:v>
                </c:pt>
                <c:pt idx="210">
                  <c:v>42917</c:v>
                </c:pt>
                <c:pt idx="211">
                  <c:v>42948</c:v>
                </c:pt>
                <c:pt idx="212">
                  <c:v>42979</c:v>
                </c:pt>
                <c:pt idx="213">
                  <c:v>43009</c:v>
                </c:pt>
                <c:pt idx="214">
                  <c:v>43040</c:v>
                </c:pt>
                <c:pt idx="215">
                  <c:v>43070</c:v>
                </c:pt>
                <c:pt idx="216">
                  <c:v>43101</c:v>
                </c:pt>
                <c:pt idx="217">
                  <c:v>43132</c:v>
                </c:pt>
                <c:pt idx="218">
                  <c:v>43160</c:v>
                </c:pt>
                <c:pt idx="219">
                  <c:v>43191</c:v>
                </c:pt>
                <c:pt idx="220">
                  <c:v>43221</c:v>
                </c:pt>
                <c:pt idx="221">
                  <c:v>43252</c:v>
                </c:pt>
                <c:pt idx="222">
                  <c:v>43282</c:v>
                </c:pt>
                <c:pt idx="223">
                  <c:v>43313</c:v>
                </c:pt>
                <c:pt idx="224">
                  <c:v>43344</c:v>
                </c:pt>
                <c:pt idx="225">
                  <c:v>43374</c:v>
                </c:pt>
                <c:pt idx="226">
                  <c:v>43405</c:v>
                </c:pt>
              </c:numCache>
            </c:numRef>
          </c:cat>
          <c:val>
            <c:numRef>
              <c:f>Loans!$L$11:$L$237</c:f>
              <c:numCache>
                <c:formatCode>#,##0_ ;\-#,##0\ </c:formatCode>
                <c:ptCount val="227"/>
                <c:pt idx="0">
                  <c:v>29574</c:v>
                </c:pt>
                <c:pt idx="1">
                  <c:v>38113</c:v>
                </c:pt>
                <c:pt idx="2">
                  <c:v>39884</c:v>
                </c:pt>
                <c:pt idx="3">
                  <c:v>29615</c:v>
                </c:pt>
                <c:pt idx="4">
                  <c:v>38474</c:v>
                </c:pt>
                <c:pt idx="5">
                  <c:v>30507</c:v>
                </c:pt>
                <c:pt idx="6">
                  <c:v>31534</c:v>
                </c:pt>
                <c:pt idx="7">
                  <c:v>36518</c:v>
                </c:pt>
                <c:pt idx="8">
                  <c:v>32076</c:v>
                </c:pt>
                <c:pt idx="9">
                  <c:v>32446</c:v>
                </c:pt>
                <c:pt idx="10">
                  <c:v>37040</c:v>
                </c:pt>
                <c:pt idx="11">
                  <c:v>33157</c:v>
                </c:pt>
                <c:pt idx="12">
                  <c:v>30107</c:v>
                </c:pt>
                <c:pt idx="13">
                  <c:v>32610</c:v>
                </c:pt>
                <c:pt idx="14">
                  <c:v>38873</c:v>
                </c:pt>
                <c:pt idx="15">
                  <c:v>34990</c:v>
                </c:pt>
                <c:pt idx="16">
                  <c:v>44093</c:v>
                </c:pt>
                <c:pt idx="17">
                  <c:v>40548</c:v>
                </c:pt>
                <c:pt idx="18">
                  <c:v>42432</c:v>
                </c:pt>
                <c:pt idx="19">
                  <c:v>43435</c:v>
                </c:pt>
                <c:pt idx="20">
                  <c:v>38610</c:v>
                </c:pt>
                <c:pt idx="21">
                  <c:v>43519</c:v>
                </c:pt>
                <c:pt idx="22">
                  <c:v>44237</c:v>
                </c:pt>
                <c:pt idx="23">
                  <c:v>39019</c:v>
                </c:pt>
                <c:pt idx="24">
                  <c:v>37893</c:v>
                </c:pt>
                <c:pt idx="25">
                  <c:v>37962</c:v>
                </c:pt>
                <c:pt idx="26">
                  <c:v>39652</c:v>
                </c:pt>
                <c:pt idx="27">
                  <c:v>39515</c:v>
                </c:pt>
                <c:pt idx="28">
                  <c:v>44440</c:v>
                </c:pt>
                <c:pt idx="29">
                  <c:v>38543</c:v>
                </c:pt>
                <c:pt idx="30">
                  <c:v>41371</c:v>
                </c:pt>
                <c:pt idx="31">
                  <c:v>38468</c:v>
                </c:pt>
                <c:pt idx="32">
                  <c:v>36104</c:v>
                </c:pt>
                <c:pt idx="33">
                  <c:v>39206</c:v>
                </c:pt>
                <c:pt idx="34">
                  <c:v>38000</c:v>
                </c:pt>
                <c:pt idx="35">
                  <c:v>36633</c:v>
                </c:pt>
                <c:pt idx="36">
                  <c:v>34346</c:v>
                </c:pt>
                <c:pt idx="37">
                  <c:v>36602</c:v>
                </c:pt>
                <c:pt idx="38">
                  <c:v>39714</c:v>
                </c:pt>
                <c:pt idx="39">
                  <c:v>38144</c:v>
                </c:pt>
                <c:pt idx="40">
                  <c:v>43151</c:v>
                </c:pt>
                <c:pt idx="41">
                  <c:v>40464</c:v>
                </c:pt>
                <c:pt idx="42">
                  <c:v>44325</c:v>
                </c:pt>
                <c:pt idx="43">
                  <c:v>40666</c:v>
                </c:pt>
                <c:pt idx="44">
                  <c:v>41880</c:v>
                </c:pt>
                <c:pt idx="45">
                  <c:v>43487</c:v>
                </c:pt>
                <c:pt idx="46">
                  <c:v>38796</c:v>
                </c:pt>
                <c:pt idx="47">
                  <c:v>38457</c:v>
                </c:pt>
                <c:pt idx="48">
                  <c:v>28686</c:v>
                </c:pt>
                <c:pt idx="49">
                  <c:v>31764</c:v>
                </c:pt>
                <c:pt idx="50">
                  <c:v>37883</c:v>
                </c:pt>
                <c:pt idx="51">
                  <c:v>32833</c:v>
                </c:pt>
                <c:pt idx="52">
                  <c:v>35009</c:v>
                </c:pt>
                <c:pt idx="53">
                  <c:v>35458</c:v>
                </c:pt>
                <c:pt idx="54">
                  <c:v>35465</c:v>
                </c:pt>
                <c:pt idx="55">
                  <c:v>35545</c:v>
                </c:pt>
                <c:pt idx="56">
                  <c:v>35878</c:v>
                </c:pt>
                <c:pt idx="57">
                  <c:v>33816</c:v>
                </c:pt>
                <c:pt idx="58">
                  <c:v>38504</c:v>
                </c:pt>
                <c:pt idx="59">
                  <c:v>37714</c:v>
                </c:pt>
                <c:pt idx="60">
                  <c:v>29550</c:v>
                </c:pt>
                <c:pt idx="61">
                  <c:v>35627</c:v>
                </c:pt>
                <c:pt idx="62">
                  <c:v>40223</c:v>
                </c:pt>
                <c:pt idx="63">
                  <c:v>37478</c:v>
                </c:pt>
                <c:pt idx="64">
                  <c:v>39548</c:v>
                </c:pt>
                <c:pt idx="65">
                  <c:v>39126</c:v>
                </c:pt>
                <c:pt idx="66">
                  <c:v>36606</c:v>
                </c:pt>
                <c:pt idx="67">
                  <c:v>40136</c:v>
                </c:pt>
                <c:pt idx="68">
                  <c:v>40002</c:v>
                </c:pt>
                <c:pt idx="69">
                  <c:v>38671</c:v>
                </c:pt>
                <c:pt idx="70">
                  <c:v>43341</c:v>
                </c:pt>
                <c:pt idx="71">
                  <c:v>39763</c:v>
                </c:pt>
                <c:pt idx="72">
                  <c:v>32620</c:v>
                </c:pt>
                <c:pt idx="73">
                  <c:v>37482</c:v>
                </c:pt>
                <c:pt idx="74">
                  <c:v>45550</c:v>
                </c:pt>
                <c:pt idx="75">
                  <c:v>36679</c:v>
                </c:pt>
                <c:pt idx="76">
                  <c:v>47624</c:v>
                </c:pt>
                <c:pt idx="77">
                  <c:v>43914</c:v>
                </c:pt>
                <c:pt idx="78">
                  <c:v>42216</c:v>
                </c:pt>
                <c:pt idx="79">
                  <c:v>44318</c:v>
                </c:pt>
                <c:pt idx="80">
                  <c:v>39530</c:v>
                </c:pt>
                <c:pt idx="81">
                  <c:v>40449</c:v>
                </c:pt>
                <c:pt idx="82">
                  <c:v>43262</c:v>
                </c:pt>
                <c:pt idx="83">
                  <c:v>38671</c:v>
                </c:pt>
                <c:pt idx="84">
                  <c:v>34393</c:v>
                </c:pt>
                <c:pt idx="85">
                  <c:v>37627</c:v>
                </c:pt>
                <c:pt idx="86">
                  <c:v>45005</c:v>
                </c:pt>
                <c:pt idx="87">
                  <c:v>39874</c:v>
                </c:pt>
                <c:pt idx="88">
                  <c:v>48652</c:v>
                </c:pt>
                <c:pt idx="89">
                  <c:v>44166</c:v>
                </c:pt>
                <c:pt idx="90">
                  <c:v>43395</c:v>
                </c:pt>
                <c:pt idx="91">
                  <c:v>45689</c:v>
                </c:pt>
                <c:pt idx="92">
                  <c:v>39250</c:v>
                </c:pt>
                <c:pt idx="93">
                  <c:v>44586</c:v>
                </c:pt>
                <c:pt idx="94">
                  <c:v>46040</c:v>
                </c:pt>
                <c:pt idx="95">
                  <c:v>39415</c:v>
                </c:pt>
                <c:pt idx="96">
                  <c:v>36121</c:v>
                </c:pt>
                <c:pt idx="97">
                  <c:v>37826</c:v>
                </c:pt>
                <c:pt idx="98">
                  <c:v>34656</c:v>
                </c:pt>
                <c:pt idx="99">
                  <c:v>35624</c:v>
                </c:pt>
                <c:pt idx="100">
                  <c:v>34242</c:v>
                </c:pt>
                <c:pt idx="101">
                  <c:v>30243</c:v>
                </c:pt>
                <c:pt idx="102">
                  <c:v>32644</c:v>
                </c:pt>
                <c:pt idx="103">
                  <c:v>28942</c:v>
                </c:pt>
                <c:pt idx="104">
                  <c:v>30730</c:v>
                </c:pt>
                <c:pt idx="105">
                  <c:v>32771</c:v>
                </c:pt>
                <c:pt idx="106">
                  <c:v>31675</c:v>
                </c:pt>
                <c:pt idx="107">
                  <c:v>35807</c:v>
                </c:pt>
                <c:pt idx="108">
                  <c:v>31354</c:v>
                </c:pt>
                <c:pt idx="109">
                  <c:v>35790</c:v>
                </c:pt>
                <c:pt idx="110">
                  <c:v>44659</c:v>
                </c:pt>
                <c:pt idx="111">
                  <c:v>41229</c:v>
                </c:pt>
                <c:pt idx="112">
                  <c:v>44187</c:v>
                </c:pt>
                <c:pt idx="113">
                  <c:v>44656</c:v>
                </c:pt>
                <c:pt idx="114">
                  <c:v>44129</c:v>
                </c:pt>
                <c:pt idx="115">
                  <c:v>39412</c:v>
                </c:pt>
                <c:pt idx="116">
                  <c:v>43544</c:v>
                </c:pt>
                <c:pt idx="117">
                  <c:v>42378</c:v>
                </c:pt>
                <c:pt idx="118">
                  <c:v>38945</c:v>
                </c:pt>
                <c:pt idx="119">
                  <c:v>36968</c:v>
                </c:pt>
                <c:pt idx="120">
                  <c:v>26453</c:v>
                </c:pt>
                <c:pt idx="121">
                  <c:v>29400</c:v>
                </c:pt>
                <c:pt idx="122">
                  <c:v>33394</c:v>
                </c:pt>
                <c:pt idx="123">
                  <c:v>29173</c:v>
                </c:pt>
                <c:pt idx="124">
                  <c:v>31156</c:v>
                </c:pt>
                <c:pt idx="125">
                  <c:v>30155</c:v>
                </c:pt>
                <c:pt idx="126">
                  <c:v>29784</c:v>
                </c:pt>
                <c:pt idx="127">
                  <c:v>29518</c:v>
                </c:pt>
                <c:pt idx="128">
                  <c:v>29629</c:v>
                </c:pt>
                <c:pt idx="129">
                  <c:v>29204</c:v>
                </c:pt>
                <c:pt idx="130">
                  <c:v>32632</c:v>
                </c:pt>
                <c:pt idx="131">
                  <c:v>31827</c:v>
                </c:pt>
                <c:pt idx="132">
                  <c:v>22605</c:v>
                </c:pt>
                <c:pt idx="133">
                  <c:v>25560</c:v>
                </c:pt>
                <c:pt idx="134">
                  <c:v>30825</c:v>
                </c:pt>
                <c:pt idx="135">
                  <c:v>26663</c:v>
                </c:pt>
                <c:pt idx="136">
                  <c:v>31140</c:v>
                </c:pt>
                <c:pt idx="137">
                  <c:v>29601</c:v>
                </c:pt>
                <c:pt idx="138">
                  <c:v>28171</c:v>
                </c:pt>
                <c:pt idx="139">
                  <c:v>30121</c:v>
                </c:pt>
                <c:pt idx="140">
                  <c:v>29359</c:v>
                </c:pt>
                <c:pt idx="141">
                  <c:v>28931</c:v>
                </c:pt>
                <c:pt idx="142">
                  <c:v>33132</c:v>
                </c:pt>
                <c:pt idx="143">
                  <c:v>32502</c:v>
                </c:pt>
                <c:pt idx="144">
                  <c:v>25668</c:v>
                </c:pt>
                <c:pt idx="145">
                  <c:v>26864</c:v>
                </c:pt>
                <c:pt idx="146">
                  <c:v>30415</c:v>
                </c:pt>
                <c:pt idx="147">
                  <c:v>26931</c:v>
                </c:pt>
                <c:pt idx="148">
                  <c:v>33073</c:v>
                </c:pt>
                <c:pt idx="149">
                  <c:v>29873</c:v>
                </c:pt>
                <c:pt idx="150">
                  <c:v>30416</c:v>
                </c:pt>
                <c:pt idx="151">
                  <c:v>32062</c:v>
                </c:pt>
                <c:pt idx="152">
                  <c:v>29430</c:v>
                </c:pt>
                <c:pt idx="153">
                  <c:v>33296</c:v>
                </c:pt>
                <c:pt idx="154">
                  <c:v>33963</c:v>
                </c:pt>
                <c:pt idx="155">
                  <c:v>30195</c:v>
                </c:pt>
                <c:pt idx="156">
                  <c:v>26979</c:v>
                </c:pt>
                <c:pt idx="157">
                  <c:v>28501</c:v>
                </c:pt>
                <c:pt idx="158">
                  <c:v>32300</c:v>
                </c:pt>
                <c:pt idx="159">
                  <c:v>33689</c:v>
                </c:pt>
                <c:pt idx="160">
                  <c:v>38019</c:v>
                </c:pt>
                <c:pt idx="161">
                  <c:v>33088</c:v>
                </c:pt>
                <c:pt idx="162">
                  <c:v>36614</c:v>
                </c:pt>
                <c:pt idx="163">
                  <c:v>33917</c:v>
                </c:pt>
                <c:pt idx="164">
                  <c:v>34059</c:v>
                </c:pt>
                <c:pt idx="165">
                  <c:v>38133</c:v>
                </c:pt>
                <c:pt idx="166">
                  <c:v>38484</c:v>
                </c:pt>
                <c:pt idx="167">
                  <c:v>35595</c:v>
                </c:pt>
                <c:pt idx="168">
                  <c:v>29953</c:v>
                </c:pt>
                <c:pt idx="169">
                  <c:v>31852</c:v>
                </c:pt>
                <c:pt idx="170">
                  <c:v>35035</c:v>
                </c:pt>
                <c:pt idx="171">
                  <c:v>33748</c:v>
                </c:pt>
                <c:pt idx="172">
                  <c:v>37840</c:v>
                </c:pt>
                <c:pt idx="173">
                  <c:v>35041</c:v>
                </c:pt>
                <c:pt idx="174">
                  <c:v>36507</c:v>
                </c:pt>
                <c:pt idx="175">
                  <c:v>33835</c:v>
                </c:pt>
                <c:pt idx="176">
                  <c:v>35602</c:v>
                </c:pt>
                <c:pt idx="177">
                  <c:v>37727</c:v>
                </c:pt>
                <c:pt idx="178">
                  <c:v>34788</c:v>
                </c:pt>
                <c:pt idx="179">
                  <c:v>37898</c:v>
                </c:pt>
                <c:pt idx="180">
                  <c:v>29349</c:v>
                </c:pt>
                <c:pt idx="181">
                  <c:v>31649</c:v>
                </c:pt>
                <c:pt idx="182">
                  <c:v>37161</c:v>
                </c:pt>
                <c:pt idx="183">
                  <c:v>33918</c:v>
                </c:pt>
                <c:pt idx="184">
                  <c:v>34452</c:v>
                </c:pt>
                <c:pt idx="185">
                  <c:v>36744</c:v>
                </c:pt>
                <c:pt idx="186">
                  <c:v>36709</c:v>
                </c:pt>
                <c:pt idx="187">
                  <c:v>35427</c:v>
                </c:pt>
                <c:pt idx="188">
                  <c:v>38295</c:v>
                </c:pt>
                <c:pt idx="189">
                  <c:v>37601</c:v>
                </c:pt>
                <c:pt idx="190">
                  <c:v>38223</c:v>
                </c:pt>
                <c:pt idx="191">
                  <c:v>39216</c:v>
                </c:pt>
                <c:pt idx="192">
                  <c:v>28335</c:v>
                </c:pt>
                <c:pt idx="193">
                  <c:v>33813</c:v>
                </c:pt>
                <c:pt idx="194">
                  <c:v>35877</c:v>
                </c:pt>
                <c:pt idx="195">
                  <c:v>35595</c:v>
                </c:pt>
                <c:pt idx="196">
                  <c:v>38813</c:v>
                </c:pt>
                <c:pt idx="197">
                  <c:v>37275</c:v>
                </c:pt>
                <c:pt idx="198">
                  <c:v>33937</c:v>
                </c:pt>
                <c:pt idx="199">
                  <c:v>35781</c:v>
                </c:pt>
                <c:pt idx="200">
                  <c:v>35238</c:v>
                </c:pt>
                <c:pt idx="201">
                  <c:v>34694</c:v>
                </c:pt>
                <c:pt idx="202">
                  <c:v>39726</c:v>
                </c:pt>
                <c:pt idx="203">
                  <c:v>37978</c:v>
                </c:pt>
                <c:pt idx="204">
                  <c:v>30565</c:v>
                </c:pt>
                <c:pt idx="205">
                  <c:v>33105</c:v>
                </c:pt>
                <c:pt idx="206">
                  <c:v>39877</c:v>
                </c:pt>
                <c:pt idx="207">
                  <c:v>32690</c:v>
                </c:pt>
                <c:pt idx="208">
                  <c:v>41371</c:v>
                </c:pt>
                <c:pt idx="209">
                  <c:v>39338</c:v>
                </c:pt>
                <c:pt idx="210">
                  <c:v>38088</c:v>
                </c:pt>
                <c:pt idx="211">
                  <c:v>41788</c:v>
                </c:pt>
                <c:pt idx="212">
                  <c:v>38251</c:v>
                </c:pt>
                <c:pt idx="213">
                  <c:v>39540</c:v>
                </c:pt>
                <c:pt idx="214">
                  <c:v>42728</c:v>
                </c:pt>
                <c:pt idx="215">
                  <c:v>37669</c:v>
                </c:pt>
                <c:pt idx="216">
                  <c:v>31645</c:v>
                </c:pt>
                <c:pt idx="217">
                  <c:v>33051</c:v>
                </c:pt>
                <c:pt idx="218">
                  <c:v>36061</c:v>
                </c:pt>
                <c:pt idx="219">
                  <c:v>33085</c:v>
                </c:pt>
                <c:pt idx="220">
                  <c:v>40046</c:v>
                </c:pt>
                <c:pt idx="221">
                  <c:v>36124</c:v>
                </c:pt>
                <c:pt idx="222">
                  <c:v>36419</c:v>
                </c:pt>
                <c:pt idx="223">
                  <c:v>36159</c:v>
                </c:pt>
                <c:pt idx="224">
                  <c:v>32595</c:v>
                </c:pt>
                <c:pt idx="225">
                  <c:v>37638</c:v>
                </c:pt>
                <c:pt idx="226">
                  <c:v>38837</c:v>
                </c:pt>
              </c:numCache>
            </c:numRef>
          </c:val>
          <c:extLst xmlns:c16r2="http://schemas.microsoft.com/office/drawing/2015/06/chart">
            <c:ext xmlns:c16="http://schemas.microsoft.com/office/drawing/2014/chart" uri="{C3380CC4-5D6E-409C-BE32-E72D297353CC}">
              <c16:uniqueId val="{00000000-86F6-4D15-B8FD-D53CC77090CE}"/>
            </c:ext>
          </c:extLst>
        </c:ser>
        <c:dLbls>
          <c:showLegendKey val="0"/>
          <c:showVal val="0"/>
          <c:showCatName val="0"/>
          <c:showSerName val="0"/>
          <c:showPercent val="0"/>
          <c:showBubbleSize val="0"/>
        </c:dLbls>
        <c:gapWidth val="150"/>
        <c:axId val="50361856"/>
        <c:axId val="50363392"/>
      </c:barChart>
      <c:lineChart>
        <c:grouping val="standard"/>
        <c:varyColors val="0"/>
        <c:ser>
          <c:idx val="1"/>
          <c:order val="1"/>
          <c:tx>
            <c:strRef>
              <c:f>Loans!$M$10</c:f>
              <c:strCache>
                <c:ptCount val="1"/>
                <c:pt idx="0">
                  <c:v>First home purchasers % (excluding refinancing)</c:v>
                </c:pt>
              </c:strCache>
            </c:strRef>
          </c:tx>
          <c:spPr>
            <a:ln w="28575" cap="rnd">
              <a:solidFill>
                <a:schemeClr val="accent6">
                  <a:lumMod val="75000"/>
                </a:schemeClr>
              </a:solidFill>
              <a:round/>
            </a:ln>
            <a:effectLst/>
          </c:spPr>
          <c:marker>
            <c:symbol val="none"/>
          </c:marker>
          <c:cat>
            <c:numRef>
              <c:f>Loans!$K$11:$K$237</c:f>
              <c:numCache>
                <c:formatCode>yyyy</c:formatCode>
                <c:ptCount val="227"/>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pt idx="152">
                  <c:v>41153</c:v>
                </c:pt>
                <c:pt idx="153">
                  <c:v>41183</c:v>
                </c:pt>
                <c:pt idx="154">
                  <c:v>41214</c:v>
                </c:pt>
                <c:pt idx="155">
                  <c:v>41244</c:v>
                </c:pt>
                <c:pt idx="156">
                  <c:v>41275</c:v>
                </c:pt>
                <c:pt idx="157">
                  <c:v>41306</c:v>
                </c:pt>
                <c:pt idx="158">
                  <c:v>41334</c:v>
                </c:pt>
                <c:pt idx="159">
                  <c:v>41365</c:v>
                </c:pt>
                <c:pt idx="160">
                  <c:v>41395</c:v>
                </c:pt>
                <c:pt idx="161">
                  <c:v>41426</c:v>
                </c:pt>
                <c:pt idx="162">
                  <c:v>41456</c:v>
                </c:pt>
                <c:pt idx="163">
                  <c:v>41487</c:v>
                </c:pt>
                <c:pt idx="164">
                  <c:v>41518</c:v>
                </c:pt>
                <c:pt idx="165">
                  <c:v>41548</c:v>
                </c:pt>
                <c:pt idx="166">
                  <c:v>41579</c:v>
                </c:pt>
                <c:pt idx="167">
                  <c:v>41609</c:v>
                </c:pt>
                <c:pt idx="168">
                  <c:v>41640</c:v>
                </c:pt>
                <c:pt idx="169">
                  <c:v>41671</c:v>
                </c:pt>
                <c:pt idx="170">
                  <c:v>41699</c:v>
                </c:pt>
                <c:pt idx="171">
                  <c:v>41730</c:v>
                </c:pt>
                <c:pt idx="172">
                  <c:v>41760</c:v>
                </c:pt>
                <c:pt idx="173">
                  <c:v>41791</c:v>
                </c:pt>
                <c:pt idx="174">
                  <c:v>41821</c:v>
                </c:pt>
                <c:pt idx="175">
                  <c:v>41852</c:v>
                </c:pt>
                <c:pt idx="176">
                  <c:v>41883</c:v>
                </c:pt>
                <c:pt idx="177">
                  <c:v>41913</c:v>
                </c:pt>
                <c:pt idx="178">
                  <c:v>41944</c:v>
                </c:pt>
                <c:pt idx="179">
                  <c:v>41974</c:v>
                </c:pt>
                <c:pt idx="180">
                  <c:v>42005</c:v>
                </c:pt>
                <c:pt idx="181">
                  <c:v>42036</c:v>
                </c:pt>
                <c:pt idx="182">
                  <c:v>42064</c:v>
                </c:pt>
                <c:pt idx="183">
                  <c:v>42095</c:v>
                </c:pt>
                <c:pt idx="184">
                  <c:v>42125</c:v>
                </c:pt>
                <c:pt idx="185">
                  <c:v>42156</c:v>
                </c:pt>
                <c:pt idx="186">
                  <c:v>42186</c:v>
                </c:pt>
                <c:pt idx="187">
                  <c:v>42217</c:v>
                </c:pt>
                <c:pt idx="188">
                  <c:v>42248</c:v>
                </c:pt>
                <c:pt idx="189">
                  <c:v>42278</c:v>
                </c:pt>
                <c:pt idx="190">
                  <c:v>42309</c:v>
                </c:pt>
                <c:pt idx="191">
                  <c:v>42339</c:v>
                </c:pt>
                <c:pt idx="192">
                  <c:v>42370</c:v>
                </c:pt>
                <c:pt idx="193">
                  <c:v>42401</c:v>
                </c:pt>
                <c:pt idx="194">
                  <c:v>42430</c:v>
                </c:pt>
                <c:pt idx="195">
                  <c:v>42461</c:v>
                </c:pt>
                <c:pt idx="196">
                  <c:v>42491</c:v>
                </c:pt>
                <c:pt idx="197">
                  <c:v>42522</c:v>
                </c:pt>
                <c:pt idx="198">
                  <c:v>42552</c:v>
                </c:pt>
                <c:pt idx="199">
                  <c:v>42583</c:v>
                </c:pt>
                <c:pt idx="200">
                  <c:v>42614</c:v>
                </c:pt>
                <c:pt idx="201">
                  <c:v>42644</c:v>
                </c:pt>
                <c:pt idx="202">
                  <c:v>42675</c:v>
                </c:pt>
                <c:pt idx="203">
                  <c:v>42705</c:v>
                </c:pt>
                <c:pt idx="204">
                  <c:v>42736</c:v>
                </c:pt>
                <c:pt idx="205">
                  <c:v>42767</c:v>
                </c:pt>
                <c:pt idx="206">
                  <c:v>42795</c:v>
                </c:pt>
                <c:pt idx="207">
                  <c:v>42826</c:v>
                </c:pt>
                <c:pt idx="208">
                  <c:v>42856</c:v>
                </c:pt>
                <c:pt idx="209">
                  <c:v>42887</c:v>
                </c:pt>
                <c:pt idx="210">
                  <c:v>42917</c:v>
                </c:pt>
                <c:pt idx="211">
                  <c:v>42948</c:v>
                </c:pt>
                <c:pt idx="212">
                  <c:v>42979</c:v>
                </c:pt>
                <c:pt idx="213">
                  <c:v>43009</c:v>
                </c:pt>
                <c:pt idx="214">
                  <c:v>43040</c:v>
                </c:pt>
                <c:pt idx="215">
                  <c:v>43070</c:v>
                </c:pt>
                <c:pt idx="216">
                  <c:v>43101</c:v>
                </c:pt>
                <c:pt idx="217">
                  <c:v>43132</c:v>
                </c:pt>
                <c:pt idx="218">
                  <c:v>43160</c:v>
                </c:pt>
                <c:pt idx="219">
                  <c:v>43191</c:v>
                </c:pt>
                <c:pt idx="220">
                  <c:v>43221</c:v>
                </c:pt>
                <c:pt idx="221">
                  <c:v>43252</c:v>
                </c:pt>
                <c:pt idx="222">
                  <c:v>43282</c:v>
                </c:pt>
                <c:pt idx="223">
                  <c:v>43313</c:v>
                </c:pt>
                <c:pt idx="224">
                  <c:v>43344</c:v>
                </c:pt>
                <c:pt idx="225">
                  <c:v>43374</c:v>
                </c:pt>
                <c:pt idx="226">
                  <c:v>43405</c:v>
                </c:pt>
              </c:numCache>
            </c:numRef>
          </c:cat>
          <c:val>
            <c:numRef>
              <c:f>Loans!$M$11:$M$237</c:f>
              <c:numCache>
                <c:formatCode>0%</c:formatCode>
                <c:ptCount val="227"/>
                <c:pt idx="0">
                  <c:v>0.26841144248326232</c:v>
                </c:pt>
                <c:pt idx="1">
                  <c:v>0.27796289979796918</c:v>
                </c:pt>
                <c:pt idx="2">
                  <c:v>0.25456323337679271</c:v>
                </c:pt>
                <c:pt idx="3">
                  <c:v>0.24312004052000674</c:v>
                </c:pt>
                <c:pt idx="4">
                  <c:v>0.21858917710661746</c:v>
                </c:pt>
                <c:pt idx="5">
                  <c:v>0.19795456780411053</c:v>
                </c:pt>
                <c:pt idx="6">
                  <c:v>0.32799517980592374</c:v>
                </c:pt>
                <c:pt idx="7">
                  <c:v>0.3291253628347664</c:v>
                </c:pt>
                <c:pt idx="8">
                  <c:v>0.31054370869185682</c:v>
                </c:pt>
                <c:pt idx="9">
                  <c:v>0.29754052887875237</c:v>
                </c:pt>
                <c:pt idx="10">
                  <c:v>0.3021328293736501</c:v>
                </c:pt>
                <c:pt idx="11">
                  <c:v>0.29116023765720661</c:v>
                </c:pt>
                <c:pt idx="12">
                  <c:v>0.27010329823629059</c:v>
                </c:pt>
                <c:pt idx="13">
                  <c:v>0.277736890524379</c:v>
                </c:pt>
                <c:pt idx="14">
                  <c:v>0.27041905692897383</c:v>
                </c:pt>
                <c:pt idx="15">
                  <c:v>0.29717062017719348</c:v>
                </c:pt>
                <c:pt idx="16">
                  <c:v>0.30444741795749891</c:v>
                </c:pt>
                <c:pt idx="17">
                  <c:v>0.31426950774390844</c:v>
                </c:pt>
                <c:pt idx="18">
                  <c:v>0.33290912518853694</c:v>
                </c:pt>
                <c:pt idx="19">
                  <c:v>0.32738574882007598</c:v>
                </c:pt>
                <c:pt idx="20">
                  <c:v>0.31232841232841235</c:v>
                </c:pt>
                <c:pt idx="21">
                  <c:v>0.31880328132539809</c:v>
                </c:pt>
                <c:pt idx="22">
                  <c:v>0.3212695255103194</c:v>
                </c:pt>
                <c:pt idx="23">
                  <c:v>0.32663574156180325</c:v>
                </c:pt>
                <c:pt idx="24">
                  <c:v>0.31024199720264956</c:v>
                </c:pt>
                <c:pt idx="25">
                  <c:v>0.26418523786944842</c:v>
                </c:pt>
                <c:pt idx="26">
                  <c:v>0.2632401896499546</c:v>
                </c:pt>
                <c:pt idx="27">
                  <c:v>0.25048715677590788</c:v>
                </c:pt>
                <c:pt idx="28">
                  <c:v>0.25344284428442843</c:v>
                </c:pt>
                <c:pt idx="29">
                  <c:v>0.24038087331032873</c:v>
                </c:pt>
                <c:pt idx="30">
                  <c:v>0.25184307848492904</c:v>
                </c:pt>
                <c:pt idx="31">
                  <c:v>0.24100551107413953</c:v>
                </c:pt>
                <c:pt idx="32">
                  <c:v>0.22989142477287836</c:v>
                </c:pt>
                <c:pt idx="33">
                  <c:v>0.23162271080956998</c:v>
                </c:pt>
                <c:pt idx="34">
                  <c:v>0.22481578947368422</c:v>
                </c:pt>
                <c:pt idx="35">
                  <c:v>0.21832773728605356</c:v>
                </c:pt>
                <c:pt idx="36">
                  <c:v>0.21003901473242881</c:v>
                </c:pt>
                <c:pt idx="37">
                  <c:v>0.21367684825965794</c:v>
                </c:pt>
                <c:pt idx="38">
                  <c:v>0.21395477665306945</c:v>
                </c:pt>
                <c:pt idx="39">
                  <c:v>0.20703125</c:v>
                </c:pt>
                <c:pt idx="40">
                  <c:v>0.19621793237700169</c:v>
                </c:pt>
                <c:pt idx="41">
                  <c:v>0.19155298536971135</c:v>
                </c:pt>
                <c:pt idx="42">
                  <c:v>0.19176536943034406</c:v>
                </c:pt>
                <c:pt idx="43">
                  <c:v>0.19537205527959475</c:v>
                </c:pt>
                <c:pt idx="44">
                  <c:v>0.1970152817574021</c:v>
                </c:pt>
                <c:pt idx="45">
                  <c:v>0.19502380021615656</c:v>
                </c:pt>
                <c:pt idx="46">
                  <c:v>0.19409217445097432</c:v>
                </c:pt>
                <c:pt idx="47">
                  <c:v>0.1980913747822243</c:v>
                </c:pt>
                <c:pt idx="48">
                  <c:v>0.19647214669176602</c:v>
                </c:pt>
                <c:pt idx="49">
                  <c:v>0.18923939050497418</c:v>
                </c:pt>
                <c:pt idx="50">
                  <c:v>0.18697040889053138</c:v>
                </c:pt>
                <c:pt idx="51">
                  <c:v>0.19422532208448817</c:v>
                </c:pt>
                <c:pt idx="52">
                  <c:v>0.20380473592504786</c:v>
                </c:pt>
                <c:pt idx="53">
                  <c:v>0.20948728072649331</c:v>
                </c:pt>
                <c:pt idx="54">
                  <c:v>0.22106301987875371</c:v>
                </c:pt>
                <c:pt idx="55">
                  <c:v>0.22999015332676889</c:v>
                </c:pt>
                <c:pt idx="56">
                  <c:v>0.23075422264340265</c:v>
                </c:pt>
                <c:pt idx="57">
                  <c:v>0.23009817837709959</c:v>
                </c:pt>
                <c:pt idx="58">
                  <c:v>0.23000207770621234</c:v>
                </c:pt>
                <c:pt idx="59">
                  <c:v>0.23452829188099911</c:v>
                </c:pt>
                <c:pt idx="60">
                  <c:v>0.24027072758037224</c:v>
                </c:pt>
                <c:pt idx="61">
                  <c:v>0.23173435877284082</c:v>
                </c:pt>
                <c:pt idx="62">
                  <c:v>0.23081321631902146</c:v>
                </c:pt>
                <c:pt idx="63">
                  <c:v>0.23990074176850418</c:v>
                </c:pt>
                <c:pt idx="64">
                  <c:v>0.24944371396783654</c:v>
                </c:pt>
                <c:pt idx="65">
                  <c:v>0.24515667331186422</c:v>
                </c:pt>
                <c:pt idx="66">
                  <c:v>0.24602524176364529</c:v>
                </c:pt>
                <c:pt idx="67">
                  <c:v>0.25941797887183576</c:v>
                </c:pt>
                <c:pt idx="68">
                  <c:v>0.25933703314834261</c:v>
                </c:pt>
                <c:pt idx="69">
                  <c:v>0.26588399575909594</c:v>
                </c:pt>
                <c:pt idx="70">
                  <c:v>0.26752959091852979</c:v>
                </c:pt>
                <c:pt idx="71">
                  <c:v>0.27188592410029422</c:v>
                </c:pt>
                <c:pt idx="72">
                  <c:v>0.27047823421213979</c:v>
                </c:pt>
                <c:pt idx="73">
                  <c:v>0.26049837255215835</c:v>
                </c:pt>
                <c:pt idx="74">
                  <c:v>0.26726673984632271</c:v>
                </c:pt>
                <c:pt idx="75">
                  <c:v>0.27642520243190927</c:v>
                </c:pt>
                <c:pt idx="76">
                  <c:v>0.25396858726692423</c:v>
                </c:pt>
                <c:pt idx="77">
                  <c:v>0.25242519469872932</c:v>
                </c:pt>
                <c:pt idx="78">
                  <c:v>0.25002368770134548</c:v>
                </c:pt>
                <c:pt idx="79">
                  <c:v>0.24346766550837132</c:v>
                </c:pt>
                <c:pt idx="80">
                  <c:v>0.26668353149506702</c:v>
                </c:pt>
                <c:pt idx="81">
                  <c:v>0.2732576825137828</c:v>
                </c:pt>
                <c:pt idx="82">
                  <c:v>0.26769451250520088</c:v>
                </c:pt>
                <c:pt idx="83">
                  <c:v>0.26482376974994182</c:v>
                </c:pt>
                <c:pt idx="84">
                  <c:v>0.26176838310121248</c:v>
                </c:pt>
                <c:pt idx="85">
                  <c:v>0.25774045233475962</c:v>
                </c:pt>
                <c:pt idx="86">
                  <c:v>0.24975002777469171</c:v>
                </c:pt>
                <c:pt idx="87">
                  <c:v>0.26164919496413702</c:v>
                </c:pt>
                <c:pt idx="88">
                  <c:v>0.24960947134752939</c:v>
                </c:pt>
                <c:pt idx="89">
                  <c:v>0.2498075442648191</c:v>
                </c:pt>
                <c:pt idx="90">
                  <c:v>0.25714944117985944</c:v>
                </c:pt>
                <c:pt idx="91">
                  <c:v>0.25607914377640134</c:v>
                </c:pt>
                <c:pt idx="92">
                  <c:v>0.26580891719745225</c:v>
                </c:pt>
                <c:pt idx="93">
                  <c:v>0.27542277845063473</c:v>
                </c:pt>
                <c:pt idx="94">
                  <c:v>0.27536924413553432</c:v>
                </c:pt>
                <c:pt idx="95">
                  <c:v>0.28623620449067616</c:v>
                </c:pt>
                <c:pt idx="96">
                  <c:v>0.28421140057030536</c:v>
                </c:pt>
                <c:pt idx="97">
                  <c:v>0.27510178184317663</c:v>
                </c:pt>
                <c:pt idx="98">
                  <c:v>0.26038781163434904</c:v>
                </c:pt>
                <c:pt idx="99">
                  <c:v>0.27096900965641141</c:v>
                </c:pt>
                <c:pt idx="100">
                  <c:v>0.2763565212312365</c:v>
                </c:pt>
                <c:pt idx="101">
                  <c:v>0.28664484343484442</c:v>
                </c:pt>
                <c:pt idx="102">
                  <c:v>0.2968386227178042</c:v>
                </c:pt>
                <c:pt idx="103">
                  <c:v>0.30056665054246423</c:v>
                </c:pt>
                <c:pt idx="104">
                  <c:v>0.30100878620240806</c:v>
                </c:pt>
                <c:pt idx="105">
                  <c:v>0.29501693570534926</c:v>
                </c:pt>
                <c:pt idx="106">
                  <c:v>0.36258879242304659</c:v>
                </c:pt>
                <c:pt idx="107">
                  <c:v>0.39495070796213033</c:v>
                </c:pt>
                <c:pt idx="108">
                  <c:v>0.40151176883332268</c:v>
                </c:pt>
                <c:pt idx="109">
                  <c:v>0.40508521933500979</c:v>
                </c:pt>
                <c:pt idx="110">
                  <c:v>0.40912246131798741</c:v>
                </c:pt>
                <c:pt idx="111">
                  <c:v>0.41817652623153606</c:v>
                </c:pt>
                <c:pt idx="112">
                  <c:v>0.42419716206123975</c:v>
                </c:pt>
                <c:pt idx="113">
                  <c:v>0.41208348262271588</c:v>
                </c:pt>
                <c:pt idx="114">
                  <c:v>0.38056606766525414</c:v>
                </c:pt>
                <c:pt idx="115">
                  <c:v>0.36323962245001523</c:v>
                </c:pt>
                <c:pt idx="116">
                  <c:v>0.37318574315634762</c:v>
                </c:pt>
                <c:pt idx="117">
                  <c:v>0.37559582802397473</c:v>
                </c:pt>
                <c:pt idx="118">
                  <c:v>0.33018359224547439</c:v>
                </c:pt>
                <c:pt idx="119">
                  <c:v>0.3190056264877732</c:v>
                </c:pt>
                <c:pt idx="120">
                  <c:v>0.31153366347862244</c:v>
                </c:pt>
                <c:pt idx="121">
                  <c:v>0.27989795918367349</c:v>
                </c:pt>
                <c:pt idx="122">
                  <c:v>0.25262023117925375</c:v>
                </c:pt>
                <c:pt idx="123">
                  <c:v>0.25208240496349366</c:v>
                </c:pt>
                <c:pt idx="124">
                  <c:v>0.25577737835408909</c:v>
                </c:pt>
                <c:pt idx="125">
                  <c:v>0.25481677997015423</c:v>
                </c:pt>
                <c:pt idx="126">
                  <c:v>0.24929492344883158</c:v>
                </c:pt>
                <c:pt idx="127">
                  <c:v>0.24486753845111459</c:v>
                </c:pt>
                <c:pt idx="128">
                  <c:v>0.24918154510783355</c:v>
                </c:pt>
                <c:pt idx="129">
                  <c:v>0.24267223667990687</c:v>
                </c:pt>
                <c:pt idx="130">
                  <c:v>0.24543392988477569</c:v>
                </c:pt>
                <c:pt idx="131">
                  <c:v>0.25761146196625506</c:v>
                </c:pt>
                <c:pt idx="132">
                  <c:v>0.24644990046449899</c:v>
                </c:pt>
                <c:pt idx="133">
                  <c:v>0.23744131455399062</c:v>
                </c:pt>
                <c:pt idx="134">
                  <c:v>0.25193836171938361</c:v>
                </c:pt>
                <c:pt idx="135">
                  <c:v>0.25383490229906613</c:v>
                </c:pt>
                <c:pt idx="136">
                  <c:v>0.25446371226718045</c:v>
                </c:pt>
                <c:pt idx="137">
                  <c:v>0.25215364345799129</c:v>
                </c:pt>
                <c:pt idx="138">
                  <c:v>0.24968939689751873</c:v>
                </c:pt>
                <c:pt idx="139">
                  <c:v>0.25530360877792901</c:v>
                </c:pt>
                <c:pt idx="140">
                  <c:v>0.2758268333390102</c:v>
                </c:pt>
                <c:pt idx="141">
                  <c:v>0.29255815561162768</c:v>
                </c:pt>
                <c:pt idx="142">
                  <c:v>0.30097790655559581</c:v>
                </c:pt>
                <c:pt idx="143">
                  <c:v>0.31579595101839886</c:v>
                </c:pt>
                <c:pt idx="144">
                  <c:v>0.3133473585787751</c:v>
                </c:pt>
                <c:pt idx="145">
                  <c:v>0.27397260273972601</c:v>
                </c:pt>
                <c:pt idx="146">
                  <c:v>0.2598060167680421</c:v>
                </c:pt>
                <c:pt idx="147">
                  <c:v>0.26278266681519441</c:v>
                </c:pt>
                <c:pt idx="148">
                  <c:v>0.27545127445348166</c:v>
                </c:pt>
                <c:pt idx="149">
                  <c:v>0.28169249824256015</c:v>
                </c:pt>
                <c:pt idx="150">
                  <c:v>0.28800631246712255</c:v>
                </c:pt>
                <c:pt idx="151">
                  <c:v>0.27824215582309275</c:v>
                </c:pt>
                <c:pt idx="152">
                  <c:v>0.28518518518518521</c:v>
                </c:pt>
                <c:pt idx="153">
                  <c:v>0.28108481499279192</c:v>
                </c:pt>
                <c:pt idx="154">
                  <c:v>0.26066601890292379</c:v>
                </c:pt>
                <c:pt idx="155">
                  <c:v>0.24825302202351382</c:v>
                </c:pt>
                <c:pt idx="156">
                  <c:v>0.25278920641980801</c:v>
                </c:pt>
                <c:pt idx="157">
                  <c:v>0.24637732009403179</c:v>
                </c:pt>
                <c:pt idx="158">
                  <c:v>0.23724458204334364</c:v>
                </c:pt>
                <c:pt idx="159">
                  <c:v>0.24159221110748316</c:v>
                </c:pt>
                <c:pt idx="160">
                  <c:v>0.2452194955154002</c:v>
                </c:pt>
                <c:pt idx="161">
                  <c:v>0.25232712765957449</c:v>
                </c:pt>
                <c:pt idx="162">
                  <c:v>0.25471131261266183</c:v>
                </c:pt>
                <c:pt idx="163">
                  <c:v>0.24904914939410916</c:v>
                </c:pt>
                <c:pt idx="164">
                  <c:v>0.24419389882263132</c:v>
                </c:pt>
                <c:pt idx="165">
                  <c:v>0.24013321794770934</c:v>
                </c:pt>
                <c:pt idx="166">
                  <c:v>0.23422721130859578</c:v>
                </c:pt>
                <c:pt idx="167">
                  <c:v>0.22927377440651778</c:v>
                </c:pt>
                <c:pt idx="168">
                  <c:v>0.23713818315360732</c:v>
                </c:pt>
                <c:pt idx="169">
                  <c:v>0.23678261961572272</c:v>
                </c:pt>
                <c:pt idx="170">
                  <c:v>0.23056943056943058</c:v>
                </c:pt>
                <c:pt idx="171">
                  <c:v>0.22425032594524119</c:v>
                </c:pt>
                <c:pt idx="172">
                  <c:v>0.22928118393234673</c:v>
                </c:pt>
                <c:pt idx="173">
                  <c:v>0.23404012442567279</c:v>
                </c:pt>
                <c:pt idx="174">
                  <c:v>0.22513490563453584</c:v>
                </c:pt>
                <c:pt idx="175">
                  <c:v>0.23177183389980788</c:v>
                </c:pt>
                <c:pt idx="176">
                  <c:v>0.23641930228638841</c:v>
                </c:pt>
                <c:pt idx="177">
                  <c:v>0.23439446550216025</c:v>
                </c:pt>
                <c:pt idx="178">
                  <c:v>0.2340174772910199</c:v>
                </c:pt>
                <c:pt idx="179">
                  <c:v>0.22148926064699984</c:v>
                </c:pt>
                <c:pt idx="180">
                  <c:v>0.21268186309584652</c:v>
                </c:pt>
                <c:pt idx="181">
                  <c:v>0.22670542513191569</c:v>
                </c:pt>
                <c:pt idx="182">
                  <c:v>0.22012324749064879</c:v>
                </c:pt>
                <c:pt idx="183">
                  <c:v>0.21767203254908898</c:v>
                </c:pt>
                <c:pt idx="184">
                  <c:v>0.22106118657842797</c:v>
                </c:pt>
                <c:pt idx="185">
                  <c:v>0.21821249727846723</c:v>
                </c:pt>
                <c:pt idx="186">
                  <c:v>0.21403470538560027</c:v>
                </c:pt>
                <c:pt idx="187">
                  <c:v>0.20233155502865047</c:v>
                </c:pt>
                <c:pt idx="188">
                  <c:v>0.20336858597728164</c:v>
                </c:pt>
                <c:pt idx="189">
                  <c:v>0.19515438419190978</c:v>
                </c:pt>
                <c:pt idx="190">
                  <c:v>0.20079533265311461</c:v>
                </c:pt>
                <c:pt idx="191">
                  <c:v>0.2076703386372909</c:v>
                </c:pt>
                <c:pt idx="192">
                  <c:v>0.21044644432680432</c:v>
                </c:pt>
                <c:pt idx="193">
                  <c:v>0.21125011090409015</c:v>
                </c:pt>
                <c:pt idx="194">
                  <c:v>0.20333361206343897</c:v>
                </c:pt>
                <c:pt idx="195">
                  <c:v>0.20688298918387413</c:v>
                </c:pt>
                <c:pt idx="196">
                  <c:v>0.20797155592198491</c:v>
                </c:pt>
                <c:pt idx="197">
                  <c:v>0.21145539906103286</c:v>
                </c:pt>
                <c:pt idx="198">
                  <c:v>0.20947638270913752</c:v>
                </c:pt>
                <c:pt idx="199">
                  <c:v>0.20603113384198318</c:v>
                </c:pt>
                <c:pt idx="200">
                  <c:v>0.20807083262387197</c:v>
                </c:pt>
                <c:pt idx="201">
                  <c:v>0.21046866893410965</c:v>
                </c:pt>
                <c:pt idx="202">
                  <c:v>0.20845290238131198</c:v>
                </c:pt>
                <c:pt idx="203">
                  <c:v>0.20293327716046131</c:v>
                </c:pt>
                <c:pt idx="204">
                  <c:v>0.20071977752331097</c:v>
                </c:pt>
                <c:pt idx="205">
                  <c:v>0.19924482706539798</c:v>
                </c:pt>
                <c:pt idx="206">
                  <c:v>0.19908719311884043</c:v>
                </c:pt>
                <c:pt idx="207">
                  <c:v>0.20027531355154482</c:v>
                </c:pt>
                <c:pt idx="208">
                  <c:v>0.20398346667955813</c:v>
                </c:pt>
                <c:pt idx="209">
                  <c:v>0.21775382581727593</c:v>
                </c:pt>
                <c:pt idx="210">
                  <c:v>0.23668872085696283</c:v>
                </c:pt>
                <c:pt idx="211">
                  <c:v>0.24602756772279122</c:v>
                </c:pt>
                <c:pt idx="212">
                  <c:v>0.25144440668217827</c:v>
                </c:pt>
                <c:pt idx="213">
                  <c:v>0.25488113302984322</c:v>
                </c:pt>
                <c:pt idx="214">
                  <c:v>0.26001685077700804</c:v>
                </c:pt>
                <c:pt idx="215">
                  <c:v>0.25867424141867318</c:v>
                </c:pt>
                <c:pt idx="216">
                  <c:v>0.26497076947385051</c:v>
                </c:pt>
                <c:pt idx="217">
                  <c:v>0.26571056851532482</c:v>
                </c:pt>
                <c:pt idx="218">
                  <c:v>0.25781314994037879</c:v>
                </c:pt>
                <c:pt idx="219">
                  <c:v>0.2586368444914614</c:v>
                </c:pt>
                <c:pt idx="220">
                  <c:v>0.25727912900164812</c:v>
                </c:pt>
                <c:pt idx="221">
                  <c:v>0.26453327427748863</c:v>
                </c:pt>
                <c:pt idx="222">
                  <c:v>0.26615228314890577</c:v>
                </c:pt>
                <c:pt idx="223">
                  <c:v>0.26585359108382423</c:v>
                </c:pt>
                <c:pt idx="224">
                  <c:v>0.26887559441632153</c:v>
                </c:pt>
                <c:pt idx="225">
                  <c:v>0.26932886975928583</c:v>
                </c:pt>
                <c:pt idx="226">
                  <c:v>0.27018049797873162</c:v>
                </c:pt>
              </c:numCache>
            </c:numRef>
          </c:val>
          <c:smooth val="0"/>
          <c:extLst xmlns:c16r2="http://schemas.microsoft.com/office/drawing/2015/06/chart">
            <c:ext xmlns:c16="http://schemas.microsoft.com/office/drawing/2014/chart" uri="{C3380CC4-5D6E-409C-BE32-E72D297353CC}">
              <c16:uniqueId val="{00000001-86F6-4D15-B8FD-D53CC77090CE}"/>
            </c:ext>
          </c:extLst>
        </c:ser>
        <c:dLbls>
          <c:showLegendKey val="0"/>
          <c:showVal val="0"/>
          <c:showCatName val="0"/>
          <c:showSerName val="0"/>
          <c:showPercent val="0"/>
          <c:showBubbleSize val="0"/>
        </c:dLbls>
        <c:marker val="1"/>
        <c:smooth val="0"/>
        <c:axId val="50387968"/>
        <c:axId val="50386048"/>
      </c:lineChart>
      <c:dateAx>
        <c:axId val="50361856"/>
        <c:scaling>
          <c:orientation val="minMax"/>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0363392"/>
        <c:crosses val="autoZero"/>
        <c:auto val="1"/>
        <c:lblOffset val="100"/>
        <c:baseTimeUnit val="months"/>
        <c:majorUnit val="2"/>
        <c:majorTimeUnit val="years"/>
      </c:dateAx>
      <c:valAx>
        <c:axId val="50363392"/>
        <c:scaling>
          <c:orientation val="minMax"/>
          <c:max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Number of new home loans in the month</a:t>
                </a:r>
              </a:p>
            </c:rich>
          </c:tx>
          <c:overlay val="0"/>
          <c:spPr>
            <a:noFill/>
            <a:ln>
              <a:noFill/>
            </a:ln>
            <a:effectLst/>
          </c:spPr>
        </c:title>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61856"/>
        <c:crosses val="autoZero"/>
        <c:crossBetween val="between"/>
        <c:majorUnit val="20000"/>
      </c:valAx>
      <c:valAx>
        <c:axId val="50386048"/>
        <c:scaling>
          <c:orientation val="minMax"/>
          <c:max val="0.5"/>
        </c:scaling>
        <c:delete val="0"/>
        <c:axPos val="r"/>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sz="1050"/>
                  <a:t>% of first home purchasers</a:t>
                </a:r>
              </a:p>
            </c:rich>
          </c:tx>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87968"/>
        <c:crosses val="max"/>
        <c:crossBetween val="between"/>
        <c:majorUnit val="0.1"/>
      </c:valAx>
      <c:dateAx>
        <c:axId val="50387968"/>
        <c:scaling>
          <c:orientation val="minMax"/>
        </c:scaling>
        <c:delete val="1"/>
        <c:axPos val="b"/>
        <c:numFmt formatCode="yyyy" sourceLinked="1"/>
        <c:majorTickMark val="out"/>
        <c:minorTickMark val="none"/>
        <c:tickLblPos val="nextTo"/>
        <c:crossAx val="50386048"/>
        <c:crosses val="autoZero"/>
        <c:auto val="1"/>
        <c:lblOffset val="100"/>
        <c:baseTimeUnit val="months"/>
        <c:majorUnit val="1"/>
        <c:minorUnit val="1"/>
      </c:dateAx>
      <c:spPr>
        <a:noFill/>
        <a:ln>
          <a:noFill/>
        </a:ln>
        <a:effectLst/>
      </c:spPr>
    </c:plotArea>
    <c:legend>
      <c:legendPos val="b"/>
      <c:layout>
        <c:manualLayout>
          <c:xMode val="edge"/>
          <c:yMode val="edge"/>
          <c:x val="0.18442942456138614"/>
          <c:y val="4.0769463105751795E-2"/>
          <c:w val="0.51834602033431099"/>
          <c:h val="9.757209202604615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Sheet2!$F$12</c:f>
              <c:strCache>
                <c:ptCount val="1"/>
                <c:pt idx="0">
                  <c:v>Sydney</c:v>
                </c:pt>
              </c:strCache>
            </c:strRef>
          </c:tx>
          <c:spPr>
            <a:ln w="28575" cap="rnd">
              <a:solidFill>
                <a:schemeClr val="accent1"/>
              </a:solidFill>
              <a:round/>
            </a:ln>
            <a:effectLst/>
          </c:spPr>
          <c:marker>
            <c:symbol val="none"/>
          </c:marker>
          <c:cat>
            <c:numRef>
              <c:f>Sheet2!$E$13:$E$87</c:f>
              <c:numCache>
                <c:formatCode>yyyy</c:formatCode>
                <c:ptCount val="75"/>
                <c:pt idx="0">
                  <c:v>36586</c:v>
                </c:pt>
                <c:pt idx="1">
                  <c:v>36678</c:v>
                </c:pt>
                <c:pt idx="2">
                  <c:v>36770</c:v>
                </c:pt>
                <c:pt idx="3">
                  <c:v>36861</c:v>
                </c:pt>
                <c:pt idx="4">
                  <c:v>36951</c:v>
                </c:pt>
                <c:pt idx="5">
                  <c:v>37043</c:v>
                </c:pt>
                <c:pt idx="6">
                  <c:v>37135</c:v>
                </c:pt>
                <c:pt idx="7">
                  <c:v>37226</c:v>
                </c:pt>
                <c:pt idx="8">
                  <c:v>37316</c:v>
                </c:pt>
                <c:pt idx="9">
                  <c:v>37408</c:v>
                </c:pt>
                <c:pt idx="10">
                  <c:v>37500</c:v>
                </c:pt>
                <c:pt idx="11">
                  <c:v>37591</c:v>
                </c:pt>
                <c:pt idx="12">
                  <c:v>37681</c:v>
                </c:pt>
                <c:pt idx="13">
                  <c:v>37773</c:v>
                </c:pt>
                <c:pt idx="14">
                  <c:v>37865</c:v>
                </c:pt>
                <c:pt idx="15">
                  <c:v>37956</c:v>
                </c:pt>
                <c:pt idx="16">
                  <c:v>38047</c:v>
                </c:pt>
                <c:pt idx="17">
                  <c:v>38139</c:v>
                </c:pt>
                <c:pt idx="18">
                  <c:v>38231</c:v>
                </c:pt>
                <c:pt idx="19">
                  <c:v>38322</c:v>
                </c:pt>
                <c:pt idx="20">
                  <c:v>38412</c:v>
                </c:pt>
                <c:pt idx="21">
                  <c:v>38504</c:v>
                </c:pt>
                <c:pt idx="22">
                  <c:v>38596</c:v>
                </c:pt>
                <c:pt idx="23">
                  <c:v>38687</c:v>
                </c:pt>
                <c:pt idx="24">
                  <c:v>38777</c:v>
                </c:pt>
                <c:pt idx="25">
                  <c:v>38869</c:v>
                </c:pt>
                <c:pt idx="26">
                  <c:v>38961</c:v>
                </c:pt>
                <c:pt idx="27">
                  <c:v>39052</c:v>
                </c:pt>
                <c:pt idx="28">
                  <c:v>39142</c:v>
                </c:pt>
                <c:pt idx="29">
                  <c:v>39234</c:v>
                </c:pt>
                <c:pt idx="30">
                  <c:v>39326</c:v>
                </c:pt>
                <c:pt idx="31">
                  <c:v>39417</c:v>
                </c:pt>
                <c:pt idx="32">
                  <c:v>39508</c:v>
                </c:pt>
                <c:pt idx="33">
                  <c:v>39600</c:v>
                </c:pt>
                <c:pt idx="34">
                  <c:v>39692</c:v>
                </c:pt>
                <c:pt idx="35">
                  <c:v>39783</c:v>
                </c:pt>
                <c:pt idx="36">
                  <c:v>39873</c:v>
                </c:pt>
                <c:pt idx="37">
                  <c:v>39965</c:v>
                </c:pt>
                <c:pt idx="38">
                  <c:v>40057</c:v>
                </c:pt>
                <c:pt idx="39">
                  <c:v>40148</c:v>
                </c:pt>
                <c:pt idx="40">
                  <c:v>40238</c:v>
                </c:pt>
                <c:pt idx="41">
                  <c:v>40330</c:v>
                </c:pt>
                <c:pt idx="42">
                  <c:v>40422</c:v>
                </c:pt>
                <c:pt idx="43">
                  <c:v>40513</c:v>
                </c:pt>
                <c:pt idx="44">
                  <c:v>40603</c:v>
                </c:pt>
                <c:pt idx="45">
                  <c:v>40695</c:v>
                </c:pt>
                <c:pt idx="46">
                  <c:v>40787</c:v>
                </c:pt>
                <c:pt idx="47">
                  <c:v>40878</c:v>
                </c:pt>
                <c:pt idx="48">
                  <c:v>40969</c:v>
                </c:pt>
                <c:pt idx="49">
                  <c:v>41061</c:v>
                </c:pt>
                <c:pt idx="50">
                  <c:v>41153</c:v>
                </c:pt>
                <c:pt idx="51">
                  <c:v>41244</c:v>
                </c:pt>
                <c:pt idx="52">
                  <c:v>41334</c:v>
                </c:pt>
                <c:pt idx="53">
                  <c:v>41426</c:v>
                </c:pt>
                <c:pt idx="54">
                  <c:v>41518</c:v>
                </c:pt>
                <c:pt idx="55">
                  <c:v>41609</c:v>
                </c:pt>
                <c:pt idx="56">
                  <c:v>41699</c:v>
                </c:pt>
                <c:pt idx="57">
                  <c:v>41791</c:v>
                </c:pt>
                <c:pt idx="58">
                  <c:v>41883</c:v>
                </c:pt>
                <c:pt idx="59">
                  <c:v>41974</c:v>
                </c:pt>
                <c:pt idx="60">
                  <c:v>42064</c:v>
                </c:pt>
                <c:pt idx="61">
                  <c:v>42156</c:v>
                </c:pt>
                <c:pt idx="62">
                  <c:v>42248</c:v>
                </c:pt>
                <c:pt idx="63">
                  <c:v>42339</c:v>
                </c:pt>
                <c:pt idx="64">
                  <c:v>42430</c:v>
                </c:pt>
                <c:pt idx="65">
                  <c:v>42522</c:v>
                </c:pt>
                <c:pt idx="66">
                  <c:v>42614</c:v>
                </c:pt>
                <c:pt idx="67">
                  <c:v>42705</c:v>
                </c:pt>
                <c:pt idx="68">
                  <c:v>42795</c:v>
                </c:pt>
                <c:pt idx="69">
                  <c:v>42887</c:v>
                </c:pt>
                <c:pt idx="70">
                  <c:v>42979</c:v>
                </c:pt>
                <c:pt idx="71">
                  <c:v>43070</c:v>
                </c:pt>
                <c:pt idx="72">
                  <c:v>43160</c:v>
                </c:pt>
                <c:pt idx="73">
                  <c:v>43252</c:v>
                </c:pt>
                <c:pt idx="74">
                  <c:v>43344</c:v>
                </c:pt>
              </c:numCache>
            </c:numRef>
          </c:cat>
          <c:val>
            <c:numRef>
              <c:f>Sheet2!$F$13:$F$87</c:f>
              <c:numCache>
                <c:formatCode>0.0%</c:formatCode>
                <c:ptCount val="75"/>
                <c:pt idx="0">
                  <c:v>3.4000000000000002E-2</c:v>
                </c:pt>
                <c:pt idx="1">
                  <c:v>3.9E-2</c:v>
                </c:pt>
                <c:pt idx="2">
                  <c:v>4.2000000000000003E-2</c:v>
                </c:pt>
                <c:pt idx="3">
                  <c:v>0.04</c:v>
                </c:pt>
                <c:pt idx="4">
                  <c:v>4.2999999999999997E-2</c:v>
                </c:pt>
                <c:pt idx="5">
                  <c:v>4.2000000000000003E-2</c:v>
                </c:pt>
                <c:pt idx="6">
                  <c:v>0.04</c:v>
                </c:pt>
                <c:pt idx="7">
                  <c:v>3.7999999999999999E-2</c:v>
                </c:pt>
                <c:pt idx="8">
                  <c:v>2.7000000000000003E-2</c:v>
                </c:pt>
                <c:pt idx="9">
                  <c:v>2.5000000000000001E-2</c:v>
                </c:pt>
                <c:pt idx="10">
                  <c:v>1.9E-2</c:v>
                </c:pt>
                <c:pt idx="11">
                  <c:v>1.4999999999999999E-2</c:v>
                </c:pt>
                <c:pt idx="12">
                  <c:v>1.2E-2</c:v>
                </c:pt>
                <c:pt idx="13">
                  <c:v>4.0000000000000001E-3</c:v>
                </c:pt>
                <c:pt idx="14">
                  <c:v>1.2E-2</c:v>
                </c:pt>
                <c:pt idx="15">
                  <c:v>1.4999999999999999E-2</c:v>
                </c:pt>
                <c:pt idx="16">
                  <c:v>0.02</c:v>
                </c:pt>
                <c:pt idx="17">
                  <c:v>2.2000000000000002E-2</c:v>
                </c:pt>
                <c:pt idx="18">
                  <c:v>1.3999999999999999E-2</c:v>
                </c:pt>
                <c:pt idx="19">
                  <c:v>1.3999999999999999E-2</c:v>
                </c:pt>
                <c:pt idx="20">
                  <c:v>1.1000000000000001E-2</c:v>
                </c:pt>
                <c:pt idx="21">
                  <c:v>1.3999999999999999E-2</c:v>
                </c:pt>
                <c:pt idx="22">
                  <c:v>1.7000000000000001E-2</c:v>
                </c:pt>
                <c:pt idx="23">
                  <c:v>1.8000000000000002E-2</c:v>
                </c:pt>
                <c:pt idx="24">
                  <c:v>2.3E-2</c:v>
                </c:pt>
                <c:pt idx="25">
                  <c:v>0.02</c:v>
                </c:pt>
                <c:pt idx="26">
                  <c:v>2.4E-2</c:v>
                </c:pt>
                <c:pt idx="27">
                  <c:v>2.7999999999999997E-2</c:v>
                </c:pt>
                <c:pt idx="28">
                  <c:v>3.3000000000000002E-2</c:v>
                </c:pt>
                <c:pt idx="29">
                  <c:v>4.2999999999999997E-2</c:v>
                </c:pt>
                <c:pt idx="30">
                  <c:v>4.9000000000000002E-2</c:v>
                </c:pt>
                <c:pt idx="31">
                  <c:v>5.4000000000000006E-2</c:v>
                </c:pt>
                <c:pt idx="32">
                  <c:v>0.06</c:v>
                </c:pt>
                <c:pt idx="33">
                  <c:v>7.0999999999999994E-2</c:v>
                </c:pt>
                <c:pt idx="34">
                  <c:v>7.400000000000001E-2</c:v>
                </c:pt>
                <c:pt idx="35">
                  <c:v>8.1000000000000003E-2</c:v>
                </c:pt>
                <c:pt idx="36">
                  <c:v>7.9000000000000001E-2</c:v>
                </c:pt>
                <c:pt idx="37">
                  <c:v>7.0000000000000007E-2</c:v>
                </c:pt>
                <c:pt idx="38">
                  <c:v>6.8000000000000005E-2</c:v>
                </c:pt>
                <c:pt idx="39">
                  <c:v>5.7000000000000002E-2</c:v>
                </c:pt>
                <c:pt idx="40">
                  <c:v>5.0999999999999997E-2</c:v>
                </c:pt>
                <c:pt idx="41">
                  <c:v>4.8000000000000001E-2</c:v>
                </c:pt>
                <c:pt idx="42">
                  <c:v>4.8000000000000001E-2</c:v>
                </c:pt>
                <c:pt idx="43">
                  <c:v>5.0999999999999997E-2</c:v>
                </c:pt>
                <c:pt idx="44">
                  <c:v>5.7000000000000002E-2</c:v>
                </c:pt>
                <c:pt idx="45">
                  <c:v>5.9000000000000004E-2</c:v>
                </c:pt>
                <c:pt idx="46">
                  <c:v>6.0999999999999999E-2</c:v>
                </c:pt>
                <c:pt idx="47">
                  <c:v>6.2E-2</c:v>
                </c:pt>
                <c:pt idx="48">
                  <c:v>5.7000000000000002E-2</c:v>
                </c:pt>
                <c:pt idx="49">
                  <c:v>5.5E-2</c:v>
                </c:pt>
                <c:pt idx="50">
                  <c:v>4.8000000000000001E-2</c:v>
                </c:pt>
                <c:pt idx="51">
                  <c:v>4.4000000000000004E-2</c:v>
                </c:pt>
                <c:pt idx="52">
                  <c:v>0.04</c:v>
                </c:pt>
                <c:pt idx="53">
                  <c:v>3.9E-2</c:v>
                </c:pt>
                <c:pt idx="54">
                  <c:v>3.6000000000000004E-2</c:v>
                </c:pt>
                <c:pt idx="55">
                  <c:v>3.4000000000000002E-2</c:v>
                </c:pt>
                <c:pt idx="56">
                  <c:v>3.3000000000000002E-2</c:v>
                </c:pt>
                <c:pt idx="57">
                  <c:v>0.03</c:v>
                </c:pt>
                <c:pt idx="58">
                  <c:v>3.2000000000000001E-2</c:v>
                </c:pt>
                <c:pt idx="59">
                  <c:v>3.2000000000000001E-2</c:v>
                </c:pt>
                <c:pt idx="60">
                  <c:v>2.8999999999999998E-2</c:v>
                </c:pt>
                <c:pt idx="61">
                  <c:v>2.5000000000000001E-2</c:v>
                </c:pt>
                <c:pt idx="62">
                  <c:v>2.5000000000000001E-2</c:v>
                </c:pt>
                <c:pt idx="63">
                  <c:v>2.3E-2</c:v>
                </c:pt>
                <c:pt idx="64">
                  <c:v>2.3E-2</c:v>
                </c:pt>
                <c:pt idx="65">
                  <c:v>2.2000000000000002E-2</c:v>
                </c:pt>
                <c:pt idx="66">
                  <c:v>2.5000000000000001E-2</c:v>
                </c:pt>
                <c:pt idx="67">
                  <c:v>2.5000000000000001E-2</c:v>
                </c:pt>
                <c:pt idx="68">
                  <c:v>2.5000000000000001E-2</c:v>
                </c:pt>
                <c:pt idx="69">
                  <c:v>2.5000000000000001E-2</c:v>
                </c:pt>
                <c:pt idx="70">
                  <c:v>2.3E-2</c:v>
                </c:pt>
                <c:pt idx="71">
                  <c:v>2.4E-2</c:v>
                </c:pt>
                <c:pt idx="72">
                  <c:v>2.4E-2</c:v>
                </c:pt>
                <c:pt idx="73">
                  <c:v>2.2000000000000002E-2</c:v>
                </c:pt>
                <c:pt idx="74">
                  <c:v>1.9E-2</c:v>
                </c:pt>
              </c:numCache>
            </c:numRef>
          </c:val>
          <c:smooth val="0"/>
          <c:extLst xmlns:c16r2="http://schemas.microsoft.com/office/drawing/2015/06/chart">
            <c:ext xmlns:c16="http://schemas.microsoft.com/office/drawing/2014/chart" uri="{C3380CC4-5D6E-409C-BE32-E72D297353CC}">
              <c16:uniqueId val="{00000000-2483-46BC-9B01-9C3D8D1A1B59}"/>
            </c:ext>
          </c:extLst>
        </c:ser>
        <c:ser>
          <c:idx val="1"/>
          <c:order val="1"/>
          <c:tx>
            <c:strRef>
              <c:f>Sheet2!$G$12</c:f>
              <c:strCache>
                <c:ptCount val="1"/>
                <c:pt idx="0">
                  <c:v>Melbourne</c:v>
                </c:pt>
              </c:strCache>
            </c:strRef>
          </c:tx>
          <c:spPr>
            <a:ln w="28575" cap="rnd">
              <a:solidFill>
                <a:schemeClr val="accent6">
                  <a:lumMod val="75000"/>
                </a:schemeClr>
              </a:solidFill>
              <a:round/>
            </a:ln>
            <a:effectLst/>
          </c:spPr>
          <c:marker>
            <c:symbol val="none"/>
          </c:marker>
          <c:cat>
            <c:numRef>
              <c:f>Sheet2!$E$13:$E$87</c:f>
              <c:numCache>
                <c:formatCode>yyyy</c:formatCode>
                <c:ptCount val="75"/>
                <c:pt idx="0">
                  <c:v>36586</c:v>
                </c:pt>
                <c:pt idx="1">
                  <c:v>36678</c:v>
                </c:pt>
                <c:pt idx="2">
                  <c:v>36770</c:v>
                </c:pt>
                <c:pt idx="3">
                  <c:v>36861</c:v>
                </c:pt>
                <c:pt idx="4">
                  <c:v>36951</c:v>
                </c:pt>
                <c:pt idx="5">
                  <c:v>37043</c:v>
                </c:pt>
                <c:pt idx="6">
                  <c:v>37135</c:v>
                </c:pt>
                <c:pt idx="7">
                  <c:v>37226</c:v>
                </c:pt>
                <c:pt idx="8">
                  <c:v>37316</c:v>
                </c:pt>
                <c:pt idx="9">
                  <c:v>37408</c:v>
                </c:pt>
                <c:pt idx="10">
                  <c:v>37500</c:v>
                </c:pt>
                <c:pt idx="11">
                  <c:v>37591</c:v>
                </c:pt>
                <c:pt idx="12">
                  <c:v>37681</c:v>
                </c:pt>
                <c:pt idx="13">
                  <c:v>37773</c:v>
                </c:pt>
                <c:pt idx="14">
                  <c:v>37865</c:v>
                </c:pt>
                <c:pt idx="15">
                  <c:v>37956</c:v>
                </c:pt>
                <c:pt idx="16">
                  <c:v>38047</c:v>
                </c:pt>
                <c:pt idx="17">
                  <c:v>38139</c:v>
                </c:pt>
                <c:pt idx="18">
                  <c:v>38231</c:v>
                </c:pt>
                <c:pt idx="19">
                  <c:v>38322</c:v>
                </c:pt>
                <c:pt idx="20">
                  <c:v>38412</c:v>
                </c:pt>
                <c:pt idx="21">
                  <c:v>38504</c:v>
                </c:pt>
                <c:pt idx="22">
                  <c:v>38596</c:v>
                </c:pt>
                <c:pt idx="23">
                  <c:v>38687</c:v>
                </c:pt>
                <c:pt idx="24">
                  <c:v>38777</c:v>
                </c:pt>
                <c:pt idx="25">
                  <c:v>38869</c:v>
                </c:pt>
                <c:pt idx="26">
                  <c:v>38961</c:v>
                </c:pt>
                <c:pt idx="27">
                  <c:v>39052</c:v>
                </c:pt>
                <c:pt idx="28">
                  <c:v>39142</c:v>
                </c:pt>
                <c:pt idx="29">
                  <c:v>39234</c:v>
                </c:pt>
                <c:pt idx="30">
                  <c:v>39326</c:v>
                </c:pt>
                <c:pt idx="31">
                  <c:v>39417</c:v>
                </c:pt>
                <c:pt idx="32">
                  <c:v>39508</c:v>
                </c:pt>
                <c:pt idx="33">
                  <c:v>39600</c:v>
                </c:pt>
                <c:pt idx="34">
                  <c:v>39692</c:v>
                </c:pt>
                <c:pt idx="35">
                  <c:v>39783</c:v>
                </c:pt>
                <c:pt idx="36">
                  <c:v>39873</c:v>
                </c:pt>
                <c:pt idx="37">
                  <c:v>39965</c:v>
                </c:pt>
                <c:pt idx="38">
                  <c:v>40057</c:v>
                </c:pt>
                <c:pt idx="39">
                  <c:v>40148</c:v>
                </c:pt>
                <c:pt idx="40">
                  <c:v>40238</c:v>
                </c:pt>
                <c:pt idx="41">
                  <c:v>40330</c:v>
                </c:pt>
                <c:pt idx="42">
                  <c:v>40422</c:v>
                </c:pt>
                <c:pt idx="43">
                  <c:v>40513</c:v>
                </c:pt>
                <c:pt idx="44">
                  <c:v>40603</c:v>
                </c:pt>
                <c:pt idx="45">
                  <c:v>40695</c:v>
                </c:pt>
                <c:pt idx="46">
                  <c:v>40787</c:v>
                </c:pt>
                <c:pt idx="47">
                  <c:v>40878</c:v>
                </c:pt>
                <c:pt idx="48">
                  <c:v>40969</c:v>
                </c:pt>
                <c:pt idx="49">
                  <c:v>41061</c:v>
                </c:pt>
                <c:pt idx="50">
                  <c:v>41153</c:v>
                </c:pt>
                <c:pt idx="51">
                  <c:v>41244</c:v>
                </c:pt>
                <c:pt idx="52">
                  <c:v>41334</c:v>
                </c:pt>
                <c:pt idx="53">
                  <c:v>41426</c:v>
                </c:pt>
                <c:pt idx="54">
                  <c:v>41518</c:v>
                </c:pt>
                <c:pt idx="55">
                  <c:v>41609</c:v>
                </c:pt>
                <c:pt idx="56">
                  <c:v>41699</c:v>
                </c:pt>
                <c:pt idx="57">
                  <c:v>41791</c:v>
                </c:pt>
                <c:pt idx="58">
                  <c:v>41883</c:v>
                </c:pt>
                <c:pt idx="59">
                  <c:v>41974</c:v>
                </c:pt>
                <c:pt idx="60">
                  <c:v>42064</c:v>
                </c:pt>
                <c:pt idx="61">
                  <c:v>42156</c:v>
                </c:pt>
                <c:pt idx="62">
                  <c:v>42248</c:v>
                </c:pt>
                <c:pt idx="63">
                  <c:v>42339</c:v>
                </c:pt>
                <c:pt idx="64">
                  <c:v>42430</c:v>
                </c:pt>
                <c:pt idx="65">
                  <c:v>42522</c:v>
                </c:pt>
                <c:pt idx="66">
                  <c:v>42614</c:v>
                </c:pt>
                <c:pt idx="67">
                  <c:v>42705</c:v>
                </c:pt>
                <c:pt idx="68">
                  <c:v>42795</c:v>
                </c:pt>
                <c:pt idx="69">
                  <c:v>42887</c:v>
                </c:pt>
                <c:pt idx="70">
                  <c:v>42979</c:v>
                </c:pt>
                <c:pt idx="71">
                  <c:v>43070</c:v>
                </c:pt>
                <c:pt idx="72">
                  <c:v>43160</c:v>
                </c:pt>
                <c:pt idx="73">
                  <c:v>43252</c:v>
                </c:pt>
                <c:pt idx="74">
                  <c:v>43344</c:v>
                </c:pt>
              </c:numCache>
            </c:numRef>
          </c:cat>
          <c:val>
            <c:numRef>
              <c:f>Sheet2!$G$13:$G$87</c:f>
              <c:numCache>
                <c:formatCode>0.0%</c:formatCode>
                <c:ptCount val="75"/>
                <c:pt idx="0">
                  <c:v>3.3000000000000002E-2</c:v>
                </c:pt>
                <c:pt idx="1">
                  <c:v>3.3000000000000002E-2</c:v>
                </c:pt>
                <c:pt idx="2">
                  <c:v>2.7999999999999997E-2</c:v>
                </c:pt>
                <c:pt idx="3">
                  <c:v>2.7999999999999997E-2</c:v>
                </c:pt>
                <c:pt idx="4">
                  <c:v>2.5000000000000001E-2</c:v>
                </c:pt>
                <c:pt idx="5">
                  <c:v>2.6000000000000002E-2</c:v>
                </c:pt>
                <c:pt idx="6">
                  <c:v>2.7000000000000003E-2</c:v>
                </c:pt>
                <c:pt idx="7">
                  <c:v>0.03</c:v>
                </c:pt>
                <c:pt idx="8">
                  <c:v>0.03</c:v>
                </c:pt>
                <c:pt idx="9">
                  <c:v>2.7000000000000003E-2</c:v>
                </c:pt>
                <c:pt idx="10">
                  <c:v>2.4E-2</c:v>
                </c:pt>
                <c:pt idx="11">
                  <c:v>2.1000000000000001E-2</c:v>
                </c:pt>
                <c:pt idx="12">
                  <c:v>1.7000000000000001E-2</c:v>
                </c:pt>
                <c:pt idx="13">
                  <c:v>1.7000000000000001E-2</c:v>
                </c:pt>
                <c:pt idx="14">
                  <c:v>1.3999999999999999E-2</c:v>
                </c:pt>
                <c:pt idx="15">
                  <c:v>1.6E-2</c:v>
                </c:pt>
                <c:pt idx="16">
                  <c:v>1.6E-2</c:v>
                </c:pt>
                <c:pt idx="17">
                  <c:v>1.6E-2</c:v>
                </c:pt>
                <c:pt idx="18">
                  <c:v>0.02</c:v>
                </c:pt>
                <c:pt idx="19">
                  <c:v>1.6E-2</c:v>
                </c:pt>
                <c:pt idx="20">
                  <c:v>1.6E-2</c:v>
                </c:pt>
                <c:pt idx="21">
                  <c:v>1.4999999999999999E-2</c:v>
                </c:pt>
                <c:pt idx="22">
                  <c:v>1.1000000000000001E-2</c:v>
                </c:pt>
                <c:pt idx="23">
                  <c:v>1.1000000000000001E-2</c:v>
                </c:pt>
                <c:pt idx="24">
                  <c:v>1.2E-2</c:v>
                </c:pt>
                <c:pt idx="25">
                  <c:v>1.3999999999999999E-2</c:v>
                </c:pt>
                <c:pt idx="26">
                  <c:v>2.2000000000000002E-2</c:v>
                </c:pt>
                <c:pt idx="27">
                  <c:v>2.7999999999999997E-2</c:v>
                </c:pt>
                <c:pt idx="28">
                  <c:v>3.5000000000000003E-2</c:v>
                </c:pt>
                <c:pt idx="29">
                  <c:v>4.2000000000000003E-2</c:v>
                </c:pt>
                <c:pt idx="30">
                  <c:v>4.5999999999999999E-2</c:v>
                </c:pt>
                <c:pt idx="31">
                  <c:v>5.4000000000000006E-2</c:v>
                </c:pt>
                <c:pt idx="32">
                  <c:v>5.7000000000000002E-2</c:v>
                </c:pt>
                <c:pt idx="33">
                  <c:v>6.0999999999999999E-2</c:v>
                </c:pt>
                <c:pt idx="34">
                  <c:v>6.4000000000000001E-2</c:v>
                </c:pt>
                <c:pt idx="35">
                  <c:v>6.5000000000000002E-2</c:v>
                </c:pt>
                <c:pt idx="36">
                  <c:v>6.6000000000000003E-2</c:v>
                </c:pt>
                <c:pt idx="37">
                  <c:v>6.0999999999999999E-2</c:v>
                </c:pt>
                <c:pt idx="38">
                  <c:v>5.2999999999999999E-2</c:v>
                </c:pt>
                <c:pt idx="39">
                  <c:v>4.9000000000000002E-2</c:v>
                </c:pt>
                <c:pt idx="40">
                  <c:v>4.4000000000000004E-2</c:v>
                </c:pt>
                <c:pt idx="41">
                  <c:v>4.0999999999999995E-2</c:v>
                </c:pt>
                <c:pt idx="42">
                  <c:v>4.4000000000000004E-2</c:v>
                </c:pt>
                <c:pt idx="43">
                  <c:v>3.7999999999999999E-2</c:v>
                </c:pt>
                <c:pt idx="44">
                  <c:v>4.2000000000000003E-2</c:v>
                </c:pt>
                <c:pt idx="45">
                  <c:v>3.9E-2</c:v>
                </c:pt>
                <c:pt idx="46">
                  <c:v>4.0999999999999995E-2</c:v>
                </c:pt>
                <c:pt idx="47">
                  <c:v>0.04</c:v>
                </c:pt>
                <c:pt idx="48">
                  <c:v>3.4000000000000002E-2</c:v>
                </c:pt>
                <c:pt idx="49">
                  <c:v>3.6000000000000004E-2</c:v>
                </c:pt>
                <c:pt idx="50">
                  <c:v>2.6000000000000002E-2</c:v>
                </c:pt>
                <c:pt idx="51">
                  <c:v>2.5000000000000001E-2</c:v>
                </c:pt>
                <c:pt idx="52">
                  <c:v>2.3E-2</c:v>
                </c:pt>
                <c:pt idx="53">
                  <c:v>1.8000000000000002E-2</c:v>
                </c:pt>
                <c:pt idx="54">
                  <c:v>2.1000000000000001E-2</c:v>
                </c:pt>
                <c:pt idx="55">
                  <c:v>0.02</c:v>
                </c:pt>
                <c:pt idx="56">
                  <c:v>1.9E-2</c:v>
                </c:pt>
                <c:pt idx="57">
                  <c:v>1.7000000000000001E-2</c:v>
                </c:pt>
                <c:pt idx="58">
                  <c:v>1.9E-2</c:v>
                </c:pt>
                <c:pt idx="59">
                  <c:v>2.4E-2</c:v>
                </c:pt>
                <c:pt idx="60">
                  <c:v>2.5000000000000001E-2</c:v>
                </c:pt>
                <c:pt idx="61">
                  <c:v>2.6000000000000002E-2</c:v>
                </c:pt>
                <c:pt idx="62">
                  <c:v>2.2000000000000002E-2</c:v>
                </c:pt>
                <c:pt idx="63">
                  <c:v>1.7000000000000001E-2</c:v>
                </c:pt>
                <c:pt idx="64">
                  <c:v>1.3999999999999999E-2</c:v>
                </c:pt>
                <c:pt idx="65">
                  <c:v>1.3999999999999999E-2</c:v>
                </c:pt>
                <c:pt idx="66">
                  <c:v>1.3999999999999999E-2</c:v>
                </c:pt>
                <c:pt idx="67">
                  <c:v>1.6E-2</c:v>
                </c:pt>
                <c:pt idx="68">
                  <c:v>1.7000000000000001E-2</c:v>
                </c:pt>
                <c:pt idx="69">
                  <c:v>1.7000000000000001E-2</c:v>
                </c:pt>
                <c:pt idx="70">
                  <c:v>1.8000000000000002E-2</c:v>
                </c:pt>
                <c:pt idx="71">
                  <c:v>1.8000000000000002E-2</c:v>
                </c:pt>
                <c:pt idx="72">
                  <c:v>2.2000000000000002E-2</c:v>
                </c:pt>
                <c:pt idx="73">
                  <c:v>1.9E-2</c:v>
                </c:pt>
                <c:pt idx="74">
                  <c:v>1.8000000000000002E-2</c:v>
                </c:pt>
              </c:numCache>
            </c:numRef>
          </c:val>
          <c:smooth val="0"/>
          <c:extLst xmlns:c16r2="http://schemas.microsoft.com/office/drawing/2015/06/chart">
            <c:ext xmlns:c16="http://schemas.microsoft.com/office/drawing/2014/chart" uri="{C3380CC4-5D6E-409C-BE32-E72D297353CC}">
              <c16:uniqueId val="{00000001-2483-46BC-9B01-9C3D8D1A1B59}"/>
            </c:ext>
          </c:extLst>
        </c:ser>
        <c:ser>
          <c:idx val="2"/>
          <c:order val="2"/>
          <c:tx>
            <c:strRef>
              <c:f>Sheet2!$H$12</c:f>
              <c:strCache>
                <c:ptCount val="1"/>
                <c:pt idx="0">
                  <c:v>Australia</c:v>
                </c:pt>
              </c:strCache>
            </c:strRef>
          </c:tx>
          <c:spPr>
            <a:ln w="28575" cap="rnd">
              <a:solidFill>
                <a:schemeClr val="bg1">
                  <a:lumMod val="65000"/>
                </a:schemeClr>
              </a:solidFill>
              <a:round/>
            </a:ln>
            <a:effectLst/>
          </c:spPr>
          <c:marker>
            <c:symbol val="none"/>
          </c:marker>
          <c:cat>
            <c:numRef>
              <c:f>Sheet2!$E$13:$E$87</c:f>
              <c:numCache>
                <c:formatCode>yyyy</c:formatCode>
                <c:ptCount val="75"/>
                <c:pt idx="0">
                  <c:v>36586</c:v>
                </c:pt>
                <c:pt idx="1">
                  <c:v>36678</c:v>
                </c:pt>
                <c:pt idx="2">
                  <c:v>36770</c:v>
                </c:pt>
                <c:pt idx="3">
                  <c:v>36861</c:v>
                </c:pt>
                <c:pt idx="4">
                  <c:v>36951</c:v>
                </c:pt>
                <c:pt idx="5">
                  <c:v>37043</c:v>
                </c:pt>
                <c:pt idx="6">
                  <c:v>37135</c:v>
                </c:pt>
                <c:pt idx="7">
                  <c:v>37226</c:v>
                </c:pt>
                <c:pt idx="8">
                  <c:v>37316</c:v>
                </c:pt>
                <c:pt idx="9">
                  <c:v>37408</c:v>
                </c:pt>
                <c:pt idx="10">
                  <c:v>37500</c:v>
                </c:pt>
                <c:pt idx="11">
                  <c:v>37591</c:v>
                </c:pt>
                <c:pt idx="12">
                  <c:v>37681</c:v>
                </c:pt>
                <c:pt idx="13">
                  <c:v>37773</c:v>
                </c:pt>
                <c:pt idx="14">
                  <c:v>37865</c:v>
                </c:pt>
                <c:pt idx="15">
                  <c:v>37956</c:v>
                </c:pt>
                <c:pt idx="16">
                  <c:v>38047</c:v>
                </c:pt>
                <c:pt idx="17">
                  <c:v>38139</c:v>
                </c:pt>
                <c:pt idx="18">
                  <c:v>38231</c:v>
                </c:pt>
                <c:pt idx="19">
                  <c:v>38322</c:v>
                </c:pt>
                <c:pt idx="20">
                  <c:v>38412</c:v>
                </c:pt>
                <c:pt idx="21">
                  <c:v>38504</c:v>
                </c:pt>
                <c:pt idx="22">
                  <c:v>38596</c:v>
                </c:pt>
                <c:pt idx="23">
                  <c:v>38687</c:v>
                </c:pt>
                <c:pt idx="24">
                  <c:v>38777</c:v>
                </c:pt>
                <c:pt idx="25">
                  <c:v>38869</c:v>
                </c:pt>
                <c:pt idx="26">
                  <c:v>38961</c:v>
                </c:pt>
                <c:pt idx="27">
                  <c:v>39052</c:v>
                </c:pt>
                <c:pt idx="28">
                  <c:v>39142</c:v>
                </c:pt>
                <c:pt idx="29">
                  <c:v>39234</c:v>
                </c:pt>
                <c:pt idx="30">
                  <c:v>39326</c:v>
                </c:pt>
                <c:pt idx="31">
                  <c:v>39417</c:v>
                </c:pt>
                <c:pt idx="32">
                  <c:v>39508</c:v>
                </c:pt>
                <c:pt idx="33">
                  <c:v>39600</c:v>
                </c:pt>
                <c:pt idx="34">
                  <c:v>39692</c:v>
                </c:pt>
                <c:pt idx="35">
                  <c:v>39783</c:v>
                </c:pt>
                <c:pt idx="36">
                  <c:v>39873</c:v>
                </c:pt>
                <c:pt idx="37">
                  <c:v>39965</c:v>
                </c:pt>
                <c:pt idx="38">
                  <c:v>40057</c:v>
                </c:pt>
                <c:pt idx="39">
                  <c:v>40148</c:v>
                </c:pt>
                <c:pt idx="40">
                  <c:v>40238</c:v>
                </c:pt>
                <c:pt idx="41">
                  <c:v>40330</c:v>
                </c:pt>
                <c:pt idx="42">
                  <c:v>40422</c:v>
                </c:pt>
                <c:pt idx="43">
                  <c:v>40513</c:v>
                </c:pt>
                <c:pt idx="44">
                  <c:v>40603</c:v>
                </c:pt>
                <c:pt idx="45">
                  <c:v>40695</c:v>
                </c:pt>
                <c:pt idx="46">
                  <c:v>40787</c:v>
                </c:pt>
                <c:pt idx="47">
                  <c:v>40878</c:v>
                </c:pt>
                <c:pt idx="48">
                  <c:v>40969</c:v>
                </c:pt>
                <c:pt idx="49">
                  <c:v>41061</c:v>
                </c:pt>
                <c:pt idx="50">
                  <c:v>41153</c:v>
                </c:pt>
                <c:pt idx="51">
                  <c:v>41244</c:v>
                </c:pt>
                <c:pt idx="52">
                  <c:v>41334</c:v>
                </c:pt>
                <c:pt idx="53">
                  <c:v>41426</c:v>
                </c:pt>
                <c:pt idx="54">
                  <c:v>41518</c:v>
                </c:pt>
                <c:pt idx="55">
                  <c:v>41609</c:v>
                </c:pt>
                <c:pt idx="56">
                  <c:v>41699</c:v>
                </c:pt>
                <c:pt idx="57">
                  <c:v>41791</c:v>
                </c:pt>
                <c:pt idx="58">
                  <c:v>41883</c:v>
                </c:pt>
                <c:pt idx="59">
                  <c:v>41974</c:v>
                </c:pt>
                <c:pt idx="60">
                  <c:v>42064</c:v>
                </c:pt>
                <c:pt idx="61">
                  <c:v>42156</c:v>
                </c:pt>
                <c:pt idx="62">
                  <c:v>42248</c:v>
                </c:pt>
                <c:pt idx="63">
                  <c:v>42339</c:v>
                </c:pt>
                <c:pt idx="64">
                  <c:v>42430</c:v>
                </c:pt>
                <c:pt idx="65">
                  <c:v>42522</c:v>
                </c:pt>
                <c:pt idx="66">
                  <c:v>42614</c:v>
                </c:pt>
                <c:pt idx="67">
                  <c:v>42705</c:v>
                </c:pt>
                <c:pt idx="68">
                  <c:v>42795</c:v>
                </c:pt>
                <c:pt idx="69">
                  <c:v>42887</c:v>
                </c:pt>
                <c:pt idx="70">
                  <c:v>42979</c:v>
                </c:pt>
                <c:pt idx="71">
                  <c:v>43070</c:v>
                </c:pt>
                <c:pt idx="72">
                  <c:v>43160</c:v>
                </c:pt>
                <c:pt idx="73">
                  <c:v>43252</c:v>
                </c:pt>
                <c:pt idx="74">
                  <c:v>43344</c:v>
                </c:pt>
              </c:numCache>
            </c:numRef>
          </c:cat>
          <c:val>
            <c:numRef>
              <c:f>Sheet2!$H$13:$H$87</c:f>
              <c:numCache>
                <c:formatCode>0.0%</c:formatCode>
                <c:ptCount val="75"/>
                <c:pt idx="0">
                  <c:v>2.7999999999999997E-2</c:v>
                </c:pt>
                <c:pt idx="1">
                  <c:v>3.1E-2</c:v>
                </c:pt>
                <c:pt idx="2">
                  <c:v>3.4000000000000002E-2</c:v>
                </c:pt>
                <c:pt idx="3">
                  <c:v>3.1E-2</c:v>
                </c:pt>
                <c:pt idx="4">
                  <c:v>3.2000000000000001E-2</c:v>
                </c:pt>
                <c:pt idx="5">
                  <c:v>3.2000000000000001E-2</c:v>
                </c:pt>
                <c:pt idx="6">
                  <c:v>0.03</c:v>
                </c:pt>
                <c:pt idx="7">
                  <c:v>3.1E-2</c:v>
                </c:pt>
                <c:pt idx="8">
                  <c:v>2.7999999999999997E-2</c:v>
                </c:pt>
                <c:pt idx="9">
                  <c:v>2.6000000000000002E-2</c:v>
                </c:pt>
                <c:pt idx="10">
                  <c:v>2.4E-2</c:v>
                </c:pt>
                <c:pt idx="11">
                  <c:v>2.1000000000000001E-2</c:v>
                </c:pt>
                <c:pt idx="12">
                  <c:v>1.8000000000000002E-2</c:v>
                </c:pt>
                <c:pt idx="13">
                  <c:v>1.6E-2</c:v>
                </c:pt>
                <c:pt idx="14">
                  <c:v>1.8000000000000002E-2</c:v>
                </c:pt>
                <c:pt idx="15">
                  <c:v>2.2000000000000002E-2</c:v>
                </c:pt>
                <c:pt idx="16">
                  <c:v>2.5000000000000001E-2</c:v>
                </c:pt>
                <c:pt idx="17">
                  <c:v>2.6000000000000002E-2</c:v>
                </c:pt>
                <c:pt idx="18">
                  <c:v>2.6000000000000002E-2</c:v>
                </c:pt>
                <c:pt idx="19">
                  <c:v>2.3E-2</c:v>
                </c:pt>
                <c:pt idx="20">
                  <c:v>2.2000000000000002E-2</c:v>
                </c:pt>
                <c:pt idx="21">
                  <c:v>2.1000000000000001E-2</c:v>
                </c:pt>
                <c:pt idx="22">
                  <c:v>2.1000000000000001E-2</c:v>
                </c:pt>
                <c:pt idx="23">
                  <c:v>2.4E-2</c:v>
                </c:pt>
                <c:pt idx="24">
                  <c:v>2.7999999999999997E-2</c:v>
                </c:pt>
                <c:pt idx="25">
                  <c:v>2.8999999999999998E-2</c:v>
                </c:pt>
                <c:pt idx="26">
                  <c:v>3.5000000000000003E-2</c:v>
                </c:pt>
                <c:pt idx="27">
                  <c:v>3.7000000000000005E-2</c:v>
                </c:pt>
                <c:pt idx="28">
                  <c:v>4.4000000000000004E-2</c:v>
                </c:pt>
                <c:pt idx="29">
                  <c:v>5.2000000000000005E-2</c:v>
                </c:pt>
                <c:pt idx="30">
                  <c:v>5.7999999999999996E-2</c:v>
                </c:pt>
                <c:pt idx="31">
                  <c:v>6.5000000000000002E-2</c:v>
                </c:pt>
                <c:pt idx="32">
                  <c:v>7.0000000000000007E-2</c:v>
                </c:pt>
                <c:pt idx="33">
                  <c:v>7.8E-2</c:v>
                </c:pt>
                <c:pt idx="34">
                  <c:v>8.1000000000000003E-2</c:v>
                </c:pt>
                <c:pt idx="35">
                  <c:v>8.4000000000000005E-2</c:v>
                </c:pt>
                <c:pt idx="36">
                  <c:v>8.1000000000000003E-2</c:v>
                </c:pt>
                <c:pt idx="37">
                  <c:v>7.2000000000000008E-2</c:v>
                </c:pt>
                <c:pt idx="38">
                  <c:v>6.2E-2</c:v>
                </c:pt>
                <c:pt idx="39">
                  <c:v>5.2000000000000005E-2</c:v>
                </c:pt>
                <c:pt idx="40">
                  <c:v>4.7E-2</c:v>
                </c:pt>
                <c:pt idx="41">
                  <c:v>4.2999999999999997E-2</c:v>
                </c:pt>
                <c:pt idx="42">
                  <c:v>4.2000000000000003E-2</c:v>
                </c:pt>
                <c:pt idx="43">
                  <c:v>4.2999999999999997E-2</c:v>
                </c:pt>
                <c:pt idx="44">
                  <c:v>4.4999999999999998E-2</c:v>
                </c:pt>
                <c:pt idx="45">
                  <c:v>4.4999999999999998E-2</c:v>
                </c:pt>
                <c:pt idx="46">
                  <c:v>4.7E-2</c:v>
                </c:pt>
                <c:pt idx="47">
                  <c:v>4.7E-2</c:v>
                </c:pt>
                <c:pt idx="48">
                  <c:v>4.4999999999999998E-2</c:v>
                </c:pt>
                <c:pt idx="49">
                  <c:v>4.4000000000000004E-2</c:v>
                </c:pt>
                <c:pt idx="50">
                  <c:v>0.04</c:v>
                </c:pt>
                <c:pt idx="51">
                  <c:v>3.7000000000000005E-2</c:v>
                </c:pt>
                <c:pt idx="52">
                  <c:v>3.5000000000000003E-2</c:v>
                </c:pt>
                <c:pt idx="53">
                  <c:v>3.4000000000000002E-2</c:v>
                </c:pt>
                <c:pt idx="54">
                  <c:v>3.2000000000000001E-2</c:v>
                </c:pt>
                <c:pt idx="55">
                  <c:v>0.03</c:v>
                </c:pt>
                <c:pt idx="56">
                  <c:v>2.8999999999999998E-2</c:v>
                </c:pt>
                <c:pt idx="57">
                  <c:v>2.4E-2</c:v>
                </c:pt>
                <c:pt idx="58">
                  <c:v>2.5000000000000001E-2</c:v>
                </c:pt>
                <c:pt idx="59">
                  <c:v>2.4E-2</c:v>
                </c:pt>
                <c:pt idx="60">
                  <c:v>2.1000000000000001E-2</c:v>
                </c:pt>
                <c:pt idx="61">
                  <c:v>1.9E-2</c:v>
                </c:pt>
                <c:pt idx="62">
                  <c:v>1.4999999999999999E-2</c:v>
                </c:pt>
                <c:pt idx="63">
                  <c:v>1.2E-2</c:v>
                </c:pt>
                <c:pt idx="64">
                  <c:v>9.0000000000000011E-3</c:v>
                </c:pt>
                <c:pt idx="65">
                  <c:v>6.9999999999999993E-3</c:v>
                </c:pt>
                <c:pt idx="66">
                  <c:v>6.9999999999999993E-3</c:v>
                </c:pt>
                <c:pt idx="67">
                  <c:v>6.0000000000000001E-3</c:v>
                </c:pt>
                <c:pt idx="68">
                  <c:v>6.0000000000000001E-3</c:v>
                </c:pt>
                <c:pt idx="69">
                  <c:v>6.0000000000000001E-3</c:v>
                </c:pt>
                <c:pt idx="70">
                  <c:v>5.0000000000000001E-3</c:v>
                </c:pt>
                <c:pt idx="71">
                  <c:v>6.9999999999999993E-3</c:v>
                </c:pt>
                <c:pt idx="72">
                  <c:v>8.0000000000000002E-3</c:v>
                </c:pt>
                <c:pt idx="73">
                  <c:v>6.0000000000000001E-3</c:v>
                </c:pt>
                <c:pt idx="74">
                  <c:v>6.0000000000000001E-3</c:v>
                </c:pt>
              </c:numCache>
            </c:numRef>
          </c:val>
          <c:smooth val="0"/>
          <c:extLst xmlns:c16r2="http://schemas.microsoft.com/office/drawing/2015/06/chart">
            <c:ext xmlns:c16="http://schemas.microsoft.com/office/drawing/2014/chart" uri="{C3380CC4-5D6E-409C-BE32-E72D297353CC}">
              <c16:uniqueId val="{00000002-2483-46BC-9B01-9C3D8D1A1B59}"/>
            </c:ext>
          </c:extLst>
        </c:ser>
        <c:dLbls>
          <c:showLegendKey val="0"/>
          <c:showVal val="0"/>
          <c:showCatName val="0"/>
          <c:showSerName val="0"/>
          <c:showPercent val="0"/>
          <c:showBubbleSize val="0"/>
        </c:dLbls>
        <c:marker val="1"/>
        <c:smooth val="0"/>
        <c:axId val="160070272"/>
        <c:axId val="160080256"/>
      </c:lineChart>
      <c:dateAx>
        <c:axId val="160070272"/>
        <c:scaling>
          <c:orientation val="minMax"/>
        </c:scaling>
        <c:delete val="0"/>
        <c:axPos val="b"/>
        <c:numFmt formatCode="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60080256"/>
        <c:crosses val="autoZero"/>
        <c:auto val="1"/>
        <c:lblOffset val="100"/>
        <c:baseTimeUnit val="months"/>
        <c:majorUnit val="2"/>
        <c:majorTimeUnit val="years"/>
      </c:dateAx>
      <c:valAx>
        <c:axId val="160080256"/>
        <c:scaling>
          <c:orientation val="minMax"/>
          <c:max val="0.1"/>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400"/>
                  <a:t>% change from previous year</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70272"/>
        <c:crosses val="autoZero"/>
        <c:crossBetween val="between"/>
        <c:majorUnit val="2.0000000000000004E-2"/>
      </c:valAx>
      <c:spPr>
        <a:noFill/>
        <a:ln>
          <a:noFill/>
        </a:ln>
        <a:effectLst/>
      </c:spPr>
    </c:plotArea>
    <c:legend>
      <c:legendPos val="b"/>
      <c:layout>
        <c:manualLayout>
          <c:xMode val="edge"/>
          <c:yMode val="edge"/>
          <c:x val="0.11178875428647092"/>
          <c:y val="7.0105447345397628E-2"/>
          <c:w val="0.54536609734408081"/>
          <c:h val="8.8068794032324899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2019MINS-957875958-426</_dlc_DocId>
    <_dlc_DocIdUrl xmlns="0f563589-9cf9-4143-b1eb-fb0534803d38">
      <Url>http://tweb/sites/mins/activity/prebudget/_layouts/15/DocIdRedir.aspx?ID=2019MINS-957875958-426</Url>
      <Description>2019MINS-957875958-426</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FAE8E-64C4-41F3-8A18-ECD9BADC53C5}"/>
</file>

<file path=customXml/itemProps2.xml><?xml version="1.0" encoding="utf-8"?>
<ds:datastoreItem xmlns:ds="http://schemas.openxmlformats.org/officeDocument/2006/customXml" ds:itemID="{471F2943-7882-4BEA-85A0-5F861DDDD01B}"/>
</file>

<file path=customXml/itemProps3.xml><?xml version="1.0" encoding="utf-8"?>
<ds:datastoreItem xmlns:ds="http://schemas.openxmlformats.org/officeDocument/2006/customXml" ds:itemID="{42B70AD6-90D5-4CA4-B389-3B94270B587E}"/>
</file>

<file path=customXml/itemProps4.xml><?xml version="1.0" encoding="utf-8"?>
<ds:datastoreItem xmlns:ds="http://schemas.openxmlformats.org/officeDocument/2006/customXml" ds:itemID="{30401BC4-F9EB-444B-A962-15E9911EA235}">
  <ds:schemaRefs>
    <ds:schemaRef ds:uri="office.server.policy"/>
  </ds:schemaRefs>
</ds:datastoreItem>
</file>

<file path=customXml/itemProps5.xml><?xml version="1.0" encoding="utf-8"?>
<ds:datastoreItem xmlns:ds="http://schemas.openxmlformats.org/officeDocument/2006/customXml" ds:itemID="{2AE2D5F7-0D75-4EBA-830B-A13E5BA3B065}">
  <ds:schemaRefs>
    <ds:schemaRef ds:uri="http://schemas.microsoft.com/sharepoint/v3/contenttype/forms"/>
  </ds:schemaRefs>
</ds:datastoreItem>
</file>

<file path=customXml/itemProps6.xml><?xml version="1.0" encoding="utf-8"?>
<ds:datastoreItem xmlns:ds="http://schemas.openxmlformats.org/officeDocument/2006/customXml" ds:itemID="{A8AF05F8-53EB-498F-95C3-8FF1C3EC5022}">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e544e5cc-ab70-42e1-849e-1a0f8bb1f4ef"/>
    <ds:schemaRef ds:uri="0f563589-9cf9-4143-b1eb-fb0534803d38"/>
    <ds:schemaRef ds:uri="http://purl.org/dc/dcmitype/"/>
    <ds:schemaRef ds:uri="http://purl.org/dc/elements/1.1/"/>
    <ds:schemaRef ds:uri="http://schemas.openxmlformats.org/package/2006/metadata/core-properties"/>
    <ds:schemaRef ds:uri="http://schemas.microsoft.com/sharepoint/v4"/>
    <ds:schemaRef ds:uri="http://schemas.microsoft.com/sharepoint/v3"/>
  </ds:schemaRefs>
</ds:datastoreItem>
</file>

<file path=customXml/itemProps7.xml><?xml version="1.0" encoding="utf-8"?>
<ds:datastoreItem xmlns:ds="http://schemas.openxmlformats.org/officeDocument/2006/customXml" ds:itemID="{364FDF46-4281-4617-ACB2-7744B55E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3858</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Jock Kreitals</dc:creator>
  <cp:lastModifiedBy>Mcavoy, Emma</cp:lastModifiedBy>
  <cp:revision>2</cp:revision>
  <cp:lastPrinted>2015-02-03T22:47:00Z</cp:lastPrinted>
  <dcterms:created xsi:type="dcterms:W3CDTF">2019-02-04T22:00:00Z</dcterms:created>
  <dcterms:modified xsi:type="dcterms:W3CDTF">2019-02-04T22:00:00Z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-360751378</vt:i4>
  </property>
  <property fmtid="{D5CDD505-2E9C-101B-9397-08002B2CF9AE}" pid="3" name="ContentTypeId">
    <vt:lpwstr>0x010100C1F664D0940F85469AA434981483399000F4DE3D0581DC214CAE2C0C5F81A0F4A1</vt:lpwstr>
  </property>
  <property fmtid="{D5CDD505-2E9C-101B-9397-08002B2CF9AE}" pid="4" name="TSYRecordClass">
    <vt:lpwstr>3;#TSY RA-8730 - Retain as national archives|77f958b9-774b-411f-8853-551bb899336c</vt:lpwstr>
  </property>
  <property fmtid="{D5CDD505-2E9C-101B-9397-08002B2CF9AE}" pid="5" name="_dlc_DocIdItemGuid">
    <vt:lpwstr>2e0d9f80-56e7-42e8-aad4-52a516e64548</vt:lpwstr>
  </property>
  <property fmtid="{D5CDD505-2E9C-101B-9397-08002B2CF9AE}" pid="6" name="RecordPoint_WorkflowType">
    <vt:lpwstr>ActiveSubmitStub</vt:lpwstr>
  </property>
  <property fmtid="{D5CDD505-2E9C-101B-9397-08002B2CF9AE}" pid="7" name="RecordPoint_ActiveItemSiteId">
    <vt:lpwstr>{a3a280d1-e8f1-4ce7-94f0-aaa2322da0dd}</vt:lpwstr>
  </property>
  <property fmtid="{D5CDD505-2E9C-101B-9397-08002B2CF9AE}" pid="8" name="RecordPoint_ActiveItemListId">
    <vt:lpwstr>{11a07c86-5882-407a-83c1-3607840816f8}</vt:lpwstr>
  </property>
  <property fmtid="{D5CDD505-2E9C-101B-9397-08002B2CF9AE}" pid="9" name="RecordPoint_ActiveItemUniqueId">
    <vt:lpwstr>{d918b813-0e26-4d7e-92bd-64bf5d8a277a}</vt:lpwstr>
  </property>
  <property fmtid="{D5CDD505-2E9C-101B-9397-08002B2CF9AE}" pid="10" name="RecordPoint_ActiveItemWebId">
    <vt:lpwstr>{2af1fd9f-9360-4de3-abf2-ccd65f89a90c}</vt:lpwstr>
  </property>
  <property fmtid="{D5CDD505-2E9C-101B-9397-08002B2CF9AE}" pid="11" name="RecordPoint_RecordNumberSubmitted">
    <vt:lpwstr>R0001991399</vt:lpwstr>
  </property>
  <property fmtid="{D5CDD505-2E9C-101B-9397-08002B2CF9AE}" pid="12" name="RecordPoint_SubmissionCompleted">
    <vt:lpwstr>2019-02-05T09:20:58.1248044+11:00</vt:lpwstr>
  </property>
</Properties>
</file>