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73684" w14:textId="1CE37F19" w:rsidR="009873D9" w:rsidRDefault="00A92684">
      <w:r>
        <w:rPr>
          <w:noProof/>
          <w:lang w:eastAsia="en-AU"/>
        </w:rPr>
        <w:drawing>
          <wp:anchor distT="0" distB="0" distL="114300" distR="114300" simplePos="0" relativeHeight="251659267" behindDoc="0" locked="0" layoutInCell="1" allowOverlap="1" wp14:anchorId="0DE2146D" wp14:editId="7C800345">
            <wp:simplePos x="0" y="0"/>
            <wp:positionH relativeFrom="column">
              <wp:posOffset>4381500</wp:posOffset>
            </wp:positionH>
            <wp:positionV relativeFrom="paragraph">
              <wp:posOffset>-14605</wp:posOffset>
            </wp:positionV>
            <wp:extent cx="1371600" cy="1389919"/>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A_Vert logo_RGB.jpg"/>
                    <pic:cNvPicPr/>
                  </pic:nvPicPr>
                  <pic:blipFill>
                    <a:blip r:embed="rId12"/>
                    <a:stretch>
                      <a:fillRect/>
                    </a:stretch>
                  </pic:blipFill>
                  <pic:spPr>
                    <a:xfrm>
                      <a:off x="0" y="0"/>
                      <a:ext cx="1371600" cy="1389919"/>
                    </a:xfrm>
                    <a:prstGeom prst="rect">
                      <a:avLst/>
                    </a:prstGeom>
                  </pic:spPr>
                </pic:pic>
              </a:graphicData>
            </a:graphic>
            <wp14:sizeRelH relativeFrom="margin">
              <wp14:pctWidth>0</wp14:pctWidth>
            </wp14:sizeRelH>
            <wp14:sizeRelV relativeFrom="margin">
              <wp14:pctHeight>0</wp14:pctHeight>
            </wp14:sizeRelV>
          </wp:anchor>
        </w:drawing>
      </w:r>
      <w:r w:rsidR="00CD1E46">
        <w:rPr>
          <w:noProof/>
          <w:lang w:eastAsia="en-AU"/>
        </w:rPr>
        <mc:AlternateContent>
          <mc:Choice Requires="wps">
            <w:drawing>
              <wp:anchor distT="0" distB="0" distL="114300" distR="114300" simplePos="0" relativeHeight="251658241" behindDoc="1" locked="0" layoutInCell="1" allowOverlap="1" wp14:anchorId="1A9E945D" wp14:editId="408B5B6F">
                <wp:simplePos x="0" y="0"/>
                <wp:positionH relativeFrom="column">
                  <wp:posOffset>-5648325</wp:posOffset>
                </wp:positionH>
                <wp:positionV relativeFrom="paragraph">
                  <wp:posOffset>-751205</wp:posOffset>
                </wp:positionV>
                <wp:extent cx="9498842" cy="9812740"/>
                <wp:effectExtent l="0" t="0" r="26670" b="17145"/>
                <wp:wrapNone/>
                <wp:docPr id="2" name="Oval 2"/>
                <wp:cNvGraphicFramePr/>
                <a:graphic xmlns:a="http://schemas.openxmlformats.org/drawingml/2006/main">
                  <a:graphicData uri="http://schemas.microsoft.com/office/word/2010/wordprocessingShape">
                    <wps:wsp>
                      <wps:cNvSpPr/>
                      <wps:spPr>
                        <a:xfrm>
                          <a:off x="0" y="0"/>
                          <a:ext cx="9498842" cy="981274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F3A99E7" id="Oval 2" o:spid="_x0000_s1026" style="position:absolute;margin-left:-444.75pt;margin-top:-59.15pt;width:747.95pt;height:772.6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" fillcolor="#82cfcf [3205]" strokecolor="#2e7979 [1605]" strokeweight="1pt">
                <v:stroke joinstyle="miter"/>
              </v:oval>
            </w:pict>
          </mc:Fallback>
        </mc:AlternateContent>
      </w:r>
      <w:r w:rsidR="009C25D0">
        <w:t xml:space="preserve"> </w:t>
      </w:r>
    </w:p>
    <w:p w14:paraId="22ABA391" w14:textId="08D85C8D" w:rsidR="009873D9" w:rsidRDefault="009873D9"/>
    <w:sdt>
      <w:sdtPr>
        <w:rPr>
          <w:rFonts w:asciiTheme="majorHAnsi" w:eastAsiaTheme="majorEastAsia" w:hAnsiTheme="majorHAnsi" w:cstheme="majorBidi"/>
          <w:b/>
          <w:color w:val="009A94" w:themeColor="accent1"/>
          <w:sz w:val="32"/>
          <w:szCs w:val="32"/>
        </w:rPr>
        <w:id w:val="-800910863"/>
        <w:docPartObj>
          <w:docPartGallery w:val="Cover Pages"/>
          <w:docPartUnique/>
        </w:docPartObj>
      </w:sdtPr>
      <w:sdtEndPr/>
      <w:sdtContent>
        <w:p w14:paraId="45737D42" w14:textId="2B12C4BE" w:rsidR="00AB3D02" w:rsidRDefault="00AB3D02">
          <w:r>
            <w:rPr>
              <w:noProof/>
              <w:lang w:eastAsia="en-AU"/>
            </w:rPr>
            <mc:AlternateContent>
              <mc:Choice Requires="wps">
                <w:drawing>
                  <wp:anchor distT="0" distB="0" distL="114300" distR="114300" simplePos="0" relativeHeight="251658242" behindDoc="0" locked="0" layoutInCell="1" allowOverlap="1" wp14:anchorId="51935AC8" wp14:editId="58AB3CD4">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114540" cy="16129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114540" cy="161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A635E" w14:textId="19158A23" w:rsidR="00261F1A" w:rsidRDefault="00261F1A">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51935AC8" id="_x0000_t202" coordsize="21600,21600" o:spt="202" path="m,l,21600r21600,l21600,xe">
                    <v:stroke joinstyle="miter"/>
                    <v:path gradientshapeok="t" o:connecttype="rect"/>
                  </v:shapetype>
                  <v:shape id="Text Box 153" o:spid="_x0000_s1026" type="#_x0000_t202" style="position:absolute;margin-left:0;margin-top:0;width:560.2pt;height:12.7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" filled="f" stroked="f" strokeweight=".5pt">
                    <v:textbox style="mso-fit-shape-to-text:t" inset="126pt,0,54pt,0">
                      <w:txbxContent>
                        <w:p w14:paraId="035A635E" w14:textId="19158A23" w:rsidR="00261F1A" w:rsidRDefault="00261F1A">
                          <w:pPr>
                            <w:pStyle w:val="NoSpacing"/>
                            <w:jc w:val="right"/>
                            <w:rPr>
                              <w:color w:val="595959" w:themeColor="text1" w:themeTint="A6"/>
                              <w:sz w:val="20"/>
                              <w:szCs w:val="20"/>
                            </w:rPr>
                          </w:pPr>
                        </w:p>
                      </w:txbxContent>
                    </v:textbox>
                    <w10:wrap type="square" anchorx="page" anchory="page"/>
                  </v:shape>
                </w:pict>
              </mc:Fallback>
            </mc:AlternateContent>
          </w:r>
        </w:p>
        <w:bookmarkStart w:id="0" w:name="_Toc536804091"/>
        <w:p w14:paraId="54E7B204" w14:textId="77777777" w:rsidR="00AC2387" w:rsidRDefault="00212A4F" w:rsidP="00AC2387">
          <w:pPr>
            <w:pStyle w:val="Heading1"/>
          </w:pPr>
          <w:r>
            <w:rPr>
              <w:noProof/>
              <w:lang w:eastAsia="en-AU"/>
            </w:rPr>
            <mc:AlternateContent>
              <mc:Choice Requires="wps">
                <w:drawing>
                  <wp:anchor distT="0" distB="0" distL="114300" distR="114300" simplePos="0" relativeHeight="251660291" behindDoc="0" locked="0" layoutInCell="1" allowOverlap="1" wp14:anchorId="79A741D9" wp14:editId="22C924AB">
                    <wp:simplePos x="0" y="0"/>
                    <wp:positionH relativeFrom="column">
                      <wp:posOffset>3542665</wp:posOffset>
                    </wp:positionH>
                    <wp:positionV relativeFrom="paragraph">
                      <wp:posOffset>7088505</wp:posOffset>
                    </wp:positionV>
                    <wp:extent cx="2714625" cy="6477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2714625" cy="647700"/>
                            </a:xfrm>
                            <a:prstGeom prst="rect">
                              <a:avLst/>
                            </a:prstGeom>
                            <a:solidFill>
                              <a:schemeClr val="lt1"/>
                            </a:solidFill>
                            <a:ln w="6350">
                              <a:noFill/>
                            </a:ln>
                          </wps:spPr>
                          <wps:txbx>
                            <w:txbxContent>
                              <w:p w14:paraId="40B3F64B" w14:textId="1F8AA65D" w:rsidR="00261F1A" w:rsidRPr="00212A4F" w:rsidRDefault="00261F1A">
                                <w:pPr>
                                  <w:rPr>
                                    <w:rFonts w:ascii="Segoe UI" w:hAnsi="Segoe UI" w:cs="Segoe UI"/>
                                    <w:b/>
                                    <w:i/>
                                    <w:color w:val="00736E" w:themeColor="accent1" w:themeShade="BF"/>
                                  </w:rPr>
                                </w:pPr>
                                <w:r w:rsidRPr="00212A4F">
                                  <w:rPr>
                                    <w:rFonts w:ascii="Segoe UI" w:hAnsi="Segoe UI" w:cs="Segoe UI"/>
                                    <w:b/>
                                    <w:i/>
                                    <w:color w:val="00736E" w:themeColor="accent1" w:themeShade="BF"/>
                                  </w:rPr>
                                  <w:t>A strong voice and a helping hand</w:t>
                                </w:r>
                                <w:r w:rsidRPr="00212A4F">
                                  <w:rPr>
                                    <w:rFonts w:ascii="Segoe UI" w:hAnsi="Segoe UI" w:cs="Segoe UI"/>
                                    <w:b/>
                                    <w:i/>
                                    <w:color w:val="00736E" w:themeColor="accent1" w:themeShade="BF"/>
                                  </w:rPr>
                                  <w:br/>
                                  <w:t>for all providers of age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A741D9" id="Text Box 5" o:spid="_x0000_s1027" type="#_x0000_t202" style="position:absolute;margin-left:278.95pt;margin-top:558.15pt;width:213.75pt;height:51p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" fillcolor="white [3201]" stroked="f" strokeweight=".5pt">
                    <v:textbox>
                      <w:txbxContent>
                        <w:p w14:paraId="40B3F64B" w14:textId="1F8AA65D" w:rsidR="00261F1A" w:rsidRPr="00212A4F" w:rsidRDefault="00261F1A">
                          <w:pPr>
                            <w:rPr>
                              <w:rFonts w:ascii="Segoe UI" w:hAnsi="Segoe UI" w:cs="Segoe UI"/>
                              <w:b/>
                              <w:i/>
                              <w:color w:val="00736E" w:themeColor="accent1" w:themeShade="BF"/>
                            </w:rPr>
                          </w:pPr>
                          <w:r w:rsidRPr="00212A4F">
                            <w:rPr>
                              <w:rFonts w:ascii="Segoe UI" w:hAnsi="Segoe UI" w:cs="Segoe UI"/>
                              <w:b/>
                              <w:i/>
                              <w:color w:val="00736E" w:themeColor="accent1" w:themeShade="BF"/>
                            </w:rPr>
                            <w:t>A strong voice and a helping hand</w:t>
                          </w:r>
                          <w:r w:rsidRPr="00212A4F">
                            <w:rPr>
                              <w:rFonts w:ascii="Segoe UI" w:hAnsi="Segoe UI" w:cs="Segoe UI"/>
                              <w:b/>
                              <w:i/>
                              <w:color w:val="00736E" w:themeColor="accent1" w:themeShade="BF"/>
                            </w:rPr>
                            <w:br/>
                            <w:t>for all providers of age services</w:t>
                          </w:r>
                        </w:p>
                      </w:txbxContent>
                    </v:textbox>
                  </v:shape>
                </w:pict>
              </mc:Fallback>
            </mc:AlternateContent>
          </w:r>
          <w:r w:rsidR="00E00446">
            <w:rPr>
              <w:noProof/>
              <w:lang w:eastAsia="en-AU"/>
            </w:rPr>
            <mc:AlternateContent>
              <mc:Choice Requires="wps">
                <w:drawing>
                  <wp:anchor distT="0" distB="0" distL="114300" distR="114300" simplePos="0" relativeHeight="251658243" behindDoc="0" locked="0" layoutInCell="1" allowOverlap="1" wp14:anchorId="526DBD41" wp14:editId="3D36ABE6">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1623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16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51294" w14:textId="57515F65" w:rsidR="00261F1A" w:rsidRPr="00AB644A" w:rsidRDefault="001A63BC">
                                <w:pPr>
                                  <w:jc w:val="right"/>
                                  <w:rPr>
                                    <w:color w:val="009A94" w:themeColor="accent1"/>
                                    <w:sz w:val="32"/>
                                    <w:szCs w:val="32"/>
                                  </w:rPr>
                                </w:pPr>
                                <w:sdt>
                                  <w:sdtPr>
                                    <w:rPr>
                                      <w:caps/>
                                      <w:color w:val="009A9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61F1A">
                                      <w:rPr>
                                        <w:caps/>
                                        <w:color w:val="009A94" w:themeColor="accent1"/>
                                        <w:sz w:val="64"/>
                                        <w:szCs w:val="64"/>
                                      </w:rPr>
                                      <w:t>LASA 2019-20 Budget Submission</w:t>
                                    </w:r>
                                  </w:sdtContent>
                                </w:sdt>
                              </w:p>
                              <w:sdt>
                                <w:sdtPr>
                                  <w:rPr>
                                    <w:rFonts w:cstheme="minorHAnsi"/>
                                    <w:color w:val="222222"/>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9D6932E" w14:textId="5F17B158" w:rsidR="00261F1A" w:rsidRPr="00AB644A" w:rsidRDefault="00261F1A">
                                    <w:pPr>
                                      <w:jc w:val="right"/>
                                      <w:rPr>
                                        <w:smallCaps/>
                                        <w:color w:val="404040" w:themeColor="text1" w:themeTint="BF"/>
                                        <w:sz w:val="32"/>
                                        <w:szCs w:val="32"/>
                                      </w:rPr>
                                    </w:pPr>
                                    <w:r>
                                      <w:rPr>
                                        <w:rFonts w:cstheme="minorHAnsi"/>
                                        <w:color w:val="222222"/>
                                        <w:sz w:val="32"/>
                                        <w:szCs w:val="32"/>
                                      </w:rPr>
                                      <w:t>February 2019</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26DBD41" id="Text Box 154" o:spid="_x0000_s1028" type="#_x0000_t202" style="position:absolute;margin-left:0;margin-top:0;width:8in;height:249pt;z-index:251658243;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" filled="f" stroked="f" strokeweight=".5pt">
                    <v:textbox inset="126pt,0,54pt,0">
                      <w:txbxContent>
                        <w:p w14:paraId="29F51294" w14:textId="57515F65" w:rsidR="00261F1A" w:rsidRPr="00AB644A" w:rsidRDefault="00196EC7">
                          <w:pPr>
                            <w:jc w:val="right"/>
                            <w:rPr>
                              <w:color w:val="009A94" w:themeColor="accent1"/>
                              <w:sz w:val="32"/>
                              <w:szCs w:val="32"/>
                            </w:rPr>
                          </w:pPr>
                          <w:sdt>
                            <w:sdtPr>
                              <w:rPr>
                                <w:caps/>
                                <w:color w:val="009A9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61F1A">
                                <w:rPr>
                                  <w:caps/>
                                  <w:color w:val="009A94" w:themeColor="accent1"/>
                                  <w:sz w:val="64"/>
                                  <w:szCs w:val="64"/>
                                </w:rPr>
                                <w:t>LASA 2019-20 Budget Submission</w:t>
                              </w:r>
                            </w:sdtContent>
                          </w:sdt>
                        </w:p>
                        <w:sdt>
                          <w:sdtPr>
                            <w:rPr>
                              <w:rFonts w:cstheme="minorHAnsi"/>
                              <w:color w:val="222222"/>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9D6932E" w14:textId="5F17B158" w:rsidR="00261F1A" w:rsidRPr="00AB644A" w:rsidRDefault="00261F1A">
                              <w:pPr>
                                <w:jc w:val="right"/>
                                <w:rPr>
                                  <w:smallCaps/>
                                  <w:color w:val="404040" w:themeColor="text1" w:themeTint="BF"/>
                                  <w:sz w:val="32"/>
                                  <w:szCs w:val="32"/>
                                </w:rPr>
                              </w:pPr>
                              <w:r>
                                <w:rPr>
                                  <w:rFonts w:cstheme="minorHAnsi"/>
                                  <w:color w:val="222222"/>
                                  <w:sz w:val="32"/>
                                  <w:szCs w:val="32"/>
                                </w:rPr>
                                <w:t>February 2019</w:t>
                              </w:r>
                            </w:p>
                          </w:sdtContent>
                        </w:sdt>
                      </w:txbxContent>
                    </v:textbox>
                    <w10:wrap type="square" anchorx="page" anchory="page"/>
                  </v:shape>
                </w:pict>
              </mc:Fallback>
            </mc:AlternateContent>
          </w:r>
          <w:r w:rsidR="00C36B3D">
            <w:rPr>
              <w:noProof/>
              <w:lang w:eastAsia="en-AU"/>
            </w:rPr>
            <mc:AlternateContent>
              <mc:Choice Requires="wps">
                <w:drawing>
                  <wp:anchor distT="0" distB="0" distL="114300" distR="114300" simplePos="0" relativeHeight="251658240" behindDoc="0" locked="0" layoutInCell="1" allowOverlap="1" wp14:anchorId="0DCE240A" wp14:editId="3849429D">
                    <wp:simplePos x="0" y="0"/>
                    <wp:positionH relativeFrom="margin">
                      <wp:align>center</wp:align>
                    </wp:positionH>
                    <wp:positionV relativeFrom="page">
                      <wp:posOffset>8372209</wp:posOffset>
                    </wp:positionV>
                    <wp:extent cx="7315200" cy="914400"/>
                    <wp:effectExtent l="0" t="0" r="0" b="698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DF5BB" w14:textId="64872DCF" w:rsidR="00261F1A" w:rsidRDefault="00261F1A">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0DCE240A" id="Text Box 152" o:spid="_x0000_s1029" type="#_x0000_t202" style="position:absolute;margin-left:0;margin-top:659.25pt;width:8in;height:1in;z-index:251658240;visibility:visible;mso-wrap-style:square;mso-width-percent:941;mso-height-percent:92;mso-wrap-distance-left:9pt;mso-wrap-distance-top:0;mso-wrap-distance-right:9pt;mso-wrap-distance-bottom:0;mso-position-horizontal:center;mso-position-horizontal-relative:margin;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" filled="f" stroked="f" strokeweight=".5pt">
                    <v:textbox inset="126pt,0,54pt,0">
                      <w:txbxContent>
                        <w:p w14:paraId="412DF5BB" w14:textId="64872DCF" w:rsidR="00261F1A" w:rsidRDefault="00261F1A">
                          <w:pPr>
                            <w:pStyle w:val="NoSpacing"/>
                            <w:jc w:val="right"/>
                            <w:rPr>
                              <w:color w:val="595959" w:themeColor="text1" w:themeTint="A6"/>
                              <w:sz w:val="18"/>
                              <w:szCs w:val="18"/>
                            </w:rPr>
                          </w:pPr>
                        </w:p>
                      </w:txbxContent>
                    </v:textbox>
                    <w10:wrap type="square" anchorx="margin" anchory="page"/>
                  </v:shape>
                </w:pict>
              </mc:Fallback>
            </mc:AlternateContent>
          </w:r>
          <w:r w:rsidR="00AB3D02">
            <w:br w:type="page"/>
          </w:r>
        </w:p>
      </w:sdtContent>
    </w:sdt>
    <w:bookmarkEnd w:id="0" w:displacedByCustomXml="prev"/>
    <w:p w14:paraId="2BADA816" w14:textId="5D5D0723" w:rsidR="00AC2387" w:rsidRDefault="00AC2387" w:rsidP="008B2E48">
      <w:pPr>
        <w:pStyle w:val="Heading1"/>
        <w:spacing w:before="0" w:after="160"/>
      </w:pPr>
      <w:r w:rsidRPr="00AC2387">
        <w:lastRenderedPageBreak/>
        <w:t xml:space="preserve"> </w:t>
      </w:r>
      <w:bookmarkStart w:id="1" w:name="_Toc536804092"/>
      <w:r>
        <w:t>Leading Age Services Australia</w:t>
      </w:r>
      <w:bookmarkEnd w:id="1"/>
      <w:r>
        <w:t xml:space="preserve"> </w:t>
      </w:r>
    </w:p>
    <w:p w14:paraId="37D03898" w14:textId="77777777" w:rsidR="00A20642" w:rsidRDefault="00A20642" w:rsidP="00A20642">
      <w:r>
        <w:t xml:space="preserve">Leading Age Services Australia (LASA) is the national peak body representing and supporting providers of age services across residential care, home care and retirement living. Our purpose is to enable a high performing, respected and sustainable age services industry delivering affordable, accessible, quality care and services for older Australians. We represent our Members by advocating their views on issues of importance and we support our Members by providing information, services, training and events that enhance performance and sustainability. </w:t>
      </w:r>
    </w:p>
    <w:p w14:paraId="2E4AD1A8" w14:textId="4A17EDE5" w:rsidR="00AC2387" w:rsidRDefault="00A20642" w:rsidP="00A20642">
      <w:r>
        <w:t>LASA’s membership base is made up of organisations providing care, support and services to older Australians. Our Members include private, not-for-profit, faith-based and government operated organisations providing age services across residential aged care, home care and retirement living. 57% of our Members are not-for-profit, 33% are for-profit providers and 10% of our Members are government providers. Our diverse membership base provides LASA with the ability to speak with credibility and authority on issues of importance to older Australians and the age services industry</w:t>
      </w:r>
    </w:p>
    <w:p w14:paraId="6D94DCC7" w14:textId="377CB913" w:rsidR="00BD79EF" w:rsidRDefault="00BD79EF">
      <w:r>
        <w:br w:type="page"/>
      </w:r>
    </w:p>
    <w:p w14:paraId="0C534899" w14:textId="77777777" w:rsidR="00261F1A" w:rsidRDefault="00C46DDC" w:rsidP="00261F1A">
      <w:pPr>
        <w:pStyle w:val="Heading1"/>
        <w:spacing w:before="0" w:after="160"/>
      </w:pPr>
      <w:bookmarkStart w:id="2" w:name="_Toc536804093"/>
      <w:r>
        <w:lastRenderedPageBreak/>
        <w:t xml:space="preserve">Aged care </w:t>
      </w:r>
      <w:r w:rsidR="002E3936">
        <w:t>needs an urgent funding boost</w:t>
      </w:r>
      <w:bookmarkEnd w:id="2"/>
    </w:p>
    <w:p w14:paraId="11506C57" w14:textId="77777777" w:rsidR="00261F1A" w:rsidRDefault="00261F1A" w:rsidP="00261F1A">
      <w:pPr>
        <w:tabs>
          <w:tab w:val="left" w:pos="1701"/>
          <w:tab w:val="right" w:pos="9720"/>
        </w:tabs>
        <w:spacing w:line="240" w:lineRule="auto"/>
        <w:ind w:right="-79"/>
        <w:rPr>
          <w:rFonts w:ascii="Arial" w:hAnsi="Arial" w:cs="Arial"/>
          <w:color w:val="000000"/>
          <w:sz w:val="21"/>
          <w:szCs w:val="21"/>
        </w:rPr>
        <w:sectPr w:rsidR="00261F1A" w:rsidSect="003623B8">
          <w:headerReference w:type="default" r:id="rId13"/>
          <w:endnotePr>
            <w:numFmt w:val="decimal"/>
          </w:endnotePr>
          <w:type w:val="continuous"/>
          <w:pgSz w:w="11906" w:h="16838"/>
          <w:pgMar w:top="1843" w:right="1440" w:bottom="1440" w:left="1440" w:header="708" w:footer="708" w:gutter="0"/>
          <w:cols w:space="708"/>
          <w:titlePg/>
          <w:docGrid w:linePitch="360"/>
        </w:sectPr>
      </w:pPr>
    </w:p>
    <w:p w14:paraId="3A55E787" w14:textId="1FA85CDD" w:rsidR="0095611C" w:rsidRPr="00A17905" w:rsidRDefault="0095611C" w:rsidP="00A17905">
      <w:pPr>
        <w:pStyle w:val="Heading2"/>
      </w:pPr>
      <w:r w:rsidRPr="00A17905">
        <w:t>The problem</w:t>
      </w:r>
    </w:p>
    <w:p w14:paraId="5594629D" w14:textId="041525C0" w:rsidR="00C46DDC" w:rsidRPr="00A17905" w:rsidRDefault="00C46DDC" w:rsidP="00261F1A">
      <w:p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Aged care providers must take responsibility for failures in care that have been identified in the media and will be revealed by the Royal Commission.</w:t>
      </w:r>
    </w:p>
    <w:p w14:paraId="7E3FD124" w14:textId="20827619" w:rsidR="00C46DDC" w:rsidRPr="00A17905" w:rsidRDefault="00C46DDC" w:rsidP="00C46DDC">
      <w:p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However, the capacity of providers to deliver care is constrained by the resources that are available to them.</w:t>
      </w:r>
    </w:p>
    <w:p w14:paraId="580707A8" w14:textId="4C080519" w:rsidR="00C46DDC" w:rsidRPr="00A17905" w:rsidRDefault="00C46DDC" w:rsidP="00C46DDC">
      <w:p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 xml:space="preserve">Some </w:t>
      </w:r>
      <w:r w:rsidR="0047589A" w:rsidRPr="00A17905">
        <w:rPr>
          <w:rFonts w:ascii="Arial" w:hAnsi="Arial" w:cs="Arial"/>
          <w:color w:val="000000"/>
          <w:sz w:val="21"/>
          <w:szCs w:val="21"/>
        </w:rPr>
        <w:t>have accused</w:t>
      </w:r>
      <w:r w:rsidRPr="00A17905">
        <w:rPr>
          <w:rFonts w:ascii="Arial" w:hAnsi="Arial" w:cs="Arial"/>
          <w:color w:val="000000"/>
          <w:sz w:val="21"/>
          <w:szCs w:val="21"/>
        </w:rPr>
        <w:t xml:space="preserve"> providers of making excessive profits, but:</w:t>
      </w:r>
    </w:p>
    <w:p w14:paraId="27E1B806" w14:textId="3FF8ED01" w:rsidR="00C46DDC" w:rsidRPr="00A17905" w:rsidRDefault="00C46DDC" w:rsidP="0095611C">
      <w:pPr>
        <w:pStyle w:val="ListParagraph"/>
        <w:numPr>
          <w:ilvl w:val="0"/>
          <w:numId w:val="35"/>
        </w:numPr>
        <w:tabs>
          <w:tab w:val="left" w:pos="1701"/>
          <w:tab w:val="right" w:pos="9720"/>
        </w:tabs>
        <w:spacing w:line="240" w:lineRule="auto"/>
        <w:ind w:right="-79"/>
        <w:rPr>
          <w:rFonts w:ascii="Arial" w:hAnsi="Arial" w:cs="Arial"/>
          <w:sz w:val="21"/>
          <w:szCs w:val="21"/>
        </w:rPr>
      </w:pPr>
      <w:r w:rsidRPr="00A17905">
        <w:rPr>
          <w:rFonts w:ascii="Arial" w:hAnsi="Arial" w:cs="Arial"/>
          <w:color w:val="000000"/>
          <w:sz w:val="21"/>
          <w:szCs w:val="21"/>
        </w:rPr>
        <w:t xml:space="preserve">the average margin for home care providers has dropped </w:t>
      </w:r>
      <w:r w:rsidR="001B521C" w:rsidRPr="00A17905">
        <w:rPr>
          <w:rFonts w:ascii="Arial" w:hAnsi="Arial" w:cs="Arial"/>
          <w:color w:val="000000"/>
          <w:sz w:val="21"/>
          <w:szCs w:val="21"/>
        </w:rPr>
        <w:t>4</w:t>
      </w:r>
      <w:r w:rsidRPr="00A17905">
        <w:rPr>
          <w:rFonts w:ascii="Arial" w:hAnsi="Arial" w:cs="Arial"/>
          <w:color w:val="000000"/>
          <w:sz w:val="21"/>
          <w:szCs w:val="21"/>
        </w:rPr>
        <w:t xml:space="preserve">5 per cent </w:t>
      </w:r>
      <w:r w:rsidR="001B521C" w:rsidRPr="00A17905">
        <w:rPr>
          <w:rFonts w:ascii="Arial" w:hAnsi="Arial" w:cs="Arial"/>
          <w:color w:val="000000"/>
          <w:sz w:val="21"/>
          <w:szCs w:val="21"/>
        </w:rPr>
        <w:t xml:space="preserve">from </w:t>
      </w:r>
      <w:r w:rsidR="001B521C" w:rsidRPr="00A17905">
        <w:rPr>
          <w:rFonts w:ascii="Arial" w:hAnsi="Arial" w:cs="Arial"/>
          <w:sz w:val="21"/>
          <w:szCs w:val="21"/>
        </w:rPr>
        <w:t xml:space="preserve">its </w:t>
      </w:r>
      <w:r w:rsidR="003B6847" w:rsidRPr="00A17905">
        <w:rPr>
          <w:rFonts w:ascii="Arial" w:hAnsi="Arial" w:cs="Arial"/>
          <w:sz w:val="21"/>
          <w:szCs w:val="21"/>
        </w:rPr>
        <w:t>peak</w:t>
      </w:r>
      <w:r w:rsidR="001B521C" w:rsidRPr="00A17905">
        <w:rPr>
          <w:rFonts w:ascii="Arial" w:hAnsi="Arial" w:cs="Arial"/>
          <w:sz w:val="21"/>
          <w:szCs w:val="21"/>
        </w:rPr>
        <w:t xml:space="preserve"> to just </w:t>
      </w:r>
      <w:r w:rsidRPr="00A17905">
        <w:rPr>
          <w:rFonts w:ascii="Arial" w:hAnsi="Arial" w:cs="Arial"/>
          <w:sz w:val="21"/>
          <w:szCs w:val="21"/>
        </w:rPr>
        <w:t>$3.49 per client per day</w:t>
      </w:r>
      <w:r w:rsidR="0088229B" w:rsidRPr="00A17905">
        <w:rPr>
          <w:rFonts w:ascii="Arial" w:hAnsi="Arial" w:cs="Arial"/>
          <w:sz w:val="21"/>
          <w:szCs w:val="21"/>
        </w:rPr>
        <w:t xml:space="preserve"> </w:t>
      </w:r>
      <w:r w:rsidR="00EE62E0" w:rsidRPr="00A17905">
        <w:rPr>
          <w:rFonts w:ascii="Arial" w:hAnsi="Arial" w:cs="Arial"/>
          <w:sz w:val="21"/>
          <w:szCs w:val="21"/>
        </w:rPr>
        <w:t>(Chart 1)</w:t>
      </w:r>
      <w:r w:rsidR="002D128A" w:rsidRPr="00A17905">
        <w:rPr>
          <w:rFonts w:ascii="Arial" w:hAnsi="Arial" w:cs="Arial"/>
          <w:sz w:val="21"/>
          <w:szCs w:val="21"/>
        </w:rPr>
        <w:t>, and</w:t>
      </w:r>
    </w:p>
    <w:p w14:paraId="351C9AD2" w14:textId="0A1248F6" w:rsidR="00C46DDC" w:rsidRPr="00A17905" w:rsidRDefault="00C46DDC" w:rsidP="0095611C">
      <w:pPr>
        <w:pStyle w:val="ListParagraph"/>
        <w:numPr>
          <w:ilvl w:val="0"/>
          <w:numId w:val="35"/>
        </w:numPr>
        <w:tabs>
          <w:tab w:val="left" w:pos="1701"/>
          <w:tab w:val="right" w:pos="9720"/>
        </w:tabs>
        <w:spacing w:line="240" w:lineRule="auto"/>
        <w:ind w:right="-79"/>
        <w:rPr>
          <w:rFonts w:ascii="Arial" w:hAnsi="Arial" w:cs="Arial"/>
          <w:sz w:val="21"/>
          <w:szCs w:val="21"/>
        </w:rPr>
      </w:pPr>
      <w:r w:rsidRPr="00A17905">
        <w:rPr>
          <w:rFonts w:ascii="Arial" w:hAnsi="Arial" w:cs="Arial"/>
          <w:sz w:val="21"/>
          <w:szCs w:val="21"/>
        </w:rPr>
        <w:t>more than 40 per cent of</w:t>
      </w:r>
      <w:r w:rsidR="003B6847" w:rsidRPr="00A17905">
        <w:rPr>
          <w:rFonts w:ascii="Arial" w:hAnsi="Arial" w:cs="Arial"/>
          <w:sz w:val="21"/>
          <w:szCs w:val="21"/>
        </w:rPr>
        <w:t xml:space="preserve"> residential</w:t>
      </w:r>
      <w:r w:rsidRPr="00A17905">
        <w:rPr>
          <w:rFonts w:ascii="Arial" w:hAnsi="Arial" w:cs="Arial"/>
          <w:sz w:val="21"/>
          <w:szCs w:val="21"/>
        </w:rPr>
        <w:t xml:space="preserve"> facilities are in </w:t>
      </w:r>
      <w:r w:rsidR="003B6847" w:rsidRPr="00A17905">
        <w:rPr>
          <w:rFonts w:ascii="Arial" w:hAnsi="Arial" w:cs="Arial"/>
          <w:sz w:val="21"/>
          <w:szCs w:val="21"/>
        </w:rPr>
        <w:t xml:space="preserve">deficit, with </w:t>
      </w:r>
      <w:r w:rsidR="0088229B" w:rsidRPr="00A17905">
        <w:rPr>
          <w:rFonts w:ascii="Arial" w:hAnsi="Arial" w:cs="Arial"/>
          <w:sz w:val="21"/>
          <w:szCs w:val="21"/>
        </w:rPr>
        <w:t>earnings declining</w:t>
      </w:r>
      <w:r w:rsidR="00EE62E0" w:rsidRPr="00A17905">
        <w:rPr>
          <w:rFonts w:ascii="Arial" w:hAnsi="Arial" w:cs="Arial"/>
          <w:sz w:val="21"/>
          <w:szCs w:val="21"/>
        </w:rPr>
        <w:t xml:space="preserve"> (Chart 2) and forecast to turn negative</w:t>
      </w:r>
      <w:r w:rsidR="002D128A" w:rsidRPr="00A17905">
        <w:rPr>
          <w:rFonts w:ascii="Arial" w:hAnsi="Arial" w:cs="Arial"/>
          <w:sz w:val="21"/>
          <w:szCs w:val="21"/>
        </w:rPr>
        <w:t>.</w:t>
      </w:r>
      <w:r w:rsidR="00EE62E0" w:rsidRPr="00A17905">
        <w:rPr>
          <w:rStyle w:val="EndnoteReference"/>
          <w:rFonts w:ascii="Arial" w:hAnsi="Arial" w:cs="Arial"/>
          <w:sz w:val="21"/>
          <w:szCs w:val="21"/>
        </w:rPr>
        <w:endnoteReference w:id="2"/>
      </w:r>
      <w:r w:rsidR="00EE62E0" w:rsidRPr="00A17905">
        <w:rPr>
          <w:rFonts w:ascii="Arial" w:hAnsi="Arial" w:cs="Arial"/>
          <w:sz w:val="21"/>
          <w:szCs w:val="21"/>
        </w:rPr>
        <w:t xml:space="preserve"> </w:t>
      </w:r>
    </w:p>
    <w:p w14:paraId="776DAE93" w14:textId="0009F97C" w:rsidR="002D128A" w:rsidRPr="00A17905" w:rsidRDefault="002D128A" w:rsidP="0095611C">
      <w:pPr>
        <w:tabs>
          <w:tab w:val="left" w:pos="1701"/>
          <w:tab w:val="right" w:pos="9720"/>
        </w:tabs>
        <w:spacing w:line="240" w:lineRule="auto"/>
        <w:ind w:right="-79"/>
        <w:contextualSpacing/>
        <w:rPr>
          <w:rFonts w:ascii="Arial" w:hAnsi="Arial" w:cs="Arial"/>
          <w:sz w:val="21"/>
          <w:szCs w:val="21"/>
        </w:rPr>
      </w:pPr>
      <w:r w:rsidRPr="00A17905">
        <w:rPr>
          <w:rFonts w:ascii="Arial" w:hAnsi="Arial" w:cs="Arial"/>
          <w:sz w:val="21"/>
          <w:szCs w:val="21"/>
        </w:rPr>
        <w:t>Part of the problem is that p</w:t>
      </w:r>
      <w:r w:rsidR="00C46DDC" w:rsidRPr="00A17905">
        <w:rPr>
          <w:rFonts w:ascii="Arial" w:hAnsi="Arial" w:cs="Arial"/>
          <w:sz w:val="21"/>
          <w:szCs w:val="21"/>
        </w:rPr>
        <w:t>ublic spending on aged care in Australia</w:t>
      </w:r>
      <w:r w:rsidRPr="00A17905">
        <w:rPr>
          <w:rFonts w:ascii="Arial" w:hAnsi="Arial" w:cs="Arial"/>
          <w:sz w:val="21"/>
          <w:szCs w:val="21"/>
        </w:rPr>
        <w:t xml:space="preserve"> is:</w:t>
      </w:r>
    </w:p>
    <w:p w14:paraId="23F0DDC9" w14:textId="2843ACF1" w:rsidR="002D128A" w:rsidRPr="00A17905" w:rsidRDefault="00C46DDC" w:rsidP="0095611C">
      <w:pPr>
        <w:pStyle w:val="ListParagraph"/>
        <w:numPr>
          <w:ilvl w:val="0"/>
          <w:numId w:val="36"/>
        </w:numPr>
        <w:tabs>
          <w:tab w:val="left" w:pos="1701"/>
          <w:tab w:val="right" w:pos="9720"/>
        </w:tabs>
        <w:spacing w:line="240" w:lineRule="auto"/>
        <w:ind w:right="-72"/>
        <w:rPr>
          <w:rFonts w:ascii="Arial" w:hAnsi="Arial" w:cs="Arial"/>
          <w:sz w:val="21"/>
          <w:szCs w:val="21"/>
        </w:rPr>
      </w:pPr>
      <w:r w:rsidRPr="00A17905">
        <w:rPr>
          <w:rFonts w:ascii="Arial" w:hAnsi="Arial" w:cs="Arial"/>
          <w:sz w:val="21"/>
          <w:szCs w:val="21"/>
        </w:rPr>
        <w:t>relatively low by international standards</w:t>
      </w:r>
      <w:r w:rsidR="00EE62E0" w:rsidRPr="00A17905">
        <w:rPr>
          <w:rFonts w:ascii="Arial" w:hAnsi="Arial" w:cs="Arial"/>
          <w:sz w:val="21"/>
          <w:szCs w:val="21"/>
        </w:rPr>
        <w:t xml:space="preserve"> (Chart 3)</w:t>
      </w:r>
      <w:r w:rsidR="002D128A" w:rsidRPr="00A17905">
        <w:rPr>
          <w:rFonts w:ascii="Arial" w:hAnsi="Arial" w:cs="Arial"/>
          <w:sz w:val="21"/>
          <w:szCs w:val="21"/>
        </w:rPr>
        <w:t>,</w:t>
      </w:r>
      <w:r w:rsidRPr="00A17905">
        <w:rPr>
          <w:rFonts w:ascii="Arial" w:hAnsi="Arial" w:cs="Arial"/>
          <w:sz w:val="21"/>
          <w:szCs w:val="21"/>
        </w:rPr>
        <w:t xml:space="preserve"> and </w:t>
      </w:r>
    </w:p>
    <w:p w14:paraId="41F22087" w14:textId="4CC2EA7A" w:rsidR="00C46DDC" w:rsidRPr="00A17905" w:rsidRDefault="00C46DDC" w:rsidP="0095611C">
      <w:pPr>
        <w:pStyle w:val="ListParagraph"/>
        <w:numPr>
          <w:ilvl w:val="0"/>
          <w:numId w:val="36"/>
        </w:numPr>
        <w:tabs>
          <w:tab w:val="left" w:pos="1701"/>
          <w:tab w:val="right" w:pos="9720"/>
        </w:tabs>
        <w:spacing w:line="240" w:lineRule="auto"/>
        <w:ind w:right="-72"/>
        <w:rPr>
          <w:rFonts w:ascii="Arial" w:hAnsi="Arial" w:cs="Arial"/>
          <w:sz w:val="21"/>
          <w:szCs w:val="21"/>
        </w:rPr>
      </w:pPr>
      <w:r w:rsidRPr="00A17905">
        <w:rPr>
          <w:rFonts w:ascii="Arial" w:hAnsi="Arial" w:cs="Arial"/>
          <w:sz w:val="21"/>
          <w:szCs w:val="21"/>
        </w:rPr>
        <w:t xml:space="preserve">not </w:t>
      </w:r>
      <w:r w:rsidR="002D128A" w:rsidRPr="00A17905">
        <w:rPr>
          <w:rFonts w:ascii="Arial" w:hAnsi="Arial" w:cs="Arial"/>
          <w:sz w:val="21"/>
          <w:szCs w:val="21"/>
        </w:rPr>
        <w:t>keeping</w:t>
      </w:r>
      <w:r w:rsidRPr="00A17905">
        <w:rPr>
          <w:rFonts w:ascii="Arial" w:hAnsi="Arial" w:cs="Arial"/>
          <w:sz w:val="21"/>
          <w:szCs w:val="21"/>
        </w:rPr>
        <w:t xml:space="preserve"> pace with rising wages and the </w:t>
      </w:r>
      <w:r w:rsidR="002D128A" w:rsidRPr="00A17905">
        <w:rPr>
          <w:rFonts w:ascii="Arial" w:hAnsi="Arial" w:cs="Arial"/>
          <w:sz w:val="21"/>
          <w:szCs w:val="21"/>
        </w:rPr>
        <w:t>ageing of the population</w:t>
      </w:r>
      <w:r w:rsidR="00EE62E0" w:rsidRPr="00A17905">
        <w:rPr>
          <w:rFonts w:ascii="Arial" w:hAnsi="Arial" w:cs="Arial"/>
          <w:sz w:val="21"/>
          <w:szCs w:val="21"/>
        </w:rPr>
        <w:t xml:space="preserve"> (Chart 4)</w:t>
      </w:r>
      <w:r w:rsidRPr="00A17905">
        <w:rPr>
          <w:rFonts w:ascii="Arial" w:hAnsi="Arial" w:cs="Arial"/>
          <w:sz w:val="21"/>
          <w:szCs w:val="21"/>
        </w:rPr>
        <w:t>.</w:t>
      </w:r>
    </w:p>
    <w:p w14:paraId="4784582C" w14:textId="38AAA3E7" w:rsidR="00C46DDC" w:rsidRPr="00A17905" w:rsidRDefault="002D128A" w:rsidP="00C46DDC">
      <w:pPr>
        <w:tabs>
          <w:tab w:val="left" w:pos="1701"/>
          <w:tab w:val="right" w:pos="9720"/>
        </w:tabs>
        <w:spacing w:line="240" w:lineRule="auto"/>
        <w:ind w:right="-79"/>
        <w:rPr>
          <w:rFonts w:ascii="Arial" w:hAnsi="Arial" w:cs="Arial"/>
          <w:color w:val="000000"/>
          <w:sz w:val="21"/>
          <w:szCs w:val="21"/>
        </w:rPr>
      </w:pPr>
      <w:r w:rsidRPr="00A17905">
        <w:rPr>
          <w:rFonts w:ascii="Arial" w:hAnsi="Arial" w:cs="Arial"/>
          <w:sz w:val="21"/>
          <w:szCs w:val="21"/>
        </w:rPr>
        <w:t>Insufficient public funding means that i</w:t>
      </w:r>
      <w:r w:rsidR="00C46DDC" w:rsidRPr="00A17905">
        <w:rPr>
          <w:rFonts w:ascii="Arial" w:hAnsi="Arial" w:cs="Arial"/>
          <w:sz w:val="21"/>
          <w:szCs w:val="21"/>
        </w:rPr>
        <w:t xml:space="preserve">n </w:t>
      </w:r>
      <w:r w:rsidRPr="00A17905">
        <w:rPr>
          <w:rFonts w:ascii="Arial" w:hAnsi="Arial" w:cs="Arial"/>
          <w:sz w:val="21"/>
          <w:szCs w:val="21"/>
        </w:rPr>
        <w:t>Home Care</w:t>
      </w:r>
      <w:r w:rsidR="00C46DDC" w:rsidRPr="00A17905">
        <w:rPr>
          <w:rFonts w:ascii="Arial" w:hAnsi="Arial" w:cs="Arial"/>
          <w:sz w:val="21"/>
          <w:szCs w:val="21"/>
        </w:rPr>
        <w:t xml:space="preserve"> more than 126,000 people have been forced to wait – often more than </w:t>
      </w:r>
      <w:r w:rsidR="00C46DDC" w:rsidRPr="00A17905">
        <w:rPr>
          <w:rFonts w:ascii="Arial" w:hAnsi="Arial" w:cs="Arial"/>
          <w:color w:val="000000"/>
          <w:sz w:val="21"/>
          <w:szCs w:val="21"/>
        </w:rPr>
        <w:t>12 months – for care that they have been assessed to need</w:t>
      </w:r>
      <w:r w:rsidRPr="00A17905">
        <w:rPr>
          <w:rFonts w:ascii="Arial" w:hAnsi="Arial" w:cs="Arial"/>
          <w:color w:val="000000"/>
          <w:sz w:val="21"/>
          <w:szCs w:val="21"/>
        </w:rPr>
        <w:t>.</w:t>
      </w:r>
      <w:r w:rsidR="00A1540F" w:rsidRPr="00A17905">
        <w:rPr>
          <w:rStyle w:val="EndnoteReference"/>
          <w:rFonts w:ascii="Arial" w:hAnsi="Arial" w:cs="Arial"/>
          <w:color w:val="000000"/>
          <w:sz w:val="21"/>
          <w:szCs w:val="21"/>
        </w:rPr>
        <w:endnoteReference w:id="3"/>
      </w:r>
      <w:r w:rsidRPr="00A17905">
        <w:rPr>
          <w:rFonts w:ascii="Arial" w:hAnsi="Arial" w:cs="Arial"/>
          <w:color w:val="000000"/>
          <w:sz w:val="21"/>
          <w:szCs w:val="21"/>
        </w:rPr>
        <w:t xml:space="preserve"> These long waiting times lead to unnecessary suffering, </w:t>
      </w:r>
      <w:r w:rsidR="00C46DDC" w:rsidRPr="00A17905">
        <w:rPr>
          <w:rFonts w:ascii="Arial" w:hAnsi="Arial" w:cs="Arial"/>
          <w:color w:val="000000"/>
          <w:sz w:val="21"/>
          <w:szCs w:val="21"/>
        </w:rPr>
        <w:t>avoidable admissions to hospital</w:t>
      </w:r>
      <w:r w:rsidRPr="00A17905">
        <w:rPr>
          <w:rFonts w:ascii="Arial" w:hAnsi="Arial" w:cs="Arial"/>
          <w:color w:val="000000"/>
          <w:sz w:val="21"/>
          <w:szCs w:val="21"/>
        </w:rPr>
        <w:t xml:space="preserve"> </w:t>
      </w:r>
      <w:r w:rsidR="00C46DDC" w:rsidRPr="00A17905">
        <w:rPr>
          <w:rFonts w:ascii="Arial" w:hAnsi="Arial" w:cs="Arial"/>
          <w:color w:val="000000"/>
          <w:sz w:val="21"/>
          <w:szCs w:val="21"/>
        </w:rPr>
        <w:t>and residential care</w:t>
      </w:r>
      <w:r w:rsidRPr="00A17905">
        <w:rPr>
          <w:rFonts w:ascii="Arial" w:hAnsi="Arial" w:cs="Arial"/>
          <w:color w:val="000000"/>
          <w:sz w:val="21"/>
          <w:szCs w:val="21"/>
        </w:rPr>
        <w:t xml:space="preserve"> </w:t>
      </w:r>
      <w:r w:rsidR="00C46DDC" w:rsidRPr="00A17905">
        <w:rPr>
          <w:rFonts w:ascii="Arial" w:hAnsi="Arial" w:cs="Arial"/>
          <w:color w:val="000000"/>
          <w:sz w:val="21"/>
          <w:szCs w:val="21"/>
        </w:rPr>
        <w:t>and</w:t>
      </w:r>
      <w:r w:rsidR="00B5407C" w:rsidRPr="00A17905">
        <w:rPr>
          <w:rFonts w:ascii="Arial" w:hAnsi="Arial" w:cs="Arial"/>
          <w:color w:val="000000"/>
          <w:sz w:val="21"/>
          <w:szCs w:val="21"/>
        </w:rPr>
        <w:t xml:space="preserve"> potentially</w:t>
      </w:r>
      <w:r w:rsidR="00C46DDC" w:rsidRPr="00A17905">
        <w:rPr>
          <w:rFonts w:ascii="Arial" w:hAnsi="Arial" w:cs="Arial"/>
          <w:color w:val="000000"/>
          <w:sz w:val="21"/>
          <w:szCs w:val="21"/>
        </w:rPr>
        <w:t xml:space="preserve"> reduced life expectancy.</w:t>
      </w:r>
      <w:r w:rsidR="00A1540F" w:rsidRPr="00A17905">
        <w:rPr>
          <w:rStyle w:val="EndnoteReference"/>
          <w:rFonts w:ascii="Arial" w:hAnsi="Arial" w:cs="Arial"/>
          <w:color w:val="000000"/>
          <w:sz w:val="21"/>
          <w:szCs w:val="21"/>
        </w:rPr>
        <w:endnoteReference w:id="4"/>
      </w:r>
    </w:p>
    <w:p w14:paraId="6F13C8AE" w14:textId="3F88433B" w:rsidR="00C46DDC" w:rsidRPr="00A17905" w:rsidRDefault="00C46DDC" w:rsidP="00C46DDC">
      <w:p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 xml:space="preserve">The constraints imposed by </w:t>
      </w:r>
      <w:r w:rsidR="001C11EC">
        <w:rPr>
          <w:rFonts w:ascii="Arial" w:hAnsi="Arial" w:cs="Arial"/>
          <w:color w:val="000000"/>
          <w:sz w:val="21"/>
          <w:szCs w:val="21"/>
        </w:rPr>
        <w:t xml:space="preserve">relatively </w:t>
      </w:r>
      <w:r w:rsidRPr="00A17905">
        <w:rPr>
          <w:rFonts w:ascii="Arial" w:hAnsi="Arial" w:cs="Arial"/>
          <w:color w:val="000000"/>
          <w:sz w:val="21"/>
          <w:szCs w:val="21"/>
        </w:rPr>
        <w:t>low public spending</w:t>
      </w:r>
      <w:r w:rsidR="00303D3E">
        <w:rPr>
          <w:rFonts w:ascii="Arial" w:hAnsi="Arial" w:cs="Arial"/>
          <w:color w:val="000000"/>
          <w:sz w:val="21"/>
          <w:szCs w:val="21"/>
        </w:rPr>
        <w:t xml:space="preserve"> is</w:t>
      </w:r>
      <w:r w:rsidR="00406B4D">
        <w:rPr>
          <w:rFonts w:ascii="Arial" w:hAnsi="Arial" w:cs="Arial"/>
          <w:color w:val="000000"/>
          <w:sz w:val="21"/>
          <w:szCs w:val="21"/>
        </w:rPr>
        <w:t xml:space="preserve"> </w:t>
      </w:r>
      <w:r w:rsidRPr="00A17905">
        <w:rPr>
          <w:rFonts w:ascii="Arial" w:hAnsi="Arial" w:cs="Arial"/>
          <w:color w:val="000000"/>
          <w:sz w:val="21"/>
          <w:szCs w:val="21"/>
        </w:rPr>
        <w:t>compounded by the refusal of Government to more carefully means test benefits and seek higher private contributions from those who can afford to pay.</w:t>
      </w:r>
    </w:p>
    <w:p w14:paraId="4E6A8204" w14:textId="6B947624" w:rsidR="00C46DDC" w:rsidRPr="00A17905" w:rsidRDefault="00C46DDC" w:rsidP="00C46DDC">
      <w:p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 xml:space="preserve">The modest funding increases announced in the 2018-19 Budget and Mid-Year Economic </w:t>
      </w:r>
      <w:r w:rsidRPr="00A17905">
        <w:rPr>
          <w:rFonts w:ascii="Arial" w:hAnsi="Arial" w:cs="Arial"/>
          <w:color w:val="000000"/>
          <w:sz w:val="21"/>
          <w:szCs w:val="21"/>
        </w:rPr>
        <w:t>and Fiscal Outlook (MYEFO) provide some relief, but conditions will continue to deteriorate without a significantly larger intervention.</w:t>
      </w:r>
    </w:p>
    <w:p w14:paraId="430275E8" w14:textId="2B412FAB" w:rsidR="00A1540F" w:rsidRPr="00A17905" w:rsidRDefault="00EE62E0" w:rsidP="00D0424F">
      <w:p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Waiting until the Royal Commission delivers its recommendations could easily delay action and there a number of urgent issues that can be addressed without prejudic</w:t>
      </w:r>
      <w:r w:rsidR="00D0424F" w:rsidRPr="00A17905">
        <w:rPr>
          <w:rFonts w:ascii="Arial" w:hAnsi="Arial" w:cs="Arial"/>
          <w:color w:val="000000"/>
          <w:sz w:val="21"/>
          <w:szCs w:val="21"/>
        </w:rPr>
        <w:t>e to the Commission’s findings.</w:t>
      </w:r>
    </w:p>
    <w:p w14:paraId="143FFEF9" w14:textId="1F630733" w:rsidR="00261F1A" w:rsidRPr="00A17905" w:rsidRDefault="00261F1A" w:rsidP="00A17905">
      <w:pPr>
        <w:pStyle w:val="Heading2"/>
      </w:pPr>
      <w:r w:rsidRPr="00A17905">
        <w:t>Recommended measures</w:t>
      </w:r>
    </w:p>
    <w:p w14:paraId="7E1AF465" w14:textId="27055FFC" w:rsidR="00261F1A" w:rsidRPr="00A17905" w:rsidRDefault="00261F1A" w:rsidP="00261F1A">
      <w:pPr>
        <w:tabs>
          <w:tab w:val="left" w:pos="1701"/>
          <w:tab w:val="right" w:pos="9720"/>
        </w:tabs>
        <w:spacing w:line="240" w:lineRule="auto"/>
        <w:ind w:right="-79"/>
        <w:rPr>
          <w:rFonts w:ascii="Arial" w:hAnsi="Arial" w:cs="Arial"/>
          <w:sz w:val="21"/>
          <w:szCs w:val="21"/>
        </w:rPr>
      </w:pPr>
      <w:r w:rsidRPr="00A17905">
        <w:rPr>
          <w:rFonts w:ascii="Arial" w:hAnsi="Arial" w:cs="Arial"/>
          <w:sz w:val="21"/>
          <w:szCs w:val="21"/>
        </w:rPr>
        <w:t>Low cost, or budget-neutral measures:</w:t>
      </w:r>
    </w:p>
    <w:p w14:paraId="6B1EC89D" w14:textId="3E23D0BE" w:rsidR="00261F1A" w:rsidRPr="00A17905" w:rsidRDefault="00261F1A" w:rsidP="00261F1A">
      <w:pPr>
        <w:pStyle w:val="ListParagraph"/>
        <w:numPr>
          <w:ilvl w:val="0"/>
          <w:numId w:val="41"/>
        </w:numPr>
        <w:tabs>
          <w:tab w:val="left" w:pos="1701"/>
          <w:tab w:val="right" w:pos="9720"/>
        </w:tabs>
        <w:spacing w:line="240" w:lineRule="auto"/>
        <w:ind w:right="-79"/>
        <w:rPr>
          <w:rFonts w:ascii="Arial" w:hAnsi="Arial" w:cs="Arial"/>
          <w:sz w:val="21"/>
          <w:szCs w:val="21"/>
        </w:rPr>
      </w:pPr>
      <w:r w:rsidRPr="00A17905">
        <w:rPr>
          <w:rFonts w:ascii="Arial" w:hAnsi="Arial" w:cs="Arial"/>
          <w:sz w:val="21"/>
          <w:szCs w:val="21"/>
        </w:rPr>
        <w:t>Implement the Tune Review recommendations to increase consumer contributions for those who can afford to pay</w:t>
      </w:r>
    </w:p>
    <w:p w14:paraId="17032E0B" w14:textId="236AA0B0" w:rsidR="00261F1A" w:rsidRPr="00A17905" w:rsidRDefault="00261F1A" w:rsidP="00261F1A">
      <w:pPr>
        <w:pStyle w:val="ListParagraph"/>
        <w:numPr>
          <w:ilvl w:val="0"/>
          <w:numId w:val="41"/>
        </w:numPr>
        <w:tabs>
          <w:tab w:val="left" w:pos="1701"/>
          <w:tab w:val="right" w:pos="9720"/>
        </w:tabs>
        <w:spacing w:line="240" w:lineRule="auto"/>
        <w:ind w:right="-79"/>
        <w:rPr>
          <w:rFonts w:ascii="Arial" w:hAnsi="Arial" w:cs="Arial"/>
          <w:sz w:val="21"/>
          <w:szCs w:val="21"/>
        </w:rPr>
      </w:pPr>
      <w:r w:rsidRPr="00A17905">
        <w:rPr>
          <w:rFonts w:ascii="Arial" w:hAnsi="Arial" w:cs="Arial"/>
          <w:sz w:val="21"/>
          <w:szCs w:val="21"/>
        </w:rPr>
        <w:t xml:space="preserve">Set a fair interest </w:t>
      </w:r>
      <w:r w:rsidR="001C11EC">
        <w:rPr>
          <w:rFonts w:ascii="Arial" w:hAnsi="Arial" w:cs="Arial"/>
          <w:sz w:val="21"/>
          <w:szCs w:val="21"/>
        </w:rPr>
        <w:t xml:space="preserve">rate </w:t>
      </w:r>
      <w:r w:rsidRPr="00A17905">
        <w:rPr>
          <w:rFonts w:ascii="Arial" w:hAnsi="Arial" w:cs="Arial"/>
          <w:color w:val="000000"/>
          <w:sz w:val="21"/>
          <w:szCs w:val="21"/>
        </w:rPr>
        <w:t>on unclaimed lump sum accommodation payments</w:t>
      </w:r>
    </w:p>
    <w:p w14:paraId="700A0AF9" w14:textId="77777777" w:rsidR="00261F1A" w:rsidRPr="00A17905" w:rsidRDefault="00261F1A" w:rsidP="00261F1A">
      <w:pPr>
        <w:pStyle w:val="ListParagraph"/>
        <w:numPr>
          <w:ilvl w:val="0"/>
          <w:numId w:val="41"/>
        </w:numPr>
        <w:tabs>
          <w:tab w:val="left" w:pos="1701"/>
          <w:tab w:val="right" w:pos="9720"/>
        </w:tabs>
        <w:spacing w:line="240" w:lineRule="auto"/>
        <w:ind w:right="-79"/>
        <w:rPr>
          <w:rFonts w:ascii="Arial" w:hAnsi="Arial" w:cs="Arial"/>
          <w:sz w:val="21"/>
          <w:szCs w:val="21"/>
        </w:rPr>
      </w:pPr>
      <w:r w:rsidRPr="00A17905">
        <w:rPr>
          <w:rFonts w:ascii="Arial" w:hAnsi="Arial" w:cs="Arial"/>
          <w:color w:val="000000"/>
          <w:sz w:val="21"/>
          <w:szCs w:val="21"/>
        </w:rPr>
        <w:t>Fast track home care for those with low-means</w:t>
      </w:r>
    </w:p>
    <w:p w14:paraId="4C53EE63" w14:textId="2E70D838" w:rsidR="00261F1A" w:rsidRPr="00A17905" w:rsidRDefault="00012686" w:rsidP="00261F1A">
      <w:pPr>
        <w:pStyle w:val="ListParagraph"/>
        <w:numPr>
          <w:ilvl w:val="0"/>
          <w:numId w:val="41"/>
        </w:numPr>
        <w:tabs>
          <w:tab w:val="left" w:pos="1701"/>
          <w:tab w:val="right" w:pos="9720"/>
        </w:tabs>
        <w:spacing w:line="240" w:lineRule="auto"/>
        <w:ind w:right="-79"/>
        <w:rPr>
          <w:rFonts w:ascii="Arial" w:hAnsi="Arial" w:cs="Arial"/>
          <w:sz w:val="21"/>
          <w:szCs w:val="21"/>
        </w:rPr>
      </w:pPr>
      <w:r>
        <w:rPr>
          <w:rFonts w:ascii="Arial" w:hAnsi="Arial" w:cs="Arial"/>
          <w:color w:val="000000"/>
          <w:sz w:val="21"/>
          <w:szCs w:val="21"/>
        </w:rPr>
        <w:t>Support</w:t>
      </w:r>
      <w:r w:rsidRPr="00A17905">
        <w:rPr>
          <w:rFonts w:ascii="Arial" w:hAnsi="Arial" w:cs="Arial"/>
          <w:color w:val="000000"/>
          <w:sz w:val="21"/>
          <w:szCs w:val="21"/>
        </w:rPr>
        <w:t xml:space="preserve"> </w:t>
      </w:r>
      <w:r w:rsidR="00261F1A" w:rsidRPr="00A17905">
        <w:rPr>
          <w:rFonts w:ascii="Arial" w:hAnsi="Arial" w:cs="Arial"/>
          <w:color w:val="000000"/>
          <w:sz w:val="21"/>
          <w:szCs w:val="21"/>
        </w:rPr>
        <w:t>those on the home care queue to use their home equity</w:t>
      </w:r>
    </w:p>
    <w:p w14:paraId="4AED3696" w14:textId="40FC19D5" w:rsidR="00261F1A" w:rsidRPr="00A17905" w:rsidRDefault="00CA115B" w:rsidP="00261F1A">
      <w:pPr>
        <w:pStyle w:val="ListParagraph"/>
        <w:numPr>
          <w:ilvl w:val="0"/>
          <w:numId w:val="41"/>
        </w:numPr>
        <w:tabs>
          <w:tab w:val="left" w:pos="1701"/>
          <w:tab w:val="right" w:pos="9720"/>
        </w:tabs>
        <w:spacing w:line="240" w:lineRule="auto"/>
        <w:ind w:right="-79"/>
        <w:rPr>
          <w:rFonts w:ascii="Arial" w:hAnsi="Arial" w:cs="Arial"/>
          <w:sz w:val="21"/>
          <w:szCs w:val="21"/>
        </w:rPr>
      </w:pPr>
      <w:r>
        <w:rPr>
          <w:rFonts w:ascii="Arial" w:hAnsi="Arial" w:cs="Arial"/>
          <w:sz w:val="21"/>
          <w:szCs w:val="21"/>
        </w:rPr>
        <w:t>Commence</w:t>
      </w:r>
      <w:r w:rsidR="001C11EC">
        <w:rPr>
          <w:rFonts w:ascii="Arial" w:hAnsi="Arial" w:cs="Arial"/>
          <w:sz w:val="21"/>
          <w:szCs w:val="21"/>
        </w:rPr>
        <w:t xml:space="preserve"> </w:t>
      </w:r>
      <w:r w:rsidR="00261F1A" w:rsidRPr="00A17905">
        <w:rPr>
          <w:rFonts w:ascii="Arial" w:hAnsi="Arial" w:cs="Arial"/>
          <w:sz w:val="21"/>
          <w:szCs w:val="21"/>
        </w:rPr>
        <w:t xml:space="preserve">integration of </w:t>
      </w:r>
      <w:r w:rsidR="001C11EC">
        <w:rPr>
          <w:rFonts w:ascii="Arial" w:hAnsi="Arial" w:cs="Arial"/>
          <w:sz w:val="21"/>
          <w:szCs w:val="21"/>
        </w:rPr>
        <w:t xml:space="preserve">Commonwealth Home Support and Home Care programs </w:t>
      </w:r>
    </w:p>
    <w:p w14:paraId="27F11CFE" w14:textId="0CAA9F35" w:rsidR="0095611C" w:rsidRPr="00A17905" w:rsidRDefault="0095611C" w:rsidP="0095611C">
      <w:pPr>
        <w:pStyle w:val="ListParagraph"/>
        <w:numPr>
          <w:ilvl w:val="0"/>
          <w:numId w:val="41"/>
        </w:numPr>
        <w:tabs>
          <w:tab w:val="left" w:pos="1701"/>
          <w:tab w:val="right" w:pos="9720"/>
        </w:tabs>
        <w:spacing w:line="240" w:lineRule="auto"/>
        <w:ind w:right="-79"/>
        <w:rPr>
          <w:rFonts w:ascii="Arial" w:hAnsi="Arial" w:cs="Arial"/>
          <w:sz w:val="21"/>
          <w:szCs w:val="21"/>
        </w:rPr>
      </w:pPr>
      <w:r w:rsidRPr="00A17905">
        <w:rPr>
          <w:rFonts w:ascii="Arial" w:hAnsi="Arial" w:cs="Arial"/>
          <w:sz w:val="21"/>
          <w:szCs w:val="21"/>
        </w:rPr>
        <w:t>Invest in research to build the foundation of long-term reform</w:t>
      </w:r>
    </w:p>
    <w:p w14:paraId="0954048B" w14:textId="5D873B0C" w:rsidR="00261F1A" w:rsidRPr="00A17905" w:rsidRDefault="00261F1A" w:rsidP="00261F1A">
      <w:p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Measures involving significant additional public support:</w:t>
      </w:r>
    </w:p>
    <w:p w14:paraId="773EF91F" w14:textId="7BEBFBBC" w:rsidR="00261F1A" w:rsidRPr="00A17905" w:rsidRDefault="00261F1A" w:rsidP="00261F1A">
      <w:pPr>
        <w:pStyle w:val="ListParagraph"/>
        <w:numPr>
          <w:ilvl w:val="0"/>
          <w:numId w:val="42"/>
        </w:num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 xml:space="preserve">Indexation </w:t>
      </w:r>
      <w:r w:rsidR="001C11EC">
        <w:rPr>
          <w:rFonts w:ascii="Arial" w:hAnsi="Arial" w:cs="Arial"/>
          <w:color w:val="000000"/>
          <w:sz w:val="21"/>
          <w:szCs w:val="21"/>
        </w:rPr>
        <w:t>correction</w:t>
      </w:r>
      <w:r w:rsidRPr="00A17905">
        <w:rPr>
          <w:rFonts w:ascii="Arial" w:hAnsi="Arial" w:cs="Arial"/>
          <w:color w:val="000000"/>
          <w:sz w:val="21"/>
          <w:szCs w:val="21"/>
        </w:rPr>
        <w:t xml:space="preserve"> for residential care</w:t>
      </w:r>
    </w:p>
    <w:p w14:paraId="45E8160B" w14:textId="77777777" w:rsidR="00261F1A" w:rsidRPr="00A17905" w:rsidRDefault="00261F1A" w:rsidP="00261F1A">
      <w:pPr>
        <w:pStyle w:val="ListParagraph"/>
        <w:numPr>
          <w:ilvl w:val="0"/>
          <w:numId w:val="42"/>
        </w:num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Targeted relief for regional and remote facilities</w:t>
      </w:r>
    </w:p>
    <w:p w14:paraId="73A28088" w14:textId="77777777" w:rsidR="00261F1A" w:rsidRPr="00A17905" w:rsidRDefault="00261F1A" w:rsidP="00261F1A">
      <w:pPr>
        <w:pStyle w:val="ListParagraph"/>
        <w:numPr>
          <w:ilvl w:val="0"/>
          <w:numId w:val="42"/>
        </w:num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Boost to funding for behavioural and psychological symptoms of dementia</w:t>
      </w:r>
    </w:p>
    <w:p w14:paraId="3C29C7C2" w14:textId="77777777" w:rsidR="00261F1A" w:rsidRPr="00A17905" w:rsidRDefault="00261F1A" w:rsidP="00261F1A">
      <w:pPr>
        <w:pStyle w:val="ListParagraph"/>
        <w:numPr>
          <w:ilvl w:val="0"/>
          <w:numId w:val="42"/>
        </w:num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Introduce maximum wait times for home care</w:t>
      </w:r>
    </w:p>
    <w:p w14:paraId="051E48E8" w14:textId="77777777" w:rsidR="00261F1A" w:rsidRPr="00A17905" w:rsidRDefault="00261F1A" w:rsidP="00261F1A">
      <w:pPr>
        <w:pStyle w:val="ListParagraph"/>
        <w:numPr>
          <w:ilvl w:val="0"/>
          <w:numId w:val="42"/>
        </w:num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 xml:space="preserve">Maintain the real value of home care packages </w:t>
      </w:r>
    </w:p>
    <w:p w14:paraId="34B4BADA" w14:textId="62F61E2D" w:rsidR="00261F1A" w:rsidRPr="00A17905" w:rsidRDefault="00A17905" w:rsidP="00261F1A">
      <w:pPr>
        <w:pStyle w:val="ListParagraph"/>
        <w:numPr>
          <w:ilvl w:val="0"/>
          <w:numId w:val="42"/>
        </w:num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Begin</w:t>
      </w:r>
      <w:r w:rsidR="00261F1A" w:rsidRPr="00A17905">
        <w:rPr>
          <w:rFonts w:ascii="Arial" w:hAnsi="Arial" w:cs="Arial"/>
          <w:color w:val="000000"/>
          <w:sz w:val="21"/>
          <w:szCs w:val="21"/>
        </w:rPr>
        <w:t xml:space="preserve"> investing in a skilled workforce</w:t>
      </w:r>
    </w:p>
    <w:p w14:paraId="121D68DD" w14:textId="5C3ADF5F" w:rsidR="00261F1A" w:rsidRPr="00A17905" w:rsidRDefault="00261F1A" w:rsidP="0095611C">
      <w:pPr>
        <w:pStyle w:val="ListParagraph"/>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t xml:space="preserve"> </w:t>
      </w:r>
    </w:p>
    <w:p w14:paraId="777AC021" w14:textId="2CDEEB52" w:rsidR="00261F1A" w:rsidRPr="00261F1A" w:rsidRDefault="00261F1A" w:rsidP="00261F1A">
      <w:pPr>
        <w:tabs>
          <w:tab w:val="left" w:pos="1701"/>
          <w:tab w:val="right" w:pos="9720"/>
        </w:tabs>
        <w:spacing w:line="240" w:lineRule="auto"/>
        <w:ind w:right="-79"/>
        <w:rPr>
          <w:rFonts w:ascii="Arial" w:hAnsi="Arial" w:cs="Arial"/>
          <w:color w:val="000000"/>
          <w:sz w:val="21"/>
          <w:szCs w:val="21"/>
        </w:rPr>
      </w:pPr>
    </w:p>
    <w:p w14:paraId="07454D77" w14:textId="77777777" w:rsidR="00261F1A" w:rsidRPr="00261F1A" w:rsidRDefault="00261F1A" w:rsidP="00261F1A">
      <w:pPr>
        <w:tabs>
          <w:tab w:val="left" w:pos="1701"/>
          <w:tab w:val="right" w:pos="9720"/>
        </w:tabs>
        <w:spacing w:line="240" w:lineRule="auto"/>
        <w:ind w:right="-79"/>
        <w:rPr>
          <w:rFonts w:ascii="Arial" w:hAnsi="Arial" w:cs="Arial"/>
          <w:color w:val="000000"/>
          <w:sz w:val="21"/>
          <w:szCs w:val="21"/>
        </w:rPr>
        <w:sectPr w:rsidR="00261F1A" w:rsidRPr="00261F1A" w:rsidSect="00261F1A">
          <w:endnotePr>
            <w:numFmt w:val="decimal"/>
          </w:endnotePr>
          <w:type w:val="continuous"/>
          <w:pgSz w:w="11906" w:h="16838"/>
          <w:pgMar w:top="1843" w:right="1440" w:bottom="1440" w:left="1440" w:header="708" w:footer="708" w:gutter="0"/>
          <w:cols w:num="2" w:space="708"/>
          <w:titlePg/>
          <w:docGrid w:linePitch="360"/>
        </w:sectPr>
      </w:pPr>
    </w:p>
    <w:p w14:paraId="37D3F0CB" w14:textId="77777777" w:rsidR="00261F1A" w:rsidRDefault="00261F1A" w:rsidP="00D0424F">
      <w:pPr>
        <w:tabs>
          <w:tab w:val="left" w:pos="1701"/>
          <w:tab w:val="right" w:pos="9720"/>
        </w:tabs>
        <w:spacing w:line="240" w:lineRule="auto"/>
        <w:ind w:right="-79"/>
        <w:rPr>
          <w:rFonts w:ascii="Arial" w:hAnsi="Arial" w:cs="Arial"/>
          <w:color w:val="00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623"/>
        <w:gridCol w:w="12"/>
      </w:tblGrid>
      <w:tr w:rsidR="0061155F" w14:paraId="69BDFE60" w14:textId="77777777" w:rsidTr="00261F1A">
        <w:trPr>
          <w:gridAfter w:val="1"/>
          <w:wAfter w:w="19" w:type="dxa"/>
          <w:trHeight w:val="4320"/>
        </w:trPr>
        <w:tc>
          <w:tcPr>
            <w:tcW w:w="4387" w:type="dxa"/>
          </w:tcPr>
          <w:p w14:paraId="0AB2463B" w14:textId="0DBFD9C5" w:rsidR="00EE62E0" w:rsidRPr="002146E7" w:rsidRDefault="00EE62E0" w:rsidP="00473E57">
            <w:pPr>
              <w:pStyle w:val="Heading4"/>
              <w:outlineLvl w:val="3"/>
              <w:rPr>
                <w:color w:val="767171" w:themeColor="background2" w:themeShade="80"/>
              </w:rPr>
            </w:pPr>
            <w:r w:rsidRPr="002146E7">
              <w:rPr>
                <w:b/>
                <w:color w:val="767171" w:themeColor="background2" w:themeShade="80"/>
              </w:rPr>
              <w:lastRenderedPageBreak/>
              <w:t xml:space="preserve">Chart 1. </w:t>
            </w:r>
            <w:r>
              <w:rPr>
                <w:b/>
                <w:color w:val="767171" w:themeColor="background2" w:themeShade="80"/>
              </w:rPr>
              <w:t>H</w:t>
            </w:r>
            <w:r w:rsidRPr="002146E7">
              <w:rPr>
                <w:b/>
                <w:color w:val="767171" w:themeColor="background2" w:themeShade="80"/>
              </w:rPr>
              <w:t>ome care earnings</w:t>
            </w:r>
            <w:r w:rsidRPr="002146E7">
              <w:rPr>
                <w:color w:val="767171" w:themeColor="background2" w:themeShade="80"/>
              </w:rPr>
              <w:t xml:space="preserve"> </w:t>
            </w:r>
            <w:r w:rsidRPr="002146E7">
              <w:rPr>
                <w:rStyle w:val="EndnoteReference"/>
                <w:color w:val="767171" w:themeColor="background2" w:themeShade="80"/>
              </w:rPr>
              <w:endnoteReference w:id="5"/>
            </w:r>
            <w:r w:rsidRPr="002146E7">
              <w:rPr>
                <w:color w:val="767171" w:themeColor="background2" w:themeShade="80"/>
              </w:rPr>
              <w:br/>
            </w:r>
            <w:r>
              <w:rPr>
                <w:color w:val="767171" w:themeColor="background2" w:themeShade="80"/>
              </w:rPr>
              <w:t xml:space="preserve">Average </w:t>
            </w:r>
            <w:r w:rsidRPr="002146E7">
              <w:rPr>
                <w:color w:val="767171" w:themeColor="background2" w:themeShade="80"/>
              </w:rPr>
              <w:t>EBIT per client per day</w:t>
            </w:r>
            <w:r>
              <w:rPr>
                <w:color w:val="767171" w:themeColor="background2" w:themeShade="80"/>
              </w:rPr>
              <w:t>, $</w:t>
            </w:r>
          </w:p>
          <w:p w14:paraId="743CF011" w14:textId="5EC52AAB" w:rsidR="00EE62E0" w:rsidRDefault="003B6847" w:rsidP="00473E57">
            <w:pPr>
              <w:pStyle w:val="Heading4"/>
              <w:outlineLvl w:val="3"/>
            </w:pPr>
            <w:r>
              <w:rPr>
                <w:noProof/>
                <w:lang w:eastAsia="en-AU"/>
              </w:rPr>
              <w:drawing>
                <wp:inline distT="0" distB="0" distL="0" distR="0" wp14:anchorId="4D02C972" wp14:editId="4D63A794">
                  <wp:extent cx="2636520" cy="232853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620" w:type="dxa"/>
          </w:tcPr>
          <w:p w14:paraId="60D2A393" w14:textId="7FAC5498" w:rsidR="00EE62E0" w:rsidRPr="002146E7" w:rsidRDefault="00EE62E0" w:rsidP="00473E57">
            <w:pPr>
              <w:pStyle w:val="Heading4"/>
              <w:outlineLvl w:val="3"/>
              <w:rPr>
                <w:b/>
                <w:color w:val="767171" w:themeColor="background2" w:themeShade="80"/>
              </w:rPr>
            </w:pPr>
            <w:r w:rsidRPr="002146E7">
              <w:rPr>
                <w:b/>
                <w:color w:val="767171" w:themeColor="background2" w:themeShade="80"/>
              </w:rPr>
              <w:t xml:space="preserve">Chart 2. </w:t>
            </w:r>
            <w:r>
              <w:rPr>
                <w:b/>
                <w:color w:val="767171" w:themeColor="background2" w:themeShade="80"/>
              </w:rPr>
              <w:t>R</w:t>
            </w:r>
            <w:r w:rsidRPr="002146E7">
              <w:rPr>
                <w:b/>
                <w:color w:val="767171" w:themeColor="background2" w:themeShade="80"/>
              </w:rPr>
              <w:t>esidential care earnings</w:t>
            </w:r>
            <w:r w:rsidRPr="002146E7">
              <w:rPr>
                <w:rStyle w:val="EndnoteReference"/>
                <w:color w:val="767171" w:themeColor="background2" w:themeShade="80"/>
              </w:rPr>
              <w:endnoteReference w:id="6"/>
            </w:r>
          </w:p>
          <w:p w14:paraId="0BDA31B8" w14:textId="77777777" w:rsidR="00EE62E0" w:rsidRPr="002146E7" w:rsidRDefault="00EE62E0" w:rsidP="00473E57">
            <w:pPr>
              <w:pStyle w:val="Heading4"/>
              <w:outlineLvl w:val="3"/>
              <w:rPr>
                <w:color w:val="767171" w:themeColor="background2" w:themeShade="80"/>
              </w:rPr>
            </w:pPr>
            <w:r>
              <w:rPr>
                <w:color w:val="767171" w:themeColor="background2" w:themeShade="80"/>
              </w:rPr>
              <w:t xml:space="preserve">Average </w:t>
            </w:r>
            <w:r w:rsidRPr="002146E7">
              <w:rPr>
                <w:color w:val="767171" w:themeColor="background2" w:themeShade="80"/>
              </w:rPr>
              <w:t>EBT per bed per day</w:t>
            </w:r>
            <w:r>
              <w:rPr>
                <w:color w:val="767171" w:themeColor="background2" w:themeShade="80"/>
              </w:rPr>
              <w:t>, $</w:t>
            </w:r>
            <w:r w:rsidRPr="002146E7">
              <w:rPr>
                <w:color w:val="767171" w:themeColor="background2" w:themeShade="80"/>
              </w:rPr>
              <w:t xml:space="preserve"> </w:t>
            </w:r>
          </w:p>
          <w:p w14:paraId="4CB22839" w14:textId="54A9112B" w:rsidR="00EE62E0" w:rsidRDefault="003B6847" w:rsidP="00473E57">
            <w:pPr>
              <w:pStyle w:val="Heading4"/>
              <w:outlineLvl w:val="3"/>
            </w:pPr>
            <w:r>
              <w:rPr>
                <w:noProof/>
                <w:lang w:eastAsia="en-AU"/>
              </w:rPr>
              <w:drawing>
                <wp:inline distT="0" distB="0" distL="0" distR="0" wp14:anchorId="75047F6D" wp14:editId="1829E942">
                  <wp:extent cx="2785051" cy="2328531"/>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C86A13" w14:paraId="140DED4F" w14:textId="77777777" w:rsidTr="00352CB8">
        <w:tc>
          <w:tcPr>
            <w:tcW w:w="9026" w:type="dxa"/>
            <w:gridSpan w:val="3"/>
          </w:tcPr>
          <w:p w14:paraId="0A78E97A" w14:textId="3A48981E" w:rsidR="00C86A13" w:rsidRDefault="00C86A13" w:rsidP="00DE43F8">
            <w:pPr>
              <w:pStyle w:val="Heading4"/>
              <w:outlineLvl w:val="3"/>
            </w:pPr>
            <w:r w:rsidRPr="00C86A13">
              <w:rPr>
                <w:b/>
                <w:color w:val="767171" w:themeColor="background2" w:themeShade="80"/>
              </w:rPr>
              <w:t>Chart 3. Expenditure on long-term care in selected OECD countries</w:t>
            </w:r>
            <w:r w:rsidR="0017009E" w:rsidRPr="0088229B">
              <w:rPr>
                <w:color w:val="767171" w:themeColor="background2" w:themeShade="80"/>
                <w:vertAlign w:val="superscript"/>
              </w:rPr>
              <w:endnoteReference w:id="7"/>
            </w:r>
            <w:r w:rsidR="0017009E">
              <w:br/>
            </w:r>
            <w:r w:rsidRPr="0088229B">
              <w:rPr>
                <w:color w:val="767171" w:themeColor="background2" w:themeShade="80"/>
              </w:rPr>
              <w:t>Share of GDP, 2008</w:t>
            </w:r>
          </w:p>
          <w:p w14:paraId="5C8276A1" w14:textId="226C4D69" w:rsidR="00352CB8" w:rsidRPr="00352CB8" w:rsidRDefault="0088229B" w:rsidP="00F53262">
            <w:pPr>
              <w:pStyle w:val="Heading4"/>
              <w:outlineLvl w:val="3"/>
            </w:pPr>
            <w:r>
              <w:rPr>
                <w:noProof/>
                <w:lang w:eastAsia="en-AU"/>
              </w:rPr>
              <mc:AlternateContent>
                <mc:Choice Requires="wps">
                  <w:drawing>
                    <wp:anchor distT="0" distB="0" distL="114300" distR="114300" simplePos="0" relativeHeight="251661315" behindDoc="0" locked="0" layoutInCell="1" allowOverlap="1" wp14:anchorId="31DB508B" wp14:editId="16559B9C">
                      <wp:simplePos x="0" y="0"/>
                      <wp:positionH relativeFrom="column">
                        <wp:posOffset>790161</wp:posOffset>
                      </wp:positionH>
                      <wp:positionV relativeFrom="paragraph">
                        <wp:posOffset>2335530</wp:posOffset>
                      </wp:positionV>
                      <wp:extent cx="341906" cy="353391"/>
                      <wp:effectExtent l="0" t="0" r="20320" b="27940"/>
                      <wp:wrapNone/>
                      <wp:docPr id="20" name="Straight Connector 20"/>
                      <wp:cNvGraphicFramePr/>
                      <a:graphic xmlns:a="http://schemas.openxmlformats.org/drawingml/2006/main">
                        <a:graphicData uri="http://schemas.microsoft.com/office/word/2010/wordprocessingShape">
                          <wps:wsp>
                            <wps:cNvCnPr/>
                            <wps:spPr>
                              <a:xfrm flipV="1">
                                <a:off x="0" y="0"/>
                                <a:ext cx="341906" cy="353391"/>
                              </a:xfrm>
                              <a:prstGeom prst="line">
                                <a:avLst/>
                              </a:prstGeom>
                              <a:ln>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1EA19" id="Straight Connector 20" o:spid="_x0000_s1026" style="position:absolute;flip:y;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pt,183.9pt" to="89.1pt,2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" strokecolor="#ef404a [3209]" strokeweight=".5pt">
                      <v:stroke joinstyle="miter"/>
                    </v:line>
                  </w:pict>
                </mc:Fallback>
              </mc:AlternateContent>
            </w:r>
            <w:r w:rsidR="00C86A13" w:rsidRPr="00C86A13">
              <w:rPr>
                <w:noProof/>
                <w:lang w:eastAsia="en-AU"/>
              </w:rPr>
              <w:drawing>
                <wp:inline distT="0" distB="0" distL="0" distR="0" wp14:anchorId="1A224F80" wp14:editId="21FF0BCE">
                  <wp:extent cx="5426357" cy="2852928"/>
                  <wp:effectExtent l="0" t="0" r="3175"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duotone>
                              <a:schemeClr val="accent1">
                                <a:shade val="45000"/>
                                <a:satMod val="135000"/>
                              </a:schemeClr>
                              <a:prstClr val="white"/>
                            </a:duotone>
                            <a:extLst>
                              <a:ext uri="{28A0092B-C50C-407E-A947-70E740481C1C}">
                                <a14:useLocalDpi xmlns:a14="http://schemas.microsoft.com/office/drawing/2010/main" val="0"/>
                              </a:ext>
                            </a:extLst>
                          </a:blip>
                          <a:srcRect l="1740" t="3408" r="5070" b="3651"/>
                          <a:stretch/>
                        </pic:blipFill>
                        <pic:spPr bwMode="auto">
                          <a:xfrm>
                            <a:off x="0" y="0"/>
                            <a:ext cx="5429670" cy="285467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5407C" w14:paraId="6427CE17" w14:textId="77777777" w:rsidTr="00473E57">
        <w:tc>
          <w:tcPr>
            <w:tcW w:w="9026" w:type="dxa"/>
            <w:gridSpan w:val="3"/>
          </w:tcPr>
          <w:p w14:paraId="602E9FCA" w14:textId="5BD5B46D" w:rsidR="00B5407C" w:rsidRPr="002146E7" w:rsidRDefault="00B5407C" w:rsidP="00352CB8">
            <w:pPr>
              <w:pStyle w:val="Heading4"/>
              <w:outlineLvl w:val="3"/>
              <w:rPr>
                <w:b/>
                <w:color w:val="767171" w:themeColor="background2" w:themeShade="80"/>
              </w:rPr>
            </w:pPr>
            <w:r w:rsidRPr="002146E7">
              <w:rPr>
                <w:b/>
                <w:color w:val="767171" w:themeColor="background2" w:themeShade="80"/>
              </w:rPr>
              <w:t xml:space="preserve">Chart </w:t>
            </w:r>
            <w:r>
              <w:rPr>
                <w:b/>
                <w:color w:val="767171" w:themeColor="background2" w:themeShade="80"/>
              </w:rPr>
              <w:t xml:space="preserve">4 </w:t>
            </w:r>
            <w:r w:rsidR="008B2E48">
              <w:rPr>
                <w:b/>
                <w:color w:val="767171" w:themeColor="background2" w:themeShade="80"/>
              </w:rPr>
              <w:t>F</w:t>
            </w:r>
            <w:r>
              <w:rPr>
                <w:b/>
                <w:color w:val="767171" w:themeColor="background2" w:themeShade="80"/>
              </w:rPr>
              <w:t>unding per older person vs wages</w:t>
            </w:r>
            <w:r w:rsidRPr="002146E7">
              <w:rPr>
                <w:rStyle w:val="EndnoteReference"/>
                <w:color w:val="767171" w:themeColor="background2" w:themeShade="80"/>
              </w:rPr>
              <w:endnoteReference w:id="8"/>
            </w:r>
          </w:p>
          <w:p w14:paraId="77B4F939" w14:textId="615FAF65" w:rsidR="00B5407C" w:rsidRPr="002146E7" w:rsidRDefault="00B5407C" w:rsidP="00352CB8">
            <w:pPr>
              <w:pStyle w:val="Heading4"/>
              <w:outlineLvl w:val="3"/>
              <w:rPr>
                <w:color w:val="767171" w:themeColor="background2" w:themeShade="80"/>
              </w:rPr>
            </w:pPr>
            <w:r>
              <w:rPr>
                <w:color w:val="767171" w:themeColor="background2" w:themeShade="80"/>
              </w:rPr>
              <w:t>Cumulative percentage change</w:t>
            </w:r>
            <w:r w:rsidRPr="002146E7">
              <w:rPr>
                <w:color w:val="767171" w:themeColor="background2" w:themeShade="80"/>
              </w:rPr>
              <w:t xml:space="preserve"> </w:t>
            </w:r>
            <w:r w:rsidR="002D128A">
              <w:rPr>
                <w:color w:val="767171" w:themeColor="background2" w:themeShade="80"/>
              </w:rPr>
              <w:t>from 2012-13</w:t>
            </w:r>
          </w:p>
          <w:p w14:paraId="75193C36" w14:textId="74C9EEAC" w:rsidR="00B5407C" w:rsidRDefault="00B5407C" w:rsidP="00DE43F8">
            <w:pPr>
              <w:pStyle w:val="Heading4"/>
              <w:outlineLvl w:val="3"/>
            </w:pPr>
            <w:r>
              <w:rPr>
                <w:noProof/>
                <w:lang w:eastAsia="en-AU"/>
              </w:rPr>
              <w:drawing>
                <wp:inline distT="0" distB="0" distL="0" distR="0" wp14:anchorId="030ECFFF" wp14:editId="69697060">
                  <wp:extent cx="5676265" cy="1937982"/>
                  <wp:effectExtent l="0" t="0" r="63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6800982F" w14:textId="77777777" w:rsidR="00A1540F" w:rsidRDefault="00A1540F" w:rsidP="00A1540F">
      <w:pPr>
        <w:rPr>
          <w:rFonts w:ascii="Arial" w:hAnsi="Arial" w:cs="Arial"/>
          <w:sz w:val="21"/>
          <w:szCs w:val="21"/>
        </w:rPr>
      </w:pPr>
    </w:p>
    <w:p w14:paraId="40998D70" w14:textId="3F9F209A" w:rsidR="00A1540F" w:rsidRDefault="002D128A" w:rsidP="008B2E48">
      <w:pPr>
        <w:pStyle w:val="Heading1"/>
        <w:spacing w:before="0" w:after="160"/>
      </w:pPr>
      <w:bookmarkStart w:id="4" w:name="_Toc536804095"/>
      <w:r>
        <w:lastRenderedPageBreak/>
        <w:t xml:space="preserve">Low cost, or </w:t>
      </w:r>
      <w:r w:rsidR="00E84138">
        <w:t>budget-</w:t>
      </w:r>
      <w:r>
        <w:t>neutral measures</w:t>
      </w:r>
      <w:bookmarkEnd w:id="4"/>
    </w:p>
    <w:p w14:paraId="5EC6149D" w14:textId="77777777" w:rsidR="008B2E48" w:rsidRDefault="008B2E48" w:rsidP="008B2E48">
      <w:pPr>
        <w:tabs>
          <w:tab w:val="left" w:pos="1701"/>
          <w:tab w:val="right" w:pos="9720"/>
        </w:tabs>
        <w:spacing w:line="240" w:lineRule="auto"/>
        <w:ind w:right="-79"/>
        <w:rPr>
          <w:rFonts w:ascii="Arial" w:hAnsi="Arial" w:cs="Arial"/>
          <w:color w:val="000000"/>
          <w:sz w:val="21"/>
          <w:szCs w:val="21"/>
        </w:rPr>
      </w:pPr>
      <w:r>
        <w:rPr>
          <w:rFonts w:ascii="Arial" w:hAnsi="Arial" w:cs="Arial"/>
          <w:color w:val="000000"/>
          <w:sz w:val="21"/>
          <w:szCs w:val="21"/>
        </w:rPr>
        <w:t>There are a number of low-cost or budget-neutral ways that Government could provide additional support for aged care.</w:t>
      </w:r>
    </w:p>
    <w:p w14:paraId="0C9FCAEE" w14:textId="77777777" w:rsidR="0095611C" w:rsidRDefault="0095611C" w:rsidP="00A34728">
      <w:pPr>
        <w:tabs>
          <w:tab w:val="left" w:pos="1701"/>
          <w:tab w:val="right" w:pos="9720"/>
        </w:tabs>
        <w:spacing w:line="240" w:lineRule="auto"/>
        <w:ind w:right="-79"/>
        <w:rPr>
          <w:rFonts w:asciiTheme="majorHAnsi" w:eastAsiaTheme="majorEastAsia" w:hAnsiTheme="majorHAnsi" w:cstheme="majorBidi"/>
          <w:color w:val="84C44C" w:themeColor="accent4"/>
          <w:sz w:val="26"/>
          <w:szCs w:val="26"/>
        </w:rPr>
      </w:pPr>
      <w:r w:rsidRPr="0095611C">
        <w:rPr>
          <w:rFonts w:asciiTheme="majorHAnsi" w:eastAsiaTheme="majorEastAsia" w:hAnsiTheme="majorHAnsi" w:cstheme="majorBidi"/>
          <w:color w:val="84C44C" w:themeColor="accent4"/>
          <w:sz w:val="26"/>
          <w:szCs w:val="26"/>
        </w:rPr>
        <w:t>Implement the Tune Review recommendations to increase consumer contributions for those who can afford to pay</w:t>
      </w:r>
    </w:p>
    <w:p w14:paraId="53E697BC" w14:textId="75E27B44" w:rsidR="00A1540F" w:rsidRPr="00A34728" w:rsidRDefault="008B2E48" w:rsidP="00A34728">
      <w:pPr>
        <w:tabs>
          <w:tab w:val="left" w:pos="1701"/>
          <w:tab w:val="right" w:pos="9720"/>
        </w:tabs>
        <w:spacing w:line="240" w:lineRule="auto"/>
        <w:ind w:right="-79"/>
        <w:rPr>
          <w:rFonts w:ascii="Arial" w:hAnsi="Arial" w:cs="Arial"/>
          <w:color w:val="000000"/>
          <w:sz w:val="21"/>
          <w:szCs w:val="21"/>
        </w:rPr>
      </w:pPr>
      <w:r w:rsidRPr="00A34728">
        <w:rPr>
          <w:rFonts w:ascii="Arial" w:hAnsi="Arial" w:cs="Arial"/>
          <w:color w:val="000000"/>
          <w:sz w:val="21"/>
          <w:szCs w:val="21"/>
        </w:rPr>
        <w:t>The most significant set of</w:t>
      </w:r>
      <w:r w:rsidR="00E84138" w:rsidRPr="00A34728">
        <w:rPr>
          <w:rFonts w:ascii="Arial" w:hAnsi="Arial" w:cs="Arial"/>
          <w:color w:val="000000"/>
          <w:sz w:val="21"/>
          <w:szCs w:val="21"/>
        </w:rPr>
        <w:t xml:space="preserve"> budget-neutral</w:t>
      </w:r>
      <w:r w:rsidRPr="00A34728">
        <w:rPr>
          <w:rFonts w:ascii="Arial" w:hAnsi="Arial" w:cs="Arial"/>
          <w:color w:val="000000"/>
          <w:sz w:val="21"/>
          <w:szCs w:val="21"/>
        </w:rPr>
        <w:t xml:space="preserve"> measures would be to implement the </w:t>
      </w:r>
      <w:r w:rsidR="00E84138" w:rsidRPr="00A34728">
        <w:rPr>
          <w:rFonts w:ascii="Arial" w:hAnsi="Arial" w:cs="Arial"/>
          <w:color w:val="000000"/>
          <w:sz w:val="21"/>
          <w:szCs w:val="21"/>
        </w:rPr>
        <w:t>r</w:t>
      </w:r>
      <w:r w:rsidRPr="00A34728">
        <w:rPr>
          <w:rFonts w:ascii="Arial" w:hAnsi="Arial" w:cs="Arial"/>
          <w:color w:val="000000"/>
          <w:sz w:val="21"/>
          <w:szCs w:val="21"/>
        </w:rPr>
        <w:t>ecommendations of the 2017 Aged Care Legislated Review</w:t>
      </w:r>
      <w:r w:rsidR="00473E57" w:rsidRPr="00A34728">
        <w:rPr>
          <w:rFonts w:ascii="Arial" w:hAnsi="Arial" w:cs="Arial"/>
          <w:color w:val="000000"/>
          <w:sz w:val="21"/>
          <w:szCs w:val="21"/>
        </w:rPr>
        <w:t xml:space="preserve"> (</w:t>
      </w:r>
      <w:r w:rsidR="00E84138" w:rsidRPr="00A34728">
        <w:rPr>
          <w:rFonts w:ascii="Arial" w:hAnsi="Arial" w:cs="Arial"/>
          <w:color w:val="000000"/>
          <w:sz w:val="21"/>
          <w:szCs w:val="21"/>
        </w:rPr>
        <w:t xml:space="preserve">the </w:t>
      </w:r>
      <w:r w:rsidR="00473E57" w:rsidRPr="00A34728">
        <w:rPr>
          <w:rFonts w:ascii="Arial" w:hAnsi="Arial" w:cs="Arial"/>
          <w:color w:val="000000"/>
          <w:sz w:val="21"/>
          <w:szCs w:val="21"/>
        </w:rPr>
        <w:t>Tune Review)</w:t>
      </w:r>
      <w:r w:rsidRPr="00A34728">
        <w:rPr>
          <w:rFonts w:ascii="Arial" w:hAnsi="Arial" w:cs="Arial"/>
          <w:color w:val="000000"/>
          <w:sz w:val="21"/>
          <w:szCs w:val="21"/>
        </w:rPr>
        <w:t xml:space="preserve"> to allow higher contributions from those who can afford to pay.</w:t>
      </w:r>
    </w:p>
    <w:p w14:paraId="5057E149" w14:textId="121ADBF5" w:rsidR="00A1540F" w:rsidRPr="00A34728" w:rsidRDefault="00473E57" w:rsidP="00A34728">
      <w:pPr>
        <w:tabs>
          <w:tab w:val="left" w:pos="1701"/>
          <w:tab w:val="right" w:pos="9720"/>
        </w:tabs>
        <w:spacing w:line="240" w:lineRule="auto"/>
        <w:ind w:right="-79"/>
        <w:rPr>
          <w:rFonts w:ascii="Arial" w:hAnsi="Arial" w:cs="Arial"/>
          <w:color w:val="000000"/>
          <w:sz w:val="21"/>
          <w:szCs w:val="21"/>
        </w:rPr>
      </w:pPr>
      <w:r w:rsidRPr="00A34728">
        <w:rPr>
          <w:rFonts w:ascii="Arial" w:hAnsi="Arial" w:cs="Arial"/>
          <w:color w:val="000000"/>
          <w:sz w:val="21"/>
          <w:szCs w:val="21"/>
        </w:rPr>
        <w:t>A good first step would be the recommendation to allow residential care providers to charge a higher basic daily fee to non-low means residents, with amounts over $100 to be approved by the Aged Care Pricing Commissioner.</w:t>
      </w:r>
    </w:p>
    <w:p w14:paraId="386CCA81" w14:textId="323445E3" w:rsidR="00473E57" w:rsidRDefault="00473E57" w:rsidP="00473E57">
      <w:pPr>
        <w:pStyle w:val="ListParagraph"/>
        <w:spacing w:line="240" w:lineRule="auto"/>
        <w:ind w:left="0"/>
        <w:rPr>
          <w:rFonts w:ascii="Arial" w:hAnsi="Arial" w:cs="Arial"/>
          <w:sz w:val="21"/>
          <w:szCs w:val="21"/>
        </w:rPr>
      </w:pPr>
      <w:r>
        <w:rPr>
          <w:rFonts w:ascii="Arial" w:hAnsi="Arial" w:cs="Arial"/>
          <w:sz w:val="21"/>
          <w:szCs w:val="21"/>
        </w:rPr>
        <w:t xml:space="preserve">The basic daily care fee covers </w:t>
      </w:r>
      <w:r w:rsidRPr="00473E57">
        <w:rPr>
          <w:rFonts w:ascii="Arial" w:hAnsi="Arial" w:cs="Arial"/>
          <w:sz w:val="21"/>
          <w:szCs w:val="21"/>
        </w:rPr>
        <w:t>day-to-day living costs such as meals, cleaning, laundry, heating and cooling</w:t>
      </w:r>
      <w:r>
        <w:rPr>
          <w:rFonts w:ascii="Arial" w:hAnsi="Arial" w:cs="Arial"/>
          <w:sz w:val="21"/>
          <w:szCs w:val="21"/>
        </w:rPr>
        <w:t>.</w:t>
      </w:r>
    </w:p>
    <w:p w14:paraId="216410CA" w14:textId="4E3E7F3E" w:rsidR="00473E57" w:rsidRDefault="00473E57" w:rsidP="00473E57">
      <w:pPr>
        <w:pStyle w:val="ListParagraph"/>
        <w:spacing w:line="240" w:lineRule="auto"/>
        <w:ind w:left="0"/>
        <w:rPr>
          <w:rFonts w:ascii="Arial" w:hAnsi="Arial" w:cs="Arial"/>
          <w:sz w:val="21"/>
          <w:szCs w:val="21"/>
        </w:rPr>
      </w:pPr>
    </w:p>
    <w:p w14:paraId="79C59845" w14:textId="29BB12EE" w:rsidR="00473E57" w:rsidRDefault="00473E57" w:rsidP="00473E57">
      <w:pPr>
        <w:pStyle w:val="ListParagraph"/>
        <w:spacing w:line="240" w:lineRule="auto"/>
        <w:ind w:left="0"/>
        <w:rPr>
          <w:rFonts w:ascii="Arial" w:hAnsi="Arial" w:cs="Arial"/>
          <w:sz w:val="21"/>
          <w:szCs w:val="21"/>
        </w:rPr>
      </w:pPr>
      <w:r>
        <w:rPr>
          <w:rFonts w:ascii="Arial" w:hAnsi="Arial" w:cs="Arial"/>
          <w:sz w:val="21"/>
          <w:szCs w:val="21"/>
        </w:rPr>
        <w:t>The Tune Review quotes CEO of LASA Member IRT noting that the gap between these daily living expenses and the basic daily fee has risen from $16.10 to $32.12 per day.</w:t>
      </w:r>
      <w:r>
        <w:rPr>
          <w:rStyle w:val="EndnoteReference"/>
          <w:rFonts w:ascii="Arial" w:hAnsi="Arial" w:cs="Arial"/>
          <w:sz w:val="21"/>
          <w:szCs w:val="21"/>
        </w:rPr>
        <w:endnoteReference w:id="9"/>
      </w:r>
      <w:r>
        <w:rPr>
          <w:rFonts w:ascii="Arial" w:hAnsi="Arial" w:cs="Arial"/>
          <w:sz w:val="21"/>
          <w:szCs w:val="21"/>
        </w:rPr>
        <w:t xml:space="preserve"> </w:t>
      </w:r>
    </w:p>
    <w:p w14:paraId="08D20C35" w14:textId="4603F5D3" w:rsidR="00473E57" w:rsidRDefault="00473E57" w:rsidP="00473E57">
      <w:pPr>
        <w:pStyle w:val="ListParagraph"/>
        <w:spacing w:line="240" w:lineRule="auto"/>
        <w:ind w:left="0"/>
        <w:rPr>
          <w:rFonts w:ascii="Arial" w:hAnsi="Arial" w:cs="Arial"/>
          <w:sz w:val="21"/>
          <w:szCs w:val="21"/>
        </w:rPr>
      </w:pPr>
    </w:p>
    <w:p w14:paraId="20FA7838" w14:textId="5C7FBC8A" w:rsidR="00473E57" w:rsidRDefault="00473E57" w:rsidP="00473E57">
      <w:pPr>
        <w:pStyle w:val="ListParagraph"/>
        <w:spacing w:line="240" w:lineRule="auto"/>
        <w:ind w:left="0"/>
        <w:rPr>
          <w:rFonts w:ascii="Arial" w:hAnsi="Arial" w:cs="Arial"/>
          <w:sz w:val="21"/>
          <w:szCs w:val="21"/>
        </w:rPr>
      </w:pPr>
      <w:r>
        <w:rPr>
          <w:rFonts w:ascii="Arial" w:hAnsi="Arial" w:cs="Arial"/>
          <w:sz w:val="21"/>
          <w:szCs w:val="21"/>
        </w:rPr>
        <w:t xml:space="preserve">One benefit of a higher basic daily care fee would be increased funding </w:t>
      </w:r>
      <w:r w:rsidR="00E84138">
        <w:rPr>
          <w:rFonts w:ascii="Arial" w:hAnsi="Arial" w:cs="Arial"/>
          <w:sz w:val="21"/>
          <w:szCs w:val="21"/>
        </w:rPr>
        <w:t>for</w:t>
      </w:r>
      <w:r>
        <w:rPr>
          <w:rFonts w:ascii="Arial" w:hAnsi="Arial" w:cs="Arial"/>
          <w:sz w:val="21"/>
          <w:szCs w:val="21"/>
        </w:rPr>
        <w:t xml:space="preserve"> resident meals</w:t>
      </w:r>
      <w:r w:rsidR="006E28ED">
        <w:rPr>
          <w:rFonts w:ascii="Arial" w:hAnsi="Arial" w:cs="Arial"/>
          <w:sz w:val="21"/>
          <w:szCs w:val="21"/>
        </w:rPr>
        <w:t>.</w:t>
      </w:r>
      <w:r>
        <w:rPr>
          <w:rFonts w:ascii="Arial" w:hAnsi="Arial" w:cs="Arial"/>
          <w:sz w:val="21"/>
          <w:szCs w:val="21"/>
        </w:rPr>
        <w:t xml:space="preserve"> </w:t>
      </w:r>
      <w:r w:rsidR="00E84138">
        <w:rPr>
          <w:rFonts w:ascii="Arial" w:hAnsi="Arial" w:cs="Arial"/>
          <w:sz w:val="21"/>
          <w:szCs w:val="21"/>
        </w:rPr>
        <w:t>Food in residential care</w:t>
      </w:r>
      <w:r w:rsidR="006E28ED">
        <w:rPr>
          <w:rFonts w:ascii="Arial" w:hAnsi="Arial" w:cs="Arial"/>
          <w:sz w:val="21"/>
          <w:szCs w:val="21"/>
        </w:rPr>
        <w:t xml:space="preserve"> </w:t>
      </w:r>
      <w:r>
        <w:rPr>
          <w:rFonts w:ascii="Arial" w:hAnsi="Arial" w:cs="Arial"/>
          <w:sz w:val="21"/>
          <w:szCs w:val="21"/>
        </w:rPr>
        <w:t>has been a key area of concern in med</w:t>
      </w:r>
      <w:r w:rsidR="006E28ED">
        <w:rPr>
          <w:rFonts w:ascii="Arial" w:hAnsi="Arial" w:cs="Arial"/>
          <w:sz w:val="21"/>
          <w:szCs w:val="21"/>
        </w:rPr>
        <w:t>ia reports</w:t>
      </w:r>
      <w:r w:rsidR="00E84138">
        <w:rPr>
          <w:rFonts w:ascii="Arial" w:hAnsi="Arial" w:cs="Arial"/>
          <w:sz w:val="21"/>
          <w:szCs w:val="21"/>
        </w:rPr>
        <w:t>.</w:t>
      </w:r>
      <w:r w:rsidR="006E28ED">
        <w:rPr>
          <w:rStyle w:val="EndnoteReference"/>
          <w:rFonts w:ascii="Arial" w:hAnsi="Arial" w:cs="Arial"/>
          <w:sz w:val="21"/>
          <w:szCs w:val="21"/>
        </w:rPr>
        <w:endnoteReference w:id="10"/>
      </w:r>
      <w:r w:rsidR="00E84138">
        <w:rPr>
          <w:rFonts w:ascii="Arial" w:hAnsi="Arial" w:cs="Arial"/>
          <w:sz w:val="21"/>
          <w:szCs w:val="21"/>
        </w:rPr>
        <w:t xml:space="preserve"> It</w:t>
      </w:r>
      <w:r w:rsidR="006E28ED">
        <w:rPr>
          <w:rFonts w:ascii="Arial" w:hAnsi="Arial" w:cs="Arial"/>
          <w:sz w:val="21"/>
          <w:szCs w:val="21"/>
        </w:rPr>
        <w:t xml:space="preserve"> is</w:t>
      </w:r>
      <w:r w:rsidR="00E84138">
        <w:rPr>
          <w:rFonts w:ascii="Arial" w:hAnsi="Arial" w:cs="Arial"/>
          <w:sz w:val="21"/>
          <w:szCs w:val="21"/>
        </w:rPr>
        <w:t xml:space="preserve"> also</w:t>
      </w:r>
      <w:r w:rsidR="006E28ED">
        <w:rPr>
          <w:rFonts w:ascii="Arial" w:hAnsi="Arial" w:cs="Arial"/>
          <w:sz w:val="21"/>
          <w:szCs w:val="21"/>
        </w:rPr>
        <w:t xml:space="preserve"> an area of relative weakness </w:t>
      </w:r>
      <w:r w:rsidR="001C11EC">
        <w:rPr>
          <w:rFonts w:ascii="Arial" w:hAnsi="Arial" w:cs="Arial"/>
          <w:sz w:val="21"/>
          <w:szCs w:val="21"/>
        </w:rPr>
        <w:t xml:space="preserve">in recent </w:t>
      </w:r>
      <w:r w:rsidR="006E28ED">
        <w:rPr>
          <w:rFonts w:ascii="Arial" w:hAnsi="Arial" w:cs="Arial"/>
          <w:sz w:val="21"/>
          <w:szCs w:val="21"/>
        </w:rPr>
        <w:t>consumer surveys (though LASA notes that 84 per cent of residents are</w:t>
      </w:r>
      <w:r w:rsidR="00E84138">
        <w:rPr>
          <w:rFonts w:ascii="Arial" w:hAnsi="Arial" w:cs="Arial"/>
          <w:sz w:val="21"/>
          <w:szCs w:val="21"/>
        </w:rPr>
        <w:t xml:space="preserve"> still</w:t>
      </w:r>
      <w:r w:rsidR="006E28ED">
        <w:rPr>
          <w:rFonts w:ascii="Arial" w:hAnsi="Arial" w:cs="Arial"/>
          <w:sz w:val="21"/>
          <w:szCs w:val="21"/>
        </w:rPr>
        <w:t xml:space="preserve"> reported as liking the food always or most of the time)</w:t>
      </w:r>
      <w:r w:rsidR="00E84138">
        <w:rPr>
          <w:rFonts w:ascii="Arial" w:hAnsi="Arial" w:cs="Arial"/>
          <w:sz w:val="21"/>
          <w:szCs w:val="21"/>
        </w:rPr>
        <w:t>.</w:t>
      </w:r>
      <w:r w:rsidR="00E84138">
        <w:rPr>
          <w:rStyle w:val="EndnoteReference"/>
          <w:rFonts w:ascii="Arial" w:hAnsi="Arial" w:cs="Arial"/>
          <w:sz w:val="21"/>
          <w:szCs w:val="21"/>
        </w:rPr>
        <w:endnoteReference w:id="11"/>
      </w:r>
    </w:p>
    <w:p w14:paraId="5BE6C112" w14:textId="2B19033B" w:rsidR="00473E57" w:rsidRDefault="00473E57" w:rsidP="00473E57">
      <w:pPr>
        <w:pStyle w:val="ListParagraph"/>
        <w:spacing w:line="240" w:lineRule="auto"/>
        <w:ind w:left="0"/>
        <w:rPr>
          <w:rFonts w:ascii="Arial" w:hAnsi="Arial" w:cs="Arial"/>
          <w:sz w:val="21"/>
          <w:szCs w:val="21"/>
        </w:rPr>
      </w:pPr>
    </w:p>
    <w:p w14:paraId="799DC306" w14:textId="3D28DBF8" w:rsidR="00E84138" w:rsidRDefault="00E84138" w:rsidP="00E84138">
      <w:pPr>
        <w:pStyle w:val="ListParagraph"/>
        <w:spacing w:line="240" w:lineRule="auto"/>
        <w:ind w:left="0"/>
        <w:contextualSpacing w:val="0"/>
        <w:rPr>
          <w:rFonts w:ascii="Arial" w:hAnsi="Arial" w:cs="Arial"/>
          <w:sz w:val="21"/>
          <w:szCs w:val="21"/>
        </w:rPr>
      </w:pPr>
      <w:r>
        <w:rPr>
          <w:rFonts w:ascii="Arial" w:hAnsi="Arial" w:cs="Arial"/>
          <w:sz w:val="21"/>
          <w:szCs w:val="21"/>
        </w:rPr>
        <w:t>Government could also support more equitable consumer contribution by:</w:t>
      </w:r>
    </w:p>
    <w:p w14:paraId="23B70B47" w14:textId="1FF68AC6" w:rsidR="00E84138" w:rsidRPr="00E84138" w:rsidRDefault="00E84138" w:rsidP="00E84138">
      <w:pPr>
        <w:pStyle w:val="ListParagraph"/>
        <w:numPr>
          <w:ilvl w:val="0"/>
          <w:numId w:val="37"/>
        </w:numPr>
        <w:tabs>
          <w:tab w:val="left" w:pos="1701"/>
          <w:tab w:val="right" w:pos="9720"/>
        </w:tabs>
        <w:spacing w:line="240" w:lineRule="auto"/>
        <w:ind w:right="-72"/>
        <w:contextualSpacing w:val="0"/>
        <w:rPr>
          <w:rFonts w:ascii="Arial" w:hAnsi="Arial" w:cs="Arial"/>
          <w:color w:val="000000"/>
          <w:sz w:val="21"/>
          <w:szCs w:val="21"/>
        </w:rPr>
      </w:pPr>
      <w:r w:rsidRPr="00E84138">
        <w:rPr>
          <w:rFonts w:ascii="Arial" w:hAnsi="Arial" w:cs="Arial"/>
          <w:color w:val="000000"/>
          <w:sz w:val="21"/>
          <w:szCs w:val="21"/>
        </w:rPr>
        <w:t>adjusting upwards t</w:t>
      </w:r>
      <w:r w:rsidR="00A34728">
        <w:rPr>
          <w:rFonts w:ascii="Arial" w:hAnsi="Arial" w:cs="Arial"/>
          <w:color w:val="000000"/>
          <w:sz w:val="21"/>
          <w:szCs w:val="21"/>
        </w:rPr>
        <w:t>he current threshold value ($162,000</w:t>
      </w:r>
      <w:r w:rsidRPr="00E84138">
        <w:rPr>
          <w:rFonts w:ascii="Arial" w:hAnsi="Arial" w:cs="Arial"/>
          <w:color w:val="000000"/>
          <w:sz w:val="21"/>
          <w:szCs w:val="21"/>
        </w:rPr>
        <w:t xml:space="preserve">) of the family home in residential aged care means testing calculations (Tune #13) </w:t>
      </w:r>
    </w:p>
    <w:p w14:paraId="40386A80" w14:textId="0A40221B" w:rsidR="00E84138" w:rsidRPr="00E84138" w:rsidRDefault="00E84138" w:rsidP="00E84138">
      <w:pPr>
        <w:pStyle w:val="ListParagraph"/>
        <w:numPr>
          <w:ilvl w:val="0"/>
          <w:numId w:val="37"/>
        </w:numPr>
        <w:tabs>
          <w:tab w:val="left" w:pos="1701"/>
          <w:tab w:val="right" w:pos="9720"/>
        </w:tabs>
        <w:spacing w:line="240" w:lineRule="auto"/>
        <w:ind w:right="-72"/>
        <w:contextualSpacing w:val="0"/>
        <w:rPr>
          <w:rFonts w:ascii="Arial" w:hAnsi="Arial" w:cs="Arial"/>
          <w:color w:val="000000"/>
          <w:sz w:val="21"/>
          <w:szCs w:val="21"/>
        </w:rPr>
      </w:pPr>
      <w:r w:rsidRPr="00E84138">
        <w:rPr>
          <w:rFonts w:ascii="Arial" w:hAnsi="Arial" w:cs="Arial"/>
          <w:color w:val="000000"/>
          <w:sz w:val="21"/>
          <w:szCs w:val="21"/>
        </w:rPr>
        <w:t>increasing the annual fee cap for home care package income tested care fees (e.g. to $20,000 per annum), reviewing annual caps for means tested fees in residential care and abolishing lifetime caps for these fees in both home care and residential aged care (Tune</w:t>
      </w:r>
      <w:r w:rsidR="00A34728">
        <w:rPr>
          <w:rFonts w:ascii="Arial" w:hAnsi="Arial" w:cs="Arial"/>
          <w:color w:val="000000"/>
          <w:sz w:val="21"/>
          <w:szCs w:val="21"/>
        </w:rPr>
        <w:t> </w:t>
      </w:r>
      <w:r w:rsidRPr="00E84138">
        <w:rPr>
          <w:rFonts w:ascii="Arial" w:hAnsi="Arial" w:cs="Arial"/>
          <w:color w:val="000000"/>
          <w:sz w:val="21"/>
          <w:szCs w:val="21"/>
        </w:rPr>
        <w:t xml:space="preserve">#15) </w:t>
      </w:r>
    </w:p>
    <w:p w14:paraId="5E7FE887" w14:textId="62E040CA" w:rsidR="00E84138" w:rsidRPr="00E84138" w:rsidRDefault="00E84138" w:rsidP="00E84138">
      <w:pPr>
        <w:pStyle w:val="ListParagraph"/>
        <w:numPr>
          <w:ilvl w:val="0"/>
          <w:numId w:val="37"/>
        </w:numPr>
        <w:tabs>
          <w:tab w:val="left" w:pos="1701"/>
          <w:tab w:val="right" w:pos="9720"/>
        </w:tabs>
        <w:spacing w:line="240" w:lineRule="auto"/>
        <w:ind w:right="-72"/>
        <w:contextualSpacing w:val="0"/>
        <w:rPr>
          <w:rFonts w:ascii="Arial" w:hAnsi="Arial" w:cs="Arial"/>
          <w:color w:val="000000"/>
          <w:sz w:val="21"/>
          <w:szCs w:val="21"/>
        </w:rPr>
      </w:pPr>
      <w:r w:rsidRPr="00E84138">
        <w:rPr>
          <w:rFonts w:ascii="Arial" w:hAnsi="Arial" w:cs="Arial"/>
          <w:color w:val="000000"/>
          <w:sz w:val="21"/>
          <w:szCs w:val="21"/>
        </w:rPr>
        <w:t xml:space="preserve">introducing mandatory consumer contributions for Commonwealth Home Support Program services – commensurate with an individual’s financial means (Tune #16) </w:t>
      </w:r>
    </w:p>
    <w:p w14:paraId="6C0869B1" w14:textId="64CFB2BC" w:rsidR="00E84138" w:rsidRPr="00E84138" w:rsidRDefault="00E84138" w:rsidP="00E84138">
      <w:pPr>
        <w:pStyle w:val="ListParagraph"/>
        <w:numPr>
          <w:ilvl w:val="0"/>
          <w:numId w:val="37"/>
        </w:numPr>
        <w:tabs>
          <w:tab w:val="left" w:pos="1701"/>
          <w:tab w:val="right" w:pos="9720"/>
        </w:tabs>
        <w:spacing w:line="240" w:lineRule="auto"/>
        <w:ind w:right="-72"/>
        <w:contextualSpacing w:val="0"/>
        <w:rPr>
          <w:rFonts w:ascii="Arial" w:hAnsi="Arial" w:cs="Arial"/>
          <w:color w:val="000000"/>
          <w:sz w:val="21"/>
          <w:szCs w:val="21"/>
        </w:rPr>
      </w:pPr>
      <w:r w:rsidRPr="00E84138">
        <w:rPr>
          <w:rFonts w:ascii="Arial" w:hAnsi="Arial" w:cs="Arial"/>
          <w:color w:val="000000"/>
          <w:sz w:val="21"/>
          <w:szCs w:val="21"/>
        </w:rPr>
        <w:t>increasing the maximum accommodation (bond) payment to $750</w:t>
      </w:r>
      <w:r w:rsidR="00A34728">
        <w:rPr>
          <w:rFonts w:ascii="Arial" w:hAnsi="Arial" w:cs="Arial"/>
          <w:color w:val="000000"/>
          <w:sz w:val="21"/>
          <w:szCs w:val="21"/>
        </w:rPr>
        <w:t>,000</w:t>
      </w:r>
      <w:r w:rsidRPr="00E84138">
        <w:rPr>
          <w:rFonts w:ascii="Arial" w:hAnsi="Arial" w:cs="Arial"/>
          <w:color w:val="000000"/>
          <w:sz w:val="21"/>
          <w:szCs w:val="21"/>
        </w:rPr>
        <w:t xml:space="preserve"> (or equivalent daily payment) and implementing an automatic link between future maximum accommodation payment levels and median house prices, with possible adjustments to this for regional areas where local property values may not reflect the level of investment required (Tune #19). </w:t>
      </w:r>
    </w:p>
    <w:p w14:paraId="506DD4F7" w14:textId="77777777" w:rsidR="0095611C" w:rsidRDefault="0095611C" w:rsidP="005C5998">
      <w:pPr>
        <w:tabs>
          <w:tab w:val="left" w:pos="1701"/>
          <w:tab w:val="right" w:pos="9720"/>
        </w:tabs>
        <w:spacing w:line="240" w:lineRule="auto"/>
        <w:ind w:right="-79"/>
        <w:rPr>
          <w:rFonts w:asciiTheme="majorHAnsi" w:eastAsiaTheme="majorEastAsia" w:hAnsiTheme="majorHAnsi" w:cstheme="majorBidi"/>
          <w:color w:val="84C44C" w:themeColor="accent4"/>
          <w:sz w:val="26"/>
          <w:szCs w:val="26"/>
        </w:rPr>
      </w:pPr>
      <w:r w:rsidRPr="0095611C">
        <w:rPr>
          <w:rFonts w:asciiTheme="majorHAnsi" w:eastAsiaTheme="majorEastAsia" w:hAnsiTheme="majorHAnsi" w:cstheme="majorBidi"/>
          <w:color w:val="84C44C" w:themeColor="accent4"/>
          <w:sz w:val="26"/>
          <w:szCs w:val="26"/>
        </w:rPr>
        <w:t>Set a fair interest on unclaimed lump sum accommodation payments</w:t>
      </w:r>
    </w:p>
    <w:p w14:paraId="16763420" w14:textId="26456CDB" w:rsidR="001425D0" w:rsidRDefault="00A34728" w:rsidP="005C5998">
      <w:pPr>
        <w:tabs>
          <w:tab w:val="left" w:pos="1701"/>
          <w:tab w:val="right" w:pos="9720"/>
        </w:tabs>
        <w:spacing w:line="240" w:lineRule="auto"/>
        <w:ind w:right="-79"/>
        <w:rPr>
          <w:rFonts w:ascii="Arial" w:hAnsi="Arial" w:cs="Arial"/>
          <w:color w:val="000000"/>
          <w:sz w:val="21"/>
          <w:szCs w:val="21"/>
        </w:rPr>
      </w:pPr>
      <w:r w:rsidRPr="005C5998">
        <w:rPr>
          <w:rFonts w:ascii="Arial" w:hAnsi="Arial" w:cs="Arial"/>
          <w:color w:val="000000"/>
          <w:sz w:val="21"/>
          <w:szCs w:val="21"/>
        </w:rPr>
        <w:t>Government could free-up</w:t>
      </w:r>
      <w:r w:rsidR="005C5998" w:rsidRPr="005C5998">
        <w:rPr>
          <w:rFonts w:ascii="Arial" w:hAnsi="Arial" w:cs="Arial"/>
          <w:color w:val="000000"/>
          <w:sz w:val="21"/>
          <w:szCs w:val="21"/>
        </w:rPr>
        <w:t xml:space="preserve"> </w:t>
      </w:r>
      <w:r w:rsidRPr="005C5998">
        <w:rPr>
          <w:rFonts w:ascii="Arial" w:hAnsi="Arial" w:cs="Arial"/>
          <w:color w:val="000000"/>
          <w:sz w:val="21"/>
          <w:szCs w:val="21"/>
        </w:rPr>
        <w:t xml:space="preserve">resources in residential care by lowering the </w:t>
      </w:r>
      <w:r w:rsidR="005C5998">
        <w:rPr>
          <w:rFonts w:ascii="Arial" w:hAnsi="Arial" w:cs="Arial"/>
          <w:color w:val="000000"/>
          <w:sz w:val="21"/>
          <w:szCs w:val="21"/>
        </w:rPr>
        <w:t xml:space="preserve">base </w:t>
      </w:r>
      <w:r w:rsidR="005C5998" w:rsidRPr="005C5998">
        <w:rPr>
          <w:rFonts w:ascii="Arial" w:hAnsi="Arial" w:cs="Arial"/>
          <w:color w:val="000000"/>
          <w:sz w:val="21"/>
          <w:szCs w:val="21"/>
        </w:rPr>
        <w:t xml:space="preserve">interest rate </w:t>
      </w:r>
      <w:r w:rsidR="005C5998">
        <w:rPr>
          <w:rFonts w:ascii="Arial" w:hAnsi="Arial" w:cs="Arial"/>
          <w:color w:val="000000"/>
          <w:sz w:val="21"/>
          <w:szCs w:val="21"/>
        </w:rPr>
        <w:t xml:space="preserve">(BIR) </w:t>
      </w:r>
      <w:r w:rsidR="005C5998" w:rsidRPr="005C5998">
        <w:rPr>
          <w:rFonts w:ascii="Arial" w:hAnsi="Arial" w:cs="Arial"/>
          <w:color w:val="000000"/>
          <w:sz w:val="21"/>
          <w:szCs w:val="21"/>
        </w:rPr>
        <w:t>that providers are required to pay on unclaimed lump</w:t>
      </w:r>
      <w:r w:rsidR="001425D0">
        <w:rPr>
          <w:rFonts w:ascii="Arial" w:hAnsi="Arial" w:cs="Arial"/>
          <w:color w:val="000000"/>
          <w:sz w:val="21"/>
          <w:szCs w:val="21"/>
        </w:rPr>
        <w:t>-</w:t>
      </w:r>
      <w:r w:rsidR="005C5998" w:rsidRPr="005C5998">
        <w:rPr>
          <w:rFonts w:ascii="Arial" w:hAnsi="Arial" w:cs="Arial"/>
          <w:color w:val="000000"/>
          <w:sz w:val="21"/>
          <w:szCs w:val="21"/>
        </w:rPr>
        <w:t>sum accommodation payments</w:t>
      </w:r>
      <w:r w:rsidR="001425D0">
        <w:rPr>
          <w:rFonts w:ascii="Arial" w:hAnsi="Arial" w:cs="Arial"/>
          <w:color w:val="000000"/>
          <w:sz w:val="21"/>
          <w:szCs w:val="21"/>
        </w:rPr>
        <w:t xml:space="preserve"> following a resident’s departure from care.</w:t>
      </w:r>
    </w:p>
    <w:p w14:paraId="3E950F19" w14:textId="798101E8" w:rsidR="001425D0" w:rsidRDefault="005C5998" w:rsidP="001425D0">
      <w:pPr>
        <w:tabs>
          <w:tab w:val="left" w:pos="1701"/>
          <w:tab w:val="right" w:pos="9720"/>
        </w:tabs>
        <w:spacing w:line="240" w:lineRule="auto"/>
        <w:ind w:right="-79"/>
        <w:rPr>
          <w:rFonts w:ascii="Arial" w:hAnsi="Arial" w:cs="Arial"/>
          <w:color w:val="000000"/>
          <w:sz w:val="21"/>
          <w:szCs w:val="21"/>
        </w:rPr>
      </w:pPr>
      <w:r>
        <w:rPr>
          <w:rFonts w:ascii="Arial" w:hAnsi="Arial" w:cs="Arial"/>
          <w:color w:val="000000"/>
          <w:sz w:val="21"/>
          <w:szCs w:val="21"/>
        </w:rPr>
        <w:t xml:space="preserve">Currently providers are required to pay a </w:t>
      </w:r>
      <w:r w:rsidR="001425D0">
        <w:rPr>
          <w:rFonts w:ascii="Arial" w:hAnsi="Arial" w:cs="Arial"/>
          <w:color w:val="000000"/>
          <w:sz w:val="21"/>
          <w:szCs w:val="21"/>
        </w:rPr>
        <w:t>BIR</w:t>
      </w:r>
      <w:r>
        <w:rPr>
          <w:rFonts w:ascii="Arial" w:hAnsi="Arial" w:cs="Arial"/>
          <w:color w:val="000000"/>
          <w:sz w:val="21"/>
          <w:szCs w:val="21"/>
        </w:rPr>
        <w:t xml:space="preserve"> of 3.75 per cent</w:t>
      </w:r>
      <w:r w:rsidR="001425D0">
        <w:rPr>
          <w:rFonts w:ascii="Arial" w:hAnsi="Arial" w:cs="Arial"/>
          <w:color w:val="000000"/>
          <w:sz w:val="21"/>
          <w:szCs w:val="21"/>
        </w:rPr>
        <w:t xml:space="preserve"> until 14 days after a valid request is made, after which a penalty rate of </w:t>
      </w:r>
      <w:r w:rsidR="001425D0" w:rsidRPr="001425D0">
        <w:rPr>
          <w:rFonts w:ascii="Arial" w:hAnsi="Arial" w:cs="Arial"/>
          <w:color w:val="000000"/>
          <w:sz w:val="21"/>
          <w:szCs w:val="21"/>
        </w:rPr>
        <w:t>5.72</w:t>
      </w:r>
      <w:r w:rsidR="001425D0">
        <w:rPr>
          <w:rFonts w:ascii="Arial" w:hAnsi="Arial" w:cs="Arial"/>
          <w:color w:val="000000"/>
          <w:sz w:val="21"/>
          <w:szCs w:val="21"/>
        </w:rPr>
        <w:t xml:space="preserve"> per cent applies (known as the </w:t>
      </w:r>
      <w:r w:rsidR="001425D0" w:rsidRPr="00D0424F">
        <w:rPr>
          <w:rFonts w:ascii="Arial" w:hAnsi="Arial" w:cs="Arial"/>
          <w:color w:val="000000"/>
          <w:sz w:val="21"/>
          <w:szCs w:val="21"/>
        </w:rPr>
        <w:t xml:space="preserve">Maximum Permissible Interest Rate). The BIR is supposed to compensate the resident or their estate for the time that the lump sum deposit is held while care is no longer being provided. However, it is much higher than the </w:t>
      </w:r>
      <w:r w:rsidR="00D0424F" w:rsidRPr="00D0424F">
        <w:rPr>
          <w:rFonts w:ascii="Arial" w:hAnsi="Arial" w:cs="Arial"/>
          <w:color w:val="000000"/>
          <w:sz w:val="21"/>
          <w:szCs w:val="21"/>
        </w:rPr>
        <w:t>typical rate on retail deposits, which the RBA lists at 2.15 per cent for Bonus Savings Accounts.</w:t>
      </w:r>
      <w:r w:rsidR="00D0424F">
        <w:rPr>
          <w:rStyle w:val="EndnoteReference"/>
          <w:rFonts w:ascii="Arial" w:hAnsi="Arial" w:cs="Arial"/>
          <w:color w:val="000000"/>
          <w:sz w:val="21"/>
          <w:szCs w:val="21"/>
        </w:rPr>
        <w:endnoteReference w:id="12"/>
      </w:r>
    </w:p>
    <w:p w14:paraId="5F56E198" w14:textId="44E48147" w:rsidR="00D0424F" w:rsidRPr="00A17905" w:rsidRDefault="00D0424F" w:rsidP="001425D0">
      <w:pPr>
        <w:tabs>
          <w:tab w:val="left" w:pos="1701"/>
          <w:tab w:val="right" w:pos="9720"/>
        </w:tabs>
        <w:spacing w:line="240" w:lineRule="auto"/>
        <w:ind w:right="-79"/>
        <w:rPr>
          <w:rFonts w:ascii="Arial" w:hAnsi="Arial" w:cs="Arial"/>
          <w:color w:val="000000"/>
          <w:sz w:val="21"/>
          <w:szCs w:val="21"/>
        </w:rPr>
      </w:pPr>
      <w:r w:rsidRPr="00A17905">
        <w:rPr>
          <w:rFonts w:ascii="Arial" w:hAnsi="Arial" w:cs="Arial"/>
          <w:color w:val="000000"/>
          <w:sz w:val="21"/>
          <w:szCs w:val="21"/>
        </w:rPr>
        <w:lastRenderedPageBreak/>
        <w:t>Members report that it is not uncommon for the estate of</w:t>
      </w:r>
      <w:r w:rsidR="0032209E" w:rsidRPr="00A17905">
        <w:rPr>
          <w:rFonts w:ascii="Arial" w:hAnsi="Arial" w:cs="Arial"/>
          <w:color w:val="000000"/>
          <w:sz w:val="21"/>
          <w:szCs w:val="21"/>
        </w:rPr>
        <w:t xml:space="preserve"> a</w:t>
      </w:r>
      <w:r w:rsidRPr="00A17905">
        <w:rPr>
          <w:rFonts w:ascii="Arial" w:hAnsi="Arial" w:cs="Arial"/>
          <w:color w:val="000000"/>
          <w:sz w:val="21"/>
          <w:szCs w:val="21"/>
        </w:rPr>
        <w:t xml:space="preserve"> deceased residen</w:t>
      </w:r>
      <w:r w:rsidR="0032209E" w:rsidRPr="00A17905">
        <w:rPr>
          <w:rFonts w:ascii="Arial" w:hAnsi="Arial" w:cs="Arial"/>
          <w:color w:val="000000"/>
          <w:sz w:val="21"/>
          <w:szCs w:val="21"/>
        </w:rPr>
        <w:t>t to delay requesting the return of their funds because the BIR is higher than what they could earn themselves.</w:t>
      </w:r>
    </w:p>
    <w:p w14:paraId="0D40635D" w14:textId="2705E97F" w:rsidR="0032209E" w:rsidRPr="005B153F" w:rsidRDefault="0032209E" w:rsidP="001425D0">
      <w:pPr>
        <w:tabs>
          <w:tab w:val="left" w:pos="1701"/>
          <w:tab w:val="right" w:pos="9720"/>
        </w:tabs>
        <w:spacing w:line="240" w:lineRule="auto"/>
        <w:ind w:right="-79"/>
        <w:rPr>
          <w:rFonts w:ascii="Arial" w:hAnsi="Arial" w:cs="Arial"/>
          <w:color w:val="000000"/>
          <w:sz w:val="21"/>
          <w:szCs w:val="21"/>
        </w:rPr>
      </w:pPr>
      <w:r w:rsidRPr="005B153F">
        <w:rPr>
          <w:rFonts w:ascii="Arial" w:hAnsi="Arial" w:cs="Arial"/>
          <w:color w:val="000000"/>
          <w:sz w:val="21"/>
          <w:szCs w:val="21"/>
        </w:rPr>
        <w:t xml:space="preserve">According to </w:t>
      </w:r>
      <w:proofErr w:type="spellStart"/>
      <w:r w:rsidRPr="005B153F">
        <w:rPr>
          <w:rFonts w:ascii="Arial" w:hAnsi="Arial" w:cs="Arial"/>
          <w:color w:val="000000"/>
          <w:sz w:val="21"/>
          <w:szCs w:val="21"/>
        </w:rPr>
        <w:t>StewartBrown</w:t>
      </w:r>
      <w:proofErr w:type="spellEnd"/>
      <w:r w:rsidRPr="005B153F">
        <w:rPr>
          <w:rFonts w:ascii="Arial" w:hAnsi="Arial" w:cs="Arial"/>
          <w:color w:val="000000"/>
          <w:sz w:val="21"/>
          <w:szCs w:val="21"/>
        </w:rPr>
        <w:t xml:space="preserve"> the average Accommodation Bond/Refundable Accommodation Deposit </w:t>
      </w:r>
      <w:r w:rsidR="00C3783F">
        <w:rPr>
          <w:rFonts w:ascii="Arial" w:hAnsi="Arial" w:cs="Arial"/>
          <w:color w:val="000000"/>
          <w:sz w:val="21"/>
          <w:szCs w:val="21"/>
        </w:rPr>
        <w:t>was</w:t>
      </w:r>
      <w:r w:rsidRPr="005B153F">
        <w:rPr>
          <w:rFonts w:ascii="Arial" w:hAnsi="Arial" w:cs="Arial"/>
          <w:color w:val="000000"/>
          <w:sz w:val="21"/>
          <w:szCs w:val="21"/>
        </w:rPr>
        <w:t xml:space="preserve"> </w:t>
      </w:r>
      <w:r w:rsidR="00036CDE" w:rsidRPr="005B153F">
        <w:rPr>
          <w:rFonts w:ascii="Arial" w:hAnsi="Arial" w:cs="Arial"/>
          <w:color w:val="000000"/>
          <w:sz w:val="21"/>
          <w:szCs w:val="21"/>
        </w:rPr>
        <w:t>around</w:t>
      </w:r>
      <w:r w:rsidRPr="005B153F">
        <w:rPr>
          <w:rFonts w:ascii="Arial" w:hAnsi="Arial" w:cs="Arial"/>
          <w:color w:val="000000"/>
          <w:sz w:val="21"/>
          <w:szCs w:val="21"/>
        </w:rPr>
        <w:t xml:space="preserve"> $295,</w:t>
      </w:r>
      <w:r w:rsidR="00036CDE" w:rsidRPr="005B153F">
        <w:rPr>
          <w:rFonts w:ascii="Arial" w:hAnsi="Arial" w:cs="Arial"/>
          <w:color w:val="000000"/>
          <w:sz w:val="21"/>
          <w:szCs w:val="21"/>
        </w:rPr>
        <w:t>000</w:t>
      </w:r>
      <w:r w:rsidRPr="005B153F">
        <w:rPr>
          <w:rFonts w:ascii="Arial" w:hAnsi="Arial" w:cs="Arial"/>
          <w:sz w:val="21"/>
          <w:szCs w:val="21"/>
        </w:rPr>
        <w:t xml:space="preserve"> at June 2018</w:t>
      </w:r>
      <w:r w:rsidRPr="005B153F">
        <w:rPr>
          <w:rFonts w:ascii="Arial" w:hAnsi="Arial" w:cs="Arial"/>
          <w:color w:val="000000"/>
          <w:sz w:val="21"/>
          <w:szCs w:val="21"/>
        </w:rPr>
        <w:t>.</w:t>
      </w:r>
      <w:r w:rsidR="00036CDE" w:rsidRPr="005B153F">
        <w:rPr>
          <w:rFonts w:ascii="Arial" w:hAnsi="Arial" w:cs="Arial"/>
          <w:color w:val="000000"/>
          <w:sz w:val="21"/>
          <w:szCs w:val="21"/>
        </w:rPr>
        <w:t xml:space="preserve"> </w:t>
      </w:r>
      <w:r w:rsidR="00C233A7">
        <w:rPr>
          <w:rFonts w:ascii="Arial" w:hAnsi="Arial" w:cs="Arial"/>
          <w:color w:val="000000"/>
          <w:sz w:val="21"/>
          <w:szCs w:val="21"/>
        </w:rPr>
        <w:t>T</w:t>
      </w:r>
      <w:r w:rsidR="00036CDE" w:rsidRPr="005B153F">
        <w:rPr>
          <w:rFonts w:ascii="Arial" w:hAnsi="Arial" w:cs="Arial"/>
          <w:color w:val="000000"/>
          <w:sz w:val="21"/>
          <w:szCs w:val="21"/>
        </w:rPr>
        <w:t>he difference between applying the current basic interest rate and the retail rate is around $4,700</w:t>
      </w:r>
      <w:r w:rsidR="00C233A7">
        <w:rPr>
          <w:rFonts w:ascii="Arial" w:hAnsi="Arial" w:cs="Arial"/>
          <w:color w:val="000000"/>
          <w:sz w:val="21"/>
          <w:szCs w:val="21"/>
        </w:rPr>
        <w:t xml:space="preserve"> per annum</w:t>
      </w:r>
      <w:r w:rsidR="00036CDE" w:rsidRPr="005B153F">
        <w:rPr>
          <w:rFonts w:ascii="Arial" w:hAnsi="Arial" w:cs="Arial"/>
          <w:color w:val="000000"/>
          <w:sz w:val="21"/>
          <w:szCs w:val="21"/>
        </w:rPr>
        <w:t>.</w:t>
      </w:r>
      <w:r w:rsidRPr="005B153F">
        <w:rPr>
          <w:rStyle w:val="EndnoteReference"/>
          <w:rFonts w:ascii="Arial" w:hAnsi="Arial" w:cs="Arial"/>
          <w:color w:val="000000"/>
          <w:sz w:val="21"/>
          <w:szCs w:val="21"/>
        </w:rPr>
        <w:endnoteReference w:id="13"/>
      </w:r>
    </w:p>
    <w:p w14:paraId="6946AE78" w14:textId="7F113A36" w:rsidR="00D0424F" w:rsidRPr="00A17905" w:rsidRDefault="00D0424F" w:rsidP="001425D0">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A 2017 ACFA report on this issue </w:t>
      </w:r>
      <w:r w:rsidR="0081386A" w:rsidRPr="00A17905">
        <w:rPr>
          <w:rFonts w:ascii="Arial" w:hAnsi="Arial" w:cs="Arial"/>
          <w:color w:val="222222"/>
          <w:sz w:val="21"/>
          <w:szCs w:val="21"/>
          <w:shd w:val="clear" w:color="auto" w:fill="FFFFFF"/>
        </w:rPr>
        <w:t>did not</w:t>
      </w:r>
      <w:r w:rsidRPr="00A17905">
        <w:rPr>
          <w:rFonts w:ascii="Arial" w:hAnsi="Arial" w:cs="Arial"/>
          <w:color w:val="222222"/>
          <w:sz w:val="21"/>
          <w:szCs w:val="21"/>
          <w:shd w:val="clear" w:color="auto" w:fill="FFFFFF"/>
        </w:rPr>
        <w:t xml:space="preserve"> make a clear recommendation, noting that a reduction in the BIR would be at the expense of consumers.</w:t>
      </w:r>
      <w:r w:rsidR="00036CDE" w:rsidRPr="00A17905">
        <w:rPr>
          <w:rStyle w:val="EndnoteReference"/>
          <w:rFonts w:ascii="Arial" w:hAnsi="Arial" w:cs="Arial"/>
          <w:color w:val="222222"/>
          <w:sz w:val="21"/>
          <w:szCs w:val="21"/>
          <w:shd w:val="clear" w:color="auto" w:fill="FFFFFF"/>
        </w:rPr>
        <w:endnoteReference w:id="14"/>
      </w:r>
    </w:p>
    <w:p w14:paraId="7B24FADC" w14:textId="27E09728" w:rsidR="00D0424F" w:rsidRPr="00A17905" w:rsidRDefault="00D0424F" w:rsidP="001425D0">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However, </w:t>
      </w:r>
      <w:r w:rsidR="00036CDE" w:rsidRPr="00A17905">
        <w:rPr>
          <w:rFonts w:ascii="Arial" w:hAnsi="Arial" w:cs="Arial"/>
          <w:color w:val="222222"/>
          <w:sz w:val="21"/>
          <w:szCs w:val="21"/>
          <w:shd w:val="clear" w:color="auto" w:fill="FFFFFF"/>
        </w:rPr>
        <w:t xml:space="preserve">ACFA </w:t>
      </w:r>
      <w:r w:rsidR="00CA115B">
        <w:rPr>
          <w:rFonts w:ascii="Arial" w:hAnsi="Arial" w:cs="Arial"/>
          <w:color w:val="222222"/>
          <w:sz w:val="21"/>
          <w:szCs w:val="21"/>
          <w:shd w:val="clear" w:color="auto" w:fill="FFFFFF"/>
        </w:rPr>
        <w:t>did not</w:t>
      </w:r>
      <w:r w:rsidR="00036CDE" w:rsidRPr="00A17905">
        <w:rPr>
          <w:rFonts w:ascii="Arial" w:hAnsi="Arial" w:cs="Arial"/>
          <w:color w:val="222222"/>
          <w:sz w:val="21"/>
          <w:szCs w:val="21"/>
          <w:shd w:val="clear" w:color="auto" w:fill="FFFFFF"/>
        </w:rPr>
        <w:t xml:space="preserve"> recognise</w:t>
      </w:r>
      <w:r w:rsidRPr="00A17905">
        <w:rPr>
          <w:rFonts w:ascii="Arial" w:hAnsi="Arial" w:cs="Arial"/>
          <w:color w:val="222222"/>
          <w:sz w:val="21"/>
          <w:szCs w:val="21"/>
          <w:shd w:val="clear" w:color="auto" w:fill="FFFFFF"/>
        </w:rPr>
        <w:t xml:space="preserve"> </w:t>
      </w:r>
      <w:r w:rsidR="00036CDE" w:rsidRPr="00A17905">
        <w:rPr>
          <w:rFonts w:ascii="Arial" w:hAnsi="Arial" w:cs="Arial"/>
          <w:color w:val="222222"/>
          <w:sz w:val="21"/>
          <w:szCs w:val="21"/>
          <w:shd w:val="clear" w:color="auto" w:fill="FFFFFF"/>
        </w:rPr>
        <w:t>that</w:t>
      </w:r>
      <w:r w:rsidRPr="00A17905">
        <w:rPr>
          <w:rFonts w:ascii="Arial" w:hAnsi="Arial" w:cs="Arial"/>
          <w:color w:val="222222"/>
          <w:sz w:val="21"/>
          <w:szCs w:val="21"/>
          <w:shd w:val="clear" w:color="auto" w:fill="FFFFFF"/>
        </w:rPr>
        <w:t xml:space="preserve"> resources that a provider must devote to paying an unreasonably high </w:t>
      </w:r>
      <w:r w:rsidR="005D6299" w:rsidRPr="00A17905">
        <w:rPr>
          <w:rFonts w:ascii="Arial" w:hAnsi="Arial" w:cs="Arial"/>
          <w:color w:val="222222"/>
          <w:sz w:val="21"/>
          <w:szCs w:val="21"/>
          <w:shd w:val="clear" w:color="auto" w:fill="FFFFFF"/>
        </w:rPr>
        <w:t>BIR</w:t>
      </w:r>
      <w:r w:rsidR="00036CDE" w:rsidRPr="00A17905">
        <w:rPr>
          <w:rFonts w:ascii="Arial" w:hAnsi="Arial" w:cs="Arial"/>
          <w:color w:val="222222"/>
          <w:sz w:val="21"/>
          <w:szCs w:val="21"/>
          <w:shd w:val="clear" w:color="auto" w:fill="FFFFFF"/>
        </w:rPr>
        <w:t xml:space="preserve"> subtract from the resources that are available to other residents.</w:t>
      </w:r>
    </w:p>
    <w:p w14:paraId="0F81347A" w14:textId="680C44DB" w:rsidR="005C5998" w:rsidRPr="00A17905" w:rsidRDefault="00036CDE" w:rsidP="001425D0">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LASA believes that the current arrangements create a perverse incentive that benefits the estates of some residents at the expense of other residents and</w:t>
      </w:r>
      <w:r w:rsidR="005D6299" w:rsidRPr="00A17905">
        <w:rPr>
          <w:rFonts w:ascii="Arial" w:hAnsi="Arial" w:cs="Arial"/>
          <w:color w:val="222222"/>
          <w:sz w:val="21"/>
          <w:szCs w:val="21"/>
          <w:shd w:val="clear" w:color="auto" w:fill="FFFFFF"/>
        </w:rPr>
        <w:t xml:space="preserve"> </w:t>
      </w:r>
      <w:r w:rsidR="00CA115B">
        <w:rPr>
          <w:rFonts w:ascii="Arial" w:hAnsi="Arial" w:cs="Arial"/>
          <w:color w:val="222222"/>
          <w:sz w:val="21"/>
          <w:szCs w:val="21"/>
          <w:shd w:val="clear" w:color="auto" w:fill="FFFFFF"/>
        </w:rPr>
        <w:t xml:space="preserve">the </w:t>
      </w:r>
      <w:r w:rsidR="005D6299" w:rsidRPr="00A17905">
        <w:rPr>
          <w:rFonts w:ascii="Arial" w:hAnsi="Arial" w:cs="Arial"/>
          <w:color w:val="222222"/>
          <w:sz w:val="21"/>
          <w:szCs w:val="21"/>
          <w:shd w:val="clear" w:color="auto" w:fill="FFFFFF"/>
        </w:rPr>
        <w:t>financial sustainability of</w:t>
      </w:r>
      <w:r w:rsidRPr="00A17905">
        <w:rPr>
          <w:rFonts w:ascii="Arial" w:hAnsi="Arial" w:cs="Arial"/>
          <w:color w:val="222222"/>
          <w:sz w:val="21"/>
          <w:szCs w:val="21"/>
          <w:shd w:val="clear" w:color="auto" w:fill="FFFFFF"/>
        </w:rPr>
        <w:t xml:space="preserve"> providers.</w:t>
      </w:r>
    </w:p>
    <w:p w14:paraId="65E5243D" w14:textId="77777777" w:rsidR="0095611C" w:rsidRDefault="0095611C" w:rsidP="002B51B5">
      <w:pPr>
        <w:tabs>
          <w:tab w:val="left" w:pos="1701"/>
          <w:tab w:val="right" w:pos="9720"/>
        </w:tabs>
        <w:spacing w:line="240" w:lineRule="auto"/>
        <w:ind w:right="-79"/>
        <w:rPr>
          <w:rFonts w:asciiTheme="majorHAnsi" w:eastAsiaTheme="majorEastAsia" w:hAnsiTheme="majorHAnsi" w:cstheme="majorBidi"/>
          <w:color w:val="84C44C" w:themeColor="accent4"/>
          <w:sz w:val="26"/>
          <w:szCs w:val="26"/>
        </w:rPr>
      </w:pPr>
      <w:r w:rsidRPr="0095611C">
        <w:rPr>
          <w:rFonts w:asciiTheme="majorHAnsi" w:eastAsiaTheme="majorEastAsia" w:hAnsiTheme="majorHAnsi" w:cstheme="majorBidi"/>
          <w:color w:val="84C44C" w:themeColor="accent4"/>
          <w:sz w:val="26"/>
          <w:szCs w:val="26"/>
        </w:rPr>
        <w:t>Fast track home care for those with low-means</w:t>
      </w:r>
    </w:p>
    <w:p w14:paraId="7ED2AFDD" w14:textId="48FE7BEE" w:rsidR="005D6299" w:rsidRPr="00A17905" w:rsidRDefault="002B51B5" w:rsidP="002B51B5">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Government should fast-track the home care queue for low means individuals to address the fact that they are less able to pay for services privately.</w:t>
      </w:r>
    </w:p>
    <w:p w14:paraId="0E9F899F" w14:textId="2AAFE6CB" w:rsidR="002B51B5" w:rsidRPr="00A17905" w:rsidRDefault="00371C45" w:rsidP="002B51B5">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LASA notes that around 39 per cent of people over 65 are on a full-pension, 24 per cent are on a part pension, 5 per cent are on a DVA pension and 32 per cent are fully self-funded</w:t>
      </w:r>
      <w:r w:rsidR="00263178" w:rsidRPr="00A17905">
        <w:rPr>
          <w:rFonts w:ascii="Arial" w:hAnsi="Arial" w:cs="Arial"/>
          <w:color w:val="222222"/>
          <w:sz w:val="21"/>
          <w:szCs w:val="21"/>
          <w:shd w:val="clear" w:color="auto" w:fill="FFFFFF"/>
        </w:rPr>
        <w:t>.</w:t>
      </w:r>
      <w:r w:rsidRPr="00A17905">
        <w:rPr>
          <w:rStyle w:val="EndnoteReference"/>
          <w:rFonts w:ascii="Arial" w:hAnsi="Arial" w:cs="Arial"/>
          <w:color w:val="222222"/>
          <w:sz w:val="21"/>
          <w:szCs w:val="21"/>
          <w:shd w:val="clear" w:color="auto" w:fill="FFFFFF"/>
        </w:rPr>
        <w:endnoteReference w:id="15"/>
      </w:r>
      <w:r w:rsidRPr="00A17905">
        <w:rPr>
          <w:rFonts w:ascii="Arial" w:hAnsi="Arial" w:cs="Arial"/>
          <w:color w:val="222222"/>
          <w:sz w:val="21"/>
          <w:szCs w:val="21"/>
          <w:shd w:val="clear" w:color="auto" w:fill="FFFFFF"/>
        </w:rPr>
        <w:t xml:space="preserve"> </w:t>
      </w:r>
      <w:r w:rsidR="00263178" w:rsidRPr="00A17905">
        <w:rPr>
          <w:rFonts w:ascii="Arial" w:hAnsi="Arial" w:cs="Arial"/>
          <w:color w:val="222222"/>
          <w:sz w:val="21"/>
          <w:szCs w:val="21"/>
          <w:shd w:val="clear" w:color="auto" w:fill="FFFFFF"/>
        </w:rPr>
        <w:t>T</w:t>
      </w:r>
      <w:r w:rsidRPr="00A17905">
        <w:rPr>
          <w:rFonts w:ascii="Arial" w:hAnsi="Arial" w:cs="Arial"/>
          <w:color w:val="222222"/>
          <w:sz w:val="21"/>
          <w:szCs w:val="21"/>
          <w:shd w:val="clear" w:color="auto" w:fill="FFFFFF"/>
        </w:rPr>
        <w:t>he proportion of self-funded retirees would be lower among older aged groups who are more likely to use home care.</w:t>
      </w:r>
      <w:r w:rsidR="00263178" w:rsidRPr="00A17905">
        <w:rPr>
          <w:rFonts w:ascii="Arial" w:hAnsi="Arial" w:cs="Arial"/>
          <w:color w:val="222222"/>
          <w:sz w:val="21"/>
          <w:szCs w:val="21"/>
          <w:shd w:val="clear" w:color="auto" w:fill="FFFFFF"/>
        </w:rPr>
        <w:t xml:space="preserve"> However, the bottom four deciles of households clearly have significantly less capacity to pay for their own services</w:t>
      </w:r>
      <w:r w:rsidR="0095611C" w:rsidRPr="00A17905">
        <w:rPr>
          <w:rFonts w:ascii="Arial" w:hAnsi="Arial" w:cs="Arial"/>
          <w:color w:val="222222"/>
          <w:sz w:val="21"/>
          <w:szCs w:val="21"/>
          <w:shd w:val="clear" w:color="auto" w:fill="FFFFFF"/>
        </w:rPr>
        <w:t xml:space="preserve"> (Chart 5)</w:t>
      </w:r>
      <w:r w:rsidR="00263178" w:rsidRPr="00A17905">
        <w:rPr>
          <w:rFonts w:ascii="Arial" w:hAnsi="Arial" w:cs="Arial"/>
          <w:color w:val="222222"/>
          <w:sz w:val="21"/>
          <w:szCs w:val="21"/>
          <w:shd w:val="clear" w:color="auto" w:fill="FFFFFF"/>
        </w:rPr>
        <w:t>.</w:t>
      </w:r>
    </w:p>
    <w:p w14:paraId="06F5615F" w14:textId="2D2422A1" w:rsidR="00263178" w:rsidRPr="00A17905" w:rsidRDefault="00263178" w:rsidP="002B51B5">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Government should consult on the procedure for determining who should be fast-tracked and how the process can be managed so that </w:t>
      </w:r>
      <w:r w:rsidR="0022592B">
        <w:rPr>
          <w:rFonts w:ascii="Arial" w:hAnsi="Arial" w:cs="Arial"/>
          <w:color w:val="222222"/>
          <w:sz w:val="21"/>
          <w:szCs w:val="21"/>
          <w:shd w:val="clear" w:color="auto" w:fill="FFFFFF"/>
        </w:rPr>
        <w:t xml:space="preserve">all older Australians on the queue progress equitably. </w:t>
      </w:r>
    </w:p>
    <w:p w14:paraId="7205E3BD" w14:textId="0954BE0B" w:rsidR="00263178" w:rsidRPr="002146E7" w:rsidRDefault="00263178" w:rsidP="00263178">
      <w:pPr>
        <w:pStyle w:val="Heading4"/>
        <w:rPr>
          <w:b/>
          <w:color w:val="767171" w:themeColor="background2" w:themeShade="80"/>
        </w:rPr>
      </w:pPr>
      <w:r w:rsidRPr="002146E7">
        <w:rPr>
          <w:b/>
          <w:color w:val="767171" w:themeColor="background2" w:themeShade="80"/>
        </w:rPr>
        <w:t xml:space="preserve">Chart </w:t>
      </w:r>
      <w:r w:rsidR="0095611C">
        <w:rPr>
          <w:b/>
          <w:color w:val="767171" w:themeColor="background2" w:themeShade="80"/>
        </w:rPr>
        <w:t xml:space="preserve">5 </w:t>
      </w:r>
      <w:r>
        <w:rPr>
          <w:b/>
          <w:color w:val="767171" w:themeColor="background2" w:themeShade="80"/>
        </w:rPr>
        <w:t>Income Distribution for Older Households</w:t>
      </w:r>
      <w:r w:rsidRPr="002146E7">
        <w:rPr>
          <w:rStyle w:val="EndnoteReference"/>
          <w:color w:val="767171" w:themeColor="background2" w:themeShade="80"/>
        </w:rPr>
        <w:endnoteReference w:id="16"/>
      </w:r>
    </w:p>
    <w:p w14:paraId="66FECD88" w14:textId="1A4DA9F0" w:rsidR="00263178" w:rsidRPr="002146E7" w:rsidRDefault="00263178" w:rsidP="00263178">
      <w:pPr>
        <w:pStyle w:val="Heading4"/>
        <w:rPr>
          <w:color w:val="767171" w:themeColor="background2" w:themeShade="80"/>
        </w:rPr>
      </w:pPr>
      <w:r>
        <w:rPr>
          <w:color w:val="767171" w:themeColor="background2" w:themeShade="80"/>
        </w:rPr>
        <w:t xml:space="preserve">Equivalised </w:t>
      </w:r>
      <w:r w:rsidR="00303D3E">
        <w:rPr>
          <w:color w:val="767171" w:themeColor="background2" w:themeShade="80"/>
        </w:rPr>
        <w:t xml:space="preserve">weekly </w:t>
      </w:r>
      <w:r>
        <w:rPr>
          <w:color w:val="767171" w:themeColor="background2" w:themeShade="80"/>
        </w:rPr>
        <w:t>household disposable income</w:t>
      </w:r>
      <w:r w:rsidR="005D6299">
        <w:rPr>
          <w:color w:val="767171" w:themeColor="background2" w:themeShade="80"/>
        </w:rPr>
        <w:t xml:space="preserve"> by decile</w:t>
      </w:r>
      <w:r>
        <w:rPr>
          <w:color w:val="767171" w:themeColor="background2" w:themeShade="80"/>
        </w:rPr>
        <w:t>, reference person 75+, 2015-16, $</w:t>
      </w:r>
    </w:p>
    <w:p w14:paraId="45797088" w14:textId="37793D69" w:rsidR="00263178" w:rsidRDefault="00263178" w:rsidP="002B51B5">
      <w:pPr>
        <w:tabs>
          <w:tab w:val="left" w:pos="1701"/>
          <w:tab w:val="right" w:pos="9720"/>
        </w:tabs>
        <w:spacing w:line="240" w:lineRule="auto"/>
        <w:ind w:right="-79"/>
        <w:rPr>
          <w:rFonts w:ascii="Arial" w:hAnsi="Arial" w:cs="Arial"/>
          <w:color w:val="222222"/>
          <w:shd w:val="clear" w:color="auto" w:fill="FFFFFF"/>
        </w:rPr>
      </w:pPr>
    </w:p>
    <w:p w14:paraId="4135AE94" w14:textId="17FEEDF5" w:rsidR="00263178" w:rsidRDefault="00263178" w:rsidP="002B51B5">
      <w:pPr>
        <w:tabs>
          <w:tab w:val="left" w:pos="1701"/>
          <w:tab w:val="right" w:pos="9720"/>
        </w:tabs>
        <w:spacing w:line="240" w:lineRule="auto"/>
        <w:ind w:right="-79"/>
        <w:rPr>
          <w:rFonts w:ascii="Arial" w:hAnsi="Arial" w:cs="Arial"/>
          <w:color w:val="222222"/>
          <w:shd w:val="clear" w:color="auto" w:fill="FFFFFF"/>
        </w:rPr>
      </w:pPr>
      <w:r>
        <w:rPr>
          <w:noProof/>
          <w:lang w:eastAsia="en-AU"/>
        </w:rPr>
        <w:drawing>
          <wp:inline distT="0" distB="0" distL="0" distR="0" wp14:anchorId="29FB9BE8" wp14:editId="38DE77A7">
            <wp:extent cx="5143500" cy="31432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0CEDF4" w14:textId="4630B684" w:rsidR="005D6299" w:rsidRDefault="005D6299" w:rsidP="003412DA">
      <w:pPr>
        <w:pStyle w:val="Heading2"/>
        <w:spacing w:after="120"/>
      </w:pPr>
      <w:bookmarkStart w:id="5" w:name="_Toc536804099"/>
      <w:r>
        <w:lastRenderedPageBreak/>
        <w:t>Give those on the home care queue the option of using home equity</w:t>
      </w:r>
      <w:bookmarkEnd w:id="5"/>
    </w:p>
    <w:p w14:paraId="6B8DD0F5" w14:textId="668D78A7" w:rsidR="005D6299" w:rsidRPr="00A17905" w:rsidRDefault="005D6299" w:rsidP="005D6299">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Government should give those on the home care queue the option of using their home equity to fund their home care needs. </w:t>
      </w:r>
    </w:p>
    <w:p w14:paraId="1B736012" w14:textId="4BAB3F2F" w:rsidR="008E7BA1" w:rsidRPr="00A17905" w:rsidRDefault="004558E6" w:rsidP="008E7BA1">
      <w:pPr>
        <w:tabs>
          <w:tab w:val="left" w:pos="1701"/>
          <w:tab w:val="right" w:pos="9720"/>
        </w:tabs>
        <w:spacing w:line="240" w:lineRule="auto"/>
        <w:ind w:right="-79"/>
        <w:rPr>
          <w:rFonts w:ascii="Arial" w:hAnsi="Arial" w:cs="Arial"/>
          <w:sz w:val="21"/>
          <w:szCs w:val="21"/>
        </w:rPr>
      </w:pPr>
      <w:r w:rsidRPr="00A17905">
        <w:rPr>
          <w:rFonts w:ascii="Arial" w:hAnsi="Arial" w:cs="Arial"/>
          <w:color w:val="222222"/>
          <w:sz w:val="21"/>
          <w:szCs w:val="21"/>
          <w:shd w:val="clear" w:color="auto" w:fill="FFFFFF"/>
        </w:rPr>
        <w:t>A simple first step is to ensure</w:t>
      </w:r>
      <w:r w:rsidR="005D6299" w:rsidRPr="00A17905">
        <w:rPr>
          <w:rFonts w:ascii="Arial" w:hAnsi="Arial" w:cs="Arial"/>
          <w:color w:val="222222"/>
          <w:sz w:val="21"/>
          <w:szCs w:val="21"/>
          <w:shd w:val="clear" w:color="auto" w:fill="FFFFFF"/>
        </w:rPr>
        <w:t xml:space="preserve"> that </w:t>
      </w:r>
      <w:r w:rsidR="00A1540F" w:rsidRPr="00A17905">
        <w:rPr>
          <w:rFonts w:ascii="Arial" w:hAnsi="Arial" w:cs="Arial"/>
          <w:color w:val="222222"/>
          <w:sz w:val="21"/>
          <w:szCs w:val="21"/>
          <w:shd w:val="clear" w:color="auto" w:fill="FFFFFF"/>
        </w:rPr>
        <w:t>the</w:t>
      </w:r>
      <w:r w:rsidR="001342A1" w:rsidRPr="00A17905">
        <w:rPr>
          <w:rFonts w:ascii="Arial" w:hAnsi="Arial" w:cs="Arial"/>
          <w:color w:val="222222"/>
          <w:sz w:val="21"/>
          <w:szCs w:val="21"/>
          <w:shd w:val="clear" w:color="auto" w:fill="FFFFFF"/>
        </w:rPr>
        <w:t xml:space="preserve"> options presented</w:t>
      </w:r>
      <w:r w:rsidR="00056C93" w:rsidRPr="00A17905">
        <w:rPr>
          <w:rFonts w:ascii="Arial" w:hAnsi="Arial" w:cs="Arial"/>
          <w:color w:val="222222"/>
          <w:sz w:val="21"/>
          <w:szCs w:val="21"/>
          <w:shd w:val="clear" w:color="auto" w:fill="FFFFFF"/>
        </w:rPr>
        <w:t xml:space="preserve"> from </w:t>
      </w:r>
      <w:r w:rsidR="005B153F">
        <w:rPr>
          <w:rFonts w:ascii="Arial" w:hAnsi="Arial" w:cs="Arial"/>
          <w:color w:val="222222"/>
          <w:sz w:val="21"/>
          <w:szCs w:val="21"/>
          <w:shd w:val="clear" w:color="auto" w:fill="FFFFFF"/>
        </w:rPr>
        <w:t xml:space="preserve">1 July </w:t>
      </w:r>
      <w:r w:rsidR="00056C93" w:rsidRPr="00A17905">
        <w:rPr>
          <w:rFonts w:ascii="Arial" w:hAnsi="Arial" w:cs="Arial"/>
          <w:color w:val="222222"/>
          <w:sz w:val="21"/>
          <w:szCs w:val="21"/>
          <w:shd w:val="clear" w:color="auto" w:fill="FFFFFF"/>
        </w:rPr>
        <w:t>2019</w:t>
      </w:r>
      <w:r w:rsidR="001342A1" w:rsidRPr="00A17905">
        <w:rPr>
          <w:rFonts w:ascii="Arial" w:hAnsi="Arial" w:cs="Arial"/>
          <w:color w:val="222222"/>
          <w:sz w:val="21"/>
          <w:szCs w:val="21"/>
          <w:shd w:val="clear" w:color="auto" w:fill="FFFFFF"/>
        </w:rPr>
        <w:t xml:space="preserve"> by the</w:t>
      </w:r>
      <w:r w:rsidR="00A1540F" w:rsidRPr="00A17905">
        <w:rPr>
          <w:rFonts w:ascii="Arial" w:hAnsi="Arial" w:cs="Arial"/>
          <w:color w:val="222222"/>
          <w:sz w:val="21"/>
          <w:szCs w:val="21"/>
          <w:shd w:val="clear" w:color="auto" w:fill="FFFFFF"/>
        </w:rPr>
        <w:t xml:space="preserve"> revised Pension Loans Scheme</w:t>
      </w:r>
      <w:r w:rsidRPr="00A17905">
        <w:rPr>
          <w:rFonts w:ascii="Arial" w:hAnsi="Arial" w:cs="Arial"/>
          <w:color w:val="222222"/>
          <w:sz w:val="21"/>
          <w:szCs w:val="21"/>
          <w:shd w:val="clear" w:color="auto" w:fill="FFFFFF"/>
        </w:rPr>
        <w:t xml:space="preserve"> (PLS)</w:t>
      </w:r>
      <w:r w:rsidR="005D6299" w:rsidRPr="00A17905">
        <w:rPr>
          <w:rFonts w:ascii="Arial" w:hAnsi="Arial" w:cs="Arial"/>
          <w:color w:val="222222"/>
          <w:sz w:val="21"/>
          <w:szCs w:val="21"/>
          <w:shd w:val="clear" w:color="auto" w:fill="FFFFFF"/>
        </w:rPr>
        <w:t xml:space="preserve"> </w:t>
      </w:r>
      <w:r w:rsidR="001342A1" w:rsidRPr="00A17905">
        <w:rPr>
          <w:rFonts w:ascii="Arial" w:hAnsi="Arial" w:cs="Arial"/>
          <w:color w:val="222222"/>
          <w:sz w:val="21"/>
          <w:szCs w:val="21"/>
          <w:shd w:val="clear" w:color="auto" w:fill="FFFFFF"/>
        </w:rPr>
        <w:t>are communicated to all of those on the home care queue.</w:t>
      </w:r>
    </w:p>
    <w:p w14:paraId="50F4E25C" w14:textId="4B475953" w:rsidR="00D170EC" w:rsidRPr="00A17905" w:rsidRDefault="004558E6"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Under the revised PLS all older Australians will have access to a regular payment equal to the difference between their current Age pension payment, if any, and 150 per cent of the </w:t>
      </w:r>
      <w:r w:rsidR="008E7BA1" w:rsidRPr="00A17905">
        <w:rPr>
          <w:rFonts w:ascii="Arial" w:hAnsi="Arial" w:cs="Arial"/>
          <w:color w:val="222222"/>
          <w:sz w:val="21"/>
          <w:szCs w:val="21"/>
          <w:shd w:val="clear" w:color="auto" w:fill="FFFFFF"/>
        </w:rPr>
        <w:t xml:space="preserve">maximum pension rate. For self-funded retirees this equates to </w:t>
      </w:r>
      <w:r w:rsidR="001342A1" w:rsidRPr="00A17905">
        <w:rPr>
          <w:rFonts w:ascii="Arial" w:hAnsi="Arial" w:cs="Arial"/>
          <w:color w:val="222222"/>
          <w:sz w:val="21"/>
          <w:szCs w:val="21"/>
          <w:shd w:val="clear" w:color="auto" w:fill="FFFFFF"/>
        </w:rPr>
        <w:t xml:space="preserve">about </w:t>
      </w:r>
      <w:r w:rsidR="008E7BA1" w:rsidRPr="00A17905">
        <w:rPr>
          <w:rFonts w:ascii="Arial" w:hAnsi="Arial" w:cs="Arial"/>
          <w:color w:val="222222"/>
          <w:sz w:val="21"/>
          <w:szCs w:val="21"/>
          <w:shd w:val="clear" w:color="auto" w:fill="FFFFFF"/>
        </w:rPr>
        <w:t>$35,</w:t>
      </w:r>
      <w:r w:rsidR="001342A1" w:rsidRPr="00A17905">
        <w:rPr>
          <w:rFonts w:ascii="Arial" w:hAnsi="Arial" w:cs="Arial"/>
          <w:color w:val="222222"/>
          <w:sz w:val="21"/>
          <w:szCs w:val="21"/>
          <w:shd w:val="clear" w:color="auto" w:fill="FFFFFF"/>
        </w:rPr>
        <w:t xml:space="preserve">700 </w:t>
      </w:r>
      <w:r w:rsidR="008E7BA1" w:rsidRPr="00A17905">
        <w:rPr>
          <w:rFonts w:ascii="Arial" w:hAnsi="Arial" w:cs="Arial"/>
          <w:color w:val="222222"/>
          <w:sz w:val="21"/>
          <w:szCs w:val="21"/>
          <w:shd w:val="clear" w:color="auto" w:fill="FFFFFF"/>
        </w:rPr>
        <w:t>per annum for single individuals and $5</w:t>
      </w:r>
      <w:r w:rsidR="001342A1" w:rsidRPr="00A17905">
        <w:rPr>
          <w:rFonts w:ascii="Arial" w:hAnsi="Arial" w:cs="Arial"/>
          <w:color w:val="222222"/>
          <w:sz w:val="21"/>
          <w:szCs w:val="21"/>
          <w:shd w:val="clear" w:color="auto" w:fill="FFFFFF"/>
        </w:rPr>
        <w:t>4,000</w:t>
      </w:r>
      <w:r w:rsidR="008E7BA1" w:rsidRPr="00A17905">
        <w:rPr>
          <w:rFonts w:ascii="Arial" w:hAnsi="Arial" w:cs="Arial"/>
          <w:color w:val="222222"/>
          <w:sz w:val="21"/>
          <w:szCs w:val="21"/>
          <w:shd w:val="clear" w:color="auto" w:fill="FFFFFF"/>
        </w:rPr>
        <w:t xml:space="preserve"> for couples. </w:t>
      </w:r>
      <w:r w:rsidR="001342A1" w:rsidRPr="00A17905">
        <w:rPr>
          <w:rFonts w:ascii="Arial" w:hAnsi="Arial" w:cs="Arial"/>
          <w:color w:val="222222"/>
          <w:sz w:val="21"/>
          <w:szCs w:val="21"/>
          <w:shd w:val="clear" w:color="auto" w:fill="FFFFFF"/>
        </w:rPr>
        <w:t>For those on a full pension this falls to $12,000 for individuals and $18,000 for couples.</w:t>
      </w:r>
      <w:r w:rsidR="00D170EC" w:rsidRPr="00A17905">
        <w:rPr>
          <w:rFonts w:ascii="Arial" w:hAnsi="Arial" w:cs="Arial"/>
          <w:color w:val="222222"/>
          <w:sz w:val="21"/>
          <w:szCs w:val="21"/>
          <w:shd w:val="clear" w:color="auto" w:fill="FFFFFF"/>
        </w:rPr>
        <w:t xml:space="preserve"> Repayment is only required when the property is sold, or when the individual </w:t>
      </w:r>
      <w:r w:rsidR="003412DA" w:rsidRPr="00A17905">
        <w:rPr>
          <w:rFonts w:ascii="Arial" w:hAnsi="Arial" w:cs="Arial"/>
          <w:color w:val="222222"/>
          <w:sz w:val="21"/>
          <w:szCs w:val="21"/>
          <w:shd w:val="clear" w:color="auto" w:fill="FFFFFF"/>
        </w:rPr>
        <w:t xml:space="preserve">and their partner pass </w:t>
      </w:r>
      <w:r w:rsidR="00D170EC" w:rsidRPr="00A17905">
        <w:rPr>
          <w:rFonts w:ascii="Arial" w:hAnsi="Arial" w:cs="Arial"/>
          <w:color w:val="222222"/>
          <w:sz w:val="21"/>
          <w:szCs w:val="21"/>
          <w:shd w:val="clear" w:color="auto" w:fill="FFFFFF"/>
        </w:rPr>
        <w:t>away. Individuals also cannot be asked to repay more than the value that the property is sold for.</w:t>
      </w:r>
    </w:p>
    <w:p w14:paraId="6577CB2B" w14:textId="1D34C8F7" w:rsidR="00056C93" w:rsidRPr="00A17905" w:rsidRDefault="00056C93" w:rsidP="00056C93">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The PLS is only available to those with real property for security. However, in 2015-16, the average net value of </w:t>
      </w:r>
      <w:proofErr w:type="gramStart"/>
      <w:r w:rsidRPr="00A17905">
        <w:rPr>
          <w:rFonts w:ascii="Arial" w:hAnsi="Arial" w:cs="Arial"/>
          <w:color w:val="222222"/>
          <w:sz w:val="21"/>
          <w:szCs w:val="21"/>
          <w:shd w:val="clear" w:color="auto" w:fill="FFFFFF"/>
        </w:rPr>
        <w:t>owner occupied</w:t>
      </w:r>
      <w:proofErr w:type="gramEnd"/>
      <w:r w:rsidRPr="00A17905">
        <w:rPr>
          <w:rFonts w:ascii="Arial" w:hAnsi="Arial" w:cs="Arial"/>
          <w:color w:val="222222"/>
          <w:sz w:val="21"/>
          <w:szCs w:val="21"/>
          <w:shd w:val="clear" w:color="auto" w:fill="FFFFFF"/>
        </w:rPr>
        <w:t xml:space="preserve"> housing for those over 75 was about $535,000 and 82 per cent of households owned their own home without a mortgage.</w:t>
      </w:r>
      <w:r w:rsidRPr="00A17905">
        <w:rPr>
          <w:rStyle w:val="EndnoteReference"/>
          <w:rFonts w:ascii="Arial" w:hAnsi="Arial" w:cs="Arial"/>
          <w:color w:val="222222"/>
          <w:sz w:val="21"/>
          <w:szCs w:val="21"/>
          <w:shd w:val="clear" w:color="auto" w:fill="FFFFFF"/>
        </w:rPr>
        <w:endnoteReference w:id="17"/>
      </w:r>
    </w:p>
    <w:p w14:paraId="05E47D77" w14:textId="77777777" w:rsidR="00056C93" w:rsidRPr="00A17905" w:rsidRDefault="00056C93"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In theory, t</w:t>
      </w:r>
      <w:r w:rsidR="001342A1" w:rsidRPr="00A17905">
        <w:rPr>
          <w:rFonts w:ascii="Arial" w:hAnsi="Arial" w:cs="Arial"/>
          <w:color w:val="222222"/>
          <w:sz w:val="21"/>
          <w:szCs w:val="21"/>
          <w:shd w:val="clear" w:color="auto" w:fill="FFFFFF"/>
        </w:rPr>
        <w:t>he</w:t>
      </w:r>
      <w:r w:rsidRPr="00A17905">
        <w:rPr>
          <w:rFonts w:ascii="Arial" w:hAnsi="Arial" w:cs="Arial"/>
          <w:color w:val="222222"/>
          <w:sz w:val="21"/>
          <w:szCs w:val="21"/>
          <w:shd w:val="clear" w:color="auto" w:fill="FFFFFF"/>
        </w:rPr>
        <w:t xml:space="preserve"> maximum</w:t>
      </w:r>
      <w:r w:rsidR="001342A1" w:rsidRPr="00A17905">
        <w:rPr>
          <w:rFonts w:ascii="Arial" w:hAnsi="Arial" w:cs="Arial"/>
          <w:color w:val="222222"/>
          <w:sz w:val="21"/>
          <w:szCs w:val="21"/>
          <w:shd w:val="clear" w:color="auto" w:fill="FFFFFF"/>
        </w:rPr>
        <w:t xml:space="preserve"> amounts</w:t>
      </w:r>
      <w:r w:rsidRPr="00A17905">
        <w:rPr>
          <w:rFonts w:ascii="Arial" w:hAnsi="Arial" w:cs="Arial"/>
          <w:color w:val="222222"/>
          <w:sz w:val="21"/>
          <w:szCs w:val="21"/>
          <w:shd w:val="clear" w:color="auto" w:fill="FFFFFF"/>
        </w:rPr>
        <w:t xml:space="preserve"> under the revised PLS will be enough</w:t>
      </w:r>
      <w:r w:rsidR="001342A1" w:rsidRPr="00A17905">
        <w:rPr>
          <w:rFonts w:ascii="Arial" w:hAnsi="Arial" w:cs="Arial"/>
          <w:color w:val="222222"/>
          <w:sz w:val="21"/>
          <w:szCs w:val="21"/>
          <w:shd w:val="clear" w:color="auto" w:fill="FFFFFF"/>
        </w:rPr>
        <w:t xml:space="preserve"> to fund a significant proportion of the unmet home care needs of those on the queue.</w:t>
      </w:r>
      <w:r w:rsidRPr="00A17905">
        <w:rPr>
          <w:rFonts w:ascii="Arial" w:hAnsi="Arial" w:cs="Arial"/>
          <w:color w:val="222222"/>
          <w:sz w:val="21"/>
          <w:szCs w:val="21"/>
          <w:shd w:val="clear" w:color="auto" w:fill="FFFFFF"/>
        </w:rPr>
        <w:t xml:space="preserve"> </w:t>
      </w:r>
    </w:p>
    <w:p w14:paraId="3D0C2F06" w14:textId="4DBCA673" w:rsidR="00056C93" w:rsidRPr="00A17905" w:rsidRDefault="00056C93"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Unfortunately, LASA understands that only a few thousand people are expected to take-up the pension loans scheme across the full range of eligible individuals.</w:t>
      </w:r>
    </w:p>
    <w:p w14:paraId="6DCE081A" w14:textId="4FA21C89" w:rsidR="00056C93" w:rsidRPr="00A17905" w:rsidRDefault="005B153F" w:rsidP="008E7BA1">
      <w:pPr>
        <w:tabs>
          <w:tab w:val="left" w:pos="1701"/>
          <w:tab w:val="right" w:pos="9720"/>
        </w:tabs>
        <w:spacing w:line="240" w:lineRule="auto"/>
        <w:ind w:right="-79"/>
        <w:rPr>
          <w:rFonts w:ascii="Arial" w:hAnsi="Arial" w:cs="Arial"/>
          <w:color w:val="222222"/>
          <w:sz w:val="21"/>
          <w:szCs w:val="21"/>
          <w:shd w:val="clear" w:color="auto" w:fill="FFFFFF"/>
        </w:rPr>
      </w:pPr>
      <w:r>
        <w:rPr>
          <w:rFonts w:ascii="Arial" w:hAnsi="Arial" w:cs="Arial"/>
          <w:color w:val="222222"/>
          <w:sz w:val="21"/>
          <w:szCs w:val="21"/>
          <w:shd w:val="clear" w:color="auto" w:fill="FFFFFF"/>
        </w:rPr>
        <w:t>Directly p</w:t>
      </w:r>
      <w:r w:rsidR="00056C93" w:rsidRPr="00A17905">
        <w:rPr>
          <w:rFonts w:ascii="Arial" w:hAnsi="Arial" w:cs="Arial"/>
          <w:color w:val="222222"/>
          <w:sz w:val="21"/>
          <w:szCs w:val="21"/>
          <w:shd w:val="clear" w:color="auto" w:fill="FFFFFF"/>
        </w:rPr>
        <w:t xml:space="preserve">resenting the option to those on the queue – while noting the need to seek financial advice – may help to boost take-up. </w:t>
      </w:r>
    </w:p>
    <w:p w14:paraId="19FC6778" w14:textId="279A60B2" w:rsidR="00D170EC" w:rsidRPr="00A17905" w:rsidRDefault="00056C93"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However, LASA also be</w:t>
      </w:r>
      <w:r w:rsidR="00D170EC" w:rsidRPr="00A17905">
        <w:rPr>
          <w:rFonts w:ascii="Arial" w:hAnsi="Arial" w:cs="Arial"/>
          <w:color w:val="222222"/>
          <w:sz w:val="21"/>
          <w:szCs w:val="21"/>
          <w:shd w:val="clear" w:color="auto" w:fill="FFFFFF"/>
        </w:rPr>
        <w:t>lieves that the terms of the PLS</w:t>
      </w:r>
      <w:r w:rsidRPr="00A17905">
        <w:rPr>
          <w:rFonts w:ascii="Arial" w:hAnsi="Arial" w:cs="Arial"/>
          <w:color w:val="222222"/>
          <w:sz w:val="21"/>
          <w:szCs w:val="21"/>
          <w:shd w:val="clear" w:color="auto" w:fill="FFFFFF"/>
        </w:rPr>
        <w:t xml:space="preserve"> could be made more attractive.</w:t>
      </w:r>
    </w:p>
    <w:p w14:paraId="2EE69F3A" w14:textId="52F2BF74" w:rsidR="00D170EC" w:rsidRPr="00A17905" w:rsidRDefault="00056C93"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In particular, LASA is concerned </w:t>
      </w:r>
      <w:r w:rsidR="00D170EC" w:rsidRPr="00A17905">
        <w:rPr>
          <w:rFonts w:ascii="Arial" w:hAnsi="Arial" w:cs="Arial"/>
          <w:color w:val="222222"/>
          <w:sz w:val="21"/>
          <w:szCs w:val="21"/>
          <w:shd w:val="clear" w:color="auto" w:fill="FFFFFF"/>
        </w:rPr>
        <w:t xml:space="preserve">that the PLS interest rate of 5.25 per cent is too high. This rate has been in place since 1997 when the RBA cash rate was 5-6 per cent, whereas it is currently at 1.5 per cent. The PLS rate is now well above the Government’s cost of borrowing. </w:t>
      </w:r>
      <w:proofErr w:type="gramStart"/>
      <w:r w:rsidR="00D170EC" w:rsidRPr="00A17905">
        <w:rPr>
          <w:rFonts w:ascii="Arial" w:hAnsi="Arial" w:cs="Arial"/>
          <w:color w:val="222222"/>
          <w:sz w:val="21"/>
          <w:szCs w:val="21"/>
          <w:shd w:val="clear" w:color="auto" w:fill="FFFFFF"/>
        </w:rPr>
        <w:t>Indeed</w:t>
      </w:r>
      <w:proofErr w:type="gramEnd"/>
      <w:r w:rsidR="00D170EC" w:rsidRPr="00A17905">
        <w:rPr>
          <w:rFonts w:ascii="Arial" w:hAnsi="Arial" w:cs="Arial"/>
          <w:color w:val="222222"/>
          <w:sz w:val="21"/>
          <w:szCs w:val="21"/>
          <w:shd w:val="clear" w:color="auto" w:fill="FFFFFF"/>
        </w:rPr>
        <w:t xml:space="preserve"> it seems likely that the only reason why the PLS has a negative cost to the budget is that volumes are too low to cover the fixed costs of administering the scheme. </w:t>
      </w:r>
    </w:p>
    <w:p w14:paraId="655085C0" w14:textId="644FE935" w:rsidR="003412DA" w:rsidRPr="00A17905" w:rsidRDefault="003412DA"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LASA believes that there is a strong case for the creation of a ‘Home Care Loans Scheme’ with more generous terms, including a heavily concessional interest rate (probably linked to CPI) and a maximum borrowing amount that is linked to an individual’s unmet need for home care. </w:t>
      </w:r>
    </w:p>
    <w:p w14:paraId="08C36EE3" w14:textId="7A13FFC5" w:rsidR="003412DA" w:rsidRPr="00A17905" w:rsidRDefault="003412DA"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For example, if they are assessed to need a level 4 package and are on a level 2 interim </w:t>
      </w:r>
      <w:proofErr w:type="gramStart"/>
      <w:r w:rsidRPr="00A17905">
        <w:rPr>
          <w:rFonts w:ascii="Arial" w:hAnsi="Arial" w:cs="Arial"/>
          <w:color w:val="222222"/>
          <w:sz w:val="21"/>
          <w:szCs w:val="21"/>
          <w:shd w:val="clear" w:color="auto" w:fill="FFFFFF"/>
        </w:rPr>
        <w:t>package</w:t>
      </w:r>
      <w:proofErr w:type="gramEnd"/>
      <w:r w:rsidRPr="00A17905">
        <w:rPr>
          <w:rFonts w:ascii="Arial" w:hAnsi="Arial" w:cs="Arial"/>
          <w:color w:val="222222"/>
          <w:sz w:val="21"/>
          <w:szCs w:val="21"/>
          <w:shd w:val="clear" w:color="auto" w:fill="FFFFFF"/>
        </w:rPr>
        <w:t xml:space="preserve"> they should be allowed to borrow the difference between these amounts. This should be on top of the standard Pension Loans Scheme.</w:t>
      </w:r>
    </w:p>
    <w:p w14:paraId="45B84056" w14:textId="3530688D" w:rsidR="00056C93" w:rsidRPr="00A17905" w:rsidRDefault="003412DA"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Amounts borrowed through the Home Care Loans scheme should be distributed in the same way as ordinary home care funds to ensure that they are used for eligible expenses.</w:t>
      </w:r>
    </w:p>
    <w:p w14:paraId="1D27CA8F" w14:textId="3752EFB9" w:rsidR="003412DA" w:rsidRPr="00A17905" w:rsidRDefault="003412DA"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 xml:space="preserve">LASA notes that the Productivity Commission </w:t>
      </w:r>
      <w:r w:rsidR="00BA038B" w:rsidRPr="00A17905">
        <w:rPr>
          <w:rFonts w:ascii="Arial" w:hAnsi="Arial" w:cs="Arial"/>
          <w:color w:val="222222"/>
          <w:sz w:val="21"/>
          <w:szCs w:val="21"/>
          <w:shd w:val="clear" w:color="auto" w:fill="FFFFFF"/>
        </w:rPr>
        <w:t xml:space="preserve">also </w:t>
      </w:r>
      <w:r w:rsidRPr="00A17905">
        <w:rPr>
          <w:rFonts w:ascii="Arial" w:hAnsi="Arial" w:cs="Arial"/>
          <w:color w:val="222222"/>
          <w:sz w:val="21"/>
          <w:szCs w:val="21"/>
          <w:shd w:val="clear" w:color="auto" w:fill="FFFFFF"/>
        </w:rPr>
        <w:t xml:space="preserve">recommends an equity release scheme in its 2011 </w:t>
      </w:r>
      <w:r w:rsidR="00CA115B">
        <w:rPr>
          <w:rFonts w:ascii="Arial" w:hAnsi="Arial" w:cs="Arial"/>
          <w:color w:val="222222"/>
          <w:sz w:val="21"/>
          <w:szCs w:val="21"/>
          <w:shd w:val="clear" w:color="auto" w:fill="FFFFFF"/>
        </w:rPr>
        <w:t xml:space="preserve">“Caring for Older Australians’ </w:t>
      </w:r>
      <w:r w:rsidRPr="00A17905">
        <w:rPr>
          <w:rFonts w:ascii="Arial" w:hAnsi="Arial" w:cs="Arial"/>
          <w:color w:val="222222"/>
          <w:sz w:val="21"/>
          <w:szCs w:val="21"/>
          <w:shd w:val="clear" w:color="auto" w:fill="FFFFFF"/>
        </w:rPr>
        <w:t>Report. However, this was linked to the inclusion of the principle place of residence in means testing and was rejected by Government.</w:t>
      </w:r>
    </w:p>
    <w:p w14:paraId="110B4847" w14:textId="77B903CA" w:rsidR="003412DA" w:rsidRPr="00A17905" w:rsidRDefault="003412DA" w:rsidP="008E7BA1">
      <w:pPr>
        <w:tabs>
          <w:tab w:val="left" w:pos="1701"/>
          <w:tab w:val="right" w:pos="9720"/>
        </w:tabs>
        <w:spacing w:line="240" w:lineRule="auto"/>
        <w:ind w:right="-79"/>
        <w:rPr>
          <w:rFonts w:ascii="Arial" w:hAnsi="Arial" w:cs="Arial"/>
          <w:color w:val="222222"/>
          <w:sz w:val="21"/>
          <w:szCs w:val="21"/>
          <w:shd w:val="clear" w:color="auto" w:fill="FFFFFF"/>
        </w:rPr>
      </w:pPr>
      <w:r w:rsidRPr="00A17905">
        <w:rPr>
          <w:rFonts w:ascii="Arial" w:hAnsi="Arial" w:cs="Arial"/>
          <w:color w:val="222222"/>
          <w:sz w:val="21"/>
          <w:szCs w:val="21"/>
          <w:shd w:val="clear" w:color="auto" w:fill="FFFFFF"/>
        </w:rPr>
        <w:t>LASA believes that it is crucial that any Home Care Loans Scheme be an additional option for older Australians to deal with the unfortunate reality of the queue, rather than something that</w:t>
      </w:r>
      <w:r w:rsidR="00BA038B" w:rsidRPr="00A17905">
        <w:rPr>
          <w:rFonts w:ascii="Arial" w:hAnsi="Arial" w:cs="Arial"/>
          <w:color w:val="222222"/>
          <w:sz w:val="21"/>
          <w:szCs w:val="21"/>
          <w:shd w:val="clear" w:color="auto" w:fill="FFFFFF"/>
        </w:rPr>
        <w:t xml:space="preserve"> they will be forced into using.</w:t>
      </w:r>
    </w:p>
    <w:p w14:paraId="67EEEF2C" w14:textId="77777777" w:rsidR="005B153F" w:rsidRDefault="005B153F">
      <w:pPr>
        <w:rPr>
          <w:rFonts w:asciiTheme="majorHAnsi" w:eastAsiaTheme="majorEastAsia" w:hAnsiTheme="majorHAnsi" w:cstheme="majorBidi"/>
          <w:color w:val="84C44C" w:themeColor="accent4"/>
          <w:sz w:val="26"/>
          <w:szCs w:val="26"/>
        </w:rPr>
      </w:pPr>
      <w:r>
        <w:rPr>
          <w:rFonts w:asciiTheme="majorHAnsi" w:eastAsiaTheme="majorEastAsia" w:hAnsiTheme="majorHAnsi" w:cstheme="majorBidi"/>
          <w:color w:val="84C44C" w:themeColor="accent4"/>
          <w:sz w:val="26"/>
          <w:szCs w:val="26"/>
        </w:rPr>
        <w:br w:type="page"/>
      </w:r>
    </w:p>
    <w:p w14:paraId="67AF2E63" w14:textId="3E9BBCF9" w:rsidR="0095611C" w:rsidRDefault="00CA115B" w:rsidP="00B8325E">
      <w:pPr>
        <w:spacing w:line="240" w:lineRule="auto"/>
        <w:rPr>
          <w:rFonts w:asciiTheme="majorHAnsi" w:eastAsiaTheme="majorEastAsia" w:hAnsiTheme="majorHAnsi" w:cstheme="majorBidi"/>
          <w:color w:val="84C44C" w:themeColor="accent4"/>
          <w:sz w:val="26"/>
          <w:szCs w:val="26"/>
        </w:rPr>
      </w:pPr>
      <w:r>
        <w:rPr>
          <w:rFonts w:asciiTheme="majorHAnsi" w:eastAsiaTheme="majorEastAsia" w:hAnsiTheme="majorHAnsi" w:cstheme="majorBidi"/>
          <w:color w:val="84C44C" w:themeColor="accent4"/>
          <w:sz w:val="26"/>
          <w:szCs w:val="26"/>
        </w:rPr>
        <w:lastRenderedPageBreak/>
        <w:t>Commence</w:t>
      </w:r>
      <w:r w:rsidRPr="0095611C">
        <w:rPr>
          <w:rFonts w:asciiTheme="majorHAnsi" w:eastAsiaTheme="majorEastAsia" w:hAnsiTheme="majorHAnsi" w:cstheme="majorBidi"/>
          <w:color w:val="84C44C" w:themeColor="accent4"/>
          <w:sz w:val="26"/>
          <w:szCs w:val="26"/>
        </w:rPr>
        <w:t xml:space="preserve"> </w:t>
      </w:r>
      <w:r w:rsidR="0095611C" w:rsidRPr="0095611C">
        <w:rPr>
          <w:rFonts w:asciiTheme="majorHAnsi" w:eastAsiaTheme="majorEastAsia" w:hAnsiTheme="majorHAnsi" w:cstheme="majorBidi"/>
          <w:color w:val="84C44C" w:themeColor="accent4"/>
          <w:sz w:val="26"/>
          <w:szCs w:val="26"/>
        </w:rPr>
        <w:t xml:space="preserve">integration of CHSP and </w:t>
      </w:r>
      <w:r>
        <w:rPr>
          <w:rFonts w:asciiTheme="majorHAnsi" w:eastAsiaTheme="majorEastAsia" w:hAnsiTheme="majorHAnsi" w:cstheme="majorBidi"/>
          <w:color w:val="84C44C" w:themeColor="accent4"/>
          <w:sz w:val="26"/>
          <w:szCs w:val="26"/>
        </w:rPr>
        <w:t>HCP</w:t>
      </w:r>
    </w:p>
    <w:p w14:paraId="7D97186F" w14:textId="7DBB0F9F" w:rsidR="00B8325E" w:rsidRPr="00A17905" w:rsidRDefault="00B8325E" w:rsidP="00B8325E">
      <w:pPr>
        <w:spacing w:line="240" w:lineRule="auto"/>
        <w:rPr>
          <w:rFonts w:ascii="Arial" w:hAnsi="Arial" w:cs="Arial"/>
          <w:sz w:val="21"/>
          <w:szCs w:val="21"/>
        </w:rPr>
      </w:pPr>
      <w:r w:rsidRPr="00A17905">
        <w:rPr>
          <w:rFonts w:ascii="Arial" w:hAnsi="Arial" w:cs="Arial"/>
          <w:sz w:val="21"/>
          <w:szCs w:val="21"/>
        </w:rPr>
        <w:t xml:space="preserve">The current inconsistency between Commonwealth Home Support </w:t>
      </w:r>
      <w:r w:rsidR="0095611C" w:rsidRPr="00A17905">
        <w:rPr>
          <w:rFonts w:ascii="Arial" w:hAnsi="Arial" w:cs="Arial"/>
          <w:sz w:val="21"/>
          <w:szCs w:val="21"/>
        </w:rPr>
        <w:t>Packages (CHSP)</w:t>
      </w:r>
      <w:r w:rsidRPr="00A17905">
        <w:rPr>
          <w:rFonts w:ascii="Arial" w:hAnsi="Arial" w:cs="Arial"/>
          <w:sz w:val="21"/>
          <w:szCs w:val="21"/>
        </w:rPr>
        <w:t xml:space="preserve"> and the Home Care creates significant inefficiency and inequity in Government funding for care at home. For example, Members report that they have clients who are able to access services worth significantly more than the value of their home care package by accessing multiple services through CHSP. With current CHSP contracts expiring in July 2020, having already having been rolled over once, it is vital that Government urgently work with the sector to determine a pathway for transition to a unified care at home system. </w:t>
      </w:r>
    </w:p>
    <w:p w14:paraId="46F6CB22" w14:textId="1B2DE015" w:rsidR="0095611C" w:rsidRPr="00BD79EF" w:rsidRDefault="0095611C" w:rsidP="0095611C">
      <w:pPr>
        <w:pStyle w:val="Heading2"/>
      </w:pPr>
      <w:bookmarkStart w:id="6" w:name="_Toc536804108"/>
      <w:r>
        <w:t>Invest in research to build the foundation of long-term reform</w:t>
      </w:r>
      <w:bookmarkEnd w:id="6"/>
    </w:p>
    <w:p w14:paraId="04DBC520" w14:textId="3DDC732A" w:rsidR="0095611C" w:rsidRDefault="0095611C" w:rsidP="0095611C">
      <w:pPr>
        <w:tabs>
          <w:tab w:val="left" w:pos="1701"/>
          <w:tab w:val="right" w:pos="9720"/>
        </w:tabs>
        <w:spacing w:line="240" w:lineRule="auto"/>
        <w:ind w:right="-79"/>
        <w:rPr>
          <w:rFonts w:ascii="Arial" w:hAnsi="Arial" w:cs="Arial"/>
          <w:color w:val="000000"/>
          <w:sz w:val="21"/>
          <w:szCs w:val="21"/>
        </w:rPr>
      </w:pPr>
      <w:r w:rsidRPr="00246D6F">
        <w:rPr>
          <w:rFonts w:ascii="Arial" w:hAnsi="Arial" w:cs="Arial"/>
          <w:color w:val="000000"/>
          <w:sz w:val="21"/>
          <w:szCs w:val="21"/>
        </w:rPr>
        <w:t xml:space="preserve">Government should invest in the foundation for long-term to move from </w:t>
      </w:r>
      <w:r w:rsidR="00CA115B">
        <w:rPr>
          <w:rFonts w:ascii="Arial" w:hAnsi="Arial" w:cs="Arial"/>
          <w:color w:val="000000"/>
          <w:sz w:val="21"/>
          <w:szCs w:val="21"/>
        </w:rPr>
        <w:t>‘</w:t>
      </w:r>
      <w:r w:rsidRPr="00246D6F">
        <w:rPr>
          <w:rFonts w:ascii="Arial" w:hAnsi="Arial" w:cs="Arial"/>
          <w:color w:val="000000"/>
          <w:sz w:val="21"/>
          <w:szCs w:val="21"/>
        </w:rPr>
        <w:t>aged care</w:t>
      </w:r>
      <w:r w:rsidR="00CA115B">
        <w:rPr>
          <w:rFonts w:ascii="Arial" w:hAnsi="Arial" w:cs="Arial"/>
          <w:color w:val="000000"/>
          <w:sz w:val="21"/>
          <w:szCs w:val="21"/>
        </w:rPr>
        <w:t>’</w:t>
      </w:r>
      <w:r w:rsidRPr="00246D6F">
        <w:rPr>
          <w:rFonts w:ascii="Arial" w:hAnsi="Arial" w:cs="Arial"/>
          <w:color w:val="000000"/>
          <w:sz w:val="21"/>
          <w:szCs w:val="21"/>
        </w:rPr>
        <w:t xml:space="preserve"> to </w:t>
      </w:r>
      <w:r w:rsidR="00CA115B">
        <w:rPr>
          <w:rFonts w:ascii="Arial" w:hAnsi="Arial" w:cs="Arial"/>
          <w:color w:val="000000"/>
          <w:sz w:val="21"/>
          <w:szCs w:val="21"/>
        </w:rPr>
        <w:t>‘</w:t>
      </w:r>
      <w:r w:rsidRPr="00246D6F">
        <w:rPr>
          <w:rFonts w:ascii="Arial" w:hAnsi="Arial" w:cs="Arial"/>
          <w:color w:val="000000"/>
          <w:sz w:val="21"/>
          <w:szCs w:val="21"/>
        </w:rPr>
        <w:t>ageing well</w:t>
      </w:r>
      <w:r w:rsidR="00CA115B">
        <w:rPr>
          <w:rFonts w:ascii="Arial" w:hAnsi="Arial" w:cs="Arial"/>
          <w:color w:val="000000"/>
          <w:sz w:val="21"/>
          <w:szCs w:val="21"/>
        </w:rPr>
        <w:t>’</w:t>
      </w:r>
      <w:r>
        <w:rPr>
          <w:rFonts w:ascii="Arial" w:hAnsi="Arial" w:cs="Arial"/>
          <w:color w:val="000000"/>
          <w:sz w:val="21"/>
          <w:szCs w:val="21"/>
        </w:rPr>
        <w:t>. This should include:</w:t>
      </w:r>
    </w:p>
    <w:p w14:paraId="7E261412" w14:textId="77777777" w:rsidR="0095611C" w:rsidRPr="008953A2" w:rsidRDefault="0095611C" w:rsidP="0095611C">
      <w:pPr>
        <w:pStyle w:val="ListParagraph"/>
        <w:numPr>
          <w:ilvl w:val="0"/>
          <w:numId w:val="35"/>
        </w:numPr>
        <w:spacing w:line="240" w:lineRule="auto"/>
        <w:contextualSpacing w:val="0"/>
        <w:rPr>
          <w:rFonts w:ascii="Arial" w:hAnsi="Arial" w:cs="Arial"/>
          <w:sz w:val="21"/>
          <w:szCs w:val="21"/>
        </w:rPr>
      </w:pPr>
      <w:r w:rsidRPr="008953A2">
        <w:rPr>
          <w:rFonts w:ascii="Arial" w:hAnsi="Arial" w:cs="Arial"/>
          <w:sz w:val="21"/>
          <w:szCs w:val="21"/>
        </w:rPr>
        <w:t xml:space="preserve">Research to develop more robust </w:t>
      </w:r>
      <w:proofErr w:type="gramStart"/>
      <w:r w:rsidRPr="008953A2">
        <w:rPr>
          <w:rFonts w:ascii="Arial" w:hAnsi="Arial" w:cs="Arial"/>
          <w:sz w:val="21"/>
          <w:szCs w:val="21"/>
        </w:rPr>
        <w:t>outcome based</w:t>
      </w:r>
      <w:proofErr w:type="gramEnd"/>
      <w:r w:rsidRPr="008953A2">
        <w:rPr>
          <w:rFonts w:ascii="Arial" w:hAnsi="Arial" w:cs="Arial"/>
          <w:sz w:val="21"/>
          <w:szCs w:val="21"/>
        </w:rPr>
        <w:t xml:space="preserve"> measures of life satisfaction and clinical quality that are robust and cost effective enough to act as quality measures across the system and at an individual service level in both home care and residential care</w:t>
      </w:r>
    </w:p>
    <w:p w14:paraId="15DCE044" w14:textId="28DB8687" w:rsidR="0095611C" w:rsidRPr="008953A2" w:rsidRDefault="0095611C" w:rsidP="0095611C">
      <w:pPr>
        <w:pStyle w:val="ListParagraph"/>
        <w:numPr>
          <w:ilvl w:val="0"/>
          <w:numId w:val="35"/>
        </w:numPr>
        <w:spacing w:line="240" w:lineRule="auto"/>
        <w:contextualSpacing w:val="0"/>
        <w:rPr>
          <w:rFonts w:ascii="Arial" w:hAnsi="Arial" w:cs="Arial"/>
          <w:sz w:val="21"/>
          <w:szCs w:val="21"/>
        </w:rPr>
      </w:pPr>
      <w:r w:rsidRPr="008953A2">
        <w:rPr>
          <w:rFonts w:ascii="Arial" w:hAnsi="Arial" w:cs="Arial"/>
          <w:sz w:val="21"/>
          <w:szCs w:val="21"/>
        </w:rPr>
        <w:t xml:space="preserve">Research building on </w:t>
      </w:r>
      <w:r w:rsidR="00CA115B">
        <w:rPr>
          <w:rFonts w:ascii="Arial" w:hAnsi="Arial" w:cs="Arial"/>
          <w:sz w:val="21"/>
          <w:szCs w:val="21"/>
        </w:rPr>
        <w:t>the Resource Utilisation C</w:t>
      </w:r>
      <w:r w:rsidR="0054700A">
        <w:rPr>
          <w:rFonts w:ascii="Arial" w:hAnsi="Arial" w:cs="Arial"/>
          <w:sz w:val="21"/>
          <w:szCs w:val="21"/>
        </w:rPr>
        <w:t>lassification</w:t>
      </w:r>
      <w:r w:rsidR="00CA115B">
        <w:rPr>
          <w:rFonts w:ascii="Arial" w:hAnsi="Arial" w:cs="Arial"/>
          <w:sz w:val="21"/>
          <w:szCs w:val="21"/>
        </w:rPr>
        <w:t xml:space="preserve"> Study (</w:t>
      </w:r>
      <w:r w:rsidRPr="008953A2">
        <w:rPr>
          <w:rFonts w:ascii="Arial" w:hAnsi="Arial" w:cs="Arial"/>
          <w:sz w:val="21"/>
          <w:szCs w:val="21"/>
        </w:rPr>
        <w:t>RUC</w:t>
      </w:r>
      <w:r w:rsidR="00CA115B">
        <w:rPr>
          <w:rFonts w:ascii="Arial" w:hAnsi="Arial" w:cs="Arial"/>
          <w:sz w:val="21"/>
          <w:szCs w:val="21"/>
        </w:rPr>
        <w:t>S)</w:t>
      </w:r>
      <w:r w:rsidRPr="008953A2">
        <w:rPr>
          <w:rFonts w:ascii="Arial" w:hAnsi="Arial" w:cs="Arial"/>
          <w:sz w:val="21"/>
          <w:szCs w:val="21"/>
        </w:rPr>
        <w:t xml:space="preserve"> to identify the resources required to deliver care that achieves agreed benchmarks against these indicators</w:t>
      </w:r>
      <w:r>
        <w:rPr>
          <w:rFonts w:ascii="Arial" w:hAnsi="Arial" w:cs="Arial"/>
          <w:sz w:val="21"/>
          <w:szCs w:val="21"/>
        </w:rPr>
        <w:t>, including staffing and skills needs</w:t>
      </w:r>
    </w:p>
    <w:p w14:paraId="55944F91" w14:textId="77777777" w:rsidR="0095611C" w:rsidRPr="008953A2" w:rsidRDefault="0095611C" w:rsidP="0095611C">
      <w:pPr>
        <w:pStyle w:val="ListParagraph"/>
        <w:numPr>
          <w:ilvl w:val="0"/>
          <w:numId w:val="35"/>
        </w:numPr>
        <w:spacing w:line="240" w:lineRule="auto"/>
        <w:contextualSpacing w:val="0"/>
        <w:rPr>
          <w:rFonts w:ascii="Arial" w:hAnsi="Arial" w:cs="Arial"/>
          <w:sz w:val="21"/>
          <w:szCs w:val="21"/>
        </w:rPr>
      </w:pPr>
      <w:r w:rsidRPr="008953A2">
        <w:rPr>
          <w:rFonts w:ascii="Arial" w:hAnsi="Arial" w:cs="Arial"/>
          <w:sz w:val="21"/>
          <w:szCs w:val="21"/>
        </w:rPr>
        <w:t>Research on the interface between aged care and the health care system to identify opportunities to improve efficiency and effectiveness</w:t>
      </w:r>
    </w:p>
    <w:p w14:paraId="22186914" w14:textId="1689971E" w:rsidR="002D128A" w:rsidRDefault="00D817FE" w:rsidP="002D128A">
      <w:pPr>
        <w:pStyle w:val="Heading1"/>
      </w:pPr>
      <w:bookmarkStart w:id="7" w:name="_Toc536804101"/>
      <w:r>
        <w:t>But significant a</w:t>
      </w:r>
      <w:r w:rsidR="00194BAA">
        <w:t>dditional publ</w:t>
      </w:r>
      <w:r>
        <w:t>ic support is needed</w:t>
      </w:r>
      <w:bookmarkEnd w:id="7"/>
      <w:r w:rsidR="00194BAA">
        <w:t xml:space="preserve"> </w:t>
      </w:r>
    </w:p>
    <w:p w14:paraId="1D83EE4C" w14:textId="36482295" w:rsidR="002D128A" w:rsidRPr="00A17905" w:rsidRDefault="00BA038B" w:rsidP="002D128A">
      <w:pPr>
        <w:rPr>
          <w:rFonts w:ascii="Arial" w:hAnsi="Arial" w:cs="Arial"/>
          <w:sz w:val="21"/>
          <w:szCs w:val="21"/>
        </w:rPr>
      </w:pPr>
      <w:r w:rsidRPr="00A17905">
        <w:rPr>
          <w:rFonts w:ascii="Arial" w:hAnsi="Arial" w:cs="Arial"/>
          <w:sz w:val="21"/>
          <w:szCs w:val="21"/>
        </w:rPr>
        <w:t>Significant additional public support is urgently needed to address the pressures on the aged care system.</w:t>
      </w:r>
    </w:p>
    <w:p w14:paraId="2E2CB825" w14:textId="0B742BA4" w:rsidR="002D128A" w:rsidRDefault="0081386A" w:rsidP="00BA038B">
      <w:pPr>
        <w:pStyle w:val="Heading2"/>
      </w:pPr>
      <w:bookmarkStart w:id="8" w:name="_Toc536804102"/>
      <w:r>
        <w:t xml:space="preserve">Residential care needs an indexation </w:t>
      </w:r>
      <w:bookmarkEnd w:id="8"/>
      <w:r w:rsidR="00CA115B">
        <w:t>’correction’</w:t>
      </w:r>
    </w:p>
    <w:p w14:paraId="0CA493A4" w14:textId="79D7B431" w:rsidR="0081386A" w:rsidRPr="00A17905" w:rsidRDefault="0081386A" w:rsidP="00BA038B">
      <w:pPr>
        <w:rPr>
          <w:rFonts w:ascii="Arial" w:hAnsi="Arial" w:cs="Arial"/>
          <w:sz w:val="21"/>
          <w:szCs w:val="21"/>
        </w:rPr>
      </w:pPr>
      <w:r w:rsidRPr="00A17905">
        <w:rPr>
          <w:rFonts w:ascii="Arial" w:hAnsi="Arial" w:cs="Arial"/>
          <w:sz w:val="21"/>
          <w:szCs w:val="21"/>
        </w:rPr>
        <w:t xml:space="preserve">Residential care providers need an urgent funding boost to offset increasing financial pressures and make-up for the fact that the rising cost of </w:t>
      </w:r>
      <w:r w:rsidR="00BA038B" w:rsidRPr="00A17905">
        <w:rPr>
          <w:rFonts w:ascii="Arial" w:hAnsi="Arial" w:cs="Arial"/>
          <w:sz w:val="21"/>
          <w:szCs w:val="21"/>
        </w:rPr>
        <w:t xml:space="preserve">providing care has not been matched by Government subsidies. </w:t>
      </w:r>
    </w:p>
    <w:p w14:paraId="0897FCB7" w14:textId="29939DE5" w:rsidR="00BA038B" w:rsidRPr="00A17905" w:rsidRDefault="00A74502" w:rsidP="00BA038B">
      <w:pPr>
        <w:rPr>
          <w:rFonts w:ascii="Arial" w:hAnsi="Arial" w:cs="Arial"/>
          <w:sz w:val="21"/>
          <w:szCs w:val="21"/>
        </w:rPr>
      </w:pPr>
      <w:r w:rsidRPr="00A17905">
        <w:rPr>
          <w:rFonts w:ascii="Arial" w:hAnsi="Arial" w:cs="Arial"/>
          <w:sz w:val="21"/>
          <w:szCs w:val="21"/>
        </w:rPr>
        <w:t>T</w:t>
      </w:r>
      <w:r w:rsidR="00BA038B" w:rsidRPr="00A17905">
        <w:rPr>
          <w:rFonts w:ascii="Arial" w:hAnsi="Arial" w:cs="Arial"/>
          <w:sz w:val="21"/>
          <w:szCs w:val="21"/>
        </w:rPr>
        <w:t xml:space="preserve">he base indexation rate applied to Government subsidies is well below </w:t>
      </w:r>
      <w:r w:rsidR="0081386A" w:rsidRPr="00A17905">
        <w:rPr>
          <w:rFonts w:ascii="Arial" w:hAnsi="Arial" w:cs="Arial"/>
          <w:sz w:val="21"/>
          <w:szCs w:val="21"/>
        </w:rPr>
        <w:t xml:space="preserve">increases in input </w:t>
      </w:r>
      <w:r w:rsidR="00CA115B">
        <w:rPr>
          <w:rFonts w:ascii="Arial" w:hAnsi="Arial" w:cs="Arial"/>
          <w:sz w:val="21"/>
          <w:szCs w:val="21"/>
        </w:rPr>
        <w:t>costs</w:t>
      </w:r>
      <w:r w:rsidR="0081386A" w:rsidRPr="00A17905">
        <w:rPr>
          <w:rFonts w:ascii="Arial" w:hAnsi="Arial" w:cs="Arial"/>
          <w:sz w:val="21"/>
          <w:szCs w:val="21"/>
        </w:rPr>
        <w:t xml:space="preserve">, particularly wages </w:t>
      </w:r>
      <w:r w:rsidR="00BA038B" w:rsidRPr="00A17905">
        <w:rPr>
          <w:rFonts w:ascii="Arial" w:hAnsi="Arial" w:cs="Arial"/>
          <w:sz w:val="21"/>
          <w:szCs w:val="21"/>
        </w:rPr>
        <w:t>and this has been compounded by recent Government decisions to pause or cut indexation</w:t>
      </w:r>
      <w:r w:rsidR="005B153F">
        <w:rPr>
          <w:rFonts w:ascii="Arial" w:hAnsi="Arial" w:cs="Arial"/>
          <w:sz w:val="21"/>
          <w:szCs w:val="21"/>
        </w:rPr>
        <w:t>.</w:t>
      </w:r>
    </w:p>
    <w:p w14:paraId="7DFDB020" w14:textId="6CB08D70" w:rsidR="0081386A" w:rsidRPr="00A17905" w:rsidRDefault="0081386A" w:rsidP="00BA038B">
      <w:pPr>
        <w:rPr>
          <w:rFonts w:ascii="Arial" w:hAnsi="Arial" w:cs="Arial"/>
          <w:sz w:val="21"/>
          <w:szCs w:val="21"/>
        </w:rPr>
      </w:pPr>
      <w:r w:rsidRPr="00A17905">
        <w:rPr>
          <w:rFonts w:ascii="Arial" w:hAnsi="Arial" w:cs="Arial"/>
          <w:sz w:val="21"/>
          <w:szCs w:val="21"/>
        </w:rPr>
        <w:t>The argument that indexation pauses were needed to offset over-claiming by some providers is hard to sustain when increases in ACFI revenue have been matched or exceeded by increases in ACFI related costs.</w:t>
      </w:r>
      <w:r w:rsidRPr="00A17905">
        <w:rPr>
          <w:rStyle w:val="EndnoteReference"/>
          <w:rFonts w:ascii="Arial" w:hAnsi="Arial" w:cs="Arial"/>
          <w:sz w:val="21"/>
          <w:szCs w:val="21"/>
        </w:rPr>
        <w:endnoteReference w:id="18"/>
      </w:r>
      <w:r w:rsidRPr="00A17905">
        <w:rPr>
          <w:rFonts w:ascii="Arial" w:hAnsi="Arial" w:cs="Arial"/>
          <w:sz w:val="21"/>
          <w:szCs w:val="21"/>
        </w:rPr>
        <w:t xml:space="preserve"> </w:t>
      </w:r>
    </w:p>
    <w:p w14:paraId="62D93CD2" w14:textId="08C4B746" w:rsidR="00A74502" w:rsidRPr="00A17905" w:rsidRDefault="0081386A" w:rsidP="0081386A">
      <w:pPr>
        <w:rPr>
          <w:rFonts w:ascii="Arial" w:hAnsi="Arial" w:cs="Arial"/>
          <w:sz w:val="21"/>
          <w:szCs w:val="21"/>
        </w:rPr>
      </w:pPr>
      <w:r w:rsidRPr="00A17905">
        <w:rPr>
          <w:rFonts w:ascii="Arial" w:hAnsi="Arial" w:cs="Arial"/>
          <w:sz w:val="21"/>
          <w:szCs w:val="21"/>
        </w:rPr>
        <w:t xml:space="preserve">To the Government’s claims that some providers were over-claiming </w:t>
      </w:r>
      <w:r w:rsidR="00CA115B">
        <w:rPr>
          <w:rFonts w:ascii="Arial" w:hAnsi="Arial" w:cs="Arial"/>
          <w:sz w:val="21"/>
          <w:szCs w:val="21"/>
        </w:rPr>
        <w:t xml:space="preserve">subsidies via inappropriate application of the Aged Care Funding Instrument (ACFI), </w:t>
      </w:r>
      <w:r w:rsidRPr="00A17905">
        <w:rPr>
          <w:rFonts w:ascii="Arial" w:hAnsi="Arial" w:cs="Arial"/>
          <w:sz w:val="21"/>
          <w:szCs w:val="21"/>
        </w:rPr>
        <w:t>LASA previously recommended to Government an alternative approach to effectively administer the claiming system, identify anomalous claiming behaviours, investigate these instances and apply penal</w:t>
      </w:r>
      <w:r w:rsidR="00A74502" w:rsidRPr="00A17905">
        <w:rPr>
          <w:rFonts w:ascii="Arial" w:hAnsi="Arial" w:cs="Arial"/>
          <w:sz w:val="21"/>
          <w:szCs w:val="21"/>
        </w:rPr>
        <w:t>ties where appropriate. However</w:t>
      </w:r>
      <w:r w:rsidR="00C3783F">
        <w:rPr>
          <w:rFonts w:ascii="Arial" w:hAnsi="Arial" w:cs="Arial"/>
          <w:sz w:val="21"/>
          <w:szCs w:val="21"/>
        </w:rPr>
        <w:t>,</w:t>
      </w:r>
      <w:r w:rsidRPr="00A17905">
        <w:rPr>
          <w:rFonts w:ascii="Arial" w:hAnsi="Arial" w:cs="Arial"/>
          <w:sz w:val="21"/>
          <w:szCs w:val="21"/>
        </w:rPr>
        <w:t xml:space="preserve"> by changing the ACFI scoring protocols and cut</w:t>
      </w:r>
      <w:r w:rsidR="00A74502" w:rsidRPr="00A17905">
        <w:rPr>
          <w:rFonts w:ascii="Arial" w:hAnsi="Arial" w:cs="Arial"/>
          <w:sz w:val="21"/>
          <w:szCs w:val="21"/>
        </w:rPr>
        <w:t>ting</w:t>
      </w:r>
      <w:r w:rsidRPr="00A17905">
        <w:rPr>
          <w:rFonts w:ascii="Arial" w:hAnsi="Arial" w:cs="Arial"/>
          <w:sz w:val="21"/>
          <w:szCs w:val="21"/>
        </w:rPr>
        <w:t xml:space="preserve"> indexation, </w:t>
      </w:r>
      <w:r w:rsidR="00A74502" w:rsidRPr="00A17905">
        <w:rPr>
          <w:rFonts w:ascii="Arial" w:hAnsi="Arial" w:cs="Arial"/>
          <w:sz w:val="21"/>
          <w:szCs w:val="21"/>
        </w:rPr>
        <w:t>the Government reduced funding for all providers and residents.</w:t>
      </w:r>
    </w:p>
    <w:p w14:paraId="6A71AEFF" w14:textId="2443A6FB" w:rsidR="00A74502" w:rsidRPr="00A17905" w:rsidRDefault="00A74502" w:rsidP="0081386A">
      <w:pPr>
        <w:rPr>
          <w:rFonts w:ascii="Arial" w:hAnsi="Arial" w:cs="Arial"/>
          <w:sz w:val="21"/>
          <w:szCs w:val="21"/>
        </w:rPr>
      </w:pPr>
      <w:r w:rsidRPr="00A17905">
        <w:rPr>
          <w:rFonts w:ascii="Arial" w:hAnsi="Arial" w:cs="Arial"/>
          <w:sz w:val="21"/>
          <w:szCs w:val="21"/>
        </w:rPr>
        <w:t xml:space="preserve">As noted above, </w:t>
      </w:r>
      <w:proofErr w:type="spellStart"/>
      <w:r w:rsidRPr="00A17905">
        <w:rPr>
          <w:rFonts w:ascii="Arial" w:hAnsi="Arial" w:cs="Arial"/>
          <w:sz w:val="21"/>
          <w:szCs w:val="21"/>
        </w:rPr>
        <w:t>StewartBrown</w:t>
      </w:r>
      <w:proofErr w:type="spellEnd"/>
      <w:r w:rsidRPr="00A17905">
        <w:rPr>
          <w:rFonts w:ascii="Arial" w:hAnsi="Arial" w:cs="Arial"/>
          <w:sz w:val="21"/>
          <w:szCs w:val="21"/>
        </w:rPr>
        <w:t xml:space="preserve"> is predicting that the average residential care facility will deliver a negative financial result in 2019, with an estimated 41.4 per cent of facilities currently operating at a loss.</w:t>
      </w:r>
      <w:r w:rsidR="00913C86" w:rsidRPr="00A17905">
        <w:rPr>
          <w:rStyle w:val="EndnoteReference"/>
          <w:rFonts w:ascii="Arial" w:hAnsi="Arial" w:cs="Arial"/>
          <w:sz w:val="21"/>
          <w:szCs w:val="21"/>
        </w:rPr>
        <w:endnoteReference w:id="19"/>
      </w:r>
      <w:r w:rsidRPr="00A17905">
        <w:rPr>
          <w:rFonts w:ascii="Arial" w:hAnsi="Arial" w:cs="Arial"/>
          <w:sz w:val="21"/>
          <w:szCs w:val="21"/>
        </w:rPr>
        <w:t xml:space="preserve">  Over this period of deteriorating financial performance </w:t>
      </w:r>
      <w:proofErr w:type="spellStart"/>
      <w:r w:rsidRPr="00A17905">
        <w:rPr>
          <w:rFonts w:ascii="Arial" w:hAnsi="Arial" w:cs="Arial"/>
          <w:sz w:val="21"/>
          <w:szCs w:val="21"/>
        </w:rPr>
        <w:t>StewartBrown</w:t>
      </w:r>
      <w:proofErr w:type="spellEnd"/>
      <w:r w:rsidRPr="00A17905">
        <w:rPr>
          <w:rFonts w:ascii="Arial" w:hAnsi="Arial" w:cs="Arial"/>
          <w:sz w:val="21"/>
          <w:szCs w:val="21"/>
        </w:rPr>
        <w:t xml:space="preserve"> reports that providers have also continued to increase care hours, but this cannot continue indefinitely.</w:t>
      </w:r>
    </w:p>
    <w:p w14:paraId="1B3C6D5B" w14:textId="7DB79DD1" w:rsidR="00913C86" w:rsidRPr="00A17905" w:rsidRDefault="00913C86" w:rsidP="0081386A">
      <w:pPr>
        <w:rPr>
          <w:rFonts w:ascii="Arial" w:hAnsi="Arial" w:cs="Arial"/>
          <w:sz w:val="21"/>
          <w:szCs w:val="21"/>
        </w:rPr>
      </w:pPr>
      <w:r w:rsidRPr="00A17905">
        <w:rPr>
          <w:rFonts w:ascii="Arial" w:hAnsi="Arial" w:cs="Arial"/>
          <w:sz w:val="21"/>
          <w:szCs w:val="21"/>
        </w:rPr>
        <w:lastRenderedPageBreak/>
        <w:t>Setting an appro</w:t>
      </w:r>
      <w:r w:rsidR="00A052C9" w:rsidRPr="00A17905">
        <w:rPr>
          <w:rFonts w:ascii="Arial" w:hAnsi="Arial" w:cs="Arial"/>
          <w:sz w:val="21"/>
          <w:szCs w:val="21"/>
        </w:rPr>
        <w:t>priate rate of indexation is a structural</w:t>
      </w:r>
      <w:r w:rsidRPr="00A17905">
        <w:rPr>
          <w:rFonts w:ascii="Arial" w:hAnsi="Arial" w:cs="Arial"/>
          <w:sz w:val="21"/>
          <w:szCs w:val="21"/>
        </w:rPr>
        <w:t xml:space="preserve"> issue that may be difficult to resolve until the Royal Commission issues its report. However, providers and those that they care for need urgent </w:t>
      </w:r>
      <w:r w:rsidR="00035898">
        <w:rPr>
          <w:rFonts w:ascii="Arial" w:hAnsi="Arial" w:cs="Arial"/>
          <w:sz w:val="21"/>
          <w:szCs w:val="21"/>
        </w:rPr>
        <w:t>support</w:t>
      </w:r>
      <w:r w:rsidRPr="00A17905">
        <w:rPr>
          <w:rFonts w:ascii="Arial" w:hAnsi="Arial" w:cs="Arial"/>
          <w:sz w:val="21"/>
          <w:szCs w:val="21"/>
        </w:rPr>
        <w:t>.</w:t>
      </w:r>
    </w:p>
    <w:p w14:paraId="5269B01E" w14:textId="7C1E706A" w:rsidR="00913C86" w:rsidRDefault="00913C86" w:rsidP="0081386A">
      <w:pPr>
        <w:rPr>
          <w:rFonts w:ascii="Arial" w:hAnsi="Arial" w:cs="Arial"/>
          <w:sz w:val="21"/>
          <w:szCs w:val="21"/>
        </w:rPr>
      </w:pPr>
      <w:r w:rsidRPr="00A17905">
        <w:rPr>
          <w:rFonts w:ascii="Arial" w:hAnsi="Arial" w:cs="Arial"/>
          <w:sz w:val="21"/>
          <w:szCs w:val="21"/>
        </w:rPr>
        <w:t xml:space="preserve">Accordingly, LASA is proposing a $670 million a year </w:t>
      </w:r>
      <w:r w:rsidR="00A052C9" w:rsidRPr="00A17905">
        <w:rPr>
          <w:rFonts w:ascii="Arial" w:hAnsi="Arial" w:cs="Arial"/>
          <w:sz w:val="21"/>
          <w:szCs w:val="21"/>
        </w:rPr>
        <w:t>boost</w:t>
      </w:r>
      <w:r w:rsidRPr="00A17905">
        <w:rPr>
          <w:rFonts w:ascii="Arial" w:hAnsi="Arial" w:cs="Arial"/>
          <w:sz w:val="21"/>
          <w:szCs w:val="21"/>
        </w:rPr>
        <w:t xml:space="preserve"> in residential care funding.</w:t>
      </w:r>
      <w:r w:rsidR="00806E2D" w:rsidRPr="00A17905">
        <w:rPr>
          <w:rFonts w:ascii="Arial" w:hAnsi="Arial" w:cs="Arial"/>
          <w:sz w:val="21"/>
          <w:szCs w:val="21"/>
        </w:rPr>
        <w:t xml:space="preserve"> This estimate reflects a range of factors, including the value of foregone indexation. This is </w:t>
      </w:r>
      <w:r w:rsidR="00440CC0" w:rsidRPr="00A17905">
        <w:rPr>
          <w:rFonts w:ascii="Arial" w:hAnsi="Arial" w:cs="Arial"/>
          <w:sz w:val="21"/>
          <w:szCs w:val="21"/>
        </w:rPr>
        <w:t>approximately a</w:t>
      </w:r>
      <w:r w:rsidR="00806E2D" w:rsidRPr="00A17905">
        <w:rPr>
          <w:rFonts w:ascii="Arial" w:hAnsi="Arial" w:cs="Arial"/>
          <w:sz w:val="21"/>
          <w:szCs w:val="21"/>
        </w:rPr>
        <w:t xml:space="preserve"> 5.2 per cent increase in </w:t>
      </w:r>
      <w:r w:rsidR="00440CC0" w:rsidRPr="00A17905">
        <w:rPr>
          <w:rFonts w:ascii="Arial" w:hAnsi="Arial" w:cs="Arial"/>
          <w:sz w:val="21"/>
          <w:szCs w:val="21"/>
        </w:rPr>
        <w:t>residential care funding in 2019-20 (noting that this is difficult to calculate as forward estimates for residential and home care are no longer separately reported). Looked at another way, it is roughly an ex</w:t>
      </w:r>
      <w:r w:rsidR="00A052C9" w:rsidRPr="00A17905">
        <w:rPr>
          <w:rFonts w:ascii="Arial" w:hAnsi="Arial" w:cs="Arial"/>
          <w:sz w:val="21"/>
          <w:szCs w:val="21"/>
        </w:rPr>
        <w:t>tra $10</w:t>
      </w:r>
      <w:r w:rsidR="005B153F">
        <w:rPr>
          <w:rFonts w:ascii="Arial" w:hAnsi="Arial" w:cs="Arial"/>
          <w:sz w:val="21"/>
          <w:szCs w:val="21"/>
        </w:rPr>
        <w:t xml:space="preserve"> </w:t>
      </w:r>
      <w:r w:rsidR="00A052C9" w:rsidRPr="00A17905">
        <w:rPr>
          <w:rFonts w:ascii="Arial" w:hAnsi="Arial" w:cs="Arial"/>
          <w:sz w:val="21"/>
          <w:szCs w:val="21"/>
        </w:rPr>
        <w:t>per resident per day</w:t>
      </w:r>
      <w:r w:rsidR="005B153F">
        <w:rPr>
          <w:rStyle w:val="EndnoteReference"/>
          <w:rFonts w:ascii="Arial" w:hAnsi="Arial" w:cs="Arial"/>
          <w:sz w:val="21"/>
          <w:szCs w:val="21"/>
        </w:rPr>
        <w:endnoteReference w:id="20"/>
      </w:r>
      <w:r w:rsidR="00A052C9" w:rsidRPr="00A17905">
        <w:rPr>
          <w:rFonts w:ascii="Arial" w:hAnsi="Arial" w:cs="Arial"/>
          <w:sz w:val="21"/>
          <w:szCs w:val="21"/>
        </w:rPr>
        <w:t xml:space="preserve"> or the equivalent of around 15 minutes of additional staff time.</w:t>
      </w:r>
      <w:r w:rsidR="00A052C9" w:rsidRPr="00A17905">
        <w:rPr>
          <w:rStyle w:val="EndnoteReference"/>
          <w:rFonts w:ascii="Arial" w:hAnsi="Arial" w:cs="Arial"/>
          <w:sz w:val="21"/>
          <w:szCs w:val="21"/>
        </w:rPr>
        <w:endnoteReference w:id="21"/>
      </w:r>
      <w:r w:rsidR="00F82F2C" w:rsidRPr="00A17905">
        <w:rPr>
          <w:rFonts w:ascii="Arial" w:hAnsi="Arial" w:cs="Arial"/>
          <w:sz w:val="21"/>
          <w:szCs w:val="21"/>
        </w:rPr>
        <w:t xml:space="preserve"> </w:t>
      </w:r>
    </w:p>
    <w:p w14:paraId="25282476" w14:textId="3C0F29A2" w:rsidR="005F1D56" w:rsidRDefault="000B4D7B" w:rsidP="00BA038B">
      <w:pPr>
        <w:rPr>
          <w:rFonts w:ascii="Arial" w:hAnsi="Arial" w:cs="Arial"/>
          <w:sz w:val="20"/>
          <w:szCs w:val="20"/>
        </w:rPr>
      </w:pPr>
      <w:r>
        <w:rPr>
          <w:rFonts w:ascii="Arial" w:hAnsi="Arial" w:cs="Arial"/>
          <w:sz w:val="21"/>
          <w:szCs w:val="21"/>
        </w:rPr>
        <w:t xml:space="preserve">From LASA’s perspective this is a down-payment and a significantly larger funding boost may be needed following the findings of the Royal Commission. </w:t>
      </w:r>
    </w:p>
    <w:p w14:paraId="043AE2BF" w14:textId="4BF918DD" w:rsidR="002D128A" w:rsidRDefault="00A052C9" w:rsidP="00A052C9">
      <w:pPr>
        <w:pStyle w:val="Heading2"/>
      </w:pPr>
      <w:bookmarkStart w:id="9" w:name="_Toc536804103"/>
      <w:r>
        <w:t>A</w:t>
      </w:r>
      <w:r w:rsidR="002D128A" w:rsidRPr="00A052C9">
        <w:t xml:space="preserve">dditional targeted relief for facilities in </w:t>
      </w:r>
      <w:r>
        <w:t xml:space="preserve">regional and remote </w:t>
      </w:r>
      <w:r w:rsidR="002D128A" w:rsidRPr="00A052C9">
        <w:t>areas</w:t>
      </w:r>
      <w:bookmarkEnd w:id="9"/>
      <w:r w:rsidR="002D128A" w:rsidRPr="00A052C9">
        <w:t xml:space="preserve"> </w:t>
      </w:r>
    </w:p>
    <w:p w14:paraId="56926FE0" w14:textId="113E5BDF" w:rsidR="001642A6" w:rsidRDefault="005B153F" w:rsidP="001642A6">
      <w:pPr>
        <w:tabs>
          <w:tab w:val="left" w:pos="1701"/>
          <w:tab w:val="right" w:pos="9720"/>
        </w:tabs>
        <w:spacing w:line="240" w:lineRule="auto"/>
        <w:ind w:right="-79"/>
        <w:rPr>
          <w:rFonts w:ascii="Arial" w:hAnsi="Arial" w:cs="Arial"/>
          <w:color w:val="000000"/>
          <w:sz w:val="21"/>
          <w:szCs w:val="21"/>
        </w:rPr>
      </w:pPr>
      <w:r>
        <w:rPr>
          <w:rFonts w:ascii="Arial" w:hAnsi="Arial" w:cs="Arial"/>
          <w:color w:val="000000"/>
          <w:sz w:val="21"/>
          <w:szCs w:val="21"/>
        </w:rPr>
        <w:t>Government should provide a</w:t>
      </w:r>
      <w:r w:rsidR="001642A6" w:rsidRPr="00A052C9">
        <w:rPr>
          <w:rFonts w:ascii="Arial" w:hAnsi="Arial" w:cs="Arial"/>
          <w:color w:val="000000"/>
          <w:sz w:val="21"/>
          <w:szCs w:val="21"/>
        </w:rPr>
        <w:t>dditional targeted relief for facilities in remote and outer regional areas where financial</w:t>
      </w:r>
      <w:r w:rsidR="00035898">
        <w:rPr>
          <w:rFonts w:ascii="Arial" w:hAnsi="Arial" w:cs="Arial"/>
          <w:color w:val="000000"/>
          <w:sz w:val="21"/>
          <w:szCs w:val="21"/>
        </w:rPr>
        <w:t xml:space="preserve"> pressures are particularly high</w:t>
      </w:r>
      <w:r w:rsidR="001642A6">
        <w:rPr>
          <w:rFonts w:ascii="Arial" w:hAnsi="Arial" w:cs="Arial"/>
          <w:color w:val="000000"/>
          <w:sz w:val="21"/>
          <w:szCs w:val="21"/>
        </w:rPr>
        <w:t>.</w:t>
      </w:r>
    </w:p>
    <w:p w14:paraId="7FC7D7F8" w14:textId="77777777" w:rsidR="002870C3" w:rsidRDefault="001642A6" w:rsidP="001642A6">
      <w:pPr>
        <w:tabs>
          <w:tab w:val="left" w:pos="1701"/>
          <w:tab w:val="right" w:pos="9720"/>
        </w:tabs>
        <w:spacing w:line="240" w:lineRule="auto"/>
        <w:ind w:right="-79"/>
        <w:rPr>
          <w:rFonts w:ascii="Arial" w:hAnsi="Arial" w:cs="Arial"/>
          <w:color w:val="000000"/>
          <w:sz w:val="21"/>
          <w:szCs w:val="21"/>
        </w:rPr>
      </w:pPr>
      <w:r>
        <w:rPr>
          <w:rFonts w:ascii="Arial" w:hAnsi="Arial" w:cs="Arial"/>
          <w:color w:val="000000"/>
          <w:sz w:val="21"/>
          <w:szCs w:val="21"/>
        </w:rPr>
        <w:t xml:space="preserve">According to </w:t>
      </w:r>
      <w:proofErr w:type="spellStart"/>
      <w:r>
        <w:rPr>
          <w:rFonts w:ascii="Arial" w:hAnsi="Arial" w:cs="Arial"/>
          <w:color w:val="000000"/>
          <w:sz w:val="21"/>
          <w:szCs w:val="21"/>
        </w:rPr>
        <w:t>StewartBrown</w:t>
      </w:r>
      <w:proofErr w:type="spellEnd"/>
      <w:r>
        <w:rPr>
          <w:rFonts w:ascii="Arial" w:hAnsi="Arial" w:cs="Arial"/>
          <w:color w:val="000000"/>
          <w:sz w:val="21"/>
          <w:szCs w:val="21"/>
        </w:rPr>
        <w:t xml:space="preserve">, the average result per bed per day is already negative outside of major cities, with facilities in inner regional areas losing $0.68 cents per bed per day and facilities in Rural and Remote areas losing $7.73 per bed per day. </w:t>
      </w:r>
    </w:p>
    <w:p w14:paraId="06867AD8" w14:textId="205743D1" w:rsidR="002870C3" w:rsidRDefault="002870C3" w:rsidP="001642A6">
      <w:pPr>
        <w:tabs>
          <w:tab w:val="left" w:pos="1701"/>
          <w:tab w:val="right" w:pos="9720"/>
        </w:tabs>
        <w:spacing w:line="240" w:lineRule="auto"/>
        <w:ind w:right="-79"/>
        <w:rPr>
          <w:rFonts w:ascii="Arial" w:hAnsi="Arial" w:cs="Arial"/>
          <w:color w:val="000000"/>
          <w:sz w:val="21"/>
          <w:szCs w:val="21"/>
        </w:rPr>
      </w:pPr>
      <w:r>
        <w:rPr>
          <w:rFonts w:ascii="Arial" w:hAnsi="Arial" w:cs="Arial"/>
          <w:color w:val="000000"/>
          <w:sz w:val="21"/>
          <w:szCs w:val="21"/>
        </w:rPr>
        <w:t>LASA notes that the boost to the viability and homelessness supplements of $</w:t>
      </w:r>
      <w:r w:rsidRPr="002870C3">
        <w:rPr>
          <w:rFonts w:ascii="Arial" w:hAnsi="Arial" w:cs="Arial"/>
          <w:color w:val="000000"/>
          <w:sz w:val="21"/>
          <w:szCs w:val="21"/>
        </w:rPr>
        <w:t>111.2</w:t>
      </w:r>
      <w:r>
        <w:rPr>
          <w:rFonts w:ascii="Arial" w:hAnsi="Arial" w:cs="Arial"/>
          <w:color w:val="000000"/>
          <w:sz w:val="21"/>
          <w:szCs w:val="21"/>
        </w:rPr>
        <w:t xml:space="preserve"> million over four years will be of some assistance to these facilities. However, analysis for LASA by </w:t>
      </w:r>
      <w:proofErr w:type="spellStart"/>
      <w:r>
        <w:rPr>
          <w:rFonts w:ascii="Arial" w:hAnsi="Arial" w:cs="Arial"/>
          <w:color w:val="000000"/>
          <w:sz w:val="21"/>
          <w:szCs w:val="21"/>
        </w:rPr>
        <w:t>StewartBrown</w:t>
      </w:r>
      <w:proofErr w:type="spellEnd"/>
      <w:r>
        <w:rPr>
          <w:rFonts w:ascii="Arial" w:hAnsi="Arial" w:cs="Arial"/>
          <w:color w:val="000000"/>
          <w:sz w:val="21"/>
          <w:szCs w:val="21"/>
        </w:rPr>
        <w:t xml:space="preserve"> in August 2018 estimated that additional funding of around $130 million per year was likely to be needed to put regional and remote facilities on a sustainable footing.</w:t>
      </w:r>
    </w:p>
    <w:p w14:paraId="175F144E" w14:textId="79E8FA0A" w:rsidR="002870C3" w:rsidRDefault="002870C3" w:rsidP="002870C3">
      <w:pPr>
        <w:pStyle w:val="Heading2"/>
      </w:pPr>
      <w:bookmarkStart w:id="10" w:name="_Toc536804104"/>
      <w:r>
        <w:t xml:space="preserve">Boost to funding for </w:t>
      </w:r>
      <w:r w:rsidR="00DB3083">
        <w:t>behavioural and psychological symptoms of dementia</w:t>
      </w:r>
      <w:bookmarkEnd w:id="10"/>
    </w:p>
    <w:p w14:paraId="4E2F67EA" w14:textId="082E4D45" w:rsidR="00513C37" w:rsidRPr="00513C37" w:rsidRDefault="00513C37" w:rsidP="00513C37">
      <w:pPr>
        <w:rPr>
          <w:rFonts w:ascii="Arial" w:hAnsi="Arial" w:cs="Arial"/>
          <w:sz w:val="21"/>
          <w:szCs w:val="21"/>
        </w:rPr>
      </w:pPr>
      <w:r w:rsidRPr="00513C37">
        <w:rPr>
          <w:rFonts w:ascii="Arial" w:hAnsi="Arial" w:cs="Arial"/>
          <w:sz w:val="21"/>
          <w:szCs w:val="21"/>
        </w:rPr>
        <w:t xml:space="preserve">In residential care, most providers make every effort to provide quality care for those living with dementia and at time presenting with severe behavioural and psychological symptoms of dementia </w:t>
      </w:r>
      <w:r w:rsidRPr="00513C37">
        <w:rPr>
          <w:rFonts w:ascii="Arial" w:hAnsi="Arial" w:cs="Arial"/>
          <w:b/>
          <w:sz w:val="21"/>
          <w:szCs w:val="21"/>
        </w:rPr>
        <w:t>(</w:t>
      </w:r>
      <w:r w:rsidRPr="00513C37">
        <w:rPr>
          <w:rFonts w:ascii="Arial" w:hAnsi="Arial" w:cs="Arial"/>
          <w:sz w:val="21"/>
          <w:szCs w:val="21"/>
        </w:rPr>
        <w:t>BPSD</w:t>
      </w:r>
      <w:r w:rsidRPr="00513C37">
        <w:rPr>
          <w:rFonts w:ascii="Arial" w:hAnsi="Arial" w:cs="Arial"/>
          <w:b/>
          <w:sz w:val="21"/>
          <w:szCs w:val="21"/>
        </w:rPr>
        <w:t>),</w:t>
      </w:r>
      <w:r w:rsidRPr="00513C37">
        <w:rPr>
          <w:rFonts w:ascii="Arial" w:hAnsi="Arial" w:cs="Arial"/>
          <w:sz w:val="21"/>
          <w:szCs w:val="21"/>
        </w:rPr>
        <w:t xml:space="preserve"> but unfortunately funding for BPSD is viewed as inadequate</w:t>
      </w:r>
      <w:r w:rsidR="00C3783F">
        <w:rPr>
          <w:rFonts w:ascii="Arial" w:hAnsi="Arial" w:cs="Arial"/>
          <w:sz w:val="21"/>
          <w:szCs w:val="21"/>
        </w:rPr>
        <w:t>.</w:t>
      </w:r>
      <w:r w:rsidRPr="00513C37">
        <w:rPr>
          <w:rStyle w:val="EndnoteReference"/>
          <w:rFonts w:ascii="Arial" w:hAnsi="Arial" w:cs="Arial"/>
          <w:sz w:val="21"/>
          <w:szCs w:val="21"/>
        </w:rPr>
        <w:endnoteReference w:id="22"/>
      </w:r>
    </w:p>
    <w:p w14:paraId="2A67AB96" w14:textId="77777777" w:rsidR="00513C37" w:rsidRPr="00513C37" w:rsidRDefault="00513C37" w:rsidP="00513C37">
      <w:pPr>
        <w:rPr>
          <w:rFonts w:ascii="Arial" w:hAnsi="Arial" w:cs="Arial"/>
          <w:sz w:val="21"/>
          <w:szCs w:val="21"/>
        </w:rPr>
      </w:pPr>
      <w:r w:rsidRPr="00513C37">
        <w:rPr>
          <w:rFonts w:ascii="Arial" w:hAnsi="Arial" w:cs="Arial"/>
          <w:sz w:val="21"/>
          <w:szCs w:val="21"/>
        </w:rPr>
        <w:t xml:space="preserve">The Severe Behaviour Response Teams (SBRT) provide some support for acute incidents, but they do not provide broad based or ongoing assistance. The planned establishment of Specialist Dementia Care Units will assist in care for some severe cases, but they will only help a small proportion of sufferers and will not be fully operational for several years. </w:t>
      </w:r>
    </w:p>
    <w:p w14:paraId="45CF3BAA" w14:textId="318506CC" w:rsidR="00513C37" w:rsidRPr="00A17905" w:rsidRDefault="00513C37" w:rsidP="00513C37">
      <w:pPr>
        <w:rPr>
          <w:rFonts w:ascii="Arial" w:hAnsi="Arial" w:cs="Arial"/>
          <w:sz w:val="21"/>
          <w:szCs w:val="21"/>
        </w:rPr>
      </w:pPr>
      <w:r w:rsidRPr="00A17905">
        <w:rPr>
          <w:rFonts w:ascii="Arial" w:hAnsi="Arial" w:cs="Arial"/>
          <w:sz w:val="21"/>
          <w:szCs w:val="21"/>
        </w:rPr>
        <w:t>The Specialist Dementia Unit Consultation estimated that caring for those with the severe to extreme behaviours (</w:t>
      </w:r>
      <w:proofErr w:type="spellStart"/>
      <w:r w:rsidRPr="00A17905">
        <w:rPr>
          <w:rFonts w:ascii="Arial" w:hAnsi="Arial" w:cs="Arial"/>
          <w:sz w:val="21"/>
          <w:szCs w:val="21"/>
        </w:rPr>
        <w:t>Brodaty</w:t>
      </w:r>
      <w:proofErr w:type="spellEnd"/>
      <w:r w:rsidRPr="00A17905">
        <w:rPr>
          <w:rFonts w:ascii="Arial" w:hAnsi="Arial" w:cs="Arial"/>
          <w:sz w:val="21"/>
          <w:szCs w:val="21"/>
        </w:rPr>
        <w:t xml:space="preserve"> </w:t>
      </w:r>
      <w:r w:rsidRPr="00A17905">
        <w:rPr>
          <w:rFonts w:ascii="Arial" w:hAnsi="Arial" w:cs="Arial"/>
          <w:i/>
          <w:sz w:val="21"/>
          <w:szCs w:val="21"/>
        </w:rPr>
        <w:t>et al</w:t>
      </w:r>
      <w:r w:rsidRPr="00A17905">
        <w:rPr>
          <w:rFonts w:ascii="Arial" w:hAnsi="Arial" w:cs="Arial"/>
          <w:sz w:val="21"/>
          <w:szCs w:val="21"/>
        </w:rPr>
        <w:t xml:space="preserve"> model</w:t>
      </w:r>
      <w:r w:rsidRPr="00A17905">
        <w:rPr>
          <w:rStyle w:val="EndnoteReference"/>
          <w:rFonts w:ascii="Arial" w:hAnsi="Arial" w:cs="Arial"/>
          <w:sz w:val="21"/>
          <w:szCs w:val="21"/>
        </w:rPr>
        <w:endnoteReference w:id="23"/>
      </w:r>
      <w:r w:rsidRPr="00A17905">
        <w:rPr>
          <w:rFonts w:ascii="Arial" w:hAnsi="Arial" w:cs="Arial"/>
          <w:sz w:val="21"/>
          <w:szCs w:val="21"/>
        </w:rPr>
        <w:t>) would cost $150-300 extra per day</w:t>
      </w:r>
      <w:r w:rsidRPr="00A17905">
        <w:rPr>
          <w:rStyle w:val="EndnoteReference"/>
          <w:rFonts w:ascii="Arial" w:hAnsi="Arial" w:cs="Arial"/>
          <w:sz w:val="21"/>
          <w:szCs w:val="21"/>
        </w:rPr>
        <w:endnoteReference w:id="24"/>
      </w:r>
      <w:r w:rsidRPr="00A17905">
        <w:rPr>
          <w:rFonts w:ascii="Arial" w:hAnsi="Arial" w:cs="Arial"/>
          <w:sz w:val="21"/>
          <w:szCs w:val="21"/>
        </w:rPr>
        <w:t xml:space="preserve">. </w:t>
      </w:r>
    </w:p>
    <w:p w14:paraId="4CDD32F4" w14:textId="22BD87BF" w:rsidR="00DB3083" w:rsidRPr="00A17905" w:rsidRDefault="00035898" w:rsidP="00DB3083">
      <w:pPr>
        <w:rPr>
          <w:rFonts w:ascii="Arial" w:hAnsi="Arial" w:cs="Arial"/>
          <w:sz w:val="21"/>
          <w:szCs w:val="21"/>
        </w:rPr>
      </w:pPr>
      <w:r>
        <w:rPr>
          <w:rFonts w:ascii="Arial" w:hAnsi="Arial" w:cs="Arial"/>
          <w:sz w:val="21"/>
          <w:szCs w:val="21"/>
        </w:rPr>
        <w:t xml:space="preserve">With this in mind </w:t>
      </w:r>
      <w:r w:rsidR="00513C37" w:rsidRPr="00A17905">
        <w:rPr>
          <w:rFonts w:ascii="Arial" w:hAnsi="Arial" w:cs="Arial"/>
          <w:sz w:val="21"/>
          <w:szCs w:val="21"/>
        </w:rPr>
        <w:t>it is clear that a significant additional supplement is needed. This funding could be used by facilities for psychological and emotional support provision, design of the environment, education</w:t>
      </w:r>
      <w:r w:rsidR="00DB3083" w:rsidRPr="00A17905">
        <w:rPr>
          <w:rFonts w:ascii="Arial" w:hAnsi="Arial" w:cs="Arial"/>
          <w:sz w:val="21"/>
          <w:szCs w:val="21"/>
        </w:rPr>
        <w:t xml:space="preserve"> and</w:t>
      </w:r>
      <w:r w:rsidR="00513C37" w:rsidRPr="00A17905">
        <w:rPr>
          <w:rFonts w:ascii="Arial" w:hAnsi="Arial" w:cs="Arial"/>
          <w:sz w:val="21"/>
          <w:szCs w:val="21"/>
        </w:rPr>
        <w:t xml:space="preserve"> pastoral support for families and care recipients. </w:t>
      </w:r>
      <w:r w:rsidR="00DB3083" w:rsidRPr="00A17905">
        <w:rPr>
          <w:rFonts w:ascii="Arial" w:hAnsi="Arial" w:cs="Arial"/>
          <w:sz w:val="21"/>
          <w:szCs w:val="21"/>
        </w:rPr>
        <w:t xml:space="preserve">It could, for example, be used to employ </w:t>
      </w:r>
      <w:r w:rsidR="000D7F4E" w:rsidRPr="00A17905">
        <w:rPr>
          <w:rFonts w:ascii="Arial" w:hAnsi="Arial" w:cs="Arial"/>
          <w:sz w:val="21"/>
          <w:szCs w:val="21"/>
        </w:rPr>
        <w:t>an</w:t>
      </w:r>
      <w:r w:rsidR="00DB3083" w:rsidRPr="00A17905">
        <w:rPr>
          <w:rFonts w:ascii="Arial" w:hAnsi="Arial" w:cs="Arial"/>
          <w:sz w:val="21"/>
          <w:szCs w:val="21"/>
        </w:rPr>
        <w:t xml:space="preserve"> in-house Dementia Champion to help maintain a home-like environment and </w:t>
      </w:r>
      <w:r>
        <w:rPr>
          <w:rFonts w:ascii="Arial" w:hAnsi="Arial" w:cs="Arial"/>
          <w:sz w:val="21"/>
          <w:szCs w:val="21"/>
        </w:rPr>
        <w:t>applying,</w:t>
      </w:r>
      <w:r w:rsidR="00DB3083" w:rsidRPr="00A17905">
        <w:rPr>
          <w:rFonts w:ascii="Arial" w:hAnsi="Arial" w:cs="Arial"/>
          <w:sz w:val="21"/>
          <w:szCs w:val="21"/>
        </w:rPr>
        <w:t xml:space="preserve"> individualised de-escalation techniques such as taking someone who is becoming disruptive outside for a walk.</w:t>
      </w:r>
    </w:p>
    <w:p w14:paraId="3AAF16BB" w14:textId="51580CC0" w:rsidR="00DB3083" w:rsidRPr="00A17905" w:rsidRDefault="00DB3083" w:rsidP="00513C37">
      <w:pPr>
        <w:rPr>
          <w:rFonts w:ascii="Arial" w:hAnsi="Arial" w:cs="Arial"/>
          <w:sz w:val="21"/>
          <w:szCs w:val="21"/>
        </w:rPr>
      </w:pPr>
      <w:r w:rsidRPr="00A17905">
        <w:rPr>
          <w:rFonts w:ascii="Arial" w:hAnsi="Arial" w:cs="Arial"/>
          <w:sz w:val="21"/>
          <w:szCs w:val="21"/>
        </w:rPr>
        <w:t>LASA notes that at the time the previous dementia supplement was removed it was costing the Government around $100 million a year.</w:t>
      </w:r>
      <w:r w:rsidR="000B4D7B">
        <w:rPr>
          <w:rStyle w:val="EndnoteReference"/>
          <w:rFonts w:ascii="Arial" w:hAnsi="Arial" w:cs="Arial"/>
          <w:sz w:val="21"/>
          <w:szCs w:val="21"/>
        </w:rPr>
        <w:endnoteReference w:id="25"/>
      </w:r>
      <w:r w:rsidRPr="00A17905">
        <w:rPr>
          <w:rFonts w:ascii="Arial" w:hAnsi="Arial" w:cs="Arial"/>
          <w:sz w:val="21"/>
          <w:szCs w:val="21"/>
        </w:rPr>
        <w:t xml:space="preserve"> A new supplement within a similar funding envelope would provide much needed temporary relief in relation to this issue while the Royal Commission </w:t>
      </w:r>
      <w:r w:rsidR="00035898">
        <w:rPr>
          <w:rFonts w:ascii="Arial" w:hAnsi="Arial" w:cs="Arial"/>
          <w:sz w:val="21"/>
          <w:szCs w:val="21"/>
        </w:rPr>
        <w:t xml:space="preserve">considers </w:t>
      </w:r>
      <w:r w:rsidRPr="00A17905">
        <w:rPr>
          <w:rFonts w:ascii="Arial" w:hAnsi="Arial" w:cs="Arial"/>
          <w:sz w:val="21"/>
          <w:szCs w:val="21"/>
        </w:rPr>
        <w:t xml:space="preserve">whether more structural changes are needed. </w:t>
      </w:r>
      <w:r w:rsidR="00035898">
        <w:rPr>
          <w:rFonts w:ascii="Arial" w:hAnsi="Arial" w:cs="Arial"/>
          <w:sz w:val="21"/>
          <w:szCs w:val="21"/>
        </w:rPr>
        <w:t>Any c</w:t>
      </w:r>
      <w:r w:rsidRPr="00A17905">
        <w:rPr>
          <w:rFonts w:ascii="Arial" w:hAnsi="Arial" w:cs="Arial"/>
          <w:sz w:val="21"/>
          <w:szCs w:val="21"/>
        </w:rPr>
        <w:t xml:space="preserve">oncerns </w:t>
      </w:r>
      <w:r w:rsidR="00035898">
        <w:rPr>
          <w:rFonts w:ascii="Arial" w:hAnsi="Arial" w:cs="Arial"/>
          <w:sz w:val="21"/>
          <w:szCs w:val="21"/>
        </w:rPr>
        <w:t>with regards to subsidy claiming behaviours w</w:t>
      </w:r>
      <w:r w:rsidRPr="00A17905">
        <w:rPr>
          <w:rFonts w:ascii="Arial" w:hAnsi="Arial" w:cs="Arial"/>
          <w:sz w:val="21"/>
          <w:szCs w:val="21"/>
        </w:rPr>
        <w:t>ould be managed through a strong regime of external validations.</w:t>
      </w:r>
    </w:p>
    <w:p w14:paraId="735DEB02" w14:textId="109AF6A8" w:rsidR="000D7F4E" w:rsidRDefault="000D7F4E" w:rsidP="000D7F4E">
      <w:pPr>
        <w:pStyle w:val="Heading2"/>
      </w:pPr>
      <w:bookmarkStart w:id="11" w:name="_Toc536804105"/>
      <w:r>
        <w:t>Introduce maximum wait times for home care</w:t>
      </w:r>
      <w:bookmarkEnd w:id="11"/>
    </w:p>
    <w:p w14:paraId="02ED95C9" w14:textId="2391836E" w:rsidR="00D012EE" w:rsidRPr="005B153F" w:rsidRDefault="00D012EE" w:rsidP="000D7F4E">
      <w:pPr>
        <w:rPr>
          <w:rFonts w:ascii="Arial" w:hAnsi="Arial" w:cs="Arial"/>
          <w:sz w:val="21"/>
          <w:szCs w:val="21"/>
        </w:rPr>
      </w:pPr>
      <w:r w:rsidRPr="005B153F">
        <w:rPr>
          <w:rFonts w:ascii="Arial" w:hAnsi="Arial" w:cs="Arial"/>
          <w:sz w:val="21"/>
          <w:szCs w:val="21"/>
        </w:rPr>
        <w:t xml:space="preserve">The Government should phase in maximum wait times for the home care queue for both final and interim packages. This will provide certainty and stability and establish a clear expectation </w:t>
      </w:r>
      <w:r w:rsidRPr="005B153F">
        <w:rPr>
          <w:rFonts w:ascii="Arial" w:hAnsi="Arial" w:cs="Arial"/>
          <w:sz w:val="21"/>
          <w:szCs w:val="21"/>
        </w:rPr>
        <w:lastRenderedPageBreak/>
        <w:t xml:space="preserve">that those in need of home care will not be forced to wait an unlimited period of time. </w:t>
      </w:r>
      <w:r w:rsidR="00DB2642" w:rsidRPr="00DB2642">
        <w:rPr>
          <w:rFonts w:ascii="Arial" w:hAnsi="Arial" w:cs="Arial"/>
          <w:sz w:val="21"/>
          <w:szCs w:val="21"/>
        </w:rPr>
        <w:t>Compared to people who waited</w:t>
      </w:r>
      <w:r w:rsidR="00DB2642">
        <w:rPr>
          <w:rFonts w:ascii="Arial" w:hAnsi="Arial" w:cs="Arial"/>
          <w:sz w:val="21"/>
          <w:szCs w:val="21"/>
        </w:rPr>
        <w:t xml:space="preserve"> 30</w:t>
      </w:r>
      <w:r w:rsidR="00DB2642" w:rsidRPr="00DB2642">
        <w:rPr>
          <w:rFonts w:ascii="Arial" w:hAnsi="Arial" w:cs="Arial"/>
          <w:sz w:val="21"/>
          <w:szCs w:val="21"/>
        </w:rPr>
        <w:t xml:space="preserve"> days </w:t>
      </w:r>
      <w:r w:rsidR="00DB2642">
        <w:rPr>
          <w:rFonts w:ascii="Arial" w:hAnsi="Arial" w:cs="Arial"/>
          <w:sz w:val="21"/>
          <w:szCs w:val="21"/>
        </w:rPr>
        <w:t xml:space="preserve">or less </w:t>
      </w:r>
      <w:r w:rsidR="00DB2642" w:rsidRPr="00DB2642">
        <w:rPr>
          <w:rFonts w:ascii="Arial" w:hAnsi="Arial" w:cs="Arial"/>
          <w:sz w:val="21"/>
          <w:szCs w:val="21"/>
        </w:rPr>
        <w:t xml:space="preserve">for </w:t>
      </w:r>
      <w:r w:rsidR="00DB2642">
        <w:rPr>
          <w:rFonts w:ascii="Arial" w:hAnsi="Arial" w:cs="Arial"/>
          <w:sz w:val="21"/>
          <w:szCs w:val="21"/>
        </w:rPr>
        <w:t>a home care package</w:t>
      </w:r>
      <w:r w:rsidR="00DB2642" w:rsidRPr="00DB2642">
        <w:rPr>
          <w:rFonts w:ascii="Arial" w:hAnsi="Arial" w:cs="Arial"/>
          <w:sz w:val="21"/>
          <w:szCs w:val="21"/>
        </w:rPr>
        <w:t>, individuals who waited more than 6 months had an almost 20</w:t>
      </w:r>
      <w:r w:rsidR="00DB2642">
        <w:rPr>
          <w:rFonts w:ascii="Arial" w:hAnsi="Arial" w:cs="Arial"/>
          <w:sz w:val="21"/>
          <w:szCs w:val="21"/>
        </w:rPr>
        <w:t xml:space="preserve"> per cent</w:t>
      </w:r>
      <w:r w:rsidR="00DB2642" w:rsidRPr="00DB2642">
        <w:rPr>
          <w:rFonts w:ascii="Arial" w:hAnsi="Arial" w:cs="Arial"/>
          <w:sz w:val="21"/>
          <w:szCs w:val="21"/>
        </w:rPr>
        <w:t xml:space="preserve"> excess risk of death</w:t>
      </w:r>
      <w:r w:rsidR="00DB2642">
        <w:rPr>
          <w:rFonts w:ascii="Arial" w:hAnsi="Arial" w:cs="Arial"/>
          <w:sz w:val="21"/>
          <w:szCs w:val="21"/>
        </w:rPr>
        <w:t xml:space="preserve"> within 2 years of entry to home care.</w:t>
      </w:r>
      <w:r w:rsidR="00DB2642">
        <w:rPr>
          <w:rStyle w:val="EndnoteReference"/>
          <w:rFonts w:ascii="Arial" w:hAnsi="Arial" w:cs="Arial"/>
          <w:sz w:val="21"/>
          <w:szCs w:val="21"/>
        </w:rPr>
        <w:endnoteReference w:id="26"/>
      </w:r>
    </w:p>
    <w:p w14:paraId="05A53512" w14:textId="79F6DC8A" w:rsidR="000D7F4E" w:rsidRPr="005B153F" w:rsidRDefault="00D012EE" w:rsidP="000D7F4E">
      <w:pPr>
        <w:rPr>
          <w:rFonts w:ascii="Arial" w:hAnsi="Arial" w:cs="Arial"/>
          <w:sz w:val="21"/>
          <w:szCs w:val="21"/>
        </w:rPr>
      </w:pPr>
      <w:r w:rsidRPr="005B153F">
        <w:rPr>
          <w:rFonts w:ascii="Arial" w:hAnsi="Arial" w:cs="Arial"/>
          <w:sz w:val="21"/>
          <w:szCs w:val="21"/>
        </w:rPr>
        <w:t xml:space="preserve">Based on the data available, </w:t>
      </w:r>
      <w:r w:rsidR="000D7F4E" w:rsidRPr="005B153F">
        <w:rPr>
          <w:rFonts w:ascii="Arial" w:hAnsi="Arial" w:cs="Arial"/>
          <w:sz w:val="21"/>
          <w:szCs w:val="21"/>
        </w:rPr>
        <w:t>LASA estimates that the total value of unmet demand on the home care queue has recently stabilised, even as the number of people on the queue continues to increase.</w:t>
      </w:r>
      <w:r w:rsidRPr="005B153F">
        <w:rPr>
          <w:rFonts w:ascii="Arial" w:hAnsi="Arial" w:cs="Arial"/>
          <w:sz w:val="21"/>
          <w:szCs w:val="21"/>
        </w:rPr>
        <w:t xml:space="preserve"> </w:t>
      </w:r>
      <w:r w:rsidR="000D7F4E" w:rsidRPr="005B153F">
        <w:rPr>
          <w:rFonts w:ascii="Arial" w:hAnsi="Arial" w:cs="Arial"/>
          <w:sz w:val="21"/>
          <w:szCs w:val="21"/>
        </w:rPr>
        <w:t>However, the total value of unmet demand remains very large</w:t>
      </w:r>
      <w:r w:rsidRPr="005B153F">
        <w:rPr>
          <w:rFonts w:ascii="Arial" w:hAnsi="Arial" w:cs="Arial"/>
          <w:sz w:val="21"/>
          <w:szCs w:val="21"/>
        </w:rPr>
        <w:t xml:space="preserve"> at</w:t>
      </w:r>
      <w:r w:rsidR="000D7F4E" w:rsidRPr="005B153F">
        <w:rPr>
          <w:rFonts w:ascii="Arial" w:hAnsi="Arial" w:cs="Arial"/>
          <w:sz w:val="21"/>
          <w:szCs w:val="21"/>
        </w:rPr>
        <w:t xml:space="preserve"> perhaps $8-9 billion over three years.</w:t>
      </w:r>
      <w:r w:rsidRPr="005B153F">
        <w:rPr>
          <w:rStyle w:val="EndnoteReference"/>
          <w:rFonts w:ascii="Arial" w:hAnsi="Arial" w:cs="Arial"/>
          <w:sz w:val="21"/>
          <w:szCs w:val="21"/>
        </w:rPr>
        <w:t xml:space="preserve"> </w:t>
      </w:r>
      <w:r w:rsidRPr="005B153F">
        <w:rPr>
          <w:rStyle w:val="EndnoteReference"/>
          <w:rFonts w:ascii="Arial" w:hAnsi="Arial" w:cs="Arial"/>
          <w:sz w:val="21"/>
          <w:szCs w:val="21"/>
        </w:rPr>
        <w:endnoteReference w:id="27"/>
      </w:r>
      <w:r w:rsidRPr="005B153F">
        <w:rPr>
          <w:rFonts w:ascii="Arial" w:hAnsi="Arial" w:cs="Arial"/>
          <w:sz w:val="21"/>
          <w:szCs w:val="21"/>
        </w:rPr>
        <w:t xml:space="preserve"> </w:t>
      </w:r>
      <w:r w:rsidR="000D7F4E" w:rsidRPr="005B153F">
        <w:rPr>
          <w:rFonts w:ascii="Arial" w:hAnsi="Arial" w:cs="Arial"/>
          <w:sz w:val="21"/>
          <w:szCs w:val="21"/>
        </w:rPr>
        <w:t xml:space="preserve">  </w:t>
      </w:r>
    </w:p>
    <w:p w14:paraId="63BEAF4E" w14:textId="548DEA0C" w:rsidR="00D012EE" w:rsidRPr="005B153F" w:rsidRDefault="000D7F4E" w:rsidP="000D7F4E">
      <w:pPr>
        <w:rPr>
          <w:rFonts w:ascii="Arial" w:hAnsi="Arial" w:cs="Arial"/>
          <w:sz w:val="21"/>
          <w:szCs w:val="21"/>
        </w:rPr>
      </w:pPr>
      <w:r w:rsidRPr="005B153F">
        <w:rPr>
          <w:rFonts w:ascii="Arial" w:hAnsi="Arial" w:cs="Arial"/>
          <w:sz w:val="21"/>
          <w:szCs w:val="21"/>
        </w:rPr>
        <w:t xml:space="preserve">To smooth the costs of </w:t>
      </w:r>
      <w:r w:rsidR="00035898">
        <w:rPr>
          <w:rFonts w:ascii="Arial" w:hAnsi="Arial" w:cs="Arial"/>
          <w:sz w:val="21"/>
          <w:szCs w:val="21"/>
        </w:rPr>
        <w:t xml:space="preserve">meeting care needs and reducing </w:t>
      </w:r>
      <w:r w:rsidRPr="005B153F">
        <w:rPr>
          <w:rFonts w:ascii="Arial" w:hAnsi="Arial" w:cs="Arial"/>
          <w:sz w:val="21"/>
          <w:szCs w:val="21"/>
        </w:rPr>
        <w:t xml:space="preserve">the queue, LASA recommends a </w:t>
      </w:r>
      <w:r w:rsidR="00D012EE" w:rsidRPr="005B153F">
        <w:rPr>
          <w:rFonts w:ascii="Arial" w:hAnsi="Arial" w:cs="Arial"/>
          <w:sz w:val="21"/>
          <w:szCs w:val="21"/>
        </w:rPr>
        <w:t xml:space="preserve">phasing in </w:t>
      </w:r>
      <w:r w:rsidR="00035898">
        <w:rPr>
          <w:rFonts w:ascii="Arial" w:hAnsi="Arial" w:cs="Arial"/>
          <w:sz w:val="21"/>
          <w:szCs w:val="21"/>
        </w:rPr>
        <w:t xml:space="preserve">of </w:t>
      </w:r>
      <w:r w:rsidR="00D012EE" w:rsidRPr="005B153F">
        <w:rPr>
          <w:rFonts w:ascii="Arial" w:hAnsi="Arial" w:cs="Arial"/>
          <w:sz w:val="21"/>
          <w:szCs w:val="21"/>
        </w:rPr>
        <w:t xml:space="preserve">gradually smaller maximum wait times, until the maximum wait time for any package is no more than three months. </w:t>
      </w:r>
    </w:p>
    <w:p w14:paraId="1FB170AE" w14:textId="2DE72ABB" w:rsidR="000D7F4E" w:rsidRPr="005B153F" w:rsidRDefault="00D012EE" w:rsidP="000D7F4E">
      <w:pPr>
        <w:rPr>
          <w:rFonts w:ascii="Arial" w:hAnsi="Arial" w:cs="Arial"/>
          <w:sz w:val="21"/>
          <w:szCs w:val="21"/>
        </w:rPr>
      </w:pPr>
      <w:r w:rsidRPr="005B153F">
        <w:rPr>
          <w:rFonts w:ascii="Arial" w:hAnsi="Arial" w:cs="Arial"/>
          <w:sz w:val="21"/>
          <w:szCs w:val="21"/>
        </w:rPr>
        <w:t xml:space="preserve">To limit the level of unmet demand, this phasing in of maximum wait times should be supplemented by prioritising the queue based on </w:t>
      </w:r>
      <w:r w:rsidR="00035898">
        <w:rPr>
          <w:rFonts w:ascii="Arial" w:hAnsi="Arial" w:cs="Arial"/>
          <w:sz w:val="21"/>
          <w:szCs w:val="21"/>
        </w:rPr>
        <w:t xml:space="preserve">individuals’ </w:t>
      </w:r>
      <w:r w:rsidRPr="005B153F">
        <w:rPr>
          <w:rFonts w:ascii="Arial" w:hAnsi="Arial" w:cs="Arial"/>
          <w:sz w:val="21"/>
          <w:szCs w:val="21"/>
        </w:rPr>
        <w:t>means and giving people the option of using their home equity</w:t>
      </w:r>
      <w:r w:rsidR="00035898">
        <w:rPr>
          <w:rFonts w:ascii="Arial" w:hAnsi="Arial" w:cs="Arial"/>
          <w:sz w:val="21"/>
          <w:szCs w:val="21"/>
        </w:rPr>
        <w:t xml:space="preserve"> to fund their care needs</w:t>
      </w:r>
      <w:r w:rsidRPr="005B153F">
        <w:rPr>
          <w:rFonts w:ascii="Arial" w:hAnsi="Arial" w:cs="Arial"/>
          <w:sz w:val="21"/>
          <w:szCs w:val="21"/>
        </w:rPr>
        <w:t>.</w:t>
      </w:r>
    </w:p>
    <w:p w14:paraId="481664FA" w14:textId="2BC70D3C" w:rsidR="00D012EE" w:rsidRPr="005B153F" w:rsidRDefault="00E313A1" w:rsidP="000D7F4E">
      <w:pPr>
        <w:rPr>
          <w:rFonts w:ascii="Arial" w:hAnsi="Arial" w:cs="Arial"/>
          <w:sz w:val="21"/>
          <w:szCs w:val="21"/>
        </w:rPr>
      </w:pPr>
      <w:r w:rsidRPr="005B153F">
        <w:rPr>
          <w:rFonts w:ascii="Arial" w:hAnsi="Arial" w:cs="Arial"/>
          <w:sz w:val="21"/>
          <w:szCs w:val="21"/>
        </w:rPr>
        <w:t xml:space="preserve">LASA does not have </w:t>
      </w:r>
      <w:r w:rsidR="00035898">
        <w:rPr>
          <w:rFonts w:ascii="Arial" w:hAnsi="Arial" w:cs="Arial"/>
          <w:sz w:val="21"/>
          <w:szCs w:val="21"/>
        </w:rPr>
        <w:t xml:space="preserve">data </w:t>
      </w:r>
      <w:r w:rsidRPr="005B153F">
        <w:rPr>
          <w:rFonts w:ascii="Arial" w:hAnsi="Arial" w:cs="Arial"/>
          <w:sz w:val="21"/>
          <w:szCs w:val="21"/>
        </w:rPr>
        <w:t>on the distribution of current wait times, so it is difficult to estimate what implementing such a measure would cost. However, LASA believes it would be reasonable to invest around $500 million a year in additional funding until wait times fall to an acceptable level.</w:t>
      </w:r>
    </w:p>
    <w:p w14:paraId="69016EF2" w14:textId="1D337F6D" w:rsidR="00E313A1" w:rsidRDefault="00E313A1" w:rsidP="00E313A1">
      <w:pPr>
        <w:pStyle w:val="Heading2"/>
      </w:pPr>
      <w:bookmarkStart w:id="12" w:name="_Toc536804106"/>
      <w:r>
        <w:t>Maintain the real value of home care packages</w:t>
      </w:r>
      <w:bookmarkEnd w:id="12"/>
    </w:p>
    <w:p w14:paraId="127C506F" w14:textId="77777777" w:rsidR="00A252B5" w:rsidRDefault="00E313A1" w:rsidP="00E313A1">
      <w:pPr>
        <w:rPr>
          <w:rFonts w:ascii="Arial" w:hAnsi="Arial" w:cs="Arial"/>
          <w:sz w:val="21"/>
          <w:szCs w:val="21"/>
        </w:rPr>
      </w:pPr>
      <w:r w:rsidRPr="005B153F">
        <w:rPr>
          <w:rFonts w:ascii="Arial" w:hAnsi="Arial" w:cs="Arial"/>
          <w:sz w:val="21"/>
          <w:szCs w:val="21"/>
        </w:rPr>
        <w:t>Indexation is also inadequate for home care packages, with the real value of services that can be purchased at given package level falling as wages rise. This is also reflected in the dramatic drop in the surplus of home care providers as the large number of new entrants increases competition and forces down margins. Longer-term, LASA believes that indexation rates should be adjusted to reflect cost growth. However, in the short-term LASA recommends an investment of $60 million</w:t>
      </w:r>
      <w:r w:rsidR="008B69B4">
        <w:rPr>
          <w:rFonts w:ascii="Arial" w:hAnsi="Arial" w:cs="Arial"/>
          <w:sz w:val="21"/>
          <w:szCs w:val="21"/>
        </w:rPr>
        <w:t xml:space="preserve"> per year</w:t>
      </w:r>
      <w:r w:rsidRPr="005B153F">
        <w:rPr>
          <w:rFonts w:ascii="Arial" w:hAnsi="Arial" w:cs="Arial"/>
          <w:sz w:val="21"/>
          <w:szCs w:val="21"/>
        </w:rPr>
        <w:t xml:space="preserve"> to boost the value of</w:t>
      </w:r>
      <w:r w:rsidRPr="00A17905">
        <w:rPr>
          <w:sz w:val="21"/>
          <w:szCs w:val="21"/>
        </w:rPr>
        <w:t xml:space="preserve"> </w:t>
      </w:r>
      <w:r w:rsidRPr="008B69B4">
        <w:rPr>
          <w:rFonts w:ascii="Arial" w:hAnsi="Arial" w:cs="Arial"/>
          <w:sz w:val="21"/>
          <w:szCs w:val="21"/>
        </w:rPr>
        <w:t>home care subsidies.</w:t>
      </w:r>
    </w:p>
    <w:p w14:paraId="45D083B5" w14:textId="056E2915" w:rsidR="00D10A09" w:rsidRPr="00A17905" w:rsidRDefault="00A252B5" w:rsidP="00E313A1">
      <w:pPr>
        <w:rPr>
          <w:sz w:val="21"/>
          <w:szCs w:val="21"/>
        </w:rPr>
      </w:pPr>
      <w:r w:rsidRPr="00053525">
        <w:rPr>
          <w:rFonts w:ascii="Arial" w:hAnsi="Arial" w:cs="Arial"/>
          <w:sz w:val="21"/>
          <w:szCs w:val="21"/>
        </w:rPr>
        <w:t xml:space="preserve">LASA has also urged the Government to pay close attention to </w:t>
      </w:r>
      <w:r w:rsidR="00053525">
        <w:rPr>
          <w:rFonts w:ascii="Arial" w:hAnsi="Arial" w:cs="Arial"/>
          <w:sz w:val="21"/>
          <w:szCs w:val="21"/>
        </w:rPr>
        <w:t xml:space="preserve">emerging tensions </w:t>
      </w:r>
      <w:r w:rsidRPr="00053525">
        <w:rPr>
          <w:rFonts w:ascii="Arial" w:hAnsi="Arial" w:cs="Arial"/>
          <w:sz w:val="21"/>
          <w:szCs w:val="21"/>
        </w:rPr>
        <w:t xml:space="preserve">within the home care market, noting that </w:t>
      </w:r>
      <w:r w:rsidR="00053525">
        <w:rPr>
          <w:rFonts w:ascii="Arial" w:hAnsi="Arial" w:cs="Arial"/>
          <w:sz w:val="21"/>
          <w:szCs w:val="21"/>
        </w:rPr>
        <w:t xml:space="preserve">some </w:t>
      </w:r>
      <w:r w:rsidRPr="00053525">
        <w:rPr>
          <w:rFonts w:ascii="Arial" w:hAnsi="Arial" w:cs="Arial"/>
          <w:sz w:val="21"/>
          <w:szCs w:val="21"/>
        </w:rPr>
        <w:t xml:space="preserve">Members are reporting pressure not to charge individuals the income tested basic daily care fee, </w:t>
      </w:r>
      <w:r w:rsidR="00053525">
        <w:rPr>
          <w:rFonts w:ascii="Arial" w:hAnsi="Arial" w:cs="Arial"/>
          <w:sz w:val="21"/>
          <w:szCs w:val="21"/>
        </w:rPr>
        <w:t>and/</w:t>
      </w:r>
      <w:r w:rsidRPr="00053525">
        <w:rPr>
          <w:rFonts w:ascii="Arial" w:hAnsi="Arial" w:cs="Arial"/>
          <w:sz w:val="21"/>
          <w:szCs w:val="21"/>
        </w:rPr>
        <w:t xml:space="preserve">or to use funds for </w:t>
      </w:r>
      <w:r w:rsidR="00053525">
        <w:rPr>
          <w:rFonts w:ascii="Arial" w:hAnsi="Arial" w:cs="Arial"/>
          <w:sz w:val="21"/>
          <w:szCs w:val="21"/>
        </w:rPr>
        <w:t xml:space="preserve">potentially </w:t>
      </w:r>
      <w:r w:rsidRPr="00053525">
        <w:rPr>
          <w:rFonts w:ascii="Arial" w:hAnsi="Arial" w:cs="Arial"/>
          <w:sz w:val="21"/>
          <w:szCs w:val="21"/>
        </w:rPr>
        <w:t xml:space="preserve">inappropriate purposes. </w:t>
      </w:r>
      <w:r w:rsidR="00053525">
        <w:rPr>
          <w:rFonts w:ascii="Arial" w:hAnsi="Arial" w:cs="Arial"/>
          <w:sz w:val="21"/>
          <w:szCs w:val="21"/>
        </w:rPr>
        <w:t xml:space="preserve">LASA has also sought assurances from Government to ensure appropriate and timely compliance with quality standards, across HCP providers, is maintained. </w:t>
      </w:r>
    </w:p>
    <w:p w14:paraId="3FA17068" w14:textId="4AE94BC4" w:rsidR="002D128A" w:rsidRPr="00E313A1" w:rsidRDefault="00E313A1" w:rsidP="00E313A1">
      <w:pPr>
        <w:pStyle w:val="Heading2"/>
      </w:pPr>
      <w:bookmarkStart w:id="13" w:name="_Toc536804107"/>
      <w:r w:rsidRPr="00E313A1">
        <w:t>Begin investing in a skilled workforce</w:t>
      </w:r>
      <w:bookmarkEnd w:id="13"/>
    </w:p>
    <w:p w14:paraId="4A9D8C31" w14:textId="66F1190C" w:rsidR="001B521C" w:rsidRDefault="00E313A1" w:rsidP="00A20642">
      <w:pPr>
        <w:rPr>
          <w:rFonts w:ascii="Arial" w:hAnsi="Arial" w:cs="Arial"/>
          <w:color w:val="000000"/>
          <w:sz w:val="21"/>
          <w:szCs w:val="21"/>
        </w:rPr>
      </w:pPr>
      <w:r w:rsidRPr="00A17905">
        <w:rPr>
          <w:rFonts w:ascii="Arial" w:hAnsi="Arial" w:cs="Arial"/>
          <w:color w:val="000000"/>
          <w:sz w:val="21"/>
          <w:szCs w:val="21"/>
        </w:rPr>
        <w:t>The Workforce Strategy Taskforce Report has made it clear that significant additional investment in wor</w:t>
      </w:r>
      <w:r w:rsidR="00246D6F" w:rsidRPr="00A17905">
        <w:rPr>
          <w:rFonts w:ascii="Arial" w:hAnsi="Arial" w:cs="Arial"/>
          <w:color w:val="000000"/>
          <w:sz w:val="21"/>
          <w:szCs w:val="21"/>
        </w:rPr>
        <w:t xml:space="preserve">kforce training will be needed. This additional investment should begin as soon as possible so that staff can begin upskilling to deal with growing issues, such as dementia, palliative care, and medication management. </w:t>
      </w:r>
      <w:r w:rsidR="00D10A09">
        <w:rPr>
          <w:rFonts w:ascii="Arial" w:hAnsi="Arial" w:cs="Arial"/>
          <w:color w:val="000000"/>
          <w:sz w:val="21"/>
          <w:szCs w:val="21"/>
        </w:rPr>
        <w:t>In the first instance, a</w:t>
      </w:r>
      <w:r w:rsidR="00246D6F" w:rsidRPr="00A17905">
        <w:rPr>
          <w:rFonts w:ascii="Arial" w:hAnsi="Arial" w:cs="Arial"/>
          <w:color w:val="000000"/>
          <w:sz w:val="21"/>
          <w:szCs w:val="21"/>
        </w:rPr>
        <w:t xml:space="preserve"> funding pool of around $30 million a year would be a reasonable down-payment. This is similar to the amount that was allocated to aged care under the Workforce Development Fund,</w:t>
      </w:r>
      <w:r w:rsidR="00012686">
        <w:rPr>
          <w:rStyle w:val="EndnoteReference"/>
          <w:rFonts w:ascii="Arial" w:hAnsi="Arial" w:cs="Arial"/>
          <w:color w:val="000000"/>
          <w:sz w:val="21"/>
          <w:szCs w:val="21"/>
        </w:rPr>
        <w:endnoteReference w:id="28"/>
      </w:r>
      <w:r w:rsidR="00246D6F" w:rsidRPr="00A17905">
        <w:rPr>
          <w:rFonts w:ascii="Arial" w:hAnsi="Arial" w:cs="Arial"/>
          <w:color w:val="000000"/>
          <w:sz w:val="21"/>
          <w:szCs w:val="21"/>
        </w:rPr>
        <w:t xml:space="preserve"> and it is roughly enough </w:t>
      </w:r>
      <w:r w:rsidR="00D10A09">
        <w:rPr>
          <w:rFonts w:ascii="Arial" w:hAnsi="Arial" w:cs="Arial"/>
          <w:color w:val="000000"/>
          <w:sz w:val="21"/>
          <w:szCs w:val="21"/>
        </w:rPr>
        <w:t>money for</w:t>
      </w:r>
      <w:r w:rsidR="00246D6F" w:rsidRPr="00A17905">
        <w:rPr>
          <w:rFonts w:ascii="Arial" w:hAnsi="Arial" w:cs="Arial"/>
          <w:color w:val="000000"/>
          <w:sz w:val="21"/>
          <w:szCs w:val="21"/>
        </w:rPr>
        <w:t xml:space="preserve"> one staff member in each aged care service to </w:t>
      </w:r>
      <w:r w:rsidR="00D10A09">
        <w:rPr>
          <w:rFonts w:ascii="Arial" w:hAnsi="Arial" w:cs="Arial"/>
          <w:color w:val="000000"/>
          <w:sz w:val="21"/>
          <w:szCs w:val="21"/>
        </w:rPr>
        <w:t xml:space="preserve">attend </w:t>
      </w:r>
      <w:r w:rsidR="00DB2642">
        <w:rPr>
          <w:rFonts w:ascii="Arial" w:hAnsi="Arial" w:cs="Arial"/>
          <w:color w:val="000000"/>
          <w:sz w:val="21"/>
          <w:szCs w:val="21"/>
        </w:rPr>
        <w:t>a</w:t>
      </w:r>
      <w:r w:rsidR="00D10A09">
        <w:rPr>
          <w:rFonts w:ascii="Arial" w:hAnsi="Arial" w:cs="Arial"/>
          <w:color w:val="000000"/>
          <w:sz w:val="21"/>
          <w:szCs w:val="21"/>
        </w:rPr>
        <w:t xml:space="preserve"> </w:t>
      </w:r>
      <w:r w:rsidR="00246D6F" w:rsidRPr="00A17905">
        <w:rPr>
          <w:rFonts w:ascii="Arial" w:hAnsi="Arial" w:cs="Arial"/>
          <w:color w:val="000000"/>
          <w:sz w:val="21"/>
          <w:szCs w:val="21"/>
        </w:rPr>
        <w:t>single day</w:t>
      </w:r>
      <w:r w:rsidR="00DB2642">
        <w:rPr>
          <w:rFonts w:ascii="Arial" w:hAnsi="Arial" w:cs="Arial"/>
          <w:color w:val="000000"/>
          <w:sz w:val="21"/>
          <w:szCs w:val="21"/>
        </w:rPr>
        <w:t xml:space="preserve"> of</w:t>
      </w:r>
      <w:r w:rsidR="00246D6F" w:rsidRPr="00A17905">
        <w:rPr>
          <w:rFonts w:ascii="Arial" w:hAnsi="Arial" w:cs="Arial"/>
          <w:color w:val="000000"/>
          <w:sz w:val="21"/>
          <w:szCs w:val="21"/>
        </w:rPr>
        <w:t xml:space="preserve"> </w:t>
      </w:r>
      <w:r w:rsidR="00D10A09">
        <w:rPr>
          <w:rFonts w:ascii="Arial" w:hAnsi="Arial" w:cs="Arial"/>
          <w:color w:val="000000"/>
          <w:sz w:val="21"/>
          <w:szCs w:val="21"/>
        </w:rPr>
        <w:t xml:space="preserve">appropriate </w:t>
      </w:r>
      <w:r w:rsidR="00246D6F" w:rsidRPr="00A17905">
        <w:rPr>
          <w:rFonts w:ascii="Arial" w:hAnsi="Arial" w:cs="Arial"/>
          <w:color w:val="000000"/>
          <w:sz w:val="21"/>
          <w:szCs w:val="21"/>
        </w:rPr>
        <w:t>training.</w:t>
      </w:r>
      <w:r w:rsidR="00D10A09">
        <w:rPr>
          <w:rFonts w:ascii="Arial" w:hAnsi="Arial" w:cs="Arial"/>
          <w:color w:val="000000"/>
          <w:sz w:val="21"/>
          <w:szCs w:val="21"/>
        </w:rPr>
        <w:t xml:space="preserve">  </w:t>
      </w:r>
    </w:p>
    <w:p w14:paraId="4A5AD6C6" w14:textId="48C05F7A" w:rsidR="00406B4D" w:rsidRDefault="00406B4D" w:rsidP="00A20642">
      <w:pPr>
        <w:rPr>
          <w:rFonts w:ascii="Arial" w:hAnsi="Arial" w:cs="Arial"/>
          <w:color w:val="000000"/>
          <w:sz w:val="21"/>
          <w:szCs w:val="21"/>
        </w:rPr>
      </w:pPr>
    </w:p>
    <w:p w14:paraId="171BA4DD" w14:textId="6274E801" w:rsidR="00406B4D" w:rsidRDefault="00406B4D" w:rsidP="00A20642">
      <w:pPr>
        <w:rPr>
          <w:rFonts w:ascii="Arial" w:hAnsi="Arial" w:cs="Arial"/>
          <w:color w:val="000000"/>
          <w:sz w:val="21"/>
          <w:szCs w:val="21"/>
        </w:rPr>
      </w:pPr>
    </w:p>
    <w:p w14:paraId="39F56A5F" w14:textId="77777777" w:rsidR="00406B4D" w:rsidRDefault="00406B4D" w:rsidP="00A20642">
      <w:pPr>
        <w:rPr>
          <w:rFonts w:ascii="Arial" w:hAnsi="Arial" w:cs="Arial"/>
          <w:color w:val="000000"/>
          <w:sz w:val="21"/>
          <w:szCs w:val="21"/>
        </w:rPr>
      </w:pPr>
    </w:p>
    <w:p w14:paraId="007F4562" w14:textId="5C0812D0" w:rsidR="00D10A09" w:rsidRDefault="00D10A09" w:rsidP="00A252B5">
      <w:pPr>
        <w:pStyle w:val="Heading1"/>
      </w:pPr>
      <w:r>
        <w:lastRenderedPageBreak/>
        <w:t>Conclusion</w:t>
      </w:r>
    </w:p>
    <w:p w14:paraId="47C57373" w14:textId="34C6D39B" w:rsidR="00A252B5" w:rsidRPr="00053525" w:rsidRDefault="00A252B5" w:rsidP="00A252B5">
      <w:pPr>
        <w:rPr>
          <w:rFonts w:ascii="Arial" w:hAnsi="Arial" w:cs="Arial"/>
          <w:color w:val="000000"/>
          <w:sz w:val="21"/>
          <w:szCs w:val="21"/>
        </w:rPr>
      </w:pPr>
      <w:r w:rsidRPr="00053525">
        <w:rPr>
          <w:rFonts w:ascii="Arial" w:hAnsi="Arial" w:cs="Arial"/>
          <w:color w:val="000000"/>
          <w:sz w:val="21"/>
          <w:szCs w:val="21"/>
        </w:rPr>
        <w:t>Aged care is an issue of national importance. It matters just as much as health and</w:t>
      </w:r>
      <w:r w:rsidR="00012686" w:rsidRPr="00053525">
        <w:rPr>
          <w:rFonts w:ascii="Arial" w:hAnsi="Arial" w:cs="Arial"/>
          <w:color w:val="000000"/>
          <w:sz w:val="21"/>
          <w:szCs w:val="21"/>
        </w:rPr>
        <w:t xml:space="preserve"> education, and it is vital for this to be recognised in the Budget</w:t>
      </w:r>
      <w:r w:rsidR="00012686">
        <w:rPr>
          <w:rFonts w:ascii="Arial" w:hAnsi="Arial" w:cs="Arial"/>
          <w:color w:val="000000"/>
          <w:sz w:val="21"/>
          <w:szCs w:val="21"/>
        </w:rPr>
        <w:t>. Aged care is too important not to get right.</w:t>
      </w:r>
    </w:p>
    <w:p w14:paraId="0DAE6D9D" w14:textId="5827893A" w:rsidR="00A252B5" w:rsidRPr="00053525" w:rsidRDefault="00A252B5" w:rsidP="00A252B5">
      <w:pPr>
        <w:rPr>
          <w:rFonts w:ascii="Arial" w:hAnsi="Arial" w:cs="Arial"/>
          <w:color w:val="000000"/>
          <w:sz w:val="21"/>
          <w:szCs w:val="21"/>
        </w:rPr>
      </w:pPr>
      <w:r w:rsidRPr="00053525">
        <w:rPr>
          <w:rFonts w:ascii="Arial" w:hAnsi="Arial" w:cs="Arial"/>
          <w:color w:val="000000"/>
          <w:sz w:val="21"/>
          <w:szCs w:val="21"/>
        </w:rPr>
        <w:t xml:space="preserve">We all want a safe, high quality and high performing aged care system. Older Australians need it and older Australians deserve nothing less.  </w:t>
      </w:r>
    </w:p>
    <w:p w14:paraId="2E46C64A" w14:textId="76A8B048" w:rsidR="00A252B5" w:rsidRPr="00053525" w:rsidRDefault="00012686" w:rsidP="00053525">
      <w:pPr>
        <w:rPr>
          <w:rFonts w:ascii="Arial" w:hAnsi="Arial" w:cs="Arial"/>
          <w:color w:val="000000"/>
          <w:sz w:val="21"/>
          <w:szCs w:val="21"/>
        </w:rPr>
      </w:pPr>
      <w:r w:rsidRPr="00053525">
        <w:rPr>
          <w:rFonts w:ascii="Arial" w:hAnsi="Arial" w:cs="Arial"/>
          <w:color w:val="000000"/>
          <w:sz w:val="21"/>
          <w:szCs w:val="21"/>
        </w:rPr>
        <w:t>The aged care</w:t>
      </w:r>
      <w:r w:rsidR="00A252B5" w:rsidRPr="00053525">
        <w:rPr>
          <w:rFonts w:ascii="Arial" w:hAnsi="Arial" w:cs="Arial"/>
          <w:color w:val="000000"/>
          <w:sz w:val="21"/>
          <w:szCs w:val="21"/>
        </w:rPr>
        <w:t xml:space="preserve"> sector is in a state of transformation and seeking to meet:</w:t>
      </w:r>
    </w:p>
    <w:p w14:paraId="6C31DDF8" w14:textId="77777777" w:rsidR="00A252B5" w:rsidRPr="00053525" w:rsidRDefault="00A252B5" w:rsidP="00053525">
      <w:pPr>
        <w:pStyle w:val="ListParagraph"/>
        <w:numPr>
          <w:ilvl w:val="0"/>
          <w:numId w:val="45"/>
        </w:numPr>
        <w:rPr>
          <w:rFonts w:ascii="Arial" w:hAnsi="Arial" w:cs="Arial"/>
          <w:color w:val="000000"/>
          <w:sz w:val="21"/>
          <w:szCs w:val="21"/>
        </w:rPr>
      </w:pPr>
      <w:r w:rsidRPr="00053525">
        <w:rPr>
          <w:rFonts w:ascii="Arial" w:hAnsi="Arial" w:cs="Arial"/>
          <w:color w:val="000000"/>
          <w:sz w:val="21"/>
          <w:szCs w:val="21"/>
        </w:rPr>
        <w:t>the growing and changing needs of an ageing population;</w:t>
      </w:r>
    </w:p>
    <w:p w14:paraId="501D722C" w14:textId="77777777" w:rsidR="00A252B5" w:rsidRPr="00053525" w:rsidRDefault="00A252B5" w:rsidP="00053525">
      <w:pPr>
        <w:pStyle w:val="ListParagraph"/>
        <w:numPr>
          <w:ilvl w:val="0"/>
          <w:numId w:val="45"/>
        </w:numPr>
        <w:rPr>
          <w:rFonts w:ascii="Arial" w:hAnsi="Arial" w:cs="Arial"/>
          <w:color w:val="000000"/>
          <w:sz w:val="21"/>
          <w:szCs w:val="21"/>
        </w:rPr>
      </w:pPr>
      <w:r w:rsidRPr="00053525">
        <w:rPr>
          <w:rFonts w:ascii="Arial" w:hAnsi="Arial" w:cs="Arial"/>
          <w:color w:val="000000"/>
          <w:sz w:val="21"/>
          <w:szCs w:val="21"/>
        </w:rPr>
        <w:t>whilst working to ensure appropriate supply of services and accommodation;</w:t>
      </w:r>
    </w:p>
    <w:p w14:paraId="14B1DE39" w14:textId="77777777" w:rsidR="00A252B5" w:rsidRPr="00053525" w:rsidRDefault="00A252B5" w:rsidP="00053525">
      <w:pPr>
        <w:pStyle w:val="ListParagraph"/>
        <w:numPr>
          <w:ilvl w:val="0"/>
          <w:numId w:val="45"/>
        </w:numPr>
        <w:rPr>
          <w:rFonts w:ascii="Arial" w:hAnsi="Arial" w:cs="Arial"/>
          <w:color w:val="000000"/>
          <w:sz w:val="21"/>
          <w:szCs w:val="21"/>
        </w:rPr>
      </w:pPr>
      <w:r w:rsidRPr="00053525">
        <w:rPr>
          <w:rFonts w:ascii="Arial" w:hAnsi="Arial" w:cs="Arial"/>
          <w:color w:val="000000"/>
          <w:sz w:val="21"/>
          <w:szCs w:val="21"/>
        </w:rPr>
        <w:t>whilst seeking to maintain affordability and quality;</w:t>
      </w:r>
    </w:p>
    <w:p w14:paraId="06A6FB31" w14:textId="77777777" w:rsidR="00A252B5" w:rsidRPr="00053525" w:rsidRDefault="00A252B5" w:rsidP="00053525">
      <w:pPr>
        <w:pStyle w:val="ListParagraph"/>
        <w:numPr>
          <w:ilvl w:val="0"/>
          <w:numId w:val="45"/>
        </w:numPr>
        <w:rPr>
          <w:rFonts w:ascii="Arial" w:hAnsi="Arial" w:cs="Arial"/>
          <w:color w:val="000000"/>
          <w:sz w:val="21"/>
          <w:szCs w:val="21"/>
        </w:rPr>
      </w:pPr>
      <w:r w:rsidRPr="00053525">
        <w:rPr>
          <w:rFonts w:ascii="Arial" w:hAnsi="Arial" w:cs="Arial"/>
          <w:color w:val="000000"/>
          <w:sz w:val="21"/>
          <w:szCs w:val="21"/>
        </w:rPr>
        <w:t xml:space="preserve">whilst striving to attract, develop and retain an appropriately skilled workforce; </w:t>
      </w:r>
    </w:p>
    <w:p w14:paraId="4EFF290B" w14:textId="77777777" w:rsidR="00A252B5" w:rsidRPr="00053525" w:rsidRDefault="00A252B5" w:rsidP="00053525">
      <w:pPr>
        <w:pStyle w:val="ListParagraph"/>
        <w:numPr>
          <w:ilvl w:val="0"/>
          <w:numId w:val="45"/>
        </w:numPr>
        <w:rPr>
          <w:rFonts w:ascii="Arial" w:hAnsi="Arial" w:cs="Arial"/>
          <w:color w:val="000000"/>
          <w:sz w:val="21"/>
          <w:szCs w:val="21"/>
        </w:rPr>
      </w:pPr>
      <w:r w:rsidRPr="00053525">
        <w:rPr>
          <w:rFonts w:ascii="Arial" w:hAnsi="Arial" w:cs="Arial"/>
          <w:color w:val="000000"/>
          <w:sz w:val="21"/>
          <w:szCs w:val="21"/>
        </w:rPr>
        <w:t>whilst responding to an innovation imperative (productivity pressures, new models of care, technological advances, and business model disruption), and</w:t>
      </w:r>
    </w:p>
    <w:p w14:paraId="2DD66536" w14:textId="77777777" w:rsidR="00A252B5" w:rsidRPr="00053525" w:rsidRDefault="00A252B5" w:rsidP="00053525">
      <w:pPr>
        <w:pStyle w:val="ListParagraph"/>
        <w:numPr>
          <w:ilvl w:val="0"/>
          <w:numId w:val="45"/>
        </w:numPr>
        <w:rPr>
          <w:rFonts w:ascii="Arial" w:hAnsi="Arial" w:cs="Arial"/>
          <w:color w:val="000000"/>
          <w:sz w:val="21"/>
          <w:szCs w:val="21"/>
        </w:rPr>
      </w:pPr>
      <w:r w:rsidRPr="00053525">
        <w:rPr>
          <w:rFonts w:ascii="Arial" w:hAnsi="Arial" w:cs="Arial"/>
          <w:color w:val="000000"/>
          <w:sz w:val="21"/>
          <w:szCs w:val="21"/>
        </w:rPr>
        <w:t>whilst also managing through regulatory and legislative changes supporting the reform agenda.</w:t>
      </w:r>
    </w:p>
    <w:p w14:paraId="133D27FB" w14:textId="243691DC" w:rsidR="00012686" w:rsidRDefault="00012686" w:rsidP="00A252B5">
      <w:pPr>
        <w:rPr>
          <w:rFonts w:ascii="Arial" w:hAnsi="Arial" w:cs="Arial"/>
          <w:color w:val="000000"/>
          <w:sz w:val="21"/>
          <w:szCs w:val="21"/>
        </w:rPr>
      </w:pPr>
      <w:r>
        <w:rPr>
          <w:rFonts w:ascii="Arial" w:hAnsi="Arial" w:cs="Arial"/>
          <w:color w:val="000000"/>
          <w:sz w:val="21"/>
          <w:szCs w:val="21"/>
        </w:rPr>
        <w:t>Meeting all of these challenges will only be possible with appropriate support from Government.</w:t>
      </w:r>
    </w:p>
    <w:p w14:paraId="433004D7" w14:textId="77777777" w:rsidR="00012686" w:rsidRDefault="00012686" w:rsidP="00A252B5">
      <w:pPr>
        <w:rPr>
          <w:rFonts w:ascii="Arial" w:hAnsi="Arial" w:cs="Arial"/>
          <w:color w:val="000000"/>
          <w:sz w:val="21"/>
          <w:szCs w:val="21"/>
        </w:rPr>
      </w:pPr>
      <w:r w:rsidRPr="00053525">
        <w:rPr>
          <w:rFonts w:ascii="Arial" w:hAnsi="Arial" w:cs="Arial"/>
          <w:color w:val="000000"/>
          <w:sz w:val="21"/>
          <w:szCs w:val="21"/>
        </w:rPr>
        <w:t>The Royal Commission</w:t>
      </w:r>
      <w:r>
        <w:rPr>
          <w:rFonts w:ascii="Arial" w:hAnsi="Arial" w:cs="Arial"/>
          <w:color w:val="000000"/>
          <w:sz w:val="21"/>
          <w:szCs w:val="21"/>
        </w:rPr>
        <w:t xml:space="preserve"> provides</w:t>
      </w:r>
      <w:r w:rsidRPr="00053525">
        <w:rPr>
          <w:rFonts w:ascii="Arial" w:hAnsi="Arial" w:cs="Arial"/>
          <w:color w:val="000000"/>
          <w:sz w:val="21"/>
          <w:szCs w:val="21"/>
        </w:rPr>
        <w:t xml:space="preserve"> ‘once in a generation’ opportunity to make the aged care system better for all older Australians, now and into the future.</w:t>
      </w:r>
      <w:r>
        <w:rPr>
          <w:rFonts w:ascii="Arial" w:hAnsi="Arial" w:cs="Arial"/>
          <w:color w:val="000000"/>
          <w:sz w:val="21"/>
          <w:szCs w:val="21"/>
        </w:rPr>
        <w:t xml:space="preserve"> </w:t>
      </w:r>
    </w:p>
    <w:p w14:paraId="7F062E33" w14:textId="07F11F9F" w:rsidR="00012686" w:rsidRDefault="00012686" w:rsidP="00A252B5">
      <w:pPr>
        <w:rPr>
          <w:rFonts w:ascii="Arial" w:hAnsi="Arial" w:cs="Arial"/>
          <w:color w:val="000000"/>
          <w:sz w:val="21"/>
          <w:szCs w:val="21"/>
        </w:rPr>
      </w:pPr>
      <w:r>
        <w:rPr>
          <w:rFonts w:ascii="Arial" w:hAnsi="Arial" w:cs="Arial"/>
          <w:color w:val="000000"/>
          <w:sz w:val="21"/>
          <w:szCs w:val="21"/>
        </w:rPr>
        <w:t xml:space="preserve">However, the measures proposed in this pre-budget submission support making the system better right now, while </w:t>
      </w:r>
      <w:r w:rsidR="00406B4D">
        <w:rPr>
          <w:rFonts w:ascii="Arial" w:hAnsi="Arial" w:cs="Arial"/>
          <w:color w:val="000000"/>
          <w:sz w:val="21"/>
          <w:szCs w:val="21"/>
        </w:rPr>
        <w:t xml:space="preserve">laying foundations for the potential outcomes of the </w:t>
      </w:r>
      <w:r>
        <w:rPr>
          <w:rFonts w:ascii="Arial" w:hAnsi="Arial" w:cs="Arial"/>
          <w:color w:val="000000"/>
          <w:sz w:val="21"/>
          <w:szCs w:val="21"/>
        </w:rPr>
        <w:t xml:space="preserve">Royal Commission </w:t>
      </w:r>
      <w:r w:rsidR="00406B4D">
        <w:rPr>
          <w:rFonts w:ascii="Arial" w:hAnsi="Arial" w:cs="Arial"/>
          <w:color w:val="000000"/>
          <w:sz w:val="21"/>
          <w:szCs w:val="21"/>
        </w:rPr>
        <w:t xml:space="preserve">process. </w:t>
      </w:r>
    </w:p>
    <w:p w14:paraId="0A17F862" w14:textId="7F5122F9" w:rsidR="00D10A09" w:rsidRDefault="00D10A09" w:rsidP="00A20642">
      <w:pPr>
        <w:rPr>
          <w:rFonts w:ascii="Arial" w:hAnsi="Arial" w:cs="Arial"/>
          <w:color w:val="000000"/>
          <w:sz w:val="21"/>
          <w:szCs w:val="21"/>
        </w:rPr>
      </w:pPr>
    </w:p>
    <w:p w14:paraId="66B7B034" w14:textId="07C810BD" w:rsidR="00D10A09" w:rsidRDefault="00D10A09" w:rsidP="00A20642">
      <w:pPr>
        <w:rPr>
          <w:rFonts w:ascii="Arial" w:hAnsi="Arial" w:cs="Arial"/>
          <w:color w:val="000000"/>
          <w:sz w:val="21"/>
          <w:szCs w:val="21"/>
        </w:rPr>
      </w:pPr>
    </w:p>
    <w:p w14:paraId="2136CAAD" w14:textId="77777777" w:rsidR="00D10A09" w:rsidRPr="00A20642" w:rsidRDefault="00D10A09" w:rsidP="00A20642">
      <w:pPr>
        <w:rPr>
          <w:rFonts w:ascii="Arial" w:hAnsi="Arial" w:cs="Arial"/>
          <w:color w:val="000000"/>
          <w:sz w:val="21"/>
          <w:szCs w:val="21"/>
        </w:rPr>
      </w:pPr>
    </w:p>
    <w:sectPr w:rsidR="00D10A09" w:rsidRPr="00A20642" w:rsidSect="003623B8">
      <w:endnotePr>
        <w:numFmt w:val="decimal"/>
      </w:endnotePr>
      <w:type w:val="continuous"/>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9A2C" w14:textId="77777777" w:rsidR="001A63BC" w:rsidRDefault="001A63BC" w:rsidP="00AB3D02">
      <w:pPr>
        <w:spacing w:after="0" w:line="240" w:lineRule="auto"/>
      </w:pPr>
      <w:r>
        <w:separator/>
      </w:r>
    </w:p>
  </w:endnote>
  <w:endnote w:type="continuationSeparator" w:id="0">
    <w:p w14:paraId="0210D71F" w14:textId="77777777" w:rsidR="001A63BC" w:rsidRDefault="001A63BC" w:rsidP="00AB3D02">
      <w:pPr>
        <w:spacing w:after="0" w:line="240" w:lineRule="auto"/>
      </w:pPr>
      <w:r>
        <w:continuationSeparator/>
      </w:r>
    </w:p>
  </w:endnote>
  <w:endnote w:type="continuationNotice" w:id="1">
    <w:p w14:paraId="7C06997C" w14:textId="77777777" w:rsidR="001A63BC" w:rsidRDefault="001A63BC">
      <w:pPr>
        <w:spacing w:after="0" w:line="240" w:lineRule="auto"/>
      </w:pPr>
    </w:p>
  </w:endnote>
  <w:endnote w:id="2">
    <w:p w14:paraId="49A88129" w14:textId="1FB04856" w:rsidR="00261F1A" w:rsidRPr="00A20642" w:rsidRDefault="00261F1A">
      <w:pPr>
        <w:pStyle w:val="EndnoteText"/>
        <w:rPr>
          <w:rFonts w:ascii="Arial" w:hAnsi="Arial" w:cs="Arial"/>
          <w:lang w:val="en-US"/>
        </w:rPr>
      </w:pPr>
      <w:r w:rsidRPr="00A20642">
        <w:rPr>
          <w:rStyle w:val="EndnoteReference"/>
          <w:rFonts w:ascii="Arial" w:hAnsi="Arial" w:cs="Arial"/>
          <w:sz w:val="21"/>
          <w:szCs w:val="21"/>
        </w:rPr>
        <w:endnoteRef/>
      </w:r>
      <w:r w:rsidRPr="00A20642">
        <w:rPr>
          <w:rFonts w:ascii="Arial" w:hAnsi="Arial" w:cs="Arial"/>
          <w:sz w:val="21"/>
          <w:szCs w:val="21"/>
        </w:rPr>
        <w:t xml:space="preserve"> </w:t>
      </w:r>
      <w:hyperlink r:id="rId1" w:history="1">
        <w:r w:rsidR="0095611C" w:rsidRPr="00A20642">
          <w:rPr>
            <w:rStyle w:val="Hyperlink"/>
            <w:rFonts w:ascii="Arial" w:hAnsi="Arial" w:cs="Arial"/>
          </w:rPr>
          <w:t>http://www.stewartbrown.com.au/images/documents/AgedCareFinancialPerformanceSurvey_September_2018SECURED.pdf</w:t>
        </w:r>
      </w:hyperlink>
      <w:r w:rsidR="0095611C" w:rsidRPr="00A20642">
        <w:rPr>
          <w:rStyle w:val="Hyperlink"/>
          <w:rFonts w:ascii="Arial" w:hAnsi="Arial" w:cs="Arial"/>
        </w:rPr>
        <w:t xml:space="preserve"> </w:t>
      </w:r>
      <w:r w:rsidR="0095611C" w:rsidRPr="00A20642">
        <w:rPr>
          <w:rFonts w:ascii="Arial" w:hAnsi="Arial" w:cs="Arial"/>
        </w:rPr>
        <w:t xml:space="preserve">  </w:t>
      </w:r>
    </w:p>
  </w:endnote>
  <w:endnote w:id="3">
    <w:p w14:paraId="5C5D9B75" w14:textId="2ABF7066"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r w:rsidR="0095611C" w:rsidRPr="00A20642">
        <w:rPr>
          <w:rFonts w:ascii="Arial" w:hAnsi="Arial" w:cs="Arial"/>
        </w:rPr>
        <w:t xml:space="preserve">LASA calculations based on </w:t>
      </w:r>
      <w:hyperlink r:id="rId2" w:history="1">
        <w:r w:rsidR="0095611C" w:rsidRPr="00A20642">
          <w:rPr>
            <w:rStyle w:val="Hyperlink"/>
            <w:rFonts w:ascii="Arial" w:hAnsi="Arial" w:cs="Arial"/>
          </w:rPr>
          <w:t>https://www.gen-agedcaredata.gov.au/Resources/Reports-and-publications/2018/November/Home-care-packages-program-data-report-1-July-%E2%80%93-30</w:t>
        </w:r>
      </w:hyperlink>
      <w:r w:rsidR="0095611C" w:rsidRPr="00A20642">
        <w:rPr>
          <w:rFonts w:ascii="Arial" w:hAnsi="Arial" w:cs="Arial"/>
        </w:rPr>
        <w:t xml:space="preserve"> </w:t>
      </w:r>
    </w:p>
  </w:endnote>
  <w:endnote w:id="4">
    <w:p w14:paraId="5B3867F6" w14:textId="224BEB2F"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3" w:history="1">
        <w:r w:rsidR="0095611C" w:rsidRPr="00A20642">
          <w:rPr>
            <w:rStyle w:val="Hyperlink"/>
            <w:rFonts w:ascii="Arial" w:hAnsi="Arial" w:cs="Arial"/>
          </w:rPr>
          <w:t>https://link.springer.com/article/10.1007/s12603-018-1145-y</w:t>
        </w:r>
      </w:hyperlink>
      <w:r w:rsidR="0095611C" w:rsidRPr="00A20642">
        <w:rPr>
          <w:rFonts w:ascii="Arial" w:hAnsi="Arial" w:cs="Arial"/>
        </w:rPr>
        <w:t xml:space="preserve"> </w:t>
      </w:r>
    </w:p>
  </w:endnote>
  <w:endnote w:id="5">
    <w:p w14:paraId="5E20F658" w14:textId="77777777" w:rsidR="00261F1A" w:rsidRPr="00A20642" w:rsidRDefault="00261F1A" w:rsidP="00EE62E0">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proofErr w:type="spellStart"/>
      <w:r w:rsidRPr="00A20642">
        <w:rPr>
          <w:rFonts w:ascii="Arial" w:hAnsi="Arial" w:cs="Arial"/>
          <w:lang w:val="en-US"/>
        </w:rPr>
        <w:t>StewartBrown</w:t>
      </w:r>
      <w:proofErr w:type="spellEnd"/>
      <w:r w:rsidRPr="00A20642">
        <w:rPr>
          <w:rFonts w:ascii="Arial" w:hAnsi="Arial" w:cs="Arial"/>
          <w:lang w:val="en-US"/>
        </w:rPr>
        <w:t xml:space="preserve"> ACFPS Dec-16 to Sep 18, compiled by LASA</w:t>
      </w:r>
    </w:p>
  </w:endnote>
  <w:endnote w:id="6">
    <w:p w14:paraId="319786AE" w14:textId="34DE099A" w:rsidR="00261F1A" w:rsidRPr="00A20642" w:rsidRDefault="00261F1A" w:rsidP="00EE62E0">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4" w:history="1">
        <w:r w:rsidR="00A17905" w:rsidRPr="00A20642">
          <w:rPr>
            <w:rStyle w:val="Hyperlink"/>
            <w:rFonts w:ascii="Arial" w:hAnsi="Arial" w:cs="Arial"/>
          </w:rPr>
          <w:t>http://www.stewartbrown.com.au/images/documents/AgedCareFinancialPerformanceSurvey_September_2018SECURED.pdf</w:t>
        </w:r>
      </w:hyperlink>
      <w:r w:rsidR="00A17905" w:rsidRPr="00A20642">
        <w:rPr>
          <w:rStyle w:val="Hyperlink"/>
          <w:rFonts w:ascii="Arial" w:hAnsi="Arial" w:cs="Arial"/>
        </w:rPr>
        <w:t xml:space="preserve"> </w:t>
      </w:r>
      <w:r w:rsidR="00A17905" w:rsidRPr="00A20642">
        <w:rPr>
          <w:rFonts w:ascii="Arial" w:hAnsi="Arial" w:cs="Arial"/>
        </w:rPr>
        <w:t xml:space="preserve">  </w:t>
      </w:r>
    </w:p>
  </w:endnote>
  <w:endnote w:id="7">
    <w:p w14:paraId="0835AC5E" w14:textId="157A1172" w:rsidR="00261F1A" w:rsidRPr="00A20642" w:rsidRDefault="00261F1A" w:rsidP="00A17905">
      <w:pPr>
        <w:pStyle w:val="Note"/>
        <w:spacing w:before="80"/>
        <w:ind w:left="0" w:firstLine="0"/>
        <w:jc w:val="both"/>
        <w:rPr>
          <w:rFonts w:ascii="Arial" w:hAnsi="Arial" w:cs="Arial"/>
          <w:sz w:val="20"/>
          <w:szCs w:val="20"/>
        </w:rPr>
      </w:pPr>
      <w:r w:rsidRPr="00A20642">
        <w:rPr>
          <w:rStyle w:val="EndnoteReference"/>
          <w:rFonts w:ascii="Arial" w:hAnsi="Arial" w:cs="Arial"/>
          <w:sz w:val="20"/>
          <w:szCs w:val="20"/>
        </w:rPr>
        <w:endnoteRef/>
      </w:r>
      <w:r w:rsidRPr="00A20642">
        <w:rPr>
          <w:rFonts w:ascii="Arial" w:hAnsi="Arial" w:cs="Arial"/>
          <w:sz w:val="20"/>
          <w:szCs w:val="20"/>
        </w:rPr>
        <w:t xml:space="preserve"> </w:t>
      </w:r>
      <w:r w:rsidR="00A17905" w:rsidRPr="00A20642">
        <w:rPr>
          <w:rFonts w:ascii="Arial" w:hAnsi="Arial" w:cs="Arial"/>
          <w:sz w:val="20"/>
          <w:szCs w:val="20"/>
        </w:rPr>
        <w:t xml:space="preserve">based on OECD data compiled by the Productivity Commission see </w:t>
      </w:r>
      <w:hyperlink r:id="rId5" w:history="1">
        <w:r w:rsidR="00A17905" w:rsidRPr="00A20642">
          <w:rPr>
            <w:rStyle w:val="Hyperlink"/>
            <w:rFonts w:ascii="Arial" w:hAnsi="Arial" w:cs="Arial"/>
            <w:sz w:val="20"/>
            <w:szCs w:val="20"/>
          </w:rPr>
          <w:t>https://www.pc.gov.au/inquiries/completed/aged-care/report/26-aged-care-appendixd.pdf</w:t>
        </w:r>
      </w:hyperlink>
      <w:r w:rsidR="00A17905" w:rsidRPr="00A20642">
        <w:rPr>
          <w:rFonts w:ascii="Arial" w:hAnsi="Arial" w:cs="Arial"/>
          <w:sz w:val="20"/>
          <w:szCs w:val="20"/>
        </w:rPr>
        <w:t xml:space="preserve">  for sources and notes</w:t>
      </w:r>
    </w:p>
  </w:endnote>
  <w:endnote w:id="8">
    <w:p w14:paraId="495A2895" w14:textId="61929BA4" w:rsidR="00261F1A" w:rsidRPr="00A20642" w:rsidRDefault="00261F1A" w:rsidP="00A17905">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r w:rsidR="00830EB2">
        <w:rPr>
          <w:rFonts w:ascii="Arial" w:hAnsi="Arial" w:cs="Arial"/>
        </w:rPr>
        <w:t xml:space="preserve">LASA calculations based on data from </w:t>
      </w:r>
      <w:hyperlink r:id="rId6" w:history="1">
        <w:r w:rsidR="00830EB2" w:rsidRPr="002C4385">
          <w:rPr>
            <w:rStyle w:val="Hyperlink"/>
            <w:rFonts w:ascii="Arial" w:hAnsi="Arial" w:cs="Arial"/>
          </w:rPr>
          <w:t>https://www.pc.gov.au/research/ongoing/report-on-government-services</w:t>
        </w:r>
      </w:hyperlink>
      <w:r w:rsidR="00830EB2">
        <w:rPr>
          <w:rFonts w:ascii="Arial" w:hAnsi="Arial" w:cs="Arial"/>
        </w:rPr>
        <w:t xml:space="preserve"> for aged care spending and </w:t>
      </w:r>
      <w:hyperlink r:id="rId7" w:history="1">
        <w:r w:rsidR="00830EB2" w:rsidRPr="002C4385">
          <w:rPr>
            <w:rStyle w:val="Hyperlink"/>
            <w:rFonts w:ascii="Arial" w:hAnsi="Arial" w:cs="Arial"/>
          </w:rPr>
          <w:t>https://agedcare.health.gov.au/sites/default/files/documents/08_2018/acfa_sixth_report_2018_text_fa3.pdf</w:t>
        </w:r>
      </w:hyperlink>
      <w:r w:rsidR="00830EB2">
        <w:rPr>
          <w:rFonts w:ascii="Arial" w:hAnsi="Arial" w:cs="Arial"/>
        </w:rPr>
        <w:t xml:space="preserve"> for aged care award wages. </w:t>
      </w:r>
      <w:r w:rsidR="00830EB2">
        <w:rPr>
          <w:rFonts w:ascii="Arial" w:hAnsi="Arial" w:cs="Arial"/>
        </w:rPr>
        <w:t>Real aged care spending reported by the Productivity Commission has been reinflat</w:t>
      </w:r>
      <w:bookmarkStart w:id="3" w:name="_GoBack"/>
      <w:bookmarkEnd w:id="3"/>
      <w:r w:rsidR="00830EB2">
        <w:rPr>
          <w:rFonts w:ascii="Arial" w:hAnsi="Arial" w:cs="Arial"/>
        </w:rPr>
        <w:t xml:space="preserve">ed by the </w:t>
      </w:r>
      <w:r w:rsidR="00556A0A">
        <w:rPr>
          <w:rFonts w:ascii="Arial" w:hAnsi="Arial" w:cs="Arial"/>
        </w:rPr>
        <w:t>G</w:t>
      </w:r>
      <w:r w:rsidR="00830EB2" w:rsidRPr="00830EB2">
        <w:rPr>
          <w:rFonts w:ascii="Arial" w:hAnsi="Arial" w:cs="Arial"/>
        </w:rPr>
        <w:t xml:space="preserve">overnment </w:t>
      </w:r>
      <w:r w:rsidR="00556A0A">
        <w:rPr>
          <w:rFonts w:ascii="Arial" w:hAnsi="Arial" w:cs="Arial"/>
        </w:rPr>
        <w:t>F</w:t>
      </w:r>
      <w:r w:rsidR="00830EB2" w:rsidRPr="00830EB2">
        <w:rPr>
          <w:rFonts w:ascii="Arial" w:hAnsi="Arial" w:cs="Arial"/>
        </w:rPr>
        <w:t xml:space="preserve">inal </w:t>
      </w:r>
      <w:r w:rsidR="00556A0A">
        <w:rPr>
          <w:rFonts w:ascii="Arial" w:hAnsi="Arial" w:cs="Arial"/>
        </w:rPr>
        <w:t>C</w:t>
      </w:r>
      <w:r w:rsidR="00830EB2" w:rsidRPr="00830EB2">
        <w:rPr>
          <w:rFonts w:ascii="Arial" w:hAnsi="Arial" w:cs="Arial"/>
        </w:rPr>
        <w:t xml:space="preserve">onsumption </w:t>
      </w:r>
      <w:r w:rsidR="00556A0A">
        <w:rPr>
          <w:rFonts w:ascii="Arial" w:hAnsi="Arial" w:cs="Arial"/>
        </w:rPr>
        <w:t>E</w:t>
      </w:r>
      <w:r w:rsidR="00830EB2" w:rsidRPr="00830EB2">
        <w:rPr>
          <w:rFonts w:ascii="Arial" w:hAnsi="Arial" w:cs="Arial"/>
        </w:rPr>
        <w:t>xpenditure</w:t>
      </w:r>
      <w:r w:rsidR="00830EB2">
        <w:rPr>
          <w:rFonts w:ascii="Arial" w:hAnsi="Arial" w:cs="Arial"/>
        </w:rPr>
        <w:t xml:space="preserve"> deflator to allow the calculation of nominal growth.  </w:t>
      </w:r>
    </w:p>
  </w:endnote>
  <w:endnote w:id="9">
    <w:p w14:paraId="0A1D5443" w14:textId="33797C8E"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8" w:history="1">
        <w:r w:rsidR="00A17905" w:rsidRPr="00A20642">
          <w:rPr>
            <w:rStyle w:val="Hyperlink"/>
            <w:rFonts w:ascii="Arial" w:hAnsi="Arial" w:cs="Arial"/>
            <w:lang w:val="en-US"/>
          </w:rPr>
          <w:t>https://agedcare.health.gov.au/sites/default/files/documents/08_2017/legislated_review_of_aged_care_2017.pdf</w:t>
        </w:r>
      </w:hyperlink>
      <w:r w:rsidRPr="00A20642">
        <w:rPr>
          <w:rFonts w:ascii="Arial" w:hAnsi="Arial" w:cs="Arial"/>
          <w:lang w:val="en-US"/>
        </w:rPr>
        <w:t>, page 82</w:t>
      </w:r>
    </w:p>
  </w:endnote>
  <w:endnote w:id="10">
    <w:p w14:paraId="5F9B34B7" w14:textId="2FB26081"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9" w:history="1">
        <w:r w:rsidRPr="00A20642">
          <w:rPr>
            <w:rStyle w:val="Hyperlink"/>
            <w:rFonts w:ascii="Arial" w:hAnsi="Arial" w:cs="Arial"/>
          </w:rPr>
          <w:t>https://www.abc.net.au/news/2018-09-17/food-in-aged-care/10212880</w:t>
        </w:r>
      </w:hyperlink>
      <w:r w:rsidRPr="00A20642">
        <w:rPr>
          <w:rFonts w:ascii="Arial" w:hAnsi="Arial" w:cs="Arial"/>
        </w:rPr>
        <w:t xml:space="preserve"> </w:t>
      </w:r>
    </w:p>
  </w:endnote>
  <w:endnote w:id="11">
    <w:p w14:paraId="4ADD3FB4" w14:textId="4FBC69D1"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10" w:history="1">
        <w:r w:rsidRPr="00A20642">
          <w:rPr>
            <w:rStyle w:val="Hyperlink"/>
            <w:rFonts w:ascii="Arial" w:hAnsi="Arial" w:cs="Arial"/>
          </w:rPr>
          <w:t>https://www.agedcarequality.gov.au/sites/default/files/media/AACQAConsumerExperienceReportTrends.pdf</w:t>
        </w:r>
      </w:hyperlink>
    </w:p>
  </w:endnote>
  <w:endnote w:id="12">
    <w:p w14:paraId="7714B95F" w14:textId="6A8024F3"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11" w:history="1">
        <w:r w:rsidRPr="00A20642">
          <w:rPr>
            <w:rStyle w:val="Hyperlink"/>
            <w:rFonts w:ascii="Arial" w:hAnsi="Arial" w:cs="Arial"/>
          </w:rPr>
          <w:t>https://www.rba.gov.au/statistics/tables/xls/f05hist.xls?v=2019-02-01-10-19-27</w:t>
        </w:r>
      </w:hyperlink>
      <w:r w:rsidRPr="00A20642">
        <w:rPr>
          <w:rFonts w:ascii="Arial" w:hAnsi="Arial" w:cs="Arial"/>
        </w:rPr>
        <w:t xml:space="preserve"> </w:t>
      </w:r>
    </w:p>
  </w:endnote>
  <w:endnote w:id="13">
    <w:p w14:paraId="176F6933" w14:textId="3DA3904F"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12" w:history="1">
        <w:r w:rsidRPr="00A20642">
          <w:rPr>
            <w:rStyle w:val="Hyperlink"/>
            <w:rFonts w:ascii="Arial" w:hAnsi="Arial" w:cs="Arial"/>
          </w:rPr>
          <w:t>http://www.stewartbrown.com.au/news-articles/26-aged-care/166-june-2018-aged-care-sector-reports-released</w:t>
        </w:r>
      </w:hyperlink>
      <w:r w:rsidRPr="00A20642">
        <w:rPr>
          <w:rFonts w:ascii="Arial" w:hAnsi="Arial" w:cs="Arial"/>
        </w:rPr>
        <w:t xml:space="preserve"> </w:t>
      </w:r>
    </w:p>
  </w:endnote>
  <w:endnote w:id="14">
    <w:p w14:paraId="4149FD72" w14:textId="6E557F44"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13" w:history="1">
        <w:r w:rsidRPr="00A20642">
          <w:rPr>
            <w:rStyle w:val="Hyperlink"/>
            <w:rFonts w:ascii="Arial" w:hAnsi="Arial" w:cs="Arial"/>
          </w:rPr>
          <w:t>https://agedcare.health.gov.au/reform/report-of-the-base-interest-rate-project</w:t>
        </w:r>
      </w:hyperlink>
      <w:r w:rsidRPr="00A20642">
        <w:rPr>
          <w:rFonts w:ascii="Arial" w:hAnsi="Arial" w:cs="Arial"/>
        </w:rPr>
        <w:t xml:space="preserve"> </w:t>
      </w:r>
    </w:p>
  </w:endnote>
  <w:endnote w:id="15">
    <w:p w14:paraId="2047FEEF" w14:textId="3D8819F3"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14" w:history="1">
        <w:r w:rsidR="00C233A7" w:rsidRPr="004D45CC">
          <w:rPr>
            <w:rStyle w:val="Hyperlink"/>
            <w:rFonts w:ascii="Arial" w:hAnsi="Arial" w:cs="Arial"/>
          </w:rPr>
          <w:t>https://www.actuaries.asn.au/Library/Events/Insights/2018/MichaelRicePaper.pdf</w:t>
        </w:r>
      </w:hyperlink>
      <w:r w:rsidR="00C233A7">
        <w:rPr>
          <w:rFonts w:ascii="Arial" w:hAnsi="Arial" w:cs="Arial"/>
        </w:rPr>
        <w:t xml:space="preserve"> </w:t>
      </w:r>
      <w:r w:rsidRPr="00A20642">
        <w:rPr>
          <w:rFonts w:ascii="Arial" w:hAnsi="Arial" w:cs="Arial"/>
        </w:rPr>
        <w:t>page 17 based on DSS and DVA data</w:t>
      </w:r>
    </w:p>
  </w:endnote>
  <w:endnote w:id="16">
    <w:p w14:paraId="581FCE9E" w14:textId="5B1B546D" w:rsidR="00261F1A" w:rsidRPr="00A20642" w:rsidRDefault="00261F1A" w:rsidP="00263178">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15" w:history="1">
        <w:r w:rsidRPr="00A20642">
          <w:rPr>
            <w:rStyle w:val="Hyperlink"/>
            <w:rFonts w:ascii="Arial" w:hAnsi="Arial" w:cs="Arial"/>
          </w:rPr>
          <w:t>http://www.abs.gov.au/AUSSTATS/subscriber.nsf/log?openagent&amp;65230do001_201516.xls&amp;6523.0&amp;Data%20Cubes&amp;D855CA80E6B4C593CA2582D5001333CC&amp;0&amp;2015-16&amp;26.07.2018&amp;Latest</w:t>
        </w:r>
      </w:hyperlink>
      <w:r w:rsidRPr="00A20642">
        <w:rPr>
          <w:rFonts w:ascii="Arial" w:hAnsi="Arial" w:cs="Arial"/>
        </w:rPr>
        <w:t xml:space="preserve"> </w:t>
      </w:r>
    </w:p>
  </w:endnote>
  <w:endnote w:id="17">
    <w:p w14:paraId="3FBA231D" w14:textId="77777777" w:rsidR="00261F1A" w:rsidRPr="00A20642" w:rsidRDefault="00261F1A" w:rsidP="00056C93">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hyperlink r:id="rId16" w:history="1">
        <w:r w:rsidRPr="00A20642">
          <w:rPr>
            <w:rStyle w:val="Hyperlink"/>
            <w:rFonts w:ascii="Arial" w:hAnsi="Arial" w:cs="Arial"/>
          </w:rPr>
          <w:t>http://www.abs.gov.au/AUSSTATS/subscriber.nsf/log?openagent&amp;65230do012_201516.002.xls&amp;6523.0&amp;Data%20Cubes&amp;65DB44D4461F26D7CA2582D5001335D9&amp;0&amp;2015-16&amp;26.07.2018&amp;Latest</w:t>
        </w:r>
      </w:hyperlink>
      <w:r w:rsidRPr="00A20642">
        <w:rPr>
          <w:rFonts w:ascii="Arial" w:hAnsi="Arial" w:cs="Arial"/>
        </w:rPr>
        <w:t xml:space="preserve"> </w:t>
      </w:r>
    </w:p>
  </w:endnote>
  <w:endnote w:id="18">
    <w:p w14:paraId="1E6B819F" w14:textId="77777777" w:rsidR="00261F1A" w:rsidRPr="00A20642" w:rsidRDefault="00261F1A" w:rsidP="0081386A">
      <w:pPr>
        <w:pStyle w:val="EndnoteText"/>
        <w:rPr>
          <w:rFonts w:ascii="Arial" w:hAnsi="Arial" w:cs="Arial"/>
        </w:rPr>
      </w:pPr>
      <w:r w:rsidRPr="00A20642">
        <w:rPr>
          <w:rStyle w:val="EndnoteReference"/>
          <w:rFonts w:ascii="Arial" w:hAnsi="Arial" w:cs="Arial"/>
        </w:rPr>
        <w:endnoteRef/>
      </w:r>
      <w:r w:rsidRPr="00A20642">
        <w:rPr>
          <w:rFonts w:ascii="Arial" w:hAnsi="Arial" w:cs="Arial"/>
        </w:rPr>
        <w:t xml:space="preserve"> </w:t>
      </w:r>
      <w:hyperlink r:id="rId17" w:history="1">
        <w:r w:rsidRPr="00A20642">
          <w:rPr>
            <w:rStyle w:val="Hyperlink"/>
            <w:rFonts w:ascii="Arial" w:hAnsi="Arial" w:cs="Arial"/>
          </w:rPr>
          <w:t>http://www.stewartbrown.com.au/images/documents/AgedCareFinancialPerformanceSurvey_September_2018SECURED.pdf</w:t>
        </w:r>
      </w:hyperlink>
      <w:r w:rsidRPr="00A20642">
        <w:rPr>
          <w:rStyle w:val="Hyperlink"/>
          <w:rFonts w:ascii="Arial" w:hAnsi="Arial" w:cs="Arial"/>
        </w:rPr>
        <w:t xml:space="preserve"> </w:t>
      </w:r>
      <w:r w:rsidRPr="00A20642">
        <w:rPr>
          <w:rFonts w:ascii="Arial" w:hAnsi="Arial" w:cs="Arial"/>
        </w:rPr>
        <w:t xml:space="preserve">  page 7</w:t>
      </w:r>
    </w:p>
  </w:endnote>
  <w:endnote w:id="19">
    <w:p w14:paraId="746B4B81" w14:textId="77777777" w:rsidR="00261F1A" w:rsidRPr="00A20642" w:rsidRDefault="00261F1A" w:rsidP="00913C86">
      <w:pPr>
        <w:pStyle w:val="EndnoteText"/>
        <w:rPr>
          <w:rFonts w:ascii="Arial" w:hAnsi="Arial" w:cs="Arial"/>
        </w:rPr>
      </w:pPr>
      <w:r w:rsidRPr="00A20642">
        <w:rPr>
          <w:rStyle w:val="EndnoteReference"/>
          <w:rFonts w:ascii="Arial" w:hAnsi="Arial" w:cs="Arial"/>
        </w:rPr>
        <w:endnoteRef/>
      </w:r>
      <w:r w:rsidRPr="00A20642">
        <w:rPr>
          <w:rFonts w:ascii="Arial" w:hAnsi="Arial" w:cs="Arial"/>
        </w:rPr>
        <w:t xml:space="preserve"> </w:t>
      </w:r>
      <w:hyperlink r:id="rId18" w:history="1">
        <w:r w:rsidRPr="00A20642">
          <w:rPr>
            <w:rStyle w:val="Hyperlink"/>
            <w:rFonts w:ascii="Arial" w:hAnsi="Arial" w:cs="Arial"/>
          </w:rPr>
          <w:t>http://www.stewartbrown.com.au/news-articles/26-aged-care/171-aged-care-financial-performance-survey-quarter-ended-september-2018</w:t>
        </w:r>
      </w:hyperlink>
    </w:p>
  </w:endnote>
  <w:endnote w:id="20">
    <w:p w14:paraId="13756ABB" w14:textId="6E53DE63" w:rsidR="005B153F" w:rsidRPr="005B153F" w:rsidRDefault="005B153F">
      <w:pPr>
        <w:pStyle w:val="EndnoteText"/>
        <w:rPr>
          <w:rFonts w:ascii="Arial" w:hAnsi="Arial" w:cs="Arial"/>
          <w:lang w:val="en-US"/>
        </w:rPr>
      </w:pPr>
      <w:r w:rsidRPr="005B153F">
        <w:rPr>
          <w:rStyle w:val="EndnoteReference"/>
          <w:rFonts w:ascii="Arial" w:hAnsi="Arial" w:cs="Arial"/>
        </w:rPr>
        <w:endnoteRef/>
      </w:r>
      <w:r w:rsidRPr="005B153F">
        <w:rPr>
          <w:rFonts w:ascii="Arial" w:hAnsi="Arial" w:cs="Arial"/>
        </w:rPr>
        <w:t xml:space="preserve"> LASA calculation based on number of residents from </w:t>
      </w:r>
      <w:hyperlink r:id="rId19" w:history="1">
        <w:r w:rsidRPr="005B153F">
          <w:rPr>
            <w:rStyle w:val="Hyperlink"/>
            <w:rFonts w:ascii="Arial" w:hAnsi="Arial" w:cs="Arial"/>
            <w:lang w:val="en-US"/>
          </w:rPr>
          <w:t>https://www.gen-agedcaredata.gov.au/Resources/Reports-and-publications/2018/November/2017%E2%80%9318-Report-on-the-Operation-of-the-Aged-Care-A</w:t>
        </w:r>
      </w:hyperlink>
      <w:r w:rsidRPr="005B153F">
        <w:rPr>
          <w:rFonts w:ascii="Arial" w:hAnsi="Arial" w:cs="Arial"/>
          <w:lang w:val="en-US"/>
        </w:rPr>
        <w:t xml:space="preserve"> </w:t>
      </w:r>
    </w:p>
  </w:endnote>
  <w:endnote w:id="21">
    <w:p w14:paraId="7B73F1B8" w14:textId="269DC3B9" w:rsidR="00261F1A" w:rsidRPr="00A20642" w:rsidRDefault="00261F1A">
      <w:pPr>
        <w:pStyle w:val="EndnoteText"/>
        <w:rPr>
          <w:rFonts w:ascii="Arial" w:hAnsi="Arial" w:cs="Arial"/>
          <w:lang w:val="en-US"/>
        </w:rPr>
      </w:pPr>
      <w:r w:rsidRPr="00A20642">
        <w:rPr>
          <w:rStyle w:val="EndnoteReference"/>
          <w:rFonts w:ascii="Arial" w:hAnsi="Arial" w:cs="Arial"/>
        </w:rPr>
        <w:endnoteRef/>
      </w:r>
      <w:r w:rsidRPr="00A20642">
        <w:rPr>
          <w:rFonts w:ascii="Arial" w:hAnsi="Arial" w:cs="Arial"/>
        </w:rPr>
        <w:t xml:space="preserve"> </w:t>
      </w:r>
      <w:r w:rsidR="005B153F">
        <w:rPr>
          <w:rFonts w:ascii="Arial" w:hAnsi="Arial" w:cs="Arial"/>
        </w:rPr>
        <w:t>LASA calculations b</w:t>
      </w:r>
      <w:r w:rsidRPr="00A20642">
        <w:rPr>
          <w:rFonts w:ascii="Arial" w:hAnsi="Arial" w:cs="Arial"/>
        </w:rPr>
        <w:t xml:space="preserve">ased on cost of average staff costs per resident per hour </w:t>
      </w:r>
      <w:r w:rsidR="005B153F">
        <w:rPr>
          <w:rFonts w:ascii="Arial" w:hAnsi="Arial" w:cs="Arial"/>
        </w:rPr>
        <w:t>from</w:t>
      </w:r>
      <w:r w:rsidRPr="00A20642">
        <w:rPr>
          <w:rFonts w:ascii="Arial" w:hAnsi="Arial" w:cs="Arial"/>
        </w:rPr>
        <w:t xml:space="preserve"> </w:t>
      </w:r>
      <w:hyperlink r:id="rId20" w:history="1">
        <w:r w:rsidRPr="00A20642">
          <w:rPr>
            <w:rStyle w:val="Hyperlink"/>
            <w:rFonts w:ascii="Arial" w:hAnsi="Arial" w:cs="Arial"/>
          </w:rPr>
          <w:t>http://www.stewartbrown.com.au/images/documents/StewartBrown---Aged-Care-Workforce-Strategy-Taskforce-Submission-June-2018.pdf</w:t>
        </w:r>
      </w:hyperlink>
      <w:r w:rsidRPr="00A20642">
        <w:rPr>
          <w:rFonts w:ascii="Arial" w:hAnsi="Arial" w:cs="Arial"/>
        </w:rPr>
        <w:t xml:space="preserve"> </w:t>
      </w:r>
    </w:p>
  </w:endnote>
  <w:endnote w:id="22">
    <w:p w14:paraId="1EAD1333" w14:textId="77777777" w:rsidR="00261F1A" w:rsidRPr="00A20642" w:rsidRDefault="00261F1A" w:rsidP="00513C37">
      <w:pPr>
        <w:pStyle w:val="EndnoteText"/>
        <w:rPr>
          <w:rFonts w:ascii="Arial" w:hAnsi="Arial" w:cs="Arial"/>
        </w:rPr>
      </w:pPr>
      <w:r w:rsidRPr="00A20642">
        <w:rPr>
          <w:rStyle w:val="EndnoteReference"/>
          <w:rFonts w:ascii="Arial" w:hAnsi="Arial" w:cs="Arial"/>
        </w:rPr>
        <w:endnoteRef/>
      </w:r>
      <w:r w:rsidRPr="00A20642">
        <w:rPr>
          <w:rFonts w:ascii="Arial" w:hAnsi="Arial" w:cs="Arial"/>
        </w:rPr>
        <w:t xml:space="preserve"> LASA response to Specialist Dementia Care Units Consultation Paper   </w:t>
      </w:r>
      <w:hyperlink r:id="rId21" w:history="1">
        <w:r w:rsidRPr="00A20642">
          <w:rPr>
            <w:rStyle w:val="Hyperlink"/>
            <w:rFonts w:ascii="Arial" w:hAnsi="Arial" w:cs="Arial"/>
          </w:rPr>
          <w:t>https://lasa.asn.au/aged-services-in-australia/lasa-submissions/</w:t>
        </w:r>
      </w:hyperlink>
      <w:r w:rsidRPr="00A20642">
        <w:rPr>
          <w:rStyle w:val="Hyperlink"/>
          <w:rFonts w:ascii="Arial" w:hAnsi="Arial" w:cs="Arial"/>
        </w:rPr>
        <w:t xml:space="preserve"> </w:t>
      </w:r>
      <w:r w:rsidRPr="00A20642">
        <w:rPr>
          <w:rFonts w:ascii="Arial" w:hAnsi="Arial" w:cs="Arial"/>
        </w:rPr>
        <w:t xml:space="preserve"> </w:t>
      </w:r>
    </w:p>
  </w:endnote>
  <w:endnote w:id="23">
    <w:p w14:paraId="7E833846" w14:textId="77777777" w:rsidR="00261F1A" w:rsidRPr="00A20642" w:rsidRDefault="00261F1A" w:rsidP="00513C37">
      <w:pPr>
        <w:pStyle w:val="EndnoteText"/>
        <w:rPr>
          <w:rFonts w:ascii="Arial" w:hAnsi="Arial" w:cs="Arial"/>
        </w:rPr>
      </w:pPr>
      <w:r w:rsidRPr="00A20642">
        <w:rPr>
          <w:rStyle w:val="EndnoteReference"/>
          <w:rFonts w:ascii="Arial" w:hAnsi="Arial" w:cs="Arial"/>
        </w:rPr>
        <w:endnoteRef/>
      </w:r>
      <w:r w:rsidRPr="00A20642">
        <w:rPr>
          <w:rFonts w:ascii="Arial" w:hAnsi="Arial" w:cs="Arial"/>
        </w:rPr>
        <w:t xml:space="preserve"> </w:t>
      </w:r>
      <w:hyperlink r:id="rId22" w:history="1">
        <w:r w:rsidRPr="00A20642">
          <w:rPr>
            <w:rStyle w:val="Hyperlink"/>
            <w:rFonts w:ascii="Arial" w:hAnsi="Arial" w:cs="Arial"/>
          </w:rPr>
          <w:t>https://www.mja.com.au/journal/2003/178/5/behavioural-and-psychological-symptoms-dementia-seven-tiered-model-service</w:t>
        </w:r>
      </w:hyperlink>
      <w:r w:rsidRPr="00A20642">
        <w:rPr>
          <w:rFonts w:ascii="Arial" w:hAnsi="Arial" w:cs="Arial"/>
        </w:rPr>
        <w:t xml:space="preserve"> </w:t>
      </w:r>
    </w:p>
  </w:endnote>
  <w:endnote w:id="24">
    <w:p w14:paraId="0B12C620" w14:textId="77777777" w:rsidR="00261F1A" w:rsidRPr="00A20642" w:rsidRDefault="00261F1A" w:rsidP="00513C37">
      <w:pPr>
        <w:rPr>
          <w:rFonts w:ascii="Arial" w:hAnsi="Arial" w:cs="Arial"/>
          <w:sz w:val="20"/>
          <w:szCs w:val="20"/>
          <w:lang w:val="en-US"/>
        </w:rPr>
      </w:pPr>
      <w:r w:rsidRPr="00A20642">
        <w:rPr>
          <w:rStyle w:val="EndnoteReference"/>
          <w:rFonts w:ascii="Arial" w:hAnsi="Arial" w:cs="Arial"/>
          <w:sz w:val="20"/>
          <w:szCs w:val="20"/>
        </w:rPr>
        <w:endnoteRef/>
      </w:r>
      <w:r w:rsidRPr="00A20642">
        <w:rPr>
          <w:rFonts w:ascii="Arial" w:hAnsi="Arial" w:cs="Arial"/>
          <w:sz w:val="20"/>
          <w:szCs w:val="20"/>
        </w:rPr>
        <w:t xml:space="preserve"> </w:t>
      </w:r>
      <w:hyperlink r:id="rId23" w:history="1">
        <w:r w:rsidRPr="00A20642">
          <w:rPr>
            <w:rStyle w:val="Hyperlink"/>
            <w:rFonts w:ascii="Arial" w:hAnsi="Arial" w:cs="Arial"/>
            <w:sz w:val="20"/>
            <w:szCs w:val="20"/>
            <w:lang w:val="en-US"/>
          </w:rPr>
          <w:t>https://agedcare.health.gov.au/programs/specialist-dementia-care-program</w:t>
        </w:r>
      </w:hyperlink>
    </w:p>
  </w:endnote>
  <w:endnote w:id="25">
    <w:p w14:paraId="6C5F5555" w14:textId="1862B0B7" w:rsidR="000B4D7B" w:rsidRDefault="000B4D7B">
      <w:pPr>
        <w:pStyle w:val="EndnoteText"/>
      </w:pPr>
      <w:r>
        <w:rPr>
          <w:rStyle w:val="EndnoteReference"/>
        </w:rPr>
        <w:endnoteRef/>
      </w:r>
      <w:r>
        <w:t xml:space="preserve"> </w:t>
      </w:r>
      <w:r w:rsidRPr="000B4D7B">
        <w:t>https://formerministers.dss.gov.au/15592/cessation-of-the-dementia-and-severe-behaviours-supplement/</w:t>
      </w:r>
    </w:p>
  </w:endnote>
  <w:endnote w:id="26">
    <w:p w14:paraId="206BDA72" w14:textId="4C86F8FE" w:rsidR="00DB2642" w:rsidRDefault="00DB2642">
      <w:pPr>
        <w:pStyle w:val="EndnoteText"/>
      </w:pPr>
      <w:r>
        <w:rPr>
          <w:rStyle w:val="EndnoteReference"/>
        </w:rPr>
        <w:endnoteRef/>
      </w:r>
      <w:r>
        <w:t xml:space="preserve"> </w:t>
      </w:r>
      <w:r w:rsidRPr="00DB2642">
        <w:t>https://link.springer.com/article/10.1007/s12603-018-1145-y</w:t>
      </w:r>
    </w:p>
  </w:endnote>
  <w:endnote w:id="27">
    <w:p w14:paraId="52E0179E" w14:textId="77777777" w:rsidR="00261F1A" w:rsidRPr="00D012EE" w:rsidRDefault="00261F1A" w:rsidP="00D012EE">
      <w:pPr>
        <w:pStyle w:val="EndnoteText"/>
        <w:rPr>
          <w:lang w:val="en-US"/>
        </w:rPr>
      </w:pPr>
      <w:r w:rsidRPr="00A20642">
        <w:rPr>
          <w:rStyle w:val="EndnoteReference"/>
          <w:rFonts w:ascii="Arial" w:hAnsi="Arial" w:cs="Arial"/>
        </w:rPr>
        <w:endnoteRef/>
      </w:r>
      <w:r w:rsidRPr="00A20642">
        <w:rPr>
          <w:rFonts w:ascii="Arial" w:hAnsi="Arial" w:cs="Arial"/>
        </w:rPr>
        <w:t xml:space="preserve"> </w:t>
      </w:r>
      <w:r w:rsidRPr="00A20642">
        <w:rPr>
          <w:rFonts w:ascii="Arial" w:hAnsi="Arial" w:cs="Arial"/>
          <w:lang w:val="en-US"/>
        </w:rPr>
        <w:t>This estimate is based on multiplying the value of each level of home care package by the number of people waiting for that package level, less the value interim packages and CHSP services that they are likely to be receiving, multiplied by the average length of stay in home care and less the average value of unspent funds.</w:t>
      </w:r>
    </w:p>
  </w:endnote>
  <w:endnote w:id="28">
    <w:p w14:paraId="3DF0CFC8" w14:textId="462DBEDE" w:rsidR="00012686" w:rsidRDefault="00012686">
      <w:pPr>
        <w:pStyle w:val="EndnoteText"/>
      </w:pPr>
      <w:r>
        <w:rPr>
          <w:rStyle w:val="EndnoteReference"/>
        </w:rPr>
        <w:endnoteRef/>
      </w:r>
      <w:r>
        <w:t xml:space="preserve"> </w:t>
      </w:r>
      <w:hyperlink r:id="rId24" w:history="1">
        <w:r w:rsidRPr="004D45CC">
          <w:rPr>
            <w:rStyle w:val="Hyperlink"/>
          </w:rPr>
          <w:t>https://docs.education.gov.au/system/files/doc/other/skillingyourbusiness.pdf</w:t>
        </w:r>
      </w:hyperlink>
      <w:r>
        <w:t xml:space="preserve"> page 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ira Sans Book">
    <w:altName w:val="Calibri"/>
    <w:panose1 w:val="00000000000000000000"/>
    <w:charset w:val="00"/>
    <w:family w:val="auto"/>
    <w:notTrueType/>
    <w:pitch w:val="default"/>
    <w:sig w:usb0="00000003" w:usb1="00000000" w:usb2="00000000" w:usb3="00000000" w:csb0="00000001" w:csb1="00000000"/>
  </w:font>
  <w:font w:name="Fira Sans Book Italic">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0DF9E" w14:textId="77777777" w:rsidR="001A63BC" w:rsidRDefault="001A63BC" w:rsidP="00AB3D02">
      <w:pPr>
        <w:spacing w:after="0" w:line="240" w:lineRule="auto"/>
      </w:pPr>
      <w:r>
        <w:separator/>
      </w:r>
    </w:p>
  </w:footnote>
  <w:footnote w:type="continuationSeparator" w:id="0">
    <w:p w14:paraId="3FE4EEA8" w14:textId="77777777" w:rsidR="001A63BC" w:rsidRDefault="001A63BC" w:rsidP="00AB3D02">
      <w:pPr>
        <w:spacing w:after="0" w:line="240" w:lineRule="auto"/>
      </w:pPr>
      <w:r>
        <w:continuationSeparator/>
      </w:r>
    </w:p>
  </w:footnote>
  <w:footnote w:type="continuationNotice" w:id="1">
    <w:p w14:paraId="5A240D8A" w14:textId="77777777" w:rsidR="001A63BC" w:rsidRDefault="001A63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926636"/>
      <w:docPartObj>
        <w:docPartGallery w:val="Page Numbers (Margins)"/>
        <w:docPartUnique/>
      </w:docPartObj>
    </w:sdtPr>
    <w:sdtEndPr/>
    <w:sdtContent>
      <w:p w14:paraId="05A93CF9" w14:textId="1CB2FC35" w:rsidR="00261F1A" w:rsidRDefault="00261F1A">
        <w:pPr>
          <w:pStyle w:val="Header"/>
        </w:pPr>
        <w:r>
          <w:rPr>
            <w:rFonts w:asciiTheme="majorHAnsi" w:eastAsiaTheme="majorEastAsia" w:hAnsiTheme="majorHAnsi" w:cstheme="majorBidi"/>
            <w:noProof/>
            <w:sz w:val="28"/>
            <w:szCs w:val="28"/>
            <w:lang w:eastAsia="en-AU"/>
          </w:rPr>
          <mc:AlternateContent>
            <mc:Choice Requires="wps">
              <w:drawing>
                <wp:anchor distT="0" distB="0" distL="114300" distR="114300" simplePos="0" relativeHeight="251659264" behindDoc="0" locked="0" layoutInCell="0" allowOverlap="1" wp14:anchorId="0F4CFC6D" wp14:editId="5D270FD3">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177C9407" w14:textId="59254D03" w:rsidR="00261F1A" w:rsidRDefault="00261F1A" w:rsidP="00EE62E0">
                              <w:pPr>
                                <w:spacing w:after="0"/>
                                <w:jc w:val="center"/>
                                <w:rPr>
                                  <w:rStyle w:val="PageNumber"/>
                                  <w:color w:val="FFFFFF" w:themeColor="background1"/>
                                  <w:szCs w:val="24"/>
                                </w:rPr>
                              </w:pPr>
                              <w:r>
                                <w:fldChar w:fldCharType="begin"/>
                              </w:r>
                              <w:r>
                                <w:instrText xml:space="preserve"> PAGE    \* MERGEFORMAT </w:instrText>
                              </w:r>
                              <w:r>
                                <w:fldChar w:fldCharType="separate"/>
                              </w:r>
                              <w:r w:rsidR="00E97361" w:rsidRPr="00E97361">
                                <w:rPr>
                                  <w:rStyle w:val="PageNumber"/>
                                  <w:b/>
                                  <w:bCs/>
                                  <w:noProof/>
                                  <w:color w:val="FFFFFF" w:themeColor="background1"/>
                                  <w:sz w:val="24"/>
                                  <w:szCs w:val="24"/>
                                </w:rPr>
                                <w:t>13</w:t>
                              </w:r>
                              <w:r>
                                <w:rPr>
                                  <w:rStyle w:val="PageNumber"/>
                                  <w:b/>
                                  <w:bCs/>
                                  <w:noProof/>
                                  <w:color w:val="FFFFFF" w:themeColor="background1"/>
                                  <w:sz w:val="24"/>
                                  <w:szCs w:val="24"/>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F4CFC6D" id="Oval 18" o:spid="_x0000_s1030"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" o:allowincell="f" fillcolor="#9dbb61" stroked="f">
                  <v:textbox inset="0,,0">
                    <w:txbxContent>
                      <w:p w14:paraId="177C9407" w14:textId="59254D03" w:rsidR="00261F1A" w:rsidRDefault="00261F1A" w:rsidP="00EE62E0">
                        <w:pPr>
                          <w:spacing w:after="0"/>
                          <w:jc w:val="center"/>
                          <w:rPr>
                            <w:rStyle w:val="PageNumber"/>
                            <w:color w:val="FFFFFF" w:themeColor="background1"/>
                            <w:szCs w:val="24"/>
                          </w:rPr>
                        </w:pPr>
                        <w:r>
                          <w:fldChar w:fldCharType="begin"/>
                        </w:r>
                        <w:r>
                          <w:instrText xml:space="preserve"> PAGE    \* MERGEFORMAT </w:instrText>
                        </w:r>
                        <w:r>
                          <w:fldChar w:fldCharType="separate"/>
                        </w:r>
                        <w:r w:rsidR="00E97361" w:rsidRPr="00E97361">
                          <w:rPr>
                            <w:rStyle w:val="PageNumber"/>
                            <w:b/>
                            <w:bCs/>
                            <w:noProof/>
                            <w:color w:val="FFFFFF" w:themeColor="background1"/>
                            <w:sz w:val="24"/>
                            <w:szCs w:val="24"/>
                          </w:rPr>
                          <w:t>13</w:t>
                        </w:r>
                        <w:r>
                          <w:rPr>
                            <w:rStyle w:val="PageNumber"/>
                            <w:b/>
                            <w:bCs/>
                            <w:noProof/>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2B1"/>
    <w:multiLevelType w:val="hybridMultilevel"/>
    <w:tmpl w:val="11A663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257AB"/>
    <w:multiLevelType w:val="hybridMultilevel"/>
    <w:tmpl w:val="27240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174D5"/>
    <w:multiLevelType w:val="hybridMultilevel"/>
    <w:tmpl w:val="9418C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722A7"/>
    <w:multiLevelType w:val="hybridMultilevel"/>
    <w:tmpl w:val="8A406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56AB6"/>
    <w:multiLevelType w:val="hybridMultilevel"/>
    <w:tmpl w:val="183C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95BC5"/>
    <w:multiLevelType w:val="hybridMultilevel"/>
    <w:tmpl w:val="C86C76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F3A52FF"/>
    <w:multiLevelType w:val="hybridMultilevel"/>
    <w:tmpl w:val="8604B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9153BE"/>
    <w:multiLevelType w:val="hybridMultilevel"/>
    <w:tmpl w:val="E768043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0642B5"/>
    <w:multiLevelType w:val="hybridMultilevel"/>
    <w:tmpl w:val="7BA628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0C5DB7"/>
    <w:multiLevelType w:val="hybridMultilevel"/>
    <w:tmpl w:val="F154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F3BD1"/>
    <w:multiLevelType w:val="hybridMultilevel"/>
    <w:tmpl w:val="ECE80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BD5403"/>
    <w:multiLevelType w:val="hybridMultilevel"/>
    <w:tmpl w:val="999ED0FE"/>
    <w:lvl w:ilvl="0" w:tplc="4B4029DE">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10ABD3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EFC15D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EA675C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29E558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47282F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F02F58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482D86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E7EB7D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CF5CA0"/>
    <w:multiLevelType w:val="hybridMultilevel"/>
    <w:tmpl w:val="7D303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5D50E5"/>
    <w:multiLevelType w:val="hybridMultilevel"/>
    <w:tmpl w:val="649659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A874C7"/>
    <w:multiLevelType w:val="hybridMultilevel"/>
    <w:tmpl w:val="9F82C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EF306C"/>
    <w:multiLevelType w:val="multilevel"/>
    <w:tmpl w:val="8FF2C2F0"/>
    <w:lvl w:ilvl="0">
      <w:start w:val="1"/>
      <w:numFmt w:val="decimal"/>
      <w:lvlText w:val="%1."/>
      <w:lvlJc w:val="left"/>
      <w:pPr>
        <w:ind w:left="468" w:hanging="360"/>
      </w:pPr>
      <w:rPr>
        <w:rFonts w:hint="default"/>
        <w:b/>
      </w:rPr>
    </w:lvl>
    <w:lvl w:ilvl="1">
      <w:start w:val="1"/>
      <w:numFmt w:val="decimal"/>
      <w:isLgl/>
      <w:lvlText w:val="%1.%2"/>
      <w:lvlJc w:val="left"/>
      <w:pPr>
        <w:ind w:left="450"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188" w:hanging="108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548" w:hanging="1440"/>
      </w:pPr>
      <w:rPr>
        <w:rFonts w:hint="default"/>
      </w:rPr>
    </w:lvl>
  </w:abstractNum>
  <w:abstractNum w:abstractNumId="16" w15:restartNumberingAfterBreak="0">
    <w:nsid w:val="335637C9"/>
    <w:multiLevelType w:val="hybridMultilevel"/>
    <w:tmpl w:val="98FEBF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3433465B"/>
    <w:multiLevelType w:val="multilevel"/>
    <w:tmpl w:val="F6A6F5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70748C"/>
    <w:multiLevelType w:val="hybridMultilevel"/>
    <w:tmpl w:val="3FBED6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5D736C0"/>
    <w:multiLevelType w:val="hybridMultilevel"/>
    <w:tmpl w:val="43B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320E4"/>
    <w:multiLevelType w:val="hybridMultilevel"/>
    <w:tmpl w:val="91A29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F37516"/>
    <w:multiLevelType w:val="hybridMultilevel"/>
    <w:tmpl w:val="21B6C7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1336F7"/>
    <w:multiLevelType w:val="hybridMultilevel"/>
    <w:tmpl w:val="B162725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3E2E2862"/>
    <w:multiLevelType w:val="hybridMultilevel"/>
    <w:tmpl w:val="B9FEE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0B2B9E"/>
    <w:multiLevelType w:val="multilevel"/>
    <w:tmpl w:val="1F6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F2DFB"/>
    <w:multiLevelType w:val="hybridMultilevel"/>
    <w:tmpl w:val="68C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676B2"/>
    <w:multiLevelType w:val="hybridMultilevel"/>
    <w:tmpl w:val="E556B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760D0"/>
    <w:multiLevelType w:val="hybridMultilevel"/>
    <w:tmpl w:val="BEA2D438"/>
    <w:lvl w:ilvl="0" w:tplc="0C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085EC0"/>
    <w:multiLevelType w:val="hybridMultilevel"/>
    <w:tmpl w:val="91EA3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B4142B"/>
    <w:multiLevelType w:val="hybridMultilevel"/>
    <w:tmpl w:val="F15E5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3943D9"/>
    <w:multiLevelType w:val="hybridMultilevel"/>
    <w:tmpl w:val="1934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046A9"/>
    <w:multiLevelType w:val="multilevel"/>
    <w:tmpl w:val="CB32F2B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4D724A"/>
    <w:multiLevelType w:val="multilevel"/>
    <w:tmpl w:val="3118E6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707C0F"/>
    <w:multiLevelType w:val="hybridMultilevel"/>
    <w:tmpl w:val="4EBE3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943D74"/>
    <w:multiLevelType w:val="hybridMultilevel"/>
    <w:tmpl w:val="57781DE0"/>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3F54DD"/>
    <w:multiLevelType w:val="hybridMultilevel"/>
    <w:tmpl w:val="DD467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51281B"/>
    <w:multiLevelType w:val="hybridMultilevel"/>
    <w:tmpl w:val="75E6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673E1"/>
    <w:multiLevelType w:val="hybridMultilevel"/>
    <w:tmpl w:val="9FDA1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466127"/>
    <w:multiLevelType w:val="hybridMultilevel"/>
    <w:tmpl w:val="C8946926"/>
    <w:lvl w:ilvl="0" w:tplc="B83C75C8">
      <w:start w:val="3"/>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33CE0"/>
    <w:multiLevelType w:val="hybridMultilevel"/>
    <w:tmpl w:val="257C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F24085"/>
    <w:multiLevelType w:val="multilevel"/>
    <w:tmpl w:val="C5AE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ED191D"/>
    <w:multiLevelType w:val="hybridMultilevel"/>
    <w:tmpl w:val="34E2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D603B1"/>
    <w:multiLevelType w:val="hybridMultilevel"/>
    <w:tmpl w:val="B604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561AF"/>
    <w:multiLevelType w:val="hybridMultilevel"/>
    <w:tmpl w:val="95D6C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F676F30"/>
    <w:multiLevelType w:val="hybridMultilevel"/>
    <w:tmpl w:val="9006C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32"/>
  </w:num>
  <w:num w:numId="5">
    <w:abstractNumId w:val="40"/>
  </w:num>
  <w:num w:numId="6">
    <w:abstractNumId w:val="16"/>
  </w:num>
  <w:num w:numId="7">
    <w:abstractNumId w:val="30"/>
  </w:num>
  <w:num w:numId="8">
    <w:abstractNumId w:val="36"/>
  </w:num>
  <w:num w:numId="9">
    <w:abstractNumId w:val="43"/>
  </w:num>
  <w:num w:numId="10">
    <w:abstractNumId w:val="26"/>
  </w:num>
  <w:num w:numId="11">
    <w:abstractNumId w:val="22"/>
  </w:num>
  <w:num w:numId="12">
    <w:abstractNumId w:val="44"/>
  </w:num>
  <w:num w:numId="13">
    <w:abstractNumId w:val="19"/>
  </w:num>
  <w:num w:numId="14">
    <w:abstractNumId w:val="5"/>
  </w:num>
  <w:num w:numId="15">
    <w:abstractNumId w:val="13"/>
  </w:num>
  <w:num w:numId="16">
    <w:abstractNumId w:val="21"/>
  </w:num>
  <w:num w:numId="17">
    <w:abstractNumId w:val="11"/>
  </w:num>
  <w:num w:numId="18">
    <w:abstractNumId w:val="34"/>
  </w:num>
  <w:num w:numId="19">
    <w:abstractNumId w:val="38"/>
  </w:num>
  <w:num w:numId="20">
    <w:abstractNumId w:val="27"/>
  </w:num>
  <w:num w:numId="21">
    <w:abstractNumId w:val="41"/>
  </w:num>
  <w:num w:numId="22">
    <w:abstractNumId w:val="24"/>
  </w:num>
  <w:num w:numId="23">
    <w:abstractNumId w:val="9"/>
  </w:num>
  <w:num w:numId="24">
    <w:abstractNumId w:val="8"/>
  </w:num>
  <w:num w:numId="25">
    <w:abstractNumId w:val="20"/>
  </w:num>
  <w:num w:numId="26">
    <w:abstractNumId w:val="14"/>
  </w:num>
  <w:num w:numId="27">
    <w:abstractNumId w:val="28"/>
  </w:num>
  <w:num w:numId="28">
    <w:abstractNumId w:val="18"/>
  </w:num>
  <w:num w:numId="29">
    <w:abstractNumId w:val="37"/>
  </w:num>
  <w:num w:numId="30">
    <w:abstractNumId w:val="29"/>
  </w:num>
  <w:num w:numId="31">
    <w:abstractNumId w:val="33"/>
  </w:num>
  <w:num w:numId="32">
    <w:abstractNumId w:val="10"/>
  </w:num>
  <w:num w:numId="33">
    <w:abstractNumId w:val="3"/>
  </w:num>
  <w:num w:numId="34">
    <w:abstractNumId w:val="1"/>
  </w:num>
  <w:num w:numId="35">
    <w:abstractNumId w:val="2"/>
  </w:num>
  <w:num w:numId="36">
    <w:abstractNumId w:val="35"/>
  </w:num>
  <w:num w:numId="37">
    <w:abstractNumId w:val="12"/>
  </w:num>
  <w:num w:numId="38">
    <w:abstractNumId w:val="25"/>
  </w:num>
  <w:num w:numId="39">
    <w:abstractNumId w:val="17"/>
  </w:num>
  <w:num w:numId="40">
    <w:abstractNumId w:val="42"/>
  </w:num>
  <w:num w:numId="41">
    <w:abstractNumId w:val="6"/>
  </w:num>
  <w:num w:numId="42">
    <w:abstractNumId w:val="23"/>
  </w:num>
  <w:num w:numId="43">
    <w:abstractNumId w:val="4"/>
  </w:num>
  <w:num w:numId="44">
    <w:abstractNumId w:val="7"/>
  </w:num>
  <w:num w:numId="45">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02"/>
    <w:rsid w:val="00002142"/>
    <w:rsid w:val="00003EA8"/>
    <w:rsid w:val="000043DE"/>
    <w:rsid w:val="00012686"/>
    <w:rsid w:val="00012C86"/>
    <w:rsid w:val="00015255"/>
    <w:rsid w:val="00017DBB"/>
    <w:rsid w:val="0002230C"/>
    <w:rsid w:val="00023585"/>
    <w:rsid w:val="00030853"/>
    <w:rsid w:val="00035898"/>
    <w:rsid w:val="00036CDE"/>
    <w:rsid w:val="000408BF"/>
    <w:rsid w:val="00040ADB"/>
    <w:rsid w:val="00040C3E"/>
    <w:rsid w:val="00041EFC"/>
    <w:rsid w:val="00042403"/>
    <w:rsid w:val="00044BD6"/>
    <w:rsid w:val="00045316"/>
    <w:rsid w:val="000500F9"/>
    <w:rsid w:val="00053525"/>
    <w:rsid w:val="0005455A"/>
    <w:rsid w:val="0005629D"/>
    <w:rsid w:val="00056384"/>
    <w:rsid w:val="000566C5"/>
    <w:rsid w:val="0005672C"/>
    <w:rsid w:val="00056C93"/>
    <w:rsid w:val="00062E0F"/>
    <w:rsid w:val="00074C6F"/>
    <w:rsid w:val="00075386"/>
    <w:rsid w:val="00081909"/>
    <w:rsid w:val="00090803"/>
    <w:rsid w:val="00091C5B"/>
    <w:rsid w:val="00092973"/>
    <w:rsid w:val="000931DA"/>
    <w:rsid w:val="00093583"/>
    <w:rsid w:val="00093DB7"/>
    <w:rsid w:val="00094DBE"/>
    <w:rsid w:val="00095000"/>
    <w:rsid w:val="00096DC4"/>
    <w:rsid w:val="000A2DC7"/>
    <w:rsid w:val="000B00AA"/>
    <w:rsid w:val="000B3564"/>
    <w:rsid w:val="000B4D7B"/>
    <w:rsid w:val="000B796F"/>
    <w:rsid w:val="000C1B90"/>
    <w:rsid w:val="000D0062"/>
    <w:rsid w:val="000D01CF"/>
    <w:rsid w:val="000D0C6D"/>
    <w:rsid w:val="000D0D73"/>
    <w:rsid w:val="000D1113"/>
    <w:rsid w:val="000D3C5C"/>
    <w:rsid w:val="000D406E"/>
    <w:rsid w:val="000D6B0A"/>
    <w:rsid w:val="000D7F4E"/>
    <w:rsid w:val="000E233E"/>
    <w:rsid w:val="000E6873"/>
    <w:rsid w:val="000F4B73"/>
    <w:rsid w:val="000F6947"/>
    <w:rsid w:val="000F7DE5"/>
    <w:rsid w:val="00115D3A"/>
    <w:rsid w:val="001165DC"/>
    <w:rsid w:val="00124EC9"/>
    <w:rsid w:val="00130115"/>
    <w:rsid w:val="001308FD"/>
    <w:rsid w:val="0013130C"/>
    <w:rsid w:val="001342A1"/>
    <w:rsid w:val="001347AC"/>
    <w:rsid w:val="00137788"/>
    <w:rsid w:val="001425D0"/>
    <w:rsid w:val="001431E4"/>
    <w:rsid w:val="00147CEF"/>
    <w:rsid w:val="0015032C"/>
    <w:rsid w:val="00151603"/>
    <w:rsid w:val="0015555C"/>
    <w:rsid w:val="00156B25"/>
    <w:rsid w:val="001574A5"/>
    <w:rsid w:val="00163723"/>
    <w:rsid w:val="001642A6"/>
    <w:rsid w:val="001649F4"/>
    <w:rsid w:val="001662AD"/>
    <w:rsid w:val="0017009E"/>
    <w:rsid w:val="00170604"/>
    <w:rsid w:val="001736B7"/>
    <w:rsid w:val="0017480B"/>
    <w:rsid w:val="00174DD1"/>
    <w:rsid w:val="00175FEA"/>
    <w:rsid w:val="00176B6D"/>
    <w:rsid w:val="0017767C"/>
    <w:rsid w:val="00177683"/>
    <w:rsid w:val="00181A83"/>
    <w:rsid w:val="00181CFA"/>
    <w:rsid w:val="001828A6"/>
    <w:rsid w:val="00182C5C"/>
    <w:rsid w:val="001859E0"/>
    <w:rsid w:val="00190DB7"/>
    <w:rsid w:val="00193329"/>
    <w:rsid w:val="001937BD"/>
    <w:rsid w:val="001937D3"/>
    <w:rsid w:val="00194A18"/>
    <w:rsid w:val="00194BAA"/>
    <w:rsid w:val="00196EC7"/>
    <w:rsid w:val="001A0800"/>
    <w:rsid w:val="001A0AD6"/>
    <w:rsid w:val="001A259B"/>
    <w:rsid w:val="001A3A8B"/>
    <w:rsid w:val="001A4EBA"/>
    <w:rsid w:val="001A63BC"/>
    <w:rsid w:val="001B521C"/>
    <w:rsid w:val="001B52F0"/>
    <w:rsid w:val="001B69E3"/>
    <w:rsid w:val="001C09A5"/>
    <w:rsid w:val="001C11EC"/>
    <w:rsid w:val="001C32A0"/>
    <w:rsid w:val="001D00C2"/>
    <w:rsid w:val="001D0D38"/>
    <w:rsid w:val="001E31C1"/>
    <w:rsid w:val="001F21FB"/>
    <w:rsid w:val="001F4518"/>
    <w:rsid w:val="001F48B3"/>
    <w:rsid w:val="001F5DE5"/>
    <w:rsid w:val="001F7AFD"/>
    <w:rsid w:val="00202639"/>
    <w:rsid w:val="00202BCF"/>
    <w:rsid w:val="002048D3"/>
    <w:rsid w:val="00205794"/>
    <w:rsid w:val="00210DFE"/>
    <w:rsid w:val="00212A4F"/>
    <w:rsid w:val="00214164"/>
    <w:rsid w:val="002146E7"/>
    <w:rsid w:val="002149A4"/>
    <w:rsid w:val="00214BC7"/>
    <w:rsid w:val="0022592B"/>
    <w:rsid w:val="00236FF4"/>
    <w:rsid w:val="0024084D"/>
    <w:rsid w:val="00246D6F"/>
    <w:rsid w:val="002478D6"/>
    <w:rsid w:val="00250A08"/>
    <w:rsid w:val="00253373"/>
    <w:rsid w:val="002533C6"/>
    <w:rsid w:val="00253FC3"/>
    <w:rsid w:val="002547E6"/>
    <w:rsid w:val="00255451"/>
    <w:rsid w:val="002557A5"/>
    <w:rsid w:val="00261F1A"/>
    <w:rsid w:val="00262AD1"/>
    <w:rsid w:val="00263178"/>
    <w:rsid w:val="00273FE9"/>
    <w:rsid w:val="00277858"/>
    <w:rsid w:val="00277A5D"/>
    <w:rsid w:val="002800DA"/>
    <w:rsid w:val="002836A6"/>
    <w:rsid w:val="00283AD5"/>
    <w:rsid w:val="002860C1"/>
    <w:rsid w:val="002870C3"/>
    <w:rsid w:val="00287545"/>
    <w:rsid w:val="00292D31"/>
    <w:rsid w:val="0029318B"/>
    <w:rsid w:val="00295DDA"/>
    <w:rsid w:val="002A1879"/>
    <w:rsid w:val="002A3B3B"/>
    <w:rsid w:val="002A575A"/>
    <w:rsid w:val="002A6C3B"/>
    <w:rsid w:val="002A6CDF"/>
    <w:rsid w:val="002B15CC"/>
    <w:rsid w:val="002B51B5"/>
    <w:rsid w:val="002C2244"/>
    <w:rsid w:val="002D128A"/>
    <w:rsid w:val="002D315C"/>
    <w:rsid w:val="002E2CC3"/>
    <w:rsid w:val="002E3936"/>
    <w:rsid w:val="002E5553"/>
    <w:rsid w:val="002F2753"/>
    <w:rsid w:val="002F32E7"/>
    <w:rsid w:val="002F4621"/>
    <w:rsid w:val="002F596B"/>
    <w:rsid w:val="002F7071"/>
    <w:rsid w:val="003022AF"/>
    <w:rsid w:val="00303A20"/>
    <w:rsid w:val="00303D3E"/>
    <w:rsid w:val="003043F4"/>
    <w:rsid w:val="00310A5F"/>
    <w:rsid w:val="00310C30"/>
    <w:rsid w:val="003122FF"/>
    <w:rsid w:val="00312B6F"/>
    <w:rsid w:val="003166A5"/>
    <w:rsid w:val="0032209E"/>
    <w:rsid w:val="00322848"/>
    <w:rsid w:val="003229BA"/>
    <w:rsid w:val="003331B3"/>
    <w:rsid w:val="0033530A"/>
    <w:rsid w:val="003366EF"/>
    <w:rsid w:val="0034105E"/>
    <w:rsid w:val="003412DA"/>
    <w:rsid w:val="003424A9"/>
    <w:rsid w:val="003443D5"/>
    <w:rsid w:val="00344BA9"/>
    <w:rsid w:val="003460EB"/>
    <w:rsid w:val="00347998"/>
    <w:rsid w:val="00350E14"/>
    <w:rsid w:val="00352CB8"/>
    <w:rsid w:val="003539E3"/>
    <w:rsid w:val="003623B8"/>
    <w:rsid w:val="00363491"/>
    <w:rsid w:val="00371C45"/>
    <w:rsid w:val="00380070"/>
    <w:rsid w:val="00385508"/>
    <w:rsid w:val="00385E9A"/>
    <w:rsid w:val="00392BAF"/>
    <w:rsid w:val="00393D18"/>
    <w:rsid w:val="0039518E"/>
    <w:rsid w:val="00396013"/>
    <w:rsid w:val="0039622E"/>
    <w:rsid w:val="003964DA"/>
    <w:rsid w:val="0039785F"/>
    <w:rsid w:val="003A5F19"/>
    <w:rsid w:val="003A6E9E"/>
    <w:rsid w:val="003B0976"/>
    <w:rsid w:val="003B1845"/>
    <w:rsid w:val="003B6847"/>
    <w:rsid w:val="003C1F8F"/>
    <w:rsid w:val="003C210B"/>
    <w:rsid w:val="003C4009"/>
    <w:rsid w:val="003C40E5"/>
    <w:rsid w:val="003C755D"/>
    <w:rsid w:val="003C7C3C"/>
    <w:rsid w:val="003D20B0"/>
    <w:rsid w:val="003D3967"/>
    <w:rsid w:val="003D41F8"/>
    <w:rsid w:val="003D5B1C"/>
    <w:rsid w:val="003D6EF9"/>
    <w:rsid w:val="003E5AE3"/>
    <w:rsid w:val="003E7EBC"/>
    <w:rsid w:val="003F0240"/>
    <w:rsid w:val="003F1D7D"/>
    <w:rsid w:val="003F6ECF"/>
    <w:rsid w:val="0040083B"/>
    <w:rsid w:val="00401764"/>
    <w:rsid w:val="00406B4D"/>
    <w:rsid w:val="0041296E"/>
    <w:rsid w:val="00413239"/>
    <w:rsid w:val="00414296"/>
    <w:rsid w:val="00414ACC"/>
    <w:rsid w:val="004150A0"/>
    <w:rsid w:val="004171FA"/>
    <w:rsid w:val="00417803"/>
    <w:rsid w:val="004204C3"/>
    <w:rsid w:val="00420BBE"/>
    <w:rsid w:val="00422AC6"/>
    <w:rsid w:val="00424C87"/>
    <w:rsid w:val="00424CFF"/>
    <w:rsid w:val="004269EC"/>
    <w:rsid w:val="004312EC"/>
    <w:rsid w:val="00432108"/>
    <w:rsid w:val="004343E1"/>
    <w:rsid w:val="00434A3E"/>
    <w:rsid w:val="0043766C"/>
    <w:rsid w:val="004400A7"/>
    <w:rsid w:val="0044091B"/>
    <w:rsid w:val="00440CC0"/>
    <w:rsid w:val="00441D4B"/>
    <w:rsid w:val="004438B2"/>
    <w:rsid w:val="004479CA"/>
    <w:rsid w:val="00451F09"/>
    <w:rsid w:val="00452368"/>
    <w:rsid w:val="00453C48"/>
    <w:rsid w:val="004546E5"/>
    <w:rsid w:val="00455142"/>
    <w:rsid w:val="004558E6"/>
    <w:rsid w:val="00456E4A"/>
    <w:rsid w:val="004601C1"/>
    <w:rsid w:val="00460398"/>
    <w:rsid w:val="004614AA"/>
    <w:rsid w:val="00473E57"/>
    <w:rsid w:val="0047589A"/>
    <w:rsid w:val="004763D4"/>
    <w:rsid w:val="00481653"/>
    <w:rsid w:val="004819A7"/>
    <w:rsid w:val="00481C33"/>
    <w:rsid w:val="00481DB5"/>
    <w:rsid w:val="004871FE"/>
    <w:rsid w:val="00493C40"/>
    <w:rsid w:val="0049502C"/>
    <w:rsid w:val="004955E2"/>
    <w:rsid w:val="004A0349"/>
    <w:rsid w:val="004A0957"/>
    <w:rsid w:val="004A1B8B"/>
    <w:rsid w:val="004A3247"/>
    <w:rsid w:val="004A7349"/>
    <w:rsid w:val="004A7D4A"/>
    <w:rsid w:val="004B1612"/>
    <w:rsid w:val="004B215B"/>
    <w:rsid w:val="004B5110"/>
    <w:rsid w:val="004B5FCC"/>
    <w:rsid w:val="004C0212"/>
    <w:rsid w:val="004C03E4"/>
    <w:rsid w:val="004C0B13"/>
    <w:rsid w:val="004D3EDE"/>
    <w:rsid w:val="004E2270"/>
    <w:rsid w:val="004E5DA0"/>
    <w:rsid w:val="004E643E"/>
    <w:rsid w:val="004E6870"/>
    <w:rsid w:val="004E760E"/>
    <w:rsid w:val="004F14DB"/>
    <w:rsid w:val="004F3515"/>
    <w:rsid w:val="004F4532"/>
    <w:rsid w:val="004F6B94"/>
    <w:rsid w:val="00504096"/>
    <w:rsid w:val="0050469B"/>
    <w:rsid w:val="005064D1"/>
    <w:rsid w:val="00511781"/>
    <w:rsid w:val="00513C37"/>
    <w:rsid w:val="00516D36"/>
    <w:rsid w:val="005170C5"/>
    <w:rsid w:val="005201C2"/>
    <w:rsid w:val="0052094C"/>
    <w:rsid w:val="005225E3"/>
    <w:rsid w:val="005253E3"/>
    <w:rsid w:val="00527A80"/>
    <w:rsid w:val="005309DB"/>
    <w:rsid w:val="00533EE5"/>
    <w:rsid w:val="005357CC"/>
    <w:rsid w:val="005401AA"/>
    <w:rsid w:val="005428C2"/>
    <w:rsid w:val="00544386"/>
    <w:rsid w:val="00544DAF"/>
    <w:rsid w:val="0054700A"/>
    <w:rsid w:val="00550193"/>
    <w:rsid w:val="005511A5"/>
    <w:rsid w:val="005530E1"/>
    <w:rsid w:val="0055312A"/>
    <w:rsid w:val="0055424E"/>
    <w:rsid w:val="0055577A"/>
    <w:rsid w:val="00556A0A"/>
    <w:rsid w:val="00556D00"/>
    <w:rsid w:val="00556F05"/>
    <w:rsid w:val="00560881"/>
    <w:rsid w:val="00560F67"/>
    <w:rsid w:val="0056279D"/>
    <w:rsid w:val="00565046"/>
    <w:rsid w:val="00573C5F"/>
    <w:rsid w:val="00577381"/>
    <w:rsid w:val="005871FA"/>
    <w:rsid w:val="00587B19"/>
    <w:rsid w:val="00587FB6"/>
    <w:rsid w:val="005903F4"/>
    <w:rsid w:val="0059393B"/>
    <w:rsid w:val="00593E41"/>
    <w:rsid w:val="00594456"/>
    <w:rsid w:val="00595B0D"/>
    <w:rsid w:val="00595DF3"/>
    <w:rsid w:val="00596A10"/>
    <w:rsid w:val="005A0850"/>
    <w:rsid w:val="005A2CF7"/>
    <w:rsid w:val="005A32EE"/>
    <w:rsid w:val="005A39FA"/>
    <w:rsid w:val="005A4E87"/>
    <w:rsid w:val="005B153F"/>
    <w:rsid w:val="005B1711"/>
    <w:rsid w:val="005C3B08"/>
    <w:rsid w:val="005C5998"/>
    <w:rsid w:val="005C69C7"/>
    <w:rsid w:val="005D102C"/>
    <w:rsid w:val="005D1124"/>
    <w:rsid w:val="005D15B8"/>
    <w:rsid w:val="005D37E6"/>
    <w:rsid w:val="005D5D8F"/>
    <w:rsid w:val="005D6299"/>
    <w:rsid w:val="005D65EB"/>
    <w:rsid w:val="005D7F9A"/>
    <w:rsid w:val="005E2DC6"/>
    <w:rsid w:val="005E4A5B"/>
    <w:rsid w:val="005F1D56"/>
    <w:rsid w:val="005F1E52"/>
    <w:rsid w:val="005F6082"/>
    <w:rsid w:val="005F7168"/>
    <w:rsid w:val="005F78C2"/>
    <w:rsid w:val="00603194"/>
    <w:rsid w:val="006038B3"/>
    <w:rsid w:val="006039F0"/>
    <w:rsid w:val="00604B6C"/>
    <w:rsid w:val="0061155F"/>
    <w:rsid w:val="00611623"/>
    <w:rsid w:val="00614A64"/>
    <w:rsid w:val="00615288"/>
    <w:rsid w:val="006227D3"/>
    <w:rsid w:val="00624C61"/>
    <w:rsid w:val="006257B7"/>
    <w:rsid w:val="00625D78"/>
    <w:rsid w:val="00635B26"/>
    <w:rsid w:val="00635CDB"/>
    <w:rsid w:val="0064023E"/>
    <w:rsid w:val="00640BD5"/>
    <w:rsid w:val="00641333"/>
    <w:rsid w:val="00641FC8"/>
    <w:rsid w:val="0064230E"/>
    <w:rsid w:val="00644AA9"/>
    <w:rsid w:val="0065167E"/>
    <w:rsid w:val="00653EF0"/>
    <w:rsid w:val="00655A18"/>
    <w:rsid w:val="006561FE"/>
    <w:rsid w:val="00657AEE"/>
    <w:rsid w:val="0066202A"/>
    <w:rsid w:val="00662130"/>
    <w:rsid w:val="0066520E"/>
    <w:rsid w:val="00665ED4"/>
    <w:rsid w:val="0067273E"/>
    <w:rsid w:val="006735F8"/>
    <w:rsid w:val="00674CD8"/>
    <w:rsid w:val="006763E3"/>
    <w:rsid w:val="00682407"/>
    <w:rsid w:val="006824B1"/>
    <w:rsid w:val="00683A4E"/>
    <w:rsid w:val="006848D1"/>
    <w:rsid w:val="00685222"/>
    <w:rsid w:val="006861FF"/>
    <w:rsid w:val="00691027"/>
    <w:rsid w:val="0069240A"/>
    <w:rsid w:val="006929EA"/>
    <w:rsid w:val="00697DCF"/>
    <w:rsid w:val="006A298F"/>
    <w:rsid w:val="006A5D55"/>
    <w:rsid w:val="006B07E1"/>
    <w:rsid w:val="006B1CC8"/>
    <w:rsid w:val="006B1CEA"/>
    <w:rsid w:val="006B265E"/>
    <w:rsid w:val="006B2F5C"/>
    <w:rsid w:val="006B5EA2"/>
    <w:rsid w:val="006C18DE"/>
    <w:rsid w:val="006C7EE9"/>
    <w:rsid w:val="006D23EE"/>
    <w:rsid w:val="006D35D8"/>
    <w:rsid w:val="006D4797"/>
    <w:rsid w:val="006E0303"/>
    <w:rsid w:val="006E0DD7"/>
    <w:rsid w:val="006E241B"/>
    <w:rsid w:val="006E28ED"/>
    <w:rsid w:val="006E2F52"/>
    <w:rsid w:val="006E3F9B"/>
    <w:rsid w:val="006E4321"/>
    <w:rsid w:val="006E47B4"/>
    <w:rsid w:val="006E5264"/>
    <w:rsid w:val="006F2126"/>
    <w:rsid w:val="006F2231"/>
    <w:rsid w:val="006F5369"/>
    <w:rsid w:val="006F5502"/>
    <w:rsid w:val="006F5C9A"/>
    <w:rsid w:val="00700F2F"/>
    <w:rsid w:val="00706F03"/>
    <w:rsid w:val="007158AB"/>
    <w:rsid w:val="0071770C"/>
    <w:rsid w:val="007207B9"/>
    <w:rsid w:val="007220B3"/>
    <w:rsid w:val="00722FE0"/>
    <w:rsid w:val="00723BC7"/>
    <w:rsid w:val="007240F6"/>
    <w:rsid w:val="00727623"/>
    <w:rsid w:val="007279FC"/>
    <w:rsid w:val="0073116D"/>
    <w:rsid w:val="00733569"/>
    <w:rsid w:val="00743C91"/>
    <w:rsid w:val="007446BD"/>
    <w:rsid w:val="0075453B"/>
    <w:rsid w:val="0075524E"/>
    <w:rsid w:val="007602C0"/>
    <w:rsid w:val="007605C5"/>
    <w:rsid w:val="00763109"/>
    <w:rsid w:val="00763324"/>
    <w:rsid w:val="0076558F"/>
    <w:rsid w:val="0076742B"/>
    <w:rsid w:val="007676D0"/>
    <w:rsid w:val="007701D3"/>
    <w:rsid w:val="00775478"/>
    <w:rsid w:val="007812C7"/>
    <w:rsid w:val="007856F2"/>
    <w:rsid w:val="00785E92"/>
    <w:rsid w:val="00786BA6"/>
    <w:rsid w:val="00787E5F"/>
    <w:rsid w:val="007922D4"/>
    <w:rsid w:val="007A09DF"/>
    <w:rsid w:val="007A4240"/>
    <w:rsid w:val="007A50C0"/>
    <w:rsid w:val="007B474E"/>
    <w:rsid w:val="007C709C"/>
    <w:rsid w:val="007D0124"/>
    <w:rsid w:val="007D4CD5"/>
    <w:rsid w:val="007D50F5"/>
    <w:rsid w:val="007D572B"/>
    <w:rsid w:val="007E209F"/>
    <w:rsid w:val="007E2E7C"/>
    <w:rsid w:val="007E3327"/>
    <w:rsid w:val="007F2794"/>
    <w:rsid w:val="007F2A10"/>
    <w:rsid w:val="007F4CD2"/>
    <w:rsid w:val="007F5019"/>
    <w:rsid w:val="008010BD"/>
    <w:rsid w:val="00801DBD"/>
    <w:rsid w:val="008022D1"/>
    <w:rsid w:val="00803263"/>
    <w:rsid w:val="00803DBF"/>
    <w:rsid w:val="008041C0"/>
    <w:rsid w:val="00804C8D"/>
    <w:rsid w:val="008053F5"/>
    <w:rsid w:val="00806E2D"/>
    <w:rsid w:val="0080702A"/>
    <w:rsid w:val="00810E0C"/>
    <w:rsid w:val="0081225B"/>
    <w:rsid w:val="008122CD"/>
    <w:rsid w:val="00813484"/>
    <w:rsid w:val="0081386A"/>
    <w:rsid w:val="00813E7D"/>
    <w:rsid w:val="00815DB4"/>
    <w:rsid w:val="00820FDC"/>
    <w:rsid w:val="00830EB2"/>
    <w:rsid w:val="00831BC8"/>
    <w:rsid w:val="00834E5E"/>
    <w:rsid w:val="00836A82"/>
    <w:rsid w:val="00837EAA"/>
    <w:rsid w:val="00840365"/>
    <w:rsid w:val="00840D95"/>
    <w:rsid w:val="00842CB1"/>
    <w:rsid w:val="008438C5"/>
    <w:rsid w:val="00844E86"/>
    <w:rsid w:val="00850816"/>
    <w:rsid w:val="00851721"/>
    <w:rsid w:val="00853D18"/>
    <w:rsid w:val="00853FC6"/>
    <w:rsid w:val="008548C2"/>
    <w:rsid w:val="00854F5A"/>
    <w:rsid w:val="0086148F"/>
    <w:rsid w:val="00861CE7"/>
    <w:rsid w:val="00865D21"/>
    <w:rsid w:val="00872A88"/>
    <w:rsid w:val="00872DD0"/>
    <w:rsid w:val="00874B0C"/>
    <w:rsid w:val="0087539A"/>
    <w:rsid w:val="008764BD"/>
    <w:rsid w:val="008764E7"/>
    <w:rsid w:val="0088180C"/>
    <w:rsid w:val="0088229B"/>
    <w:rsid w:val="00883035"/>
    <w:rsid w:val="00883DD7"/>
    <w:rsid w:val="00885BEE"/>
    <w:rsid w:val="00887E14"/>
    <w:rsid w:val="00887E38"/>
    <w:rsid w:val="00890908"/>
    <w:rsid w:val="00892F6E"/>
    <w:rsid w:val="0089463C"/>
    <w:rsid w:val="00896BB7"/>
    <w:rsid w:val="00897D54"/>
    <w:rsid w:val="008A20E6"/>
    <w:rsid w:val="008A4069"/>
    <w:rsid w:val="008A4204"/>
    <w:rsid w:val="008A47E2"/>
    <w:rsid w:val="008A6933"/>
    <w:rsid w:val="008B2E48"/>
    <w:rsid w:val="008B66EF"/>
    <w:rsid w:val="008B69B4"/>
    <w:rsid w:val="008C142D"/>
    <w:rsid w:val="008C1546"/>
    <w:rsid w:val="008C2855"/>
    <w:rsid w:val="008C30A0"/>
    <w:rsid w:val="008C3597"/>
    <w:rsid w:val="008C42BF"/>
    <w:rsid w:val="008C5635"/>
    <w:rsid w:val="008C7357"/>
    <w:rsid w:val="008C75D8"/>
    <w:rsid w:val="008C7851"/>
    <w:rsid w:val="008D13BF"/>
    <w:rsid w:val="008D342C"/>
    <w:rsid w:val="008D6975"/>
    <w:rsid w:val="008E0525"/>
    <w:rsid w:val="008E1669"/>
    <w:rsid w:val="008E2F0F"/>
    <w:rsid w:val="008E351F"/>
    <w:rsid w:val="008E3F6E"/>
    <w:rsid w:val="008E47B9"/>
    <w:rsid w:val="008E4FA1"/>
    <w:rsid w:val="008E6A89"/>
    <w:rsid w:val="008E7388"/>
    <w:rsid w:val="008E766E"/>
    <w:rsid w:val="008E7BA1"/>
    <w:rsid w:val="008F05F2"/>
    <w:rsid w:val="008F0AE6"/>
    <w:rsid w:val="008F2E99"/>
    <w:rsid w:val="008F3257"/>
    <w:rsid w:val="008F7F74"/>
    <w:rsid w:val="00901513"/>
    <w:rsid w:val="009061E6"/>
    <w:rsid w:val="00907191"/>
    <w:rsid w:val="009122C9"/>
    <w:rsid w:val="009133B4"/>
    <w:rsid w:val="00913C86"/>
    <w:rsid w:val="0092321E"/>
    <w:rsid w:val="009250E7"/>
    <w:rsid w:val="00926177"/>
    <w:rsid w:val="009279DB"/>
    <w:rsid w:val="0093428B"/>
    <w:rsid w:val="00934B7B"/>
    <w:rsid w:val="00944980"/>
    <w:rsid w:val="0094738A"/>
    <w:rsid w:val="009503A8"/>
    <w:rsid w:val="0095554E"/>
    <w:rsid w:val="0095611C"/>
    <w:rsid w:val="009568A2"/>
    <w:rsid w:val="009609DD"/>
    <w:rsid w:val="00961E51"/>
    <w:rsid w:val="00962DFE"/>
    <w:rsid w:val="009634BD"/>
    <w:rsid w:val="009638F2"/>
    <w:rsid w:val="0096580B"/>
    <w:rsid w:val="00965CBE"/>
    <w:rsid w:val="00966268"/>
    <w:rsid w:val="00966994"/>
    <w:rsid w:val="009730D0"/>
    <w:rsid w:val="00975894"/>
    <w:rsid w:val="0097732A"/>
    <w:rsid w:val="009873D9"/>
    <w:rsid w:val="00987F6F"/>
    <w:rsid w:val="009918DB"/>
    <w:rsid w:val="00991912"/>
    <w:rsid w:val="00992A6B"/>
    <w:rsid w:val="00994BD2"/>
    <w:rsid w:val="009953D0"/>
    <w:rsid w:val="00996EDC"/>
    <w:rsid w:val="009976E1"/>
    <w:rsid w:val="00997E5A"/>
    <w:rsid w:val="009A1199"/>
    <w:rsid w:val="009A394E"/>
    <w:rsid w:val="009A681E"/>
    <w:rsid w:val="009A6B8E"/>
    <w:rsid w:val="009A7D34"/>
    <w:rsid w:val="009A7E92"/>
    <w:rsid w:val="009A7EB4"/>
    <w:rsid w:val="009B1271"/>
    <w:rsid w:val="009B5464"/>
    <w:rsid w:val="009B764E"/>
    <w:rsid w:val="009C10A2"/>
    <w:rsid w:val="009C213E"/>
    <w:rsid w:val="009C25D0"/>
    <w:rsid w:val="009C2830"/>
    <w:rsid w:val="009C4AEB"/>
    <w:rsid w:val="009C579B"/>
    <w:rsid w:val="009C652E"/>
    <w:rsid w:val="009D0DB7"/>
    <w:rsid w:val="009D2E21"/>
    <w:rsid w:val="009D3591"/>
    <w:rsid w:val="009D416F"/>
    <w:rsid w:val="009D71FE"/>
    <w:rsid w:val="009E167C"/>
    <w:rsid w:val="009E2528"/>
    <w:rsid w:val="009E2906"/>
    <w:rsid w:val="009E4662"/>
    <w:rsid w:val="009E5FE7"/>
    <w:rsid w:val="009E72C0"/>
    <w:rsid w:val="009F056A"/>
    <w:rsid w:val="009F1572"/>
    <w:rsid w:val="009F239B"/>
    <w:rsid w:val="009F38B0"/>
    <w:rsid w:val="009F3A21"/>
    <w:rsid w:val="009F3BC3"/>
    <w:rsid w:val="009F4602"/>
    <w:rsid w:val="009F67D1"/>
    <w:rsid w:val="00A0212E"/>
    <w:rsid w:val="00A03E61"/>
    <w:rsid w:val="00A052C9"/>
    <w:rsid w:val="00A07764"/>
    <w:rsid w:val="00A11CB3"/>
    <w:rsid w:val="00A12B6E"/>
    <w:rsid w:val="00A13758"/>
    <w:rsid w:val="00A1395E"/>
    <w:rsid w:val="00A1540F"/>
    <w:rsid w:val="00A157C7"/>
    <w:rsid w:val="00A160FD"/>
    <w:rsid w:val="00A16958"/>
    <w:rsid w:val="00A16ECA"/>
    <w:rsid w:val="00A17905"/>
    <w:rsid w:val="00A20642"/>
    <w:rsid w:val="00A24209"/>
    <w:rsid w:val="00A252B5"/>
    <w:rsid w:val="00A25356"/>
    <w:rsid w:val="00A260F1"/>
    <w:rsid w:val="00A34728"/>
    <w:rsid w:val="00A350F3"/>
    <w:rsid w:val="00A3546E"/>
    <w:rsid w:val="00A367E5"/>
    <w:rsid w:val="00A409A5"/>
    <w:rsid w:val="00A41E14"/>
    <w:rsid w:val="00A431B6"/>
    <w:rsid w:val="00A44310"/>
    <w:rsid w:val="00A45D93"/>
    <w:rsid w:val="00A46BE6"/>
    <w:rsid w:val="00A51F44"/>
    <w:rsid w:val="00A52FB0"/>
    <w:rsid w:val="00A530E1"/>
    <w:rsid w:val="00A53B8C"/>
    <w:rsid w:val="00A57AD1"/>
    <w:rsid w:val="00A57B99"/>
    <w:rsid w:val="00A60930"/>
    <w:rsid w:val="00A6137B"/>
    <w:rsid w:val="00A61C74"/>
    <w:rsid w:val="00A624D6"/>
    <w:rsid w:val="00A67F33"/>
    <w:rsid w:val="00A74502"/>
    <w:rsid w:val="00A74774"/>
    <w:rsid w:val="00A7559D"/>
    <w:rsid w:val="00A75C97"/>
    <w:rsid w:val="00A81B0A"/>
    <w:rsid w:val="00A8245B"/>
    <w:rsid w:val="00A8368C"/>
    <w:rsid w:val="00A84A23"/>
    <w:rsid w:val="00A875A2"/>
    <w:rsid w:val="00A92637"/>
    <w:rsid w:val="00A92684"/>
    <w:rsid w:val="00A92D8A"/>
    <w:rsid w:val="00A94887"/>
    <w:rsid w:val="00A9618E"/>
    <w:rsid w:val="00A97D0B"/>
    <w:rsid w:val="00AA035A"/>
    <w:rsid w:val="00AA4400"/>
    <w:rsid w:val="00AA6994"/>
    <w:rsid w:val="00AA7CF0"/>
    <w:rsid w:val="00AB2292"/>
    <w:rsid w:val="00AB3D02"/>
    <w:rsid w:val="00AB4E2F"/>
    <w:rsid w:val="00AB6101"/>
    <w:rsid w:val="00AB644A"/>
    <w:rsid w:val="00AC1B4E"/>
    <w:rsid w:val="00AC2387"/>
    <w:rsid w:val="00AC25BA"/>
    <w:rsid w:val="00AC3C87"/>
    <w:rsid w:val="00AD4A95"/>
    <w:rsid w:val="00AD5247"/>
    <w:rsid w:val="00AD529A"/>
    <w:rsid w:val="00AD5DC9"/>
    <w:rsid w:val="00AD6AB3"/>
    <w:rsid w:val="00AD6BDB"/>
    <w:rsid w:val="00AE0220"/>
    <w:rsid w:val="00AE3032"/>
    <w:rsid w:val="00AE4A90"/>
    <w:rsid w:val="00AE651E"/>
    <w:rsid w:val="00AF0C97"/>
    <w:rsid w:val="00AF1CFB"/>
    <w:rsid w:val="00AF2433"/>
    <w:rsid w:val="00AF33DB"/>
    <w:rsid w:val="00AF4220"/>
    <w:rsid w:val="00AF5F05"/>
    <w:rsid w:val="00AF62A4"/>
    <w:rsid w:val="00AF78E9"/>
    <w:rsid w:val="00B0130E"/>
    <w:rsid w:val="00B017FD"/>
    <w:rsid w:val="00B01C52"/>
    <w:rsid w:val="00B073CB"/>
    <w:rsid w:val="00B11034"/>
    <w:rsid w:val="00B1177E"/>
    <w:rsid w:val="00B12535"/>
    <w:rsid w:val="00B12F0F"/>
    <w:rsid w:val="00B145F9"/>
    <w:rsid w:val="00B209B5"/>
    <w:rsid w:val="00B222CB"/>
    <w:rsid w:val="00B27B3C"/>
    <w:rsid w:val="00B300CE"/>
    <w:rsid w:val="00B31CFD"/>
    <w:rsid w:val="00B33010"/>
    <w:rsid w:val="00B403B2"/>
    <w:rsid w:val="00B42146"/>
    <w:rsid w:val="00B5407C"/>
    <w:rsid w:val="00B60349"/>
    <w:rsid w:val="00B62198"/>
    <w:rsid w:val="00B626F1"/>
    <w:rsid w:val="00B62750"/>
    <w:rsid w:val="00B63C6F"/>
    <w:rsid w:val="00B64E1C"/>
    <w:rsid w:val="00B65CA3"/>
    <w:rsid w:val="00B6724D"/>
    <w:rsid w:val="00B76D67"/>
    <w:rsid w:val="00B80D81"/>
    <w:rsid w:val="00B8325E"/>
    <w:rsid w:val="00B835E6"/>
    <w:rsid w:val="00B85EE0"/>
    <w:rsid w:val="00B86C0B"/>
    <w:rsid w:val="00B9030E"/>
    <w:rsid w:val="00B9224B"/>
    <w:rsid w:val="00B96416"/>
    <w:rsid w:val="00B965EE"/>
    <w:rsid w:val="00B97EB2"/>
    <w:rsid w:val="00BA038B"/>
    <w:rsid w:val="00BA0C60"/>
    <w:rsid w:val="00BA1AF0"/>
    <w:rsid w:val="00BA2063"/>
    <w:rsid w:val="00BA26E3"/>
    <w:rsid w:val="00BA487D"/>
    <w:rsid w:val="00BB4E7F"/>
    <w:rsid w:val="00BC0283"/>
    <w:rsid w:val="00BC08BE"/>
    <w:rsid w:val="00BC18A3"/>
    <w:rsid w:val="00BC4EBD"/>
    <w:rsid w:val="00BC5458"/>
    <w:rsid w:val="00BD2E6F"/>
    <w:rsid w:val="00BD5424"/>
    <w:rsid w:val="00BD5CE6"/>
    <w:rsid w:val="00BD7137"/>
    <w:rsid w:val="00BD79EF"/>
    <w:rsid w:val="00BE004C"/>
    <w:rsid w:val="00BE4B98"/>
    <w:rsid w:val="00BF107E"/>
    <w:rsid w:val="00BF4BDF"/>
    <w:rsid w:val="00BF719F"/>
    <w:rsid w:val="00BF7575"/>
    <w:rsid w:val="00C001D4"/>
    <w:rsid w:val="00C00EB3"/>
    <w:rsid w:val="00C0307D"/>
    <w:rsid w:val="00C033B0"/>
    <w:rsid w:val="00C040C8"/>
    <w:rsid w:val="00C07DDC"/>
    <w:rsid w:val="00C12D83"/>
    <w:rsid w:val="00C1336D"/>
    <w:rsid w:val="00C13B28"/>
    <w:rsid w:val="00C153EC"/>
    <w:rsid w:val="00C163AD"/>
    <w:rsid w:val="00C17334"/>
    <w:rsid w:val="00C20260"/>
    <w:rsid w:val="00C233A7"/>
    <w:rsid w:val="00C25D06"/>
    <w:rsid w:val="00C26574"/>
    <w:rsid w:val="00C313F7"/>
    <w:rsid w:val="00C31A51"/>
    <w:rsid w:val="00C340EF"/>
    <w:rsid w:val="00C36449"/>
    <w:rsid w:val="00C36B3D"/>
    <w:rsid w:val="00C3783F"/>
    <w:rsid w:val="00C41A62"/>
    <w:rsid w:val="00C426BC"/>
    <w:rsid w:val="00C46175"/>
    <w:rsid w:val="00C46DDC"/>
    <w:rsid w:val="00C47A76"/>
    <w:rsid w:val="00C47C38"/>
    <w:rsid w:val="00C53566"/>
    <w:rsid w:val="00C57B93"/>
    <w:rsid w:val="00C65194"/>
    <w:rsid w:val="00C66948"/>
    <w:rsid w:val="00C705D7"/>
    <w:rsid w:val="00C70E81"/>
    <w:rsid w:val="00C74A85"/>
    <w:rsid w:val="00C8425D"/>
    <w:rsid w:val="00C844FB"/>
    <w:rsid w:val="00C84AB6"/>
    <w:rsid w:val="00C85C84"/>
    <w:rsid w:val="00C86A13"/>
    <w:rsid w:val="00C9064A"/>
    <w:rsid w:val="00C906C6"/>
    <w:rsid w:val="00C91C14"/>
    <w:rsid w:val="00C949EF"/>
    <w:rsid w:val="00C95F6A"/>
    <w:rsid w:val="00CA0DAC"/>
    <w:rsid w:val="00CA115B"/>
    <w:rsid w:val="00CA4C84"/>
    <w:rsid w:val="00CA4F78"/>
    <w:rsid w:val="00CA756A"/>
    <w:rsid w:val="00CB012F"/>
    <w:rsid w:val="00CB199F"/>
    <w:rsid w:val="00CB20D9"/>
    <w:rsid w:val="00CB34CE"/>
    <w:rsid w:val="00CB3EF6"/>
    <w:rsid w:val="00CB4A70"/>
    <w:rsid w:val="00CB4E2D"/>
    <w:rsid w:val="00CB5562"/>
    <w:rsid w:val="00CC037B"/>
    <w:rsid w:val="00CC101A"/>
    <w:rsid w:val="00CC28D4"/>
    <w:rsid w:val="00CC360B"/>
    <w:rsid w:val="00CC5BB2"/>
    <w:rsid w:val="00CD05A4"/>
    <w:rsid w:val="00CD079B"/>
    <w:rsid w:val="00CD1E46"/>
    <w:rsid w:val="00CD2E15"/>
    <w:rsid w:val="00CD2E51"/>
    <w:rsid w:val="00CD44B7"/>
    <w:rsid w:val="00CD5795"/>
    <w:rsid w:val="00CE13B9"/>
    <w:rsid w:val="00CE1676"/>
    <w:rsid w:val="00CE4082"/>
    <w:rsid w:val="00CF061B"/>
    <w:rsid w:val="00CF3D95"/>
    <w:rsid w:val="00D012EE"/>
    <w:rsid w:val="00D021BB"/>
    <w:rsid w:val="00D0424F"/>
    <w:rsid w:val="00D05076"/>
    <w:rsid w:val="00D07342"/>
    <w:rsid w:val="00D07B25"/>
    <w:rsid w:val="00D10A09"/>
    <w:rsid w:val="00D10AC6"/>
    <w:rsid w:val="00D170EC"/>
    <w:rsid w:val="00D17A66"/>
    <w:rsid w:val="00D23EE9"/>
    <w:rsid w:val="00D23FB0"/>
    <w:rsid w:val="00D2401D"/>
    <w:rsid w:val="00D25D85"/>
    <w:rsid w:val="00D2656A"/>
    <w:rsid w:val="00D27704"/>
    <w:rsid w:val="00D30862"/>
    <w:rsid w:val="00D362C8"/>
    <w:rsid w:val="00D42716"/>
    <w:rsid w:val="00D42D38"/>
    <w:rsid w:val="00D45193"/>
    <w:rsid w:val="00D46B1C"/>
    <w:rsid w:val="00D534F9"/>
    <w:rsid w:val="00D53B2B"/>
    <w:rsid w:val="00D55D5F"/>
    <w:rsid w:val="00D568FA"/>
    <w:rsid w:val="00D573F0"/>
    <w:rsid w:val="00D629E6"/>
    <w:rsid w:val="00D62D33"/>
    <w:rsid w:val="00D62D8A"/>
    <w:rsid w:val="00D6352D"/>
    <w:rsid w:val="00D63FFF"/>
    <w:rsid w:val="00D666BE"/>
    <w:rsid w:val="00D66FE0"/>
    <w:rsid w:val="00D67D69"/>
    <w:rsid w:val="00D7226F"/>
    <w:rsid w:val="00D74A81"/>
    <w:rsid w:val="00D75C9C"/>
    <w:rsid w:val="00D817FE"/>
    <w:rsid w:val="00D843F5"/>
    <w:rsid w:val="00D86EB8"/>
    <w:rsid w:val="00D9037F"/>
    <w:rsid w:val="00D91685"/>
    <w:rsid w:val="00D917E2"/>
    <w:rsid w:val="00D91906"/>
    <w:rsid w:val="00D91A6F"/>
    <w:rsid w:val="00D92790"/>
    <w:rsid w:val="00D92B2E"/>
    <w:rsid w:val="00D93397"/>
    <w:rsid w:val="00D944E5"/>
    <w:rsid w:val="00D96FCC"/>
    <w:rsid w:val="00DA2425"/>
    <w:rsid w:val="00DA4952"/>
    <w:rsid w:val="00DA4B5A"/>
    <w:rsid w:val="00DA57E2"/>
    <w:rsid w:val="00DA727D"/>
    <w:rsid w:val="00DB2642"/>
    <w:rsid w:val="00DB3083"/>
    <w:rsid w:val="00DB5732"/>
    <w:rsid w:val="00DB7504"/>
    <w:rsid w:val="00DC21B5"/>
    <w:rsid w:val="00DC4417"/>
    <w:rsid w:val="00DC4A10"/>
    <w:rsid w:val="00DC6F55"/>
    <w:rsid w:val="00DD4751"/>
    <w:rsid w:val="00DD494B"/>
    <w:rsid w:val="00DD4BB7"/>
    <w:rsid w:val="00DE43F8"/>
    <w:rsid w:val="00DE47C9"/>
    <w:rsid w:val="00DF3192"/>
    <w:rsid w:val="00DF45C3"/>
    <w:rsid w:val="00DF4D1D"/>
    <w:rsid w:val="00DF62C7"/>
    <w:rsid w:val="00DF7B74"/>
    <w:rsid w:val="00DF7F08"/>
    <w:rsid w:val="00E00446"/>
    <w:rsid w:val="00E04593"/>
    <w:rsid w:val="00E169CE"/>
    <w:rsid w:val="00E1740E"/>
    <w:rsid w:val="00E22777"/>
    <w:rsid w:val="00E23550"/>
    <w:rsid w:val="00E2565F"/>
    <w:rsid w:val="00E269E5"/>
    <w:rsid w:val="00E278C8"/>
    <w:rsid w:val="00E313A1"/>
    <w:rsid w:val="00E4242C"/>
    <w:rsid w:val="00E424DA"/>
    <w:rsid w:val="00E42851"/>
    <w:rsid w:val="00E428B1"/>
    <w:rsid w:val="00E44410"/>
    <w:rsid w:val="00E44C82"/>
    <w:rsid w:val="00E47320"/>
    <w:rsid w:val="00E4733C"/>
    <w:rsid w:val="00E53AA4"/>
    <w:rsid w:val="00E546B5"/>
    <w:rsid w:val="00E54A3A"/>
    <w:rsid w:val="00E54F85"/>
    <w:rsid w:val="00E604B1"/>
    <w:rsid w:val="00E60D0A"/>
    <w:rsid w:val="00E61424"/>
    <w:rsid w:val="00E61EAE"/>
    <w:rsid w:val="00E63970"/>
    <w:rsid w:val="00E67633"/>
    <w:rsid w:val="00E74E15"/>
    <w:rsid w:val="00E801CD"/>
    <w:rsid w:val="00E828FB"/>
    <w:rsid w:val="00E84138"/>
    <w:rsid w:val="00E842CB"/>
    <w:rsid w:val="00E85391"/>
    <w:rsid w:val="00E870D9"/>
    <w:rsid w:val="00E87C5B"/>
    <w:rsid w:val="00E905FB"/>
    <w:rsid w:val="00E95B23"/>
    <w:rsid w:val="00E965FE"/>
    <w:rsid w:val="00E97361"/>
    <w:rsid w:val="00EA2DBD"/>
    <w:rsid w:val="00EA37A0"/>
    <w:rsid w:val="00EB63CE"/>
    <w:rsid w:val="00EC3093"/>
    <w:rsid w:val="00EC6582"/>
    <w:rsid w:val="00ED0C23"/>
    <w:rsid w:val="00ED2225"/>
    <w:rsid w:val="00ED6913"/>
    <w:rsid w:val="00ED71AE"/>
    <w:rsid w:val="00EE1B18"/>
    <w:rsid w:val="00EE3FE9"/>
    <w:rsid w:val="00EE476D"/>
    <w:rsid w:val="00EE4D7B"/>
    <w:rsid w:val="00EE62E0"/>
    <w:rsid w:val="00EE7CC5"/>
    <w:rsid w:val="00EF2D05"/>
    <w:rsid w:val="00EF2F48"/>
    <w:rsid w:val="00EF4136"/>
    <w:rsid w:val="00EF61B6"/>
    <w:rsid w:val="00EF69E0"/>
    <w:rsid w:val="00F0083C"/>
    <w:rsid w:val="00F02F43"/>
    <w:rsid w:val="00F05102"/>
    <w:rsid w:val="00F07EFD"/>
    <w:rsid w:val="00F07F05"/>
    <w:rsid w:val="00F10D37"/>
    <w:rsid w:val="00F1594F"/>
    <w:rsid w:val="00F161B3"/>
    <w:rsid w:val="00F210F6"/>
    <w:rsid w:val="00F22CCB"/>
    <w:rsid w:val="00F2438C"/>
    <w:rsid w:val="00F24E22"/>
    <w:rsid w:val="00F26E47"/>
    <w:rsid w:val="00F277B9"/>
    <w:rsid w:val="00F31042"/>
    <w:rsid w:val="00F3249A"/>
    <w:rsid w:val="00F3403E"/>
    <w:rsid w:val="00F3568E"/>
    <w:rsid w:val="00F40A40"/>
    <w:rsid w:val="00F41980"/>
    <w:rsid w:val="00F42096"/>
    <w:rsid w:val="00F44355"/>
    <w:rsid w:val="00F45F7C"/>
    <w:rsid w:val="00F4702C"/>
    <w:rsid w:val="00F52426"/>
    <w:rsid w:val="00F52F26"/>
    <w:rsid w:val="00F53262"/>
    <w:rsid w:val="00F541A0"/>
    <w:rsid w:val="00F548AD"/>
    <w:rsid w:val="00F56198"/>
    <w:rsid w:val="00F5692F"/>
    <w:rsid w:val="00F57135"/>
    <w:rsid w:val="00F6395C"/>
    <w:rsid w:val="00F677CA"/>
    <w:rsid w:val="00F71A2C"/>
    <w:rsid w:val="00F7576A"/>
    <w:rsid w:val="00F76F54"/>
    <w:rsid w:val="00F77E71"/>
    <w:rsid w:val="00F80D74"/>
    <w:rsid w:val="00F81525"/>
    <w:rsid w:val="00F81AE5"/>
    <w:rsid w:val="00F82082"/>
    <w:rsid w:val="00F82F2C"/>
    <w:rsid w:val="00F8506F"/>
    <w:rsid w:val="00F87336"/>
    <w:rsid w:val="00F873BA"/>
    <w:rsid w:val="00F949DD"/>
    <w:rsid w:val="00F954A6"/>
    <w:rsid w:val="00FA14A3"/>
    <w:rsid w:val="00FA1FE8"/>
    <w:rsid w:val="00FA2C0E"/>
    <w:rsid w:val="00FA410F"/>
    <w:rsid w:val="00FB07E1"/>
    <w:rsid w:val="00FC0862"/>
    <w:rsid w:val="00FC3ABA"/>
    <w:rsid w:val="00FC56EF"/>
    <w:rsid w:val="00FC59A9"/>
    <w:rsid w:val="00FD05CB"/>
    <w:rsid w:val="00FD274F"/>
    <w:rsid w:val="00FD4F1E"/>
    <w:rsid w:val="00FE0EB2"/>
    <w:rsid w:val="00FE4F84"/>
    <w:rsid w:val="00FE7262"/>
    <w:rsid w:val="00FF18F6"/>
    <w:rsid w:val="00FF41D9"/>
    <w:rsid w:val="00FF4E31"/>
    <w:rsid w:val="00FF59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1AD5C5"/>
  <w15:docId w15:val="{2CD95417-54AA-4071-8A0A-DDE5B602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639"/>
    <w:pPr>
      <w:keepNext/>
      <w:keepLines/>
      <w:spacing w:before="240" w:after="0"/>
      <w:outlineLvl w:val="0"/>
    </w:pPr>
    <w:rPr>
      <w:rFonts w:asciiTheme="majorHAnsi" w:eastAsiaTheme="majorEastAsia" w:hAnsiTheme="majorHAnsi" w:cstheme="majorBidi"/>
      <w:b/>
      <w:color w:val="009A94" w:themeColor="accent1"/>
      <w:sz w:val="32"/>
      <w:szCs w:val="32"/>
    </w:rPr>
  </w:style>
  <w:style w:type="paragraph" w:styleId="Heading2">
    <w:name w:val="heading 2"/>
    <w:basedOn w:val="Normal"/>
    <w:next w:val="Normal"/>
    <w:link w:val="Heading2Char"/>
    <w:uiPriority w:val="9"/>
    <w:unhideWhenUsed/>
    <w:qFormat/>
    <w:rsid w:val="00202639"/>
    <w:pPr>
      <w:keepNext/>
      <w:keepLines/>
      <w:spacing w:before="40" w:after="0"/>
      <w:outlineLvl w:val="1"/>
    </w:pPr>
    <w:rPr>
      <w:rFonts w:asciiTheme="majorHAnsi" w:eastAsiaTheme="majorEastAsia" w:hAnsiTheme="majorHAnsi" w:cstheme="majorBidi"/>
      <w:color w:val="84C44C" w:themeColor="accent4"/>
      <w:sz w:val="26"/>
      <w:szCs w:val="26"/>
    </w:rPr>
  </w:style>
  <w:style w:type="paragraph" w:styleId="Heading3">
    <w:name w:val="heading 3"/>
    <w:basedOn w:val="Normal"/>
    <w:next w:val="Normal"/>
    <w:link w:val="Heading3Char"/>
    <w:uiPriority w:val="9"/>
    <w:unhideWhenUsed/>
    <w:qFormat/>
    <w:rsid w:val="00434A3E"/>
    <w:pPr>
      <w:keepNext/>
      <w:keepLines/>
      <w:spacing w:before="40" w:after="0"/>
      <w:outlineLvl w:val="2"/>
    </w:pPr>
    <w:rPr>
      <w:rFonts w:asciiTheme="majorHAnsi" w:eastAsiaTheme="majorEastAsia" w:hAnsiTheme="majorHAnsi" w:cstheme="majorBidi"/>
      <w:color w:val="004C49" w:themeColor="accent1" w:themeShade="7F"/>
      <w:sz w:val="24"/>
      <w:szCs w:val="24"/>
    </w:rPr>
  </w:style>
  <w:style w:type="paragraph" w:styleId="Heading4">
    <w:name w:val="heading 4"/>
    <w:basedOn w:val="Normal"/>
    <w:next w:val="Normal"/>
    <w:link w:val="Heading4Char"/>
    <w:uiPriority w:val="9"/>
    <w:unhideWhenUsed/>
    <w:qFormat/>
    <w:rsid w:val="001B521C"/>
    <w:pPr>
      <w:keepNext/>
      <w:keepLines/>
      <w:spacing w:before="40" w:after="0"/>
      <w:outlineLvl w:val="3"/>
    </w:pPr>
    <w:rPr>
      <w:rFonts w:asciiTheme="majorHAnsi" w:eastAsiaTheme="majorEastAsia" w:hAnsiTheme="majorHAnsi" w:cstheme="majorBidi"/>
      <w:i/>
      <w:iCs/>
      <w:color w:val="00736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B3D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B3D02"/>
    <w:rPr>
      <w:rFonts w:eastAsiaTheme="minorEastAsia"/>
      <w:lang w:val="en-US"/>
    </w:rPr>
  </w:style>
  <w:style w:type="paragraph" w:styleId="Header">
    <w:name w:val="header"/>
    <w:basedOn w:val="Normal"/>
    <w:link w:val="HeaderChar"/>
    <w:uiPriority w:val="99"/>
    <w:unhideWhenUsed/>
    <w:rsid w:val="00AB3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D02"/>
  </w:style>
  <w:style w:type="paragraph" w:styleId="Footer">
    <w:name w:val="footer"/>
    <w:basedOn w:val="Normal"/>
    <w:link w:val="FooterChar"/>
    <w:uiPriority w:val="99"/>
    <w:unhideWhenUsed/>
    <w:rsid w:val="00AB3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D02"/>
  </w:style>
  <w:style w:type="paragraph" w:styleId="TOC1">
    <w:name w:val="toc 1"/>
    <w:basedOn w:val="Normal"/>
    <w:next w:val="Normal"/>
    <w:autoRedefine/>
    <w:uiPriority w:val="39"/>
    <w:unhideWhenUsed/>
    <w:rsid w:val="00763109"/>
    <w:pPr>
      <w:spacing w:after="100"/>
    </w:pPr>
  </w:style>
  <w:style w:type="character" w:customStyle="1" w:styleId="Heading1Char">
    <w:name w:val="Heading 1 Char"/>
    <w:basedOn w:val="DefaultParagraphFont"/>
    <w:link w:val="Heading1"/>
    <w:uiPriority w:val="9"/>
    <w:rsid w:val="00202639"/>
    <w:rPr>
      <w:rFonts w:asciiTheme="majorHAnsi" w:eastAsiaTheme="majorEastAsia" w:hAnsiTheme="majorHAnsi" w:cstheme="majorBidi"/>
      <w:b/>
      <w:color w:val="009A94" w:themeColor="accent1"/>
      <w:sz w:val="32"/>
      <w:szCs w:val="32"/>
    </w:rPr>
  </w:style>
  <w:style w:type="character" w:customStyle="1" w:styleId="Heading2Char">
    <w:name w:val="Heading 2 Char"/>
    <w:basedOn w:val="DefaultParagraphFont"/>
    <w:link w:val="Heading2"/>
    <w:uiPriority w:val="9"/>
    <w:rsid w:val="00202639"/>
    <w:rPr>
      <w:rFonts w:asciiTheme="majorHAnsi" w:eastAsiaTheme="majorEastAsia" w:hAnsiTheme="majorHAnsi" w:cstheme="majorBidi"/>
      <w:color w:val="84C44C" w:themeColor="accent4"/>
      <w:sz w:val="26"/>
      <w:szCs w:val="26"/>
    </w:rPr>
  </w:style>
  <w:style w:type="character" w:styleId="CommentReference">
    <w:name w:val="annotation reference"/>
    <w:basedOn w:val="DefaultParagraphFont"/>
    <w:uiPriority w:val="99"/>
    <w:semiHidden/>
    <w:unhideWhenUsed/>
    <w:rsid w:val="009F239B"/>
    <w:rPr>
      <w:sz w:val="16"/>
      <w:szCs w:val="16"/>
    </w:rPr>
  </w:style>
  <w:style w:type="paragraph" w:styleId="CommentText">
    <w:name w:val="annotation text"/>
    <w:basedOn w:val="Normal"/>
    <w:link w:val="CommentTextChar"/>
    <w:uiPriority w:val="99"/>
    <w:semiHidden/>
    <w:unhideWhenUsed/>
    <w:rsid w:val="009F239B"/>
    <w:pPr>
      <w:spacing w:line="240" w:lineRule="auto"/>
    </w:pPr>
    <w:rPr>
      <w:sz w:val="20"/>
      <w:szCs w:val="20"/>
    </w:rPr>
  </w:style>
  <w:style w:type="character" w:customStyle="1" w:styleId="CommentTextChar">
    <w:name w:val="Comment Text Char"/>
    <w:basedOn w:val="DefaultParagraphFont"/>
    <w:link w:val="CommentText"/>
    <w:uiPriority w:val="99"/>
    <w:semiHidden/>
    <w:rsid w:val="009F239B"/>
    <w:rPr>
      <w:sz w:val="20"/>
      <w:szCs w:val="20"/>
    </w:rPr>
  </w:style>
  <w:style w:type="paragraph" w:styleId="CommentSubject">
    <w:name w:val="annotation subject"/>
    <w:basedOn w:val="CommentText"/>
    <w:next w:val="CommentText"/>
    <w:link w:val="CommentSubjectChar"/>
    <w:uiPriority w:val="99"/>
    <w:semiHidden/>
    <w:unhideWhenUsed/>
    <w:rsid w:val="009F239B"/>
    <w:rPr>
      <w:b/>
      <w:bCs/>
    </w:rPr>
  </w:style>
  <w:style w:type="character" w:customStyle="1" w:styleId="CommentSubjectChar">
    <w:name w:val="Comment Subject Char"/>
    <w:basedOn w:val="CommentTextChar"/>
    <w:link w:val="CommentSubject"/>
    <w:uiPriority w:val="99"/>
    <w:semiHidden/>
    <w:rsid w:val="009F239B"/>
    <w:rPr>
      <w:b/>
      <w:bCs/>
      <w:sz w:val="20"/>
      <w:szCs w:val="20"/>
    </w:rPr>
  </w:style>
  <w:style w:type="paragraph" w:styleId="BalloonText">
    <w:name w:val="Balloon Text"/>
    <w:basedOn w:val="Normal"/>
    <w:link w:val="BalloonTextChar"/>
    <w:uiPriority w:val="99"/>
    <w:semiHidden/>
    <w:unhideWhenUsed/>
    <w:rsid w:val="009F2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39B"/>
    <w:rPr>
      <w:rFonts w:ascii="Segoe UI" w:hAnsi="Segoe UI" w:cs="Segoe UI"/>
      <w:sz w:val="18"/>
      <w:szCs w:val="18"/>
    </w:rPr>
  </w:style>
  <w:style w:type="paragraph" w:styleId="EndnoteText">
    <w:name w:val="endnote text"/>
    <w:basedOn w:val="Normal"/>
    <w:link w:val="EndnoteTextChar"/>
    <w:uiPriority w:val="99"/>
    <w:semiHidden/>
    <w:unhideWhenUsed/>
    <w:rsid w:val="00481C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C33"/>
    <w:rPr>
      <w:sz w:val="20"/>
      <w:szCs w:val="20"/>
    </w:rPr>
  </w:style>
  <w:style w:type="character" w:styleId="EndnoteReference">
    <w:name w:val="endnote reference"/>
    <w:basedOn w:val="DefaultParagraphFont"/>
    <w:uiPriority w:val="99"/>
    <w:semiHidden/>
    <w:unhideWhenUsed/>
    <w:rsid w:val="00481C33"/>
    <w:rPr>
      <w:vertAlign w:val="superscript"/>
    </w:rPr>
  </w:style>
  <w:style w:type="paragraph" w:styleId="FootnoteText">
    <w:name w:val="footnote text"/>
    <w:basedOn w:val="Normal"/>
    <w:link w:val="FootnoteTextChar"/>
    <w:uiPriority w:val="99"/>
    <w:unhideWhenUsed/>
    <w:rsid w:val="00481C33"/>
    <w:pPr>
      <w:spacing w:after="0" w:line="240" w:lineRule="auto"/>
    </w:pPr>
    <w:rPr>
      <w:sz w:val="20"/>
      <w:szCs w:val="20"/>
    </w:rPr>
  </w:style>
  <w:style w:type="character" w:customStyle="1" w:styleId="FootnoteTextChar">
    <w:name w:val="Footnote Text Char"/>
    <w:basedOn w:val="DefaultParagraphFont"/>
    <w:link w:val="FootnoteText"/>
    <w:uiPriority w:val="99"/>
    <w:rsid w:val="00481C33"/>
    <w:rPr>
      <w:sz w:val="20"/>
      <w:szCs w:val="20"/>
    </w:rPr>
  </w:style>
  <w:style w:type="character" w:styleId="FootnoteReference">
    <w:name w:val="footnote reference"/>
    <w:basedOn w:val="DefaultParagraphFont"/>
    <w:uiPriority w:val="99"/>
    <w:unhideWhenUsed/>
    <w:rsid w:val="00481C33"/>
    <w:rPr>
      <w:vertAlign w:val="superscript"/>
    </w:rPr>
  </w:style>
  <w:style w:type="paragraph" w:styleId="ListParagraph">
    <w:name w:val="List Paragraph"/>
    <w:aliases w:val="Recommendation,List Paragraph1,List Paragraph11,L,Bullet point,Bullet Level 1,#List Paragraph,List Paragraph Number,Bulleted Para,NFP GP Bulleted List,bullet point list,Bullet points,Content descriptions,Bullet Point,List Paragraph2"/>
    <w:basedOn w:val="Normal"/>
    <w:link w:val="ListParagraphChar"/>
    <w:uiPriority w:val="34"/>
    <w:qFormat/>
    <w:rsid w:val="00962DFE"/>
    <w:pPr>
      <w:ind w:left="720"/>
      <w:contextualSpacing/>
    </w:pPr>
  </w:style>
  <w:style w:type="character" w:styleId="Hyperlink">
    <w:name w:val="Hyperlink"/>
    <w:basedOn w:val="DefaultParagraphFont"/>
    <w:uiPriority w:val="99"/>
    <w:unhideWhenUsed/>
    <w:rsid w:val="00E905FB"/>
    <w:rPr>
      <w:color w:val="0563C1" w:themeColor="hyperlink"/>
      <w:u w:val="single"/>
    </w:rPr>
  </w:style>
  <w:style w:type="character" w:customStyle="1" w:styleId="Heading3Char">
    <w:name w:val="Heading 3 Char"/>
    <w:basedOn w:val="DefaultParagraphFont"/>
    <w:link w:val="Heading3"/>
    <w:uiPriority w:val="9"/>
    <w:rsid w:val="00434A3E"/>
    <w:rPr>
      <w:rFonts w:asciiTheme="majorHAnsi" w:eastAsiaTheme="majorEastAsia" w:hAnsiTheme="majorHAnsi" w:cstheme="majorBidi"/>
      <w:color w:val="004C49" w:themeColor="accent1" w:themeShade="7F"/>
      <w:sz w:val="24"/>
      <w:szCs w:val="24"/>
    </w:rPr>
  </w:style>
  <w:style w:type="paragraph" w:styleId="TOC2">
    <w:name w:val="toc 2"/>
    <w:basedOn w:val="Normal"/>
    <w:next w:val="Normal"/>
    <w:autoRedefine/>
    <w:uiPriority w:val="39"/>
    <w:unhideWhenUsed/>
    <w:rsid w:val="0005672C"/>
    <w:pPr>
      <w:spacing w:after="100"/>
      <w:ind w:left="220"/>
    </w:pPr>
  </w:style>
  <w:style w:type="paragraph" w:styleId="TOC3">
    <w:name w:val="toc 3"/>
    <w:basedOn w:val="Normal"/>
    <w:next w:val="Normal"/>
    <w:autoRedefine/>
    <w:uiPriority w:val="39"/>
    <w:unhideWhenUsed/>
    <w:rsid w:val="0005672C"/>
    <w:pPr>
      <w:spacing w:after="100"/>
      <w:ind w:left="440"/>
    </w:pPr>
  </w:style>
  <w:style w:type="paragraph" w:styleId="NormalWeb">
    <w:name w:val="Normal (Web)"/>
    <w:basedOn w:val="Normal"/>
    <w:uiPriority w:val="99"/>
    <w:unhideWhenUsed/>
    <w:rsid w:val="00E546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546B5"/>
    <w:rPr>
      <w:b/>
      <w:bCs/>
    </w:rPr>
  </w:style>
  <w:style w:type="character" w:styleId="FollowedHyperlink">
    <w:name w:val="FollowedHyperlink"/>
    <w:basedOn w:val="DefaultParagraphFont"/>
    <w:uiPriority w:val="99"/>
    <w:semiHidden/>
    <w:unhideWhenUsed/>
    <w:rsid w:val="003C4009"/>
    <w:rPr>
      <w:color w:val="954F72" w:themeColor="followedHyperlink"/>
      <w:u w:val="single"/>
    </w:rPr>
  </w:style>
  <w:style w:type="table" w:styleId="TableGrid">
    <w:name w:val="Table Grid"/>
    <w:basedOn w:val="TableNormal"/>
    <w:uiPriority w:val="39"/>
    <w:rsid w:val="005C3B08"/>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uiPriority w:val="99"/>
    <w:rsid w:val="005C3B08"/>
    <w:pPr>
      <w:suppressAutoHyphens/>
      <w:autoSpaceDE w:val="0"/>
      <w:autoSpaceDN w:val="0"/>
      <w:adjustRightInd w:val="0"/>
      <w:spacing w:before="170" w:after="0" w:line="200" w:lineRule="atLeast"/>
      <w:ind w:left="400" w:hanging="400"/>
    </w:pPr>
    <w:rPr>
      <w:rFonts w:ascii="Fira Sans Book" w:hAnsi="Fira Sans Book" w:cs="Fira Sans Book"/>
      <w:color w:val="000000"/>
      <w:spacing w:val="-3"/>
      <w:sz w:val="16"/>
      <w:szCs w:val="16"/>
      <w:lang w:val="en-US"/>
    </w:rPr>
  </w:style>
  <w:style w:type="character" w:customStyle="1" w:styleId="Italic">
    <w:name w:val="Italic"/>
    <w:basedOn w:val="DefaultParagraphFont"/>
    <w:uiPriority w:val="99"/>
    <w:rsid w:val="005C3B08"/>
    <w:rPr>
      <w:rFonts w:ascii="Fira Sans Book Italic" w:hAnsi="Fira Sans Book Italic" w:cs="Fira Sans Book Italic" w:hint="default"/>
      <w:b w:val="0"/>
      <w:bCs w:val="0"/>
      <w:i/>
      <w:iCs/>
    </w:rPr>
  </w:style>
  <w:style w:type="character" w:customStyle="1" w:styleId="ListParagraphChar">
    <w:name w:val="List Paragraph Char"/>
    <w:aliases w:val="Recommendation Char,List Paragraph1 Char,List Paragraph11 Char,L Char,Bullet point Char,Bullet Level 1 Char,#List Paragraph Char,List Paragraph Number Char,Bulleted Para Char,NFP GP Bulleted List Char,bullet point list Char"/>
    <w:link w:val="ListParagraph"/>
    <w:uiPriority w:val="34"/>
    <w:locked/>
    <w:rsid w:val="00D17A66"/>
  </w:style>
  <w:style w:type="character" w:styleId="PageNumber">
    <w:name w:val="page number"/>
    <w:basedOn w:val="DefaultParagraphFont"/>
    <w:uiPriority w:val="99"/>
    <w:unhideWhenUsed/>
    <w:rsid w:val="008B66EF"/>
  </w:style>
  <w:style w:type="character" w:customStyle="1" w:styleId="UnresolvedMention1">
    <w:name w:val="Unresolved Mention1"/>
    <w:basedOn w:val="DefaultParagraphFont"/>
    <w:uiPriority w:val="99"/>
    <w:semiHidden/>
    <w:unhideWhenUsed/>
    <w:rsid w:val="00B835E6"/>
    <w:rPr>
      <w:color w:val="808080"/>
      <w:shd w:val="clear" w:color="auto" w:fill="E6E6E6"/>
    </w:rPr>
  </w:style>
  <w:style w:type="character" w:customStyle="1" w:styleId="BulletChar">
    <w:name w:val="Bullet Char"/>
    <w:basedOn w:val="DefaultParagraphFont"/>
    <w:link w:val="Bullet"/>
    <w:locked/>
    <w:rsid w:val="0043766C"/>
  </w:style>
  <w:style w:type="paragraph" w:customStyle="1" w:styleId="Bullet">
    <w:name w:val="Bullet"/>
    <w:basedOn w:val="Normal"/>
    <w:link w:val="BulletChar"/>
    <w:rsid w:val="0043766C"/>
    <w:pPr>
      <w:numPr>
        <w:numId w:val="1"/>
      </w:numPr>
      <w:spacing w:after="240" w:line="240" w:lineRule="auto"/>
    </w:pPr>
  </w:style>
  <w:style w:type="paragraph" w:customStyle="1" w:styleId="Dash">
    <w:name w:val="Dash"/>
    <w:basedOn w:val="Normal"/>
    <w:rsid w:val="0043766C"/>
    <w:pPr>
      <w:numPr>
        <w:ilvl w:val="1"/>
        <w:numId w:val="1"/>
      </w:numPr>
      <w:spacing w:after="240" w:line="240" w:lineRule="auto"/>
    </w:pPr>
    <w:rPr>
      <w:rFonts w:ascii="Calibri" w:hAnsi="Calibri" w:cs="Calibri"/>
      <w:sz w:val="24"/>
      <w:szCs w:val="24"/>
      <w:lang w:val="en-US"/>
    </w:rPr>
  </w:style>
  <w:style w:type="paragraph" w:customStyle="1" w:styleId="DoubleDot">
    <w:name w:val="Double Dot"/>
    <w:basedOn w:val="Normal"/>
    <w:rsid w:val="0043766C"/>
    <w:pPr>
      <w:numPr>
        <w:ilvl w:val="2"/>
        <w:numId w:val="1"/>
      </w:numPr>
      <w:spacing w:after="240" w:line="240" w:lineRule="auto"/>
    </w:pPr>
    <w:rPr>
      <w:rFonts w:ascii="Calibri" w:hAnsi="Calibri" w:cs="Calibri"/>
      <w:sz w:val="24"/>
      <w:szCs w:val="24"/>
      <w:lang w:val="en-US"/>
    </w:rPr>
  </w:style>
  <w:style w:type="character" w:styleId="Emphasis">
    <w:name w:val="Emphasis"/>
    <w:basedOn w:val="DefaultParagraphFont"/>
    <w:uiPriority w:val="20"/>
    <w:qFormat/>
    <w:rsid w:val="005253E3"/>
    <w:rPr>
      <w:i/>
      <w:iCs/>
    </w:rPr>
  </w:style>
  <w:style w:type="table" w:customStyle="1" w:styleId="ListTable2-Accent51">
    <w:name w:val="List Table 2 - Accent 51"/>
    <w:basedOn w:val="TableNormal"/>
    <w:uiPriority w:val="47"/>
    <w:rsid w:val="00CC360B"/>
    <w:pPr>
      <w:spacing w:after="0" w:line="240" w:lineRule="auto"/>
    </w:pPr>
    <w:tblPr>
      <w:tblStyleRowBandSize w:val="1"/>
      <w:tblStyleColBandSize w:val="1"/>
      <w:tblBorders>
        <w:top w:val="single" w:sz="4" w:space="0" w:color="2AFFA3" w:themeColor="accent5" w:themeTint="99"/>
        <w:bottom w:val="single" w:sz="4" w:space="0" w:color="2AFFA3" w:themeColor="accent5" w:themeTint="99"/>
        <w:insideH w:val="single" w:sz="4" w:space="0" w:color="2AF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E0" w:themeFill="accent5" w:themeFillTint="33"/>
      </w:tcPr>
    </w:tblStylePr>
    <w:tblStylePr w:type="band1Horz">
      <w:tblPr/>
      <w:tcPr>
        <w:shd w:val="clear" w:color="auto" w:fill="B8FFE0" w:themeFill="accent5" w:themeFillTint="33"/>
      </w:tcPr>
    </w:tblStylePr>
  </w:style>
  <w:style w:type="table" w:customStyle="1" w:styleId="GridTable3-Accent21">
    <w:name w:val="Grid Table 3 - Accent 21"/>
    <w:basedOn w:val="TableNormal"/>
    <w:uiPriority w:val="48"/>
    <w:rsid w:val="006E0303"/>
    <w:pPr>
      <w:spacing w:after="0" w:line="240" w:lineRule="auto"/>
    </w:pPr>
    <w:tblPr>
      <w:tblStyleRowBandSize w:val="1"/>
      <w:tblStyleColBandSize w:val="1"/>
      <w:tblBorders>
        <w:top w:val="single" w:sz="4" w:space="0" w:color="B3E2E2" w:themeColor="accent2" w:themeTint="99"/>
        <w:left w:val="single" w:sz="4" w:space="0" w:color="B3E2E2" w:themeColor="accent2" w:themeTint="99"/>
        <w:bottom w:val="single" w:sz="4" w:space="0" w:color="B3E2E2" w:themeColor="accent2" w:themeTint="99"/>
        <w:right w:val="single" w:sz="4" w:space="0" w:color="B3E2E2" w:themeColor="accent2" w:themeTint="99"/>
        <w:insideH w:val="single" w:sz="4" w:space="0" w:color="B3E2E2" w:themeColor="accent2" w:themeTint="99"/>
        <w:insideV w:val="single" w:sz="4" w:space="0" w:color="B3E2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5F5" w:themeFill="accent2" w:themeFillTint="33"/>
      </w:tcPr>
    </w:tblStylePr>
    <w:tblStylePr w:type="band1Horz">
      <w:tblPr/>
      <w:tcPr>
        <w:shd w:val="clear" w:color="auto" w:fill="E5F5F5" w:themeFill="accent2" w:themeFillTint="33"/>
      </w:tcPr>
    </w:tblStylePr>
    <w:tblStylePr w:type="neCell">
      <w:tblPr/>
      <w:tcPr>
        <w:tcBorders>
          <w:bottom w:val="single" w:sz="4" w:space="0" w:color="B3E2E2" w:themeColor="accent2" w:themeTint="99"/>
        </w:tcBorders>
      </w:tcPr>
    </w:tblStylePr>
    <w:tblStylePr w:type="nwCell">
      <w:tblPr/>
      <w:tcPr>
        <w:tcBorders>
          <w:bottom w:val="single" w:sz="4" w:space="0" w:color="B3E2E2" w:themeColor="accent2" w:themeTint="99"/>
        </w:tcBorders>
      </w:tcPr>
    </w:tblStylePr>
    <w:tblStylePr w:type="seCell">
      <w:tblPr/>
      <w:tcPr>
        <w:tcBorders>
          <w:top w:val="single" w:sz="4" w:space="0" w:color="B3E2E2" w:themeColor="accent2" w:themeTint="99"/>
        </w:tcBorders>
      </w:tcPr>
    </w:tblStylePr>
    <w:tblStylePr w:type="swCell">
      <w:tblPr/>
      <w:tcPr>
        <w:tcBorders>
          <w:top w:val="single" w:sz="4" w:space="0" w:color="B3E2E2" w:themeColor="accent2" w:themeTint="99"/>
        </w:tcBorders>
      </w:tcPr>
    </w:tblStylePr>
  </w:style>
  <w:style w:type="table" w:customStyle="1" w:styleId="ListTable4-Accent41">
    <w:name w:val="List Table 4 - Accent 41"/>
    <w:basedOn w:val="TableNormal"/>
    <w:uiPriority w:val="49"/>
    <w:rsid w:val="006E0303"/>
    <w:pPr>
      <w:spacing w:after="0" w:line="240" w:lineRule="auto"/>
    </w:pPr>
    <w:tblPr>
      <w:tblStyleRowBandSize w:val="1"/>
      <w:tblStyleColBandSize w:val="1"/>
      <w:tblBorders>
        <w:top w:val="single" w:sz="4" w:space="0" w:color="B5DB93" w:themeColor="accent4" w:themeTint="99"/>
        <w:left w:val="single" w:sz="4" w:space="0" w:color="B5DB93" w:themeColor="accent4" w:themeTint="99"/>
        <w:bottom w:val="single" w:sz="4" w:space="0" w:color="B5DB93" w:themeColor="accent4" w:themeTint="99"/>
        <w:right w:val="single" w:sz="4" w:space="0" w:color="B5DB93" w:themeColor="accent4" w:themeTint="99"/>
        <w:insideH w:val="single" w:sz="4" w:space="0" w:color="B5DB93" w:themeColor="accent4" w:themeTint="99"/>
      </w:tblBorders>
    </w:tblPr>
    <w:tblStylePr w:type="firstRow">
      <w:rPr>
        <w:b/>
        <w:bCs/>
        <w:color w:val="FFFFFF" w:themeColor="background1"/>
      </w:rPr>
      <w:tblPr/>
      <w:tcPr>
        <w:tcBorders>
          <w:top w:val="single" w:sz="4" w:space="0" w:color="84C44C" w:themeColor="accent4"/>
          <w:left w:val="single" w:sz="4" w:space="0" w:color="84C44C" w:themeColor="accent4"/>
          <w:bottom w:val="single" w:sz="4" w:space="0" w:color="84C44C" w:themeColor="accent4"/>
          <w:right w:val="single" w:sz="4" w:space="0" w:color="84C44C" w:themeColor="accent4"/>
          <w:insideH w:val="nil"/>
        </w:tcBorders>
        <w:shd w:val="clear" w:color="auto" w:fill="84C44C" w:themeFill="accent4"/>
      </w:tcPr>
    </w:tblStylePr>
    <w:tblStylePr w:type="lastRow">
      <w:rPr>
        <w:b/>
        <w:bCs/>
      </w:rPr>
      <w:tblPr/>
      <w:tcPr>
        <w:tcBorders>
          <w:top w:val="double" w:sz="4" w:space="0" w:color="B5DB93" w:themeColor="accent4" w:themeTint="99"/>
        </w:tcBorders>
      </w:tcPr>
    </w:tblStylePr>
    <w:tblStylePr w:type="firstCol">
      <w:rPr>
        <w:b/>
        <w:bCs/>
      </w:rPr>
    </w:tblStylePr>
    <w:tblStylePr w:type="lastCol">
      <w:rPr>
        <w:b/>
        <w:bCs/>
      </w:rPr>
    </w:tblStylePr>
    <w:tblStylePr w:type="band1Vert">
      <w:tblPr/>
      <w:tcPr>
        <w:shd w:val="clear" w:color="auto" w:fill="E6F3DB" w:themeFill="accent4" w:themeFillTint="33"/>
      </w:tcPr>
    </w:tblStylePr>
    <w:tblStylePr w:type="band1Horz">
      <w:tblPr/>
      <w:tcPr>
        <w:shd w:val="clear" w:color="auto" w:fill="E6F3DB" w:themeFill="accent4" w:themeFillTint="33"/>
      </w:tcPr>
    </w:tblStylePr>
  </w:style>
  <w:style w:type="paragraph" w:customStyle="1" w:styleId="footnotedescription">
    <w:name w:val="footnote description"/>
    <w:next w:val="Normal"/>
    <w:link w:val="footnotedescriptionChar"/>
    <w:hidden/>
    <w:rsid w:val="00A367E5"/>
    <w:pPr>
      <w:spacing w:after="0"/>
      <w:ind w:left="459"/>
    </w:pPr>
    <w:rPr>
      <w:rFonts w:ascii="Calibri" w:eastAsia="Calibri" w:hAnsi="Calibri" w:cs="Calibri"/>
      <w:color w:val="0562C1"/>
      <w:sz w:val="20"/>
      <w:u w:val="single" w:color="0562C1"/>
      <w:lang w:val="en-US"/>
    </w:rPr>
  </w:style>
  <w:style w:type="character" w:customStyle="1" w:styleId="footnotedescriptionChar">
    <w:name w:val="footnote description Char"/>
    <w:link w:val="footnotedescription"/>
    <w:rsid w:val="00A367E5"/>
    <w:rPr>
      <w:rFonts w:ascii="Calibri" w:eastAsia="Calibri" w:hAnsi="Calibri" w:cs="Calibri"/>
      <w:color w:val="0562C1"/>
      <w:sz w:val="20"/>
      <w:u w:val="single" w:color="0562C1"/>
      <w:lang w:val="en-US"/>
    </w:rPr>
  </w:style>
  <w:style w:type="character" w:customStyle="1" w:styleId="footnotemark">
    <w:name w:val="footnote mark"/>
    <w:hidden/>
    <w:rsid w:val="00A367E5"/>
    <w:rPr>
      <w:rFonts w:ascii="Calibri" w:eastAsia="Calibri" w:hAnsi="Calibri" w:cs="Calibri"/>
      <w:color w:val="000000"/>
      <w:sz w:val="20"/>
      <w:vertAlign w:val="superscript"/>
    </w:rPr>
  </w:style>
  <w:style w:type="paragraph" w:customStyle="1" w:styleId="Default">
    <w:name w:val="Default"/>
    <w:rsid w:val="00F5692F"/>
    <w:pPr>
      <w:autoSpaceDE w:val="0"/>
      <w:autoSpaceDN w:val="0"/>
      <w:adjustRightInd w:val="0"/>
      <w:spacing w:after="0" w:line="240" w:lineRule="auto"/>
    </w:pPr>
    <w:rPr>
      <w:rFonts w:ascii="Calibri" w:hAnsi="Calibri" w:cs="Calibri"/>
      <w:color w:val="000000"/>
      <w:sz w:val="24"/>
      <w:szCs w:val="24"/>
      <w:lang w:val="en-US"/>
    </w:rPr>
  </w:style>
  <w:style w:type="paragraph" w:styleId="PlainText">
    <w:name w:val="Plain Text"/>
    <w:basedOn w:val="Normal"/>
    <w:link w:val="PlainTextChar"/>
    <w:uiPriority w:val="99"/>
    <w:unhideWhenUsed/>
    <w:rsid w:val="00AA6994"/>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AA6994"/>
    <w:rPr>
      <w:rFonts w:ascii="Calibri" w:hAnsi="Calibri" w:cs="Calibri"/>
      <w:lang w:val="en-US"/>
    </w:rPr>
  </w:style>
  <w:style w:type="character" w:styleId="HTMLCite">
    <w:name w:val="HTML Cite"/>
    <w:basedOn w:val="DefaultParagraphFont"/>
    <w:uiPriority w:val="99"/>
    <w:semiHidden/>
    <w:unhideWhenUsed/>
    <w:rsid w:val="008E6A89"/>
    <w:rPr>
      <w:i/>
      <w:iCs/>
    </w:rPr>
  </w:style>
  <w:style w:type="paragraph" w:customStyle="1" w:styleId="selectionshareable">
    <w:name w:val="selectionshareable"/>
    <w:basedOn w:val="Normal"/>
    <w:rsid w:val="009A7E92"/>
    <w:pPr>
      <w:spacing w:before="100" w:beforeAutospacing="1" w:after="100" w:afterAutospacing="1" w:line="240" w:lineRule="auto"/>
    </w:pPr>
    <w:rPr>
      <w:rFonts w:ascii="Times" w:hAnsi="Times"/>
      <w:sz w:val="20"/>
      <w:szCs w:val="20"/>
    </w:rPr>
  </w:style>
  <w:style w:type="character" w:customStyle="1" w:styleId="Heading4Char">
    <w:name w:val="Heading 4 Char"/>
    <w:basedOn w:val="DefaultParagraphFont"/>
    <w:link w:val="Heading4"/>
    <w:uiPriority w:val="9"/>
    <w:rsid w:val="001B521C"/>
    <w:rPr>
      <w:rFonts w:asciiTheme="majorHAnsi" w:eastAsiaTheme="majorEastAsia" w:hAnsiTheme="majorHAnsi" w:cstheme="majorBidi"/>
      <w:i/>
      <w:iCs/>
      <w:color w:val="00736E" w:themeColor="accent1" w:themeShade="BF"/>
    </w:rPr>
  </w:style>
  <w:style w:type="character" w:styleId="SubtleEmphasis">
    <w:name w:val="Subtle Emphasis"/>
    <w:basedOn w:val="DefaultParagraphFont"/>
    <w:uiPriority w:val="19"/>
    <w:qFormat/>
    <w:rsid w:val="00A34728"/>
    <w:rPr>
      <w:i/>
      <w:iCs/>
      <w:color w:val="404040" w:themeColor="text1" w:themeTint="BF"/>
    </w:rPr>
  </w:style>
  <w:style w:type="paragraph" w:styleId="TOCHeading">
    <w:name w:val="TOC Heading"/>
    <w:basedOn w:val="Heading1"/>
    <w:next w:val="Normal"/>
    <w:uiPriority w:val="39"/>
    <w:unhideWhenUsed/>
    <w:qFormat/>
    <w:rsid w:val="00A052C9"/>
    <w:pPr>
      <w:outlineLvl w:val="9"/>
    </w:pPr>
    <w:rPr>
      <w:b w:val="0"/>
      <w:color w:val="00736E" w:themeColor="accent1" w:themeShade="BF"/>
      <w:lang w:val="en-US"/>
    </w:rPr>
  </w:style>
  <w:style w:type="character" w:customStyle="1" w:styleId="UnresolvedMention2">
    <w:name w:val="Unresolved Mention2"/>
    <w:basedOn w:val="DefaultParagraphFont"/>
    <w:uiPriority w:val="99"/>
    <w:semiHidden/>
    <w:unhideWhenUsed/>
    <w:rsid w:val="00C233A7"/>
    <w:rPr>
      <w:color w:val="605E5C"/>
      <w:shd w:val="clear" w:color="auto" w:fill="E1DFDD"/>
    </w:rPr>
  </w:style>
  <w:style w:type="character" w:styleId="UnresolvedMention">
    <w:name w:val="Unresolved Mention"/>
    <w:basedOn w:val="DefaultParagraphFont"/>
    <w:uiPriority w:val="99"/>
    <w:semiHidden/>
    <w:unhideWhenUsed/>
    <w:rsid w:val="00830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800">
      <w:bodyDiv w:val="1"/>
      <w:marLeft w:val="0"/>
      <w:marRight w:val="0"/>
      <w:marTop w:val="0"/>
      <w:marBottom w:val="0"/>
      <w:divBdr>
        <w:top w:val="none" w:sz="0" w:space="0" w:color="auto"/>
        <w:left w:val="none" w:sz="0" w:space="0" w:color="auto"/>
        <w:bottom w:val="none" w:sz="0" w:space="0" w:color="auto"/>
        <w:right w:val="none" w:sz="0" w:space="0" w:color="auto"/>
      </w:divBdr>
    </w:div>
    <w:div w:id="58090061">
      <w:bodyDiv w:val="1"/>
      <w:marLeft w:val="0"/>
      <w:marRight w:val="0"/>
      <w:marTop w:val="0"/>
      <w:marBottom w:val="0"/>
      <w:divBdr>
        <w:top w:val="none" w:sz="0" w:space="0" w:color="auto"/>
        <w:left w:val="none" w:sz="0" w:space="0" w:color="auto"/>
        <w:bottom w:val="none" w:sz="0" w:space="0" w:color="auto"/>
        <w:right w:val="none" w:sz="0" w:space="0" w:color="auto"/>
      </w:divBdr>
    </w:div>
    <w:div w:id="88622266">
      <w:bodyDiv w:val="1"/>
      <w:marLeft w:val="0"/>
      <w:marRight w:val="0"/>
      <w:marTop w:val="0"/>
      <w:marBottom w:val="0"/>
      <w:divBdr>
        <w:top w:val="none" w:sz="0" w:space="0" w:color="auto"/>
        <w:left w:val="none" w:sz="0" w:space="0" w:color="auto"/>
        <w:bottom w:val="none" w:sz="0" w:space="0" w:color="auto"/>
        <w:right w:val="none" w:sz="0" w:space="0" w:color="auto"/>
      </w:divBdr>
    </w:div>
    <w:div w:id="114955947">
      <w:bodyDiv w:val="1"/>
      <w:marLeft w:val="0"/>
      <w:marRight w:val="0"/>
      <w:marTop w:val="0"/>
      <w:marBottom w:val="0"/>
      <w:divBdr>
        <w:top w:val="none" w:sz="0" w:space="0" w:color="auto"/>
        <w:left w:val="none" w:sz="0" w:space="0" w:color="auto"/>
        <w:bottom w:val="none" w:sz="0" w:space="0" w:color="auto"/>
        <w:right w:val="none" w:sz="0" w:space="0" w:color="auto"/>
      </w:divBdr>
    </w:div>
    <w:div w:id="140004010">
      <w:bodyDiv w:val="1"/>
      <w:marLeft w:val="0"/>
      <w:marRight w:val="0"/>
      <w:marTop w:val="0"/>
      <w:marBottom w:val="0"/>
      <w:divBdr>
        <w:top w:val="none" w:sz="0" w:space="0" w:color="auto"/>
        <w:left w:val="none" w:sz="0" w:space="0" w:color="auto"/>
        <w:bottom w:val="none" w:sz="0" w:space="0" w:color="auto"/>
        <w:right w:val="none" w:sz="0" w:space="0" w:color="auto"/>
      </w:divBdr>
    </w:div>
    <w:div w:id="202444659">
      <w:bodyDiv w:val="1"/>
      <w:marLeft w:val="0"/>
      <w:marRight w:val="0"/>
      <w:marTop w:val="0"/>
      <w:marBottom w:val="0"/>
      <w:divBdr>
        <w:top w:val="none" w:sz="0" w:space="0" w:color="auto"/>
        <w:left w:val="none" w:sz="0" w:space="0" w:color="auto"/>
        <w:bottom w:val="none" w:sz="0" w:space="0" w:color="auto"/>
        <w:right w:val="none" w:sz="0" w:space="0" w:color="auto"/>
      </w:divBdr>
      <w:divsChild>
        <w:div w:id="224755416">
          <w:marLeft w:val="0"/>
          <w:marRight w:val="0"/>
          <w:marTop w:val="0"/>
          <w:marBottom w:val="300"/>
          <w:divBdr>
            <w:top w:val="none" w:sz="0" w:space="0" w:color="auto"/>
            <w:left w:val="none" w:sz="0" w:space="0" w:color="auto"/>
            <w:bottom w:val="none" w:sz="0" w:space="0" w:color="auto"/>
            <w:right w:val="none" w:sz="0" w:space="0" w:color="auto"/>
          </w:divBdr>
          <w:divsChild>
            <w:div w:id="140273798">
              <w:marLeft w:val="0"/>
              <w:marRight w:val="0"/>
              <w:marTop w:val="100"/>
              <w:marBottom w:val="100"/>
              <w:divBdr>
                <w:top w:val="none" w:sz="0" w:space="0" w:color="auto"/>
                <w:left w:val="none" w:sz="0" w:space="0" w:color="auto"/>
                <w:bottom w:val="none" w:sz="0" w:space="0" w:color="auto"/>
                <w:right w:val="none" w:sz="0" w:space="0" w:color="auto"/>
              </w:divBdr>
            </w:div>
            <w:div w:id="1971090160">
              <w:marLeft w:val="0"/>
              <w:marRight w:val="0"/>
              <w:marTop w:val="0"/>
              <w:marBottom w:val="0"/>
              <w:divBdr>
                <w:top w:val="none" w:sz="0" w:space="0" w:color="auto"/>
                <w:left w:val="none" w:sz="0" w:space="0" w:color="auto"/>
                <w:bottom w:val="none" w:sz="0" w:space="0" w:color="auto"/>
                <w:right w:val="none" w:sz="0" w:space="0" w:color="auto"/>
              </w:divBdr>
            </w:div>
            <w:div w:id="321667718">
              <w:marLeft w:val="0"/>
              <w:marRight w:val="0"/>
              <w:marTop w:val="150"/>
              <w:marBottom w:val="240"/>
              <w:divBdr>
                <w:top w:val="none" w:sz="0" w:space="0" w:color="auto"/>
                <w:left w:val="none" w:sz="0" w:space="0" w:color="auto"/>
                <w:bottom w:val="none" w:sz="0" w:space="0" w:color="auto"/>
                <w:right w:val="none" w:sz="0" w:space="0" w:color="auto"/>
              </w:divBdr>
            </w:div>
            <w:div w:id="1004480780">
              <w:marLeft w:val="0"/>
              <w:marRight w:val="0"/>
              <w:marTop w:val="0"/>
              <w:marBottom w:val="0"/>
              <w:divBdr>
                <w:top w:val="none" w:sz="0" w:space="0" w:color="auto"/>
                <w:left w:val="none" w:sz="0" w:space="0" w:color="auto"/>
                <w:bottom w:val="none" w:sz="0" w:space="0" w:color="auto"/>
                <w:right w:val="none" w:sz="0" w:space="0" w:color="auto"/>
              </w:divBdr>
            </w:div>
          </w:divsChild>
        </w:div>
        <w:div w:id="1617634176">
          <w:marLeft w:val="0"/>
          <w:marRight w:val="0"/>
          <w:marTop w:val="0"/>
          <w:marBottom w:val="300"/>
          <w:divBdr>
            <w:top w:val="none" w:sz="0" w:space="0" w:color="auto"/>
            <w:left w:val="none" w:sz="0" w:space="0" w:color="auto"/>
            <w:bottom w:val="none" w:sz="0" w:space="0" w:color="auto"/>
            <w:right w:val="none" w:sz="0" w:space="0" w:color="auto"/>
          </w:divBdr>
          <w:divsChild>
            <w:div w:id="1501045877">
              <w:marLeft w:val="0"/>
              <w:marRight w:val="0"/>
              <w:marTop w:val="100"/>
              <w:marBottom w:val="100"/>
              <w:divBdr>
                <w:top w:val="none" w:sz="0" w:space="0" w:color="auto"/>
                <w:left w:val="none" w:sz="0" w:space="0" w:color="auto"/>
                <w:bottom w:val="none" w:sz="0" w:space="0" w:color="auto"/>
                <w:right w:val="none" w:sz="0" w:space="0" w:color="auto"/>
              </w:divBdr>
            </w:div>
            <w:div w:id="703558008">
              <w:marLeft w:val="0"/>
              <w:marRight w:val="0"/>
              <w:marTop w:val="0"/>
              <w:marBottom w:val="0"/>
              <w:divBdr>
                <w:top w:val="none" w:sz="0" w:space="0" w:color="auto"/>
                <w:left w:val="none" w:sz="0" w:space="0" w:color="auto"/>
                <w:bottom w:val="none" w:sz="0" w:space="0" w:color="auto"/>
                <w:right w:val="none" w:sz="0" w:space="0" w:color="auto"/>
              </w:divBdr>
            </w:div>
            <w:div w:id="1123841353">
              <w:marLeft w:val="0"/>
              <w:marRight w:val="0"/>
              <w:marTop w:val="150"/>
              <w:marBottom w:val="240"/>
              <w:divBdr>
                <w:top w:val="none" w:sz="0" w:space="0" w:color="auto"/>
                <w:left w:val="none" w:sz="0" w:space="0" w:color="auto"/>
                <w:bottom w:val="none" w:sz="0" w:space="0" w:color="auto"/>
                <w:right w:val="none" w:sz="0" w:space="0" w:color="auto"/>
              </w:divBdr>
            </w:div>
            <w:div w:id="556284944">
              <w:marLeft w:val="0"/>
              <w:marRight w:val="0"/>
              <w:marTop w:val="0"/>
              <w:marBottom w:val="0"/>
              <w:divBdr>
                <w:top w:val="none" w:sz="0" w:space="0" w:color="auto"/>
                <w:left w:val="none" w:sz="0" w:space="0" w:color="auto"/>
                <w:bottom w:val="none" w:sz="0" w:space="0" w:color="auto"/>
                <w:right w:val="none" w:sz="0" w:space="0" w:color="auto"/>
              </w:divBdr>
            </w:div>
          </w:divsChild>
        </w:div>
        <w:div w:id="11732838">
          <w:marLeft w:val="0"/>
          <w:marRight w:val="0"/>
          <w:marTop w:val="0"/>
          <w:marBottom w:val="0"/>
          <w:divBdr>
            <w:top w:val="none" w:sz="0" w:space="0" w:color="auto"/>
            <w:left w:val="none" w:sz="0" w:space="0" w:color="auto"/>
            <w:bottom w:val="none" w:sz="0" w:space="0" w:color="auto"/>
            <w:right w:val="none" w:sz="0" w:space="0" w:color="auto"/>
          </w:divBdr>
        </w:div>
        <w:div w:id="1549222587">
          <w:marLeft w:val="0"/>
          <w:marRight w:val="0"/>
          <w:marTop w:val="0"/>
          <w:marBottom w:val="0"/>
          <w:divBdr>
            <w:top w:val="none" w:sz="0" w:space="0" w:color="auto"/>
            <w:left w:val="none" w:sz="0" w:space="0" w:color="auto"/>
            <w:bottom w:val="none" w:sz="0" w:space="0" w:color="auto"/>
            <w:right w:val="none" w:sz="0" w:space="0" w:color="auto"/>
          </w:divBdr>
        </w:div>
        <w:div w:id="749622343">
          <w:marLeft w:val="0"/>
          <w:marRight w:val="0"/>
          <w:marTop w:val="0"/>
          <w:marBottom w:val="0"/>
          <w:divBdr>
            <w:top w:val="none" w:sz="0" w:space="0" w:color="auto"/>
            <w:left w:val="none" w:sz="0" w:space="0" w:color="auto"/>
            <w:bottom w:val="none" w:sz="0" w:space="0" w:color="auto"/>
            <w:right w:val="none" w:sz="0" w:space="0" w:color="auto"/>
          </w:divBdr>
        </w:div>
        <w:div w:id="1500273257">
          <w:marLeft w:val="0"/>
          <w:marRight w:val="0"/>
          <w:marTop w:val="0"/>
          <w:marBottom w:val="0"/>
          <w:divBdr>
            <w:top w:val="none" w:sz="0" w:space="0" w:color="auto"/>
            <w:left w:val="none" w:sz="0" w:space="0" w:color="auto"/>
            <w:bottom w:val="none" w:sz="0" w:space="0" w:color="auto"/>
            <w:right w:val="none" w:sz="0" w:space="0" w:color="auto"/>
          </w:divBdr>
        </w:div>
      </w:divsChild>
    </w:div>
    <w:div w:id="207760945">
      <w:bodyDiv w:val="1"/>
      <w:marLeft w:val="0"/>
      <w:marRight w:val="0"/>
      <w:marTop w:val="0"/>
      <w:marBottom w:val="0"/>
      <w:divBdr>
        <w:top w:val="none" w:sz="0" w:space="0" w:color="auto"/>
        <w:left w:val="none" w:sz="0" w:space="0" w:color="auto"/>
        <w:bottom w:val="none" w:sz="0" w:space="0" w:color="auto"/>
        <w:right w:val="none" w:sz="0" w:space="0" w:color="auto"/>
      </w:divBdr>
    </w:div>
    <w:div w:id="216936006">
      <w:bodyDiv w:val="1"/>
      <w:marLeft w:val="0"/>
      <w:marRight w:val="0"/>
      <w:marTop w:val="0"/>
      <w:marBottom w:val="0"/>
      <w:divBdr>
        <w:top w:val="none" w:sz="0" w:space="0" w:color="auto"/>
        <w:left w:val="none" w:sz="0" w:space="0" w:color="auto"/>
        <w:bottom w:val="none" w:sz="0" w:space="0" w:color="auto"/>
        <w:right w:val="none" w:sz="0" w:space="0" w:color="auto"/>
      </w:divBdr>
    </w:div>
    <w:div w:id="229123006">
      <w:bodyDiv w:val="1"/>
      <w:marLeft w:val="0"/>
      <w:marRight w:val="0"/>
      <w:marTop w:val="0"/>
      <w:marBottom w:val="0"/>
      <w:divBdr>
        <w:top w:val="none" w:sz="0" w:space="0" w:color="auto"/>
        <w:left w:val="none" w:sz="0" w:space="0" w:color="auto"/>
        <w:bottom w:val="none" w:sz="0" w:space="0" w:color="auto"/>
        <w:right w:val="none" w:sz="0" w:space="0" w:color="auto"/>
      </w:divBdr>
    </w:div>
    <w:div w:id="254826089">
      <w:bodyDiv w:val="1"/>
      <w:marLeft w:val="0"/>
      <w:marRight w:val="0"/>
      <w:marTop w:val="0"/>
      <w:marBottom w:val="0"/>
      <w:divBdr>
        <w:top w:val="none" w:sz="0" w:space="0" w:color="auto"/>
        <w:left w:val="none" w:sz="0" w:space="0" w:color="auto"/>
        <w:bottom w:val="none" w:sz="0" w:space="0" w:color="auto"/>
        <w:right w:val="none" w:sz="0" w:space="0" w:color="auto"/>
      </w:divBdr>
    </w:div>
    <w:div w:id="293607598">
      <w:bodyDiv w:val="1"/>
      <w:marLeft w:val="0"/>
      <w:marRight w:val="0"/>
      <w:marTop w:val="0"/>
      <w:marBottom w:val="0"/>
      <w:divBdr>
        <w:top w:val="none" w:sz="0" w:space="0" w:color="auto"/>
        <w:left w:val="none" w:sz="0" w:space="0" w:color="auto"/>
        <w:bottom w:val="none" w:sz="0" w:space="0" w:color="auto"/>
        <w:right w:val="none" w:sz="0" w:space="0" w:color="auto"/>
      </w:divBdr>
    </w:div>
    <w:div w:id="298462299">
      <w:bodyDiv w:val="1"/>
      <w:marLeft w:val="0"/>
      <w:marRight w:val="0"/>
      <w:marTop w:val="0"/>
      <w:marBottom w:val="0"/>
      <w:divBdr>
        <w:top w:val="none" w:sz="0" w:space="0" w:color="auto"/>
        <w:left w:val="none" w:sz="0" w:space="0" w:color="auto"/>
        <w:bottom w:val="none" w:sz="0" w:space="0" w:color="auto"/>
        <w:right w:val="none" w:sz="0" w:space="0" w:color="auto"/>
      </w:divBdr>
    </w:div>
    <w:div w:id="326633642">
      <w:bodyDiv w:val="1"/>
      <w:marLeft w:val="0"/>
      <w:marRight w:val="0"/>
      <w:marTop w:val="0"/>
      <w:marBottom w:val="0"/>
      <w:divBdr>
        <w:top w:val="none" w:sz="0" w:space="0" w:color="auto"/>
        <w:left w:val="none" w:sz="0" w:space="0" w:color="auto"/>
        <w:bottom w:val="none" w:sz="0" w:space="0" w:color="auto"/>
        <w:right w:val="none" w:sz="0" w:space="0" w:color="auto"/>
      </w:divBdr>
    </w:div>
    <w:div w:id="335616952">
      <w:bodyDiv w:val="1"/>
      <w:marLeft w:val="0"/>
      <w:marRight w:val="0"/>
      <w:marTop w:val="0"/>
      <w:marBottom w:val="0"/>
      <w:divBdr>
        <w:top w:val="none" w:sz="0" w:space="0" w:color="auto"/>
        <w:left w:val="none" w:sz="0" w:space="0" w:color="auto"/>
        <w:bottom w:val="none" w:sz="0" w:space="0" w:color="auto"/>
        <w:right w:val="none" w:sz="0" w:space="0" w:color="auto"/>
      </w:divBdr>
    </w:div>
    <w:div w:id="402261139">
      <w:bodyDiv w:val="1"/>
      <w:marLeft w:val="0"/>
      <w:marRight w:val="0"/>
      <w:marTop w:val="0"/>
      <w:marBottom w:val="0"/>
      <w:divBdr>
        <w:top w:val="none" w:sz="0" w:space="0" w:color="auto"/>
        <w:left w:val="none" w:sz="0" w:space="0" w:color="auto"/>
        <w:bottom w:val="none" w:sz="0" w:space="0" w:color="auto"/>
        <w:right w:val="none" w:sz="0" w:space="0" w:color="auto"/>
      </w:divBdr>
    </w:div>
    <w:div w:id="408045900">
      <w:bodyDiv w:val="1"/>
      <w:marLeft w:val="0"/>
      <w:marRight w:val="0"/>
      <w:marTop w:val="0"/>
      <w:marBottom w:val="0"/>
      <w:divBdr>
        <w:top w:val="none" w:sz="0" w:space="0" w:color="auto"/>
        <w:left w:val="none" w:sz="0" w:space="0" w:color="auto"/>
        <w:bottom w:val="none" w:sz="0" w:space="0" w:color="auto"/>
        <w:right w:val="none" w:sz="0" w:space="0" w:color="auto"/>
      </w:divBdr>
    </w:div>
    <w:div w:id="436753699">
      <w:bodyDiv w:val="1"/>
      <w:marLeft w:val="0"/>
      <w:marRight w:val="0"/>
      <w:marTop w:val="0"/>
      <w:marBottom w:val="0"/>
      <w:divBdr>
        <w:top w:val="none" w:sz="0" w:space="0" w:color="auto"/>
        <w:left w:val="none" w:sz="0" w:space="0" w:color="auto"/>
        <w:bottom w:val="none" w:sz="0" w:space="0" w:color="auto"/>
        <w:right w:val="none" w:sz="0" w:space="0" w:color="auto"/>
      </w:divBdr>
    </w:div>
    <w:div w:id="449860213">
      <w:bodyDiv w:val="1"/>
      <w:marLeft w:val="0"/>
      <w:marRight w:val="0"/>
      <w:marTop w:val="0"/>
      <w:marBottom w:val="0"/>
      <w:divBdr>
        <w:top w:val="none" w:sz="0" w:space="0" w:color="auto"/>
        <w:left w:val="none" w:sz="0" w:space="0" w:color="auto"/>
        <w:bottom w:val="none" w:sz="0" w:space="0" w:color="auto"/>
        <w:right w:val="none" w:sz="0" w:space="0" w:color="auto"/>
      </w:divBdr>
    </w:div>
    <w:div w:id="539167516">
      <w:bodyDiv w:val="1"/>
      <w:marLeft w:val="0"/>
      <w:marRight w:val="0"/>
      <w:marTop w:val="0"/>
      <w:marBottom w:val="0"/>
      <w:divBdr>
        <w:top w:val="none" w:sz="0" w:space="0" w:color="auto"/>
        <w:left w:val="none" w:sz="0" w:space="0" w:color="auto"/>
        <w:bottom w:val="none" w:sz="0" w:space="0" w:color="auto"/>
        <w:right w:val="none" w:sz="0" w:space="0" w:color="auto"/>
      </w:divBdr>
    </w:div>
    <w:div w:id="539708131">
      <w:bodyDiv w:val="1"/>
      <w:marLeft w:val="0"/>
      <w:marRight w:val="0"/>
      <w:marTop w:val="0"/>
      <w:marBottom w:val="0"/>
      <w:divBdr>
        <w:top w:val="none" w:sz="0" w:space="0" w:color="auto"/>
        <w:left w:val="none" w:sz="0" w:space="0" w:color="auto"/>
        <w:bottom w:val="none" w:sz="0" w:space="0" w:color="auto"/>
        <w:right w:val="none" w:sz="0" w:space="0" w:color="auto"/>
      </w:divBdr>
    </w:div>
    <w:div w:id="635987050">
      <w:bodyDiv w:val="1"/>
      <w:marLeft w:val="0"/>
      <w:marRight w:val="0"/>
      <w:marTop w:val="0"/>
      <w:marBottom w:val="0"/>
      <w:divBdr>
        <w:top w:val="none" w:sz="0" w:space="0" w:color="auto"/>
        <w:left w:val="none" w:sz="0" w:space="0" w:color="auto"/>
        <w:bottom w:val="none" w:sz="0" w:space="0" w:color="auto"/>
        <w:right w:val="none" w:sz="0" w:space="0" w:color="auto"/>
      </w:divBdr>
    </w:div>
    <w:div w:id="638413738">
      <w:bodyDiv w:val="1"/>
      <w:marLeft w:val="0"/>
      <w:marRight w:val="0"/>
      <w:marTop w:val="0"/>
      <w:marBottom w:val="0"/>
      <w:divBdr>
        <w:top w:val="none" w:sz="0" w:space="0" w:color="auto"/>
        <w:left w:val="none" w:sz="0" w:space="0" w:color="auto"/>
        <w:bottom w:val="none" w:sz="0" w:space="0" w:color="auto"/>
        <w:right w:val="none" w:sz="0" w:space="0" w:color="auto"/>
      </w:divBdr>
    </w:div>
    <w:div w:id="658506474">
      <w:bodyDiv w:val="1"/>
      <w:marLeft w:val="0"/>
      <w:marRight w:val="0"/>
      <w:marTop w:val="0"/>
      <w:marBottom w:val="0"/>
      <w:divBdr>
        <w:top w:val="none" w:sz="0" w:space="0" w:color="auto"/>
        <w:left w:val="none" w:sz="0" w:space="0" w:color="auto"/>
        <w:bottom w:val="none" w:sz="0" w:space="0" w:color="auto"/>
        <w:right w:val="none" w:sz="0" w:space="0" w:color="auto"/>
      </w:divBdr>
    </w:div>
    <w:div w:id="664017330">
      <w:bodyDiv w:val="1"/>
      <w:marLeft w:val="0"/>
      <w:marRight w:val="0"/>
      <w:marTop w:val="0"/>
      <w:marBottom w:val="0"/>
      <w:divBdr>
        <w:top w:val="none" w:sz="0" w:space="0" w:color="auto"/>
        <w:left w:val="none" w:sz="0" w:space="0" w:color="auto"/>
        <w:bottom w:val="none" w:sz="0" w:space="0" w:color="auto"/>
        <w:right w:val="none" w:sz="0" w:space="0" w:color="auto"/>
      </w:divBdr>
    </w:div>
    <w:div w:id="731081943">
      <w:bodyDiv w:val="1"/>
      <w:marLeft w:val="0"/>
      <w:marRight w:val="0"/>
      <w:marTop w:val="0"/>
      <w:marBottom w:val="0"/>
      <w:divBdr>
        <w:top w:val="none" w:sz="0" w:space="0" w:color="auto"/>
        <w:left w:val="none" w:sz="0" w:space="0" w:color="auto"/>
        <w:bottom w:val="none" w:sz="0" w:space="0" w:color="auto"/>
        <w:right w:val="none" w:sz="0" w:space="0" w:color="auto"/>
      </w:divBdr>
    </w:div>
    <w:div w:id="740447344">
      <w:bodyDiv w:val="1"/>
      <w:marLeft w:val="0"/>
      <w:marRight w:val="0"/>
      <w:marTop w:val="0"/>
      <w:marBottom w:val="0"/>
      <w:divBdr>
        <w:top w:val="none" w:sz="0" w:space="0" w:color="auto"/>
        <w:left w:val="none" w:sz="0" w:space="0" w:color="auto"/>
        <w:bottom w:val="none" w:sz="0" w:space="0" w:color="auto"/>
        <w:right w:val="none" w:sz="0" w:space="0" w:color="auto"/>
      </w:divBdr>
    </w:div>
    <w:div w:id="747506604">
      <w:bodyDiv w:val="1"/>
      <w:marLeft w:val="0"/>
      <w:marRight w:val="0"/>
      <w:marTop w:val="0"/>
      <w:marBottom w:val="0"/>
      <w:divBdr>
        <w:top w:val="none" w:sz="0" w:space="0" w:color="auto"/>
        <w:left w:val="none" w:sz="0" w:space="0" w:color="auto"/>
        <w:bottom w:val="none" w:sz="0" w:space="0" w:color="auto"/>
        <w:right w:val="none" w:sz="0" w:space="0" w:color="auto"/>
      </w:divBdr>
    </w:div>
    <w:div w:id="761923974">
      <w:bodyDiv w:val="1"/>
      <w:marLeft w:val="0"/>
      <w:marRight w:val="0"/>
      <w:marTop w:val="0"/>
      <w:marBottom w:val="0"/>
      <w:divBdr>
        <w:top w:val="none" w:sz="0" w:space="0" w:color="auto"/>
        <w:left w:val="none" w:sz="0" w:space="0" w:color="auto"/>
        <w:bottom w:val="none" w:sz="0" w:space="0" w:color="auto"/>
        <w:right w:val="none" w:sz="0" w:space="0" w:color="auto"/>
      </w:divBdr>
    </w:div>
    <w:div w:id="813134913">
      <w:bodyDiv w:val="1"/>
      <w:marLeft w:val="0"/>
      <w:marRight w:val="0"/>
      <w:marTop w:val="0"/>
      <w:marBottom w:val="0"/>
      <w:divBdr>
        <w:top w:val="none" w:sz="0" w:space="0" w:color="auto"/>
        <w:left w:val="none" w:sz="0" w:space="0" w:color="auto"/>
        <w:bottom w:val="none" w:sz="0" w:space="0" w:color="auto"/>
        <w:right w:val="none" w:sz="0" w:space="0" w:color="auto"/>
      </w:divBdr>
    </w:div>
    <w:div w:id="854267483">
      <w:bodyDiv w:val="1"/>
      <w:marLeft w:val="0"/>
      <w:marRight w:val="0"/>
      <w:marTop w:val="0"/>
      <w:marBottom w:val="0"/>
      <w:divBdr>
        <w:top w:val="none" w:sz="0" w:space="0" w:color="auto"/>
        <w:left w:val="none" w:sz="0" w:space="0" w:color="auto"/>
        <w:bottom w:val="none" w:sz="0" w:space="0" w:color="auto"/>
        <w:right w:val="none" w:sz="0" w:space="0" w:color="auto"/>
      </w:divBdr>
    </w:div>
    <w:div w:id="938755268">
      <w:bodyDiv w:val="1"/>
      <w:marLeft w:val="0"/>
      <w:marRight w:val="0"/>
      <w:marTop w:val="0"/>
      <w:marBottom w:val="0"/>
      <w:divBdr>
        <w:top w:val="none" w:sz="0" w:space="0" w:color="auto"/>
        <w:left w:val="none" w:sz="0" w:space="0" w:color="auto"/>
        <w:bottom w:val="none" w:sz="0" w:space="0" w:color="auto"/>
        <w:right w:val="none" w:sz="0" w:space="0" w:color="auto"/>
      </w:divBdr>
    </w:div>
    <w:div w:id="1069228248">
      <w:bodyDiv w:val="1"/>
      <w:marLeft w:val="0"/>
      <w:marRight w:val="0"/>
      <w:marTop w:val="0"/>
      <w:marBottom w:val="0"/>
      <w:divBdr>
        <w:top w:val="none" w:sz="0" w:space="0" w:color="auto"/>
        <w:left w:val="none" w:sz="0" w:space="0" w:color="auto"/>
        <w:bottom w:val="none" w:sz="0" w:space="0" w:color="auto"/>
        <w:right w:val="none" w:sz="0" w:space="0" w:color="auto"/>
      </w:divBdr>
    </w:div>
    <w:div w:id="1116949025">
      <w:bodyDiv w:val="1"/>
      <w:marLeft w:val="0"/>
      <w:marRight w:val="0"/>
      <w:marTop w:val="0"/>
      <w:marBottom w:val="0"/>
      <w:divBdr>
        <w:top w:val="none" w:sz="0" w:space="0" w:color="auto"/>
        <w:left w:val="none" w:sz="0" w:space="0" w:color="auto"/>
        <w:bottom w:val="none" w:sz="0" w:space="0" w:color="auto"/>
        <w:right w:val="none" w:sz="0" w:space="0" w:color="auto"/>
      </w:divBdr>
    </w:div>
    <w:div w:id="1151483941">
      <w:bodyDiv w:val="1"/>
      <w:marLeft w:val="0"/>
      <w:marRight w:val="0"/>
      <w:marTop w:val="0"/>
      <w:marBottom w:val="0"/>
      <w:divBdr>
        <w:top w:val="none" w:sz="0" w:space="0" w:color="auto"/>
        <w:left w:val="none" w:sz="0" w:space="0" w:color="auto"/>
        <w:bottom w:val="none" w:sz="0" w:space="0" w:color="auto"/>
        <w:right w:val="none" w:sz="0" w:space="0" w:color="auto"/>
      </w:divBdr>
    </w:div>
    <w:div w:id="1163158128">
      <w:bodyDiv w:val="1"/>
      <w:marLeft w:val="0"/>
      <w:marRight w:val="0"/>
      <w:marTop w:val="0"/>
      <w:marBottom w:val="0"/>
      <w:divBdr>
        <w:top w:val="none" w:sz="0" w:space="0" w:color="auto"/>
        <w:left w:val="none" w:sz="0" w:space="0" w:color="auto"/>
        <w:bottom w:val="none" w:sz="0" w:space="0" w:color="auto"/>
        <w:right w:val="none" w:sz="0" w:space="0" w:color="auto"/>
      </w:divBdr>
    </w:div>
    <w:div w:id="1199581978">
      <w:bodyDiv w:val="1"/>
      <w:marLeft w:val="0"/>
      <w:marRight w:val="0"/>
      <w:marTop w:val="0"/>
      <w:marBottom w:val="0"/>
      <w:divBdr>
        <w:top w:val="none" w:sz="0" w:space="0" w:color="auto"/>
        <w:left w:val="none" w:sz="0" w:space="0" w:color="auto"/>
        <w:bottom w:val="none" w:sz="0" w:space="0" w:color="auto"/>
        <w:right w:val="none" w:sz="0" w:space="0" w:color="auto"/>
      </w:divBdr>
    </w:div>
    <w:div w:id="1216545504">
      <w:bodyDiv w:val="1"/>
      <w:marLeft w:val="0"/>
      <w:marRight w:val="0"/>
      <w:marTop w:val="0"/>
      <w:marBottom w:val="0"/>
      <w:divBdr>
        <w:top w:val="none" w:sz="0" w:space="0" w:color="auto"/>
        <w:left w:val="none" w:sz="0" w:space="0" w:color="auto"/>
        <w:bottom w:val="none" w:sz="0" w:space="0" w:color="auto"/>
        <w:right w:val="none" w:sz="0" w:space="0" w:color="auto"/>
      </w:divBdr>
    </w:div>
    <w:div w:id="1246259525">
      <w:bodyDiv w:val="1"/>
      <w:marLeft w:val="0"/>
      <w:marRight w:val="0"/>
      <w:marTop w:val="0"/>
      <w:marBottom w:val="0"/>
      <w:divBdr>
        <w:top w:val="none" w:sz="0" w:space="0" w:color="auto"/>
        <w:left w:val="none" w:sz="0" w:space="0" w:color="auto"/>
        <w:bottom w:val="none" w:sz="0" w:space="0" w:color="auto"/>
        <w:right w:val="none" w:sz="0" w:space="0" w:color="auto"/>
      </w:divBdr>
      <w:divsChild>
        <w:div w:id="1120029303">
          <w:marLeft w:val="446"/>
          <w:marRight w:val="0"/>
          <w:marTop w:val="200"/>
          <w:marBottom w:val="0"/>
          <w:divBdr>
            <w:top w:val="none" w:sz="0" w:space="0" w:color="auto"/>
            <w:left w:val="none" w:sz="0" w:space="0" w:color="auto"/>
            <w:bottom w:val="none" w:sz="0" w:space="0" w:color="auto"/>
            <w:right w:val="none" w:sz="0" w:space="0" w:color="auto"/>
          </w:divBdr>
        </w:div>
        <w:div w:id="864637623">
          <w:marLeft w:val="446"/>
          <w:marRight w:val="0"/>
          <w:marTop w:val="200"/>
          <w:marBottom w:val="0"/>
          <w:divBdr>
            <w:top w:val="none" w:sz="0" w:space="0" w:color="auto"/>
            <w:left w:val="none" w:sz="0" w:space="0" w:color="auto"/>
            <w:bottom w:val="none" w:sz="0" w:space="0" w:color="auto"/>
            <w:right w:val="none" w:sz="0" w:space="0" w:color="auto"/>
          </w:divBdr>
        </w:div>
        <w:div w:id="2022122030">
          <w:marLeft w:val="446"/>
          <w:marRight w:val="0"/>
          <w:marTop w:val="200"/>
          <w:marBottom w:val="0"/>
          <w:divBdr>
            <w:top w:val="none" w:sz="0" w:space="0" w:color="auto"/>
            <w:left w:val="none" w:sz="0" w:space="0" w:color="auto"/>
            <w:bottom w:val="none" w:sz="0" w:space="0" w:color="auto"/>
            <w:right w:val="none" w:sz="0" w:space="0" w:color="auto"/>
          </w:divBdr>
        </w:div>
      </w:divsChild>
    </w:div>
    <w:div w:id="1256986021">
      <w:bodyDiv w:val="1"/>
      <w:marLeft w:val="0"/>
      <w:marRight w:val="0"/>
      <w:marTop w:val="0"/>
      <w:marBottom w:val="0"/>
      <w:divBdr>
        <w:top w:val="none" w:sz="0" w:space="0" w:color="auto"/>
        <w:left w:val="none" w:sz="0" w:space="0" w:color="auto"/>
        <w:bottom w:val="none" w:sz="0" w:space="0" w:color="auto"/>
        <w:right w:val="none" w:sz="0" w:space="0" w:color="auto"/>
      </w:divBdr>
    </w:div>
    <w:div w:id="1260866018">
      <w:bodyDiv w:val="1"/>
      <w:marLeft w:val="0"/>
      <w:marRight w:val="0"/>
      <w:marTop w:val="0"/>
      <w:marBottom w:val="0"/>
      <w:divBdr>
        <w:top w:val="none" w:sz="0" w:space="0" w:color="auto"/>
        <w:left w:val="none" w:sz="0" w:space="0" w:color="auto"/>
        <w:bottom w:val="none" w:sz="0" w:space="0" w:color="auto"/>
        <w:right w:val="none" w:sz="0" w:space="0" w:color="auto"/>
      </w:divBdr>
    </w:div>
    <w:div w:id="1277634775">
      <w:bodyDiv w:val="1"/>
      <w:marLeft w:val="0"/>
      <w:marRight w:val="0"/>
      <w:marTop w:val="0"/>
      <w:marBottom w:val="0"/>
      <w:divBdr>
        <w:top w:val="none" w:sz="0" w:space="0" w:color="auto"/>
        <w:left w:val="none" w:sz="0" w:space="0" w:color="auto"/>
        <w:bottom w:val="none" w:sz="0" w:space="0" w:color="auto"/>
        <w:right w:val="none" w:sz="0" w:space="0" w:color="auto"/>
      </w:divBdr>
    </w:div>
    <w:div w:id="1288899766">
      <w:bodyDiv w:val="1"/>
      <w:marLeft w:val="0"/>
      <w:marRight w:val="0"/>
      <w:marTop w:val="0"/>
      <w:marBottom w:val="0"/>
      <w:divBdr>
        <w:top w:val="none" w:sz="0" w:space="0" w:color="auto"/>
        <w:left w:val="none" w:sz="0" w:space="0" w:color="auto"/>
        <w:bottom w:val="none" w:sz="0" w:space="0" w:color="auto"/>
        <w:right w:val="none" w:sz="0" w:space="0" w:color="auto"/>
      </w:divBdr>
    </w:div>
    <w:div w:id="1322468159">
      <w:bodyDiv w:val="1"/>
      <w:marLeft w:val="0"/>
      <w:marRight w:val="0"/>
      <w:marTop w:val="0"/>
      <w:marBottom w:val="0"/>
      <w:divBdr>
        <w:top w:val="none" w:sz="0" w:space="0" w:color="auto"/>
        <w:left w:val="none" w:sz="0" w:space="0" w:color="auto"/>
        <w:bottom w:val="none" w:sz="0" w:space="0" w:color="auto"/>
        <w:right w:val="none" w:sz="0" w:space="0" w:color="auto"/>
      </w:divBdr>
    </w:div>
    <w:div w:id="1388381957">
      <w:bodyDiv w:val="1"/>
      <w:marLeft w:val="0"/>
      <w:marRight w:val="0"/>
      <w:marTop w:val="0"/>
      <w:marBottom w:val="0"/>
      <w:divBdr>
        <w:top w:val="none" w:sz="0" w:space="0" w:color="auto"/>
        <w:left w:val="none" w:sz="0" w:space="0" w:color="auto"/>
        <w:bottom w:val="none" w:sz="0" w:space="0" w:color="auto"/>
        <w:right w:val="none" w:sz="0" w:space="0" w:color="auto"/>
      </w:divBdr>
    </w:div>
    <w:div w:id="1391073738">
      <w:bodyDiv w:val="1"/>
      <w:marLeft w:val="0"/>
      <w:marRight w:val="0"/>
      <w:marTop w:val="0"/>
      <w:marBottom w:val="0"/>
      <w:divBdr>
        <w:top w:val="none" w:sz="0" w:space="0" w:color="auto"/>
        <w:left w:val="none" w:sz="0" w:space="0" w:color="auto"/>
        <w:bottom w:val="none" w:sz="0" w:space="0" w:color="auto"/>
        <w:right w:val="none" w:sz="0" w:space="0" w:color="auto"/>
      </w:divBdr>
    </w:div>
    <w:div w:id="1436828783">
      <w:bodyDiv w:val="1"/>
      <w:marLeft w:val="0"/>
      <w:marRight w:val="0"/>
      <w:marTop w:val="0"/>
      <w:marBottom w:val="0"/>
      <w:divBdr>
        <w:top w:val="none" w:sz="0" w:space="0" w:color="auto"/>
        <w:left w:val="none" w:sz="0" w:space="0" w:color="auto"/>
        <w:bottom w:val="none" w:sz="0" w:space="0" w:color="auto"/>
        <w:right w:val="none" w:sz="0" w:space="0" w:color="auto"/>
      </w:divBdr>
    </w:div>
    <w:div w:id="1451583121">
      <w:bodyDiv w:val="1"/>
      <w:marLeft w:val="0"/>
      <w:marRight w:val="0"/>
      <w:marTop w:val="0"/>
      <w:marBottom w:val="0"/>
      <w:divBdr>
        <w:top w:val="none" w:sz="0" w:space="0" w:color="auto"/>
        <w:left w:val="none" w:sz="0" w:space="0" w:color="auto"/>
        <w:bottom w:val="none" w:sz="0" w:space="0" w:color="auto"/>
        <w:right w:val="none" w:sz="0" w:space="0" w:color="auto"/>
      </w:divBdr>
    </w:div>
    <w:div w:id="1456749128">
      <w:bodyDiv w:val="1"/>
      <w:marLeft w:val="0"/>
      <w:marRight w:val="0"/>
      <w:marTop w:val="0"/>
      <w:marBottom w:val="0"/>
      <w:divBdr>
        <w:top w:val="none" w:sz="0" w:space="0" w:color="auto"/>
        <w:left w:val="none" w:sz="0" w:space="0" w:color="auto"/>
        <w:bottom w:val="none" w:sz="0" w:space="0" w:color="auto"/>
        <w:right w:val="none" w:sz="0" w:space="0" w:color="auto"/>
      </w:divBdr>
    </w:div>
    <w:div w:id="1481536416">
      <w:bodyDiv w:val="1"/>
      <w:marLeft w:val="0"/>
      <w:marRight w:val="0"/>
      <w:marTop w:val="0"/>
      <w:marBottom w:val="0"/>
      <w:divBdr>
        <w:top w:val="none" w:sz="0" w:space="0" w:color="auto"/>
        <w:left w:val="none" w:sz="0" w:space="0" w:color="auto"/>
        <w:bottom w:val="none" w:sz="0" w:space="0" w:color="auto"/>
        <w:right w:val="none" w:sz="0" w:space="0" w:color="auto"/>
      </w:divBdr>
    </w:div>
    <w:div w:id="1555505234">
      <w:bodyDiv w:val="1"/>
      <w:marLeft w:val="0"/>
      <w:marRight w:val="0"/>
      <w:marTop w:val="0"/>
      <w:marBottom w:val="0"/>
      <w:divBdr>
        <w:top w:val="none" w:sz="0" w:space="0" w:color="auto"/>
        <w:left w:val="none" w:sz="0" w:space="0" w:color="auto"/>
        <w:bottom w:val="none" w:sz="0" w:space="0" w:color="auto"/>
        <w:right w:val="none" w:sz="0" w:space="0" w:color="auto"/>
      </w:divBdr>
    </w:div>
    <w:div w:id="1557937714">
      <w:bodyDiv w:val="1"/>
      <w:marLeft w:val="0"/>
      <w:marRight w:val="0"/>
      <w:marTop w:val="0"/>
      <w:marBottom w:val="0"/>
      <w:divBdr>
        <w:top w:val="none" w:sz="0" w:space="0" w:color="auto"/>
        <w:left w:val="none" w:sz="0" w:space="0" w:color="auto"/>
        <w:bottom w:val="none" w:sz="0" w:space="0" w:color="auto"/>
        <w:right w:val="none" w:sz="0" w:space="0" w:color="auto"/>
      </w:divBdr>
    </w:div>
    <w:div w:id="1558779795">
      <w:bodyDiv w:val="1"/>
      <w:marLeft w:val="0"/>
      <w:marRight w:val="0"/>
      <w:marTop w:val="0"/>
      <w:marBottom w:val="0"/>
      <w:divBdr>
        <w:top w:val="none" w:sz="0" w:space="0" w:color="auto"/>
        <w:left w:val="none" w:sz="0" w:space="0" w:color="auto"/>
        <w:bottom w:val="none" w:sz="0" w:space="0" w:color="auto"/>
        <w:right w:val="none" w:sz="0" w:space="0" w:color="auto"/>
      </w:divBdr>
    </w:div>
    <w:div w:id="1561358653">
      <w:bodyDiv w:val="1"/>
      <w:marLeft w:val="0"/>
      <w:marRight w:val="0"/>
      <w:marTop w:val="0"/>
      <w:marBottom w:val="0"/>
      <w:divBdr>
        <w:top w:val="none" w:sz="0" w:space="0" w:color="auto"/>
        <w:left w:val="none" w:sz="0" w:space="0" w:color="auto"/>
        <w:bottom w:val="none" w:sz="0" w:space="0" w:color="auto"/>
        <w:right w:val="none" w:sz="0" w:space="0" w:color="auto"/>
      </w:divBdr>
    </w:div>
    <w:div w:id="1612400442">
      <w:bodyDiv w:val="1"/>
      <w:marLeft w:val="0"/>
      <w:marRight w:val="0"/>
      <w:marTop w:val="0"/>
      <w:marBottom w:val="0"/>
      <w:divBdr>
        <w:top w:val="none" w:sz="0" w:space="0" w:color="auto"/>
        <w:left w:val="none" w:sz="0" w:space="0" w:color="auto"/>
        <w:bottom w:val="none" w:sz="0" w:space="0" w:color="auto"/>
        <w:right w:val="none" w:sz="0" w:space="0" w:color="auto"/>
      </w:divBdr>
    </w:div>
    <w:div w:id="1620532746">
      <w:bodyDiv w:val="1"/>
      <w:marLeft w:val="0"/>
      <w:marRight w:val="0"/>
      <w:marTop w:val="0"/>
      <w:marBottom w:val="0"/>
      <w:divBdr>
        <w:top w:val="none" w:sz="0" w:space="0" w:color="auto"/>
        <w:left w:val="none" w:sz="0" w:space="0" w:color="auto"/>
        <w:bottom w:val="none" w:sz="0" w:space="0" w:color="auto"/>
        <w:right w:val="none" w:sz="0" w:space="0" w:color="auto"/>
      </w:divBdr>
    </w:div>
    <w:div w:id="1642728482">
      <w:bodyDiv w:val="1"/>
      <w:marLeft w:val="0"/>
      <w:marRight w:val="0"/>
      <w:marTop w:val="0"/>
      <w:marBottom w:val="0"/>
      <w:divBdr>
        <w:top w:val="none" w:sz="0" w:space="0" w:color="auto"/>
        <w:left w:val="none" w:sz="0" w:space="0" w:color="auto"/>
        <w:bottom w:val="none" w:sz="0" w:space="0" w:color="auto"/>
        <w:right w:val="none" w:sz="0" w:space="0" w:color="auto"/>
      </w:divBdr>
    </w:div>
    <w:div w:id="1671834176">
      <w:bodyDiv w:val="1"/>
      <w:marLeft w:val="0"/>
      <w:marRight w:val="0"/>
      <w:marTop w:val="0"/>
      <w:marBottom w:val="0"/>
      <w:divBdr>
        <w:top w:val="none" w:sz="0" w:space="0" w:color="auto"/>
        <w:left w:val="none" w:sz="0" w:space="0" w:color="auto"/>
        <w:bottom w:val="none" w:sz="0" w:space="0" w:color="auto"/>
        <w:right w:val="none" w:sz="0" w:space="0" w:color="auto"/>
      </w:divBdr>
    </w:div>
    <w:div w:id="1688554446">
      <w:bodyDiv w:val="1"/>
      <w:marLeft w:val="0"/>
      <w:marRight w:val="0"/>
      <w:marTop w:val="0"/>
      <w:marBottom w:val="0"/>
      <w:divBdr>
        <w:top w:val="none" w:sz="0" w:space="0" w:color="auto"/>
        <w:left w:val="none" w:sz="0" w:space="0" w:color="auto"/>
        <w:bottom w:val="none" w:sz="0" w:space="0" w:color="auto"/>
        <w:right w:val="none" w:sz="0" w:space="0" w:color="auto"/>
      </w:divBdr>
    </w:div>
    <w:div w:id="1697346155">
      <w:bodyDiv w:val="1"/>
      <w:marLeft w:val="0"/>
      <w:marRight w:val="0"/>
      <w:marTop w:val="0"/>
      <w:marBottom w:val="0"/>
      <w:divBdr>
        <w:top w:val="none" w:sz="0" w:space="0" w:color="auto"/>
        <w:left w:val="none" w:sz="0" w:space="0" w:color="auto"/>
        <w:bottom w:val="none" w:sz="0" w:space="0" w:color="auto"/>
        <w:right w:val="none" w:sz="0" w:space="0" w:color="auto"/>
      </w:divBdr>
    </w:div>
    <w:div w:id="1718577758">
      <w:bodyDiv w:val="1"/>
      <w:marLeft w:val="0"/>
      <w:marRight w:val="0"/>
      <w:marTop w:val="0"/>
      <w:marBottom w:val="0"/>
      <w:divBdr>
        <w:top w:val="none" w:sz="0" w:space="0" w:color="auto"/>
        <w:left w:val="none" w:sz="0" w:space="0" w:color="auto"/>
        <w:bottom w:val="none" w:sz="0" w:space="0" w:color="auto"/>
        <w:right w:val="none" w:sz="0" w:space="0" w:color="auto"/>
      </w:divBdr>
    </w:div>
    <w:div w:id="1732531656">
      <w:bodyDiv w:val="1"/>
      <w:marLeft w:val="0"/>
      <w:marRight w:val="0"/>
      <w:marTop w:val="0"/>
      <w:marBottom w:val="0"/>
      <w:divBdr>
        <w:top w:val="none" w:sz="0" w:space="0" w:color="auto"/>
        <w:left w:val="none" w:sz="0" w:space="0" w:color="auto"/>
        <w:bottom w:val="none" w:sz="0" w:space="0" w:color="auto"/>
        <w:right w:val="none" w:sz="0" w:space="0" w:color="auto"/>
      </w:divBdr>
    </w:div>
    <w:div w:id="1765227472">
      <w:bodyDiv w:val="1"/>
      <w:marLeft w:val="0"/>
      <w:marRight w:val="0"/>
      <w:marTop w:val="0"/>
      <w:marBottom w:val="0"/>
      <w:divBdr>
        <w:top w:val="none" w:sz="0" w:space="0" w:color="auto"/>
        <w:left w:val="none" w:sz="0" w:space="0" w:color="auto"/>
        <w:bottom w:val="none" w:sz="0" w:space="0" w:color="auto"/>
        <w:right w:val="none" w:sz="0" w:space="0" w:color="auto"/>
      </w:divBdr>
    </w:div>
    <w:div w:id="1771967059">
      <w:bodyDiv w:val="1"/>
      <w:marLeft w:val="0"/>
      <w:marRight w:val="0"/>
      <w:marTop w:val="0"/>
      <w:marBottom w:val="0"/>
      <w:divBdr>
        <w:top w:val="none" w:sz="0" w:space="0" w:color="auto"/>
        <w:left w:val="none" w:sz="0" w:space="0" w:color="auto"/>
        <w:bottom w:val="none" w:sz="0" w:space="0" w:color="auto"/>
        <w:right w:val="none" w:sz="0" w:space="0" w:color="auto"/>
      </w:divBdr>
      <w:divsChild>
        <w:div w:id="522137595">
          <w:marLeft w:val="0"/>
          <w:marRight w:val="0"/>
          <w:marTop w:val="0"/>
          <w:marBottom w:val="0"/>
          <w:divBdr>
            <w:top w:val="none" w:sz="0" w:space="0" w:color="auto"/>
            <w:left w:val="none" w:sz="0" w:space="0" w:color="auto"/>
            <w:bottom w:val="none" w:sz="0" w:space="0" w:color="auto"/>
            <w:right w:val="none" w:sz="0" w:space="0" w:color="auto"/>
          </w:divBdr>
          <w:divsChild>
            <w:div w:id="555700157">
              <w:marLeft w:val="0"/>
              <w:marRight w:val="0"/>
              <w:marTop w:val="0"/>
              <w:marBottom w:val="0"/>
              <w:divBdr>
                <w:top w:val="none" w:sz="0" w:space="0" w:color="auto"/>
                <w:left w:val="none" w:sz="0" w:space="0" w:color="auto"/>
                <w:bottom w:val="none" w:sz="0" w:space="0" w:color="auto"/>
                <w:right w:val="none" w:sz="0" w:space="0" w:color="auto"/>
              </w:divBdr>
              <w:divsChild>
                <w:div w:id="1283420451">
                  <w:marLeft w:val="0"/>
                  <w:marRight w:val="0"/>
                  <w:marTop w:val="0"/>
                  <w:marBottom w:val="0"/>
                  <w:divBdr>
                    <w:top w:val="none" w:sz="0" w:space="0" w:color="auto"/>
                    <w:left w:val="none" w:sz="0" w:space="0" w:color="auto"/>
                    <w:bottom w:val="none" w:sz="0" w:space="0" w:color="auto"/>
                    <w:right w:val="none" w:sz="0" w:space="0" w:color="auto"/>
                  </w:divBdr>
                </w:div>
                <w:div w:id="2055806197">
                  <w:marLeft w:val="0"/>
                  <w:marRight w:val="0"/>
                  <w:marTop w:val="0"/>
                  <w:marBottom w:val="0"/>
                  <w:divBdr>
                    <w:top w:val="none" w:sz="0" w:space="0" w:color="auto"/>
                    <w:left w:val="none" w:sz="0" w:space="0" w:color="auto"/>
                    <w:bottom w:val="none" w:sz="0" w:space="0" w:color="auto"/>
                    <w:right w:val="none" w:sz="0" w:space="0" w:color="auto"/>
                  </w:divBdr>
                </w:div>
                <w:div w:id="1661156821">
                  <w:marLeft w:val="0"/>
                  <w:marRight w:val="0"/>
                  <w:marTop w:val="0"/>
                  <w:marBottom w:val="0"/>
                  <w:divBdr>
                    <w:top w:val="none" w:sz="0" w:space="0" w:color="auto"/>
                    <w:left w:val="none" w:sz="0" w:space="0" w:color="auto"/>
                    <w:bottom w:val="none" w:sz="0" w:space="0" w:color="auto"/>
                    <w:right w:val="none" w:sz="0" w:space="0" w:color="auto"/>
                  </w:divBdr>
                </w:div>
                <w:div w:id="717125084">
                  <w:marLeft w:val="0"/>
                  <w:marRight w:val="0"/>
                  <w:marTop w:val="0"/>
                  <w:marBottom w:val="0"/>
                  <w:divBdr>
                    <w:top w:val="none" w:sz="0" w:space="0" w:color="auto"/>
                    <w:left w:val="none" w:sz="0" w:space="0" w:color="auto"/>
                    <w:bottom w:val="none" w:sz="0" w:space="0" w:color="auto"/>
                    <w:right w:val="none" w:sz="0" w:space="0" w:color="auto"/>
                  </w:divBdr>
                </w:div>
                <w:div w:id="899557414">
                  <w:marLeft w:val="0"/>
                  <w:marRight w:val="0"/>
                  <w:marTop w:val="0"/>
                  <w:marBottom w:val="0"/>
                  <w:divBdr>
                    <w:top w:val="none" w:sz="0" w:space="0" w:color="auto"/>
                    <w:left w:val="none" w:sz="0" w:space="0" w:color="auto"/>
                    <w:bottom w:val="none" w:sz="0" w:space="0" w:color="auto"/>
                    <w:right w:val="none" w:sz="0" w:space="0" w:color="auto"/>
                  </w:divBdr>
                </w:div>
                <w:div w:id="1091775002">
                  <w:marLeft w:val="0"/>
                  <w:marRight w:val="0"/>
                  <w:marTop w:val="0"/>
                  <w:marBottom w:val="0"/>
                  <w:divBdr>
                    <w:top w:val="none" w:sz="0" w:space="0" w:color="auto"/>
                    <w:left w:val="none" w:sz="0" w:space="0" w:color="auto"/>
                    <w:bottom w:val="none" w:sz="0" w:space="0" w:color="auto"/>
                    <w:right w:val="none" w:sz="0" w:space="0" w:color="auto"/>
                  </w:divBdr>
                </w:div>
                <w:div w:id="1306541592">
                  <w:marLeft w:val="0"/>
                  <w:marRight w:val="0"/>
                  <w:marTop w:val="0"/>
                  <w:marBottom w:val="0"/>
                  <w:divBdr>
                    <w:top w:val="none" w:sz="0" w:space="0" w:color="auto"/>
                    <w:left w:val="none" w:sz="0" w:space="0" w:color="auto"/>
                    <w:bottom w:val="none" w:sz="0" w:space="0" w:color="auto"/>
                    <w:right w:val="none" w:sz="0" w:space="0" w:color="auto"/>
                  </w:divBdr>
                </w:div>
                <w:div w:id="842890745">
                  <w:marLeft w:val="0"/>
                  <w:marRight w:val="0"/>
                  <w:marTop w:val="0"/>
                  <w:marBottom w:val="0"/>
                  <w:divBdr>
                    <w:top w:val="none" w:sz="0" w:space="0" w:color="auto"/>
                    <w:left w:val="none" w:sz="0" w:space="0" w:color="auto"/>
                    <w:bottom w:val="none" w:sz="0" w:space="0" w:color="auto"/>
                    <w:right w:val="none" w:sz="0" w:space="0" w:color="auto"/>
                  </w:divBdr>
                </w:div>
                <w:div w:id="15932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21739">
      <w:bodyDiv w:val="1"/>
      <w:marLeft w:val="0"/>
      <w:marRight w:val="0"/>
      <w:marTop w:val="0"/>
      <w:marBottom w:val="0"/>
      <w:divBdr>
        <w:top w:val="none" w:sz="0" w:space="0" w:color="auto"/>
        <w:left w:val="none" w:sz="0" w:space="0" w:color="auto"/>
        <w:bottom w:val="none" w:sz="0" w:space="0" w:color="auto"/>
        <w:right w:val="none" w:sz="0" w:space="0" w:color="auto"/>
      </w:divBdr>
    </w:div>
    <w:div w:id="1826043801">
      <w:bodyDiv w:val="1"/>
      <w:marLeft w:val="0"/>
      <w:marRight w:val="0"/>
      <w:marTop w:val="0"/>
      <w:marBottom w:val="0"/>
      <w:divBdr>
        <w:top w:val="none" w:sz="0" w:space="0" w:color="auto"/>
        <w:left w:val="none" w:sz="0" w:space="0" w:color="auto"/>
        <w:bottom w:val="none" w:sz="0" w:space="0" w:color="auto"/>
        <w:right w:val="none" w:sz="0" w:space="0" w:color="auto"/>
      </w:divBdr>
    </w:div>
    <w:div w:id="1886137995">
      <w:bodyDiv w:val="1"/>
      <w:marLeft w:val="0"/>
      <w:marRight w:val="0"/>
      <w:marTop w:val="0"/>
      <w:marBottom w:val="0"/>
      <w:divBdr>
        <w:top w:val="none" w:sz="0" w:space="0" w:color="auto"/>
        <w:left w:val="none" w:sz="0" w:space="0" w:color="auto"/>
        <w:bottom w:val="none" w:sz="0" w:space="0" w:color="auto"/>
        <w:right w:val="none" w:sz="0" w:space="0" w:color="auto"/>
      </w:divBdr>
    </w:div>
    <w:div w:id="1909880358">
      <w:bodyDiv w:val="1"/>
      <w:marLeft w:val="0"/>
      <w:marRight w:val="0"/>
      <w:marTop w:val="0"/>
      <w:marBottom w:val="0"/>
      <w:divBdr>
        <w:top w:val="none" w:sz="0" w:space="0" w:color="auto"/>
        <w:left w:val="none" w:sz="0" w:space="0" w:color="auto"/>
        <w:bottom w:val="none" w:sz="0" w:space="0" w:color="auto"/>
        <w:right w:val="none" w:sz="0" w:space="0" w:color="auto"/>
      </w:divBdr>
    </w:div>
    <w:div w:id="1988001669">
      <w:bodyDiv w:val="1"/>
      <w:marLeft w:val="0"/>
      <w:marRight w:val="0"/>
      <w:marTop w:val="0"/>
      <w:marBottom w:val="0"/>
      <w:divBdr>
        <w:top w:val="none" w:sz="0" w:space="0" w:color="auto"/>
        <w:left w:val="none" w:sz="0" w:space="0" w:color="auto"/>
        <w:bottom w:val="none" w:sz="0" w:space="0" w:color="auto"/>
        <w:right w:val="none" w:sz="0" w:space="0" w:color="auto"/>
      </w:divBdr>
    </w:div>
    <w:div w:id="2000687873">
      <w:bodyDiv w:val="1"/>
      <w:marLeft w:val="0"/>
      <w:marRight w:val="0"/>
      <w:marTop w:val="0"/>
      <w:marBottom w:val="0"/>
      <w:divBdr>
        <w:top w:val="none" w:sz="0" w:space="0" w:color="auto"/>
        <w:left w:val="none" w:sz="0" w:space="0" w:color="auto"/>
        <w:bottom w:val="none" w:sz="0" w:space="0" w:color="auto"/>
        <w:right w:val="none" w:sz="0" w:space="0" w:color="auto"/>
      </w:divBdr>
    </w:div>
    <w:div w:id="2031880029">
      <w:bodyDiv w:val="1"/>
      <w:marLeft w:val="0"/>
      <w:marRight w:val="0"/>
      <w:marTop w:val="0"/>
      <w:marBottom w:val="0"/>
      <w:divBdr>
        <w:top w:val="none" w:sz="0" w:space="0" w:color="auto"/>
        <w:left w:val="none" w:sz="0" w:space="0" w:color="auto"/>
        <w:bottom w:val="none" w:sz="0" w:space="0" w:color="auto"/>
        <w:right w:val="none" w:sz="0" w:space="0" w:color="auto"/>
      </w:divBdr>
    </w:div>
    <w:div w:id="2057846994">
      <w:bodyDiv w:val="1"/>
      <w:marLeft w:val="0"/>
      <w:marRight w:val="0"/>
      <w:marTop w:val="0"/>
      <w:marBottom w:val="0"/>
      <w:divBdr>
        <w:top w:val="none" w:sz="0" w:space="0" w:color="auto"/>
        <w:left w:val="none" w:sz="0" w:space="0" w:color="auto"/>
        <w:bottom w:val="none" w:sz="0" w:space="0" w:color="auto"/>
        <w:right w:val="none" w:sz="0" w:space="0" w:color="auto"/>
      </w:divBdr>
    </w:div>
    <w:div w:id="2072729060">
      <w:bodyDiv w:val="1"/>
      <w:marLeft w:val="0"/>
      <w:marRight w:val="0"/>
      <w:marTop w:val="0"/>
      <w:marBottom w:val="0"/>
      <w:divBdr>
        <w:top w:val="none" w:sz="0" w:space="0" w:color="auto"/>
        <w:left w:val="none" w:sz="0" w:space="0" w:color="auto"/>
        <w:bottom w:val="none" w:sz="0" w:space="0" w:color="auto"/>
        <w:right w:val="none" w:sz="0" w:space="0" w:color="auto"/>
      </w:divBdr>
    </w:div>
    <w:div w:id="2106681934">
      <w:bodyDiv w:val="1"/>
      <w:marLeft w:val="0"/>
      <w:marRight w:val="0"/>
      <w:marTop w:val="0"/>
      <w:marBottom w:val="0"/>
      <w:divBdr>
        <w:top w:val="none" w:sz="0" w:space="0" w:color="auto"/>
        <w:left w:val="none" w:sz="0" w:space="0" w:color="auto"/>
        <w:bottom w:val="none" w:sz="0" w:space="0" w:color="auto"/>
        <w:right w:val="none" w:sz="0" w:space="0" w:color="auto"/>
      </w:divBdr>
    </w:div>
    <w:div w:id="21195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customXml" Target="../customXml/item8.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s>
</file>

<file path=word/_rels/endnotes.xml.rels><?xml version="1.0" encoding="UTF-8" standalone="yes"?>
<Relationships xmlns="http://schemas.openxmlformats.org/package/2006/relationships"><Relationship Id="rId8" Type="http://schemas.openxmlformats.org/officeDocument/2006/relationships/hyperlink" Target="https://agedcare.health.gov.au/sites/default/files/documents/08_2017/legislated_review_of_aged_care_2017.pdf" TargetMode="External"/><Relationship Id="rId13" Type="http://schemas.openxmlformats.org/officeDocument/2006/relationships/hyperlink" Target="https://agedcare.health.gov.au/reform/report-of-the-base-interest-rate-project" TargetMode="External"/><Relationship Id="rId18" Type="http://schemas.openxmlformats.org/officeDocument/2006/relationships/hyperlink" Target="http://www.stewartbrown.com.au/news-articles/26-aged-care/171-aged-care-financial-performance-survey-quarter-ended-september-2018" TargetMode="External"/><Relationship Id="rId3" Type="http://schemas.openxmlformats.org/officeDocument/2006/relationships/hyperlink" Target="https://link.springer.com/article/10.1007/s12603-018-1145-y" TargetMode="External"/><Relationship Id="rId21" Type="http://schemas.openxmlformats.org/officeDocument/2006/relationships/hyperlink" Target="https://lasa.asn.au/aged-services-in-australia/lasa-submissions/" TargetMode="External"/><Relationship Id="rId7" Type="http://schemas.openxmlformats.org/officeDocument/2006/relationships/hyperlink" Target="https://agedcare.health.gov.au/sites/default/files/documents/08_2018/acfa_sixth_report_2018_text_fa3.pdf" TargetMode="External"/><Relationship Id="rId12" Type="http://schemas.openxmlformats.org/officeDocument/2006/relationships/hyperlink" Target="http://www.stewartbrown.com.au/news-articles/26-aged-care/166-june-2018-aged-care-sector-reports-released" TargetMode="External"/><Relationship Id="rId17" Type="http://schemas.openxmlformats.org/officeDocument/2006/relationships/hyperlink" Target="http://www.stewartbrown.com.au/images/documents/AgedCareFinancialPerformanceSurvey_September_2018SECURED.pdf" TargetMode="External"/><Relationship Id="rId2" Type="http://schemas.openxmlformats.org/officeDocument/2006/relationships/hyperlink" Target="https://www.gen-agedcaredata.gov.au/Resources/Reports-and-publications/2018/November/Home-care-packages-program-data-report-1-July-%E2%80%93-30" TargetMode="External"/><Relationship Id="rId16" Type="http://schemas.openxmlformats.org/officeDocument/2006/relationships/hyperlink" Target="http://www.abs.gov.au/AUSSTATS/subscriber.nsf/log?openagent&amp;65230do012_201516.002.xls&amp;6523.0&amp;Data%20Cubes&amp;65DB44D4461F26D7CA2582D5001335D9&amp;0&amp;2015-16&amp;26.07.2018&amp;Latest" TargetMode="External"/><Relationship Id="rId20" Type="http://schemas.openxmlformats.org/officeDocument/2006/relationships/hyperlink" Target="http://www.stewartbrown.com.au/images/documents/StewartBrown---Aged-Care-Workforce-Strategy-Taskforce-Submission-June-2018.pdf" TargetMode="External"/><Relationship Id="rId1" Type="http://schemas.openxmlformats.org/officeDocument/2006/relationships/hyperlink" Target="http://www.stewartbrown.com.au/images/documents/AgedCareFinancialPerformanceSurvey_September_2018SECURED.pdf" TargetMode="External"/><Relationship Id="rId6" Type="http://schemas.openxmlformats.org/officeDocument/2006/relationships/hyperlink" Target="https://www.pc.gov.au/research/ongoing/report-on-government-services" TargetMode="External"/><Relationship Id="rId11" Type="http://schemas.openxmlformats.org/officeDocument/2006/relationships/hyperlink" Target="https://www.rba.gov.au/statistics/tables/xls/f05hist.xls?v=2019-02-01-10-19-27" TargetMode="External"/><Relationship Id="rId24" Type="http://schemas.openxmlformats.org/officeDocument/2006/relationships/hyperlink" Target="https://docs.education.gov.au/system/files/doc/other/skillingyourbusiness.pdf" TargetMode="External"/><Relationship Id="rId5" Type="http://schemas.openxmlformats.org/officeDocument/2006/relationships/hyperlink" Target="https://www.pc.gov.au/inquiries/completed/aged-care/report/26-aged-care-appendixd.pdf" TargetMode="External"/><Relationship Id="rId15" Type="http://schemas.openxmlformats.org/officeDocument/2006/relationships/hyperlink" Target="http://www.abs.gov.au/AUSSTATS/subscriber.nsf/log?openagent&amp;65230do001_201516.xls&amp;6523.0&amp;Data%20Cubes&amp;D855CA80E6B4C593CA2582D5001333CC&amp;0&amp;2015-16&amp;26.07.2018&amp;Latest" TargetMode="External"/><Relationship Id="rId23" Type="http://schemas.openxmlformats.org/officeDocument/2006/relationships/hyperlink" Target="https://agedcare.health.gov.au/programs/specialist-dementia-care-program" TargetMode="External"/><Relationship Id="rId10" Type="http://schemas.openxmlformats.org/officeDocument/2006/relationships/hyperlink" Target="https://www.agedcarequality.gov.au/sites/default/files/media/AACQAConsumerExperienceReportTrends.pdf" TargetMode="External"/><Relationship Id="rId19" Type="http://schemas.openxmlformats.org/officeDocument/2006/relationships/hyperlink" Target="https://www.gen-agedcaredata.gov.au/Resources/Reports-and-publications/2018/November/2017%E2%80%9318-Report-on-the-Operation-of-the-Aged-Care-A" TargetMode="External"/><Relationship Id="rId4" Type="http://schemas.openxmlformats.org/officeDocument/2006/relationships/hyperlink" Target="http://www.stewartbrown.com.au/images/documents/AgedCareFinancialPerformanceSurvey_September_2018SECURED.pdf" TargetMode="External"/><Relationship Id="rId9" Type="http://schemas.openxmlformats.org/officeDocument/2006/relationships/hyperlink" Target="https://www.abc.net.au/news/2018-09-17/food-in-aged-care/10212880" TargetMode="External"/><Relationship Id="rId14" Type="http://schemas.openxmlformats.org/officeDocument/2006/relationships/hyperlink" Target="https://www.actuaries.asn.au/Library/Events/Insights/2018/MichaelRicePaper.pdf" TargetMode="External"/><Relationship Id="rId22" Type="http://schemas.openxmlformats.org/officeDocument/2006/relationships/hyperlink" Target="https://www.mja.com.au/journal/2003/178/5/behavioural-and-psychological-symptoms-dementia-seven-tiered-model-servic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imh\Documents\LASA%20pre-budget%20submission%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imh\Documents\LASA%20pre-budget%20submission%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imh\Documents\LASA%20pre-budget%20submission%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57480314960632E-2"/>
          <c:y val="4.1666666666666664E-2"/>
          <c:w val="0.89875853018372709"/>
          <c:h val="0.74794838145231846"/>
        </c:manualLayout>
      </c:layout>
      <c:lineChart>
        <c:grouping val="standard"/>
        <c:varyColors val="0"/>
        <c:ser>
          <c:idx val="0"/>
          <c:order val="0"/>
          <c:spPr>
            <a:ln w="19050" cap="rnd" cmpd="sng" algn="ctr">
              <a:solidFill>
                <a:schemeClr val="accent1">
                  <a:shade val="95000"/>
                  <a:satMod val="105000"/>
                </a:schemeClr>
              </a:solidFill>
              <a:round/>
            </a:ln>
            <a:effectLst/>
          </c:spPr>
          <c:marker>
            <c:symbol val="circle"/>
            <c:size val="4"/>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Sheet1!$C$2:$J$2</c:f>
              <c:numCache>
                <c:formatCode>mmm\-yy</c:formatCode>
                <c:ptCount val="8"/>
                <c:pt idx="0">
                  <c:v>42705</c:v>
                </c:pt>
                <c:pt idx="1">
                  <c:v>42795</c:v>
                </c:pt>
                <c:pt idx="2">
                  <c:v>42887</c:v>
                </c:pt>
                <c:pt idx="3">
                  <c:v>42979</c:v>
                </c:pt>
                <c:pt idx="4">
                  <c:v>43070</c:v>
                </c:pt>
                <c:pt idx="5">
                  <c:v>43160</c:v>
                </c:pt>
                <c:pt idx="6">
                  <c:v>43252</c:v>
                </c:pt>
                <c:pt idx="7">
                  <c:v>43344</c:v>
                </c:pt>
              </c:numCache>
            </c:numRef>
          </c:cat>
          <c:val>
            <c:numRef>
              <c:f>Sheet1!$C$3:$J$3</c:f>
              <c:numCache>
                <c:formatCode>0.0</c:formatCode>
                <c:ptCount val="8"/>
                <c:pt idx="0">
                  <c:v>6.35</c:v>
                </c:pt>
                <c:pt idx="1">
                  <c:v>6.05</c:v>
                </c:pt>
                <c:pt idx="2">
                  <c:v>5.37</c:v>
                </c:pt>
                <c:pt idx="3">
                  <c:v>4.1399999999999997</c:v>
                </c:pt>
                <c:pt idx="4">
                  <c:v>3.24</c:v>
                </c:pt>
                <c:pt idx="5">
                  <c:v>4.3899999999999997</c:v>
                </c:pt>
                <c:pt idx="6">
                  <c:v>3.77</c:v>
                </c:pt>
                <c:pt idx="7">
                  <c:v>3.49</c:v>
                </c:pt>
              </c:numCache>
            </c:numRef>
          </c:val>
          <c:smooth val="0"/>
          <c:extLst>
            <c:ext xmlns:c16="http://schemas.microsoft.com/office/drawing/2014/chart" uri="{C3380CC4-5D6E-409C-BE32-E72D297353CC}">
              <c16:uniqueId val="{00000000-B058-463D-BF05-6E2A74C200B5}"/>
            </c:ext>
          </c:extLst>
        </c:ser>
        <c:dLbls>
          <c:dLblPos val="ctr"/>
          <c:showLegendKey val="0"/>
          <c:showVal val="1"/>
          <c:showCatName val="0"/>
          <c:showSerName val="0"/>
          <c:showPercent val="0"/>
          <c:showBubbleSize val="0"/>
        </c:dLbls>
        <c:marker val="1"/>
        <c:smooth val="0"/>
        <c:axId val="328826664"/>
        <c:axId val="328831584"/>
      </c:lineChart>
      <c:dateAx>
        <c:axId val="328826664"/>
        <c:scaling>
          <c:orientation val="minMax"/>
        </c:scaling>
        <c:delete val="0"/>
        <c:axPos val="b"/>
        <c:numFmt formatCode="mmm\-yy"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328831584"/>
        <c:crosses val="autoZero"/>
        <c:auto val="1"/>
        <c:lblOffset val="100"/>
        <c:baseTimeUnit val="months"/>
        <c:majorUnit val="3"/>
        <c:majorTimeUnit val="months"/>
      </c:dateAx>
      <c:valAx>
        <c:axId val="328831584"/>
        <c:scaling>
          <c:orientation val="minMax"/>
        </c:scaling>
        <c:delete val="1"/>
        <c:axPos val="l"/>
        <c:numFmt formatCode="0.0" sourceLinked="1"/>
        <c:majorTickMark val="none"/>
        <c:minorTickMark val="none"/>
        <c:tickLblPos val="nextTo"/>
        <c:crossAx val="328826664"/>
        <c:crosses val="autoZero"/>
        <c:crossBetween val="between"/>
      </c:valAx>
      <c:spPr>
        <a:noFill/>
        <a:ln>
          <a:noFill/>
        </a:ln>
        <a:effectLst/>
      </c:spPr>
    </c:plotArea>
    <c:plotVisOnly val="1"/>
    <c:dispBlanksAs val="span"/>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57480314960632E-2"/>
          <c:y val="4.1666666666666664E-2"/>
          <c:w val="0.89875853018372709"/>
          <c:h val="0.74794838145231846"/>
        </c:manualLayout>
      </c:layout>
      <c:lineChart>
        <c:grouping val="standard"/>
        <c:varyColors val="0"/>
        <c:ser>
          <c:idx val="0"/>
          <c:order val="0"/>
          <c:tx>
            <c:strRef>
              <c:f>Sheet1!$A$20</c:f>
              <c:strCache>
                <c:ptCount val="1"/>
                <c:pt idx="0">
                  <c:v>Chart 2. Facility earnings before tax per bed per day</c:v>
                </c:pt>
              </c:strCache>
            </c:strRef>
          </c:tx>
          <c:spPr>
            <a:ln w="19050" cap="rnd" cmpd="sng" algn="ctr">
              <a:solidFill>
                <a:schemeClr val="accent1"/>
              </a:solidFill>
              <a:round/>
            </a:ln>
            <a:effectLst/>
          </c:spPr>
          <c:marker>
            <c:symbol val="circle"/>
            <c:size val="4"/>
            <c:spPr>
              <a:solidFill>
                <a:schemeClr val="accent1"/>
              </a:solidFill>
              <a:ln>
                <a:solidFill>
                  <a:schemeClr val="accent1"/>
                </a:solidFill>
              </a:ln>
              <a:effectLst/>
            </c:spPr>
          </c:marker>
          <c:dLbls>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6E-47EB-A359-3A82C2636BA5}"/>
                </c:ext>
              </c:extLst>
            </c:dLbl>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6E-47EB-A359-3A82C2636BA5}"/>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6E-47EB-A359-3A82C2636BA5}"/>
                </c:ext>
              </c:extLst>
            </c:dLbl>
            <c:dLbl>
              <c:idx val="7"/>
              <c:layout>
                <c:manualLayout>
                  <c:x val="-5.2270615274596262E-2"/>
                  <c:y val="-5.37299269042982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6E-47EB-A359-3A82C2636BA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Sheet1!$A$21:$I$21</c:f>
              <c:numCache>
                <c:formatCode>mmm\-yy</c:formatCode>
                <c:ptCount val="9"/>
                <c:pt idx="0">
                  <c:v>40422</c:v>
                </c:pt>
                <c:pt idx="1">
                  <c:v>40787</c:v>
                </c:pt>
                <c:pt idx="2">
                  <c:v>41153</c:v>
                </c:pt>
                <c:pt idx="3">
                  <c:v>41518</c:v>
                </c:pt>
                <c:pt idx="4">
                  <c:v>41883</c:v>
                </c:pt>
                <c:pt idx="5">
                  <c:v>42248</c:v>
                </c:pt>
                <c:pt idx="6">
                  <c:v>42614</c:v>
                </c:pt>
                <c:pt idx="7">
                  <c:v>42979</c:v>
                </c:pt>
                <c:pt idx="8">
                  <c:v>43344</c:v>
                </c:pt>
              </c:numCache>
            </c:numRef>
          </c:cat>
          <c:val>
            <c:numRef>
              <c:f>Sheet1!$A$22:$I$22</c:f>
              <c:numCache>
                <c:formatCode>0.0</c:formatCode>
                <c:ptCount val="9"/>
                <c:pt idx="0">
                  <c:v>9.3800000000000008</c:v>
                </c:pt>
                <c:pt idx="1">
                  <c:v>13.1</c:v>
                </c:pt>
                <c:pt idx="2">
                  <c:v>7.71</c:v>
                </c:pt>
                <c:pt idx="3">
                  <c:v>11.72</c:v>
                </c:pt>
                <c:pt idx="4">
                  <c:v>11.93</c:v>
                </c:pt>
                <c:pt idx="5">
                  <c:v>14.29</c:v>
                </c:pt>
                <c:pt idx="6">
                  <c:v>12.59</c:v>
                </c:pt>
                <c:pt idx="7">
                  <c:v>8.86</c:v>
                </c:pt>
                <c:pt idx="8">
                  <c:v>4.37</c:v>
                </c:pt>
              </c:numCache>
            </c:numRef>
          </c:val>
          <c:smooth val="0"/>
          <c:extLst>
            <c:ext xmlns:c16="http://schemas.microsoft.com/office/drawing/2014/chart" uri="{C3380CC4-5D6E-409C-BE32-E72D297353CC}">
              <c16:uniqueId val="{00000004-246E-47EB-A359-3A82C2636BA5}"/>
            </c:ext>
          </c:extLst>
        </c:ser>
        <c:dLbls>
          <c:dLblPos val="ctr"/>
          <c:showLegendKey val="0"/>
          <c:showVal val="1"/>
          <c:showCatName val="0"/>
          <c:showSerName val="0"/>
          <c:showPercent val="0"/>
          <c:showBubbleSize val="0"/>
        </c:dLbls>
        <c:marker val="1"/>
        <c:smooth val="0"/>
        <c:axId val="328826664"/>
        <c:axId val="328831584"/>
      </c:lineChart>
      <c:dateAx>
        <c:axId val="328826664"/>
        <c:scaling>
          <c:orientation val="minMax"/>
        </c:scaling>
        <c:delete val="0"/>
        <c:axPos val="b"/>
        <c:numFmt formatCode="mmm\-yy" sourceLinked="1"/>
        <c:majorTickMark val="none"/>
        <c:minorTickMark val="none"/>
        <c:tickLblPos val="nextTo"/>
        <c:spPr>
          <a:noFill/>
          <a:ln w="9525" cap="flat" cmpd="sng" algn="ctr">
            <a:solidFill>
              <a:schemeClr val="dk1">
                <a:lumMod val="15000"/>
                <a:lumOff val="85000"/>
              </a:schemeClr>
            </a:solidFill>
            <a:round/>
          </a:ln>
          <a:effectLst/>
        </c:spPr>
        <c:txPr>
          <a:bodyPr rot="-2700000" spcFirstLastPara="1" vertOverflow="ellipsis"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328831584"/>
        <c:crosses val="autoZero"/>
        <c:auto val="1"/>
        <c:lblOffset val="100"/>
        <c:baseTimeUnit val="months"/>
        <c:majorUnit val="12"/>
        <c:majorTimeUnit val="months"/>
      </c:dateAx>
      <c:valAx>
        <c:axId val="328831584"/>
        <c:scaling>
          <c:orientation val="minMax"/>
        </c:scaling>
        <c:delete val="1"/>
        <c:axPos val="l"/>
        <c:numFmt formatCode="0.0" sourceLinked="1"/>
        <c:majorTickMark val="none"/>
        <c:minorTickMark val="none"/>
        <c:tickLblPos val="nextTo"/>
        <c:crossAx val="328826664"/>
        <c:crosses val="autoZero"/>
        <c:crossBetween val="between"/>
      </c:valAx>
      <c:spPr>
        <a:noFill/>
        <a:ln>
          <a:noFill/>
        </a:ln>
        <a:effectLst/>
      </c:spPr>
    </c:plotArea>
    <c:plotVisOnly val="1"/>
    <c:dispBlanksAs val="span"/>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Sheet2!$E$13</c:f>
              <c:strCache>
                <c:ptCount val="1"/>
                <c:pt idx="0">
                  <c:v>Funding per person (65+) or ATSI 50+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Sheet2!$D$14:$D$18</c:f>
              <c:strCache>
                <c:ptCount val="5"/>
                <c:pt idx="0">
                  <c:v>2013-14</c:v>
                </c:pt>
                <c:pt idx="1">
                  <c:v>2014-15</c:v>
                </c:pt>
                <c:pt idx="2">
                  <c:v>2015-16</c:v>
                </c:pt>
                <c:pt idx="3">
                  <c:v>2016-17</c:v>
                </c:pt>
                <c:pt idx="4">
                  <c:v>2017-18</c:v>
                </c:pt>
              </c:strCache>
            </c:strRef>
          </c:cat>
          <c:val>
            <c:numRef>
              <c:f>Sheet2!$E$14:$E$18</c:f>
              <c:numCache>
                <c:formatCode>0.0</c:formatCode>
                <c:ptCount val="5"/>
                <c:pt idx="0">
                  <c:v>1.1310145639578106</c:v>
                </c:pt>
                <c:pt idx="1">
                  <c:v>4.855236253440931</c:v>
                </c:pt>
                <c:pt idx="2">
                  <c:v>7.6866493897461918</c:v>
                </c:pt>
                <c:pt idx="3">
                  <c:v>8.1093343622327119</c:v>
                </c:pt>
                <c:pt idx="4">
                  <c:v>10.565834015453369</c:v>
                </c:pt>
              </c:numCache>
            </c:numRef>
          </c:val>
          <c:smooth val="0"/>
          <c:extLst>
            <c:ext xmlns:c16="http://schemas.microsoft.com/office/drawing/2014/chart" uri="{C3380CC4-5D6E-409C-BE32-E72D297353CC}">
              <c16:uniqueId val="{00000000-C785-4FE7-8D8E-14D1EC09569A}"/>
            </c:ext>
          </c:extLst>
        </c:ser>
        <c:ser>
          <c:idx val="2"/>
          <c:order val="1"/>
          <c:tx>
            <c:strRef>
              <c:f>Sheet2!$G$13</c:f>
              <c:strCache>
                <c:ptCount val="1"/>
                <c:pt idx="0">
                  <c:v>Aged Care Award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Sheet2!$D$14:$D$18</c:f>
              <c:strCache>
                <c:ptCount val="5"/>
                <c:pt idx="0">
                  <c:v>2013-14</c:v>
                </c:pt>
                <c:pt idx="1">
                  <c:v>2014-15</c:v>
                </c:pt>
                <c:pt idx="2">
                  <c:v>2015-16</c:v>
                </c:pt>
                <c:pt idx="3">
                  <c:v>2016-17</c:v>
                </c:pt>
                <c:pt idx="4">
                  <c:v>2017-18</c:v>
                </c:pt>
              </c:strCache>
            </c:strRef>
          </c:cat>
          <c:val>
            <c:numRef>
              <c:f>Sheet2!$G$14:$G$18</c:f>
              <c:numCache>
                <c:formatCode>_(* #,##0.00_);_(* \(#,##0.00\);_(* "-"??_);_(@_)</c:formatCode>
                <c:ptCount val="5"/>
                <c:pt idx="0">
                  <c:v>2.4999999999999911</c:v>
                </c:pt>
                <c:pt idx="1">
                  <c:v>4.9599999999999866</c:v>
                </c:pt>
                <c:pt idx="2">
                  <c:v>8.4236800000000009</c:v>
                </c:pt>
                <c:pt idx="3">
                  <c:v>12.218508799999972</c:v>
                </c:pt>
                <c:pt idx="4">
                  <c:v>15.585064063999976</c:v>
                </c:pt>
              </c:numCache>
            </c:numRef>
          </c:val>
          <c:smooth val="0"/>
          <c:extLst>
            <c:ext xmlns:c16="http://schemas.microsoft.com/office/drawing/2014/chart" uri="{C3380CC4-5D6E-409C-BE32-E72D297353CC}">
              <c16:uniqueId val="{00000001-C785-4FE7-8D8E-14D1EC09569A}"/>
            </c:ext>
          </c:extLst>
        </c:ser>
        <c:dLbls>
          <c:showLegendKey val="0"/>
          <c:showVal val="0"/>
          <c:showCatName val="0"/>
          <c:showSerName val="0"/>
          <c:showPercent val="0"/>
          <c:showBubbleSize val="0"/>
        </c:dLbls>
        <c:marker val="1"/>
        <c:smooth val="0"/>
        <c:axId val="533179296"/>
        <c:axId val="533178640"/>
        <c:extLst>
          <c:ext xmlns:c15="http://schemas.microsoft.com/office/drawing/2012/chart" uri="{02D57815-91ED-43cb-92C2-25804820EDAC}">
            <c15:filteredLineSeries>
              <c15:ser>
                <c:idx val="3"/>
                <c:order val="2"/>
                <c:tx>
                  <c:strRef>
                    <c:extLst>
                      <c:ext uri="{02D57815-91ED-43cb-92C2-25804820EDAC}">
                        <c15:formulaRef>
                          <c15:sqref>Sheet2!$H$13</c15:sqref>
                        </c15:formulaRef>
                      </c:ext>
                    </c:extLst>
                    <c:strCache>
                      <c:ptCount val="1"/>
                    </c:strCache>
                  </c:strRef>
                </c:tx>
                <c:spPr>
                  <a:ln w="28575" cap="rnd">
                    <a:solidFill>
                      <a:schemeClr val="accent4"/>
                    </a:solidFill>
                    <a:round/>
                  </a:ln>
                  <a:effectLst/>
                </c:spPr>
                <c:marker>
                  <c:symbol val="none"/>
                </c:marker>
                <c:cat>
                  <c:strRef>
                    <c:extLst>
                      <c:ext uri="{02D57815-91ED-43cb-92C2-25804820EDAC}">
                        <c15:formulaRef>
                          <c15:sqref>Sheet2!$D$14:$D$18</c15:sqref>
                        </c15:formulaRef>
                      </c:ext>
                    </c:extLst>
                    <c:strCache>
                      <c:ptCount val="5"/>
                      <c:pt idx="0">
                        <c:v>2013-14</c:v>
                      </c:pt>
                      <c:pt idx="1">
                        <c:v>2014-15</c:v>
                      </c:pt>
                      <c:pt idx="2">
                        <c:v>2015-16</c:v>
                      </c:pt>
                      <c:pt idx="3">
                        <c:v>2016-17</c:v>
                      </c:pt>
                      <c:pt idx="4">
                        <c:v>2017-18</c:v>
                      </c:pt>
                    </c:strCache>
                  </c:strRef>
                </c:cat>
                <c:val>
                  <c:numRef>
                    <c:extLst>
                      <c:ext uri="{02D57815-91ED-43cb-92C2-25804820EDAC}">
                        <c15:formulaRef>
                          <c15:sqref>Sheet2!$H$14:$H$18</c15:sqref>
                        </c15:formulaRef>
                      </c:ext>
                    </c:extLst>
                    <c:numCache>
                      <c:formatCode>General</c:formatCode>
                      <c:ptCount val="5"/>
                    </c:numCache>
                  </c:numRef>
                </c:val>
                <c:smooth val="0"/>
                <c:extLst>
                  <c:ext xmlns:c16="http://schemas.microsoft.com/office/drawing/2014/chart" uri="{C3380CC4-5D6E-409C-BE32-E72D297353CC}">
                    <c16:uniqueId val="{00000002-C785-4FE7-8D8E-14D1EC09569A}"/>
                  </c:ext>
                </c:extLst>
              </c15:ser>
            </c15:filteredLineSeries>
          </c:ext>
        </c:extLst>
      </c:lineChart>
      <c:catAx>
        <c:axId val="53317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178640"/>
        <c:crosses val="autoZero"/>
        <c:auto val="1"/>
        <c:lblAlgn val="ctr"/>
        <c:lblOffset val="100"/>
        <c:noMultiLvlLbl val="0"/>
      </c:catAx>
      <c:valAx>
        <c:axId val="533178640"/>
        <c:scaling>
          <c:orientation val="minMax"/>
          <c:max val="16"/>
          <c:min val="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179296"/>
        <c:crosses val="autoZero"/>
        <c:crossBetween val="between"/>
        <c:minorUnit val="0.5"/>
      </c:valAx>
      <c:spPr>
        <a:noFill/>
        <a:ln>
          <a:noFill/>
        </a:ln>
        <a:effectLst/>
      </c:spPr>
    </c:plotArea>
    <c:legend>
      <c:legendPos val="b"/>
      <c:layout>
        <c:manualLayout>
          <c:xMode val="edge"/>
          <c:yMode val="edge"/>
          <c:x val="8.3283638096530027E-2"/>
          <c:y val="0.10525011807152422"/>
          <c:w val="0.38148060388301119"/>
          <c:h val="0.35738740622024018"/>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Sheet1!$B$5:$B$13</c:f>
              <c:strCache>
                <c:ptCount val="9"/>
                <c:pt idx="0">
                  <c:v>   10th (P10)</c:v>
                </c:pt>
                <c:pt idx="1">
                  <c:v>   20th (P20)</c:v>
                </c:pt>
                <c:pt idx="2">
                  <c:v>   30th (P30)</c:v>
                </c:pt>
                <c:pt idx="3">
                  <c:v>   40th (P40)</c:v>
                </c:pt>
                <c:pt idx="4">
                  <c:v>   50th (P50)</c:v>
                </c:pt>
                <c:pt idx="5">
                  <c:v>   60th (P60)</c:v>
                </c:pt>
                <c:pt idx="6">
                  <c:v>   70th (P70)</c:v>
                </c:pt>
                <c:pt idx="7">
                  <c:v>   80th (P80)</c:v>
                </c:pt>
                <c:pt idx="8">
                  <c:v>   90th (P90)</c:v>
                </c:pt>
              </c:strCache>
            </c:strRef>
          </c:cat>
          <c:val>
            <c:numRef>
              <c:f>Sheet1!$C$5:$C$13</c:f>
              <c:numCache>
                <c:formatCode>#,##0</c:formatCode>
                <c:ptCount val="9"/>
                <c:pt idx="0">
                  <c:v>425</c:v>
                </c:pt>
                <c:pt idx="1">
                  <c:v>440</c:v>
                </c:pt>
                <c:pt idx="2">
                  <c:v>458</c:v>
                </c:pt>
                <c:pt idx="3">
                  <c:v>495</c:v>
                </c:pt>
                <c:pt idx="4">
                  <c:v>549</c:v>
                </c:pt>
                <c:pt idx="5">
                  <c:v>603</c:v>
                </c:pt>
                <c:pt idx="6">
                  <c:v>696</c:v>
                </c:pt>
                <c:pt idx="7">
                  <c:v>791</c:v>
                </c:pt>
                <c:pt idx="8">
                  <c:v>1003</c:v>
                </c:pt>
              </c:numCache>
            </c:numRef>
          </c:val>
          <c:extLst>
            <c:ext xmlns:c16="http://schemas.microsoft.com/office/drawing/2014/chart" uri="{C3380CC4-5D6E-409C-BE32-E72D297353CC}">
              <c16:uniqueId val="{00000000-8354-4725-9C98-F0D7D0193A89}"/>
            </c:ext>
          </c:extLst>
        </c:ser>
        <c:dLbls>
          <c:showLegendKey val="0"/>
          <c:showVal val="0"/>
          <c:showCatName val="0"/>
          <c:showSerName val="0"/>
          <c:showPercent val="0"/>
          <c:showBubbleSize val="0"/>
        </c:dLbls>
        <c:gapWidth val="219"/>
        <c:overlap val="-27"/>
        <c:axId val="501041896"/>
        <c:axId val="501035664"/>
      </c:barChart>
      <c:catAx>
        <c:axId val="501041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035664"/>
        <c:crosses val="autoZero"/>
        <c:auto val="1"/>
        <c:lblAlgn val="ctr"/>
        <c:lblOffset val="100"/>
        <c:noMultiLvlLbl val="0"/>
      </c:catAx>
      <c:valAx>
        <c:axId val="501035664"/>
        <c:scaling>
          <c:orientation val="minMax"/>
        </c:scaling>
        <c:delete val="1"/>
        <c:axPos val="l"/>
        <c:numFmt formatCode="#,##0" sourceLinked="1"/>
        <c:majorTickMark val="none"/>
        <c:minorTickMark val="none"/>
        <c:tickLblPos val="nextTo"/>
        <c:crossAx val="501041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9A94"/>
      </a:accent1>
      <a:accent2>
        <a:srgbClr val="82CFCF"/>
      </a:accent2>
      <a:accent3>
        <a:srgbClr val="A7D381"/>
      </a:accent3>
      <a:accent4>
        <a:srgbClr val="84C44C"/>
      </a:accent4>
      <a:accent5>
        <a:srgbClr val="009B59"/>
      </a:accent5>
      <a:accent6>
        <a:srgbClr val="EF404A"/>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Leading Age Services Australia POSITION</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2019MINS-957875958-401</_dlc_DocId>
    <_dlc_DocIdUrl xmlns="0f563589-9cf9-4143-b1eb-fb0534803d38">
      <Url>http://tweb/sites/mins/activity/prebudget/_layouts/15/DocIdRedir.aspx?ID=2019MINS-957875958-401</Url>
      <Description>2019MINS-957875958-401</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8.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7D2546-8878-45E0-BFEB-2786A7FF22C9}"/>
</file>

<file path=customXml/itemProps3.xml><?xml version="1.0" encoding="utf-8"?>
<ds:datastoreItem xmlns:ds="http://schemas.openxmlformats.org/officeDocument/2006/customXml" ds:itemID="{9F9E1CB4-A53A-4004-A088-7C2D0C8610F9}">
  <ds:schemaRefs>
    <ds:schemaRef ds:uri="http://schemas.microsoft.com/sharepoint/v3/contenttype/forms"/>
  </ds:schemaRefs>
</ds:datastoreItem>
</file>

<file path=customXml/itemProps4.xml><?xml version="1.0" encoding="utf-8"?>
<ds:datastoreItem xmlns:ds="http://schemas.openxmlformats.org/officeDocument/2006/customXml" ds:itemID="{9277C56D-A13E-41DE-B70C-07853CD1A1A6}">
  <ds:schemaRefs>
    <ds:schemaRef ds:uri="http://schemas.microsoft.com/office/2006/metadata/properties"/>
    <ds:schemaRef ds:uri="http://schemas.microsoft.com/office/infopath/2007/PartnerControls"/>
    <ds:schemaRef ds:uri="6d133f09-30ad-4cb2-a4d1-1980daa03b0d"/>
  </ds:schemaRefs>
</ds:datastoreItem>
</file>

<file path=customXml/itemProps5.xml><?xml version="1.0" encoding="utf-8"?>
<ds:datastoreItem xmlns:ds="http://schemas.openxmlformats.org/officeDocument/2006/customXml" ds:itemID="{4573F148-8E3D-4D32-A90A-46E3E8B81A64}">
  <ds:schemaRefs>
    <ds:schemaRef ds:uri="http://schemas.openxmlformats.org/officeDocument/2006/bibliography"/>
  </ds:schemaRefs>
</ds:datastoreItem>
</file>

<file path=customXml/itemProps6.xml><?xml version="1.0" encoding="utf-8"?>
<ds:datastoreItem xmlns:ds="http://schemas.openxmlformats.org/officeDocument/2006/customXml" ds:itemID="{B97C7F58-5E8B-422F-897A-788CF5BDC8C9}"/>
</file>

<file path=customXml/itemProps7.xml><?xml version="1.0" encoding="utf-8"?>
<ds:datastoreItem xmlns:ds="http://schemas.openxmlformats.org/officeDocument/2006/customXml" ds:itemID="{A0008466-4F19-4787-BABB-4E1147D3E489}"/>
</file>

<file path=customXml/itemProps8.xml><?xml version="1.0" encoding="utf-8"?>
<ds:datastoreItem xmlns:ds="http://schemas.openxmlformats.org/officeDocument/2006/customXml" ds:itemID="{3B11AEEA-2A16-4526-83FD-C6F8B7184440}"/>
</file>

<file path=docProps/app.xml><?xml version="1.0" encoding="utf-8"?>
<Properties xmlns="http://schemas.openxmlformats.org/officeDocument/2006/extended-properties" xmlns:vt="http://schemas.openxmlformats.org/officeDocument/2006/docPropsVTypes">
  <Template>Normal</Template>
  <TotalTime>1</TotalTime>
  <Pages>12</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LASA 2019-20 Budget Submission</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LASA 2019-20 Budget Submission</dc:title>
  <dc:subject>February 2019</dc:subject>
  <dc:creator>XXXX</dc:creator>
  <cp:keywords/>
  <dc:description/>
  <cp:lastModifiedBy>Tim Hicks</cp:lastModifiedBy>
  <cp:revision>3</cp:revision>
  <cp:lastPrinted>2018-05-09T02:04:00Z</cp:lastPrinted>
  <dcterms:created xsi:type="dcterms:W3CDTF">2019-02-02T01:47:00Z</dcterms:created>
  <dcterms:modified xsi:type="dcterms:W3CDTF">2019-02-02T01:48:00Z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7037b480-982e-4d92-9b71-9c7d2e8ca382</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{3426d429-ac37-4aa0-9c77-715c701754e2}</vt:lpwstr>
  </property>
  <property fmtid="{D5CDD505-2E9C-101B-9397-08002B2CF9AE}" pid="9" name="RecordPoint_ActiveItemWebId">
    <vt:lpwstr>{2af1fd9f-9360-4de3-abf2-ccd65f89a90c}</vt:lpwstr>
  </property>
  <property fmtid="{D5CDD505-2E9C-101B-9397-08002B2CF9AE}" pid="10" name="RecordPoint_RecordNumberSubmitted">
    <vt:lpwstr>R0001991044</vt:lpwstr>
  </property>
  <property fmtid="{D5CDD505-2E9C-101B-9397-08002B2CF9AE}" pid="11" name="RecordPoint_SubmissionCompleted">
    <vt:lpwstr>2019-02-04T19:04:17.8353258+11:00</vt:lpwstr>
  </property>
</Properties>
</file>