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29888060"/>
    <w:bookmarkStart w:id="1" w:name="_Toc532385397"/>
    <w:bookmarkStart w:id="2" w:name="_Toc529888061"/>
    <w:bookmarkStart w:id="3" w:name="_GoBack"/>
    <w:bookmarkEnd w:id="3"/>
    <w:p w14:paraId="6F0F681B" w14:textId="4853AB0D" w:rsidR="00AB79CF" w:rsidRDefault="00E42888">
      <w:pPr>
        <w:rPr>
          <w:sz w:val="20"/>
        </w:rPr>
      </w:pPr>
      <w:r>
        <w:rPr>
          <w:noProof/>
          <w:lang w:eastAsia="en-AU"/>
        </w:rPr>
        <mc:AlternateContent>
          <mc:Choice Requires="wps">
            <w:drawing>
              <wp:anchor distT="0" distB="0" distL="114300" distR="114300" simplePos="0" relativeHeight="251667456" behindDoc="0" locked="0" layoutInCell="1" allowOverlap="1" wp14:anchorId="1A261A81" wp14:editId="30A1EEE5">
                <wp:simplePos x="0" y="0"/>
                <wp:positionH relativeFrom="margin">
                  <wp:posOffset>-466725</wp:posOffset>
                </wp:positionH>
                <wp:positionV relativeFrom="page">
                  <wp:posOffset>5429250</wp:posOffset>
                </wp:positionV>
                <wp:extent cx="3209925" cy="3632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363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C08EB8" w14:textId="544D8F47" w:rsidR="00E50AB6" w:rsidRPr="00387D0C" w:rsidRDefault="00E50AB6" w:rsidP="0060580B">
                            <w:pPr>
                              <w:rPr>
                                <w:rFonts w:cs="Arial"/>
                                <w:b/>
                                <w:bCs/>
                                <w:color w:val="FFFFFF" w:themeColor="background1"/>
                                <w:sz w:val="32"/>
                                <w:szCs w:val="40"/>
                              </w:rPr>
                            </w:pPr>
                            <w:r>
                              <w:rPr>
                                <w:rFonts w:cs="Arial"/>
                                <w:b/>
                                <w:bCs/>
                                <w:color w:val="FFFFFF" w:themeColor="background1"/>
                                <w:sz w:val="32"/>
                                <w:szCs w:val="40"/>
                              </w:rPr>
                              <w:t>December 2018</w:t>
                            </w:r>
                          </w:p>
                          <w:p w14:paraId="3D301651" w14:textId="77777777" w:rsidR="00E50AB6" w:rsidRPr="00387D0C" w:rsidRDefault="00E50AB6" w:rsidP="0060580B">
                            <w:pPr>
                              <w:rPr>
                                <w:rFonts w:cs="Arial"/>
                                <w:color w:val="FFFFFF" w:themeColor="background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A261A81" id="_x0000_t202" coordsize="21600,21600" o:spt="202" path="m,l,21600r21600,l21600,xe">
                <v:stroke joinstyle="miter"/>
                <v:path gradientshapeok="t" o:connecttype="rect"/>
              </v:shapetype>
              <v:shape id="Text Box 2" o:spid="_x0000_s1026" type="#_x0000_t202" style="position:absolute;margin-left:-36.75pt;margin-top:427.5pt;width:252.75pt;height:28.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" filled="f" stroked="f" strokeweight=".5pt">
                <v:path arrowok="t"/>
                <v:textbox>
                  <w:txbxContent>
                    <w:p w14:paraId="73C08EB8" w14:textId="544D8F47" w:rsidR="00E50AB6" w:rsidRPr="00387D0C" w:rsidRDefault="00E50AB6" w:rsidP="0060580B">
                      <w:pPr>
                        <w:rPr>
                          <w:rFonts w:cs="Arial"/>
                          <w:b/>
                          <w:bCs/>
                          <w:color w:val="FFFFFF" w:themeColor="background1"/>
                          <w:sz w:val="32"/>
                          <w:szCs w:val="40"/>
                        </w:rPr>
                      </w:pPr>
                      <w:r>
                        <w:rPr>
                          <w:rFonts w:cs="Arial"/>
                          <w:b/>
                          <w:bCs/>
                          <w:color w:val="FFFFFF" w:themeColor="background1"/>
                          <w:sz w:val="32"/>
                          <w:szCs w:val="40"/>
                        </w:rPr>
                        <w:t>December 2018</w:t>
                      </w:r>
                    </w:p>
                    <w:p w14:paraId="3D301651" w14:textId="77777777" w:rsidR="00E50AB6" w:rsidRPr="00387D0C" w:rsidRDefault="00E50AB6" w:rsidP="0060580B">
                      <w:pPr>
                        <w:rPr>
                          <w:rFonts w:cs="Arial"/>
                          <w:color w:val="FFFFFF" w:themeColor="background1"/>
                          <w:sz w:val="18"/>
                        </w:rPr>
                      </w:pPr>
                    </w:p>
                  </w:txbxContent>
                </v:textbox>
                <w10:wrap anchorx="margin" anchory="page"/>
              </v:shape>
            </w:pict>
          </mc:Fallback>
        </mc:AlternateContent>
      </w:r>
      <w:r>
        <w:rPr>
          <w:rFonts w:cstheme="minorHAnsi"/>
          <w:noProof/>
          <w:lang w:eastAsia="en-AU"/>
        </w:rPr>
        <mc:AlternateContent>
          <mc:Choice Requires="wps">
            <w:drawing>
              <wp:anchor distT="0" distB="0" distL="114300" distR="114300" simplePos="0" relativeHeight="251665408" behindDoc="0" locked="0" layoutInCell="1" allowOverlap="1" wp14:anchorId="42A3009D" wp14:editId="1B128979">
                <wp:simplePos x="0" y="0"/>
                <wp:positionH relativeFrom="margin">
                  <wp:posOffset>-495300</wp:posOffset>
                </wp:positionH>
                <wp:positionV relativeFrom="page">
                  <wp:posOffset>4305300</wp:posOffset>
                </wp:positionV>
                <wp:extent cx="6572250" cy="914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781558" w14:textId="267EC688" w:rsidR="00E50AB6" w:rsidRPr="00387D0C" w:rsidRDefault="00E50AB6" w:rsidP="007926C2">
                            <w:pPr>
                              <w:spacing w:after="0" w:line="240" w:lineRule="auto"/>
                              <w:rPr>
                                <w:rFonts w:cs="Arial"/>
                                <w:b/>
                                <w:color w:val="FFFFFF" w:themeColor="background1"/>
                                <w:sz w:val="32"/>
                              </w:rPr>
                            </w:pPr>
                            <w:r>
                              <w:rPr>
                                <w:rFonts w:eastAsiaTheme="majorEastAsia" w:cs="Arial"/>
                                <w:b/>
                                <w:bCs/>
                                <w:color w:val="FFFFFF" w:themeColor="background1"/>
                                <w:sz w:val="52"/>
                                <w:szCs w:val="48"/>
                              </w:rPr>
                              <w:t>2019 Commonwealth pre-budget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2A3009D" id="Text Box 5" o:spid="_x0000_s1027" type="#_x0000_t202" style="position:absolute;margin-left:-39pt;margin-top:339pt;width:517.5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" filled="f" stroked="f" strokeweight=".5pt">
                <v:path arrowok="t"/>
                <v:textbox>
                  <w:txbxContent>
                    <w:p w14:paraId="5C781558" w14:textId="267EC688" w:rsidR="00E50AB6" w:rsidRPr="00387D0C" w:rsidRDefault="00E50AB6" w:rsidP="007926C2">
                      <w:pPr>
                        <w:spacing w:after="0" w:line="240" w:lineRule="auto"/>
                        <w:rPr>
                          <w:rFonts w:cs="Arial"/>
                          <w:b/>
                          <w:color w:val="FFFFFF" w:themeColor="background1"/>
                          <w:sz w:val="32"/>
                        </w:rPr>
                      </w:pPr>
                      <w:r>
                        <w:rPr>
                          <w:rFonts w:eastAsiaTheme="majorEastAsia" w:cs="Arial"/>
                          <w:b/>
                          <w:bCs/>
                          <w:color w:val="FFFFFF" w:themeColor="background1"/>
                          <w:sz w:val="52"/>
                          <w:szCs w:val="48"/>
                        </w:rPr>
                        <w:t>2019 Commonwealth pre-budget submission</w:t>
                      </w:r>
                    </w:p>
                  </w:txbxContent>
                </v:textbox>
                <w10:wrap anchorx="margin" anchory="page"/>
              </v:shape>
            </w:pict>
          </mc:Fallback>
        </mc:AlternateContent>
      </w:r>
      <w:r w:rsidR="00AB79CF">
        <w:rPr>
          <w:noProof/>
          <w:lang w:eastAsia="en-AU"/>
        </w:rPr>
        <w:drawing>
          <wp:anchor distT="0" distB="0" distL="114300" distR="114300" simplePos="0" relativeHeight="251663360" behindDoc="0" locked="0" layoutInCell="1" allowOverlap="1" wp14:anchorId="52833E1F" wp14:editId="32FC8EBC">
            <wp:simplePos x="0" y="0"/>
            <wp:positionH relativeFrom="page">
              <wp:align>left</wp:align>
            </wp:positionH>
            <wp:positionV relativeFrom="paragraph">
              <wp:posOffset>-914400</wp:posOffset>
            </wp:positionV>
            <wp:extent cx="7563610" cy="106932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mp;R_FRONT cop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3610" cy="10693274"/>
                    </a:xfrm>
                    <a:prstGeom prst="rect">
                      <a:avLst/>
                    </a:prstGeom>
                  </pic:spPr>
                </pic:pic>
              </a:graphicData>
            </a:graphic>
            <wp14:sizeRelH relativeFrom="margin">
              <wp14:pctWidth>0</wp14:pctWidth>
            </wp14:sizeRelH>
            <wp14:sizeRelV relativeFrom="margin">
              <wp14:pctHeight>0</wp14:pctHeight>
            </wp14:sizeRelV>
          </wp:anchor>
        </w:drawing>
      </w:r>
      <w:r w:rsidR="00AB79CF">
        <w:rPr>
          <w:sz w:val="20"/>
        </w:rPr>
        <w:br w:type="page"/>
      </w:r>
    </w:p>
    <w:p w14:paraId="12D2E230" w14:textId="00D7BA36" w:rsidR="002A36A4" w:rsidRDefault="002A36A4" w:rsidP="002A36A4">
      <w:pPr>
        <w:rPr>
          <w:sz w:val="20"/>
        </w:rPr>
      </w:pPr>
      <w:r>
        <w:rPr>
          <w:noProof/>
          <w:lang w:eastAsia="en-AU"/>
        </w:rPr>
        <w:lastRenderedPageBreak/>
        <w:drawing>
          <wp:anchor distT="0" distB="0" distL="114300" distR="114300" simplePos="0" relativeHeight="251661312" behindDoc="1" locked="0" layoutInCell="1" allowOverlap="1" wp14:anchorId="6E681C64" wp14:editId="2B162B28">
            <wp:simplePos x="0" y="0"/>
            <wp:positionH relativeFrom="margin">
              <wp:align>left</wp:align>
            </wp:positionH>
            <wp:positionV relativeFrom="paragraph">
              <wp:posOffset>185530</wp:posOffset>
            </wp:positionV>
            <wp:extent cx="1060174" cy="1060174"/>
            <wp:effectExtent l="0" t="0" r="698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OPPING HARM LOGO-0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0174" cy="1060174"/>
                    </a:xfrm>
                    <a:prstGeom prst="rect">
                      <a:avLst/>
                    </a:prstGeom>
                  </pic:spPr>
                </pic:pic>
              </a:graphicData>
            </a:graphic>
            <wp14:sizeRelH relativeFrom="margin">
              <wp14:pctWidth>0</wp14:pctWidth>
            </wp14:sizeRelH>
            <wp14:sizeRelV relativeFrom="margin">
              <wp14:pctHeight>0</wp14:pctHeight>
            </wp14:sizeRelV>
          </wp:anchor>
        </w:drawing>
      </w:r>
    </w:p>
    <w:p w14:paraId="14808787" w14:textId="48BCF213" w:rsidR="00927EBB" w:rsidRDefault="00927EBB" w:rsidP="002A36A4">
      <w:pPr>
        <w:rPr>
          <w:sz w:val="20"/>
        </w:rPr>
      </w:pPr>
    </w:p>
    <w:p w14:paraId="139FA357" w14:textId="57CD028F" w:rsidR="00927EBB" w:rsidRDefault="00927EBB" w:rsidP="002A36A4">
      <w:pPr>
        <w:rPr>
          <w:sz w:val="20"/>
        </w:rPr>
      </w:pPr>
    </w:p>
    <w:p w14:paraId="6EE814AB" w14:textId="77777777" w:rsidR="00927EBB" w:rsidRDefault="00927EBB" w:rsidP="002A36A4">
      <w:pPr>
        <w:rPr>
          <w:sz w:val="20"/>
        </w:rPr>
      </w:pPr>
    </w:p>
    <w:p w14:paraId="3F3C0F9F" w14:textId="77777777" w:rsidR="002A36A4" w:rsidRDefault="002A36A4" w:rsidP="002A36A4">
      <w:pPr>
        <w:rPr>
          <w:sz w:val="20"/>
        </w:rPr>
      </w:pPr>
    </w:p>
    <w:p w14:paraId="7E302BD6" w14:textId="77777777" w:rsidR="002A36A4" w:rsidRDefault="002A36A4" w:rsidP="002A36A4">
      <w:pPr>
        <w:rPr>
          <w:sz w:val="20"/>
        </w:rPr>
      </w:pPr>
    </w:p>
    <w:p w14:paraId="190EB239" w14:textId="77777777" w:rsidR="002A36A4" w:rsidRPr="00724879" w:rsidRDefault="002A36A4" w:rsidP="002A36A4">
      <w:pPr>
        <w:rPr>
          <w:b/>
          <w:color w:val="23A8D8"/>
          <w:sz w:val="36"/>
          <w:szCs w:val="40"/>
        </w:rPr>
      </w:pPr>
      <w:r w:rsidRPr="00724879">
        <w:rPr>
          <w:b/>
          <w:color w:val="23A8D8"/>
          <w:sz w:val="36"/>
          <w:szCs w:val="40"/>
        </w:rPr>
        <w:t xml:space="preserve">About the Foundation for Alcohol Research </w:t>
      </w:r>
      <w:r>
        <w:rPr>
          <w:b/>
          <w:color w:val="23A8D8"/>
          <w:sz w:val="36"/>
          <w:szCs w:val="40"/>
        </w:rPr>
        <w:t>and</w:t>
      </w:r>
      <w:r w:rsidRPr="00724879">
        <w:rPr>
          <w:b/>
          <w:color w:val="23A8D8"/>
          <w:sz w:val="36"/>
          <w:szCs w:val="40"/>
        </w:rPr>
        <w:t xml:space="preserve"> Education</w:t>
      </w:r>
    </w:p>
    <w:p w14:paraId="63D7E363" w14:textId="77777777" w:rsidR="002A36A4" w:rsidRDefault="002A36A4" w:rsidP="00585539">
      <w:pPr>
        <w:jc w:val="both"/>
      </w:pPr>
      <w:r>
        <w:t>The Foundation for Alcohol Research and Education (FARE) is an independent, not-for-profit organisation working to stop the harm caused by alcohol.</w:t>
      </w:r>
    </w:p>
    <w:p w14:paraId="6C3B2D05" w14:textId="0C4B7D45" w:rsidR="002A36A4" w:rsidRDefault="002A36A4" w:rsidP="00585539">
      <w:pPr>
        <w:jc w:val="both"/>
      </w:pPr>
      <w:r>
        <w:t xml:space="preserve">Alcohol harm in Australia is significant. </w:t>
      </w:r>
      <w:r w:rsidR="00DB7332">
        <w:t>Nearly</w:t>
      </w:r>
      <w:r>
        <w:t xml:space="preserve"> 6,000 lives are lost every year and more than 144,000 people are hospitalised making alcohol one of our nation’s greatest preventive health challenges.</w:t>
      </w:r>
      <w:r>
        <w:rPr>
          <w:bCs/>
          <w:noProof/>
          <w:color w:val="595959" w:themeColor="text1" w:themeTint="A6"/>
          <w:sz w:val="24"/>
          <w:szCs w:val="56"/>
          <w:lang w:eastAsia="en-AU"/>
        </w:rPr>
        <w:t xml:space="preserve"> </w:t>
      </w:r>
    </w:p>
    <w:p w14:paraId="353B13C6" w14:textId="227416F3" w:rsidR="002A36A4" w:rsidRDefault="000812D1" w:rsidP="00585539">
      <w:pPr>
        <w:jc w:val="both"/>
      </w:pPr>
      <w:r>
        <w:t xml:space="preserve">For more than </w:t>
      </w:r>
      <w:r w:rsidR="002A36A4">
        <w:t>a decade, FARE has been working with communities, governments, health professionals</w:t>
      </w:r>
      <w:r>
        <w:t xml:space="preserve">, </w:t>
      </w:r>
      <w:r w:rsidR="008D744A">
        <w:t>l</w:t>
      </w:r>
      <w:r>
        <w:t>aw enforcement and emergency services</w:t>
      </w:r>
      <w:r w:rsidR="002A36A4">
        <w:t xml:space="preserve"> across the country to stop alcohol harm by supporting world-leading research, raising public awareness and advocating for changes to alcohol policy.</w:t>
      </w:r>
    </w:p>
    <w:p w14:paraId="36726F9E" w14:textId="367D3E7A" w:rsidR="002A36A4" w:rsidRDefault="002A36A4" w:rsidP="00585539">
      <w:pPr>
        <w:jc w:val="both"/>
      </w:pPr>
      <w:r>
        <w:t xml:space="preserve">FARE is guided by the World Health Organization’s (2010) </w:t>
      </w:r>
      <w:r>
        <w:rPr>
          <w:i/>
          <w:iCs/>
        </w:rPr>
        <w:t>Global strategy to reduce the harmful use of alcohol</w:t>
      </w:r>
      <w:r>
        <w:t xml:space="preserve"> for stopping alcohol harm through population-based strategies, problem directed policies, and direct interventions.</w:t>
      </w:r>
    </w:p>
    <w:p w14:paraId="5F30CE53" w14:textId="77777777" w:rsidR="002A36A4" w:rsidRDefault="002A36A4" w:rsidP="00585539">
      <w:pPr>
        <w:jc w:val="both"/>
      </w:pPr>
      <w:r>
        <w:t xml:space="preserve">If you would like to contribute to FARE’s important work, call us on (02) 6122 8600 or email </w:t>
      </w:r>
      <w:hyperlink r:id="rId16" w:history="1">
        <w:r>
          <w:rPr>
            <w:rStyle w:val="Hyperlink"/>
          </w:rPr>
          <w:t>info@fare.org.au</w:t>
        </w:r>
      </w:hyperlink>
      <w:r>
        <w:t>.</w:t>
      </w:r>
    </w:p>
    <w:p w14:paraId="4AFBA464" w14:textId="77777777" w:rsidR="00D91A14" w:rsidRDefault="00D91A14" w:rsidP="00585539">
      <w:pPr>
        <w:jc w:val="both"/>
        <w:rPr>
          <w:b/>
          <w:bCs/>
        </w:rPr>
      </w:pPr>
      <w:r>
        <w:rPr>
          <w:b/>
          <w:bCs/>
        </w:rPr>
        <w:br w:type="page"/>
      </w:r>
    </w:p>
    <w:sdt>
      <w:sdtPr>
        <w:rPr>
          <w:rFonts w:asciiTheme="minorHAnsi" w:eastAsiaTheme="minorEastAsia" w:hAnsiTheme="minorHAnsi" w:cstheme="minorBidi"/>
          <w:color w:val="auto"/>
          <w:sz w:val="22"/>
          <w:szCs w:val="22"/>
          <w:lang w:val="en-AU" w:eastAsia="zh-TW"/>
        </w:rPr>
        <w:id w:val="883296944"/>
        <w:docPartObj>
          <w:docPartGallery w:val="Table of Contents"/>
          <w:docPartUnique/>
        </w:docPartObj>
      </w:sdtPr>
      <w:sdtEndPr>
        <w:rPr>
          <w:b/>
          <w:bCs/>
          <w:noProof/>
        </w:rPr>
      </w:sdtEndPr>
      <w:sdtContent>
        <w:p w14:paraId="4BFDDA63" w14:textId="25146429" w:rsidR="00AB79CF" w:rsidRPr="00AB79CF" w:rsidRDefault="00AB79CF">
          <w:pPr>
            <w:pStyle w:val="TOCHeading"/>
            <w:rPr>
              <w:rStyle w:val="Heading1Char"/>
            </w:rPr>
          </w:pPr>
          <w:r w:rsidRPr="00AB79CF">
            <w:rPr>
              <w:rStyle w:val="Heading1Char"/>
            </w:rPr>
            <w:t>Contents</w:t>
          </w:r>
        </w:p>
        <w:p w14:paraId="5BF8B551" w14:textId="1B73A41C" w:rsidR="00F259B0" w:rsidRDefault="00AB79CF">
          <w:pPr>
            <w:pStyle w:val="TOC1"/>
            <w:tabs>
              <w:tab w:val="right" w:leader="dot" w:pos="9016"/>
            </w:tabs>
            <w:rPr>
              <w:noProof/>
              <w:lang w:eastAsia="en-AU"/>
            </w:rPr>
          </w:pPr>
          <w:r>
            <w:fldChar w:fldCharType="begin"/>
          </w:r>
          <w:r>
            <w:instrText xml:space="preserve"> TOC \o "1-3" \h \z \u </w:instrText>
          </w:r>
          <w:r>
            <w:fldChar w:fldCharType="separate"/>
          </w:r>
          <w:hyperlink w:anchor="_Toc532809046" w:history="1">
            <w:r w:rsidR="00F259B0" w:rsidRPr="007A2F2A">
              <w:rPr>
                <w:rStyle w:val="Hyperlink"/>
                <w:noProof/>
              </w:rPr>
              <w:t>Introduction</w:t>
            </w:r>
            <w:r w:rsidR="00F259B0">
              <w:rPr>
                <w:noProof/>
                <w:webHidden/>
              </w:rPr>
              <w:tab/>
            </w:r>
            <w:r w:rsidR="00F259B0">
              <w:rPr>
                <w:noProof/>
                <w:webHidden/>
              </w:rPr>
              <w:fldChar w:fldCharType="begin"/>
            </w:r>
            <w:r w:rsidR="00F259B0">
              <w:rPr>
                <w:noProof/>
                <w:webHidden/>
              </w:rPr>
              <w:instrText xml:space="preserve"> PAGEREF _Toc532809046 \h </w:instrText>
            </w:r>
            <w:r w:rsidR="00F259B0">
              <w:rPr>
                <w:noProof/>
                <w:webHidden/>
              </w:rPr>
            </w:r>
            <w:r w:rsidR="00F259B0">
              <w:rPr>
                <w:noProof/>
                <w:webHidden/>
              </w:rPr>
              <w:fldChar w:fldCharType="separate"/>
            </w:r>
            <w:r w:rsidR="00F259B0">
              <w:rPr>
                <w:noProof/>
                <w:webHidden/>
              </w:rPr>
              <w:t>4</w:t>
            </w:r>
            <w:r w:rsidR="00F259B0">
              <w:rPr>
                <w:noProof/>
                <w:webHidden/>
              </w:rPr>
              <w:fldChar w:fldCharType="end"/>
            </w:r>
          </w:hyperlink>
        </w:p>
        <w:p w14:paraId="6F50D557" w14:textId="37526EB1" w:rsidR="00F259B0" w:rsidRDefault="00655438">
          <w:pPr>
            <w:pStyle w:val="TOC1"/>
            <w:tabs>
              <w:tab w:val="right" w:leader="dot" w:pos="9016"/>
            </w:tabs>
            <w:rPr>
              <w:noProof/>
              <w:lang w:eastAsia="en-AU"/>
            </w:rPr>
          </w:pPr>
          <w:hyperlink w:anchor="_Toc532809047" w:history="1">
            <w:r w:rsidR="00F259B0" w:rsidRPr="007A2F2A">
              <w:rPr>
                <w:rStyle w:val="Hyperlink"/>
                <w:noProof/>
              </w:rPr>
              <w:t>FARE 2019-20 tax proposal</w:t>
            </w:r>
            <w:r w:rsidR="00F259B0">
              <w:rPr>
                <w:noProof/>
                <w:webHidden/>
              </w:rPr>
              <w:tab/>
            </w:r>
            <w:r w:rsidR="00F259B0">
              <w:rPr>
                <w:noProof/>
                <w:webHidden/>
              </w:rPr>
              <w:fldChar w:fldCharType="begin"/>
            </w:r>
            <w:r w:rsidR="00F259B0">
              <w:rPr>
                <w:noProof/>
                <w:webHidden/>
              </w:rPr>
              <w:instrText xml:space="preserve"> PAGEREF _Toc532809047 \h </w:instrText>
            </w:r>
            <w:r w:rsidR="00F259B0">
              <w:rPr>
                <w:noProof/>
                <w:webHidden/>
              </w:rPr>
            </w:r>
            <w:r w:rsidR="00F259B0">
              <w:rPr>
                <w:noProof/>
                <w:webHidden/>
              </w:rPr>
              <w:fldChar w:fldCharType="separate"/>
            </w:r>
            <w:r w:rsidR="00F259B0">
              <w:rPr>
                <w:noProof/>
                <w:webHidden/>
              </w:rPr>
              <w:t>5</w:t>
            </w:r>
            <w:r w:rsidR="00F259B0">
              <w:rPr>
                <w:noProof/>
                <w:webHidden/>
              </w:rPr>
              <w:fldChar w:fldCharType="end"/>
            </w:r>
          </w:hyperlink>
        </w:p>
        <w:p w14:paraId="0B15608C" w14:textId="2EB10967" w:rsidR="00F259B0" w:rsidRDefault="00655438">
          <w:pPr>
            <w:pStyle w:val="TOC2"/>
            <w:tabs>
              <w:tab w:val="right" w:leader="dot" w:pos="9016"/>
            </w:tabs>
            <w:rPr>
              <w:noProof/>
              <w:lang w:eastAsia="en-AU"/>
            </w:rPr>
          </w:pPr>
          <w:hyperlink w:anchor="_Toc532809048" w:history="1">
            <w:r w:rsidR="00F259B0" w:rsidRPr="007A2F2A">
              <w:rPr>
                <w:rStyle w:val="Hyperlink"/>
                <w:b/>
                <w:noProof/>
              </w:rPr>
              <w:t>The current alcohol tax system is harmful to health and the economy</w:t>
            </w:r>
            <w:r w:rsidR="00F259B0">
              <w:rPr>
                <w:noProof/>
                <w:webHidden/>
              </w:rPr>
              <w:tab/>
            </w:r>
            <w:r w:rsidR="00F259B0">
              <w:rPr>
                <w:noProof/>
                <w:webHidden/>
              </w:rPr>
              <w:fldChar w:fldCharType="begin"/>
            </w:r>
            <w:r w:rsidR="00F259B0">
              <w:rPr>
                <w:noProof/>
                <w:webHidden/>
              </w:rPr>
              <w:instrText xml:space="preserve"> PAGEREF _Toc532809048 \h </w:instrText>
            </w:r>
            <w:r w:rsidR="00F259B0">
              <w:rPr>
                <w:noProof/>
                <w:webHidden/>
              </w:rPr>
            </w:r>
            <w:r w:rsidR="00F259B0">
              <w:rPr>
                <w:noProof/>
                <w:webHidden/>
              </w:rPr>
              <w:fldChar w:fldCharType="separate"/>
            </w:r>
            <w:r w:rsidR="00F259B0">
              <w:rPr>
                <w:noProof/>
                <w:webHidden/>
              </w:rPr>
              <w:t>6</w:t>
            </w:r>
            <w:r w:rsidR="00F259B0">
              <w:rPr>
                <w:noProof/>
                <w:webHidden/>
              </w:rPr>
              <w:fldChar w:fldCharType="end"/>
            </w:r>
          </w:hyperlink>
        </w:p>
        <w:p w14:paraId="4E258ABD" w14:textId="2D1E86F0" w:rsidR="00F259B0" w:rsidRDefault="00655438">
          <w:pPr>
            <w:pStyle w:val="TOC2"/>
            <w:tabs>
              <w:tab w:val="right" w:leader="dot" w:pos="9016"/>
            </w:tabs>
            <w:rPr>
              <w:noProof/>
              <w:lang w:eastAsia="en-AU"/>
            </w:rPr>
          </w:pPr>
          <w:hyperlink w:anchor="_Toc532809049" w:history="1">
            <w:r w:rsidR="00F259B0" w:rsidRPr="007A2F2A">
              <w:rPr>
                <w:rStyle w:val="Hyperlink"/>
                <w:b/>
                <w:noProof/>
              </w:rPr>
              <w:t>The WET fuels harm from cheap wine</w:t>
            </w:r>
            <w:r w:rsidR="00F259B0">
              <w:rPr>
                <w:noProof/>
                <w:webHidden/>
              </w:rPr>
              <w:tab/>
            </w:r>
            <w:r w:rsidR="00F259B0">
              <w:rPr>
                <w:noProof/>
                <w:webHidden/>
              </w:rPr>
              <w:fldChar w:fldCharType="begin"/>
            </w:r>
            <w:r w:rsidR="00F259B0">
              <w:rPr>
                <w:noProof/>
                <w:webHidden/>
              </w:rPr>
              <w:instrText xml:space="preserve"> PAGEREF _Toc532809049 \h </w:instrText>
            </w:r>
            <w:r w:rsidR="00F259B0">
              <w:rPr>
                <w:noProof/>
                <w:webHidden/>
              </w:rPr>
            </w:r>
            <w:r w:rsidR="00F259B0">
              <w:rPr>
                <w:noProof/>
                <w:webHidden/>
              </w:rPr>
              <w:fldChar w:fldCharType="separate"/>
            </w:r>
            <w:r w:rsidR="00F259B0">
              <w:rPr>
                <w:noProof/>
                <w:webHidden/>
              </w:rPr>
              <w:t>8</w:t>
            </w:r>
            <w:r w:rsidR="00F259B0">
              <w:rPr>
                <w:noProof/>
                <w:webHidden/>
              </w:rPr>
              <w:fldChar w:fldCharType="end"/>
            </w:r>
          </w:hyperlink>
        </w:p>
        <w:p w14:paraId="11485120" w14:textId="4895B247" w:rsidR="00F259B0" w:rsidRDefault="00655438">
          <w:pPr>
            <w:pStyle w:val="TOC2"/>
            <w:tabs>
              <w:tab w:val="right" w:leader="dot" w:pos="9016"/>
            </w:tabs>
            <w:rPr>
              <w:noProof/>
              <w:lang w:eastAsia="en-AU"/>
            </w:rPr>
          </w:pPr>
          <w:hyperlink w:anchor="_Toc532809050" w:history="1">
            <w:r w:rsidR="00F259B0" w:rsidRPr="007A2F2A">
              <w:rPr>
                <w:rStyle w:val="Hyperlink"/>
                <w:b/>
                <w:noProof/>
              </w:rPr>
              <w:t>The WET Rebate blocks growth of small producers</w:t>
            </w:r>
            <w:r w:rsidR="00F259B0">
              <w:rPr>
                <w:noProof/>
                <w:webHidden/>
              </w:rPr>
              <w:tab/>
            </w:r>
            <w:r w:rsidR="00F259B0">
              <w:rPr>
                <w:noProof/>
                <w:webHidden/>
              </w:rPr>
              <w:fldChar w:fldCharType="begin"/>
            </w:r>
            <w:r w:rsidR="00F259B0">
              <w:rPr>
                <w:noProof/>
                <w:webHidden/>
              </w:rPr>
              <w:instrText xml:space="preserve"> PAGEREF _Toc532809050 \h </w:instrText>
            </w:r>
            <w:r w:rsidR="00F259B0">
              <w:rPr>
                <w:noProof/>
                <w:webHidden/>
              </w:rPr>
            </w:r>
            <w:r w:rsidR="00F259B0">
              <w:rPr>
                <w:noProof/>
                <w:webHidden/>
              </w:rPr>
              <w:fldChar w:fldCharType="separate"/>
            </w:r>
            <w:r w:rsidR="00F259B0">
              <w:rPr>
                <w:noProof/>
                <w:webHidden/>
              </w:rPr>
              <w:t>10</w:t>
            </w:r>
            <w:r w:rsidR="00F259B0">
              <w:rPr>
                <w:noProof/>
                <w:webHidden/>
              </w:rPr>
              <w:fldChar w:fldCharType="end"/>
            </w:r>
          </w:hyperlink>
        </w:p>
        <w:p w14:paraId="1E5CF1A6" w14:textId="2A0409CD" w:rsidR="00F259B0" w:rsidRDefault="00655438">
          <w:pPr>
            <w:pStyle w:val="TOC1"/>
            <w:tabs>
              <w:tab w:val="right" w:leader="dot" w:pos="9016"/>
            </w:tabs>
            <w:rPr>
              <w:noProof/>
              <w:lang w:eastAsia="en-AU"/>
            </w:rPr>
          </w:pPr>
          <w:hyperlink w:anchor="_Toc532809051" w:history="1">
            <w:r w:rsidR="00F259B0" w:rsidRPr="007A2F2A">
              <w:rPr>
                <w:rStyle w:val="Hyperlink"/>
                <w:noProof/>
              </w:rPr>
              <w:t>Erosion of the tax base</w:t>
            </w:r>
            <w:r w:rsidR="00F259B0">
              <w:rPr>
                <w:noProof/>
                <w:webHidden/>
              </w:rPr>
              <w:tab/>
            </w:r>
            <w:r w:rsidR="00F259B0">
              <w:rPr>
                <w:noProof/>
                <w:webHidden/>
              </w:rPr>
              <w:fldChar w:fldCharType="begin"/>
            </w:r>
            <w:r w:rsidR="00F259B0">
              <w:rPr>
                <w:noProof/>
                <w:webHidden/>
              </w:rPr>
              <w:instrText xml:space="preserve"> PAGEREF _Toc532809051 \h </w:instrText>
            </w:r>
            <w:r w:rsidR="00F259B0">
              <w:rPr>
                <w:noProof/>
                <w:webHidden/>
              </w:rPr>
            </w:r>
            <w:r w:rsidR="00F259B0">
              <w:rPr>
                <w:noProof/>
                <w:webHidden/>
              </w:rPr>
              <w:fldChar w:fldCharType="separate"/>
            </w:r>
            <w:r w:rsidR="00F259B0">
              <w:rPr>
                <w:noProof/>
                <w:webHidden/>
              </w:rPr>
              <w:t>11</w:t>
            </w:r>
            <w:r w:rsidR="00F259B0">
              <w:rPr>
                <w:noProof/>
                <w:webHidden/>
              </w:rPr>
              <w:fldChar w:fldCharType="end"/>
            </w:r>
          </w:hyperlink>
        </w:p>
        <w:p w14:paraId="6EAF298B" w14:textId="313FBBE2" w:rsidR="00F259B0" w:rsidRDefault="00655438">
          <w:pPr>
            <w:pStyle w:val="TOC1"/>
            <w:tabs>
              <w:tab w:val="right" w:leader="dot" w:pos="9016"/>
            </w:tabs>
            <w:rPr>
              <w:noProof/>
              <w:lang w:eastAsia="en-AU"/>
            </w:rPr>
          </w:pPr>
          <w:hyperlink w:anchor="_Toc532809052" w:history="1">
            <w:r w:rsidR="00F259B0" w:rsidRPr="007A2F2A">
              <w:rPr>
                <w:rStyle w:val="Hyperlink"/>
                <w:noProof/>
              </w:rPr>
              <w:t>Widespread and increasing support for alcohol tax reform</w:t>
            </w:r>
            <w:r w:rsidR="00F259B0">
              <w:rPr>
                <w:noProof/>
                <w:webHidden/>
              </w:rPr>
              <w:tab/>
            </w:r>
            <w:r w:rsidR="00F259B0">
              <w:rPr>
                <w:noProof/>
                <w:webHidden/>
              </w:rPr>
              <w:fldChar w:fldCharType="begin"/>
            </w:r>
            <w:r w:rsidR="00F259B0">
              <w:rPr>
                <w:noProof/>
                <w:webHidden/>
              </w:rPr>
              <w:instrText xml:space="preserve"> PAGEREF _Toc532809052 \h </w:instrText>
            </w:r>
            <w:r w:rsidR="00F259B0">
              <w:rPr>
                <w:noProof/>
                <w:webHidden/>
              </w:rPr>
            </w:r>
            <w:r w:rsidR="00F259B0">
              <w:rPr>
                <w:noProof/>
                <w:webHidden/>
              </w:rPr>
              <w:fldChar w:fldCharType="separate"/>
            </w:r>
            <w:r w:rsidR="00F259B0">
              <w:rPr>
                <w:noProof/>
                <w:webHidden/>
              </w:rPr>
              <w:t>12</w:t>
            </w:r>
            <w:r w:rsidR="00F259B0">
              <w:rPr>
                <w:noProof/>
                <w:webHidden/>
              </w:rPr>
              <w:fldChar w:fldCharType="end"/>
            </w:r>
          </w:hyperlink>
        </w:p>
        <w:p w14:paraId="50D9BB32" w14:textId="7FEF3EA6" w:rsidR="00F259B0" w:rsidRDefault="00655438">
          <w:pPr>
            <w:pStyle w:val="TOC2"/>
            <w:tabs>
              <w:tab w:val="right" w:leader="dot" w:pos="9016"/>
            </w:tabs>
            <w:rPr>
              <w:noProof/>
              <w:lang w:eastAsia="en-AU"/>
            </w:rPr>
          </w:pPr>
          <w:hyperlink w:anchor="_Toc532809053" w:history="1">
            <w:r w:rsidR="00F259B0" w:rsidRPr="007A2F2A">
              <w:rPr>
                <w:rStyle w:val="Hyperlink"/>
                <w:b/>
                <w:noProof/>
                <w:lang w:eastAsia="en-AU"/>
              </w:rPr>
              <w:t>Alcohol industry support</w:t>
            </w:r>
            <w:r w:rsidR="00F259B0">
              <w:rPr>
                <w:noProof/>
                <w:webHidden/>
              </w:rPr>
              <w:tab/>
            </w:r>
            <w:r w:rsidR="00F259B0">
              <w:rPr>
                <w:noProof/>
                <w:webHidden/>
              </w:rPr>
              <w:fldChar w:fldCharType="begin"/>
            </w:r>
            <w:r w:rsidR="00F259B0">
              <w:rPr>
                <w:noProof/>
                <w:webHidden/>
              </w:rPr>
              <w:instrText xml:space="preserve"> PAGEREF _Toc532809053 \h </w:instrText>
            </w:r>
            <w:r w:rsidR="00F259B0">
              <w:rPr>
                <w:noProof/>
                <w:webHidden/>
              </w:rPr>
            </w:r>
            <w:r w:rsidR="00F259B0">
              <w:rPr>
                <w:noProof/>
                <w:webHidden/>
              </w:rPr>
              <w:fldChar w:fldCharType="separate"/>
            </w:r>
            <w:r w:rsidR="00F259B0">
              <w:rPr>
                <w:noProof/>
                <w:webHidden/>
              </w:rPr>
              <w:t>12</w:t>
            </w:r>
            <w:r w:rsidR="00F259B0">
              <w:rPr>
                <w:noProof/>
                <w:webHidden/>
              </w:rPr>
              <w:fldChar w:fldCharType="end"/>
            </w:r>
          </w:hyperlink>
        </w:p>
        <w:p w14:paraId="4BEF5730" w14:textId="2CBD6B31" w:rsidR="00F259B0" w:rsidRDefault="00655438">
          <w:pPr>
            <w:pStyle w:val="TOC2"/>
            <w:tabs>
              <w:tab w:val="right" w:leader="dot" w:pos="9016"/>
            </w:tabs>
            <w:rPr>
              <w:noProof/>
              <w:lang w:eastAsia="en-AU"/>
            </w:rPr>
          </w:pPr>
          <w:hyperlink w:anchor="_Toc532809054" w:history="1">
            <w:r w:rsidR="00F259B0" w:rsidRPr="007A2F2A">
              <w:rPr>
                <w:rStyle w:val="Hyperlink"/>
                <w:b/>
                <w:noProof/>
                <w:lang w:eastAsia="en-AU"/>
              </w:rPr>
              <w:t>Public support</w:t>
            </w:r>
            <w:r w:rsidR="00F259B0">
              <w:rPr>
                <w:noProof/>
                <w:webHidden/>
              </w:rPr>
              <w:tab/>
            </w:r>
            <w:r w:rsidR="00F259B0">
              <w:rPr>
                <w:noProof/>
                <w:webHidden/>
              </w:rPr>
              <w:fldChar w:fldCharType="begin"/>
            </w:r>
            <w:r w:rsidR="00F259B0">
              <w:rPr>
                <w:noProof/>
                <w:webHidden/>
              </w:rPr>
              <w:instrText xml:space="preserve"> PAGEREF _Toc532809054 \h </w:instrText>
            </w:r>
            <w:r w:rsidR="00F259B0">
              <w:rPr>
                <w:noProof/>
                <w:webHidden/>
              </w:rPr>
            </w:r>
            <w:r w:rsidR="00F259B0">
              <w:rPr>
                <w:noProof/>
                <w:webHidden/>
              </w:rPr>
              <w:fldChar w:fldCharType="separate"/>
            </w:r>
            <w:r w:rsidR="00F259B0">
              <w:rPr>
                <w:noProof/>
                <w:webHidden/>
              </w:rPr>
              <w:t>12</w:t>
            </w:r>
            <w:r w:rsidR="00F259B0">
              <w:rPr>
                <w:noProof/>
                <w:webHidden/>
              </w:rPr>
              <w:fldChar w:fldCharType="end"/>
            </w:r>
          </w:hyperlink>
        </w:p>
        <w:p w14:paraId="37F0A71A" w14:textId="12EBD885" w:rsidR="00F259B0" w:rsidRDefault="00655438">
          <w:pPr>
            <w:pStyle w:val="TOC2"/>
            <w:tabs>
              <w:tab w:val="right" w:leader="dot" w:pos="9016"/>
            </w:tabs>
            <w:rPr>
              <w:noProof/>
              <w:lang w:eastAsia="en-AU"/>
            </w:rPr>
          </w:pPr>
          <w:hyperlink w:anchor="_Toc532809055" w:history="1">
            <w:r w:rsidR="00F259B0" w:rsidRPr="007A2F2A">
              <w:rPr>
                <w:rStyle w:val="Hyperlink"/>
                <w:b/>
                <w:noProof/>
                <w:lang w:eastAsia="en-AU"/>
              </w:rPr>
              <w:t>Government support for the abolition of the WET</w:t>
            </w:r>
            <w:r w:rsidR="00F259B0">
              <w:rPr>
                <w:noProof/>
                <w:webHidden/>
              </w:rPr>
              <w:tab/>
            </w:r>
            <w:r w:rsidR="00F259B0">
              <w:rPr>
                <w:noProof/>
                <w:webHidden/>
              </w:rPr>
              <w:fldChar w:fldCharType="begin"/>
            </w:r>
            <w:r w:rsidR="00F259B0">
              <w:rPr>
                <w:noProof/>
                <w:webHidden/>
              </w:rPr>
              <w:instrText xml:space="preserve"> PAGEREF _Toc532809055 \h </w:instrText>
            </w:r>
            <w:r w:rsidR="00F259B0">
              <w:rPr>
                <w:noProof/>
                <w:webHidden/>
              </w:rPr>
            </w:r>
            <w:r w:rsidR="00F259B0">
              <w:rPr>
                <w:noProof/>
                <w:webHidden/>
              </w:rPr>
              <w:fldChar w:fldCharType="separate"/>
            </w:r>
            <w:r w:rsidR="00F259B0">
              <w:rPr>
                <w:noProof/>
                <w:webHidden/>
              </w:rPr>
              <w:t>14</w:t>
            </w:r>
            <w:r w:rsidR="00F259B0">
              <w:rPr>
                <w:noProof/>
                <w:webHidden/>
              </w:rPr>
              <w:fldChar w:fldCharType="end"/>
            </w:r>
          </w:hyperlink>
        </w:p>
        <w:p w14:paraId="2647620B" w14:textId="6FCAA27E" w:rsidR="00F259B0" w:rsidRDefault="00655438">
          <w:pPr>
            <w:pStyle w:val="TOC1"/>
            <w:tabs>
              <w:tab w:val="right" w:leader="dot" w:pos="9016"/>
            </w:tabs>
            <w:rPr>
              <w:noProof/>
              <w:lang w:eastAsia="en-AU"/>
            </w:rPr>
          </w:pPr>
          <w:hyperlink w:anchor="_Toc532809056" w:history="1">
            <w:r w:rsidR="00F259B0" w:rsidRPr="007A2F2A">
              <w:rPr>
                <w:rStyle w:val="Hyperlink"/>
                <w:noProof/>
                <w:lang w:eastAsia="en-AU"/>
              </w:rPr>
              <w:t>Supporting change through a staged approach</w:t>
            </w:r>
            <w:r w:rsidR="00F259B0">
              <w:rPr>
                <w:noProof/>
                <w:webHidden/>
              </w:rPr>
              <w:tab/>
            </w:r>
            <w:r w:rsidR="00F259B0">
              <w:rPr>
                <w:noProof/>
                <w:webHidden/>
              </w:rPr>
              <w:fldChar w:fldCharType="begin"/>
            </w:r>
            <w:r w:rsidR="00F259B0">
              <w:rPr>
                <w:noProof/>
                <w:webHidden/>
              </w:rPr>
              <w:instrText xml:space="preserve"> PAGEREF _Toc532809056 \h </w:instrText>
            </w:r>
            <w:r w:rsidR="00F259B0">
              <w:rPr>
                <w:noProof/>
                <w:webHidden/>
              </w:rPr>
            </w:r>
            <w:r w:rsidR="00F259B0">
              <w:rPr>
                <w:noProof/>
                <w:webHidden/>
              </w:rPr>
              <w:fldChar w:fldCharType="separate"/>
            </w:r>
            <w:r w:rsidR="00F259B0">
              <w:rPr>
                <w:noProof/>
                <w:webHidden/>
              </w:rPr>
              <w:t>15</w:t>
            </w:r>
            <w:r w:rsidR="00F259B0">
              <w:rPr>
                <w:noProof/>
                <w:webHidden/>
              </w:rPr>
              <w:fldChar w:fldCharType="end"/>
            </w:r>
          </w:hyperlink>
        </w:p>
        <w:p w14:paraId="1B89126B" w14:textId="20261E3A" w:rsidR="00F259B0" w:rsidRDefault="00655438">
          <w:pPr>
            <w:pStyle w:val="TOC1"/>
            <w:tabs>
              <w:tab w:val="right" w:leader="dot" w:pos="9016"/>
            </w:tabs>
            <w:rPr>
              <w:noProof/>
              <w:lang w:eastAsia="en-AU"/>
            </w:rPr>
          </w:pPr>
          <w:hyperlink w:anchor="_Toc532809057" w:history="1">
            <w:r w:rsidR="00F259B0" w:rsidRPr="007A2F2A">
              <w:rPr>
                <w:rStyle w:val="Hyperlink"/>
                <w:noProof/>
                <w:lang w:eastAsia="en-AU"/>
              </w:rPr>
              <w:t>Simplify alcohol taxation for beer and end the favourable treatment of big beer</w:t>
            </w:r>
            <w:r w:rsidR="00F259B0">
              <w:rPr>
                <w:noProof/>
                <w:webHidden/>
              </w:rPr>
              <w:tab/>
            </w:r>
            <w:r w:rsidR="00F259B0">
              <w:rPr>
                <w:noProof/>
                <w:webHidden/>
              </w:rPr>
              <w:fldChar w:fldCharType="begin"/>
            </w:r>
            <w:r w:rsidR="00F259B0">
              <w:rPr>
                <w:noProof/>
                <w:webHidden/>
              </w:rPr>
              <w:instrText xml:space="preserve"> PAGEREF _Toc532809057 \h </w:instrText>
            </w:r>
            <w:r w:rsidR="00F259B0">
              <w:rPr>
                <w:noProof/>
                <w:webHidden/>
              </w:rPr>
            </w:r>
            <w:r w:rsidR="00F259B0">
              <w:rPr>
                <w:noProof/>
                <w:webHidden/>
              </w:rPr>
              <w:fldChar w:fldCharType="separate"/>
            </w:r>
            <w:r w:rsidR="00F259B0">
              <w:rPr>
                <w:noProof/>
                <w:webHidden/>
              </w:rPr>
              <w:t>17</w:t>
            </w:r>
            <w:r w:rsidR="00F259B0">
              <w:rPr>
                <w:noProof/>
                <w:webHidden/>
              </w:rPr>
              <w:fldChar w:fldCharType="end"/>
            </w:r>
          </w:hyperlink>
        </w:p>
        <w:p w14:paraId="74946537" w14:textId="71D30DD1" w:rsidR="00F259B0" w:rsidRDefault="00655438">
          <w:pPr>
            <w:pStyle w:val="TOC1"/>
            <w:tabs>
              <w:tab w:val="right" w:leader="dot" w:pos="9016"/>
            </w:tabs>
            <w:rPr>
              <w:noProof/>
              <w:lang w:eastAsia="en-AU"/>
            </w:rPr>
          </w:pPr>
          <w:hyperlink w:anchor="_Toc532809058" w:history="1">
            <w:r w:rsidR="00F259B0" w:rsidRPr="007A2F2A">
              <w:rPr>
                <w:rStyle w:val="Hyperlink"/>
                <w:noProof/>
                <w:lang w:eastAsia="en-AU"/>
              </w:rPr>
              <w:t>New revenue directed to prevent alcohol harm</w:t>
            </w:r>
            <w:r w:rsidR="00F259B0">
              <w:rPr>
                <w:noProof/>
                <w:webHidden/>
              </w:rPr>
              <w:tab/>
            </w:r>
            <w:r w:rsidR="00F259B0">
              <w:rPr>
                <w:noProof/>
                <w:webHidden/>
              </w:rPr>
              <w:fldChar w:fldCharType="begin"/>
            </w:r>
            <w:r w:rsidR="00F259B0">
              <w:rPr>
                <w:noProof/>
                <w:webHidden/>
              </w:rPr>
              <w:instrText xml:space="preserve"> PAGEREF _Toc532809058 \h </w:instrText>
            </w:r>
            <w:r w:rsidR="00F259B0">
              <w:rPr>
                <w:noProof/>
                <w:webHidden/>
              </w:rPr>
            </w:r>
            <w:r w:rsidR="00F259B0">
              <w:rPr>
                <w:noProof/>
                <w:webHidden/>
              </w:rPr>
              <w:fldChar w:fldCharType="separate"/>
            </w:r>
            <w:r w:rsidR="00F259B0">
              <w:rPr>
                <w:noProof/>
                <w:webHidden/>
              </w:rPr>
              <w:t>18</w:t>
            </w:r>
            <w:r w:rsidR="00F259B0">
              <w:rPr>
                <w:noProof/>
                <w:webHidden/>
              </w:rPr>
              <w:fldChar w:fldCharType="end"/>
            </w:r>
          </w:hyperlink>
        </w:p>
        <w:p w14:paraId="7BFBE0B8" w14:textId="42A29BFD" w:rsidR="00F259B0" w:rsidRDefault="00655438">
          <w:pPr>
            <w:pStyle w:val="TOC1"/>
            <w:tabs>
              <w:tab w:val="right" w:leader="dot" w:pos="9016"/>
            </w:tabs>
            <w:rPr>
              <w:noProof/>
              <w:lang w:eastAsia="en-AU"/>
            </w:rPr>
          </w:pPr>
          <w:hyperlink w:anchor="_Toc532809059" w:history="1">
            <w:r w:rsidR="00F259B0" w:rsidRPr="007A2F2A">
              <w:rPr>
                <w:rStyle w:val="Hyperlink"/>
                <w:noProof/>
                <w:lang w:eastAsia="en-AU"/>
              </w:rPr>
              <w:t>Changing the messages around alcohol consumption</w:t>
            </w:r>
            <w:r w:rsidR="00F259B0">
              <w:rPr>
                <w:noProof/>
                <w:webHidden/>
              </w:rPr>
              <w:tab/>
            </w:r>
            <w:r w:rsidR="00F259B0">
              <w:rPr>
                <w:noProof/>
                <w:webHidden/>
              </w:rPr>
              <w:fldChar w:fldCharType="begin"/>
            </w:r>
            <w:r w:rsidR="00F259B0">
              <w:rPr>
                <w:noProof/>
                <w:webHidden/>
              </w:rPr>
              <w:instrText xml:space="preserve"> PAGEREF _Toc532809059 \h </w:instrText>
            </w:r>
            <w:r w:rsidR="00F259B0">
              <w:rPr>
                <w:noProof/>
                <w:webHidden/>
              </w:rPr>
            </w:r>
            <w:r w:rsidR="00F259B0">
              <w:rPr>
                <w:noProof/>
                <w:webHidden/>
              </w:rPr>
              <w:fldChar w:fldCharType="separate"/>
            </w:r>
            <w:r w:rsidR="00F259B0">
              <w:rPr>
                <w:noProof/>
                <w:webHidden/>
              </w:rPr>
              <w:t>18</w:t>
            </w:r>
            <w:r w:rsidR="00F259B0">
              <w:rPr>
                <w:noProof/>
                <w:webHidden/>
              </w:rPr>
              <w:fldChar w:fldCharType="end"/>
            </w:r>
          </w:hyperlink>
        </w:p>
        <w:p w14:paraId="08E8E8DC" w14:textId="7945B58E" w:rsidR="00F259B0" w:rsidRDefault="00655438">
          <w:pPr>
            <w:pStyle w:val="TOC2"/>
            <w:tabs>
              <w:tab w:val="right" w:leader="dot" w:pos="9016"/>
            </w:tabs>
            <w:rPr>
              <w:noProof/>
              <w:lang w:eastAsia="en-AU"/>
            </w:rPr>
          </w:pPr>
          <w:hyperlink w:anchor="_Toc532809060" w:history="1">
            <w:r w:rsidR="00F259B0" w:rsidRPr="007A2F2A">
              <w:rPr>
                <w:rStyle w:val="Hyperlink"/>
                <w:b/>
                <w:noProof/>
                <w:lang w:eastAsia="en-AU"/>
              </w:rPr>
              <w:t>Prevent lifelong disability from alcohol use during pregnancy: Pregnant Pause and Women Want to Know</w:t>
            </w:r>
            <w:r w:rsidR="00F259B0">
              <w:rPr>
                <w:noProof/>
                <w:webHidden/>
              </w:rPr>
              <w:tab/>
            </w:r>
            <w:r w:rsidR="00F259B0">
              <w:rPr>
                <w:noProof/>
                <w:webHidden/>
              </w:rPr>
              <w:fldChar w:fldCharType="begin"/>
            </w:r>
            <w:r w:rsidR="00F259B0">
              <w:rPr>
                <w:noProof/>
                <w:webHidden/>
              </w:rPr>
              <w:instrText xml:space="preserve"> PAGEREF _Toc532809060 \h </w:instrText>
            </w:r>
            <w:r w:rsidR="00F259B0">
              <w:rPr>
                <w:noProof/>
                <w:webHidden/>
              </w:rPr>
            </w:r>
            <w:r w:rsidR="00F259B0">
              <w:rPr>
                <w:noProof/>
                <w:webHidden/>
              </w:rPr>
              <w:fldChar w:fldCharType="separate"/>
            </w:r>
            <w:r w:rsidR="00F259B0">
              <w:rPr>
                <w:noProof/>
                <w:webHidden/>
              </w:rPr>
              <w:t>18</w:t>
            </w:r>
            <w:r w:rsidR="00F259B0">
              <w:rPr>
                <w:noProof/>
                <w:webHidden/>
              </w:rPr>
              <w:fldChar w:fldCharType="end"/>
            </w:r>
          </w:hyperlink>
        </w:p>
        <w:p w14:paraId="6A39F6B1" w14:textId="69C8B70C" w:rsidR="00F259B0" w:rsidRDefault="00655438">
          <w:pPr>
            <w:pStyle w:val="TOC2"/>
            <w:tabs>
              <w:tab w:val="right" w:leader="dot" w:pos="9016"/>
            </w:tabs>
            <w:rPr>
              <w:noProof/>
              <w:lang w:eastAsia="en-AU"/>
            </w:rPr>
          </w:pPr>
          <w:hyperlink w:anchor="_Toc532809061" w:history="1">
            <w:r w:rsidR="00F259B0" w:rsidRPr="007A2F2A">
              <w:rPr>
                <w:rStyle w:val="Hyperlink"/>
                <w:b/>
                <w:noProof/>
                <w:lang w:eastAsia="en-AU"/>
              </w:rPr>
              <w:t>Deliver a nation-wide public education campaign about the  long-term effects of alcohol consumption</w:t>
            </w:r>
            <w:r w:rsidR="00F259B0">
              <w:rPr>
                <w:noProof/>
                <w:webHidden/>
              </w:rPr>
              <w:tab/>
            </w:r>
            <w:r w:rsidR="00F259B0">
              <w:rPr>
                <w:noProof/>
                <w:webHidden/>
              </w:rPr>
              <w:fldChar w:fldCharType="begin"/>
            </w:r>
            <w:r w:rsidR="00F259B0">
              <w:rPr>
                <w:noProof/>
                <w:webHidden/>
              </w:rPr>
              <w:instrText xml:space="preserve"> PAGEREF _Toc532809061 \h </w:instrText>
            </w:r>
            <w:r w:rsidR="00F259B0">
              <w:rPr>
                <w:noProof/>
                <w:webHidden/>
              </w:rPr>
            </w:r>
            <w:r w:rsidR="00F259B0">
              <w:rPr>
                <w:noProof/>
                <w:webHidden/>
              </w:rPr>
              <w:fldChar w:fldCharType="separate"/>
            </w:r>
            <w:r w:rsidR="00F259B0">
              <w:rPr>
                <w:noProof/>
                <w:webHidden/>
              </w:rPr>
              <w:t>20</w:t>
            </w:r>
            <w:r w:rsidR="00F259B0">
              <w:rPr>
                <w:noProof/>
                <w:webHidden/>
              </w:rPr>
              <w:fldChar w:fldCharType="end"/>
            </w:r>
          </w:hyperlink>
        </w:p>
        <w:p w14:paraId="4CB9DC09" w14:textId="1BC8767E" w:rsidR="00F259B0" w:rsidRDefault="00655438">
          <w:pPr>
            <w:pStyle w:val="TOC2"/>
            <w:tabs>
              <w:tab w:val="right" w:leader="dot" w:pos="9016"/>
            </w:tabs>
            <w:rPr>
              <w:noProof/>
              <w:lang w:eastAsia="en-AU"/>
            </w:rPr>
          </w:pPr>
          <w:hyperlink w:anchor="_Toc532809062" w:history="1">
            <w:r w:rsidR="00F259B0" w:rsidRPr="007A2F2A">
              <w:rPr>
                <w:rStyle w:val="Hyperlink"/>
                <w:b/>
                <w:noProof/>
                <w:lang w:eastAsia="en-AU"/>
              </w:rPr>
              <w:t>Remove alcohol sponsorship from sport</w:t>
            </w:r>
            <w:r w:rsidR="00F259B0">
              <w:rPr>
                <w:noProof/>
                <w:webHidden/>
              </w:rPr>
              <w:tab/>
            </w:r>
            <w:r w:rsidR="00F259B0">
              <w:rPr>
                <w:noProof/>
                <w:webHidden/>
              </w:rPr>
              <w:fldChar w:fldCharType="begin"/>
            </w:r>
            <w:r w:rsidR="00F259B0">
              <w:rPr>
                <w:noProof/>
                <w:webHidden/>
              </w:rPr>
              <w:instrText xml:space="preserve"> PAGEREF _Toc532809062 \h </w:instrText>
            </w:r>
            <w:r w:rsidR="00F259B0">
              <w:rPr>
                <w:noProof/>
                <w:webHidden/>
              </w:rPr>
            </w:r>
            <w:r w:rsidR="00F259B0">
              <w:rPr>
                <w:noProof/>
                <w:webHidden/>
              </w:rPr>
              <w:fldChar w:fldCharType="separate"/>
            </w:r>
            <w:r w:rsidR="00F259B0">
              <w:rPr>
                <w:noProof/>
                <w:webHidden/>
              </w:rPr>
              <w:t>21</w:t>
            </w:r>
            <w:r w:rsidR="00F259B0">
              <w:rPr>
                <w:noProof/>
                <w:webHidden/>
              </w:rPr>
              <w:fldChar w:fldCharType="end"/>
            </w:r>
          </w:hyperlink>
        </w:p>
        <w:p w14:paraId="113B2927" w14:textId="08678B68" w:rsidR="00F259B0" w:rsidRDefault="00655438">
          <w:pPr>
            <w:pStyle w:val="TOC1"/>
            <w:tabs>
              <w:tab w:val="right" w:leader="dot" w:pos="9016"/>
            </w:tabs>
            <w:rPr>
              <w:noProof/>
              <w:lang w:eastAsia="en-AU"/>
            </w:rPr>
          </w:pPr>
          <w:hyperlink w:anchor="_Toc532809063" w:history="1">
            <w:r w:rsidR="00F259B0" w:rsidRPr="007A2F2A">
              <w:rPr>
                <w:rStyle w:val="Hyperlink"/>
                <w:noProof/>
              </w:rPr>
              <w:t>References</w:t>
            </w:r>
            <w:r w:rsidR="00F259B0">
              <w:rPr>
                <w:noProof/>
                <w:webHidden/>
              </w:rPr>
              <w:tab/>
            </w:r>
            <w:r w:rsidR="00F259B0">
              <w:rPr>
                <w:noProof/>
                <w:webHidden/>
              </w:rPr>
              <w:fldChar w:fldCharType="begin"/>
            </w:r>
            <w:r w:rsidR="00F259B0">
              <w:rPr>
                <w:noProof/>
                <w:webHidden/>
              </w:rPr>
              <w:instrText xml:space="preserve"> PAGEREF _Toc532809063 \h </w:instrText>
            </w:r>
            <w:r w:rsidR="00F259B0">
              <w:rPr>
                <w:noProof/>
                <w:webHidden/>
              </w:rPr>
            </w:r>
            <w:r w:rsidR="00F259B0">
              <w:rPr>
                <w:noProof/>
                <w:webHidden/>
              </w:rPr>
              <w:fldChar w:fldCharType="separate"/>
            </w:r>
            <w:r w:rsidR="00F259B0">
              <w:rPr>
                <w:noProof/>
                <w:webHidden/>
              </w:rPr>
              <w:t>23</w:t>
            </w:r>
            <w:r w:rsidR="00F259B0">
              <w:rPr>
                <w:noProof/>
                <w:webHidden/>
              </w:rPr>
              <w:fldChar w:fldCharType="end"/>
            </w:r>
          </w:hyperlink>
        </w:p>
        <w:p w14:paraId="64AFD7FD" w14:textId="79BCD307" w:rsidR="00AB79CF" w:rsidRDefault="00AB79CF">
          <w:r>
            <w:rPr>
              <w:b/>
              <w:bCs/>
              <w:noProof/>
            </w:rPr>
            <w:fldChar w:fldCharType="end"/>
          </w:r>
        </w:p>
      </w:sdtContent>
    </w:sdt>
    <w:p w14:paraId="1692A6FE" w14:textId="77777777" w:rsidR="00AB79CF" w:rsidRDefault="00AB79CF">
      <w:pPr>
        <w:rPr>
          <w:rFonts w:eastAsiaTheme="majorEastAsia" w:cstheme="majorBidi"/>
          <w:b/>
          <w:bCs/>
          <w:color w:val="23A8D8"/>
          <w:sz w:val="40"/>
          <w:szCs w:val="36"/>
        </w:rPr>
      </w:pPr>
      <w:r>
        <w:br w:type="page"/>
      </w:r>
    </w:p>
    <w:p w14:paraId="6AF8EB49" w14:textId="34AAC6A0" w:rsidR="008709FB" w:rsidRDefault="008709FB" w:rsidP="008709FB">
      <w:pPr>
        <w:pStyle w:val="Heading1"/>
      </w:pPr>
      <w:bookmarkStart w:id="4" w:name="_Toc532809046"/>
      <w:r w:rsidRPr="007E1CCA">
        <w:lastRenderedPageBreak/>
        <w:t>Introduction</w:t>
      </w:r>
      <w:bookmarkEnd w:id="0"/>
      <w:bookmarkEnd w:id="1"/>
      <w:bookmarkEnd w:id="4"/>
    </w:p>
    <w:p w14:paraId="6A672DB4" w14:textId="7CF3E887" w:rsidR="008709FB" w:rsidRPr="00151DB6" w:rsidRDefault="008709FB" w:rsidP="00585539">
      <w:pPr>
        <w:jc w:val="both"/>
        <w:rPr>
          <w:lang w:eastAsia="en-AU"/>
        </w:rPr>
      </w:pPr>
      <w:r>
        <w:rPr>
          <w:lang w:eastAsia="en-AU"/>
        </w:rPr>
        <w:t>Alcohol harm in Australia is significant. Each year, nearly 6000 lives are lost and more than 144,000 people are hospitalised making alcohol one of our nation’s greatest preventive health challenges.</w:t>
      </w:r>
      <w:r w:rsidRPr="00151DB6">
        <w:rPr>
          <w:vertAlign w:val="superscript"/>
          <w:lang w:eastAsia="en-AU"/>
        </w:rPr>
        <w:endnoteReference w:id="1"/>
      </w:r>
      <w:r w:rsidRPr="00151DB6">
        <w:rPr>
          <w:lang w:eastAsia="en-AU"/>
        </w:rPr>
        <w:t xml:space="preserve"> In addition to </w:t>
      </w:r>
      <w:r>
        <w:rPr>
          <w:lang w:eastAsia="en-AU"/>
        </w:rPr>
        <w:t>a growing burden of preventable chronic disease</w:t>
      </w:r>
      <w:r w:rsidRPr="00151DB6">
        <w:rPr>
          <w:lang w:eastAsia="en-AU"/>
        </w:rPr>
        <w:t>, alcohol has significant and devastating impacts on third parties, including violence on our streets and in our homes, vandalism, road traffic accidents, child maltreatment and neglect, and lost productivity in the workplace.</w:t>
      </w:r>
      <w:r w:rsidRPr="00151DB6">
        <w:rPr>
          <w:vertAlign w:val="superscript"/>
          <w:lang w:eastAsia="en-AU"/>
        </w:rPr>
        <w:endnoteReference w:id="2"/>
      </w:r>
      <w:r w:rsidRPr="00151DB6">
        <w:rPr>
          <w:lang w:eastAsia="en-AU"/>
        </w:rPr>
        <w:t xml:space="preserve"> Children in particular bear a large proportion of the harm associated with alcohol. More than one-fifth (22 per cent) of Australian children are negatively affected by the drinking of others.</w:t>
      </w:r>
      <w:r w:rsidRPr="00151DB6">
        <w:rPr>
          <w:vertAlign w:val="superscript"/>
          <w:lang w:eastAsia="en-AU"/>
        </w:rPr>
        <w:endnoteReference w:id="3"/>
      </w:r>
      <w:r w:rsidRPr="00151DB6">
        <w:rPr>
          <w:lang w:eastAsia="en-AU"/>
        </w:rPr>
        <w:t xml:space="preserve"> Problematic drinking by their primary caregiver substantially affects 142,582 Australian children, with 10,166 already in the child protection system as a result.</w:t>
      </w:r>
      <w:r w:rsidRPr="00151DB6">
        <w:rPr>
          <w:vertAlign w:val="superscript"/>
          <w:lang w:eastAsia="en-AU"/>
        </w:rPr>
        <w:endnoteReference w:id="4"/>
      </w:r>
      <w:r w:rsidRPr="00151DB6">
        <w:rPr>
          <w:lang w:eastAsia="en-AU"/>
        </w:rPr>
        <w:t xml:space="preserve"> Children can also be directly impacted by alcohol consumption during pregnancy. This can result in a series of lifelong disabilities known as Fetal</w:t>
      </w:r>
      <w:r w:rsidR="00804C39">
        <w:rPr>
          <w:lang w:eastAsia="en-AU"/>
        </w:rPr>
        <w:t xml:space="preserve"> </w:t>
      </w:r>
      <w:r w:rsidRPr="00151DB6">
        <w:rPr>
          <w:lang w:eastAsia="en-AU"/>
        </w:rPr>
        <w:t xml:space="preserve">Alcohol Spectrum Disorder (FASD). A lack of awareness about </w:t>
      </w:r>
      <w:r w:rsidR="000812D1">
        <w:rPr>
          <w:lang w:eastAsia="en-AU"/>
        </w:rPr>
        <w:t xml:space="preserve">the </w:t>
      </w:r>
      <w:r w:rsidRPr="00151DB6">
        <w:rPr>
          <w:lang w:eastAsia="en-AU"/>
        </w:rPr>
        <w:t>Australia</w:t>
      </w:r>
      <w:r w:rsidR="000812D1">
        <w:rPr>
          <w:lang w:eastAsia="en-AU"/>
        </w:rPr>
        <w:t>n</w:t>
      </w:r>
      <w:r w:rsidRPr="00151DB6">
        <w:rPr>
          <w:lang w:eastAsia="en-AU"/>
        </w:rPr>
        <w:t xml:space="preserve"> National Health and Medical Research Council (NHMRC) Alcohol Guidelines</w:t>
      </w:r>
      <w:r w:rsidR="00A846D1">
        <w:rPr>
          <w:lang w:eastAsia="en-AU"/>
        </w:rPr>
        <w:t xml:space="preserve"> (the Alcohol Guidelines)</w:t>
      </w:r>
      <w:r w:rsidRPr="00151DB6">
        <w:rPr>
          <w:lang w:eastAsia="en-AU"/>
        </w:rPr>
        <w:t>, by health professionals and the general public, contributes to an unacceptable number of</w:t>
      </w:r>
      <w:r w:rsidR="000812D1">
        <w:rPr>
          <w:lang w:eastAsia="en-AU"/>
        </w:rPr>
        <w:t xml:space="preserve"> children being born with this pre</w:t>
      </w:r>
      <w:r w:rsidRPr="00151DB6">
        <w:rPr>
          <w:lang w:eastAsia="en-AU"/>
        </w:rPr>
        <w:t>ventable condition. Basic policy measures to raise awareness of the Alcohol Guidelines can substantially reduce the prevalence of FASD and associated expenditure over the longer term.</w:t>
      </w:r>
    </w:p>
    <w:p w14:paraId="135138AC" w14:textId="50829BA1" w:rsidR="008709FB" w:rsidRPr="00752946" w:rsidRDefault="008709FB" w:rsidP="00585539">
      <w:pPr>
        <w:jc w:val="both"/>
        <w:rPr>
          <w:b/>
        </w:rPr>
      </w:pPr>
      <w:r>
        <w:t>Alcohol costs the Australian community almost $</w:t>
      </w:r>
      <w:r w:rsidR="005D3FE1">
        <w:t xml:space="preserve">36 </w:t>
      </w:r>
      <w:r>
        <w:t>billion per annum.</w:t>
      </w:r>
      <w:r>
        <w:rPr>
          <w:rStyle w:val="EndnoteReference"/>
        </w:rPr>
        <w:endnoteReference w:id="5"/>
      </w:r>
      <w:r>
        <w:t xml:space="preserve"> This includes direct costs, such as those relating to health, crime and road accidents, as well as losses in productivity, resources and life. Using conservative methods, the external costs of alcohol (those met by parties other than drinker</w:t>
      </w:r>
      <w:r w:rsidR="000812D1">
        <w:t>s</w:t>
      </w:r>
      <w:r>
        <w:t xml:space="preserve"> and industry) are estimated to be least $5.6 billion per annum.</w:t>
      </w:r>
      <w:r>
        <w:rPr>
          <w:rStyle w:val="EndnoteReference"/>
        </w:rPr>
        <w:endnoteReference w:id="6"/>
      </w:r>
      <w:r>
        <w:t xml:space="preserve"> </w:t>
      </w:r>
      <w:r w:rsidRPr="00151DB6">
        <w:rPr>
          <w:lang w:eastAsia="en-AU"/>
        </w:rPr>
        <w:t xml:space="preserve">Much of this burden is placed on government, and includes costs associated with treatment services, hospitalisations, emergency department presentations, policing, paramedic services, justice services (courts and corrections), child protection, and family and domestic violence services. </w:t>
      </w:r>
      <w:r>
        <w:rPr>
          <w:lang w:eastAsia="en-AU"/>
        </w:rPr>
        <w:t>Some of these</w:t>
      </w:r>
      <w:r w:rsidRPr="00151DB6">
        <w:rPr>
          <w:lang w:eastAsia="en-AU"/>
        </w:rPr>
        <w:t xml:space="preserve"> services are provided directly by governments, or by their agents in the not-for-profit sector, at a considerable cost to taxpayers. Associated costs are well in excess of gross alcohol tax collections by governments. While alcohol continues to be the source of large negative externalities, ineffective taxation policy contribu</w:t>
      </w:r>
      <w:r w:rsidR="000812D1">
        <w:rPr>
          <w:lang w:eastAsia="en-AU"/>
        </w:rPr>
        <w:t>tes to health and economic harm</w:t>
      </w:r>
      <w:r w:rsidRPr="00151DB6">
        <w:rPr>
          <w:lang w:eastAsia="en-AU"/>
        </w:rPr>
        <w:t>.</w:t>
      </w:r>
    </w:p>
    <w:p w14:paraId="2DF7CFA4" w14:textId="5E6F636B" w:rsidR="008709FB" w:rsidRPr="00151DB6" w:rsidRDefault="008709FB" w:rsidP="00585539">
      <w:pPr>
        <w:jc w:val="both"/>
        <w:rPr>
          <w:lang w:eastAsia="en-AU"/>
        </w:rPr>
      </w:pPr>
      <w:r w:rsidRPr="00151DB6">
        <w:rPr>
          <w:lang w:eastAsia="en-AU"/>
        </w:rPr>
        <w:t>One of the major challenges facing government in implementing effective alcohol tax reform is public awareness of the harm and cost associated with its consumption. For this reason, it is imperative that action to reform taxation is accompanied by public education campaigns that raise awareness of these issues. This would be a small investment for large returns with respect to both health and net government revenue.</w:t>
      </w:r>
    </w:p>
    <w:p w14:paraId="16E5800D" w14:textId="51A12752" w:rsidR="008709FB" w:rsidRPr="00151DB6" w:rsidRDefault="008709FB" w:rsidP="00585539">
      <w:pPr>
        <w:jc w:val="both"/>
        <w:rPr>
          <w:lang w:eastAsia="en-AU"/>
        </w:rPr>
      </w:pPr>
      <w:r w:rsidRPr="00151DB6">
        <w:rPr>
          <w:lang w:eastAsia="en-AU"/>
        </w:rPr>
        <w:t>FARE welcomes the opportunity to provide a pre-budget submission for the 201</w:t>
      </w:r>
      <w:r>
        <w:rPr>
          <w:lang w:eastAsia="en-AU"/>
        </w:rPr>
        <w:t>9</w:t>
      </w:r>
      <w:r w:rsidRPr="00151DB6">
        <w:rPr>
          <w:lang w:eastAsia="en-AU"/>
        </w:rPr>
        <w:t>-</w:t>
      </w:r>
      <w:r>
        <w:rPr>
          <w:lang w:eastAsia="en-AU"/>
        </w:rPr>
        <w:t>20</w:t>
      </w:r>
      <w:r w:rsidRPr="00151DB6">
        <w:rPr>
          <w:lang w:eastAsia="en-AU"/>
        </w:rPr>
        <w:t xml:space="preserve"> </w:t>
      </w:r>
      <w:r w:rsidR="00237C41">
        <w:rPr>
          <w:lang w:eastAsia="en-AU"/>
        </w:rPr>
        <w:t>Commonwealth</w:t>
      </w:r>
      <w:r w:rsidRPr="00151DB6">
        <w:rPr>
          <w:lang w:eastAsia="en-AU"/>
        </w:rPr>
        <w:t xml:space="preserve"> Government Budget. FARE’s submission outline</w:t>
      </w:r>
      <w:r w:rsidR="0037688D">
        <w:rPr>
          <w:lang w:eastAsia="en-AU"/>
        </w:rPr>
        <w:t>s</w:t>
      </w:r>
      <w:r w:rsidRPr="00151DB6">
        <w:rPr>
          <w:lang w:eastAsia="en-AU"/>
        </w:rPr>
        <w:t xml:space="preserve"> the health and economic harm associated with the current approach to alcohol taxation, </w:t>
      </w:r>
      <w:r>
        <w:rPr>
          <w:lang w:eastAsia="en-AU"/>
        </w:rPr>
        <w:t>and show</w:t>
      </w:r>
      <w:r w:rsidR="0037688D">
        <w:rPr>
          <w:lang w:eastAsia="en-AU"/>
        </w:rPr>
        <w:t>s</w:t>
      </w:r>
      <w:r>
        <w:rPr>
          <w:lang w:eastAsia="en-AU"/>
        </w:rPr>
        <w:t xml:space="preserve"> </w:t>
      </w:r>
      <w:r w:rsidRPr="00151DB6">
        <w:rPr>
          <w:lang w:eastAsia="en-AU"/>
        </w:rPr>
        <w:t xml:space="preserve">the wide-ranging support for reform and effective measures to instigate cost-saving preventive measures. The proposed reforms will facilitate meaningful public policy interventions to reduce rates of alcohol harm, including better resourcing of interventions to </w:t>
      </w:r>
      <w:r w:rsidR="0037688D">
        <w:rPr>
          <w:lang w:eastAsia="en-AU"/>
        </w:rPr>
        <w:t>reduce rates of FASD</w:t>
      </w:r>
      <w:r w:rsidRPr="00151DB6">
        <w:rPr>
          <w:lang w:eastAsia="en-AU"/>
        </w:rPr>
        <w:t xml:space="preserve">. They will also provide additional resources for comprehensive public education campaigns that will raise awareness of </w:t>
      </w:r>
      <w:r w:rsidR="0037688D">
        <w:rPr>
          <w:lang w:eastAsia="en-AU"/>
        </w:rPr>
        <w:t xml:space="preserve">the range of </w:t>
      </w:r>
      <w:r w:rsidRPr="00151DB6">
        <w:rPr>
          <w:lang w:eastAsia="en-AU"/>
        </w:rPr>
        <w:t>alcohol harm and bolster support for meaningful reform. In addition to delivering enhanced wellbeing for all Australians, the proposed policies are population positions and will deliver a net return to governments over the medium term.</w:t>
      </w:r>
    </w:p>
    <w:p w14:paraId="7D6E3269" w14:textId="14337509" w:rsidR="008709FB" w:rsidRDefault="008709FB" w:rsidP="00585539">
      <w:pPr>
        <w:jc w:val="both"/>
        <w:rPr>
          <w:lang w:eastAsia="en-AU"/>
        </w:rPr>
      </w:pPr>
      <w:r w:rsidRPr="00151DB6">
        <w:rPr>
          <w:lang w:eastAsia="en-AU"/>
        </w:rPr>
        <w:t>For these reasons, FARE urges consideration of the proposed reforms in t</w:t>
      </w:r>
      <w:r w:rsidR="003F7F6F">
        <w:rPr>
          <w:lang w:eastAsia="en-AU"/>
        </w:rPr>
        <w:t xml:space="preserve">he development of the </w:t>
      </w:r>
      <w:r w:rsidR="00F8393B">
        <w:rPr>
          <w:lang w:eastAsia="en-AU"/>
        </w:rPr>
        <w:t>Commonwealth</w:t>
      </w:r>
      <w:r w:rsidRPr="00151DB6">
        <w:rPr>
          <w:lang w:eastAsia="en-AU"/>
        </w:rPr>
        <w:t xml:space="preserve"> Government</w:t>
      </w:r>
      <w:r w:rsidR="00937DFE">
        <w:rPr>
          <w:lang w:eastAsia="en-AU"/>
        </w:rPr>
        <w:t>’s 2019 Budget</w:t>
      </w:r>
      <w:r w:rsidRPr="00151DB6">
        <w:rPr>
          <w:lang w:eastAsia="en-AU"/>
        </w:rPr>
        <w:t>.</w:t>
      </w:r>
    </w:p>
    <w:p w14:paraId="42F05325" w14:textId="4F853B84" w:rsidR="00FE2CE2" w:rsidRPr="00B42E4A" w:rsidRDefault="00FE2CE2" w:rsidP="00FE2CE2">
      <w:pPr>
        <w:pStyle w:val="Heading1"/>
        <w:rPr>
          <w:rStyle w:val="Heading2Char"/>
          <w:sz w:val="40"/>
          <w:szCs w:val="36"/>
        </w:rPr>
      </w:pPr>
      <w:bookmarkStart w:id="5" w:name="_Toc532385398"/>
      <w:bookmarkStart w:id="6" w:name="_Toc532809047"/>
      <w:r w:rsidRPr="00B42E4A">
        <w:rPr>
          <w:rStyle w:val="Heading2Char"/>
          <w:sz w:val="40"/>
          <w:szCs w:val="36"/>
        </w:rPr>
        <w:lastRenderedPageBreak/>
        <w:t>FARE 201</w:t>
      </w:r>
      <w:r>
        <w:rPr>
          <w:rStyle w:val="Heading2Char"/>
          <w:sz w:val="40"/>
          <w:szCs w:val="36"/>
        </w:rPr>
        <w:t>9</w:t>
      </w:r>
      <w:r w:rsidRPr="00B42E4A">
        <w:rPr>
          <w:rStyle w:val="Heading2Char"/>
          <w:sz w:val="40"/>
          <w:szCs w:val="36"/>
        </w:rPr>
        <w:t>-</w:t>
      </w:r>
      <w:r>
        <w:rPr>
          <w:rStyle w:val="Heading2Char"/>
          <w:sz w:val="40"/>
          <w:szCs w:val="36"/>
        </w:rPr>
        <w:t>20</w:t>
      </w:r>
      <w:r w:rsidRPr="00B42E4A">
        <w:rPr>
          <w:rStyle w:val="Heading2Char"/>
          <w:sz w:val="40"/>
          <w:szCs w:val="36"/>
        </w:rPr>
        <w:t xml:space="preserve"> tax proposal</w:t>
      </w:r>
      <w:bookmarkEnd w:id="2"/>
      <w:bookmarkEnd w:id="5"/>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6"/>
      </w:tblGrid>
      <w:tr w:rsidR="00FE2CE2" w14:paraId="781C4178" w14:textId="77777777" w:rsidTr="00286EA9">
        <w:tc>
          <w:tcPr>
            <w:tcW w:w="9026" w:type="dxa"/>
            <w:shd w:val="clear" w:color="auto" w:fill="DEEAF6" w:themeFill="accent1" w:themeFillTint="33"/>
          </w:tcPr>
          <w:p w14:paraId="18B2937A" w14:textId="11DAE533" w:rsidR="00FE2CE2" w:rsidRPr="00286EA9" w:rsidRDefault="00FE2CE2" w:rsidP="008E1F1E">
            <w:pPr>
              <w:pStyle w:val="Numberedlist"/>
              <w:spacing w:before="70" w:after="70" w:line="260" w:lineRule="atLeast"/>
              <w:ind w:right="113"/>
            </w:pPr>
            <w:r w:rsidRPr="00286EA9">
              <w:t xml:space="preserve">That the </w:t>
            </w:r>
            <w:r w:rsidR="00237C41" w:rsidRPr="00286EA9">
              <w:t>Commonwealth</w:t>
            </w:r>
            <w:r w:rsidRPr="00286EA9">
              <w:t xml:space="preserve"> Government </w:t>
            </w:r>
            <w:r w:rsidR="00237C41" w:rsidRPr="00286EA9">
              <w:t xml:space="preserve">(the Government) </w:t>
            </w:r>
            <w:r w:rsidRPr="00286EA9">
              <w:t>reform the alcohol tax system through a phased approach that will save in excess of $2.9 billion annually and reduce consumption by more than 9.4 per cent. This should include:</w:t>
            </w:r>
          </w:p>
          <w:p w14:paraId="15D06B6A" w14:textId="6EC36076" w:rsidR="00FE2CE2" w:rsidRPr="00286EA9" w:rsidRDefault="00FE2CE2" w:rsidP="00FE2CE2">
            <w:pPr>
              <w:pStyle w:val="Numberedlist"/>
              <w:numPr>
                <w:ilvl w:val="0"/>
                <w:numId w:val="5"/>
              </w:numPr>
              <w:spacing w:before="70" w:after="70" w:line="260" w:lineRule="atLeast"/>
              <w:ind w:right="113"/>
            </w:pPr>
            <w:r w:rsidRPr="00286EA9">
              <w:t>Introducing a volumetric tax alongside the current WET and requiring produce</w:t>
            </w:r>
            <w:r w:rsidR="0037688D" w:rsidRPr="00286EA9">
              <w:t>rs to pay the larger of the two</w:t>
            </w:r>
          </w:p>
          <w:p w14:paraId="77B58EE8" w14:textId="2FC283E1" w:rsidR="00FE2CE2" w:rsidRPr="00286EA9" w:rsidRDefault="00FE2CE2" w:rsidP="00FE2CE2">
            <w:pPr>
              <w:pStyle w:val="Numberedlist"/>
              <w:numPr>
                <w:ilvl w:val="0"/>
                <w:numId w:val="5"/>
              </w:numPr>
              <w:spacing w:before="70" w:after="70" w:line="260" w:lineRule="atLeast"/>
              <w:ind w:right="113"/>
            </w:pPr>
            <w:r w:rsidRPr="00286EA9">
              <w:t>Lifting the volumetric rate over time to capture an increasing propo</w:t>
            </w:r>
            <w:r w:rsidR="0037688D" w:rsidRPr="00286EA9">
              <w:t>rtion of excessively cheap wine</w:t>
            </w:r>
          </w:p>
          <w:p w14:paraId="0B384C7A" w14:textId="7602C07C" w:rsidR="00FE2CE2" w:rsidRPr="00286EA9" w:rsidRDefault="00FE2CE2" w:rsidP="00FE2CE2">
            <w:pPr>
              <w:pStyle w:val="Numberedlist"/>
              <w:numPr>
                <w:ilvl w:val="0"/>
                <w:numId w:val="5"/>
              </w:numPr>
              <w:spacing w:before="70" w:after="70" w:line="260" w:lineRule="atLeast"/>
              <w:ind w:right="113"/>
            </w:pPr>
            <w:r w:rsidRPr="00286EA9">
              <w:t>Fix</w:t>
            </w:r>
            <w:r w:rsidR="008D744A" w:rsidRPr="00286EA9">
              <w:t>ing</w:t>
            </w:r>
            <w:r w:rsidRPr="00286EA9">
              <w:t xml:space="preserve"> the volumetric tax on wine at a level commensurate with its strength, half way between full-st</w:t>
            </w:r>
            <w:r w:rsidR="0037688D" w:rsidRPr="00286EA9">
              <w:t>rength draught beer and spirits</w:t>
            </w:r>
          </w:p>
          <w:p w14:paraId="09DA90E8" w14:textId="09D9374E" w:rsidR="00FE2CE2" w:rsidRPr="00286EA9" w:rsidRDefault="00FE2CE2" w:rsidP="00FE2CE2">
            <w:pPr>
              <w:pStyle w:val="Numberedlist"/>
              <w:numPr>
                <w:ilvl w:val="0"/>
                <w:numId w:val="5"/>
              </w:numPr>
              <w:spacing w:before="70" w:after="70" w:line="260" w:lineRule="atLeast"/>
              <w:ind w:right="113"/>
            </w:pPr>
            <w:r w:rsidRPr="00286EA9">
              <w:t>Increas</w:t>
            </w:r>
            <w:r w:rsidR="008D744A" w:rsidRPr="00286EA9">
              <w:t>ing</w:t>
            </w:r>
            <w:r w:rsidRPr="00286EA9">
              <w:t xml:space="preserve"> all alcohol tax by at least 10 per cent, to address negative externalities associated with the liquor trade.</w:t>
            </w:r>
          </w:p>
          <w:p w14:paraId="20F5CAAE" w14:textId="5E79DE97" w:rsidR="00FE2CE2" w:rsidRPr="00286EA9" w:rsidRDefault="00DC3605" w:rsidP="008E1F1E">
            <w:pPr>
              <w:pStyle w:val="Numberedlist"/>
              <w:spacing w:before="70" w:after="70" w:line="260" w:lineRule="atLeast"/>
              <w:ind w:right="113"/>
            </w:pPr>
            <w:r w:rsidRPr="00286EA9">
              <w:t>That the Government l</w:t>
            </w:r>
            <w:r w:rsidR="00FE2CE2" w:rsidRPr="00286EA9">
              <w:t xml:space="preserve">ift the </w:t>
            </w:r>
            <w:r w:rsidRPr="00286EA9">
              <w:t xml:space="preserve">concessional </w:t>
            </w:r>
            <w:r w:rsidR="00FE2CE2" w:rsidRPr="00286EA9">
              <w:t>tax on draught beer to bring this in line with the rates applied to packaged beer, providing a level playing field, additional revenue and a reduction in harm.</w:t>
            </w:r>
          </w:p>
          <w:p w14:paraId="106D4A1C" w14:textId="6219D106" w:rsidR="00FE2CE2" w:rsidRPr="00286EA9" w:rsidRDefault="00DC3605" w:rsidP="008E1F1E">
            <w:pPr>
              <w:pStyle w:val="Numberedlist"/>
              <w:spacing w:before="70" w:after="70" w:line="260" w:lineRule="atLeast"/>
              <w:ind w:right="113"/>
            </w:pPr>
            <w:r w:rsidRPr="00286EA9">
              <w:t>That the Government p</w:t>
            </w:r>
            <w:r w:rsidR="00FE2CE2" w:rsidRPr="00286EA9">
              <w:t xml:space="preserve">rotect children from being born with </w:t>
            </w:r>
            <w:r w:rsidR="00FE2CE2" w:rsidRPr="00286EA9">
              <w:rPr>
                <w:noProof/>
              </w:rPr>
              <w:t>a preventable</w:t>
            </w:r>
            <w:r w:rsidR="00FE2CE2" w:rsidRPr="00286EA9">
              <w:t xml:space="preserve"> lifelong disability by establishing a $10 million national public awareness campaign over four years to raise awareness about the risks of drinking alcohol during pregnancy.</w:t>
            </w:r>
          </w:p>
          <w:p w14:paraId="4BC0BFEE" w14:textId="38AE3113" w:rsidR="00FE2CE2" w:rsidRPr="00286EA9" w:rsidRDefault="00DC3605" w:rsidP="00FE2CE2">
            <w:pPr>
              <w:pStyle w:val="ListParagraph"/>
              <w:numPr>
                <w:ilvl w:val="0"/>
                <w:numId w:val="3"/>
              </w:numPr>
              <w:contextualSpacing w:val="0"/>
            </w:pPr>
            <w:r w:rsidRPr="00286EA9">
              <w:t>That the Government f</w:t>
            </w:r>
            <w:r w:rsidR="00FE2CE2" w:rsidRPr="00286EA9">
              <w:t>und a nation-wide public education</w:t>
            </w:r>
            <w:r w:rsidR="0037688D" w:rsidRPr="00286EA9">
              <w:t xml:space="preserve"> campaign to highlight the harm</w:t>
            </w:r>
            <w:r w:rsidRPr="00286EA9">
              <w:t>s</w:t>
            </w:r>
            <w:r w:rsidR="0037688D" w:rsidRPr="00286EA9">
              <w:t xml:space="preserve"> </w:t>
            </w:r>
            <w:r w:rsidR="00FE2CE2" w:rsidRPr="00286EA9">
              <w:t xml:space="preserve">associated with alcohol consumption and strategies that individuals can use to minimise their risk ($100 million over four years). </w:t>
            </w:r>
          </w:p>
          <w:p w14:paraId="3C8FEA4C" w14:textId="6F3E2340" w:rsidR="00FE2CE2" w:rsidRPr="00C26FC9" w:rsidRDefault="00DC3605" w:rsidP="00DC3605">
            <w:pPr>
              <w:pStyle w:val="ListParagraph"/>
              <w:numPr>
                <w:ilvl w:val="0"/>
                <w:numId w:val="3"/>
              </w:numPr>
              <w:contextualSpacing w:val="0"/>
              <w:rPr>
                <w:b/>
              </w:rPr>
            </w:pPr>
            <w:r w:rsidRPr="00286EA9">
              <w:t>That the Government p</w:t>
            </w:r>
            <w:r w:rsidR="00891FFF" w:rsidRPr="00286EA9">
              <w:t>hase out alcohol sponsorship in sport by investing $100 million over four years in the implementation of an Alcohol Sponsorship Replacement Fund.</w:t>
            </w:r>
            <w:r w:rsidR="00804C39">
              <w:rPr>
                <w:b/>
              </w:rPr>
              <w:br/>
            </w:r>
          </w:p>
        </w:tc>
      </w:tr>
    </w:tbl>
    <w:p w14:paraId="6F088CF4" w14:textId="77777777" w:rsidR="00FE2CE2" w:rsidRDefault="00FE2CE2" w:rsidP="00FE2CE2"/>
    <w:p w14:paraId="3614704A" w14:textId="2B1C6A57" w:rsidR="00FE2CE2" w:rsidRPr="00557624" w:rsidRDefault="00FE2CE2" w:rsidP="00FE2CE2">
      <w:pPr>
        <w:rPr>
          <w:rFonts w:eastAsiaTheme="minorHAnsi"/>
          <w:b/>
          <w:lang w:eastAsia="en-US"/>
        </w:rPr>
      </w:pPr>
      <w:r w:rsidRPr="00557624">
        <w:rPr>
          <w:rFonts w:eastAsiaTheme="minorHAnsi"/>
          <w:b/>
          <w:lang w:eastAsia="en-US"/>
        </w:rPr>
        <w:t>Table 1</w:t>
      </w:r>
      <w:r w:rsidR="00190011">
        <w:rPr>
          <w:rFonts w:eastAsiaTheme="minorHAnsi"/>
          <w:b/>
          <w:lang w:eastAsia="en-US"/>
        </w:rPr>
        <w:t>.</w:t>
      </w:r>
      <w:r w:rsidRPr="00557624">
        <w:rPr>
          <w:rFonts w:eastAsiaTheme="minorHAnsi"/>
          <w:b/>
          <w:lang w:eastAsia="en-US"/>
        </w:rPr>
        <w:t xml:space="preserve"> Costings of proposed action</w:t>
      </w:r>
    </w:p>
    <w:tbl>
      <w:tblPr>
        <w:tblStyle w:val="GridTable5Dark-Accent31"/>
        <w:tblW w:w="494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50"/>
        <w:gridCol w:w="2061"/>
        <w:gridCol w:w="2061"/>
        <w:gridCol w:w="2063"/>
      </w:tblGrid>
      <w:tr w:rsidR="00FE2CE2" w:rsidRPr="007E1CCA" w14:paraId="45D8D9C8" w14:textId="77777777" w:rsidTr="00006B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pct"/>
            <w:tcBorders>
              <w:top w:val="none" w:sz="0" w:space="0" w:color="auto"/>
              <w:left w:val="none" w:sz="0" w:space="0" w:color="auto"/>
              <w:right w:val="none" w:sz="0" w:space="0" w:color="auto"/>
            </w:tcBorders>
            <w:shd w:val="clear" w:color="auto" w:fill="7F7F7F" w:themeFill="text1" w:themeFillTint="80"/>
          </w:tcPr>
          <w:p w14:paraId="4924A644" w14:textId="77777777" w:rsidR="00FE2CE2" w:rsidRPr="007E1CCA" w:rsidRDefault="00FE2CE2" w:rsidP="008E1F1E">
            <w:pPr>
              <w:jc w:val="center"/>
              <w:rPr>
                <w:rFonts w:ascii="Calibri" w:eastAsia="Times New Roman" w:hAnsi="Calibri" w:cs="Times New Roman"/>
                <w:lang w:eastAsia="en-US"/>
              </w:rPr>
            </w:pPr>
            <w:r w:rsidRPr="007E1CCA">
              <w:rPr>
                <w:rFonts w:ascii="Calibri" w:eastAsia="Times New Roman" w:hAnsi="Calibri" w:cs="Times New Roman"/>
                <w:lang w:eastAsia="en-US"/>
              </w:rPr>
              <w:t>Item</w:t>
            </w:r>
          </w:p>
        </w:tc>
        <w:tc>
          <w:tcPr>
            <w:tcW w:w="1128" w:type="pct"/>
            <w:tcBorders>
              <w:top w:val="none" w:sz="0" w:space="0" w:color="auto"/>
              <w:left w:val="none" w:sz="0" w:space="0" w:color="auto"/>
              <w:right w:val="none" w:sz="0" w:space="0" w:color="auto"/>
            </w:tcBorders>
            <w:shd w:val="clear" w:color="auto" w:fill="7F7F7F" w:themeFill="text1" w:themeFillTint="80"/>
          </w:tcPr>
          <w:p w14:paraId="1E0B6150" w14:textId="77777777" w:rsidR="00FE2CE2" w:rsidRPr="007E1CCA" w:rsidRDefault="00FE2CE2" w:rsidP="008E1F1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n-US"/>
              </w:rPr>
            </w:pPr>
            <w:r w:rsidRPr="007E1CCA">
              <w:rPr>
                <w:rFonts w:ascii="Calibri" w:eastAsia="Times New Roman" w:hAnsi="Calibri" w:cs="Times New Roman"/>
                <w:lang w:eastAsia="en-US"/>
              </w:rPr>
              <w:t xml:space="preserve">Revenue </w:t>
            </w:r>
          </w:p>
          <w:p w14:paraId="35A0EF0A" w14:textId="5AEB17FF" w:rsidR="00FE2CE2" w:rsidRPr="007E1CCA" w:rsidRDefault="00FE2CE2" w:rsidP="008E1F1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n-US"/>
              </w:rPr>
            </w:pPr>
            <w:r w:rsidRPr="007E1CCA">
              <w:rPr>
                <w:rFonts w:ascii="Calibri" w:eastAsia="Times New Roman" w:hAnsi="Calibri" w:cs="Times New Roman"/>
                <w:lang w:eastAsia="en-US"/>
              </w:rPr>
              <w:t>($</w:t>
            </w:r>
            <w:r w:rsidR="00F37ABB">
              <w:rPr>
                <w:rFonts w:ascii="Calibri" w:eastAsia="Times New Roman" w:hAnsi="Calibri" w:cs="Times New Roman"/>
                <w:lang w:eastAsia="en-US"/>
              </w:rPr>
              <w:t>,000</w:t>
            </w:r>
            <w:r w:rsidRPr="007E1CCA">
              <w:rPr>
                <w:rFonts w:ascii="Calibri" w:eastAsia="Times New Roman" w:hAnsi="Calibri" w:cs="Times New Roman"/>
                <w:lang w:eastAsia="en-US"/>
              </w:rPr>
              <w:t xml:space="preserve"> per annum)</w:t>
            </w:r>
          </w:p>
        </w:tc>
        <w:tc>
          <w:tcPr>
            <w:tcW w:w="1128" w:type="pct"/>
            <w:tcBorders>
              <w:top w:val="none" w:sz="0" w:space="0" w:color="auto"/>
              <w:left w:val="none" w:sz="0" w:space="0" w:color="auto"/>
              <w:right w:val="none" w:sz="0" w:space="0" w:color="auto"/>
            </w:tcBorders>
            <w:shd w:val="clear" w:color="auto" w:fill="7F7F7F" w:themeFill="text1" w:themeFillTint="80"/>
          </w:tcPr>
          <w:p w14:paraId="79FF1637" w14:textId="77777777" w:rsidR="00FE2CE2" w:rsidRPr="007E1CCA" w:rsidRDefault="00FE2CE2" w:rsidP="008E1F1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n-US"/>
              </w:rPr>
            </w:pPr>
            <w:r w:rsidRPr="007E1CCA">
              <w:rPr>
                <w:rFonts w:ascii="Calibri" w:eastAsia="Times New Roman" w:hAnsi="Calibri" w:cs="Times New Roman"/>
                <w:lang w:eastAsia="en-US"/>
              </w:rPr>
              <w:t xml:space="preserve">Expenditure </w:t>
            </w:r>
          </w:p>
          <w:p w14:paraId="4A04360A" w14:textId="08047106" w:rsidR="00FE2CE2" w:rsidRPr="007E1CCA" w:rsidRDefault="00FE2CE2" w:rsidP="008E1F1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n-US"/>
              </w:rPr>
            </w:pPr>
            <w:r w:rsidRPr="007E1CCA">
              <w:rPr>
                <w:rFonts w:ascii="Calibri" w:eastAsia="Times New Roman" w:hAnsi="Calibri" w:cs="Times New Roman"/>
                <w:lang w:eastAsia="en-US"/>
              </w:rPr>
              <w:t>($</w:t>
            </w:r>
            <w:r w:rsidR="00F37ABB">
              <w:rPr>
                <w:rFonts w:ascii="Calibri" w:eastAsia="Times New Roman" w:hAnsi="Calibri" w:cs="Times New Roman"/>
                <w:lang w:eastAsia="en-US"/>
              </w:rPr>
              <w:t>,000</w:t>
            </w:r>
            <w:r w:rsidRPr="007E1CCA">
              <w:rPr>
                <w:rFonts w:ascii="Calibri" w:eastAsia="Times New Roman" w:hAnsi="Calibri" w:cs="Times New Roman"/>
                <w:lang w:eastAsia="en-US"/>
              </w:rPr>
              <w:t xml:space="preserve"> per annum)</w:t>
            </w:r>
          </w:p>
        </w:tc>
        <w:tc>
          <w:tcPr>
            <w:tcW w:w="1129" w:type="pct"/>
            <w:tcBorders>
              <w:top w:val="none" w:sz="0" w:space="0" w:color="auto"/>
              <w:left w:val="none" w:sz="0" w:space="0" w:color="auto"/>
              <w:right w:val="none" w:sz="0" w:space="0" w:color="auto"/>
            </w:tcBorders>
            <w:shd w:val="clear" w:color="auto" w:fill="7F7F7F" w:themeFill="text1" w:themeFillTint="80"/>
          </w:tcPr>
          <w:p w14:paraId="1E99F36E" w14:textId="77777777" w:rsidR="00FE2CE2" w:rsidRPr="007E1CCA" w:rsidRDefault="00FE2CE2" w:rsidP="008E1F1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n-US"/>
              </w:rPr>
            </w:pPr>
            <w:r w:rsidRPr="007E1CCA">
              <w:rPr>
                <w:rFonts w:ascii="Calibri" w:eastAsia="Times New Roman" w:hAnsi="Calibri" w:cs="Times New Roman"/>
                <w:lang w:eastAsia="en-US"/>
              </w:rPr>
              <w:t xml:space="preserve">Total </w:t>
            </w:r>
          </w:p>
          <w:p w14:paraId="131C759E" w14:textId="2D70AF6C" w:rsidR="00FE2CE2" w:rsidRPr="007E1CCA" w:rsidRDefault="00FE2CE2" w:rsidP="008E1F1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n-US"/>
              </w:rPr>
            </w:pPr>
            <w:r w:rsidRPr="007E1CCA">
              <w:rPr>
                <w:rFonts w:ascii="Calibri" w:eastAsia="Times New Roman" w:hAnsi="Calibri" w:cs="Times New Roman"/>
                <w:lang w:eastAsia="en-US"/>
              </w:rPr>
              <w:t>($</w:t>
            </w:r>
            <w:r w:rsidR="00F37ABB">
              <w:rPr>
                <w:rFonts w:ascii="Calibri" w:eastAsia="Times New Roman" w:hAnsi="Calibri" w:cs="Times New Roman"/>
                <w:lang w:eastAsia="en-US"/>
              </w:rPr>
              <w:t>,000</w:t>
            </w:r>
            <w:r w:rsidRPr="007E1CCA">
              <w:rPr>
                <w:rFonts w:ascii="Calibri" w:eastAsia="Times New Roman" w:hAnsi="Calibri" w:cs="Times New Roman"/>
                <w:lang w:eastAsia="en-US"/>
              </w:rPr>
              <w:t xml:space="preserve"> per annum)</w:t>
            </w:r>
          </w:p>
        </w:tc>
      </w:tr>
      <w:tr w:rsidR="00FE2CE2" w14:paraId="28215790" w14:textId="77777777" w:rsidTr="00286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pct"/>
            <w:tcBorders>
              <w:left w:val="none" w:sz="0" w:space="0" w:color="auto"/>
            </w:tcBorders>
            <w:shd w:val="clear" w:color="auto" w:fill="DEEAF6" w:themeFill="accent1" w:themeFillTint="33"/>
          </w:tcPr>
          <w:p w14:paraId="3C924C1B" w14:textId="77777777" w:rsidR="00FE2CE2" w:rsidRDefault="00FE2CE2" w:rsidP="008E1F1E">
            <w:pPr>
              <w:rPr>
                <w:color w:val="auto"/>
              </w:rPr>
            </w:pPr>
            <w:r w:rsidRPr="007E1CCA">
              <w:rPr>
                <w:color w:val="auto"/>
              </w:rPr>
              <w:t>Tax reform</w:t>
            </w:r>
          </w:p>
          <w:p w14:paraId="2B27AE04" w14:textId="73631E67" w:rsidR="008626E7" w:rsidRPr="007E1CCA" w:rsidRDefault="008626E7" w:rsidP="008E1F1E">
            <w:pPr>
              <w:rPr>
                <w:b w:val="0"/>
                <w:color w:val="auto"/>
              </w:rPr>
            </w:pPr>
          </w:p>
        </w:tc>
        <w:tc>
          <w:tcPr>
            <w:tcW w:w="1128" w:type="pct"/>
            <w:shd w:val="clear" w:color="auto" w:fill="FFFFFF" w:themeFill="background1"/>
          </w:tcPr>
          <w:p w14:paraId="2C4B998F" w14:textId="57069D92" w:rsidR="00FE2CE2" w:rsidRDefault="00FE2CE2" w:rsidP="00006BED">
            <w:pPr>
              <w:ind w:right="390"/>
              <w:jc w:val="right"/>
              <w:cnfStyle w:val="000000100000" w:firstRow="0" w:lastRow="0" w:firstColumn="0" w:lastColumn="0" w:oddVBand="0" w:evenVBand="0" w:oddHBand="1" w:evenHBand="0" w:firstRowFirstColumn="0" w:firstRowLastColumn="0" w:lastRowFirstColumn="0" w:lastRowLastColumn="0"/>
            </w:pPr>
            <w:r>
              <w:t>2,900</w:t>
            </w:r>
            <w:r w:rsidR="00F37ABB">
              <w:t>,000</w:t>
            </w:r>
          </w:p>
        </w:tc>
        <w:tc>
          <w:tcPr>
            <w:tcW w:w="1128" w:type="pct"/>
            <w:shd w:val="clear" w:color="auto" w:fill="FFFFFF" w:themeFill="background1"/>
          </w:tcPr>
          <w:p w14:paraId="6B4ECF13" w14:textId="789B484A" w:rsidR="00FE2CE2" w:rsidRDefault="00FE2CE2" w:rsidP="00006BED">
            <w:pPr>
              <w:ind w:right="416"/>
              <w:jc w:val="right"/>
              <w:cnfStyle w:val="000000100000" w:firstRow="0" w:lastRow="0" w:firstColumn="0" w:lastColumn="0" w:oddVBand="0" w:evenVBand="0" w:oddHBand="1" w:evenHBand="0" w:firstRowFirstColumn="0" w:firstRowLastColumn="0" w:lastRowFirstColumn="0" w:lastRowLastColumn="0"/>
            </w:pPr>
          </w:p>
        </w:tc>
        <w:tc>
          <w:tcPr>
            <w:tcW w:w="1129" w:type="pct"/>
            <w:shd w:val="clear" w:color="auto" w:fill="FFFFFF" w:themeFill="background1"/>
          </w:tcPr>
          <w:p w14:paraId="496AFAB9" w14:textId="33D7D3FD" w:rsidR="00FE2CE2" w:rsidRDefault="00FE2CE2" w:rsidP="00F37ABB">
            <w:pPr>
              <w:ind w:right="442"/>
              <w:jc w:val="right"/>
              <w:cnfStyle w:val="000000100000" w:firstRow="0" w:lastRow="0" w:firstColumn="0" w:lastColumn="0" w:oddVBand="0" w:evenVBand="0" w:oddHBand="1" w:evenHBand="0" w:firstRowFirstColumn="0" w:firstRowLastColumn="0" w:lastRowFirstColumn="0" w:lastRowLastColumn="0"/>
            </w:pPr>
            <w:r>
              <w:t>2,900</w:t>
            </w:r>
            <w:r w:rsidR="00F37ABB">
              <w:t>,0</w:t>
            </w:r>
            <w:r w:rsidR="00805B3E">
              <w:t>00</w:t>
            </w:r>
          </w:p>
        </w:tc>
      </w:tr>
      <w:tr w:rsidR="00FE2CE2" w14:paraId="5CBC45F4" w14:textId="77777777" w:rsidTr="00286EA9">
        <w:tc>
          <w:tcPr>
            <w:cnfStyle w:val="001000000000" w:firstRow="0" w:lastRow="0" w:firstColumn="1" w:lastColumn="0" w:oddVBand="0" w:evenVBand="0" w:oddHBand="0" w:evenHBand="0" w:firstRowFirstColumn="0" w:firstRowLastColumn="0" w:lastRowFirstColumn="0" w:lastRowLastColumn="0"/>
            <w:tcW w:w="1614" w:type="pct"/>
            <w:tcBorders>
              <w:left w:val="none" w:sz="0" w:space="0" w:color="auto"/>
            </w:tcBorders>
            <w:shd w:val="clear" w:color="auto" w:fill="DEEAF6" w:themeFill="accent1" w:themeFillTint="33"/>
          </w:tcPr>
          <w:p w14:paraId="215A8264" w14:textId="77777777" w:rsidR="00FE2CE2" w:rsidRDefault="00FE2CE2" w:rsidP="008E1F1E">
            <w:pPr>
              <w:rPr>
                <w:color w:val="auto"/>
              </w:rPr>
            </w:pPr>
            <w:r w:rsidRPr="007E1CCA">
              <w:rPr>
                <w:color w:val="auto"/>
              </w:rPr>
              <w:t>FASD</w:t>
            </w:r>
            <w:r w:rsidR="00DB1E4C">
              <w:rPr>
                <w:color w:val="auto"/>
              </w:rPr>
              <w:t xml:space="preserve"> education</w:t>
            </w:r>
            <w:r w:rsidRPr="007E1CCA">
              <w:rPr>
                <w:color w:val="auto"/>
              </w:rPr>
              <w:t xml:space="preserve"> campaign</w:t>
            </w:r>
          </w:p>
          <w:p w14:paraId="2228E650" w14:textId="2FD534E2" w:rsidR="008626E7" w:rsidRPr="007E1CCA" w:rsidRDefault="008626E7" w:rsidP="008E1F1E">
            <w:pPr>
              <w:rPr>
                <w:b w:val="0"/>
                <w:color w:val="auto"/>
              </w:rPr>
            </w:pPr>
          </w:p>
        </w:tc>
        <w:tc>
          <w:tcPr>
            <w:tcW w:w="1128" w:type="pct"/>
            <w:shd w:val="clear" w:color="auto" w:fill="FFFFFF" w:themeFill="background1"/>
          </w:tcPr>
          <w:p w14:paraId="16184AFB" w14:textId="0C8922AC" w:rsidR="00FE2CE2" w:rsidRDefault="00FE2CE2" w:rsidP="00006BED">
            <w:pPr>
              <w:ind w:right="390"/>
              <w:jc w:val="right"/>
              <w:cnfStyle w:val="000000000000" w:firstRow="0" w:lastRow="0" w:firstColumn="0" w:lastColumn="0" w:oddVBand="0" w:evenVBand="0" w:oddHBand="0" w:evenHBand="0" w:firstRowFirstColumn="0" w:firstRowLastColumn="0" w:lastRowFirstColumn="0" w:lastRowLastColumn="0"/>
            </w:pPr>
          </w:p>
        </w:tc>
        <w:tc>
          <w:tcPr>
            <w:tcW w:w="1128" w:type="pct"/>
            <w:shd w:val="clear" w:color="auto" w:fill="FFFFFF" w:themeFill="background1"/>
          </w:tcPr>
          <w:p w14:paraId="3D013056" w14:textId="1C9F2CE1" w:rsidR="00FE2CE2" w:rsidRDefault="00FE2CE2" w:rsidP="00006BED">
            <w:pPr>
              <w:ind w:right="416"/>
              <w:jc w:val="right"/>
              <w:cnfStyle w:val="000000000000" w:firstRow="0" w:lastRow="0" w:firstColumn="0" w:lastColumn="0" w:oddVBand="0" w:evenVBand="0" w:oddHBand="0" w:evenHBand="0" w:firstRowFirstColumn="0" w:firstRowLastColumn="0" w:lastRowFirstColumn="0" w:lastRowLastColumn="0"/>
            </w:pPr>
            <w:r>
              <w:t>$2</w:t>
            </w:r>
            <w:r w:rsidR="00F37ABB">
              <w:t>,</w:t>
            </w:r>
            <w:r>
              <w:t>5</w:t>
            </w:r>
            <w:r w:rsidR="00805B3E">
              <w:t>0</w:t>
            </w:r>
            <w:r w:rsidR="00C32437">
              <w:t>0</w:t>
            </w:r>
          </w:p>
        </w:tc>
        <w:tc>
          <w:tcPr>
            <w:tcW w:w="1129" w:type="pct"/>
            <w:shd w:val="clear" w:color="auto" w:fill="FFFFFF" w:themeFill="background1"/>
          </w:tcPr>
          <w:p w14:paraId="71A83313" w14:textId="7AE350F1" w:rsidR="00FE2CE2" w:rsidRPr="001B4A5A" w:rsidRDefault="00006BED" w:rsidP="00006BED">
            <w:pPr>
              <w:ind w:right="442"/>
              <w:jc w:val="right"/>
              <w:cnfStyle w:val="000000000000" w:firstRow="0" w:lastRow="0" w:firstColumn="0" w:lastColumn="0" w:oddVBand="0" w:evenVBand="0" w:oddHBand="0" w:evenHBand="0" w:firstRowFirstColumn="0" w:firstRowLastColumn="0" w:lastRowFirstColumn="0" w:lastRowLastColumn="0"/>
              <w:rPr>
                <w:color w:val="FF0000"/>
              </w:rPr>
            </w:pPr>
            <w:r>
              <w:rPr>
                <w:color w:val="FF0000"/>
              </w:rPr>
              <w:t>(</w:t>
            </w:r>
            <w:r w:rsidR="00FE2CE2" w:rsidRPr="001B4A5A">
              <w:rPr>
                <w:color w:val="FF0000"/>
              </w:rPr>
              <w:t>2</w:t>
            </w:r>
            <w:r w:rsidR="00F37ABB">
              <w:rPr>
                <w:color w:val="FF0000"/>
              </w:rPr>
              <w:t>,</w:t>
            </w:r>
            <w:r w:rsidR="00FE2CE2" w:rsidRPr="001B4A5A">
              <w:rPr>
                <w:color w:val="FF0000"/>
              </w:rPr>
              <w:t>5</w:t>
            </w:r>
            <w:r w:rsidR="00805B3E">
              <w:rPr>
                <w:color w:val="FF0000"/>
              </w:rPr>
              <w:t>0</w:t>
            </w:r>
            <w:r w:rsidR="00C32437">
              <w:rPr>
                <w:color w:val="FF0000"/>
              </w:rPr>
              <w:t>0</w:t>
            </w:r>
            <w:r>
              <w:rPr>
                <w:color w:val="FF0000"/>
              </w:rPr>
              <w:t>)</w:t>
            </w:r>
          </w:p>
        </w:tc>
      </w:tr>
      <w:tr w:rsidR="00FE2CE2" w14:paraId="15873A65" w14:textId="77777777" w:rsidTr="00286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pct"/>
            <w:tcBorders>
              <w:left w:val="none" w:sz="0" w:space="0" w:color="auto"/>
            </w:tcBorders>
            <w:shd w:val="clear" w:color="auto" w:fill="DEEAF6" w:themeFill="accent1" w:themeFillTint="33"/>
          </w:tcPr>
          <w:p w14:paraId="38546EDA" w14:textId="77777777" w:rsidR="00FE2CE2" w:rsidRDefault="00FE2CE2" w:rsidP="008E1F1E">
            <w:pPr>
              <w:rPr>
                <w:color w:val="auto"/>
              </w:rPr>
            </w:pPr>
            <w:r w:rsidRPr="007E1CCA">
              <w:rPr>
                <w:color w:val="auto"/>
              </w:rPr>
              <w:t>Public education campaign</w:t>
            </w:r>
          </w:p>
          <w:p w14:paraId="3DD48AC4" w14:textId="3BE76D2F" w:rsidR="008626E7" w:rsidRPr="007E1CCA" w:rsidRDefault="008626E7" w:rsidP="008E1F1E">
            <w:pPr>
              <w:rPr>
                <w:b w:val="0"/>
                <w:color w:val="auto"/>
              </w:rPr>
            </w:pPr>
          </w:p>
        </w:tc>
        <w:tc>
          <w:tcPr>
            <w:tcW w:w="1128" w:type="pct"/>
            <w:shd w:val="clear" w:color="auto" w:fill="FFFFFF" w:themeFill="background1"/>
          </w:tcPr>
          <w:p w14:paraId="1DDC54FA" w14:textId="5642CB68" w:rsidR="00FE2CE2" w:rsidRDefault="00FE2CE2" w:rsidP="00006BED">
            <w:pPr>
              <w:ind w:right="390"/>
              <w:jc w:val="right"/>
              <w:cnfStyle w:val="000000100000" w:firstRow="0" w:lastRow="0" w:firstColumn="0" w:lastColumn="0" w:oddVBand="0" w:evenVBand="0" w:oddHBand="1" w:evenHBand="0" w:firstRowFirstColumn="0" w:firstRowLastColumn="0" w:lastRowFirstColumn="0" w:lastRowLastColumn="0"/>
            </w:pPr>
          </w:p>
        </w:tc>
        <w:tc>
          <w:tcPr>
            <w:tcW w:w="1128" w:type="pct"/>
            <w:shd w:val="clear" w:color="auto" w:fill="FFFFFF" w:themeFill="background1"/>
          </w:tcPr>
          <w:p w14:paraId="28B4B125" w14:textId="2DF63297" w:rsidR="00FE2CE2" w:rsidRDefault="00FE2CE2" w:rsidP="00006BED">
            <w:pPr>
              <w:ind w:right="416"/>
              <w:jc w:val="right"/>
              <w:cnfStyle w:val="000000100000" w:firstRow="0" w:lastRow="0" w:firstColumn="0" w:lastColumn="0" w:oddVBand="0" w:evenVBand="0" w:oddHBand="1" w:evenHBand="0" w:firstRowFirstColumn="0" w:firstRowLastColumn="0" w:lastRowFirstColumn="0" w:lastRowLastColumn="0"/>
            </w:pPr>
            <w:r>
              <w:t>$25</w:t>
            </w:r>
            <w:r w:rsidR="00F37ABB">
              <w:t>,</w:t>
            </w:r>
            <w:r w:rsidR="00805B3E">
              <w:t>00</w:t>
            </w:r>
            <w:r w:rsidR="00F37ABB">
              <w:t>0</w:t>
            </w:r>
          </w:p>
        </w:tc>
        <w:tc>
          <w:tcPr>
            <w:tcW w:w="1129" w:type="pct"/>
            <w:shd w:val="clear" w:color="auto" w:fill="FFFFFF" w:themeFill="background1"/>
          </w:tcPr>
          <w:p w14:paraId="36FCA65E" w14:textId="58FFA0CC" w:rsidR="00FE2CE2" w:rsidRPr="001B4A5A" w:rsidRDefault="00006BED" w:rsidP="00006BED">
            <w:pPr>
              <w:ind w:right="442"/>
              <w:jc w:val="right"/>
              <w:cnfStyle w:val="000000100000" w:firstRow="0" w:lastRow="0" w:firstColumn="0" w:lastColumn="0" w:oddVBand="0" w:evenVBand="0" w:oddHBand="1" w:evenHBand="0" w:firstRowFirstColumn="0" w:firstRowLastColumn="0" w:lastRowFirstColumn="0" w:lastRowLastColumn="0"/>
              <w:rPr>
                <w:color w:val="FF0000"/>
              </w:rPr>
            </w:pPr>
            <w:r>
              <w:rPr>
                <w:color w:val="FF0000"/>
              </w:rPr>
              <w:t>(</w:t>
            </w:r>
            <w:r w:rsidR="00FE2CE2" w:rsidRPr="001B4A5A">
              <w:rPr>
                <w:color w:val="FF0000"/>
              </w:rPr>
              <w:t>25</w:t>
            </w:r>
            <w:r w:rsidR="00F37ABB">
              <w:rPr>
                <w:color w:val="FF0000"/>
              </w:rPr>
              <w:t>,</w:t>
            </w:r>
            <w:r w:rsidR="00805B3E">
              <w:rPr>
                <w:color w:val="FF0000"/>
              </w:rPr>
              <w:t>00</w:t>
            </w:r>
            <w:r w:rsidR="00F37ABB">
              <w:rPr>
                <w:color w:val="FF0000"/>
              </w:rPr>
              <w:t>0</w:t>
            </w:r>
            <w:r>
              <w:rPr>
                <w:color w:val="FF0000"/>
              </w:rPr>
              <w:t>)</w:t>
            </w:r>
          </w:p>
        </w:tc>
      </w:tr>
      <w:tr w:rsidR="00DB1E4C" w14:paraId="238D8222" w14:textId="77777777" w:rsidTr="00286EA9">
        <w:tc>
          <w:tcPr>
            <w:cnfStyle w:val="001000000000" w:firstRow="0" w:lastRow="0" w:firstColumn="1" w:lastColumn="0" w:oddVBand="0" w:evenVBand="0" w:oddHBand="0" w:evenHBand="0" w:firstRowFirstColumn="0" w:firstRowLastColumn="0" w:lastRowFirstColumn="0" w:lastRowLastColumn="0"/>
            <w:tcW w:w="1614" w:type="pct"/>
            <w:shd w:val="clear" w:color="auto" w:fill="DEEAF6" w:themeFill="accent1" w:themeFillTint="33"/>
          </w:tcPr>
          <w:p w14:paraId="04F9C17B" w14:textId="7B5E135D" w:rsidR="00DB1E4C" w:rsidRPr="007E1CCA" w:rsidRDefault="00DB1E4C" w:rsidP="008E1F1E">
            <w:r w:rsidRPr="00DB1E4C">
              <w:rPr>
                <w:color w:val="auto"/>
              </w:rPr>
              <w:t>Alcohol sponsorship replacement fund</w:t>
            </w:r>
          </w:p>
        </w:tc>
        <w:tc>
          <w:tcPr>
            <w:tcW w:w="1128" w:type="pct"/>
            <w:shd w:val="clear" w:color="auto" w:fill="FFFFFF" w:themeFill="background1"/>
          </w:tcPr>
          <w:p w14:paraId="7C804620" w14:textId="4599A87A" w:rsidR="00DB1E4C" w:rsidRDefault="00DB1E4C" w:rsidP="00006BED">
            <w:pPr>
              <w:ind w:right="390"/>
              <w:jc w:val="right"/>
              <w:cnfStyle w:val="000000000000" w:firstRow="0" w:lastRow="0" w:firstColumn="0" w:lastColumn="0" w:oddVBand="0" w:evenVBand="0" w:oddHBand="0" w:evenHBand="0" w:firstRowFirstColumn="0" w:firstRowLastColumn="0" w:lastRowFirstColumn="0" w:lastRowLastColumn="0"/>
            </w:pPr>
          </w:p>
        </w:tc>
        <w:tc>
          <w:tcPr>
            <w:tcW w:w="1128" w:type="pct"/>
            <w:shd w:val="clear" w:color="auto" w:fill="FFFFFF" w:themeFill="background1"/>
          </w:tcPr>
          <w:p w14:paraId="600F2D8A" w14:textId="61C8990F" w:rsidR="00DB1E4C" w:rsidRDefault="00A039E8" w:rsidP="00006BED">
            <w:pPr>
              <w:ind w:right="416"/>
              <w:jc w:val="right"/>
              <w:cnfStyle w:val="000000000000" w:firstRow="0" w:lastRow="0" w:firstColumn="0" w:lastColumn="0" w:oddVBand="0" w:evenVBand="0" w:oddHBand="0" w:evenHBand="0" w:firstRowFirstColumn="0" w:firstRowLastColumn="0" w:lastRowFirstColumn="0" w:lastRowLastColumn="0"/>
            </w:pPr>
            <w:r>
              <w:t>$25</w:t>
            </w:r>
            <w:r w:rsidR="00F37ABB">
              <w:t>,</w:t>
            </w:r>
            <w:r>
              <w:t>00</w:t>
            </w:r>
            <w:r w:rsidR="00F37ABB">
              <w:t>0</w:t>
            </w:r>
          </w:p>
        </w:tc>
        <w:tc>
          <w:tcPr>
            <w:tcW w:w="1129" w:type="pct"/>
            <w:shd w:val="clear" w:color="auto" w:fill="FFFFFF" w:themeFill="background1"/>
          </w:tcPr>
          <w:p w14:paraId="4152E0F9" w14:textId="67A4C451" w:rsidR="00DB1E4C" w:rsidRPr="001B4A5A" w:rsidRDefault="00006BED" w:rsidP="00006BED">
            <w:pPr>
              <w:ind w:right="442"/>
              <w:jc w:val="right"/>
              <w:cnfStyle w:val="000000000000" w:firstRow="0" w:lastRow="0" w:firstColumn="0" w:lastColumn="0" w:oddVBand="0" w:evenVBand="0" w:oddHBand="0" w:evenHBand="0" w:firstRowFirstColumn="0" w:firstRowLastColumn="0" w:lastRowFirstColumn="0" w:lastRowLastColumn="0"/>
              <w:rPr>
                <w:color w:val="FF0000"/>
              </w:rPr>
            </w:pPr>
            <w:r>
              <w:rPr>
                <w:color w:val="FF0000"/>
              </w:rPr>
              <w:t>(</w:t>
            </w:r>
            <w:r w:rsidR="00A039E8">
              <w:rPr>
                <w:color w:val="FF0000"/>
              </w:rPr>
              <w:t>25</w:t>
            </w:r>
            <w:r w:rsidR="00F37ABB">
              <w:rPr>
                <w:color w:val="FF0000"/>
              </w:rPr>
              <w:t>,</w:t>
            </w:r>
            <w:r w:rsidR="00A039E8">
              <w:rPr>
                <w:color w:val="FF0000"/>
              </w:rPr>
              <w:t>00</w:t>
            </w:r>
            <w:r w:rsidR="00F37ABB">
              <w:rPr>
                <w:color w:val="FF0000"/>
              </w:rPr>
              <w:t>0</w:t>
            </w:r>
            <w:r>
              <w:rPr>
                <w:color w:val="FF0000"/>
              </w:rPr>
              <w:t>)</w:t>
            </w:r>
          </w:p>
        </w:tc>
      </w:tr>
      <w:tr w:rsidR="00FE2CE2" w:rsidRPr="00006BED" w14:paraId="5726029C" w14:textId="77777777" w:rsidTr="00286EA9">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614" w:type="pct"/>
            <w:tcBorders>
              <w:left w:val="none" w:sz="0" w:space="0" w:color="auto"/>
              <w:bottom w:val="none" w:sz="0" w:space="0" w:color="auto"/>
            </w:tcBorders>
            <w:shd w:val="clear" w:color="auto" w:fill="DEEAF6" w:themeFill="accent1" w:themeFillTint="33"/>
            <w:vAlign w:val="center"/>
          </w:tcPr>
          <w:p w14:paraId="7FD7EAC9" w14:textId="637B590A" w:rsidR="008626E7" w:rsidRPr="00006BED" w:rsidRDefault="009255E5" w:rsidP="009255E5">
            <w:pPr>
              <w:rPr>
                <w:color w:val="auto"/>
              </w:rPr>
            </w:pPr>
            <w:r w:rsidRPr="00006BED">
              <w:rPr>
                <w:color w:val="auto"/>
              </w:rPr>
              <w:t>TOTAL</w:t>
            </w:r>
          </w:p>
        </w:tc>
        <w:tc>
          <w:tcPr>
            <w:tcW w:w="1128" w:type="pct"/>
            <w:shd w:val="clear" w:color="auto" w:fill="FFFFFF" w:themeFill="background1"/>
            <w:vAlign w:val="center"/>
          </w:tcPr>
          <w:p w14:paraId="195726C5" w14:textId="370C3889" w:rsidR="00FE2CE2" w:rsidRPr="00006BED" w:rsidRDefault="00FE2CE2" w:rsidP="009255E5">
            <w:pPr>
              <w:ind w:right="390"/>
              <w:jc w:val="right"/>
              <w:cnfStyle w:val="000000100000" w:firstRow="0" w:lastRow="0" w:firstColumn="0" w:lastColumn="0" w:oddVBand="0" w:evenVBand="0" w:oddHBand="1" w:evenHBand="0" w:firstRowFirstColumn="0" w:firstRowLastColumn="0" w:lastRowFirstColumn="0" w:lastRowLastColumn="0"/>
              <w:rPr>
                <w:b/>
              </w:rPr>
            </w:pPr>
            <w:r w:rsidRPr="00006BED">
              <w:rPr>
                <w:b/>
              </w:rPr>
              <w:t>2,900</w:t>
            </w:r>
            <w:r w:rsidR="00F37ABB">
              <w:rPr>
                <w:b/>
              </w:rPr>
              <w:t>,</w:t>
            </w:r>
            <w:r w:rsidR="00805B3E" w:rsidRPr="00006BED">
              <w:rPr>
                <w:b/>
              </w:rPr>
              <w:t>00</w:t>
            </w:r>
            <w:r w:rsidR="00F37ABB">
              <w:rPr>
                <w:b/>
              </w:rPr>
              <w:t>0</w:t>
            </w:r>
          </w:p>
        </w:tc>
        <w:tc>
          <w:tcPr>
            <w:tcW w:w="1128" w:type="pct"/>
            <w:shd w:val="clear" w:color="auto" w:fill="FFFFFF" w:themeFill="background1"/>
            <w:vAlign w:val="center"/>
          </w:tcPr>
          <w:p w14:paraId="3F770FE2" w14:textId="6AE1A2D4" w:rsidR="00FE2CE2" w:rsidRPr="00006BED" w:rsidRDefault="00A039E8" w:rsidP="009255E5">
            <w:pPr>
              <w:ind w:right="416"/>
              <w:jc w:val="right"/>
              <w:cnfStyle w:val="000000100000" w:firstRow="0" w:lastRow="0" w:firstColumn="0" w:lastColumn="0" w:oddVBand="0" w:evenVBand="0" w:oddHBand="1" w:evenHBand="0" w:firstRowFirstColumn="0" w:firstRowLastColumn="0" w:lastRowFirstColumn="0" w:lastRowLastColumn="0"/>
              <w:rPr>
                <w:b/>
              </w:rPr>
            </w:pPr>
            <w:r w:rsidRPr="00006BED">
              <w:rPr>
                <w:b/>
              </w:rPr>
              <w:t>52</w:t>
            </w:r>
            <w:r w:rsidR="00F37ABB">
              <w:rPr>
                <w:b/>
              </w:rPr>
              <w:t>,</w:t>
            </w:r>
            <w:r w:rsidR="00FE2CE2" w:rsidRPr="00006BED">
              <w:rPr>
                <w:b/>
              </w:rPr>
              <w:t>5</w:t>
            </w:r>
            <w:r w:rsidR="00805B3E" w:rsidRPr="00006BED">
              <w:rPr>
                <w:b/>
              </w:rPr>
              <w:t>0</w:t>
            </w:r>
            <w:r w:rsidR="00F37ABB">
              <w:rPr>
                <w:b/>
              </w:rPr>
              <w:t>0</w:t>
            </w:r>
          </w:p>
        </w:tc>
        <w:tc>
          <w:tcPr>
            <w:tcW w:w="1129" w:type="pct"/>
            <w:shd w:val="clear" w:color="auto" w:fill="FFFFFF" w:themeFill="background1"/>
            <w:vAlign w:val="center"/>
          </w:tcPr>
          <w:p w14:paraId="55A93368" w14:textId="6D308EA8" w:rsidR="00FE2CE2" w:rsidRPr="00006BED" w:rsidRDefault="00FE2CE2" w:rsidP="009255E5">
            <w:pPr>
              <w:ind w:right="442"/>
              <w:jc w:val="right"/>
              <w:cnfStyle w:val="000000100000" w:firstRow="0" w:lastRow="0" w:firstColumn="0" w:lastColumn="0" w:oddVBand="0" w:evenVBand="0" w:oddHBand="1" w:evenHBand="0" w:firstRowFirstColumn="0" w:firstRowLastColumn="0" w:lastRowFirstColumn="0" w:lastRowLastColumn="0"/>
              <w:rPr>
                <w:b/>
              </w:rPr>
            </w:pPr>
            <w:r w:rsidRPr="00006BED">
              <w:rPr>
                <w:b/>
              </w:rPr>
              <w:t>2,</w:t>
            </w:r>
            <w:r w:rsidR="00837727" w:rsidRPr="00006BED">
              <w:rPr>
                <w:b/>
              </w:rPr>
              <w:t>847</w:t>
            </w:r>
            <w:r w:rsidR="00F37ABB">
              <w:rPr>
                <w:b/>
              </w:rPr>
              <w:t>,</w:t>
            </w:r>
            <w:r w:rsidRPr="00006BED">
              <w:rPr>
                <w:b/>
              </w:rPr>
              <w:t>5</w:t>
            </w:r>
            <w:r w:rsidR="00805B3E" w:rsidRPr="00006BED">
              <w:rPr>
                <w:b/>
              </w:rPr>
              <w:t>0</w:t>
            </w:r>
            <w:r w:rsidR="00F37ABB">
              <w:rPr>
                <w:b/>
              </w:rPr>
              <w:t>0</w:t>
            </w:r>
          </w:p>
        </w:tc>
      </w:tr>
    </w:tbl>
    <w:p w14:paraId="683EEEBD" w14:textId="77777777" w:rsidR="00FE2CE2" w:rsidRDefault="00FE2CE2" w:rsidP="00FE2CE2">
      <w:pPr>
        <w:rPr>
          <w:rFonts w:eastAsia="Times New Roman" w:cstheme="minorHAnsi"/>
          <w:lang w:eastAsia="en-AU"/>
        </w:rPr>
      </w:pPr>
    </w:p>
    <w:p w14:paraId="5159C138" w14:textId="77777777" w:rsidR="00FE2CE2" w:rsidRDefault="00FE2CE2" w:rsidP="00FE2CE2">
      <w:pPr>
        <w:rPr>
          <w:rFonts w:eastAsia="Times New Roman" w:cstheme="minorHAnsi"/>
          <w:lang w:eastAsia="en-AU"/>
        </w:rPr>
      </w:pPr>
      <w:r>
        <w:rPr>
          <w:rFonts w:eastAsia="Times New Roman" w:cstheme="minorHAnsi"/>
          <w:lang w:eastAsia="en-AU"/>
        </w:rPr>
        <w:br w:type="page"/>
      </w:r>
    </w:p>
    <w:p w14:paraId="7B566525" w14:textId="77777777" w:rsidR="00FE2CE2" w:rsidRPr="005A26FE" w:rsidRDefault="00FE2CE2" w:rsidP="005A26FE">
      <w:pPr>
        <w:pStyle w:val="Heading1"/>
      </w:pPr>
      <w:bookmarkStart w:id="7" w:name="_Toc529888062"/>
      <w:bookmarkStart w:id="8" w:name="_Toc532385399"/>
      <w:bookmarkStart w:id="9" w:name="_Toc532809048"/>
      <w:r w:rsidRPr="005A26FE">
        <w:lastRenderedPageBreak/>
        <w:t>The current alcohol tax system is harmful to health and the economy</w:t>
      </w:r>
      <w:bookmarkEnd w:id="7"/>
      <w:bookmarkEnd w:id="8"/>
      <w:bookmarkEnd w:id="9"/>
    </w:p>
    <w:p w14:paraId="3C733A8C" w14:textId="4ACA752D" w:rsidR="00FE2CE2" w:rsidRPr="00151DB6" w:rsidRDefault="00FE2CE2" w:rsidP="00F8393B">
      <w:pPr>
        <w:jc w:val="both"/>
      </w:pPr>
      <w:r>
        <w:rPr>
          <w:iCs/>
        </w:rPr>
        <w:t>Price</w:t>
      </w:r>
      <w:r w:rsidRPr="00151DB6">
        <w:rPr>
          <w:iCs/>
        </w:rPr>
        <w:t xml:space="preserve"> is </w:t>
      </w:r>
      <w:r>
        <w:rPr>
          <w:iCs/>
        </w:rPr>
        <w:t xml:space="preserve">a key </w:t>
      </w:r>
      <w:r w:rsidRPr="00151DB6">
        <w:rPr>
          <w:iCs/>
        </w:rPr>
        <w:t>determinant</w:t>
      </w:r>
      <w:r>
        <w:rPr>
          <w:iCs/>
        </w:rPr>
        <w:t xml:space="preserve"> of consumer decisions</w:t>
      </w:r>
      <w:r w:rsidRPr="00151DB6">
        <w:rPr>
          <w:iCs/>
        </w:rPr>
        <w:t xml:space="preserve"> to drink</w:t>
      </w:r>
      <w:r>
        <w:rPr>
          <w:iCs/>
        </w:rPr>
        <w:t xml:space="preserve"> alcohol and the volume and frequency that they drink</w:t>
      </w:r>
      <w:r w:rsidR="00611224">
        <w:rPr>
          <w:rStyle w:val="EndnoteReference"/>
          <w:iCs/>
        </w:rPr>
        <w:endnoteReference w:id="7"/>
      </w:r>
      <w:r>
        <w:rPr>
          <w:iCs/>
        </w:rPr>
        <w:t>.</w:t>
      </w:r>
      <w:r w:rsidRPr="00151DB6">
        <w:rPr>
          <w:iCs/>
        </w:rPr>
        <w:t xml:space="preserve"> Government</w:t>
      </w:r>
      <w:r>
        <w:rPr>
          <w:iCs/>
        </w:rPr>
        <w:t>s</w:t>
      </w:r>
      <w:r w:rsidRPr="00151DB6">
        <w:rPr>
          <w:iCs/>
        </w:rPr>
        <w:t xml:space="preserve"> can use taxation </w:t>
      </w:r>
      <w:r w:rsidRPr="00151DB6">
        <w:rPr>
          <w:lang w:val="en-US"/>
        </w:rPr>
        <w:t xml:space="preserve">to </w:t>
      </w:r>
      <w:r>
        <w:rPr>
          <w:lang w:val="en-US"/>
        </w:rPr>
        <w:t>direc</w:t>
      </w:r>
      <w:r w:rsidRPr="00151DB6">
        <w:rPr>
          <w:lang w:val="en-US"/>
        </w:rPr>
        <w:t>t</w:t>
      </w:r>
      <w:r>
        <w:rPr>
          <w:lang w:val="en-US"/>
        </w:rPr>
        <w:t xml:space="preserve"> </w:t>
      </w:r>
      <w:r w:rsidRPr="00151DB6">
        <w:rPr>
          <w:lang w:val="en-US"/>
        </w:rPr>
        <w:t>Australians to safer</w:t>
      </w:r>
      <w:r>
        <w:rPr>
          <w:lang w:val="en-US"/>
        </w:rPr>
        <w:t xml:space="preserve"> consumption options</w:t>
      </w:r>
      <w:r w:rsidRPr="00151DB6">
        <w:rPr>
          <w:lang w:val="en-US"/>
        </w:rPr>
        <w:t xml:space="preserve"> and </w:t>
      </w:r>
      <w:r>
        <w:rPr>
          <w:lang w:val="en-US"/>
        </w:rPr>
        <w:t xml:space="preserve">reduce </w:t>
      </w:r>
      <w:r w:rsidRPr="00151DB6">
        <w:rPr>
          <w:lang w:val="en-US"/>
        </w:rPr>
        <w:t xml:space="preserve">harm </w:t>
      </w:r>
      <w:r>
        <w:rPr>
          <w:lang w:val="en-US"/>
        </w:rPr>
        <w:t xml:space="preserve">including </w:t>
      </w:r>
      <w:r w:rsidRPr="00151DB6">
        <w:rPr>
          <w:lang w:val="en-US"/>
        </w:rPr>
        <w:t>among specific high-risk populations</w:t>
      </w:r>
      <w:r>
        <w:rPr>
          <w:lang w:val="en-US"/>
        </w:rPr>
        <w:t xml:space="preserve"> such as</w:t>
      </w:r>
      <w:r w:rsidRPr="00151DB6">
        <w:rPr>
          <w:lang w:val="en-US"/>
        </w:rPr>
        <w:t xml:space="preserve"> young people and heavy drinkers.</w:t>
      </w:r>
      <w:r w:rsidRPr="00151DB6">
        <w:rPr>
          <w:vertAlign w:val="superscript"/>
          <w:lang w:val="en-US"/>
        </w:rPr>
        <w:endnoteReference w:id="8"/>
      </w:r>
      <w:r w:rsidRPr="00151DB6">
        <w:rPr>
          <w:lang w:val="en-US"/>
        </w:rPr>
        <w:t xml:space="preserve"> </w:t>
      </w:r>
      <w:r>
        <w:t>T</w:t>
      </w:r>
      <w:r w:rsidRPr="00151DB6">
        <w:t>axation is the most effective alcohol harm prevention measure,</w:t>
      </w:r>
      <w:r w:rsidRPr="00151DB6">
        <w:rPr>
          <w:vertAlign w:val="superscript"/>
        </w:rPr>
        <w:endnoteReference w:id="9"/>
      </w:r>
      <w:r w:rsidRPr="00151DB6">
        <w:t xml:space="preserve"> </w:t>
      </w:r>
      <w:r>
        <w:t>and</w:t>
      </w:r>
      <w:r w:rsidRPr="00151DB6">
        <w:t xml:space="preserve"> </w:t>
      </w:r>
      <w:r w:rsidR="00FD36D4">
        <w:t>is also likely to</w:t>
      </w:r>
      <w:r w:rsidRPr="00151DB6">
        <w:t xml:space="preserve"> be the most efficient.</w:t>
      </w:r>
      <w:r w:rsidRPr="00151DB6">
        <w:rPr>
          <w:vertAlign w:val="superscript"/>
          <w:lang w:val="en-US"/>
        </w:rPr>
        <w:endnoteReference w:id="10"/>
      </w:r>
      <w:r w:rsidRPr="00151DB6">
        <w:t xml:space="preserve">  </w:t>
      </w:r>
      <w:r>
        <w:t>A</w:t>
      </w:r>
      <w:r w:rsidRPr="00151DB6">
        <w:t xml:space="preserve"> well-designed alcohol tax system</w:t>
      </w:r>
      <w:r>
        <w:t xml:space="preserve"> reduces harmful alcohol consumption and addresses the spillover costs to the community including FASD, child maltreatment, domestic violence, road accidents, crime and violence, and increased mortality and morbidity associated with a range of acute and chronic medical conditions. </w:t>
      </w:r>
    </w:p>
    <w:p w14:paraId="2B99DB50" w14:textId="5784D22D" w:rsidR="00FE2CE2" w:rsidRPr="00151DB6" w:rsidRDefault="00FE2CE2" w:rsidP="00F8393B">
      <w:pPr>
        <w:jc w:val="both"/>
      </w:pPr>
      <w:r>
        <w:t xml:space="preserve">Alcohol may be taxed based on product value, or volume of pure alcohol such as through an excise.  </w:t>
      </w:r>
      <w:r>
        <w:rPr>
          <w:bCs/>
        </w:rPr>
        <w:t>A</w:t>
      </w:r>
      <w:r w:rsidRPr="00151DB6">
        <w:t xml:space="preserve"> volumetric </w:t>
      </w:r>
      <w:r>
        <w:t xml:space="preserve">tax can </w:t>
      </w:r>
      <w:r w:rsidRPr="00151DB6">
        <w:t>differentiate</w:t>
      </w:r>
      <w:r>
        <w:t xml:space="preserve"> products</w:t>
      </w:r>
      <w:r w:rsidRPr="00151DB6">
        <w:t xml:space="preserve"> on the basis of product strength</w:t>
      </w:r>
      <w:r>
        <w:t xml:space="preserve"> so that </w:t>
      </w:r>
      <w:r w:rsidRPr="00151DB6">
        <w:t xml:space="preserve">higher strength products such as spirits are taxed at a higher rate per unit of alcohol than lower strength products such as beer. </w:t>
      </w:r>
      <w:r>
        <w:t>This allows</w:t>
      </w:r>
      <w:r w:rsidRPr="00151DB6">
        <w:t xml:space="preserve"> tax to influence the level of alcohol consumption and consequent harm, </w:t>
      </w:r>
      <w:r>
        <w:t>by</w:t>
      </w:r>
      <w:r w:rsidRPr="00151DB6">
        <w:t xml:space="preserve"> guid</w:t>
      </w:r>
      <w:r>
        <w:t>ing</w:t>
      </w:r>
      <w:r w:rsidRPr="00151DB6">
        <w:t xml:space="preserve"> behaviour with price signals toward</w:t>
      </w:r>
      <w:r>
        <w:t>s less harmful</w:t>
      </w:r>
      <w:r w:rsidRPr="00151DB6">
        <w:t xml:space="preserve"> products.</w:t>
      </w:r>
      <w:r>
        <w:t xml:space="preserve"> It also means that heavier consumers of alcohol pay more tax and thereby contribute more to addressing the spillover costs of alcohol use. The volumetric tax </w:t>
      </w:r>
      <w:r w:rsidRPr="00151DB6">
        <w:t>on beer</w:t>
      </w:r>
      <w:r>
        <w:t xml:space="preserve"> in Australia used since the 1980s</w:t>
      </w:r>
      <w:r w:rsidRPr="00151DB6">
        <w:rPr>
          <w:vertAlign w:val="superscript"/>
        </w:rPr>
        <w:footnoteReference w:id="1"/>
      </w:r>
      <w:r w:rsidRPr="00151DB6">
        <w:t xml:space="preserve"> </w:t>
      </w:r>
      <w:r>
        <w:t xml:space="preserve">has helped shift preferences to </w:t>
      </w:r>
      <w:r w:rsidRPr="00151DB6">
        <w:t>low-strength beer, which now accounts for 20 per cent of the total Australian beer market</w:t>
      </w:r>
      <w:r>
        <w:t xml:space="preserve"> with XXXX gold</w:t>
      </w:r>
      <w:r w:rsidR="0037688D">
        <w:t>,</w:t>
      </w:r>
      <w:r>
        <w:t xml:space="preserve"> a low-strength beer</w:t>
      </w:r>
      <w:r w:rsidR="0037688D">
        <w:t>,</w:t>
      </w:r>
      <w:r>
        <w:t xml:space="preserve"> Australia’s biggest selling brand</w:t>
      </w:r>
      <w:r w:rsidRPr="00151DB6">
        <w:t>.</w:t>
      </w:r>
      <w:r w:rsidRPr="00151DB6">
        <w:rPr>
          <w:vertAlign w:val="superscript"/>
        </w:rPr>
        <w:endnoteReference w:id="11"/>
      </w:r>
      <w:r w:rsidRPr="00151DB6">
        <w:t xml:space="preserve"> </w:t>
      </w:r>
      <w:r>
        <w:t xml:space="preserve">Shifting preferences </w:t>
      </w:r>
      <w:r w:rsidRPr="00151DB6">
        <w:t>away from higher strength products</w:t>
      </w:r>
      <w:r>
        <w:t xml:space="preserve"> which can contribute to higher rates of intoxicat</w:t>
      </w:r>
      <w:r w:rsidR="0037688D">
        <w:t>ion, can help to reduce alcohol-</w:t>
      </w:r>
      <w:r>
        <w:t>related harm</w:t>
      </w:r>
      <w:r w:rsidRPr="00151DB6">
        <w:t>.</w:t>
      </w:r>
    </w:p>
    <w:p w14:paraId="55BAF709" w14:textId="4D9DF60A" w:rsidR="00FE2CE2" w:rsidRPr="00B53726" w:rsidRDefault="00375001" w:rsidP="00F8393B">
      <w:pPr>
        <w:jc w:val="both"/>
      </w:pPr>
      <w:r>
        <w:t xml:space="preserve">In Australia, beer, spirits and some ciders </w:t>
      </w:r>
      <w:r w:rsidR="00FE2CE2">
        <w:t>are taxed on a volumetric basis using multiple different ra</w:t>
      </w:r>
      <w:r w:rsidR="0037688D">
        <w:t>tes, while wine and other fruit-</w:t>
      </w:r>
      <w:r w:rsidR="00FE2CE2">
        <w:t>based products</w:t>
      </w:r>
      <w:r w:rsidR="0037688D">
        <w:t>,</w:t>
      </w:r>
      <w:r w:rsidR="00A846D1">
        <w:t xml:space="preserve"> </w:t>
      </w:r>
      <w:r w:rsidR="00FE2CE2">
        <w:t>including traditional cider, perry, mead and sake are taxed based on value</w:t>
      </w:r>
      <w:r w:rsidR="00FE2CE2" w:rsidRPr="00456D95">
        <w:t xml:space="preserve"> </w:t>
      </w:r>
      <w:r w:rsidR="00FE2CE2">
        <w:t>through</w:t>
      </w:r>
      <w:r w:rsidR="00FE2CE2" w:rsidRPr="00151DB6">
        <w:t xml:space="preserve"> the Wine Equalisation Tax (WET)</w:t>
      </w:r>
      <w:r w:rsidR="00FE2CE2">
        <w:t>. The WET</w:t>
      </w:r>
      <w:r w:rsidR="00FE2CE2" w:rsidRPr="00151DB6">
        <w:t xml:space="preserve"> is 29 per cent of the wholesale price of wine and </w:t>
      </w:r>
      <w:r w:rsidR="00FE2CE2">
        <w:t>other fruit based products,</w:t>
      </w:r>
      <w:r w:rsidR="00FE2CE2" w:rsidRPr="0047770B">
        <w:rPr>
          <w:bCs/>
        </w:rPr>
        <w:t xml:space="preserve"> </w:t>
      </w:r>
      <w:r w:rsidR="00FE2CE2">
        <w:rPr>
          <w:bCs/>
        </w:rPr>
        <w:t>a rate which has not been increased since its introduction in the 2000-01 financial year</w:t>
      </w:r>
      <w:r w:rsidR="00FE2CE2" w:rsidRPr="00151DB6">
        <w:rPr>
          <w:bCs/>
        </w:rPr>
        <w:t>.</w:t>
      </w:r>
      <w:r w:rsidR="00FE2CE2">
        <w:rPr>
          <w:bCs/>
        </w:rPr>
        <w:t xml:space="preserve"> No tax is applied to exported wines. The WET is </w:t>
      </w:r>
      <w:r w:rsidR="00FE2CE2" w:rsidRPr="00151DB6">
        <w:rPr>
          <w:bCs/>
        </w:rPr>
        <w:t>considerably less per unit of alcohol than</w:t>
      </w:r>
      <w:r w:rsidR="00FE2CE2">
        <w:rPr>
          <w:bCs/>
        </w:rPr>
        <w:t xml:space="preserve"> the tax on</w:t>
      </w:r>
      <w:r w:rsidR="00FE2CE2" w:rsidRPr="00151DB6">
        <w:rPr>
          <w:bCs/>
        </w:rPr>
        <w:t xml:space="preserve"> beer and spirits</w:t>
      </w:r>
      <w:r w:rsidR="00FE2CE2">
        <w:rPr>
          <w:bCs/>
        </w:rPr>
        <w:t xml:space="preserve"> and so generates much less taxation revenue as a proportion of consumption.  </w:t>
      </w:r>
    </w:p>
    <w:p w14:paraId="04264A50" w14:textId="5F52CCC5" w:rsidR="0044394F" w:rsidRDefault="00FE2CE2" w:rsidP="005A26FE">
      <w:pPr>
        <w:jc w:val="both"/>
      </w:pPr>
      <w:r>
        <w:rPr>
          <w:bCs/>
        </w:rPr>
        <w:t>A</w:t>
      </w:r>
      <w:r w:rsidR="0037688D">
        <w:rPr>
          <w:bCs/>
        </w:rPr>
        <w:t>s</w:t>
      </w:r>
      <w:r>
        <w:rPr>
          <w:bCs/>
        </w:rPr>
        <w:t xml:space="preserve"> shown in Figure 1, w</w:t>
      </w:r>
      <w:r w:rsidRPr="00151DB6">
        <w:rPr>
          <w:bCs/>
        </w:rPr>
        <w:t xml:space="preserve">ine and cider accounted for 39.8 per cent of alcohol consumed in 2013-14, </w:t>
      </w:r>
      <w:r>
        <w:rPr>
          <w:bCs/>
        </w:rPr>
        <w:t>but o</w:t>
      </w:r>
      <w:r w:rsidRPr="00151DB6">
        <w:rPr>
          <w:bCs/>
        </w:rPr>
        <w:t xml:space="preserve">nly represented 13.9 per cent of alcohol tax receipts. </w:t>
      </w:r>
      <w:r>
        <w:t>More recent data indicate</w:t>
      </w:r>
      <w:r w:rsidR="0037688D">
        <w:t>s</w:t>
      </w:r>
      <w:r>
        <w:t xml:space="preserve"> that in </w:t>
      </w:r>
      <w:r w:rsidR="0037688D">
        <w:t>2015-16, wine accounted for more than</w:t>
      </w:r>
      <w:r>
        <w:t xml:space="preserve"> 37 percent of the total apparent consumption of alcohol, </w:t>
      </w:r>
      <w:r w:rsidRPr="005D1E5A">
        <w:t>but the WET only accounted for 14 percent of total revenue raised by taxes on alcoholic beverages</w:t>
      </w:r>
      <w:r w:rsidR="005D1E5A" w:rsidRPr="005D1E5A">
        <w:rPr>
          <w:rStyle w:val="EndnoteReference"/>
        </w:rPr>
        <w:endnoteReference w:id="12"/>
      </w:r>
      <w:r w:rsidRPr="005D1E5A">
        <w:t>.</w:t>
      </w:r>
      <w:r>
        <w:t xml:space="preserve"> This translates to significant taxation revenue foregone since 2000 by not taxing wine according to alcohol volume</w:t>
      </w:r>
      <w:r w:rsidR="0037688D">
        <w:t>,</w:t>
      </w:r>
      <w:r>
        <w:t xml:space="preserve"> which </w:t>
      </w:r>
      <w:r w:rsidR="0037688D">
        <w:t>i</w:t>
      </w:r>
      <w:r>
        <w:t>s estimated to amount to billions of dollars. Indeed, t</w:t>
      </w:r>
      <w:r w:rsidRPr="00151DB6">
        <w:t xml:space="preserve">he Australia Institute estimates that the level of subsidy provided to </w:t>
      </w:r>
      <w:r w:rsidRPr="00151DB6">
        <w:rPr>
          <w:bCs/>
        </w:rPr>
        <w:t>the</w:t>
      </w:r>
      <w:r w:rsidRPr="00151DB6">
        <w:t xml:space="preserve"> wine industry is in excess of $1 billion per year, most of which reflects the inconsistent approach and lower effective tax rate on wine.</w:t>
      </w:r>
      <w:r w:rsidRPr="00151DB6">
        <w:rPr>
          <w:vertAlign w:val="superscript"/>
        </w:rPr>
        <w:endnoteReference w:id="13"/>
      </w:r>
      <w:r w:rsidRPr="00151DB6">
        <w:t xml:space="preserve"> </w:t>
      </w:r>
      <w:r>
        <w:t xml:space="preserve"> </w:t>
      </w:r>
    </w:p>
    <w:p w14:paraId="594D70EB" w14:textId="14EF78D2" w:rsidR="0044394F" w:rsidRDefault="0044394F" w:rsidP="00FE2CE2">
      <w:pPr>
        <w:rPr>
          <w:bCs/>
        </w:rPr>
      </w:pPr>
    </w:p>
    <w:p w14:paraId="41FAD1DA" w14:textId="77777777" w:rsidR="00175C81" w:rsidRPr="00FE2CE2" w:rsidRDefault="00175C81" w:rsidP="00FE2CE2">
      <w:pPr>
        <w:rPr>
          <w:bCs/>
        </w:rPr>
      </w:pPr>
    </w:p>
    <w:p w14:paraId="2D2BCBC0" w14:textId="37E8CCD0" w:rsidR="00FE2CE2" w:rsidRPr="00557624" w:rsidRDefault="00FE2CE2" w:rsidP="00FE2CE2">
      <w:pPr>
        <w:rPr>
          <w:rFonts w:eastAsiaTheme="minorHAnsi"/>
          <w:b/>
          <w:lang w:eastAsia="en-US"/>
        </w:rPr>
      </w:pPr>
      <w:r w:rsidRPr="00557624">
        <w:rPr>
          <w:rFonts w:eastAsiaTheme="minorHAnsi"/>
          <w:b/>
          <w:lang w:eastAsia="en-US"/>
        </w:rPr>
        <w:t xml:space="preserve">Figure </w:t>
      </w:r>
      <w:r>
        <w:rPr>
          <w:rFonts w:eastAsiaTheme="minorHAnsi"/>
          <w:b/>
          <w:lang w:eastAsia="en-US"/>
        </w:rPr>
        <w:t>1</w:t>
      </w:r>
      <w:r w:rsidRPr="00557624">
        <w:rPr>
          <w:rFonts w:eastAsiaTheme="minorHAnsi"/>
          <w:b/>
          <w:lang w:eastAsia="en-US"/>
        </w:rPr>
        <w:t xml:space="preserve">. Alcohol consumption and tax </w:t>
      </w:r>
      <w:r w:rsidRPr="00B910FF">
        <w:rPr>
          <w:rFonts w:eastAsiaTheme="minorHAnsi"/>
          <w:b/>
          <w:lang w:eastAsia="en-US"/>
        </w:rPr>
        <w:t>receipts 201</w:t>
      </w:r>
      <w:r w:rsidR="00B910FF" w:rsidRPr="00B910FF">
        <w:rPr>
          <w:rFonts w:eastAsiaTheme="minorHAnsi"/>
          <w:b/>
          <w:lang w:eastAsia="en-US"/>
        </w:rPr>
        <w:t>6</w:t>
      </w:r>
      <w:r w:rsidRPr="00B910FF">
        <w:rPr>
          <w:rFonts w:eastAsiaTheme="minorHAnsi"/>
          <w:b/>
          <w:lang w:eastAsia="en-US"/>
        </w:rPr>
        <w:t>-1</w:t>
      </w:r>
      <w:r w:rsidR="00B910FF" w:rsidRPr="00B910FF">
        <w:rPr>
          <w:rFonts w:eastAsiaTheme="minorHAnsi"/>
          <w:b/>
          <w:lang w:eastAsia="en-US"/>
        </w:rPr>
        <w:t>7</w:t>
      </w:r>
    </w:p>
    <w:p w14:paraId="63F8F3C0" w14:textId="0EB8B2FE" w:rsidR="00FE2CE2" w:rsidRPr="002E2C62" w:rsidRDefault="00FE2CE2" w:rsidP="00FE2CE2">
      <w:pPr>
        <w:rPr>
          <w:rFonts w:eastAsia="Times New Roman" w:cstheme="minorHAnsi"/>
          <w:sz w:val="18"/>
          <w:szCs w:val="18"/>
          <w:lang w:eastAsia="en-AU"/>
        </w:rPr>
      </w:pPr>
      <w:r w:rsidRPr="00151DB6">
        <w:rPr>
          <w:rFonts w:eastAsia="Times New Roman" w:cstheme="minorHAnsi"/>
          <w:noProof/>
          <w:lang w:eastAsia="en-AU"/>
        </w:rPr>
        <w:lastRenderedPageBreak/>
        <w:drawing>
          <wp:inline distT="0" distB="0" distL="0" distR="0" wp14:anchorId="315BC8BB" wp14:editId="35A88627">
            <wp:extent cx="4752975" cy="31718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2E2C62">
        <w:rPr>
          <w:rFonts w:eastAsia="Times New Roman" w:cstheme="minorHAnsi"/>
          <w:sz w:val="18"/>
          <w:szCs w:val="18"/>
          <w:lang w:eastAsia="en-AU"/>
        </w:rPr>
        <w:t>Sources: Commonwealth of Australia</w:t>
      </w:r>
      <w:r w:rsidR="001471B3">
        <w:rPr>
          <w:rFonts w:eastAsia="Times New Roman" w:cstheme="minorHAnsi"/>
          <w:sz w:val="18"/>
          <w:szCs w:val="18"/>
          <w:lang w:eastAsia="en-AU"/>
        </w:rPr>
        <w:t xml:space="preserve"> </w:t>
      </w:r>
      <w:r w:rsidRPr="002E2C62">
        <w:rPr>
          <w:rFonts w:eastAsia="Times New Roman" w:cstheme="minorHAnsi"/>
          <w:sz w:val="18"/>
          <w:szCs w:val="18"/>
          <w:lang w:eastAsia="en-AU"/>
        </w:rPr>
        <w:t>(201</w:t>
      </w:r>
      <w:r w:rsidR="007770B3">
        <w:rPr>
          <w:rFonts w:eastAsia="Times New Roman" w:cstheme="minorHAnsi"/>
          <w:sz w:val="18"/>
          <w:szCs w:val="18"/>
          <w:lang w:eastAsia="en-AU"/>
        </w:rPr>
        <w:t>7</w:t>
      </w:r>
      <w:r w:rsidR="001471B3">
        <w:rPr>
          <w:rFonts w:eastAsia="Times New Roman" w:cstheme="minorHAnsi"/>
          <w:sz w:val="18"/>
          <w:szCs w:val="18"/>
          <w:lang w:eastAsia="en-AU"/>
        </w:rPr>
        <w:t xml:space="preserve">) </w:t>
      </w:r>
      <w:r w:rsidR="001471B3" w:rsidRPr="0037688D">
        <w:rPr>
          <w:rFonts w:eastAsia="Times New Roman" w:cstheme="minorHAnsi"/>
          <w:i/>
          <w:sz w:val="18"/>
          <w:szCs w:val="18"/>
          <w:lang w:eastAsia="en-AU"/>
        </w:rPr>
        <w:t>Final Budget Outcome 201</w:t>
      </w:r>
      <w:r w:rsidR="007770B3">
        <w:rPr>
          <w:rFonts w:eastAsia="Times New Roman" w:cstheme="minorHAnsi"/>
          <w:i/>
          <w:sz w:val="18"/>
          <w:szCs w:val="18"/>
          <w:lang w:eastAsia="en-AU"/>
        </w:rPr>
        <w:t>6</w:t>
      </w:r>
      <w:r w:rsidR="001471B3" w:rsidRPr="0037688D">
        <w:rPr>
          <w:rFonts w:eastAsia="Times New Roman" w:cstheme="minorHAnsi"/>
          <w:i/>
          <w:sz w:val="18"/>
          <w:szCs w:val="18"/>
          <w:lang w:eastAsia="en-AU"/>
        </w:rPr>
        <w:t>-1</w:t>
      </w:r>
      <w:r w:rsidR="007770B3">
        <w:rPr>
          <w:rFonts w:eastAsia="Times New Roman" w:cstheme="minorHAnsi"/>
          <w:i/>
          <w:sz w:val="18"/>
          <w:szCs w:val="18"/>
          <w:lang w:eastAsia="en-AU"/>
        </w:rPr>
        <w:t>7</w:t>
      </w:r>
      <w:r w:rsidRPr="002E2C62">
        <w:rPr>
          <w:rFonts w:eastAsia="Times New Roman" w:cstheme="minorHAnsi"/>
          <w:sz w:val="18"/>
          <w:szCs w:val="18"/>
          <w:lang w:eastAsia="en-AU"/>
        </w:rPr>
        <w:t xml:space="preserve">, and the Australian Bureau of Statistics (ABS) </w:t>
      </w:r>
      <w:r w:rsidRPr="002E2C62">
        <w:rPr>
          <w:rFonts w:eastAsia="Times New Roman" w:cstheme="minorHAnsi"/>
          <w:i/>
          <w:sz w:val="18"/>
          <w:szCs w:val="18"/>
          <w:lang w:eastAsia="en-AU"/>
        </w:rPr>
        <w:t>Apparent consumption of alcohol 201</w:t>
      </w:r>
      <w:r w:rsidR="00906903">
        <w:rPr>
          <w:rFonts w:eastAsia="Times New Roman" w:cstheme="minorHAnsi"/>
          <w:i/>
          <w:sz w:val="18"/>
          <w:szCs w:val="18"/>
          <w:lang w:eastAsia="en-AU"/>
        </w:rPr>
        <w:t>6</w:t>
      </w:r>
      <w:r w:rsidRPr="002E2C62">
        <w:rPr>
          <w:rFonts w:eastAsia="Times New Roman" w:cstheme="minorHAnsi"/>
          <w:i/>
          <w:sz w:val="18"/>
          <w:szCs w:val="18"/>
          <w:lang w:eastAsia="en-AU"/>
        </w:rPr>
        <w:t>-1</w:t>
      </w:r>
      <w:r w:rsidR="00906903">
        <w:rPr>
          <w:rFonts w:eastAsia="Times New Roman" w:cstheme="minorHAnsi"/>
          <w:i/>
          <w:sz w:val="18"/>
          <w:szCs w:val="18"/>
          <w:lang w:eastAsia="en-AU"/>
        </w:rPr>
        <w:t>7</w:t>
      </w:r>
      <w:r w:rsidRPr="002E2C62">
        <w:rPr>
          <w:rFonts w:eastAsia="Times New Roman" w:cstheme="minorHAnsi"/>
          <w:sz w:val="18"/>
          <w:szCs w:val="18"/>
          <w:lang w:eastAsia="en-AU"/>
        </w:rPr>
        <w:t>.</w:t>
      </w:r>
    </w:p>
    <w:p w14:paraId="60ABE6ED" w14:textId="3C98AD21" w:rsidR="00FE2CE2" w:rsidRDefault="00FE2CE2" w:rsidP="00F8393B">
      <w:pPr>
        <w:jc w:val="both"/>
      </w:pPr>
      <w:r>
        <w:t xml:space="preserve">Table </w:t>
      </w:r>
      <w:r w:rsidR="006D05C2">
        <w:t>2</w:t>
      </w:r>
      <w:r>
        <w:t xml:space="preserve"> illustrates the </w:t>
      </w:r>
      <w:r w:rsidRPr="002755D1">
        <w:t xml:space="preserve">variation in tax rates across </w:t>
      </w:r>
      <w:r>
        <w:t xml:space="preserve">alcoholic beverage </w:t>
      </w:r>
      <w:r w:rsidRPr="002755D1">
        <w:t xml:space="preserve">classes, </w:t>
      </w:r>
      <w:r>
        <w:t>with lower rates applied to</w:t>
      </w:r>
      <w:r w:rsidRPr="002755D1">
        <w:t xml:space="preserve"> wine.</w:t>
      </w:r>
      <w:r>
        <w:t xml:space="preserve"> Spirits</w:t>
      </w:r>
      <w:r w:rsidRPr="002755D1">
        <w:t xml:space="preserve"> are taxed at a rate</w:t>
      </w:r>
      <w:r w:rsidR="000B43C6">
        <w:t xml:space="preserve"> of</w:t>
      </w:r>
      <w:r w:rsidRPr="002755D1">
        <w:t xml:space="preserve"> ($79.38/Lal) that </w:t>
      </w:r>
      <w:r w:rsidR="00DC731E">
        <w:t xml:space="preserve">is </w:t>
      </w:r>
      <w:r>
        <w:t>28</w:t>
      </w:r>
      <w:r w:rsidRPr="002755D1">
        <w:t xml:space="preserve"> times</w:t>
      </w:r>
      <w:r>
        <w:t xml:space="preserve"> greater than</w:t>
      </w:r>
      <w:r w:rsidRPr="002755D1">
        <w:t xml:space="preserve"> </w:t>
      </w:r>
      <w:r>
        <w:t xml:space="preserve">the WET </w:t>
      </w:r>
      <w:r w:rsidRPr="002755D1">
        <w:t>applied to cheap cask wine ($2.99</w:t>
      </w:r>
      <w:r>
        <w:t>/Lal</w:t>
      </w:r>
      <w:r w:rsidRPr="002755D1">
        <w:t xml:space="preserve">). </w:t>
      </w:r>
      <w:r>
        <w:t>T</w:t>
      </w:r>
      <w:r w:rsidRPr="002755D1">
        <w:t xml:space="preserve">he tax applied </w:t>
      </w:r>
      <w:r>
        <w:t>per unit of alcohol to a</w:t>
      </w:r>
      <w:r w:rsidRPr="002755D1">
        <w:t xml:space="preserve"> premium ($40) bottle of wine ($45.52</w:t>
      </w:r>
      <w:r>
        <w:t>/</w:t>
      </w:r>
      <w:r w:rsidR="003C0099">
        <w:t>L</w:t>
      </w:r>
      <w:r>
        <w:t>al</w:t>
      </w:r>
      <w:r w:rsidRPr="002755D1">
        <w:t xml:space="preserve">) is more than 15 times </w:t>
      </w:r>
      <w:r>
        <w:t>that</w:t>
      </w:r>
      <w:r w:rsidRPr="002755D1">
        <w:t xml:space="preserve"> applied </w:t>
      </w:r>
      <w:r>
        <w:t>to</w:t>
      </w:r>
      <w:r w:rsidRPr="002755D1">
        <w:t xml:space="preserve"> cheap cask wine</w:t>
      </w:r>
      <w:r>
        <w:t xml:space="preserve"> ($2.99)</w:t>
      </w:r>
      <w:r w:rsidRPr="002755D1">
        <w:t xml:space="preserve">. </w:t>
      </w:r>
      <w:r w:rsidR="0092141A">
        <w:t xml:space="preserve">Cask wine has the potential to be a particularly harmful </w:t>
      </w:r>
      <w:r w:rsidR="0060098A">
        <w:t xml:space="preserve">alcoholic </w:t>
      </w:r>
      <w:r w:rsidR="0092141A">
        <w:t>product in that vast quantities can be consumed at a very low cost and</w:t>
      </w:r>
      <w:r w:rsidR="000B43C6">
        <w:t>,</w:t>
      </w:r>
      <w:r w:rsidR="0092141A">
        <w:t xml:space="preserve"> alarmingly, the </w:t>
      </w:r>
      <w:r w:rsidRPr="002755D1">
        <w:t>price of cask wine is effectively being subsidised by the Government.</w:t>
      </w:r>
    </w:p>
    <w:p w14:paraId="3DC6EFE9" w14:textId="5BB7AEF1" w:rsidR="00FE2CE2" w:rsidRDefault="000B43C6" w:rsidP="00F8393B">
      <w:pPr>
        <w:jc w:val="both"/>
      </w:pPr>
      <w:r>
        <w:t>As a value-</w:t>
      </w:r>
      <w:r w:rsidR="00FE2CE2">
        <w:t>based tax, the WET is unable to act as a price lever to guide consumers to less harmful products and contribute to lower consumption levels in the way that the volumetric tax on beer</w:t>
      </w:r>
      <w:r>
        <w:t xml:space="preserve"> and spirits can. Being a value-</w:t>
      </w:r>
      <w:r w:rsidR="00FE2CE2">
        <w:t xml:space="preserve">based tax also limits the </w:t>
      </w:r>
      <w:r w:rsidR="00FE2CE2" w:rsidRPr="002755D1">
        <w:t>Government’s ability to bring</w:t>
      </w:r>
      <w:r w:rsidR="00FE2CE2">
        <w:t xml:space="preserve"> wine</w:t>
      </w:r>
      <w:r w:rsidR="00FE2CE2" w:rsidRPr="002755D1">
        <w:t xml:space="preserve"> taxation into line with</w:t>
      </w:r>
      <w:r w:rsidR="00FE2CE2">
        <w:t xml:space="preserve"> taxation for</w:t>
      </w:r>
      <w:r w:rsidR="00FE2CE2" w:rsidRPr="002755D1">
        <w:t xml:space="preserve"> other alcohol products, because increasing the rate of the WET will exacerbate the incentive for </w:t>
      </w:r>
      <w:r w:rsidR="00FE2CE2">
        <w:t xml:space="preserve">the </w:t>
      </w:r>
      <w:r w:rsidR="00FE2CE2" w:rsidRPr="002755D1">
        <w:t xml:space="preserve">production of cheap wine. </w:t>
      </w:r>
    </w:p>
    <w:p w14:paraId="13EE8102" w14:textId="77777777" w:rsidR="00FE2CE2" w:rsidRDefault="00FE2CE2" w:rsidP="00FE2CE2">
      <w:r>
        <w:br w:type="page"/>
      </w:r>
    </w:p>
    <w:p w14:paraId="3FD7E884" w14:textId="4EDA4CD5" w:rsidR="00FE2CE2" w:rsidRPr="00557624" w:rsidRDefault="00FE2CE2" w:rsidP="00FE2CE2">
      <w:pPr>
        <w:rPr>
          <w:rFonts w:eastAsiaTheme="minorHAnsi"/>
          <w:b/>
          <w:lang w:eastAsia="en-US"/>
        </w:rPr>
      </w:pPr>
      <w:bookmarkStart w:id="10" w:name="_Toc432492401"/>
      <w:r w:rsidRPr="00557624">
        <w:rPr>
          <w:rFonts w:eastAsiaTheme="minorHAnsi"/>
          <w:b/>
          <w:lang w:eastAsia="en-US"/>
        </w:rPr>
        <w:lastRenderedPageBreak/>
        <w:t xml:space="preserve">Table </w:t>
      </w:r>
      <w:r w:rsidR="006D05C2">
        <w:rPr>
          <w:rFonts w:eastAsiaTheme="minorHAnsi"/>
          <w:b/>
          <w:lang w:eastAsia="en-US"/>
        </w:rPr>
        <w:t>2</w:t>
      </w:r>
      <w:r w:rsidRPr="00557624">
        <w:rPr>
          <w:rFonts w:eastAsiaTheme="minorHAnsi"/>
          <w:b/>
          <w:lang w:eastAsia="en-US"/>
        </w:rPr>
        <w:t>. Effective excise rates 201</w:t>
      </w:r>
      <w:r w:rsidR="004F132C">
        <w:rPr>
          <w:rFonts w:eastAsiaTheme="minorHAnsi"/>
          <w:b/>
          <w:lang w:eastAsia="en-US"/>
        </w:rPr>
        <w:t>6</w:t>
      </w:r>
      <w:r w:rsidRPr="00557624">
        <w:rPr>
          <w:rFonts w:eastAsiaTheme="minorHAnsi"/>
          <w:b/>
          <w:lang w:eastAsia="en-US"/>
        </w:rPr>
        <w:t>–1</w:t>
      </w:r>
      <w:r w:rsidR="004F132C">
        <w:rPr>
          <w:rFonts w:eastAsiaTheme="minorHAnsi"/>
          <w:b/>
          <w:lang w:eastAsia="en-US"/>
        </w:rPr>
        <w:t>7</w:t>
      </w:r>
      <w:bookmarkEnd w:id="10"/>
    </w:p>
    <w:tbl>
      <w:tblPr>
        <w:tblStyle w:val="TableGrid1"/>
        <w:tblW w:w="3155" w:type="pct"/>
        <w:tblLook w:val="04A0" w:firstRow="1" w:lastRow="0" w:firstColumn="1" w:lastColumn="0" w:noHBand="0" w:noVBand="1"/>
      </w:tblPr>
      <w:tblGrid>
        <w:gridCol w:w="4005"/>
        <w:gridCol w:w="1690"/>
      </w:tblGrid>
      <w:tr w:rsidR="00190011" w:rsidRPr="00557624" w14:paraId="405244F7" w14:textId="77777777" w:rsidTr="0019001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516" w:type="pct"/>
            <w:tcBorders>
              <w:top w:val="single" w:sz="4" w:space="0" w:color="auto"/>
              <w:bottom w:val="single" w:sz="4" w:space="0" w:color="auto"/>
            </w:tcBorders>
            <w:shd w:val="clear" w:color="auto" w:fill="auto"/>
          </w:tcPr>
          <w:p w14:paraId="58FFF208" w14:textId="77777777" w:rsidR="00190011" w:rsidRPr="00557624" w:rsidRDefault="00190011" w:rsidP="008E1F1E">
            <w:pPr>
              <w:keepNext/>
              <w:keepLines/>
              <w:rPr>
                <w:rFonts w:eastAsia="Calibri"/>
                <w:b/>
                <w:color w:val="auto"/>
                <w:lang w:eastAsia="en-US"/>
              </w:rPr>
            </w:pPr>
            <w:r w:rsidRPr="00557624">
              <w:rPr>
                <w:rFonts w:eastAsia="Calibri"/>
                <w:b/>
                <w:color w:val="auto"/>
                <w:lang w:eastAsia="en-US"/>
              </w:rPr>
              <w:t>Alcohol type</w:t>
            </w:r>
          </w:p>
        </w:tc>
        <w:tc>
          <w:tcPr>
            <w:tcW w:w="1484" w:type="pct"/>
            <w:tcBorders>
              <w:top w:val="single" w:sz="4" w:space="0" w:color="auto"/>
              <w:bottom w:val="single" w:sz="4" w:space="0" w:color="auto"/>
            </w:tcBorders>
            <w:shd w:val="clear" w:color="auto" w:fill="auto"/>
          </w:tcPr>
          <w:p w14:paraId="6DF51431" w14:textId="239BE67A" w:rsidR="00190011" w:rsidRPr="00557624" w:rsidRDefault="00190011" w:rsidP="00190011">
            <w:pPr>
              <w:keepNext/>
              <w:keepLines/>
              <w:cnfStyle w:val="100000000000" w:firstRow="1" w:lastRow="0" w:firstColumn="0" w:lastColumn="0" w:oddVBand="0" w:evenVBand="0" w:oddHBand="0" w:evenHBand="0" w:firstRowFirstColumn="0" w:firstRowLastColumn="0" w:lastRowFirstColumn="0" w:lastRowLastColumn="0"/>
              <w:rPr>
                <w:rFonts w:eastAsia="Calibri"/>
                <w:b/>
                <w:color w:val="auto"/>
                <w:vertAlign w:val="superscript"/>
                <w:lang w:eastAsia="en-US"/>
              </w:rPr>
            </w:pPr>
            <w:r w:rsidRPr="00557624">
              <w:rPr>
                <w:rFonts w:eastAsia="Calibri"/>
                <w:b/>
                <w:color w:val="auto"/>
                <w:lang w:eastAsia="en-US"/>
              </w:rPr>
              <w:t>Effective rate ($/Lal)</w:t>
            </w:r>
          </w:p>
        </w:tc>
      </w:tr>
      <w:tr w:rsidR="00190011" w:rsidRPr="00B00D7A" w14:paraId="58C9E427" w14:textId="77777777" w:rsidTr="0019001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6" w:type="pct"/>
            <w:tcBorders>
              <w:top w:val="single" w:sz="4" w:space="0" w:color="auto"/>
            </w:tcBorders>
            <w:shd w:val="clear" w:color="auto" w:fill="auto"/>
          </w:tcPr>
          <w:p w14:paraId="2F2C8369" w14:textId="77777777" w:rsidR="00190011" w:rsidRPr="00B00D7A" w:rsidRDefault="00190011" w:rsidP="004F132C">
            <w:pPr>
              <w:rPr>
                <w:rFonts w:ascii="Calibri" w:eastAsia="Calibri" w:hAnsi="Calibri"/>
                <w:vertAlign w:val="superscript"/>
                <w:lang w:eastAsia="en-US"/>
              </w:rPr>
            </w:pPr>
            <w:r w:rsidRPr="00B00D7A">
              <w:rPr>
                <w:rFonts w:ascii="Calibri" w:eastAsia="Calibri" w:hAnsi="Calibri"/>
                <w:lang w:eastAsia="en-US"/>
              </w:rPr>
              <w:t>Non-commercial beer, low-strength</w:t>
            </w:r>
          </w:p>
        </w:tc>
        <w:tc>
          <w:tcPr>
            <w:tcW w:w="1484" w:type="pct"/>
            <w:tcBorders>
              <w:top w:val="single" w:sz="4" w:space="0" w:color="auto"/>
            </w:tcBorders>
            <w:shd w:val="clear" w:color="auto" w:fill="auto"/>
            <w:vAlign w:val="top"/>
          </w:tcPr>
          <w:p w14:paraId="59BA1827" w14:textId="39EC45DD" w:rsidR="00190011" w:rsidRPr="00B00D7A" w:rsidRDefault="00190011" w:rsidP="0019001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lang w:eastAsia="en-US"/>
              </w:rPr>
            </w:pPr>
            <w:r>
              <w:rPr>
                <w:lang w:eastAsia="en-US"/>
              </w:rPr>
              <w:t>1.76</w:t>
            </w:r>
          </w:p>
        </w:tc>
      </w:tr>
      <w:tr w:rsidR="00190011" w:rsidRPr="00B00D7A" w14:paraId="70AC655E" w14:textId="77777777" w:rsidTr="00190011">
        <w:trPr>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54428C00" w14:textId="77777777" w:rsidR="00190011" w:rsidRPr="00B00D7A" w:rsidRDefault="00190011" w:rsidP="004F132C">
            <w:pPr>
              <w:spacing w:after="0"/>
              <w:rPr>
                <w:rFonts w:ascii="Calibri" w:eastAsia="Calibri" w:hAnsi="Calibri"/>
                <w:lang w:eastAsia="en-US"/>
              </w:rPr>
            </w:pPr>
            <w:r w:rsidRPr="00B00D7A">
              <w:rPr>
                <w:rFonts w:ascii="Calibri" w:eastAsia="Calibri" w:hAnsi="Calibri"/>
                <w:lang w:eastAsia="en-US"/>
              </w:rPr>
              <w:t xml:space="preserve">Non-commercial beer, </w:t>
            </w:r>
          </w:p>
          <w:p w14:paraId="1801C20E"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mid- to full-strength</w:t>
            </w:r>
          </w:p>
        </w:tc>
        <w:tc>
          <w:tcPr>
            <w:tcW w:w="1484" w:type="pct"/>
            <w:shd w:val="clear" w:color="auto" w:fill="auto"/>
            <w:vAlign w:val="top"/>
          </w:tcPr>
          <w:p w14:paraId="167E55B3" w14:textId="31F0E355" w:rsidR="00190011" w:rsidRPr="00B00D7A" w:rsidRDefault="00190011" w:rsidP="0019001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lang w:eastAsia="en-US"/>
              </w:rPr>
            </w:pPr>
            <w:r>
              <w:rPr>
                <w:lang w:eastAsia="en-US"/>
              </w:rPr>
              <w:t>2.59</w:t>
            </w:r>
          </w:p>
        </w:tc>
      </w:tr>
      <w:tr w:rsidR="00190011" w:rsidRPr="00B00D7A" w14:paraId="53A8486D" w14:textId="77777777" w:rsidTr="0019001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20B9CACD"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Draught beer, low-strength</w:t>
            </w:r>
          </w:p>
        </w:tc>
        <w:tc>
          <w:tcPr>
            <w:tcW w:w="1484" w:type="pct"/>
            <w:shd w:val="clear" w:color="auto" w:fill="auto"/>
            <w:vAlign w:val="top"/>
          </w:tcPr>
          <w:p w14:paraId="12A5D37F" w14:textId="2990E79B" w:rsidR="00190011" w:rsidRPr="00B00D7A" w:rsidRDefault="00190011" w:rsidP="0019001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lang w:eastAsia="en-US"/>
              </w:rPr>
            </w:pPr>
            <w:r>
              <w:rPr>
                <w:lang w:eastAsia="en-US"/>
              </w:rPr>
              <w:t>4.99</w:t>
            </w:r>
          </w:p>
        </w:tc>
      </w:tr>
      <w:tr w:rsidR="00190011" w:rsidRPr="00B00D7A" w14:paraId="561B4C08" w14:textId="77777777" w:rsidTr="00190011">
        <w:trPr>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79EF5842"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Draught beer, mid-strength</w:t>
            </w:r>
          </w:p>
        </w:tc>
        <w:tc>
          <w:tcPr>
            <w:tcW w:w="1484" w:type="pct"/>
            <w:shd w:val="clear" w:color="auto" w:fill="auto"/>
            <w:vAlign w:val="top"/>
          </w:tcPr>
          <w:p w14:paraId="6E19D3EF" w14:textId="44D2DBE1" w:rsidR="00190011" w:rsidRPr="00B00D7A" w:rsidRDefault="00190011" w:rsidP="0019001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lang w:eastAsia="en-US"/>
              </w:rPr>
            </w:pPr>
            <w:r>
              <w:rPr>
                <w:lang w:eastAsia="en-US"/>
              </w:rPr>
              <w:t>17.40</w:t>
            </w:r>
          </w:p>
        </w:tc>
      </w:tr>
      <w:tr w:rsidR="00190011" w:rsidRPr="00B00D7A" w14:paraId="20FC4957" w14:textId="77777777" w:rsidTr="0019001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7040A1A0"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Draught beer, full-strength</w:t>
            </w:r>
          </w:p>
        </w:tc>
        <w:tc>
          <w:tcPr>
            <w:tcW w:w="1484" w:type="pct"/>
            <w:shd w:val="clear" w:color="auto" w:fill="auto"/>
            <w:vAlign w:val="top"/>
          </w:tcPr>
          <w:p w14:paraId="7A856557" w14:textId="7FD073ED" w:rsidR="00190011" w:rsidRPr="00B00D7A" w:rsidRDefault="00190011" w:rsidP="0019001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lang w:eastAsia="en-US"/>
              </w:rPr>
            </w:pPr>
            <w:r>
              <w:rPr>
                <w:lang w:eastAsia="en-US"/>
              </w:rPr>
              <w:t>26.14</w:t>
            </w:r>
          </w:p>
        </w:tc>
      </w:tr>
      <w:tr w:rsidR="00190011" w:rsidRPr="00B00D7A" w14:paraId="2FEAAE01" w14:textId="77777777" w:rsidTr="00190011">
        <w:trPr>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099657D0"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Packaged beer, low-strength</w:t>
            </w:r>
          </w:p>
        </w:tc>
        <w:tc>
          <w:tcPr>
            <w:tcW w:w="1484" w:type="pct"/>
            <w:shd w:val="clear" w:color="auto" w:fill="auto"/>
            <w:vAlign w:val="top"/>
          </w:tcPr>
          <w:p w14:paraId="67B38BCB" w14:textId="389760B0" w:rsidR="00190011" w:rsidRPr="00B00D7A" w:rsidRDefault="00190011" w:rsidP="0019001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lang w:eastAsia="en-US"/>
              </w:rPr>
            </w:pPr>
            <w:r>
              <w:rPr>
                <w:lang w:eastAsia="en-US"/>
              </w:rPr>
              <w:t>24.97</w:t>
            </w:r>
          </w:p>
        </w:tc>
      </w:tr>
      <w:tr w:rsidR="00190011" w:rsidRPr="00B00D7A" w14:paraId="572A38AF" w14:textId="77777777" w:rsidTr="0019001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5922190E"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Packaged beer, mid-strength</w:t>
            </w:r>
          </w:p>
        </w:tc>
        <w:tc>
          <w:tcPr>
            <w:tcW w:w="1484" w:type="pct"/>
            <w:shd w:val="clear" w:color="auto" w:fill="auto"/>
            <w:vAlign w:val="top"/>
          </w:tcPr>
          <w:p w14:paraId="0C280CE0" w14:textId="1A9DC459" w:rsidR="00190011" w:rsidRPr="00B00D7A" w:rsidRDefault="00190011" w:rsidP="0019001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lang w:eastAsia="en-US"/>
              </w:rPr>
            </w:pPr>
            <w:r>
              <w:rPr>
                <w:lang w:eastAsia="en-US"/>
              </w:rPr>
              <w:t>32.36</w:t>
            </w:r>
          </w:p>
        </w:tc>
      </w:tr>
      <w:tr w:rsidR="00190011" w:rsidRPr="00B00D7A" w14:paraId="5EA63A09" w14:textId="77777777" w:rsidTr="00190011">
        <w:trPr>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09CD886A"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Packaged beer, full-strength</w:t>
            </w:r>
          </w:p>
        </w:tc>
        <w:tc>
          <w:tcPr>
            <w:tcW w:w="1484" w:type="pct"/>
            <w:shd w:val="clear" w:color="auto" w:fill="auto"/>
            <w:vAlign w:val="top"/>
          </w:tcPr>
          <w:p w14:paraId="2CF70122" w14:textId="6F13A2A4" w:rsidR="00190011" w:rsidRPr="00B00D7A" w:rsidRDefault="00190011" w:rsidP="0019001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lang w:eastAsia="en-US"/>
              </w:rPr>
            </w:pPr>
            <w:r>
              <w:rPr>
                <w:lang w:eastAsia="en-US"/>
              </w:rPr>
              <w:t>37.11</w:t>
            </w:r>
          </w:p>
        </w:tc>
      </w:tr>
      <w:tr w:rsidR="00190011" w:rsidRPr="00B00D7A" w14:paraId="78C88227" w14:textId="77777777" w:rsidTr="0019001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2A0D6315"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Brandy</w:t>
            </w:r>
          </w:p>
        </w:tc>
        <w:tc>
          <w:tcPr>
            <w:tcW w:w="1484" w:type="pct"/>
            <w:shd w:val="clear" w:color="auto" w:fill="auto"/>
            <w:vAlign w:val="top"/>
          </w:tcPr>
          <w:p w14:paraId="5E9EE11D" w14:textId="1CFDF68C" w:rsidR="00190011" w:rsidRPr="00B00D7A" w:rsidRDefault="00190011" w:rsidP="0019001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lang w:eastAsia="en-US"/>
              </w:rPr>
            </w:pPr>
            <w:r>
              <w:rPr>
                <w:lang w:eastAsia="en-US"/>
              </w:rPr>
              <w:t>76.25</w:t>
            </w:r>
          </w:p>
        </w:tc>
      </w:tr>
      <w:tr w:rsidR="00190011" w:rsidRPr="00B00D7A" w14:paraId="32325916" w14:textId="77777777" w:rsidTr="00190011">
        <w:trPr>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3F360A94"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Spirits</w:t>
            </w:r>
          </w:p>
        </w:tc>
        <w:tc>
          <w:tcPr>
            <w:tcW w:w="1484" w:type="pct"/>
            <w:shd w:val="clear" w:color="auto" w:fill="auto"/>
            <w:vAlign w:val="top"/>
          </w:tcPr>
          <w:p w14:paraId="1740A5B6" w14:textId="4292AC63" w:rsidR="00190011" w:rsidRPr="00B00D7A" w:rsidRDefault="00190011" w:rsidP="0019001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lang w:eastAsia="en-US"/>
              </w:rPr>
            </w:pPr>
            <w:r>
              <w:rPr>
                <w:lang w:eastAsia="en-US"/>
              </w:rPr>
              <w:t>81.65</w:t>
            </w:r>
          </w:p>
        </w:tc>
      </w:tr>
      <w:tr w:rsidR="00190011" w:rsidRPr="00B00D7A" w14:paraId="5F10B059" w14:textId="77777777" w:rsidTr="0019001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5090640E"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RTDs</w:t>
            </w:r>
          </w:p>
        </w:tc>
        <w:tc>
          <w:tcPr>
            <w:tcW w:w="1484" w:type="pct"/>
            <w:shd w:val="clear" w:color="auto" w:fill="auto"/>
          </w:tcPr>
          <w:p w14:paraId="4E5B44C0" w14:textId="73A9A060" w:rsidR="00190011" w:rsidRPr="00B00D7A" w:rsidRDefault="00190011" w:rsidP="0019001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lang w:eastAsia="en-US"/>
              </w:rPr>
            </w:pPr>
            <w:r>
              <w:rPr>
                <w:lang w:eastAsia="en-US"/>
              </w:rPr>
              <w:t>81.65</w:t>
            </w:r>
          </w:p>
        </w:tc>
      </w:tr>
      <w:tr w:rsidR="00190011" w:rsidRPr="00B00D7A" w14:paraId="52294F56" w14:textId="77777777" w:rsidTr="00190011">
        <w:trPr>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1E4A2B7D" w14:textId="77777777" w:rsidR="00190011" w:rsidRPr="00B00D7A" w:rsidRDefault="00190011" w:rsidP="004F132C">
            <w:pPr>
              <w:rPr>
                <w:rFonts w:ascii="Calibri" w:eastAsia="Calibri" w:hAnsi="Calibri"/>
                <w:color w:val="FF0000"/>
                <w:vertAlign w:val="superscript"/>
                <w:lang w:eastAsia="en-US"/>
              </w:rPr>
            </w:pPr>
            <w:r w:rsidRPr="00B00D7A">
              <w:rPr>
                <w:rFonts w:ascii="Calibri" w:eastAsia="Calibri" w:hAnsi="Calibri"/>
                <w:color w:val="FF0000"/>
                <w:lang w:eastAsia="en-US"/>
              </w:rPr>
              <w:t>Wine, $15 cask (4L)</w:t>
            </w:r>
          </w:p>
        </w:tc>
        <w:tc>
          <w:tcPr>
            <w:tcW w:w="1484" w:type="pct"/>
            <w:shd w:val="clear" w:color="auto" w:fill="auto"/>
            <w:vAlign w:val="top"/>
          </w:tcPr>
          <w:p w14:paraId="1E731621" w14:textId="6CADAE7F" w:rsidR="00190011" w:rsidRPr="004F132C" w:rsidRDefault="00190011" w:rsidP="0019001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FF0000"/>
                <w:lang w:eastAsia="en-US"/>
              </w:rPr>
            </w:pPr>
            <w:r w:rsidRPr="000B43C6">
              <w:rPr>
                <w:color w:val="FF0000"/>
                <w:lang w:eastAsia="en-US"/>
              </w:rPr>
              <w:t>3.09</w:t>
            </w:r>
          </w:p>
        </w:tc>
      </w:tr>
      <w:tr w:rsidR="00190011" w:rsidRPr="00B00D7A" w14:paraId="70F3C5F2" w14:textId="77777777" w:rsidTr="0019001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15D5849D"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Wine, $7 bottle</w:t>
            </w:r>
          </w:p>
        </w:tc>
        <w:tc>
          <w:tcPr>
            <w:tcW w:w="1484" w:type="pct"/>
            <w:shd w:val="clear" w:color="auto" w:fill="auto"/>
            <w:vAlign w:val="top"/>
          </w:tcPr>
          <w:p w14:paraId="3B4D43DE" w14:textId="127932B4" w:rsidR="00190011" w:rsidRPr="00B00D7A" w:rsidRDefault="00190011" w:rsidP="0019001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lang w:eastAsia="en-US"/>
              </w:rPr>
            </w:pPr>
            <w:r>
              <w:rPr>
                <w:lang w:eastAsia="en-US"/>
              </w:rPr>
              <w:t>8.23</w:t>
            </w:r>
          </w:p>
        </w:tc>
      </w:tr>
      <w:tr w:rsidR="00190011" w:rsidRPr="00B00D7A" w14:paraId="00D020F0" w14:textId="77777777" w:rsidTr="00190011">
        <w:trPr>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52FDC0CF"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Wine, $15 bottle</w:t>
            </w:r>
          </w:p>
        </w:tc>
        <w:tc>
          <w:tcPr>
            <w:tcW w:w="1484" w:type="pct"/>
            <w:shd w:val="clear" w:color="auto" w:fill="auto"/>
            <w:vAlign w:val="top"/>
          </w:tcPr>
          <w:p w14:paraId="6BDAB49E" w14:textId="26CCE1D4" w:rsidR="00190011" w:rsidRPr="00B00D7A" w:rsidRDefault="00190011" w:rsidP="0019001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lang w:eastAsia="en-US"/>
              </w:rPr>
            </w:pPr>
            <w:r>
              <w:rPr>
                <w:lang w:eastAsia="en-US"/>
              </w:rPr>
              <w:t>17.64</w:t>
            </w:r>
          </w:p>
        </w:tc>
      </w:tr>
      <w:tr w:rsidR="00190011" w:rsidRPr="00B00D7A" w14:paraId="7FF48924" w14:textId="77777777" w:rsidTr="0019001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6" w:type="pct"/>
            <w:shd w:val="clear" w:color="auto" w:fill="auto"/>
          </w:tcPr>
          <w:p w14:paraId="4B8C49EA" w14:textId="77777777" w:rsidR="00190011" w:rsidRPr="00B00D7A" w:rsidRDefault="00190011" w:rsidP="004F132C">
            <w:pPr>
              <w:rPr>
                <w:rFonts w:ascii="Calibri" w:eastAsia="Calibri" w:hAnsi="Calibri"/>
                <w:lang w:eastAsia="en-US"/>
              </w:rPr>
            </w:pPr>
            <w:r w:rsidRPr="00B00D7A">
              <w:rPr>
                <w:rFonts w:ascii="Calibri" w:eastAsia="Calibri" w:hAnsi="Calibri"/>
                <w:lang w:eastAsia="en-US"/>
              </w:rPr>
              <w:t>Wine, $40 bottle</w:t>
            </w:r>
          </w:p>
        </w:tc>
        <w:tc>
          <w:tcPr>
            <w:tcW w:w="1484" w:type="pct"/>
            <w:shd w:val="clear" w:color="auto" w:fill="auto"/>
            <w:vAlign w:val="top"/>
          </w:tcPr>
          <w:p w14:paraId="5FFC6EB9" w14:textId="2FABAAEF" w:rsidR="00190011" w:rsidRPr="00B00D7A" w:rsidRDefault="00190011" w:rsidP="0019001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lang w:eastAsia="en-US"/>
              </w:rPr>
            </w:pPr>
            <w:r>
              <w:rPr>
                <w:lang w:eastAsia="en-US"/>
              </w:rPr>
              <w:t>47.05</w:t>
            </w:r>
          </w:p>
        </w:tc>
      </w:tr>
    </w:tbl>
    <w:p w14:paraId="6ED79476" w14:textId="04ED8D44" w:rsidR="00FE2CE2" w:rsidRPr="000812D1" w:rsidRDefault="00FE2CE2" w:rsidP="00190011">
      <w:pPr>
        <w:spacing w:before="60"/>
        <w:rPr>
          <w:rFonts w:ascii="Calibri" w:eastAsia="Calibri" w:hAnsi="Calibri" w:cs="Times New Roman"/>
          <w:i/>
          <w:sz w:val="18"/>
          <w:szCs w:val="18"/>
        </w:rPr>
      </w:pPr>
      <w:r>
        <w:rPr>
          <w:rFonts w:ascii="Calibri" w:eastAsia="Calibri" w:hAnsi="Calibri" w:cs="Times New Roman"/>
          <w:i/>
          <w:sz w:val="18"/>
          <w:lang w:eastAsia="en-US"/>
        </w:rPr>
        <w:br/>
      </w:r>
      <w:bookmarkStart w:id="11" w:name="_Hlk532762979"/>
      <w:r w:rsidRPr="00B00D7A">
        <w:rPr>
          <w:rFonts w:ascii="Calibri" w:eastAsia="Calibri" w:hAnsi="Calibri" w:cs="Times New Roman"/>
          <w:i/>
          <w:sz w:val="18"/>
          <w:lang w:eastAsia="en-US"/>
        </w:rPr>
        <w:t>Source: Parliamentary Budget Office (201</w:t>
      </w:r>
      <w:r w:rsidR="004F132C">
        <w:rPr>
          <w:rFonts w:ascii="Calibri" w:eastAsia="Calibri" w:hAnsi="Calibri" w:cs="Times New Roman"/>
          <w:i/>
          <w:sz w:val="18"/>
          <w:lang w:eastAsia="en-US"/>
        </w:rPr>
        <w:t>7</w:t>
      </w:r>
      <w:r w:rsidRPr="00B00D7A">
        <w:rPr>
          <w:rFonts w:ascii="Calibri" w:eastAsia="Calibri" w:hAnsi="Calibri" w:cs="Times New Roman"/>
          <w:i/>
          <w:sz w:val="18"/>
          <w:lang w:eastAsia="en-US"/>
        </w:rPr>
        <w:t xml:space="preserve">). </w:t>
      </w:r>
      <w:bookmarkEnd w:id="11"/>
      <w:r w:rsidR="004F132C" w:rsidRPr="000B43C6">
        <w:rPr>
          <w:i/>
          <w:sz w:val="18"/>
          <w:szCs w:val="18"/>
        </w:rPr>
        <w:t>Trends affecting the sustainability of Commonwealth taxes</w:t>
      </w:r>
      <w:r w:rsidR="004F132C" w:rsidRPr="000B43C6">
        <w:rPr>
          <w:rFonts w:ascii="Calibri" w:eastAsia="Calibri" w:hAnsi="Calibri" w:cs="Times New Roman"/>
          <w:i/>
          <w:sz w:val="18"/>
          <w:szCs w:val="18"/>
        </w:rPr>
        <w:t>.</w:t>
      </w:r>
      <w:r w:rsidRPr="000812D1">
        <w:rPr>
          <w:rFonts w:ascii="Calibri" w:eastAsia="Calibri" w:hAnsi="Calibri" w:cs="Times New Roman"/>
          <w:i/>
          <w:sz w:val="18"/>
          <w:szCs w:val="18"/>
          <w:lang w:eastAsia="en-US"/>
        </w:rPr>
        <w:t xml:space="preserve"> Repot no. 0</w:t>
      </w:r>
      <w:r w:rsidR="004F132C">
        <w:rPr>
          <w:rFonts w:ascii="Calibri" w:eastAsia="Calibri" w:hAnsi="Calibri" w:cs="Times New Roman"/>
          <w:i/>
          <w:sz w:val="18"/>
          <w:szCs w:val="18"/>
          <w:lang w:eastAsia="en-US"/>
        </w:rPr>
        <w:t>2</w:t>
      </w:r>
      <w:r w:rsidRPr="000812D1">
        <w:rPr>
          <w:rFonts w:ascii="Calibri" w:eastAsia="Calibri" w:hAnsi="Calibri" w:cs="Times New Roman"/>
          <w:i/>
          <w:sz w:val="18"/>
          <w:szCs w:val="18"/>
          <w:lang w:eastAsia="en-US"/>
        </w:rPr>
        <w:t>/201</w:t>
      </w:r>
      <w:r w:rsidR="004F132C">
        <w:rPr>
          <w:rFonts w:ascii="Calibri" w:eastAsia="Calibri" w:hAnsi="Calibri" w:cs="Times New Roman"/>
          <w:i/>
          <w:sz w:val="18"/>
          <w:szCs w:val="18"/>
          <w:lang w:eastAsia="en-US"/>
        </w:rPr>
        <w:t>8</w:t>
      </w:r>
      <w:r w:rsidRPr="000812D1">
        <w:rPr>
          <w:rFonts w:ascii="Calibri" w:eastAsia="Calibri" w:hAnsi="Calibri" w:cs="Times New Roman"/>
          <w:i/>
          <w:sz w:val="18"/>
          <w:szCs w:val="18"/>
          <w:lang w:eastAsia="en-US"/>
        </w:rPr>
        <w:t xml:space="preserve">. </w:t>
      </w:r>
    </w:p>
    <w:p w14:paraId="5F675638" w14:textId="5463CC56" w:rsidR="00FE2CE2" w:rsidRPr="00F77D47" w:rsidRDefault="00190011" w:rsidP="00FE2CE2">
      <w:pPr>
        <w:rPr>
          <w:rStyle w:val="Heading2Char"/>
          <w:b/>
        </w:rPr>
      </w:pPr>
      <w:bookmarkStart w:id="12" w:name="_Toc532385400"/>
      <w:bookmarkStart w:id="13" w:name="_Toc532809049"/>
      <w:bookmarkStart w:id="14" w:name="_Toc529888063"/>
      <w:r>
        <w:rPr>
          <w:rStyle w:val="Heading2Char"/>
          <w:b/>
        </w:rPr>
        <w:t xml:space="preserve">The WET </w:t>
      </w:r>
      <w:r w:rsidR="00FE2CE2" w:rsidRPr="00F77D47">
        <w:rPr>
          <w:rStyle w:val="Heading2Char"/>
          <w:b/>
        </w:rPr>
        <w:t>fuel</w:t>
      </w:r>
      <w:r>
        <w:rPr>
          <w:rStyle w:val="Heading2Char"/>
          <w:b/>
        </w:rPr>
        <w:t>s</w:t>
      </w:r>
      <w:r w:rsidR="00FE2CE2" w:rsidRPr="00F77D47">
        <w:rPr>
          <w:rStyle w:val="Heading2Char"/>
          <w:b/>
        </w:rPr>
        <w:t xml:space="preserve"> harm from cheap wine</w:t>
      </w:r>
      <w:bookmarkEnd w:id="12"/>
      <w:bookmarkEnd w:id="13"/>
    </w:p>
    <w:p w14:paraId="7A90AFD7" w14:textId="766D38CD" w:rsidR="00FE2CE2" w:rsidRDefault="00FE2CE2" w:rsidP="00F8393B">
      <w:pPr>
        <w:jc w:val="both"/>
        <w:rPr>
          <w:rFonts w:eastAsia="Times New Roman" w:cstheme="minorHAnsi"/>
          <w:lang w:eastAsia="en-AU"/>
        </w:rPr>
      </w:pPr>
      <w:r w:rsidRPr="00F372E2">
        <w:rPr>
          <w:rFonts w:eastAsia="Times New Roman" w:cstheme="minorHAnsi"/>
          <w:lang w:eastAsia="en-AU"/>
        </w:rPr>
        <w:t>Australia’s Future Tax System review</w:t>
      </w:r>
      <w:r>
        <w:rPr>
          <w:rFonts w:eastAsia="Times New Roman" w:cstheme="minorHAnsi"/>
          <w:lang w:eastAsia="en-AU"/>
        </w:rPr>
        <w:t xml:space="preserve"> (Henry Review)</w:t>
      </w:r>
      <w:r w:rsidRPr="00F372E2">
        <w:rPr>
          <w:rFonts w:eastAsia="Times New Roman" w:cstheme="minorHAnsi"/>
          <w:lang w:eastAsia="en-AU"/>
        </w:rPr>
        <w:t xml:space="preserve"> described Australia’s alcohol tax system as illogical and incoherent, suggesting that current alcohol taxes “encourage people to drink cheap wine over expensive wine, wine from small rather than large producers” (Chapter E, 5-2).</w:t>
      </w:r>
      <w:r w:rsidRPr="00F372E2">
        <w:rPr>
          <w:rFonts w:eastAsia="Times New Roman" w:cstheme="minorHAnsi"/>
          <w:vertAlign w:val="superscript"/>
          <w:lang w:eastAsia="en-AU"/>
        </w:rPr>
        <w:endnoteReference w:id="14"/>
      </w:r>
      <w:r w:rsidR="004C54C8">
        <w:rPr>
          <w:rFonts w:eastAsia="Times New Roman" w:cstheme="minorHAnsi"/>
          <w:lang w:eastAsia="en-AU"/>
        </w:rPr>
        <w:t xml:space="preserve"> </w:t>
      </w:r>
      <w:r>
        <w:rPr>
          <w:rFonts w:eastAsia="Times New Roman" w:cstheme="minorHAnsi"/>
          <w:lang w:eastAsia="en-AU"/>
        </w:rPr>
        <w:t>E</w:t>
      </w:r>
      <w:r w:rsidRPr="00F372E2">
        <w:rPr>
          <w:rFonts w:eastAsia="Times New Roman" w:cstheme="minorHAnsi"/>
          <w:lang w:eastAsia="en-AU"/>
        </w:rPr>
        <w:t xml:space="preserve">xamination of alcohol affordability indexes </w:t>
      </w:r>
      <w:r>
        <w:rPr>
          <w:rFonts w:eastAsia="Times New Roman" w:cstheme="minorHAnsi"/>
          <w:lang w:eastAsia="en-AU"/>
        </w:rPr>
        <w:t xml:space="preserve">since the introduction of the WET supports this assertion. </w:t>
      </w:r>
      <w:r w:rsidRPr="00F372E2">
        <w:rPr>
          <w:rFonts w:eastAsia="Times New Roman" w:cstheme="minorHAnsi"/>
          <w:lang w:eastAsia="en-AU"/>
        </w:rPr>
        <w:t xml:space="preserve">Figure </w:t>
      </w:r>
      <w:r w:rsidR="007E3E2D">
        <w:rPr>
          <w:rFonts w:eastAsia="Times New Roman" w:cstheme="minorHAnsi"/>
          <w:lang w:eastAsia="en-AU"/>
        </w:rPr>
        <w:t>2</w:t>
      </w:r>
      <w:r w:rsidRPr="00F372E2">
        <w:rPr>
          <w:rFonts w:eastAsia="Times New Roman" w:cstheme="minorHAnsi"/>
          <w:lang w:eastAsia="en-AU"/>
        </w:rPr>
        <w:t xml:space="preserve"> demonstrates affordability indexes</w:t>
      </w:r>
      <w:r>
        <w:rPr>
          <w:rFonts w:eastAsia="Times New Roman" w:cstheme="minorHAnsi"/>
          <w:lang w:eastAsia="en-AU"/>
        </w:rPr>
        <w:t xml:space="preserve"> (</w:t>
      </w:r>
      <w:r w:rsidRPr="00F372E2">
        <w:rPr>
          <w:rFonts w:eastAsia="Times New Roman" w:cstheme="minorHAnsi"/>
          <w:lang w:eastAsia="en-AU"/>
        </w:rPr>
        <w:t>average ordinary wages divided by consumer price indexes</w:t>
      </w:r>
      <w:r>
        <w:rPr>
          <w:rFonts w:eastAsia="Times New Roman" w:cstheme="minorHAnsi"/>
          <w:lang w:eastAsia="en-AU"/>
        </w:rPr>
        <w:t>)</w:t>
      </w:r>
      <w:r w:rsidRPr="00F372E2">
        <w:rPr>
          <w:rFonts w:eastAsia="Times New Roman" w:cstheme="minorHAnsi"/>
          <w:lang w:eastAsia="en-AU"/>
        </w:rPr>
        <w:t xml:space="preserve"> for spirits, wine and beer, as well as alcohol </w:t>
      </w:r>
      <w:r>
        <w:rPr>
          <w:rFonts w:eastAsia="Times New Roman" w:cstheme="minorHAnsi"/>
          <w:lang w:eastAsia="en-AU"/>
        </w:rPr>
        <w:t>collectively</w:t>
      </w:r>
      <w:r w:rsidRPr="00F372E2">
        <w:rPr>
          <w:rFonts w:eastAsia="Times New Roman" w:cstheme="minorHAnsi"/>
          <w:lang w:eastAsia="en-AU"/>
        </w:rPr>
        <w:t xml:space="preserve"> in Australia since </w:t>
      </w:r>
      <w:r>
        <w:rPr>
          <w:rFonts w:eastAsia="Times New Roman" w:cstheme="minorHAnsi"/>
          <w:lang w:eastAsia="en-AU"/>
        </w:rPr>
        <w:t xml:space="preserve">the </w:t>
      </w:r>
      <w:r w:rsidRPr="00F372E2">
        <w:rPr>
          <w:rFonts w:eastAsia="Times New Roman" w:cstheme="minorHAnsi"/>
          <w:lang w:eastAsia="en-AU"/>
        </w:rPr>
        <w:t>introduction of the WET in 2000.</w:t>
      </w:r>
      <w:r>
        <w:rPr>
          <w:rFonts w:eastAsia="Times New Roman" w:cstheme="minorHAnsi"/>
          <w:lang w:eastAsia="en-AU"/>
        </w:rPr>
        <w:t xml:space="preserve"> It shows that </w:t>
      </w:r>
      <w:r w:rsidRPr="00F372E2">
        <w:rPr>
          <w:rFonts w:eastAsia="Times New Roman" w:cstheme="minorHAnsi"/>
          <w:lang w:eastAsia="en-AU"/>
        </w:rPr>
        <w:t xml:space="preserve">the affordability of alcohol collectively has increased by six per cent </w:t>
      </w:r>
      <w:r>
        <w:rPr>
          <w:rFonts w:eastAsia="Times New Roman" w:cstheme="minorHAnsi"/>
          <w:lang w:eastAsia="en-AU"/>
        </w:rPr>
        <w:t xml:space="preserve">from 2000-2017, largely </w:t>
      </w:r>
      <w:r w:rsidRPr="00F372E2">
        <w:rPr>
          <w:rFonts w:eastAsia="Times New Roman" w:cstheme="minorHAnsi"/>
          <w:lang w:eastAsia="en-AU"/>
        </w:rPr>
        <w:t>driven by grow</w:t>
      </w:r>
      <w:r>
        <w:rPr>
          <w:rFonts w:eastAsia="Times New Roman" w:cstheme="minorHAnsi"/>
          <w:lang w:eastAsia="en-AU"/>
        </w:rPr>
        <w:t xml:space="preserve">th in the affordability of wine </w:t>
      </w:r>
      <w:r w:rsidRPr="00F372E2">
        <w:rPr>
          <w:rFonts w:eastAsia="Times New Roman" w:cstheme="minorHAnsi"/>
          <w:lang w:eastAsia="en-AU"/>
        </w:rPr>
        <w:t>which has increased by 44 per cent since June 2000.</w:t>
      </w:r>
      <w:r>
        <w:rPr>
          <w:rFonts w:eastAsia="Times New Roman" w:cstheme="minorHAnsi"/>
          <w:lang w:eastAsia="en-AU"/>
        </w:rPr>
        <w:t xml:space="preserve"> This has occurred in spite of marginal reductions in the affordability of beer and spirits over this period.</w:t>
      </w:r>
      <w:r w:rsidRPr="005033DA">
        <w:rPr>
          <w:rFonts w:eastAsia="Times New Roman" w:cstheme="minorHAnsi"/>
          <w:lang w:eastAsia="en-AU"/>
        </w:rPr>
        <w:t xml:space="preserve"> </w:t>
      </w:r>
      <w:r>
        <w:rPr>
          <w:rFonts w:eastAsia="Times New Roman" w:cstheme="minorHAnsi"/>
          <w:lang w:eastAsia="en-AU"/>
        </w:rPr>
        <w:t>T</w:t>
      </w:r>
      <w:r w:rsidRPr="00F372E2">
        <w:rPr>
          <w:rFonts w:eastAsia="Times New Roman" w:cstheme="minorHAnsi"/>
          <w:lang w:eastAsia="en-AU"/>
        </w:rPr>
        <w:t>he affordability of spirits remained relativ</w:t>
      </w:r>
      <w:r>
        <w:rPr>
          <w:rFonts w:eastAsia="Times New Roman" w:cstheme="minorHAnsi"/>
          <w:lang w:eastAsia="en-AU"/>
        </w:rPr>
        <w:t>ely stable in the early 2000s, with a</w:t>
      </w:r>
      <w:r w:rsidRPr="00F372E2">
        <w:rPr>
          <w:rFonts w:eastAsia="Times New Roman" w:cstheme="minorHAnsi"/>
          <w:lang w:eastAsia="en-AU"/>
        </w:rPr>
        <w:t xml:space="preserve"> sharp reduction in affordability coincid</w:t>
      </w:r>
      <w:r>
        <w:rPr>
          <w:rFonts w:eastAsia="Times New Roman" w:cstheme="minorHAnsi"/>
          <w:lang w:eastAsia="en-AU"/>
        </w:rPr>
        <w:t>ing</w:t>
      </w:r>
      <w:r w:rsidRPr="00F372E2">
        <w:rPr>
          <w:rFonts w:eastAsia="Times New Roman" w:cstheme="minorHAnsi"/>
          <w:lang w:eastAsia="en-AU"/>
        </w:rPr>
        <w:t xml:space="preserve"> with</w:t>
      </w:r>
      <w:r>
        <w:rPr>
          <w:rFonts w:eastAsia="Times New Roman" w:cstheme="minorHAnsi"/>
          <w:lang w:eastAsia="en-AU"/>
        </w:rPr>
        <w:t xml:space="preserve"> the</w:t>
      </w:r>
      <w:r w:rsidRPr="00F372E2">
        <w:rPr>
          <w:rFonts w:eastAsia="Times New Roman" w:cstheme="minorHAnsi"/>
          <w:lang w:eastAsia="en-AU"/>
        </w:rPr>
        <w:t xml:space="preserve"> introduction of the alcopops tax in 2008</w:t>
      </w:r>
      <w:r>
        <w:rPr>
          <w:rFonts w:eastAsia="Times New Roman" w:cstheme="minorHAnsi"/>
          <w:lang w:eastAsia="en-AU"/>
        </w:rPr>
        <w:t xml:space="preserve">. The gradual </w:t>
      </w:r>
      <w:r w:rsidRPr="00F372E2">
        <w:rPr>
          <w:rFonts w:eastAsia="Times New Roman" w:cstheme="minorHAnsi"/>
          <w:lang w:eastAsia="en-AU"/>
        </w:rPr>
        <w:t>decline in beer affordability</w:t>
      </w:r>
      <w:r>
        <w:rPr>
          <w:rFonts w:eastAsia="Times New Roman" w:cstheme="minorHAnsi"/>
          <w:lang w:eastAsia="en-AU"/>
        </w:rPr>
        <w:t xml:space="preserve"> was </w:t>
      </w:r>
      <w:r w:rsidRPr="00F372E2">
        <w:rPr>
          <w:rFonts w:eastAsia="Times New Roman" w:cstheme="minorHAnsi"/>
          <w:lang w:eastAsia="en-AU"/>
        </w:rPr>
        <w:t>potentially driven by trends in the production of boutique and premium brands</w:t>
      </w:r>
      <w:r>
        <w:rPr>
          <w:rFonts w:eastAsia="Times New Roman" w:cstheme="minorHAnsi"/>
          <w:lang w:eastAsia="en-AU"/>
        </w:rPr>
        <w:t>.</w:t>
      </w:r>
    </w:p>
    <w:p w14:paraId="1BB6C0AC" w14:textId="77777777" w:rsidR="00FE2CE2" w:rsidRDefault="00FE2CE2" w:rsidP="00FE2CE2">
      <w:pPr>
        <w:rPr>
          <w:rFonts w:eastAsia="Times New Roman" w:cstheme="minorHAnsi"/>
          <w:b/>
          <w:lang w:eastAsia="en-AU"/>
        </w:rPr>
      </w:pPr>
      <w:r>
        <w:rPr>
          <w:rFonts w:eastAsia="Times New Roman" w:cstheme="minorHAnsi"/>
          <w:b/>
          <w:lang w:eastAsia="en-AU"/>
        </w:rPr>
        <w:br w:type="page"/>
      </w:r>
    </w:p>
    <w:p w14:paraId="4D0A39CF" w14:textId="6187328D" w:rsidR="00FE2CE2" w:rsidRPr="00F372E2" w:rsidRDefault="00FE2CE2" w:rsidP="00FE2CE2">
      <w:pPr>
        <w:rPr>
          <w:rFonts w:eastAsia="Times New Roman" w:cstheme="minorHAnsi"/>
          <w:b/>
          <w:lang w:eastAsia="en-AU"/>
        </w:rPr>
      </w:pPr>
      <w:r w:rsidRPr="00F372E2">
        <w:rPr>
          <w:rFonts w:eastAsia="Times New Roman" w:cstheme="minorHAnsi"/>
          <w:b/>
          <w:lang w:eastAsia="en-AU"/>
        </w:rPr>
        <w:lastRenderedPageBreak/>
        <w:t xml:space="preserve">Figure </w:t>
      </w:r>
      <w:r w:rsidR="007E3E2D">
        <w:rPr>
          <w:rFonts w:eastAsia="Times New Roman" w:cstheme="minorHAnsi"/>
          <w:b/>
          <w:lang w:eastAsia="en-AU"/>
        </w:rPr>
        <w:t>2</w:t>
      </w:r>
      <w:r w:rsidR="00190011">
        <w:rPr>
          <w:rFonts w:eastAsia="Times New Roman" w:cstheme="minorHAnsi"/>
          <w:b/>
          <w:lang w:eastAsia="en-AU"/>
        </w:rPr>
        <w:t>.</w:t>
      </w:r>
      <w:r w:rsidRPr="00F372E2">
        <w:rPr>
          <w:rFonts w:eastAsia="Times New Roman" w:cstheme="minorHAnsi"/>
          <w:b/>
          <w:lang w:eastAsia="en-AU"/>
        </w:rPr>
        <w:t xml:space="preserve"> Affordability Index of Alcohol, 2000 to 2017</w:t>
      </w:r>
      <w:r w:rsidRPr="00F372E2">
        <w:rPr>
          <w:rFonts w:eastAsia="Times New Roman" w:cstheme="minorHAnsi"/>
          <w:b/>
          <w:vertAlign w:val="superscript"/>
          <w:lang w:eastAsia="en-AU"/>
        </w:rPr>
        <w:footnoteReference w:id="2"/>
      </w:r>
    </w:p>
    <w:p w14:paraId="1C58A44D" w14:textId="77777777" w:rsidR="00FE2CE2" w:rsidRPr="00F372E2" w:rsidRDefault="00FE2CE2" w:rsidP="00FE2CE2">
      <w:pPr>
        <w:rPr>
          <w:rFonts w:eastAsia="Times New Roman" w:cstheme="minorHAnsi"/>
          <w:lang w:eastAsia="en-AU"/>
        </w:rPr>
      </w:pPr>
      <w:r w:rsidRPr="00F372E2">
        <w:rPr>
          <w:rFonts w:eastAsia="Times New Roman" w:cstheme="minorHAnsi"/>
          <w:noProof/>
          <w:lang w:eastAsia="en-AU"/>
        </w:rPr>
        <w:drawing>
          <wp:inline distT="0" distB="0" distL="0" distR="0" wp14:anchorId="44209C42" wp14:editId="321775F5">
            <wp:extent cx="5457825" cy="30194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A3D93F" w14:textId="42C244FA" w:rsidR="00FE2CE2" w:rsidRPr="00712DC1" w:rsidRDefault="00FE2CE2" w:rsidP="00FE2CE2">
      <w:pPr>
        <w:rPr>
          <w:rFonts w:eastAsia="Times New Roman" w:cstheme="minorHAnsi"/>
          <w:i/>
          <w:sz w:val="18"/>
          <w:szCs w:val="18"/>
          <w:lang w:eastAsia="en-AU"/>
        </w:rPr>
      </w:pPr>
      <w:r w:rsidRPr="00712DC1">
        <w:rPr>
          <w:rFonts w:eastAsia="Times New Roman" w:cstheme="minorHAnsi"/>
          <w:i/>
          <w:sz w:val="18"/>
          <w:szCs w:val="18"/>
          <w:lang w:eastAsia="en-AU"/>
        </w:rPr>
        <w:t>Sources: FARE calculations based on ABS Cat. No. 6345.0 – Wage Price Index, Australia, Jun 2017; and ABS Cat No. 6401.0 – Consumer Price Index, Australia, Sep 2017</w:t>
      </w:r>
      <w:r w:rsidR="00190011">
        <w:rPr>
          <w:rFonts w:eastAsia="Times New Roman" w:cstheme="minorHAnsi"/>
          <w:i/>
          <w:sz w:val="18"/>
          <w:szCs w:val="18"/>
          <w:lang w:eastAsia="en-AU"/>
        </w:rPr>
        <w:t>.</w:t>
      </w:r>
    </w:p>
    <w:p w14:paraId="1BD1ED00" w14:textId="16573CC2" w:rsidR="00FE2CE2" w:rsidRPr="00F372E2" w:rsidRDefault="00FE2CE2" w:rsidP="00F8393B">
      <w:pPr>
        <w:jc w:val="both"/>
        <w:rPr>
          <w:rFonts w:eastAsia="Times New Roman" w:cstheme="minorHAnsi"/>
          <w:lang w:eastAsia="en-AU"/>
        </w:rPr>
      </w:pPr>
      <w:r w:rsidRPr="00F372E2">
        <w:rPr>
          <w:rFonts w:eastAsia="Times New Roman" w:cstheme="minorHAnsi"/>
          <w:lang w:eastAsia="en-AU"/>
        </w:rPr>
        <w:t>Cheap alcohol encourages higher rates of consumption and consequent harm. The harm associated with alcohol extends to both drinkers and third parties. In the short-term, alcohol contributes to the incidence of assault</w:t>
      </w:r>
      <w:r w:rsidRPr="00F372E2">
        <w:rPr>
          <w:rFonts w:eastAsia="Times New Roman" w:cstheme="minorHAnsi"/>
          <w:vertAlign w:val="superscript"/>
          <w:lang w:eastAsia="en-AU"/>
        </w:rPr>
        <w:endnoteReference w:id="15"/>
      </w:r>
      <w:r w:rsidRPr="00F372E2">
        <w:rPr>
          <w:rFonts w:eastAsia="Times New Roman" w:cstheme="minorHAnsi"/>
          <w:vertAlign w:val="superscript"/>
          <w:lang w:eastAsia="en-AU"/>
        </w:rPr>
        <w:t>,</w:t>
      </w:r>
      <w:r w:rsidRPr="00F372E2">
        <w:rPr>
          <w:rFonts w:eastAsia="Times New Roman" w:cstheme="minorHAnsi"/>
          <w:vertAlign w:val="superscript"/>
          <w:lang w:eastAsia="en-AU"/>
        </w:rPr>
        <w:endnoteReference w:id="16"/>
      </w:r>
      <w:r w:rsidRPr="00F372E2">
        <w:rPr>
          <w:rFonts w:eastAsia="Times New Roman" w:cstheme="minorHAnsi"/>
          <w:vertAlign w:val="superscript"/>
          <w:lang w:eastAsia="en-AU"/>
        </w:rPr>
        <w:t>,</w:t>
      </w:r>
      <w:r w:rsidRPr="00F372E2">
        <w:rPr>
          <w:rFonts w:eastAsia="Times New Roman" w:cstheme="minorHAnsi"/>
          <w:vertAlign w:val="superscript"/>
          <w:lang w:eastAsia="en-AU"/>
        </w:rPr>
        <w:endnoteReference w:id="17"/>
      </w:r>
      <w:r w:rsidRPr="00F372E2">
        <w:rPr>
          <w:rFonts w:eastAsia="Times New Roman" w:cstheme="minorHAnsi"/>
          <w:lang w:eastAsia="en-AU"/>
        </w:rPr>
        <w:t xml:space="preserve"> and injury.</w:t>
      </w:r>
      <w:r w:rsidRPr="00F372E2">
        <w:rPr>
          <w:rFonts w:eastAsia="Times New Roman" w:cstheme="minorHAnsi"/>
          <w:vertAlign w:val="superscript"/>
          <w:lang w:eastAsia="en-AU"/>
        </w:rPr>
        <w:endnoteReference w:id="18"/>
      </w:r>
      <w:r w:rsidRPr="00F372E2">
        <w:rPr>
          <w:rFonts w:eastAsia="Times New Roman" w:cstheme="minorHAnsi"/>
          <w:lang w:eastAsia="en-AU"/>
        </w:rPr>
        <w:t xml:space="preserve"> Over prolonged periods, dangerous patterns of alcohol consumption can result in a range of chronic diseases and disability.</w:t>
      </w:r>
      <w:r w:rsidRPr="00F372E2">
        <w:rPr>
          <w:rFonts w:eastAsia="Times New Roman" w:cstheme="minorHAnsi"/>
          <w:i/>
          <w:vertAlign w:val="superscript"/>
          <w:lang w:eastAsia="en-AU"/>
        </w:rPr>
        <w:endnoteReference w:id="19"/>
      </w:r>
      <w:r w:rsidRPr="00F372E2">
        <w:rPr>
          <w:rFonts w:eastAsia="Times New Roman" w:cstheme="minorHAnsi"/>
          <w:lang w:eastAsia="en-AU"/>
        </w:rPr>
        <w:t xml:space="preserve"> In 2010, 15 deaths and 430 hospitalisations occurred as a result of alcohol each day in Australia.</w:t>
      </w:r>
      <w:r w:rsidRPr="00F372E2">
        <w:rPr>
          <w:rFonts w:eastAsia="Times New Roman" w:cstheme="minorHAnsi"/>
          <w:vertAlign w:val="superscript"/>
          <w:lang w:eastAsia="en-AU"/>
        </w:rPr>
        <w:endnoteReference w:id="20"/>
      </w:r>
      <w:r w:rsidRPr="00F372E2">
        <w:rPr>
          <w:rFonts w:eastAsia="Times New Roman" w:cstheme="minorHAnsi"/>
          <w:lang w:eastAsia="en-AU"/>
        </w:rPr>
        <w:t xml:space="preserve"> Deaths due to alcohol have risen by a staggering 62 per cent since that time.</w:t>
      </w:r>
      <w:r w:rsidRPr="00F372E2">
        <w:rPr>
          <w:rFonts w:eastAsia="Times New Roman" w:cstheme="minorHAnsi"/>
          <w:i/>
          <w:vertAlign w:val="superscript"/>
          <w:lang w:eastAsia="en-AU"/>
        </w:rPr>
        <w:endnoteReference w:id="21"/>
      </w:r>
      <w:r w:rsidRPr="00F372E2">
        <w:rPr>
          <w:rFonts w:eastAsia="Times New Roman" w:cstheme="minorHAnsi"/>
          <w:lang w:eastAsia="en-AU"/>
        </w:rPr>
        <w:t xml:space="preserve"> For men, in</w:t>
      </w:r>
      <w:r w:rsidR="00190011">
        <w:rPr>
          <w:rFonts w:eastAsia="Times New Roman" w:cstheme="minorHAnsi"/>
          <w:lang w:eastAsia="en-AU"/>
        </w:rPr>
        <w:t>juries accounted for more than one</w:t>
      </w:r>
      <w:r w:rsidRPr="00F372E2">
        <w:rPr>
          <w:rFonts w:eastAsia="Times New Roman" w:cstheme="minorHAnsi"/>
          <w:lang w:eastAsia="en-AU"/>
        </w:rPr>
        <w:t xml:space="preserve"> third (36 per cent) of alcohol-related deaths, while cancer and digestive diseases caused 25 and 16 per cent, respectively.</w:t>
      </w:r>
      <w:r w:rsidRPr="00F372E2">
        <w:rPr>
          <w:rFonts w:eastAsia="Times New Roman" w:cstheme="minorHAnsi"/>
          <w:vertAlign w:val="superscript"/>
          <w:lang w:eastAsia="en-AU"/>
        </w:rPr>
        <w:endnoteReference w:id="22"/>
      </w:r>
      <w:r w:rsidRPr="00F372E2">
        <w:rPr>
          <w:rFonts w:eastAsia="Times New Roman" w:cstheme="minorHAnsi"/>
          <w:lang w:eastAsia="en-AU"/>
        </w:rPr>
        <w:t xml:space="preserve">  For women, one in three alcohol-related deaths were due to heart disease (34 per cent), followed by cancers (31 per cent) and injuries (12 per cent).</w:t>
      </w:r>
      <w:r w:rsidRPr="00F372E2">
        <w:rPr>
          <w:rFonts w:eastAsia="Times New Roman" w:cstheme="minorHAnsi"/>
          <w:vertAlign w:val="superscript"/>
          <w:lang w:eastAsia="en-AU"/>
        </w:rPr>
        <w:endnoteReference w:id="23"/>
      </w:r>
    </w:p>
    <w:p w14:paraId="5F7DEBCB" w14:textId="1C26A2E4" w:rsidR="00FE2CE2" w:rsidRPr="00F372E2" w:rsidRDefault="00FE2CE2" w:rsidP="00F8393B">
      <w:pPr>
        <w:jc w:val="both"/>
        <w:rPr>
          <w:rFonts w:eastAsia="Times New Roman" w:cstheme="minorHAnsi"/>
          <w:lang w:eastAsia="en-AU"/>
        </w:rPr>
      </w:pPr>
      <w:r w:rsidRPr="00F372E2">
        <w:rPr>
          <w:rFonts w:eastAsia="Times New Roman" w:cstheme="minorHAnsi"/>
          <w:lang w:eastAsia="en-AU"/>
        </w:rPr>
        <w:t>The scale and variety of harm that alcohol causes to third parties distinguishes it from other health and lifestyle risks, such as smoking and gambling. This includes street and family violence,</w:t>
      </w:r>
      <w:r w:rsidRPr="00F372E2">
        <w:rPr>
          <w:rFonts w:eastAsia="Times New Roman" w:cstheme="minorHAnsi"/>
          <w:vertAlign w:val="superscript"/>
          <w:lang w:eastAsia="en-AU"/>
        </w:rPr>
        <w:endnoteReference w:id="24"/>
      </w:r>
      <w:r w:rsidRPr="00F372E2">
        <w:rPr>
          <w:rFonts w:eastAsia="Times New Roman" w:cstheme="minorHAnsi"/>
          <w:vertAlign w:val="superscript"/>
          <w:lang w:eastAsia="en-AU"/>
        </w:rPr>
        <w:t>,</w:t>
      </w:r>
      <w:r w:rsidRPr="00F372E2">
        <w:rPr>
          <w:rFonts w:eastAsia="Times New Roman" w:cstheme="minorHAnsi"/>
          <w:vertAlign w:val="superscript"/>
          <w:lang w:eastAsia="en-AU"/>
        </w:rPr>
        <w:endnoteReference w:id="25"/>
      </w:r>
      <w:r w:rsidRPr="00F372E2">
        <w:rPr>
          <w:rFonts w:eastAsia="Times New Roman" w:cstheme="minorHAnsi"/>
          <w:vertAlign w:val="superscript"/>
          <w:lang w:eastAsia="en-AU"/>
        </w:rPr>
        <w:t>,</w:t>
      </w:r>
      <w:r w:rsidRPr="00F372E2">
        <w:rPr>
          <w:rFonts w:eastAsia="Times New Roman" w:cstheme="minorHAnsi"/>
          <w:vertAlign w:val="superscript"/>
          <w:lang w:eastAsia="en-AU"/>
        </w:rPr>
        <w:endnoteReference w:id="26"/>
      </w:r>
      <w:r w:rsidRPr="00F372E2">
        <w:rPr>
          <w:rFonts w:eastAsia="Times New Roman" w:cstheme="minorHAnsi"/>
          <w:lang w:eastAsia="en-AU"/>
        </w:rPr>
        <w:t xml:space="preserve"> as well as road traffic accidents,</w:t>
      </w:r>
      <w:r w:rsidRPr="00F372E2">
        <w:rPr>
          <w:rFonts w:eastAsia="Times New Roman" w:cstheme="minorHAnsi"/>
          <w:vertAlign w:val="superscript"/>
          <w:lang w:eastAsia="en-AU"/>
        </w:rPr>
        <w:endnoteReference w:id="27"/>
      </w:r>
      <w:r w:rsidRPr="00F372E2">
        <w:rPr>
          <w:rFonts w:eastAsia="Times New Roman" w:cstheme="minorHAnsi"/>
          <w:lang w:eastAsia="en-AU"/>
        </w:rPr>
        <w:t xml:space="preserve"> and child maltreatment.</w:t>
      </w:r>
      <w:r w:rsidRPr="00F372E2">
        <w:rPr>
          <w:rFonts w:eastAsia="Times New Roman" w:cstheme="minorHAnsi"/>
          <w:vertAlign w:val="superscript"/>
          <w:lang w:eastAsia="en-AU"/>
        </w:rPr>
        <w:endnoteReference w:id="28"/>
      </w:r>
      <w:r w:rsidRPr="00F372E2">
        <w:rPr>
          <w:rFonts w:eastAsia="Times New Roman" w:cstheme="minorHAnsi"/>
          <w:lang w:eastAsia="en-AU"/>
        </w:rPr>
        <w:t xml:space="preserve"> Alcohol is involved in between 23 per cent</w:t>
      </w:r>
      <w:r w:rsidRPr="00F372E2">
        <w:rPr>
          <w:rFonts w:eastAsia="Times New Roman" w:cstheme="minorHAnsi"/>
          <w:vertAlign w:val="superscript"/>
          <w:lang w:eastAsia="en-AU"/>
        </w:rPr>
        <w:endnoteReference w:id="29"/>
      </w:r>
      <w:r w:rsidRPr="00F372E2">
        <w:rPr>
          <w:rFonts w:eastAsia="Times New Roman" w:cstheme="minorHAnsi"/>
          <w:lang w:eastAsia="en-AU"/>
        </w:rPr>
        <w:t xml:space="preserve"> and 65 per cent</w:t>
      </w:r>
      <w:r w:rsidRPr="00F372E2">
        <w:rPr>
          <w:rFonts w:eastAsia="Times New Roman" w:cstheme="minorHAnsi"/>
          <w:vertAlign w:val="superscript"/>
          <w:lang w:eastAsia="en-AU"/>
        </w:rPr>
        <w:endnoteReference w:id="30"/>
      </w:r>
      <w:r w:rsidRPr="00F372E2">
        <w:rPr>
          <w:rFonts w:eastAsia="Times New Roman" w:cstheme="minorHAnsi"/>
          <w:lang w:eastAsia="en-AU"/>
        </w:rPr>
        <w:t xml:space="preserve"> of family violence incidents reported to police. Between 2002-03 and 2011-12, 36 per c</w:t>
      </w:r>
      <w:r w:rsidR="00190011">
        <w:rPr>
          <w:rFonts w:eastAsia="Times New Roman" w:cstheme="minorHAnsi"/>
          <w:lang w:eastAsia="en-AU"/>
        </w:rPr>
        <w:t>ent of perpetrators of intimate-</w:t>
      </w:r>
      <w:r w:rsidRPr="00F372E2">
        <w:rPr>
          <w:rFonts w:eastAsia="Times New Roman" w:cstheme="minorHAnsi"/>
          <w:lang w:eastAsia="en-AU"/>
        </w:rPr>
        <w:t>partner homicides had used alcohol.</w:t>
      </w:r>
      <w:r w:rsidRPr="00F372E2">
        <w:rPr>
          <w:rFonts w:eastAsia="Times New Roman" w:cstheme="minorHAnsi"/>
          <w:vertAlign w:val="superscript"/>
          <w:lang w:eastAsia="en-AU"/>
        </w:rPr>
        <w:endnoteReference w:id="31"/>
      </w:r>
      <w:r w:rsidRPr="00F372E2">
        <w:rPr>
          <w:rFonts w:eastAsia="Times New Roman" w:cstheme="minorHAnsi"/>
          <w:lang w:eastAsia="en-AU"/>
        </w:rPr>
        <w:t xml:space="preserve"> Children are also subject to considerable levels of alcohol harm. More than one in five (22 per cent)</w:t>
      </w:r>
      <w:r w:rsidR="00375001">
        <w:rPr>
          <w:rFonts w:eastAsia="Times New Roman" w:cstheme="minorHAnsi"/>
          <w:lang w:eastAsia="en-AU"/>
        </w:rPr>
        <w:t xml:space="preserve"> or 1 million</w:t>
      </w:r>
      <w:r w:rsidRPr="00F372E2">
        <w:rPr>
          <w:rFonts w:eastAsia="Times New Roman" w:cstheme="minorHAnsi"/>
          <w:lang w:eastAsia="en-AU"/>
        </w:rPr>
        <w:t xml:space="preserve"> Australian children are negatively affected by the drinking of others.</w:t>
      </w:r>
      <w:r w:rsidRPr="00F372E2">
        <w:rPr>
          <w:rFonts w:eastAsia="Times New Roman" w:cstheme="minorHAnsi"/>
          <w:vertAlign w:val="superscript"/>
          <w:lang w:eastAsia="en-AU"/>
        </w:rPr>
        <w:endnoteReference w:id="32"/>
      </w:r>
      <w:r w:rsidRPr="00F372E2">
        <w:rPr>
          <w:rFonts w:eastAsia="Times New Roman" w:cstheme="minorHAnsi"/>
          <w:lang w:eastAsia="en-AU"/>
        </w:rPr>
        <w:t xml:space="preserve"> Problematic drinking by their primary caregiver substantially affects 142,582 Australian children, and 10,166 children are already in </w:t>
      </w:r>
      <w:r>
        <w:rPr>
          <w:rFonts w:eastAsia="Times New Roman" w:cstheme="minorHAnsi"/>
          <w:lang w:eastAsia="en-AU"/>
        </w:rPr>
        <w:t xml:space="preserve">the </w:t>
      </w:r>
      <w:r w:rsidRPr="00F372E2">
        <w:rPr>
          <w:rFonts w:eastAsia="Times New Roman" w:cstheme="minorHAnsi"/>
          <w:lang w:eastAsia="en-AU"/>
        </w:rPr>
        <w:t>child protection system as a result.</w:t>
      </w:r>
      <w:r w:rsidRPr="00F372E2">
        <w:rPr>
          <w:rFonts w:eastAsia="Times New Roman" w:cstheme="minorHAnsi"/>
          <w:vertAlign w:val="superscript"/>
          <w:lang w:eastAsia="en-AU"/>
        </w:rPr>
        <w:endnoteReference w:id="33"/>
      </w:r>
      <w:r w:rsidRPr="00F372E2">
        <w:rPr>
          <w:rFonts w:eastAsia="Times New Roman" w:cstheme="minorHAnsi"/>
          <w:lang w:eastAsia="en-AU"/>
        </w:rPr>
        <w:t xml:space="preserve"> In addition to maltreatment and neglect, children can be affected by alcohol consumption prior to birth through F</w:t>
      </w:r>
      <w:r w:rsidR="00190011">
        <w:rPr>
          <w:rFonts w:eastAsia="Times New Roman" w:cstheme="minorHAnsi"/>
          <w:lang w:eastAsia="en-AU"/>
        </w:rPr>
        <w:t>AS</w:t>
      </w:r>
      <w:r w:rsidRPr="00F372E2">
        <w:rPr>
          <w:rFonts w:eastAsia="Times New Roman" w:cstheme="minorHAnsi"/>
          <w:lang w:eastAsia="en-AU"/>
        </w:rPr>
        <w:t>D.</w:t>
      </w:r>
      <w:r w:rsidRPr="00F372E2">
        <w:rPr>
          <w:rFonts w:eastAsia="Times New Roman" w:cstheme="minorHAnsi"/>
          <w:vertAlign w:val="superscript"/>
          <w:lang w:eastAsia="en-AU"/>
        </w:rPr>
        <w:endnoteReference w:id="34"/>
      </w:r>
      <w:r w:rsidRPr="00F372E2">
        <w:rPr>
          <w:rFonts w:eastAsia="Times New Roman" w:cstheme="minorHAnsi"/>
          <w:lang w:eastAsia="en-AU"/>
        </w:rPr>
        <w:t xml:space="preserve"> As a result of alcohol’s harm to others, more than 360 people die each year, a further 14,000 are hospitalised, and close to 70,000 people are victims of assault.</w:t>
      </w:r>
      <w:r w:rsidRPr="00F372E2">
        <w:rPr>
          <w:rFonts w:eastAsia="Times New Roman" w:cstheme="minorHAnsi"/>
          <w:vertAlign w:val="superscript"/>
          <w:lang w:eastAsia="en-AU"/>
        </w:rPr>
        <w:endnoteReference w:id="35"/>
      </w:r>
    </w:p>
    <w:p w14:paraId="7CCBBFEE" w14:textId="77777777" w:rsidR="00FE2CE2" w:rsidRDefault="00FE2CE2" w:rsidP="00FE2CE2">
      <w:pPr>
        <w:pStyle w:val="Heading2"/>
        <w:rPr>
          <w:rStyle w:val="Heading2Char"/>
          <w:b/>
        </w:rPr>
      </w:pPr>
    </w:p>
    <w:p w14:paraId="2F8F10F6" w14:textId="23A40324" w:rsidR="00FE2CE2" w:rsidRPr="00F77D47" w:rsidRDefault="00190011" w:rsidP="00FE2CE2">
      <w:pPr>
        <w:pStyle w:val="Heading2"/>
        <w:rPr>
          <w:rStyle w:val="Heading2Char"/>
          <w:b/>
        </w:rPr>
      </w:pPr>
      <w:bookmarkStart w:id="15" w:name="_Toc532385401"/>
      <w:bookmarkStart w:id="16" w:name="_Toc532809050"/>
      <w:r>
        <w:rPr>
          <w:rStyle w:val="Heading2Char"/>
          <w:b/>
        </w:rPr>
        <w:lastRenderedPageBreak/>
        <w:t>The WET R</w:t>
      </w:r>
      <w:r w:rsidR="00FE2CE2" w:rsidRPr="00F77D47">
        <w:rPr>
          <w:rStyle w:val="Heading2Char"/>
          <w:b/>
        </w:rPr>
        <w:t>ebate blocks growth of small producers</w:t>
      </w:r>
      <w:bookmarkEnd w:id="14"/>
      <w:bookmarkEnd w:id="15"/>
      <w:bookmarkEnd w:id="16"/>
    </w:p>
    <w:p w14:paraId="1E8A7ED1" w14:textId="204CC4F4" w:rsidR="00FE2CE2" w:rsidRDefault="00FE2CE2" w:rsidP="00F8393B">
      <w:pPr>
        <w:jc w:val="both"/>
        <w:rPr>
          <w:rFonts w:eastAsia="Times New Roman" w:cstheme="minorHAnsi"/>
          <w:lang w:eastAsia="en-AU"/>
        </w:rPr>
      </w:pPr>
      <w:r w:rsidRPr="00557624">
        <w:rPr>
          <w:rFonts w:eastAsia="Times New Roman" w:cstheme="minorHAnsi"/>
          <w:lang w:eastAsia="en-AU"/>
        </w:rPr>
        <w:t xml:space="preserve">By taxing boutique and premium wines at a much higher rate per unit of alcohol than bulk cask wine, the current system </w:t>
      </w:r>
      <w:r>
        <w:rPr>
          <w:rFonts w:eastAsia="Times New Roman" w:cstheme="minorHAnsi"/>
          <w:lang w:eastAsia="en-AU"/>
        </w:rPr>
        <w:t>fails</w:t>
      </w:r>
      <w:r w:rsidRPr="00557624">
        <w:rPr>
          <w:rFonts w:eastAsia="Times New Roman" w:cstheme="minorHAnsi"/>
          <w:lang w:eastAsia="en-AU"/>
        </w:rPr>
        <w:t xml:space="preserve"> to support small businesses. </w:t>
      </w:r>
      <w:r>
        <w:rPr>
          <w:rFonts w:eastAsia="Times New Roman" w:cstheme="minorHAnsi"/>
          <w:lang w:eastAsia="en-AU"/>
        </w:rPr>
        <w:t>T</w:t>
      </w:r>
      <w:r w:rsidRPr="00557624">
        <w:rPr>
          <w:rFonts w:eastAsia="Times New Roman" w:cstheme="minorHAnsi"/>
          <w:lang w:eastAsia="en-AU"/>
        </w:rPr>
        <w:t>he WET Rebate was introduced in 2004</w:t>
      </w:r>
      <w:r>
        <w:rPr>
          <w:rFonts w:eastAsia="Times New Roman" w:cstheme="minorHAnsi"/>
          <w:lang w:eastAsia="en-AU"/>
        </w:rPr>
        <w:t xml:space="preserve"> in an attempt to address this</w:t>
      </w:r>
      <w:r w:rsidRPr="00557624">
        <w:rPr>
          <w:rFonts w:eastAsia="Times New Roman" w:cstheme="minorHAnsi"/>
          <w:lang w:eastAsia="en-AU"/>
        </w:rPr>
        <w:t>.</w:t>
      </w:r>
      <w:r w:rsidRPr="00557624">
        <w:rPr>
          <w:rFonts w:eastAsia="Times New Roman" w:cstheme="minorHAnsi"/>
          <w:vertAlign w:val="superscript"/>
          <w:lang w:eastAsia="en-AU"/>
        </w:rPr>
        <w:footnoteReference w:id="3"/>
      </w:r>
      <w:r w:rsidRPr="00557624">
        <w:rPr>
          <w:rFonts w:eastAsia="Times New Roman" w:cstheme="minorHAnsi"/>
          <w:lang w:eastAsia="en-AU"/>
        </w:rPr>
        <w:t xml:space="preserve"> </w:t>
      </w:r>
      <w:r>
        <w:rPr>
          <w:rFonts w:eastAsia="Times New Roman" w:cstheme="minorHAnsi"/>
          <w:lang w:eastAsia="en-AU"/>
        </w:rPr>
        <w:t xml:space="preserve">It supports the </w:t>
      </w:r>
      <w:r w:rsidRPr="00F372E2">
        <w:rPr>
          <w:rFonts w:eastAsia="Times New Roman" w:cstheme="minorHAnsi"/>
          <w:lang w:eastAsia="en-AU"/>
        </w:rPr>
        <w:t xml:space="preserve">growth of </w:t>
      </w:r>
      <w:r w:rsidR="004B3990">
        <w:rPr>
          <w:rFonts w:eastAsia="Times New Roman" w:cstheme="minorHAnsi"/>
          <w:lang w:eastAsia="en-AU"/>
        </w:rPr>
        <w:t>s</w:t>
      </w:r>
      <w:r w:rsidRPr="00F372E2">
        <w:rPr>
          <w:rFonts w:eastAsia="Times New Roman" w:cstheme="minorHAnsi"/>
          <w:lang w:eastAsia="en-AU"/>
        </w:rPr>
        <w:t xml:space="preserve">mall businesses </w:t>
      </w:r>
      <w:r>
        <w:rPr>
          <w:rFonts w:eastAsia="Times New Roman" w:cstheme="minorHAnsi"/>
          <w:lang w:eastAsia="en-AU"/>
        </w:rPr>
        <w:t>who have a turnover of up to $1.7 mill</w:t>
      </w:r>
      <w:r w:rsidRPr="00F372E2">
        <w:rPr>
          <w:rFonts w:eastAsia="Times New Roman" w:cstheme="minorHAnsi"/>
          <w:lang w:eastAsia="en-AU"/>
        </w:rPr>
        <w:t>ion per annum</w:t>
      </w:r>
      <w:r>
        <w:rPr>
          <w:rFonts w:eastAsia="Times New Roman" w:cstheme="minorHAnsi"/>
          <w:lang w:eastAsia="en-AU"/>
        </w:rPr>
        <w:t>,</w:t>
      </w:r>
      <w:r w:rsidRPr="00F372E2">
        <w:rPr>
          <w:rFonts w:eastAsia="Times New Roman" w:cstheme="minorHAnsi"/>
          <w:lang w:eastAsia="en-AU"/>
        </w:rPr>
        <w:t xml:space="preserve"> </w:t>
      </w:r>
      <w:r>
        <w:rPr>
          <w:rFonts w:eastAsia="Times New Roman" w:cstheme="minorHAnsi"/>
          <w:lang w:eastAsia="en-AU"/>
        </w:rPr>
        <w:t xml:space="preserve">but inhibits </w:t>
      </w:r>
      <w:r w:rsidRPr="00F372E2">
        <w:rPr>
          <w:rFonts w:eastAsia="Times New Roman" w:cstheme="minorHAnsi"/>
          <w:lang w:eastAsia="en-AU"/>
        </w:rPr>
        <w:t xml:space="preserve">growth above this size. </w:t>
      </w:r>
      <w:r>
        <w:rPr>
          <w:rFonts w:eastAsia="Times New Roman" w:cstheme="minorHAnsi"/>
          <w:lang w:eastAsia="en-AU"/>
        </w:rPr>
        <w:t>A</w:t>
      </w:r>
      <w:r w:rsidRPr="00F372E2">
        <w:rPr>
          <w:rFonts w:eastAsia="Times New Roman" w:cstheme="minorHAnsi"/>
          <w:lang w:eastAsia="en-AU"/>
        </w:rPr>
        <w:t xml:space="preserve"> large number of small producers are supported by the rebate, while only those with very </w:t>
      </w:r>
      <w:r>
        <w:rPr>
          <w:rFonts w:eastAsia="Times New Roman" w:cstheme="minorHAnsi"/>
          <w:lang w:eastAsia="en-AU"/>
        </w:rPr>
        <w:t xml:space="preserve">large </w:t>
      </w:r>
      <w:r w:rsidRPr="00F372E2">
        <w:rPr>
          <w:rFonts w:eastAsia="Times New Roman" w:cstheme="minorHAnsi"/>
          <w:lang w:eastAsia="en-AU"/>
        </w:rPr>
        <w:t xml:space="preserve">operations (and therefore economies of scale) can compete as larger enterprises. </w:t>
      </w:r>
    </w:p>
    <w:p w14:paraId="422FDC69" w14:textId="7D0D4B52" w:rsidR="00FE2CE2" w:rsidRDefault="00190011" w:rsidP="00F8393B">
      <w:pPr>
        <w:jc w:val="both"/>
        <w:rPr>
          <w:rFonts w:eastAsia="Times New Roman" w:cstheme="minorHAnsi"/>
          <w:lang w:eastAsia="en-AU"/>
        </w:rPr>
      </w:pPr>
      <w:r>
        <w:rPr>
          <w:rFonts w:eastAsia="Times New Roman" w:cstheme="minorHAnsi"/>
          <w:lang w:eastAsia="en-AU"/>
        </w:rPr>
        <w:t>The WET R</w:t>
      </w:r>
      <w:r w:rsidR="00FE2CE2">
        <w:rPr>
          <w:rFonts w:eastAsia="Times New Roman" w:cstheme="minorHAnsi"/>
          <w:lang w:eastAsia="en-AU"/>
        </w:rPr>
        <w:t>ebate</w:t>
      </w:r>
      <w:r w:rsidR="00FE2CE2" w:rsidRPr="00F372E2">
        <w:rPr>
          <w:rFonts w:eastAsia="Times New Roman" w:cstheme="minorHAnsi"/>
          <w:lang w:eastAsia="en-AU"/>
        </w:rPr>
        <w:t xml:space="preserve"> is costly and economically distorting. </w:t>
      </w:r>
      <w:r w:rsidR="00FE2CE2">
        <w:rPr>
          <w:rFonts w:eastAsia="Times New Roman" w:cstheme="minorHAnsi"/>
          <w:lang w:eastAsia="en-AU"/>
        </w:rPr>
        <w:t>It</w:t>
      </w:r>
      <w:r w:rsidR="00FE2CE2" w:rsidRPr="00F372E2">
        <w:rPr>
          <w:rFonts w:eastAsia="Times New Roman" w:cstheme="minorHAnsi"/>
          <w:lang w:eastAsia="en-AU"/>
        </w:rPr>
        <w:t xml:space="preserve"> cost taxpayers $3</w:t>
      </w:r>
      <w:r w:rsidR="00741FD2">
        <w:rPr>
          <w:rFonts w:eastAsia="Times New Roman" w:cstheme="minorHAnsi"/>
          <w:lang w:eastAsia="en-AU"/>
        </w:rPr>
        <w:t>00</w:t>
      </w:r>
      <w:r w:rsidR="00FE2CE2" w:rsidRPr="00F372E2">
        <w:rPr>
          <w:rFonts w:eastAsia="Times New Roman" w:cstheme="minorHAnsi"/>
          <w:lang w:eastAsia="en-AU"/>
        </w:rPr>
        <w:t xml:space="preserve"> million in 201</w:t>
      </w:r>
      <w:r w:rsidR="00741FD2">
        <w:rPr>
          <w:rFonts w:eastAsia="Times New Roman" w:cstheme="minorHAnsi"/>
          <w:lang w:eastAsia="en-AU"/>
        </w:rPr>
        <w:t>7</w:t>
      </w:r>
      <w:r w:rsidR="00FE2CE2" w:rsidRPr="00F372E2">
        <w:rPr>
          <w:rFonts w:eastAsia="Times New Roman" w:cstheme="minorHAnsi"/>
          <w:lang w:eastAsia="en-AU"/>
        </w:rPr>
        <w:t>-1</w:t>
      </w:r>
      <w:r w:rsidR="00741FD2">
        <w:rPr>
          <w:rFonts w:eastAsia="Times New Roman" w:cstheme="minorHAnsi"/>
          <w:lang w:eastAsia="en-AU"/>
        </w:rPr>
        <w:t>8</w:t>
      </w:r>
      <w:r w:rsidR="00FE2CE2" w:rsidRPr="00F372E2">
        <w:rPr>
          <w:rFonts w:eastAsia="Times New Roman" w:cstheme="minorHAnsi"/>
          <w:lang w:eastAsia="en-AU"/>
        </w:rPr>
        <w:t>.</w:t>
      </w:r>
      <w:r w:rsidR="00FE2CE2" w:rsidRPr="00F372E2">
        <w:rPr>
          <w:rFonts w:eastAsia="Times New Roman" w:cstheme="minorHAnsi"/>
          <w:vertAlign w:val="superscript"/>
          <w:lang w:eastAsia="en-AU"/>
        </w:rPr>
        <w:endnoteReference w:id="36"/>
      </w:r>
      <w:r>
        <w:rPr>
          <w:rFonts w:eastAsia="Times New Roman" w:cstheme="minorHAnsi"/>
          <w:lang w:eastAsia="en-AU"/>
        </w:rPr>
        <w:t xml:space="preserve"> Treasury has acknowledged that the WET R</w:t>
      </w:r>
      <w:r w:rsidR="00FE2CE2" w:rsidRPr="00F372E2">
        <w:rPr>
          <w:rFonts w:eastAsia="Times New Roman" w:cstheme="minorHAnsi"/>
          <w:lang w:eastAsia="en-AU"/>
        </w:rPr>
        <w:t>ebate may be contribut</w:t>
      </w:r>
      <w:r w:rsidR="00FE2CE2">
        <w:rPr>
          <w:rFonts w:eastAsia="Times New Roman" w:cstheme="minorHAnsi"/>
          <w:lang w:eastAsia="en-AU"/>
        </w:rPr>
        <w:t>ing</w:t>
      </w:r>
      <w:r w:rsidR="00FE2CE2" w:rsidRPr="00F372E2">
        <w:rPr>
          <w:rFonts w:eastAsia="Times New Roman" w:cstheme="minorHAnsi"/>
          <w:lang w:eastAsia="en-AU"/>
        </w:rPr>
        <w:t xml:space="preserve"> to market distortions by preventing market consolidation and encouraging fragmentation of producers.</w:t>
      </w:r>
      <w:r w:rsidR="00FE2CE2" w:rsidRPr="00F372E2">
        <w:rPr>
          <w:rFonts w:eastAsia="Times New Roman" w:cstheme="minorHAnsi"/>
          <w:vertAlign w:val="superscript"/>
          <w:lang w:eastAsia="en-AU"/>
        </w:rPr>
        <w:endnoteReference w:id="37"/>
      </w:r>
      <w:r w:rsidR="00FE2CE2" w:rsidRPr="00F372E2">
        <w:rPr>
          <w:rFonts w:eastAsia="Times New Roman" w:cstheme="minorHAnsi"/>
          <w:lang w:eastAsia="en-AU"/>
        </w:rPr>
        <w:t xml:space="preserve"> This is reflected in low market concentration in the wine industry. </w:t>
      </w:r>
      <w:r w:rsidR="00FE2CE2">
        <w:rPr>
          <w:rFonts w:eastAsia="Times New Roman" w:cstheme="minorHAnsi"/>
          <w:lang w:eastAsia="en-AU"/>
        </w:rPr>
        <w:t>F</w:t>
      </w:r>
      <w:r w:rsidR="00FE2CE2" w:rsidRPr="00F372E2">
        <w:rPr>
          <w:rFonts w:eastAsia="Times New Roman" w:cstheme="minorHAnsi"/>
          <w:lang w:eastAsia="en-AU"/>
        </w:rPr>
        <w:t>our businesses account for approximately 40 per cent of production,</w:t>
      </w:r>
      <w:r w:rsidR="00FE2CE2" w:rsidRPr="00F372E2">
        <w:rPr>
          <w:rFonts w:eastAsia="Times New Roman" w:cstheme="minorHAnsi"/>
          <w:vertAlign w:val="superscript"/>
          <w:lang w:eastAsia="en-AU"/>
        </w:rPr>
        <w:endnoteReference w:id="38"/>
      </w:r>
      <w:r w:rsidR="00FE2CE2" w:rsidRPr="00F372E2">
        <w:rPr>
          <w:rFonts w:eastAsia="Times New Roman" w:cstheme="minorHAnsi"/>
          <w:lang w:eastAsia="en-AU"/>
        </w:rPr>
        <w:t xml:space="preserve"> </w:t>
      </w:r>
      <w:r w:rsidR="00FE2CE2">
        <w:rPr>
          <w:rFonts w:eastAsia="Times New Roman" w:cstheme="minorHAnsi"/>
          <w:lang w:eastAsia="en-AU"/>
        </w:rPr>
        <w:t xml:space="preserve">but </w:t>
      </w:r>
      <w:r w:rsidR="00FE2CE2" w:rsidRPr="00F372E2">
        <w:rPr>
          <w:rFonts w:eastAsia="Times New Roman" w:cstheme="minorHAnsi"/>
          <w:lang w:eastAsia="en-AU"/>
        </w:rPr>
        <w:t xml:space="preserve">the majority of the market is comprised of smaller firms. </w:t>
      </w:r>
      <w:r w:rsidR="00FE2CE2">
        <w:rPr>
          <w:rFonts w:eastAsia="Times New Roman" w:cstheme="minorHAnsi"/>
          <w:lang w:eastAsia="en-AU"/>
        </w:rPr>
        <w:t>T</w:t>
      </w:r>
      <w:r w:rsidR="00FE2CE2" w:rsidRPr="00F372E2">
        <w:rPr>
          <w:rFonts w:eastAsia="Times New Roman" w:cstheme="minorHAnsi"/>
          <w:lang w:eastAsia="en-AU"/>
        </w:rPr>
        <w:t xml:space="preserve">he WET </w:t>
      </w:r>
      <w:r>
        <w:rPr>
          <w:rFonts w:eastAsia="Times New Roman" w:cstheme="minorHAnsi"/>
          <w:lang w:eastAsia="en-AU"/>
        </w:rPr>
        <w:t>R</w:t>
      </w:r>
      <w:r w:rsidR="00FE2CE2" w:rsidRPr="00F372E2">
        <w:rPr>
          <w:rFonts w:eastAsia="Times New Roman" w:cstheme="minorHAnsi"/>
          <w:lang w:eastAsia="en-AU"/>
        </w:rPr>
        <w:t>ebate</w:t>
      </w:r>
      <w:r w:rsidR="00FE2CE2" w:rsidRPr="00F372E2">
        <w:rPr>
          <w:rFonts w:eastAsia="Times New Roman" w:cstheme="minorHAnsi"/>
          <w:lang w:val="en-GB" w:eastAsia="en-AU"/>
        </w:rPr>
        <w:t xml:space="preserve"> sustains otherwise </w:t>
      </w:r>
      <w:r w:rsidR="00FE2CE2" w:rsidRPr="00F372E2">
        <w:rPr>
          <w:rFonts w:eastAsia="Times New Roman" w:cstheme="minorHAnsi"/>
          <w:lang w:eastAsia="en-AU"/>
        </w:rPr>
        <w:t>unviable producers that are not able to compete given favourable treatment for mass production activities. This has led to an explosion in the number of small businesses</w:t>
      </w:r>
      <w:r w:rsidR="00FE2CE2">
        <w:rPr>
          <w:rFonts w:eastAsia="Times New Roman" w:cstheme="minorHAnsi"/>
          <w:lang w:eastAsia="en-AU"/>
        </w:rPr>
        <w:t>,</w:t>
      </w:r>
      <w:r w:rsidR="00FE2CE2" w:rsidRPr="00F372E2">
        <w:rPr>
          <w:rFonts w:eastAsia="Times New Roman" w:cstheme="minorHAnsi"/>
          <w:lang w:eastAsia="en-AU"/>
        </w:rPr>
        <w:t xml:space="preserve"> while restricting growth</w:t>
      </w:r>
      <w:r w:rsidR="00741FD2">
        <w:rPr>
          <w:rFonts w:eastAsia="Times New Roman" w:cstheme="minorHAnsi"/>
          <w:lang w:eastAsia="en-AU"/>
        </w:rPr>
        <w:t xml:space="preserve"> of larger operations,</w:t>
      </w:r>
      <w:r w:rsidR="00FE2CE2" w:rsidRPr="00F372E2">
        <w:rPr>
          <w:rFonts w:eastAsia="Times New Roman" w:cstheme="minorHAnsi"/>
          <w:lang w:eastAsia="en-AU"/>
        </w:rPr>
        <w:t xml:space="preserve"> and, in combination with the WET itself, </w:t>
      </w:r>
      <w:r w:rsidR="00FE2CE2">
        <w:rPr>
          <w:rFonts w:eastAsia="Times New Roman" w:cstheme="minorHAnsi"/>
          <w:lang w:eastAsia="en-AU"/>
        </w:rPr>
        <w:t xml:space="preserve">has </w:t>
      </w:r>
      <w:r w:rsidR="00FE2CE2" w:rsidRPr="00F372E2">
        <w:rPr>
          <w:rFonts w:eastAsia="Times New Roman" w:cstheme="minorHAnsi"/>
          <w:lang w:eastAsia="en-AU"/>
        </w:rPr>
        <w:t xml:space="preserve">encouraged </w:t>
      </w:r>
      <w:r w:rsidR="00FE2CE2">
        <w:rPr>
          <w:rFonts w:eastAsia="Times New Roman" w:cstheme="minorHAnsi"/>
          <w:lang w:eastAsia="en-AU"/>
        </w:rPr>
        <w:t xml:space="preserve">the </w:t>
      </w:r>
      <w:r w:rsidR="00FE2CE2" w:rsidRPr="00F372E2">
        <w:rPr>
          <w:rFonts w:eastAsia="Times New Roman" w:cstheme="minorHAnsi"/>
          <w:lang w:eastAsia="en-AU"/>
        </w:rPr>
        <w:t xml:space="preserve">production of large volumes of harmful cheap wine. </w:t>
      </w:r>
    </w:p>
    <w:p w14:paraId="7B3FEC92" w14:textId="521F0925" w:rsidR="00714A9B" w:rsidRDefault="00FE2CE2" w:rsidP="00F8393B">
      <w:pPr>
        <w:jc w:val="both"/>
        <w:rPr>
          <w:rFonts w:eastAsia="Times New Roman" w:cstheme="minorHAnsi"/>
          <w:lang w:eastAsia="en-AU"/>
        </w:rPr>
      </w:pPr>
      <w:r>
        <w:rPr>
          <w:rFonts w:eastAsia="Times New Roman" w:cstheme="minorHAnsi"/>
          <w:lang w:eastAsia="en-AU"/>
        </w:rPr>
        <w:t>In the 2016-17 Budget, t</w:t>
      </w:r>
      <w:r w:rsidRPr="00F372E2">
        <w:rPr>
          <w:rFonts w:eastAsia="Times New Roman" w:cstheme="minorHAnsi"/>
          <w:lang w:eastAsia="en-AU"/>
        </w:rPr>
        <w:t xml:space="preserve">he Government </w:t>
      </w:r>
      <w:r>
        <w:rPr>
          <w:rFonts w:eastAsia="Times New Roman" w:cstheme="minorHAnsi"/>
          <w:lang w:eastAsia="en-AU"/>
        </w:rPr>
        <w:t>announced intentions to tighten eligibility for the</w:t>
      </w:r>
      <w:r w:rsidRPr="00F372E2">
        <w:rPr>
          <w:rFonts w:eastAsia="Times New Roman" w:cstheme="minorHAnsi"/>
          <w:lang w:eastAsia="en-AU"/>
        </w:rPr>
        <w:t xml:space="preserve"> WET Rebate </w:t>
      </w:r>
      <w:r>
        <w:rPr>
          <w:rFonts w:eastAsia="Times New Roman" w:cstheme="minorHAnsi"/>
          <w:lang w:eastAsia="en-AU"/>
        </w:rPr>
        <w:t>and reduce it from</w:t>
      </w:r>
      <w:r w:rsidRPr="00F372E2">
        <w:rPr>
          <w:rFonts w:eastAsia="Times New Roman" w:cstheme="minorHAnsi"/>
          <w:lang w:eastAsia="en-AU"/>
        </w:rPr>
        <w:t xml:space="preserve"> $500,000 per annum to $350,000, and eventually $290,000. Following consultation, </w:t>
      </w:r>
      <w:r w:rsidR="00920C21">
        <w:rPr>
          <w:rFonts w:eastAsia="Times New Roman" w:cstheme="minorHAnsi"/>
          <w:lang w:eastAsia="en-AU"/>
        </w:rPr>
        <w:t xml:space="preserve">the </w:t>
      </w:r>
      <w:r w:rsidR="0033247E">
        <w:rPr>
          <w:rFonts w:eastAsia="Times New Roman" w:cstheme="minorHAnsi"/>
          <w:lang w:eastAsia="en-AU"/>
        </w:rPr>
        <w:t>WET R</w:t>
      </w:r>
      <w:r>
        <w:rPr>
          <w:rFonts w:eastAsia="Times New Roman" w:cstheme="minorHAnsi"/>
          <w:lang w:eastAsia="en-AU"/>
        </w:rPr>
        <w:t>ebate was retained at $350,000 per annum given</w:t>
      </w:r>
      <w:r w:rsidRPr="00F372E2">
        <w:rPr>
          <w:rFonts w:eastAsia="Times New Roman" w:cstheme="minorHAnsi"/>
          <w:lang w:eastAsia="en-AU"/>
        </w:rPr>
        <w:t xml:space="preserve"> concern</w:t>
      </w:r>
      <w:r>
        <w:rPr>
          <w:rFonts w:eastAsia="Times New Roman" w:cstheme="minorHAnsi"/>
          <w:lang w:eastAsia="en-AU"/>
        </w:rPr>
        <w:t>s</w:t>
      </w:r>
      <w:r w:rsidRPr="00F372E2">
        <w:rPr>
          <w:rFonts w:eastAsia="Times New Roman" w:cstheme="minorHAnsi"/>
          <w:lang w:eastAsia="en-AU"/>
        </w:rPr>
        <w:t xml:space="preserve"> that </w:t>
      </w:r>
      <w:r>
        <w:rPr>
          <w:rFonts w:eastAsia="Times New Roman" w:cstheme="minorHAnsi"/>
          <w:lang w:eastAsia="en-AU"/>
        </w:rPr>
        <w:t>scaling it back</w:t>
      </w:r>
      <w:r w:rsidRPr="00F372E2">
        <w:rPr>
          <w:rFonts w:eastAsia="Times New Roman" w:cstheme="minorHAnsi"/>
          <w:lang w:eastAsia="en-AU"/>
        </w:rPr>
        <w:t xml:space="preserve"> would render small production outfits unsustainable</w:t>
      </w:r>
      <w:r w:rsidR="002C7C8C">
        <w:rPr>
          <w:rFonts w:eastAsia="Times New Roman" w:cstheme="minorHAnsi"/>
          <w:lang w:eastAsia="en-AU"/>
        </w:rPr>
        <w:t>.</w:t>
      </w:r>
      <w:r>
        <w:rPr>
          <w:rFonts w:eastAsia="Times New Roman" w:cstheme="minorHAnsi"/>
          <w:lang w:eastAsia="en-AU"/>
        </w:rPr>
        <w:t xml:space="preserve"> This highlights that so long</w:t>
      </w:r>
      <w:r w:rsidR="0033247E">
        <w:rPr>
          <w:rFonts w:eastAsia="Times New Roman" w:cstheme="minorHAnsi"/>
          <w:lang w:eastAsia="en-AU"/>
        </w:rPr>
        <w:t xml:space="preserve"> as the WET continues, the WET R</w:t>
      </w:r>
      <w:r>
        <w:rPr>
          <w:rFonts w:eastAsia="Times New Roman" w:cstheme="minorHAnsi"/>
          <w:lang w:eastAsia="en-AU"/>
        </w:rPr>
        <w:t xml:space="preserve">ebate will be needed for boutique and premium wine producers to survive. </w:t>
      </w:r>
      <w:r w:rsidR="00714A9B">
        <w:rPr>
          <w:rFonts w:eastAsia="Times New Roman" w:cstheme="minorHAnsi"/>
          <w:lang w:eastAsia="en-AU"/>
        </w:rPr>
        <w:t>A</w:t>
      </w:r>
      <w:r w:rsidR="00714A9B" w:rsidRPr="00F372E2">
        <w:rPr>
          <w:rFonts w:eastAsia="Times New Roman" w:cstheme="minorHAnsi"/>
          <w:lang w:eastAsia="en-AU"/>
        </w:rPr>
        <w:t xml:space="preserve"> new Wine Tourism and Cellar Door grant of $100,000 per annum</w:t>
      </w:r>
      <w:r w:rsidR="00714A9B">
        <w:rPr>
          <w:rFonts w:eastAsia="Times New Roman" w:cstheme="minorHAnsi"/>
          <w:lang w:eastAsia="en-AU"/>
        </w:rPr>
        <w:t xml:space="preserve"> has also been introduced meaning that</w:t>
      </w:r>
      <w:r w:rsidR="00714A9B" w:rsidRPr="00F372E2">
        <w:rPr>
          <w:rFonts w:eastAsia="Times New Roman" w:cstheme="minorHAnsi"/>
          <w:lang w:eastAsia="en-AU"/>
        </w:rPr>
        <w:t xml:space="preserve"> the level of subsidy will remain largely unchanged.</w:t>
      </w:r>
      <w:r w:rsidR="00714A9B">
        <w:rPr>
          <w:rFonts w:eastAsia="Times New Roman" w:cstheme="minorHAnsi"/>
          <w:lang w:eastAsia="en-AU"/>
        </w:rPr>
        <w:t xml:space="preserve"> </w:t>
      </w:r>
    </w:p>
    <w:p w14:paraId="4906FB66" w14:textId="7E13E8FD" w:rsidR="00FE2CE2" w:rsidRDefault="00FE2CE2" w:rsidP="00F8393B">
      <w:pPr>
        <w:jc w:val="both"/>
        <w:rPr>
          <w:rFonts w:eastAsia="Times New Roman" w:cstheme="minorHAnsi"/>
          <w:lang w:eastAsia="en-AU"/>
        </w:rPr>
      </w:pPr>
      <w:r w:rsidRPr="00F372E2">
        <w:rPr>
          <w:rFonts w:eastAsia="Times New Roman" w:cstheme="minorHAnsi"/>
          <w:lang w:eastAsia="en-AU"/>
        </w:rPr>
        <w:t xml:space="preserve">Boutique and premium </w:t>
      </w:r>
      <w:r>
        <w:rPr>
          <w:rFonts w:eastAsia="Times New Roman" w:cstheme="minorHAnsi"/>
          <w:lang w:eastAsia="en-AU"/>
        </w:rPr>
        <w:t xml:space="preserve">wine </w:t>
      </w:r>
      <w:r w:rsidRPr="00F372E2">
        <w:rPr>
          <w:rFonts w:eastAsia="Times New Roman" w:cstheme="minorHAnsi"/>
          <w:lang w:eastAsia="en-AU"/>
        </w:rPr>
        <w:t>producers</w:t>
      </w:r>
      <w:r w:rsidR="00714A9B">
        <w:rPr>
          <w:rFonts w:eastAsia="Times New Roman" w:cstheme="minorHAnsi"/>
          <w:lang w:eastAsia="en-AU"/>
        </w:rPr>
        <w:t>, who are se</w:t>
      </w:r>
      <w:r w:rsidR="0033247E">
        <w:rPr>
          <w:rFonts w:eastAsia="Times New Roman" w:cstheme="minorHAnsi"/>
          <w:lang w:eastAsia="en-AU"/>
        </w:rPr>
        <w:t>lling at a higher price point than</w:t>
      </w:r>
      <w:r w:rsidR="00714A9B">
        <w:rPr>
          <w:rFonts w:eastAsia="Times New Roman" w:cstheme="minorHAnsi"/>
          <w:lang w:eastAsia="en-AU"/>
        </w:rPr>
        <w:t xml:space="preserve"> mass produced wines, </w:t>
      </w:r>
      <w:r w:rsidRPr="00F372E2">
        <w:rPr>
          <w:rFonts w:eastAsia="Times New Roman" w:cstheme="minorHAnsi"/>
          <w:lang w:eastAsia="en-AU"/>
        </w:rPr>
        <w:t xml:space="preserve">can remain viable under a volumetric </w:t>
      </w:r>
      <w:r>
        <w:rPr>
          <w:rFonts w:eastAsia="Times New Roman" w:cstheme="minorHAnsi"/>
          <w:lang w:eastAsia="en-AU"/>
        </w:rPr>
        <w:t xml:space="preserve">taxation </w:t>
      </w:r>
      <w:r w:rsidRPr="00F372E2">
        <w:rPr>
          <w:rFonts w:eastAsia="Times New Roman" w:cstheme="minorHAnsi"/>
          <w:lang w:eastAsia="en-AU"/>
        </w:rPr>
        <w:t>approach</w:t>
      </w:r>
      <w:r>
        <w:rPr>
          <w:rFonts w:eastAsia="Times New Roman" w:cstheme="minorHAnsi"/>
          <w:lang w:eastAsia="en-AU"/>
        </w:rPr>
        <w:t xml:space="preserve"> that taxes wine based on alcohol content and susceptibility to harm</w:t>
      </w:r>
      <w:r w:rsidR="00714A9B">
        <w:rPr>
          <w:rFonts w:eastAsia="Times New Roman" w:cstheme="minorHAnsi"/>
          <w:lang w:eastAsia="en-AU"/>
        </w:rPr>
        <w:t>. A</w:t>
      </w:r>
      <w:r>
        <w:rPr>
          <w:rFonts w:eastAsia="Times New Roman" w:cstheme="minorHAnsi"/>
          <w:lang w:eastAsia="en-AU"/>
        </w:rPr>
        <w:t xml:space="preserve"> phased transition to this approach</w:t>
      </w:r>
      <w:r w:rsidR="00714A9B">
        <w:rPr>
          <w:rFonts w:eastAsia="Times New Roman" w:cstheme="minorHAnsi"/>
          <w:lang w:eastAsia="en-AU"/>
        </w:rPr>
        <w:t xml:space="preserve">, </w:t>
      </w:r>
      <w:r>
        <w:rPr>
          <w:rFonts w:eastAsia="Times New Roman" w:cstheme="minorHAnsi"/>
          <w:lang w:eastAsia="en-AU"/>
        </w:rPr>
        <w:t>with g</w:t>
      </w:r>
      <w:r w:rsidR="0033247E">
        <w:rPr>
          <w:rFonts w:eastAsia="Times New Roman" w:cstheme="minorHAnsi"/>
          <w:lang w:eastAsia="en-AU"/>
        </w:rPr>
        <w:t>radual scaling back of the WET R</w:t>
      </w:r>
      <w:r>
        <w:rPr>
          <w:rFonts w:eastAsia="Times New Roman" w:cstheme="minorHAnsi"/>
          <w:lang w:eastAsia="en-AU"/>
        </w:rPr>
        <w:t xml:space="preserve">ebate </w:t>
      </w:r>
      <w:r w:rsidR="00714A9B">
        <w:rPr>
          <w:rFonts w:eastAsia="Times New Roman" w:cstheme="minorHAnsi"/>
          <w:lang w:eastAsia="en-AU"/>
        </w:rPr>
        <w:t>will be needed to prevent resistance</w:t>
      </w:r>
      <w:r>
        <w:rPr>
          <w:rFonts w:eastAsia="Times New Roman" w:cstheme="minorHAnsi"/>
          <w:lang w:eastAsia="en-AU"/>
        </w:rPr>
        <w:t xml:space="preserve"> </w:t>
      </w:r>
      <w:r w:rsidR="00714A9B">
        <w:rPr>
          <w:rFonts w:eastAsia="Times New Roman" w:cstheme="minorHAnsi"/>
          <w:lang w:eastAsia="en-AU"/>
        </w:rPr>
        <w:t>and blocking</w:t>
      </w:r>
      <w:r>
        <w:rPr>
          <w:rFonts w:eastAsia="Times New Roman" w:cstheme="minorHAnsi"/>
          <w:lang w:eastAsia="en-AU"/>
        </w:rPr>
        <w:t xml:space="preserve"> by the wine industry. </w:t>
      </w:r>
      <w:r w:rsidR="00714A9B">
        <w:rPr>
          <w:rFonts w:eastAsia="Times New Roman" w:cstheme="minorHAnsi"/>
          <w:lang w:eastAsia="en-AU"/>
        </w:rPr>
        <w:t>The end result</w:t>
      </w:r>
      <w:r w:rsidR="0033247E">
        <w:rPr>
          <w:rFonts w:eastAsia="Times New Roman" w:cstheme="minorHAnsi"/>
          <w:lang w:eastAsia="en-AU"/>
        </w:rPr>
        <w:t>,</w:t>
      </w:r>
      <w:r w:rsidR="00714A9B">
        <w:rPr>
          <w:rFonts w:eastAsia="Times New Roman" w:cstheme="minorHAnsi"/>
          <w:lang w:eastAsia="en-AU"/>
        </w:rPr>
        <w:t xml:space="preserve"> however</w:t>
      </w:r>
      <w:r w:rsidR="0033247E">
        <w:rPr>
          <w:rFonts w:eastAsia="Times New Roman" w:cstheme="minorHAnsi"/>
          <w:lang w:eastAsia="en-AU"/>
        </w:rPr>
        <w:t>,</w:t>
      </w:r>
      <w:r w:rsidR="00714A9B">
        <w:rPr>
          <w:rFonts w:eastAsia="Times New Roman" w:cstheme="minorHAnsi"/>
          <w:lang w:eastAsia="en-AU"/>
        </w:rPr>
        <w:t xml:space="preserve"> will be </w:t>
      </w:r>
      <w:r w:rsidR="0033247E">
        <w:rPr>
          <w:rFonts w:eastAsia="Times New Roman" w:cstheme="minorHAnsi"/>
          <w:lang w:eastAsia="en-AU"/>
        </w:rPr>
        <w:t xml:space="preserve">a </w:t>
      </w:r>
      <w:r w:rsidR="00714A9B" w:rsidRPr="00F372E2">
        <w:rPr>
          <w:rFonts w:eastAsia="Times New Roman" w:cstheme="minorHAnsi"/>
          <w:lang w:eastAsia="en-AU"/>
        </w:rPr>
        <w:t>more level playing field</w:t>
      </w:r>
      <w:r w:rsidR="00714A9B">
        <w:rPr>
          <w:rFonts w:eastAsia="Times New Roman" w:cstheme="minorHAnsi"/>
          <w:lang w:eastAsia="en-AU"/>
        </w:rPr>
        <w:t xml:space="preserve"> for them and small wine producers.</w:t>
      </w:r>
    </w:p>
    <w:p w14:paraId="2BE75C4F" w14:textId="1EAC1358" w:rsidR="00FF55A6" w:rsidRDefault="00FF55A6" w:rsidP="00F8393B">
      <w:pPr>
        <w:jc w:val="both"/>
        <w:rPr>
          <w:rFonts w:eastAsia="Times New Roman" w:cstheme="minorHAnsi"/>
          <w:lang w:eastAsia="en-AU"/>
        </w:rPr>
      </w:pPr>
      <w:r>
        <w:rPr>
          <w:rFonts w:eastAsia="Times New Roman" w:cstheme="minorHAnsi"/>
          <w:lang w:eastAsia="en-AU"/>
        </w:rPr>
        <w:br w:type="page"/>
      </w:r>
    </w:p>
    <w:p w14:paraId="4A6EC713" w14:textId="0CE83EC4" w:rsidR="00FE2CE2" w:rsidRPr="00FF55A6" w:rsidRDefault="00FF55A6" w:rsidP="00FF55A6">
      <w:pPr>
        <w:pStyle w:val="Heading1"/>
        <w:rPr>
          <w:color w:val="00AFDB"/>
        </w:rPr>
      </w:pPr>
      <w:bookmarkStart w:id="17" w:name="_Toc532809051"/>
      <w:r w:rsidRPr="00FF55A6">
        <w:rPr>
          <w:color w:val="00AFDB"/>
        </w:rPr>
        <w:lastRenderedPageBreak/>
        <w:t>Erosion of the tax base</w:t>
      </w:r>
      <w:bookmarkEnd w:id="17"/>
    </w:p>
    <w:p w14:paraId="182AB04C" w14:textId="2626EA40" w:rsidR="001E6CF5" w:rsidRDefault="0033247E" w:rsidP="00F8393B">
      <w:pPr>
        <w:jc w:val="both"/>
        <w:rPr>
          <w:color w:val="000000"/>
        </w:rPr>
      </w:pPr>
      <w:r>
        <w:rPr>
          <w:lang w:eastAsia="en-AU"/>
        </w:rPr>
        <w:t>G</w:t>
      </w:r>
      <w:r w:rsidR="001D1422">
        <w:rPr>
          <w:lang w:eastAsia="en-AU"/>
        </w:rPr>
        <w:t xml:space="preserve">overnment indirect tax collections have been </w:t>
      </w:r>
      <w:r>
        <w:rPr>
          <w:lang w:eastAsia="en-AU"/>
        </w:rPr>
        <w:t xml:space="preserve">in </w:t>
      </w:r>
      <w:r w:rsidR="001D1422">
        <w:rPr>
          <w:lang w:eastAsia="en-AU"/>
        </w:rPr>
        <w:t>steady declin</w:t>
      </w:r>
      <w:r>
        <w:rPr>
          <w:lang w:eastAsia="en-AU"/>
        </w:rPr>
        <w:t xml:space="preserve">e </w:t>
      </w:r>
      <w:r w:rsidR="001D1422">
        <w:rPr>
          <w:lang w:eastAsia="en-AU"/>
        </w:rPr>
        <w:t xml:space="preserve">over recent years. In the period </w:t>
      </w:r>
      <w:r w:rsidR="00285D35">
        <w:rPr>
          <w:lang w:eastAsia="en-AU"/>
        </w:rPr>
        <w:br/>
      </w:r>
      <w:r w:rsidR="001D1422">
        <w:rPr>
          <w:lang w:eastAsia="en-AU"/>
        </w:rPr>
        <w:t>2000-01 to 2016-17 indirect taxes slid from 7.3 per cent of GDP to just six per cent.</w:t>
      </w:r>
    </w:p>
    <w:p w14:paraId="216FABE3" w14:textId="1E61A451" w:rsidR="003C352B" w:rsidRDefault="001D1422" w:rsidP="00F8393B">
      <w:pPr>
        <w:jc w:val="both"/>
        <w:rPr>
          <w:color w:val="000000"/>
        </w:rPr>
      </w:pPr>
      <w:r>
        <w:rPr>
          <w:color w:val="000000"/>
        </w:rPr>
        <w:t>In the case of alcohol</w:t>
      </w:r>
      <w:r w:rsidR="00976269">
        <w:rPr>
          <w:color w:val="000000"/>
        </w:rPr>
        <w:t>,</w:t>
      </w:r>
      <w:r>
        <w:rPr>
          <w:color w:val="000000"/>
        </w:rPr>
        <w:t xml:space="preserve"> a 2018</w:t>
      </w:r>
      <w:r w:rsidR="00285D35">
        <w:rPr>
          <w:color w:val="000000"/>
        </w:rPr>
        <w:t>-</w:t>
      </w:r>
      <w:r w:rsidR="00976269">
        <w:rPr>
          <w:color w:val="000000"/>
        </w:rPr>
        <w:t>19</w:t>
      </w:r>
      <w:r>
        <w:rPr>
          <w:color w:val="000000"/>
        </w:rPr>
        <w:t xml:space="preserve"> pre-budget submission by Glenys Byrne showed </w:t>
      </w:r>
      <w:r w:rsidR="001E6CF5">
        <w:rPr>
          <w:color w:val="000000"/>
        </w:rPr>
        <w:t>tax</w:t>
      </w:r>
      <w:r w:rsidR="003C352B" w:rsidRPr="002617E4">
        <w:rPr>
          <w:color w:val="000000"/>
        </w:rPr>
        <w:t xml:space="preserve"> revenue from all specific taxes on alcoholic beverages as a share of both total Government taxation revenue and GDP has been in steady decline over the past five years and earlier, and these trends are projected to continue through to 2021-22. </w:t>
      </w:r>
    </w:p>
    <w:p w14:paraId="723F9ED2" w14:textId="442F8EFD" w:rsidR="00526B69" w:rsidRDefault="00526B69" w:rsidP="00F8393B">
      <w:pPr>
        <w:jc w:val="both"/>
        <w:rPr>
          <w:rFonts w:cstheme="minorHAnsi"/>
        </w:rPr>
      </w:pPr>
      <w:r w:rsidRPr="00526B69">
        <w:rPr>
          <w:rFonts w:cstheme="minorHAnsi"/>
        </w:rPr>
        <w:t xml:space="preserve">Byrne showed </w:t>
      </w:r>
      <w:r w:rsidR="003C352B" w:rsidRPr="007437AD">
        <w:rPr>
          <w:rFonts w:cstheme="minorHAnsi"/>
        </w:rPr>
        <w:t>that Commonwealth revenue from specific taxes on alcoholic beverages declined by 0.7 per cent in 2016-17 when total taxation revenue grew by 5.2</w:t>
      </w:r>
      <w:r w:rsidR="001E6CF5" w:rsidRPr="007437AD">
        <w:rPr>
          <w:rFonts w:cstheme="minorHAnsi"/>
        </w:rPr>
        <w:t xml:space="preserve"> </w:t>
      </w:r>
      <w:r w:rsidR="003C352B" w:rsidRPr="007437AD">
        <w:rPr>
          <w:rFonts w:cstheme="minorHAnsi"/>
        </w:rPr>
        <w:t xml:space="preserve">per cent and nominal GDP increased by 5.7 per cent. </w:t>
      </w:r>
      <w:r w:rsidR="003C352B" w:rsidRPr="007437AD">
        <w:rPr>
          <w:color w:val="000000"/>
        </w:rPr>
        <w:t>Also</w:t>
      </w:r>
      <w:r w:rsidR="003C352B" w:rsidRPr="007437AD">
        <w:rPr>
          <w:rFonts w:cstheme="minorHAnsi"/>
        </w:rPr>
        <w:t>, between 2013-14 and 2016-17, reported Commonwealth revenue from alcohol taxes grew by less than half the rate of growth in total Commonwealth taxation revenue.</w:t>
      </w:r>
    </w:p>
    <w:p w14:paraId="03A04002" w14:textId="5A605364" w:rsidR="00526B69" w:rsidRDefault="003C352B" w:rsidP="00F8393B">
      <w:pPr>
        <w:jc w:val="both"/>
        <w:rPr>
          <w:rFonts w:cstheme="minorHAnsi"/>
        </w:rPr>
      </w:pPr>
      <w:r w:rsidRPr="007437AD">
        <w:rPr>
          <w:rFonts w:cstheme="minorHAnsi"/>
        </w:rPr>
        <w:t>Over the same period, alcohol tax revenue fell as a share of GDP from 0.37 per cent to 0.35 per</w:t>
      </w:r>
      <w:r w:rsidR="0033247E">
        <w:rPr>
          <w:rFonts w:cstheme="minorHAnsi"/>
        </w:rPr>
        <w:t xml:space="preserve"> </w:t>
      </w:r>
      <w:r w:rsidRPr="007437AD">
        <w:rPr>
          <w:rFonts w:cstheme="minorHAnsi"/>
        </w:rPr>
        <w:t>cent, or by almost five per cent. This decline reflected very slow growth in reported revenue from excise and excise-equivalent customs duty, averaging less than one per cent a year, despite the fact that excise rates are indexed to the Consumer Price Index (CPI). And, while WET revenue was stable at 0.05 per cent of GDP between 2</w:t>
      </w:r>
      <w:r w:rsidR="0033247E">
        <w:rPr>
          <w:rFonts w:cstheme="minorHAnsi"/>
        </w:rPr>
        <w:t>013-14 and 2016-17, this is more than</w:t>
      </w:r>
      <w:r w:rsidRPr="007437AD">
        <w:rPr>
          <w:rFonts w:cstheme="minorHAnsi"/>
        </w:rPr>
        <w:t xml:space="preserve"> 40 per cent lower than the share of GDP in 2003-04.</w:t>
      </w:r>
    </w:p>
    <w:p w14:paraId="552A0E73" w14:textId="37F5F901" w:rsidR="003C352B" w:rsidRPr="007437AD" w:rsidRDefault="00526B69" w:rsidP="00F8393B">
      <w:pPr>
        <w:jc w:val="both"/>
        <w:rPr>
          <w:rFonts w:cstheme="minorHAnsi"/>
        </w:rPr>
      </w:pPr>
      <w:r>
        <w:rPr>
          <w:rFonts w:cstheme="minorHAnsi"/>
        </w:rPr>
        <w:t>According to Byrne, if alcohol taxes had maintained their proportionate value an additional $1.4 billion would be collected. She forecasts that this situation will progressively worsen unless corrective action is taken by governments.</w:t>
      </w:r>
    </w:p>
    <w:p w14:paraId="43EF653C" w14:textId="17E84565" w:rsidR="00137E06" w:rsidRPr="0033247E" w:rsidRDefault="00566CC6" w:rsidP="00F8393B">
      <w:pPr>
        <w:jc w:val="both"/>
        <w:rPr>
          <w:color w:val="000000"/>
        </w:rPr>
      </w:pPr>
      <w:r>
        <w:rPr>
          <w:color w:val="000000"/>
        </w:rPr>
        <w:t>Byrne points out t</w:t>
      </w:r>
      <w:r w:rsidR="001E6CF5" w:rsidRPr="001622A7">
        <w:rPr>
          <w:color w:val="000000"/>
        </w:rPr>
        <w:t>he capacity of alcohol excise to raise revenue efficiently and effectively is constrained by</w:t>
      </w:r>
      <w:r w:rsidR="00526B69">
        <w:rPr>
          <w:color w:val="000000"/>
        </w:rPr>
        <w:t xml:space="preserve"> the </w:t>
      </w:r>
      <w:r w:rsidR="001E6CF5" w:rsidRPr="006A7680">
        <w:rPr>
          <w:color w:val="000000"/>
        </w:rPr>
        <w:t>inconsistent taxation arrangements for different alcoholic beverages</w:t>
      </w:r>
      <w:r w:rsidR="00FE41BE">
        <w:rPr>
          <w:color w:val="000000"/>
        </w:rPr>
        <w:t xml:space="preserve">. </w:t>
      </w:r>
      <w:r w:rsidR="00137E06">
        <w:rPr>
          <w:color w:val="000000"/>
        </w:rPr>
        <w:t>This view is shared by the Parliamentary Budget Office (PBO) which noted the decline of alcohol excise was due to two factors</w:t>
      </w:r>
      <w:r w:rsidR="00C027B5">
        <w:rPr>
          <w:color w:val="000000"/>
        </w:rPr>
        <w:t xml:space="preserve">: </w:t>
      </w:r>
      <w:r w:rsidR="00137E06">
        <w:rPr>
          <w:color w:val="000000"/>
        </w:rPr>
        <w:t xml:space="preserve">overall decline in consumption and the </w:t>
      </w:r>
      <w:r w:rsidR="00137E06">
        <w:t xml:space="preserve">switch in alcohol consumption from beer to wine.  </w:t>
      </w:r>
    </w:p>
    <w:p w14:paraId="330A5F88" w14:textId="4D6CE2F4" w:rsidR="00137E06" w:rsidRDefault="00137E06" w:rsidP="00F8393B">
      <w:pPr>
        <w:ind w:left="720"/>
        <w:jc w:val="both"/>
        <w:rPr>
          <w:rFonts w:cstheme="minorHAnsi"/>
        </w:rPr>
      </w:pPr>
      <w:r w:rsidRPr="00B87503">
        <w:t xml:space="preserve">If alcohol was taxed equally on a volumetric basis, a shift in consumer preferences from one alcoholic beverage to another, all other things being equal, wouldn’t </w:t>
      </w:r>
      <w:r>
        <w:t>affect</w:t>
      </w:r>
      <w:r w:rsidRPr="00B87503">
        <w:t xml:space="preserve"> total alcohol tax receipts. However, as most beer categories are subject to a higher effective rate of taxation than most of the wine consumed in Australia, a reduction in the alcohol excise tax base and corresponding increase in the wine equalisation tax base will result in alcohol tax receipts continuing to fall as a share of the economy</w:t>
      </w:r>
      <w:r>
        <w:t>.</w:t>
      </w:r>
      <w:r w:rsidR="00493BAA">
        <w:rPr>
          <w:rStyle w:val="EndnoteReference"/>
        </w:rPr>
        <w:endnoteReference w:id="39"/>
      </w:r>
    </w:p>
    <w:p w14:paraId="0DB098B9" w14:textId="4CB963AF" w:rsidR="00FE41BE" w:rsidRDefault="00137E06" w:rsidP="00F8393B">
      <w:pPr>
        <w:pStyle w:val="BodyText"/>
        <w:jc w:val="both"/>
      </w:pPr>
      <w:r>
        <w:t>The PBO notes that while wine consumption per person has increased, WET receipts have not, and that “this is in part because WET is levied on the value of the wine, and wine prices have decreased since 2001</w:t>
      </w:r>
      <w:r w:rsidRPr="00C91F28">
        <w:t>–</w:t>
      </w:r>
      <w:r>
        <w:t>02"</w:t>
      </w:r>
      <w:r w:rsidR="00C027B5">
        <w:t>.</w:t>
      </w:r>
      <w:r>
        <w:t xml:space="preserve"> The PBO concludes that: </w:t>
      </w:r>
    </w:p>
    <w:p w14:paraId="2CB0D025" w14:textId="64F99326" w:rsidR="00137E06" w:rsidRDefault="00137E06" w:rsidP="00F8393B">
      <w:pPr>
        <w:pStyle w:val="BodyText"/>
        <w:ind w:left="720"/>
        <w:jc w:val="both"/>
      </w:pPr>
      <w:r w:rsidRPr="00AC1326">
        <w:t xml:space="preserve">If alcohol consumption </w:t>
      </w:r>
      <w:r>
        <w:t>patterns</w:t>
      </w:r>
      <w:r w:rsidRPr="004D6ADC">
        <w:t xml:space="preserve"> continue to change in line with current trends, this will </w:t>
      </w:r>
      <w:r w:rsidRPr="00C921A1">
        <w:t>lead</w:t>
      </w:r>
      <w:r w:rsidR="00FE41BE">
        <w:t xml:space="preserve"> </w:t>
      </w:r>
      <w:r w:rsidRPr="00C921A1">
        <w:t>to a deterioration of the alcohol excise tax base and therefore weaker</w:t>
      </w:r>
      <w:r w:rsidRPr="00B87503">
        <w:t xml:space="preserve"> alcohol excise receipts.</w:t>
      </w:r>
    </w:p>
    <w:p w14:paraId="0C51460A" w14:textId="4D8F4E99" w:rsidR="001D1422" w:rsidRPr="007437AD" w:rsidRDefault="00FE41BE" w:rsidP="00F8393B">
      <w:pPr>
        <w:jc w:val="both"/>
        <w:rPr>
          <w:bCs/>
          <w:color w:val="000000"/>
          <w:lang w:eastAsia="en-AU"/>
        </w:rPr>
      </w:pPr>
      <w:r>
        <w:rPr>
          <w:rFonts w:cstheme="minorHAnsi"/>
        </w:rPr>
        <w:t>Without addressing the market-distorting taxation arrangements that currently exist, the Government risks further</w:t>
      </w:r>
      <w:r w:rsidR="001D1422" w:rsidRPr="007437AD">
        <w:rPr>
          <w:rFonts w:cstheme="minorHAnsi"/>
          <w:color w:val="000000"/>
          <w:lang w:eastAsia="en-AU"/>
        </w:rPr>
        <w:t xml:space="preserve"> erosion of the tax base</w:t>
      </w:r>
      <w:r>
        <w:rPr>
          <w:rFonts w:cstheme="minorHAnsi"/>
          <w:color w:val="000000"/>
          <w:lang w:eastAsia="en-AU"/>
        </w:rPr>
        <w:t>, a risk the Government has a duty to</w:t>
      </w:r>
      <w:r w:rsidR="00285D35">
        <w:rPr>
          <w:rFonts w:cstheme="minorHAnsi"/>
          <w:color w:val="000000"/>
          <w:lang w:eastAsia="en-AU"/>
        </w:rPr>
        <w:t xml:space="preserve"> be</w:t>
      </w:r>
      <w:r>
        <w:rPr>
          <w:rFonts w:cstheme="minorHAnsi"/>
          <w:color w:val="000000"/>
          <w:lang w:eastAsia="en-AU"/>
        </w:rPr>
        <w:t xml:space="preserve"> managing prudently under the </w:t>
      </w:r>
      <w:r w:rsidRPr="00582E81">
        <w:rPr>
          <w:rFonts w:cstheme="minorHAnsi"/>
          <w:i/>
        </w:rPr>
        <w:t>Charter of Budget Honesty Act 1998 (Cth)</w:t>
      </w:r>
      <w:r>
        <w:rPr>
          <w:rFonts w:cstheme="minorHAnsi"/>
          <w:i/>
        </w:rPr>
        <w:t>.</w:t>
      </w:r>
    </w:p>
    <w:p w14:paraId="5571631B" w14:textId="77777777" w:rsidR="003C352B" w:rsidRPr="007437AD" w:rsidRDefault="003C352B" w:rsidP="00C64B23">
      <w:pPr>
        <w:rPr>
          <w:bCs/>
          <w:color w:val="000000"/>
          <w:lang w:eastAsia="en-AU"/>
        </w:rPr>
      </w:pPr>
    </w:p>
    <w:p w14:paraId="0900697B" w14:textId="77777777" w:rsidR="00FE2CE2" w:rsidRPr="00F77D47" w:rsidRDefault="00FE2CE2" w:rsidP="00FE2CE2">
      <w:pPr>
        <w:pStyle w:val="Heading1"/>
        <w:rPr>
          <w:color w:val="00AFDB"/>
        </w:rPr>
      </w:pPr>
      <w:bookmarkStart w:id="18" w:name="_Toc529888065"/>
      <w:bookmarkStart w:id="19" w:name="_Toc532385402"/>
      <w:bookmarkStart w:id="20" w:name="_Toc532809052"/>
      <w:r>
        <w:rPr>
          <w:color w:val="00AFDB"/>
        </w:rPr>
        <w:lastRenderedPageBreak/>
        <w:t>W</w:t>
      </w:r>
      <w:r w:rsidRPr="00F77D47">
        <w:rPr>
          <w:color w:val="00AFDB"/>
        </w:rPr>
        <w:t>idespread and increasing support for alcohol tax reform</w:t>
      </w:r>
      <w:bookmarkEnd w:id="18"/>
      <w:bookmarkEnd w:id="19"/>
      <w:bookmarkEnd w:id="20"/>
    </w:p>
    <w:p w14:paraId="6FDB4941" w14:textId="77777777" w:rsidR="00FE2CE2" w:rsidRPr="00B42E4A" w:rsidRDefault="00FE2CE2" w:rsidP="00FE2CE2">
      <w:pPr>
        <w:pStyle w:val="Heading2"/>
        <w:rPr>
          <w:b/>
          <w:lang w:eastAsia="en-AU"/>
        </w:rPr>
      </w:pPr>
      <w:bookmarkStart w:id="21" w:name="_Toc529888066"/>
      <w:bookmarkStart w:id="22" w:name="_Toc532385403"/>
      <w:bookmarkStart w:id="23" w:name="_Toc532809053"/>
      <w:r w:rsidRPr="00B42E4A">
        <w:rPr>
          <w:b/>
          <w:lang w:eastAsia="en-AU"/>
        </w:rPr>
        <w:t>Alcohol industry support</w:t>
      </w:r>
      <w:bookmarkEnd w:id="21"/>
      <w:bookmarkEnd w:id="22"/>
      <w:bookmarkEnd w:id="23"/>
    </w:p>
    <w:p w14:paraId="4A963DF2" w14:textId="1A8FB916" w:rsidR="00FE2CE2" w:rsidRPr="00F372E2" w:rsidRDefault="00FE2CE2" w:rsidP="00F8393B">
      <w:pPr>
        <w:jc w:val="both"/>
        <w:rPr>
          <w:rFonts w:eastAsia="Times New Roman" w:cstheme="minorHAnsi"/>
          <w:iCs/>
          <w:lang w:eastAsia="en-AU"/>
        </w:rPr>
      </w:pPr>
      <w:r>
        <w:rPr>
          <w:rFonts w:eastAsia="Times New Roman" w:cstheme="minorHAnsi"/>
          <w:lang w:eastAsia="en-AU"/>
        </w:rPr>
        <w:t>There</w:t>
      </w:r>
      <w:r w:rsidRPr="00F372E2">
        <w:rPr>
          <w:rFonts w:eastAsia="Times New Roman" w:cstheme="minorHAnsi"/>
          <w:lang w:eastAsia="en-AU"/>
        </w:rPr>
        <w:t xml:space="preserve"> is strong evidence of support </w:t>
      </w:r>
      <w:r>
        <w:rPr>
          <w:rFonts w:eastAsia="Times New Roman" w:cstheme="minorHAnsi"/>
          <w:lang w:eastAsia="en-AU"/>
        </w:rPr>
        <w:t>for alcohol taxation reform within the alcohol industry</w:t>
      </w:r>
      <w:r w:rsidRPr="00F372E2">
        <w:rPr>
          <w:rFonts w:eastAsia="Times New Roman" w:cstheme="minorHAnsi"/>
          <w:lang w:eastAsia="en-AU"/>
        </w:rPr>
        <w:t>.</w:t>
      </w:r>
      <w:r>
        <w:rPr>
          <w:rFonts w:eastAsia="Times New Roman" w:cstheme="minorHAnsi"/>
          <w:lang w:eastAsia="en-AU"/>
        </w:rPr>
        <w:t xml:space="preserve"> </w:t>
      </w:r>
      <w:r>
        <w:rPr>
          <w:lang w:eastAsia="en-AU"/>
        </w:rPr>
        <w:t>The Distilled Spirits Industry Council of Australia</w:t>
      </w:r>
      <w:r>
        <w:rPr>
          <w:vertAlign w:val="superscript"/>
          <w:lang w:eastAsia="en-AU"/>
        </w:rPr>
        <w:endnoteReference w:id="40"/>
      </w:r>
      <w:r>
        <w:rPr>
          <w:lang w:eastAsia="en-AU"/>
        </w:rPr>
        <w:t xml:space="preserve"> and Brewers Association both support the introduction of a volumetric tax on wine.</w:t>
      </w:r>
      <w:r>
        <w:rPr>
          <w:vertAlign w:val="superscript"/>
          <w:lang w:eastAsia="en-AU"/>
        </w:rPr>
        <w:endnoteReference w:id="41"/>
      </w:r>
      <w:r>
        <w:rPr>
          <w:lang w:eastAsia="en-AU"/>
        </w:rPr>
        <w:t xml:space="preserve"> </w:t>
      </w:r>
      <w:r w:rsidRPr="00F372E2">
        <w:rPr>
          <w:rFonts w:eastAsia="Times New Roman" w:cstheme="minorHAnsi"/>
          <w:lang w:eastAsia="en-AU"/>
        </w:rPr>
        <w:t>Two of the largest wine producers</w:t>
      </w:r>
      <w:r>
        <w:rPr>
          <w:rFonts w:eastAsia="Times New Roman" w:cstheme="minorHAnsi"/>
          <w:lang w:eastAsia="en-AU"/>
        </w:rPr>
        <w:t>,</w:t>
      </w:r>
      <w:r w:rsidRPr="00F372E2">
        <w:rPr>
          <w:rFonts w:eastAsia="Times New Roman" w:cstheme="minorHAnsi"/>
          <w:lang w:eastAsia="en-AU"/>
        </w:rPr>
        <w:t xml:space="preserve"> Treasury Wine Estates and Pernod Ricard Winemakers</w:t>
      </w:r>
      <w:r>
        <w:rPr>
          <w:rFonts w:eastAsia="Times New Roman" w:cstheme="minorHAnsi"/>
          <w:lang w:eastAsia="en-AU"/>
        </w:rPr>
        <w:t xml:space="preserve"> (formerly Premium Wine Brands),</w:t>
      </w:r>
      <w:r w:rsidRPr="00F372E2">
        <w:rPr>
          <w:rFonts w:eastAsia="Times New Roman" w:cstheme="minorHAnsi"/>
          <w:lang w:eastAsia="en-AU"/>
        </w:rPr>
        <w:t xml:space="preserve"> </w:t>
      </w:r>
      <w:r>
        <w:rPr>
          <w:rFonts w:eastAsia="Times New Roman" w:cstheme="minorHAnsi"/>
          <w:lang w:eastAsia="en-AU"/>
        </w:rPr>
        <w:t xml:space="preserve">who </w:t>
      </w:r>
      <w:r w:rsidRPr="00F372E2">
        <w:rPr>
          <w:rFonts w:eastAsia="Times New Roman" w:cstheme="minorHAnsi"/>
          <w:lang w:eastAsia="en-AU"/>
        </w:rPr>
        <w:t>collectively represent 20.1 per cent of Australian wine production</w:t>
      </w:r>
      <w:r>
        <w:rPr>
          <w:rFonts w:eastAsia="Times New Roman" w:cstheme="minorHAnsi"/>
          <w:lang w:eastAsia="en-AU"/>
        </w:rPr>
        <w:t xml:space="preserve"> support reform of the WET</w:t>
      </w:r>
      <w:r w:rsidRPr="00F372E2">
        <w:rPr>
          <w:rFonts w:eastAsia="Times New Roman" w:cstheme="minorHAnsi"/>
          <w:lang w:eastAsia="en-AU"/>
        </w:rPr>
        <w:t>.</w:t>
      </w:r>
      <w:r w:rsidRPr="00F372E2">
        <w:rPr>
          <w:rFonts w:eastAsia="Times New Roman" w:cstheme="minorHAnsi"/>
          <w:vertAlign w:val="superscript"/>
          <w:lang w:eastAsia="en-AU"/>
        </w:rPr>
        <w:endnoteReference w:id="42"/>
      </w:r>
      <w:r w:rsidRPr="00F372E2">
        <w:rPr>
          <w:rFonts w:eastAsia="Times New Roman" w:cstheme="minorHAnsi"/>
          <w:lang w:eastAsia="en-AU"/>
        </w:rPr>
        <w:t xml:space="preserve"> Treasury Wine Estates has stated that, “</w:t>
      </w:r>
      <w:r w:rsidRPr="00F372E2">
        <w:rPr>
          <w:rFonts w:eastAsia="Times New Roman" w:cstheme="minorHAnsi"/>
          <w:iCs/>
          <w:lang w:eastAsia="en-AU"/>
        </w:rPr>
        <w:t xml:space="preserve">The phenomenon of very cheap wines seen in Australia in recent years is a further unintended consequence of the </w:t>
      </w:r>
      <w:r w:rsidR="00C027B5">
        <w:rPr>
          <w:rFonts w:eastAsia="Times New Roman" w:cstheme="minorHAnsi"/>
          <w:iCs/>
          <w:lang w:eastAsia="en-AU"/>
        </w:rPr>
        <w:t>WET R</w:t>
      </w:r>
      <w:r w:rsidRPr="00F372E2">
        <w:rPr>
          <w:rFonts w:eastAsia="Times New Roman" w:cstheme="minorHAnsi"/>
          <w:iCs/>
          <w:lang w:eastAsia="en-AU"/>
        </w:rPr>
        <w:t>ebate, and adds weight to calls to remove or fundamentally reform the scheme”.</w:t>
      </w:r>
      <w:r w:rsidRPr="00F372E2">
        <w:rPr>
          <w:rFonts w:eastAsia="Times New Roman" w:cstheme="minorHAnsi"/>
          <w:iCs/>
          <w:vertAlign w:val="superscript"/>
          <w:lang w:eastAsia="en-AU"/>
        </w:rPr>
        <w:endnoteReference w:id="43"/>
      </w:r>
      <w:r w:rsidRPr="00F372E2">
        <w:rPr>
          <w:rFonts w:eastAsia="Times New Roman" w:cstheme="minorHAnsi"/>
          <w:iCs/>
          <w:lang w:eastAsia="en-AU"/>
        </w:rPr>
        <w:t xml:space="preserve"> </w:t>
      </w:r>
      <w:r w:rsidR="002E40C7">
        <w:rPr>
          <w:rFonts w:eastAsia="Times New Roman" w:cstheme="minorHAnsi"/>
          <w:iCs/>
          <w:lang w:eastAsia="en-AU"/>
        </w:rPr>
        <w:t>The f</w:t>
      </w:r>
      <w:r w:rsidRPr="00F372E2">
        <w:rPr>
          <w:rFonts w:eastAsia="Times New Roman" w:cstheme="minorHAnsi"/>
          <w:iCs/>
          <w:lang w:eastAsia="en-AU"/>
        </w:rPr>
        <w:t xml:space="preserve">ormer Chief Executive </w:t>
      </w:r>
      <w:r>
        <w:rPr>
          <w:rFonts w:eastAsia="Times New Roman" w:cstheme="minorHAnsi"/>
          <w:iCs/>
          <w:lang w:eastAsia="en-AU"/>
        </w:rPr>
        <w:t>of Treasury Wine Estates</w:t>
      </w:r>
      <w:r w:rsidR="002E40C7">
        <w:rPr>
          <w:rFonts w:eastAsia="Times New Roman" w:cstheme="minorHAnsi"/>
          <w:iCs/>
          <w:lang w:eastAsia="en-AU"/>
        </w:rPr>
        <w:t>,</w:t>
      </w:r>
      <w:r>
        <w:rPr>
          <w:rFonts w:eastAsia="Times New Roman" w:cstheme="minorHAnsi"/>
          <w:iCs/>
          <w:lang w:eastAsia="en-AU"/>
        </w:rPr>
        <w:t xml:space="preserve"> </w:t>
      </w:r>
      <w:r w:rsidRPr="00F372E2">
        <w:rPr>
          <w:rFonts w:eastAsia="Times New Roman" w:cstheme="minorHAnsi"/>
          <w:iCs/>
          <w:lang w:eastAsia="en-AU"/>
        </w:rPr>
        <w:t>David Dearie</w:t>
      </w:r>
      <w:r w:rsidR="002E40C7">
        <w:rPr>
          <w:rFonts w:eastAsia="Times New Roman" w:cstheme="minorHAnsi"/>
          <w:iCs/>
          <w:lang w:eastAsia="en-AU"/>
        </w:rPr>
        <w:t>,</w:t>
      </w:r>
      <w:r w:rsidRPr="00F372E2">
        <w:rPr>
          <w:rFonts w:eastAsia="Times New Roman" w:cstheme="minorHAnsi"/>
          <w:iCs/>
          <w:lang w:eastAsia="en-AU"/>
        </w:rPr>
        <w:t xml:space="preserve"> used stronger language in another forum, calling for th</w:t>
      </w:r>
      <w:r w:rsidR="002E40C7">
        <w:rPr>
          <w:rFonts w:eastAsia="Times New Roman" w:cstheme="minorHAnsi"/>
          <w:iCs/>
          <w:lang w:eastAsia="en-AU"/>
        </w:rPr>
        <w:t>e scrapping of the WET and WET R</w:t>
      </w:r>
      <w:r w:rsidRPr="00F372E2">
        <w:rPr>
          <w:rFonts w:eastAsia="Times New Roman" w:cstheme="minorHAnsi"/>
          <w:iCs/>
          <w:lang w:eastAsia="en-AU"/>
        </w:rPr>
        <w:t>ebate and saying that it is “</w:t>
      </w:r>
      <w:r w:rsidRPr="00F372E2">
        <w:rPr>
          <w:rFonts w:eastAsia="Times New Roman" w:cstheme="minorHAnsi"/>
          <w:lang w:eastAsia="en-AU"/>
        </w:rPr>
        <w:t>widely rorted, underpins the excess supply that has blighted Australian wine”.</w:t>
      </w:r>
      <w:r w:rsidRPr="00F372E2">
        <w:rPr>
          <w:rFonts w:eastAsia="Times New Roman" w:cstheme="minorHAnsi"/>
          <w:vertAlign w:val="superscript"/>
          <w:lang w:eastAsia="en-AU"/>
        </w:rPr>
        <w:endnoteReference w:id="44"/>
      </w:r>
      <w:r w:rsidRPr="00F372E2">
        <w:rPr>
          <w:rFonts w:eastAsia="Times New Roman" w:cstheme="minorHAnsi"/>
          <w:lang w:eastAsia="en-AU"/>
        </w:rPr>
        <w:t xml:space="preserve"> Pernod Ricard Winemakers have also criticised the WET</w:t>
      </w:r>
      <w:r>
        <w:rPr>
          <w:rFonts w:eastAsia="Times New Roman" w:cstheme="minorHAnsi"/>
          <w:lang w:eastAsia="en-AU"/>
        </w:rPr>
        <w:t xml:space="preserve"> and</w:t>
      </w:r>
      <w:r w:rsidRPr="00F372E2">
        <w:rPr>
          <w:rFonts w:eastAsia="Times New Roman" w:cstheme="minorHAnsi"/>
          <w:lang w:eastAsia="en-AU"/>
        </w:rPr>
        <w:t xml:space="preserve"> </w:t>
      </w:r>
      <w:r>
        <w:rPr>
          <w:rFonts w:eastAsia="Times New Roman" w:cstheme="minorHAnsi"/>
          <w:lang w:eastAsia="en-AU"/>
        </w:rPr>
        <w:t>a</w:t>
      </w:r>
      <w:r w:rsidRPr="00F372E2">
        <w:rPr>
          <w:rFonts w:eastAsia="Times New Roman" w:cstheme="minorHAnsi"/>
          <w:lang w:eastAsia="en-AU"/>
        </w:rPr>
        <w:t>dvocat</w:t>
      </w:r>
      <w:r>
        <w:rPr>
          <w:rFonts w:eastAsia="Times New Roman" w:cstheme="minorHAnsi"/>
          <w:lang w:eastAsia="en-AU"/>
        </w:rPr>
        <w:t xml:space="preserve">ed </w:t>
      </w:r>
      <w:r w:rsidRPr="00F372E2">
        <w:rPr>
          <w:rFonts w:eastAsia="Times New Roman" w:cstheme="minorHAnsi"/>
          <w:lang w:eastAsia="en-AU"/>
        </w:rPr>
        <w:t>for a volumetric system.</w:t>
      </w:r>
      <w:r w:rsidRPr="00F372E2">
        <w:rPr>
          <w:rFonts w:eastAsia="Times New Roman" w:cstheme="minorHAnsi"/>
          <w:vertAlign w:val="superscript"/>
          <w:lang w:eastAsia="en-AU"/>
        </w:rPr>
        <w:endnoteReference w:id="45"/>
      </w:r>
    </w:p>
    <w:p w14:paraId="00D34628" w14:textId="57290EAC" w:rsidR="00FE2CE2" w:rsidRPr="00F372E2" w:rsidRDefault="00FE2CE2" w:rsidP="00F8393B">
      <w:pPr>
        <w:jc w:val="both"/>
        <w:rPr>
          <w:rFonts w:eastAsia="Times New Roman" w:cstheme="minorHAnsi"/>
          <w:lang w:eastAsia="en-AU"/>
        </w:rPr>
      </w:pPr>
      <w:r>
        <w:rPr>
          <w:rFonts w:eastAsia="Times New Roman" w:cstheme="minorHAnsi"/>
          <w:lang w:eastAsia="en-AU"/>
        </w:rPr>
        <w:t>Anecdotally, s</w:t>
      </w:r>
      <w:r w:rsidR="002E40C7">
        <w:rPr>
          <w:rFonts w:eastAsia="Times New Roman" w:cstheme="minorHAnsi"/>
          <w:lang w:eastAsia="en-AU"/>
        </w:rPr>
        <w:t>everal other small and medium-</w:t>
      </w:r>
      <w:r w:rsidRPr="00F372E2">
        <w:rPr>
          <w:rFonts w:eastAsia="Times New Roman" w:cstheme="minorHAnsi"/>
          <w:lang w:eastAsia="en-AU"/>
        </w:rPr>
        <w:t xml:space="preserve">sized producers </w:t>
      </w:r>
      <w:r>
        <w:rPr>
          <w:rFonts w:eastAsia="Times New Roman" w:cstheme="minorHAnsi"/>
          <w:lang w:eastAsia="en-AU"/>
        </w:rPr>
        <w:t>have acknowledged</w:t>
      </w:r>
      <w:r w:rsidRPr="00F372E2">
        <w:rPr>
          <w:rFonts w:eastAsia="Times New Roman" w:cstheme="minorHAnsi"/>
          <w:lang w:eastAsia="en-AU"/>
        </w:rPr>
        <w:t xml:space="preserve"> that the industry would benefit from reforming the WET. Jeremy Oliver, an Australian wine writer and presenter has written, “Is there any sense in any aspect of the current taxation environment? If so, I can’t see it. Surely it’s time to fix this thing before the collateral damage it directly causes gets even worse”.</w:t>
      </w:r>
      <w:r w:rsidRPr="00F372E2">
        <w:rPr>
          <w:rFonts w:eastAsia="Times New Roman" w:cstheme="minorHAnsi"/>
          <w:vertAlign w:val="superscript"/>
          <w:lang w:eastAsia="en-AU"/>
        </w:rPr>
        <w:endnoteReference w:id="46"/>
      </w:r>
      <w:r w:rsidRPr="00F372E2">
        <w:rPr>
          <w:rFonts w:eastAsia="Times New Roman" w:cstheme="minorHAnsi"/>
          <w:lang w:eastAsia="en-AU"/>
        </w:rPr>
        <w:t xml:space="preserve"> Westend Estate Wines (now Calabria Family Wines) says that, “The Wine Equalisation Tax is having a negative impact throughout the domestic market, and virtual wineries with no long-term vision are abusing the system which was put in place to benefit the smaller wineries”.</w:t>
      </w:r>
      <w:r w:rsidRPr="00F372E2">
        <w:rPr>
          <w:rFonts w:eastAsia="Times New Roman" w:cstheme="minorHAnsi"/>
          <w:vertAlign w:val="superscript"/>
          <w:lang w:eastAsia="en-AU"/>
        </w:rPr>
        <w:endnoteReference w:id="47"/>
      </w:r>
      <w:r w:rsidRPr="00F372E2">
        <w:rPr>
          <w:rFonts w:eastAsia="Times New Roman" w:cstheme="minorHAnsi"/>
          <w:lang w:eastAsia="en-AU"/>
        </w:rPr>
        <w:t xml:space="preserve"> </w:t>
      </w:r>
    </w:p>
    <w:p w14:paraId="44372CD2" w14:textId="77777777" w:rsidR="00FE2CE2" w:rsidRPr="00B42E4A" w:rsidRDefault="00FE2CE2" w:rsidP="00FE2CE2">
      <w:pPr>
        <w:pStyle w:val="Heading2"/>
        <w:rPr>
          <w:b/>
          <w:lang w:eastAsia="en-AU"/>
        </w:rPr>
      </w:pPr>
      <w:bookmarkStart w:id="24" w:name="_Toc529888067"/>
      <w:bookmarkStart w:id="25" w:name="_Toc532385404"/>
      <w:bookmarkStart w:id="26" w:name="_Toc532809054"/>
      <w:r w:rsidRPr="00B42E4A">
        <w:rPr>
          <w:b/>
          <w:lang w:eastAsia="en-AU"/>
        </w:rPr>
        <w:t>Public support</w:t>
      </w:r>
      <w:bookmarkEnd w:id="24"/>
      <w:bookmarkEnd w:id="25"/>
      <w:bookmarkEnd w:id="26"/>
    </w:p>
    <w:p w14:paraId="13BF484A" w14:textId="31CE5FD8" w:rsidR="00FE2CE2" w:rsidRPr="00F372E2" w:rsidRDefault="00FE2CE2" w:rsidP="00F8393B">
      <w:pPr>
        <w:jc w:val="both"/>
        <w:rPr>
          <w:rFonts w:eastAsia="Times New Roman" w:cstheme="minorHAnsi"/>
          <w:lang w:eastAsia="en-AU"/>
        </w:rPr>
      </w:pPr>
      <w:r w:rsidRPr="00F372E2">
        <w:rPr>
          <w:rFonts w:eastAsia="Times New Roman" w:cstheme="minorHAnsi"/>
          <w:lang w:eastAsia="en-AU"/>
        </w:rPr>
        <w:t>In addition to support from the public health profession and industry, there is widespread and increasing support for alcohol tax reform among the general public. Independent polling conducted by Galaxy Research has revealed that the majority (54 per cent) of Australian adults support increasing alcohol tax</w:t>
      </w:r>
      <w:r>
        <w:rPr>
          <w:rFonts w:eastAsia="Times New Roman" w:cstheme="minorHAnsi"/>
          <w:lang w:eastAsia="en-AU"/>
        </w:rPr>
        <w:t xml:space="preserve"> while</w:t>
      </w:r>
      <w:r w:rsidRPr="00F372E2">
        <w:rPr>
          <w:rFonts w:eastAsia="Times New Roman" w:cstheme="minorHAnsi"/>
          <w:lang w:eastAsia="en-AU"/>
        </w:rPr>
        <w:t xml:space="preserve"> the proportion that do not support increasing the tax has reduced to 37 per cent (see Figure </w:t>
      </w:r>
      <w:r w:rsidR="00E50AB6">
        <w:rPr>
          <w:rFonts w:eastAsia="Times New Roman" w:cstheme="minorHAnsi"/>
          <w:lang w:eastAsia="en-AU"/>
        </w:rPr>
        <w:t>3</w:t>
      </w:r>
      <w:r w:rsidRPr="00F372E2">
        <w:rPr>
          <w:rFonts w:eastAsia="Times New Roman" w:cstheme="minorHAnsi"/>
          <w:lang w:eastAsia="en-AU"/>
        </w:rPr>
        <w:t>).</w:t>
      </w:r>
      <w:r w:rsidRPr="00F372E2">
        <w:rPr>
          <w:rFonts w:eastAsia="Times New Roman" w:cstheme="minorHAnsi"/>
          <w:vertAlign w:val="superscript"/>
          <w:lang w:eastAsia="en-AU"/>
        </w:rPr>
        <w:endnoteReference w:id="48"/>
      </w:r>
    </w:p>
    <w:p w14:paraId="2C44EF37" w14:textId="77777777" w:rsidR="00FE2CE2" w:rsidRDefault="00FE2CE2" w:rsidP="00FE2CE2">
      <w:pPr>
        <w:rPr>
          <w:rFonts w:eastAsia="Times New Roman" w:cstheme="minorHAnsi"/>
          <w:b/>
          <w:lang w:eastAsia="en-AU"/>
        </w:rPr>
      </w:pPr>
      <w:r>
        <w:rPr>
          <w:rFonts w:eastAsia="Times New Roman" w:cstheme="minorHAnsi"/>
          <w:b/>
          <w:lang w:eastAsia="en-AU"/>
        </w:rPr>
        <w:br w:type="page"/>
      </w:r>
    </w:p>
    <w:p w14:paraId="6B99CA86" w14:textId="0C8F140B" w:rsidR="00FE2CE2" w:rsidRPr="00F372E2" w:rsidRDefault="00FE2CE2" w:rsidP="00FE2CE2">
      <w:pPr>
        <w:rPr>
          <w:rFonts w:eastAsia="Times New Roman" w:cstheme="minorHAnsi"/>
          <w:b/>
          <w:lang w:eastAsia="en-AU"/>
        </w:rPr>
      </w:pPr>
      <w:r w:rsidRPr="00F372E2">
        <w:rPr>
          <w:rFonts w:eastAsia="Times New Roman" w:cstheme="minorHAnsi"/>
          <w:b/>
          <w:lang w:eastAsia="en-AU"/>
        </w:rPr>
        <w:lastRenderedPageBreak/>
        <w:t xml:space="preserve">Figure </w:t>
      </w:r>
      <w:r w:rsidR="00377D8D">
        <w:rPr>
          <w:rFonts w:eastAsia="Times New Roman" w:cstheme="minorHAnsi"/>
          <w:b/>
          <w:lang w:eastAsia="en-AU"/>
        </w:rPr>
        <w:t>3</w:t>
      </w:r>
      <w:r w:rsidRPr="00F372E2">
        <w:rPr>
          <w:rFonts w:eastAsia="Times New Roman" w:cstheme="minorHAnsi"/>
          <w:b/>
          <w:lang w:eastAsia="en-AU"/>
        </w:rPr>
        <w:t>. Support for increasing tax on alcohol to pay for health, education, and treatment of alcohol-related programs, 2011 to 2017</w:t>
      </w:r>
    </w:p>
    <w:p w14:paraId="05FB63B4" w14:textId="77777777" w:rsidR="00FE2CE2" w:rsidRPr="00F372E2" w:rsidRDefault="00FE2CE2" w:rsidP="00FE2CE2">
      <w:pPr>
        <w:rPr>
          <w:rFonts w:eastAsia="Times New Roman" w:cstheme="minorHAnsi"/>
          <w:lang w:eastAsia="en-AU"/>
        </w:rPr>
      </w:pPr>
      <w:r w:rsidRPr="00F372E2">
        <w:rPr>
          <w:rFonts w:eastAsia="Times New Roman" w:cstheme="minorHAnsi"/>
          <w:noProof/>
          <w:lang w:eastAsia="en-AU"/>
        </w:rPr>
        <w:drawing>
          <wp:inline distT="0" distB="0" distL="0" distR="0" wp14:anchorId="34DB5588" wp14:editId="5D6D131A">
            <wp:extent cx="5022215" cy="2867025"/>
            <wp:effectExtent l="0" t="0" r="698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2CAEF5" w14:textId="13C45772" w:rsidR="00FE2CE2" w:rsidRPr="00712DC1" w:rsidRDefault="00FE2CE2" w:rsidP="00FE2CE2">
      <w:pPr>
        <w:rPr>
          <w:rFonts w:eastAsia="Times New Roman" w:cstheme="minorHAnsi"/>
          <w:i/>
          <w:sz w:val="18"/>
          <w:szCs w:val="18"/>
          <w:lang w:eastAsia="en-AU"/>
        </w:rPr>
      </w:pPr>
      <w:r w:rsidRPr="00712DC1">
        <w:rPr>
          <w:rFonts w:eastAsia="Times New Roman" w:cstheme="minorHAnsi"/>
          <w:i/>
          <w:sz w:val="18"/>
          <w:szCs w:val="18"/>
          <w:lang w:eastAsia="en-AU"/>
        </w:rPr>
        <w:t>Source: Foundation for Alcohol Research and Education (FARE), Annual alcohol poll, 2017</w:t>
      </w:r>
      <w:r w:rsidR="002E40C7">
        <w:rPr>
          <w:rFonts w:eastAsia="Times New Roman" w:cstheme="minorHAnsi"/>
          <w:i/>
          <w:sz w:val="18"/>
          <w:szCs w:val="18"/>
          <w:lang w:eastAsia="en-AU"/>
        </w:rPr>
        <w:t>.</w:t>
      </w:r>
    </w:p>
    <w:p w14:paraId="0540BA2F" w14:textId="2CF6B847" w:rsidR="00FE2CE2" w:rsidRPr="00F372E2" w:rsidRDefault="00FE2CE2" w:rsidP="00F8393B">
      <w:pPr>
        <w:jc w:val="both"/>
        <w:rPr>
          <w:rFonts w:eastAsia="Times New Roman" w:cstheme="minorHAnsi"/>
          <w:lang w:eastAsia="en-AU"/>
        </w:rPr>
      </w:pPr>
      <w:r w:rsidRPr="00F372E2">
        <w:rPr>
          <w:rFonts w:eastAsia="Times New Roman" w:cstheme="minorHAnsi"/>
          <w:lang w:eastAsia="en-AU"/>
        </w:rPr>
        <w:t xml:space="preserve">Because the WET subsidises </w:t>
      </w:r>
      <w:r>
        <w:rPr>
          <w:rFonts w:eastAsia="Times New Roman" w:cstheme="minorHAnsi"/>
          <w:lang w:eastAsia="en-AU"/>
        </w:rPr>
        <w:t xml:space="preserve">the </w:t>
      </w:r>
      <w:r w:rsidRPr="00F372E2">
        <w:rPr>
          <w:rFonts w:eastAsia="Times New Roman" w:cstheme="minorHAnsi"/>
          <w:lang w:eastAsia="en-AU"/>
        </w:rPr>
        <w:t xml:space="preserve">production of cheap wine, opposition to its abolition will largely be confined to consumers of cask wine. </w:t>
      </w:r>
      <w:r>
        <w:rPr>
          <w:rFonts w:eastAsia="Times New Roman" w:cstheme="minorHAnsi"/>
          <w:lang w:eastAsia="en-AU"/>
        </w:rPr>
        <w:t>Research commissioned by FARE</w:t>
      </w:r>
      <w:r w:rsidR="002E40C7">
        <w:rPr>
          <w:rFonts w:eastAsia="Times New Roman" w:cstheme="minorHAnsi"/>
          <w:lang w:eastAsia="en-AU"/>
        </w:rPr>
        <w:t>,</w:t>
      </w:r>
      <w:r>
        <w:rPr>
          <w:rFonts w:eastAsia="Times New Roman" w:cstheme="minorHAnsi"/>
          <w:lang w:eastAsia="en-AU"/>
        </w:rPr>
        <w:t xml:space="preserve"> as</w:t>
      </w:r>
      <w:r w:rsidRPr="00F372E2">
        <w:rPr>
          <w:rFonts w:eastAsia="Times New Roman" w:cstheme="minorHAnsi"/>
          <w:lang w:eastAsia="en-AU"/>
        </w:rPr>
        <w:t xml:space="preserve"> demonstrated in Figure </w:t>
      </w:r>
      <w:r w:rsidR="00F259B0">
        <w:rPr>
          <w:rFonts w:eastAsia="Times New Roman" w:cstheme="minorHAnsi"/>
          <w:lang w:eastAsia="en-AU"/>
        </w:rPr>
        <w:t>4</w:t>
      </w:r>
      <w:r w:rsidRPr="00F372E2">
        <w:rPr>
          <w:rFonts w:eastAsia="Times New Roman" w:cstheme="minorHAnsi"/>
          <w:lang w:eastAsia="en-AU"/>
        </w:rPr>
        <w:t xml:space="preserve">, </w:t>
      </w:r>
      <w:r>
        <w:rPr>
          <w:rFonts w:eastAsia="Times New Roman" w:cstheme="minorHAnsi"/>
          <w:lang w:eastAsia="en-AU"/>
        </w:rPr>
        <w:t xml:space="preserve">suggests people who most often consume cask wine likely represent </w:t>
      </w:r>
      <w:r w:rsidRPr="00F372E2">
        <w:rPr>
          <w:rFonts w:eastAsia="Times New Roman" w:cstheme="minorHAnsi"/>
          <w:lang w:eastAsia="en-AU"/>
        </w:rPr>
        <w:t xml:space="preserve">only 4.6 per cent </w:t>
      </w:r>
      <w:r>
        <w:rPr>
          <w:rFonts w:eastAsia="Times New Roman" w:cstheme="minorHAnsi"/>
          <w:lang w:eastAsia="en-AU"/>
        </w:rPr>
        <w:t xml:space="preserve">of drinkers.  </w:t>
      </w:r>
      <w:r w:rsidRPr="00F372E2">
        <w:rPr>
          <w:rFonts w:eastAsia="Times New Roman" w:cstheme="minorHAnsi"/>
          <w:lang w:eastAsia="en-AU"/>
        </w:rPr>
        <w:t>In contrast, consumers of bottled wine, who stand to benefit under the proposed tax reforms, represent the largest group</w:t>
      </w:r>
      <w:r>
        <w:rPr>
          <w:rFonts w:eastAsia="Times New Roman" w:cstheme="minorHAnsi"/>
          <w:lang w:eastAsia="en-AU"/>
        </w:rPr>
        <w:t xml:space="preserve"> with</w:t>
      </w:r>
      <w:r w:rsidRPr="00F372E2">
        <w:rPr>
          <w:rFonts w:eastAsia="Times New Roman" w:cstheme="minorHAnsi"/>
          <w:lang w:eastAsia="en-AU"/>
        </w:rPr>
        <w:t xml:space="preserve"> close to </w:t>
      </w:r>
      <w:r>
        <w:rPr>
          <w:rFonts w:eastAsia="Times New Roman" w:cstheme="minorHAnsi"/>
          <w:lang w:eastAsia="en-AU"/>
        </w:rPr>
        <w:t>one</w:t>
      </w:r>
      <w:r w:rsidRPr="00F372E2">
        <w:rPr>
          <w:rFonts w:eastAsia="Times New Roman" w:cstheme="minorHAnsi"/>
          <w:lang w:eastAsia="en-AU"/>
        </w:rPr>
        <w:t xml:space="preserve"> third of drinkers (29.1 per cent) </w:t>
      </w:r>
      <w:r>
        <w:rPr>
          <w:rFonts w:eastAsia="Times New Roman" w:cstheme="minorHAnsi"/>
          <w:lang w:eastAsia="en-AU"/>
        </w:rPr>
        <w:t>reporting that</w:t>
      </w:r>
      <w:r w:rsidRPr="00F372E2">
        <w:rPr>
          <w:rFonts w:eastAsia="Times New Roman" w:cstheme="minorHAnsi"/>
          <w:lang w:eastAsia="en-AU"/>
        </w:rPr>
        <w:t xml:space="preserve"> they most often</w:t>
      </w:r>
      <w:r>
        <w:rPr>
          <w:rFonts w:eastAsia="Times New Roman" w:cstheme="minorHAnsi"/>
          <w:lang w:eastAsia="en-AU"/>
        </w:rPr>
        <w:t xml:space="preserve"> consume bottled wine</w:t>
      </w:r>
      <w:r w:rsidRPr="00F372E2">
        <w:rPr>
          <w:rFonts w:eastAsia="Times New Roman" w:cstheme="minorHAnsi"/>
          <w:lang w:eastAsia="en-AU"/>
        </w:rPr>
        <w:t>.</w:t>
      </w:r>
    </w:p>
    <w:p w14:paraId="1F335400" w14:textId="0924411A" w:rsidR="00FE2CE2" w:rsidRPr="00F372E2" w:rsidRDefault="00FE2CE2" w:rsidP="00FE2CE2">
      <w:pPr>
        <w:rPr>
          <w:rFonts w:eastAsia="Times New Roman" w:cstheme="minorHAnsi"/>
          <w:b/>
          <w:lang w:eastAsia="en-AU"/>
        </w:rPr>
      </w:pPr>
      <w:r w:rsidRPr="00F372E2">
        <w:rPr>
          <w:rFonts w:eastAsia="Times New Roman" w:cstheme="minorHAnsi"/>
          <w:b/>
          <w:lang w:eastAsia="en-AU"/>
        </w:rPr>
        <w:t xml:space="preserve">Figure </w:t>
      </w:r>
      <w:r w:rsidR="00882F1D">
        <w:rPr>
          <w:rFonts w:eastAsia="Times New Roman" w:cstheme="minorHAnsi"/>
          <w:b/>
          <w:lang w:eastAsia="en-AU"/>
        </w:rPr>
        <w:t>4</w:t>
      </w:r>
      <w:r w:rsidRPr="00F372E2">
        <w:rPr>
          <w:rFonts w:eastAsia="Times New Roman" w:cstheme="minorHAnsi"/>
          <w:b/>
          <w:lang w:eastAsia="en-AU"/>
        </w:rPr>
        <w:t>. Alcoholic beverage most often consumed, 2017</w:t>
      </w:r>
    </w:p>
    <w:p w14:paraId="0F2A3CF3" w14:textId="77777777" w:rsidR="00FE2CE2" w:rsidRPr="00F372E2" w:rsidRDefault="00FE2CE2" w:rsidP="00FE2CE2">
      <w:pPr>
        <w:rPr>
          <w:rFonts w:eastAsia="Times New Roman" w:cstheme="minorHAnsi"/>
          <w:lang w:eastAsia="en-AU"/>
        </w:rPr>
      </w:pPr>
      <w:r w:rsidRPr="00F372E2">
        <w:rPr>
          <w:rFonts w:eastAsia="Times New Roman" w:cstheme="minorHAnsi"/>
          <w:noProof/>
          <w:lang w:eastAsia="en-AU"/>
        </w:rPr>
        <w:drawing>
          <wp:inline distT="0" distB="0" distL="0" distR="0" wp14:anchorId="3C82BE56" wp14:editId="7ECCC6AD">
            <wp:extent cx="4572000" cy="260985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270EB8D" w14:textId="77777777" w:rsidR="00FE2CE2" w:rsidRPr="00712DC1" w:rsidRDefault="00FE2CE2" w:rsidP="00FE2CE2">
      <w:pPr>
        <w:rPr>
          <w:rFonts w:eastAsia="Times New Roman" w:cstheme="minorHAnsi"/>
          <w:i/>
          <w:sz w:val="18"/>
          <w:szCs w:val="18"/>
          <w:lang w:eastAsia="en-AU"/>
        </w:rPr>
      </w:pPr>
      <w:r w:rsidRPr="00712DC1">
        <w:rPr>
          <w:rFonts w:eastAsia="Times New Roman" w:cstheme="minorHAnsi"/>
          <w:i/>
          <w:sz w:val="18"/>
          <w:szCs w:val="18"/>
          <w:lang w:eastAsia="en-AU"/>
        </w:rPr>
        <w:t xml:space="preserve">Source: FARE calculations based on commissioned survey data from Galaxy Research. </w:t>
      </w:r>
    </w:p>
    <w:p w14:paraId="21095FAF" w14:textId="77777777" w:rsidR="00FE2CE2" w:rsidRDefault="00FE2CE2" w:rsidP="00FE2CE2">
      <w:pPr>
        <w:rPr>
          <w:b/>
          <w:color w:val="23A8D8"/>
          <w:sz w:val="32"/>
          <w:szCs w:val="32"/>
          <w:lang w:eastAsia="en-AU"/>
        </w:rPr>
      </w:pPr>
      <w:r>
        <w:rPr>
          <w:b/>
          <w:lang w:eastAsia="en-AU"/>
        </w:rPr>
        <w:br w:type="page"/>
      </w:r>
    </w:p>
    <w:p w14:paraId="7FA87FC8" w14:textId="77777777" w:rsidR="00FE2CE2" w:rsidRPr="00B42E4A" w:rsidRDefault="00FE2CE2" w:rsidP="00FE2CE2">
      <w:pPr>
        <w:pStyle w:val="Heading2"/>
        <w:rPr>
          <w:b/>
          <w:lang w:eastAsia="en-AU"/>
        </w:rPr>
      </w:pPr>
      <w:bookmarkStart w:id="27" w:name="_Toc529888068"/>
      <w:bookmarkStart w:id="28" w:name="_Toc532385405"/>
      <w:bookmarkStart w:id="29" w:name="_Toc532809055"/>
      <w:r w:rsidRPr="00B42E4A">
        <w:rPr>
          <w:b/>
          <w:lang w:eastAsia="en-AU"/>
        </w:rPr>
        <w:lastRenderedPageBreak/>
        <w:t xml:space="preserve">Government </w:t>
      </w:r>
      <w:r>
        <w:rPr>
          <w:b/>
          <w:lang w:eastAsia="en-AU"/>
        </w:rPr>
        <w:t>s</w:t>
      </w:r>
      <w:r w:rsidRPr="00B42E4A">
        <w:rPr>
          <w:b/>
          <w:lang w:eastAsia="en-AU"/>
        </w:rPr>
        <w:t xml:space="preserve">upport for </w:t>
      </w:r>
      <w:r>
        <w:rPr>
          <w:b/>
          <w:lang w:eastAsia="en-AU"/>
        </w:rPr>
        <w:t>the a</w:t>
      </w:r>
      <w:r w:rsidRPr="00B42E4A">
        <w:rPr>
          <w:b/>
          <w:lang w:eastAsia="en-AU"/>
        </w:rPr>
        <w:t>bolition of the WET</w:t>
      </w:r>
      <w:bookmarkEnd w:id="27"/>
      <w:bookmarkEnd w:id="28"/>
      <w:bookmarkEnd w:id="29"/>
    </w:p>
    <w:p w14:paraId="7E3B193C" w14:textId="2BFCFC56" w:rsidR="00FE2CE2" w:rsidRPr="00F372E2" w:rsidRDefault="00FE2CE2" w:rsidP="00F8393B">
      <w:pPr>
        <w:jc w:val="both"/>
        <w:rPr>
          <w:rFonts w:eastAsia="Times New Roman" w:cstheme="minorHAnsi"/>
          <w:lang w:eastAsia="en-AU"/>
        </w:rPr>
      </w:pPr>
      <w:r w:rsidRPr="00F372E2">
        <w:rPr>
          <w:rFonts w:eastAsia="Times New Roman" w:cstheme="minorHAnsi"/>
          <w:lang w:eastAsia="en-AU"/>
        </w:rPr>
        <w:t>To date, at least 13 government review</w:t>
      </w:r>
      <w:r>
        <w:rPr>
          <w:rFonts w:eastAsia="Times New Roman" w:cstheme="minorHAnsi"/>
          <w:lang w:eastAsia="en-AU"/>
        </w:rPr>
        <w:t>s</w:t>
      </w:r>
      <w:r w:rsidR="002E40C7">
        <w:rPr>
          <w:rFonts w:eastAsia="Times New Roman" w:cstheme="minorHAnsi"/>
          <w:lang w:eastAsia="en-AU"/>
        </w:rPr>
        <w:t>,</w:t>
      </w:r>
      <w:r>
        <w:rPr>
          <w:rFonts w:eastAsia="Times New Roman" w:cstheme="minorHAnsi"/>
          <w:lang w:eastAsia="en-AU"/>
        </w:rPr>
        <w:t xml:space="preserve"> including at Commonwealth and State and Territory levels</w:t>
      </w:r>
      <w:r w:rsidR="002E40C7">
        <w:rPr>
          <w:rFonts w:eastAsia="Times New Roman" w:cstheme="minorHAnsi"/>
          <w:lang w:eastAsia="en-AU"/>
        </w:rPr>
        <w:t>,</w:t>
      </w:r>
      <w:r w:rsidRPr="00F372E2">
        <w:rPr>
          <w:rFonts w:eastAsia="Times New Roman" w:cstheme="minorHAnsi"/>
          <w:lang w:eastAsia="en-AU"/>
        </w:rPr>
        <w:t xml:space="preserve"> have </w:t>
      </w:r>
      <w:r>
        <w:rPr>
          <w:rFonts w:eastAsia="Times New Roman" w:cstheme="minorHAnsi"/>
          <w:lang w:eastAsia="en-AU"/>
        </w:rPr>
        <w:t>recommended volumetric taxation for</w:t>
      </w:r>
      <w:r w:rsidRPr="00F372E2">
        <w:rPr>
          <w:rFonts w:eastAsia="Times New Roman" w:cstheme="minorHAnsi"/>
          <w:lang w:eastAsia="en-AU"/>
        </w:rPr>
        <w:t xml:space="preserve"> wine.</w:t>
      </w:r>
      <w:r w:rsidRPr="00F372E2">
        <w:rPr>
          <w:rFonts w:eastAsia="Times New Roman" w:cstheme="minorHAnsi"/>
          <w:vertAlign w:val="superscript"/>
          <w:lang w:eastAsia="en-AU"/>
        </w:rPr>
        <w:footnoteReference w:id="4"/>
      </w:r>
      <w:r w:rsidRPr="00F372E2">
        <w:rPr>
          <w:rFonts w:eastAsia="Times New Roman" w:cstheme="minorHAnsi"/>
          <w:lang w:eastAsia="en-AU"/>
        </w:rPr>
        <w:t xml:space="preserve"> Two reviews provide </w:t>
      </w:r>
      <w:r>
        <w:rPr>
          <w:rFonts w:eastAsia="Times New Roman" w:cstheme="minorHAnsi"/>
          <w:lang w:eastAsia="en-AU"/>
        </w:rPr>
        <w:t xml:space="preserve">particularly </w:t>
      </w:r>
      <w:r w:rsidRPr="00F372E2">
        <w:rPr>
          <w:rFonts w:eastAsia="Times New Roman" w:cstheme="minorHAnsi"/>
          <w:lang w:eastAsia="en-AU"/>
        </w:rPr>
        <w:t xml:space="preserve">strong evidence of harm </w:t>
      </w:r>
      <w:r>
        <w:rPr>
          <w:rFonts w:eastAsia="Times New Roman" w:cstheme="minorHAnsi"/>
          <w:lang w:eastAsia="en-AU"/>
        </w:rPr>
        <w:t>from</w:t>
      </w:r>
      <w:r w:rsidRPr="00F372E2">
        <w:rPr>
          <w:rFonts w:eastAsia="Times New Roman" w:cstheme="minorHAnsi"/>
          <w:lang w:eastAsia="en-AU"/>
        </w:rPr>
        <w:t xml:space="preserve"> the WET and present compelling cases for its reform</w:t>
      </w:r>
      <w:r>
        <w:rPr>
          <w:rFonts w:eastAsia="Times New Roman" w:cstheme="minorHAnsi"/>
          <w:lang w:eastAsia="en-AU"/>
        </w:rPr>
        <w:t>:</w:t>
      </w:r>
      <w:r w:rsidRPr="00F372E2">
        <w:rPr>
          <w:rFonts w:eastAsia="Times New Roman" w:cstheme="minorHAnsi"/>
          <w:lang w:eastAsia="en-AU"/>
        </w:rPr>
        <w:t xml:space="preserve"> the</w:t>
      </w:r>
      <w:r>
        <w:rPr>
          <w:rFonts w:eastAsia="Times New Roman" w:cstheme="minorHAnsi"/>
          <w:lang w:eastAsia="en-AU"/>
        </w:rPr>
        <w:t xml:space="preserve"> 2010</w:t>
      </w:r>
      <w:r w:rsidRPr="00F372E2">
        <w:rPr>
          <w:rFonts w:eastAsia="Times New Roman" w:cstheme="minorHAnsi"/>
          <w:lang w:eastAsia="en-AU"/>
        </w:rPr>
        <w:t xml:space="preserve"> </w:t>
      </w:r>
      <w:r>
        <w:rPr>
          <w:rFonts w:eastAsia="Times New Roman" w:cstheme="minorHAnsi"/>
          <w:lang w:eastAsia="en-AU"/>
        </w:rPr>
        <w:t>Henry Review</w:t>
      </w:r>
      <w:r w:rsidRPr="00F372E2">
        <w:rPr>
          <w:rFonts w:eastAsia="Times New Roman" w:cstheme="minorHAnsi"/>
          <w:lang w:eastAsia="en-AU"/>
        </w:rPr>
        <w:t xml:space="preserve">, and the </w:t>
      </w:r>
      <w:r>
        <w:rPr>
          <w:rFonts w:eastAsia="Times New Roman" w:cstheme="minorHAnsi"/>
          <w:lang w:eastAsia="en-AU"/>
        </w:rPr>
        <w:t>2017</w:t>
      </w:r>
      <w:r w:rsidRPr="00F372E2">
        <w:rPr>
          <w:rFonts w:eastAsia="Times New Roman" w:cstheme="minorHAnsi"/>
          <w:lang w:eastAsia="en-AU"/>
        </w:rPr>
        <w:t xml:space="preserve"> </w:t>
      </w:r>
      <w:r>
        <w:rPr>
          <w:rFonts w:eastAsia="Times New Roman" w:cstheme="minorHAnsi"/>
          <w:lang w:eastAsia="en-AU"/>
        </w:rPr>
        <w:t>five</w:t>
      </w:r>
      <w:r w:rsidRPr="00F372E2">
        <w:rPr>
          <w:rFonts w:eastAsia="Times New Roman" w:cstheme="minorHAnsi"/>
          <w:lang w:eastAsia="en-AU"/>
        </w:rPr>
        <w:t>-year productivity review by the Productivity Commission</w:t>
      </w:r>
      <w:r>
        <w:rPr>
          <w:rFonts w:eastAsia="Times New Roman" w:cstheme="minorHAnsi"/>
          <w:lang w:eastAsia="en-AU"/>
        </w:rPr>
        <w:t>.</w:t>
      </w:r>
    </w:p>
    <w:p w14:paraId="3C43FD1F" w14:textId="1759688B" w:rsidR="00FE2CE2" w:rsidRPr="008F56A6" w:rsidRDefault="00FE2CE2" w:rsidP="00F8393B">
      <w:pPr>
        <w:jc w:val="both"/>
        <w:rPr>
          <w:b/>
          <w:color w:val="00B0F0"/>
          <w:sz w:val="26"/>
          <w:szCs w:val="26"/>
          <w:lang w:eastAsia="en-AU"/>
        </w:rPr>
      </w:pPr>
      <w:r w:rsidRPr="008F56A6">
        <w:rPr>
          <w:b/>
          <w:color w:val="00B0F0"/>
          <w:sz w:val="26"/>
          <w:szCs w:val="26"/>
          <w:lang w:eastAsia="en-AU"/>
        </w:rPr>
        <w:t>Henry Review</w:t>
      </w:r>
    </w:p>
    <w:p w14:paraId="17525E83" w14:textId="7C908794" w:rsidR="00FE2CE2" w:rsidRPr="00F372E2" w:rsidRDefault="00FE2CE2" w:rsidP="00F8393B">
      <w:pPr>
        <w:jc w:val="both"/>
        <w:rPr>
          <w:rFonts w:eastAsia="Times New Roman" w:cstheme="minorHAnsi"/>
          <w:lang w:eastAsia="en-AU"/>
        </w:rPr>
      </w:pPr>
      <w:r>
        <w:rPr>
          <w:rFonts w:eastAsia="Times New Roman" w:cstheme="minorHAnsi"/>
          <w:lang w:eastAsia="en-AU"/>
        </w:rPr>
        <w:t>The 2010</w:t>
      </w:r>
      <w:r w:rsidRPr="00F372E2">
        <w:rPr>
          <w:rFonts w:eastAsia="Times New Roman" w:cstheme="minorHAnsi"/>
          <w:lang w:eastAsia="en-AU"/>
        </w:rPr>
        <w:t xml:space="preserve"> Henry </w:t>
      </w:r>
      <w:r>
        <w:rPr>
          <w:rFonts w:eastAsia="Times New Roman" w:cstheme="minorHAnsi"/>
          <w:lang w:eastAsia="en-AU"/>
        </w:rPr>
        <w:t>R</w:t>
      </w:r>
      <w:r w:rsidRPr="00F372E2">
        <w:rPr>
          <w:rFonts w:eastAsia="Times New Roman" w:cstheme="minorHAnsi"/>
          <w:lang w:eastAsia="en-AU"/>
        </w:rPr>
        <w:t xml:space="preserve">eview </w:t>
      </w:r>
      <w:r>
        <w:rPr>
          <w:rFonts w:eastAsia="Times New Roman" w:cstheme="minorHAnsi"/>
          <w:lang w:eastAsia="en-AU"/>
        </w:rPr>
        <w:t>recommended</w:t>
      </w:r>
      <w:r w:rsidR="00237C41">
        <w:rPr>
          <w:rFonts w:eastAsia="Times New Roman" w:cstheme="minorHAnsi"/>
          <w:lang w:eastAsia="en-AU"/>
        </w:rPr>
        <w:t xml:space="preserve"> the Commonwealth </w:t>
      </w:r>
      <w:r w:rsidRPr="00F372E2">
        <w:rPr>
          <w:rFonts w:eastAsia="Times New Roman" w:cstheme="minorHAnsi"/>
          <w:lang w:eastAsia="en-AU"/>
        </w:rPr>
        <w:t xml:space="preserve">Government reform the WET as </w:t>
      </w:r>
      <w:r>
        <w:rPr>
          <w:rFonts w:eastAsia="Times New Roman" w:cstheme="minorHAnsi"/>
          <w:lang w:eastAsia="en-AU"/>
        </w:rPr>
        <w:t xml:space="preserve">a </w:t>
      </w:r>
      <w:r w:rsidRPr="00F372E2">
        <w:rPr>
          <w:rFonts w:eastAsia="Times New Roman" w:cstheme="minorHAnsi"/>
          <w:lang w:eastAsia="en-AU"/>
        </w:rPr>
        <w:t>matter of urgency</w:t>
      </w:r>
      <w:r>
        <w:rPr>
          <w:rFonts w:eastAsia="Times New Roman" w:cstheme="minorHAnsi"/>
          <w:lang w:eastAsia="en-AU"/>
        </w:rPr>
        <w:t>.</w:t>
      </w:r>
      <w:r w:rsidRPr="00F372E2">
        <w:rPr>
          <w:rFonts w:eastAsia="Times New Roman" w:cstheme="minorHAnsi"/>
          <w:vertAlign w:val="superscript"/>
          <w:lang w:eastAsia="en-AU"/>
        </w:rPr>
        <w:endnoteReference w:id="49"/>
      </w:r>
      <w:r w:rsidRPr="00F372E2">
        <w:rPr>
          <w:rFonts w:eastAsia="Times New Roman" w:cstheme="minorHAnsi"/>
          <w:lang w:eastAsia="en-AU"/>
        </w:rPr>
        <w:t xml:space="preserve"> </w:t>
      </w:r>
      <w:r>
        <w:rPr>
          <w:rFonts w:eastAsia="Times New Roman" w:cstheme="minorHAnsi"/>
          <w:lang w:eastAsia="en-AU"/>
        </w:rPr>
        <w:t xml:space="preserve"> It highlighted that because cheaper wine is taxed less under the WET, the alcohol taxation system does not adequately address the spillover costs from alcohol. </w:t>
      </w:r>
      <w:r w:rsidRPr="00F372E2">
        <w:rPr>
          <w:rFonts w:eastAsia="Times New Roman" w:cstheme="minorHAnsi"/>
          <w:lang w:eastAsia="en-AU"/>
        </w:rPr>
        <w:t xml:space="preserve">Consequently, the </w:t>
      </w:r>
      <w:r>
        <w:rPr>
          <w:rFonts w:eastAsia="Times New Roman" w:cstheme="minorHAnsi"/>
          <w:lang w:eastAsia="en-AU"/>
        </w:rPr>
        <w:t>r</w:t>
      </w:r>
      <w:r w:rsidRPr="00F372E2">
        <w:rPr>
          <w:rFonts w:eastAsia="Times New Roman" w:cstheme="minorHAnsi"/>
          <w:lang w:eastAsia="en-AU"/>
        </w:rPr>
        <w:t xml:space="preserve">eview recommended that </w:t>
      </w:r>
      <w:r>
        <w:rPr>
          <w:rFonts w:eastAsia="Times New Roman" w:cstheme="minorHAnsi"/>
          <w:lang w:eastAsia="en-AU"/>
        </w:rPr>
        <w:t xml:space="preserve">volumetric </w:t>
      </w:r>
      <w:r w:rsidRPr="00F372E2">
        <w:rPr>
          <w:rFonts w:eastAsia="Times New Roman" w:cstheme="minorHAnsi"/>
          <w:lang w:eastAsia="en-AU"/>
        </w:rPr>
        <w:t xml:space="preserve">alcohol taxes </w:t>
      </w:r>
      <w:r w:rsidR="002E40C7">
        <w:rPr>
          <w:rFonts w:eastAsia="Times New Roman" w:cstheme="minorHAnsi"/>
          <w:lang w:eastAsia="en-AU"/>
        </w:rPr>
        <w:t xml:space="preserve">bet </w:t>
      </w:r>
      <w:r>
        <w:rPr>
          <w:rFonts w:eastAsia="Times New Roman" w:cstheme="minorHAnsi"/>
          <w:lang w:eastAsia="en-AU"/>
        </w:rPr>
        <w:t>set at a rate</w:t>
      </w:r>
      <w:r w:rsidRPr="00F372E2">
        <w:rPr>
          <w:rFonts w:eastAsia="Times New Roman" w:cstheme="minorHAnsi"/>
          <w:lang w:eastAsia="en-AU"/>
        </w:rPr>
        <w:t xml:space="preserve"> to address the spillover costs </w:t>
      </w:r>
      <w:r>
        <w:rPr>
          <w:rFonts w:eastAsia="Times New Roman" w:cstheme="minorHAnsi"/>
          <w:lang w:eastAsia="en-AU"/>
        </w:rPr>
        <w:t>to</w:t>
      </w:r>
      <w:r w:rsidRPr="00F372E2">
        <w:rPr>
          <w:rFonts w:eastAsia="Times New Roman" w:cstheme="minorHAnsi"/>
          <w:lang w:eastAsia="en-AU"/>
        </w:rPr>
        <w:t xml:space="preserve"> the community </w:t>
      </w:r>
      <w:r>
        <w:rPr>
          <w:rFonts w:eastAsia="Times New Roman" w:cstheme="minorHAnsi"/>
          <w:lang w:eastAsia="en-AU"/>
        </w:rPr>
        <w:t>imposed by</w:t>
      </w:r>
      <w:r w:rsidRPr="00F372E2">
        <w:rPr>
          <w:rFonts w:eastAsia="Times New Roman" w:cstheme="minorHAnsi"/>
          <w:lang w:eastAsia="en-AU"/>
        </w:rPr>
        <w:t xml:space="preserve"> alcohol </w:t>
      </w:r>
      <w:r>
        <w:rPr>
          <w:rFonts w:eastAsia="Times New Roman" w:cstheme="minorHAnsi"/>
          <w:lang w:eastAsia="en-AU"/>
        </w:rPr>
        <w:t>consumption</w:t>
      </w:r>
      <w:r w:rsidRPr="00F372E2">
        <w:rPr>
          <w:rFonts w:eastAsia="Times New Roman" w:cstheme="minorHAnsi"/>
          <w:lang w:eastAsia="en-AU"/>
        </w:rPr>
        <w:t xml:space="preserve">. </w:t>
      </w:r>
      <w:r>
        <w:rPr>
          <w:rFonts w:eastAsia="Times New Roman" w:cstheme="minorHAnsi"/>
          <w:lang w:eastAsia="en-AU"/>
        </w:rPr>
        <w:t>Specifically</w:t>
      </w:r>
      <w:r w:rsidRPr="00F372E2">
        <w:rPr>
          <w:rFonts w:eastAsia="Times New Roman" w:cstheme="minorHAnsi"/>
          <w:lang w:eastAsia="en-AU"/>
        </w:rPr>
        <w:t xml:space="preserve">, </w:t>
      </w:r>
      <w:r>
        <w:rPr>
          <w:rFonts w:eastAsia="Times New Roman" w:cstheme="minorHAnsi"/>
          <w:lang w:eastAsia="en-AU"/>
        </w:rPr>
        <w:t xml:space="preserve">the review </w:t>
      </w:r>
      <w:r w:rsidRPr="00F372E2">
        <w:rPr>
          <w:rFonts w:eastAsia="Times New Roman" w:cstheme="minorHAnsi"/>
          <w:lang w:eastAsia="en-AU"/>
        </w:rPr>
        <w:t xml:space="preserve">recommended that “All alcoholic beverages should be taxed on a volumetric basis, which, over time, should converge to a single rate, with a low-alcohol threshold introduced for all products. The rate of alcohol tax should be based on </w:t>
      </w:r>
      <w:r w:rsidRPr="00EB5E32">
        <w:rPr>
          <w:rFonts w:eastAsia="Times New Roman" w:cstheme="minorHAnsi"/>
          <w:lang w:eastAsia="en-AU"/>
        </w:rPr>
        <w:t>evidence of the net marginal spillover cost of alcohol”.</w:t>
      </w:r>
    </w:p>
    <w:p w14:paraId="4E008FAC" w14:textId="07EA1C85" w:rsidR="00FE2CE2" w:rsidRPr="00F372E2" w:rsidRDefault="00FE2CE2" w:rsidP="00F8393B">
      <w:pPr>
        <w:jc w:val="both"/>
        <w:rPr>
          <w:rFonts w:eastAsia="Times New Roman" w:cstheme="minorHAnsi"/>
          <w:lang w:eastAsia="en-AU"/>
        </w:rPr>
      </w:pPr>
      <w:r w:rsidRPr="00F372E2">
        <w:rPr>
          <w:rFonts w:eastAsia="Times New Roman" w:cstheme="minorHAnsi"/>
          <w:lang w:eastAsia="en-AU"/>
        </w:rPr>
        <w:t xml:space="preserve">The net marginal spillover cost to which the Henry </w:t>
      </w:r>
      <w:r>
        <w:rPr>
          <w:rFonts w:eastAsia="Times New Roman" w:cstheme="minorHAnsi"/>
          <w:lang w:eastAsia="en-AU"/>
        </w:rPr>
        <w:t>R</w:t>
      </w:r>
      <w:r w:rsidRPr="00F372E2">
        <w:rPr>
          <w:rFonts w:eastAsia="Times New Roman" w:cstheme="minorHAnsi"/>
          <w:lang w:eastAsia="en-AU"/>
        </w:rPr>
        <w:t xml:space="preserve">eview referred was </w:t>
      </w:r>
      <w:r>
        <w:rPr>
          <w:rFonts w:eastAsia="Times New Roman" w:cstheme="minorHAnsi"/>
          <w:lang w:eastAsia="en-AU"/>
        </w:rPr>
        <w:t>explored at the</w:t>
      </w:r>
      <w:r w:rsidRPr="00F372E2">
        <w:rPr>
          <w:rFonts w:eastAsia="Times New Roman" w:cstheme="minorHAnsi"/>
          <w:lang w:eastAsia="en-AU"/>
        </w:rPr>
        <w:t xml:space="preserve"> Melbourne Institute – Australia’s Future Tax System Conference. </w:t>
      </w:r>
      <w:r>
        <w:rPr>
          <w:rFonts w:eastAsia="Times New Roman" w:cstheme="minorHAnsi"/>
          <w:lang w:eastAsia="en-AU"/>
        </w:rPr>
        <w:t>This conference</w:t>
      </w:r>
      <w:r w:rsidRPr="00F372E2">
        <w:rPr>
          <w:rFonts w:eastAsia="Times New Roman" w:cstheme="minorHAnsi"/>
          <w:lang w:eastAsia="en-AU"/>
        </w:rPr>
        <w:t xml:space="preserve"> found that the effective duty per litre of pure alcohol was</w:t>
      </w:r>
      <w:r>
        <w:rPr>
          <w:rFonts w:eastAsia="Times New Roman" w:cstheme="minorHAnsi"/>
          <w:lang w:eastAsia="en-AU"/>
        </w:rPr>
        <w:t xml:space="preserve"> on average</w:t>
      </w:r>
      <w:r w:rsidRPr="00F372E2">
        <w:rPr>
          <w:rFonts w:eastAsia="Times New Roman" w:cstheme="minorHAnsi"/>
          <w:lang w:eastAsia="en-AU"/>
        </w:rPr>
        <w:t xml:space="preserve"> $27, while the </w:t>
      </w:r>
      <w:r>
        <w:rPr>
          <w:rFonts w:eastAsia="Times New Roman" w:cstheme="minorHAnsi"/>
          <w:lang w:eastAsia="en-AU"/>
        </w:rPr>
        <w:t xml:space="preserve">spillover </w:t>
      </w:r>
      <w:r w:rsidRPr="00F372E2">
        <w:rPr>
          <w:rFonts w:eastAsia="Times New Roman" w:cstheme="minorHAnsi"/>
          <w:lang w:eastAsia="en-AU"/>
        </w:rPr>
        <w:t>cost</w:t>
      </w:r>
      <w:r>
        <w:rPr>
          <w:rFonts w:eastAsia="Times New Roman" w:cstheme="minorHAnsi"/>
          <w:lang w:eastAsia="en-AU"/>
        </w:rPr>
        <w:t>s</w:t>
      </w:r>
      <w:r w:rsidRPr="00F372E2">
        <w:rPr>
          <w:rFonts w:eastAsia="Times New Roman" w:cstheme="minorHAnsi"/>
          <w:lang w:eastAsia="en-AU"/>
        </w:rPr>
        <w:t xml:space="preserve"> per litre of pure alcohol</w:t>
      </w:r>
      <w:r>
        <w:rPr>
          <w:rFonts w:eastAsia="Times New Roman" w:cstheme="minorHAnsi"/>
          <w:lang w:eastAsia="en-AU"/>
        </w:rPr>
        <w:t xml:space="preserve"> </w:t>
      </w:r>
      <w:r w:rsidRPr="00F372E2">
        <w:rPr>
          <w:rFonts w:eastAsia="Times New Roman" w:cstheme="minorHAnsi"/>
          <w:lang w:eastAsia="en-AU"/>
        </w:rPr>
        <w:t>ranged between $36 and $59.</w:t>
      </w:r>
      <w:r w:rsidRPr="00F372E2">
        <w:rPr>
          <w:rFonts w:eastAsia="Times New Roman" w:cstheme="minorHAnsi"/>
          <w:vertAlign w:val="superscript"/>
          <w:lang w:eastAsia="en-AU"/>
        </w:rPr>
        <w:endnoteReference w:id="50"/>
      </w:r>
      <w:r w:rsidRPr="00F372E2">
        <w:rPr>
          <w:rFonts w:eastAsia="Times New Roman" w:cstheme="minorHAnsi"/>
          <w:lang w:eastAsia="en-AU"/>
        </w:rPr>
        <w:t xml:space="preserve"> While these estimates are based on relatively old data, they suggest that even by the most conservative estimates</w:t>
      </w:r>
      <w:r>
        <w:rPr>
          <w:rFonts w:eastAsia="Times New Roman" w:cstheme="minorHAnsi"/>
          <w:lang w:eastAsia="en-AU"/>
        </w:rPr>
        <w:t>,</w:t>
      </w:r>
      <w:r w:rsidRPr="00F372E2">
        <w:rPr>
          <w:rFonts w:eastAsia="Times New Roman" w:cstheme="minorHAnsi"/>
          <w:lang w:eastAsia="en-AU"/>
        </w:rPr>
        <w:t xml:space="preserve"> there is a significant net spillover cost associated with alcohol consumption. These figures also represent the average across all alcohol classes. As discussed previously, cheap wine is taxed at an effective rate of just $2.99/L</w:t>
      </w:r>
      <w:r w:rsidR="002F56F1">
        <w:rPr>
          <w:rFonts w:eastAsia="Times New Roman" w:cstheme="minorHAnsi"/>
          <w:lang w:eastAsia="en-AU"/>
        </w:rPr>
        <w:t>al</w:t>
      </w:r>
      <w:r w:rsidRPr="00F372E2">
        <w:rPr>
          <w:rFonts w:eastAsia="Times New Roman" w:cstheme="minorHAnsi"/>
          <w:lang w:eastAsia="en-AU"/>
        </w:rPr>
        <w:t>, equating to just 8.2 per cent of the current average ($36.5/L</w:t>
      </w:r>
      <w:r w:rsidR="002F56F1">
        <w:rPr>
          <w:rFonts w:eastAsia="Times New Roman" w:cstheme="minorHAnsi"/>
          <w:lang w:eastAsia="en-AU"/>
        </w:rPr>
        <w:t>al</w:t>
      </w:r>
      <w:r w:rsidRPr="00F372E2">
        <w:rPr>
          <w:rFonts w:eastAsia="Times New Roman" w:cstheme="minorHAnsi"/>
          <w:lang w:eastAsia="en-AU"/>
        </w:rPr>
        <w:t xml:space="preserve">). </w:t>
      </w:r>
      <w:r>
        <w:rPr>
          <w:rFonts w:eastAsia="Times New Roman" w:cstheme="minorHAnsi"/>
          <w:lang w:eastAsia="en-AU"/>
        </w:rPr>
        <w:t>This</w:t>
      </w:r>
      <w:r w:rsidRPr="00F372E2">
        <w:rPr>
          <w:rFonts w:eastAsia="Times New Roman" w:cstheme="minorHAnsi"/>
          <w:lang w:eastAsia="en-AU"/>
        </w:rPr>
        <w:t xml:space="preserve"> very low rate of taxation </w:t>
      </w:r>
      <w:r>
        <w:rPr>
          <w:rFonts w:eastAsia="Times New Roman" w:cstheme="minorHAnsi"/>
          <w:lang w:eastAsia="en-AU"/>
        </w:rPr>
        <w:t>contribute</w:t>
      </w:r>
      <w:r w:rsidRPr="00F372E2">
        <w:rPr>
          <w:rFonts w:eastAsia="Times New Roman" w:cstheme="minorHAnsi"/>
          <w:lang w:eastAsia="en-AU"/>
        </w:rPr>
        <w:t>s</w:t>
      </w:r>
      <w:r>
        <w:rPr>
          <w:rFonts w:eastAsia="Times New Roman" w:cstheme="minorHAnsi"/>
          <w:lang w:eastAsia="en-AU"/>
        </w:rPr>
        <w:t xml:space="preserve"> to</w:t>
      </w:r>
      <w:r w:rsidRPr="00F372E2">
        <w:rPr>
          <w:rFonts w:eastAsia="Times New Roman" w:cstheme="minorHAnsi"/>
          <w:lang w:eastAsia="en-AU"/>
        </w:rPr>
        <w:t xml:space="preserve"> large net spillover costs which are ultimately borne by taxpayers under current arrangements. </w:t>
      </w:r>
    </w:p>
    <w:p w14:paraId="06948949" w14:textId="77777777" w:rsidR="00FE2CE2" w:rsidRDefault="00FE2CE2" w:rsidP="00FE2CE2">
      <w:pPr>
        <w:rPr>
          <w:color w:val="00B0F0"/>
          <w:sz w:val="26"/>
          <w:szCs w:val="26"/>
          <w:lang w:eastAsia="en-AU"/>
        </w:rPr>
      </w:pPr>
      <w:r>
        <w:rPr>
          <w:color w:val="00B0F0"/>
          <w:sz w:val="26"/>
          <w:szCs w:val="26"/>
          <w:lang w:eastAsia="en-AU"/>
        </w:rPr>
        <w:br w:type="page"/>
      </w:r>
    </w:p>
    <w:p w14:paraId="0B637A28" w14:textId="77777777" w:rsidR="00FE2CE2" w:rsidRPr="008F56A6" w:rsidRDefault="00FE2CE2" w:rsidP="00FE2CE2">
      <w:pPr>
        <w:rPr>
          <w:b/>
          <w:color w:val="00B0F0"/>
          <w:sz w:val="26"/>
          <w:szCs w:val="26"/>
          <w:lang w:eastAsia="en-AU"/>
        </w:rPr>
      </w:pPr>
      <w:r w:rsidRPr="008F56A6">
        <w:rPr>
          <w:b/>
          <w:color w:val="00B0F0"/>
          <w:sz w:val="26"/>
          <w:szCs w:val="26"/>
          <w:lang w:eastAsia="en-AU"/>
        </w:rPr>
        <w:lastRenderedPageBreak/>
        <w:t xml:space="preserve">Shifting the </w:t>
      </w:r>
      <w:r>
        <w:rPr>
          <w:b/>
          <w:color w:val="00B0F0"/>
          <w:sz w:val="26"/>
          <w:szCs w:val="26"/>
          <w:lang w:eastAsia="en-AU"/>
        </w:rPr>
        <w:t>d</w:t>
      </w:r>
      <w:r w:rsidRPr="008F56A6">
        <w:rPr>
          <w:b/>
          <w:color w:val="00B0F0"/>
          <w:sz w:val="26"/>
          <w:szCs w:val="26"/>
          <w:lang w:eastAsia="en-AU"/>
        </w:rPr>
        <w:t xml:space="preserve">ial: </w:t>
      </w:r>
      <w:r>
        <w:rPr>
          <w:b/>
          <w:color w:val="00B0F0"/>
          <w:sz w:val="26"/>
          <w:szCs w:val="26"/>
          <w:lang w:eastAsia="en-AU"/>
        </w:rPr>
        <w:t xml:space="preserve">five </w:t>
      </w:r>
      <w:r w:rsidRPr="008F56A6">
        <w:rPr>
          <w:b/>
          <w:color w:val="00B0F0"/>
          <w:sz w:val="26"/>
          <w:szCs w:val="26"/>
          <w:lang w:eastAsia="en-AU"/>
        </w:rPr>
        <w:t>year productivity review</w:t>
      </w:r>
    </w:p>
    <w:p w14:paraId="025212B2" w14:textId="224F80CC" w:rsidR="00FE2CE2" w:rsidRPr="00F372E2" w:rsidRDefault="00FE2CE2" w:rsidP="00F8393B">
      <w:pPr>
        <w:jc w:val="both"/>
        <w:rPr>
          <w:rFonts w:eastAsia="Times New Roman" w:cstheme="minorHAnsi"/>
          <w:lang w:eastAsia="en-AU"/>
        </w:rPr>
      </w:pPr>
      <w:r w:rsidRPr="00F372E2">
        <w:rPr>
          <w:rFonts w:eastAsia="Times New Roman" w:cstheme="minorHAnsi"/>
          <w:lang w:eastAsia="en-AU"/>
        </w:rPr>
        <w:t xml:space="preserve">In 2017, the Productivity Commission provided a damning rebuke of current alcohol tax arrangements in its </w:t>
      </w:r>
      <w:r>
        <w:rPr>
          <w:rFonts w:eastAsia="Times New Roman" w:cstheme="minorHAnsi"/>
          <w:lang w:eastAsia="en-AU"/>
        </w:rPr>
        <w:t xml:space="preserve">five </w:t>
      </w:r>
      <w:r w:rsidRPr="00F372E2">
        <w:rPr>
          <w:rFonts w:eastAsia="Times New Roman" w:cstheme="minorHAnsi"/>
          <w:lang w:eastAsia="en-AU"/>
        </w:rPr>
        <w:t>year productivity review. The Commission described the current system as “a mess with damaging health outcomes” (p.</w:t>
      </w:r>
      <w:r>
        <w:rPr>
          <w:rFonts w:eastAsia="Times New Roman" w:cstheme="minorHAnsi"/>
          <w:lang w:eastAsia="en-AU"/>
        </w:rPr>
        <w:t xml:space="preserve"> </w:t>
      </w:r>
      <w:r w:rsidRPr="00F372E2">
        <w:rPr>
          <w:rFonts w:eastAsia="Times New Roman" w:cstheme="minorHAnsi"/>
          <w:lang w:eastAsia="en-AU"/>
        </w:rPr>
        <w:t>74)</w:t>
      </w:r>
      <w:r w:rsidRPr="00F372E2">
        <w:rPr>
          <w:rFonts w:eastAsia="Times New Roman" w:cstheme="minorHAnsi"/>
          <w:vertAlign w:val="superscript"/>
          <w:lang w:eastAsia="en-AU"/>
        </w:rPr>
        <w:endnoteReference w:id="51"/>
      </w:r>
      <w:r w:rsidRPr="00F372E2">
        <w:rPr>
          <w:rFonts w:eastAsia="Times New Roman" w:cstheme="minorHAnsi"/>
          <w:lang w:eastAsia="en-AU"/>
        </w:rPr>
        <w:t xml:space="preserve"> and urged the </w:t>
      </w:r>
      <w:r w:rsidR="002E40C7">
        <w:rPr>
          <w:rFonts w:eastAsia="Times New Roman" w:cstheme="minorHAnsi"/>
          <w:lang w:eastAsia="en-AU"/>
        </w:rPr>
        <w:t>Commonwealth</w:t>
      </w:r>
      <w:r w:rsidRPr="00F372E2">
        <w:rPr>
          <w:rFonts w:eastAsia="Times New Roman" w:cstheme="minorHAnsi"/>
          <w:lang w:eastAsia="en-AU"/>
        </w:rPr>
        <w:t xml:space="preserve"> Government to move to an alcohol tax system that </w:t>
      </w:r>
      <w:r>
        <w:rPr>
          <w:rFonts w:eastAsia="Times New Roman" w:cstheme="minorHAnsi"/>
          <w:lang w:eastAsia="en-AU"/>
        </w:rPr>
        <w:t xml:space="preserve">would </w:t>
      </w:r>
      <w:r w:rsidRPr="00F372E2">
        <w:rPr>
          <w:rFonts w:eastAsia="Times New Roman" w:cstheme="minorHAnsi"/>
          <w:lang w:eastAsia="en-AU"/>
        </w:rPr>
        <w:t>remove “the current concessional treatment of high-alcohol, low-value products, primarily cheap cask and fortified wines” (p.</w:t>
      </w:r>
      <w:r>
        <w:rPr>
          <w:rFonts w:eastAsia="Times New Roman" w:cstheme="minorHAnsi"/>
          <w:lang w:eastAsia="en-AU"/>
        </w:rPr>
        <w:t xml:space="preserve"> </w:t>
      </w:r>
      <w:r w:rsidRPr="00F372E2">
        <w:rPr>
          <w:rFonts w:eastAsia="Times New Roman" w:cstheme="minorHAnsi"/>
          <w:lang w:eastAsia="en-AU"/>
        </w:rPr>
        <w:t>14). It suggested that this would ideally be achieved through a uniform volumetric tax rate for alcoholic beverages calibrated to reflect the health impacts of alcohol consumption. The report argued that any tax reform should aim to raise the price of low</w:t>
      </w:r>
      <w:r>
        <w:rPr>
          <w:rFonts w:eastAsia="Times New Roman" w:cstheme="minorHAnsi"/>
          <w:lang w:eastAsia="en-AU"/>
        </w:rPr>
        <w:t xml:space="preserve"> </w:t>
      </w:r>
      <w:r w:rsidRPr="00F372E2">
        <w:rPr>
          <w:rFonts w:eastAsia="Times New Roman" w:cstheme="minorHAnsi"/>
          <w:lang w:eastAsia="en-AU"/>
        </w:rPr>
        <w:t>value, high</w:t>
      </w:r>
      <w:r>
        <w:rPr>
          <w:rFonts w:eastAsia="Times New Roman" w:cstheme="minorHAnsi"/>
          <w:lang w:eastAsia="en-AU"/>
        </w:rPr>
        <w:t xml:space="preserve"> </w:t>
      </w:r>
      <w:r w:rsidRPr="00F372E2">
        <w:rPr>
          <w:rFonts w:eastAsia="Times New Roman" w:cstheme="minorHAnsi"/>
          <w:lang w:eastAsia="en-AU"/>
        </w:rPr>
        <w:t>alcohol products given the hazards these pose.</w:t>
      </w:r>
    </w:p>
    <w:p w14:paraId="21A3F90D" w14:textId="05390916" w:rsidR="00FE2CE2" w:rsidRPr="00F372E2" w:rsidRDefault="00FE2CE2" w:rsidP="00F8393B">
      <w:pPr>
        <w:jc w:val="both"/>
        <w:rPr>
          <w:rFonts w:eastAsia="Times New Roman" w:cstheme="minorHAnsi"/>
          <w:lang w:eastAsia="en-AU"/>
        </w:rPr>
      </w:pPr>
      <w:r w:rsidRPr="00F372E2">
        <w:rPr>
          <w:rFonts w:eastAsia="Times New Roman" w:cstheme="minorHAnsi"/>
          <w:lang w:eastAsia="en-AU"/>
        </w:rPr>
        <w:t xml:space="preserve">In its report, the Productivity Commission suggested a transitionary arrangement to facilitate reform of the alcohol tax system, particularly with respect to </w:t>
      </w:r>
      <w:r>
        <w:rPr>
          <w:rFonts w:eastAsia="Times New Roman" w:cstheme="minorHAnsi"/>
          <w:lang w:eastAsia="en-AU"/>
        </w:rPr>
        <w:t>wine</w:t>
      </w:r>
      <w:r w:rsidRPr="00F372E2">
        <w:rPr>
          <w:rFonts w:eastAsia="Times New Roman" w:cstheme="minorHAnsi"/>
          <w:lang w:eastAsia="en-AU"/>
        </w:rPr>
        <w:t xml:space="preserve">. It provided several options for such a transition, including imposition of a volumetric rate alongside the current </w:t>
      </w:r>
      <w:r>
        <w:rPr>
          <w:rFonts w:eastAsia="Times New Roman" w:cstheme="minorHAnsi"/>
          <w:lang w:eastAsia="en-AU"/>
        </w:rPr>
        <w:t>WET,</w:t>
      </w:r>
      <w:r w:rsidRPr="00F372E2">
        <w:rPr>
          <w:rFonts w:eastAsia="Times New Roman" w:cstheme="minorHAnsi"/>
          <w:lang w:eastAsia="en-AU"/>
        </w:rPr>
        <w:t xml:space="preserve"> which may be gradually raised over time to reduce capacity for </w:t>
      </w:r>
      <w:r>
        <w:rPr>
          <w:rFonts w:eastAsia="Times New Roman" w:cstheme="minorHAnsi"/>
          <w:lang w:eastAsia="en-AU"/>
        </w:rPr>
        <w:t xml:space="preserve">the </w:t>
      </w:r>
      <w:r w:rsidRPr="00F372E2">
        <w:rPr>
          <w:rFonts w:eastAsia="Times New Roman" w:cstheme="minorHAnsi"/>
          <w:lang w:eastAsia="en-AU"/>
        </w:rPr>
        <w:t>production of cheap alcohol</w:t>
      </w:r>
      <w:r>
        <w:rPr>
          <w:rFonts w:eastAsia="Times New Roman" w:cstheme="minorHAnsi"/>
          <w:lang w:eastAsia="en-AU"/>
        </w:rPr>
        <w:t xml:space="preserve"> and c</w:t>
      </w:r>
      <w:r w:rsidRPr="00F372E2">
        <w:rPr>
          <w:rFonts w:eastAsia="Times New Roman" w:cstheme="minorHAnsi"/>
          <w:lang w:eastAsia="en-AU"/>
        </w:rPr>
        <w:t>alibrated to reflect harm associated with alcohol consumption.</w:t>
      </w:r>
    </w:p>
    <w:p w14:paraId="2A963F05" w14:textId="55BDCBA2" w:rsidR="00FE2CE2" w:rsidRPr="00F372E2" w:rsidRDefault="00FE2CE2" w:rsidP="00F8393B">
      <w:pPr>
        <w:jc w:val="both"/>
        <w:rPr>
          <w:rFonts w:eastAsia="Times New Roman" w:cstheme="minorHAnsi"/>
          <w:lang w:eastAsia="en-AU"/>
        </w:rPr>
      </w:pPr>
      <w:r w:rsidRPr="00F372E2">
        <w:rPr>
          <w:rFonts w:eastAsia="Times New Roman" w:cstheme="minorHAnsi"/>
          <w:lang w:eastAsia="en-AU"/>
        </w:rPr>
        <w:t>The Productivity Commission also advocated education and treatment programs to complement taxation reform. In particular, it was suggested that “combining tax measures with complementary measures  aimed  at  addressing  the  harm  associated  with  excessive  alcohol  consumption  (such  as education and treatment) is likely to amplify the benefits, while also soliciting greater public support” (p. 75). Public support is crucial to this reform, and will be aided by these programs. Such initiatives will be discussed in further detail below.</w:t>
      </w:r>
    </w:p>
    <w:p w14:paraId="60FC5E62" w14:textId="77777777" w:rsidR="00FE2CE2" w:rsidRPr="0011055B" w:rsidRDefault="00FE2CE2" w:rsidP="00FE2CE2">
      <w:pPr>
        <w:pStyle w:val="Heading1"/>
        <w:rPr>
          <w:lang w:eastAsia="en-AU"/>
        </w:rPr>
      </w:pPr>
      <w:bookmarkStart w:id="30" w:name="_Toc529888069"/>
      <w:bookmarkStart w:id="31" w:name="_Toc532385406"/>
      <w:bookmarkStart w:id="32" w:name="_Toc532809056"/>
      <w:r w:rsidRPr="0011055B">
        <w:rPr>
          <w:lang w:eastAsia="en-AU"/>
        </w:rPr>
        <w:t>Supporting change</w:t>
      </w:r>
      <w:r>
        <w:rPr>
          <w:lang w:eastAsia="en-AU"/>
        </w:rPr>
        <w:t xml:space="preserve"> through a staged approach</w:t>
      </w:r>
      <w:bookmarkEnd w:id="30"/>
      <w:bookmarkEnd w:id="31"/>
      <w:bookmarkEnd w:id="32"/>
    </w:p>
    <w:p w14:paraId="4CBDBEF3" w14:textId="7D0D16FA" w:rsidR="00FE2CE2" w:rsidRPr="00F372E2" w:rsidRDefault="00FE2CE2" w:rsidP="00F8393B">
      <w:pPr>
        <w:jc w:val="both"/>
        <w:rPr>
          <w:rFonts w:eastAsia="Times New Roman" w:cstheme="minorHAnsi"/>
          <w:lang w:eastAsia="en-AU"/>
        </w:rPr>
      </w:pPr>
      <w:r w:rsidRPr="00F372E2">
        <w:rPr>
          <w:rFonts w:eastAsia="Times New Roman" w:cstheme="minorHAnsi"/>
          <w:lang w:eastAsia="en-AU"/>
        </w:rPr>
        <w:t>Given the very large disparity in taxation levels</w:t>
      </w:r>
      <w:r>
        <w:rPr>
          <w:rFonts w:eastAsia="Times New Roman" w:cstheme="minorHAnsi"/>
          <w:lang w:eastAsia="en-AU"/>
        </w:rPr>
        <w:t xml:space="preserve"> for wine compared to other beverages</w:t>
      </w:r>
      <w:r w:rsidRPr="00F372E2">
        <w:rPr>
          <w:rFonts w:eastAsia="Times New Roman" w:cstheme="minorHAnsi"/>
          <w:lang w:eastAsia="en-AU"/>
        </w:rPr>
        <w:t xml:space="preserve">, </w:t>
      </w:r>
      <w:r>
        <w:rPr>
          <w:rFonts w:eastAsia="Times New Roman" w:cstheme="minorHAnsi"/>
          <w:lang w:eastAsia="en-AU"/>
        </w:rPr>
        <w:t>a staged approach to</w:t>
      </w:r>
      <w:r w:rsidRPr="00F372E2">
        <w:rPr>
          <w:rFonts w:eastAsia="Times New Roman" w:cstheme="minorHAnsi"/>
          <w:lang w:eastAsia="en-AU"/>
        </w:rPr>
        <w:t xml:space="preserve"> </w:t>
      </w:r>
      <w:r>
        <w:rPr>
          <w:rFonts w:eastAsia="Times New Roman" w:cstheme="minorHAnsi"/>
          <w:lang w:eastAsia="en-AU"/>
        </w:rPr>
        <w:t xml:space="preserve">the </w:t>
      </w:r>
      <w:r w:rsidRPr="00F372E2">
        <w:rPr>
          <w:rFonts w:eastAsia="Times New Roman" w:cstheme="minorHAnsi"/>
          <w:lang w:eastAsia="en-AU"/>
        </w:rPr>
        <w:t xml:space="preserve">implementation of reforms </w:t>
      </w:r>
      <w:r>
        <w:rPr>
          <w:rFonts w:eastAsia="Times New Roman" w:cstheme="minorHAnsi"/>
          <w:lang w:eastAsia="en-AU"/>
        </w:rPr>
        <w:t xml:space="preserve">is important to </w:t>
      </w:r>
      <w:r w:rsidRPr="00F372E2">
        <w:rPr>
          <w:rFonts w:eastAsia="Times New Roman" w:cstheme="minorHAnsi"/>
          <w:lang w:eastAsia="en-AU"/>
        </w:rPr>
        <w:t>allow the wine industry time to adjust. By avoiding major price shocks, a fair and equitable approach can be applied to reduce alcohol harm and address economic distortions while supporting the industry to transition away from major government subsidies. The Productivity Commission’s proposed dual tax system would facilitate introduction of an appropriate volumetric tax</w:t>
      </w:r>
      <w:r w:rsidR="002E40C7">
        <w:rPr>
          <w:rFonts w:eastAsia="Times New Roman" w:cstheme="minorHAnsi"/>
          <w:lang w:eastAsia="en-AU"/>
        </w:rPr>
        <w:t>;</w:t>
      </w:r>
      <w:r w:rsidRPr="00F372E2">
        <w:rPr>
          <w:rFonts w:eastAsia="Times New Roman" w:cstheme="minorHAnsi"/>
          <w:lang w:eastAsia="en-AU"/>
        </w:rPr>
        <w:t xml:space="preserve"> lifting excessively low rates of tax on cheap wine while leaving other products largely unaffected. The new volumetric component could initially be set at a level equal to the lowest effective rates currently applied ($2.99/Lal in 2014-15). By requiring producers to pay the larger of the existing </w:t>
      </w:r>
      <w:r>
        <w:rPr>
          <w:rFonts w:eastAsia="Times New Roman" w:cstheme="minorHAnsi"/>
          <w:lang w:eastAsia="en-AU"/>
        </w:rPr>
        <w:t>WET and the</w:t>
      </w:r>
      <w:r w:rsidRPr="00F372E2">
        <w:rPr>
          <w:rFonts w:eastAsia="Times New Roman" w:cstheme="minorHAnsi"/>
          <w:lang w:eastAsia="en-AU"/>
        </w:rPr>
        <w:t xml:space="preserve"> new volumetric component, the volumetric tax should be gradually lifted to capture an increasing proportion of excessive</w:t>
      </w:r>
      <w:r w:rsidR="002E40C7">
        <w:rPr>
          <w:rFonts w:eastAsia="Times New Roman" w:cstheme="minorHAnsi"/>
          <w:lang w:eastAsia="en-AU"/>
        </w:rPr>
        <w:t>ly cheap wine. This will allow the G</w:t>
      </w:r>
      <w:r w:rsidRPr="00F372E2">
        <w:rPr>
          <w:rFonts w:eastAsia="Times New Roman" w:cstheme="minorHAnsi"/>
          <w:lang w:eastAsia="en-AU"/>
        </w:rPr>
        <w:t xml:space="preserve">overnment </w:t>
      </w:r>
      <w:r>
        <w:rPr>
          <w:rFonts w:eastAsia="Times New Roman" w:cstheme="minorHAnsi"/>
          <w:lang w:eastAsia="en-AU"/>
        </w:rPr>
        <w:t xml:space="preserve">to </w:t>
      </w:r>
      <w:r w:rsidRPr="00F372E2">
        <w:rPr>
          <w:rFonts w:eastAsia="Times New Roman" w:cstheme="minorHAnsi"/>
          <w:lang w:eastAsia="en-AU"/>
        </w:rPr>
        <w:t xml:space="preserve">control the extent and rate of change, while delivering appropriate returns in revenue. </w:t>
      </w:r>
    </w:p>
    <w:p w14:paraId="265358F4" w14:textId="77777777" w:rsidR="00FE2CE2" w:rsidRDefault="00FE2CE2" w:rsidP="00FE2CE2">
      <w:pPr>
        <w:rPr>
          <w:rFonts w:eastAsia="Times New Roman" w:cstheme="minorHAnsi"/>
          <w:b/>
          <w:lang w:eastAsia="en-AU"/>
        </w:rPr>
      </w:pPr>
      <w:r>
        <w:rPr>
          <w:rFonts w:eastAsia="Times New Roman" w:cstheme="minorHAnsi"/>
          <w:b/>
          <w:lang w:eastAsia="en-AU"/>
        </w:rPr>
        <w:br w:type="page"/>
      </w:r>
    </w:p>
    <w:p w14:paraId="668858F6" w14:textId="6F66A9C5" w:rsidR="00FE2CE2" w:rsidRPr="00F372E2" w:rsidRDefault="00FE2CE2" w:rsidP="00FE2CE2">
      <w:pPr>
        <w:rPr>
          <w:rFonts w:eastAsia="Times New Roman" w:cstheme="minorHAnsi"/>
          <w:b/>
          <w:lang w:eastAsia="en-AU"/>
        </w:rPr>
      </w:pPr>
      <w:r w:rsidRPr="00F372E2">
        <w:rPr>
          <w:rFonts w:eastAsia="Times New Roman" w:cstheme="minorHAnsi"/>
          <w:b/>
          <w:lang w:eastAsia="en-AU"/>
        </w:rPr>
        <w:lastRenderedPageBreak/>
        <w:t xml:space="preserve">Figure </w:t>
      </w:r>
      <w:r w:rsidR="004D2712">
        <w:rPr>
          <w:rFonts w:eastAsia="Times New Roman" w:cstheme="minorHAnsi"/>
          <w:b/>
          <w:lang w:eastAsia="en-AU"/>
        </w:rPr>
        <w:t>5</w:t>
      </w:r>
      <w:r w:rsidRPr="00F372E2">
        <w:rPr>
          <w:rFonts w:eastAsia="Times New Roman" w:cstheme="minorHAnsi"/>
          <w:b/>
          <w:lang w:eastAsia="en-AU"/>
        </w:rPr>
        <w:t>. Current effective (specific) alcohol tax by beverage</w:t>
      </w:r>
    </w:p>
    <w:p w14:paraId="17C9CAC8" w14:textId="77777777" w:rsidR="00FE2CE2" w:rsidRPr="00F372E2" w:rsidRDefault="00FE2CE2" w:rsidP="00FE2CE2">
      <w:pPr>
        <w:rPr>
          <w:rFonts w:eastAsia="Times New Roman" w:cstheme="minorHAnsi"/>
          <w:lang w:eastAsia="en-AU"/>
        </w:rPr>
      </w:pPr>
      <w:r w:rsidRPr="00F372E2">
        <w:rPr>
          <w:rFonts w:eastAsia="Times New Roman" w:cstheme="minorHAnsi"/>
          <w:noProof/>
          <w:lang w:eastAsia="en-AU"/>
        </w:rPr>
        <w:drawing>
          <wp:inline distT="0" distB="0" distL="0" distR="0" wp14:anchorId="10EEC819" wp14:editId="337F1444">
            <wp:extent cx="5581650" cy="2524125"/>
            <wp:effectExtent l="0" t="0" r="0" b="9525"/>
            <wp:docPr id="25" name="Picture 25" descr="Chart E5–2: Current effective (specific) alcohol tax by be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E5–2: Current effective (specific) alcohol tax by bever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50" cy="2524125"/>
                    </a:xfrm>
                    <a:prstGeom prst="rect">
                      <a:avLst/>
                    </a:prstGeom>
                    <a:noFill/>
                    <a:ln>
                      <a:noFill/>
                    </a:ln>
                  </pic:spPr>
                </pic:pic>
              </a:graphicData>
            </a:graphic>
          </wp:inline>
        </w:drawing>
      </w:r>
    </w:p>
    <w:p w14:paraId="33752656" w14:textId="77777777" w:rsidR="00FE2CE2" w:rsidRPr="00712DC1" w:rsidRDefault="00FE2CE2" w:rsidP="00FE2CE2">
      <w:pPr>
        <w:rPr>
          <w:rFonts w:eastAsia="Times New Roman" w:cstheme="minorHAnsi"/>
          <w:i/>
          <w:sz w:val="18"/>
          <w:szCs w:val="18"/>
          <w:lang w:eastAsia="en-AU"/>
        </w:rPr>
      </w:pPr>
      <w:r w:rsidRPr="00712DC1">
        <w:rPr>
          <w:rFonts w:eastAsia="Times New Roman" w:cstheme="minorHAnsi"/>
          <w:i/>
          <w:sz w:val="18"/>
          <w:szCs w:val="18"/>
          <w:lang w:eastAsia="en-AU"/>
        </w:rPr>
        <w:t>Source: Reproduced from Henry, K., Harmer, J., Piggott, J., Ridout, H., &amp; Smith, G. (2009). Australia’s future tax system. Canberra, Commonwealth Treasury.</w:t>
      </w:r>
    </w:p>
    <w:p w14:paraId="304C7641" w14:textId="0978097E" w:rsidR="00FE2CE2" w:rsidRPr="00F372E2" w:rsidRDefault="00FE2CE2" w:rsidP="00F8393B">
      <w:pPr>
        <w:jc w:val="both"/>
        <w:rPr>
          <w:rFonts w:eastAsia="Times New Roman" w:cstheme="minorHAnsi"/>
          <w:lang w:eastAsia="en-AU"/>
        </w:rPr>
      </w:pPr>
      <w:r w:rsidRPr="00F372E2">
        <w:rPr>
          <w:rFonts w:eastAsia="Times New Roman" w:cstheme="minorHAnsi"/>
          <w:lang w:eastAsia="en-AU"/>
        </w:rPr>
        <w:t xml:space="preserve">Eventually, the volumetric rate should be set at a level commensurate to the alcohol strength of wine, half-way between full-strength draught beer and spirits (see Figure </w:t>
      </w:r>
      <w:r w:rsidR="004D2712">
        <w:rPr>
          <w:rFonts w:eastAsia="Times New Roman" w:cstheme="minorHAnsi"/>
          <w:lang w:eastAsia="en-AU"/>
        </w:rPr>
        <w:t>5</w:t>
      </w:r>
      <w:r w:rsidR="00F259B0">
        <w:rPr>
          <w:rFonts w:eastAsia="Times New Roman" w:cstheme="minorHAnsi"/>
          <w:lang w:eastAsia="en-AU"/>
        </w:rPr>
        <w:t xml:space="preserve"> above</w:t>
      </w:r>
      <w:r w:rsidRPr="00F372E2">
        <w:rPr>
          <w:rFonts w:eastAsia="Times New Roman" w:cstheme="minorHAnsi"/>
          <w:lang w:eastAsia="en-AU"/>
        </w:rPr>
        <w:t>). The outcome of these reforms would be an equitable, efficient and healthy approach that em</w:t>
      </w:r>
      <w:r w:rsidR="002E40C7">
        <w:rPr>
          <w:rFonts w:eastAsia="Times New Roman" w:cstheme="minorHAnsi"/>
          <w:lang w:eastAsia="en-AU"/>
        </w:rPr>
        <w:t>powers the G</w:t>
      </w:r>
      <w:r w:rsidRPr="00F372E2">
        <w:rPr>
          <w:rFonts w:eastAsia="Times New Roman" w:cstheme="minorHAnsi"/>
          <w:lang w:eastAsia="en-AU"/>
        </w:rPr>
        <w:t xml:space="preserve">overnment with a lever to address </w:t>
      </w:r>
      <w:r>
        <w:rPr>
          <w:rFonts w:eastAsia="Times New Roman" w:cstheme="minorHAnsi"/>
          <w:lang w:eastAsia="en-AU"/>
        </w:rPr>
        <w:t>spillover costs</w:t>
      </w:r>
      <w:r w:rsidRPr="00F372E2">
        <w:rPr>
          <w:rFonts w:eastAsia="Times New Roman" w:cstheme="minorHAnsi"/>
          <w:lang w:eastAsia="en-AU"/>
        </w:rPr>
        <w:t xml:space="preserve"> while providing a </w:t>
      </w:r>
      <w:r>
        <w:rPr>
          <w:rFonts w:eastAsia="Times New Roman" w:cstheme="minorHAnsi"/>
          <w:lang w:eastAsia="en-AU"/>
        </w:rPr>
        <w:t xml:space="preserve">more </w:t>
      </w:r>
      <w:r w:rsidRPr="00F372E2">
        <w:rPr>
          <w:rFonts w:eastAsia="Times New Roman" w:cstheme="minorHAnsi"/>
          <w:lang w:eastAsia="en-AU"/>
        </w:rPr>
        <w:t>level playing field for the alcohol industry.</w:t>
      </w:r>
    </w:p>
    <w:p w14:paraId="00615A42" w14:textId="77777777" w:rsidR="00FE2CE2" w:rsidRPr="00F372E2" w:rsidRDefault="00FE2CE2" w:rsidP="00F8393B">
      <w:pPr>
        <w:jc w:val="both"/>
        <w:rPr>
          <w:rFonts w:eastAsia="Times New Roman" w:cstheme="minorHAnsi"/>
          <w:lang w:eastAsia="en-AU"/>
        </w:rPr>
      </w:pPr>
      <w:r w:rsidRPr="00F372E2">
        <w:rPr>
          <w:rFonts w:eastAsia="Times New Roman" w:cstheme="minorHAnsi"/>
          <w:lang w:eastAsia="en-AU"/>
        </w:rPr>
        <w:t xml:space="preserve">Finally, the price of alcohol needs to more accurately reflect its costs to society. This includes direct costs to government, as well as indirect and social costs stemming from such issues as lost productivity and reduced quality of life. To start to address this disparity, the Government should increase all alcohol taxes by a minimum of 10 per cent.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FE2CE2" w:rsidRPr="00F372E2" w14:paraId="0D3D7BA7" w14:textId="77777777" w:rsidTr="00286EA9">
        <w:tc>
          <w:tcPr>
            <w:tcW w:w="9016" w:type="dxa"/>
            <w:shd w:val="clear" w:color="auto" w:fill="DEEAF6" w:themeFill="accent1" w:themeFillTint="33"/>
          </w:tcPr>
          <w:p w14:paraId="31D043C2" w14:textId="3FE54D56" w:rsidR="00FE2CE2" w:rsidRPr="00F372E2" w:rsidRDefault="00F8393B" w:rsidP="00F8393B">
            <w:pPr>
              <w:spacing w:after="160" w:line="259" w:lineRule="auto"/>
              <w:jc w:val="both"/>
              <w:rPr>
                <w:rFonts w:eastAsia="Times New Roman" w:cstheme="minorHAnsi"/>
                <w:b/>
                <w:lang w:eastAsia="en-AU"/>
              </w:rPr>
            </w:pPr>
            <w:r>
              <w:rPr>
                <w:rFonts w:eastAsia="Times New Roman" w:cstheme="minorHAnsi"/>
                <w:b/>
                <w:lang w:eastAsia="en-AU"/>
              </w:rPr>
              <w:br/>
            </w:r>
            <w:r w:rsidR="00FE2CE2" w:rsidRPr="00F372E2">
              <w:rPr>
                <w:rFonts w:eastAsia="Times New Roman" w:cstheme="minorHAnsi"/>
                <w:b/>
                <w:lang w:eastAsia="en-AU"/>
              </w:rPr>
              <w:t>Price impacts of increas</w:t>
            </w:r>
            <w:r w:rsidR="00FE2CE2">
              <w:rPr>
                <w:rFonts w:eastAsia="Times New Roman" w:cstheme="minorHAnsi"/>
                <w:b/>
                <w:lang w:eastAsia="en-AU"/>
              </w:rPr>
              <w:t>ing all alcohol taxes by a minimum of 10 per cent</w:t>
            </w:r>
          </w:p>
          <w:p w14:paraId="1DC442A5" w14:textId="77777777" w:rsidR="00FE2CE2" w:rsidRPr="00F372E2" w:rsidRDefault="00FE2CE2" w:rsidP="00F8393B">
            <w:pPr>
              <w:spacing w:after="160" w:line="259" w:lineRule="auto"/>
              <w:jc w:val="both"/>
              <w:rPr>
                <w:rFonts w:eastAsia="Times New Roman" w:cstheme="minorHAnsi"/>
                <w:lang w:eastAsia="en-AU"/>
              </w:rPr>
            </w:pPr>
            <w:r w:rsidRPr="00F372E2">
              <w:rPr>
                <w:rFonts w:eastAsia="Times New Roman" w:cstheme="minorHAnsi"/>
                <w:lang w:eastAsia="en-AU"/>
              </w:rPr>
              <w:t>Based on excise rates at August 201</w:t>
            </w:r>
            <w:r>
              <w:rPr>
                <w:rFonts w:eastAsia="Times New Roman" w:cstheme="minorHAnsi"/>
                <w:lang w:eastAsia="en-AU"/>
              </w:rPr>
              <w:t>8</w:t>
            </w:r>
            <w:r w:rsidRPr="00F372E2">
              <w:rPr>
                <w:rFonts w:eastAsia="Times New Roman" w:cstheme="minorHAnsi"/>
                <w:lang w:eastAsia="en-AU"/>
              </w:rPr>
              <w:t>, tax on a 375 mL can of Victorian Bitter would change from 9</w:t>
            </w:r>
            <w:r>
              <w:rPr>
                <w:rFonts w:eastAsia="Times New Roman" w:cstheme="minorHAnsi"/>
                <w:lang w:eastAsia="en-AU"/>
              </w:rPr>
              <w:t>2</w:t>
            </w:r>
            <w:r w:rsidRPr="00F372E2">
              <w:rPr>
                <w:rFonts w:eastAsia="Times New Roman" w:cstheme="minorHAnsi"/>
                <w:lang w:eastAsia="en-AU"/>
              </w:rPr>
              <w:t xml:space="preserve">c to </w:t>
            </w:r>
            <w:r>
              <w:rPr>
                <w:rFonts w:eastAsia="Times New Roman" w:cstheme="minorHAnsi"/>
                <w:lang w:eastAsia="en-AU"/>
              </w:rPr>
              <w:t>$1.01</w:t>
            </w:r>
            <w:r w:rsidRPr="00F372E2">
              <w:rPr>
                <w:rFonts w:eastAsia="Times New Roman" w:cstheme="minorHAnsi"/>
                <w:lang w:eastAsia="en-AU"/>
              </w:rPr>
              <w:t>, representing an increase of less than 10c. This would equate to a 2 per cent increase on a can costing $4. The tax on a carton of 24 cans of Victorian Bitter would change from $2</w:t>
            </w:r>
            <w:r>
              <w:rPr>
                <w:rFonts w:eastAsia="Times New Roman" w:cstheme="minorHAnsi"/>
                <w:lang w:eastAsia="en-AU"/>
              </w:rPr>
              <w:t>2</w:t>
            </w:r>
            <w:r w:rsidRPr="00F372E2">
              <w:rPr>
                <w:rFonts w:eastAsia="Times New Roman" w:cstheme="minorHAnsi"/>
                <w:lang w:eastAsia="en-AU"/>
              </w:rPr>
              <w:t>.</w:t>
            </w:r>
            <w:r>
              <w:rPr>
                <w:rFonts w:eastAsia="Times New Roman" w:cstheme="minorHAnsi"/>
                <w:lang w:eastAsia="en-AU"/>
              </w:rPr>
              <w:t>08</w:t>
            </w:r>
            <w:r w:rsidRPr="00F372E2">
              <w:rPr>
                <w:rFonts w:eastAsia="Times New Roman" w:cstheme="minorHAnsi"/>
                <w:lang w:eastAsia="en-AU"/>
              </w:rPr>
              <w:t xml:space="preserve"> to $</w:t>
            </w:r>
            <w:r>
              <w:rPr>
                <w:rFonts w:eastAsia="Times New Roman" w:cstheme="minorHAnsi"/>
                <w:lang w:eastAsia="en-AU"/>
              </w:rPr>
              <w:t>24.29</w:t>
            </w:r>
            <w:r w:rsidRPr="00F372E2">
              <w:rPr>
                <w:rFonts w:eastAsia="Times New Roman" w:cstheme="minorHAnsi"/>
                <w:lang w:eastAsia="en-AU"/>
              </w:rPr>
              <w:t>, representing an increase of $</w:t>
            </w:r>
            <w:r>
              <w:rPr>
                <w:rFonts w:eastAsia="Times New Roman" w:cstheme="minorHAnsi"/>
                <w:lang w:eastAsia="en-AU"/>
              </w:rPr>
              <w:t>3</w:t>
            </w:r>
            <w:r w:rsidRPr="00F372E2">
              <w:rPr>
                <w:rFonts w:eastAsia="Times New Roman" w:cstheme="minorHAnsi"/>
                <w:lang w:eastAsia="en-AU"/>
              </w:rPr>
              <w:t>.</w:t>
            </w:r>
            <w:r>
              <w:rPr>
                <w:rFonts w:eastAsia="Times New Roman" w:cstheme="minorHAnsi"/>
                <w:lang w:eastAsia="en-AU"/>
              </w:rPr>
              <w:t>21</w:t>
            </w:r>
            <w:r w:rsidRPr="00F372E2">
              <w:rPr>
                <w:rFonts w:eastAsia="Times New Roman" w:cstheme="minorHAnsi"/>
                <w:lang w:eastAsia="en-AU"/>
              </w:rPr>
              <w:t>. This would equate to a 4</w:t>
            </w:r>
            <w:r>
              <w:rPr>
                <w:rFonts w:eastAsia="Times New Roman" w:cstheme="minorHAnsi"/>
                <w:lang w:eastAsia="en-AU"/>
              </w:rPr>
              <w:t>.8</w:t>
            </w:r>
            <w:r w:rsidRPr="00F372E2">
              <w:rPr>
                <w:rFonts w:eastAsia="Times New Roman" w:cstheme="minorHAnsi"/>
                <w:lang w:eastAsia="en-AU"/>
              </w:rPr>
              <w:t xml:space="preserve"> per cent increase on a carton costing $50. Similarly, the tax on a 700 mL bottle of Jim Beam would change from $23.</w:t>
            </w:r>
            <w:r>
              <w:rPr>
                <w:rFonts w:eastAsia="Times New Roman" w:cstheme="minorHAnsi"/>
                <w:lang w:eastAsia="en-AU"/>
              </w:rPr>
              <w:t>66</w:t>
            </w:r>
            <w:r w:rsidRPr="00F372E2">
              <w:rPr>
                <w:rFonts w:eastAsia="Times New Roman" w:cstheme="minorHAnsi"/>
                <w:lang w:eastAsia="en-AU"/>
              </w:rPr>
              <w:t xml:space="preserve"> to $2</w:t>
            </w:r>
            <w:r>
              <w:rPr>
                <w:rFonts w:eastAsia="Times New Roman" w:cstheme="minorHAnsi"/>
                <w:lang w:eastAsia="en-AU"/>
              </w:rPr>
              <w:t>6</w:t>
            </w:r>
            <w:r w:rsidRPr="00F372E2">
              <w:rPr>
                <w:rFonts w:eastAsia="Times New Roman" w:cstheme="minorHAnsi"/>
                <w:lang w:eastAsia="en-AU"/>
              </w:rPr>
              <w:t>.</w:t>
            </w:r>
            <w:r>
              <w:rPr>
                <w:rFonts w:eastAsia="Times New Roman" w:cstheme="minorHAnsi"/>
                <w:lang w:eastAsia="en-AU"/>
              </w:rPr>
              <w:t>02</w:t>
            </w:r>
            <w:r w:rsidRPr="00F372E2">
              <w:rPr>
                <w:rFonts w:eastAsia="Times New Roman" w:cstheme="minorHAnsi"/>
                <w:lang w:eastAsia="en-AU"/>
              </w:rPr>
              <w:t>, representing an increase of $2.</w:t>
            </w:r>
            <w:r>
              <w:rPr>
                <w:rFonts w:eastAsia="Times New Roman" w:cstheme="minorHAnsi"/>
                <w:lang w:eastAsia="en-AU"/>
              </w:rPr>
              <w:t>36</w:t>
            </w:r>
            <w:r w:rsidRPr="00F372E2">
              <w:rPr>
                <w:rFonts w:eastAsia="Times New Roman" w:cstheme="minorHAnsi"/>
                <w:lang w:eastAsia="en-AU"/>
              </w:rPr>
              <w:t>. This would equate to a 6</w:t>
            </w:r>
            <w:r>
              <w:rPr>
                <w:rFonts w:eastAsia="Times New Roman" w:cstheme="minorHAnsi"/>
                <w:lang w:eastAsia="en-AU"/>
              </w:rPr>
              <w:t>.2</w:t>
            </w:r>
            <w:r w:rsidRPr="00F372E2">
              <w:rPr>
                <w:rFonts w:eastAsia="Times New Roman" w:cstheme="minorHAnsi"/>
                <w:lang w:eastAsia="en-AU"/>
              </w:rPr>
              <w:t xml:space="preserve"> per cent increase on a bottle costing $38.</w:t>
            </w:r>
          </w:p>
        </w:tc>
      </w:tr>
    </w:tbl>
    <w:p w14:paraId="0ABD62A1" w14:textId="77777777" w:rsidR="00FE2CE2" w:rsidRPr="00F372E2" w:rsidRDefault="00FE2CE2" w:rsidP="00F8393B">
      <w:pPr>
        <w:jc w:val="both"/>
        <w:rPr>
          <w:rFonts w:eastAsia="Times New Roman" w:cstheme="minorHAnsi"/>
          <w:lang w:eastAsia="en-AU"/>
        </w:rPr>
      </w:pPr>
    </w:p>
    <w:p w14:paraId="1E7D6D5E" w14:textId="383008A7" w:rsidR="00FE2CE2" w:rsidRPr="00F372E2" w:rsidRDefault="00FE2CE2" w:rsidP="00F8393B">
      <w:pPr>
        <w:jc w:val="both"/>
        <w:rPr>
          <w:rFonts w:eastAsia="Times New Roman" w:cstheme="minorHAnsi"/>
          <w:lang w:eastAsia="en-AU"/>
        </w:rPr>
      </w:pPr>
      <w:r w:rsidRPr="00F372E2">
        <w:rPr>
          <w:rFonts w:eastAsia="Times New Roman" w:cstheme="minorHAnsi"/>
          <w:lang w:eastAsia="en-AU"/>
        </w:rPr>
        <w:t>Through Computable General Equilibrium (CGE) modelling, ACIL Allen</w:t>
      </w:r>
      <w:r>
        <w:rPr>
          <w:rFonts w:eastAsia="Times New Roman" w:cstheme="minorHAnsi"/>
          <w:lang w:eastAsia="en-AU"/>
        </w:rPr>
        <w:t>s</w:t>
      </w:r>
      <w:r w:rsidRPr="00F372E2">
        <w:rPr>
          <w:rFonts w:eastAsia="Times New Roman" w:cstheme="minorHAnsi"/>
          <w:lang w:eastAsia="en-AU"/>
        </w:rPr>
        <w:t xml:space="preserve"> </w:t>
      </w:r>
      <w:r>
        <w:rPr>
          <w:rFonts w:eastAsia="Times New Roman" w:cstheme="minorHAnsi"/>
          <w:lang w:eastAsia="en-AU"/>
        </w:rPr>
        <w:t xml:space="preserve">have found that the outcome of setting a volumetric tax for wine, set at a rate half-way between draught beer and spirits, and increasing all alcohol taxes by a minimum of 10 per cent would deliver additional revenue to governments of </w:t>
      </w:r>
      <w:r w:rsidRPr="00F372E2">
        <w:rPr>
          <w:rFonts w:eastAsia="Times New Roman" w:cstheme="minorHAnsi"/>
          <w:lang w:eastAsia="en-AU"/>
        </w:rPr>
        <w:t>$2.9 billion per annum and reduce</w:t>
      </w:r>
      <w:r>
        <w:rPr>
          <w:rFonts w:eastAsia="Times New Roman" w:cstheme="minorHAnsi"/>
          <w:lang w:eastAsia="en-AU"/>
        </w:rPr>
        <w:t xml:space="preserve"> alcohol</w:t>
      </w:r>
      <w:r w:rsidRPr="00F372E2">
        <w:rPr>
          <w:rFonts w:eastAsia="Times New Roman" w:cstheme="minorHAnsi"/>
          <w:lang w:eastAsia="en-AU"/>
        </w:rPr>
        <w:t xml:space="preserve"> consumption by 9.4 per cent</w:t>
      </w:r>
      <w:r w:rsidR="004348D5">
        <w:rPr>
          <w:rStyle w:val="EndnoteReference"/>
          <w:rFonts w:eastAsia="Times New Roman" w:cstheme="minorHAnsi"/>
          <w:lang w:eastAsia="en-AU"/>
        </w:rPr>
        <w:endnoteReference w:id="52"/>
      </w:r>
      <w:r w:rsidRPr="00F372E2">
        <w:rPr>
          <w:rFonts w:eastAsia="Times New Roman" w:cstheme="minorHAnsi"/>
          <w:lang w:eastAsia="en-AU"/>
        </w:rPr>
        <w:t>.</w:t>
      </w:r>
    </w:p>
    <w:p w14:paraId="4CD96F70" w14:textId="77777777" w:rsidR="00FE2CE2" w:rsidRDefault="00FE2CE2" w:rsidP="00FE2CE2">
      <w:pPr>
        <w:rPr>
          <w:rFonts w:eastAsia="Times New Roman" w:cstheme="minorHAnsi"/>
          <w:b/>
          <w:iCs/>
          <w:sz w:val="24"/>
          <w:lang w:eastAsia="en-AU"/>
        </w:rPr>
      </w:pPr>
      <w:bookmarkStart w:id="33" w:name="_Toc410993200"/>
      <w:bookmarkStart w:id="34" w:name="_Toc444612626"/>
      <w:r>
        <w:rPr>
          <w:rFonts w:eastAsia="Times New Roman" w:cstheme="minorHAnsi"/>
          <w:b/>
          <w:iCs/>
          <w:sz w:val="24"/>
          <w:lang w:eastAsia="en-AU"/>
        </w:rPr>
        <w:br w:type="page"/>
      </w:r>
    </w:p>
    <w:p w14:paraId="4C94EFAF" w14:textId="77777777" w:rsidR="00FE2CE2" w:rsidRPr="00F77D47" w:rsidRDefault="00FE2CE2" w:rsidP="00FE2CE2">
      <w:pPr>
        <w:rPr>
          <w:rFonts w:eastAsia="Times New Roman" w:cstheme="minorHAnsi"/>
          <w:b/>
          <w:iCs/>
          <w:sz w:val="24"/>
          <w:lang w:eastAsia="en-AU"/>
        </w:rPr>
      </w:pPr>
      <w:r w:rsidRPr="00F77D47">
        <w:rPr>
          <w:rFonts w:eastAsia="Times New Roman" w:cstheme="minorHAnsi"/>
          <w:b/>
          <w:iCs/>
          <w:sz w:val="24"/>
          <w:lang w:eastAsia="en-AU"/>
        </w:rPr>
        <w:lastRenderedPageBreak/>
        <w:t>Recommendation</w:t>
      </w:r>
    </w:p>
    <w:bookmarkEnd w:id="33"/>
    <w:bookmarkEnd w:id="34"/>
    <w:p w14:paraId="08BBD7CE" w14:textId="00F94D20" w:rsidR="00FE2CE2" w:rsidRPr="003710D2" w:rsidRDefault="00FE2CE2" w:rsidP="00F8393B">
      <w:pPr>
        <w:numPr>
          <w:ilvl w:val="0"/>
          <w:numId w:val="4"/>
        </w:numPr>
        <w:jc w:val="both"/>
        <w:rPr>
          <w:rFonts w:eastAsia="Times New Roman" w:cstheme="minorHAnsi"/>
          <w:b/>
          <w:lang w:eastAsia="en-AU"/>
        </w:rPr>
      </w:pPr>
      <w:r w:rsidRPr="003710D2">
        <w:rPr>
          <w:rFonts w:eastAsia="Times New Roman" w:cstheme="minorHAnsi"/>
          <w:b/>
          <w:lang w:eastAsia="en-AU"/>
        </w:rPr>
        <w:t>That the Government reform the alcohol tax system through a phased approach that will save in excess of $2.9 billion annually and reduce consumption by more than 9.4 per cent. This should include:</w:t>
      </w:r>
    </w:p>
    <w:p w14:paraId="2952BB66" w14:textId="1D4E7F2C" w:rsidR="00FE2CE2" w:rsidRPr="003710D2" w:rsidRDefault="00FE2CE2" w:rsidP="00F8393B">
      <w:pPr>
        <w:pStyle w:val="ListParagraph"/>
        <w:numPr>
          <w:ilvl w:val="0"/>
          <w:numId w:val="6"/>
        </w:numPr>
        <w:jc w:val="both"/>
        <w:rPr>
          <w:rFonts w:eastAsia="Times New Roman" w:cstheme="minorHAnsi"/>
          <w:b/>
          <w:lang w:eastAsia="en-AU"/>
        </w:rPr>
      </w:pPr>
      <w:r w:rsidRPr="003710D2">
        <w:rPr>
          <w:rFonts w:eastAsia="Times New Roman" w:cstheme="minorHAnsi"/>
          <w:b/>
          <w:lang w:eastAsia="en-AU"/>
        </w:rPr>
        <w:t>Introducing a volumetric tax alongside the current WET and requiring produce</w:t>
      </w:r>
      <w:r w:rsidR="00237C41">
        <w:rPr>
          <w:rFonts w:eastAsia="Times New Roman" w:cstheme="minorHAnsi"/>
          <w:b/>
          <w:lang w:eastAsia="en-AU"/>
        </w:rPr>
        <w:t>rs to pay the larger of the two</w:t>
      </w:r>
    </w:p>
    <w:p w14:paraId="65EC0F6B" w14:textId="6C219B78" w:rsidR="00FE2CE2" w:rsidRPr="003710D2" w:rsidRDefault="00FE2CE2" w:rsidP="00F8393B">
      <w:pPr>
        <w:pStyle w:val="ListParagraph"/>
        <w:numPr>
          <w:ilvl w:val="0"/>
          <w:numId w:val="6"/>
        </w:numPr>
        <w:jc w:val="both"/>
        <w:rPr>
          <w:rFonts w:eastAsia="Times New Roman" w:cstheme="minorHAnsi"/>
          <w:b/>
          <w:lang w:eastAsia="en-AU"/>
        </w:rPr>
      </w:pPr>
      <w:r w:rsidRPr="003710D2">
        <w:rPr>
          <w:rFonts w:eastAsia="Times New Roman" w:cstheme="minorHAnsi"/>
          <w:b/>
          <w:lang w:eastAsia="en-AU"/>
        </w:rPr>
        <w:t>Lifting the volumetric rate over time to capture an increasing propo</w:t>
      </w:r>
      <w:r w:rsidR="00237C41">
        <w:rPr>
          <w:rFonts w:eastAsia="Times New Roman" w:cstheme="minorHAnsi"/>
          <w:b/>
          <w:lang w:eastAsia="en-AU"/>
        </w:rPr>
        <w:t>rtion of excessively cheap wine</w:t>
      </w:r>
    </w:p>
    <w:p w14:paraId="2C187422" w14:textId="07E35F02" w:rsidR="00FE2CE2" w:rsidRPr="003710D2" w:rsidRDefault="00FE2CE2" w:rsidP="00F8393B">
      <w:pPr>
        <w:pStyle w:val="ListParagraph"/>
        <w:numPr>
          <w:ilvl w:val="0"/>
          <w:numId w:val="6"/>
        </w:numPr>
        <w:jc w:val="both"/>
        <w:rPr>
          <w:rFonts w:eastAsia="Times New Roman" w:cstheme="minorHAnsi"/>
          <w:b/>
          <w:lang w:eastAsia="en-AU"/>
        </w:rPr>
      </w:pPr>
      <w:r w:rsidRPr="003710D2">
        <w:rPr>
          <w:rFonts w:eastAsia="Times New Roman" w:cstheme="minorHAnsi"/>
          <w:b/>
          <w:lang w:eastAsia="en-AU"/>
        </w:rPr>
        <w:t>Fix</w:t>
      </w:r>
      <w:r w:rsidR="008D744A">
        <w:rPr>
          <w:rFonts w:eastAsia="Times New Roman" w:cstheme="minorHAnsi"/>
          <w:b/>
          <w:lang w:eastAsia="en-AU"/>
        </w:rPr>
        <w:t>ing</w:t>
      </w:r>
      <w:r w:rsidRPr="003710D2">
        <w:rPr>
          <w:rFonts w:eastAsia="Times New Roman" w:cstheme="minorHAnsi"/>
          <w:b/>
          <w:lang w:eastAsia="en-AU"/>
        </w:rPr>
        <w:t xml:space="preserve"> the volumetric tax on wine at a level commensurate with its strength, half way between full-st</w:t>
      </w:r>
      <w:r w:rsidR="00237C41">
        <w:rPr>
          <w:rFonts w:eastAsia="Times New Roman" w:cstheme="minorHAnsi"/>
          <w:b/>
          <w:lang w:eastAsia="en-AU"/>
        </w:rPr>
        <w:t>rength draught beer and spirits</w:t>
      </w:r>
    </w:p>
    <w:p w14:paraId="412C0448" w14:textId="46B6A7D3" w:rsidR="00FE2CE2" w:rsidRPr="003710D2" w:rsidRDefault="00FE2CE2" w:rsidP="00F8393B">
      <w:pPr>
        <w:pStyle w:val="ListParagraph"/>
        <w:numPr>
          <w:ilvl w:val="0"/>
          <w:numId w:val="6"/>
        </w:numPr>
        <w:jc w:val="both"/>
        <w:rPr>
          <w:rFonts w:eastAsia="Times New Roman" w:cstheme="minorHAnsi"/>
          <w:b/>
          <w:lang w:eastAsia="en-AU"/>
        </w:rPr>
      </w:pPr>
      <w:r w:rsidRPr="003710D2">
        <w:rPr>
          <w:rFonts w:eastAsia="Times New Roman" w:cstheme="minorHAnsi"/>
          <w:b/>
          <w:lang w:eastAsia="en-AU"/>
        </w:rPr>
        <w:t>Abolishing the economically</w:t>
      </w:r>
      <w:r w:rsidR="00F7504C">
        <w:rPr>
          <w:rFonts w:eastAsia="Times New Roman" w:cstheme="minorHAnsi"/>
          <w:b/>
          <w:lang w:eastAsia="en-AU"/>
        </w:rPr>
        <w:t xml:space="preserve"> </w:t>
      </w:r>
      <w:r w:rsidRPr="003710D2">
        <w:rPr>
          <w:rFonts w:eastAsia="Times New Roman" w:cstheme="minorHAnsi"/>
          <w:b/>
          <w:lang w:eastAsia="en-AU"/>
        </w:rPr>
        <w:t>distorting W</w:t>
      </w:r>
      <w:r w:rsidR="00237C41">
        <w:rPr>
          <w:rFonts w:eastAsia="Times New Roman" w:cstheme="minorHAnsi"/>
          <w:b/>
          <w:lang w:eastAsia="en-AU"/>
        </w:rPr>
        <w:t>ET Rebate</w:t>
      </w:r>
    </w:p>
    <w:p w14:paraId="50AD2661" w14:textId="3E597BEC" w:rsidR="00FE2CE2" w:rsidRPr="003710D2" w:rsidRDefault="008D744A" w:rsidP="00F8393B">
      <w:pPr>
        <w:pStyle w:val="ListParagraph"/>
        <w:numPr>
          <w:ilvl w:val="0"/>
          <w:numId w:val="6"/>
        </w:numPr>
        <w:jc w:val="both"/>
        <w:rPr>
          <w:rFonts w:eastAsia="Times New Roman" w:cstheme="minorHAnsi"/>
          <w:b/>
          <w:lang w:eastAsia="en-AU"/>
        </w:rPr>
      </w:pPr>
      <w:r>
        <w:rPr>
          <w:rFonts w:eastAsia="Times New Roman" w:cstheme="minorHAnsi"/>
          <w:b/>
          <w:lang w:eastAsia="en-AU"/>
        </w:rPr>
        <w:t>Increasing</w:t>
      </w:r>
      <w:r w:rsidR="00FE2CE2" w:rsidRPr="003710D2">
        <w:rPr>
          <w:rFonts w:eastAsia="Times New Roman" w:cstheme="minorHAnsi"/>
          <w:b/>
          <w:lang w:eastAsia="en-AU"/>
        </w:rPr>
        <w:t xml:space="preserve"> all alcohol tax by at least 10 per cent, to address negative externalities associated with the liquor trade.</w:t>
      </w:r>
    </w:p>
    <w:p w14:paraId="1DA64A7B" w14:textId="525BC8D0" w:rsidR="00FE2CE2" w:rsidRPr="0011055B" w:rsidRDefault="00070DC7" w:rsidP="00FE2CE2">
      <w:pPr>
        <w:pStyle w:val="Heading1"/>
        <w:rPr>
          <w:lang w:eastAsia="en-AU"/>
        </w:rPr>
      </w:pPr>
      <w:bookmarkStart w:id="35" w:name="_Toc529888070"/>
      <w:bookmarkStart w:id="36" w:name="_Toc532385407"/>
      <w:bookmarkStart w:id="37" w:name="_Toc532809057"/>
      <w:r>
        <w:rPr>
          <w:lang w:eastAsia="en-AU"/>
        </w:rPr>
        <w:t>Simplify alcohol taxation for beer and e</w:t>
      </w:r>
      <w:r w:rsidR="00FE2CE2" w:rsidRPr="0011055B">
        <w:rPr>
          <w:lang w:eastAsia="en-AU"/>
        </w:rPr>
        <w:t>nd the favourable treatment of big beer</w:t>
      </w:r>
      <w:bookmarkEnd w:id="35"/>
      <w:bookmarkEnd w:id="36"/>
      <w:bookmarkEnd w:id="37"/>
      <w:r w:rsidR="003D76A6">
        <w:rPr>
          <w:lang w:eastAsia="en-AU"/>
        </w:rPr>
        <w:t xml:space="preserve"> </w:t>
      </w:r>
    </w:p>
    <w:p w14:paraId="1516554E" w14:textId="64D189C8" w:rsidR="00DF0CF9" w:rsidRDefault="004B19BB" w:rsidP="00F8393B">
      <w:pPr>
        <w:jc w:val="both"/>
        <w:rPr>
          <w:rFonts w:eastAsia="Cambria" w:cs="Times New Roman"/>
          <w:bCs/>
          <w:lang w:eastAsia="en-US"/>
        </w:rPr>
      </w:pPr>
      <w:r>
        <w:rPr>
          <w:rFonts w:eastAsia="Times New Roman" w:cstheme="minorHAnsi"/>
          <w:lang w:eastAsia="en-AU"/>
        </w:rPr>
        <w:t>Reform of the alcohol taxation system must also prioritise simplifying alcohol excises</w:t>
      </w:r>
      <w:r w:rsidR="00DC0B9C">
        <w:rPr>
          <w:rFonts w:eastAsia="Times New Roman" w:cstheme="minorHAnsi"/>
          <w:lang w:eastAsia="en-AU"/>
        </w:rPr>
        <w:t xml:space="preserve"> for beer</w:t>
      </w:r>
      <w:r>
        <w:rPr>
          <w:rFonts w:eastAsia="Times New Roman" w:cstheme="minorHAnsi"/>
          <w:lang w:eastAsia="en-AU"/>
        </w:rPr>
        <w:t xml:space="preserve">. </w:t>
      </w:r>
      <w:r w:rsidR="00096509" w:rsidRPr="00096509">
        <w:rPr>
          <w:rFonts w:eastAsia="Cambria" w:cs="Times New Roman"/>
          <w:bCs/>
          <w:lang w:eastAsia="en-US"/>
        </w:rPr>
        <w:t xml:space="preserve">There are </w:t>
      </w:r>
      <w:r w:rsidR="00096509" w:rsidRPr="00096509">
        <w:rPr>
          <w:rFonts w:ascii="Calibri" w:eastAsia="Cambria" w:hAnsi="Calibri" w:cs="Times New Roman"/>
          <w:bCs/>
          <w:color w:val="000000"/>
          <w:szCs w:val="24"/>
          <w:lang w:eastAsia="en-US"/>
        </w:rPr>
        <w:t>eight different excise categories for beer</w:t>
      </w:r>
      <w:r w:rsidR="00237C41">
        <w:rPr>
          <w:rFonts w:ascii="Calibri" w:eastAsia="Cambria" w:hAnsi="Calibri" w:cs="Times New Roman"/>
          <w:bCs/>
          <w:color w:val="000000"/>
          <w:szCs w:val="24"/>
          <w:lang w:eastAsia="en-US"/>
        </w:rPr>
        <w:t>,</w:t>
      </w:r>
      <w:r w:rsidR="00096509" w:rsidRPr="00096509">
        <w:rPr>
          <w:rFonts w:ascii="Calibri" w:eastAsia="Cambria" w:hAnsi="Calibri" w:cs="Times New Roman"/>
          <w:bCs/>
          <w:color w:val="000000"/>
          <w:szCs w:val="24"/>
          <w:lang w:eastAsia="en-US"/>
        </w:rPr>
        <w:t xml:space="preserve"> effective 1 August 2018, and seven different rates</w:t>
      </w:r>
      <w:r w:rsidR="00096509" w:rsidRPr="00096509">
        <w:rPr>
          <w:rFonts w:eastAsia="Cambria" w:cs="Times New Roman"/>
          <w:bCs/>
          <w:lang w:eastAsia="en-US"/>
        </w:rPr>
        <w:t xml:space="preserve"> levied on commercially produced beer</w:t>
      </w:r>
      <w:r w:rsidR="00096509" w:rsidRPr="00096509">
        <w:rPr>
          <w:rFonts w:eastAsia="Cambria" w:cs="Times New Roman"/>
          <w:bCs/>
          <w:vertAlign w:val="superscript"/>
          <w:lang w:eastAsia="en-US"/>
        </w:rPr>
        <w:endnoteReference w:id="53"/>
      </w:r>
      <w:r w:rsidR="00096509" w:rsidRPr="00096509">
        <w:rPr>
          <w:rFonts w:eastAsia="Cambria" w:cs="Times New Roman"/>
          <w:bCs/>
          <w:lang w:eastAsia="en-US"/>
        </w:rPr>
        <w:t>.</w:t>
      </w:r>
      <w:r w:rsidR="002E40C7">
        <w:rPr>
          <w:rFonts w:eastAsia="Cambria" w:cs="Times New Roman"/>
          <w:bCs/>
          <w:lang w:eastAsia="en-US"/>
        </w:rPr>
        <w:t xml:space="preserve">  The Henry</w:t>
      </w:r>
      <w:r>
        <w:rPr>
          <w:rFonts w:eastAsia="Cambria" w:cs="Times New Roman"/>
          <w:bCs/>
          <w:lang w:eastAsia="en-US"/>
        </w:rPr>
        <w:t xml:space="preserve"> Review and the</w:t>
      </w:r>
      <w:r w:rsidR="00D6314A">
        <w:rPr>
          <w:rFonts w:eastAsia="Cambria" w:cs="Times New Roman"/>
          <w:bCs/>
          <w:lang w:eastAsia="en-US"/>
        </w:rPr>
        <w:t xml:space="preserve"> five year</w:t>
      </w:r>
      <w:r>
        <w:rPr>
          <w:rFonts w:eastAsia="Cambria" w:cs="Times New Roman"/>
          <w:bCs/>
          <w:lang w:eastAsia="en-US"/>
        </w:rPr>
        <w:t xml:space="preserve"> Productivity Commission</w:t>
      </w:r>
      <w:r w:rsidR="00D6314A">
        <w:rPr>
          <w:rFonts w:eastAsia="Cambria" w:cs="Times New Roman"/>
          <w:bCs/>
          <w:lang w:eastAsia="en-US"/>
        </w:rPr>
        <w:t xml:space="preserve"> review</w:t>
      </w:r>
      <w:r>
        <w:rPr>
          <w:rFonts w:eastAsia="Cambria" w:cs="Times New Roman"/>
          <w:bCs/>
          <w:lang w:eastAsia="en-US"/>
        </w:rPr>
        <w:t xml:space="preserve"> have both recommended </w:t>
      </w:r>
      <w:r w:rsidR="00A6770C">
        <w:rPr>
          <w:rFonts w:eastAsia="Cambria" w:cs="Times New Roman"/>
          <w:bCs/>
          <w:lang w:eastAsia="en-US"/>
        </w:rPr>
        <w:t>phasin</w:t>
      </w:r>
      <w:r w:rsidR="003F0572">
        <w:rPr>
          <w:rFonts w:eastAsia="Cambria" w:cs="Times New Roman"/>
          <w:bCs/>
          <w:lang w:eastAsia="en-US"/>
        </w:rPr>
        <w:t>g</w:t>
      </w:r>
      <w:r w:rsidR="00A6770C">
        <w:rPr>
          <w:rFonts w:eastAsia="Cambria" w:cs="Times New Roman"/>
          <w:bCs/>
          <w:lang w:eastAsia="en-US"/>
        </w:rPr>
        <w:t xml:space="preserve"> out</w:t>
      </w:r>
      <w:r w:rsidR="003F0572">
        <w:rPr>
          <w:rFonts w:eastAsia="Cambria" w:cs="Times New Roman"/>
          <w:bCs/>
          <w:lang w:eastAsia="en-US"/>
        </w:rPr>
        <w:t xml:space="preserve"> </w:t>
      </w:r>
      <w:r>
        <w:rPr>
          <w:rFonts w:eastAsia="Cambria" w:cs="Times New Roman"/>
          <w:bCs/>
          <w:lang w:eastAsia="en-US"/>
        </w:rPr>
        <w:t xml:space="preserve">alcohol excise categories that provide concessional treatment for specific products. </w:t>
      </w:r>
    </w:p>
    <w:p w14:paraId="02EF1CCF" w14:textId="489B21EC" w:rsidR="009A2D02" w:rsidRPr="00116DB2" w:rsidRDefault="00AE6D01" w:rsidP="00F8393B">
      <w:pPr>
        <w:jc w:val="both"/>
        <w:rPr>
          <w:rFonts w:eastAsia="Times New Roman" w:cstheme="minorHAnsi"/>
          <w:lang w:eastAsia="en-AU"/>
        </w:rPr>
      </w:pPr>
      <w:r>
        <w:rPr>
          <w:rFonts w:eastAsia="Times New Roman" w:cstheme="minorHAnsi"/>
          <w:lang w:eastAsia="en-AU"/>
        </w:rPr>
        <w:t xml:space="preserve">One such area for reform is the </w:t>
      </w:r>
      <w:r w:rsidR="002A553A">
        <w:rPr>
          <w:rFonts w:eastAsia="Times New Roman" w:cstheme="minorHAnsi"/>
          <w:lang w:eastAsia="en-AU"/>
        </w:rPr>
        <w:t xml:space="preserve">concessional treatment </w:t>
      </w:r>
      <w:r>
        <w:rPr>
          <w:rFonts w:eastAsia="Times New Roman" w:cstheme="minorHAnsi"/>
          <w:lang w:eastAsia="en-AU"/>
        </w:rPr>
        <w:t>of</w:t>
      </w:r>
      <w:r w:rsidR="002A553A">
        <w:rPr>
          <w:rFonts w:eastAsia="Times New Roman" w:cstheme="minorHAnsi"/>
          <w:lang w:eastAsia="en-AU"/>
        </w:rPr>
        <w:t xml:space="preserve"> draught beer</w:t>
      </w:r>
      <w:r>
        <w:rPr>
          <w:rFonts w:eastAsia="Times New Roman" w:cstheme="minorHAnsi"/>
          <w:lang w:eastAsia="en-AU"/>
        </w:rPr>
        <w:t xml:space="preserve"> that currently has a lower taxation excise than packaged beer. </w:t>
      </w:r>
      <w:r w:rsidR="009A2D02">
        <w:rPr>
          <w:rFonts w:eastAsia="Times New Roman" w:cstheme="minorHAnsi"/>
          <w:lang w:eastAsia="en-AU"/>
        </w:rPr>
        <w:t xml:space="preserve">This </w:t>
      </w:r>
      <w:r w:rsidR="00D14162">
        <w:rPr>
          <w:rFonts w:eastAsia="Times New Roman" w:cstheme="minorHAnsi"/>
          <w:lang w:eastAsia="en-AU"/>
        </w:rPr>
        <w:t>measure is unfair and distorts the market to reward economies of scale, hence being detrimental to Australia’s smaller boutique</w:t>
      </w:r>
      <w:r w:rsidR="000124C0">
        <w:rPr>
          <w:rFonts w:eastAsia="Times New Roman" w:cstheme="minorHAnsi"/>
          <w:lang w:eastAsia="en-AU"/>
        </w:rPr>
        <w:t xml:space="preserve"> craft</w:t>
      </w:r>
      <w:r w:rsidR="00D14162">
        <w:rPr>
          <w:rFonts w:eastAsia="Times New Roman" w:cstheme="minorHAnsi"/>
          <w:lang w:eastAsia="en-AU"/>
        </w:rPr>
        <w:t xml:space="preserve"> brewers. </w:t>
      </w:r>
      <w:r w:rsidR="004C72DC">
        <w:rPr>
          <w:rFonts w:eastAsia="Times New Roman" w:cstheme="minorHAnsi"/>
          <w:lang w:eastAsia="en-AU"/>
        </w:rPr>
        <w:t>There is no evidence that draught beer consumed at licensed premises is less harmful than packaged beer. Accordingly, t</w:t>
      </w:r>
      <w:r w:rsidR="001869F3" w:rsidRPr="00F372E2">
        <w:rPr>
          <w:rFonts w:eastAsia="Times New Roman" w:cstheme="minorHAnsi"/>
          <w:lang w:eastAsia="en-AU"/>
        </w:rPr>
        <w:t>he tax on draught beer should be</w:t>
      </w:r>
      <w:r w:rsidR="001869F3">
        <w:rPr>
          <w:rFonts w:eastAsia="Times New Roman" w:cstheme="minorHAnsi"/>
          <w:lang w:eastAsia="en-AU"/>
        </w:rPr>
        <w:t xml:space="preserve"> increased</w:t>
      </w:r>
      <w:r w:rsidR="001869F3" w:rsidRPr="00F372E2">
        <w:rPr>
          <w:rFonts w:eastAsia="Times New Roman" w:cstheme="minorHAnsi"/>
          <w:lang w:eastAsia="en-AU"/>
        </w:rPr>
        <w:t xml:space="preserve"> to match that applied to packaged beer</w:t>
      </w:r>
      <w:r w:rsidR="001869F3">
        <w:rPr>
          <w:rFonts w:eastAsia="Times New Roman" w:cstheme="minorHAnsi"/>
          <w:lang w:eastAsia="en-AU"/>
        </w:rPr>
        <w:t xml:space="preserve"> to </w:t>
      </w:r>
      <w:r w:rsidR="001869F3" w:rsidRPr="00F372E2">
        <w:rPr>
          <w:rFonts w:eastAsia="Times New Roman" w:cstheme="minorHAnsi"/>
          <w:lang w:eastAsia="en-AU"/>
        </w:rPr>
        <w:t xml:space="preserve">allow fair competition for smaller producers, </w:t>
      </w:r>
      <w:r w:rsidR="001869F3">
        <w:rPr>
          <w:rFonts w:eastAsia="Times New Roman" w:cstheme="minorHAnsi"/>
          <w:lang w:eastAsia="en-AU"/>
        </w:rPr>
        <w:t xml:space="preserve">increase </w:t>
      </w:r>
      <w:r w:rsidR="001869F3" w:rsidRPr="00F372E2">
        <w:rPr>
          <w:rFonts w:eastAsia="Times New Roman" w:cstheme="minorHAnsi"/>
          <w:lang w:eastAsia="en-AU"/>
        </w:rPr>
        <w:t xml:space="preserve">government revenue and </w:t>
      </w:r>
      <w:r w:rsidR="001869F3">
        <w:rPr>
          <w:rFonts w:eastAsia="Times New Roman" w:cstheme="minorHAnsi"/>
          <w:lang w:eastAsia="en-AU"/>
        </w:rPr>
        <w:t xml:space="preserve">help to </w:t>
      </w:r>
      <w:r w:rsidR="001869F3" w:rsidRPr="00F372E2">
        <w:rPr>
          <w:rFonts w:eastAsia="Times New Roman" w:cstheme="minorHAnsi"/>
          <w:lang w:eastAsia="en-AU"/>
        </w:rPr>
        <w:t xml:space="preserve">address </w:t>
      </w:r>
      <w:r w:rsidR="001869F3">
        <w:rPr>
          <w:rFonts w:eastAsia="Times New Roman" w:cstheme="minorHAnsi"/>
          <w:lang w:eastAsia="en-AU"/>
        </w:rPr>
        <w:t>the spillover costs</w:t>
      </w:r>
      <w:r w:rsidR="001869F3" w:rsidRPr="00F372E2">
        <w:rPr>
          <w:rFonts w:eastAsia="Times New Roman" w:cstheme="minorHAnsi"/>
          <w:lang w:eastAsia="en-AU"/>
        </w:rPr>
        <w:t xml:space="preserve"> imposed by the alcohol industry.</w:t>
      </w:r>
    </w:p>
    <w:p w14:paraId="5057DDE8" w14:textId="7F25023C" w:rsidR="001869F3" w:rsidRDefault="000436D1" w:rsidP="00F8393B">
      <w:pPr>
        <w:jc w:val="both"/>
        <w:rPr>
          <w:rFonts w:eastAsia="Cambria" w:cs="Times New Roman"/>
          <w:bCs/>
          <w:lang w:eastAsia="en-US"/>
        </w:rPr>
      </w:pPr>
      <w:r>
        <w:rPr>
          <w:rFonts w:eastAsia="Times New Roman" w:cstheme="minorHAnsi"/>
          <w:lang w:eastAsia="en-AU"/>
        </w:rPr>
        <w:t>Similarly, it is</w:t>
      </w:r>
      <w:r w:rsidR="001869F3">
        <w:rPr>
          <w:rFonts w:eastAsia="Times New Roman" w:cstheme="minorHAnsi"/>
          <w:lang w:eastAsia="en-AU"/>
        </w:rPr>
        <w:t xml:space="preserve"> crucial that the government abandon its proposal to extend the tax concession currently applied to beer in kegs greater than 48 litres, to</w:t>
      </w:r>
      <w:r w:rsidR="008E1F1E">
        <w:rPr>
          <w:rFonts w:eastAsia="Times New Roman" w:cstheme="minorHAnsi"/>
          <w:lang w:eastAsia="en-AU"/>
        </w:rPr>
        <w:t xml:space="preserve"> those with a capacity between eight</w:t>
      </w:r>
      <w:r w:rsidR="001869F3">
        <w:rPr>
          <w:rFonts w:eastAsia="Times New Roman" w:cstheme="minorHAnsi"/>
          <w:lang w:eastAsia="en-AU"/>
        </w:rPr>
        <w:t xml:space="preserve"> to 48 litres inclusive. This proposal is unsupported by any prior governmental reviews of alcohol taxation, or </w:t>
      </w:r>
      <w:r w:rsidR="000124C0">
        <w:rPr>
          <w:rFonts w:eastAsia="Times New Roman" w:cstheme="minorHAnsi"/>
          <w:lang w:eastAsia="en-AU"/>
        </w:rPr>
        <w:t>a</w:t>
      </w:r>
      <w:r w:rsidR="00771EF4">
        <w:rPr>
          <w:rFonts w:eastAsia="Times New Roman" w:cstheme="minorHAnsi"/>
          <w:lang w:eastAsia="en-AU"/>
        </w:rPr>
        <w:t>ny other publically-</w:t>
      </w:r>
      <w:r w:rsidR="001869F3">
        <w:rPr>
          <w:rFonts w:eastAsia="Times New Roman" w:cstheme="minorHAnsi"/>
          <w:lang w:eastAsia="en-AU"/>
        </w:rPr>
        <w:t xml:space="preserve">available </w:t>
      </w:r>
      <w:r w:rsidR="00267232">
        <w:rPr>
          <w:rFonts w:eastAsia="Times New Roman" w:cstheme="minorHAnsi"/>
          <w:lang w:eastAsia="en-AU"/>
        </w:rPr>
        <w:t>economic</w:t>
      </w:r>
      <w:r w:rsidR="001869F3">
        <w:rPr>
          <w:rFonts w:eastAsia="Times New Roman" w:cstheme="minorHAnsi"/>
          <w:lang w:eastAsia="en-AU"/>
        </w:rPr>
        <w:t xml:space="preserve"> modelling.  It will further increase the complexity of the alcohol taxation system, further erode tax revenue and has the potential to increase consumption of draught beer by lowering its price. The likelihood that this measure will deliver on its intention to better financially support craft brewers is questionable.  Anecdotally, craft brewers have indicated that </w:t>
      </w:r>
      <w:r w:rsidR="001869F3">
        <w:rPr>
          <w:rFonts w:eastAsia="Cambria" w:cs="Times New Roman"/>
          <w:bCs/>
          <w:lang w:eastAsia="en-US"/>
        </w:rPr>
        <w:t xml:space="preserve">kegs of 8 to </w:t>
      </w:r>
      <w:r w:rsidR="001869F3" w:rsidRPr="005F57A8">
        <w:rPr>
          <w:rFonts w:eastAsia="Cambria" w:cs="Times New Roman"/>
          <w:bCs/>
          <w:lang w:eastAsia="en-US"/>
        </w:rPr>
        <w:t xml:space="preserve">48 litres </w:t>
      </w:r>
      <w:r w:rsidR="001869F3">
        <w:rPr>
          <w:rFonts w:eastAsia="Cambria" w:cs="Times New Roman"/>
          <w:bCs/>
          <w:lang w:eastAsia="en-US"/>
        </w:rPr>
        <w:t>are</w:t>
      </w:r>
      <w:r w:rsidR="001869F3" w:rsidRPr="005F57A8">
        <w:rPr>
          <w:rFonts w:eastAsia="Cambria" w:cs="Times New Roman"/>
          <w:bCs/>
          <w:lang w:eastAsia="en-US"/>
        </w:rPr>
        <w:t xml:space="preserve"> not standard in the craft brewing industry</w:t>
      </w:r>
      <w:r w:rsidR="001869F3" w:rsidRPr="005F57A8">
        <w:rPr>
          <w:rFonts w:eastAsia="Cambria" w:cs="Times New Roman"/>
          <w:bCs/>
          <w:vertAlign w:val="superscript"/>
          <w:lang w:eastAsia="en-US"/>
        </w:rPr>
        <w:endnoteReference w:id="54"/>
      </w:r>
      <w:r w:rsidR="001869F3">
        <w:rPr>
          <w:rFonts w:eastAsia="Cambria" w:cs="Times New Roman"/>
          <w:bCs/>
          <w:lang w:eastAsia="en-US"/>
        </w:rPr>
        <w:t xml:space="preserve"> and it is unclear what proportion of craft brewers use or desire these smaller kegs. Also, because the four largest beer production companies accounted for just under 70</w:t>
      </w:r>
      <w:r w:rsidR="00771EF4">
        <w:rPr>
          <w:rFonts w:eastAsia="Cambria" w:cs="Times New Roman"/>
          <w:bCs/>
          <w:lang w:eastAsia="en-US"/>
        </w:rPr>
        <w:t xml:space="preserve"> per cent o</w:t>
      </w:r>
      <w:r w:rsidR="001869F3">
        <w:rPr>
          <w:rFonts w:eastAsia="Cambria" w:cs="Times New Roman"/>
          <w:bCs/>
          <w:lang w:eastAsia="en-US"/>
        </w:rPr>
        <w:t>f industry revenue in 2018-19</w:t>
      </w:r>
      <w:r w:rsidR="00693FE3">
        <w:rPr>
          <w:rStyle w:val="EndnoteReference"/>
          <w:rFonts w:eastAsia="Cambria" w:cs="Times New Roman"/>
          <w:bCs/>
          <w:lang w:eastAsia="en-US"/>
        </w:rPr>
        <w:endnoteReference w:id="55"/>
      </w:r>
      <w:r w:rsidR="001869F3">
        <w:rPr>
          <w:rFonts w:eastAsia="Cambria" w:cs="Times New Roman"/>
          <w:bCs/>
          <w:lang w:eastAsia="en-US"/>
        </w:rPr>
        <w:t xml:space="preserve">, it is unclear what proportion of the proposed benefit from </w:t>
      </w:r>
      <w:r w:rsidR="00771EF4">
        <w:rPr>
          <w:rFonts w:eastAsia="Cambria" w:cs="Times New Roman"/>
          <w:bCs/>
          <w:lang w:eastAsia="en-US"/>
        </w:rPr>
        <w:t>the tax concession will</w:t>
      </w:r>
      <w:r w:rsidR="001869F3">
        <w:rPr>
          <w:rFonts w:eastAsia="Cambria" w:cs="Times New Roman"/>
          <w:bCs/>
          <w:lang w:eastAsia="en-US"/>
        </w:rPr>
        <w:t xml:space="preserve"> flow to smaller craft producers rather than the</w:t>
      </w:r>
      <w:r w:rsidR="00B44C36">
        <w:rPr>
          <w:rFonts w:eastAsia="Cambria" w:cs="Times New Roman"/>
          <w:bCs/>
          <w:lang w:eastAsia="en-US"/>
        </w:rPr>
        <w:t>se</w:t>
      </w:r>
      <w:r w:rsidR="001869F3">
        <w:rPr>
          <w:rFonts w:eastAsia="Cambria" w:cs="Times New Roman"/>
          <w:bCs/>
          <w:lang w:eastAsia="en-US"/>
        </w:rPr>
        <w:t xml:space="preserve"> large corporate brewers. </w:t>
      </w:r>
    </w:p>
    <w:p w14:paraId="0BA9E735" w14:textId="77777777" w:rsidR="00DF0CF9" w:rsidRDefault="00DF0CF9" w:rsidP="001C4AA2">
      <w:pPr>
        <w:jc w:val="both"/>
        <w:rPr>
          <w:rFonts w:eastAsia="Cambria" w:cs="Times New Roman"/>
          <w:bCs/>
          <w:lang w:eastAsia="en-US"/>
        </w:rPr>
      </w:pPr>
    </w:p>
    <w:p w14:paraId="6851EE89" w14:textId="77777777" w:rsidR="001230F5" w:rsidRPr="001C4AA2" w:rsidRDefault="001230F5" w:rsidP="001C4AA2">
      <w:pPr>
        <w:jc w:val="both"/>
        <w:rPr>
          <w:rFonts w:eastAsia="Cambria" w:cs="Times New Roman"/>
          <w:bCs/>
          <w:lang w:eastAsia="en-US"/>
        </w:rPr>
      </w:pPr>
    </w:p>
    <w:p w14:paraId="58B71283" w14:textId="77777777" w:rsidR="00FE2CE2" w:rsidRPr="003D2E37" w:rsidRDefault="00FE2CE2" w:rsidP="00F8393B">
      <w:pPr>
        <w:jc w:val="both"/>
        <w:rPr>
          <w:rFonts w:eastAsia="Times New Roman" w:cstheme="minorHAnsi"/>
          <w:b/>
          <w:iCs/>
          <w:sz w:val="24"/>
          <w:lang w:eastAsia="en-AU"/>
        </w:rPr>
      </w:pPr>
      <w:r w:rsidRPr="003D2E37">
        <w:rPr>
          <w:rFonts w:eastAsia="Times New Roman" w:cstheme="minorHAnsi"/>
          <w:b/>
          <w:iCs/>
          <w:sz w:val="24"/>
          <w:lang w:eastAsia="en-AU"/>
        </w:rPr>
        <w:lastRenderedPageBreak/>
        <w:t>Recommendation</w:t>
      </w:r>
    </w:p>
    <w:p w14:paraId="024E05BC" w14:textId="33AA5075" w:rsidR="00FE2CE2" w:rsidRPr="00273738" w:rsidRDefault="00771EF4" w:rsidP="00F8393B">
      <w:pPr>
        <w:numPr>
          <w:ilvl w:val="0"/>
          <w:numId w:val="4"/>
        </w:numPr>
        <w:jc w:val="both"/>
        <w:rPr>
          <w:rFonts w:eastAsia="Times New Roman" w:cstheme="minorHAnsi"/>
          <w:b/>
          <w:lang w:eastAsia="en-AU"/>
        </w:rPr>
      </w:pPr>
      <w:r>
        <w:rPr>
          <w:rFonts w:eastAsia="Times New Roman" w:cstheme="minorHAnsi"/>
          <w:b/>
          <w:lang w:eastAsia="en-AU"/>
        </w:rPr>
        <w:t>That the Government l</w:t>
      </w:r>
      <w:r w:rsidR="00FE2CE2" w:rsidRPr="00273738">
        <w:rPr>
          <w:rFonts w:eastAsia="Times New Roman" w:cstheme="minorHAnsi"/>
          <w:b/>
          <w:lang w:eastAsia="en-AU"/>
        </w:rPr>
        <w:t>ift the</w:t>
      </w:r>
      <w:r w:rsidR="003F02B9" w:rsidRPr="00273738">
        <w:rPr>
          <w:rFonts w:eastAsia="Times New Roman" w:cstheme="minorHAnsi"/>
          <w:b/>
          <w:lang w:eastAsia="en-AU"/>
        </w:rPr>
        <w:t xml:space="preserve"> concessional</w:t>
      </w:r>
      <w:r w:rsidR="00FE2CE2" w:rsidRPr="00273738">
        <w:rPr>
          <w:rFonts w:eastAsia="Times New Roman" w:cstheme="minorHAnsi"/>
          <w:b/>
          <w:lang w:eastAsia="en-AU"/>
        </w:rPr>
        <w:t xml:space="preserve"> tax on draught beer to bring this in line with the rates applied to packaged beer, providing a level playing field, additional revenue and a reduction in harm.</w:t>
      </w:r>
    </w:p>
    <w:p w14:paraId="063E9E1F" w14:textId="2B6D55CA" w:rsidR="00FE2CE2" w:rsidRPr="0011055B" w:rsidRDefault="00FE2CE2" w:rsidP="00FE2CE2">
      <w:pPr>
        <w:pStyle w:val="Heading1"/>
        <w:rPr>
          <w:lang w:eastAsia="en-AU"/>
        </w:rPr>
      </w:pPr>
      <w:bookmarkStart w:id="38" w:name="_Toc529888071"/>
      <w:bookmarkStart w:id="39" w:name="_Toc532385408"/>
      <w:bookmarkStart w:id="40" w:name="_Toc532809058"/>
      <w:r w:rsidRPr="0011055B">
        <w:rPr>
          <w:lang w:eastAsia="en-AU"/>
        </w:rPr>
        <w:t xml:space="preserve">New revenue directed to </w:t>
      </w:r>
      <w:r>
        <w:rPr>
          <w:lang w:eastAsia="en-AU"/>
        </w:rPr>
        <w:t>prevent</w:t>
      </w:r>
      <w:r w:rsidRPr="0011055B">
        <w:rPr>
          <w:lang w:eastAsia="en-AU"/>
        </w:rPr>
        <w:t xml:space="preserve"> alcohol harm</w:t>
      </w:r>
      <w:bookmarkEnd w:id="38"/>
      <w:bookmarkEnd w:id="39"/>
      <w:bookmarkEnd w:id="40"/>
    </w:p>
    <w:p w14:paraId="43E58408" w14:textId="77777777" w:rsidR="003F02B9" w:rsidRPr="00E25017" w:rsidRDefault="003F02B9" w:rsidP="003F02B9">
      <w:pPr>
        <w:pStyle w:val="Heading1"/>
        <w:rPr>
          <w:sz w:val="32"/>
          <w:szCs w:val="32"/>
          <w:lang w:eastAsia="en-AU"/>
        </w:rPr>
      </w:pPr>
      <w:bookmarkStart w:id="41" w:name="_Toc532385409"/>
      <w:bookmarkStart w:id="42" w:name="_Toc532809059"/>
      <w:r w:rsidRPr="00E25017">
        <w:rPr>
          <w:sz w:val="32"/>
          <w:szCs w:val="32"/>
          <w:lang w:eastAsia="en-AU"/>
        </w:rPr>
        <w:t>Changing the messages around alcohol consumption</w:t>
      </w:r>
      <w:bookmarkEnd w:id="41"/>
      <w:bookmarkEnd w:id="42"/>
    </w:p>
    <w:p w14:paraId="5706FFF5" w14:textId="56AC2CF7" w:rsidR="003F02B9" w:rsidRPr="00F372E2" w:rsidRDefault="003F02B9" w:rsidP="00F8393B">
      <w:pPr>
        <w:jc w:val="both"/>
        <w:rPr>
          <w:rFonts w:eastAsia="Times New Roman" w:cstheme="minorHAnsi"/>
          <w:lang w:eastAsia="en-AU"/>
        </w:rPr>
      </w:pPr>
      <w:r w:rsidRPr="00F372E2">
        <w:rPr>
          <w:rFonts w:eastAsia="Times New Roman" w:cstheme="minorHAnsi"/>
          <w:lang w:eastAsia="en-AU"/>
        </w:rPr>
        <w:t>In its recent productivity review, the Productivity Commission argued that “combining tax measures with complementary measures  aimed  at  addressing  the  harm  associated  with  excessive  alcohol  consumption  (such  as education and treatment) is likely to amplify the benefits, while also soliciting greater public support” (p. 75). This statement highlights the importance of coordinating efforts to raise public awareness of the problem, to educate and treat problems associated with alcohol harm, while simultaneous</w:t>
      </w:r>
      <w:r>
        <w:rPr>
          <w:rFonts w:eastAsia="Times New Roman" w:cstheme="minorHAnsi"/>
          <w:lang w:eastAsia="en-AU"/>
        </w:rPr>
        <w:t>ly</w:t>
      </w:r>
      <w:r w:rsidRPr="00F372E2">
        <w:rPr>
          <w:rFonts w:eastAsia="Times New Roman" w:cstheme="minorHAnsi"/>
          <w:lang w:eastAsia="en-AU"/>
        </w:rPr>
        <w:t xml:space="preserve"> addressing supply-side issues. This presents a double-win, delivering stronger public support for reform of alcohol taxes while addressing </w:t>
      </w:r>
      <w:r>
        <w:rPr>
          <w:rFonts w:eastAsia="Times New Roman" w:cstheme="minorHAnsi"/>
          <w:lang w:eastAsia="en-AU"/>
        </w:rPr>
        <w:t xml:space="preserve">alcohol-related </w:t>
      </w:r>
      <w:r w:rsidRPr="00F372E2">
        <w:rPr>
          <w:rFonts w:eastAsia="Times New Roman" w:cstheme="minorHAnsi"/>
          <w:lang w:eastAsia="en-AU"/>
        </w:rPr>
        <w:t xml:space="preserve">harm directly by increasing awareness of </w:t>
      </w:r>
      <w:r>
        <w:rPr>
          <w:rFonts w:eastAsia="Times New Roman" w:cstheme="minorHAnsi"/>
          <w:lang w:eastAsia="en-AU"/>
        </w:rPr>
        <w:t>harms and how to minimise them</w:t>
      </w:r>
      <w:r w:rsidRPr="00F372E2">
        <w:rPr>
          <w:rFonts w:eastAsia="Times New Roman" w:cstheme="minorHAnsi"/>
          <w:lang w:eastAsia="en-AU"/>
        </w:rPr>
        <w:t xml:space="preserve">. </w:t>
      </w:r>
    </w:p>
    <w:p w14:paraId="49CD83B6" w14:textId="590127C7" w:rsidR="00FE4BBC" w:rsidRDefault="00FE2CE2" w:rsidP="00F8393B">
      <w:pPr>
        <w:jc w:val="both"/>
        <w:rPr>
          <w:rFonts w:eastAsia="Times New Roman" w:cstheme="minorHAnsi"/>
          <w:lang w:eastAsia="en-AU"/>
        </w:rPr>
      </w:pPr>
      <w:r w:rsidRPr="00F372E2">
        <w:rPr>
          <w:rFonts w:eastAsia="Times New Roman" w:cstheme="minorHAnsi"/>
          <w:lang w:eastAsia="en-AU"/>
        </w:rPr>
        <w:t>The cost of alcohol misuse to Australian families</w:t>
      </w:r>
      <w:r>
        <w:rPr>
          <w:rFonts w:eastAsia="Times New Roman" w:cstheme="minorHAnsi"/>
          <w:lang w:eastAsia="en-AU"/>
        </w:rPr>
        <w:t xml:space="preserve">, </w:t>
      </w:r>
      <w:r w:rsidRPr="00F372E2">
        <w:rPr>
          <w:rFonts w:eastAsia="Times New Roman" w:cstheme="minorHAnsi"/>
          <w:lang w:eastAsia="en-AU"/>
        </w:rPr>
        <w:t>particularly children</w:t>
      </w:r>
      <w:r>
        <w:rPr>
          <w:rFonts w:eastAsia="Times New Roman" w:cstheme="minorHAnsi"/>
          <w:lang w:eastAsia="en-AU"/>
        </w:rPr>
        <w:t>,</w:t>
      </w:r>
      <w:r w:rsidRPr="00F372E2">
        <w:rPr>
          <w:rFonts w:eastAsia="Times New Roman" w:cstheme="minorHAnsi"/>
          <w:lang w:eastAsia="en-AU"/>
        </w:rPr>
        <w:t xml:space="preserve"> is too often overlooked. Each year, more than a million children (22 per cent of all Australian children) are affected in some way by the drinking of others.</w:t>
      </w:r>
      <w:r w:rsidRPr="00F372E2">
        <w:rPr>
          <w:rFonts w:eastAsia="Times New Roman" w:cstheme="minorHAnsi"/>
          <w:vertAlign w:val="superscript"/>
          <w:lang w:eastAsia="en-AU"/>
        </w:rPr>
        <w:endnoteReference w:id="56"/>
      </w:r>
      <w:r w:rsidRPr="00F372E2">
        <w:rPr>
          <w:rFonts w:eastAsia="Times New Roman" w:cstheme="minorHAnsi"/>
          <w:lang w:eastAsia="en-AU"/>
        </w:rPr>
        <w:t xml:space="preserve"> </w:t>
      </w:r>
      <w:r>
        <w:rPr>
          <w:rFonts w:eastAsia="Times New Roman" w:cstheme="minorHAnsi"/>
          <w:lang w:eastAsia="en-AU"/>
        </w:rPr>
        <w:t>C</w:t>
      </w:r>
      <w:r w:rsidRPr="00F372E2">
        <w:rPr>
          <w:rFonts w:eastAsia="Times New Roman" w:cstheme="minorHAnsi"/>
          <w:lang w:eastAsia="en-AU"/>
        </w:rPr>
        <w:t>hildren are directly affected by alcohol consumption during pregnancy through FASD</w:t>
      </w:r>
      <w:r w:rsidR="00771EF4">
        <w:rPr>
          <w:rFonts w:eastAsia="Times New Roman" w:cstheme="minorHAnsi"/>
          <w:lang w:eastAsia="en-AU"/>
        </w:rPr>
        <w:t xml:space="preserve">, which incorporates </w:t>
      </w:r>
      <w:r w:rsidRPr="00F372E2">
        <w:rPr>
          <w:rFonts w:eastAsia="Times New Roman" w:cstheme="minorHAnsi"/>
          <w:lang w:eastAsia="en-AU"/>
        </w:rPr>
        <w:t xml:space="preserve">a range of debilitating lifelong conditions that cause suffering by individuals and their families, and </w:t>
      </w:r>
      <w:r w:rsidR="00771EF4">
        <w:rPr>
          <w:rFonts w:eastAsia="Times New Roman" w:cstheme="minorHAnsi"/>
          <w:lang w:eastAsia="en-AU"/>
        </w:rPr>
        <w:t xml:space="preserve">that </w:t>
      </w:r>
      <w:r w:rsidRPr="00F372E2">
        <w:rPr>
          <w:rFonts w:eastAsia="Times New Roman" w:cstheme="minorHAnsi"/>
          <w:lang w:eastAsia="en-AU"/>
        </w:rPr>
        <w:t xml:space="preserve">place significant burdens on the healthcare and judicial systems. </w:t>
      </w:r>
    </w:p>
    <w:p w14:paraId="04CC9E8F" w14:textId="6F8848C2" w:rsidR="00FE2CE2" w:rsidRPr="00F372E2" w:rsidRDefault="00FE2CE2" w:rsidP="00F8393B">
      <w:pPr>
        <w:jc w:val="both"/>
        <w:rPr>
          <w:rFonts w:eastAsia="Times New Roman" w:cstheme="minorHAnsi"/>
          <w:lang w:eastAsia="en-AU"/>
        </w:rPr>
      </w:pPr>
      <w:r w:rsidRPr="00F372E2">
        <w:rPr>
          <w:rFonts w:eastAsia="Times New Roman" w:cstheme="minorHAnsi"/>
          <w:lang w:eastAsia="en-AU"/>
        </w:rPr>
        <w:t>FARE has developed and coordinated two programs to reduce drinking during pregnancy</w:t>
      </w:r>
      <w:r>
        <w:rPr>
          <w:rFonts w:eastAsia="Times New Roman" w:cstheme="minorHAnsi"/>
          <w:lang w:eastAsia="en-AU"/>
        </w:rPr>
        <w:t>. They</w:t>
      </w:r>
      <w:r w:rsidRPr="00F372E2">
        <w:rPr>
          <w:rFonts w:eastAsia="Times New Roman" w:cstheme="minorHAnsi"/>
          <w:lang w:eastAsia="en-AU"/>
        </w:rPr>
        <w:t xml:space="preserve"> </w:t>
      </w:r>
      <w:r w:rsidR="00771EF4">
        <w:rPr>
          <w:rFonts w:eastAsia="Times New Roman" w:cstheme="minorHAnsi"/>
          <w:lang w:eastAsia="en-AU"/>
        </w:rPr>
        <w:t xml:space="preserve">are </w:t>
      </w:r>
      <w:r w:rsidRPr="00F372E2">
        <w:rPr>
          <w:rFonts w:eastAsia="Times New Roman" w:cstheme="minorHAnsi"/>
          <w:lang w:eastAsia="en-AU"/>
        </w:rPr>
        <w:t xml:space="preserve">Pregnant Pause, encouraging peer support for abstention from alcohol while pregnant, and Women Want to Know, which targets primary healthcare professionals to </w:t>
      </w:r>
      <w:r>
        <w:rPr>
          <w:rFonts w:eastAsia="Times New Roman" w:cstheme="minorHAnsi"/>
          <w:lang w:eastAsia="en-AU"/>
        </w:rPr>
        <w:t>give</w:t>
      </w:r>
      <w:r w:rsidRPr="00F372E2">
        <w:rPr>
          <w:rFonts w:eastAsia="Times New Roman" w:cstheme="minorHAnsi"/>
          <w:lang w:eastAsia="en-AU"/>
        </w:rPr>
        <w:t xml:space="preserve"> women the best advice in relation to drinking while pregnant. The Women Want to Know program has secured ongoing funding, and the Pregnant Pause program </w:t>
      </w:r>
      <w:r>
        <w:rPr>
          <w:rFonts w:eastAsia="Times New Roman" w:cstheme="minorHAnsi"/>
          <w:lang w:eastAsia="en-AU"/>
        </w:rPr>
        <w:t xml:space="preserve">has been </w:t>
      </w:r>
      <w:r w:rsidRPr="00F372E2">
        <w:rPr>
          <w:rFonts w:eastAsia="Times New Roman" w:cstheme="minorHAnsi"/>
          <w:lang w:eastAsia="en-AU"/>
        </w:rPr>
        <w:t>implement</w:t>
      </w:r>
      <w:r>
        <w:rPr>
          <w:rFonts w:eastAsia="Times New Roman" w:cstheme="minorHAnsi"/>
          <w:lang w:eastAsia="en-AU"/>
        </w:rPr>
        <w:t>ed nationally</w:t>
      </w:r>
      <w:r w:rsidRPr="00F372E2">
        <w:rPr>
          <w:rFonts w:eastAsia="Times New Roman" w:cstheme="minorHAnsi"/>
          <w:lang w:eastAsia="en-AU"/>
        </w:rPr>
        <w:t xml:space="preserve"> following its successful operation for several years in the Australian Capital Territory. However, more funding is required to maximise the effectiveness of these campaigns and reduce the harm caused by alcohol to unborn foetuses in Australia.</w:t>
      </w:r>
    </w:p>
    <w:p w14:paraId="38EB794D" w14:textId="77777777" w:rsidR="00FE2CE2" w:rsidRPr="00F77D47" w:rsidRDefault="00FE2CE2" w:rsidP="00FE2CE2">
      <w:pPr>
        <w:pStyle w:val="Heading2"/>
        <w:rPr>
          <w:b/>
          <w:lang w:eastAsia="en-AU"/>
        </w:rPr>
      </w:pPr>
      <w:bookmarkStart w:id="43" w:name="_Toc529888072"/>
      <w:bookmarkStart w:id="44" w:name="_Toc532385410"/>
      <w:bookmarkStart w:id="45" w:name="_Toc532809060"/>
      <w:r>
        <w:rPr>
          <w:b/>
          <w:lang w:eastAsia="en-AU"/>
        </w:rPr>
        <w:t xml:space="preserve">Prevent lifelong disability from alcohol use during pregnancy: </w:t>
      </w:r>
      <w:r w:rsidRPr="00F77D47">
        <w:rPr>
          <w:b/>
          <w:lang w:eastAsia="en-AU"/>
        </w:rPr>
        <w:t>Pregnant Pause</w:t>
      </w:r>
      <w:r>
        <w:rPr>
          <w:b/>
          <w:lang w:eastAsia="en-AU"/>
        </w:rPr>
        <w:t xml:space="preserve"> and Women Want to Know</w:t>
      </w:r>
      <w:bookmarkEnd w:id="43"/>
      <w:bookmarkEnd w:id="44"/>
      <w:bookmarkEnd w:id="45"/>
    </w:p>
    <w:p w14:paraId="3C995AA6" w14:textId="77777777" w:rsidR="00FE2CE2" w:rsidRPr="00F372E2" w:rsidRDefault="00FE2CE2" w:rsidP="00F8393B">
      <w:pPr>
        <w:jc w:val="both"/>
        <w:rPr>
          <w:rFonts w:eastAsia="Times New Roman" w:cstheme="minorHAnsi"/>
          <w:lang w:eastAsia="en-AU"/>
        </w:rPr>
      </w:pPr>
      <w:r w:rsidRPr="00F372E2">
        <w:rPr>
          <w:rFonts w:eastAsia="Times New Roman" w:cstheme="minorHAnsi"/>
          <w:lang w:eastAsia="en-AU"/>
        </w:rPr>
        <w:t xml:space="preserve">The Pregnant Pause program was introduced to encourage partners, family and friends to </w:t>
      </w:r>
      <w:r>
        <w:rPr>
          <w:rFonts w:eastAsia="Times New Roman" w:cstheme="minorHAnsi"/>
          <w:lang w:eastAsia="en-AU"/>
        </w:rPr>
        <w:t>support</w:t>
      </w:r>
      <w:r w:rsidRPr="00F372E2">
        <w:rPr>
          <w:rFonts w:eastAsia="Times New Roman" w:cstheme="minorHAnsi"/>
          <w:lang w:eastAsia="en-AU"/>
        </w:rPr>
        <w:t xml:space="preserve"> women to abstain</w:t>
      </w:r>
      <w:r>
        <w:rPr>
          <w:rFonts w:eastAsia="Times New Roman" w:cstheme="minorHAnsi"/>
          <w:lang w:eastAsia="en-AU"/>
        </w:rPr>
        <w:t xml:space="preserve"> from alcohol</w:t>
      </w:r>
      <w:r w:rsidRPr="00F372E2">
        <w:rPr>
          <w:rFonts w:eastAsia="Times New Roman" w:cstheme="minorHAnsi"/>
          <w:lang w:eastAsia="en-AU"/>
        </w:rPr>
        <w:t xml:space="preserve"> while trying to conceive and during pregnancy</w:t>
      </w:r>
      <w:r>
        <w:rPr>
          <w:rFonts w:eastAsia="Times New Roman" w:cstheme="minorHAnsi"/>
          <w:lang w:eastAsia="en-AU"/>
        </w:rPr>
        <w:t xml:space="preserve"> by going alcohol free themselves during the pregnancy of a loved one</w:t>
      </w:r>
      <w:r w:rsidRPr="00F372E2">
        <w:rPr>
          <w:rFonts w:eastAsia="Times New Roman" w:cstheme="minorHAnsi"/>
          <w:lang w:eastAsia="en-AU"/>
        </w:rPr>
        <w:t xml:space="preserve">. It seeks to assist mums-to-be by building a strong support system to help families achieve an alcohol free pregnancy together. </w:t>
      </w:r>
    </w:p>
    <w:p w14:paraId="62376207" w14:textId="29BE1E54" w:rsidR="00FE2CE2" w:rsidRPr="00F372E2" w:rsidRDefault="00FE2CE2" w:rsidP="00F8393B">
      <w:pPr>
        <w:jc w:val="both"/>
        <w:rPr>
          <w:rFonts w:eastAsia="Times New Roman" w:cstheme="minorHAnsi"/>
          <w:lang w:eastAsia="en-AU"/>
        </w:rPr>
      </w:pPr>
      <w:r w:rsidRPr="00F372E2">
        <w:rPr>
          <w:rFonts w:eastAsia="Times New Roman" w:cstheme="minorHAnsi"/>
          <w:lang w:eastAsia="en-AU"/>
        </w:rPr>
        <w:t>The program has sought to address a gap in public health campaigns, which have typically targeted only women despite strong evidence that peer support is essential to encouraging responsible decisions regarding drinking while pregnant.</w:t>
      </w:r>
      <w:r w:rsidRPr="00F372E2">
        <w:rPr>
          <w:rFonts w:eastAsia="Times New Roman" w:cstheme="minorHAnsi"/>
          <w:vertAlign w:val="superscript"/>
          <w:lang w:val="en-GB" w:eastAsia="en-AU"/>
        </w:rPr>
        <w:footnoteReference w:id="5"/>
      </w:r>
      <w:r w:rsidRPr="00F372E2">
        <w:rPr>
          <w:rFonts w:eastAsia="Times New Roman" w:cstheme="minorHAnsi"/>
          <w:lang w:val="en-GB" w:eastAsia="en-AU"/>
        </w:rPr>
        <w:t xml:space="preserve"> </w:t>
      </w:r>
      <w:r w:rsidRPr="00F372E2">
        <w:rPr>
          <w:rFonts w:eastAsia="Times New Roman" w:cstheme="minorHAnsi"/>
          <w:lang w:eastAsia="en-AU"/>
        </w:rPr>
        <w:t xml:space="preserve">For example, the National Drug and Alcohol Institute </w:t>
      </w:r>
      <w:r w:rsidRPr="00F372E2">
        <w:rPr>
          <w:rFonts w:eastAsia="Times New Roman" w:cstheme="minorHAnsi"/>
          <w:lang w:eastAsia="en-AU"/>
        </w:rPr>
        <w:lastRenderedPageBreak/>
        <w:t>found that 77 per cent of women who drink alcohol throughout their pregnancy usually drink with their partner. Of these, 40 per cent report that their partner usually initiates a drinking occasion.</w:t>
      </w:r>
      <w:r w:rsidRPr="00F372E2">
        <w:rPr>
          <w:rFonts w:eastAsia="Times New Roman" w:cstheme="minorHAnsi"/>
          <w:vertAlign w:val="superscript"/>
          <w:lang w:eastAsia="en-AU"/>
        </w:rPr>
        <w:endnoteReference w:id="57"/>
      </w:r>
      <w:r w:rsidRPr="00F372E2">
        <w:rPr>
          <w:rFonts w:eastAsia="Times New Roman" w:cstheme="minorHAnsi"/>
          <w:lang w:eastAsia="en-AU"/>
        </w:rPr>
        <w:t xml:space="preserve"> </w:t>
      </w:r>
    </w:p>
    <w:p w14:paraId="01B88A94" w14:textId="31F87CD0" w:rsidR="00FE2CE2" w:rsidRPr="00F372E2" w:rsidRDefault="00FE2CE2" w:rsidP="00F8393B">
      <w:pPr>
        <w:jc w:val="both"/>
        <w:rPr>
          <w:rFonts w:eastAsia="Times New Roman" w:cstheme="minorHAnsi"/>
          <w:lang w:eastAsia="en-AU"/>
        </w:rPr>
      </w:pPr>
      <w:r w:rsidRPr="00F372E2">
        <w:rPr>
          <w:rFonts w:eastAsia="Times New Roman" w:cstheme="minorHAnsi"/>
          <w:lang w:eastAsia="en-AU"/>
        </w:rPr>
        <w:t>Although Commonwealth funding for 2017 and 2018 has provided an opportunity to implement the Pregnant Pause campaign nationally, funding has limited activities to two</w:t>
      </w:r>
      <w:r>
        <w:rPr>
          <w:rFonts w:eastAsia="Times New Roman" w:cstheme="minorHAnsi"/>
          <w:lang w:eastAsia="en-AU"/>
        </w:rPr>
        <w:t>,</w:t>
      </w:r>
      <w:r w:rsidRPr="00F372E2">
        <w:rPr>
          <w:rFonts w:eastAsia="Times New Roman" w:cstheme="minorHAnsi"/>
          <w:lang w:eastAsia="en-AU"/>
        </w:rPr>
        <w:t xml:space="preserve"> six-week social media, digital and radio advertising campaigns focused mainly on the east coast of Australia. To promote the messages to health professionals, information packs have </w:t>
      </w:r>
      <w:r>
        <w:rPr>
          <w:rFonts w:eastAsia="Times New Roman" w:cstheme="minorHAnsi"/>
          <w:lang w:eastAsia="en-AU"/>
        </w:rPr>
        <w:t xml:space="preserve">been </w:t>
      </w:r>
      <w:r w:rsidRPr="00F372E2">
        <w:rPr>
          <w:rFonts w:eastAsia="Times New Roman" w:cstheme="minorHAnsi"/>
          <w:lang w:eastAsia="en-AU"/>
        </w:rPr>
        <w:t>distributed to GP surgeries and medical centres to the three most populated states</w:t>
      </w:r>
      <w:r w:rsidR="00771EF4">
        <w:rPr>
          <w:rFonts w:eastAsia="Times New Roman" w:cstheme="minorHAnsi"/>
          <w:lang w:eastAsia="en-AU"/>
        </w:rPr>
        <w:t xml:space="preserve">: </w:t>
      </w:r>
      <w:r w:rsidRPr="00F372E2">
        <w:rPr>
          <w:rFonts w:eastAsia="Times New Roman" w:cstheme="minorHAnsi"/>
          <w:lang w:eastAsia="en-AU"/>
        </w:rPr>
        <w:t>New South Wales, Victoria and Queensland. While these activities have done well to promote Pregnant Pause and expand awareness of the campaign brand and messaging, more action is required to reach a broader national audience, and elicit change in attitudes and behaviour. The proposed project will build on the momentum created in the initial program and encourage even more women and families nationally to take the Pregnant Pause pledge and move the campaign from brand awareness to behaviour change.</w:t>
      </w:r>
    </w:p>
    <w:p w14:paraId="1FA8EFB0" w14:textId="37FFCB26" w:rsidR="00FE2CE2" w:rsidRPr="00F372E2" w:rsidRDefault="00FE2CE2" w:rsidP="00F8393B">
      <w:pPr>
        <w:jc w:val="both"/>
        <w:rPr>
          <w:rFonts w:eastAsia="Times New Roman" w:cstheme="minorHAnsi"/>
          <w:lang w:eastAsia="en-AU"/>
        </w:rPr>
      </w:pPr>
      <w:r w:rsidRPr="00F372E2">
        <w:rPr>
          <w:rFonts w:eastAsia="Times New Roman" w:cstheme="minorHAnsi"/>
          <w:lang w:eastAsia="en-AU"/>
        </w:rPr>
        <w:t xml:space="preserve">The Women Want to Know program was developed </w:t>
      </w:r>
      <w:r w:rsidR="00F8393B">
        <w:rPr>
          <w:rFonts w:eastAsia="Times New Roman" w:cstheme="minorHAnsi"/>
          <w:lang w:eastAsia="en-AU"/>
        </w:rPr>
        <w:t xml:space="preserve">in 2014 </w:t>
      </w:r>
      <w:r w:rsidRPr="00F372E2">
        <w:rPr>
          <w:rFonts w:eastAsia="Times New Roman" w:cstheme="minorHAnsi"/>
          <w:lang w:eastAsia="en-AU"/>
        </w:rPr>
        <w:t>to encourage health professionals to routinely discuss alcohol and pregnancy with women, and to provide advice consistent with the Alcohol Guidelines. A detailed evaluation in 2016 demonstrated evidence of the program’s effectiveness in helping to raise awareness of the Alcohol Guidelines among primary healthcare professionals. In addition, a positive impact was found in the attitudes and behaviour of health professionals who had undertaken online training. The evaluation recommended continued promotion of the online training component and a review of the project resources. FARE was awarded additional funding for this purpose, and collaborated with several leading medical colleges to review the online training component in 2017. Women Want to Know has become a well-respected source of training and resources for health professionals and organisations who wish to increase knowledge and skill</w:t>
      </w:r>
      <w:r>
        <w:rPr>
          <w:rFonts w:eastAsia="Times New Roman" w:cstheme="minorHAnsi"/>
          <w:lang w:eastAsia="en-AU"/>
        </w:rPr>
        <w:t>s</w:t>
      </w:r>
      <w:r w:rsidRPr="00F372E2">
        <w:rPr>
          <w:rFonts w:eastAsia="Times New Roman" w:cstheme="minorHAnsi"/>
          <w:lang w:eastAsia="en-AU"/>
        </w:rPr>
        <w:t xml:space="preserve"> in advising women about alcohol use during pregnancy and breastfeeding.</w:t>
      </w:r>
    </w:p>
    <w:p w14:paraId="2EFFF4F4" w14:textId="5EC3909A" w:rsidR="00FE2CE2" w:rsidRPr="00F372E2" w:rsidRDefault="00FE2CE2" w:rsidP="00F8393B">
      <w:pPr>
        <w:jc w:val="both"/>
        <w:rPr>
          <w:rFonts w:eastAsia="Times New Roman" w:cstheme="minorHAnsi"/>
          <w:lang w:eastAsia="en-AU"/>
        </w:rPr>
      </w:pPr>
      <w:r w:rsidRPr="00F372E2">
        <w:rPr>
          <w:rFonts w:eastAsia="Times New Roman" w:cstheme="minorHAnsi"/>
          <w:lang w:eastAsia="en-AU"/>
        </w:rPr>
        <w:t xml:space="preserve">FARE has developed </w:t>
      </w:r>
      <w:r w:rsidR="0013003E">
        <w:rPr>
          <w:rFonts w:eastAsia="Times New Roman" w:cstheme="minorHAnsi"/>
          <w:lang w:eastAsia="en-AU"/>
        </w:rPr>
        <w:t xml:space="preserve">and submitted </w:t>
      </w:r>
      <w:r w:rsidRPr="00F372E2">
        <w:rPr>
          <w:rFonts w:eastAsia="Times New Roman" w:cstheme="minorHAnsi"/>
          <w:lang w:eastAsia="en-AU"/>
        </w:rPr>
        <w:t>a proposal for a coordinated ongoing effort to reduce the harms associated with alcohol consumption during pregnancy</w:t>
      </w:r>
      <w:r w:rsidR="0013003E">
        <w:rPr>
          <w:rFonts w:eastAsia="Times New Roman" w:cstheme="minorHAnsi"/>
          <w:lang w:eastAsia="en-AU"/>
        </w:rPr>
        <w:t xml:space="preserve"> to the Commonwealth Department of Health and Ageing.</w:t>
      </w:r>
      <w:r w:rsidRPr="00F372E2">
        <w:rPr>
          <w:rFonts w:eastAsia="Times New Roman" w:cstheme="minorHAnsi"/>
          <w:lang w:eastAsia="en-AU"/>
        </w:rPr>
        <w:t xml:space="preserve"> It is intended that this project </w:t>
      </w:r>
      <w:r w:rsidR="00DB1ECC">
        <w:rPr>
          <w:rFonts w:eastAsia="Times New Roman" w:cstheme="minorHAnsi"/>
          <w:lang w:eastAsia="en-AU"/>
        </w:rPr>
        <w:t>will be</w:t>
      </w:r>
      <w:r w:rsidRPr="00F372E2">
        <w:rPr>
          <w:rFonts w:eastAsia="Times New Roman" w:cstheme="minorHAnsi"/>
          <w:lang w:eastAsia="en-AU"/>
        </w:rPr>
        <w:t xml:space="preserve"> implemented in stages, with the first intervention and activities to be test</w:t>
      </w:r>
      <w:r w:rsidR="007061BD">
        <w:rPr>
          <w:rFonts w:eastAsia="Times New Roman" w:cstheme="minorHAnsi"/>
          <w:lang w:eastAsia="en-AU"/>
        </w:rPr>
        <w:t>ed</w:t>
      </w:r>
      <w:r w:rsidRPr="00F372E2">
        <w:rPr>
          <w:rFonts w:eastAsia="Times New Roman" w:cstheme="minorHAnsi"/>
          <w:lang w:eastAsia="en-AU"/>
        </w:rPr>
        <w:t xml:space="preserve"> in the A</w:t>
      </w:r>
      <w:r w:rsidR="00771EF4">
        <w:rPr>
          <w:rFonts w:eastAsia="Times New Roman" w:cstheme="minorHAnsi"/>
          <w:lang w:eastAsia="en-AU"/>
        </w:rPr>
        <w:t xml:space="preserve">ustralian </w:t>
      </w:r>
      <w:r w:rsidRPr="00F372E2">
        <w:rPr>
          <w:rFonts w:eastAsia="Times New Roman" w:cstheme="minorHAnsi"/>
          <w:lang w:eastAsia="en-AU"/>
        </w:rPr>
        <w:t>C</w:t>
      </w:r>
      <w:r w:rsidR="00771EF4">
        <w:rPr>
          <w:rFonts w:eastAsia="Times New Roman" w:cstheme="minorHAnsi"/>
          <w:lang w:eastAsia="en-AU"/>
        </w:rPr>
        <w:t xml:space="preserve">apital </w:t>
      </w:r>
      <w:r w:rsidRPr="00F372E2">
        <w:rPr>
          <w:rFonts w:eastAsia="Times New Roman" w:cstheme="minorHAnsi"/>
          <w:lang w:eastAsia="en-AU"/>
        </w:rPr>
        <w:t>T</w:t>
      </w:r>
      <w:r w:rsidR="00771EF4">
        <w:rPr>
          <w:rFonts w:eastAsia="Times New Roman" w:cstheme="minorHAnsi"/>
          <w:lang w:eastAsia="en-AU"/>
        </w:rPr>
        <w:t xml:space="preserve">erritory </w:t>
      </w:r>
      <w:r w:rsidRPr="00F372E2">
        <w:rPr>
          <w:rFonts w:eastAsia="Times New Roman" w:cstheme="minorHAnsi"/>
          <w:lang w:eastAsia="en-AU"/>
        </w:rPr>
        <w:t>and surrounding regions prior to expansion to other jurisdictions. The proposed project intends to achieve by 2022</w:t>
      </w:r>
      <w:r w:rsidR="00E50AB6">
        <w:rPr>
          <w:rFonts w:eastAsia="Times New Roman" w:cstheme="minorHAnsi"/>
          <w:lang w:eastAsia="en-AU"/>
        </w:rPr>
        <w:t>, an increase by</w:t>
      </w:r>
      <w:r w:rsidRPr="00F372E2">
        <w:rPr>
          <w:rFonts w:eastAsia="Times New Roman" w:cstheme="minorHAnsi"/>
          <w:lang w:eastAsia="en-AU"/>
        </w:rPr>
        <w:t>:</w:t>
      </w:r>
    </w:p>
    <w:p w14:paraId="2C650018" w14:textId="6892F360" w:rsidR="00FE2CE2" w:rsidRPr="00F372E2" w:rsidRDefault="00FE2CE2" w:rsidP="00F8393B">
      <w:pPr>
        <w:numPr>
          <w:ilvl w:val="0"/>
          <w:numId w:val="11"/>
        </w:numPr>
        <w:jc w:val="both"/>
        <w:rPr>
          <w:rFonts w:eastAsia="Times New Roman" w:cstheme="minorHAnsi"/>
          <w:lang w:eastAsia="en-AU"/>
        </w:rPr>
      </w:pPr>
      <w:r w:rsidRPr="00F372E2">
        <w:rPr>
          <w:rFonts w:eastAsia="Times New Roman" w:cstheme="minorHAnsi"/>
          <w:lang w:eastAsia="en-AU"/>
        </w:rPr>
        <w:t>10 per cent</w:t>
      </w:r>
      <w:r w:rsidR="00E50AB6">
        <w:rPr>
          <w:rFonts w:eastAsia="Times New Roman" w:cstheme="minorHAnsi"/>
          <w:lang w:eastAsia="en-AU"/>
        </w:rPr>
        <w:t>,</w:t>
      </w:r>
      <w:r w:rsidRPr="00F372E2">
        <w:rPr>
          <w:rFonts w:eastAsia="Times New Roman" w:cstheme="minorHAnsi"/>
          <w:lang w:eastAsia="en-AU"/>
        </w:rPr>
        <w:t xml:space="preserve"> the proportion of Australians over 18 years who are aware of the </w:t>
      </w:r>
      <w:r w:rsidR="00A846D1">
        <w:rPr>
          <w:rFonts w:eastAsia="Times New Roman" w:cstheme="minorHAnsi"/>
          <w:lang w:eastAsia="en-AU"/>
        </w:rPr>
        <w:t>Alcohol Guideline for pregnancy</w:t>
      </w:r>
    </w:p>
    <w:p w14:paraId="39C16F30" w14:textId="0650CDE4" w:rsidR="00FE2CE2" w:rsidRPr="00F372E2" w:rsidRDefault="00FE2CE2" w:rsidP="00F8393B">
      <w:pPr>
        <w:numPr>
          <w:ilvl w:val="0"/>
          <w:numId w:val="11"/>
        </w:numPr>
        <w:jc w:val="both"/>
        <w:rPr>
          <w:rFonts w:eastAsia="Times New Roman" w:cstheme="minorHAnsi"/>
          <w:lang w:eastAsia="en-AU"/>
        </w:rPr>
      </w:pPr>
      <w:r w:rsidRPr="00F372E2">
        <w:rPr>
          <w:rFonts w:eastAsia="Times New Roman" w:cstheme="minorHAnsi"/>
          <w:lang w:eastAsia="en-AU"/>
        </w:rPr>
        <w:t>10 per cent</w:t>
      </w:r>
      <w:r w:rsidR="00E50AB6">
        <w:rPr>
          <w:rFonts w:eastAsia="Times New Roman" w:cstheme="minorHAnsi"/>
          <w:lang w:eastAsia="en-AU"/>
        </w:rPr>
        <w:t>,</w:t>
      </w:r>
      <w:r w:rsidRPr="00F372E2">
        <w:rPr>
          <w:rFonts w:eastAsia="Times New Roman" w:cstheme="minorHAnsi"/>
          <w:lang w:eastAsia="en-AU"/>
        </w:rPr>
        <w:t xml:space="preserve"> the proportion of Australians over 18 years who agree that it is not acceptable for women to drink alcohol during pregnancy</w:t>
      </w:r>
    </w:p>
    <w:p w14:paraId="4CD34F71" w14:textId="44E43DCC" w:rsidR="00FE2CE2" w:rsidRPr="00F372E2" w:rsidRDefault="00FE2CE2" w:rsidP="00F8393B">
      <w:pPr>
        <w:numPr>
          <w:ilvl w:val="0"/>
          <w:numId w:val="11"/>
        </w:numPr>
        <w:jc w:val="both"/>
        <w:rPr>
          <w:rFonts w:eastAsia="Times New Roman" w:cstheme="minorHAnsi"/>
          <w:lang w:eastAsia="en-AU"/>
        </w:rPr>
      </w:pPr>
      <w:r w:rsidRPr="00F372E2">
        <w:rPr>
          <w:rFonts w:eastAsia="Times New Roman" w:cstheme="minorHAnsi"/>
          <w:lang w:eastAsia="en-AU"/>
        </w:rPr>
        <w:t>90 per cent</w:t>
      </w:r>
      <w:r w:rsidR="00E50AB6">
        <w:rPr>
          <w:rFonts w:eastAsia="Times New Roman" w:cstheme="minorHAnsi"/>
          <w:lang w:eastAsia="en-AU"/>
        </w:rPr>
        <w:t>,</w:t>
      </w:r>
      <w:r w:rsidRPr="00F372E2">
        <w:rPr>
          <w:rFonts w:eastAsia="Times New Roman" w:cstheme="minorHAnsi"/>
          <w:lang w:eastAsia="en-AU"/>
        </w:rPr>
        <w:t xml:space="preserve"> the number of women aged 18 to 40 that can accurately identify the safe l</w:t>
      </w:r>
      <w:r w:rsidR="00A846D1">
        <w:rPr>
          <w:rFonts w:eastAsia="Times New Roman" w:cstheme="minorHAnsi"/>
          <w:lang w:eastAsia="en-AU"/>
        </w:rPr>
        <w:t>evel of drinking while pregnant</w:t>
      </w:r>
    </w:p>
    <w:p w14:paraId="619B7512" w14:textId="7CA56830" w:rsidR="00FE2CE2" w:rsidRPr="00F372E2" w:rsidRDefault="00FE2CE2" w:rsidP="00F8393B">
      <w:pPr>
        <w:numPr>
          <w:ilvl w:val="0"/>
          <w:numId w:val="11"/>
        </w:numPr>
        <w:jc w:val="both"/>
        <w:rPr>
          <w:rFonts w:eastAsia="Times New Roman" w:cstheme="minorHAnsi"/>
          <w:lang w:eastAsia="en-AU"/>
        </w:rPr>
      </w:pPr>
      <w:r>
        <w:rPr>
          <w:rFonts w:eastAsia="Times New Roman" w:cstheme="minorHAnsi"/>
          <w:lang w:eastAsia="en-AU"/>
        </w:rPr>
        <w:t>10 per cent</w:t>
      </w:r>
      <w:r w:rsidR="00E50AB6">
        <w:rPr>
          <w:rFonts w:eastAsia="Times New Roman" w:cstheme="minorHAnsi"/>
          <w:lang w:eastAsia="en-AU"/>
        </w:rPr>
        <w:t>,</w:t>
      </w:r>
      <w:r>
        <w:rPr>
          <w:rFonts w:eastAsia="Times New Roman" w:cstheme="minorHAnsi"/>
          <w:lang w:eastAsia="en-AU"/>
        </w:rPr>
        <w:t xml:space="preserve"> the proportion of </w:t>
      </w:r>
      <w:r w:rsidRPr="00F372E2">
        <w:rPr>
          <w:rFonts w:eastAsia="Times New Roman" w:cstheme="minorHAnsi"/>
          <w:lang w:eastAsia="en-AU"/>
        </w:rPr>
        <w:t>surveyed Australian women who have had a baby during the project period who have received advice from their GP, obstetrician or midwife that is consistent with the Alcoh</w:t>
      </w:r>
      <w:r w:rsidR="00A846D1">
        <w:rPr>
          <w:rFonts w:eastAsia="Times New Roman" w:cstheme="minorHAnsi"/>
          <w:lang w:eastAsia="en-AU"/>
        </w:rPr>
        <w:t>ol Guideline for pregnant women</w:t>
      </w:r>
    </w:p>
    <w:p w14:paraId="23E71745" w14:textId="57BC7DF2" w:rsidR="00FE2CE2" w:rsidRPr="00F372E2" w:rsidRDefault="00FE2CE2" w:rsidP="00F8393B">
      <w:pPr>
        <w:numPr>
          <w:ilvl w:val="0"/>
          <w:numId w:val="11"/>
        </w:numPr>
        <w:jc w:val="both"/>
        <w:rPr>
          <w:rFonts w:eastAsia="Times New Roman" w:cstheme="minorHAnsi"/>
          <w:lang w:eastAsia="en-AU"/>
        </w:rPr>
      </w:pPr>
      <w:r w:rsidRPr="00F372E2">
        <w:rPr>
          <w:rFonts w:eastAsia="Times New Roman" w:cstheme="minorHAnsi"/>
          <w:lang w:eastAsia="en-AU"/>
        </w:rPr>
        <w:t>20 per cent</w:t>
      </w:r>
      <w:r w:rsidR="00E50AB6">
        <w:rPr>
          <w:rFonts w:eastAsia="Times New Roman" w:cstheme="minorHAnsi"/>
          <w:lang w:eastAsia="en-AU"/>
        </w:rPr>
        <w:t xml:space="preserve">, </w:t>
      </w:r>
      <w:r w:rsidRPr="00F372E2">
        <w:rPr>
          <w:rFonts w:eastAsia="Times New Roman" w:cstheme="minorHAnsi"/>
          <w:lang w:eastAsia="en-AU"/>
        </w:rPr>
        <w:t>annually</w:t>
      </w:r>
      <w:r w:rsidR="00E50AB6">
        <w:rPr>
          <w:rFonts w:eastAsia="Times New Roman" w:cstheme="minorHAnsi"/>
          <w:lang w:eastAsia="en-AU"/>
        </w:rPr>
        <w:t>,</w:t>
      </w:r>
      <w:r w:rsidRPr="00F372E2">
        <w:rPr>
          <w:rFonts w:eastAsia="Times New Roman" w:cstheme="minorHAnsi"/>
          <w:lang w:eastAsia="en-AU"/>
        </w:rPr>
        <w:t xml:space="preserve"> the number of people registered with the Pregnant Pause campaign.</w:t>
      </w:r>
    </w:p>
    <w:p w14:paraId="6F4D84D3" w14:textId="6175E92E" w:rsidR="008B6AE0" w:rsidRDefault="008B6AE0" w:rsidP="00FE2CE2">
      <w:pPr>
        <w:rPr>
          <w:rFonts w:eastAsia="Times New Roman" w:cstheme="minorHAnsi"/>
          <w:b/>
          <w:iCs/>
          <w:sz w:val="24"/>
          <w:lang w:eastAsia="en-AU"/>
        </w:rPr>
      </w:pPr>
    </w:p>
    <w:p w14:paraId="037F8738" w14:textId="468F1272" w:rsidR="001C4AA2" w:rsidRDefault="001C4AA2" w:rsidP="00FE2CE2">
      <w:pPr>
        <w:rPr>
          <w:rFonts w:eastAsia="Times New Roman" w:cstheme="minorHAnsi"/>
          <w:b/>
          <w:iCs/>
          <w:sz w:val="24"/>
          <w:lang w:eastAsia="en-AU"/>
        </w:rPr>
      </w:pPr>
    </w:p>
    <w:p w14:paraId="79C37D99" w14:textId="77777777" w:rsidR="001C4AA2" w:rsidRDefault="001C4AA2" w:rsidP="00FE2CE2">
      <w:pPr>
        <w:rPr>
          <w:rFonts w:eastAsia="Times New Roman" w:cstheme="minorHAnsi"/>
          <w:b/>
          <w:iCs/>
          <w:sz w:val="24"/>
          <w:lang w:eastAsia="en-AU"/>
        </w:rPr>
      </w:pPr>
    </w:p>
    <w:p w14:paraId="737482D6" w14:textId="66DAB48D" w:rsidR="00FE2CE2" w:rsidRPr="00F77D47" w:rsidRDefault="00FE2CE2" w:rsidP="00F8393B">
      <w:pPr>
        <w:jc w:val="both"/>
        <w:rPr>
          <w:rFonts w:eastAsia="Times New Roman" w:cstheme="minorHAnsi"/>
          <w:b/>
          <w:iCs/>
          <w:sz w:val="24"/>
          <w:lang w:eastAsia="en-AU"/>
        </w:rPr>
      </w:pPr>
      <w:r w:rsidRPr="00F77D47">
        <w:rPr>
          <w:rFonts w:eastAsia="Times New Roman" w:cstheme="minorHAnsi"/>
          <w:b/>
          <w:iCs/>
          <w:sz w:val="24"/>
          <w:lang w:eastAsia="en-AU"/>
        </w:rPr>
        <w:t>Recommendation</w:t>
      </w:r>
    </w:p>
    <w:p w14:paraId="57CC449A" w14:textId="76073ED9" w:rsidR="00FE2CE2" w:rsidRPr="003D2E37" w:rsidRDefault="00FE2CE2" w:rsidP="00F8393B">
      <w:pPr>
        <w:pStyle w:val="Numberedlist"/>
        <w:numPr>
          <w:ilvl w:val="0"/>
          <w:numId w:val="4"/>
        </w:numPr>
        <w:jc w:val="both"/>
        <w:rPr>
          <w:rFonts w:eastAsia="Times New Roman" w:cstheme="minorHAnsi"/>
          <w:b/>
          <w:lang w:eastAsia="en-AU"/>
        </w:rPr>
      </w:pPr>
      <w:r w:rsidRPr="003D2E37">
        <w:rPr>
          <w:rFonts w:eastAsia="Times New Roman" w:cstheme="minorHAnsi"/>
          <w:b/>
          <w:lang w:eastAsia="en-AU"/>
        </w:rPr>
        <w:t>That the Government protect children from being born with a preventable lifelong disability by establishing a $10 million national public awareness campaign over four years to raise awareness about the risks of drinking alcohol during pregnancy.</w:t>
      </w:r>
    </w:p>
    <w:p w14:paraId="23633289" w14:textId="18739E03" w:rsidR="003F02B9" w:rsidRDefault="003F02B9" w:rsidP="003F02B9">
      <w:pPr>
        <w:pStyle w:val="Heading2"/>
        <w:rPr>
          <w:b/>
          <w:lang w:eastAsia="en-AU"/>
        </w:rPr>
      </w:pPr>
      <w:bookmarkStart w:id="46" w:name="_Toc532385411"/>
      <w:bookmarkStart w:id="47" w:name="_Toc532809061"/>
      <w:bookmarkStart w:id="48" w:name="_Toc529888073"/>
      <w:r>
        <w:rPr>
          <w:b/>
          <w:lang w:eastAsia="en-AU"/>
        </w:rPr>
        <w:t>Deliver</w:t>
      </w:r>
      <w:r w:rsidRPr="00F77D47">
        <w:rPr>
          <w:b/>
          <w:lang w:eastAsia="en-AU"/>
        </w:rPr>
        <w:t xml:space="preserve"> a nation-wide public education campaign</w:t>
      </w:r>
      <w:r>
        <w:rPr>
          <w:b/>
          <w:lang w:eastAsia="en-AU"/>
        </w:rPr>
        <w:t xml:space="preserve"> about the </w:t>
      </w:r>
      <w:r w:rsidR="00A846D1">
        <w:rPr>
          <w:b/>
          <w:lang w:eastAsia="en-AU"/>
        </w:rPr>
        <w:br/>
      </w:r>
      <w:r>
        <w:rPr>
          <w:b/>
          <w:lang w:eastAsia="en-AU"/>
        </w:rPr>
        <w:t>long</w:t>
      </w:r>
      <w:r w:rsidR="00A846D1">
        <w:rPr>
          <w:b/>
          <w:lang w:eastAsia="en-AU"/>
        </w:rPr>
        <w:t>-</w:t>
      </w:r>
      <w:r>
        <w:rPr>
          <w:b/>
          <w:lang w:eastAsia="en-AU"/>
        </w:rPr>
        <w:t>term effects of alcohol consumption</w:t>
      </w:r>
      <w:bookmarkEnd w:id="46"/>
      <w:bookmarkEnd w:id="47"/>
    </w:p>
    <w:p w14:paraId="2F967B0D" w14:textId="77777777" w:rsidR="003F02B9" w:rsidRDefault="003F02B9" w:rsidP="00F8393B">
      <w:pPr>
        <w:jc w:val="both"/>
        <w:rPr>
          <w:rFonts w:eastAsia="Times New Roman" w:cstheme="minorHAnsi"/>
          <w:lang w:eastAsia="en-AU"/>
        </w:rPr>
      </w:pPr>
      <w:r w:rsidRPr="00F372E2">
        <w:rPr>
          <w:rFonts w:eastAsia="Times New Roman" w:cstheme="minorHAnsi"/>
          <w:lang w:eastAsia="en-AU"/>
        </w:rPr>
        <w:t>Too many Australians are unaware of the relationship between alcohol and a range of health problems. It is estimated that 5,070 cases of cancer (or five per cent of all cancers) are attributable to long-term chronic use of alcohol each year in Australia.</w:t>
      </w:r>
      <w:r w:rsidRPr="00F372E2">
        <w:rPr>
          <w:rFonts w:eastAsia="Times New Roman" w:cstheme="minorHAnsi"/>
          <w:vertAlign w:val="superscript"/>
          <w:lang w:eastAsia="en-AU"/>
        </w:rPr>
        <w:endnoteReference w:id="58"/>
      </w:r>
      <w:r w:rsidRPr="00F372E2">
        <w:rPr>
          <w:rFonts w:eastAsia="Times New Roman" w:cstheme="minorHAnsi"/>
          <w:lang w:eastAsia="en-AU"/>
        </w:rPr>
        <w:t xml:space="preserve"> </w:t>
      </w:r>
      <w:r>
        <w:rPr>
          <w:rFonts w:eastAsia="Times New Roman" w:cstheme="minorHAnsi"/>
          <w:lang w:eastAsia="en-AU"/>
        </w:rPr>
        <w:t>Yet, o</w:t>
      </w:r>
      <w:r w:rsidRPr="00F372E2">
        <w:rPr>
          <w:rFonts w:eastAsia="Times New Roman" w:cstheme="minorHAnsi"/>
          <w:lang w:eastAsia="en-AU"/>
        </w:rPr>
        <w:t>nly 11 per cent of Australians are aware of the link between alcohol and breast cancer</w:t>
      </w:r>
      <w:r>
        <w:rPr>
          <w:rFonts w:eastAsia="Times New Roman" w:cstheme="minorHAnsi"/>
          <w:lang w:eastAsia="en-AU"/>
        </w:rPr>
        <w:t>,</w:t>
      </w:r>
      <w:r w:rsidRPr="00F372E2">
        <w:rPr>
          <w:rFonts w:eastAsia="Times New Roman" w:cstheme="minorHAnsi"/>
          <w:lang w:eastAsia="en-AU"/>
        </w:rPr>
        <w:t xml:space="preserve"> and </w:t>
      </w:r>
      <w:r>
        <w:rPr>
          <w:rFonts w:eastAsia="Times New Roman" w:cstheme="minorHAnsi"/>
          <w:lang w:eastAsia="en-AU"/>
        </w:rPr>
        <w:t xml:space="preserve">only </w:t>
      </w:r>
      <w:r w:rsidRPr="00F372E2">
        <w:rPr>
          <w:rFonts w:eastAsia="Times New Roman" w:cstheme="minorHAnsi"/>
          <w:lang w:eastAsia="en-AU"/>
        </w:rPr>
        <w:t>24 per cent are aware of the link with mouth and throat cancer.</w:t>
      </w:r>
      <w:r w:rsidRPr="00F372E2">
        <w:rPr>
          <w:rFonts w:eastAsia="Times New Roman" w:cstheme="minorHAnsi"/>
          <w:vertAlign w:val="superscript"/>
          <w:lang w:eastAsia="en-AU"/>
        </w:rPr>
        <w:endnoteReference w:id="59"/>
      </w:r>
      <w:r w:rsidRPr="00F372E2">
        <w:rPr>
          <w:rFonts w:eastAsia="Times New Roman" w:cstheme="minorHAnsi"/>
          <w:lang w:eastAsia="en-AU"/>
        </w:rPr>
        <w:t xml:space="preserve"> </w:t>
      </w:r>
      <w:r>
        <w:rPr>
          <w:rFonts w:eastAsia="Times New Roman" w:cstheme="minorHAnsi"/>
          <w:lang w:val="en" w:eastAsia="en-AU"/>
        </w:rPr>
        <w:t xml:space="preserve"> </w:t>
      </w:r>
      <w:r>
        <w:rPr>
          <w:rFonts w:eastAsia="Times New Roman" w:cstheme="minorHAnsi"/>
          <w:lang w:eastAsia="en-AU"/>
        </w:rPr>
        <w:t xml:space="preserve"> </w:t>
      </w:r>
    </w:p>
    <w:p w14:paraId="3AFB6DED" w14:textId="2BF2C63E" w:rsidR="003F02B9" w:rsidRDefault="003F02B9" w:rsidP="00F8393B">
      <w:pPr>
        <w:jc w:val="both"/>
        <w:rPr>
          <w:rFonts w:eastAsia="Times New Roman" w:cstheme="minorHAnsi"/>
          <w:lang w:eastAsia="en-AU"/>
        </w:rPr>
      </w:pPr>
      <w:r>
        <w:rPr>
          <w:rFonts w:eastAsia="Times New Roman" w:cstheme="minorHAnsi"/>
          <w:lang w:eastAsia="en-AU"/>
        </w:rPr>
        <w:t>A</w:t>
      </w:r>
      <w:r w:rsidRPr="00F372E2">
        <w:rPr>
          <w:rFonts w:eastAsia="Times New Roman" w:cstheme="minorHAnsi"/>
          <w:lang w:eastAsia="en-AU"/>
        </w:rPr>
        <w:t>wareness of the Alcohol Guidelines</w:t>
      </w:r>
      <w:r>
        <w:rPr>
          <w:rFonts w:eastAsia="Times New Roman" w:cstheme="minorHAnsi"/>
          <w:lang w:eastAsia="en-AU"/>
        </w:rPr>
        <w:t xml:space="preserve"> which advise on how to minimise the harm associated with alcohol consumption,</w:t>
      </w:r>
      <w:r w:rsidRPr="00F372E2">
        <w:rPr>
          <w:rFonts w:eastAsia="Times New Roman" w:cstheme="minorHAnsi"/>
          <w:lang w:eastAsia="en-AU"/>
        </w:rPr>
        <w:t xml:space="preserve"> </w:t>
      </w:r>
      <w:r>
        <w:rPr>
          <w:rFonts w:eastAsia="Times New Roman" w:cstheme="minorHAnsi"/>
          <w:lang w:eastAsia="en-AU"/>
        </w:rPr>
        <w:t>is also</w:t>
      </w:r>
      <w:r w:rsidRPr="00F372E2">
        <w:rPr>
          <w:rFonts w:eastAsia="Times New Roman" w:cstheme="minorHAnsi"/>
          <w:lang w:eastAsia="en-AU"/>
        </w:rPr>
        <w:t xml:space="preserve"> low. Just over half (54 per cent) of all Australians are aware of the</w:t>
      </w:r>
      <w:r w:rsidR="00A846D1">
        <w:rPr>
          <w:rFonts w:eastAsia="Times New Roman" w:cstheme="minorHAnsi"/>
          <w:lang w:eastAsia="en-AU"/>
        </w:rPr>
        <w:t xml:space="preserve"> Alcohol</w:t>
      </w:r>
      <w:r w:rsidRPr="00F372E2">
        <w:rPr>
          <w:rFonts w:eastAsia="Times New Roman" w:cstheme="minorHAnsi"/>
          <w:lang w:eastAsia="en-AU"/>
        </w:rPr>
        <w:t xml:space="preserve"> Guidelines, but relatively few (12 per cent) are confident that they </w:t>
      </w:r>
      <w:r>
        <w:rPr>
          <w:rFonts w:eastAsia="Times New Roman" w:cstheme="minorHAnsi"/>
          <w:lang w:eastAsia="en-AU"/>
        </w:rPr>
        <w:t>know</w:t>
      </w:r>
      <w:r w:rsidRPr="00F372E2">
        <w:rPr>
          <w:rFonts w:eastAsia="Times New Roman" w:cstheme="minorHAnsi"/>
          <w:lang w:eastAsia="en-AU"/>
        </w:rPr>
        <w:t xml:space="preserve"> the content</w:t>
      </w:r>
      <w:r>
        <w:rPr>
          <w:rFonts w:eastAsia="Times New Roman" w:cstheme="minorHAnsi"/>
          <w:lang w:eastAsia="en-AU"/>
        </w:rPr>
        <w:t xml:space="preserve"> of the </w:t>
      </w:r>
      <w:r w:rsidR="00A846D1">
        <w:rPr>
          <w:rFonts w:eastAsia="Times New Roman" w:cstheme="minorHAnsi"/>
          <w:lang w:eastAsia="en-AU"/>
        </w:rPr>
        <w:t>Alcohol G</w:t>
      </w:r>
      <w:r>
        <w:rPr>
          <w:rFonts w:eastAsia="Times New Roman" w:cstheme="minorHAnsi"/>
          <w:lang w:eastAsia="en-AU"/>
        </w:rPr>
        <w:t>uidelines</w:t>
      </w:r>
      <w:r w:rsidRPr="00F372E2">
        <w:rPr>
          <w:rFonts w:eastAsia="Times New Roman" w:cstheme="minorHAnsi"/>
          <w:lang w:eastAsia="en-AU"/>
        </w:rPr>
        <w:t>.</w:t>
      </w:r>
      <w:r w:rsidRPr="00F372E2">
        <w:rPr>
          <w:rFonts w:eastAsia="Times New Roman" w:cstheme="minorHAnsi"/>
          <w:vertAlign w:val="superscript"/>
          <w:lang w:eastAsia="en-AU"/>
        </w:rPr>
        <w:endnoteReference w:id="60"/>
      </w:r>
      <w:r w:rsidRPr="00F372E2">
        <w:rPr>
          <w:rFonts w:eastAsia="Times New Roman" w:cstheme="minorHAnsi"/>
          <w:lang w:eastAsia="en-AU"/>
        </w:rPr>
        <w:t xml:space="preserve"> When asked about the details of the </w:t>
      </w:r>
      <w:r w:rsidR="00A846D1">
        <w:rPr>
          <w:rFonts w:eastAsia="Times New Roman" w:cstheme="minorHAnsi"/>
          <w:lang w:eastAsia="en-AU"/>
        </w:rPr>
        <w:t xml:space="preserve">Alcohol </w:t>
      </w:r>
      <w:r w:rsidRPr="00F372E2">
        <w:rPr>
          <w:rFonts w:eastAsia="Times New Roman" w:cstheme="minorHAnsi"/>
          <w:lang w:eastAsia="en-AU"/>
        </w:rPr>
        <w:t>Guidelines, 41 per cent of Australians were aware that to avoid long</w:t>
      </w:r>
      <w:r w:rsidR="00840FB6">
        <w:rPr>
          <w:rFonts w:eastAsia="Times New Roman" w:cstheme="minorHAnsi"/>
          <w:lang w:eastAsia="en-AU"/>
        </w:rPr>
        <w:t>-</w:t>
      </w:r>
      <w:r w:rsidRPr="00F372E2">
        <w:rPr>
          <w:rFonts w:eastAsia="Times New Roman" w:cstheme="minorHAnsi"/>
          <w:lang w:eastAsia="en-AU"/>
        </w:rPr>
        <w:t>term harms</w:t>
      </w:r>
      <w:r>
        <w:rPr>
          <w:rFonts w:eastAsia="Times New Roman" w:cstheme="minorHAnsi"/>
          <w:lang w:eastAsia="en-AU"/>
        </w:rPr>
        <w:t xml:space="preserve"> from alcohol,</w:t>
      </w:r>
      <w:r w:rsidRPr="00F372E2">
        <w:rPr>
          <w:rFonts w:eastAsia="Times New Roman" w:cstheme="minorHAnsi"/>
          <w:lang w:eastAsia="en-AU"/>
        </w:rPr>
        <w:t xml:space="preserve"> the maximum number of standard drinks a person can have in a day is two.</w:t>
      </w:r>
      <w:r w:rsidRPr="00F372E2">
        <w:rPr>
          <w:rFonts w:eastAsia="Times New Roman" w:cstheme="minorHAnsi"/>
          <w:vertAlign w:val="superscript"/>
          <w:lang w:eastAsia="en-AU"/>
        </w:rPr>
        <w:t xml:space="preserve"> </w:t>
      </w:r>
      <w:r w:rsidRPr="00F372E2">
        <w:rPr>
          <w:rFonts w:eastAsia="Times New Roman" w:cstheme="minorHAnsi"/>
          <w:vertAlign w:val="superscript"/>
          <w:lang w:eastAsia="en-AU"/>
        </w:rPr>
        <w:endnoteReference w:id="61"/>
      </w:r>
      <w:r w:rsidRPr="00F372E2">
        <w:rPr>
          <w:rFonts w:eastAsia="Times New Roman" w:cstheme="minorHAnsi"/>
          <w:lang w:eastAsia="en-AU"/>
        </w:rPr>
        <w:t xml:space="preserve"> Only nine per cent were aware that to avoid short</w:t>
      </w:r>
      <w:r w:rsidR="00840FB6">
        <w:rPr>
          <w:rFonts w:eastAsia="Times New Roman" w:cstheme="minorHAnsi"/>
          <w:lang w:eastAsia="en-AU"/>
        </w:rPr>
        <w:t>-</w:t>
      </w:r>
      <w:r w:rsidRPr="00F372E2">
        <w:rPr>
          <w:rFonts w:eastAsia="Times New Roman" w:cstheme="minorHAnsi"/>
          <w:lang w:eastAsia="en-AU"/>
        </w:rPr>
        <w:t xml:space="preserve">term harms </w:t>
      </w:r>
      <w:r>
        <w:rPr>
          <w:rFonts w:eastAsia="Times New Roman" w:cstheme="minorHAnsi"/>
          <w:lang w:eastAsia="en-AU"/>
        </w:rPr>
        <w:t xml:space="preserve">from alcohol use, </w:t>
      </w:r>
      <w:r w:rsidRPr="00F372E2">
        <w:rPr>
          <w:rFonts w:eastAsia="Times New Roman" w:cstheme="minorHAnsi"/>
          <w:lang w:eastAsia="en-AU"/>
        </w:rPr>
        <w:t>the maximum number of standard drinks that can be consumed is four.</w:t>
      </w:r>
      <w:r w:rsidRPr="00F372E2">
        <w:rPr>
          <w:rFonts w:eastAsia="Times New Roman" w:cstheme="minorHAnsi"/>
          <w:vertAlign w:val="superscript"/>
          <w:lang w:eastAsia="en-AU"/>
        </w:rPr>
        <w:endnoteReference w:id="62"/>
      </w:r>
      <w:r w:rsidRPr="00F372E2">
        <w:rPr>
          <w:rFonts w:eastAsia="Times New Roman" w:cstheme="minorHAnsi"/>
          <w:lang w:eastAsia="en-AU"/>
        </w:rPr>
        <w:t xml:space="preserve"> </w:t>
      </w:r>
      <w:r>
        <w:rPr>
          <w:rFonts w:eastAsia="Times New Roman" w:cstheme="minorHAnsi"/>
          <w:lang w:eastAsia="en-AU"/>
        </w:rPr>
        <w:t xml:space="preserve"> Lack of awareness of the </w:t>
      </w:r>
      <w:r w:rsidR="00A846D1">
        <w:rPr>
          <w:rFonts w:eastAsia="Times New Roman" w:cstheme="minorHAnsi"/>
          <w:lang w:eastAsia="en-AU"/>
        </w:rPr>
        <w:t>Alcohol Guidelines</w:t>
      </w:r>
      <w:r>
        <w:rPr>
          <w:rFonts w:eastAsia="Times New Roman" w:cstheme="minorHAnsi"/>
          <w:lang w:eastAsia="en-AU"/>
        </w:rPr>
        <w:t xml:space="preserve"> around alcohol consumption and pregnancy is reflected in the 20 percent of </w:t>
      </w:r>
      <w:r w:rsidRPr="00F372E2">
        <w:rPr>
          <w:rFonts w:eastAsia="Times New Roman" w:cstheme="minorHAnsi"/>
          <w:lang w:eastAsia="en-AU"/>
        </w:rPr>
        <w:t xml:space="preserve">Australian women </w:t>
      </w:r>
      <w:r>
        <w:rPr>
          <w:rFonts w:eastAsia="Times New Roman" w:cstheme="minorHAnsi"/>
          <w:lang w:eastAsia="en-AU"/>
        </w:rPr>
        <w:t xml:space="preserve">who </w:t>
      </w:r>
      <w:r w:rsidRPr="00F372E2">
        <w:rPr>
          <w:rFonts w:eastAsia="Times New Roman" w:cstheme="minorHAnsi"/>
          <w:lang w:eastAsia="en-AU"/>
        </w:rPr>
        <w:t>continu</w:t>
      </w:r>
      <w:r>
        <w:rPr>
          <w:rFonts w:eastAsia="Times New Roman" w:cstheme="minorHAnsi"/>
          <w:lang w:eastAsia="en-AU"/>
        </w:rPr>
        <w:t>e</w:t>
      </w:r>
      <w:r w:rsidRPr="00F372E2">
        <w:rPr>
          <w:rFonts w:eastAsia="Times New Roman" w:cstheme="minorHAnsi"/>
          <w:lang w:eastAsia="en-AU"/>
        </w:rPr>
        <w:t xml:space="preserve"> to drink alcohol after </w:t>
      </w:r>
      <w:r>
        <w:rPr>
          <w:rFonts w:eastAsia="Times New Roman" w:cstheme="minorHAnsi"/>
          <w:lang w:eastAsia="en-AU"/>
        </w:rPr>
        <w:t>knowing they are pregnant</w:t>
      </w:r>
      <w:r w:rsidRPr="00F372E2">
        <w:rPr>
          <w:rFonts w:eastAsia="Times New Roman" w:cstheme="minorHAnsi"/>
          <w:lang w:eastAsia="en-AU"/>
        </w:rPr>
        <w:t>,</w:t>
      </w:r>
      <w:r w:rsidRPr="00F372E2">
        <w:rPr>
          <w:rFonts w:eastAsia="Times New Roman" w:cstheme="minorHAnsi"/>
          <w:vertAlign w:val="superscript"/>
          <w:lang w:eastAsia="en-AU"/>
        </w:rPr>
        <w:endnoteReference w:id="63"/>
      </w:r>
      <w:r w:rsidRPr="00F372E2">
        <w:rPr>
          <w:rFonts w:eastAsia="Times New Roman" w:cstheme="minorHAnsi"/>
          <w:lang w:eastAsia="en-AU"/>
        </w:rPr>
        <w:t xml:space="preserve"> despite there being no known safe level of alcohol consumption during pregnancy. </w:t>
      </w:r>
    </w:p>
    <w:p w14:paraId="5AB4EC85" w14:textId="7F682DB8" w:rsidR="003F02B9" w:rsidRPr="00926C69" w:rsidRDefault="003F02B9" w:rsidP="00F8393B">
      <w:pPr>
        <w:jc w:val="both"/>
        <w:rPr>
          <w:rFonts w:eastAsia="Times New Roman" w:cstheme="minorHAnsi"/>
          <w:lang w:val="en" w:eastAsia="en-AU"/>
        </w:rPr>
      </w:pPr>
      <w:r>
        <w:rPr>
          <w:rFonts w:eastAsia="Times New Roman" w:cstheme="minorHAnsi"/>
          <w:lang w:eastAsia="en-AU"/>
        </w:rPr>
        <w:t>So long as there is no public education campaign about the harm</w:t>
      </w:r>
      <w:r w:rsidR="00840FB6">
        <w:rPr>
          <w:rFonts w:eastAsia="Times New Roman" w:cstheme="minorHAnsi"/>
          <w:lang w:eastAsia="en-AU"/>
        </w:rPr>
        <w:t>s</w:t>
      </w:r>
      <w:r>
        <w:rPr>
          <w:rFonts w:eastAsia="Times New Roman" w:cstheme="minorHAnsi"/>
          <w:lang w:eastAsia="en-AU"/>
        </w:rPr>
        <w:t xml:space="preserve"> of alcohol consumption and how to reduce these, the only messages that Australians will receive about alcohol are those promoted through </w:t>
      </w:r>
      <w:r w:rsidRPr="00F372E2">
        <w:rPr>
          <w:rFonts w:eastAsia="Times New Roman" w:cstheme="minorHAnsi"/>
          <w:lang w:val="en" w:eastAsia="en-AU"/>
        </w:rPr>
        <w:t>prolific advertising by the alcohol industry. For example, spirits producer Diageo, whose brands include Johnnie Walker, Smirnoff and Guinness, spends approximately $20 million on marketing each year.</w:t>
      </w:r>
      <w:r w:rsidRPr="00F372E2">
        <w:rPr>
          <w:rFonts w:eastAsia="Times New Roman" w:cstheme="minorHAnsi"/>
          <w:vertAlign w:val="superscript"/>
          <w:lang w:val="en" w:eastAsia="en-AU"/>
        </w:rPr>
        <w:endnoteReference w:id="64"/>
      </w:r>
    </w:p>
    <w:p w14:paraId="69E298D5" w14:textId="78A6F302" w:rsidR="003F02B9" w:rsidRPr="00F372E2" w:rsidRDefault="003F02B9" w:rsidP="00F8393B">
      <w:pPr>
        <w:jc w:val="both"/>
        <w:rPr>
          <w:rFonts w:eastAsia="Times New Roman" w:cstheme="minorHAnsi"/>
          <w:lang w:eastAsia="en-AU"/>
        </w:rPr>
      </w:pPr>
      <w:r w:rsidRPr="00F372E2">
        <w:rPr>
          <w:rFonts w:eastAsia="Times New Roman" w:cstheme="minorHAnsi"/>
          <w:lang w:eastAsia="en-AU"/>
        </w:rPr>
        <w:t xml:space="preserve">In Australia and internationally, social marketing campaigns have been effectively used to raise awareness of the harm associated with tobacco use and risks associated with drink driving. However, alcohol-related social marketing campaigns in Australia, with the exception of those relating to drink driving, have been ineffective and had little impact. There has been no national public awareness campaign targeted at reducing alcohol-related harm since Labor’s 2008 </w:t>
      </w:r>
      <w:r w:rsidRPr="00F372E2">
        <w:rPr>
          <w:rFonts w:eastAsia="Times New Roman" w:cstheme="minorHAnsi"/>
          <w:i/>
          <w:lang w:eastAsia="en-AU"/>
        </w:rPr>
        <w:t>Don’t turn a night out into a nightmare</w:t>
      </w:r>
      <w:r w:rsidRPr="00F372E2">
        <w:rPr>
          <w:rFonts w:eastAsia="Times New Roman" w:cstheme="minorHAnsi"/>
          <w:lang w:eastAsia="en-AU"/>
        </w:rPr>
        <w:t xml:space="preserve"> campaign.</w:t>
      </w:r>
    </w:p>
    <w:p w14:paraId="350E2083" w14:textId="359C1453" w:rsidR="003F02B9" w:rsidRDefault="003F02B9" w:rsidP="00F8393B">
      <w:pPr>
        <w:jc w:val="both"/>
        <w:rPr>
          <w:rFonts w:eastAsia="Times New Roman" w:cstheme="minorHAnsi"/>
          <w:lang w:eastAsia="en-AU"/>
        </w:rPr>
      </w:pPr>
      <w:r w:rsidRPr="00F372E2">
        <w:rPr>
          <w:rFonts w:eastAsia="Times New Roman" w:cstheme="minorHAnsi"/>
          <w:lang w:eastAsia="en-AU"/>
        </w:rPr>
        <w:t xml:space="preserve">Public education campaigns can be effective in both raising awareness and changing behaviour if sustained, well-resourced and introduced as part of a comprehensive policy framework. For example, a review of eight studies evaluating drink driving mass media campaigns found that campaigns raised awareness and changed behaviours when </w:t>
      </w:r>
      <w:r>
        <w:rPr>
          <w:rFonts w:eastAsia="Times New Roman" w:cstheme="minorHAnsi"/>
          <w:lang w:eastAsia="en-AU"/>
        </w:rPr>
        <w:t xml:space="preserve">planned, well executed, with </w:t>
      </w:r>
      <w:r w:rsidRPr="00F372E2">
        <w:rPr>
          <w:rFonts w:eastAsia="Times New Roman" w:cstheme="minorHAnsi"/>
          <w:lang w:eastAsia="en-AU"/>
        </w:rPr>
        <w:t>good audience exposure and implemented in conjunction with other prevention activities, such as high visibility policing for drink driving prevention.</w:t>
      </w:r>
      <w:r w:rsidRPr="00F372E2">
        <w:rPr>
          <w:rFonts w:eastAsia="Times New Roman" w:cstheme="minorHAnsi"/>
          <w:vertAlign w:val="superscript"/>
          <w:lang w:eastAsia="en-AU"/>
        </w:rPr>
        <w:endnoteReference w:id="65"/>
      </w:r>
      <w:r w:rsidRPr="00F372E2">
        <w:rPr>
          <w:rFonts w:eastAsia="Times New Roman" w:cstheme="minorHAnsi"/>
          <w:lang w:eastAsia="en-AU"/>
        </w:rPr>
        <w:t xml:space="preserve"> These campaigns reduce</w:t>
      </w:r>
      <w:r>
        <w:rPr>
          <w:rFonts w:eastAsia="Times New Roman" w:cstheme="minorHAnsi"/>
          <w:lang w:eastAsia="en-AU"/>
        </w:rPr>
        <w:t>d</w:t>
      </w:r>
      <w:r w:rsidR="00A846D1">
        <w:rPr>
          <w:rFonts w:eastAsia="Times New Roman" w:cstheme="minorHAnsi"/>
          <w:lang w:eastAsia="en-AU"/>
        </w:rPr>
        <w:t xml:space="preserve"> alcohol-</w:t>
      </w:r>
      <w:r w:rsidRPr="00F372E2">
        <w:rPr>
          <w:rFonts w:eastAsia="Times New Roman" w:cstheme="minorHAnsi"/>
          <w:lang w:eastAsia="en-AU"/>
        </w:rPr>
        <w:t>impaired driving and alcohol-related crashes.</w:t>
      </w:r>
      <w:r>
        <w:rPr>
          <w:rFonts w:eastAsia="Times New Roman" w:cstheme="minorHAnsi"/>
          <w:lang w:eastAsia="en-AU"/>
        </w:rPr>
        <w:t xml:space="preserve"> A</w:t>
      </w:r>
      <w:r w:rsidRPr="00F372E2">
        <w:rPr>
          <w:rFonts w:eastAsia="Times New Roman" w:cstheme="minorHAnsi"/>
          <w:lang w:eastAsia="en-AU"/>
        </w:rPr>
        <w:t xml:space="preserve"> review of 26 studies of tobacco mass media campaigns found that campaigns undertaken as part of a broader comprehensive tobacco control program with sufficient population exposure promoted quitting and reduced adult smoking prevalence</w:t>
      </w:r>
      <w:r w:rsidR="00042030">
        <w:rPr>
          <w:rStyle w:val="EndnoteReference"/>
          <w:rFonts w:eastAsia="Times New Roman" w:cstheme="minorHAnsi"/>
          <w:lang w:eastAsia="en-AU"/>
        </w:rPr>
        <w:endnoteReference w:id="66"/>
      </w:r>
      <w:r>
        <w:rPr>
          <w:rFonts w:eastAsia="Times New Roman" w:cstheme="minorHAnsi"/>
          <w:lang w:eastAsia="en-AU"/>
        </w:rPr>
        <w:t>.</w:t>
      </w:r>
      <w:r w:rsidRPr="00F372E2">
        <w:rPr>
          <w:rFonts w:eastAsia="Times New Roman" w:cstheme="minorHAnsi"/>
          <w:lang w:eastAsia="en-AU"/>
        </w:rPr>
        <w:t xml:space="preserve"> </w:t>
      </w:r>
    </w:p>
    <w:p w14:paraId="7A02021A" w14:textId="515309FA" w:rsidR="003F02B9" w:rsidRPr="00F372E2" w:rsidRDefault="003F02B9" w:rsidP="00F8393B">
      <w:pPr>
        <w:jc w:val="both"/>
        <w:rPr>
          <w:rFonts w:eastAsia="Times New Roman" w:cstheme="minorHAnsi"/>
          <w:lang w:eastAsia="en-AU"/>
        </w:rPr>
      </w:pPr>
      <w:r w:rsidRPr="00F372E2">
        <w:rPr>
          <w:rFonts w:eastAsia="Times New Roman" w:cstheme="minorHAnsi"/>
          <w:lang w:eastAsia="en-AU"/>
        </w:rPr>
        <w:lastRenderedPageBreak/>
        <w:t xml:space="preserve">Internationally, other countries have been more active in educating their populations about alcohol harm. </w:t>
      </w:r>
      <w:r w:rsidR="0098247A">
        <w:rPr>
          <w:rFonts w:eastAsia="Times New Roman" w:cstheme="minorHAnsi"/>
          <w:lang w:eastAsia="en-AU"/>
        </w:rPr>
        <w:t xml:space="preserve">For instance, </w:t>
      </w:r>
      <w:r w:rsidRPr="00F372E2">
        <w:rPr>
          <w:rFonts w:eastAsia="Times New Roman" w:cstheme="minorHAnsi"/>
          <w:lang w:eastAsia="en-AU"/>
        </w:rPr>
        <w:t xml:space="preserve">England invested in two national campaigns in 2008-09 and 2010. The first campaign, </w:t>
      </w:r>
      <w:r w:rsidRPr="00F372E2">
        <w:rPr>
          <w:rFonts w:eastAsia="Times New Roman" w:cstheme="minorHAnsi"/>
          <w:i/>
          <w:lang w:eastAsia="en-AU"/>
        </w:rPr>
        <w:t>Know your limits</w:t>
      </w:r>
      <w:r w:rsidRPr="00F372E2">
        <w:rPr>
          <w:rFonts w:eastAsia="Times New Roman" w:cstheme="minorHAnsi"/>
          <w:lang w:eastAsia="en-AU"/>
        </w:rPr>
        <w:t xml:space="preserve">, aimed to inform consumers about the number of standard drinks in a variety of alcohol products. It consisted of television and radio advertisements as well as resources for consumers and health professionals such as online unit calculators and a dedicated website. This was a precursor to </w:t>
      </w:r>
      <w:r w:rsidRPr="00F372E2">
        <w:rPr>
          <w:rFonts w:eastAsia="Times New Roman" w:cstheme="minorHAnsi"/>
          <w:i/>
          <w:lang w:eastAsia="en-AU"/>
        </w:rPr>
        <w:t>Alcohol Effects</w:t>
      </w:r>
      <w:r w:rsidRPr="00F372E2">
        <w:rPr>
          <w:rFonts w:eastAsia="Times New Roman" w:cstheme="minorHAnsi"/>
          <w:lang w:eastAsia="en-AU"/>
        </w:rPr>
        <w:t>, the follow-up campaign which demonstrated how alcohol effects the organs in the body. This was again supported through television and radio advertisements</w:t>
      </w:r>
      <w:r w:rsidR="00A846D1">
        <w:rPr>
          <w:rFonts w:eastAsia="Times New Roman" w:cstheme="minorHAnsi"/>
          <w:lang w:eastAsia="en-AU"/>
        </w:rPr>
        <w:t>,</w:t>
      </w:r>
      <w:r w:rsidRPr="00F372E2">
        <w:rPr>
          <w:rFonts w:eastAsia="Times New Roman" w:cstheme="minorHAnsi"/>
          <w:lang w:eastAsia="en-AU"/>
        </w:rPr>
        <w:t xml:space="preserve"> as well as toolkit for health professionals and consumer resources.</w:t>
      </w:r>
      <w:r w:rsidRPr="00F372E2">
        <w:rPr>
          <w:rFonts w:eastAsia="Times New Roman" w:cstheme="minorHAnsi"/>
          <w:vertAlign w:val="superscript"/>
          <w:lang w:eastAsia="en-AU"/>
        </w:rPr>
        <w:t xml:space="preserve"> </w:t>
      </w:r>
      <w:r w:rsidRPr="00F372E2">
        <w:rPr>
          <w:rFonts w:eastAsia="Times New Roman" w:cstheme="minorHAnsi"/>
          <w:vertAlign w:val="superscript"/>
          <w:lang w:eastAsia="en-AU"/>
        </w:rPr>
        <w:endnoteReference w:id="67"/>
      </w:r>
      <w:r w:rsidRPr="00F372E2">
        <w:rPr>
          <w:rFonts w:eastAsia="Times New Roman" w:cstheme="minorHAnsi"/>
          <w:lang w:eastAsia="en-AU"/>
        </w:rPr>
        <w:t xml:space="preserve"> Awareness of the links between alcohol and mouth cancer by the general population increased from five per cent to 24 per cent after the </w:t>
      </w:r>
      <w:r w:rsidRPr="00F372E2">
        <w:rPr>
          <w:rFonts w:eastAsia="Times New Roman" w:cstheme="minorHAnsi"/>
          <w:i/>
          <w:lang w:eastAsia="en-AU"/>
        </w:rPr>
        <w:t>Alcohol Effects</w:t>
      </w:r>
      <w:r w:rsidRPr="00F372E2">
        <w:rPr>
          <w:rFonts w:eastAsia="Times New Roman" w:cstheme="minorHAnsi"/>
          <w:lang w:eastAsia="en-AU"/>
        </w:rPr>
        <w:t xml:space="preserve"> campaign.</w:t>
      </w:r>
      <w:r w:rsidRPr="00F372E2">
        <w:rPr>
          <w:rFonts w:eastAsia="Times New Roman" w:cstheme="minorHAnsi"/>
          <w:vertAlign w:val="superscript"/>
          <w:lang w:eastAsia="en-AU"/>
        </w:rPr>
        <w:endnoteReference w:id="68"/>
      </w:r>
      <w:r w:rsidRPr="00F372E2">
        <w:rPr>
          <w:rFonts w:eastAsia="Times New Roman" w:cstheme="minorHAnsi"/>
          <w:lang w:eastAsia="en-AU"/>
        </w:rPr>
        <w:t xml:space="preserve"> </w:t>
      </w:r>
    </w:p>
    <w:p w14:paraId="3A178858" w14:textId="460D1137" w:rsidR="003F02B9" w:rsidRPr="00F372E2" w:rsidRDefault="003F02B9" w:rsidP="00F8393B">
      <w:pPr>
        <w:jc w:val="both"/>
        <w:rPr>
          <w:rFonts w:eastAsia="Times New Roman" w:cstheme="minorHAnsi"/>
          <w:lang w:eastAsia="en-AU"/>
        </w:rPr>
      </w:pPr>
      <w:r w:rsidRPr="00F372E2">
        <w:rPr>
          <w:rFonts w:eastAsia="Times New Roman" w:cstheme="minorHAnsi"/>
          <w:lang w:val="en-US" w:eastAsia="en-AU"/>
        </w:rPr>
        <w:t>For a social marketing campaign to be effective it must be multi-faceted and use a range of media to promote its key messages. This includes broadcast media, digital media, and signage in and around licensed venues. The campaign should also be reinforced with more formal messaging in other settings, such as school-based education programs. It is also essential that a social marketing campaign has a clear target and message. The campaign rationale must clearly identify the target audience and the behaviour change sought. Understanding the target audience includes securing information about their knowledge</w:t>
      </w:r>
      <w:r w:rsidRPr="00F372E2">
        <w:rPr>
          <w:rFonts w:eastAsia="Times New Roman" w:cstheme="minorHAnsi"/>
          <w:lang w:eastAsia="en-AU"/>
        </w:rPr>
        <w:t>, attitudes and current behaviours relevant to the social marketing campaign’s objective.</w:t>
      </w:r>
      <w:r w:rsidRPr="00F372E2">
        <w:rPr>
          <w:rFonts w:eastAsia="Times New Roman" w:cstheme="minorHAnsi"/>
          <w:vertAlign w:val="superscript"/>
          <w:lang w:eastAsia="en-AU"/>
        </w:rPr>
        <w:endnoteReference w:id="69"/>
      </w:r>
      <w:r>
        <w:rPr>
          <w:rFonts w:eastAsia="Times New Roman" w:cstheme="minorHAnsi"/>
          <w:lang w:eastAsia="en-AU"/>
        </w:rPr>
        <w:t xml:space="preserve"> </w:t>
      </w:r>
    </w:p>
    <w:p w14:paraId="51205C75" w14:textId="6AAC0CFF" w:rsidR="00B34F51" w:rsidRDefault="003F02B9" w:rsidP="00F8393B">
      <w:pPr>
        <w:jc w:val="both"/>
        <w:rPr>
          <w:rFonts w:eastAsia="Times New Roman" w:cstheme="minorHAnsi"/>
          <w:b/>
          <w:iCs/>
          <w:sz w:val="24"/>
          <w:lang w:eastAsia="en-AU"/>
        </w:rPr>
      </w:pPr>
      <w:r w:rsidRPr="00F77D47">
        <w:rPr>
          <w:rFonts w:eastAsia="Times New Roman" w:cstheme="minorHAnsi"/>
          <w:b/>
          <w:iCs/>
          <w:sz w:val="24"/>
          <w:lang w:eastAsia="en-AU"/>
        </w:rPr>
        <w:t>Recommendation</w:t>
      </w:r>
    </w:p>
    <w:p w14:paraId="468DD037" w14:textId="33066980" w:rsidR="003F02B9" w:rsidRPr="00A63DC0" w:rsidRDefault="00671404" w:rsidP="00F8393B">
      <w:pPr>
        <w:pStyle w:val="Numberedlist"/>
        <w:numPr>
          <w:ilvl w:val="0"/>
          <w:numId w:val="4"/>
        </w:numPr>
        <w:jc w:val="both"/>
        <w:rPr>
          <w:rFonts w:eastAsia="Times New Roman"/>
          <w:b/>
          <w:u w:val="single"/>
          <w:lang w:eastAsia="en-AU"/>
        </w:rPr>
      </w:pPr>
      <w:r w:rsidRPr="00287E9D">
        <w:rPr>
          <w:rFonts w:eastAsia="Times New Roman"/>
          <w:b/>
          <w:lang w:eastAsia="en-AU"/>
        </w:rPr>
        <w:t>That the Government f</w:t>
      </w:r>
      <w:r w:rsidR="003F02B9" w:rsidRPr="00287E9D">
        <w:rPr>
          <w:rFonts w:eastAsia="Times New Roman"/>
          <w:b/>
          <w:lang w:eastAsia="en-AU"/>
        </w:rPr>
        <w:t>und a nation-wide public education campaign to highlight the harms associated with alcohol consumption and strategies that individuals can use to minimise their risk ($100 million over</w:t>
      </w:r>
      <w:r w:rsidR="00931F3F">
        <w:rPr>
          <w:rFonts w:eastAsia="Times New Roman"/>
          <w:b/>
          <w:lang w:eastAsia="en-AU"/>
        </w:rPr>
        <w:t xml:space="preserve"> four years).</w:t>
      </w:r>
    </w:p>
    <w:p w14:paraId="44057D59" w14:textId="11CE9B5E" w:rsidR="00FE2CE2" w:rsidRDefault="00FE2CE2" w:rsidP="00FE2CE2">
      <w:pPr>
        <w:pStyle w:val="Heading2"/>
        <w:rPr>
          <w:b/>
          <w:lang w:eastAsia="en-AU"/>
        </w:rPr>
      </w:pPr>
      <w:bookmarkStart w:id="49" w:name="_Toc529888074"/>
      <w:bookmarkStart w:id="50" w:name="_Toc532385412"/>
      <w:bookmarkStart w:id="51" w:name="_Toc532809062"/>
      <w:bookmarkEnd w:id="48"/>
      <w:r w:rsidRPr="00F77D47">
        <w:rPr>
          <w:b/>
          <w:lang w:eastAsia="en-AU"/>
        </w:rPr>
        <w:t>Remov</w:t>
      </w:r>
      <w:r>
        <w:rPr>
          <w:b/>
          <w:lang w:eastAsia="en-AU"/>
        </w:rPr>
        <w:t>e</w:t>
      </w:r>
      <w:r w:rsidRPr="00F77D47">
        <w:rPr>
          <w:b/>
          <w:lang w:eastAsia="en-AU"/>
        </w:rPr>
        <w:t xml:space="preserve"> alcohol sponsorship from sport</w:t>
      </w:r>
      <w:bookmarkEnd w:id="49"/>
      <w:bookmarkEnd w:id="50"/>
      <w:bookmarkEnd w:id="51"/>
    </w:p>
    <w:p w14:paraId="21A68B50" w14:textId="4A3EB633" w:rsidR="00FE2CE2" w:rsidRDefault="00FE2CE2" w:rsidP="00F8393B">
      <w:pPr>
        <w:jc w:val="both"/>
        <w:rPr>
          <w:rFonts w:eastAsia="Times New Roman" w:cstheme="minorHAnsi"/>
          <w:lang w:eastAsia="en-AU"/>
        </w:rPr>
      </w:pPr>
      <w:r w:rsidRPr="00F372E2">
        <w:rPr>
          <w:rFonts w:eastAsia="Times New Roman" w:cstheme="minorHAnsi"/>
          <w:lang w:eastAsia="en-AU"/>
        </w:rPr>
        <w:t xml:space="preserve">Alcohol advertising features prominently in sporting events and culture in Australia. Alcohol brands are in regular view of the public, both </w:t>
      </w:r>
      <w:r w:rsidR="008A1D10">
        <w:rPr>
          <w:rFonts w:eastAsia="Times New Roman" w:cstheme="minorHAnsi"/>
          <w:lang w:eastAsia="en-AU"/>
        </w:rPr>
        <w:t xml:space="preserve">on sports </w:t>
      </w:r>
      <w:r w:rsidRPr="00F372E2">
        <w:rPr>
          <w:rFonts w:eastAsia="Times New Roman" w:cstheme="minorHAnsi"/>
          <w:lang w:eastAsia="en-AU"/>
        </w:rPr>
        <w:t>ground</w:t>
      </w:r>
      <w:r w:rsidR="008A1D10">
        <w:rPr>
          <w:rFonts w:eastAsia="Times New Roman" w:cstheme="minorHAnsi"/>
          <w:lang w:eastAsia="en-AU"/>
        </w:rPr>
        <w:t>s</w:t>
      </w:r>
      <w:r w:rsidRPr="00F372E2">
        <w:rPr>
          <w:rFonts w:eastAsia="Times New Roman" w:cstheme="minorHAnsi"/>
          <w:lang w:eastAsia="en-AU"/>
        </w:rPr>
        <w:t xml:space="preserve"> and on television, through naming rights (of events, sporting fields and teams) and branding (on fences, the pitch and other signage at the sports ground and on uniforms and promotional merchandise). The alcohol industry has a close relationship with sporting institutions like Cricket Australia, the Australian Football League (AFL) and National Rugby League (NRL)</w:t>
      </w:r>
      <w:r w:rsidR="008A1D10">
        <w:rPr>
          <w:rFonts w:eastAsia="Times New Roman" w:cstheme="minorHAnsi"/>
          <w:lang w:eastAsia="en-AU"/>
        </w:rPr>
        <w:t xml:space="preserve">, which </w:t>
      </w:r>
      <w:r w:rsidRPr="00F372E2">
        <w:rPr>
          <w:rFonts w:eastAsia="Times New Roman" w:cstheme="minorHAnsi"/>
          <w:lang w:eastAsia="en-AU"/>
        </w:rPr>
        <w:t>promot</w:t>
      </w:r>
      <w:r w:rsidR="008A1D10">
        <w:rPr>
          <w:rFonts w:eastAsia="Times New Roman" w:cstheme="minorHAnsi"/>
          <w:lang w:eastAsia="en-AU"/>
        </w:rPr>
        <w:t xml:space="preserve">es </w:t>
      </w:r>
      <w:r w:rsidRPr="00F372E2">
        <w:rPr>
          <w:rFonts w:eastAsia="Times New Roman" w:cstheme="minorHAnsi"/>
          <w:lang w:eastAsia="en-AU"/>
        </w:rPr>
        <w:t xml:space="preserve">a view that alcohol and sport are intrinsically linked. </w:t>
      </w:r>
    </w:p>
    <w:p w14:paraId="0D3B3696" w14:textId="791D1620" w:rsidR="00FE2CE2" w:rsidRDefault="00FE2CE2" w:rsidP="00F8393B">
      <w:pPr>
        <w:jc w:val="both"/>
        <w:rPr>
          <w:rFonts w:eastAsia="Times New Roman" w:cstheme="minorHAnsi"/>
          <w:lang w:eastAsia="en-AU"/>
        </w:rPr>
      </w:pPr>
      <w:r>
        <w:rPr>
          <w:rFonts w:eastAsia="Times New Roman" w:cstheme="minorHAnsi"/>
          <w:lang w:eastAsia="en-AU"/>
        </w:rPr>
        <w:t>A</w:t>
      </w:r>
      <w:r w:rsidRPr="00F372E2">
        <w:rPr>
          <w:rFonts w:eastAsia="Times New Roman" w:cstheme="minorHAnsi"/>
          <w:lang w:eastAsia="en-AU"/>
        </w:rPr>
        <w:t>lcohol sponsorship in sport is associated with hazardous drinking by sporting participants,</w:t>
      </w:r>
      <w:r w:rsidRPr="00F372E2">
        <w:rPr>
          <w:rFonts w:eastAsia="Times New Roman" w:cstheme="minorHAnsi"/>
          <w:vertAlign w:val="superscript"/>
          <w:lang w:eastAsia="en-AU"/>
        </w:rPr>
        <w:endnoteReference w:id="70"/>
      </w:r>
      <w:r w:rsidRPr="00F372E2">
        <w:rPr>
          <w:rFonts w:eastAsia="Times New Roman" w:cstheme="minorHAnsi"/>
          <w:lang w:eastAsia="en-AU"/>
        </w:rPr>
        <w:t xml:space="preserve"> </w:t>
      </w:r>
      <w:r>
        <w:rPr>
          <w:rFonts w:eastAsia="Times New Roman" w:cstheme="minorHAnsi"/>
          <w:lang w:eastAsia="en-AU"/>
        </w:rPr>
        <w:t>and</w:t>
      </w:r>
      <w:r w:rsidRPr="00F372E2">
        <w:rPr>
          <w:rFonts w:eastAsia="Times New Roman" w:cstheme="minorHAnsi"/>
          <w:lang w:eastAsia="en-AU"/>
        </w:rPr>
        <w:t xml:space="preserve"> communicates strong messages about alcohol brands and drinking that are absorbed by children. A cross-sectional survey of 6,651 school students across four countries found that exposure to online alcohol marketing and exposure to alcohol-branded sports sponsorship both increased young adolescents’ intention</w:t>
      </w:r>
      <w:r w:rsidR="00B87CD0">
        <w:rPr>
          <w:rFonts w:eastAsia="Times New Roman" w:cstheme="minorHAnsi"/>
          <w:lang w:eastAsia="en-AU"/>
        </w:rPr>
        <w:t xml:space="preserve"> to drink and increased the likelihood</w:t>
      </w:r>
      <w:r w:rsidRPr="00F372E2">
        <w:rPr>
          <w:rFonts w:eastAsia="Times New Roman" w:cstheme="minorHAnsi"/>
          <w:lang w:eastAsia="en-AU"/>
        </w:rPr>
        <w:t xml:space="preserve"> that they had been drinking in the past 30 days.</w:t>
      </w:r>
      <w:r w:rsidRPr="00F372E2">
        <w:rPr>
          <w:rFonts w:eastAsia="Times New Roman" w:cstheme="minorHAnsi"/>
          <w:vertAlign w:val="superscript"/>
          <w:lang w:eastAsia="en-AU"/>
        </w:rPr>
        <w:endnoteReference w:id="71"/>
      </w:r>
      <w:r w:rsidRPr="00925750">
        <w:rPr>
          <w:rFonts w:eastAsia="Times New Roman" w:cstheme="minorHAnsi"/>
          <w:lang w:val="en-GB" w:eastAsia="en-AU"/>
        </w:rPr>
        <w:t xml:space="preserve"> </w:t>
      </w:r>
      <w:r>
        <w:rPr>
          <w:rFonts w:eastAsia="Times New Roman" w:cstheme="minorHAnsi"/>
          <w:lang w:val="en-GB" w:eastAsia="en-AU"/>
        </w:rPr>
        <w:t>A</w:t>
      </w:r>
      <w:r w:rsidRPr="00F372E2">
        <w:rPr>
          <w:rFonts w:eastAsia="Times New Roman" w:cstheme="minorHAnsi"/>
          <w:lang w:eastAsia="en-AU"/>
        </w:rPr>
        <w:t>n Australian study of 164 children aged between five and 12 found that 76 per cent of them were able to correctly match at least one sport with its relevant sponsor.</w:t>
      </w:r>
      <w:r w:rsidRPr="00F372E2">
        <w:rPr>
          <w:rFonts w:eastAsia="Times New Roman" w:cstheme="minorHAnsi"/>
          <w:vertAlign w:val="superscript"/>
          <w:lang w:eastAsia="en-AU"/>
        </w:rPr>
        <w:endnoteReference w:id="72"/>
      </w:r>
      <w:r w:rsidRPr="00F372E2">
        <w:rPr>
          <w:rFonts w:eastAsia="Times New Roman" w:cstheme="minorHAnsi"/>
          <w:lang w:eastAsia="en-AU"/>
        </w:rPr>
        <w:t xml:space="preserve"> </w:t>
      </w:r>
    </w:p>
    <w:p w14:paraId="1336A3F3" w14:textId="3C0AC981" w:rsidR="00FE2CE2" w:rsidRDefault="00FE2CE2" w:rsidP="00F8393B">
      <w:pPr>
        <w:spacing w:line="240" w:lineRule="auto"/>
        <w:jc w:val="both"/>
      </w:pPr>
      <w:r>
        <w:t xml:space="preserve">As shown in Figure </w:t>
      </w:r>
      <w:r w:rsidR="003D5D25">
        <w:t>6</w:t>
      </w:r>
      <w:r>
        <w:t xml:space="preserve">, support among the Australian community for banning alcohol sponsorship </w:t>
      </w:r>
      <w:r w:rsidR="005B6395">
        <w:t xml:space="preserve">is strong and growing with more than </w:t>
      </w:r>
      <w:r>
        <w:t>50</w:t>
      </w:r>
      <w:r w:rsidR="005B6395">
        <w:t xml:space="preserve"> per cent</w:t>
      </w:r>
      <w:r>
        <w:t xml:space="preserve"> of persons surveyed in the 2016 National </w:t>
      </w:r>
      <w:r w:rsidR="002E096B">
        <w:t>D</w:t>
      </w:r>
      <w:r>
        <w:t xml:space="preserve">rug </w:t>
      </w:r>
      <w:r w:rsidR="002E096B">
        <w:t>S</w:t>
      </w:r>
      <w:r>
        <w:t xml:space="preserve">trategy </w:t>
      </w:r>
      <w:r w:rsidR="002E096B">
        <w:t>H</w:t>
      </w:r>
      <w:r>
        <w:t xml:space="preserve">ousehold survey supporting this. A VicHealth survey also reported that 83 per cent surveyed supported </w:t>
      </w:r>
      <w:r w:rsidRPr="00757D74">
        <w:t xml:space="preserve">the removal of alcohol sponsorship from sporting clubs if help </w:t>
      </w:r>
      <w:r>
        <w:t>i</w:t>
      </w:r>
      <w:r w:rsidRPr="00757D74">
        <w:t>s given to replace lost revenue</w:t>
      </w:r>
      <w:r>
        <w:rPr>
          <w:rStyle w:val="EndnoteReference"/>
        </w:rPr>
        <w:endnoteReference w:id="73"/>
      </w:r>
      <w:r>
        <w:t>.</w:t>
      </w:r>
    </w:p>
    <w:p w14:paraId="17896EF7" w14:textId="77777777" w:rsidR="00F8393B" w:rsidRDefault="00FE2CE2" w:rsidP="00F8393B">
      <w:pPr>
        <w:jc w:val="both"/>
      </w:pPr>
      <w:r w:rsidRPr="00757D74">
        <w:t>Many countries have already successfully removed alcohol sponsorship from sport without any significant impact including France, Qatar, Norway, Denmark, Croatia, Russia and others.</w:t>
      </w:r>
      <w:r>
        <w:rPr>
          <w:rStyle w:val="EndnoteReference"/>
        </w:rPr>
        <w:endnoteReference w:id="74"/>
      </w:r>
      <w:r w:rsidRPr="00757D74">
        <w:t xml:space="preserve"> </w:t>
      </w:r>
    </w:p>
    <w:p w14:paraId="323C6C5B" w14:textId="056F3D25" w:rsidR="00FE2CE2" w:rsidRPr="007371D2" w:rsidRDefault="00FE2CE2" w:rsidP="00F8393B">
      <w:pPr>
        <w:jc w:val="both"/>
        <w:rPr>
          <w:rFonts w:eastAsia="Times New Roman" w:cstheme="minorHAnsi"/>
          <w:lang w:eastAsia="en-AU"/>
        </w:rPr>
      </w:pPr>
      <w:r w:rsidRPr="00757D74">
        <w:lastRenderedPageBreak/>
        <w:t xml:space="preserve">France successfully renamed and held the Heineken Cup Rugby competition – now ‘H-Cup’ in France, as well as the UEFA Euro 2016. The Football World Cup hosted in Russia (2018) and </w:t>
      </w:r>
      <w:r>
        <w:t xml:space="preserve">forthcoming in </w:t>
      </w:r>
      <w:r w:rsidRPr="00757D74">
        <w:t xml:space="preserve">Qatar (2022) also suggest that the removal of alcohol sponsorship does not diminish sport or the capacity to host international sporting events. </w:t>
      </w:r>
    </w:p>
    <w:p w14:paraId="5315B90C" w14:textId="3144CEC4" w:rsidR="00FE2CE2" w:rsidRDefault="00FE2CE2" w:rsidP="00F8393B">
      <w:pPr>
        <w:jc w:val="both"/>
        <w:rPr>
          <w:rFonts w:eastAsia="Times New Roman" w:cstheme="minorHAnsi"/>
          <w:lang w:eastAsia="en-AU"/>
        </w:rPr>
      </w:pPr>
      <w:r w:rsidRPr="00F372E2">
        <w:rPr>
          <w:rFonts w:eastAsia="Times New Roman" w:cstheme="minorHAnsi"/>
          <w:lang w:eastAsia="en-AU"/>
        </w:rPr>
        <w:t>Sport has successfully transitioned away from reliance</w:t>
      </w:r>
      <w:r>
        <w:rPr>
          <w:rFonts w:eastAsia="Times New Roman" w:cstheme="minorHAnsi"/>
          <w:lang w:eastAsia="en-AU"/>
        </w:rPr>
        <w:t xml:space="preserve"> on tobacco advertising. It is </w:t>
      </w:r>
      <w:r w:rsidRPr="00F372E2">
        <w:rPr>
          <w:rFonts w:eastAsia="Times New Roman" w:cstheme="minorHAnsi"/>
          <w:lang w:eastAsia="en-AU"/>
        </w:rPr>
        <w:t xml:space="preserve">time to address its growing reliance on alcohol. To </w:t>
      </w:r>
      <w:r w:rsidR="005B6395">
        <w:rPr>
          <w:rFonts w:eastAsia="Times New Roman" w:cstheme="minorHAnsi"/>
          <w:lang w:eastAsia="en-AU"/>
        </w:rPr>
        <w:t>assist in this transition, the G</w:t>
      </w:r>
      <w:r w:rsidRPr="00F372E2">
        <w:rPr>
          <w:rFonts w:eastAsia="Times New Roman" w:cstheme="minorHAnsi"/>
          <w:lang w:eastAsia="en-AU"/>
        </w:rPr>
        <w:t xml:space="preserve">overnment may implement a Sponsorship Replacement Fund as part of a larger campaign to </w:t>
      </w:r>
      <w:r w:rsidR="005B6395">
        <w:rPr>
          <w:rFonts w:eastAsia="Times New Roman" w:cstheme="minorHAnsi"/>
          <w:lang w:eastAsia="en-AU"/>
        </w:rPr>
        <w:t xml:space="preserve">educate the public on the harm </w:t>
      </w:r>
      <w:r w:rsidRPr="00F372E2">
        <w:rPr>
          <w:rFonts w:eastAsia="Times New Roman" w:cstheme="minorHAnsi"/>
          <w:lang w:eastAsia="en-AU"/>
        </w:rPr>
        <w:t xml:space="preserve">associated with excessive consumption of alcohol. To allow time for adaptation, an Alcohol Sponsorship Replacement Fund may facilitate phasing out of alcohol sponsorship in sport. Given the current levels of alcohol sponsorship, a relatively modest investment of $100 million over </w:t>
      </w:r>
      <w:r>
        <w:rPr>
          <w:rFonts w:eastAsia="Times New Roman" w:cstheme="minorHAnsi"/>
          <w:lang w:eastAsia="en-AU"/>
        </w:rPr>
        <w:t>four</w:t>
      </w:r>
      <w:r w:rsidRPr="00F372E2">
        <w:rPr>
          <w:rFonts w:eastAsia="Times New Roman" w:cstheme="minorHAnsi"/>
          <w:lang w:eastAsia="en-AU"/>
        </w:rPr>
        <w:t xml:space="preserve"> years would allow sufficient time for sporting codes to adjust. Alternative sponsors will be readily available. In NRL, for example, the value of the most recent contract with Telstra ($6.5 million) was more than four times greater than that of the largest alcohol sponsor (Carlton United Brewery, $1.5 million).</w:t>
      </w:r>
      <w:r w:rsidRPr="00F372E2">
        <w:rPr>
          <w:rFonts w:eastAsia="Times New Roman" w:cstheme="minorHAnsi"/>
          <w:vertAlign w:val="superscript"/>
          <w:lang w:eastAsia="en-AU"/>
        </w:rPr>
        <w:endnoteReference w:id="75"/>
      </w:r>
    </w:p>
    <w:p w14:paraId="0368E0F9" w14:textId="77777777" w:rsidR="00FE2CE2" w:rsidRPr="00F77D47" w:rsidRDefault="00FE2CE2" w:rsidP="00F8393B">
      <w:pPr>
        <w:rPr>
          <w:rFonts w:eastAsia="Times New Roman" w:cstheme="minorHAnsi"/>
          <w:b/>
          <w:iCs/>
          <w:sz w:val="24"/>
          <w:lang w:eastAsia="en-AU"/>
        </w:rPr>
      </w:pPr>
      <w:r w:rsidRPr="00F77D47">
        <w:rPr>
          <w:rFonts w:eastAsia="Times New Roman" w:cstheme="minorHAnsi"/>
          <w:b/>
          <w:iCs/>
          <w:sz w:val="24"/>
          <w:lang w:eastAsia="en-AU"/>
        </w:rPr>
        <w:t>Recommendation</w:t>
      </w:r>
    </w:p>
    <w:p w14:paraId="698B5B3D" w14:textId="60D90E43" w:rsidR="00FE2CE2" w:rsidRPr="003D2E37" w:rsidRDefault="004133DB" w:rsidP="00F8393B">
      <w:pPr>
        <w:pStyle w:val="Numberedlist"/>
        <w:numPr>
          <w:ilvl w:val="0"/>
          <w:numId w:val="4"/>
        </w:numPr>
        <w:rPr>
          <w:rFonts w:eastAsia="Times New Roman" w:cstheme="minorHAnsi"/>
          <w:b/>
          <w:lang w:eastAsia="en-AU"/>
        </w:rPr>
      </w:pPr>
      <w:r>
        <w:rPr>
          <w:rFonts w:eastAsia="Times New Roman" w:cstheme="minorHAnsi"/>
          <w:b/>
          <w:lang w:eastAsia="en-AU"/>
        </w:rPr>
        <w:t>That the Government p</w:t>
      </w:r>
      <w:r w:rsidR="00FE2CE2" w:rsidRPr="003D2E37">
        <w:rPr>
          <w:rFonts w:eastAsia="Times New Roman" w:cstheme="minorHAnsi"/>
          <w:b/>
          <w:lang w:eastAsia="en-AU"/>
        </w:rPr>
        <w:t xml:space="preserve">hase out alcohol sponsorship in sport by investing $100 million over four years in the implementation of an Alcohol Sponsorship Replacement Fund. </w:t>
      </w:r>
    </w:p>
    <w:p w14:paraId="22382880" w14:textId="231C445C" w:rsidR="00FE2CE2" w:rsidRPr="00F372E2" w:rsidRDefault="00FE2CE2" w:rsidP="00FE2CE2">
      <w:pPr>
        <w:keepNext/>
        <w:rPr>
          <w:rFonts w:eastAsia="Times New Roman" w:cstheme="minorHAnsi"/>
          <w:b/>
          <w:lang w:eastAsia="en-AU"/>
        </w:rPr>
      </w:pPr>
      <w:r w:rsidRPr="00F372E2">
        <w:rPr>
          <w:rFonts w:eastAsia="Times New Roman" w:cstheme="minorHAnsi"/>
          <w:b/>
          <w:lang w:eastAsia="en-AU"/>
        </w:rPr>
        <w:t xml:space="preserve">Figure </w:t>
      </w:r>
      <w:r w:rsidR="003D5D25">
        <w:rPr>
          <w:rFonts w:eastAsia="Times New Roman" w:cstheme="minorHAnsi"/>
          <w:b/>
          <w:lang w:eastAsia="en-AU"/>
        </w:rPr>
        <w:t>6</w:t>
      </w:r>
      <w:r w:rsidRPr="00F372E2">
        <w:rPr>
          <w:rFonts w:eastAsia="Times New Roman" w:cstheme="minorHAnsi"/>
          <w:b/>
          <w:lang w:eastAsia="en-AU"/>
        </w:rPr>
        <w:t>. Support for banning alcohol sponsorship of sporting events, by gender, 2004 to 2016</w:t>
      </w:r>
    </w:p>
    <w:p w14:paraId="5F767B35" w14:textId="77777777" w:rsidR="00FE2CE2" w:rsidRPr="00F372E2" w:rsidRDefault="00FE2CE2" w:rsidP="00FE2CE2">
      <w:pPr>
        <w:rPr>
          <w:rFonts w:eastAsia="Times New Roman" w:cstheme="minorHAnsi"/>
          <w:lang w:eastAsia="en-AU"/>
        </w:rPr>
      </w:pPr>
      <w:r w:rsidRPr="00F372E2">
        <w:rPr>
          <w:rFonts w:eastAsia="Times New Roman" w:cstheme="minorHAnsi"/>
          <w:noProof/>
          <w:lang w:eastAsia="en-AU"/>
        </w:rPr>
        <w:drawing>
          <wp:inline distT="0" distB="0" distL="0" distR="0" wp14:anchorId="2D393C7C" wp14:editId="07D23B57">
            <wp:extent cx="5210175" cy="27432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F618FBF" w14:textId="77777777" w:rsidR="00FE2CE2" w:rsidRPr="00564843" w:rsidRDefault="00FE2CE2" w:rsidP="00FE2CE2">
      <w:pPr>
        <w:rPr>
          <w:rFonts w:eastAsia="Times New Roman" w:cstheme="minorHAnsi"/>
          <w:sz w:val="18"/>
          <w:szCs w:val="18"/>
          <w:lang w:eastAsia="en-AU"/>
        </w:rPr>
      </w:pPr>
      <w:r w:rsidRPr="00712DC1">
        <w:rPr>
          <w:rFonts w:eastAsia="Times New Roman" w:cstheme="minorHAnsi"/>
          <w:sz w:val="18"/>
          <w:szCs w:val="18"/>
          <w:lang w:eastAsia="en-AU"/>
        </w:rPr>
        <w:t xml:space="preserve">Source: Australian Institute of Health and Welfare. (2017). </w:t>
      </w:r>
      <w:r w:rsidRPr="00712DC1">
        <w:rPr>
          <w:rFonts w:eastAsia="Times New Roman" w:cstheme="minorHAnsi"/>
          <w:i/>
          <w:sz w:val="18"/>
          <w:szCs w:val="18"/>
          <w:lang w:eastAsia="en-AU"/>
        </w:rPr>
        <w:t>National Drug Strategy Household Survey 2016</w:t>
      </w:r>
      <w:r>
        <w:rPr>
          <w:rFonts w:eastAsia="Times New Roman" w:cstheme="minorHAnsi"/>
          <w:sz w:val="18"/>
          <w:szCs w:val="18"/>
          <w:lang w:eastAsia="en-AU"/>
        </w:rPr>
        <w:t xml:space="preserve">. </w:t>
      </w:r>
    </w:p>
    <w:p w14:paraId="3CD47704" w14:textId="77777777" w:rsidR="00FE2CE2" w:rsidRDefault="00FE2CE2" w:rsidP="00FE2CE2">
      <w:pPr>
        <w:pStyle w:val="Heading2"/>
        <w:rPr>
          <w:b/>
          <w:lang w:eastAsia="en-AU"/>
        </w:rPr>
      </w:pPr>
      <w:bookmarkStart w:id="52" w:name="_Toc529888075"/>
    </w:p>
    <w:bookmarkEnd w:id="52"/>
    <w:p w14:paraId="6068E36B" w14:textId="7B6F997C" w:rsidR="008E1F1E" w:rsidRDefault="008E1F1E"/>
    <w:p w14:paraId="5BD69A1C" w14:textId="77777777" w:rsidR="00B727EC" w:rsidRDefault="00B727EC"/>
    <w:p w14:paraId="6F1A2789" w14:textId="77777777" w:rsidR="00F8393B" w:rsidRDefault="00F8393B">
      <w:pPr>
        <w:rPr>
          <w:rFonts w:eastAsiaTheme="majorEastAsia" w:cstheme="majorBidi"/>
          <w:b/>
          <w:bCs/>
          <w:color w:val="23A8D8"/>
          <w:sz w:val="40"/>
          <w:szCs w:val="36"/>
        </w:rPr>
      </w:pPr>
      <w:bookmarkStart w:id="53" w:name="_Toc532385413"/>
      <w:r>
        <w:br w:type="page"/>
      </w:r>
    </w:p>
    <w:p w14:paraId="03603711" w14:textId="18CF9880" w:rsidR="003F02B9" w:rsidRDefault="003F02B9" w:rsidP="007A274D">
      <w:pPr>
        <w:pStyle w:val="Heading1"/>
      </w:pPr>
      <w:bookmarkStart w:id="54" w:name="_Toc532809063"/>
      <w:r>
        <w:lastRenderedPageBreak/>
        <w:t>References</w:t>
      </w:r>
      <w:bookmarkEnd w:id="53"/>
      <w:bookmarkEnd w:id="54"/>
    </w:p>
    <w:sectPr w:rsidR="003F02B9">
      <w:footerReference w:type="default" r:id="rId2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A565E" w16cid:durableId="1FC137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A377F" w14:textId="77777777" w:rsidR="00E50AB6" w:rsidRDefault="00E50AB6" w:rsidP="00FE2CE2">
      <w:pPr>
        <w:spacing w:after="0" w:line="240" w:lineRule="auto"/>
      </w:pPr>
      <w:r>
        <w:separator/>
      </w:r>
    </w:p>
  </w:endnote>
  <w:endnote w:type="continuationSeparator" w:id="0">
    <w:p w14:paraId="03277915" w14:textId="77777777" w:rsidR="00E50AB6" w:rsidRDefault="00E50AB6" w:rsidP="00FE2CE2">
      <w:pPr>
        <w:spacing w:after="0" w:line="240" w:lineRule="auto"/>
      </w:pPr>
      <w:r>
        <w:continuationSeparator/>
      </w:r>
    </w:p>
  </w:endnote>
  <w:endnote w:id="1">
    <w:p w14:paraId="0790CF1F" w14:textId="77777777" w:rsidR="00E50AB6" w:rsidRPr="00821737" w:rsidRDefault="00E50AB6" w:rsidP="008709FB">
      <w:pPr>
        <w:spacing w:after="60"/>
        <w:mirrorIndents/>
      </w:pPr>
      <w:r w:rsidRPr="00821737">
        <w:rPr>
          <w:rStyle w:val="EndnoteReference"/>
        </w:rPr>
        <w:endnoteRef/>
      </w:r>
      <w:r w:rsidRPr="00821737">
        <w:t xml:space="preserve"> Gao, C., Ogeil, R., &amp; Lloyd, B. (2014). </w:t>
      </w:r>
      <w:r w:rsidRPr="00821737">
        <w:rPr>
          <w:i/>
          <w:iCs/>
        </w:rPr>
        <w:t>Alcohol’s burden of disease in Australia</w:t>
      </w:r>
      <w:r w:rsidRPr="00821737">
        <w:t xml:space="preserve">. Canberra: Foundation for Alcohol Research and Education and VicHealth in collaboration with Turning Point. </w:t>
      </w:r>
    </w:p>
  </w:endnote>
  <w:endnote w:id="2">
    <w:p w14:paraId="59669E2B" w14:textId="77777777" w:rsidR="00E50AB6" w:rsidRPr="00821737" w:rsidRDefault="00E50AB6" w:rsidP="008709FB">
      <w:pPr>
        <w:spacing w:after="60"/>
        <w:mirrorIndents/>
      </w:pPr>
      <w:r w:rsidRPr="00821737">
        <w:rPr>
          <w:rStyle w:val="EndnoteReference"/>
        </w:rPr>
        <w:endnoteRef/>
      </w:r>
      <w:r w:rsidRPr="00821737">
        <w:t xml:space="preserve"> Laslett,</w:t>
      </w:r>
      <w:r w:rsidRPr="00821737">
        <w:rPr>
          <w:rFonts w:cs="Helvetica"/>
        </w:rPr>
        <w:t xml:space="preserve"> A-M., </w:t>
      </w:r>
      <w:r w:rsidRPr="00821737">
        <w:rPr>
          <w:rFonts w:cs="Helvetica"/>
          <w:i/>
        </w:rPr>
        <w:t>et al.</w:t>
      </w:r>
      <w:r w:rsidRPr="00821737">
        <w:rPr>
          <w:rFonts w:cs="Helvetica"/>
        </w:rPr>
        <w:t xml:space="preserve"> (2010). </w:t>
      </w:r>
      <w:r w:rsidRPr="00821737">
        <w:rPr>
          <w:rFonts w:cs="Helvetica-Oblique"/>
          <w:i/>
          <w:iCs/>
        </w:rPr>
        <w:t>The range and magnitude of alcohol’s harm to others.</w:t>
      </w:r>
      <w:r w:rsidRPr="00821737">
        <w:rPr>
          <w:rFonts w:cs="Helvetica"/>
        </w:rPr>
        <w:t xml:space="preserve"> Melbourne: Centre for Alcohol Policy Research, Turning Point Alcohol and Drug Centre, Eastern Health.</w:t>
      </w:r>
    </w:p>
  </w:endnote>
  <w:endnote w:id="3">
    <w:p w14:paraId="50CEC384" w14:textId="77777777" w:rsidR="00E50AB6" w:rsidRPr="00821737" w:rsidRDefault="00E50AB6" w:rsidP="008709FB">
      <w:pPr>
        <w:pStyle w:val="EndnoteText"/>
        <w:spacing w:after="60"/>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Laslett, A.M., Mugavin, J., Jiang, H., Manton, E., Callinan, S., MacLean, S., &amp; Room, R. (2015). </w:t>
      </w:r>
      <w:r w:rsidRPr="00821737">
        <w:rPr>
          <w:rFonts w:asciiTheme="minorHAnsi" w:hAnsiTheme="minorHAnsi"/>
          <w:i/>
          <w:iCs/>
          <w:sz w:val="22"/>
          <w:szCs w:val="22"/>
        </w:rPr>
        <w:t>The hidden harm: Alcohol’s impact on children and families</w:t>
      </w:r>
      <w:r w:rsidRPr="00821737">
        <w:rPr>
          <w:rFonts w:asciiTheme="minorHAnsi" w:hAnsiTheme="minorHAnsi"/>
          <w:sz w:val="22"/>
          <w:szCs w:val="22"/>
        </w:rPr>
        <w:t>. Canberra: Foundation for Alcohol Research and Education.</w:t>
      </w:r>
    </w:p>
  </w:endnote>
  <w:endnote w:id="4">
    <w:p w14:paraId="272F8E60" w14:textId="77777777" w:rsidR="00E50AB6" w:rsidRPr="00821737" w:rsidRDefault="00E50AB6" w:rsidP="008709FB">
      <w:pPr>
        <w:pStyle w:val="EndnoteText"/>
        <w:spacing w:after="60"/>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Laslett, A.M., Mugavin, J., Jiang, H., Manton, E., Callinan, S., MacLean, S., &amp; Room, R. (2015). </w:t>
      </w:r>
      <w:r w:rsidRPr="00821737">
        <w:rPr>
          <w:rFonts w:asciiTheme="minorHAnsi" w:hAnsiTheme="minorHAnsi"/>
          <w:i/>
          <w:iCs/>
          <w:sz w:val="22"/>
          <w:szCs w:val="22"/>
        </w:rPr>
        <w:t>The hidden harm: Alcohol’s impact on children and families</w:t>
      </w:r>
      <w:r w:rsidRPr="00821737">
        <w:rPr>
          <w:rFonts w:asciiTheme="minorHAnsi" w:hAnsiTheme="minorHAnsi"/>
          <w:sz w:val="22"/>
          <w:szCs w:val="22"/>
        </w:rPr>
        <w:t>. Canberra: Foundation for Alcohol Research and Education.</w:t>
      </w:r>
    </w:p>
  </w:endnote>
  <w:endnote w:id="5">
    <w:p w14:paraId="6675B02C" w14:textId="77777777" w:rsidR="00E50AB6" w:rsidRPr="00821737" w:rsidRDefault="00E50AB6" w:rsidP="008709FB">
      <w:pPr>
        <w:pStyle w:val="EndnoteText"/>
        <w:ind w:hanging="142"/>
        <w:rPr>
          <w:sz w:val="22"/>
          <w:szCs w:val="22"/>
        </w:rPr>
      </w:pPr>
      <w:r w:rsidRPr="00821737">
        <w:rPr>
          <w:rStyle w:val="EndnoteReference"/>
          <w:sz w:val="22"/>
          <w:szCs w:val="22"/>
        </w:rPr>
        <w:endnoteRef/>
      </w:r>
      <w:r w:rsidRPr="00821737">
        <w:rPr>
          <w:sz w:val="22"/>
          <w:szCs w:val="22"/>
        </w:rPr>
        <w:t xml:space="preserve"> Collins, D., and Lapsley, H. (2008). </w:t>
      </w:r>
      <w:r w:rsidRPr="00821737">
        <w:rPr>
          <w:i/>
          <w:sz w:val="22"/>
          <w:szCs w:val="22"/>
        </w:rPr>
        <w:t xml:space="preserve">The costs of tobacco, alcohol and illicit drug abuse to Australian society in 2004/05. </w:t>
      </w:r>
      <w:r w:rsidRPr="00821737">
        <w:rPr>
          <w:sz w:val="22"/>
          <w:szCs w:val="22"/>
        </w:rPr>
        <w:t xml:space="preserve">Retrieved from </w:t>
      </w:r>
      <w:hyperlink r:id="rId1" w:history="1">
        <w:r w:rsidRPr="00821737">
          <w:rPr>
            <w:rStyle w:val="Hyperlink"/>
            <w:sz w:val="22"/>
            <w:szCs w:val="22"/>
          </w:rPr>
          <w:t>https://www.health.gov.au/internet/drugstrategy/publishing.nsf/Content/34F55AF632F67B70CA2573F60005D42B/$File/mono64.pdf</w:t>
        </w:r>
      </w:hyperlink>
      <w:r w:rsidRPr="00821737">
        <w:rPr>
          <w:sz w:val="22"/>
          <w:szCs w:val="22"/>
        </w:rPr>
        <w:t xml:space="preserve"> </w:t>
      </w:r>
      <w:r w:rsidRPr="00821737">
        <w:rPr>
          <w:i/>
          <w:sz w:val="22"/>
          <w:szCs w:val="22"/>
        </w:rPr>
        <w:t xml:space="preserve"> </w:t>
      </w:r>
    </w:p>
  </w:endnote>
  <w:endnote w:id="6">
    <w:p w14:paraId="4BF463C5" w14:textId="77777777" w:rsidR="00E50AB6" w:rsidRPr="00821737" w:rsidRDefault="00E50AB6" w:rsidP="008709FB">
      <w:pPr>
        <w:pStyle w:val="EndnoteText"/>
        <w:ind w:hanging="142"/>
        <w:rPr>
          <w:sz w:val="22"/>
          <w:szCs w:val="22"/>
        </w:rPr>
      </w:pPr>
      <w:r w:rsidRPr="00821737">
        <w:rPr>
          <w:rStyle w:val="EndnoteReference"/>
          <w:sz w:val="22"/>
          <w:szCs w:val="22"/>
        </w:rPr>
        <w:endnoteRef/>
      </w:r>
      <w:r w:rsidRPr="00821737">
        <w:rPr>
          <w:sz w:val="22"/>
          <w:szCs w:val="22"/>
        </w:rPr>
        <w:t xml:space="preserve"> Cnossen, S. (2010). Excise taxation in Australia. In </w:t>
      </w:r>
      <w:r w:rsidRPr="00821737">
        <w:rPr>
          <w:i/>
          <w:sz w:val="22"/>
          <w:szCs w:val="22"/>
        </w:rPr>
        <w:t>Melbourne Institute–Australia’s future tax and transfer policy conference</w:t>
      </w:r>
      <w:r w:rsidRPr="00821737">
        <w:rPr>
          <w:sz w:val="22"/>
          <w:szCs w:val="22"/>
        </w:rPr>
        <w:t>.</w:t>
      </w:r>
    </w:p>
  </w:endnote>
  <w:endnote w:id="7">
    <w:p w14:paraId="4D13A9A6" w14:textId="68B0A3C8" w:rsidR="00E50AB6" w:rsidRPr="00821737" w:rsidRDefault="00E50AB6">
      <w:pPr>
        <w:pStyle w:val="EndnoteText"/>
        <w:rPr>
          <w:sz w:val="22"/>
          <w:szCs w:val="22"/>
        </w:rPr>
      </w:pPr>
      <w:r w:rsidRPr="00821737">
        <w:rPr>
          <w:rStyle w:val="EndnoteReference"/>
          <w:sz w:val="22"/>
          <w:szCs w:val="22"/>
        </w:rPr>
        <w:endnoteRef/>
      </w:r>
      <w:r w:rsidRPr="00821737">
        <w:rPr>
          <w:sz w:val="22"/>
          <w:szCs w:val="22"/>
        </w:rPr>
        <w:t xml:space="preserve"> Wagenarr, A.C., Salois, M.J. &amp; Komro, K.A. 2009. Effect of beverage alcohol price and tax levels on drinking: a meta-analysis of 1003 estimates from 112 studies. </w:t>
      </w:r>
      <w:r w:rsidRPr="00821737">
        <w:rPr>
          <w:i/>
          <w:sz w:val="22"/>
          <w:szCs w:val="22"/>
        </w:rPr>
        <w:t>Addiction, 104</w:t>
      </w:r>
      <w:r w:rsidRPr="00821737">
        <w:rPr>
          <w:sz w:val="22"/>
          <w:szCs w:val="22"/>
        </w:rPr>
        <w:t>, 2, 179-90.</w:t>
      </w:r>
    </w:p>
  </w:endnote>
  <w:endnote w:id="8">
    <w:p w14:paraId="302FBCE3" w14:textId="77777777" w:rsidR="00E50AB6" w:rsidRPr="00821737" w:rsidRDefault="00E50AB6" w:rsidP="00FE2CE2">
      <w:pPr>
        <w:spacing w:after="60"/>
        <w:mirrorIndents/>
        <w:rPr>
          <w:highlight w:val="yellow"/>
        </w:rPr>
      </w:pPr>
      <w:r w:rsidRPr="00821737">
        <w:rPr>
          <w:rStyle w:val="EndnoteReference"/>
        </w:rPr>
        <w:endnoteRef/>
      </w:r>
      <w:r w:rsidRPr="00821737">
        <w:t xml:space="preserve"> Babor, T. </w:t>
      </w:r>
      <w:r w:rsidRPr="00821737">
        <w:rPr>
          <w:i/>
        </w:rPr>
        <w:t>et al.</w:t>
      </w:r>
      <w:r w:rsidRPr="00821737">
        <w:t xml:space="preserve"> (2010). </w:t>
      </w:r>
      <w:r w:rsidRPr="00821737">
        <w:rPr>
          <w:i/>
        </w:rPr>
        <w:t>Alcohol: No ordinary commodity. Second edition.</w:t>
      </w:r>
      <w:r w:rsidRPr="00821737">
        <w:t xml:space="preserve"> New York: Oxford University Press.</w:t>
      </w:r>
    </w:p>
  </w:endnote>
  <w:endnote w:id="9">
    <w:p w14:paraId="326E2702" w14:textId="77777777" w:rsidR="00E50AB6" w:rsidRPr="00821737" w:rsidRDefault="00E50AB6" w:rsidP="00FE2CE2">
      <w:pPr>
        <w:pStyle w:val="EndnoteText"/>
        <w:spacing w:after="60"/>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w:t>
      </w:r>
      <w:r w:rsidRPr="00821737">
        <w:rPr>
          <w:rFonts w:asciiTheme="minorHAnsi" w:hAnsiTheme="minorHAnsi"/>
          <w:sz w:val="22"/>
          <w:szCs w:val="22"/>
          <w:lang w:val="en-US"/>
        </w:rPr>
        <w:t xml:space="preserve">Vos, T., Carter, R., Barendregt, J., Mihalopoulos, C., Veerman, L., Magnus, A., Cobiac, L., Bertram, M. &amp; Wallace, A. (2010). </w:t>
      </w:r>
      <w:r w:rsidRPr="00821737">
        <w:rPr>
          <w:rFonts w:asciiTheme="minorHAnsi" w:hAnsiTheme="minorHAnsi"/>
          <w:i/>
          <w:sz w:val="22"/>
          <w:szCs w:val="22"/>
          <w:lang w:val="en-US"/>
        </w:rPr>
        <w:t>Assessing cost-effectiveness in prevention: ACE–prevention September 2010 final report</w:t>
      </w:r>
      <w:r w:rsidRPr="00821737">
        <w:rPr>
          <w:rFonts w:asciiTheme="minorHAnsi" w:hAnsiTheme="minorHAnsi"/>
          <w:sz w:val="22"/>
          <w:szCs w:val="22"/>
          <w:lang w:val="en-US"/>
        </w:rPr>
        <w:t>. University of Queensland.</w:t>
      </w:r>
    </w:p>
  </w:endnote>
  <w:endnote w:id="10">
    <w:p w14:paraId="46DB49B3" w14:textId="77777777" w:rsidR="00E50AB6" w:rsidRPr="00821737" w:rsidRDefault="00E50AB6" w:rsidP="00FE2CE2">
      <w:pPr>
        <w:spacing w:after="60"/>
        <w:mirrorIndents/>
        <w:rPr>
          <w:highlight w:val="yellow"/>
        </w:rPr>
      </w:pPr>
      <w:r w:rsidRPr="00821737">
        <w:rPr>
          <w:rStyle w:val="EndnoteReference"/>
        </w:rPr>
        <w:endnoteRef/>
      </w:r>
      <w:r w:rsidRPr="00821737">
        <w:t xml:space="preserve"> Babor, T. </w:t>
      </w:r>
      <w:r w:rsidRPr="00821737">
        <w:rPr>
          <w:i/>
        </w:rPr>
        <w:t>et al.</w:t>
      </w:r>
      <w:r w:rsidRPr="00821737">
        <w:t xml:space="preserve"> (2010). </w:t>
      </w:r>
      <w:r w:rsidRPr="00821737">
        <w:rPr>
          <w:i/>
        </w:rPr>
        <w:t>Alcohol: No ordinary commodity. Second edition.</w:t>
      </w:r>
      <w:r w:rsidRPr="00821737">
        <w:t xml:space="preserve"> New York: Oxford University Press.</w:t>
      </w:r>
    </w:p>
  </w:endnote>
  <w:endnote w:id="11">
    <w:p w14:paraId="65A726ED" w14:textId="77777777" w:rsidR="00E50AB6" w:rsidRPr="00821737" w:rsidRDefault="00E50AB6" w:rsidP="00FE2CE2">
      <w:pPr>
        <w:spacing w:after="60"/>
        <w:mirrorIndents/>
        <w:rPr>
          <w:i/>
          <w:iCs/>
        </w:rPr>
      </w:pPr>
      <w:r w:rsidRPr="00821737">
        <w:rPr>
          <w:rStyle w:val="EndnoteReference"/>
        </w:rPr>
        <w:endnoteRef/>
      </w:r>
      <w:r w:rsidRPr="00821737">
        <w:t xml:space="preserve"> Preventative Health Taskforce. (2009). </w:t>
      </w:r>
      <w:r w:rsidRPr="00821737">
        <w:rPr>
          <w:i/>
          <w:iCs/>
        </w:rPr>
        <w:t>Australia: The healthiest country by 2020. Technical Report No 3. Preventing alcohol-related harm in Australia: A window of opportunity</w:t>
      </w:r>
      <w:r w:rsidRPr="00821737">
        <w:t>. Canberra: Commonwealth of Australia.</w:t>
      </w:r>
    </w:p>
  </w:endnote>
  <w:endnote w:id="12">
    <w:p w14:paraId="62CF642B" w14:textId="49536569" w:rsidR="00E50AB6" w:rsidRDefault="00E50AB6">
      <w:pPr>
        <w:pStyle w:val="EndnoteText"/>
      </w:pPr>
      <w:r>
        <w:rPr>
          <w:rStyle w:val="EndnoteReference"/>
        </w:rPr>
        <w:endnoteRef/>
      </w:r>
      <w:r>
        <w:t xml:space="preserve"> </w:t>
      </w:r>
      <w:r w:rsidRPr="005D1E5A">
        <w:rPr>
          <w:rFonts w:eastAsia="Cambria"/>
          <w:bCs/>
          <w:sz w:val="22"/>
          <w:szCs w:val="24"/>
        </w:rPr>
        <w:t>Byrne (2017</w:t>
      </w:r>
      <w:r w:rsidRPr="005D1E5A">
        <w:rPr>
          <w:rFonts w:eastAsia="Cambria"/>
          <w:bCs/>
          <w:i/>
          <w:sz w:val="22"/>
          <w:szCs w:val="24"/>
        </w:rPr>
        <w:t>) Pre-Budget Submission</w:t>
      </w:r>
      <w:r w:rsidRPr="005D1E5A">
        <w:rPr>
          <w:rFonts w:eastAsia="Cambria"/>
          <w:bCs/>
          <w:sz w:val="22"/>
          <w:szCs w:val="24"/>
        </w:rPr>
        <w:t xml:space="preserve"> </w:t>
      </w:r>
      <w:r w:rsidRPr="005D1E5A">
        <w:rPr>
          <w:rFonts w:asciiTheme="minorHAnsi" w:eastAsia="Times New Roman" w:hAnsiTheme="minorHAnsi"/>
          <w:bCs/>
          <w:sz w:val="22"/>
          <w:szCs w:val="24"/>
          <w:lang w:eastAsia="en-AU"/>
        </w:rPr>
        <w:t xml:space="preserve">Retrieved </w:t>
      </w:r>
      <w:r w:rsidRPr="005D1E5A">
        <w:rPr>
          <w:rFonts w:asciiTheme="minorHAnsi" w:eastAsia="Cambria" w:hAnsiTheme="minorHAnsi"/>
          <w:bCs/>
          <w:sz w:val="22"/>
          <w:szCs w:val="24"/>
        </w:rPr>
        <w:t>30/10</w:t>
      </w:r>
      <w:r w:rsidRPr="005D1E5A">
        <w:rPr>
          <w:rFonts w:asciiTheme="minorHAnsi" w:eastAsia="Times New Roman" w:hAnsiTheme="minorHAnsi"/>
          <w:bCs/>
          <w:sz w:val="22"/>
          <w:szCs w:val="24"/>
          <w:lang w:eastAsia="en-AU"/>
        </w:rPr>
        <w:t xml:space="preserve">/2018 </w:t>
      </w:r>
      <w:r w:rsidRPr="005D1E5A">
        <w:rPr>
          <w:rFonts w:eastAsia="Cambria"/>
          <w:bCs/>
          <w:sz w:val="22"/>
          <w:szCs w:val="24"/>
        </w:rPr>
        <w:t>from:</w:t>
      </w:r>
      <w:hyperlink r:id="rId2" w:history="1">
        <w:r w:rsidRPr="005D1E5A">
          <w:rPr>
            <w:rFonts w:eastAsia="Cambria"/>
            <w:bCs/>
            <w:color w:val="0000FF"/>
            <w:sz w:val="22"/>
            <w:szCs w:val="24"/>
            <w:u w:val="single"/>
          </w:rPr>
          <w:t>https://consult.treasury.gov.au/budget-policy-division/2018-19-pre-budget-submissions/consultation/view_respondent?_b_index=60&amp;uuId=435169846</w:t>
        </w:r>
      </w:hyperlink>
    </w:p>
  </w:endnote>
  <w:endnote w:id="13">
    <w:p w14:paraId="588D3633" w14:textId="77777777" w:rsidR="00E50AB6" w:rsidRPr="00821737" w:rsidRDefault="00E50AB6" w:rsidP="00FE2CE2">
      <w:pPr>
        <w:spacing w:after="60"/>
      </w:pPr>
      <w:r w:rsidRPr="00821737">
        <w:rPr>
          <w:rStyle w:val="EndnoteReference"/>
        </w:rPr>
        <w:endnoteRef/>
      </w:r>
      <w:r w:rsidRPr="00821737">
        <w:t xml:space="preserve"> The Australia Institute. (2015).</w:t>
      </w:r>
      <w:r w:rsidRPr="00821737">
        <w:rPr>
          <w:i/>
        </w:rPr>
        <w:t xml:space="preserve"> The goon show: How the tax system works to subsidise cheap wine and alcohol consumption.</w:t>
      </w:r>
      <w:r w:rsidRPr="00821737">
        <w:t xml:space="preserve"> Canberra:  Foundation for Alcohol Research and Education (FARE). Retrieved from: </w:t>
      </w:r>
      <w:hyperlink r:id="rId3" w:history="1">
        <w:r w:rsidRPr="00821737">
          <w:rPr>
            <w:rStyle w:val="Hyperlink"/>
          </w:rPr>
          <w:t>http://fare.org.au/2015/07/the-goon-show-how-the-tax-system-works-to-subsidise-cheap-wine-and-alcohol-consumption/</w:t>
        </w:r>
      </w:hyperlink>
      <w:r w:rsidRPr="00821737">
        <w:t xml:space="preserve"> </w:t>
      </w:r>
    </w:p>
  </w:endnote>
  <w:endnote w:id="14">
    <w:p w14:paraId="3C653624"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Henry, K., Harmer, J., Piggott, J., Ridout, H., &amp; Smith, G. (2009). </w:t>
      </w:r>
      <w:r w:rsidRPr="00821737">
        <w:rPr>
          <w:rFonts w:asciiTheme="minorHAnsi" w:hAnsiTheme="minorHAnsi"/>
          <w:i/>
          <w:sz w:val="22"/>
          <w:szCs w:val="22"/>
        </w:rPr>
        <w:t>Australia’s future tax system</w:t>
      </w:r>
      <w:r w:rsidRPr="00821737">
        <w:rPr>
          <w:rFonts w:asciiTheme="minorHAnsi" w:hAnsiTheme="minorHAnsi"/>
          <w:sz w:val="22"/>
          <w:szCs w:val="22"/>
        </w:rPr>
        <w:t>. Canberra, Commonwealth Treasury.</w:t>
      </w:r>
    </w:p>
  </w:endnote>
  <w:endnote w:id="15">
    <w:p w14:paraId="11DAE756" w14:textId="77777777" w:rsidR="00E50AB6" w:rsidRPr="00821737" w:rsidRDefault="00E50AB6" w:rsidP="00FE2CE2">
      <w:pPr>
        <w:pStyle w:val="EndnoteText"/>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Livingston, M. (2011). A longitudinal analysis of alcohol outlet density and domestic violence. </w:t>
      </w:r>
      <w:r w:rsidRPr="00821737">
        <w:rPr>
          <w:rFonts w:asciiTheme="minorHAnsi" w:hAnsiTheme="minorHAnsi"/>
          <w:i/>
          <w:iCs/>
          <w:sz w:val="22"/>
          <w:szCs w:val="22"/>
        </w:rPr>
        <w:t xml:space="preserve">Addiction, </w:t>
      </w:r>
      <w:r w:rsidRPr="00821737">
        <w:rPr>
          <w:rFonts w:asciiTheme="minorHAnsi" w:hAnsiTheme="minorHAnsi"/>
          <w:sz w:val="22"/>
          <w:szCs w:val="22"/>
        </w:rPr>
        <w:t xml:space="preserve">106(5): 919–25.  </w:t>
      </w:r>
    </w:p>
  </w:endnote>
  <w:endnote w:id="16">
    <w:p w14:paraId="15E98312" w14:textId="77777777" w:rsidR="00E50AB6" w:rsidRPr="00821737" w:rsidRDefault="00E50AB6" w:rsidP="00FE2CE2">
      <w:pPr>
        <w:pStyle w:val="EndnoteText"/>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Jochelson, R. (1997). </w:t>
      </w:r>
      <w:r w:rsidRPr="00821737">
        <w:rPr>
          <w:rFonts w:asciiTheme="minorHAnsi" w:hAnsiTheme="minorHAnsi"/>
          <w:i/>
          <w:iCs/>
          <w:sz w:val="22"/>
          <w:szCs w:val="22"/>
        </w:rPr>
        <w:t>Crime and place: An analysis of assaults and robberies in Inner Sydney</w:t>
      </w:r>
      <w:r w:rsidRPr="00821737">
        <w:rPr>
          <w:rFonts w:asciiTheme="minorHAnsi" w:hAnsiTheme="minorHAnsi"/>
          <w:sz w:val="22"/>
          <w:szCs w:val="22"/>
        </w:rPr>
        <w:t xml:space="preserve">. Sydney: New South Wales Bureau of Crime Statistics and Research (BOCSAR).  </w:t>
      </w:r>
    </w:p>
  </w:endnote>
  <w:endnote w:id="17">
    <w:p w14:paraId="3A55FF30" w14:textId="77777777" w:rsidR="00E50AB6" w:rsidRPr="00821737" w:rsidRDefault="00E50AB6" w:rsidP="00FE2CE2">
      <w:pPr>
        <w:pStyle w:val="EndnoteText"/>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Briscoe, S., &amp; Donnelly, N. (2001). Temporal and regional aspects of alcohol-related violence and disorder. </w:t>
      </w:r>
      <w:r w:rsidRPr="00821737">
        <w:rPr>
          <w:rFonts w:asciiTheme="minorHAnsi" w:hAnsiTheme="minorHAnsi"/>
          <w:i/>
          <w:iCs/>
          <w:sz w:val="22"/>
          <w:szCs w:val="22"/>
        </w:rPr>
        <w:t xml:space="preserve">Alcohol Studies Bulletin. </w:t>
      </w:r>
      <w:r w:rsidRPr="00821737">
        <w:rPr>
          <w:rFonts w:asciiTheme="minorHAnsi" w:hAnsiTheme="minorHAnsi"/>
          <w:sz w:val="22"/>
          <w:szCs w:val="22"/>
        </w:rPr>
        <w:t xml:space="preserve">Sydney: New South Wales Bureau of Crime Statistics and Research (BOCSAR).  </w:t>
      </w:r>
    </w:p>
  </w:endnote>
  <w:endnote w:id="18">
    <w:p w14:paraId="102BB061" w14:textId="77777777" w:rsidR="00E50AB6" w:rsidRPr="00821737" w:rsidRDefault="00E50AB6" w:rsidP="00FE2CE2">
      <w:pPr>
        <w:pStyle w:val="EndnoteText"/>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Chikritzhs, T., &amp; Stockwell, T. (2006). The impact of later trading hours for hotels on levels of impaired driver road crashes and driver breath alcohol levels</w:t>
      </w:r>
      <w:r w:rsidRPr="00821737">
        <w:rPr>
          <w:rFonts w:asciiTheme="minorHAnsi" w:hAnsiTheme="minorHAnsi"/>
          <w:i/>
          <w:iCs/>
          <w:sz w:val="22"/>
          <w:szCs w:val="22"/>
        </w:rPr>
        <w:t xml:space="preserve">. Addiction, </w:t>
      </w:r>
      <w:r w:rsidRPr="00821737">
        <w:rPr>
          <w:rFonts w:asciiTheme="minorHAnsi" w:hAnsiTheme="minorHAnsi"/>
          <w:sz w:val="22"/>
          <w:szCs w:val="22"/>
        </w:rPr>
        <w:t xml:space="preserve">101(9): 1254‐64.  </w:t>
      </w:r>
    </w:p>
  </w:endnote>
  <w:endnote w:id="19">
    <w:p w14:paraId="771A27D7"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Gao, C., Ogeil, R., &amp; Lloyd, B. (2014). </w:t>
      </w:r>
      <w:r w:rsidRPr="00821737">
        <w:rPr>
          <w:rFonts w:asciiTheme="minorHAnsi" w:hAnsiTheme="minorHAnsi"/>
          <w:i/>
          <w:sz w:val="22"/>
          <w:szCs w:val="22"/>
        </w:rPr>
        <w:t>Alcohol’s burden of disease in Australia</w:t>
      </w:r>
      <w:r w:rsidRPr="00821737">
        <w:rPr>
          <w:rFonts w:asciiTheme="minorHAnsi" w:hAnsiTheme="minorHAnsi"/>
          <w:sz w:val="22"/>
          <w:szCs w:val="22"/>
        </w:rPr>
        <w:t>. Canberra: Foundation for Alcohol Research and Education (FARE) and VicHealth in collaboration with Turning Point.</w:t>
      </w:r>
    </w:p>
  </w:endnote>
  <w:endnote w:id="20">
    <w:p w14:paraId="4177628F"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Gao, C., Ogeil, R., &amp; Lloyd, B. (2014). </w:t>
      </w:r>
      <w:r w:rsidRPr="00821737">
        <w:rPr>
          <w:rFonts w:asciiTheme="minorHAnsi" w:hAnsiTheme="minorHAnsi"/>
          <w:i/>
          <w:sz w:val="22"/>
          <w:szCs w:val="22"/>
        </w:rPr>
        <w:t>Alcohol’s burden of disease in Australia</w:t>
      </w:r>
      <w:r w:rsidRPr="00821737">
        <w:rPr>
          <w:rFonts w:asciiTheme="minorHAnsi" w:hAnsiTheme="minorHAnsi"/>
          <w:sz w:val="22"/>
          <w:szCs w:val="22"/>
        </w:rPr>
        <w:t>. Canberra: Foundation for Alcohol Research and Education (FARE) and VicHealth in collaboration with Turning Point.</w:t>
      </w:r>
    </w:p>
  </w:endnote>
  <w:endnote w:id="21">
    <w:p w14:paraId="1C0CE0BE"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Gao, C., Ogeil, R., &amp; Lloyd, B. (2014). </w:t>
      </w:r>
      <w:r w:rsidRPr="00821737">
        <w:rPr>
          <w:rFonts w:asciiTheme="minorHAnsi" w:hAnsiTheme="minorHAnsi"/>
          <w:i/>
          <w:sz w:val="22"/>
          <w:szCs w:val="22"/>
        </w:rPr>
        <w:t>Alcohol’s burden of disease in Australia</w:t>
      </w:r>
      <w:r w:rsidRPr="00821737">
        <w:rPr>
          <w:rFonts w:asciiTheme="minorHAnsi" w:hAnsiTheme="minorHAnsi"/>
          <w:sz w:val="22"/>
          <w:szCs w:val="22"/>
        </w:rPr>
        <w:t>. Canberra: Foundation for Alcohol Research and Education (FARE) and VicHealth in collaboration with Turning Point.</w:t>
      </w:r>
    </w:p>
  </w:endnote>
  <w:endnote w:id="22">
    <w:p w14:paraId="351695DE"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Gao, C., Ogeil, R., &amp; Lloyd, B. (2014). </w:t>
      </w:r>
      <w:r w:rsidRPr="00821737">
        <w:rPr>
          <w:rFonts w:asciiTheme="minorHAnsi" w:hAnsiTheme="minorHAnsi"/>
          <w:i/>
          <w:sz w:val="22"/>
          <w:szCs w:val="22"/>
        </w:rPr>
        <w:t>Alcohol’s burden of disease in Australia</w:t>
      </w:r>
      <w:r w:rsidRPr="00821737">
        <w:rPr>
          <w:rFonts w:asciiTheme="minorHAnsi" w:hAnsiTheme="minorHAnsi"/>
          <w:sz w:val="22"/>
          <w:szCs w:val="22"/>
        </w:rPr>
        <w:t>. Canberra: Foundation for Alcohol Research and Education (FARE) and VicHealth in collaboration with Turning Point.</w:t>
      </w:r>
    </w:p>
  </w:endnote>
  <w:endnote w:id="23">
    <w:p w14:paraId="3E802C02"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Gao, C., Ogeil, R., &amp; Lloyd, B. (2014). </w:t>
      </w:r>
      <w:r w:rsidRPr="00821737">
        <w:rPr>
          <w:rFonts w:asciiTheme="minorHAnsi" w:hAnsiTheme="minorHAnsi"/>
          <w:i/>
          <w:sz w:val="22"/>
          <w:szCs w:val="22"/>
        </w:rPr>
        <w:t>Alcohol’s burden of disease in Australia</w:t>
      </w:r>
      <w:r w:rsidRPr="00821737">
        <w:rPr>
          <w:rFonts w:asciiTheme="minorHAnsi" w:hAnsiTheme="minorHAnsi"/>
          <w:sz w:val="22"/>
          <w:szCs w:val="22"/>
        </w:rPr>
        <w:t>. Canberra: Foundation for Alcohol Research and Education (FARE) and VicHealth in collaboration with Turning Point.</w:t>
      </w:r>
    </w:p>
  </w:endnote>
  <w:endnote w:id="24">
    <w:p w14:paraId="562511B5" w14:textId="77777777" w:rsidR="00E50AB6" w:rsidRPr="00821737" w:rsidRDefault="00E50AB6" w:rsidP="00FE2CE2">
      <w:pPr>
        <w:pStyle w:val="EndnoteText"/>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Livingston, M. (2011). A longitudinal analysis of alcohol outlet density and domestic violence. </w:t>
      </w:r>
      <w:r w:rsidRPr="00821737">
        <w:rPr>
          <w:rFonts w:asciiTheme="minorHAnsi" w:hAnsiTheme="minorHAnsi"/>
          <w:i/>
          <w:iCs/>
          <w:sz w:val="22"/>
          <w:szCs w:val="22"/>
        </w:rPr>
        <w:t xml:space="preserve">Addiction, </w:t>
      </w:r>
      <w:r w:rsidRPr="00821737">
        <w:rPr>
          <w:rFonts w:asciiTheme="minorHAnsi" w:hAnsiTheme="minorHAnsi"/>
          <w:sz w:val="22"/>
          <w:szCs w:val="22"/>
        </w:rPr>
        <w:t xml:space="preserve">106(5): 919–25.  </w:t>
      </w:r>
    </w:p>
  </w:endnote>
  <w:endnote w:id="25">
    <w:p w14:paraId="67252372" w14:textId="77777777" w:rsidR="00E50AB6" w:rsidRPr="00821737" w:rsidRDefault="00E50AB6" w:rsidP="00FE2CE2">
      <w:pPr>
        <w:pStyle w:val="EndnoteText"/>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Jochelson, R. (1997). </w:t>
      </w:r>
      <w:r w:rsidRPr="00821737">
        <w:rPr>
          <w:rFonts w:asciiTheme="minorHAnsi" w:hAnsiTheme="minorHAnsi"/>
          <w:i/>
          <w:iCs/>
          <w:sz w:val="22"/>
          <w:szCs w:val="22"/>
        </w:rPr>
        <w:t>Crime and place: An analysis of assaults and robberies in Inner Sydney</w:t>
      </w:r>
      <w:r w:rsidRPr="00821737">
        <w:rPr>
          <w:rFonts w:asciiTheme="minorHAnsi" w:hAnsiTheme="minorHAnsi"/>
          <w:sz w:val="22"/>
          <w:szCs w:val="22"/>
        </w:rPr>
        <w:t xml:space="preserve">. Sydney: New South Wales Bureau of Crime Statistics and Research (BOCSAR).  </w:t>
      </w:r>
    </w:p>
  </w:endnote>
  <w:endnote w:id="26">
    <w:p w14:paraId="16CDAC53" w14:textId="77777777" w:rsidR="00E50AB6" w:rsidRPr="00821737" w:rsidRDefault="00E50AB6" w:rsidP="00FE2CE2">
      <w:pPr>
        <w:pStyle w:val="EndnoteText"/>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Briscoe, S., &amp; Donnelly, N. (2001). Temporal and regional aspects of alcohol-related violence and disorder. </w:t>
      </w:r>
      <w:r w:rsidRPr="00821737">
        <w:rPr>
          <w:rFonts w:asciiTheme="minorHAnsi" w:hAnsiTheme="minorHAnsi"/>
          <w:i/>
          <w:iCs/>
          <w:sz w:val="22"/>
          <w:szCs w:val="22"/>
        </w:rPr>
        <w:t xml:space="preserve">Alcohol Studies Bulletin. </w:t>
      </w:r>
      <w:r w:rsidRPr="00821737">
        <w:rPr>
          <w:rFonts w:asciiTheme="minorHAnsi" w:hAnsiTheme="minorHAnsi"/>
          <w:sz w:val="22"/>
          <w:szCs w:val="22"/>
        </w:rPr>
        <w:t xml:space="preserve">Sydney: New South Wales Bureau of Crime Statistics and Research (BOCSAR).  </w:t>
      </w:r>
    </w:p>
  </w:endnote>
  <w:endnote w:id="27">
    <w:p w14:paraId="6B58B2CF" w14:textId="77777777" w:rsidR="00E50AB6" w:rsidRPr="00821737" w:rsidRDefault="00E50AB6" w:rsidP="00FE2CE2">
      <w:pPr>
        <w:pStyle w:val="EndnoteText"/>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Morrison, C., Smith, K., Gruenewald, P. J., Ponicki, W. R., Lee, J. P., &amp; Cameron, P. (2016). Relating off‐premises alcohol outlet density to intentional and unintentional injuries. </w:t>
      </w:r>
      <w:r w:rsidRPr="00821737">
        <w:rPr>
          <w:rFonts w:asciiTheme="minorHAnsi" w:hAnsiTheme="minorHAnsi"/>
          <w:i/>
          <w:sz w:val="22"/>
          <w:szCs w:val="22"/>
        </w:rPr>
        <w:t>Addiction</w:t>
      </w:r>
      <w:r w:rsidRPr="00821737">
        <w:rPr>
          <w:rFonts w:asciiTheme="minorHAnsi" w:hAnsiTheme="minorHAnsi"/>
          <w:sz w:val="22"/>
          <w:szCs w:val="22"/>
        </w:rPr>
        <w:t>, 111(1), 56-64.</w:t>
      </w:r>
    </w:p>
  </w:endnote>
  <w:endnote w:id="28">
    <w:p w14:paraId="44D0940E" w14:textId="77777777" w:rsidR="00E50AB6" w:rsidRPr="00821737" w:rsidRDefault="00E50AB6" w:rsidP="00FE2CE2">
      <w:pPr>
        <w:pStyle w:val="EndnoteText"/>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Laslett, AM., Mugavin, J., Jiang, H., Manton, E., Callinan, S., MacLean, S., &amp; Room, R. (2015). </w:t>
      </w:r>
      <w:r w:rsidRPr="00821737">
        <w:rPr>
          <w:rFonts w:asciiTheme="minorHAnsi" w:hAnsiTheme="minorHAnsi"/>
          <w:i/>
          <w:iCs/>
          <w:sz w:val="22"/>
          <w:szCs w:val="22"/>
        </w:rPr>
        <w:t>The hidden harm: Alcohol’s impact on children and families</w:t>
      </w:r>
      <w:r w:rsidRPr="00821737">
        <w:rPr>
          <w:rFonts w:asciiTheme="minorHAnsi" w:hAnsiTheme="minorHAnsi"/>
          <w:sz w:val="22"/>
          <w:szCs w:val="22"/>
        </w:rPr>
        <w:t>. Canberra: Foundation for Alcohol Research and Education.</w:t>
      </w:r>
    </w:p>
  </w:endnote>
  <w:endnote w:id="29">
    <w:p w14:paraId="10CCA372"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Law Enforcement Assistance Program (LEAP) data extracted 18 July 2014, Victoria Police.</w:t>
      </w:r>
    </w:p>
  </w:endnote>
  <w:endnote w:id="30">
    <w:p w14:paraId="15A71566"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Northern Territory Department of the Attorney-General and Justice. (2014). </w:t>
      </w:r>
      <w:r w:rsidRPr="00821737">
        <w:rPr>
          <w:rFonts w:asciiTheme="minorHAnsi" w:hAnsiTheme="minorHAnsi"/>
          <w:i/>
          <w:sz w:val="22"/>
          <w:szCs w:val="22"/>
        </w:rPr>
        <w:t>Northern Territory crime statistics</w:t>
      </w:r>
      <w:r w:rsidRPr="00821737">
        <w:rPr>
          <w:rFonts w:asciiTheme="minorHAnsi" w:hAnsiTheme="minorHAnsi"/>
          <w:sz w:val="22"/>
          <w:szCs w:val="22"/>
        </w:rPr>
        <w:t xml:space="preserve">. Data through December 2013. Retrieved from: </w:t>
      </w:r>
      <w:hyperlink r:id="rId4" w:history="1">
        <w:r w:rsidRPr="00821737">
          <w:rPr>
            <w:rStyle w:val="Hyperlink"/>
            <w:rFonts w:asciiTheme="minorHAnsi" w:hAnsiTheme="minorHAnsi"/>
            <w:sz w:val="22"/>
            <w:szCs w:val="22"/>
          </w:rPr>
          <w:t>http://www.pfes.nt.gov.au/~/media/Files/Police/Crime-statistics/2013/NT%20crime%20statistics%20Dec%202013-pdf.ashx</w:t>
        </w:r>
      </w:hyperlink>
    </w:p>
  </w:endnote>
  <w:endnote w:id="31">
    <w:p w14:paraId="45EC9A62"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w:t>
      </w:r>
      <w:r w:rsidRPr="00821737">
        <w:rPr>
          <w:rFonts w:asciiTheme="minorHAnsi" w:hAnsiTheme="minorHAnsi"/>
          <w:sz w:val="22"/>
          <w:szCs w:val="22"/>
          <w:lang w:val="en"/>
        </w:rPr>
        <w:t xml:space="preserve">Cussen, T., &amp; Bryant, W. (2015). </w:t>
      </w:r>
      <w:r w:rsidRPr="00821737">
        <w:rPr>
          <w:rFonts w:asciiTheme="minorHAnsi" w:hAnsiTheme="minorHAnsi"/>
          <w:i/>
          <w:iCs/>
          <w:sz w:val="22"/>
          <w:szCs w:val="22"/>
          <w:lang w:val="en"/>
        </w:rPr>
        <w:t>Domestic/family homicide in Australia. Research in Practice No 38 May 2015.</w:t>
      </w:r>
      <w:r w:rsidRPr="00821737">
        <w:rPr>
          <w:rFonts w:asciiTheme="minorHAnsi" w:hAnsiTheme="minorHAnsi"/>
          <w:sz w:val="22"/>
          <w:szCs w:val="22"/>
          <w:lang w:val="en"/>
        </w:rPr>
        <w:t xml:space="preserve"> Canberra: Australian Institute of Criminology.</w:t>
      </w:r>
    </w:p>
  </w:endnote>
  <w:endnote w:id="32">
    <w:p w14:paraId="20EB8183"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Laslett, A.M., Mugavin, J., Jiang, H., Manton, E., Callinan, S., MacLean, S., &amp; Room, R. (2015). </w:t>
      </w:r>
      <w:r w:rsidRPr="00821737">
        <w:rPr>
          <w:rFonts w:asciiTheme="minorHAnsi" w:hAnsiTheme="minorHAnsi"/>
          <w:i/>
          <w:iCs/>
          <w:sz w:val="22"/>
          <w:szCs w:val="22"/>
        </w:rPr>
        <w:t>The hidden harm: Alcohol’s impact on children and families</w:t>
      </w:r>
      <w:r w:rsidRPr="00821737">
        <w:rPr>
          <w:rFonts w:asciiTheme="minorHAnsi" w:hAnsiTheme="minorHAnsi"/>
          <w:sz w:val="22"/>
          <w:szCs w:val="22"/>
        </w:rPr>
        <w:t>. Canberra: Foundation for Alcohol Research and Education.</w:t>
      </w:r>
    </w:p>
  </w:endnote>
  <w:endnote w:id="33">
    <w:p w14:paraId="05D44540"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Laslett, A.M., Mugavin, J., Jiang, H., Manton, E., Callinan, S., MacLean, S., &amp; Room, R. (2015). </w:t>
      </w:r>
      <w:r w:rsidRPr="00821737">
        <w:rPr>
          <w:rFonts w:asciiTheme="minorHAnsi" w:hAnsiTheme="minorHAnsi"/>
          <w:i/>
          <w:iCs/>
          <w:sz w:val="22"/>
          <w:szCs w:val="22"/>
        </w:rPr>
        <w:t>The hidden harm: Alcohol’s impact on children and families</w:t>
      </w:r>
      <w:r w:rsidRPr="00821737">
        <w:rPr>
          <w:rFonts w:asciiTheme="minorHAnsi" w:hAnsiTheme="minorHAnsi"/>
          <w:sz w:val="22"/>
          <w:szCs w:val="22"/>
        </w:rPr>
        <w:t>. Canberra: Foundation for Alcohol Research and Education.</w:t>
      </w:r>
    </w:p>
  </w:endnote>
  <w:endnote w:id="34">
    <w:p w14:paraId="3B7166BE"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Laslett, A.M., Mugavin, J., Jiang, H., Manton, E., Callinan, S., MacLean, S., &amp; Room, R. (2015). </w:t>
      </w:r>
      <w:r w:rsidRPr="00821737">
        <w:rPr>
          <w:rFonts w:asciiTheme="minorHAnsi" w:hAnsiTheme="minorHAnsi"/>
          <w:i/>
          <w:iCs/>
          <w:sz w:val="22"/>
          <w:szCs w:val="22"/>
        </w:rPr>
        <w:t>The hidden harm: Alcohol’s impact on children and families</w:t>
      </w:r>
      <w:r w:rsidRPr="00821737">
        <w:rPr>
          <w:rFonts w:asciiTheme="minorHAnsi" w:hAnsiTheme="minorHAnsi"/>
          <w:sz w:val="22"/>
          <w:szCs w:val="22"/>
        </w:rPr>
        <w:t>. Canberra: Foundation for Alcohol Research and Education.</w:t>
      </w:r>
    </w:p>
  </w:endnote>
  <w:endnote w:id="35">
    <w:p w14:paraId="087F4D3C" w14:textId="77777777" w:rsidR="00E50AB6" w:rsidRPr="00821737" w:rsidRDefault="00E50AB6" w:rsidP="00FE2CE2">
      <w:r w:rsidRPr="00821737">
        <w:rPr>
          <w:rStyle w:val="EndnoteReference"/>
        </w:rPr>
        <w:endnoteRef/>
      </w:r>
      <w:r w:rsidRPr="00821737">
        <w:t xml:space="preserve"> Laslett, A., Catalano, P., Chikritzhs, T., Dale, C., Dora, C., Ferris, J., Jainullabudeen, T., Livingston, M., Matthews, S., Mugavin, J., Room, R., Schlotterlein, M. &amp; Wilkinson, C. (2010). </w:t>
      </w:r>
      <w:r w:rsidRPr="00821737">
        <w:rPr>
          <w:i/>
          <w:iCs/>
        </w:rPr>
        <w:t>The range and magnitude of alcohol’s harm to others</w:t>
      </w:r>
      <w:r w:rsidRPr="00821737">
        <w:t xml:space="preserve">. Canberra: Foundation for Alcohol Research and Education in collaboration with Turning Point, Centre for Alcohol Policy Research. </w:t>
      </w:r>
      <w:r w:rsidRPr="00821737">
        <w:br/>
      </w:r>
      <w:r w:rsidRPr="00821737">
        <w:br/>
      </w:r>
    </w:p>
  </w:endnote>
  <w:endnote w:id="36">
    <w:p w14:paraId="16C2B1D8" w14:textId="5B899265"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w:t>
      </w:r>
      <w:r w:rsidRPr="00741FD2">
        <w:rPr>
          <w:rFonts w:asciiTheme="minorHAnsi" w:hAnsiTheme="minorHAnsi"/>
          <w:sz w:val="22"/>
          <w:szCs w:val="22"/>
        </w:rPr>
        <w:t xml:space="preserve">Australian Tax Office. (2017). </w:t>
      </w:r>
      <w:r w:rsidRPr="0033247E">
        <w:rPr>
          <w:sz w:val="22"/>
          <w:szCs w:val="22"/>
        </w:rPr>
        <w:t>Tax Expenditures Statement 2017</w:t>
      </w:r>
      <w:r>
        <w:t xml:space="preserve">. Retrieved from: </w:t>
      </w:r>
      <w:hyperlink r:id="rId5" w:history="1">
        <w:r w:rsidRPr="00FD007C">
          <w:rPr>
            <w:rStyle w:val="Hyperlink"/>
            <w:rFonts w:asciiTheme="minorHAnsi" w:hAnsiTheme="minorHAnsi"/>
            <w:sz w:val="22"/>
            <w:szCs w:val="22"/>
          </w:rPr>
          <w:t>https://treasury.gov.au/publication/2017-tax-expenditures-statement/</w:t>
        </w:r>
      </w:hyperlink>
      <w:r>
        <w:rPr>
          <w:rFonts w:asciiTheme="minorHAnsi" w:hAnsiTheme="minorHAnsi"/>
          <w:sz w:val="22"/>
          <w:szCs w:val="22"/>
        </w:rPr>
        <w:t xml:space="preserve"> </w:t>
      </w:r>
      <w:r w:rsidRPr="00821737">
        <w:rPr>
          <w:rFonts w:asciiTheme="minorHAnsi" w:hAnsiTheme="minorHAnsi"/>
          <w:sz w:val="22"/>
          <w:szCs w:val="22"/>
        </w:rPr>
        <w:t xml:space="preserve"> </w:t>
      </w:r>
    </w:p>
  </w:endnote>
  <w:endnote w:id="37">
    <w:p w14:paraId="462D640A"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The Treasury. (2015). </w:t>
      </w:r>
      <w:r w:rsidRPr="00821737">
        <w:rPr>
          <w:rFonts w:asciiTheme="minorHAnsi" w:hAnsiTheme="minorHAnsi"/>
          <w:i/>
          <w:sz w:val="22"/>
          <w:szCs w:val="22"/>
        </w:rPr>
        <w:t>Wine Equalisation Tax Rebate – Discussion Paper</w:t>
      </w:r>
      <w:r w:rsidRPr="00821737">
        <w:rPr>
          <w:rFonts w:asciiTheme="minorHAnsi" w:hAnsiTheme="minorHAnsi"/>
          <w:sz w:val="22"/>
          <w:szCs w:val="22"/>
        </w:rPr>
        <w:t xml:space="preserve">. Commonwealth Government of Australia. Retrieved from: </w:t>
      </w:r>
      <w:hyperlink r:id="rId6" w:history="1">
        <w:r w:rsidRPr="00821737">
          <w:rPr>
            <w:rStyle w:val="Hyperlink"/>
            <w:rFonts w:asciiTheme="minorHAnsi" w:hAnsiTheme="minorHAnsi"/>
            <w:sz w:val="22"/>
            <w:szCs w:val="22"/>
          </w:rPr>
          <w:t>https://static.treasury.gov.au/uploads/sites/1/2017/06/C2015-045_WET_Rebate_Discussion_Paper_2015.pdf</w:t>
        </w:r>
      </w:hyperlink>
      <w:r w:rsidRPr="00821737">
        <w:rPr>
          <w:rFonts w:asciiTheme="minorHAnsi" w:hAnsiTheme="minorHAnsi"/>
          <w:sz w:val="22"/>
          <w:szCs w:val="22"/>
        </w:rPr>
        <w:t xml:space="preserve"> </w:t>
      </w:r>
    </w:p>
  </w:endnote>
  <w:endnote w:id="38">
    <w:p w14:paraId="5663B2CA"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Thomson, J. (2017). </w:t>
      </w:r>
      <w:r w:rsidRPr="00821737">
        <w:rPr>
          <w:rFonts w:asciiTheme="minorHAnsi" w:hAnsiTheme="minorHAnsi"/>
          <w:i/>
          <w:sz w:val="22"/>
          <w:szCs w:val="22"/>
        </w:rPr>
        <w:t>IBISWorld Industry Report C1214 Wine Production in Australia July 2017.</w:t>
      </w:r>
      <w:r w:rsidRPr="00821737">
        <w:rPr>
          <w:rFonts w:asciiTheme="minorHAnsi" w:hAnsiTheme="minorHAnsi"/>
          <w:sz w:val="22"/>
          <w:szCs w:val="22"/>
        </w:rPr>
        <w:t xml:space="preserve"> </w:t>
      </w:r>
    </w:p>
  </w:endnote>
  <w:endnote w:id="39">
    <w:p w14:paraId="6E2F87A7" w14:textId="77777777" w:rsidR="00E50AB6" w:rsidRPr="0033247E" w:rsidRDefault="00E50AB6" w:rsidP="00493BAA">
      <w:pPr>
        <w:spacing w:before="60"/>
        <w:rPr>
          <w:rFonts w:ascii="Calibri" w:eastAsia="Calibri" w:hAnsi="Calibri" w:cs="Times New Roman"/>
          <w:i/>
          <w:color w:val="FF0000"/>
        </w:rPr>
      </w:pPr>
      <w:r>
        <w:rPr>
          <w:rStyle w:val="EndnoteReference"/>
        </w:rPr>
        <w:endnoteRef/>
      </w:r>
      <w:r>
        <w:t xml:space="preserve"> </w:t>
      </w:r>
      <w:r w:rsidRPr="0033247E">
        <w:rPr>
          <w:rFonts w:ascii="Calibri" w:eastAsia="Calibri" w:hAnsi="Calibri" w:cs="Times New Roman"/>
          <w:lang w:eastAsia="en-US"/>
        </w:rPr>
        <w:t xml:space="preserve">Parliamentary Budget Office. (2017). </w:t>
      </w:r>
      <w:r w:rsidRPr="0033247E">
        <w:rPr>
          <w:i/>
        </w:rPr>
        <w:t>Trends affecting the sustainability of Commonwealth taxes</w:t>
      </w:r>
      <w:r w:rsidRPr="0033247E">
        <w:rPr>
          <w:rFonts w:ascii="Calibri" w:eastAsia="Calibri" w:hAnsi="Calibri" w:cs="Times New Roman"/>
          <w:i/>
        </w:rPr>
        <w:t>.</w:t>
      </w:r>
    </w:p>
    <w:p w14:paraId="18E97D89" w14:textId="26B7773C" w:rsidR="00E50AB6" w:rsidRPr="0033247E" w:rsidRDefault="00E50AB6" w:rsidP="0033247E">
      <w:pPr>
        <w:rPr>
          <w:rFonts w:eastAsia="Calibri"/>
          <w:sz w:val="18"/>
          <w:szCs w:val="18"/>
        </w:rPr>
      </w:pPr>
      <w:r w:rsidRPr="0033247E">
        <w:rPr>
          <w:rFonts w:ascii="Calibri" w:eastAsia="Calibri" w:hAnsi="Calibri" w:cs="Times New Roman"/>
          <w:lang w:eastAsia="en-US"/>
        </w:rPr>
        <w:t xml:space="preserve"> Repot no. 02/2018</w:t>
      </w:r>
      <w:r>
        <w:rPr>
          <w:rFonts w:ascii="Calibri" w:eastAsia="Calibri" w:hAnsi="Calibri" w:cs="Times New Roman"/>
          <w:lang w:eastAsia="en-US"/>
        </w:rPr>
        <w:t xml:space="preserve">. Retrieved from: </w:t>
      </w:r>
      <w:hyperlink r:id="rId7" w:history="1">
        <w:r w:rsidRPr="00FD007C">
          <w:rPr>
            <w:rStyle w:val="Hyperlink"/>
            <w:rFonts w:ascii="Calibri" w:eastAsia="Calibri" w:hAnsi="Calibri" w:cs="Times New Roman"/>
            <w:lang w:eastAsia="en-US"/>
          </w:rPr>
          <w:t>https://www.aph.gov.au/About_Parliament/Parliamentary_Departments/Parliamentary_Budget_Office/Publications/Research_reports/Trends_affecting_the_sustainability_of_Commonwealth_taxes</w:t>
        </w:r>
      </w:hyperlink>
      <w:r>
        <w:rPr>
          <w:rFonts w:ascii="Calibri" w:eastAsia="Calibri" w:hAnsi="Calibri" w:cs="Times New Roman"/>
          <w:lang w:eastAsia="en-US"/>
        </w:rPr>
        <w:t xml:space="preserve"> </w:t>
      </w:r>
    </w:p>
  </w:endnote>
  <w:endnote w:id="40">
    <w:p w14:paraId="49CEE372" w14:textId="77777777" w:rsidR="00E50AB6" w:rsidRPr="00821737" w:rsidRDefault="00E50AB6" w:rsidP="00FE2CE2">
      <w:pPr>
        <w:pStyle w:val="Referencelist"/>
        <w:spacing w:after="60"/>
        <w:ind w:left="170" w:hanging="170"/>
        <w:rPr>
          <w:color w:val="0563C1" w:themeColor="hyperlink"/>
          <w:sz w:val="22"/>
          <w:u w:val="single"/>
          <w:lang w:val="en-US"/>
        </w:rPr>
      </w:pPr>
      <w:r w:rsidRPr="00821737">
        <w:rPr>
          <w:sz w:val="22"/>
          <w:vertAlign w:val="superscript"/>
          <w:lang w:val="en-US"/>
        </w:rPr>
        <w:endnoteRef/>
      </w:r>
      <w:r w:rsidRPr="00821737">
        <w:rPr>
          <w:sz w:val="22"/>
          <w:lang w:val="en-US"/>
        </w:rPr>
        <w:t xml:space="preserve"> Distilled Spirits Industry Council of Australia (DSICA). (2012). </w:t>
      </w:r>
      <w:r w:rsidRPr="00821737">
        <w:rPr>
          <w:i/>
          <w:iCs/>
          <w:sz w:val="22"/>
          <w:lang w:val="en-US"/>
        </w:rPr>
        <w:t>Pre-budget submission 2012-13</w:t>
      </w:r>
      <w:r w:rsidRPr="00821737">
        <w:rPr>
          <w:sz w:val="22"/>
          <w:lang w:val="en-US"/>
        </w:rPr>
        <w:t xml:space="preserve">. Victoria: DSICA. Retrieved from: </w:t>
      </w:r>
      <w:hyperlink r:id="rId8" w:history="1">
        <w:r w:rsidRPr="00821737">
          <w:rPr>
            <w:rStyle w:val="Hyperlink"/>
            <w:sz w:val="22"/>
            <w:lang w:val="en-US"/>
          </w:rPr>
          <w:t>http://www.dsica.com.au/Library/PageContentFiles/7e8adb48-141d-498e-9fbb-0f1c49c2cb1d/DSICA_2012_13_Pre_Budget_Submission_Web_Version.pdf</w:t>
        </w:r>
      </w:hyperlink>
      <w:r w:rsidRPr="00821737">
        <w:rPr>
          <w:color w:val="0563C1" w:themeColor="hyperlink"/>
          <w:sz w:val="22"/>
          <w:u w:val="single"/>
          <w:lang w:val="en-US"/>
        </w:rPr>
        <w:t xml:space="preserve"> </w:t>
      </w:r>
    </w:p>
  </w:endnote>
  <w:endnote w:id="41">
    <w:p w14:paraId="20F8741E" w14:textId="77777777" w:rsidR="00E50AB6" w:rsidRPr="00821737" w:rsidRDefault="00E50AB6" w:rsidP="00FE2CE2">
      <w:pPr>
        <w:pStyle w:val="Referencelist"/>
        <w:spacing w:after="60"/>
        <w:ind w:left="170" w:hanging="170"/>
        <w:rPr>
          <w:sz w:val="22"/>
          <w:vertAlign w:val="superscript"/>
          <w:lang w:val="en-US"/>
        </w:rPr>
      </w:pPr>
      <w:r w:rsidRPr="00821737">
        <w:rPr>
          <w:sz w:val="22"/>
          <w:vertAlign w:val="superscript"/>
          <w:lang w:val="en-US"/>
        </w:rPr>
        <w:endnoteRef/>
      </w:r>
      <w:r w:rsidRPr="00821737">
        <w:rPr>
          <w:sz w:val="22"/>
          <w:vertAlign w:val="superscript"/>
          <w:lang w:val="en-US"/>
        </w:rPr>
        <w:t xml:space="preserve"> </w:t>
      </w:r>
      <w:r w:rsidRPr="00821737">
        <w:rPr>
          <w:sz w:val="22"/>
          <w:lang w:val="en-US"/>
        </w:rPr>
        <w:t xml:space="preserve">Brewers Association. (2012). </w:t>
      </w:r>
      <w:r w:rsidRPr="00821737">
        <w:rPr>
          <w:i/>
          <w:sz w:val="22"/>
          <w:lang w:val="en-US"/>
        </w:rPr>
        <w:t>B</w:t>
      </w:r>
      <w:r w:rsidRPr="00821737">
        <w:rPr>
          <w:i/>
          <w:iCs/>
          <w:sz w:val="22"/>
          <w:lang w:val="en-US"/>
        </w:rPr>
        <w:t>rewers Association supports ANPHA decision not to introduce minimum pricing.</w:t>
      </w:r>
      <w:r w:rsidRPr="00821737">
        <w:rPr>
          <w:sz w:val="22"/>
          <w:lang w:val="en-US"/>
        </w:rPr>
        <w:t xml:space="preserve"> Media release.</w:t>
      </w:r>
      <w:r w:rsidRPr="00821737">
        <w:rPr>
          <w:sz w:val="22"/>
        </w:rPr>
        <w:t xml:space="preserve"> Retrieved from: </w:t>
      </w:r>
      <w:hyperlink r:id="rId9" w:history="1">
        <w:r w:rsidRPr="00821737">
          <w:rPr>
            <w:rStyle w:val="Hyperlink"/>
            <w:sz w:val="22"/>
          </w:rPr>
          <w:t>http://www.brewers.org.au/wp-content/uploads/2012/11/Brewers-Association-Media-Release-Brewers-Supports-ANPHA-Decision-not-to-introduce-Minimum-Pricing.pdf</w:t>
        </w:r>
      </w:hyperlink>
      <w:r w:rsidRPr="00821737">
        <w:rPr>
          <w:sz w:val="22"/>
          <w:lang w:val="en-US"/>
        </w:rPr>
        <w:t xml:space="preserve"> </w:t>
      </w:r>
    </w:p>
  </w:endnote>
  <w:endnote w:id="42">
    <w:p w14:paraId="768B655B" w14:textId="77777777" w:rsidR="00E50AB6" w:rsidRPr="00821737" w:rsidRDefault="00E50AB6" w:rsidP="00FE2CE2">
      <w:pPr>
        <w:spacing w:after="60"/>
      </w:pPr>
      <w:r w:rsidRPr="00821737">
        <w:rPr>
          <w:rStyle w:val="EndnoteReference"/>
        </w:rPr>
        <w:endnoteRef/>
      </w:r>
      <w:r w:rsidRPr="00821737">
        <w:t xml:space="preserve"> IBISWorld. (2016). </w:t>
      </w:r>
      <w:r w:rsidRPr="00821737">
        <w:rPr>
          <w:i/>
        </w:rPr>
        <w:t>Wine production in Australia – Industry Report C1214</w:t>
      </w:r>
      <w:r w:rsidRPr="00821737">
        <w:t xml:space="preserve">. </w:t>
      </w:r>
    </w:p>
  </w:endnote>
  <w:endnote w:id="43">
    <w:p w14:paraId="5CBC58AE" w14:textId="4F53C73C" w:rsidR="00E50AB6" w:rsidRPr="00821737" w:rsidRDefault="00E50AB6" w:rsidP="00FE2CE2">
      <w:pPr>
        <w:spacing w:after="60"/>
        <w:rPr>
          <w:rStyle w:val="EndnoteReference"/>
          <w:vertAlign w:val="baseline"/>
        </w:rPr>
      </w:pPr>
      <w:r w:rsidRPr="00821737">
        <w:rPr>
          <w:rStyle w:val="EndnoteReference"/>
        </w:rPr>
        <w:endnoteRef/>
      </w:r>
      <w:r w:rsidRPr="00821737">
        <w:rPr>
          <w:rStyle w:val="EndnoteReference"/>
        </w:rPr>
        <w:t xml:space="preserve"> </w:t>
      </w:r>
      <w:r w:rsidRPr="00821737">
        <w:t xml:space="preserve">Treasury Wine Estates (2011). Tax reform for a sustainable Australian Wine Industry.  Retrieved from: </w:t>
      </w:r>
      <w:hyperlink r:id="rId10" w:history="1">
        <w:r w:rsidRPr="00821737">
          <w:rPr>
            <w:rStyle w:val="Hyperlink"/>
          </w:rPr>
          <w:t>http://www.treasury.gov.au/Policy-Topics/Taxation/Tax-Forum/Statements-and-Submissions/Submissions</w:t>
        </w:r>
      </w:hyperlink>
    </w:p>
  </w:endnote>
  <w:endnote w:id="44">
    <w:p w14:paraId="40A2F888" w14:textId="77777777" w:rsidR="00E50AB6" w:rsidRPr="00821737" w:rsidRDefault="00E50AB6" w:rsidP="00FE2CE2">
      <w:pPr>
        <w:spacing w:after="60"/>
      </w:pPr>
      <w:r w:rsidRPr="00821737">
        <w:rPr>
          <w:rStyle w:val="EndnoteReference"/>
        </w:rPr>
        <w:endnoteRef/>
      </w:r>
      <w:r w:rsidRPr="00821737">
        <w:t xml:space="preserve"> Locke, S. (2013). Largest wine company calls for scrapping of wine tax. </w:t>
      </w:r>
      <w:r w:rsidRPr="00821737">
        <w:rPr>
          <w:i/>
        </w:rPr>
        <w:t>ABC Rural.</w:t>
      </w:r>
      <w:r w:rsidRPr="00821737">
        <w:t xml:space="preserve"> Retrieved from: </w:t>
      </w:r>
      <w:hyperlink r:id="rId11" w:history="1">
        <w:r w:rsidRPr="00821737">
          <w:rPr>
            <w:rStyle w:val="Hyperlink"/>
          </w:rPr>
          <w:t>http://www.abc.net.au/news/2013-07-18/twe-slams-wet-tax/4827886</w:t>
        </w:r>
      </w:hyperlink>
    </w:p>
  </w:endnote>
  <w:endnote w:id="45">
    <w:p w14:paraId="472553C5" w14:textId="77777777" w:rsidR="00E50AB6" w:rsidRPr="00821737" w:rsidRDefault="00E50AB6" w:rsidP="00FE2CE2">
      <w:pPr>
        <w:spacing w:after="60"/>
      </w:pPr>
      <w:r w:rsidRPr="00821737">
        <w:rPr>
          <w:rStyle w:val="EndnoteReference"/>
        </w:rPr>
        <w:endnoteRef/>
      </w:r>
      <w:r w:rsidRPr="00821737">
        <w:t xml:space="preserve"> Premium Wine Brands. (2011). </w:t>
      </w:r>
      <w:r w:rsidRPr="00821737">
        <w:rPr>
          <w:rFonts w:cs="Arial"/>
          <w:bCs/>
          <w:i/>
        </w:rPr>
        <w:t>Premium Wine Brands’ submission to Federal Government tax forum.</w:t>
      </w:r>
      <w:r w:rsidRPr="00821737">
        <w:rPr>
          <w:rFonts w:cs="Arial"/>
          <w:bCs/>
        </w:rPr>
        <w:t xml:space="preserve"> October 2011.</w:t>
      </w:r>
    </w:p>
  </w:endnote>
  <w:endnote w:id="46">
    <w:p w14:paraId="7E0B88A6" w14:textId="77777777" w:rsidR="00E50AB6" w:rsidRPr="00821737" w:rsidRDefault="00E50AB6" w:rsidP="00FE2CE2">
      <w:pPr>
        <w:spacing w:after="60"/>
        <w:rPr>
          <w:lang w:eastAsia="en-AU"/>
        </w:rPr>
      </w:pPr>
      <w:r w:rsidRPr="00821737">
        <w:rPr>
          <w:rStyle w:val="EndnoteReference"/>
        </w:rPr>
        <w:endnoteRef/>
      </w:r>
      <w:r w:rsidRPr="00821737">
        <w:t xml:space="preserve"> Oliver, J. (2013). </w:t>
      </w:r>
      <w:r w:rsidRPr="00821737">
        <w:rPr>
          <w:rFonts w:eastAsia="Times New Roman"/>
          <w:bCs/>
          <w:i/>
          <w:iCs/>
          <w:kern w:val="36"/>
          <w:lang w:eastAsia="en-AU"/>
        </w:rPr>
        <w:t>Tax reform and the broken model behind Australian wine</w:t>
      </w:r>
      <w:r w:rsidRPr="00821737">
        <w:rPr>
          <w:rFonts w:eastAsia="Times New Roman"/>
          <w:bCs/>
          <w:kern w:val="36"/>
          <w:lang w:eastAsia="en-AU"/>
        </w:rPr>
        <w:t xml:space="preserve">. Retrieved from: </w:t>
      </w:r>
      <w:hyperlink r:id="rId12" w:history="1">
        <w:r w:rsidRPr="00821737">
          <w:rPr>
            <w:rStyle w:val="Hyperlink"/>
            <w:rFonts w:eastAsia="Times New Roman"/>
            <w:bCs/>
            <w:kern w:val="36"/>
            <w:lang w:eastAsia="en-AU"/>
          </w:rPr>
          <w:t>http://www.onwine.com.au/tax-reform-and-the-broken-model-behind-australian-wine/</w:t>
        </w:r>
      </w:hyperlink>
    </w:p>
  </w:endnote>
  <w:endnote w:id="47">
    <w:p w14:paraId="1B865193" w14:textId="77777777" w:rsidR="00E50AB6" w:rsidRPr="00821737" w:rsidRDefault="00E50AB6" w:rsidP="00FE2CE2">
      <w:pPr>
        <w:spacing w:after="60"/>
      </w:pPr>
      <w:r w:rsidRPr="00821737">
        <w:rPr>
          <w:rStyle w:val="EndnoteReference"/>
        </w:rPr>
        <w:endnoteRef/>
      </w:r>
      <w:r w:rsidRPr="00821737">
        <w:t xml:space="preserve"> </w:t>
      </w:r>
      <w:r w:rsidRPr="00821737">
        <w:rPr>
          <w:lang w:val="en-US"/>
        </w:rPr>
        <w:t>National Liquor News. (</w:t>
      </w:r>
      <w:r w:rsidRPr="00821737">
        <w:t xml:space="preserve">2012). </w:t>
      </w:r>
      <w:r w:rsidRPr="00821737">
        <w:rPr>
          <w:i/>
          <w:lang w:val="en-US"/>
        </w:rPr>
        <w:t>Westend Estate Wines.</w:t>
      </w:r>
      <w:r w:rsidRPr="00821737">
        <w:rPr>
          <w:lang w:val="en-US"/>
        </w:rPr>
        <w:t xml:space="preserve"> Volume 31 number 1 February 2012</w:t>
      </w:r>
    </w:p>
  </w:endnote>
  <w:endnote w:id="48">
    <w:p w14:paraId="0AF44541" w14:textId="77777777" w:rsidR="00E50AB6" w:rsidRPr="00821737" w:rsidRDefault="00E50AB6" w:rsidP="00FE2CE2">
      <w:pPr>
        <w:spacing w:after="60"/>
        <w:rPr>
          <w:lang w:val="en-US"/>
        </w:rPr>
      </w:pPr>
      <w:r w:rsidRPr="00821737">
        <w:rPr>
          <w:rStyle w:val="EndnoteReference"/>
        </w:rPr>
        <w:endnoteRef/>
      </w:r>
      <w:r w:rsidRPr="00821737">
        <w:t xml:space="preserve"> </w:t>
      </w:r>
      <w:r w:rsidRPr="00821737">
        <w:rPr>
          <w:lang w:val="en-US"/>
        </w:rPr>
        <w:t xml:space="preserve">Foundation for Alcohol Research and Education (FARE). (2017). </w:t>
      </w:r>
      <w:r w:rsidRPr="00821737">
        <w:rPr>
          <w:i/>
          <w:lang w:val="en-US"/>
        </w:rPr>
        <w:t>Annual alcohol poll 2017: Attitudes and behaviours.</w:t>
      </w:r>
      <w:r w:rsidRPr="00821737">
        <w:rPr>
          <w:lang w:val="en-US"/>
        </w:rPr>
        <w:t xml:space="preserve"> Canberra: FARE.</w:t>
      </w:r>
    </w:p>
  </w:endnote>
  <w:endnote w:id="49">
    <w:p w14:paraId="581181B7" w14:textId="77777777" w:rsidR="00E50AB6" w:rsidRPr="00821737" w:rsidRDefault="00E50AB6" w:rsidP="00FE2CE2">
      <w:pPr>
        <w:spacing w:after="60"/>
        <w:rPr>
          <w:rFonts w:cs="Calibri"/>
          <w:bCs/>
          <w:lang w:eastAsia="en-AU"/>
        </w:rPr>
      </w:pPr>
      <w:r w:rsidRPr="00821737">
        <w:rPr>
          <w:rFonts w:cs="Calibri"/>
          <w:vertAlign w:val="superscript"/>
          <w:lang w:eastAsia="en-AU"/>
        </w:rPr>
        <w:endnoteRef/>
      </w:r>
      <w:r w:rsidRPr="00821737">
        <w:rPr>
          <w:rFonts w:cs="Calibri"/>
          <w:lang w:eastAsia="en-AU"/>
        </w:rPr>
        <w:t xml:space="preserve"> </w:t>
      </w:r>
      <w:r w:rsidRPr="00821737">
        <w:t xml:space="preserve">Henry, K., Harmer, J., Piggott, J., Ridout, H., &amp; Smith, G. (2009). </w:t>
      </w:r>
      <w:r w:rsidRPr="00821737">
        <w:rPr>
          <w:i/>
        </w:rPr>
        <w:t>Australia’s future tax system</w:t>
      </w:r>
      <w:r w:rsidRPr="00821737">
        <w:t>. Canberra, Commonwealth Treasury.</w:t>
      </w:r>
    </w:p>
  </w:endnote>
  <w:endnote w:id="50">
    <w:p w14:paraId="32AA1EAD" w14:textId="77777777" w:rsidR="00E50AB6" w:rsidRPr="00821737"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Cnossen, S. (2010). Excise taxation in Australia. In </w:t>
      </w:r>
      <w:r w:rsidRPr="00821737">
        <w:rPr>
          <w:rFonts w:asciiTheme="minorHAnsi" w:hAnsiTheme="minorHAnsi"/>
          <w:i/>
          <w:sz w:val="22"/>
          <w:szCs w:val="22"/>
        </w:rPr>
        <w:t>Melbourne Institute–Australia’s future tax and transfer policy conference</w:t>
      </w:r>
      <w:r w:rsidRPr="00821737">
        <w:rPr>
          <w:rFonts w:asciiTheme="minorHAnsi" w:hAnsiTheme="minorHAnsi"/>
          <w:sz w:val="22"/>
          <w:szCs w:val="22"/>
        </w:rPr>
        <w:t>.</w:t>
      </w:r>
    </w:p>
  </w:endnote>
  <w:endnote w:id="51">
    <w:p w14:paraId="43679A7B" w14:textId="1A481F53" w:rsidR="00E50AB6" w:rsidRDefault="00E50AB6" w:rsidP="00FE2CE2">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Productivity Commission. (2017). </w:t>
      </w:r>
      <w:r w:rsidRPr="00821737">
        <w:rPr>
          <w:rFonts w:asciiTheme="minorHAnsi" w:hAnsiTheme="minorHAnsi"/>
          <w:i/>
          <w:sz w:val="22"/>
          <w:szCs w:val="22"/>
        </w:rPr>
        <w:t>Shifting the Dial: 5 year productivity review.</w:t>
      </w:r>
      <w:r w:rsidRPr="00821737">
        <w:rPr>
          <w:rFonts w:asciiTheme="minorHAnsi" w:hAnsiTheme="minorHAnsi"/>
          <w:sz w:val="22"/>
          <w:szCs w:val="22"/>
        </w:rPr>
        <w:t xml:space="preserve"> Retrieved from: </w:t>
      </w:r>
      <w:hyperlink r:id="rId13" w:history="1">
        <w:r w:rsidRPr="00821737">
          <w:rPr>
            <w:rStyle w:val="Hyperlink"/>
            <w:rFonts w:asciiTheme="minorHAnsi" w:hAnsiTheme="minorHAnsi"/>
            <w:sz w:val="22"/>
            <w:szCs w:val="22"/>
          </w:rPr>
          <w:t>https://www.pc.gov.au/inquiries/completed/productivity-review/report</w:t>
        </w:r>
      </w:hyperlink>
      <w:r w:rsidRPr="00821737">
        <w:rPr>
          <w:rFonts w:asciiTheme="minorHAnsi" w:hAnsiTheme="minorHAnsi"/>
          <w:sz w:val="22"/>
          <w:szCs w:val="22"/>
        </w:rPr>
        <w:t xml:space="preserve"> </w:t>
      </w:r>
    </w:p>
    <w:p w14:paraId="5BE66C19" w14:textId="77777777" w:rsidR="00E50AB6" w:rsidRPr="00821737" w:rsidRDefault="00E50AB6" w:rsidP="00FE2CE2">
      <w:pPr>
        <w:pStyle w:val="EndnoteText"/>
        <w:rPr>
          <w:rFonts w:asciiTheme="minorHAnsi" w:hAnsiTheme="minorHAnsi"/>
          <w:sz w:val="22"/>
          <w:szCs w:val="22"/>
        </w:rPr>
      </w:pPr>
    </w:p>
  </w:endnote>
  <w:endnote w:id="52">
    <w:p w14:paraId="25C8BB2C" w14:textId="7FD4F20B" w:rsidR="00E50AB6" w:rsidRPr="004348D5" w:rsidRDefault="00E50AB6" w:rsidP="004348D5">
      <w:pPr>
        <w:pStyle w:val="EndnoteText"/>
        <w:rPr>
          <w:sz w:val="22"/>
          <w:szCs w:val="22"/>
        </w:rPr>
      </w:pPr>
      <w:r>
        <w:rPr>
          <w:rStyle w:val="EndnoteReference"/>
        </w:rPr>
        <w:endnoteRef/>
      </w:r>
      <w:r>
        <w:t xml:space="preserve"> </w:t>
      </w:r>
      <w:r w:rsidRPr="004348D5">
        <w:rPr>
          <w:sz w:val="22"/>
          <w:szCs w:val="22"/>
        </w:rPr>
        <w:t xml:space="preserve">ACIL Allen Consulting. (2015). </w:t>
      </w:r>
      <w:r w:rsidRPr="004348D5">
        <w:rPr>
          <w:i/>
          <w:sz w:val="22"/>
          <w:szCs w:val="22"/>
        </w:rPr>
        <w:t>Alcohol tax reform: Economic modelling</w:t>
      </w:r>
      <w:r w:rsidRPr="004348D5">
        <w:rPr>
          <w:sz w:val="22"/>
          <w:szCs w:val="22"/>
        </w:rPr>
        <w:t xml:space="preserve">. Canberra: Foundation for Alcohol Research and Education. Retrieved from: </w:t>
      </w:r>
      <w:hyperlink r:id="rId14" w:history="1">
        <w:r w:rsidRPr="004348D5">
          <w:rPr>
            <w:rStyle w:val="Hyperlink"/>
            <w:sz w:val="22"/>
            <w:szCs w:val="22"/>
          </w:rPr>
          <w:t>http://fare.org.au/2015/09/alcohol-tax-reform-economic-modelling/</w:t>
        </w:r>
      </w:hyperlink>
    </w:p>
  </w:endnote>
  <w:endnote w:id="53">
    <w:p w14:paraId="381C9250" w14:textId="77777777" w:rsidR="00E50AB6" w:rsidRPr="00821737" w:rsidRDefault="00E50AB6" w:rsidP="00821737">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Productivity Commission (2017). Shifting the Dial: 5 year productivity review.</w:t>
      </w:r>
      <w:hyperlink r:id="rId15" w:history="1">
        <w:r w:rsidRPr="00821737">
          <w:rPr>
            <w:rStyle w:val="Hyperlink"/>
            <w:rFonts w:asciiTheme="minorHAnsi" w:hAnsiTheme="minorHAnsi"/>
            <w:sz w:val="22"/>
            <w:szCs w:val="22"/>
          </w:rPr>
          <w:t>https://www.pc.gov.au/inquiries/completed/productivity-review/report/2-healthier-australians</w:t>
        </w:r>
      </w:hyperlink>
      <w:r w:rsidRPr="00821737">
        <w:rPr>
          <w:rFonts w:asciiTheme="minorHAnsi" w:hAnsiTheme="minorHAnsi"/>
          <w:sz w:val="22"/>
          <w:szCs w:val="22"/>
        </w:rPr>
        <w:t xml:space="preserve">. Full report retrieved 30/10/2018 from: </w:t>
      </w:r>
      <w:hyperlink r:id="rId16" w:history="1">
        <w:r w:rsidRPr="00821737">
          <w:rPr>
            <w:rStyle w:val="Hyperlink"/>
            <w:rFonts w:asciiTheme="minorHAnsi" w:hAnsiTheme="minorHAnsi"/>
            <w:sz w:val="22"/>
            <w:szCs w:val="22"/>
          </w:rPr>
          <w:t>https://www.pc.gov.au/inquiries/completed/productivity-review/report/productivity-review.pdf</w:t>
        </w:r>
      </w:hyperlink>
      <w:r w:rsidRPr="00821737">
        <w:rPr>
          <w:rFonts w:asciiTheme="minorHAnsi" w:hAnsiTheme="minorHAnsi"/>
          <w:sz w:val="22"/>
          <w:szCs w:val="22"/>
        </w:rPr>
        <w:t>.</w:t>
      </w:r>
    </w:p>
  </w:endnote>
  <w:endnote w:id="54">
    <w:p w14:paraId="55E8E3E6" w14:textId="77777777" w:rsidR="00E50AB6" w:rsidRPr="00821737" w:rsidRDefault="00E50AB6" w:rsidP="00821737">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Thomsen, S. (May 4 2018). The budget might be good for craft beer prices, but producers are sceptical. Business Insider Australia. Retrieved 30/10/2018 from: </w:t>
      </w:r>
      <w:hyperlink r:id="rId17" w:history="1">
        <w:r w:rsidRPr="00821737">
          <w:rPr>
            <w:rStyle w:val="Hyperlink"/>
            <w:rFonts w:asciiTheme="minorHAnsi" w:hAnsiTheme="minorHAnsi"/>
            <w:sz w:val="22"/>
            <w:szCs w:val="22"/>
          </w:rPr>
          <w:t>https://www.businessinsider.com.au/federal-budget-2018-cheaper-alcohol-2018-5</w:t>
        </w:r>
      </w:hyperlink>
    </w:p>
  </w:endnote>
  <w:endnote w:id="55">
    <w:p w14:paraId="2052729E" w14:textId="12B26416" w:rsidR="00E50AB6" w:rsidRDefault="00E50AB6">
      <w:pPr>
        <w:pStyle w:val="EndnoteText"/>
      </w:pPr>
      <w:r>
        <w:rPr>
          <w:rStyle w:val="EndnoteReference"/>
        </w:rPr>
        <w:endnoteRef/>
      </w:r>
      <w:r>
        <w:t xml:space="preserve"> </w:t>
      </w:r>
      <w:r w:rsidRPr="00693FE3">
        <w:rPr>
          <w:rFonts w:eastAsia="Cambria"/>
          <w:bCs/>
          <w:sz w:val="22"/>
          <w:szCs w:val="22"/>
        </w:rPr>
        <w:t xml:space="preserve">IbisWorld (2018). </w:t>
      </w:r>
      <w:r w:rsidRPr="00693FE3">
        <w:rPr>
          <w:rFonts w:eastAsia="Cambria"/>
          <w:bCs/>
          <w:i/>
          <w:iCs/>
          <w:sz w:val="22"/>
          <w:szCs w:val="22"/>
        </w:rPr>
        <w:t>Industry Report OD5071 Craft Beer Production in Australia. </w:t>
      </w:r>
      <w:r w:rsidRPr="00693FE3">
        <w:rPr>
          <w:rFonts w:eastAsia="Cambria"/>
          <w:bCs/>
          <w:iCs/>
          <w:sz w:val="22"/>
          <w:szCs w:val="22"/>
        </w:rPr>
        <w:t>September 2018.</w:t>
      </w:r>
      <w:r w:rsidRPr="00693FE3">
        <w:rPr>
          <w:rFonts w:eastAsia="Cambria"/>
          <w:bCs/>
          <w:sz w:val="22"/>
          <w:szCs w:val="22"/>
        </w:rPr>
        <w:t xml:space="preserve"> Retrieved 30/20/2018 from: </w:t>
      </w:r>
      <w:hyperlink r:id="rId18" w:history="1">
        <w:r w:rsidRPr="00693FE3">
          <w:rPr>
            <w:rFonts w:eastAsia="Cambria"/>
            <w:bCs/>
            <w:color w:val="0000FF"/>
            <w:sz w:val="22"/>
            <w:szCs w:val="22"/>
            <w:u w:val="single"/>
          </w:rPr>
          <w:t>http://www.ibisworld.com</w:t>
        </w:r>
      </w:hyperlink>
    </w:p>
  </w:endnote>
  <w:endnote w:id="56">
    <w:p w14:paraId="789E2D08" w14:textId="77777777" w:rsidR="00E50AB6" w:rsidRPr="00821737" w:rsidRDefault="00E50AB6" w:rsidP="00FE2CE2">
      <w:pPr>
        <w:pStyle w:val="EndnoteText"/>
        <w:spacing w:after="60"/>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Laslett, A.M., Mugavin, J., Jiang, H., Manton, E., Callinan, S., MacLean, S., &amp; Room, R. (2015). </w:t>
      </w:r>
      <w:r w:rsidRPr="00821737">
        <w:rPr>
          <w:rFonts w:asciiTheme="minorHAnsi" w:hAnsiTheme="minorHAnsi"/>
          <w:i/>
          <w:iCs/>
          <w:sz w:val="22"/>
          <w:szCs w:val="22"/>
        </w:rPr>
        <w:t>The hidden harm: Alcohol’s impact on children and families</w:t>
      </w:r>
      <w:r w:rsidRPr="00821737">
        <w:rPr>
          <w:rFonts w:asciiTheme="minorHAnsi" w:hAnsiTheme="minorHAnsi"/>
          <w:sz w:val="22"/>
          <w:szCs w:val="22"/>
        </w:rPr>
        <w:t>. Canberra: Foundation for Alcohol Research and Education.</w:t>
      </w:r>
    </w:p>
  </w:endnote>
  <w:endnote w:id="57">
    <w:p w14:paraId="67328FA1" w14:textId="77777777" w:rsidR="00E50AB6" w:rsidRPr="00821737" w:rsidRDefault="00E50AB6" w:rsidP="00FE2CE2">
      <w:pPr>
        <w:pStyle w:val="FootnoteText"/>
        <w:rPr>
          <w:sz w:val="22"/>
          <w:szCs w:val="22"/>
        </w:rPr>
      </w:pPr>
      <w:r w:rsidRPr="00821737">
        <w:rPr>
          <w:rStyle w:val="EndnoteReference"/>
          <w:sz w:val="22"/>
          <w:szCs w:val="22"/>
        </w:rPr>
        <w:endnoteRef/>
      </w:r>
      <w:r w:rsidRPr="00821737">
        <w:rPr>
          <w:sz w:val="22"/>
          <w:szCs w:val="22"/>
        </w:rPr>
        <w:t xml:space="preserve"> McBride, N., Carruthers, S.J. &amp; Hutchinson, D. (2012). Reducing alcohol use during pregnancy: Listening to women who drink as a prevention starting point. A formative intervention research study. </w:t>
      </w:r>
      <w:r w:rsidRPr="00821737">
        <w:rPr>
          <w:i/>
          <w:sz w:val="22"/>
          <w:szCs w:val="22"/>
        </w:rPr>
        <w:t>Global Health Promotion</w:t>
      </w:r>
      <w:r w:rsidRPr="00821737">
        <w:rPr>
          <w:sz w:val="22"/>
          <w:szCs w:val="22"/>
        </w:rPr>
        <w:t>, 19, 2: 102-114.</w:t>
      </w:r>
    </w:p>
  </w:endnote>
  <w:endnote w:id="58">
    <w:p w14:paraId="5933CB76" w14:textId="77777777" w:rsidR="00E50AB6" w:rsidRPr="00821737" w:rsidRDefault="00E50AB6" w:rsidP="003F02B9">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Winstanley, M. et al. (2011). Alcohol and cancer: A position statement from Cancer Council Australia. </w:t>
      </w:r>
      <w:r w:rsidRPr="00821737">
        <w:rPr>
          <w:rFonts w:asciiTheme="minorHAnsi" w:hAnsiTheme="minorHAnsi"/>
          <w:i/>
          <w:sz w:val="22"/>
          <w:szCs w:val="22"/>
        </w:rPr>
        <w:t>MJA, 194</w:t>
      </w:r>
      <w:r w:rsidRPr="00821737">
        <w:rPr>
          <w:rFonts w:asciiTheme="minorHAnsi" w:hAnsiTheme="minorHAnsi"/>
          <w:sz w:val="22"/>
          <w:szCs w:val="22"/>
        </w:rPr>
        <w:t>(9), 479-482.</w:t>
      </w:r>
    </w:p>
  </w:endnote>
  <w:endnote w:id="59">
    <w:p w14:paraId="331161C8" w14:textId="77777777" w:rsidR="00E50AB6" w:rsidRPr="00821737" w:rsidRDefault="00E50AB6" w:rsidP="003F02B9">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Foundation for Alcohol Research and Education (FARE). (2016). </w:t>
      </w:r>
      <w:r w:rsidRPr="00821737">
        <w:rPr>
          <w:rFonts w:asciiTheme="minorHAnsi" w:hAnsiTheme="minorHAnsi"/>
          <w:i/>
          <w:sz w:val="22"/>
          <w:szCs w:val="22"/>
        </w:rPr>
        <w:t>Annual alcohol poll 2016: Attitudes and behaviours</w:t>
      </w:r>
      <w:r w:rsidRPr="00821737">
        <w:rPr>
          <w:rFonts w:asciiTheme="minorHAnsi" w:hAnsiTheme="minorHAnsi"/>
          <w:sz w:val="22"/>
          <w:szCs w:val="22"/>
        </w:rPr>
        <w:t>. Canberra: FARE.</w:t>
      </w:r>
    </w:p>
  </w:endnote>
  <w:endnote w:id="60">
    <w:p w14:paraId="3CE10F6C" w14:textId="77777777" w:rsidR="00E50AB6" w:rsidRPr="00821737" w:rsidRDefault="00E50AB6" w:rsidP="003F02B9">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Foundation for Alcohol Research and Education (FARE). (2016). </w:t>
      </w:r>
      <w:r w:rsidRPr="00821737">
        <w:rPr>
          <w:rFonts w:asciiTheme="minorHAnsi" w:hAnsiTheme="minorHAnsi"/>
          <w:i/>
          <w:sz w:val="22"/>
          <w:szCs w:val="22"/>
        </w:rPr>
        <w:t>Annual alcohol poll 2016: Attitudes and behaviours</w:t>
      </w:r>
      <w:r w:rsidRPr="00821737">
        <w:rPr>
          <w:rFonts w:asciiTheme="minorHAnsi" w:hAnsiTheme="minorHAnsi"/>
          <w:sz w:val="22"/>
          <w:szCs w:val="22"/>
        </w:rPr>
        <w:t>. Canberra: FARE.</w:t>
      </w:r>
    </w:p>
  </w:endnote>
  <w:endnote w:id="61">
    <w:p w14:paraId="21196CF1" w14:textId="77777777" w:rsidR="00E50AB6" w:rsidRPr="00821737" w:rsidRDefault="00E50AB6" w:rsidP="003F02B9">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Foundation for Alcohol Research and Education (FARE). (2016). </w:t>
      </w:r>
      <w:r w:rsidRPr="00821737">
        <w:rPr>
          <w:rFonts w:asciiTheme="minorHAnsi" w:hAnsiTheme="minorHAnsi"/>
          <w:i/>
          <w:sz w:val="22"/>
          <w:szCs w:val="22"/>
        </w:rPr>
        <w:t>Annual alcohol poll 2016: Attitudes and behaviours</w:t>
      </w:r>
      <w:r w:rsidRPr="00821737">
        <w:rPr>
          <w:rFonts w:asciiTheme="minorHAnsi" w:hAnsiTheme="minorHAnsi"/>
          <w:sz w:val="22"/>
          <w:szCs w:val="22"/>
        </w:rPr>
        <w:t>. Canberra: FARE.</w:t>
      </w:r>
    </w:p>
  </w:endnote>
  <w:endnote w:id="62">
    <w:p w14:paraId="677510B2" w14:textId="77777777" w:rsidR="00E50AB6" w:rsidRPr="00821737" w:rsidRDefault="00E50AB6" w:rsidP="003F02B9">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Foundation for Alcohol Research and Education (FARE). (2016). </w:t>
      </w:r>
      <w:r w:rsidRPr="00821737">
        <w:rPr>
          <w:rFonts w:asciiTheme="minorHAnsi" w:hAnsiTheme="minorHAnsi"/>
          <w:i/>
          <w:sz w:val="22"/>
          <w:szCs w:val="22"/>
        </w:rPr>
        <w:t>Annual alcohol poll 2016: Attitudes and behaviours</w:t>
      </w:r>
      <w:r w:rsidRPr="00821737">
        <w:rPr>
          <w:rFonts w:asciiTheme="minorHAnsi" w:hAnsiTheme="minorHAnsi"/>
          <w:sz w:val="22"/>
          <w:szCs w:val="22"/>
        </w:rPr>
        <w:t>. Canberra: FARE.</w:t>
      </w:r>
    </w:p>
  </w:endnote>
  <w:endnote w:id="63">
    <w:p w14:paraId="110E70E2" w14:textId="77777777" w:rsidR="00E50AB6" w:rsidRPr="00821737" w:rsidRDefault="00E50AB6" w:rsidP="003F02B9">
      <w:pPr>
        <w:pStyle w:val="EndnoteText"/>
        <w:spacing w:after="60"/>
        <w:ind w:left="170" w:hanging="170"/>
        <w:mirrorIndents/>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Callinan, S. &amp; Room. R (2012). </w:t>
      </w:r>
      <w:r w:rsidRPr="00821737">
        <w:rPr>
          <w:rFonts w:asciiTheme="minorHAnsi" w:hAnsiTheme="minorHAnsi"/>
          <w:i/>
          <w:sz w:val="22"/>
          <w:szCs w:val="22"/>
        </w:rPr>
        <w:t>Alcohol consumption during pregnancy: Results from the 2010 National Drug Strategy Household Survey</w:t>
      </w:r>
      <w:r w:rsidRPr="00821737">
        <w:rPr>
          <w:rFonts w:asciiTheme="minorHAnsi" w:hAnsiTheme="minorHAnsi"/>
          <w:sz w:val="22"/>
          <w:szCs w:val="22"/>
        </w:rPr>
        <w:t>. Canberra: Foundation for Alcohol Research and Education (FARE).</w:t>
      </w:r>
    </w:p>
  </w:endnote>
  <w:endnote w:id="64">
    <w:p w14:paraId="720D3702" w14:textId="77777777" w:rsidR="00E50AB6" w:rsidRPr="00821737" w:rsidRDefault="00E50AB6" w:rsidP="003F02B9">
      <w:pPr>
        <w:pStyle w:val="EndnoteText"/>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Hickman, A. (2016, 13 May). Diageo launches global media review. </w:t>
      </w:r>
      <w:r w:rsidRPr="00821737">
        <w:rPr>
          <w:rFonts w:asciiTheme="minorHAnsi" w:hAnsiTheme="minorHAnsi"/>
          <w:i/>
          <w:sz w:val="22"/>
          <w:szCs w:val="22"/>
        </w:rPr>
        <w:t>AdNews</w:t>
      </w:r>
      <w:r w:rsidRPr="00821737">
        <w:rPr>
          <w:rFonts w:asciiTheme="minorHAnsi" w:hAnsiTheme="minorHAnsi"/>
          <w:sz w:val="22"/>
          <w:szCs w:val="22"/>
        </w:rPr>
        <w:t xml:space="preserve">. Retrieved from: </w:t>
      </w:r>
      <w:hyperlink r:id="rId19" w:history="1">
        <w:r w:rsidRPr="00821737">
          <w:rPr>
            <w:rStyle w:val="Hyperlink"/>
            <w:rFonts w:asciiTheme="minorHAnsi" w:hAnsiTheme="minorHAnsi"/>
            <w:sz w:val="22"/>
            <w:szCs w:val="22"/>
          </w:rPr>
          <w:t>http://www.adnews.com.au/news/diageo-launches-global-media-review</w:t>
        </w:r>
      </w:hyperlink>
      <w:r w:rsidRPr="00821737">
        <w:rPr>
          <w:rFonts w:asciiTheme="minorHAnsi" w:hAnsiTheme="minorHAnsi"/>
          <w:sz w:val="22"/>
          <w:szCs w:val="22"/>
        </w:rPr>
        <w:t xml:space="preserve"> </w:t>
      </w:r>
    </w:p>
  </w:endnote>
  <w:endnote w:id="65">
    <w:p w14:paraId="00044EAD" w14:textId="77777777" w:rsidR="00E50AB6" w:rsidRPr="00821737" w:rsidRDefault="00E50AB6" w:rsidP="003F02B9">
      <w:pPr>
        <w:autoSpaceDE w:val="0"/>
        <w:autoSpaceDN w:val="0"/>
        <w:adjustRightInd w:val="0"/>
        <w:spacing w:after="0" w:line="240" w:lineRule="auto"/>
        <w:rPr>
          <w:rFonts w:cs="NewBaskerville-Roman"/>
        </w:rPr>
      </w:pPr>
      <w:r w:rsidRPr="00821737">
        <w:rPr>
          <w:rStyle w:val="EndnoteReference"/>
        </w:rPr>
        <w:endnoteRef/>
      </w:r>
      <w:r w:rsidRPr="00821737">
        <w:t xml:space="preserve"> </w:t>
      </w:r>
      <w:r w:rsidRPr="00821737">
        <w:rPr>
          <w:rFonts w:cs="NewBaskerville-Roman"/>
        </w:rPr>
        <w:t xml:space="preserve">Elder, R.W., Shults, R.A., Sleet, D.A., Nichols, J.L., Thompson, R.S., &amp; Rajab, W. (2004). Effectiveness of mass media campaigns for reducing drinking and driving and alcohol-involved crashes: A systematic review. </w:t>
      </w:r>
      <w:r w:rsidRPr="00821737">
        <w:rPr>
          <w:rFonts w:cs="NewBaskerville-Roman"/>
          <w:i/>
        </w:rPr>
        <w:t>American Journal of Preventive Medicine</w:t>
      </w:r>
      <w:r w:rsidRPr="00821737">
        <w:rPr>
          <w:rFonts w:cs="NewBaskerville-Roman"/>
        </w:rPr>
        <w:t>.</w:t>
      </w:r>
    </w:p>
  </w:endnote>
  <w:endnote w:id="66">
    <w:p w14:paraId="45977E98" w14:textId="568A5DA7" w:rsidR="00E50AB6" w:rsidRPr="00042030" w:rsidRDefault="00E50AB6" w:rsidP="00042030">
      <w:pPr>
        <w:pStyle w:val="EndnoteText"/>
      </w:pPr>
      <w:r>
        <w:rPr>
          <w:rStyle w:val="EndnoteReference"/>
        </w:rPr>
        <w:endnoteRef/>
      </w:r>
      <w:r>
        <w:t xml:space="preserve"> </w:t>
      </w:r>
      <w:r w:rsidRPr="00042030">
        <w:rPr>
          <w:rFonts w:cs="AdvPECFD32"/>
          <w:sz w:val="22"/>
          <w:szCs w:val="22"/>
        </w:rPr>
        <w:t xml:space="preserve">Durkin, S., Brennan, E., &amp; Wakefield, M. (2012). </w:t>
      </w:r>
      <w:r w:rsidRPr="00042030">
        <w:rPr>
          <w:rFonts w:cs="AdvPECFD34"/>
          <w:sz w:val="22"/>
          <w:szCs w:val="22"/>
        </w:rPr>
        <w:t xml:space="preserve">Mass media campaigns to promote smoking cessation among adults: an integrative review. </w:t>
      </w:r>
      <w:r w:rsidRPr="00042030">
        <w:rPr>
          <w:rFonts w:cs="AdvPECFD33"/>
          <w:i/>
          <w:sz w:val="22"/>
          <w:szCs w:val="22"/>
        </w:rPr>
        <w:t xml:space="preserve">Tobacco Control, 21, 2, </w:t>
      </w:r>
      <w:r w:rsidRPr="00042030">
        <w:rPr>
          <w:rFonts w:cs="AdvPECFD33"/>
          <w:sz w:val="22"/>
          <w:szCs w:val="22"/>
        </w:rPr>
        <w:t>127-38.</w:t>
      </w:r>
    </w:p>
  </w:endnote>
  <w:endnote w:id="67">
    <w:p w14:paraId="404AFB92" w14:textId="77777777" w:rsidR="00E50AB6" w:rsidRPr="00821737" w:rsidRDefault="00E50AB6" w:rsidP="003F02B9">
      <w:pPr>
        <w:spacing w:after="60"/>
        <w:ind w:left="170" w:hanging="170"/>
        <w:mirrorIndents/>
        <w:rPr>
          <w:rFonts w:cs="Calibri"/>
          <w:lang w:eastAsia="en-AU"/>
        </w:rPr>
      </w:pPr>
      <w:r w:rsidRPr="00821737">
        <w:rPr>
          <w:rFonts w:cs="Calibri"/>
          <w:vertAlign w:val="superscript"/>
          <w:lang w:eastAsia="en-AU"/>
        </w:rPr>
        <w:endnoteRef/>
      </w:r>
      <w:r w:rsidRPr="00821737">
        <w:rPr>
          <w:rFonts w:cs="Calibri"/>
          <w:vertAlign w:val="superscript"/>
          <w:lang w:eastAsia="en-AU"/>
        </w:rPr>
        <w:t xml:space="preserve"> </w:t>
      </w:r>
      <w:r w:rsidRPr="00821737">
        <w:rPr>
          <w:rFonts w:cs="AdvTTea8379c5.B"/>
        </w:rPr>
        <w:t>Public</w:t>
      </w:r>
      <w:r w:rsidRPr="00821737">
        <w:rPr>
          <w:rFonts w:cs="Calibri"/>
          <w:lang w:eastAsia="en-AU"/>
        </w:rPr>
        <w:t xml:space="preserve"> Health England (2010). Archived webpage: </w:t>
      </w:r>
      <w:r w:rsidRPr="00821737">
        <w:rPr>
          <w:rFonts w:cs="Calibri"/>
          <w:i/>
          <w:lang w:eastAsia="en-AU"/>
        </w:rPr>
        <w:t>Alcohol Effects Campaign</w:t>
      </w:r>
      <w:r w:rsidRPr="00821737">
        <w:rPr>
          <w:rFonts w:cs="Calibri"/>
          <w:lang w:eastAsia="en-AU"/>
        </w:rPr>
        <w:t xml:space="preserve"> 19 February 2010. </w:t>
      </w:r>
      <w:r w:rsidRPr="00821737">
        <w:t>Retrieved from:</w:t>
      </w:r>
      <w:r w:rsidRPr="00821737">
        <w:rPr>
          <w:rFonts w:cs="Calibri"/>
          <w:lang w:eastAsia="en-AU"/>
        </w:rPr>
        <w:t xml:space="preserve"> </w:t>
      </w:r>
      <w:hyperlink r:id="rId20" w:history="1">
        <w:r w:rsidRPr="00821737">
          <w:rPr>
            <w:rStyle w:val="Hyperlink"/>
            <w:rFonts w:cs="Calibri"/>
            <w:lang w:eastAsia="en-AU"/>
          </w:rPr>
          <w:t>http://www.alcohollearningcentre.org.uk/Topics/Browse/SocialMarketing/toolkit2010/introduction/alcoholEffectsCampaign/</w:t>
        </w:r>
      </w:hyperlink>
      <w:r w:rsidRPr="00821737">
        <w:rPr>
          <w:rFonts w:cs="Calibri"/>
          <w:lang w:eastAsia="en-AU"/>
        </w:rPr>
        <w:t xml:space="preserve"> </w:t>
      </w:r>
    </w:p>
  </w:endnote>
  <w:endnote w:id="68">
    <w:p w14:paraId="17A1D6C7" w14:textId="77777777" w:rsidR="00E50AB6" w:rsidRPr="00821737" w:rsidRDefault="00E50AB6" w:rsidP="003F02B9">
      <w:pPr>
        <w:spacing w:after="60"/>
        <w:ind w:left="170" w:hanging="170"/>
        <w:mirrorIndents/>
        <w:rPr>
          <w:rFonts w:cs="Calibri"/>
          <w:lang w:eastAsia="en-AU"/>
        </w:rPr>
      </w:pPr>
      <w:r w:rsidRPr="00821737">
        <w:rPr>
          <w:rFonts w:cs="Calibri"/>
          <w:vertAlign w:val="superscript"/>
          <w:lang w:eastAsia="en-AU"/>
        </w:rPr>
        <w:endnoteRef/>
      </w:r>
      <w:r w:rsidRPr="00821737">
        <w:rPr>
          <w:rFonts w:cs="Calibri"/>
          <w:vertAlign w:val="superscript"/>
          <w:lang w:eastAsia="en-AU"/>
        </w:rPr>
        <w:t xml:space="preserve"> </w:t>
      </w:r>
      <w:r w:rsidRPr="00821737">
        <w:rPr>
          <w:rFonts w:cs="AdvTTea8379c5.B"/>
        </w:rPr>
        <w:t>House</w:t>
      </w:r>
      <w:r w:rsidRPr="00821737">
        <w:rPr>
          <w:rFonts w:cs="Calibri"/>
          <w:lang w:eastAsia="en-AU"/>
        </w:rPr>
        <w:t xml:space="preserve"> of Commons Health Committee (2012). Report of the Third Session 2012-13: Government Alcohol Strategy Volume 1: Report together with formal minutes and oral and written evidence. House of Commons, England, London. Retrieved from: </w:t>
      </w:r>
      <w:hyperlink r:id="rId21" w:history="1"/>
      <w:hyperlink r:id="rId22" w:history="1">
        <w:r w:rsidRPr="00821737">
          <w:rPr>
            <w:rStyle w:val="Hyperlink"/>
          </w:rPr>
          <w:t>http://www.publications.parliament.uk/pa/cm201213/cmselect/cmhealth/132/132.pdf</w:t>
        </w:r>
      </w:hyperlink>
      <w:r w:rsidRPr="00821737">
        <w:rPr>
          <w:rFonts w:cs="Calibri"/>
          <w:lang w:eastAsia="en-AU"/>
        </w:rPr>
        <w:t xml:space="preserve">   </w:t>
      </w:r>
    </w:p>
  </w:endnote>
  <w:endnote w:id="69">
    <w:p w14:paraId="36B93D40" w14:textId="77777777" w:rsidR="00E50AB6" w:rsidRPr="00821737" w:rsidRDefault="00E50AB6" w:rsidP="003F02B9">
      <w:pPr>
        <w:spacing w:after="60"/>
        <w:ind w:left="170" w:hanging="170"/>
        <w:mirrorIndents/>
      </w:pPr>
      <w:r w:rsidRPr="00821737">
        <w:rPr>
          <w:rStyle w:val="EndnoteReference"/>
        </w:rPr>
        <w:endnoteRef/>
      </w:r>
      <w:r w:rsidRPr="00821737">
        <w:t xml:space="preserve"> </w:t>
      </w:r>
      <w:r w:rsidRPr="00821737">
        <w:rPr>
          <w:rFonts w:cs="AdvTTea8379c5.B"/>
        </w:rPr>
        <w:t>Jones</w:t>
      </w:r>
      <w:r w:rsidRPr="00821737">
        <w:t xml:space="preserve">, S. et al. (2005). </w:t>
      </w:r>
      <w:r w:rsidRPr="00821737">
        <w:rPr>
          <w:i/>
        </w:rPr>
        <w:t>Using market segmentation theory to select target markets for sun protection campaigns</w:t>
      </w:r>
      <w:r w:rsidRPr="00821737">
        <w:t>. University of Wollongong.</w:t>
      </w:r>
    </w:p>
  </w:endnote>
  <w:endnote w:id="70">
    <w:p w14:paraId="19BCF9EB" w14:textId="77777777" w:rsidR="00E50AB6" w:rsidRPr="00821737" w:rsidRDefault="00E50AB6" w:rsidP="00FE2CE2">
      <w:pPr>
        <w:pStyle w:val="EndnoteText"/>
        <w:spacing w:after="60"/>
        <w:rPr>
          <w:rFonts w:asciiTheme="minorHAnsi" w:hAnsiTheme="minorHAnsi"/>
          <w:sz w:val="22"/>
          <w:szCs w:val="22"/>
        </w:rPr>
      </w:pPr>
      <w:r w:rsidRPr="00821737">
        <w:rPr>
          <w:rFonts w:asciiTheme="minorHAnsi" w:hAnsiTheme="minorHAnsi" w:cs="Arial"/>
          <w:sz w:val="22"/>
          <w:szCs w:val="22"/>
          <w:vertAlign w:val="superscript"/>
        </w:rPr>
        <w:endnoteRef/>
      </w:r>
      <w:r w:rsidRPr="00821737">
        <w:rPr>
          <w:rFonts w:asciiTheme="minorHAnsi" w:hAnsiTheme="minorHAnsi" w:cs="Arial"/>
          <w:sz w:val="22"/>
          <w:szCs w:val="22"/>
          <w:vertAlign w:val="superscript"/>
        </w:rPr>
        <w:t xml:space="preserve"> </w:t>
      </w:r>
      <w:r w:rsidRPr="00821737">
        <w:rPr>
          <w:rFonts w:asciiTheme="minorHAnsi" w:hAnsiTheme="minorHAnsi" w:cs="Arial"/>
          <w:sz w:val="22"/>
          <w:szCs w:val="22"/>
        </w:rPr>
        <w:t xml:space="preserve">O’Brien, K., </w:t>
      </w:r>
      <w:r w:rsidRPr="00821737">
        <w:rPr>
          <w:rFonts w:asciiTheme="minorHAnsi" w:hAnsiTheme="minorHAnsi" w:cs="Arial"/>
          <w:i/>
          <w:sz w:val="22"/>
          <w:szCs w:val="22"/>
        </w:rPr>
        <w:t>et al.</w:t>
      </w:r>
      <w:r w:rsidRPr="00821737">
        <w:rPr>
          <w:rFonts w:asciiTheme="minorHAnsi" w:hAnsiTheme="minorHAnsi" w:cs="Arial"/>
          <w:sz w:val="22"/>
          <w:szCs w:val="22"/>
        </w:rPr>
        <w:t xml:space="preserve"> (2011). Alcohol industry and non-alcohol industry sponsorship of sportspeople and drinking. </w:t>
      </w:r>
      <w:r w:rsidRPr="00821737">
        <w:rPr>
          <w:rFonts w:asciiTheme="minorHAnsi" w:hAnsiTheme="minorHAnsi" w:cs="Arial"/>
          <w:i/>
          <w:sz w:val="22"/>
          <w:szCs w:val="22"/>
        </w:rPr>
        <w:t>Alcohol and Alcoholism.</w:t>
      </w:r>
      <w:r w:rsidRPr="00821737">
        <w:rPr>
          <w:rFonts w:asciiTheme="minorHAnsi" w:hAnsiTheme="minorHAnsi" w:cs="Arial"/>
          <w:sz w:val="22"/>
          <w:szCs w:val="22"/>
        </w:rPr>
        <w:t xml:space="preserve"> 46 (2): 210-213.</w:t>
      </w:r>
    </w:p>
  </w:endnote>
  <w:endnote w:id="71">
    <w:p w14:paraId="01CC6B77" w14:textId="77777777" w:rsidR="00E50AB6" w:rsidRPr="00821737" w:rsidRDefault="00E50AB6" w:rsidP="00FE2CE2">
      <w:pPr>
        <w:pStyle w:val="EndnoteText"/>
        <w:spacing w:after="60"/>
        <w:rPr>
          <w:rFonts w:asciiTheme="minorHAnsi" w:hAnsiTheme="minorHAnsi"/>
          <w:sz w:val="22"/>
          <w:szCs w:val="22"/>
        </w:rPr>
      </w:pPr>
      <w:r w:rsidRPr="00821737">
        <w:rPr>
          <w:rFonts w:asciiTheme="minorHAnsi" w:hAnsiTheme="minorHAnsi" w:cs="Arial"/>
          <w:sz w:val="22"/>
          <w:szCs w:val="22"/>
          <w:vertAlign w:val="superscript"/>
        </w:rPr>
        <w:endnoteRef/>
      </w:r>
      <w:r w:rsidRPr="00821737">
        <w:rPr>
          <w:rFonts w:asciiTheme="minorHAnsi" w:hAnsiTheme="minorHAnsi" w:cs="Arial"/>
          <w:sz w:val="22"/>
          <w:szCs w:val="22"/>
          <w:vertAlign w:val="superscript"/>
        </w:rPr>
        <w:t xml:space="preserve"> </w:t>
      </w:r>
      <w:r w:rsidRPr="00821737">
        <w:rPr>
          <w:rFonts w:asciiTheme="minorHAnsi" w:hAnsiTheme="minorHAnsi" w:cs="Arial"/>
          <w:sz w:val="22"/>
          <w:szCs w:val="22"/>
        </w:rPr>
        <w:t xml:space="preserve">de Bruijn, A., </w:t>
      </w:r>
      <w:r w:rsidRPr="00821737">
        <w:rPr>
          <w:rFonts w:asciiTheme="minorHAnsi" w:hAnsiTheme="minorHAnsi" w:cs="Arial"/>
          <w:i/>
          <w:sz w:val="22"/>
          <w:szCs w:val="22"/>
        </w:rPr>
        <w:t>et al.</w:t>
      </w:r>
      <w:r w:rsidRPr="00821737">
        <w:rPr>
          <w:rFonts w:asciiTheme="minorHAnsi" w:hAnsiTheme="minorHAnsi" w:cs="Arial"/>
          <w:sz w:val="22"/>
          <w:szCs w:val="22"/>
        </w:rPr>
        <w:t xml:space="preserve"> (2012). </w:t>
      </w:r>
      <w:r w:rsidRPr="00821737">
        <w:rPr>
          <w:rFonts w:asciiTheme="minorHAnsi" w:hAnsiTheme="minorHAnsi" w:cs="Arial"/>
          <w:i/>
          <w:sz w:val="22"/>
          <w:szCs w:val="22"/>
        </w:rPr>
        <w:t>Report on the impact of European alcohol marketing exposure on youth alcohol expectancies and youth drinking.</w:t>
      </w:r>
      <w:r w:rsidRPr="00821737">
        <w:rPr>
          <w:rFonts w:asciiTheme="minorHAnsi" w:hAnsiTheme="minorHAnsi" w:cs="Arial"/>
          <w:sz w:val="22"/>
          <w:szCs w:val="22"/>
        </w:rPr>
        <w:t xml:space="preserve"> Alcohol Measures for Public Health Research Alliance (AMPHORA).</w:t>
      </w:r>
    </w:p>
  </w:endnote>
  <w:endnote w:id="72">
    <w:p w14:paraId="1A436576" w14:textId="77777777" w:rsidR="00E50AB6" w:rsidRPr="00821737" w:rsidRDefault="00E50AB6" w:rsidP="00FE2CE2">
      <w:pPr>
        <w:pStyle w:val="EndnoteText"/>
        <w:spacing w:after="60"/>
        <w:rPr>
          <w:rFonts w:asciiTheme="minorHAnsi" w:hAnsiTheme="minorHAnsi"/>
          <w:sz w:val="22"/>
          <w:szCs w:val="22"/>
          <w:lang w:val="en-US"/>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w:t>
      </w:r>
      <w:r w:rsidRPr="00821737">
        <w:rPr>
          <w:rFonts w:asciiTheme="minorHAnsi" w:hAnsiTheme="minorHAnsi" w:cs="Arial"/>
          <w:sz w:val="22"/>
          <w:szCs w:val="22"/>
        </w:rPr>
        <w:t xml:space="preserve">Pettigrew, S., </w:t>
      </w:r>
      <w:r w:rsidRPr="00821737">
        <w:rPr>
          <w:rFonts w:asciiTheme="minorHAnsi" w:hAnsiTheme="minorHAnsi" w:cs="Arial"/>
          <w:i/>
          <w:sz w:val="22"/>
          <w:szCs w:val="22"/>
        </w:rPr>
        <w:t>et al.</w:t>
      </w:r>
      <w:r w:rsidRPr="00821737">
        <w:rPr>
          <w:rFonts w:asciiTheme="minorHAnsi" w:hAnsiTheme="minorHAnsi" w:cs="Arial"/>
          <w:sz w:val="22"/>
          <w:szCs w:val="22"/>
        </w:rPr>
        <w:t xml:space="preserve"> (2013). Game on: do children absorb sports sponsorship messages? </w:t>
      </w:r>
      <w:r w:rsidRPr="00821737">
        <w:rPr>
          <w:rFonts w:asciiTheme="minorHAnsi" w:hAnsiTheme="minorHAnsi" w:cs="Arial"/>
          <w:i/>
          <w:sz w:val="22"/>
          <w:szCs w:val="22"/>
        </w:rPr>
        <w:t>Public Health Nutrition</w:t>
      </w:r>
      <w:r w:rsidRPr="00821737">
        <w:rPr>
          <w:rFonts w:asciiTheme="minorHAnsi" w:hAnsiTheme="minorHAnsi" w:cs="Arial"/>
          <w:sz w:val="22"/>
          <w:szCs w:val="22"/>
        </w:rPr>
        <w:t xml:space="preserve"> (1):1-8. </w:t>
      </w:r>
    </w:p>
  </w:endnote>
  <w:endnote w:id="73">
    <w:p w14:paraId="2698204F" w14:textId="77777777" w:rsidR="00E50AB6" w:rsidRPr="00821737" w:rsidRDefault="00E50AB6" w:rsidP="00FE2CE2">
      <w:pPr>
        <w:pStyle w:val="EndnoteText"/>
        <w:rPr>
          <w:sz w:val="22"/>
          <w:szCs w:val="22"/>
        </w:rPr>
      </w:pPr>
      <w:r w:rsidRPr="00821737">
        <w:rPr>
          <w:rStyle w:val="EndnoteReference"/>
          <w:sz w:val="22"/>
          <w:szCs w:val="22"/>
        </w:rPr>
        <w:endnoteRef/>
      </w:r>
      <w:r w:rsidRPr="00821737">
        <w:rPr>
          <w:sz w:val="22"/>
          <w:szCs w:val="22"/>
        </w:rPr>
        <w:t xml:space="preserve"> VicHealth, (2010). </w:t>
      </w:r>
      <w:r w:rsidRPr="00821737">
        <w:rPr>
          <w:i/>
          <w:sz w:val="22"/>
          <w:szCs w:val="22"/>
        </w:rPr>
        <w:t>Community Attitudes Survey: Healthy community sporting environments</w:t>
      </w:r>
      <w:r w:rsidRPr="00821737">
        <w:rPr>
          <w:sz w:val="22"/>
          <w:szCs w:val="22"/>
        </w:rPr>
        <w:t>. Victorian Health Promotion Foundation: Melbourne.</w:t>
      </w:r>
    </w:p>
  </w:endnote>
  <w:endnote w:id="74">
    <w:p w14:paraId="351C4945" w14:textId="77777777" w:rsidR="00E50AB6" w:rsidRPr="00821737" w:rsidRDefault="00E50AB6" w:rsidP="00FE2CE2">
      <w:pPr>
        <w:pStyle w:val="EndnoteText"/>
        <w:rPr>
          <w:sz w:val="22"/>
          <w:szCs w:val="22"/>
        </w:rPr>
      </w:pPr>
      <w:r w:rsidRPr="00821737">
        <w:rPr>
          <w:rStyle w:val="EndnoteReference"/>
          <w:sz w:val="22"/>
          <w:szCs w:val="22"/>
        </w:rPr>
        <w:endnoteRef/>
      </w:r>
      <w:r w:rsidRPr="00821737">
        <w:rPr>
          <w:sz w:val="22"/>
          <w:szCs w:val="22"/>
        </w:rPr>
        <w:t xml:space="preserve"> Australian Medical Association (2012). </w:t>
      </w:r>
      <w:r w:rsidRPr="00821737">
        <w:rPr>
          <w:i/>
          <w:sz w:val="22"/>
          <w:szCs w:val="22"/>
        </w:rPr>
        <w:t xml:space="preserve">Alcohol Marketing and Young People: Time for a new policy agenda. </w:t>
      </w:r>
      <w:r w:rsidRPr="00821737">
        <w:rPr>
          <w:sz w:val="22"/>
          <w:szCs w:val="22"/>
        </w:rPr>
        <w:t>Canberra: AMA</w:t>
      </w:r>
    </w:p>
  </w:endnote>
  <w:endnote w:id="75">
    <w:p w14:paraId="1933BC5A" w14:textId="77777777" w:rsidR="00E50AB6" w:rsidRPr="007631FB" w:rsidRDefault="00E50AB6" w:rsidP="00FE2CE2">
      <w:pPr>
        <w:pStyle w:val="EndnoteText"/>
        <w:spacing w:after="60"/>
        <w:rPr>
          <w:rFonts w:asciiTheme="minorHAnsi" w:hAnsiTheme="minorHAnsi"/>
          <w:sz w:val="22"/>
          <w:szCs w:val="22"/>
        </w:rPr>
      </w:pPr>
      <w:r w:rsidRPr="00821737">
        <w:rPr>
          <w:rStyle w:val="EndnoteReference"/>
          <w:rFonts w:asciiTheme="minorHAnsi" w:hAnsiTheme="minorHAnsi"/>
          <w:sz w:val="22"/>
          <w:szCs w:val="22"/>
        </w:rPr>
        <w:endnoteRef/>
      </w:r>
      <w:r w:rsidRPr="00821737">
        <w:rPr>
          <w:rFonts w:asciiTheme="minorHAnsi" w:hAnsiTheme="minorHAnsi"/>
          <w:sz w:val="22"/>
          <w:szCs w:val="22"/>
        </w:rPr>
        <w:t xml:space="preserve"> Australian Sponsorship. (2016). </w:t>
      </w:r>
      <w:r w:rsidRPr="00821737">
        <w:rPr>
          <w:rFonts w:asciiTheme="minorHAnsi" w:hAnsiTheme="minorHAnsi"/>
          <w:i/>
          <w:sz w:val="22"/>
          <w:szCs w:val="22"/>
        </w:rPr>
        <w:t xml:space="preserve">National Rugby League (NRL). </w:t>
      </w:r>
      <w:r w:rsidRPr="00821737">
        <w:rPr>
          <w:rFonts w:asciiTheme="minorHAnsi" w:hAnsiTheme="minorHAnsi"/>
          <w:sz w:val="22"/>
          <w:szCs w:val="22"/>
        </w:rPr>
        <w:t xml:space="preserve">Retrieved from: </w:t>
      </w:r>
      <w:hyperlink r:id="rId23" w:history="1">
        <w:r w:rsidRPr="00821737">
          <w:rPr>
            <w:rStyle w:val="Hyperlink"/>
            <w:rFonts w:asciiTheme="minorHAnsi" w:hAnsiTheme="minorHAnsi"/>
            <w:sz w:val="22"/>
            <w:szCs w:val="22"/>
          </w:rPr>
          <w:t>www.sponsorshipnews.com.au</w:t>
        </w:r>
      </w:hyperlink>
      <w:r w:rsidRPr="007631FB">
        <w:rPr>
          <w:rFonts w:asciiTheme="minorHAnsi" w:hAnsiTheme="minorHAnsi"/>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etica-Obliqu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ewBaskerville-Roman">
    <w:panose1 w:val="00000000000000000000"/>
    <w:charset w:val="00"/>
    <w:family w:val="roman"/>
    <w:notTrueType/>
    <w:pitch w:val="default"/>
    <w:sig w:usb0="00000003" w:usb1="00000000" w:usb2="00000000" w:usb3="00000000" w:csb0="00000001" w:csb1="00000000"/>
  </w:font>
  <w:font w:name="AdvPECFD32">
    <w:panose1 w:val="00000000000000000000"/>
    <w:charset w:val="00"/>
    <w:family w:val="swiss"/>
    <w:notTrueType/>
    <w:pitch w:val="default"/>
    <w:sig w:usb0="00000003" w:usb1="00000000" w:usb2="00000000" w:usb3="00000000" w:csb0="00000001" w:csb1="00000000"/>
  </w:font>
  <w:font w:name="AdvPECFD34">
    <w:panose1 w:val="00000000000000000000"/>
    <w:charset w:val="00"/>
    <w:family w:val="swiss"/>
    <w:notTrueType/>
    <w:pitch w:val="default"/>
    <w:sig w:usb0="00000003" w:usb1="00000000" w:usb2="00000000" w:usb3="00000000" w:csb0="00000001" w:csb1="00000000"/>
  </w:font>
  <w:font w:name="AdvPECFD33">
    <w:panose1 w:val="00000000000000000000"/>
    <w:charset w:val="00"/>
    <w:family w:val="swiss"/>
    <w:notTrueType/>
    <w:pitch w:val="default"/>
    <w:sig w:usb0="00000003" w:usb1="00000000" w:usb2="00000000" w:usb3="00000000" w:csb0="00000001" w:csb1="00000000"/>
  </w:font>
  <w:font w:name="AdvTTea8379c5.B">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A2AFA" w14:textId="4D33F3A3" w:rsidR="00E50AB6" w:rsidRDefault="00E50AB6" w:rsidP="00E50AB6">
    <w:pPr>
      <w:pStyle w:val="Footer"/>
    </w:pPr>
    <w:r>
      <w:t>FARE 2019 Commonwealth pre-budget submission</w:t>
    </w:r>
    <w:r>
      <w:tab/>
    </w:r>
    <w:sdt>
      <w:sdtPr>
        <w:id w:val="-13648237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55438">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4C8D3" w14:textId="77777777" w:rsidR="00E50AB6" w:rsidRDefault="00E50AB6" w:rsidP="00FE2CE2">
      <w:pPr>
        <w:spacing w:after="0" w:line="240" w:lineRule="auto"/>
      </w:pPr>
      <w:r>
        <w:separator/>
      </w:r>
    </w:p>
  </w:footnote>
  <w:footnote w:type="continuationSeparator" w:id="0">
    <w:p w14:paraId="0B271033" w14:textId="77777777" w:rsidR="00E50AB6" w:rsidRDefault="00E50AB6" w:rsidP="00FE2CE2">
      <w:pPr>
        <w:spacing w:after="0" w:line="240" w:lineRule="auto"/>
      </w:pPr>
      <w:r>
        <w:continuationSeparator/>
      </w:r>
    </w:p>
  </w:footnote>
  <w:footnote w:id="1">
    <w:p w14:paraId="1443EF9F" w14:textId="77777777" w:rsidR="00E50AB6" w:rsidRPr="00557624" w:rsidRDefault="00E50AB6" w:rsidP="00FE2CE2">
      <w:pPr>
        <w:spacing w:after="0"/>
        <w:ind w:left="85" w:hanging="85"/>
        <w:rPr>
          <w:sz w:val="18"/>
          <w:szCs w:val="18"/>
        </w:rPr>
      </w:pPr>
      <w:r w:rsidRPr="00557624">
        <w:rPr>
          <w:rStyle w:val="FootnoteReference"/>
          <w:sz w:val="18"/>
          <w:szCs w:val="18"/>
        </w:rPr>
        <w:footnoteRef/>
      </w:r>
      <w:r w:rsidRPr="00557624">
        <w:rPr>
          <w:sz w:val="18"/>
          <w:szCs w:val="18"/>
        </w:rPr>
        <w:t xml:space="preserve"> Low-strength beer was first given a lowered tax rate in 1984 to encourage consumers to switch to less harmful products. Further changes in 1988 meant beer was taxed in the same way as spirits, on the basis of volume of alcohol. This resulted in beer being taxed significantly less than spirits for the first time.</w:t>
      </w:r>
    </w:p>
  </w:footnote>
  <w:footnote w:id="2">
    <w:p w14:paraId="0D4C6D6C" w14:textId="77777777" w:rsidR="00E50AB6" w:rsidRPr="00BE0BFE" w:rsidRDefault="00E50AB6" w:rsidP="00FE2CE2">
      <w:pPr>
        <w:pStyle w:val="FootnoteText"/>
        <w:rPr>
          <w:sz w:val="22"/>
          <w:szCs w:val="22"/>
        </w:rPr>
      </w:pPr>
      <w:r w:rsidRPr="00BE0BFE">
        <w:rPr>
          <w:rStyle w:val="FootnoteReference"/>
          <w:sz w:val="22"/>
          <w:szCs w:val="22"/>
        </w:rPr>
        <w:footnoteRef/>
      </w:r>
      <w:r w:rsidRPr="00BE0BFE">
        <w:rPr>
          <w:sz w:val="22"/>
          <w:szCs w:val="22"/>
        </w:rPr>
        <w:t xml:space="preserve"> </w:t>
      </w:r>
      <w:r w:rsidRPr="00AC36A8">
        <w:rPr>
          <w:sz w:val="18"/>
          <w:szCs w:val="18"/>
        </w:rPr>
        <w:t>The Affordability Index represents the Wage Price Index (ABS Cat. No. 6345.0) divided by the Consumer Price Indexes specific to alcohol product classes (ABS Cat No. 6401.0). Each series is indexed to June 2000.</w:t>
      </w:r>
    </w:p>
  </w:footnote>
  <w:footnote w:id="3">
    <w:p w14:paraId="480E86B9" w14:textId="44E569E4" w:rsidR="00E50AB6" w:rsidRDefault="00E50AB6" w:rsidP="00FE2CE2">
      <w:pPr>
        <w:spacing w:after="0"/>
        <w:ind w:left="85" w:hanging="85"/>
        <w:rPr>
          <w:szCs w:val="18"/>
        </w:rPr>
      </w:pPr>
      <w:r w:rsidRPr="006017CD">
        <w:rPr>
          <w:vertAlign w:val="superscript"/>
        </w:rPr>
        <w:footnoteRef/>
      </w:r>
      <w:r>
        <w:rPr>
          <w:szCs w:val="18"/>
        </w:rPr>
        <w:t xml:space="preserve"> </w:t>
      </w:r>
      <w:r w:rsidRPr="00065CCD">
        <w:rPr>
          <w:sz w:val="18"/>
          <w:szCs w:val="18"/>
        </w:rPr>
        <w:t>The WET Rebate entitles wine producers to a rebate on producer’s assessable deals, up to a maximum of $</w:t>
      </w:r>
      <w:r>
        <w:rPr>
          <w:sz w:val="18"/>
          <w:szCs w:val="18"/>
        </w:rPr>
        <w:t>350</w:t>
      </w:r>
      <w:r w:rsidRPr="00065CCD">
        <w:rPr>
          <w:sz w:val="18"/>
          <w:szCs w:val="18"/>
        </w:rPr>
        <w:t>,000 each financial year. The WET Rebate applies to all products subject to the WET. In 2005, the WET Rebate was extended to New Zealand wine producers to satisfy bilateral trade agreements.</w:t>
      </w:r>
    </w:p>
  </w:footnote>
  <w:footnote w:id="4">
    <w:p w14:paraId="705353C7" w14:textId="77777777" w:rsidR="00E50AB6" w:rsidRPr="008F56A6" w:rsidRDefault="00E50AB6" w:rsidP="00FE2CE2">
      <w:pPr>
        <w:spacing w:after="0"/>
        <w:rPr>
          <w:sz w:val="18"/>
          <w:szCs w:val="18"/>
        </w:rPr>
      </w:pPr>
      <w:r>
        <w:rPr>
          <w:rStyle w:val="FootnoteReference"/>
          <w:szCs w:val="18"/>
        </w:rPr>
        <w:footnoteRef/>
      </w:r>
      <w:r>
        <w:rPr>
          <w:szCs w:val="18"/>
        </w:rPr>
        <w:t xml:space="preserve"> </w:t>
      </w:r>
      <w:r w:rsidRPr="008F56A6">
        <w:rPr>
          <w:sz w:val="18"/>
          <w:szCs w:val="18"/>
        </w:rPr>
        <w:t>Reviews that have supported implementation of a volumetric tax on wine:</w:t>
      </w:r>
    </w:p>
    <w:p w14:paraId="47C1DAB3" w14:textId="77777777" w:rsidR="00E50AB6" w:rsidRDefault="00E50AB6" w:rsidP="00FE2CE2">
      <w:pPr>
        <w:numPr>
          <w:ilvl w:val="0"/>
          <w:numId w:val="1"/>
        </w:numPr>
        <w:spacing w:after="0" w:line="240" w:lineRule="auto"/>
        <w:ind w:left="284" w:hanging="284"/>
        <w:rPr>
          <w:sz w:val="18"/>
          <w:szCs w:val="18"/>
        </w:rPr>
      </w:pPr>
      <w:r>
        <w:rPr>
          <w:sz w:val="18"/>
          <w:szCs w:val="18"/>
        </w:rPr>
        <w:t>the 1995 Committee of inquiry into the wine grape and wine industry</w:t>
      </w:r>
    </w:p>
    <w:p w14:paraId="72EFE3F5" w14:textId="77777777" w:rsidR="00E50AB6" w:rsidRDefault="00E50AB6" w:rsidP="00FE2CE2">
      <w:pPr>
        <w:numPr>
          <w:ilvl w:val="0"/>
          <w:numId w:val="1"/>
        </w:numPr>
        <w:spacing w:after="0" w:line="240" w:lineRule="auto"/>
        <w:ind w:left="284" w:hanging="284"/>
        <w:rPr>
          <w:sz w:val="18"/>
          <w:szCs w:val="18"/>
        </w:rPr>
      </w:pPr>
      <w:r>
        <w:rPr>
          <w:sz w:val="18"/>
          <w:szCs w:val="18"/>
        </w:rPr>
        <w:t>the 2003 House of Representatives Standing Committee on Family and Community Affairs inquiry into substance abuse</w:t>
      </w:r>
    </w:p>
    <w:p w14:paraId="78093386" w14:textId="77777777" w:rsidR="00E50AB6" w:rsidRDefault="00E50AB6" w:rsidP="00FE2CE2">
      <w:pPr>
        <w:numPr>
          <w:ilvl w:val="0"/>
          <w:numId w:val="1"/>
        </w:numPr>
        <w:spacing w:after="0" w:line="240" w:lineRule="auto"/>
        <w:ind w:left="284" w:hanging="284"/>
        <w:rPr>
          <w:sz w:val="18"/>
          <w:szCs w:val="18"/>
        </w:rPr>
      </w:pPr>
      <w:r>
        <w:rPr>
          <w:sz w:val="18"/>
          <w:szCs w:val="18"/>
        </w:rPr>
        <w:t>the 2006 Victorian inquiry into strategies to reduce harmful alcohol consumption</w:t>
      </w:r>
    </w:p>
    <w:p w14:paraId="140A8FE5" w14:textId="77777777" w:rsidR="00E50AB6" w:rsidRDefault="00E50AB6" w:rsidP="00FE2CE2">
      <w:pPr>
        <w:numPr>
          <w:ilvl w:val="0"/>
          <w:numId w:val="1"/>
        </w:numPr>
        <w:spacing w:after="0" w:line="240" w:lineRule="auto"/>
        <w:ind w:left="284" w:hanging="284"/>
        <w:rPr>
          <w:sz w:val="18"/>
          <w:szCs w:val="18"/>
        </w:rPr>
      </w:pPr>
      <w:r>
        <w:rPr>
          <w:sz w:val="18"/>
          <w:szCs w:val="18"/>
        </w:rPr>
        <w:t xml:space="preserve">the 2009 National Preventative Health Taskforce report on </w:t>
      </w:r>
      <w:r>
        <w:rPr>
          <w:i/>
          <w:iCs/>
          <w:sz w:val="18"/>
          <w:szCs w:val="18"/>
        </w:rPr>
        <w:t>Preventing alcohol related harms</w:t>
      </w:r>
    </w:p>
    <w:p w14:paraId="743F138A" w14:textId="77777777" w:rsidR="00E50AB6" w:rsidRDefault="00E50AB6" w:rsidP="00FE2CE2">
      <w:pPr>
        <w:numPr>
          <w:ilvl w:val="0"/>
          <w:numId w:val="1"/>
        </w:numPr>
        <w:spacing w:after="0" w:line="240" w:lineRule="auto"/>
        <w:ind w:left="284" w:hanging="284"/>
        <w:rPr>
          <w:sz w:val="18"/>
          <w:szCs w:val="18"/>
        </w:rPr>
      </w:pPr>
      <w:r>
        <w:rPr>
          <w:sz w:val="18"/>
          <w:szCs w:val="18"/>
        </w:rPr>
        <w:t>the 2010 Australia's future tax system (Henry Review)</w:t>
      </w:r>
    </w:p>
    <w:p w14:paraId="32DD7CAF" w14:textId="77777777" w:rsidR="00E50AB6" w:rsidRDefault="00E50AB6" w:rsidP="00FE2CE2">
      <w:pPr>
        <w:numPr>
          <w:ilvl w:val="0"/>
          <w:numId w:val="1"/>
        </w:numPr>
        <w:spacing w:after="0" w:line="240" w:lineRule="auto"/>
        <w:ind w:left="284" w:hanging="284"/>
        <w:rPr>
          <w:sz w:val="18"/>
          <w:szCs w:val="18"/>
        </w:rPr>
      </w:pPr>
      <w:r>
        <w:rPr>
          <w:sz w:val="18"/>
          <w:szCs w:val="18"/>
        </w:rPr>
        <w:t>the 2010 Victorian inquiry into strategies to reduce assaults in public places</w:t>
      </w:r>
    </w:p>
    <w:p w14:paraId="7605209C" w14:textId="77777777" w:rsidR="00E50AB6" w:rsidRDefault="00E50AB6" w:rsidP="00FE2CE2">
      <w:pPr>
        <w:numPr>
          <w:ilvl w:val="0"/>
          <w:numId w:val="1"/>
        </w:numPr>
        <w:spacing w:after="0" w:line="240" w:lineRule="auto"/>
        <w:ind w:left="284" w:hanging="284"/>
        <w:rPr>
          <w:sz w:val="18"/>
          <w:szCs w:val="18"/>
        </w:rPr>
      </w:pPr>
      <w:r>
        <w:rPr>
          <w:sz w:val="18"/>
          <w:szCs w:val="18"/>
        </w:rPr>
        <w:t xml:space="preserve">the 2011 Western Australia </w:t>
      </w:r>
      <w:r w:rsidRPr="004026AD">
        <w:rPr>
          <w:i/>
          <w:sz w:val="18"/>
          <w:szCs w:val="18"/>
        </w:rPr>
        <w:t>Education and Health Standing Committee inquiry into alcohol</w:t>
      </w:r>
    </w:p>
    <w:p w14:paraId="3DC0F51C" w14:textId="77777777" w:rsidR="00E50AB6" w:rsidRDefault="00E50AB6" w:rsidP="00FE2CE2">
      <w:pPr>
        <w:numPr>
          <w:ilvl w:val="0"/>
          <w:numId w:val="1"/>
        </w:numPr>
        <w:spacing w:after="0" w:line="240" w:lineRule="auto"/>
        <w:ind w:left="284" w:hanging="284"/>
        <w:rPr>
          <w:sz w:val="18"/>
          <w:szCs w:val="18"/>
        </w:rPr>
      </w:pPr>
      <w:r>
        <w:rPr>
          <w:sz w:val="18"/>
          <w:szCs w:val="18"/>
        </w:rPr>
        <w:t xml:space="preserve">the 2012 Australian National Preventive Health Agency </w:t>
      </w:r>
      <w:r>
        <w:rPr>
          <w:i/>
          <w:iCs/>
          <w:sz w:val="18"/>
          <w:szCs w:val="18"/>
        </w:rPr>
        <w:t>Exploring the public interest case for a minimum (floor) price for alcohol, draft report</w:t>
      </w:r>
    </w:p>
    <w:p w14:paraId="2E881781" w14:textId="77777777" w:rsidR="00E50AB6" w:rsidRDefault="00E50AB6" w:rsidP="00FE2CE2">
      <w:pPr>
        <w:pStyle w:val="FootnoteText"/>
        <w:numPr>
          <w:ilvl w:val="0"/>
          <w:numId w:val="1"/>
        </w:numPr>
        <w:ind w:left="284" w:hanging="284"/>
        <w:rPr>
          <w:sz w:val="18"/>
          <w:szCs w:val="18"/>
        </w:rPr>
      </w:pPr>
      <w:r>
        <w:rPr>
          <w:sz w:val="18"/>
          <w:szCs w:val="18"/>
        </w:rPr>
        <w:t xml:space="preserve">the 2012 Australian National Preventive Health Agency </w:t>
      </w:r>
      <w:r>
        <w:rPr>
          <w:i/>
          <w:iCs/>
          <w:sz w:val="18"/>
          <w:szCs w:val="18"/>
        </w:rPr>
        <w:t>Exploring the public interest case for a minimum (floor) price for alcohol, final report</w:t>
      </w:r>
    </w:p>
    <w:p w14:paraId="35FA6BA8" w14:textId="77777777" w:rsidR="00E50AB6" w:rsidRDefault="00E50AB6" w:rsidP="00FE2CE2">
      <w:pPr>
        <w:pStyle w:val="FootnoteText"/>
        <w:numPr>
          <w:ilvl w:val="0"/>
          <w:numId w:val="1"/>
        </w:numPr>
        <w:ind w:left="284" w:hanging="284"/>
        <w:rPr>
          <w:sz w:val="18"/>
          <w:szCs w:val="18"/>
        </w:rPr>
      </w:pPr>
      <w:r>
        <w:rPr>
          <w:sz w:val="18"/>
          <w:szCs w:val="18"/>
        </w:rPr>
        <w:t xml:space="preserve">the 2014 House of Representatives report on the </w:t>
      </w:r>
      <w:r>
        <w:rPr>
          <w:i/>
          <w:sz w:val="18"/>
          <w:szCs w:val="18"/>
        </w:rPr>
        <w:t>Inquiry into the harmful use of alcohol in Aboriginal and Torres Strait Islander communities</w:t>
      </w:r>
    </w:p>
    <w:p w14:paraId="6300E3EC" w14:textId="77777777" w:rsidR="00E50AB6" w:rsidRDefault="00E50AB6" w:rsidP="00FE2CE2">
      <w:pPr>
        <w:pStyle w:val="FootnoteText"/>
        <w:numPr>
          <w:ilvl w:val="0"/>
          <w:numId w:val="1"/>
        </w:numPr>
        <w:ind w:left="284" w:hanging="284"/>
        <w:rPr>
          <w:sz w:val="18"/>
          <w:szCs w:val="18"/>
        </w:rPr>
      </w:pPr>
      <w:r>
        <w:rPr>
          <w:sz w:val="18"/>
          <w:szCs w:val="18"/>
        </w:rPr>
        <w:t>the 2017 Interim Report on the Effect of red tape  on the sale, supply and taxation of alcohol</w:t>
      </w:r>
    </w:p>
    <w:p w14:paraId="3434B10C" w14:textId="77777777" w:rsidR="00E50AB6" w:rsidRDefault="00E50AB6" w:rsidP="00FE2CE2">
      <w:pPr>
        <w:pStyle w:val="FootnoteText"/>
        <w:numPr>
          <w:ilvl w:val="0"/>
          <w:numId w:val="1"/>
        </w:numPr>
        <w:ind w:left="284" w:hanging="284"/>
        <w:rPr>
          <w:i/>
          <w:sz w:val="18"/>
          <w:szCs w:val="18"/>
        </w:rPr>
      </w:pPr>
      <w:r>
        <w:rPr>
          <w:sz w:val="18"/>
          <w:szCs w:val="18"/>
        </w:rPr>
        <w:t xml:space="preserve">the 2017 Northern Territory </w:t>
      </w:r>
      <w:r w:rsidRPr="004026AD">
        <w:rPr>
          <w:i/>
          <w:sz w:val="18"/>
          <w:szCs w:val="18"/>
        </w:rPr>
        <w:t>Alcohol Policies and Legislation Review</w:t>
      </w:r>
      <w:r>
        <w:rPr>
          <w:i/>
          <w:sz w:val="18"/>
          <w:szCs w:val="18"/>
        </w:rPr>
        <w:t xml:space="preserve"> -</w:t>
      </w:r>
      <w:r>
        <w:rPr>
          <w:sz w:val="18"/>
          <w:szCs w:val="18"/>
        </w:rPr>
        <w:t xml:space="preserve"> </w:t>
      </w:r>
      <w:r>
        <w:rPr>
          <w:i/>
          <w:sz w:val="18"/>
          <w:szCs w:val="18"/>
        </w:rPr>
        <w:t>Final Report</w:t>
      </w:r>
    </w:p>
    <w:p w14:paraId="6478EACE" w14:textId="77777777" w:rsidR="00E50AB6" w:rsidRPr="00575C56" w:rsidRDefault="00E50AB6" w:rsidP="00FE2CE2">
      <w:pPr>
        <w:pStyle w:val="FootnoteText"/>
        <w:numPr>
          <w:ilvl w:val="0"/>
          <w:numId w:val="1"/>
        </w:numPr>
        <w:ind w:left="284" w:hanging="284"/>
        <w:rPr>
          <w:i/>
          <w:sz w:val="18"/>
          <w:szCs w:val="18"/>
        </w:rPr>
      </w:pPr>
      <w:r>
        <w:rPr>
          <w:sz w:val="18"/>
          <w:szCs w:val="18"/>
        </w:rPr>
        <w:t xml:space="preserve">the 2017 Productivity Commission </w:t>
      </w:r>
      <w:r w:rsidRPr="00575C56">
        <w:rPr>
          <w:i/>
          <w:sz w:val="18"/>
          <w:szCs w:val="18"/>
        </w:rPr>
        <w:t>Shifting the Dial: 5 year productivity review</w:t>
      </w:r>
    </w:p>
  </w:footnote>
  <w:footnote w:id="5">
    <w:p w14:paraId="0DD4CBB0" w14:textId="77777777" w:rsidR="00E50AB6" w:rsidRDefault="00E50AB6" w:rsidP="00FE2CE2">
      <w:pPr>
        <w:pStyle w:val="FootnoteText"/>
      </w:pPr>
      <w:r>
        <w:rPr>
          <w:rStyle w:val="FootnoteReference"/>
        </w:rPr>
        <w:footnoteRef/>
      </w:r>
      <w:r>
        <w:t xml:space="preserve"> </w:t>
      </w:r>
      <w:r>
        <w:rPr>
          <w:sz w:val="18"/>
          <w:szCs w:val="18"/>
        </w:rPr>
        <w:t xml:space="preserve">Holland, K., McCallum, K. &amp; Walton, A. (2016). ‘I’m not clear on what the risk is’: women’s reflexive negotiations of uncertainty about alcohol during pregnancy. </w:t>
      </w:r>
      <w:r>
        <w:rPr>
          <w:i/>
          <w:sz w:val="18"/>
          <w:szCs w:val="18"/>
        </w:rPr>
        <w:t>Health, Risk &amp; Society</w:t>
      </w:r>
      <w:r>
        <w:rPr>
          <w:sz w:val="18"/>
          <w:szCs w:val="18"/>
        </w:rPr>
        <w:t>, 18:1-2, 38-58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5C8"/>
    <w:multiLevelType w:val="hybridMultilevel"/>
    <w:tmpl w:val="9A927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4C9450C"/>
    <w:multiLevelType w:val="hybridMultilevel"/>
    <w:tmpl w:val="346EE270"/>
    <w:lvl w:ilvl="0" w:tplc="93CA56C2">
      <w:start w:val="1"/>
      <w:numFmt w:val="decimal"/>
      <w:pStyle w:val="Numberedlist"/>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36C854FE"/>
    <w:multiLevelType w:val="hybridMultilevel"/>
    <w:tmpl w:val="BB7E658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D714D4B"/>
    <w:multiLevelType w:val="multilevel"/>
    <w:tmpl w:val="A316FE50"/>
    <w:styleLink w:val="ChapterList"/>
    <w:lvl w:ilvl="0">
      <w:start w:val="1"/>
      <w:numFmt w:val="decimal"/>
      <w:pStyle w:val="ChapterHeading"/>
      <w:lvlText w:val="Chapter %1"/>
      <w:lvlJc w:val="left"/>
      <w:pPr>
        <w:tabs>
          <w:tab w:val="num" w:pos="3686"/>
        </w:tabs>
        <w:ind w:left="2552"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ED541AA"/>
    <w:multiLevelType w:val="hybridMultilevel"/>
    <w:tmpl w:val="91FC0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46AC7B52"/>
    <w:multiLevelType w:val="hybridMultilevel"/>
    <w:tmpl w:val="B40A526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9592978"/>
    <w:multiLevelType w:val="hybridMultilevel"/>
    <w:tmpl w:val="112AC85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7">
    <w:nsid w:val="5DE84BAB"/>
    <w:multiLevelType w:val="hybridMultilevel"/>
    <w:tmpl w:val="858E1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2675A6B"/>
    <w:multiLevelType w:val="hybridMultilevel"/>
    <w:tmpl w:val="E594E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5DF6494"/>
    <w:multiLevelType w:val="multilevel"/>
    <w:tmpl w:val="A316FE50"/>
    <w:numStyleLink w:val="ChapterList"/>
  </w:abstractNum>
  <w:num w:numId="1">
    <w:abstractNumId w:val="4"/>
  </w:num>
  <w:num w:numId="2">
    <w:abstractNumId w:val="7"/>
  </w:num>
  <w:num w:numId="3">
    <w:abstractNumId w:val="1"/>
  </w:num>
  <w:num w:numId="4">
    <w:abstractNumId w:val="1"/>
    <w:lvlOverride w:ilvl="0">
      <w:startOverride w:val="1"/>
    </w:lvlOverride>
  </w:num>
  <w:num w:numId="5">
    <w:abstractNumId w:val="2"/>
  </w:num>
  <w:num w:numId="6">
    <w:abstractNumId w:val="8"/>
  </w:num>
  <w:num w:numId="7">
    <w:abstractNumId w:val="0"/>
  </w:num>
  <w:num w:numId="8">
    <w:abstractNumId w:val="3"/>
  </w:num>
  <w:num w:numId="9">
    <w:abstractNumId w:val="9"/>
    <w:lvlOverride w:ilvl="0">
      <w:lvl w:ilvl="0">
        <w:start w:val="1"/>
        <w:numFmt w:val="decimal"/>
        <w:pStyle w:val="ChapterHeading"/>
        <w:lvlText w:val="Chapter %1"/>
        <w:lvlJc w:val="left"/>
        <w:pPr>
          <w:tabs>
            <w:tab w:val="num" w:pos="3686"/>
          </w:tabs>
          <w:ind w:left="2552"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CE2"/>
    <w:rsid w:val="000000DC"/>
    <w:rsid w:val="00001181"/>
    <w:rsid w:val="0000267F"/>
    <w:rsid w:val="000046DC"/>
    <w:rsid w:val="000067F8"/>
    <w:rsid w:val="00006BED"/>
    <w:rsid w:val="00010304"/>
    <w:rsid w:val="00010CF7"/>
    <w:rsid w:val="000124C0"/>
    <w:rsid w:val="00021AC9"/>
    <w:rsid w:val="0003039D"/>
    <w:rsid w:val="0003069D"/>
    <w:rsid w:val="00042030"/>
    <w:rsid w:val="000436D1"/>
    <w:rsid w:val="00045A40"/>
    <w:rsid w:val="00050F55"/>
    <w:rsid w:val="0005734E"/>
    <w:rsid w:val="000670FD"/>
    <w:rsid w:val="00070DC7"/>
    <w:rsid w:val="000756C6"/>
    <w:rsid w:val="000812D1"/>
    <w:rsid w:val="00081DFE"/>
    <w:rsid w:val="00086D15"/>
    <w:rsid w:val="00090088"/>
    <w:rsid w:val="00096509"/>
    <w:rsid w:val="000A0761"/>
    <w:rsid w:val="000A6AD0"/>
    <w:rsid w:val="000B43C6"/>
    <w:rsid w:val="000B7730"/>
    <w:rsid w:val="000D0F10"/>
    <w:rsid w:val="000D3DEC"/>
    <w:rsid w:val="000D7A09"/>
    <w:rsid w:val="000E5C72"/>
    <w:rsid w:val="000F352E"/>
    <w:rsid w:val="00103218"/>
    <w:rsid w:val="00116DB2"/>
    <w:rsid w:val="001230F5"/>
    <w:rsid w:val="0013003E"/>
    <w:rsid w:val="00133F78"/>
    <w:rsid w:val="001348C0"/>
    <w:rsid w:val="00135702"/>
    <w:rsid w:val="00135EDA"/>
    <w:rsid w:val="00137E06"/>
    <w:rsid w:val="001412D5"/>
    <w:rsid w:val="001471B3"/>
    <w:rsid w:val="0015135B"/>
    <w:rsid w:val="00153F90"/>
    <w:rsid w:val="00156FEF"/>
    <w:rsid w:val="0017016E"/>
    <w:rsid w:val="00171F5A"/>
    <w:rsid w:val="00175C81"/>
    <w:rsid w:val="00183172"/>
    <w:rsid w:val="001869F3"/>
    <w:rsid w:val="00190011"/>
    <w:rsid w:val="00192F92"/>
    <w:rsid w:val="001938D4"/>
    <w:rsid w:val="001A247F"/>
    <w:rsid w:val="001A4F97"/>
    <w:rsid w:val="001B2364"/>
    <w:rsid w:val="001B5CFE"/>
    <w:rsid w:val="001B6E05"/>
    <w:rsid w:val="001C49C5"/>
    <w:rsid w:val="001C4AA2"/>
    <w:rsid w:val="001D1422"/>
    <w:rsid w:val="001D1667"/>
    <w:rsid w:val="001D190E"/>
    <w:rsid w:val="001D2A8E"/>
    <w:rsid w:val="001E1AA8"/>
    <w:rsid w:val="001E2B0E"/>
    <w:rsid w:val="001E6CF5"/>
    <w:rsid w:val="002172AB"/>
    <w:rsid w:val="00226874"/>
    <w:rsid w:val="002273AB"/>
    <w:rsid w:val="00236950"/>
    <w:rsid w:val="00237C41"/>
    <w:rsid w:val="00240B4F"/>
    <w:rsid w:val="002452DE"/>
    <w:rsid w:val="00246CF1"/>
    <w:rsid w:val="00250DD4"/>
    <w:rsid w:val="00252FAA"/>
    <w:rsid w:val="0025657F"/>
    <w:rsid w:val="00265393"/>
    <w:rsid w:val="00267232"/>
    <w:rsid w:val="00270E0F"/>
    <w:rsid w:val="00273738"/>
    <w:rsid w:val="002748FB"/>
    <w:rsid w:val="00276CD2"/>
    <w:rsid w:val="00284BE7"/>
    <w:rsid w:val="00285D35"/>
    <w:rsid w:val="00286EA9"/>
    <w:rsid w:val="00287E9D"/>
    <w:rsid w:val="0029050E"/>
    <w:rsid w:val="00290F10"/>
    <w:rsid w:val="00295052"/>
    <w:rsid w:val="002A36A4"/>
    <w:rsid w:val="002A553A"/>
    <w:rsid w:val="002C40E9"/>
    <w:rsid w:val="002C7C8C"/>
    <w:rsid w:val="002E096B"/>
    <w:rsid w:val="002E3B15"/>
    <w:rsid w:val="002E40C7"/>
    <w:rsid w:val="002E6E18"/>
    <w:rsid w:val="002E71A5"/>
    <w:rsid w:val="002F082C"/>
    <w:rsid w:val="002F0DE4"/>
    <w:rsid w:val="002F56F1"/>
    <w:rsid w:val="00307D00"/>
    <w:rsid w:val="00313598"/>
    <w:rsid w:val="00320377"/>
    <w:rsid w:val="00331EDE"/>
    <w:rsid w:val="0033247E"/>
    <w:rsid w:val="00340457"/>
    <w:rsid w:val="003437D2"/>
    <w:rsid w:val="00363CBC"/>
    <w:rsid w:val="003701DE"/>
    <w:rsid w:val="00370313"/>
    <w:rsid w:val="003710D2"/>
    <w:rsid w:val="0037236D"/>
    <w:rsid w:val="00372411"/>
    <w:rsid w:val="0037311C"/>
    <w:rsid w:val="00375001"/>
    <w:rsid w:val="00375D67"/>
    <w:rsid w:val="0037688D"/>
    <w:rsid w:val="00377D8D"/>
    <w:rsid w:val="003A5120"/>
    <w:rsid w:val="003B4E90"/>
    <w:rsid w:val="003C0099"/>
    <w:rsid w:val="003C2519"/>
    <w:rsid w:val="003C352B"/>
    <w:rsid w:val="003C4F3C"/>
    <w:rsid w:val="003C7739"/>
    <w:rsid w:val="003D1033"/>
    <w:rsid w:val="003D2E37"/>
    <w:rsid w:val="003D5D25"/>
    <w:rsid w:val="003D76A6"/>
    <w:rsid w:val="003E00C5"/>
    <w:rsid w:val="003E299F"/>
    <w:rsid w:val="003E3E6C"/>
    <w:rsid w:val="003F02B9"/>
    <w:rsid w:val="003F0572"/>
    <w:rsid w:val="003F7F6F"/>
    <w:rsid w:val="004046F4"/>
    <w:rsid w:val="004133DB"/>
    <w:rsid w:val="0041730E"/>
    <w:rsid w:val="0042341D"/>
    <w:rsid w:val="00423C8B"/>
    <w:rsid w:val="00424331"/>
    <w:rsid w:val="004248A9"/>
    <w:rsid w:val="00424A62"/>
    <w:rsid w:val="004348D5"/>
    <w:rsid w:val="004373C7"/>
    <w:rsid w:val="0044048A"/>
    <w:rsid w:val="00440CA2"/>
    <w:rsid w:val="00442BF8"/>
    <w:rsid w:val="0044394F"/>
    <w:rsid w:val="004552AF"/>
    <w:rsid w:val="004554C3"/>
    <w:rsid w:val="0045795B"/>
    <w:rsid w:val="00461514"/>
    <w:rsid w:val="00477F53"/>
    <w:rsid w:val="00487551"/>
    <w:rsid w:val="00492584"/>
    <w:rsid w:val="00493BAA"/>
    <w:rsid w:val="004B19BB"/>
    <w:rsid w:val="004B3990"/>
    <w:rsid w:val="004B69AF"/>
    <w:rsid w:val="004C0A66"/>
    <w:rsid w:val="004C54C8"/>
    <w:rsid w:val="004C72DC"/>
    <w:rsid w:val="004D2712"/>
    <w:rsid w:val="004E2B31"/>
    <w:rsid w:val="004E7697"/>
    <w:rsid w:val="004F132C"/>
    <w:rsid w:val="00500D9E"/>
    <w:rsid w:val="00501A28"/>
    <w:rsid w:val="005035E6"/>
    <w:rsid w:val="005068C8"/>
    <w:rsid w:val="00507B35"/>
    <w:rsid w:val="005127F0"/>
    <w:rsid w:val="005139DC"/>
    <w:rsid w:val="00523A1C"/>
    <w:rsid w:val="00526B69"/>
    <w:rsid w:val="005370F6"/>
    <w:rsid w:val="00546E86"/>
    <w:rsid w:val="005533A0"/>
    <w:rsid w:val="0055571C"/>
    <w:rsid w:val="00557301"/>
    <w:rsid w:val="005630BA"/>
    <w:rsid w:val="005636FD"/>
    <w:rsid w:val="00563BF4"/>
    <w:rsid w:val="00566CC6"/>
    <w:rsid w:val="00573F49"/>
    <w:rsid w:val="0057616A"/>
    <w:rsid w:val="005804FA"/>
    <w:rsid w:val="0058187D"/>
    <w:rsid w:val="00582E81"/>
    <w:rsid w:val="00585539"/>
    <w:rsid w:val="00592680"/>
    <w:rsid w:val="00593A13"/>
    <w:rsid w:val="005962D0"/>
    <w:rsid w:val="005A26FE"/>
    <w:rsid w:val="005A4A1A"/>
    <w:rsid w:val="005A6BE2"/>
    <w:rsid w:val="005B5EDF"/>
    <w:rsid w:val="005B6395"/>
    <w:rsid w:val="005C1289"/>
    <w:rsid w:val="005D1E5A"/>
    <w:rsid w:val="005D1F3A"/>
    <w:rsid w:val="005D22A8"/>
    <w:rsid w:val="005D3FE1"/>
    <w:rsid w:val="005E0FD6"/>
    <w:rsid w:val="005F4E0E"/>
    <w:rsid w:val="005F57A8"/>
    <w:rsid w:val="0060098A"/>
    <w:rsid w:val="0060580B"/>
    <w:rsid w:val="00605D28"/>
    <w:rsid w:val="00611224"/>
    <w:rsid w:val="0061359D"/>
    <w:rsid w:val="0061522E"/>
    <w:rsid w:val="00616498"/>
    <w:rsid w:val="0064689D"/>
    <w:rsid w:val="00646B64"/>
    <w:rsid w:val="00650B80"/>
    <w:rsid w:val="00655438"/>
    <w:rsid w:val="00666614"/>
    <w:rsid w:val="006707C8"/>
    <w:rsid w:val="00671404"/>
    <w:rsid w:val="00671967"/>
    <w:rsid w:val="00683275"/>
    <w:rsid w:val="006872F2"/>
    <w:rsid w:val="00690913"/>
    <w:rsid w:val="00692EED"/>
    <w:rsid w:val="00693E74"/>
    <w:rsid w:val="00693FE3"/>
    <w:rsid w:val="006A6181"/>
    <w:rsid w:val="006B4F5A"/>
    <w:rsid w:val="006B5636"/>
    <w:rsid w:val="006D05C2"/>
    <w:rsid w:val="006E258B"/>
    <w:rsid w:val="006E2DC4"/>
    <w:rsid w:val="006E2EFD"/>
    <w:rsid w:val="006F22D7"/>
    <w:rsid w:val="006F3CE3"/>
    <w:rsid w:val="007061BD"/>
    <w:rsid w:val="00714A9B"/>
    <w:rsid w:val="007226FB"/>
    <w:rsid w:val="007264A6"/>
    <w:rsid w:val="0074010F"/>
    <w:rsid w:val="00741FD2"/>
    <w:rsid w:val="007437AD"/>
    <w:rsid w:val="00756F1F"/>
    <w:rsid w:val="00760894"/>
    <w:rsid w:val="007643C1"/>
    <w:rsid w:val="007709FD"/>
    <w:rsid w:val="00771EF4"/>
    <w:rsid w:val="00775FA7"/>
    <w:rsid w:val="007770B3"/>
    <w:rsid w:val="007807DA"/>
    <w:rsid w:val="00787BBD"/>
    <w:rsid w:val="007926C2"/>
    <w:rsid w:val="00793375"/>
    <w:rsid w:val="00794757"/>
    <w:rsid w:val="007A04D5"/>
    <w:rsid w:val="007A13BB"/>
    <w:rsid w:val="007A274D"/>
    <w:rsid w:val="007A6583"/>
    <w:rsid w:val="007A6DEC"/>
    <w:rsid w:val="007C3967"/>
    <w:rsid w:val="007E3E2D"/>
    <w:rsid w:val="007E6B54"/>
    <w:rsid w:val="007E763D"/>
    <w:rsid w:val="007F245D"/>
    <w:rsid w:val="00804C39"/>
    <w:rsid w:val="00805211"/>
    <w:rsid w:val="00805B3E"/>
    <w:rsid w:val="00807343"/>
    <w:rsid w:val="0080788E"/>
    <w:rsid w:val="00821737"/>
    <w:rsid w:val="0082445C"/>
    <w:rsid w:val="008247E3"/>
    <w:rsid w:val="00825261"/>
    <w:rsid w:val="00833A70"/>
    <w:rsid w:val="00837727"/>
    <w:rsid w:val="00840FB6"/>
    <w:rsid w:val="00847185"/>
    <w:rsid w:val="0085705C"/>
    <w:rsid w:val="008626E7"/>
    <w:rsid w:val="008655B3"/>
    <w:rsid w:val="008673F1"/>
    <w:rsid w:val="00867EF8"/>
    <w:rsid w:val="00867FBE"/>
    <w:rsid w:val="008709FB"/>
    <w:rsid w:val="0087428D"/>
    <w:rsid w:val="00881A53"/>
    <w:rsid w:val="008828C3"/>
    <w:rsid w:val="00882F1D"/>
    <w:rsid w:val="00885449"/>
    <w:rsid w:val="008875AC"/>
    <w:rsid w:val="00891AC0"/>
    <w:rsid w:val="00891FFF"/>
    <w:rsid w:val="00896635"/>
    <w:rsid w:val="008A1D10"/>
    <w:rsid w:val="008A2DC3"/>
    <w:rsid w:val="008B6AE0"/>
    <w:rsid w:val="008C01A9"/>
    <w:rsid w:val="008C484B"/>
    <w:rsid w:val="008D01BE"/>
    <w:rsid w:val="008D744A"/>
    <w:rsid w:val="008E11E6"/>
    <w:rsid w:val="008E1F1E"/>
    <w:rsid w:val="008E2B06"/>
    <w:rsid w:val="008E3A3C"/>
    <w:rsid w:val="008E4962"/>
    <w:rsid w:val="008E4E8E"/>
    <w:rsid w:val="008F03D7"/>
    <w:rsid w:val="00906903"/>
    <w:rsid w:val="00910EDD"/>
    <w:rsid w:val="009136D4"/>
    <w:rsid w:val="00920C21"/>
    <w:rsid w:val="0092141A"/>
    <w:rsid w:val="00925381"/>
    <w:rsid w:val="009255E5"/>
    <w:rsid w:val="00927493"/>
    <w:rsid w:val="00927EBB"/>
    <w:rsid w:val="00931097"/>
    <w:rsid w:val="00931F3F"/>
    <w:rsid w:val="009352F2"/>
    <w:rsid w:val="00936EBC"/>
    <w:rsid w:val="00937DFE"/>
    <w:rsid w:val="00940AAB"/>
    <w:rsid w:val="00950F7E"/>
    <w:rsid w:val="009519FF"/>
    <w:rsid w:val="00976269"/>
    <w:rsid w:val="00980E15"/>
    <w:rsid w:val="00981626"/>
    <w:rsid w:val="00981AB2"/>
    <w:rsid w:val="0098247A"/>
    <w:rsid w:val="00982745"/>
    <w:rsid w:val="009841D9"/>
    <w:rsid w:val="00986909"/>
    <w:rsid w:val="00987280"/>
    <w:rsid w:val="00991FB6"/>
    <w:rsid w:val="00994C3F"/>
    <w:rsid w:val="009967D4"/>
    <w:rsid w:val="00997627"/>
    <w:rsid w:val="009A2D02"/>
    <w:rsid w:val="009A481A"/>
    <w:rsid w:val="009A6C72"/>
    <w:rsid w:val="009B2944"/>
    <w:rsid w:val="009B5A87"/>
    <w:rsid w:val="009B63B9"/>
    <w:rsid w:val="009C5857"/>
    <w:rsid w:val="009D0092"/>
    <w:rsid w:val="009D0F45"/>
    <w:rsid w:val="009D24C1"/>
    <w:rsid w:val="009D7522"/>
    <w:rsid w:val="009D791C"/>
    <w:rsid w:val="009E0B73"/>
    <w:rsid w:val="009E5B51"/>
    <w:rsid w:val="009F47CE"/>
    <w:rsid w:val="00A0115F"/>
    <w:rsid w:val="00A01471"/>
    <w:rsid w:val="00A039E8"/>
    <w:rsid w:val="00A05AB5"/>
    <w:rsid w:val="00A070C1"/>
    <w:rsid w:val="00A1372D"/>
    <w:rsid w:val="00A13BD3"/>
    <w:rsid w:val="00A1485D"/>
    <w:rsid w:val="00A26733"/>
    <w:rsid w:val="00A3536F"/>
    <w:rsid w:val="00A372D7"/>
    <w:rsid w:val="00A53F6D"/>
    <w:rsid w:val="00A574CC"/>
    <w:rsid w:val="00A63DC0"/>
    <w:rsid w:val="00A6770C"/>
    <w:rsid w:val="00A71C8D"/>
    <w:rsid w:val="00A73B59"/>
    <w:rsid w:val="00A77E29"/>
    <w:rsid w:val="00A846D1"/>
    <w:rsid w:val="00A84B23"/>
    <w:rsid w:val="00A93A91"/>
    <w:rsid w:val="00AA06E5"/>
    <w:rsid w:val="00AA2CD8"/>
    <w:rsid w:val="00AB1148"/>
    <w:rsid w:val="00AB15F8"/>
    <w:rsid w:val="00AB5027"/>
    <w:rsid w:val="00AB79CF"/>
    <w:rsid w:val="00AD1002"/>
    <w:rsid w:val="00AE6D01"/>
    <w:rsid w:val="00B04AAD"/>
    <w:rsid w:val="00B04BB9"/>
    <w:rsid w:val="00B322BB"/>
    <w:rsid w:val="00B34F51"/>
    <w:rsid w:val="00B44C36"/>
    <w:rsid w:val="00B53726"/>
    <w:rsid w:val="00B61068"/>
    <w:rsid w:val="00B613AF"/>
    <w:rsid w:val="00B727EC"/>
    <w:rsid w:val="00B72B65"/>
    <w:rsid w:val="00B75E8C"/>
    <w:rsid w:val="00B76AB7"/>
    <w:rsid w:val="00B77CB9"/>
    <w:rsid w:val="00B84B06"/>
    <w:rsid w:val="00B87CD0"/>
    <w:rsid w:val="00B910FF"/>
    <w:rsid w:val="00B947C7"/>
    <w:rsid w:val="00B96BB7"/>
    <w:rsid w:val="00BB3D3B"/>
    <w:rsid w:val="00BC7702"/>
    <w:rsid w:val="00BD0A8A"/>
    <w:rsid w:val="00BD30ED"/>
    <w:rsid w:val="00BD3E09"/>
    <w:rsid w:val="00BD4DA7"/>
    <w:rsid w:val="00BE3E4F"/>
    <w:rsid w:val="00BF424B"/>
    <w:rsid w:val="00BF78F7"/>
    <w:rsid w:val="00C027B5"/>
    <w:rsid w:val="00C1499A"/>
    <w:rsid w:val="00C15AC6"/>
    <w:rsid w:val="00C172E0"/>
    <w:rsid w:val="00C2262C"/>
    <w:rsid w:val="00C26FC9"/>
    <w:rsid w:val="00C27D95"/>
    <w:rsid w:val="00C32437"/>
    <w:rsid w:val="00C32BAE"/>
    <w:rsid w:val="00C53547"/>
    <w:rsid w:val="00C54467"/>
    <w:rsid w:val="00C55F13"/>
    <w:rsid w:val="00C5707D"/>
    <w:rsid w:val="00C60333"/>
    <w:rsid w:val="00C61C0E"/>
    <w:rsid w:val="00C62ADE"/>
    <w:rsid w:val="00C64ADC"/>
    <w:rsid w:val="00C64B23"/>
    <w:rsid w:val="00C70E13"/>
    <w:rsid w:val="00C732A5"/>
    <w:rsid w:val="00C758FC"/>
    <w:rsid w:val="00C75CD2"/>
    <w:rsid w:val="00CA57F3"/>
    <w:rsid w:val="00CC64E6"/>
    <w:rsid w:val="00CC7511"/>
    <w:rsid w:val="00CD70A4"/>
    <w:rsid w:val="00CE0482"/>
    <w:rsid w:val="00CE12C2"/>
    <w:rsid w:val="00CE25F6"/>
    <w:rsid w:val="00CE318A"/>
    <w:rsid w:val="00CE540E"/>
    <w:rsid w:val="00D14162"/>
    <w:rsid w:val="00D30DDD"/>
    <w:rsid w:val="00D42F18"/>
    <w:rsid w:val="00D43934"/>
    <w:rsid w:val="00D6314A"/>
    <w:rsid w:val="00D66EDB"/>
    <w:rsid w:val="00D67B2B"/>
    <w:rsid w:val="00D70F9B"/>
    <w:rsid w:val="00D729D8"/>
    <w:rsid w:val="00D74D86"/>
    <w:rsid w:val="00D91A14"/>
    <w:rsid w:val="00D9740C"/>
    <w:rsid w:val="00DB1E4C"/>
    <w:rsid w:val="00DB1ECC"/>
    <w:rsid w:val="00DB6E31"/>
    <w:rsid w:val="00DB7332"/>
    <w:rsid w:val="00DC0B9C"/>
    <w:rsid w:val="00DC3605"/>
    <w:rsid w:val="00DC731E"/>
    <w:rsid w:val="00DC751F"/>
    <w:rsid w:val="00DD2ACB"/>
    <w:rsid w:val="00DD794D"/>
    <w:rsid w:val="00DE040F"/>
    <w:rsid w:val="00DE4DE1"/>
    <w:rsid w:val="00DE5262"/>
    <w:rsid w:val="00DF0CF9"/>
    <w:rsid w:val="00DF2058"/>
    <w:rsid w:val="00DF7AF0"/>
    <w:rsid w:val="00E01FF5"/>
    <w:rsid w:val="00E05F36"/>
    <w:rsid w:val="00E06443"/>
    <w:rsid w:val="00E24AC4"/>
    <w:rsid w:val="00E25017"/>
    <w:rsid w:val="00E33D30"/>
    <w:rsid w:val="00E37043"/>
    <w:rsid w:val="00E42888"/>
    <w:rsid w:val="00E50AB6"/>
    <w:rsid w:val="00E50B58"/>
    <w:rsid w:val="00E52180"/>
    <w:rsid w:val="00E52411"/>
    <w:rsid w:val="00E66754"/>
    <w:rsid w:val="00E66D1E"/>
    <w:rsid w:val="00E674F4"/>
    <w:rsid w:val="00E9293C"/>
    <w:rsid w:val="00E92CAE"/>
    <w:rsid w:val="00EA412E"/>
    <w:rsid w:val="00EA6A4C"/>
    <w:rsid w:val="00EA7C22"/>
    <w:rsid w:val="00EB0EBA"/>
    <w:rsid w:val="00EB5391"/>
    <w:rsid w:val="00ED03A3"/>
    <w:rsid w:val="00ED4E4F"/>
    <w:rsid w:val="00EF0E81"/>
    <w:rsid w:val="00F0046D"/>
    <w:rsid w:val="00F00C39"/>
    <w:rsid w:val="00F018B4"/>
    <w:rsid w:val="00F07C16"/>
    <w:rsid w:val="00F259B0"/>
    <w:rsid w:val="00F312F9"/>
    <w:rsid w:val="00F33154"/>
    <w:rsid w:val="00F36DB5"/>
    <w:rsid w:val="00F37ABB"/>
    <w:rsid w:val="00F50014"/>
    <w:rsid w:val="00F50699"/>
    <w:rsid w:val="00F50DFF"/>
    <w:rsid w:val="00F52DB5"/>
    <w:rsid w:val="00F57C3E"/>
    <w:rsid w:val="00F60293"/>
    <w:rsid w:val="00F66F05"/>
    <w:rsid w:val="00F74348"/>
    <w:rsid w:val="00F7504C"/>
    <w:rsid w:val="00F7709E"/>
    <w:rsid w:val="00F824B2"/>
    <w:rsid w:val="00F8393B"/>
    <w:rsid w:val="00F873C8"/>
    <w:rsid w:val="00F96A23"/>
    <w:rsid w:val="00FA2C9F"/>
    <w:rsid w:val="00FA53DA"/>
    <w:rsid w:val="00FC525E"/>
    <w:rsid w:val="00FC54D2"/>
    <w:rsid w:val="00FC5B6B"/>
    <w:rsid w:val="00FC5DBC"/>
    <w:rsid w:val="00FD36D4"/>
    <w:rsid w:val="00FE2772"/>
    <w:rsid w:val="00FE292E"/>
    <w:rsid w:val="00FE2CE2"/>
    <w:rsid w:val="00FE39A5"/>
    <w:rsid w:val="00FE3D5B"/>
    <w:rsid w:val="00FE41BE"/>
    <w:rsid w:val="00FE4BBC"/>
    <w:rsid w:val="00FF5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82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E2"/>
    <w:rPr>
      <w:rFonts w:eastAsiaTheme="minorEastAsia"/>
      <w:lang w:eastAsia="zh-TW"/>
    </w:rPr>
  </w:style>
  <w:style w:type="paragraph" w:styleId="Heading1">
    <w:name w:val="heading 1"/>
    <w:basedOn w:val="Normal"/>
    <w:next w:val="Normal"/>
    <w:link w:val="Heading1Char"/>
    <w:uiPriority w:val="9"/>
    <w:qFormat/>
    <w:rsid w:val="00FE2CE2"/>
    <w:pPr>
      <w:keepNext/>
      <w:keepLines/>
      <w:spacing w:line="276" w:lineRule="auto"/>
      <w:outlineLvl w:val="0"/>
    </w:pPr>
    <w:rPr>
      <w:rFonts w:eastAsiaTheme="majorEastAsia" w:cstheme="majorBidi"/>
      <w:b/>
      <w:bCs/>
      <w:color w:val="23A8D8"/>
      <w:sz w:val="40"/>
      <w:szCs w:val="36"/>
    </w:rPr>
  </w:style>
  <w:style w:type="paragraph" w:styleId="Heading2">
    <w:name w:val="heading 2"/>
    <w:basedOn w:val="Normal"/>
    <w:next w:val="Normal"/>
    <w:link w:val="Heading2Char"/>
    <w:uiPriority w:val="9"/>
    <w:unhideWhenUsed/>
    <w:qFormat/>
    <w:rsid w:val="00FE2CE2"/>
    <w:pPr>
      <w:spacing w:line="276" w:lineRule="auto"/>
      <w:outlineLvl w:val="1"/>
    </w:pPr>
    <w:rPr>
      <w:color w:val="23A8D8"/>
      <w:sz w:val="32"/>
      <w:szCs w:val="32"/>
    </w:rPr>
  </w:style>
  <w:style w:type="paragraph" w:styleId="Heading3">
    <w:name w:val="heading 3"/>
    <w:basedOn w:val="Normal"/>
    <w:next w:val="Normal"/>
    <w:link w:val="Heading3Char"/>
    <w:uiPriority w:val="9"/>
    <w:semiHidden/>
    <w:unhideWhenUsed/>
    <w:qFormat/>
    <w:rsid w:val="004348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23A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CE2"/>
    <w:rPr>
      <w:rFonts w:eastAsiaTheme="majorEastAsia" w:cstheme="majorBidi"/>
      <w:b/>
      <w:bCs/>
      <w:color w:val="23A8D8"/>
      <w:sz w:val="40"/>
      <w:szCs w:val="36"/>
      <w:lang w:eastAsia="zh-TW"/>
    </w:rPr>
  </w:style>
  <w:style w:type="character" w:customStyle="1" w:styleId="Heading2Char">
    <w:name w:val="Heading 2 Char"/>
    <w:basedOn w:val="DefaultParagraphFont"/>
    <w:link w:val="Heading2"/>
    <w:uiPriority w:val="9"/>
    <w:rsid w:val="00FE2CE2"/>
    <w:rPr>
      <w:rFonts w:eastAsiaTheme="minorEastAsia"/>
      <w:color w:val="23A8D8"/>
      <w:sz w:val="32"/>
      <w:szCs w:val="32"/>
      <w:lang w:eastAsia="zh-TW"/>
    </w:rPr>
  </w:style>
  <w:style w:type="paragraph" w:styleId="EndnoteText">
    <w:name w:val="endnote text"/>
    <w:basedOn w:val="Normal"/>
    <w:link w:val="EndnoteTextChar"/>
    <w:uiPriority w:val="99"/>
    <w:unhideWhenUsed/>
    <w:rsid w:val="00FE2CE2"/>
    <w:pPr>
      <w:spacing w:after="0" w:line="240" w:lineRule="auto"/>
    </w:pPr>
    <w:rPr>
      <w:rFonts w:ascii="Calibri" w:hAnsi="Calibri" w:cs="Times New Roman"/>
      <w:sz w:val="20"/>
      <w:szCs w:val="20"/>
      <w:lang w:eastAsia="en-US"/>
    </w:rPr>
  </w:style>
  <w:style w:type="character" w:customStyle="1" w:styleId="EndnoteTextChar">
    <w:name w:val="Endnote Text Char"/>
    <w:basedOn w:val="DefaultParagraphFont"/>
    <w:link w:val="EndnoteText"/>
    <w:uiPriority w:val="99"/>
    <w:rsid w:val="00FE2CE2"/>
    <w:rPr>
      <w:rFonts w:ascii="Calibri" w:eastAsiaTheme="minorEastAsia" w:hAnsi="Calibri" w:cs="Times New Roman"/>
      <w:sz w:val="20"/>
      <w:szCs w:val="20"/>
    </w:rPr>
  </w:style>
  <w:style w:type="character" w:styleId="EndnoteReference">
    <w:name w:val="endnote reference"/>
    <w:basedOn w:val="DefaultParagraphFont"/>
    <w:uiPriority w:val="99"/>
    <w:unhideWhenUsed/>
    <w:rsid w:val="00FE2CE2"/>
    <w:rPr>
      <w:vertAlign w:val="superscript"/>
    </w:rPr>
  </w:style>
  <w:style w:type="character" w:styleId="Hyperlink">
    <w:name w:val="Hyperlink"/>
    <w:basedOn w:val="DefaultParagraphFont"/>
    <w:uiPriority w:val="99"/>
    <w:unhideWhenUsed/>
    <w:rsid w:val="00FE2CE2"/>
    <w:rPr>
      <w:color w:val="0563C1" w:themeColor="hyperlink"/>
      <w:u w:val="single"/>
    </w:rPr>
  </w:style>
  <w:style w:type="paragraph" w:styleId="FootnoteText">
    <w:name w:val="footnote text"/>
    <w:basedOn w:val="Normal"/>
    <w:link w:val="FootnoteTextChar"/>
    <w:uiPriority w:val="99"/>
    <w:semiHidden/>
    <w:unhideWhenUsed/>
    <w:rsid w:val="00FE2C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CE2"/>
    <w:rPr>
      <w:rFonts w:eastAsiaTheme="minorEastAsia"/>
      <w:sz w:val="20"/>
      <w:szCs w:val="20"/>
      <w:lang w:eastAsia="zh-TW"/>
    </w:rPr>
  </w:style>
  <w:style w:type="character" w:styleId="FootnoteReference">
    <w:name w:val="footnote reference"/>
    <w:basedOn w:val="DefaultParagraphFont"/>
    <w:uiPriority w:val="99"/>
    <w:unhideWhenUsed/>
    <w:rsid w:val="00FE2CE2"/>
    <w:rPr>
      <w:vertAlign w:val="superscript"/>
    </w:rPr>
  </w:style>
  <w:style w:type="paragraph" w:styleId="ListParagraph">
    <w:name w:val="List Paragraph"/>
    <w:aliases w:val="Recommendation,List Paragraph1,List Paragraph11,L,Number,Bullet,b,List Paragraph Number,Bullet point,Content descriptions,Bullet Point,standard lewis,Bullet 1,List Paragraph Char Char,b1,Number_1,new,SGLText List Paragraph,Normal Sentence"/>
    <w:basedOn w:val="Normal"/>
    <w:link w:val="ListParagraphChar"/>
    <w:uiPriority w:val="34"/>
    <w:qFormat/>
    <w:rsid w:val="00FE2CE2"/>
    <w:pPr>
      <w:ind w:left="720"/>
      <w:contextualSpacing/>
    </w:pPr>
    <w:rPr>
      <w:rFonts w:eastAsiaTheme="minorHAnsi"/>
      <w:lang w:eastAsia="en-US"/>
    </w:rPr>
  </w:style>
  <w:style w:type="table" w:styleId="TableGrid">
    <w:name w:val="Table Grid"/>
    <w:basedOn w:val="TableNormal"/>
    <w:uiPriority w:val="39"/>
    <w:rsid w:val="00FE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CE2"/>
    <w:rPr>
      <w:sz w:val="16"/>
      <w:szCs w:val="16"/>
    </w:rPr>
  </w:style>
  <w:style w:type="paragraph" w:styleId="CommentText">
    <w:name w:val="annotation text"/>
    <w:basedOn w:val="Normal"/>
    <w:link w:val="CommentTextChar"/>
    <w:uiPriority w:val="99"/>
    <w:unhideWhenUsed/>
    <w:rsid w:val="00FE2CE2"/>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FE2CE2"/>
    <w:rPr>
      <w:sz w:val="20"/>
      <w:szCs w:val="20"/>
    </w:rPr>
  </w:style>
  <w:style w:type="table" w:customStyle="1" w:styleId="GridTable5Dark-Accent31">
    <w:name w:val="Grid Table 5 Dark - Accent 31"/>
    <w:basedOn w:val="TableNormal"/>
    <w:uiPriority w:val="50"/>
    <w:rsid w:val="00FE2CE2"/>
    <w:pPr>
      <w:spacing w:after="0" w:line="240" w:lineRule="auto"/>
    </w:pPr>
    <w:rPr>
      <w:rFonts w:eastAsiaTheme="minorEastAsia"/>
      <w:lang w:eastAsia="zh-TW"/>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Referencelist">
    <w:name w:val="Reference list"/>
    <w:basedOn w:val="Normal"/>
    <w:link w:val="ReferencelistChar"/>
    <w:qFormat/>
    <w:rsid w:val="00FE2CE2"/>
    <w:pPr>
      <w:spacing w:after="0" w:line="240" w:lineRule="auto"/>
      <w:ind w:left="142" w:hanging="142"/>
    </w:pPr>
    <w:rPr>
      <w:sz w:val="20"/>
    </w:rPr>
  </w:style>
  <w:style w:type="character" w:customStyle="1" w:styleId="ReferencelistChar">
    <w:name w:val="Reference list Char"/>
    <w:basedOn w:val="DefaultParagraphFont"/>
    <w:link w:val="Referencelist"/>
    <w:rsid w:val="00FE2CE2"/>
    <w:rPr>
      <w:rFonts w:eastAsiaTheme="minorEastAsia"/>
      <w:sz w:val="20"/>
      <w:lang w:eastAsia="zh-TW"/>
    </w:rPr>
  </w:style>
  <w:style w:type="table" w:customStyle="1" w:styleId="TableGrid1">
    <w:name w:val="Table Grid1"/>
    <w:basedOn w:val="TableNormal"/>
    <w:next w:val="TableGrid"/>
    <w:uiPriority w:val="39"/>
    <w:rsid w:val="00FE2CE2"/>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44546A"/>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A5A5A5"/>
      </w:tcPr>
    </w:tblStylePr>
    <w:tblStylePr w:type="nwCell">
      <w:pPr>
        <w:jc w:val="left"/>
      </w:pPr>
      <w:tblPr/>
      <w:tcPr>
        <w:vAlign w:val="top"/>
      </w:tcPr>
    </w:tblStylePr>
  </w:style>
  <w:style w:type="paragraph" w:customStyle="1" w:styleId="Numberedlist">
    <w:name w:val="Numbered list"/>
    <w:basedOn w:val="ListParagraph"/>
    <w:link w:val="NumberedlistChar"/>
    <w:qFormat/>
    <w:rsid w:val="00FE2CE2"/>
    <w:pPr>
      <w:numPr>
        <w:numId w:val="3"/>
      </w:numPr>
      <w:contextualSpacing w:val="0"/>
    </w:pPr>
    <w:rPr>
      <w:rFonts w:eastAsiaTheme="minorEastAsia"/>
      <w:lang w:eastAsia="zh-TW"/>
    </w:rPr>
  </w:style>
  <w:style w:type="character" w:customStyle="1" w:styleId="ListParagraphChar">
    <w:name w:val="List Paragraph Char"/>
    <w:aliases w:val="Recommendation Char,List Paragraph1 Char,List Paragraph11 Char,L Char,Number Char,Bullet Char,b Char,List Paragraph Number Char,Bullet point Char,Content descriptions Char,Bullet Point Char,standard lewis Char,Bullet 1 Char,b1 Char"/>
    <w:basedOn w:val="DefaultParagraphFont"/>
    <w:link w:val="ListParagraph"/>
    <w:uiPriority w:val="34"/>
    <w:qFormat/>
    <w:rsid w:val="00FE2CE2"/>
  </w:style>
  <w:style w:type="character" w:customStyle="1" w:styleId="NumberedlistChar">
    <w:name w:val="Numbered list Char"/>
    <w:basedOn w:val="DefaultParagraphFont"/>
    <w:link w:val="Numberedlist"/>
    <w:rsid w:val="00FE2CE2"/>
    <w:rPr>
      <w:rFonts w:eastAsiaTheme="minorEastAsia"/>
      <w:lang w:eastAsia="zh-TW"/>
    </w:rPr>
  </w:style>
  <w:style w:type="paragraph" w:styleId="BalloonText">
    <w:name w:val="Balloon Text"/>
    <w:basedOn w:val="Normal"/>
    <w:link w:val="BalloonTextChar"/>
    <w:uiPriority w:val="99"/>
    <w:semiHidden/>
    <w:unhideWhenUsed/>
    <w:rsid w:val="00FE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E2"/>
    <w:rPr>
      <w:rFonts w:ascii="Segoe UI" w:eastAsiaTheme="minorEastAsia" w:hAnsi="Segoe UI" w:cs="Segoe UI"/>
      <w:sz w:val="18"/>
      <w:szCs w:val="18"/>
      <w:lang w:eastAsia="zh-TW"/>
    </w:rPr>
  </w:style>
  <w:style w:type="paragraph" w:customStyle="1" w:styleId="base-text-paragraph">
    <w:name w:val="base-text-paragraph"/>
    <w:basedOn w:val="Normal"/>
    <w:link w:val="base-text-paragraphChar"/>
    <w:qFormat/>
    <w:rsid w:val="00523A1C"/>
    <w:pPr>
      <w:numPr>
        <w:ilvl w:val="1"/>
        <w:numId w:val="9"/>
      </w:numPr>
      <w:tabs>
        <w:tab w:val="clear" w:pos="2269"/>
        <w:tab w:val="num" w:pos="1985"/>
      </w:tabs>
      <w:spacing w:before="120" w:after="120" w:line="240" w:lineRule="auto"/>
      <w:ind w:left="1134"/>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523A1C"/>
    <w:rPr>
      <w:rFonts w:ascii="Times New Roman" w:eastAsia="Times New Roman" w:hAnsi="Times New Roman" w:cs="Times New Roman"/>
      <w:szCs w:val="20"/>
      <w:lang w:eastAsia="en-AU"/>
    </w:rPr>
  </w:style>
  <w:style w:type="paragraph" w:customStyle="1" w:styleId="ChapterHeading">
    <w:name w:val="Chapter Heading"/>
    <w:next w:val="Heading2"/>
    <w:rsid w:val="00523A1C"/>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numbering" w:customStyle="1" w:styleId="ChapterList">
    <w:name w:val="ChapterList"/>
    <w:uiPriority w:val="99"/>
    <w:rsid w:val="00523A1C"/>
    <w:pPr>
      <w:numPr>
        <w:numId w:val="8"/>
      </w:numPr>
    </w:pPr>
  </w:style>
  <w:style w:type="paragraph" w:customStyle="1" w:styleId="Diagram">
    <w:name w:val="Diagram"/>
    <w:basedOn w:val="Normal"/>
    <w:next w:val="Normal"/>
    <w:rsid w:val="00523A1C"/>
    <w:pPr>
      <w:keepNext/>
      <w:numPr>
        <w:ilvl w:val="2"/>
        <w:numId w:val="9"/>
      </w:numPr>
      <w:spacing w:after="0" w:line="240" w:lineRule="auto"/>
    </w:pPr>
    <w:rPr>
      <w:rFonts w:ascii="Times New Roman" w:eastAsia="Times New Roman" w:hAnsi="Times New Roman" w:cs="Times New Roman"/>
      <w:b/>
      <w:szCs w:val="20"/>
      <w:lang w:eastAsia="en-AU"/>
    </w:rPr>
  </w:style>
  <w:style w:type="paragraph" w:customStyle="1" w:styleId="ExampleHeading">
    <w:name w:val="Example Heading"/>
    <w:basedOn w:val="Normal"/>
    <w:next w:val="Normal"/>
    <w:rsid w:val="00523A1C"/>
    <w:pPr>
      <w:keepNext/>
      <w:numPr>
        <w:ilvl w:val="3"/>
        <w:numId w:val="9"/>
      </w:numPr>
      <w:spacing w:before="120" w:after="120" w:line="240" w:lineRule="auto"/>
    </w:pPr>
    <w:rPr>
      <w:rFonts w:ascii="Times New Roman" w:eastAsia="Times New Roman" w:hAnsi="Times New Roman" w:cs="Times New Roman"/>
      <w:b/>
      <w:szCs w:val="20"/>
      <w:lang w:eastAsia="en-AU"/>
    </w:rPr>
  </w:style>
  <w:style w:type="paragraph" w:customStyle="1" w:styleId="TableHeadingoutsidetable">
    <w:name w:val="Table Heading (outside table)"/>
    <w:basedOn w:val="Heading4"/>
    <w:rsid w:val="00523A1C"/>
    <w:pPr>
      <w:keepLines w:val="0"/>
      <w:numPr>
        <w:ilvl w:val="4"/>
        <w:numId w:val="9"/>
      </w:numPr>
      <w:tabs>
        <w:tab w:val="num" w:pos="360"/>
      </w:tabs>
      <w:spacing w:before="120" w:after="200" w:line="240" w:lineRule="auto"/>
      <w:ind w:left="0" w:hanging="360"/>
    </w:pPr>
    <w:rPr>
      <w:rFonts w:ascii="Times New Roman" w:eastAsia="Times New Roman" w:hAnsi="Times New Roman" w:cs="Times New Roman"/>
      <w:b/>
      <w:i w:val="0"/>
      <w:iCs w:val="0"/>
      <w:color w:val="auto"/>
      <w:szCs w:val="20"/>
      <w:lang w:eastAsia="en-AU"/>
    </w:rPr>
  </w:style>
  <w:style w:type="character" w:customStyle="1" w:styleId="Heading4Char">
    <w:name w:val="Heading 4 Char"/>
    <w:basedOn w:val="DefaultParagraphFont"/>
    <w:link w:val="Heading4"/>
    <w:uiPriority w:val="9"/>
    <w:semiHidden/>
    <w:rsid w:val="00523A1C"/>
    <w:rPr>
      <w:rFonts w:asciiTheme="majorHAnsi" w:eastAsiaTheme="majorEastAsia" w:hAnsiTheme="majorHAnsi" w:cstheme="majorBidi"/>
      <w:i/>
      <w:iCs/>
      <w:color w:val="2E74B5" w:themeColor="accent1" w:themeShade="BF"/>
      <w:lang w:eastAsia="zh-TW"/>
    </w:rPr>
  </w:style>
  <w:style w:type="character" w:styleId="Emphasis">
    <w:name w:val="Emphasis"/>
    <w:basedOn w:val="DefaultParagraphFont"/>
    <w:uiPriority w:val="20"/>
    <w:qFormat/>
    <w:rsid w:val="00FC5B6B"/>
    <w:rPr>
      <w:i/>
      <w:iCs/>
    </w:rPr>
  </w:style>
  <w:style w:type="character" w:customStyle="1" w:styleId="hyperlinks">
    <w:name w:val="hyperlinks"/>
    <w:basedOn w:val="DefaultParagraphFont"/>
    <w:rsid w:val="00FC5B6B"/>
  </w:style>
  <w:style w:type="paragraph" w:styleId="CommentSubject">
    <w:name w:val="annotation subject"/>
    <w:basedOn w:val="CommentText"/>
    <w:next w:val="CommentText"/>
    <w:link w:val="CommentSubjectChar"/>
    <w:uiPriority w:val="99"/>
    <w:semiHidden/>
    <w:unhideWhenUsed/>
    <w:rsid w:val="001412D5"/>
    <w:rPr>
      <w:rFonts w:eastAsiaTheme="minorEastAsia"/>
      <w:b/>
      <w:bCs/>
      <w:lang w:eastAsia="zh-TW"/>
    </w:rPr>
  </w:style>
  <w:style w:type="character" w:customStyle="1" w:styleId="CommentSubjectChar">
    <w:name w:val="Comment Subject Char"/>
    <w:basedOn w:val="CommentTextChar"/>
    <w:link w:val="CommentSubject"/>
    <w:uiPriority w:val="99"/>
    <w:semiHidden/>
    <w:rsid w:val="001412D5"/>
    <w:rPr>
      <w:rFonts w:eastAsiaTheme="minorEastAsia"/>
      <w:b/>
      <w:bCs/>
      <w:sz w:val="20"/>
      <w:szCs w:val="20"/>
      <w:lang w:eastAsia="zh-TW"/>
    </w:rPr>
  </w:style>
  <w:style w:type="character" w:customStyle="1" w:styleId="Heading3Char">
    <w:name w:val="Heading 3 Char"/>
    <w:basedOn w:val="DefaultParagraphFont"/>
    <w:link w:val="Heading3"/>
    <w:uiPriority w:val="9"/>
    <w:rsid w:val="004348D5"/>
    <w:rPr>
      <w:rFonts w:asciiTheme="majorHAnsi" w:eastAsiaTheme="majorEastAsia" w:hAnsiTheme="majorHAnsi" w:cstheme="majorBidi"/>
      <w:color w:val="1F4D78" w:themeColor="accent1" w:themeShade="7F"/>
      <w:sz w:val="24"/>
      <w:szCs w:val="24"/>
      <w:lang w:eastAsia="zh-TW"/>
    </w:rPr>
  </w:style>
  <w:style w:type="paragraph" w:styleId="Header">
    <w:name w:val="header"/>
    <w:basedOn w:val="Normal"/>
    <w:link w:val="HeaderChar"/>
    <w:uiPriority w:val="99"/>
    <w:unhideWhenUsed/>
    <w:rsid w:val="00DD7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94D"/>
    <w:rPr>
      <w:rFonts w:eastAsiaTheme="minorEastAsia"/>
      <w:lang w:eastAsia="zh-TW"/>
    </w:rPr>
  </w:style>
  <w:style w:type="paragraph" w:styleId="Footer">
    <w:name w:val="footer"/>
    <w:basedOn w:val="Normal"/>
    <w:link w:val="FooterChar"/>
    <w:uiPriority w:val="99"/>
    <w:unhideWhenUsed/>
    <w:rsid w:val="00DD7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94D"/>
    <w:rPr>
      <w:rFonts w:eastAsiaTheme="minorEastAsia"/>
      <w:lang w:eastAsia="zh-TW"/>
    </w:rPr>
  </w:style>
  <w:style w:type="paragraph" w:styleId="TOCHeading">
    <w:name w:val="TOC Heading"/>
    <w:basedOn w:val="Heading1"/>
    <w:next w:val="Normal"/>
    <w:uiPriority w:val="39"/>
    <w:unhideWhenUsed/>
    <w:qFormat/>
    <w:rsid w:val="00A13BD3"/>
    <w:pPr>
      <w:spacing w:before="240" w:after="0" w:line="259" w:lineRule="auto"/>
      <w:outlineLvl w:val="9"/>
    </w:pPr>
    <w:rPr>
      <w:rFonts w:asciiTheme="majorHAnsi" w:hAnsiTheme="majorHAns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A13BD3"/>
    <w:pPr>
      <w:spacing w:after="100"/>
    </w:pPr>
  </w:style>
  <w:style w:type="paragraph" w:styleId="TOC2">
    <w:name w:val="toc 2"/>
    <w:basedOn w:val="Normal"/>
    <w:next w:val="Normal"/>
    <w:autoRedefine/>
    <w:uiPriority w:val="39"/>
    <w:unhideWhenUsed/>
    <w:rsid w:val="00A13BD3"/>
    <w:pPr>
      <w:spacing w:after="100"/>
      <w:ind w:left="220"/>
    </w:pPr>
  </w:style>
  <w:style w:type="character" w:customStyle="1" w:styleId="UnresolvedMention">
    <w:name w:val="Unresolved Mention"/>
    <w:basedOn w:val="DefaultParagraphFont"/>
    <w:uiPriority w:val="99"/>
    <w:semiHidden/>
    <w:unhideWhenUsed/>
    <w:rsid w:val="00741FD2"/>
    <w:rPr>
      <w:color w:val="605E5C"/>
      <w:shd w:val="clear" w:color="auto" w:fill="E1DFDD"/>
    </w:rPr>
  </w:style>
  <w:style w:type="paragraph" w:styleId="BodyText">
    <w:name w:val="Body Text"/>
    <w:basedOn w:val="Normal"/>
    <w:link w:val="BodyTextChar"/>
    <w:qFormat/>
    <w:rsid w:val="00137E06"/>
    <w:pPr>
      <w:spacing w:before="113" w:after="113" w:line="300" w:lineRule="atLeast"/>
    </w:pPr>
    <w:rPr>
      <w:rFonts w:eastAsiaTheme="minorHAnsi" w:cs="Times New Roman"/>
      <w:spacing w:val="-1"/>
      <w:lang w:eastAsia="en-US"/>
    </w:rPr>
  </w:style>
  <w:style w:type="character" w:customStyle="1" w:styleId="BodyTextChar">
    <w:name w:val="Body Text Char"/>
    <w:basedOn w:val="DefaultParagraphFont"/>
    <w:link w:val="BodyText"/>
    <w:rsid w:val="00137E06"/>
    <w:rPr>
      <w:rFonts w:cs="Times New Roman"/>
      <w:spacing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E2"/>
    <w:rPr>
      <w:rFonts w:eastAsiaTheme="minorEastAsia"/>
      <w:lang w:eastAsia="zh-TW"/>
    </w:rPr>
  </w:style>
  <w:style w:type="paragraph" w:styleId="Heading1">
    <w:name w:val="heading 1"/>
    <w:basedOn w:val="Normal"/>
    <w:next w:val="Normal"/>
    <w:link w:val="Heading1Char"/>
    <w:uiPriority w:val="9"/>
    <w:qFormat/>
    <w:rsid w:val="00FE2CE2"/>
    <w:pPr>
      <w:keepNext/>
      <w:keepLines/>
      <w:spacing w:line="276" w:lineRule="auto"/>
      <w:outlineLvl w:val="0"/>
    </w:pPr>
    <w:rPr>
      <w:rFonts w:eastAsiaTheme="majorEastAsia" w:cstheme="majorBidi"/>
      <w:b/>
      <w:bCs/>
      <w:color w:val="23A8D8"/>
      <w:sz w:val="40"/>
      <w:szCs w:val="36"/>
    </w:rPr>
  </w:style>
  <w:style w:type="paragraph" w:styleId="Heading2">
    <w:name w:val="heading 2"/>
    <w:basedOn w:val="Normal"/>
    <w:next w:val="Normal"/>
    <w:link w:val="Heading2Char"/>
    <w:uiPriority w:val="9"/>
    <w:unhideWhenUsed/>
    <w:qFormat/>
    <w:rsid w:val="00FE2CE2"/>
    <w:pPr>
      <w:spacing w:line="276" w:lineRule="auto"/>
      <w:outlineLvl w:val="1"/>
    </w:pPr>
    <w:rPr>
      <w:color w:val="23A8D8"/>
      <w:sz w:val="32"/>
      <w:szCs w:val="32"/>
    </w:rPr>
  </w:style>
  <w:style w:type="paragraph" w:styleId="Heading3">
    <w:name w:val="heading 3"/>
    <w:basedOn w:val="Normal"/>
    <w:next w:val="Normal"/>
    <w:link w:val="Heading3Char"/>
    <w:uiPriority w:val="9"/>
    <w:semiHidden/>
    <w:unhideWhenUsed/>
    <w:qFormat/>
    <w:rsid w:val="004348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23A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CE2"/>
    <w:rPr>
      <w:rFonts w:eastAsiaTheme="majorEastAsia" w:cstheme="majorBidi"/>
      <w:b/>
      <w:bCs/>
      <w:color w:val="23A8D8"/>
      <w:sz w:val="40"/>
      <w:szCs w:val="36"/>
      <w:lang w:eastAsia="zh-TW"/>
    </w:rPr>
  </w:style>
  <w:style w:type="character" w:customStyle="1" w:styleId="Heading2Char">
    <w:name w:val="Heading 2 Char"/>
    <w:basedOn w:val="DefaultParagraphFont"/>
    <w:link w:val="Heading2"/>
    <w:uiPriority w:val="9"/>
    <w:rsid w:val="00FE2CE2"/>
    <w:rPr>
      <w:rFonts w:eastAsiaTheme="minorEastAsia"/>
      <w:color w:val="23A8D8"/>
      <w:sz w:val="32"/>
      <w:szCs w:val="32"/>
      <w:lang w:eastAsia="zh-TW"/>
    </w:rPr>
  </w:style>
  <w:style w:type="paragraph" w:styleId="EndnoteText">
    <w:name w:val="endnote text"/>
    <w:basedOn w:val="Normal"/>
    <w:link w:val="EndnoteTextChar"/>
    <w:uiPriority w:val="99"/>
    <w:unhideWhenUsed/>
    <w:rsid w:val="00FE2CE2"/>
    <w:pPr>
      <w:spacing w:after="0" w:line="240" w:lineRule="auto"/>
    </w:pPr>
    <w:rPr>
      <w:rFonts w:ascii="Calibri" w:hAnsi="Calibri" w:cs="Times New Roman"/>
      <w:sz w:val="20"/>
      <w:szCs w:val="20"/>
      <w:lang w:eastAsia="en-US"/>
    </w:rPr>
  </w:style>
  <w:style w:type="character" w:customStyle="1" w:styleId="EndnoteTextChar">
    <w:name w:val="Endnote Text Char"/>
    <w:basedOn w:val="DefaultParagraphFont"/>
    <w:link w:val="EndnoteText"/>
    <w:uiPriority w:val="99"/>
    <w:rsid w:val="00FE2CE2"/>
    <w:rPr>
      <w:rFonts w:ascii="Calibri" w:eastAsiaTheme="minorEastAsia" w:hAnsi="Calibri" w:cs="Times New Roman"/>
      <w:sz w:val="20"/>
      <w:szCs w:val="20"/>
    </w:rPr>
  </w:style>
  <w:style w:type="character" w:styleId="EndnoteReference">
    <w:name w:val="endnote reference"/>
    <w:basedOn w:val="DefaultParagraphFont"/>
    <w:uiPriority w:val="99"/>
    <w:unhideWhenUsed/>
    <w:rsid w:val="00FE2CE2"/>
    <w:rPr>
      <w:vertAlign w:val="superscript"/>
    </w:rPr>
  </w:style>
  <w:style w:type="character" w:styleId="Hyperlink">
    <w:name w:val="Hyperlink"/>
    <w:basedOn w:val="DefaultParagraphFont"/>
    <w:uiPriority w:val="99"/>
    <w:unhideWhenUsed/>
    <w:rsid w:val="00FE2CE2"/>
    <w:rPr>
      <w:color w:val="0563C1" w:themeColor="hyperlink"/>
      <w:u w:val="single"/>
    </w:rPr>
  </w:style>
  <w:style w:type="paragraph" w:styleId="FootnoteText">
    <w:name w:val="footnote text"/>
    <w:basedOn w:val="Normal"/>
    <w:link w:val="FootnoteTextChar"/>
    <w:uiPriority w:val="99"/>
    <w:semiHidden/>
    <w:unhideWhenUsed/>
    <w:rsid w:val="00FE2C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CE2"/>
    <w:rPr>
      <w:rFonts w:eastAsiaTheme="minorEastAsia"/>
      <w:sz w:val="20"/>
      <w:szCs w:val="20"/>
      <w:lang w:eastAsia="zh-TW"/>
    </w:rPr>
  </w:style>
  <w:style w:type="character" w:styleId="FootnoteReference">
    <w:name w:val="footnote reference"/>
    <w:basedOn w:val="DefaultParagraphFont"/>
    <w:uiPriority w:val="99"/>
    <w:unhideWhenUsed/>
    <w:rsid w:val="00FE2CE2"/>
    <w:rPr>
      <w:vertAlign w:val="superscript"/>
    </w:rPr>
  </w:style>
  <w:style w:type="paragraph" w:styleId="ListParagraph">
    <w:name w:val="List Paragraph"/>
    <w:aliases w:val="Recommendation,List Paragraph1,List Paragraph11,L,Number,Bullet,b,List Paragraph Number,Bullet point,Content descriptions,Bullet Point,standard lewis,Bullet 1,List Paragraph Char Char,b1,Number_1,new,SGLText List Paragraph,Normal Sentence"/>
    <w:basedOn w:val="Normal"/>
    <w:link w:val="ListParagraphChar"/>
    <w:uiPriority w:val="34"/>
    <w:qFormat/>
    <w:rsid w:val="00FE2CE2"/>
    <w:pPr>
      <w:ind w:left="720"/>
      <w:contextualSpacing/>
    </w:pPr>
    <w:rPr>
      <w:rFonts w:eastAsiaTheme="minorHAnsi"/>
      <w:lang w:eastAsia="en-US"/>
    </w:rPr>
  </w:style>
  <w:style w:type="table" w:styleId="TableGrid">
    <w:name w:val="Table Grid"/>
    <w:basedOn w:val="TableNormal"/>
    <w:uiPriority w:val="39"/>
    <w:rsid w:val="00FE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CE2"/>
    <w:rPr>
      <w:sz w:val="16"/>
      <w:szCs w:val="16"/>
    </w:rPr>
  </w:style>
  <w:style w:type="paragraph" w:styleId="CommentText">
    <w:name w:val="annotation text"/>
    <w:basedOn w:val="Normal"/>
    <w:link w:val="CommentTextChar"/>
    <w:uiPriority w:val="99"/>
    <w:unhideWhenUsed/>
    <w:rsid w:val="00FE2CE2"/>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FE2CE2"/>
    <w:rPr>
      <w:sz w:val="20"/>
      <w:szCs w:val="20"/>
    </w:rPr>
  </w:style>
  <w:style w:type="table" w:customStyle="1" w:styleId="GridTable5Dark-Accent31">
    <w:name w:val="Grid Table 5 Dark - Accent 31"/>
    <w:basedOn w:val="TableNormal"/>
    <w:uiPriority w:val="50"/>
    <w:rsid w:val="00FE2CE2"/>
    <w:pPr>
      <w:spacing w:after="0" w:line="240" w:lineRule="auto"/>
    </w:pPr>
    <w:rPr>
      <w:rFonts w:eastAsiaTheme="minorEastAsia"/>
      <w:lang w:eastAsia="zh-TW"/>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Referencelist">
    <w:name w:val="Reference list"/>
    <w:basedOn w:val="Normal"/>
    <w:link w:val="ReferencelistChar"/>
    <w:qFormat/>
    <w:rsid w:val="00FE2CE2"/>
    <w:pPr>
      <w:spacing w:after="0" w:line="240" w:lineRule="auto"/>
      <w:ind w:left="142" w:hanging="142"/>
    </w:pPr>
    <w:rPr>
      <w:sz w:val="20"/>
    </w:rPr>
  </w:style>
  <w:style w:type="character" w:customStyle="1" w:styleId="ReferencelistChar">
    <w:name w:val="Reference list Char"/>
    <w:basedOn w:val="DefaultParagraphFont"/>
    <w:link w:val="Referencelist"/>
    <w:rsid w:val="00FE2CE2"/>
    <w:rPr>
      <w:rFonts w:eastAsiaTheme="minorEastAsia"/>
      <w:sz w:val="20"/>
      <w:lang w:eastAsia="zh-TW"/>
    </w:rPr>
  </w:style>
  <w:style w:type="table" w:customStyle="1" w:styleId="TableGrid1">
    <w:name w:val="Table Grid1"/>
    <w:basedOn w:val="TableNormal"/>
    <w:next w:val="TableGrid"/>
    <w:uiPriority w:val="39"/>
    <w:rsid w:val="00FE2CE2"/>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44546A"/>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A5A5A5"/>
      </w:tcPr>
    </w:tblStylePr>
    <w:tblStylePr w:type="nwCell">
      <w:pPr>
        <w:jc w:val="left"/>
      </w:pPr>
      <w:tblPr/>
      <w:tcPr>
        <w:vAlign w:val="top"/>
      </w:tcPr>
    </w:tblStylePr>
  </w:style>
  <w:style w:type="paragraph" w:customStyle="1" w:styleId="Numberedlist">
    <w:name w:val="Numbered list"/>
    <w:basedOn w:val="ListParagraph"/>
    <w:link w:val="NumberedlistChar"/>
    <w:qFormat/>
    <w:rsid w:val="00FE2CE2"/>
    <w:pPr>
      <w:numPr>
        <w:numId w:val="3"/>
      </w:numPr>
      <w:contextualSpacing w:val="0"/>
    </w:pPr>
    <w:rPr>
      <w:rFonts w:eastAsiaTheme="minorEastAsia"/>
      <w:lang w:eastAsia="zh-TW"/>
    </w:rPr>
  </w:style>
  <w:style w:type="character" w:customStyle="1" w:styleId="ListParagraphChar">
    <w:name w:val="List Paragraph Char"/>
    <w:aliases w:val="Recommendation Char,List Paragraph1 Char,List Paragraph11 Char,L Char,Number Char,Bullet Char,b Char,List Paragraph Number Char,Bullet point Char,Content descriptions Char,Bullet Point Char,standard lewis Char,Bullet 1 Char,b1 Char"/>
    <w:basedOn w:val="DefaultParagraphFont"/>
    <w:link w:val="ListParagraph"/>
    <w:uiPriority w:val="34"/>
    <w:qFormat/>
    <w:rsid w:val="00FE2CE2"/>
  </w:style>
  <w:style w:type="character" w:customStyle="1" w:styleId="NumberedlistChar">
    <w:name w:val="Numbered list Char"/>
    <w:basedOn w:val="DefaultParagraphFont"/>
    <w:link w:val="Numberedlist"/>
    <w:rsid w:val="00FE2CE2"/>
    <w:rPr>
      <w:rFonts w:eastAsiaTheme="minorEastAsia"/>
      <w:lang w:eastAsia="zh-TW"/>
    </w:rPr>
  </w:style>
  <w:style w:type="paragraph" w:styleId="BalloonText">
    <w:name w:val="Balloon Text"/>
    <w:basedOn w:val="Normal"/>
    <w:link w:val="BalloonTextChar"/>
    <w:uiPriority w:val="99"/>
    <w:semiHidden/>
    <w:unhideWhenUsed/>
    <w:rsid w:val="00FE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E2"/>
    <w:rPr>
      <w:rFonts w:ascii="Segoe UI" w:eastAsiaTheme="minorEastAsia" w:hAnsi="Segoe UI" w:cs="Segoe UI"/>
      <w:sz w:val="18"/>
      <w:szCs w:val="18"/>
      <w:lang w:eastAsia="zh-TW"/>
    </w:rPr>
  </w:style>
  <w:style w:type="paragraph" w:customStyle="1" w:styleId="base-text-paragraph">
    <w:name w:val="base-text-paragraph"/>
    <w:basedOn w:val="Normal"/>
    <w:link w:val="base-text-paragraphChar"/>
    <w:qFormat/>
    <w:rsid w:val="00523A1C"/>
    <w:pPr>
      <w:numPr>
        <w:ilvl w:val="1"/>
        <w:numId w:val="9"/>
      </w:numPr>
      <w:tabs>
        <w:tab w:val="clear" w:pos="2269"/>
        <w:tab w:val="num" w:pos="1985"/>
      </w:tabs>
      <w:spacing w:before="120" w:after="120" w:line="240" w:lineRule="auto"/>
      <w:ind w:left="1134"/>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523A1C"/>
    <w:rPr>
      <w:rFonts w:ascii="Times New Roman" w:eastAsia="Times New Roman" w:hAnsi="Times New Roman" w:cs="Times New Roman"/>
      <w:szCs w:val="20"/>
      <w:lang w:eastAsia="en-AU"/>
    </w:rPr>
  </w:style>
  <w:style w:type="paragraph" w:customStyle="1" w:styleId="ChapterHeading">
    <w:name w:val="Chapter Heading"/>
    <w:next w:val="Heading2"/>
    <w:rsid w:val="00523A1C"/>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numbering" w:customStyle="1" w:styleId="ChapterList">
    <w:name w:val="ChapterList"/>
    <w:uiPriority w:val="99"/>
    <w:rsid w:val="00523A1C"/>
    <w:pPr>
      <w:numPr>
        <w:numId w:val="8"/>
      </w:numPr>
    </w:pPr>
  </w:style>
  <w:style w:type="paragraph" w:customStyle="1" w:styleId="Diagram">
    <w:name w:val="Diagram"/>
    <w:basedOn w:val="Normal"/>
    <w:next w:val="Normal"/>
    <w:rsid w:val="00523A1C"/>
    <w:pPr>
      <w:keepNext/>
      <w:numPr>
        <w:ilvl w:val="2"/>
        <w:numId w:val="9"/>
      </w:numPr>
      <w:spacing w:after="0" w:line="240" w:lineRule="auto"/>
    </w:pPr>
    <w:rPr>
      <w:rFonts w:ascii="Times New Roman" w:eastAsia="Times New Roman" w:hAnsi="Times New Roman" w:cs="Times New Roman"/>
      <w:b/>
      <w:szCs w:val="20"/>
      <w:lang w:eastAsia="en-AU"/>
    </w:rPr>
  </w:style>
  <w:style w:type="paragraph" w:customStyle="1" w:styleId="ExampleHeading">
    <w:name w:val="Example Heading"/>
    <w:basedOn w:val="Normal"/>
    <w:next w:val="Normal"/>
    <w:rsid w:val="00523A1C"/>
    <w:pPr>
      <w:keepNext/>
      <w:numPr>
        <w:ilvl w:val="3"/>
        <w:numId w:val="9"/>
      </w:numPr>
      <w:spacing w:before="120" w:after="120" w:line="240" w:lineRule="auto"/>
    </w:pPr>
    <w:rPr>
      <w:rFonts w:ascii="Times New Roman" w:eastAsia="Times New Roman" w:hAnsi="Times New Roman" w:cs="Times New Roman"/>
      <w:b/>
      <w:szCs w:val="20"/>
      <w:lang w:eastAsia="en-AU"/>
    </w:rPr>
  </w:style>
  <w:style w:type="paragraph" w:customStyle="1" w:styleId="TableHeadingoutsidetable">
    <w:name w:val="Table Heading (outside table)"/>
    <w:basedOn w:val="Heading4"/>
    <w:rsid w:val="00523A1C"/>
    <w:pPr>
      <w:keepLines w:val="0"/>
      <w:numPr>
        <w:ilvl w:val="4"/>
        <w:numId w:val="9"/>
      </w:numPr>
      <w:tabs>
        <w:tab w:val="num" w:pos="360"/>
      </w:tabs>
      <w:spacing w:before="120" w:after="200" w:line="240" w:lineRule="auto"/>
      <w:ind w:left="0" w:hanging="360"/>
    </w:pPr>
    <w:rPr>
      <w:rFonts w:ascii="Times New Roman" w:eastAsia="Times New Roman" w:hAnsi="Times New Roman" w:cs="Times New Roman"/>
      <w:b/>
      <w:i w:val="0"/>
      <w:iCs w:val="0"/>
      <w:color w:val="auto"/>
      <w:szCs w:val="20"/>
      <w:lang w:eastAsia="en-AU"/>
    </w:rPr>
  </w:style>
  <w:style w:type="character" w:customStyle="1" w:styleId="Heading4Char">
    <w:name w:val="Heading 4 Char"/>
    <w:basedOn w:val="DefaultParagraphFont"/>
    <w:link w:val="Heading4"/>
    <w:uiPriority w:val="9"/>
    <w:semiHidden/>
    <w:rsid w:val="00523A1C"/>
    <w:rPr>
      <w:rFonts w:asciiTheme="majorHAnsi" w:eastAsiaTheme="majorEastAsia" w:hAnsiTheme="majorHAnsi" w:cstheme="majorBidi"/>
      <w:i/>
      <w:iCs/>
      <w:color w:val="2E74B5" w:themeColor="accent1" w:themeShade="BF"/>
      <w:lang w:eastAsia="zh-TW"/>
    </w:rPr>
  </w:style>
  <w:style w:type="character" w:styleId="Emphasis">
    <w:name w:val="Emphasis"/>
    <w:basedOn w:val="DefaultParagraphFont"/>
    <w:uiPriority w:val="20"/>
    <w:qFormat/>
    <w:rsid w:val="00FC5B6B"/>
    <w:rPr>
      <w:i/>
      <w:iCs/>
    </w:rPr>
  </w:style>
  <w:style w:type="character" w:customStyle="1" w:styleId="hyperlinks">
    <w:name w:val="hyperlinks"/>
    <w:basedOn w:val="DefaultParagraphFont"/>
    <w:rsid w:val="00FC5B6B"/>
  </w:style>
  <w:style w:type="paragraph" w:styleId="CommentSubject">
    <w:name w:val="annotation subject"/>
    <w:basedOn w:val="CommentText"/>
    <w:next w:val="CommentText"/>
    <w:link w:val="CommentSubjectChar"/>
    <w:uiPriority w:val="99"/>
    <w:semiHidden/>
    <w:unhideWhenUsed/>
    <w:rsid w:val="001412D5"/>
    <w:rPr>
      <w:rFonts w:eastAsiaTheme="minorEastAsia"/>
      <w:b/>
      <w:bCs/>
      <w:lang w:eastAsia="zh-TW"/>
    </w:rPr>
  </w:style>
  <w:style w:type="character" w:customStyle="1" w:styleId="CommentSubjectChar">
    <w:name w:val="Comment Subject Char"/>
    <w:basedOn w:val="CommentTextChar"/>
    <w:link w:val="CommentSubject"/>
    <w:uiPriority w:val="99"/>
    <w:semiHidden/>
    <w:rsid w:val="001412D5"/>
    <w:rPr>
      <w:rFonts w:eastAsiaTheme="minorEastAsia"/>
      <w:b/>
      <w:bCs/>
      <w:sz w:val="20"/>
      <w:szCs w:val="20"/>
      <w:lang w:eastAsia="zh-TW"/>
    </w:rPr>
  </w:style>
  <w:style w:type="character" w:customStyle="1" w:styleId="Heading3Char">
    <w:name w:val="Heading 3 Char"/>
    <w:basedOn w:val="DefaultParagraphFont"/>
    <w:link w:val="Heading3"/>
    <w:uiPriority w:val="9"/>
    <w:rsid w:val="004348D5"/>
    <w:rPr>
      <w:rFonts w:asciiTheme="majorHAnsi" w:eastAsiaTheme="majorEastAsia" w:hAnsiTheme="majorHAnsi" w:cstheme="majorBidi"/>
      <w:color w:val="1F4D78" w:themeColor="accent1" w:themeShade="7F"/>
      <w:sz w:val="24"/>
      <w:szCs w:val="24"/>
      <w:lang w:eastAsia="zh-TW"/>
    </w:rPr>
  </w:style>
  <w:style w:type="paragraph" w:styleId="Header">
    <w:name w:val="header"/>
    <w:basedOn w:val="Normal"/>
    <w:link w:val="HeaderChar"/>
    <w:uiPriority w:val="99"/>
    <w:unhideWhenUsed/>
    <w:rsid w:val="00DD7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94D"/>
    <w:rPr>
      <w:rFonts w:eastAsiaTheme="minorEastAsia"/>
      <w:lang w:eastAsia="zh-TW"/>
    </w:rPr>
  </w:style>
  <w:style w:type="paragraph" w:styleId="Footer">
    <w:name w:val="footer"/>
    <w:basedOn w:val="Normal"/>
    <w:link w:val="FooterChar"/>
    <w:uiPriority w:val="99"/>
    <w:unhideWhenUsed/>
    <w:rsid w:val="00DD7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94D"/>
    <w:rPr>
      <w:rFonts w:eastAsiaTheme="minorEastAsia"/>
      <w:lang w:eastAsia="zh-TW"/>
    </w:rPr>
  </w:style>
  <w:style w:type="paragraph" w:styleId="TOCHeading">
    <w:name w:val="TOC Heading"/>
    <w:basedOn w:val="Heading1"/>
    <w:next w:val="Normal"/>
    <w:uiPriority w:val="39"/>
    <w:unhideWhenUsed/>
    <w:qFormat/>
    <w:rsid w:val="00A13BD3"/>
    <w:pPr>
      <w:spacing w:before="240" w:after="0" w:line="259" w:lineRule="auto"/>
      <w:outlineLvl w:val="9"/>
    </w:pPr>
    <w:rPr>
      <w:rFonts w:asciiTheme="majorHAnsi" w:hAnsiTheme="majorHAns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A13BD3"/>
    <w:pPr>
      <w:spacing w:after="100"/>
    </w:pPr>
  </w:style>
  <w:style w:type="paragraph" w:styleId="TOC2">
    <w:name w:val="toc 2"/>
    <w:basedOn w:val="Normal"/>
    <w:next w:val="Normal"/>
    <w:autoRedefine/>
    <w:uiPriority w:val="39"/>
    <w:unhideWhenUsed/>
    <w:rsid w:val="00A13BD3"/>
    <w:pPr>
      <w:spacing w:after="100"/>
      <w:ind w:left="220"/>
    </w:pPr>
  </w:style>
  <w:style w:type="character" w:customStyle="1" w:styleId="UnresolvedMention">
    <w:name w:val="Unresolved Mention"/>
    <w:basedOn w:val="DefaultParagraphFont"/>
    <w:uiPriority w:val="99"/>
    <w:semiHidden/>
    <w:unhideWhenUsed/>
    <w:rsid w:val="00741FD2"/>
    <w:rPr>
      <w:color w:val="605E5C"/>
      <w:shd w:val="clear" w:color="auto" w:fill="E1DFDD"/>
    </w:rPr>
  </w:style>
  <w:style w:type="paragraph" w:styleId="BodyText">
    <w:name w:val="Body Text"/>
    <w:basedOn w:val="Normal"/>
    <w:link w:val="BodyTextChar"/>
    <w:qFormat/>
    <w:rsid w:val="00137E06"/>
    <w:pPr>
      <w:spacing w:before="113" w:after="113" w:line="300" w:lineRule="atLeast"/>
    </w:pPr>
    <w:rPr>
      <w:rFonts w:eastAsiaTheme="minorHAnsi" w:cs="Times New Roman"/>
      <w:spacing w:val="-1"/>
      <w:lang w:eastAsia="en-US"/>
    </w:rPr>
  </w:style>
  <w:style w:type="character" w:customStyle="1" w:styleId="BodyTextChar">
    <w:name w:val="Body Text Char"/>
    <w:basedOn w:val="DefaultParagraphFont"/>
    <w:link w:val="BodyText"/>
    <w:rsid w:val="00137E06"/>
    <w:rPr>
      <w:rFonts w:cs="Times New Roman"/>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5651">
      <w:bodyDiv w:val="1"/>
      <w:marLeft w:val="0"/>
      <w:marRight w:val="0"/>
      <w:marTop w:val="0"/>
      <w:marBottom w:val="0"/>
      <w:divBdr>
        <w:top w:val="none" w:sz="0" w:space="0" w:color="auto"/>
        <w:left w:val="none" w:sz="0" w:space="0" w:color="auto"/>
        <w:bottom w:val="none" w:sz="0" w:space="0" w:color="auto"/>
        <w:right w:val="none" w:sz="0" w:space="0" w:color="auto"/>
      </w:divBdr>
    </w:div>
    <w:div w:id="362679309">
      <w:bodyDiv w:val="1"/>
      <w:marLeft w:val="0"/>
      <w:marRight w:val="0"/>
      <w:marTop w:val="0"/>
      <w:marBottom w:val="0"/>
      <w:divBdr>
        <w:top w:val="none" w:sz="0" w:space="0" w:color="auto"/>
        <w:left w:val="none" w:sz="0" w:space="0" w:color="auto"/>
        <w:bottom w:val="none" w:sz="0" w:space="0" w:color="auto"/>
        <w:right w:val="none" w:sz="0" w:space="0" w:color="auto"/>
      </w:divBdr>
    </w:div>
    <w:div w:id="5523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hart" Target="charts/chart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3.gi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are.org.au" TargetMode="Externa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chart" Target="charts/chart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chart" Target="charts/chart5.xml"/></Relationships>
</file>

<file path=word/_rels/endnotes.xml.rels><?xml version="1.0" encoding="UTF-8" standalone="yes"?>
<Relationships xmlns="http://schemas.openxmlformats.org/package/2006/relationships"><Relationship Id="rId8" Type="http://schemas.openxmlformats.org/officeDocument/2006/relationships/hyperlink" Target="http://www.dsica.com.au/Library/PageContentFiles/7e8adb48-141d-498e-9fbb-0f1c49c2cb1d/DSICA_2012_13_Pre_Budget_Submission_Web_Version.pdf" TargetMode="External"/><Relationship Id="rId13" Type="http://schemas.openxmlformats.org/officeDocument/2006/relationships/hyperlink" Target="https://www.pc.gov.au/inquiries/completed/productivity-review/report" TargetMode="External"/><Relationship Id="rId18" Type="http://schemas.openxmlformats.org/officeDocument/2006/relationships/hyperlink" Target="http://www.ibisworld.com" TargetMode="External"/><Relationship Id="rId3" Type="http://schemas.openxmlformats.org/officeDocument/2006/relationships/hyperlink" Target="http://fare.org.au/2015/07/the-goon-show-how-the-tax-system-works-to-subsidise-cheap-wine-and-alcohol-consumption/" TargetMode="External"/><Relationship Id="rId21" Type="http://schemas.openxmlformats.org/officeDocument/2006/relationships/hyperlink" Target="http://www.parliament.uk/documents/commons-committees/Health/Writtenevidencebyoralwitnesses.pdf" TargetMode="External"/><Relationship Id="rId7" Type="http://schemas.openxmlformats.org/officeDocument/2006/relationships/hyperlink" Target="https://www.aph.gov.au/About_Parliament/Parliamentary_Departments/Parliamentary_Budget_Office/Publications/Research_reports/Trends_affecting_the_sustainability_of_Commonwealth_taxes" TargetMode="External"/><Relationship Id="rId12" Type="http://schemas.openxmlformats.org/officeDocument/2006/relationships/hyperlink" Target="http://www.onwine.com.au/tax-reform-and-the-broken-model-behind-australian-wine/" TargetMode="External"/><Relationship Id="rId17" Type="http://schemas.openxmlformats.org/officeDocument/2006/relationships/hyperlink" Target="https://www.businessinsider.com.au/federal-budget-2018-cheaper-alcohol-2018-5" TargetMode="External"/><Relationship Id="rId2" Type="http://schemas.openxmlformats.org/officeDocument/2006/relationships/hyperlink" Target="https://consult.treasury.gov.au/budget-policy-division/2018-19-pre-budget-submissions/consultation/view_respondent?_b_index=60&amp;uuId=435169846" TargetMode="External"/><Relationship Id="rId16" Type="http://schemas.openxmlformats.org/officeDocument/2006/relationships/hyperlink" Target="https://www.pc.gov.au/inquiries/completed/productivity-review/report/productivity-review.pdf" TargetMode="External"/><Relationship Id="rId20" Type="http://schemas.openxmlformats.org/officeDocument/2006/relationships/hyperlink" Target="http://www.alcohollearningcentre.org.uk/Topics/Browse/SocialMarketing/toolkit2010/introduction/alcoholEffectsCampaign/" TargetMode="External"/><Relationship Id="rId1" Type="http://schemas.openxmlformats.org/officeDocument/2006/relationships/hyperlink" Target="https://www.health.gov.au/internet/drugstrategy/publishing.nsf/Content/34F55AF632F67B70CA2573F60005D42B/$File/mono64.pdf" TargetMode="External"/><Relationship Id="rId6" Type="http://schemas.openxmlformats.org/officeDocument/2006/relationships/hyperlink" Target="https://static.treasury.gov.au/uploads/sites/1/2017/06/C2015-045_WET_Rebate_Discussion_Paper_2015.pdf" TargetMode="External"/><Relationship Id="rId11" Type="http://schemas.openxmlformats.org/officeDocument/2006/relationships/hyperlink" Target="http://www.abc.net.au/news/2013-07-18/twe-slams-wet-tax/4827886" TargetMode="External"/><Relationship Id="rId5" Type="http://schemas.openxmlformats.org/officeDocument/2006/relationships/hyperlink" Target="https://treasury.gov.au/publication/2017-tax-expenditures-statement/" TargetMode="External"/><Relationship Id="rId15" Type="http://schemas.openxmlformats.org/officeDocument/2006/relationships/hyperlink" Target="https://www.pc.gov.au/inquiries/completed/productivity-review/report/2-healthier-australians" TargetMode="External"/><Relationship Id="rId23" Type="http://schemas.openxmlformats.org/officeDocument/2006/relationships/hyperlink" Target="http://www.sponsorshipnews.com.au" TargetMode="External"/><Relationship Id="rId10" Type="http://schemas.openxmlformats.org/officeDocument/2006/relationships/hyperlink" Target="http://www.treasury.gov.au/Policy-Topics/Taxation/Tax-Forum/Statements-and-Submissions/Submissions" TargetMode="External"/><Relationship Id="rId19" Type="http://schemas.openxmlformats.org/officeDocument/2006/relationships/hyperlink" Target="http://www.adnews.com.au/news/diageo-launches-global-media-review" TargetMode="External"/><Relationship Id="rId4" Type="http://schemas.openxmlformats.org/officeDocument/2006/relationships/hyperlink" Target="http://www.pfes.nt.gov.au/~/media/Files/Police/Crime-statistics/2013/NT%20crime%20statistics%20Dec%202013-pdf.ashx" TargetMode="External"/><Relationship Id="rId9" Type="http://schemas.openxmlformats.org/officeDocument/2006/relationships/hyperlink" Target="http://www.brewers.org.au/wp-content/uploads/2012/11/Brewers-Association-Media-Release-Brewers-Supports-ANPHA-Decision-not-to-introduce-Minimum-Pricing.pdf" TargetMode="External"/><Relationship Id="rId14" Type="http://schemas.openxmlformats.org/officeDocument/2006/relationships/hyperlink" Target="http://fare.org.au/2015/09/alcohol-tax-reform-economic-modelling/" TargetMode="External"/><Relationship Id="rId22" Type="http://schemas.openxmlformats.org/officeDocument/2006/relationships/hyperlink" Target="http://www.publications.parliament.uk/pa/cm201213/cmselect/cmhealth/132/132.pdf"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dfs\Shared\Corporate\Policy%20&amp;%20Research\Policy%20submissions\2018\Pre-budget%20submission%202018-19\Copy%20of%20Excise%20and%20consumption%20v2.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3"/>
          <c:order val="0"/>
          <c:tx>
            <c:strRef>
              <c:f>Sheet1!$K$3</c:f>
              <c:strCache>
                <c:ptCount val="1"/>
                <c:pt idx="0">
                  <c:v>Wine and Cider</c:v>
                </c:pt>
              </c:strCache>
            </c:strRef>
          </c:tx>
          <c:spPr>
            <a:solidFill>
              <a:schemeClr val="accent4"/>
            </a:solidFill>
            <a:ln>
              <a:noFill/>
            </a:ln>
            <a:effectLst/>
          </c:spPr>
          <c:invertIfNegative val="0"/>
          <c:dLbls>
            <c:dLbl>
              <c:idx val="0"/>
              <c:tx>
                <c:rich>
                  <a:bodyPr/>
                  <a:lstStyle/>
                  <a:p>
                    <a:r>
                      <a:rPr lang="en-US"/>
                      <a:t>13.60%</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DD44-4F3F-8B49-44797E8A6386}"/>
                </c:ext>
              </c:extLst>
            </c:dLbl>
            <c:dLbl>
              <c:idx val="1"/>
              <c:tx>
                <c:rich>
                  <a:bodyPr/>
                  <a:lstStyle/>
                  <a:p>
                    <a:r>
                      <a:rPr lang="en-US"/>
                      <a:t>41.70%</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DD44-4F3F-8B49-44797E8A63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Sheet1!$L$1:$M$1</c:f>
              <c:strCache>
                <c:ptCount val="2"/>
                <c:pt idx="0">
                  <c:v>Tax</c:v>
                </c:pt>
                <c:pt idx="1">
                  <c:v>Consumption</c:v>
                </c:pt>
              </c:strCache>
            </c:strRef>
          </c:cat>
          <c:val>
            <c:numRef>
              <c:f>Sheet1!$L$3:$M$3</c:f>
              <c:numCache>
                <c:formatCode>0.0%</c:formatCode>
                <c:ptCount val="2"/>
                <c:pt idx="0">
                  <c:v>0.13900000000000001</c:v>
                </c:pt>
                <c:pt idx="1">
                  <c:v>0.39800000000000002</c:v>
                </c:pt>
              </c:numCache>
            </c:numRef>
          </c:val>
          <c:extLst xmlns:c16r2="http://schemas.microsoft.com/office/drawing/2015/06/chart">
            <c:ext xmlns:c16="http://schemas.microsoft.com/office/drawing/2014/chart" uri="{C3380CC4-5D6E-409C-BE32-E72D297353CC}">
              <c16:uniqueId val="{00000000-6E76-4165-B057-392E612D6FF8}"/>
            </c:ext>
          </c:extLst>
        </c:ser>
        <c:ser>
          <c:idx val="2"/>
          <c:order val="1"/>
          <c:tx>
            <c:strRef>
              <c:f>Sheet1!$K$2</c:f>
              <c:strCache>
                <c:ptCount val="1"/>
                <c:pt idx="0">
                  <c:v>RTDs</c:v>
                </c:pt>
              </c:strCache>
            </c:strRef>
          </c:tx>
          <c:spPr>
            <a:solidFill>
              <a:schemeClr val="accent3"/>
            </a:solidFill>
            <a:ln>
              <a:noFill/>
            </a:ln>
            <a:effectLst/>
          </c:spPr>
          <c:invertIfNegative val="0"/>
          <c:dLbls>
            <c:dLbl>
              <c:idx val="0"/>
              <c:tx>
                <c:rich>
                  <a:bodyPr/>
                  <a:lstStyle/>
                  <a:p>
                    <a:r>
                      <a:rPr lang="en-US"/>
                      <a:t>14.84%</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DD44-4F3F-8B49-44797E8A6386}"/>
                </c:ext>
              </c:extLst>
            </c:dLbl>
            <c:dLbl>
              <c:idx val="1"/>
              <c:tx>
                <c:rich>
                  <a:bodyPr/>
                  <a:lstStyle/>
                  <a:p>
                    <a:r>
                      <a:rPr lang="en-US"/>
                      <a:t>6.0%</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DD44-4F3F-8B49-44797E8A63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Sheet1!$L$1:$M$1</c:f>
              <c:strCache>
                <c:ptCount val="2"/>
                <c:pt idx="0">
                  <c:v>Tax</c:v>
                </c:pt>
                <c:pt idx="1">
                  <c:v>Consumption</c:v>
                </c:pt>
              </c:strCache>
            </c:strRef>
          </c:cat>
          <c:val>
            <c:numRef>
              <c:f>Sheet1!$L$2:$M$2</c:f>
              <c:numCache>
                <c:formatCode>0.0%</c:formatCode>
                <c:ptCount val="2"/>
                <c:pt idx="0">
                  <c:v>0.153</c:v>
                </c:pt>
                <c:pt idx="1">
                  <c:v>6.3E-2</c:v>
                </c:pt>
              </c:numCache>
            </c:numRef>
          </c:val>
          <c:extLst xmlns:c16r2="http://schemas.microsoft.com/office/drawing/2015/06/chart">
            <c:ext xmlns:c16="http://schemas.microsoft.com/office/drawing/2014/chart" uri="{C3380CC4-5D6E-409C-BE32-E72D297353CC}">
              <c16:uniqueId val="{00000001-6E76-4165-B057-392E612D6FF8}"/>
            </c:ext>
          </c:extLst>
        </c:ser>
        <c:ser>
          <c:idx val="4"/>
          <c:order val="2"/>
          <c:tx>
            <c:strRef>
              <c:f>Sheet1!$K$4</c:f>
              <c:strCache>
                <c:ptCount val="1"/>
                <c:pt idx="0">
                  <c:v>Spirits</c:v>
                </c:pt>
              </c:strCache>
            </c:strRef>
          </c:tx>
          <c:spPr>
            <a:solidFill>
              <a:schemeClr val="accent1"/>
            </a:solidFill>
            <a:ln>
              <a:noFill/>
            </a:ln>
            <a:effectLst/>
          </c:spPr>
          <c:invertIfNegative val="0"/>
          <c:dLbls>
            <c:dLbl>
              <c:idx val="0"/>
              <c:tx>
                <c:rich>
                  <a:bodyPr/>
                  <a:lstStyle/>
                  <a:p>
                    <a:r>
                      <a:rPr lang="en-US"/>
                      <a:t>33.21%</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DD44-4F3F-8B49-44797E8A6386}"/>
                </c:ext>
              </c:extLst>
            </c:dLbl>
            <c:dLbl>
              <c:idx val="1"/>
              <c:tx>
                <c:rich>
                  <a:bodyPr/>
                  <a:lstStyle/>
                  <a:p>
                    <a:r>
                      <a:rPr lang="en-US"/>
                      <a:t>13.10%</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DD44-4F3F-8B49-44797E8A63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Sheet1!$L$1:$M$1</c:f>
              <c:strCache>
                <c:ptCount val="2"/>
                <c:pt idx="0">
                  <c:v>Tax</c:v>
                </c:pt>
                <c:pt idx="1">
                  <c:v>Consumption</c:v>
                </c:pt>
              </c:strCache>
            </c:strRef>
          </c:cat>
          <c:val>
            <c:numRef>
              <c:f>Sheet1!$L$4:$M$4</c:f>
              <c:numCache>
                <c:formatCode>0.0%</c:formatCode>
                <c:ptCount val="2"/>
                <c:pt idx="0">
                  <c:v>0.32</c:v>
                </c:pt>
                <c:pt idx="1">
                  <c:v>0.126</c:v>
                </c:pt>
              </c:numCache>
            </c:numRef>
          </c:val>
          <c:extLst xmlns:c16r2="http://schemas.microsoft.com/office/drawing/2015/06/chart">
            <c:ext xmlns:c16="http://schemas.microsoft.com/office/drawing/2014/chart" uri="{C3380CC4-5D6E-409C-BE32-E72D297353CC}">
              <c16:uniqueId val="{00000002-6E76-4165-B057-392E612D6FF8}"/>
            </c:ext>
          </c:extLst>
        </c:ser>
        <c:ser>
          <c:idx val="5"/>
          <c:order val="3"/>
          <c:tx>
            <c:strRef>
              <c:f>Sheet1!$K$5</c:f>
              <c:strCache>
                <c:ptCount val="1"/>
                <c:pt idx="0">
                  <c:v>Beer</c:v>
                </c:pt>
              </c:strCache>
            </c:strRef>
          </c:tx>
          <c:spPr>
            <a:solidFill>
              <a:schemeClr val="accent2"/>
            </a:solidFill>
            <a:ln>
              <a:noFill/>
            </a:ln>
            <a:effectLst/>
          </c:spPr>
          <c:invertIfNegative val="0"/>
          <c:dLbls>
            <c:dLbl>
              <c:idx val="0"/>
              <c:tx>
                <c:rich>
                  <a:bodyPr/>
                  <a:lstStyle/>
                  <a:p>
                    <a:r>
                      <a:rPr lang="en-US"/>
                      <a:t>38.35%</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DD44-4F3F-8B49-44797E8A6386}"/>
                </c:ext>
              </c:extLst>
            </c:dLbl>
            <c:dLbl>
              <c:idx val="1"/>
              <c:tx>
                <c:rich>
                  <a:bodyPr/>
                  <a:lstStyle/>
                  <a:p>
                    <a:r>
                      <a:rPr lang="en-US"/>
                      <a:t>39.20%</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DD44-4F3F-8B49-44797E8A63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Sheet1!$L$1:$M$1</c:f>
              <c:strCache>
                <c:ptCount val="2"/>
                <c:pt idx="0">
                  <c:v>Tax</c:v>
                </c:pt>
                <c:pt idx="1">
                  <c:v>Consumption</c:v>
                </c:pt>
              </c:strCache>
            </c:strRef>
          </c:cat>
          <c:val>
            <c:numRef>
              <c:f>Sheet1!$L$5:$M$5</c:f>
              <c:numCache>
                <c:formatCode>0.0%</c:formatCode>
                <c:ptCount val="2"/>
                <c:pt idx="0">
                  <c:v>0.38800000000000001</c:v>
                </c:pt>
                <c:pt idx="1">
                  <c:v>0.41299999999999998</c:v>
                </c:pt>
              </c:numCache>
            </c:numRef>
          </c:val>
          <c:extLst xmlns:c16r2="http://schemas.microsoft.com/office/drawing/2015/06/chart">
            <c:ext xmlns:c16="http://schemas.microsoft.com/office/drawing/2014/chart" uri="{C3380CC4-5D6E-409C-BE32-E72D297353CC}">
              <c16:uniqueId val="{00000003-6E76-4165-B057-392E612D6FF8}"/>
            </c:ext>
          </c:extLst>
        </c:ser>
        <c:dLbls>
          <c:showLegendKey val="0"/>
          <c:showVal val="0"/>
          <c:showCatName val="0"/>
          <c:showSerName val="0"/>
          <c:showPercent val="0"/>
          <c:showBubbleSize val="0"/>
        </c:dLbls>
        <c:gapWidth val="150"/>
        <c:overlap val="100"/>
        <c:axId val="175923968"/>
        <c:axId val="177128192"/>
      </c:barChart>
      <c:catAx>
        <c:axId val="17592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128192"/>
        <c:crosses val="autoZero"/>
        <c:auto val="1"/>
        <c:lblAlgn val="ctr"/>
        <c:lblOffset val="100"/>
        <c:noMultiLvlLbl val="0"/>
      </c:catAx>
      <c:valAx>
        <c:axId val="1771281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923968"/>
        <c:crosses val="autoZero"/>
        <c:crossBetween val="between"/>
        <c:majorUnit val="1"/>
        <c:min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Sheet1!$Q$21</c:f>
              <c:strCache>
                <c:ptCount val="1"/>
                <c:pt idx="0">
                  <c:v>Alcohol</c:v>
                </c:pt>
              </c:strCache>
            </c:strRef>
          </c:tx>
          <c:spPr>
            <a:ln w="28575" cap="rnd">
              <a:solidFill>
                <a:schemeClr val="accent1"/>
              </a:solidFill>
              <a:round/>
            </a:ln>
            <a:effectLst/>
          </c:spPr>
          <c:marker>
            <c:symbol val="none"/>
          </c:marker>
          <c:cat>
            <c:numRef>
              <c:f>Sheet1!$P$22:$P$90</c:f>
              <c:numCache>
                <c:formatCode>mmm\-yy</c:formatCode>
                <c:ptCount val="69"/>
                <c:pt idx="0">
                  <c:v>36678</c:v>
                </c:pt>
                <c:pt idx="1">
                  <c:v>36770</c:v>
                </c:pt>
                <c:pt idx="2">
                  <c:v>36861</c:v>
                </c:pt>
                <c:pt idx="3">
                  <c:v>36951</c:v>
                </c:pt>
                <c:pt idx="4">
                  <c:v>37043</c:v>
                </c:pt>
                <c:pt idx="5">
                  <c:v>37135</c:v>
                </c:pt>
                <c:pt idx="6">
                  <c:v>37226</c:v>
                </c:pt>
                <c:pt idx="7">
                  <c:v>37316</c:v>
                </c:pt>
                <c:pt idx="8">
                  <c:v>37408</c:v>
                </c:pt>
                <c:pt idx="9">
                  <c:v>37500</c:v>
                </c:pt>
                <c:pt idx="10">
                  <c:v>37591</c:v>
                </c:pt>
                <c:pt idx="11">
                  <c:v>37681</c:v>
                </c:pt>
                <c:pt idx="12">
                  <c:v>37773</c:v>
                </c:pt>
                <c:pt idx="13">
                  <c:v>37865</c:v>
                </c:pt>
                <c:pt idx="14">
                  <c:v>37956</c:v>
                </c:pt>
                <c:pt idx="15">
                  <c:v>38047</c:v>
                </c:pt>
                <c:pt idx="16">
                  <c:v>38139</c:v>
                </c:pt>
                <c:pt idx="17">
                  <c:v>38231</c:v>
                </c:pt>
                <c:pt idx="18">
                  <c:v>38322</c:v>
                </c:pt>
                <c:pt idx="19">
                  <c:v>38412</c:v>
                </c:pt>
                <c:pt idx="20">
                  <c:v>38504</c:v>
                </c:pt>
                <c:pt idx="21">
                  <c:v>38596</c:v>
                </c:pt>
                <c:pt idx="22">
                  <c:v>38687</c:v>
                </c:pt>
                <c:pt idx="23">
                  <c:v>38777</c:v>
                </c:pt>
                <c:pt idx="24">
                  <c:v>38869</c:v>
                </c:pt>
                <c:pt idx="25">
                  <c:v>38961</c:v>
                </c:pt>
                <c:pt idx="26">
                  <c:v>39052</c:v>
                </c:pt>
                <c:pt idx="27">
                  <c:v>39142</c:v>
                </c:pt>
                <c:pt idx="28">
                  <c:v>39234</c:v>
                </c:pt>
                <c:pt idx="29">
                  <c:v>39326</c:v>
                </c:pt>
                <c:pt idx="30">
                  <c:v>39417</c:v>
                </c:pt>
                <c:pt idx="31">
                  <c:v>39508</c:v>
                </c:pt>
                <c:pt idx="32">
                  <c:v>39600</c:v>
                </c:pt>
                <c:pt idx="33">
                  <c:v>39692</c:v>
                </c:pt>
                <c:pt idx="34">
                  <c:v>39783</c:v>
                </c:pt>
                <c:pt idx="35">
                  <c:v>39873</c:v>
                </c:pt>
                <c:pt idx="36">
                  <c:v>39965</c:v>
                </c:pt>
                <c:pt idx="37">
                  <c:v>40057</c:v>
                </c:pt>
                <c:pt idx="38">
                  <c:v>40148</c:v>
                </c:pt>
                <c:pt idx="39">
                  <c:v>40238</c:v>
                </c:pt>
                <c:pt idx="40">
                  <c:v>40330</c:v>
                </c:pt>
                <c:pt idx="41">
                  <c:v>40422</c:v>
                </c:pt>
                <c:pt idx="42">
                  <c:v>40513</c:v>
                </c:pt>
                <c:pt idx="43">
                  <c:v>40603</c:v>
                </c:pt>
                <c:pt idx="44">
                  <c:v>40695</c:v>
                </c:pt>
                <c:pt idx="45">
                  <c:v>40787</c:v>
                </c:pt>
                <c:pt idx="46">
                  <c:v>40878</c:v>
                </c:pt>
                <c:pt idx="47">
                  <c:v>40969</c:v>
                </c:pt>
                <c:pt idx="48">
                  <c:v>41061</c:v>
                </c:pt>
                <c:pt idx="49">
                  <c:v>41153</c:v>
                </c:pt>
                <c:pt idx="50">
                  <c:v>41244</c:v>
                </c:pt>
                <c:pt idx="51">
                  <c:v>41334</c:v>
                </c:pt>
                <c:pt idx="52">
                  <c:v>41426</c:v>
                </c:pt>
                <c:pt idx="53">
                  <c:v>41518</c:v>
                </c:pt>
                <c:pt idx="54">
                  <c:v>41609</c:v>
                </c:pt>
                <c:pt idx="55">
                  <c:v>41699</c:v>
                </c:pt>
                <c:pt idx="56">
                  <c:v>41791</c:v>
                </c:pt>
                <c:pt idx="57">
                  <c:v>41883</c:v>
                </c:pt>
                <c:pt idx="58">
                  <c:v>41974</c:v>
                </c:pt>
                <c:pt idx="59">
                  <c:v>42064</c:v>
                </c:pt>
                <c:pt idx="60">
                  <c:v>42156</c:v>
                </c:pt>
                <c:pt idx="61">
                  <c:v>42248</c:v>
                </c:pt>
                <c:pt idx="62">
                  <c:v>42339</c:v>
                </c:pt>
                <c:pt idx="63">
                  <c:v>42430</c:v>
                </c:pt>
                <c:pt idx="64">
                  <c:v>42522</c:v>
                </c:pt>
                <c:pt idx="65">
                  <c:v>42614</c:v>
                </c:pt>
                <c:pt idx="66">
                  <c:v>42705</c:v>
                </c:pt>
                <c:pt idx="67">
                  <c:v>42795</c:v>
                </c:pt>
                <c:pt idx="68">
                  <c:v>42887</c:v>
                </c:pt>
              </c:numCache>
            </c:numRef>
          </c:cat>
          <c:val>
            <c:numRef>
              <c:f>Sheet1!$Q$22:$Q$90</c:f>
              <c:numCache>
                <c:formatCode>0</c:formatCode>
                <c:ptCount val="69"/>
                <c:pt idx="0">
                  <c:v>100</c:v>
                </c:pt>
                <c:pt idx="1">
                  <c:v>96.644467465837891</c:v>
                </c:pt>
                <c:pt idx="2">
                  <c:v>97.014764310590095</c:v>
                </c:pt>
                <c:pt idx="3">
                  <c:v>96.156809863224836</c:v>
                </c:pt>
                <c:pt idx="4">
                  <c:v>96.125704460788995</c:v>
                </c:pt>
                <c:pt idx="5">
                  <c:v>96.227292131100882</c:v>
                </c:pt>
                <c:pt idx="6">
                  <c:v>96.856763925729467</c:v>
                </c:pt>
                <c:pt idx="7">
                  <c:v>97.084982099114399</c:v>
                </c:pt>
                <c:pt idx="8">
                  <c:v>97.575871464812565</c:v>
                </c:pt>
                <c:pt idx="9">
                  <c:v>97.395668742448194</c:v>
                </c:pt>
                <c:pt idx="10">
                  <c:v>98.400111685048188</c:v>
                </c:pt>
                <c:pt idx="11">
                  <c:v>98.212789466414989</c:v>
                </c:pt>
                <c:pt idx="12">
                  <c:v>98.681217901687461</c:v>
                </c:pt>
                <c:pt idx="13">
                  <c:v>97.588002873563212</c:v>
                </c:pt>
                <c:pt idx="14">
                  <c:v>97.793638756301036</c:v>
                </c:pt>
                <c:pt idx="15">
                  <c:v>97.74535809018569</c:v>
                </c:pt>
                <c:pt idx="16">
                  <c:v>97.697936292336678</c:v>
                </c:pt>
                <c:pt idx="17">
                  <c:v>97.774492325085888</c:v>
                </c:pt>
                <c:pt idx="18">
                  <c:v>97.83632528305138</c:v>
                </c:pt>
                <c:pt idx="19">
                  <c:v>98.139554757937034</c:v>
                </c:pt>
                <c:pt idx="20">
                  <c:v>98.810792378841498</c:v>
                </c:pt>
                <c:pt idx="21">
                  <c:v>98.740409746227158</c:v>
                </c:pt>
                <c:pt idx="22">
                  <c:v>99.392666638666071</c:v>
                </c:pt>
                <c:pt idx="23">
                  <c:v>99.197477073737502</c:v>
                </c:pt>
                <c:pt idx="24">
                  <c:v>99.480080748156396</c:v>
                </c:pt>
                <c:pt idx="25">
                  <c:v>100.35388033906676</c:v>
                </c:pt>
                <c:pt idx="26">
                  <c:v>100.50683533972659</c:v>
                </c:pt>
                <c:pt idx="27">
                  <c:v>101.01295641931685</c:v>
                </c:pt>
                <c:pt idx="28">
                  <c:v>100.80526674962866</c:v>
                </c:pt>
                <c:pt idx="29">
                  <c:v>101.40887841131578</c:v>
                </c:pt>
                <c:pt idx="30">
                  <c:v>100.96866995073893</c:v>
                </c:pt>
                <c:pt idx="31">
                  <c:v>100.7581536545497</c:v>
                </c:pt>
                <c:pt idx="32">
                  <c:v>99.876411351846201</c:v>
                </c:pt>
                <c:pt idx="33">
                  <c:v>99.576870953169731</c:v>
                </c:pt>
                <c:pt idx="34">
                  <c:v>99.392180932187628</c:v>
                </c:pt>
                <c:pt idx="35">
                  <c:v>99.965888023730059</c:v>
                </c:pt>
                <c:pt idx="36">
                  <c:v>100.00809627203475</c:v>
                </c:pt>
                <c:pt idx="37">
                  <c:v>99.237596391677599</c:v>
                </c:pt>
                <c:pt idx="38">
                  <c:v>98.870231203480628</c:v>
                </c:pt>
                <c:pt idx="39">
                  <c:v>99.01477832512316</c:v>
                </c:pt>
                <c:pt idx="40">
                  <c:v>99.252223836694213</c:v>
                </c:pt>
                <c:pt idx="41">
                  <c:v>99.689725689302605</c:v>
                </c:pt>
                <c:pt idx="42">
                  <c:v>100.21678885887677</c:v>
                </c:pt>
                <c:pt idx="43">
                  <c:v>100.65332075603537</c:v>
                </c:pt>
                <c:pt idx="44">
                  <c:v>101.58963071655663</c:v>
                </c:pt>
                <c:pt idx="45">
                  <c:v>102.43230968102574</c:v>
                </c:pt>
                <c:pt idx="46">
                  <c:v>102.53751516201699</c:v>
                </c:pt>
                <c:pt idx="47">
                  <c:v>102.42681839994516</c:v>
                </c:pt>
                <c:pt idx="48">
                  <c:v>102.54008237737007</c:v>
                </c:pt>
                <c:pt idx="49">
                  <c:v>102.74239350912779</c:v>
                </c:pt>
                <c:pt idx="50">
                  <c:v>103.56874555852596</c:v>
                </c:pt>
                <c:pt idx="51">
                  <c:v>103.78502155172416</c:v>
                </c:pt>
                <c:pt idx="52">
                  <c:v>103.90938641466438</c:v>
                </c:pt>
                <c:pt idx="53">
                  <c:v>104.02132267199732</c:v>
                </c:pt>
                <c:pt idx="54">
                  <c:v>103.34824953935247</c:v>
                </c:pt>
                <c:pt idx="55">
                  <c:v>103.26541274817139</c:v>
                </c:pt>
                <c:pt idx="56">
                  <c:v>103.19395335258055</c:v>
                </c:pt>
                <c:pt idx="57">
                  <c:v>103.51038364495054</c:v>
                </c:pt>
                <c:pt idx="58">
                  <c:v>104.3129375162043</c:v>
                </c:pt>
                <c:pt idx="59">
                  <c:v>104.23516533050004</c:v>
                </c:pt>
                <c:pt idx="60">
                  <c:v>104.36311146752206</c:v>
                </c:pt>
                <c:pt idx="61">
                  <c:v>104.28580534132195</c:v>
                </c:pt>
                <c:pt idx="62">
                  <c:v>105.18712814279318</c:v>
                </c:pt>
                <c:pt idx="63">
                  <c:v>104.82631729213591</c:v>
                </c:pt>
                <c:pt idx="64">
                  <c:v>105.14296570722905</c:v>
                </c:pt>
                <c:pt idx="65">
                  <c:v>105.27725148414804</c:v>
                </c:pt>
                <c:pt idx="66">
                  <c:v>106.46750357540125</c:v>
                </c:pt>
                <c:pt idx="67">
                  <c:v>105.71195276678603</c:v>
                </c:pt>
                <c:pt idx="68">
                  <c:v>105.63968015992005</c:v>
                </c:pt>
              </c:numCache>
            </c:numRef>
          </c:val>
          <c:smooth val="0"/>
          <c:extLst xmlns:c16r2="http://schemas.microsoft.com/office/drawing/2015/06/chart">
            <c:ext xmlns:c16="http://schemas.microsoft.com/office/drawing/2014/chart" uri="{C3380CC4-5D6E-409C-BE32-E72D297353CC}">
              <c16:uniqueId val="{00000000-3A5C-4AC1-A2DF-AC29F50205EA}"/>
            </c:ext>
          </c:extLst>
        </c:ser>
        <c:ser>
          <c:idx val="1"/>
          <c:order val="1"/>
          <c:tx>
            <c:strRef>
              <c:f>Sheet1!$R$21</c:f>
              <c:strCache>
                <c:ptCount val="1"/>
                <c:pt idx="0">
                  <c:v>Spirits</c:v>
                </c:pt>
              </c:strCache>
            </c:strRef>
          </c:tx>
          <c:spPr>
            <a:ln w="28575" cap="rnd">
              <a:solidFill>
                <a:schemeClr val="accent2"/>
              </a:solidFill>
              <a:round/>
            </a:ln>
            <a:effectLst/>
          </c:spPr>
          <c:marker>
            <c:symbol val="none"/>
          </c:marker>
          <c:cat>
            <c:numRef>
              <c:f>Sheet1!$P$22:$P$90</c:f>
              <c:numCache>
                <c:formatCode>mmm\-yy</c:formatCode>
                <c:ptCount val="69"/>
                <c:pt idx="0">
                  <c:v>36678</c:v>
                </c:pt>
                <c:pt idx="1">
                  <c:v>36770</c:v>
                </c:pt>
                <c:pt idx="2">
                  <c:v>36861</c:v>
                </c:pt>
                <c:pt idx="3">
                  <c:v>36951</c:v>
                </c:pt>
                <c:pt idx="4">
                  <c:v>37043</c:v>
                </c:pt>
                <c:pt idx="5">
                  <c:v>37135</c:v>
                </c:pt>
                <c:pt idx="6">
                  <c:v>37226</c:v>
                </c:pt>
                <c:pt idx="7">
                  <c:v>37316</c:v>
                </c:pt>
                <c:pt idx="8">
                  <c:v>37408</c:v>
                </c:pt>
                <c:pt idx="9">
                  <c:v>37500</c:v>
                </c:pt>
                <c:pt idx="10">
                  <c:v>37591</c:v>
                </c:pt>
                <c:pt idx="11">
                  <c:v>37681</c:v>
                </c:pt>
                <c:pt idx="12">
                  <c:v>37773</c:v>
                </c:pt>
                <c:pt idx="13">
                  <c:v>37865</c:v>
                </c:pt>
                <c:pt idx="14">
                  <c:v>37956</c:v>
                </c:pt>
                <c:pt idx="15">
                  <c:v>38047</c:v>
                </c:pt>
                <c:pt idx="16">
                  <c:v>38139</c:v>
                </c:pt>
                <c:pt idx="17">
                  <c:v>38231</c:v>
                </c:pt>
                <c:pt idx="18">
                  <c:v>38322</c:v>
                </c:pt>
                <c:pt idx="19">
                  <c:v>38412</c:v>
                </c:pt>
                <c:pt idx="20">
                  <c:v>38504</c:v>
                </c:pt>
                <c:pt idx="21">
                  <c:v>38596</c:v>
                </c:pt>
                <c:pt idx="22">
                  <c:v>38687</c:v>
                </c:pt>
                <c:pt idx="23">
                  <c:v>38777</c:v>
                </c:pt>
                <c:pt idx="24">
                  <c:v>38869</c:v>
                </c:pt>
                <c:pt idx="25">
                  <c:v>38961</c:v>
                </c:pt>
                <c:pt idx="26">
                  <c:v>39052</c:v>
                </c:pt>
                <c:pt idx="27">
                  <c:v>39142</c:v>
                </c:pt>
                <c:pt idx="28">
                  <c:v>39234</c:v>
                </c:pt>
                <c:pt idx="29">
                  <c:v>39326</c:v>
                </c:pt>
                <c:pt idx="30">
                  <c:v>39417</c:v>
                </c:pt>
                <c:pt idx="31">
                  <c:v>39508</c:v>
                </c:pt>
                <c:pt idx="32">
                  <c:v>39600</c:v>
                </c:pt>
                <c:pt idx="33">
                  <c:v>39692</c:v>
                </c:pt>
                <c:pt idx="34">
                  <c:v>39783</c:v>
                </c:pt>
                <c:pt idx="35">
                  <c:v>39873</c:v>
                </c:pt>
                <c:pt idx="36">
                  <c:v>39965</c:v>
                </c:pt>
                <c:pt idx="37">
                  <c:v>40057</c:v>
                </c:pt>
                <c:pt idx="38">
                  <c:v>40148</c:v>
                </c:pt>
                <c:pt idx="39">
                  <c:v>40238</c:v>
                </c:pt>
                <c:pt idx="40">
                  <c:v>40330</c:v>
                </c:pt>
                <c:pt idx="41">
                  <c:v>40422</c:v>
                </c:pt>
                <c:pt idx="42">
                  <c:v>40513</c:v>
                </c:pt>
                <c:pt idx="43">
                  <c:v>40603</c:v>
                </c:pt>
                <c:pt idx="44">
                  <c:v>40695</c:v>
                </c:pt>
                <c:pt idx="45">
                  <c:v>40787</c:v>
                </c:pt>
                <c:pt idx="46">
                  <c:v>40878</c:v>
                </c:pt>
                <c:pt idx="47">
                  <c:v>40969</c:v>
                </c:pt>
                <c:pt idx="48">
                  <c:v>41061</c:v>
                </c:pt>
                <c:pt idx="49">
                  <c:v>41153</c:v>
                </c:pt>
                <c:pt idx="50">
                  <c:v>41244</c:v>
                </c:pt>
                <c:pt idx="51">
                  <c:v>41334</c:v>
                </c:pt>
                <c:pt idx="52">
                  <c:v>41426</c:v>
                </c:pt>
                <c:pt idx="53">
                  <c:v>41518</c:v>
                </c:pt>
                <c:pt idx="54">
                  <c:v>41609</c:v>
                </c:pt>
                <c:pt idx="55">
                  <c:v>41699</c:v>
                </c:pt>
                <c:pt idx="56">
                  <c:v>41791</c:v>
                </c:pt>
                <c:pt idx="57">
                  <c:v>41883</c:v>
                </c:pt>
                <c:pt idx="58">
                  <c:v>41974</c:v>
                </c:pt>
                <c:pt idx="59">
                  <c:v>42064</c:v>
                </c:pt>
                <c:pt idx="60">
                  <c:v>42156</c:v>
                </c:pt>
                <c:pt idx="61">
                  <c:v>42248</c:v>
                </c:pt>
                <c:pt idx="62">
                  <c:v>42339</c:v>
                </c:pt>
                <c:pt idx="63">
                  <c:v>42430</c:v>
                </c:pt>
                <c:pt idx="64">
                  <c:v>42522</c:v>
                </c:pt>
                <c:pt idx="65">
                  <c:v>42614</c:v>
                </c:pt>
                <c:pt idx="66">
                  <c:v>42705</c:v>
                </c:pt>
                <c:pt idx="67">
                  <c:v>42795</c:v>
                </c:pt>
                <c:pt idx="68">
                  <c:v>42887</c:v>
                </c:pt>
              </c:numCache>
            </c:numRef>
          </c:cat>
          <c:val>
            <c:numRef>
              <c:f>Sheet1!$R$22:$R$90</c:f>
              <c:numCache>
                <c:formatCode>0</c:formatCode>
                <c:ptCount val="69"/>
                <c:pt idx="0">
                  <c:v>100</c:v>
                </c:pt>
                <c:pt idx="1">
                  <c:v>96.870459589671398</c:v>
                </c:pt>
                <c:pt idx="2">
                  <c:v>97.798083689709287</c:v>
                </c:pt>
                <c:pt idx="3">
                  <c:v>96.751193633952255</c:v>
                </c:pt>
                <c:pt idx="4">
                  <c:v>96.638351555929347</c:v>
                </c:pt>
                <c:pt idx="5">
                  <c:v>96.673587563253164</c:v>
                </c:pt>
                <c:pt idx="6">
                  <c:v>97.439824716990969</c:v>
                </c:pt>
                <c:pt idx="7">
                  <c:v>97.322649020317428</c:v>
                </c:pt>
                <c:pt idx="8">
                  <c:v>97.788773774547693</c:v>
                </c:pt>
                <c:pt idx="9">
                  <c:v>98.085566429266805</c:v>
                </c:pt>
                <c:pt idx="10">
                  <c:v>98.816739997953547</c:v>
                </c:pt>
                <c:pt idx="11">
                  <c:v>98.668692085675218</c:v>
                </c:pt>
                <c:pt idx="12">
                  <c:v>98.523656776263024</c:v>
                </c:pt>
                <c:pt idx="13">
                  <c:v>98.50300173654179</c:v>
                </c:pt>
                <c:pt idx="14">
                  <c:v>99.496372851038444</c:v>
                </c:pt>
                <c:pt idx="15">
                  <c:v>99.204244031830243</c:v>
                </c:pt>
                <c:pt idx="16">
                  <c:v>99.338438277325267</c:v>
                </c:pt>
                <c:pt idx="17">
                  <c:v>99.331237607002961</c:v>
                </c:pt>
                <c:pt idx="18">
                  <c:v>99.697627509365077</c:v>
                </c:pt>
                <c:pt idx="19">
                  <c:v>100.61560596614069</c:v>
                </c:pt>
                <c:pt idx="20">
                  <c:v>101.13286846881269</c:v>
                </c:pt>
                <c:pt idx="21">
                  <c:v>101.62211456255346</c:v>
                </c:pt>
                <c:pt idx="22">
                  <c:v>101.68810274262596</c:v>
                </c:pt>
                <c:pt idx="23">
                  <c:v>101.20578420467186</c:v>
                </c:pt>
                <c:pt idx="24">
                  <c:v>101.40910344827587</c:v>
                </c:pt>
                <c:pt idx="25">
                  <c:v>101.47496925249395</c:v>
                </c:pt>
                <c:pt idx="26">
                  <c:v>101.01077586206897</c:v>
                </c:pt>
                <c:pt idx="27">
                  <c:v>100.94845360824742</c:v>
                </c:pt>
                <c:pt idx="28">
                  <c:v>100.88740323715693</c:v>
                </c:pt>
                <c:pt idx="29">
                  <c:v>100.93416927899685</c:v>
                </c:pt>
                <c:pt idx="30">
                  <c:v>101.12730101114857</c:v>
                </c:pt>
                <c:pt idx="31">
                  <c:v>101.04550698628381</c:v>
                </c:pt>
                <c:pt idx="32">
                  <c:v>96.346116661295525</c:v>
                </c:pt>
                <c:pt idx="33">
                  <c:v>92.883404451620336</c:v>
                </c:pt>
                <c:pt idx="34">
                  <c:v>92.585865483100022</c:v>
                </c:pt>
                <c:pt idx="35">
                  <c:v>91.706561406122006</c:v>
                </c:pt>
                <c:pt idx="36">
                  <c:v>91.742321765162444</c:v>
                </c:pt>
                <c:pt idx="37">
                  <c:v>90.838521542611346</c:v>
                </c:pt>
                <c:pt idx="38">
                  <c:v>90.784645413142485</c:v>
                </c:pt>
                <c:pt idx="39">
                  <c:v>91.008620689655174</c:v>
                </c:pt>
                <c:pt idx="40">
                  <c:v>92.079763875890862</c:v>
                </c:pt>
                <c:pt idx="41">
                  <c:v>92.286582097552269</c:v>
                </c:pt>
                <c:pt idx="42">
                  <c:v>92.387169864759613</c:v>
                </c:pt>
                <c:pt idx="43">
                  <c:v>92.126728513915637</c:v>
                </c:pt>
                <c:pt idx="44">
                  <c:v>92.70138210247103</c:v>
                </c:pt>
                <c:pt idx="45">
                  <c:v>93.755014878347637</c:v>
                </c:pt>
                <c:pt idx="46">
                  <c:v>93.567095970087237</c:v>
                </c:pt>
                <c:pt idx="47">
                  <c:v>93.56001919517378</c:v>
                </c:pt>
                <c:pt idx="48">
                  <c:v>93.756031075371411</c:v>
                </c:pt>
                <c:pt idx="49">
                  <c:v>93.481681034482762</c:v>
                </c:pt>
                <c:pt idx="50">
                  <c:v>94.233188391141681</c:v>
                </c:pt>
                <c:pt idx="51">
                  <c:v>94.065757818765036</c:v>
                </c:pt>
                <c:pt idx="52">
                  <c:v>94.182023742227244</c:v>
                </c:pt>
                <c:pt idx="53">
                  <c:v>93.569999015715737</c:v>
                </c:pt>
                <c:pt idx="54">
                  <c:v>92.807659959888738</c:v>
                </c:pt>
                <c:pt idx="55">
                  <c:v>92.572747083707213</c:v>
                </c:pt>
                <c:pt idx="56">
                  <c:v>93.295318821036403</c:v>
                </c:pt>
                <c:pt idx="57">
                  <c:v>93.410629254418197</c:v>
                </c:pt>
                <c:pt idx="58">
                  <c:v>94.660098522167488</c:v>
                </c:pt>
                <c:pt idx="59">
                  <c:v>94.243865128433924</c:v>
                </c:pt>
                <c:pt idx="60">
                  <c:v>94.53721847563304</c:v>
                </c:pt>
                <c:pt idx="61">
                  <c:v>94.732758620689665</c:v>
                </c:pt>
                <c:pt idx="62">
                  <c:v>95.023600126542235</c:v>
                </c:pt>
                <c:pt idx="63">
                  <c:v>94.620188087774295</c:v>
                </c:pt>
                <c:pt idx="64">
                  <c:v>94.47939444911691</c:v>
                </c:pt>
                <c:pt idx="65">
                  <c:v>94.86066722736193</c:v>
                </c:pt>
                <c:pt idx="66">
                  <c:v>96.362777515351922</c:v>
                </c:pt>
                <c:pt idx="67">
                  <c:v>95.689281712934132</c:v>
                </c:pt>
                <c:pt idx="68">
                  <c:v>95.371716111505577</c:v>
                </c:pt>
              </c:numCache>
            </c:numRef>
          </c:val>
          <c:smooth val="0"/>
          <c:extLst xmlns:c16r2="http://schemas.microsoft.com/office/drawing/2015/06/chart">
            <c:ext xmlns:c16="http://schemas.microsoft.com/office/drawing/2014/chart" uri="{C3380CC4-5D6E-409C-BE32-E72D297353CC}">
              <c16:uniqueId val="{00000001-3A5C-4AC1-A2DF-AC29F50205EA}"/>
            </c:ext>
          </c:extLst>
        </c:ser>
        <c:ser>
          <c:idx val="2"/>
          <c:order val="2"/>
          <c:tx>
            <c:strRef>
              <c:f>Sheet1!$S$21</c:f>
              <c:strCache>
                <c:ptCount val="1"/>
                <c:pt idx="0">
                  <c:v>Wine</c:v>
                </c:pt>
              </c:strCache>
            </c:strRef>
          </c:tx>
          <c:spPr>
            <a:ln w="28575" cap="rnd">
              <a:solidFill>
                <a:schemeClr val="accent3"/>
              </a:solidFill>
              <a:round/>
            </a:ln>
            <a:effectLst/>
          </c:spPr>
          <c:marker>
            <c:symbol val="none"/>
          </c:marker>
          <c:cat>
            <c:numRef>
              <c:f>Sheet1!$P$22:$P$90</c:f>
              <c:numCache>
                <c:formatCode>mmm\-yy</c:formatCode>
                <c:ptCount val="69"/>
                <c:pt idx="0">
                  <c:v>36678</c:v>
                </c:pt>
                <c:pt idx="1">
                  <c:v>36770</c:v>
                </c:pt>
                <c:pt idx="2">
                  <c:v>36861</c:v>
                </c:pt>
                <c:pt idx="3">
                  <c:v>36951</c:v>
                </c:pt>
                <c:pt idx="4">
                  <c:v>37043</c:v>
                </c:pt>
                <c:pt idx="5">
                  <c:v>37135</c:v>
                </c:pt>
                <c:pt idx="6">
                  <c:v>37226</c:v>
                </c:pt>
                <c:pt idx="7">
                  <c:v>37316</c:v>
                </c:pt>
                <c:pt idx="8">
                  <c:v>37408</c:v>
                </c:pt>
                <c:pt idx="9">
                  <c:v>37500</c:v>
                </c:pt>
                <c:pt idx="10">
                  <c:v>37591</c:v>
                </c:pt>
                <c:pt idx="11">
                  <c:v>37681</c:v>
                </c:pt>
                <c:pt idx="12">
                  <c:v>37773</c:v>
                </c:pt>
                <c:pt idx="13">
                  <c:v>37865</c:v>
                </c:pt>
                <c:pt idx="14">
                  <c:v>37956</c:v>
                </c:pt>
                <c:pt idx="15">
                  <c:v>38047</c:v>
                </c:pt>
                <c:pt idx="16">
                  <c:v>38139</c:v>
                </c:pt>
                <c:pt idx="17">
                  <c:v>38231</c:v>
                </c:pt>
                <c:pt idx="18">
                  <c:v>38322</c:v>
                </c:pt>
                <c:pt idx="19">
                  <c:v>38412</c:v>
                </c:pt>
                <c:pt idx="20">
                  <c:v>38504</c:v>
                </c:pt>
                <c:pt idx="21">
                  <c:v>38596</c:v>
                </c:pt>
                <c:pt idx="22">
                  <c:v>38687</c:v>
                </c:pt>
                <c:pt idx="23">
                  <c:v>38777</c:v>
                </c:pt>
                <c:pt idx="24">
                  <c:v>38869</c:v>
                </c:pt>
                <c:pt idx="25">
                  <c:v>38961</c:v>
                </c:pt>
                <c:pt idx="26">
                  <c:v>39052</c:v>
                </c:pt>
                <c:pt idx="27">
                  <c:v>39142</c:v>
                </c:pt>
                <c:pt idx="28">
                  <c:v>39234</c:v>
                </c:pt>
                <c:pt idx="29">
                  <c:v>39326</c:v>
                </c:pt>
                <c:pt idx="30">
                  <c:v>39417</c:v>
                </c:pt>
                <c:pt idx="31">
                  <c:v>39508</c:v>
                </c:pt>
                <c:pt idx="32">
                  <c:v>39600</c:v>
                </c:pt>
                <c:pt idx="33">
                  <c:v>39692</c:v>
                </c:pt>
                <c:pt idx="34">
                  <c:v>39783</c:v>
                </c:pt>
                <c:pt idx="35">
                  <c:v>39873</c:v>
                </c:pt>
                <c:pt idx="36">
                  <c:v>39965</c:v>
                </c:pt>
                <c:pt idx="37">
                  <c:v>40057</c:v>
                </c:pt>
                <c:pt idx="38">
                  <c:v>40148</c:v>
                </c:pt>
                <c:pt idx="39">
                  <c:v>40238</c:v>
                </c:pt>
                <c:pt idx="40">
                  <c:v>40330</c:v>
                </c:pt>
                <c:pt idx="41">
                  <c:v>40422</c:v>
                </c:pt>
                <c:pt idx="42">
                  <c:v>40513</c:v>
                </c:pt>
                <c:pt idx="43">
                  <c:v>40603</c:v>
                </c:pt>
                <c:pt idx="44">
                  <c:v>40695</c:v>
                </c:pt>
                <c:pt idx="45">
                  <c:v>40787</c:v>
                </c:pt>
                <c:pt idx="46">
                  <c:v>40878</c:v>
                </c:pt>
                <c:pt idx="47">
                  <c:v>40969</c:v>
                </c:pt>
                <c:pt idx="48">
                  <c:v>41061</c:v>
                </c:pt>
                <c:pt idx="49">
                  <c:v>41153</c:v>
                </c:pt>
                <c:pt idx="50">
                  <c:v>41244</c:v>
                </c:pt>
                <c:pt idx="51">
                  <c:v>41334</c:v>
                </c:pt>
                <c:pt idx="52">
                  <c:v>41426</c:v>
                </c:pt>
                <c:pt idx="53">
                  <c:v>41518</c:v>
                </c:pt>
                <c:pt idx="54">
                  <c:v>41609</c:v>
                </c:pt>
                <c:pt idx="55">
                  <c:v>41699</c:v>
                </c:pt>
                <c:pt idx="56">
                  <c:v>41791</c:v>
                </c:pt>
                <c:pt idx="57">
                  <c:v>41883</c:v>
                </c:pt>
                <c:pt idx="58">
                  <c:v>41974</c:v>
                </c:pt>
                <c:pt idx="59">
                  <c:v>42064</c:v>
                </c:pt>
                <c:pt idx="60">
                  <c:v>42156</c:v>
                </c:pt>
                <c:pt idx="61">
                  <c:v>42248</c:v>
                </c:pt>
                <c:pt idx="62">
                  <c:v>42339</c:v>
                </c:pt>
                <c:pt idx="63">
                  <c:v>42430</c:v>
                </c:pt>
                <c:pt idx="64">
                  <c:v>42522</c:v>
                </c:pt>
                <c:pt idx="65">
                  <c:v>42614</c:v>
                </c:pt>
                <c:pt idx="66">
                  <c:v>42705</c:v>
                </c:pt>
                <c:pt idx="67">
                  <c:v>42795</c:v>
                </c:pt>
                <c:pt idx="68">
                  <c:v>42887</c:v>
                </c:pt>
              </c:numCache>
            </c:numRef>
          </c:cat>
          <c:val>
            <c:numRef>
              <c:f>Sheet1!$S$22:$S$90</c:f>
              <c:numCache>
                <c:formatCode>0</c:formatCode>
                <c:ptCount val="69"/>
                <c:pt idx="0">
                  <c:v>100</c:v>
                </c:pt>
                <c:pt idx="1">
                  <c:v>97.01186333438784</c:v>
                </c:pt>
                <c:pt idx="2">
                  <c:v>98.165992865636142</c:v>
                </c:pt>
                <c:pt idx="3">
                  <c:v>97.417494642509268</c:v>
                </c:pt>
                <c:pt idx="4">
                  <c:v>96.56536398467432</c:v>
                </c:pt>
                <c:pt idx="5">
                  <c:v>96.585636619397022</c:v>
                </c:pt>
                <c:pt idx="6">
                  <c:v>97.566317393789291</c:v>
                </c:pt>
                <c:pt idx="7">
                  <c:v>98.116716724328029</c:v>
                </c:pt>
                <c:pt idx="8">
                  <c:v>98.664694055612458</c:v>
                </c:pt>
                <c:pt idx="9">
                  <c:v>99.119688786493938</c:v>
                </c:pt>
                <c:pt idx="10">
                  <c:v>100.33664266767714</c:v>
                </c:pt>
                <c:pt idx="11">
                  <c:v>100.34467733453533</c:v>
                </c:pt>
                <c:pt idx="12">
                  <c:v>101.33749482946639</c:v>
                </c:pt>
                <c:pt idx="13">
                  <c:v>101.902579654798</c:v>
                </c:pt>
                <c:pt idx="14">
                  <c:v>102.67065599521278</c:v>
                </c:pt>
                <c:pt idx="15">
                  <c:v>102.54824252750103</c:v>
                </c:pt>
                <c:pt idx="16">
                  <c:v>102.64657010513933</c:v>
                </c:pt>
                <c:pt idx="17">
                  <c:v>102.96134859399571</c:v>
                </c:pt>
                <c:pt idx="18">
                  <c:v>103.73580228913029</c:v>
                </c:pt>
                <c:pt idx="19">
                  <c:v>104.2855796076725</c:v>
                </c:pt>
                <c:pt idx="20">
                  <c:v>105.59217226829622</c:v>
                </c:pt>
                <c:pt idx="21">
                  <c:v>106.35425504913158</c:v>
                </c:pt>
                <c:pt idx="22">
                  <c:v>107.44943616519815</c:v>
                </c:pt>
                <c:pt idx="23">
                  <c:v>108.08998014081965</c:v>
                </c:pt>
                <c:pt idx="24">
                  <c:v>108.38612086887949</c:v>
                </c:pt>
                <c:pt idx="25">
                  <c:v>110.968351440718</c:v>
                </c:pt>
                <c:pt idx="26">
                  <c:v>112.18405354284884</c:v>
                </c:pt>
                <c:pt idx="27">
                  <c:v>113.16332982086405</c:v>
                </c:pt>
                <c:pt idx="28">
                  <c:v>113.9007534048102</c:v>
                </c:pt>
                <c:pt idx="29">
                  <c:v>115.48025144435157</c:v>
                </c:pt>
                <c:pt idx="30">
                  <c:v>115.72413793103449</c:v>
                </c:pt>
                <c:pt idx="31">
                  <c:v>115.84405931749151</c:v>
                </c:pt>
                <c:pt idx="32">
                  <c:v>115.25227600267145</c:v>
                </c:pt>
                <c:pt idx="33">
                  <c:v>116.43193082357904</c:v>
                </c:pt>
                <c:pt idx="34">
                  <c:v>117.37229452415197</c:v>
                </c:pt>
                <c:pt idx="35">
                  <c:v>119.28123233465236</c:v>
                </c:pt>
                <c:pt idx="36">
                  <c:v>120.35310344827587</c:v>
                </c:pt>
                <c:pt idx="37">
                  <c:v>119.72273619287917</c:v>
                </c:pt>
                <c:pt idx="38">
                  <c:v>120.7863331813239</c:v>
                </c:pt>
                <c:pt idx="39">
                  <c:v>121.47513464363155</c:v>
                </c:pt>
                <c:pt idx="40">
                  <c:v>122.27676859244797</c:v>
                </c:pt>
                <c:pt idx="41">
                  <c:v>122.57928264783271</c:v>
                </c:pt>
                <c:pt idx="42">
                  <c:v>123.98184023566105</c:v>
                </c:pt>
                <c:pt idx="43">
                  <c:v>124.0313542132224</c:v>
                </c:pt>
                <c:pt idx="44">
                  <c:v>125.93850517068445</c:v>
                </c:pt>
                <c:pt idx="45">
                  <c:v>127.11064949452987</c:v>
                </c:pt>
                <c:pt idx="46">
                  <c:v>128.27253842958041</c:v>
                </c:pt>
                <c:pt idx="47">
                  <c:v>128.90351028282066</c:v>
                </c:pt>
                <c:pt idx="48">
                  <c:v>129.16974283464029</c:v>
                </c:pt>
                <c:pt idx="49">
                  <c:v>129.80333572086363</c:v>
                </c:pt>
                <c:pt idx="50">
                  <c:v>130.33231313337416</c:v>
                </c:pt>
                <c:pt idx="51">
                  <c:v>129.83683767872162</c:v>
                </c:pt>
                <c:pt idx="52">
                  <c:v>130.49983195536737</c:v>
                </c:pt>
                <c:pt idx="53">
                  <c:v>130.13380375449341</c:v>
                </c:pt>
                <c:pt idx="54">
                  <c:v>130.03709458789302</c:v>
                </c:pt>
                <c:pt idx="55">
                  <c:v>129.68137014114026</c:v>
                </c:pt>
                <c:pt idx="56">
                  <c:v>129.71156914460619</c:v>
                </c:pt>
                <c:pt idx="57">
                  <c:v>131.09546554995745</c:v>
                </c:pt>
                <c:pt idx="58">
                  <c:v>132.99970301930375</c:v>
                </c:pt>
                <c:pt idx="59">
                  <c:v>134.03140807352796</c:v>
                </c:pt>
                <c:pt idx="60">
                  <c:v>133.92669537490548</c:v>
                </c:pt>
                <c:pt idx="61">
                  <c:v>135.21451905626131</c:v>
                </c:pt>
                <c:pt idx="62">
                  <c:v>138.93690532424591</c:v>
                </c:pt>
                <c:pt idx="63">
                  <c:v>139.20767031118586</c:v>
                </c:pt>
                <c:pt idx="64">
                  <c:v>140.29570146433633</c:v>
                </c:pt>
                <c:pt idx="65">
                  <c:v>141.13806626098716</c:v>
                </c:pt>
                <c:pt idx="66">
                  <c:v>144.51066175204107</c:v>
                </c:pt>
                <c:pt idx="67">
                  <c:v>142.91987929339166</c:v>
                </c:pt>
                <c:pt idx="68">
                  <c:v>144.16965653402323</c:v>
                </c:pt>
              </c:numCache>
            </c:numRef>
          </c:val>
          <c:smooth val="0"/>
          <c:extLst xmlns:c16r2="http://schemas.microsoft.com/office/drawing/2015/06/chart">
            <c:ext xmlns:c16="http://schemas.microsoft.com/office/drawing/2014/chart" uri="{C3380CC4-5D6E-409C-BE32-E72D297353CC}">
              <c16:uniqueId val="{00000002-3A5C-4AC1-A2DF-AC29F50205EA}"/>
            </c:ext>
          </c:extLst>
        </c:ser>
        <c:ser>
          <c:idx val="3"/>
          <c:order val="3"/>
          <c:tx>
            <c:strRef>
              <c:f>Sheet1!$T$21</c:f>
              <c:strCache>
                <c:ptCount val="1"/>
                <c:pt idx="0">
                  <c:v>Beer</c:v>
                </c:pt>
              </c:strCache>
            </c:strRef>
          </c:tx>
          <c:spPr>
            <a:ln w="28575" cap="rnd">
              <a:solidFill>
                <a:schemeClr val="accent4"/>
              </a:solidFill>
              <a:round/>
            </a:ln>
            <a:effectLst/>
          </c:spPr>
          <c:marker>
            <c:symbol val="none"/>
          </c:marker>
          <c:cat>
            <c:numRef>
              <c:f>Sheet1!$P$22:$P$90</c:f>
              <c:numCache>
                <c:formatCode>mmm\-yy</c:formatCode>
                <c:ptCount val="69"/>
                <c:pt idx="0">
                  <c:v>36678</c:v>
                </c:pt>
                <c:pt idx="1">
                  <c:v>36770</c:v>
                </c:pt>
                <c:pt idx="2">
                  <c:v>36861</c:v>
                </c:pt>
                <c:pt idx="3">
                  <c:v>36951</c:v>
                </c:pt>
                <c:pt idx="4">
                  <c:v>37043</c:v>
                </c:pt>
                <c:pt idx="5">
                  <c:v>37135</c:v>
                </c:pt>
                <c:pt idx="6">
                  <c:v>37226</c:v>
                </c:pt>
                <c:pt idx="7">
                  <c:v>37316</c:v>
                </c:pt>
                <c:pt idx="8">
                  <c:v>37408</c:v>
                </c:pt>
                <c:pt idx="9">
                  <c:v>37500</c:v>
                </c:pt>
                <c:pt idx="10">
                  <c:v>37591</c:v>
                </c:pt>
                <c:pt idx="11">
                  <c:v>37681</c:v>
                </c:pt>
                <c:pt idx="12">
                  <c:v>37773</c:v>
                </c:pt>
                <c:pt idx="13">
                  <c:v>37865</c:v>
                </c:pt>
                <c:pt idx="14">
                  <c:v>37956</c:v>
                </c:pt>
                <c:pt idx="15">
                  <c:v>38047</c:v>
                </c:pt>
                <c:pt idx="16">
                  <c:v>38139</c:v>
                </c:pt>
                <c:pt idx="17">
                  <c:v>38231</c:v>
                </c:pt>
                <c:pt idx="18">
                  <c:v>38322</c:v>
                </c:pt>
                <c:pt idx="19">
                  <c:v>38412</c:v>
                </c:pt>
                <c:pt idx="20">
                  <c:v>38504</c:v>
                </c:pt>
                <c:pt idx="21">
                  <c:v>38596</c:v>
                </c:pt>
                <c:pt idx="22">
                  <c:v>38687</c:v>
                </c:pt>
                <c:pt idx="23">
                  <c:v>38777</c:v>
                </c:pt>
                <c:pt idx="24">
                  <c:v>38869</c:v>
                </c:pt>
                <c:pt idx="25">
                  <c:v>38961</c:v>
                </c:pt>
                <c:pt idx="26">
                  <c:v>39052</c:v>
                </c:pt>
                <c:pt idx="27">
                  <c:v>39142</c:v>
                </c:pt>
                <c:pt idx="28">
                  <c:v>39234</c:v>
                </c:pt>
                <c:pt idx="29">
                  <c:v>39326</c:v>
                </c:pt>
                <c:pt idx="30">
                  <c:v>39417</c:v>
                </c:pt>
                <c:pt idx="31">
                  <c:v>39508</c:v>
                </c:pt>
                <c:pt idx="32">
                  <c:v>39600</c:v>
                </c:pt>
                <c:pt idx="33">
                  <c:v>39692</c:v>
                </c:pt>
                <c:pt idx="34">
                  <c:v>39783</c:v>
                </c:pt>
                <c:pt idx="35">
                  <c:v>39873</c:v>
                </c:pt>
                <c:pt idx="36">
                  <c:v>39965</c:v>
                </c:pt>
                <c:pt idx="37">
                  <c:v>40057</c:v>
                </c:pt>
                <c:pt idx="38">
                  <c:v>40148</c:v>
                </c:pt>
                <c:pt idx="39">
                  <c:v>40238</c:v>
                </c:pt>
                <c:pt idx="40">
                  <c:v>40330</c:v>
                </c:pt>
                <c:pt idx="41">
                  <c:v>40422</c:v>
                </c:pt>
                <c:pt idx="42">
                  <c:v>40513</c:v>
                </c:pt>
                <c:pt idx="43">
                  <c:v>40603</c:v>
                </c:pt>
                <c:pt idx="44">
                  <c:v>40695</c:v>
                </c:pt>
                <c:pt idx="45">
                  <c:v>40787</c:v>
                </c:pt>
                <c:pt idx="46">
                  <c:v>40878</c:v>
                </c:pt>
                <c:pt idx="47">
                  <c:v>40969</c:v>
                </c:pt>
                <c:pt idx="48">
                  <c:v>41061</c:v>
                </c:pt>
                <c:pt idx="49">
                  <c:v>41153</c:v>
                </c:pt>
                <c:pt idx="50">
                  <c:v>41244</c:v>
                </c:pt>
                <c:pt idx="51">
                  <c:v>41334</c:v>
                </c:pt>
                <c:pt idx="52">
                  <c:v>41426</c:v>
                </c:pt>
                <c:pt idx="53">
                  <c:v>41518</c:v>
                </c:pt>
                <c:pt idx="54">
                  <c:v>41609</c:v>
                </c:pt>
                <c:pt idx="55">
                  <c:v>41699</c:v>
                </c:pt>
                <c:pt idx="56">
                  <c:v>41791</c:v>
                </c:pt>
                <c:pt idx="57">
                  <c:v>41883</c:v>
                </c:pt>
                <c:pt idx="58">
                  <c:v>41974</c:v>
                </c:pt>
                <c:pt idx="59">
                  <c:v>42064</c:v>
                </c:pt>
                <c:pt idx="60">
                  <c:v>42156</c:v>
                </c:pt>
                <c:pt idx="61">
                  <c:v>42248</c:v>
                </c:pt>
                <c:pt idx="62">
                  <c:v>42339</c:v>
                </c:pt>
                <c:pt idx="63">
                  <c:v>42430</c:v>
                </c:pt>
                <c:pt idx="64">
                  <c:v>42522</c:v>
                </c:pt>
                <c:pt idx="65">
                  <c:v>42614</c:v>
                </c:pt>
                <c:pt idx="66">
                  <c:v>42705</c:v>
                </c:pt>
                <c:pt idx="67">
                  <c:v>42795</c:v>
                </c:pt>
                <c:pt idx="68">
                  <c:v>42887</c:v>
                </c:pt>
              </c:numCache>
            </c:numRef>
          </c:cat>
          <c:val>
            <c:numRef>
              <c:f>Sheet1!$T$22:$T$90</c:f>
              <c:numCache>
                <c:formatCode>0</c:formatCode>
                <c:ptCount val="69"/>
                <c:pt idx="0">
                  <c:v>100</c:v>
                </c:pt>
                <c:pt idx="1">
                  <c:v>96.303271441202469</c:v>
                </c:pt>
                <c:pt idx="2">
                  <c:v>95.99476211261458</c:v>
                </c:pt>
                <c:pt idx="3">
                  <c:v>94.952151831061229</c:v>
                </c:pt>
                <c:pt idx="4">
                  <c:v>95.716867147821432</c:v>
                </c:pt>
                <c:pt idx="5">
                  <c:v>95.739416445623348</c:v>
                </c:pt>
                <c:pt idx="6">
                  <c:v>96.054918941754238</c:v>
                </c:pt>
                <c:pt idx="7">
                  <c:v>96.367535744322979</c:v>
                </c:pt>
                <c:pt idx="8">
                  <c:v>96.824232260769321</c:v>
                </c:pt>
                <c:pt idx="9">
                  <c:v>95.948944930519815</c:v>
                </c:pt>
                <c:pt idx="10">
                  <c:v>96.95252822019485</c:v>
                </c:pt>
                <c:pt idx="11">
                  <c:v>96.514291526802964</c:v>
                </c:pt>
                <c:pt idx="12">
                  <c:v>96.93412324674668</c:v>
                </c:pt>
                <c:pt idx="13">
                  <c:v>94.433134707433837</c:v>
                </c:pt>
                <c:pt idx="14">
                  <c:v>93.917934887304966</c:v>
                </c:pt>
                <c:pt idx="15">
                  <c:v>94.064756803290479</c:v>
                </c:pt>
                <c:pt idx="16">
                  <c:v>93.950738916256171</c:v>
                </c:pt>
                <c:pt idx="17">
                  <c:v>93.838892798498719</c:v>
                </c:pt>
                <c:pt idx="18">
                  <c:v>93.321885242117901</c:v>
                </c:pt>
                <c:pt idx="19">
                  <c:v>93.189563948184656</c:v>
                </c:pt>
                <c:pt idx="20">
                  <c:v>93.564428312159706</c:v>
                </c:pt>
                <c:pt idx="21">
                  <c:v>92.82794261783836</c:v>
                </c:pt>
                <c:pt idx="22">
                  <c:v>93.301657654463256</c:v>
                </c:pt>
                <c:pt idx="23">
                  <c:v>92.820951549541689</c:v>
                </c:pt>
                <c:pt idx="24">
                  <c:v>93.050771096863642</c:v>
                </c:pt>
                <c:pt idx="25">
                  <c:v>93.160991110920264</c:v>
                </c:pt>
                <c:pt idx="26">
                  <c:v>92.925138906561486</c:v>
                </c:pt>
                <c:pt idx="27">
                  <c:v>93.147741147741144</c:v>
                </c:pt>
                <c:pt idx="28">
                  <c:v>92.359546845282395</c:v>
                </c:pt>
                <c:pt idx="29">
                  <c:v>92.678489326765188</c:v>
                </c:pt>
                <c:pt idx="30">
                  <c:v>91.703375849997983</c:v>
                </c:pt>
                <c:pt idx="31">
                  <c:v>91.17320559008671</c:v>
                </c:pt>
                <c:pt idx="32">
                  <c:v>91.789871921182268</c:v>
                </c:pt>
                <c:pt idx="33">
                  <c:v>91.99343185550083</c:v>
                </c:pt>
                <c:pt idx="34">
                  <c:v>91.2697949466247</c:v>
                </c:pt>
                <c:pt idx="35">
                  <c:v>91.685297041058192</c:v>
                </c:pt>
                <c:pt idx="36">
                  <c:v>91.300978207500862</c:v>
                </c:pt>
                <c:pt idx="37">
                  <c:v>90.374320399195668</c:v>
                </c:pt>
                <c:pt idx="38">
                  <c:v>89.253201970443357</c:v>
                </c:pt>
                <c:pt idx="39">
                  <c:v>89.000144279324772</c:v>
                </c:pt>
                <c:pt idx="40">
                  <c:v>88.654496281271136</c:v>
                </c:pt>
                <c:pt idx="41">
                  <c:v>89.134918666052386</c:v>
                </c:pt>
                <c:pt idx="42">
                  <c:v>89.512310239160286</c:v>
                </c:pt>
                <c:pt idx="43">
                  <c:v>90.545505935556818</c:v>
                </c:pt>
                <c:pt idx="44">
                  <c:v>91.01477832512316</c:v>
                </c:pt>
                <c:pt idx="45">
                  <c:v>91.676192484797383</c:v>
                </c:pt>
                <c:pt idx="46">
                  <c:v>91.39618710282322</c:v>
                </c:pt>
                <c:pt idx="47">
                  <c:v>90.843101739516769</c:v>
                </c:pt>
                <c:pt idx="48">
                  <c:v>90.855999728749197</c:v>
                </c:pt>
                <c:pt idx="49">
                  <c:v>90.860254083484577</c:v>
                </c:pt>
                <c:pt idx="50">
                  <c:v>91.9493397277855</c:v>
                </c:pt>
                <c:pt idx="51">
                  <c:v>92.684246112238</c:v>
                </c:pt>
                <c:pt idx="52">
                  <c:v>92.612832824094284</c:v>
                </c:pt>
                <c:pt idx="53">
                  <c:v>93.25319813316321</c:v>
                </c:pt>
                <c:pt idx="54">
                  <c:v>92.28590302549874</c:v>
                </c:pt>
                <c:pt idx="55">
                  <c:v>92.38489326765189</c:v>
                </c:pt>
                <c:pt idx="56">
                  <c:v>91.882849535684144</c:v>
                </c:pt>
                <c:pt idx="57">
                  <c:v>91.648024727132238</c:v>
                </c:pt>
                <c:pt idx="58">
                  <c:v>91.842309542902967</c:v>
                </c:pt>
                <c:pt idx="59">
                  <c:v>91.357802239634552</c:v>
                </c:pt>
                <c:pt idx="60">
                  <c:v>91.47495179999369</c:v>
                </c:pt>
                <c:pt idx="61">
                  <c:v>90.672647416129323</c:v>
                </c:pt>
                <c:pt idx="62">
                  <c:v>90.545657153469932</c:v>
                </c:pt>
                <c:pt idx="63">
                  <c:v>89.859134262655914</c:v>
                </c:pt>
                <c:pt idx="64">
                  <c:v>90.136588342996646</c:v>
                </c:pt>
                <c:pt idx="65">
                  <c:v>89.785232054736468</c:v>
                </c:pt>
                <c:pt idx="66">
                  <c:v>89.902555284037774</c:v>
                </c:pt>
                <c:pt idx="67">
                  <c:v>89.473017390784676</c:v>
                </c:pt>
                <c:pt idx="68">
                  <c:v>89.051590942726065</c:v>
                </c:pt>
              </c:numCache>
            </c:numRef>
          </c:val>
          <c:smooth val="0"/>
          <c:extLst xmlns:c16r2="http://schemas.microsoft.com/office/drawing/2015/06/chart">
            <c:ext xmlns:c16="http://schemas.microsoft.com/office/drawing/2014/chart" uri="{C3380CC4-5D6E-409C-BE32-E72D297353CC}">
              <c16:uniqueId val="{00000003-3A5C-4AC1-A2DF-AC29F50205EA}"/>
            </c:ext>
          </c:extLst>
        </c:ser>
        <c:dLbls>
          <c:showLegendKey val="0"/>
          <c:showVal val="0"/>
          <c:showCatName val="0"/>
          <c:showSerName val="0"/>
          <c:showPercent val="0"/>
          <c:showBubbleSize val="0"/>
        </c:dLbls>
        <c:marker val="1"/>
        <c:smooth val="0"/>
        <c:axId val="130680704"/>
        <c:axId val="130682240"/>
      </c:lineChart>
      <c:dateAx>
        <c:axId val="13068070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682240"/>
        <c:crosses val="autoZero"/>
        <c:auto val="1"/>
        <c:lblOffset val="100"/>
        <c:baseTimeUnit val="months"/>
      </c:dateAx>
      <c:valAx>
        <c:axId val="130682240"/>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Index (June 2000 = 100)</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68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Support increasing the tax on alcohol</c:v>
                </c:pt>
              </c:strCache>
            </c:strRef>
          </c:tx>
          <c:spPr>
            <a:ln w="28575" cap="rnd">
              <a:solidFill>
                <a:schemeClr val="accent1"/>
              </a:solidFill>
              <a:round/>
            </a:ln>
            <a:effectLst/>
          </c:spPr>
          <c:marker>
            <c:symbol val="none"/>
          </c:marker>
          <c:cat>
            <c:numRef>
              <c:f>Sheet1!$B$1:$H$1</c:f>
              <c:numCache>
                <c:formatCode>General</c:formatCode>
                <c:ptCount val="7"/>
                <c:pt idx="0">
                  <c:v>2011</c:v>
                </c:pt>
                <c:pt idx="1">
                  <c:v>2012</c:v>
                </c:pt>
                <c:pt idx="2">
                  <c:v>2013</c:v>
                </c:pt>
                <c:pt idx="3">
                  <c:v>2014</c:v>
                </c:pt>
                <c:pt idx="4">
                  <c:v>2015</c:v>
                </c:pt>
                <c:pt idx="5">
                  <c:v>2016</c:v>
                </c:pt>
                <c:pt idx="6">
                  <c:v>2017</c:v>
                </c:pt>
              </c:numCache>
            </c:numRef>
          </c:cat>
          <c:val>
            <c:numRef>
              <c:f>Sheet1!$B$2:$H$2</c:f>
              <c:numCache>
                <c:formatCode>General</c:formatCode>
                <c:ptCount val="7"/>
                <c:pt idx="0">
                  <c:v>46</c:v>
                </c:pt>
                <c:pt idx="1">
                  <c:v>39</c:v>
                </c:pt>
                <c:pt idx="2">
                  <c:v>41</c:v>
                </c:pt>
                <c:pt idx="3">
                  <c:v>47</c:v>
                </c:pt>
                <c:pt idx="4">
                  <c:v>48</c:v>
                </c:pt>
                <c:pt idx="5">
                  <c:v>51</c:v>
                </c:pt>
                <c:pt idx="6">
                  <c:v>54</c:v>
                </c:pt>
              </c:numCache>
            </c:numRef>
          </c:val>
          <c:smooth val="0"/>
          <c:extLst xmlns:c16r2="http://schemas.microsoft.com/office/drawing/2015/06/chart">
            <c:ext xmlns:c16="http://schemas.microsoft.com/office/drawing/2014/chart" uri="{C3380CC4-5D6E-409C-BE32-E72D297353CC}">
              <c16:uniqueId val="{00000000-5EA1-4276-874C-9A6FA1575ADE}"/>
            </c:ext>
          </c:extLst>
        </c:ser>
        <c:ser>
          <c:idx val="1"/>
          <c:order val="1"/>
          <c:tx>
            <c:strRef>
              <c:f>Sheet1!$A$3</c:f>
              <c:strCache>
                <c:ptCount val="1"/>
                <c:pt idx="0">
                  <c:v>Do not support increasing the tax on alcohol</c:v>
                </c:pt>
              </c:strCache>
            </c:strRef>
          </c:tx>
          <c:spPr>
            <a:ln w="28575" cap="rnd">
              <a:solidFill>
                <a:schemeClr val="accent2"/>
              </a:solidFill>
              <a:round/>
            </a:ln>
            <a:effectLst/>
          </c:spPr>
          <c:marker>
            <c:symbol val="none"/>
          </c:marker>
          <c:cat>
            <c:numRef>
              <c:f>Sheet1!$B$1:$H$1</c:f>
              <c:numCache>
                <c:formatCode>General</c:formatCode>
                <c:ptCount val="7"/>
                <c:pt idx="0">
                  <c:v>2011</c:v>
                </c:pt>
                <c:pt idx="1">
                  <c:v>2012</c:v>
                </c:pt>
                <c:pt idx="2">
                  <c:v>2013</c:v>
                </c:pt>
                <c:pt idx="3">
                  <c:v>2014</c:v>
                </c:pt>
                <c:pt idx="4">
                  <c:v>2015</c:v>
                </c:pt>
                <c:pt idx="5">
                  <c:v>2016</c:v>
                </c:pt>
                <c:pt idx="6">
                  <c:v>2017</c:v>
                </c:pt>
              </c:numCache>
            </c:numRef>
          </c:cat>
          <c:val>
            <c:numRef>
              <c:f>Sheet1!$B$3:$H$3</c:f>
              <c:numCache>
                <c:formatCode>General</c:formatCode>
                <c:ptCount val="7"/>
                <c:pt idx="0">
                  <c:v>46</c:v>
                </c:pt>
                <c:pt idx="1">
                  <c:v>48</c:v>
                </c:pt>
                <c:pt idx="2">
                  <c:v>46</c:v>
                </c:pt>
                <c:pt idx="3">
                  <c:v>41</c:v>
                </c:pt>
                <c:pt idx="4">
                  <c:v>40</c:v>
                </c:pt>
                <c:pt idx="5">
                  <c:v>35</c:v>
                </c:pt>
                <c:pt idx="6">
                  <c:v>37</c:v>
                </c:pt>
              </c:numCache>
            </c:numRef>
          </c:val>
          <c:smooth val="0"/>
          <c:extLst xmlns:c16r2="http://schemas.microsoft.com/office/drawing/2015/06/chart">
            <c:ext xmlns:c16="http://schemas.microsoft.com/office/drawing/2014/chart" uri="{C3380CC4-5D6E-409C-BE32-E72D297353CC}">
              <c16:uniqueId val="{00000001-5EA1-4276-874C-9A6FA1575ADE}"/>
            </c:ext>
          </c:extLst>
        </c:ser>
        <c:ser>
          <c:idx val="2"/>
          <c:order val="2"/>
          <c:tx>
            <c:strRef>
              <c:f>Sheet1!$A$4</c:f>
              <c:strCache>
                <c:ptCount val="1"/>
                <c:pt idx="0">
                  <c:v>Don't know</c:v>
                </c:pt>
              </c:strCache>
            </c:strRef>
          </c:tx>
          <c:spPr>
            <a:ln w="28575" cap="rnd">
              <a:solidFill>
                <a:schemeClr val="accent3"/>
              </a:solidFill>
              <a:round/>
            </a:ln>
            <a:effectLst/>
          </c:spPr>
          <c:marker>
            <c:symbol val="none"/>
          </c:marker>
          <c:cat>
            <c:numRef>
              <c:f>Sheet1!$B$1:$H$1</c:f>
              <c:numCache>
                <c:formatCode>General</c:formatCode>
                <c:ptCount val="7"/>
                <c:pt idx="0">
                  <c:v>2011</c:v>
                </c:pt>
                <c:pt idx="1">
                  <c:v>2012</c:v>
                </c:pt>
                <c:pt idx="2">
                  <c:v>2013</c:v>
                </c:pt>
                <c:pt idx="3">
                  <c:v>2014</c:v>
                </c:pt>
                <c:pt idx="4">
                  <c:v>2015</c:v>
                </c:pt>
                <c:pt idx="5">
                  <c:v>2016</c:v>
                </c:pt>
                <c:pt idx="6">
                  <c:v>2017</c:v>
                </c:pt>
              </c:numCache>
            </c:numRef>
          </c:cat>
          <c:val>
            <c:numRef>
              <c:f>Sheet1!$B$4:$H$4</c:f>
              <c:numCache>
                <c:formatCode>General</c:formatCode>
                <c:ptCount val="7"/>
                <c:pt idx="0">
                  <c:v>8</c:v>
                </c:pt>
                <c:pt idx="1">
                  <c:v>13</c:v>
                </c:pt>
                <c:pt idx="2">
                  <c:v>13</c:v>
                </c:pt>
                <c:pt idx="3">
                  <c:v>12</c:v>
                </c:pt>
                <c:pt idx="4">
                  <c:v>12</c:v>
                </c:pt>
                <c:pt idx="5">
                  <c:v>14</c:v>
                </c:pt>
                <c:pt idx="6">
                  <c:v>10</c:v>
                </c:pt>
              </c:numCache>
            </c:numRef>
          </c:val>
          <c:smooth val="0"/>
          <c:extLst xmlns:c16r2="http://schemas.microsoft.com/office/drawing/2015/06/chart">
            <c:ext xmlns:c16="http://schemas.microsoft.com/office/drawing/2014/chart" uri="{C3380CC4-5D6E-409C-BE32-E72D297353CC}">
              <c16:uniqueId val="{00000002-5EA1-4276-874C-9A6FA1575ADE}"/>
            </c:ext>
          </c:extLst>
        </c:ser>
        <c:dLbls>
          <c:showLegendKey val="0"/>
          <c:showVal val="0"/>
          <c:showCatName val="0"/>
          <c:showSerName val="0"/>
          <c:showPercent val="0"/>
          <c:showBubbleSize val="0"/>
        </c:dLbls>
        <c:marker val="1"/>
        <c:smooth val="0"/>
        <c:axId val="130735104"/>
        <c:axId val="130736896"/>
      </c:lineChart>
      <c:catAx>
        <c:axId val="13073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6896"/>
        <c:crosses val="autoZero"/>
        <c:auto val="1"/>
        <c:lblAlgn val="ctr"/>
        <c:lblOffset val="100"/>
        <c:noMultiLvlLbl val="0"/>
      </c:catAx>
      <c:valAx>
        <c:axId val="130736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 ecnt</a:t>
                </a:r>
              </a:p>
            </c:rich>
          </c:tx>
          <c:layout>
            <c:manualLayout>
              <c:xMode val="edge"/>
              <c:yMode val="edge"/>
              <c:x val="1.3888888888888888E-2"/>
              <c:y val="0.2383825459317585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5"/>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2E59-4EF4-AA2A-CF1E8BAFC7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Sheet1!$B$16:$B$24</c:f>
              <c:strCache>
                <c:ptCount val="9"/>
                <c:pt idx="0">
                  <c:v>Bottled wine</c:v>
                </c:pt>
                <c:pt idx="1">
                  <c:v>Regular strength beer</c:v>
                </c:pt>
                <c:pt idx="2">
                  <c:v>Spirits</c:v>
                </c:pt>
                <c:pt idx="3">
                  <c:v>Cider</c:v>
                </c:pt>
                <c:pt idx="4">
                  <c:v>Mid strength beer</c:v>
                </c:pt>
                <c:pt idx="5">
                  <c:v>Cask wine</c:v>
                </c:pt>
                <c:pt idx="6">
                  <c:v>Light beer</c:v>
                </c:pt>
                <c:pt idx="7">
                  <c:v>RTDs/ Alco-pops</c:v>
                </c:pt>
                <c:pt idx="8">
                  <c:v>None of the above</c:v>
                </c:pt>
              </c:strCache>
            </c:strRef>
          </c:cat>
          <c:val>
            <c:numRef>
              <c:f>Sheet1!$C$16:$C$24</c:f>
              <c:numCache>
                <c:formatCode>General</c:formatCode>
                <c:ptCount val="9"/>
                <c:pt idx="0">
                  <c:v>29.1</c:v>
                </c:pt>
                <c:pt idx="1">
                  <c:v>20.8</c:v>
                </c:pt>
                <c:pt idx="2">
                  <c:v>17.100000000000001</c:v>
                </c:pt>
                <c:pt idx="3">
                  <c:v>9.6</c:v>
                </c:pt>
                <c:pt idx="4">
                  <c:v>8.3000000000000007</c:v>
                </c:pt>
                <c:pt idx="5">
                  <c:v>4.5999999999999996</c:v>
                </c:pt>
                <c:pt idx="6">
                  <c:v>4.2</c:v>
                </c:pt>
                <c:pt idx="7">
                  <c:v>3.7</c:v>
                </c:pt>
                <c:pt idx="8">
                  <c:v>2.6</c:v>
                </c:pt>
              </c:numCache>
            </c:numRef>
          </c:val>
          <c:extLst xmlns:c16r2="http://schemas.microsoft.com/office/drawing/2015/06/chart">
            <c:ext xmlns:c16="http://schemas.microsoft.com/office/drawing/2014/chart" uri="{C3380CC4-5D6E-409C-BE32-E72D297353CC}">
              <c16:uniqueId val="{00000002-2E59-4EF4-AA2A-CF1E8BAFC78E}"/>
            </c:ext>
          </c:extLst>
        </c:ser>
        <c:dLbls>
          <c:showLegendKey val="0"/>
          <c:showVal val="0"/>
          <c:showCatName val="0"/>
          <c:showSerName val="0"/>
          <c:showPercent val="0"/>
          <c:showBubbleSize val="0"/>
        </c:dLbls>
        <c:gapWidth val="219"/>
        <c:overlap val="-27"/>
        <c:axId val="130820352"/>
        <c:axId val="130826240"/>
      </c:barChart>
      <c:catAx>
        <c:axId val="13082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826240"/>
        <c:crosses val="autoZero"/>
        <c:auto val="1"/>
        <c:lblAlgn val="ctr"/>
        <c:lblOffset val="100"/>
        <c:noMultiLvlLbl val="0"/>
      </c:catAx>
      <c:valAx>
        <c:axId val="130826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 cent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8203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Sheet1!$A$29</c:f>
              <c:strCache>
                <c:ptCount val="1"/>
                <c:pt idx="0">
                  <c:v>Males</c:v>
                </c:pt>
              </c:strCache>
            </c:strRef>
          </c:tx>
          <c:spPr>
            <a:ln w="28575" cap="rnd">
              <a:solidFill>
                <a:schemeClr val="accent1"/>
              </a:solidFill>
              <a:round/>
            </a:ln>
            <a:effectLst/>
          </c:spPr>
          <c:marker>
            <c:symbol val="none"/>
          </c:marker>
          <c:cat>
            <c:numRef>
              <c:f>Sheet1!$B$27:$F$27</c:f>
              <c:numCache>
                <c:formatCode>General</c:formatCode>
                <c:ptCount val="5"/>
                <c:pt idx="0">
                  <c:v>2004</c:v>
                </c:pt>
                <c:pt idx="1">
                  <c:v>2007</c:v>
                </c:pt>
                <c:pt idx="2">
                  <c:v>2010</c:v>
                </c:pt>
                <c:pt idx="3">
                  <c:v>2013</c:v>
                </c:pt>
                <c:pt idx="4">
                  <c:v>2016</c:v>
                </c:pt>
              </c:numCache>
            </c:numRef>
          </c:cat>
          <c:val>
            <c:numRef>
              <c:f>Sheet1!$B$29:$F$29</c:f>
              <c:numCache>
                <c:formatCode>General</c:formatCode>
                <c:ptCount val="5"/>
                <c:pt idx="0">
                  <c:v>37.799999999999997</c:v>
                </c:pt>
                <c:pt idx="1">
                  <c:v>41.7</c:v>
                </c:pt>
                <c:pt idx="2">
                  <c:v>40.799999999999997</c:v>
                </c:pt>
                <c:pt idx="3">
                  <c:v>46.8</c:v>
                </c:pt>
                <c:pt idx="4">
                  <c:v>46.6</c:v>
                </c:pt>
              </c:numCache>
            </c:numRef>
          </c:val>
          <c:smooth val="0"/>
          <c:extLst xmlns:c16r2="http://schemas.microsoft.com/office/drawing/2015/06/chart">
            <c:ext xmlns:c16="http://schemas.microsoft.com/office/drawing/2014/chart" uri="{C3380CC4-5D6E-409C-BE32-E72D297353CC}">
              <c16:uniqueId val="{00000000-28DD-4CED-B9E2-D2ECC0384DF5}"/>
            </c:ext>
          </c:extLst>
        </c:ser>
        <c:ser>
          <c:idx val="1"/>
          <c:order val="1"/>
          <c:tx>
            <c:strRef>
              <c:f>Sheet1!$A$30</c:f>
              <c:strCache>
                <c:ptCount val="1"/>
                <c:pt idx="0">
                  <c:v>Females</c:v>
                </c:pt>
              </c:strCache>
            </c:strRef>
          </c:tx>
          <c:spPr>
            <a:ln w="28575" cap="rnd">
              <a:solidFill>
                <a:schemeClr val="accent2"/>
              </a:solidFill>
              <a:round/>
            </a:ln>
            <a:effectLst/>
          </c:spPr>
          <c:marker>
            <c:symbol val="none"/>
          </c:marker>
          <c:cat>
            <c:numRef>
              <c:f>Sheet1!$B$27:$F$27</c:f>
              <c:numCache>
                <c:formatCode>General</c:formatCode>
                <c:ptCount val="5"/>
                <c:pt idx="0">
                  <c:v>2004</c:v>
                </c:pt>
                <c:pt idx="1">
                  <c:v>2007</c:v>
                </c:pt>
                <c:pt idx="2">
                  <c:v>2010</c:v>
                </c:pt>
                <c:pt idx="3">
                  <c:v>2013</c:v>
                </c:pt>
                <c:pt idx="4">
                  <c:v>2016</c:v>
                </c:pt>
              </c:numCache>
            </c:numRef>
          </c:cat>
          <c:val>
            <c:numRef>
              <c:f>Sheet1!$B$30:$F$30</c:f>
              <c:numCache>
                <c:formatCode>General</c:formatCode>
                <c:ptCount val="5"/>
                <c:pt idx="0">
                  <c:v>54.1</c:v>
                </c:pt>
                <c:pt idx="1">
                  <c:v>55.2</c:v>
                </c:pt>
                <c:pt idx="2">
                  <c:v>55.8</c:v>
                </c:pt>
                <c:pt idx="3">
                  <c:v>60.4</c:v>
                </c:pt>
                <c:pt idx="4">
                  <c:v>58.3</c:v>
                </c:pt>
              </c:numCache>
            </c:numRef>
          </c:val>
          <c:smooth val="0"/>
          <c:extLst xmlns:c16r2="http://schemas.microsoft.com/office/drawing/2015/06/chart">
            <c:ext xmlns:c16="http://schemas.microsoft.com/office/drawing/2014/chart" uri="{C3380CC4-5D6E-409C-BE32-E72D297353CC}">
              <c16:uniqueId val="{00000001-28DD-4CED-B9E2-D2ECC0384DF5}"/>
            </c:ext>
          </c:extLst>
        </c:ser>
        <c:ser>
          <c:idx val="2"/>
          <c:order val="2"/>
          <c:tx>
            <c:strRef>
              <c:f>Sheet1!$A$31</c:f>
              <c:strCache>
                <c:ptCount val="1"/>
                <c:pt idx="0">
                  <c:v>Persons</c:v>
                </c:pt>
              </c:strCache>
            </c:strRef>
          </c:tx>
          <c:spPr>
            <a:ln w="28575" cap="rnd">
              <a:solidFill>
                <a:schemeClr val="accent3"/>
              </a:solidFill>
              <a:round/>
            </a:ln>
            <a:effectLst/>
          </c:spPr>
          <c:marker>
            <c:symbol val="none"/>
          </c:marker>
          <c:cat>
            <c:numRef>
              <c:f>Sheet1!$B$27:$F$27</c:f>
              <c:numCache>
                <c:formatCode>General</c:formatCode>
                <c:ptCount val="5"/>
                <c:pt idx="0">
                  <c:v>2004</c:v>
                </c:pt>
                <c:pt idx="1">
                  <c:v>2007</c:v>
                </c:pt>
                <c:pt idx="2">
                  <c:v>2010</c:v>
                </c:pt>
                <c:pt idx="3">
                  <c:v>2013</c:v>
                </c:pt>
                <c:pt idx="4">
                  <c:v>2016</c:v>
                </c:pt>
              </c:numCache>
            </c:numRef>
          </c:cat>
          <c:val>
            <c:numRef>
              <c:f>Sheet1!$B$31:$F$31</c:f>
              <c:numCache>
                <c:formatCode>General</c:formatCode>
                <c:ptCount val="5"/>
                <c:pt idx="0">
                  <c:v>46.1</c:v>
                </c:pt>
                <c:pt idx="1">
                  <c:v>48.5</c:v>
                </c:pt>
                <c:pt idx="2">
                  <c:v>48.3</c:v>
                </c:pt>
                <c:pt idx="3">
                  <c:v>53.6</c:v>
                </c:pt>
                <c:pt idx="4">
                  <c:v>52.6</c:v>
                </c:pt>
              </c:numCache>
            </c:numRef>
          </c:val>
          <c:smooth val="0"/>
          <c:extLst xmlns:c16r2="http://schemas.microsoft.com/office/drawing/2015/06/chart">
            <c:ext xmlns:c16="http://schemas.microsoft.com/office/drawing/2014/chart" uri="{C3380CC4-5D6E-409C-BE32-E72D297353CC}">
              <c16:uniqueId val="{00000002-28DD-4CED-B9E2-D2ECC0384DF5}"/>
            </c:ext>
          </c:extLst>
        </c:ser>
        <c:dLbls>
          <c:showLegendKey val="0"/>
          <c:showVal val="0"/>
          <c:showCatName val="0"/>
          <c:showSerName val="0"/>
          <c:showPercent val="0"/>
          <c:showBubbleSize val="0"/>
        </c:dLbls>
        <c:marker val="1"/>
        <c:smooth val="0"/>
        <c:axId val="130869120"/>
        <c:axId val="130870656"/>
      </c:lineChart>
      <c:catAx>
        <c:axId val="13086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870656"/>
        <c:crosses val="autoZero"/>
        <c:auto val="1"/>
        <c:lblAlgn val="ctr"/>
        <c:lblOffset val="100"/>
        <c:noMultiLvlLbl val="0"/>
      </c:catAx>
      <c:valAx>
        <c:axId val="130870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 cent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86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2019MINS-957875958-54</_dlc_DocId>
    <_dlc_DocIdUrl xmlns="0f563589-9cf9-4143-b1eb-fb0534803d38">
      <Url>http://tweb/sites/mins/activity/prebudget/_layouts/15/DocIdRedir.aspx?ID=2019MINS-957875958-54</Url>
      <Description>2019MINS-957875958-54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664" ma:contentTypeDescription="" ma:contentTypeScope="" ma:versionID="0efec51d07866157077ea6209c21a3eb">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CFEB1-02B3-447F-A9E5-9721AC87FD48}">
  <ds:schemaRefs>
    <ds:schemaRef ds:uri="office.server.policy"/>
  </ds:schemaRefs>
</ds:datastoreItem>
</file>

<file path=customXml/itemProps2.xml><?xml version="1.0" encoding="utf-8"?>
<ds:datastoreItem xmlns:ds="http://schemas.openxmlformats.org/officeDocument/2006/customXml" ds:itemID="{8FCB1795-5D63-46E1-BFB4-16C05EA86248}">
  <ds:schemaRefs>
    <ds:schemaRef ds:uri="http://schemas.microsoft.com/sharepoint/events"/>
  </ds:schemaRefs>
</ds:datastoreItem>
</file>

<file path=customXml/itemProps3.xml><?xml version="1.0" encoding="utf-8"?>
<ds:datastoreItem xmlns:ds="http://schemas.openxmlformats.org/officeDocument/2006/customXml" ds:itemID="{4AB36198-8400-4A41-B1A9-D6E168AD56A3}">
  <ds:schemaRefs>
    <ds:schemaRef ds:uri="http://schemas.microsoft.com/office/infopath/2007/PartnerControls"/>
    <ds:schemaRef ds:uri="http://www.w3.org/XML/1998/namespace"/>
    <ds:schemaRef ds:uri="http://schemas.microsoft.com/sharepoint/v3"/>
    <ds:schemaRef ds:uri="http://purl.org/dc/dcmitype/"/>
    <ds:schemaRef ds:uri="0f563589-9cf9-4143-b1eb-fb0534803d38"/>
    <ds:schemaRef ds:uri="http://purl.org/dc/elements/1.1/"/>
    <ds:schemaRef ds:uri="http://purl.org/dc/terms/"/>
    <ds:schemaRef ds:uri="http://schemas.microsoft.com/office/2006/documentManagement/types"/>
    <ds:schemaRef ds:uri="http://schemas.openxmlformats.org/package/2006/metadata/core-properties"/>
    <ds:schemaRef ds:uri="768d4202-dccb-4ec8-a008-7abfadedbb89"/>
    <ds:schemaRef ds:uri="http://schemas.microsoft.com/office/2006/metadata/properties"/>
  </ds:schemaRefs>
</ds:datastoreItem>
</file>

<file path=customXml/itemProps4.xml><?xml version="1.0" encoding="utf-8"?>
<ds:datastoreItem xmlns:ds="http://schemas.openxmlformats.org/officeDocument/2006/customXml" ds:itemID="{1566E2F3-3098-4933-8C2A-C668B3E50523}">
  <ds:schemaRefs>
    <ds:schemaRef ds:uri="http://schemas.microsoft.com/sharepoint/v3/contenttype/forms"/>
  </ds:schemaRefs>
</ds:datastoreItem>
</file>

<file path=customXml/itemProps5.xml><?xml version="1.0" encoding="utf-8"?>
<ds:datastoreItem xmlns:ds="http://schemas.openxmlformats.org/officeDocument/2006/customXml" ds:itemID="{38CC2EA3-1017-4D21-AC66-C52DA76FFA5A}"/>
</file>

<file path=customXml/itemProps6.xml><?xml version="1.0" encoding="utf-8"?>
<ds:datastoreItem xmlns:ds="http://schemas.openxmlformats.org/officeDocument/2006/customXml" ds:itemID="{EF150EC3-C630-462E-9531-4BDA9D62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7729</Words>
  <Characters>44059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51685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Mathews</dc:creator>
  <cp:lastModifiedBy>Denness, Bonnie</cp:lastModifiedBy>
  <cp:revision>2</cp:revision>
  <cp:lastPrinted>2018-12-12T23:02:00Z</cp:lastPrinted>
  <dcterms:created xsi:type="dcterms:W3CDTF">2019-01-17T22:12:00Z</dcterms:created>
  <dcterms:modified xsi:type="dcterms:W3CDTF">2019-01-17T22:12:00Z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e24c0669-59bb-438d-8b64-7e8fe8234183</vt:lpwstr>
  </property>
</Properties>
</file>