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30F23" w14:textId="77777777" w:rsidR="00D90763" w:rsidRPr="007B3452" w:rsidRDefault="00D90763">
      <w:pPr>
        <w:rPr>
          <w:rFonts w:ascii="Arial" w:hAnsi="Arial" w:cs="Arial"/>
        </w:rPr>
      </w:pPr>
    </w:p>
    <w:p w14:paraId="7FA88AA7" w14:textId="77777777" w:rsidR="00CE0A43" w:rsidRPr="007B3452" w:rsidRDefault="00CE0A43">
      <w:pPr>
        <w:rPr>
          <w:rFonts w:ascii="Arial" w:hAnsi="Arial" w:cs="Arial"/>
        </w:rPr>
      </w:pPr>
    </w:p>
    <w:p w14:paraId="7FDC19CE" w14:textId="77777777" w:rsidR="00CE0A43" w:rsidRPr="007B3452" w:rsidRDefault="00CE0A43">
      <w:pPr>
        <w:rPr>
          <w:rFonts w:ascii="Arial" w:hAnsi="Arial" w:cs="Arial"/>
        </w:rPr>
      </w:pPr>
    </w:p>
    <w:p w14:paraId="39D6FED4" w14:textId="77777777" w:rsidR="00CE0A43" w:rsidRPr="007B3452" w:rsidRDefault="00CE0A43">
      <w:pPr>
        <w:rPr>
          <w:rFonts w:ascii="Arial" w:hAnsi="Arial" w:cs="Arial"/>
        </w:rPr>
      </w:pPr>
    </w:p>
    <w:p w14:paraId="07FAE2C3" w14:textId="77777777" w:rsidR="00CE0A43" w:rsidRPr="007B3452" w:rsidRDefault="00CE0A43">
      <w:pPr>
        <w:rPr>
          <w:rFonts w:ascii="Arial" w:hAnsi="Arial" w:cs="Arial"/>
        </w:rPr>
      </w:pPr>
    </w:p>
    <w:p w14:paraId="3ED9FADA" w14:textId="77777777" w:rsidR="00CE0A43" w:rsidRPr="007B3452" w:rsidRDefault="00CE0A43">
      <w:pPr>
        <w:rPr>
          <w:rFonts w:ascii="Arial" w:hAnsi="Arial" w:cs="Arial"/>
        </w:rPr>
      </w:pPr>
    </w:p>
    <w:p w14:paraId="4B7956E2" w14:textId="77777777" w:rsidR="00CE0A43" w:rsidRPr="007B3452" w:rsidRDefault="00CE0A43">
      <w:pPr>
        <w:rPr>
          <w:rFonts w:ascii="Arial" w:hAnsi="Arial" w:cs="Arial"/>
        </w:rPr>
      </w:pPr>
    </w:p>
    <w:p w14:paraId="09070634" w14:textId="77777777" w:rsidR="00CE0A43" w:rsidRPr="007B3452" w:rsidRDefault="00CE0A43">
      <w:pPr>
        <w:rPr>
          <w:rFonts w:ascii="Arial" w:hAnsi="Arial" w:cs="Arial"/>
        </w:rPr>
      </w:pPr>
    </w:p>
    <w:p w14:paraId="6D85B428" w14:textId="77777777" w:rsidR="00CE0A43" w:rsidRPr="007B3452" w:rsidRDefault="00CE0A43">
      <w:pPr>
        <w:rPr>
          <w:rFonts w:ascii="Arial" w:hAnsi="Arial" w:cs="Arial"/>
        </w:rPr>
      </w:pPr>
    </w:p>
    <w:p w14:paraId="3D5D565F" w14:textId="77777777" w:rsidR="00CE0A43" w:rsidRPr="007B3452" w:rsidRDefault="00CE0A43">
      <w:pPr>
        <w:rPr>
          <w:rFonts w:ascii="Arial" w:hAnsi="Arial" w:cs="Arial"/>
        </w:rPr>
      </w:pPr>
    </w:p>
    <w:p w14:paraId="40C74D75" w14:textId="77777777" w:rsidR="00CE0A43" w:rsidRPr="007B3452" w:rsidRDefault="00CE0A43" w:rsidP="001B337A">
      <w:pPr>
        <w:spacing w:after="0" w:line="276" w:lineRule="auto"/>
        <w:jc w:val="right"/>
        <w:rPr>
          <w:rFonts w:ascii="Arial" w:eastAsia="Arial" w:hAnsi="Arial" w:cs="Arial"/>
          <w:color w:val="5BBBB7"/>
          <w:sz w:val="52"/>
          <w:szCs w:val="52"/>
          <w:lang w:val="en" w:eastAsia="en-AU"/>
        </w:rPr>
      </w:pPr>
      <w:r w:rsidRPr="007B3452">
        <w:rPr>
          <w:rFonts w:ascii="Arial" w:eastAsia="Arial" w:hAnsi="Arial" w:cs="Arial"/>
          <w:color w:val="5BBBB7"/>
          <w:sz w:val="52"/>
          <w:szCs w:val="52"/>
          <w:lang w:val="en" w:eastAsia="en-AU"/>
        </w:rPr>
        <w:t>2019-20 Budget submission</w:t>
      </w:r>
    </w:p>
    <w:p w14:paraId="38F35E44" w14:textId="77777777" w:rsidR="00CE0A43" w:rsidRPr="007B3452" w:rsidRDefault="00CE0A43">
      <w:pPr>
        <w:rPr>
          <w:rFonts w:ascii="Arial" w:hAnsi="Arial" w:cs="Arial"/>
        </w:rPr>
      </w:pPr>
    </w:p>
    <w:p w14:paraId="6B742B98" w14:textId="77777777" w:rsidR="00CE0A43" w:rsidRPr="007B3452" w:rsidRDefault="00CE0A43" w:rsidP="001B337A">
      <w:pPr>
        <w:spacing w:after="0" w:line="276" w:lineRule="auto"/>
        <w:jc w:val="right"/>
        <w:rPr>
          <w:rFonts w:ascii="Arial" w:eastAsia="Arial" w:hAnsi="Arial" w:cs="Arial"/>
          <w:b/>
          <w:color w:val="5CBBB7"/>
          <w:sz w:val="28"/>
          <w:szCs w:val="20"/>
          <w:lang w:val="en" w:eastAsia="en-AU"/>
        </w:rPr>
      </w:pPr>
      <w:r w:rsidRPr="007B3452">
        <w:rPr>
          <w:rFonts w:ascii="Arial" w:eastAsia="Arial" w:hAnsi="Arial" w:cs="Arial"/>
          <w:b/>
          <w:color w:val="5CBBB7"/>
          <w:sz w:val="28"/>
          <w:szCs w:val="20"/>
          <w:lang w:val="en" w:eastAsia="en-AU"/>
        </w:rPr>
        <w:t>Financial Planning Association of Australia</w:t>
      </w:r>
    </w:p>
    <w:p w14:paraId="62B95EB4" w14:textId="77777777" w:rsidR="001B337A" w:rsidRPr="007B3452" w:rsidRDefault="001B337A" w:rsidP="001B337A">
      <w:pPr>
        <w:spacing w:after="0" w:line="276" w:lineRule="auto"/>
        <w:jc w:val="right"/>
        <w:rPr>
          <w:rFonts w:ascii="Arial" w:eastAsia="Arial" w:hAnsi="Arial" w:cs="Arial"/>
          <w:b/>
          <w:color w:val="5CBBB7"/>
          <w:sz w:val="28"/>
          <w:szCs w:val="20"/>
          <w:lang w:val="en" w:eastAsia="en-AU"/>
        </w:rPr>
      </w:pPr>
    </w:p>
    <w:p w14:paraId="7C72FC39" w14:textId="77777777" w:rsidR="00CE0A43" w:rsidRPr="007B3452" w:rsidRDefault="00CE0A43" w:rsidP="001B337A">
      <w:pPr>
        <w:spacing w:after="0" w:line="276" w:lineRule="auto"/>
        <w:jc w:val="right"/>
        <w:rPr>
          <w:rFonts w:ascii="Arial" w:eastAsia="Arial" w:hAnsi="Arial" w:cs="Arial"/>
          <w:b/>
          <w:color w:val="5CBBB7"/>
          <w:sz w:val="28"/>
          <w:szCs w:val="20"/>
          <w:lang w:val="en" w:eastAsia="en-AU"/>
        </w:rPr>
      </w:pPr>
      <w:r w:rsidRPr="007B3452">
        <w:rPr>
          <w:rFonts w:ascii="Arial" w:eastAsia="Arial" w:hAnsi="Arial" w:cs="Arial"/>
          <w:b/>
          <w:color w:val="5CBBB7"/>
          <w:sz w:val="28"/>
          <w:szCs w:val="20"/>
          <w:lang w:val="en" w:eastAsia="en-AU"/>
        </w:rPr>
        <w:t>February 2019</w:t>
      </w:r>
    </w:p>
    <w:p w14:paraId="624318EE" w14:textId="77777777" w:rsidR="00CE0A43" w:rsidRPr="007B3452" w:rsidRDefault="00CE0A43">
      <w:pPr>
        <w:rPr>
          <w:rFonts w:ascii="Arial" w:hAnsi="Arial" w:cs="Arial"/>
        </w:rPr>
      </w:pPr>
    </w:p>
    <w:p w14:paraId="432056F9" w14:textId="77777777" w:rsidR="00CE0A43" w:rsidRPr="007B3452" w:rsidRDefault="00CE0A43">
      <w:pPr>
        <w:rPr>
          <w:rFonts w:ascii="Arial" w:hAnsi="Arial" w:cs="Arial"/>
        </w:rPr>
      </w:pPr>
    </w:p>
    <w:p w14:paraId="4AB5799B" w14:textId="77777777" w:rsidR="00CE0A43" w:rsidRPr="007B3452" w:rsidRDefault="00CE0A43">
      <w:pPr>
        <w:rPr>
          <w:rFonts w:ascii="Arial" w:hAnsi="Arial" w:cs="Arial"/>
        </w:rPr>
      </w:pPr>
    </w:p>
    <w:p w14:paraId="2F06FF69" w14:textId="77777777" w:rsidR="00CE0A43" w:rsidRPr="007B3452" w:rsidRDefault="00CE0A43">
      <w:pPr>
        <w:rPr>
          <w:rFonts w:ascii="Arial" w:hAnsi="Arial" w:cs="Arial"/>
        </w:rPr>
        <w:sectPr w:rsidR="00CE0A43" w:rsidRPr="007B3452" w:rsidSect="00CE0A43">
          <w:footerReference w:type="default" r:id="rId8"/>
          <w:headerReference w:type="first" r:id="rId9"/>
          <w:pgSz w:w="11906" w:h="16838" w:code="9"/>
          <w:pgMar w:top="1440" w:right="1440" w:bottom="1440" w:left="1440" w:header="709" w:footer="709" w:gutter="0"/>
          <w:cols w:space="708"/>
          <w:titlePg/>
          <w:docGrid w:linePitch="360"/>
        </w:sectPr>
      </w:pPr>
    </w:p>
    <w:sdt>
      <w:sdtPr>
        <w:rPr>
          <w:rFonts w:ascii="Arial" w:eastAsiaTheme="minorHAnsi" w:hAnsi="Arial" w:cs="Arial"/>
          <w:b w:val="0"/>
          <w:color w:val="auto"/>
          <w:sz w:val="22"/>
          <w:szCs w:val="22"/>
          <w:lang w:val="en-AU"/>
        </w:rPr>
        <w:id w:val="1046417965"/>
        <w:docPartObj>
          <w:docPartGallery w:val="Table of Contents"/>
          <w:docPartUnique/>
        </w:docPartObj>
      </w:sdtPr>
      <w:sdtEndPr>
        <w:rPr>
          <w:bCs/>
          <w:noProof/>
        </w:rPr>
      </w:sdtEndPr>
      <w:sdtContent>
        <w:p w14:paraId="3A81194A" w14:textId="77777777" w:rsidR="00CD6A4E" w:rsidRPr="007B3452" w:rsidRDefault="00CD6A4E">
          <w:pPr>
            <w:pStyle w:val="TOCHeading"/>
            <w:rPr>
              <w:rFonts w:ascii="Arial" w:hAnsi="Arial" w:cs="Arial"/>
            </w:rPr>
          </w:pPr>
        </w:p>
        <w:p w14:paraId="05B403ED" w14:textId="77777777" w:rsidR="00CD6A4E" w:rsidRPr="007B3452" w:rsidRDefault="00CD6A4E">
          <w:pPr>
            <w:pStyle w:val="TOCHeading"/>
            <w:rPr>
              <w:rFonts w:ascii="Arial" w:hAnsi="Arial" w:cs="Arial"/>
            </w:rPr>
          </w:pPr>
        </w:p>
        <w:p w14:paraId="66075EFB" w14:textId="77777777" w:rsidR="00CE0A43" w:rsidRPr="007B3452" w:rsidRDefault="00CE0A43">
          <w:pPr>
            <w:pStyle w:val="TOCHeading"/>
            <w:rPr>
              <w:rFonts w:ascii="Arial" w:hAnsi="Arial" w:cs="Arial"/>
            </w:rPr>
          </w:pPr>
          <w:r w:rsidRPr="007B3452">
            <w:rPr>
              <w:rFonts w:ascii="Arial" w:hAnsi="Arial" w:cs="Arial"/>
            </w:rPr>
            <w:t>Contents</w:t>
          </w:r>
        </w:p>
        <w:p w14:paraId="6AD682DB" w14:textId="532C26C0" w:rsidR="003D0998" w:rsidRPr="007B3452" w:rsidRDefault="00CE0A43">
          <w:pPr>
            <w:pStyle w:val="TOC1"/>
            <w:tabs>
              <w:tab w:val="right" w:leader="dot" w:pos="9016"/>
            </w:tabs>
            <w:rPr>
              <w:rFonts w:ascii="Arial" w:eastAsiaTheme="minorEastAsia" w:hAnsi="Arial" w:cs="Arial"/>
              <w:noProof/>
              <w:lang w:eastAsia="en-AU"/>
            </w:rPr>
          </w:pPr>
          <w:r w:rsidRPr="007B3452">
            <w:rPr>
              <w:rFonts w:ascii="Arial" w:hAnsi="Arial" w:cs="Arial"/>
              <w:b/>
              <w:bCs/>
              <w:noProof/>
            </w:rPr>
            <w:fldChar w:fldCharType="begin"/>
          </w:r>
          <w:r w:rsidRPr="007B3452">
            <w:rPr>
              <w:rFonts w:ascii="Arial" w:hAnsi="Arial" w:cs="Arial"/>
              <w:b/>
              <w:bCs/>
              <w:noProof/>
            </w:rPr>
            <w:instrText xml:space="preserve"> TOC \o "1-3" \h \z \u </w:instrText>
          </w:r>
          <w:r w:rsidRPr="007B3452">
            <w:rPr>
              <w:rFonts w:ascii="Arial" w:hAnsi="Arial" w:cs="Arial"/>
              <w:b/>
              <w:bCs/>
              <w:noProof/>
            </w:rPr>
            <w:fldChar w:fldCharType="separate"/>
          </w:r>
          <w:hyperlink w:anchor="_Toc535503301" w:history="1">
            <w:r w:rsidR="003D0998" w:rsidRPr="007B3452">
              <w:rPr>
                <w:rStyle w:val="Hyperlink"/>
                <w:rFonts w:ascii="Arial" w:hAnsi="Arial" w:cs="Arial"/>
                <w:noProof/>
              </w:rPr>
              <w:t>Introduction</w:t>
            </w:r>
            <w:r w:rsidR="003D0998" w:rsidRPr="007B3452">
              <w:rPr>
                <w:rFonts w:ascii="Arial" w:hAnsi="Arial" w:cs="Arial"/>
                <w:noProof/>
                <w:webHidden/>
              </w:rPr>
              <w:tab/>
            </w:r>
            <w:r w:rsidR="003D0998" w:rsidRPr="007B3452">
              <w:rPr>
                <w:rFonts w:ascii="Arial" w:hAnsi="Arial" w:cs="Arial"/>
                <w:noProof/>
                <w:webHidden/>
              </w:rPr>
              <w:fldChar w:fldCharType="begin"/>
            </w:r>
            <w:r w:rsidR="003D0998" w:rsidRPr="007B3452">
              <w:rPr>
                <w:rFonts w:ascii="Arial" w:hAnsi="Arial" w:cs="Arial"/>
                <w:noProof/>
                <w:webHidden/>
              </w:rPr>
              <w:instrText xml:space="preserve"> PAGEREF _Toc535503301 \h </w:instrText>
            </w:r>
            <w:r w:rsidR="003D0998" w:rsidRPr="007B3452">
              <w:rPr>
                <w:rFonts w:ascii="Arial" w:hAnsi="Arial" w:cs="Arial"/>
                <w:noProof/>
                <w:webHidden/>
              </w:rPr>
            </w:r>
            <w:r w:rsidR="003D0998" w:rsidRPr="007B3452">
              <w:rPr>
                <w:rFonts w:ascii="Arial" w:hAnsi="Arial" w:cs="Arial"/>
                <w:noProof/>
                <w:webHidden/>
              </w:rPr>
              <w:fldChar w:fldCharType="separate"/>
            </w:r>
            <w:r w:rsidR="00D268D5">
              <w:rPr>
                <w:rFonts w:ascii="Arial" w:hAnsi="Arial" w:cs="Arial"/>
                <w:noProof/>
                <w:webHidden/>
              </w:rPr>
              <w:t>1</w:t>
            </w:r>
            <w:r w:rsidR="003D0998" w:rsidRPr="007B3452">
              <w:rPr>
                <w:rFonts w:ascii="Arial" w:hAnsi="Arial" w:cs="Arial"/>
                <w:noProof/>
                <w:webHidden/>
              </w:rPr>
              <w:fldChar w:fldCharType="end"/>
            </w:r>
          </w:hyperlink>
        </w:p>
        <w:p w14:paraId="4266EF37" w14:textId="790E7C46" w:rsidR="003D0998" w:rsidRPr="007B3452" w:rsidRDefault="003544FA">
          <w:pPr>
            <w:pStyle w:val="TOC1"/>
            <w:tabs>
              <w:tab w:val="right" w:leader="dot" w:pos="9016"/>
            </w:tabs>
            <w:rPr>
              <w:rFonts w:ascii="Arial" w:eastAsiaTheme="minorEastAsia" w:hAnsi="Arial" w:cs="Arial"/>
              <w:noProof/>
              <w:lang w:eastAsia="en-AU"/>
            </w:rPr>
          </w:pPr>
          <w:hyperlink w:anchor="_Toc535503302" w:history="1">
            <w:r w:rsidR="003D0998" w:rsidRPr="007B3452">
              <w:rPr>
                <w:rStyle w:val="Hyperlink"/>
                <w:rFonts w:ascii="Arial" w:hAnsi="Arial" w:cs="Arial"/>
                <w:noProof/>
              </w:rPr>
              <w:t>Executive Summary</w:t>
            </w:r>
            <w:r w:rsidR="003D0998" w:rsidRPr="007B3452">
              <w:rPr>
                <w:rFonts w:ascii="Arial" w:hAnsi="Arial" w:cs="Arial"/>
                <w:noProof/>
                <w:webHidden/>
              </w:rPr>
              <w:tab/>
            </w:r>
            <w:r w:rsidR="003D0998" w:rsidRPr="007B3452">
              <w:rPr>
                <w:rFonts w:ascii="Arial" w:hAnsi="Arial" w:cs="Arial"/>
                <w:noProof/>
                <w:webHidden/>
              </w:rPr>
              <w:fldChar w:fldCharType="begin"/>
            </w:r>
            <w:r w:rsidR="003D0998" w:rsidRPr="007B3452">
              <w:rPr>
                <w:rFonts w:ascii="Arial" w:hAnsi="Arial" w:cs="Arial"/>
                <w:noProof/>
                <w:webHidden/>
              </w:rPr>
              <w:instrText xml:space="preserve"> PAGEREF _Toc535503302 \h </w:instrText>
            </w:r>
            <w:r w:rsidR="003D0998" w:rsidRPr="007B3452">
              <w:rPr>
                <w:rFonts w:ascii="Arial" w:hAnsi="Arial" w:cs="Arial"/>
                <w:noProof/>
                <w:webHidden/>
              </w:rPr>
            </w:r>
            <w:r w:rsidR="003D0998" w:rsidRPr="007B3452">
              <w:rPr>
                <w:rFonts w:ascii="Arial" w:hAnsi="Arial" w:cs="Arial"/>
                <w:noProof/>
                <w:webHidden/>
              </w:rPr>
              <w:fldChar w:fldCharType="separate"/>
            </w:r>
            <w:r w:rsidR="00D268D5">
              <w:rPr>
                <w:rFonts w:ascii="Arial" w:hAnsi="Arial" w:cs="Arial"/>
                <w:noProof/>
                <w:webHidden/>
              </w:rPr>
              <w:t>2</w:t>
            </w:r>
            <w:r w:rsidR="003D0998" w:rsidRPr="007B3452">
              <w:rPr>
                <w:rFonts w:ascii="Arial" w:hAnsi="Arial" w:cs="Arial"/>
                <w:noProof/>
                <w:webHidden/>
              </w:rPr>
              <w:fldChar w:fldCharType="end"/>
            </w:r>
          </w:hyperlink>
        </w:p>
        <w:p w14:paraId="01F3DAF0" w14:textId="3209F375" w:rsidR="003D0998" w:rsidRPr="007B3452" w:rsidRDefault="003544FA">
          <w:pPr>
            <w:pStyle w:val="TOC1"/>
            <w:tabs>
              <w:tab w:val="right" w:leader="dot" w:pos="9016"/>
            </w:tabs>
            <w:rPr>
              <w:rFonts w:ascii="Arial" w:eastAsiaTheme="minorEastAsia" w:hAnsi="Arial" w:cs="Arial"/>
              <w:noProof/>
              <w:lang w:eastAsia="en-AU"/>
            </w:rPr>
          </w:pPr>
          <w:hyperlink w:anchor="_Toc535503303" w:history="1">
            <w:r w:rsidR="003D0998" w:rsidRPr="007B3452">
              <w:rPr>
                <w:rStyle w:val="Hyperlink"/>
                <w:rFonts w:ascii="Arial" w:hAnsi="Arial" w:cs="Arial"/>
                <w:noProof/>
              </w:rPr>
              <w:t>Recommendations</w:t>
            </w:r>
            <w:r w:rsidR="003D0998" w:rsidRPr="007B3452">
              <w:rPr>
                <w:rFonts w:ascii="Arial" w:hAnsi="Arial" w:cs="Arial"/>
                <w:noProof/>
                <w:webHidden/>
              </w:rPr>
              <w:tab/>
            </w:r>
            <w:r w:rsidR="003D0998" w:rsidRPr="007B3452">
              <w:rPr>
                <w:rFonts w:ascii="Arial" w:hAnsi="Arial" w:cs="Arial"/>
                <w:noProof/>
                <w:webHidden/>
              </w:rPr>
              <w:fldChar w:fldCharType="begin"/>
            </w:r>
            <w:r w:rsidR="003D0998" w:rsidRPr="007B3452">
              <w:rPr>
                <w:rFonts w:ascii="Arial" w:hAnsi="Arial" w:cs="Arial"/>
                <w:noProof/>
                <w:webHidden/>
              </w:rPr>
              <w:instrText xml:space="preserve"> PAGEREF _Toc535503303 \h </w:instrText>
            </w:r>
            <w:r w:rsidR="003D0998" w:rsidRPr="007B3452">
              <w:rPr>
                <w:rFonts w:ascii="Arial" w:hAnsi="Arial" w:cs="Arial"/>
                <w:noProof/>
                <w:webHidden/>
              </w:rPr>
            </w:r>
            <w:r w:rsidR="003D0998" w:rsidRPr="007B3452">
              <w:rPr>
                <w:rFonts w:ascii="Arial" w:hAnsi="Arial" w:cs="Arial"/>
                <w:noProof/>
                <w:webHidden/>
              </w:rPr>
              <w:fldChar w:fldCharType="separate"/>
            </w:r>
            <w:r w:rsidR="00D268D5">
              <w:rPr>
                <w:rFonts w:ascii="Arial" w:hAnsi="Arial" w:cs="Arial"/>
                <w:noProof/>
                <w:webHidden/>
              </w:rPr>
              <w:t>5</w:t>
            </w:r>
            <w:r w:rsidR="003D0998" w:rsidRPr="007B3452">
              <w:rPr>
                <w:rFonts w:ascii="Arial" w:hAnsi="Arial" w:cs="Arial"/>
                <w:noProof/>
                <w:webHidden/>
              </w:rPr>
              <w:fldChar w:fldCharType="end"/>
            </w:r>
          </w:hyperlink>
        </w:p>
        <w:p w14:paraId="0322E762" w14:textId="66200F90" w:rsidR="003D0998" w:rsidRPr="007B3452" w:rsidRDefault="003544FA">
          <w:pPr>
            <w:pStyle w:val="TOC1"/>
            <w:tabs>
              <w:tab w:val="right" w:leader="dot" w:pos="9016"/>
            </w:tabs>
            <w:rPr>
              <w:rFonts w:ascii="Arial" w:eastAsiaTheme="minorEastAsia" w:hAnsi="Arial" w:cs="Arial"/>
              <w:noProof/>
              <w:lang w:eastAsia="en-AU"/>
            </w:rPr>
          </w:pPr>
          <w:hyperlink w:anchor="_Toc535503304" w:history="1">
            <w:r w:rsidR="003D0998" w:rsidRPr="007B3452">
              <w:rPr>
                <w:rStyle w:val="Hyperlink"/>
                <w:rFonts w:ascii="Arial" w:hAnsi="Arial" w:cs="Arial"/>
                <w:noProof/>
              </w:rPr>
              <w:t>Accessibility of Financial Advice</w:t>
            </w:r>
            <w:r w:rsidR="003D0998" w:rsidRPr="007B3452">
              <w:rPr>
                <w:rFonts w:ascii="Arial" w:hAnsi="Arial" w:cs="Arial"/>
                <w:noProof/>
                <w:webHidden/>
              </w:rPr>
              <w:tab/>
            </w:r>
            <w:r w:rsidR="003D0998" w:rsidRPr="007B3452">
              <w:rPr>
                <w:rFonts w:ascii="Arial" w:hAnsi="Arial" w:cs="Arial"/>
                <w:noProof/>
                <w:webHidden/>
              </w:rPr>
              <w:fldChar w:fldCharType="begin"/>
            </w:r>
            <w:r w:rsidR="003D0998" w:rsidRPr="007B3452">
              <w:rPr>
                <w:rFonts w:ascii="Arial" w:hAnsi="Arial" w:cs="Arial"/>
                <w:noProof/>
                <w:webHidden/>
              </w:rPr>
              <w:instrText xml:space="preserve"> PAGEREF _Toc535503304 \h </w:instrText>
            </w:r>
            <w:r w:rsidR="003D0998" w:rsidRPr="007B3452">
              <w:rPr>
                <w:rFonts w:ascii="Arial" w:hAnsi="Arial" w:cs="Arial"/>
                <w:noProof/>
                <w:webHidden/>
              </w:rPr>
            </w:r>
            <w:r w:rsidR="003D0998" w:rsidRPr="007B3452">
              <w:rPr>
                <w:rFonts w:ascii="Arial" w:hAnsi="Arial" w:cs="Arial"/>
                <w:noProof/>
                <w:webHidden/>
              </w:rPr>
              <w:fldChar w:fldCharType="separate"/>
            </w:r>
            <w:r w:rsidR="00D268D5">
              <w:rPr>
                <w:rFonts w:ascii="Arial" w:hAnsi="Arial" w:cs="Arial"/>
                <w:noProof/>
                <w:webHidden/>
              </w:rPr>
              <w:t>5</w:t>
            </w:r>
            <w:r w:rsidR="003D0998" w:rsidRPr="007B3452">
              <w:rPr>
                <w:rFonts w:ascii="Arial" w:hAnsi="Arial" w:cs="Arial"/>
                <w:noProof/>
                <w:webHidden/>
              </w:rPr>
              <w:fldChar w:fldCharType="end"/>
            </w:r>
          </w:hyperlink>
        </w:p>
        <w:p w14:paraId="6D1344F0" w14:textId="2074AC55" w:rsidR="003D0998" w:rsidRPr="007B3452" w:rsidRDefault="003544FA">
          <w:pPr>
            <w:pStyle w:val="TOC2"/>
            <w:tabs>
              <w:tab w:val="right" w:leader="dot" w:pos="9016"/>
            </w:tabs>
            <w:rPr>
              <w:rFonts w:ascii="Arial" w:eastAsiaTheme="minorEastAsia" w:hAnsi="Arial" w:cs="Arial"/>
              <w:noProof/>
              <w:lang w:eastAsia="en-AU"/>
            </w:rPr>
          </w:pPr>
          <w:hyperlink w:anchor="_Toc535503305" w:history="1">
            <w:r w:rsidR="003D0998" w:rsidRPr="007B3452">
              <w:rPr>
                <w:rStyle w:val="Hyperlink"/>
                <w:rFonts w:ascii="Arial" w:hAnsi="Arial" w:cs="Arial"/>
                <w:noProof/>
              </w:rPr>
              <w:t>Tax deductable financial advice</w:t>
            </w:r>
            <w:r w:rsidR="003D0998" w:rsidRPr="007B3452">
              <w:rPr>
                <w:rFonts w:ascii="Arial" w:hAnsi="Arial" w:cs="Arial"/>
                <w:noProof/>
                <w:webHidden/>
              </w:rPr>
              <w:tab/>
            </w:r>
            <w:r w:rsidR="003D0998" w:rsidRPr="007B3452">
              <w:rPr>
                <w:rFonts w:ascii="Arial" w:hAnsi="Arial" w:cs="Arial"/>
                <w:noProof/>
                <w:webHidden/>
              </w:rPr>
              <w:fldChar w:fldCharType="begin"/>
            </w:r>
            <w:r w:rsidR="003D0998" w:rsidRPr="007B3452">
              <w:rPr>
                <w:rFonts w:ascii="Arial" w:hAnsi="Arial" w:cs="Arial"/>
                <w:noProof/>
                <w:webHidden/>
              </w:rPr>
              <w:instrText xml:space="preserve"> PAGEREF _Toc535503305 \h </w:instrText>
            </w:r>
            <w:r w:rsidR="003D0998" w:rsidRPr="007B3452">
              <w:rPr>
                <w:rFonts w:ascii="Arial" w:hAnsi="Arial" w:cs="Arial"/>
                <w:noProof/>
                <w:webHidden/>
              </w:rPr>
            </w:r>
            <w:r w:rsidR="003D0998" w:rsidRPr="007B3452">
              <w:rPr>
                <w:rFonts w:ascii="Arial" w:hAnsi="Arial" w:cs="Arial"/>
                <w:noProof/>
                <w:webHidden/>
              </w:rPr>
              <w:fldChar w:fldCharType="separate"/>
            </w:r>
            <w:r w:rsidR="00D268D5">
              <w:rPr>
                <w:rFonts w:ascii="Arial" w:hAnsi="Arial" w:cs="Arial"/>
                <w:noProof/>
                <w:webHidden/>
              </w:rPr>
              <w:t>7</w:t>
            </w:r>
            <w:r w:rsidR="003D0998" w:rsidRPr="007B3452">
              <w:rPr>
                <w:rFonts w:ascii="Arial" w:hAnsi="Arial" w:cs="Arial"/>
                <w:noProof/>
                <w:webHidden/>
              </w:rPr>
              <w:fldChar w:fldCharType="end"/>
            </w:r>
          </w:hyperlink>
        </w:p>
        <w:p w14:paraId="17488DB7" w14:textId="2C6132CD" w:rsidR="003D0998" w:rsidRPr="007B3452" w:rsidRDefault="003544FA">
          <w:pPr>
            <w:pStyle w:val="TOC2"/>
            <w:tabs>
              <w:tab w:val="right" w:leader="dot" w:pos="9016"/>
            </w:tabs>
            <w:rPr>
              <w:rFonts w:ascii="Arial" w:eastAsiaTheme="minorEastAsia" w:hAnsi="Arial" w:cs="Arial"/>
              <w:noProof/>
              <w:lang w:eastAsia="en-AU"/>
            </w:rPr>
          </w:pPr>
          <w:hyperlink w:anchor="_Toc535503306" w:history="1">
            <w:r w:rsidR="003D0998" w:rsidRPr="007B3452">
              <w:rPr>
                <w:rStyle w:val="Hyperlink"/>
                <w:rFonts w:ascii="Arial" w:hAnsi="Arial" w:cs="Arial"/>
                <w:noProof/>
              </w:rPr>
              <w:t>Pensions advice allowance</w:t>
            </w:r>
            <w:r w:rsidR="003D0998" w:rsidRPr="007B3452">
              <w:rPr>
                <w:rFonts w:ascii="Arial" w:hAnsi="Arial" w:cs="Arial"/>
                <w:noProof/>
                <w:webHidden/>
              </w:rPr>
              <w:tab/>
            </w:r>
            <w:r w:rsidR="003D0998" w:rsidRPr="007B3452">
              <w:rPr>
                <w:rFonts w:ascii="Arial" w:hAnsi="Arial" w:cs="Arial"/>
                <w:noProof/>
                <w:webHidden/>
              </w:rPr>
              <w:fldChar w:fldCharType="begin"/>
            </w:r>
            <w:r w:rsidR="003D0998" w:rsidRPr="007B3452">
              <w:rPr>
                <w:rFonts w:ascii="Arial" w:hAnsi="Arial" w:cs="Arial"/>
                <w:noProof/>
                <w:webHidden/>
              </w:rPr>
              <w:instrText xml:space="preserve"> PAGEREF _Toc535503306 \h </w:instrText>
            </w:r>
            <w:r w:rsidR="003D0998" w:rsidRPr="007B3452">
              <w:rPr>
                <w:rFonts w:ascii="Arial" w:hAnsi="Arial" w:cs="Arial"/>
                <w:noProof/>
                <w:webHidden/>
              </w:rPr>
            </w:r>
            <w:r w:rsidR="003D0998" w:rsidRPr="007B3452">
              <w:rPr>
                <w:rFonts w:ascii="Arial" w:hAnsi="Arial" w:cs="Arial"/>
                <w:noProof/>
                <w:webHidden/>
              </w:rPr>
              <w:fldChar w:fldCharType="separate"/>
            </w:r>
            <w:r w:rsidR="00D268D5">
              <w:rPr>
                <w:rFonts w:ascii="Arial" w:hAnsi="Arial" w:cs="Arial"/>
                <w:noProof/>
                <w:webHidden/>
              </w:rPr>
              <w:t>8</w:t>
            </w:r>
            <w:r w:rsidR="003D0998" w:rsidRPr="007B3452">
              <w:rPr>
                <w:rFonts w:ascii="Arial" w:hAnsi="Arial" w:cs="Arial"/>
                <w:noProof/>
                <w:webHidden/>
              </w:rPr>
              <w:fldChar w:fldCharType="end"/>
            </w:r>
          </w:hyperlink>
        </w:p>
        <w:p w14:paraId="55717248" w14:textId="5823EE22" w:rsidR="003D0998" w:rsidRPr="007B3452" w:rsidRDefault="003544FA">
          <w:pPr>
            <w:pStyle w:val="TOC1"/>
            <w:tabs>
              <w:tab w:val="right" w:leader="dot" w:pos="9016"/>
            </w:tabs>
            <w:rPr>
              <w:rFonts w:ascii="Arial" w:eastAsiaTheme="minorEastAsia" w:hAnsi="Arial" w:cs="Arial"/>
              <w:noProof/>
              <w:lang w:eastAsia="en-AU"/>
            </w:rPr>
          </w:pPr>
          <w:hyperlink w:anchor="_Toc535503307" w:history="1">
            <w:r w:rsidR="003D0998" w:rsidRPr="007B3452">
              <w:rPr>
                <w:rStyle w:val="Hyperlink"/>
                <w:rFonts w:ascii="Arial" w:hAnsi="Arial" w:cs="Arial"/>
                <w:noProof/>
              </w:rPr>
              <w:t>Protecting Consumers</w:t>
            </w:r>
            <w:r w:rsidR="003D0998" w:rsidRPr="007B3452">
              <w:rPr>
                <w:rFonts w:ascii="Arial" w:hAnsi="Arial" w:cs="Arial"/>
                <w:noProof/>
                <w:webHidden/>
              </w:rPr>
              <w:tab/>
            </w:r>
            <w:r w:rsidR="003D0998" w:rsidRPr="007B3452">
              <w:rPr>
                <w:rFonts w:ascii="Arial" w:hAnsi="Arial" w:cs="Arial"/>
                <w:noProof/>
                <w:webHidden/>
              </w:rPr>
              <w:fldChar w:fldCharType="begin"/>
            </w:r>
            <w:r w:rsidR="003D0998" w:rsidRPr="007B3452">
              <w:rPr>
                <w:rFonts w:ascii="Arial" w:hAnsi="Arial" w:cs="Arial"/>
                <w:noProof/>
                <w:webHidden/>
              </w:rPr>
              <w:instrText xml:space="preserve"> PAGEREF _Toc535503307 \h </w:instrText>
            </w:r>
            <w:r w:rsidR="003D0998" w:rsidRPr="007B3452">
              <w:rPr>
                <w:rFonts w:ascii="Arial" w:hAnsi="Arial" w:cs="Arial"/>
                <w:noProof/>
                <w:webHidden/>
              </w:rPr>
            </w:r>
            <w:r w:rsidR="003D0998" w:rsidRPr="007B3452">
              <w:rPr>
                <w:rFonts w:ascii="Arial" w:hAnsi="Arial" w:cs="Arial"/>
                <w:noProof/>
                <w:webHidden/>
              </w:rPr>
              <w:fldChar w:fldCharType="separate"/>
            </w:r>
            <w:r w:rsidR="00D268D5">
              <w:rPr>
                <w:rFonts w:ascii="Arial" w:hAnsi="Arial" w:cs="Arial"/>
                <w:noProof/>
                <w:webHidden/>
              </w:rPr>
              <w:t>10</w:t>
            </w:r>
            <w:r w:rsidR="003D0998" w:rsidRPr="007B3452">
              <w:rPr>
                <w:rFonts w:ascii="Arial" w:hAnsi="Arial" w:cs="Arial"/>
                <w:noProof/>
                <w:webHidden/>
              </w:rPr>
              <w:fldChar w:fldCharType="end"/>
            </w:r>
          </w:hyperlink>
        </w:p>
        <w:p w14:paraId="7C3A14F6" w14:textId="68066ABF" w:rsidR="003D0998" w:rsidRPr="007B3452" w:rsidRDefault="003544FA">
          <w:pPr>
            <w:pStyle w:val="TOC2"/>
            <w:tabs>
              <w:tab w:val="right" w:leader="dot" w:pos="9016"/>
            </w:tabs>
            <w:rPr>
              <w:rFonts w:ascii="Arial" w:eastAsiaTheme="minorEastAsia" w:hAnsi="Arial" w:cs="Arial"/>
              <w:noProof/>
              <w:lang w:eastAsia="en-AU"/>
            </w:rPr>
          </w:pPr>
          <w:hyperlink w:anchor="_Toc535503308" w:history="1">
            <w:r w:rsidR="003D0998" w:rsidRPr="007B3452">
              <w:rPr>
                <w:rStyle w:val="Hyperlink"/>
                <w:rFonts w:ascii="Arial" w:hAnsi="Arial" w:cs="Arial"/>
                <w:noProof/>
              </w:rPr>
              <w:t>Renaming “general advice”</w:t>
            </w:r>
            <w:r w:rsidR="003D0998" w:rsidRPr="007B3452">
              <w:rPr>
                <w:rFonts w:ascii="Arial" w:hAnsi="Arial" w:cs="Arial"/>
                <w:noProof/>
                <w:webHidden/>
              </w:rPr>
              <w:tab/>
            </w:r>
            <w:r w:rsidR="003D0998" w:rsidRPr="007B3452">
              <w:rPr>
                <w:rFonts w:ascii="Arial" w:hAnsi="Arial" w:cs="Arial"/>
                <w:noProof/>
                <w:webHidden/>
              </w:rPr>
              <w:fldChar w:fldCharType="begin"/>
            </w:r>
            <w:r w:rsidR="003D0998" w:rsidRPr="007B3452">
              <w:rPr>
                <w:rFonts w:ascii="Arial" w:hAnsi="Arial" w:cs="Arial"/>
                <w:noProof/>
                <w:webHidden/>
              </w:rPr>
              <w:instrText xml:space="preserve"> PAGEREF _Toc535503308 \h </w:instrText>
            </w:r>
            <w:r w:rsidR="003D0998" w:rsidRPr="007B3452">
              <w:rPr>
                <w:rFonts w:ascii="Arial" w:hAnsi="Arial" w:cs="Arial"/>
                <w:noProof/>
                <w:webHidden/>
              </w:rPr>
            </w:r>
            <w:r w:rsidR="003D0998" w:rsidRPr="007B3452">
              <w:rPr>
                <w:rFonts w:ascii="Arial" w:hAnsi="Arial" w:cs="Arial"/>
                <w:noProof/>
                <w:webHidden/>
              </w:rPr>
              <w:fldChar w:fldCharType="separate"/>
            </w:r>
            <w:r w:rsidR="00D268D5">
              <w:rPr>
                <w:rFonts w:ascii="Arial" w:hAnsi="Arial" w:cs="Arial"/>
                <w:noProof/>
                <w:webHidden/>
              </w:rPr>
              <w:t>10</w:t>
            </w:r>
            <w:r w:rsidR="003D0998" w:rsidRPr="007B3452">
              <w:rPr>
                <w:rFonts w:ascii="Arial" w:hAnsi="Arial" w:cs="Arial"/>
                <w:noProof/>
                <w:webHidden/>
              </w:rPr>
              <w:fldChar w:fldCharType="end"/>
            </w:r>
          </w:hyperlink>
        </w:p>
        <w:p w14:paraId="5B431548" w14:textId="22BD96D8" w:rsidR="003D0998" w:rsidRPr="007B3452" w:rsidRDefault="003544FA">
          <w:pPr>
            <w:pStyle w:val="TOC2"/>
            <w:tabs>
              <w:tab w:val="right" w:leader="dot" w:pos="9016"/>
            </w:tabs>
            <w:rPr>
              <w:rFonts w:ascii="Arial" w:eastAsiaTheme="minorEastAsia" w:hAnsi="Arial" w:cs="Arial"/>
              <w:noProof/>
              <w:lang w:eastAsia="en-AU"/>
            </w:rPr>
          </w:pPr>
          <w:hyperlink w:anchor="_Toc535503309" w:history="1">
            <w:r w:rsidR="003D0998" w:rsidRPr="007B3452">
              <w:rPr>
                <w:rStyle w:val="Hyperlink"/>
                <w:rFonts w:ascii="Arial" w:hAnsi="Arial" w:cs="Arial"/>
                <w:noProof/>
              </w:rPr>
              <w:t>General advice warning</w:t>
            </w:r>
            <w:r w:rsidR="003D0998" w:rsidRPr="007B3452">
              <w:rPr>
                <w:rFonts w:ascii="Arial" w:hAnsi="Arial" w:cs="Arial"/>
                <w:noProof/>
                <w:webHidden/>
              </w:rPr>
              <w:tab/>
            </w:r>
            <w:r w:rsidR="003D0998" w:rsidRPr="007B3452">
              <w:rPr>
                <w:rFonts w:ascii="Arial" w:hAnsi="Arial" w:cs="Arial"/>
                <w:noProof/>
                <w:webHidden/>
              </w:rPr>
              <w:fldChar w:fldCharType="begin"/>
            </w:r>
            <w:r w:rsidR="003D0998" w:rsidRPr="007B3452">
              <w:rPr>
                <w:rFonts w:ascii="Arial" w:hAnsi="Arial" w:cs="Arial"/>
                <w:noProof/>
                <w:webHidden/>
              </w:rPr>
              <w:instrText xml:space="preserve"> PAGEREF _Toc535503309 \h </w:instrText>
            </w:r>
            <w:r w:rsidR="003D0998" w:rsidRPr="007B3452">
              <w:rPr>
                <w:rFonts w:ascii="Arial" w:hAnsi="Arial" w:cs="Arial"/>
                <w:noProof/>
                <w:webHidden/>
              </w:rPr>
            </w:r>
            <w:r w:rsidR="003D0998" w:rsidRPr="007B3452">
              <w:rPr>
                <w:rFonts w:ascii="Arial" w:hAnsi="Arial" w:cs="Arial"/>
                <w:noProof/>
                <w:webHidden/>
              </w:rPr>
              <w:fldChar w:fldCharType="separate"/>
            </w:r>
            <w:r w:rsidR="00D268D5">
              <w:rPr>
                <w:rFonts w:ascii="Arial" w:hAnsi="Arial" w:cs="Arial"/>
                <w:noProof/>
                <w:webHidden/>
              </w:rPr>
              <w:t>10</w:t>
            </w:r>
            <w:r w:rsidR="003D0998" w:rsidRPr="007B3452">
              <w:rPr>
                <w:rFonts w:ascii="Arial" w:hAnsi="Arial" w:cs="Arial"/>
                <w:noProof/>
                <w:webHidden/>
              </w:rPr>
              <w:fldChar w:fldCharType="end"/>
            </w:r>
          </w:hyperlink>
        </w:p>
        <w:p w14:paraId="379444FF" w14:textId="57639DE8" w:rsidR="003D0998" w:rsidRPr="007B3452" w:rsidRDefault="003544FA">
          <w:pPr>
            <w:pStyle w:val="TOC2"/>
            <w:tabs>
              <w:tab w:val="right" w:leader="dot" w:pos="9016"/>
            </w:tabs>
            <w:rPr>
              <w:rFonts w:ascii="Arial" w:eastAsiaTheme="minorEastAsia" w:hAnsi="Arial" w:cs="Arial"/>
              <w:noProof/>
              <w:lang w:eastAsia="en-AU"/>
            </w:rPr>
          </w:pPr>
          <w:hyperlink w:anchor="_Toc535503310" w:history="1">
            <w:r w:rsidR="003D0998" w:rsidRPr="007B3452">
              <w:rPr>
                <w:rStyle w:val="Hyperlink"/>
                <w:rFonts w:ascii="Arial" w:hAnsi="Arial" w:cs="Arial"/>
                <w:noProof/>
              </w:rPr>
              <w:t>Retail, sophisticated and wholesale investors/clients</w:t>
            </w:r>
            <w:r w:rsidR="003D0998" w:rsidRPr="007B3452">
              <w:rPr>
                <w:rFonts w:ascii="Arial" w:hAnsi="Arial" w:cs="Arial"/>
                <w:noProof/>
                <w:webHidden/>
              </w:rPr>
              <w:tab/>
            </w:r>
            <w:r w:rsidR="003D0998" w:rsidRPr="007B3452">
              <w:rPr>
                <w:rFonts w:ascii="Arial" w:hAnsi="Arial" w:cs="Arial"/>
                <w:noProof/>
                <w:webHidden/>
              </w:rPr>
              <w:fldChar w:fldCharType="begin"/>
            </w:r>
            <w:r w:rsidR="003D0998" w:rsidRPr="007B3452">
              <w:rPr>
                <w:rFonts w:ascii="Arial" w:hAnsi="Arial" w:cs="Arial"/>
                <w:noProof/>
                <w:webHidden/>
              </w:rPr>
              <w:instrText xml:space="preserve"> PAGEREF _Toc535503310 \h </w:instrText>
            </w:r>
            <w:r w:rsidR="003D0998" w:rsidRPr="007B3452">
              <w:rPr>
                <w:rFonts w:ascii="Arial" w:hAnsi="Arial" w:cs="Arial"/>
                <w:noProof/>
                <w:webHidden/>
              </w:rPr>
            </w:r>
            <w:r w:rsidR="003D0998" w:rsidRPr="007B3452">
              <w:rPr>
                <w:rFonts w:ascii="Arial" w:hAnsi="Arial" w:cs="Arial"/>
                <w:noProof/>
                <w:webHidden/>
              </w:rPr>
              <w:fldChar w:fldCharType="separate"/>
            </w:r>
            <w:r w:rsidR="00D268D5">
              <w:rPr>
                <w:rFonts w:ascii="Arial" w:hAnsi="Arial" w:cs="Arial"/>
                <w:noProof/>
                <w:webHidden/>
              </w:rPr>
              <w:t>12</w:t>
            </w:r>
            <w:r w:rsidR="003D0998" w:rsidRPr="007B3452">
              <w:rPr>
                <w:rFonts w:ascii="Arial" w:hAnsi="Arial" w:cs="Arial"/>
                <w:noProof/>
                <w:webHidden/>
              </w:rPr>
              <w:fldChar w:fldCharType="end"/>
            </w:r>
          </w:hyperlink>
        </w:p>
        <w:p w14:paraId="4E27BC4F" w14:textId="5B0A7E3D" w:rsidR="003D0998" w:rsidRPr="007B3452" w:rsidRDefault="003544FA">
          <w:pPr>
            <w:pStyle w:val="TOC2"/>
            <w:tabs>
              <w:tab w:val="right" w:leader="dot" w:pos="9016"/>
            </w:tabs>
            <w:rPr>
              <w:rFonts w:ascii="Arial" w:eastAsiaTheme="minorEastAsia" w:hAnsi="Arial" w:cs="Arial"/>
              <w:noProof/>
              <w:lang w:eastAsia="en-AU"/>
            </w:rPr>
          </w:pPr>
          <w:hyperlink w:anchor="_Toc535503311" w:history="1">
            <w:r w:rsidR="003D0998" w:rsidRPr="007B3452">
              <w:rPr>
                <w:rStyle w:val="Hyperlink"/>
                <w:rFonts w:ascii="Arial" w:hAnsi="Arial" w:cs="Arial"/>
                <w:noProof/>
              </w:rPr>
              <w:t>Professional privilege for financial advisers</w:t>
            </w:r>
            <w:r w:rsidR="003D0998" w:rsidRPr="007B3452">
              <w:rPr>
                <w:rFonts w:ascii="Arial" w:hAnsi="Arial" w:cs="Arial"/>
                <w:noProof/>
                <w:webHidden/>
              </w:rPr>
              <w:tab/>
            </w:r>
            <w:r w:rsidR="003D0998" w:rsidRPr="007B3452">
              <w:rPr>
                <w:rFonts w:ascii="Arial" w:hAnsi="Arial" w:cs="Arial"/>
                <w:noProof/>
                <w:webHidden/>
              </w:rPr>
              <w:fldChar w:fldCharType="begin"/>
            </w:r>
            <w:r w:rsidR="003D0998" w:rsidRPr="007B3452">
              <w:rPr>
                <w:rFonts w:ascii="Arial" w:hAnsi="Arial" w:cs="Arial"/>
                <w:noProof/>
                <w:webHidden/>
              </w:rPr>
              <w:instrText xml:space="preserve"> PAGEREF _Toc535503311 \h </w:instrText>
            </w:r>
            <w:r w:rsidR="003D0998" w:rsidRPr="007B3452">
              <w:rPr>
                <w:rFonts w:ascii="Arial" w:hAnsi="Arial" w:cs="Arial"/>
                <w:noProof/>
                <w:webHidden/>
              </w:rPr>
            </w:r>
            <w:r w:rsidR="003D0998" w:rsidRPr="007B3452">
              <w:rPr>
                <w:rFonts w:ascii="Arial" w:hAnsi="Arial" w:cs="Arial"/>
                <w:noProof/>
                <w:webHidden/>
              </w:rPr>
              <w:fldChar w:fldCharType="separate"/>
            </w:r>
            <w:r w:rsidR="00D268D5">
              <w:rPr>
                <w:rFonts w:ascii="Arial" w:hAnsi="Arial" w:cs="Arial"/>
                <w:noProof/>
                <w:webHidden/>
              </w:rPr>
              <w:t>13</w:t>
            </w:r>
            <w:r w:rsidR="003D0998" w:rsidRPr="007B3452">
              <w:rPr>
                <w:rFonts w:ascii="Arial" w:hAnsi="Arial" w:cs="Arial"/>
                <w:noProof/>
                <w:webHidden/>
              </w:rPr>
              <w:fldChar w:fldCharType="end"/>
            </w:r>
          </w:hyperlink>
        </w:p>
        <w:p w14:paraId="656FFC16" w14:textId="73F52F2B" w:rsidR="003D0998" w:rsidRPr="007B3452" w:rsidRDefault="003544FA">
          <w:pPr>
            <w:pStyle w:val="TOC2"/>
            <w:tabs>
              <w:tab w:val="right" w:leader="dot" w:pos="9016"/>
            </w:tabs>
            <w:rPr>
              <w:rFonts w:ascii="Arial" w:eastAsiaTheme="minorEastAsia" w:hAnsi="Arial" w:cs="Arial"/>
              <w:noProof/>
              <w:lang w:eastAsia="en-AU"/>
            </w:rPr>
          </w:pPr>
          <w:hyperlink w:anchor="_Toc535503312" w:history="1">
            <w:r w:rsidR="003D0998" w:rsidRPr="007B3452">
              <w:rPr>
                <w:rStyle w:val="Hyperlink"/>
                <w:rFonts w:ascii="Arial" w:hAnsi="Arial" w:cs="Arial"/>
                <w:noProof/>
              </w:rPr>
              <w:t>Increasing financial capability</w:t>
            </w:r>
            <w:r w:rsidR="003D0998" w:rsidRPr="007B3452">
              <w:rPr>
                <w:rFonts w:ascii="Arial" w:hAnsi="Arial" w:cs="Arial"/>
                <w:noProof/>
                <w:webHidden/>
              </w:rPr>
              <w:tab/>
            </w:r>
            <w:r w:rsidR="003D0998" w:rsidRPr="007B3452">
              <w:rPr>
                <w:rFonts w:ascii="Arial" w:hAnsi="Arial" w:cs="Arial"/>
                <w:noProof/>
                <w:webHidden/>
              </w:rPr>
              <w:fldChar w:fldCharType="begin"/>
            </w:r>
            <w:r w:rsidR="003D0998" w:rsidRPr="007B3452">
              <w:rPr>
                <w:rFonts w:ascii="Arial" w:hAnsi="Arial" w:cs="Arial"/>
                <w:noProof/>
                <w:webHidden/>
              </w:rPr>
              <w:instrText xml:space="preserve"> PAGEREF _Toc535503312 \h </w:instrText>
            </w:r>
            <w:r w:rsidR="003D0998" w:rsidRPr="007B3452">
              <w:rPr>
                <w:rFonts w:ascii="Arial" w:hAnsi="Arial" w:cs="Arial"/>
                <w:noProof/>
                <w:webHidden/>
              </w:rPr>
            </w:r>
            <w:r w:rsidR="003D0998" w:rsidRPr="007B3452">
              <w:rPr>
                <w:rFonts w:ascii="Arial" w:hAnsi="Arial" w:cs="Arial"/>
                <w:noProof/>
                <w:webHidden/>
              </w:rPr>
              <w:fldChar w:fldCharType="separate"/>
            </w:r>
            <w:r w:rsidR="00D268D5">
              <w:rPr>
                <w:rFonts w:ascii="Arial" w:hAnsi="Arial" w:cs="Arial"/>
                <w:noProof/>
                <w:webHidden/>
              </w:rPr>
              <w:t>14</w:t>
            </w:r>
            <w:r w:rsidR="003D0998" w:rsidRPr="007B3452">
              <w:rPr>
                <w:rFonts w:ascii="Arial" w:hAnsi="Arial" w:cs="Arial"/>
                <w:noProof/>
                <w:webHidden/>
              </w:rPr>
              <w:fldChar w:fldCharType="end"/>
            </w:r>
          </w:hyperlink>
        </w:p>
        <w:p w14:paraId="1426CC95" w14:textId="702C92F4" w:rsidR="003D0998" w:rsidRPr="007B3452" w:rsidRDefault="003544FA">
          <w:pPr>
            <w:pStyle w:val="TOC2"/>
            <w:tabs>
              <w:tab w:val="right" w:leader="dot" w:pos="9016"/>
            </w:tabs>
            <w:rPr>
              <w:rFonts w:ascii="Arial" w:eastAsiaTheme="minorEastAsia" w:hAnsi="Arial" w:cs="Arial"/>
              <w:noProof/>
              <w:lang w:eastAsia="en-AU"/>
            </w:rPr>
          </w:pPr>
          <w:hyperlink w:anchor="_Toc535503313" w:history="1">
            <w:r w:rsidR="003D0998" w:rsidRPr="007B3452">
              <w:rPr>
                <w:rStyle w:val="Hyperlink"/>
                <w:rFonts w:ascii="Arial" w:hAnsi="Arial" w:cs="Arial"/>
                <w:noProof/>
              </w:rPr>
              <w:t>Promoting competition in the financial services industry</w:t>
            </w:r>
            <w:r w:rsidR="003D0998" w:rsidRPr="007B3452">
              <w:rPr>
                <w:rFonts w:ascii="Arial" w:hAnsi="Arial" w:cs="Arial"/>
                <w:noProof/>
                <w:webHidden/>
              </w:rPr>
              <w:tab/>
            </w:r>
            <w:r w:rsidR="003D0998" w:rsidRPr="007B3452">
              <w:rPr>
                <w:rFonts w:ascii="Arial" w:hAnsi="Arial" w:cs="Arial"/>
                <w:noProof/>
                <w:webHidden/>
              </w:rPr>
              <w:fldChar w:fldCharType="begin"/>
            </w:r>
            <w:r w:rsidR="003D0998" w:rsidRPr="007B3452">
              <w:rPr>
                <w:rFonts w:ascii="Arial" w:hAnsi="Arial" w:cs="Arial"/>
                <w:noProof/>
                <w:webHidden/>
              </w:rPr>
              <w:instrText xml:space="preserve"> PAGEREF _Toc535503313 \h </w:instrText>
            </w:r>
            <w:r w:rsidR="003D0998" w:rsidRPr="007B3452">
              <w:rPr>
                <w:rFonts w:ascii="Arial" w:hAnsi="Arial" w:cs="Arial"/>
                <w:noProof/>
                <w:webHidden/>
              </w:rPr>
            </w:r>
            <w:r w:rsidR="003D0998" w:rsidRPr="007B3452">
              <w:rPr>
                <w:rFonts w:ascii="Arial" w:hAnsi="Arial" w:cs="Arial"/>
                <w:noProof/>
                <w:webHidden/>
              </w:rPr>
              <w:fldChar w:fldCharType="separate"/>
            </w:r>
            <w:r w:rsidR="00D268D5">
              <w:rPr>
                <w:rFonts w:ascii="Arial" w:hAnsi="Arial" w:cs="Arial"/>
                <w:noProof/>
                <w:webHidden/>
              </w:rPr>
              <w:t>15</w:t>
            </w:r>
            <w:r w:rsidR="003D0998" w:rsidRPr="007B3452">
              <w:rPr>
                <w:rFonts w:ascii="Arial" w:hAnsi="Arial" w:cs="Arial"/>
                <w:noProof/>
                <w:webHidden/>
              </w:rPr>
              <w:fldChar w:fldCharType="end"/>
            </w:r>
          </w:hyperlink>
        </w:p>
        <w:p w14:paraId="2F833BE2" w14:textId="3F6E4CC4" w:rsidR="003D0998" w:rsidRPr="007B3452" w:rsidRDefault="003544FA">
          <w:pPr>
            <w:pStyle w:val="TOC1"/>
            <w:tabs>
              <w:tab w:val="right" w:leader="dot" w:pos="9016"/>
            </w:tabs>
            <w:rPr>
              <w:rFonts w:ascii="Arial" w:eastAsiaTheme="minorEastAsia" w:hAnsi="Arial" w:cs="Arial"/>
              <w:noProof/>
              <w:lang w:eastAsia="en-AU"/>
            </w:rPr>
          </w:pPr>
          <w:hyperlink w:anchor="_Toc535503314" w:history="1">
            <w:r w:rsidR="003D0998" w:rsidRPr="007B3452">
              <w:rPr>
                <w:rStyle w:val="Hyperlink"/>
                <w:rFonts w:ascii="Arial" w:hAnsi="Arial" w:cs="Arial"/>
                <w:noProof/>
              </w:rPr>
              <w:t>Supporting the professionalisation of financial planning</w:t>
            </w:r>
            <w:r w:rsidR="003D0998" w:rsidRPr="007B3452">
              <w:rPr>
                <w:rFonts w:ascii="Arial" w:hAnsi="Arial" w:cs="Arial"/>
                <w:noProof/>
                <w:webHidden/>
              </w:rPr>
              <w:tab/>
            </w:r>
            <w:r w:rsidR="003D0998" w:rsidRPr="007B3452">
              <w:rPr>
                <w:rFonts w:ascii="Arial" w:hAnsi="Arial" w:cs="Arial"/>
                <w:noProof/>
                <w:webHidden/>
              </w:rPr>
              <w:fldChar w:fldCharType="begin"/>
            </w:r>
            <w:r w:rsidR="003D0998" w:rsidRPr="007B3452">
              <w:rPr>
                <w:rFonts w:ascii="Arial" w:hAnsi="Arial" w:cs="Arial"/>
                <w:noProof/>
                <w:webHidden/>
              </w:rPr>
              <w:instrText xml:space="preserve"> PAGEREF _Toc535503314 \h </w:instrText>
            </w:r>
            <w:r w:rsidR="003D0998" w:rsidRPr="007B3452">
              <w:rPr>
                <w:rFonts w:ascii="Arial" w:hAnsi="Arial" w:cs="Arial"/>
                <w:noProof/>
                <w:webHidden/>
              </w:rPr>
            </w:r>
            <w:r w:rsidR="003D0998" w:rsidRPr="007B3452">
              <w:rPr>
                <w:rFonts w:ascii="Arial" w:hAnsi="Arial" w:cs="Arial"/>
                <w:noProof/>
                <w:webHidden/>
              </w:rPr>
              <w:fldChar w:fldCharType="separate"/>
            </w:r>
            <w:r w:rsidR="00D268D5">
              <w:rPr>
                <w:rFonts w:ascii="Arial" w:hAnsi="Arial" w:cs="Arial"/>
                <w:noProof/>
                <w:webHidden/>
              </w:rPr>
              <w:t>17</w:t>
            </w:r>
            <w:r w:rsidR="003D0998" w:rsidRPr="007B3452">
              <w:rPr>
                <w:rFonts w:ascii="Arial" w:hAnsi="Arial" w:cs="Arial"/>
                <w:noProof/>
                <w:webHidden/>
              </w:rPr>
              <w:fldChar w:fldCharType="end"/>
            </w:r>
          </w:hyperlink>
        </w:p>
        <w:p w14:paraId="589D1914" w14:textId="2DE1550C" w:rsidR="003D0998" w:rsidRPr="007B3452" w:rsidRDefault="003544FA">
          <w:pPr>
            <w:pStyle w:val="TOC2"/>
            <w:tabs>
              <w:tab w:val="right" w:leader="dot" w:pos="9016"/>
            </w:tabs>
            <w:rPr>
              <w:rFonts w:ascii="Arial" w:eastAsiaTheme="minorEastAsia" w:hAnsi="Arial" w:cs="Arial"/>
              <w:noProof/>
              <w:lang w:eastAsia="en-AU"/>
            </w:rPr>
          </w:pPr>
          <w:hyperlink w:anchor="_Toc535503315" w:history="1">
            <w:r w:rsidR="003D0998" w:rsidRPr="007B3452">
              <w:rPr>
                <w:rStyle w:val="Hyperlink"/>
                <w:rFonts w:ascii="Arial" w:hAnsi="Arial" w:cs="Arial"/>
                <w:noProof/>
              </w:rPr>
              <w:t>Streamlining interactions with Centrelink and the ATO</w:t>
            </w:r>
            <w:r w:rsidR="003D0998" w:rsidRPr="007B3452">
              <w:rPr>
                <w:rFonts w:ascii="Arial" w:hAnsi="Arial" w:cs="Arial"/>
                <w:noProof/>
                <w:webHidden/>
              </w:rPr>
              <w:tab/>
            </w:r>
            <w:r w:rsidR="003D0998" w:rsidRPr="007B3452">
              <w:rPr>
                <w:rFonts w:ascii="Arial" w:hAnsi="Arial" w:cs="Arial"/>
                <w:noProof/>
                <w:webHidden/>
              </w:rPr>
              <w:fldChar w:fldCharType="begin"/>
            </w:r>
            <w:r w:rsidR="003D0998" w:rsidRPr="007B3452">
              <w:rPr>
                <w:rFonts w:ascii="Arial" w:hAnsi="Arial" w:cs="Arial"/>
                <w:noProof/>
                <w:webHidden/>
              </w:rPr>
              <w:instrText xml:space="preserve"> PAGEREF _Toc535503315 \h </w:instrText>
            </w:r>
            <w:r w:rsidR="003D0998" w:rsidRPr="007B3452">
              <w:rPr>
                <w:rFonts w:ascii="Arial" w:hAnsi="Arial" w:cs="Arial"/>
                <w:noProof/>
                <w:webHidden/>
              </w:rPr>
            </w:r>
            <w:r w:rsidR="003D0998" w:rsidRPr="007B3452">
              <w:rPr>
                <w:rFonts w:ascii="Arial" w:hAnsi="Arial" w:cs="Arial"/>
                <w:noProof/>
                <w:webHidden/>
              </w:rPr>
              <w:fldChar w:fldCharType="separate"/>
            </w:r>
            <w:r w:rsidR="00D268D5">
              <w:rPr>
                <w:rFonts w:ascii="Arial" w:hAnsi="Arial" w:cs="Arial"/>
                <w:noProof/>
                <w:webHidden/>
              </w:rPr>
              <w:t>17</w:t>
            </w:r>
            <w:r w:rsidR="003D0998" w:rsidRPr="007B3452">
              <w:rPr>
                <w:rFonts w:ascii="Arial" w:hAnsi="Arial" w:cs="Arial"/>
                <w:noProof/>
                <w:webHidden/>
              </w:rPr>
              <w:fldChar w:fldCharType="end"/>
            </w:r>
          </w:hyperlink>
        </w:p>
        <w:p w14:paraId="1DD7F526" w14:textId="689AC27E" w:rsidR="003D0998" w:rsidRPr="007B3452" w:rsidRDefault="003544FA">
          <w:pPr>
            <w:pStyle w:val="TOC2"/>
            <w:tabs>
              <w:tab w:val="right" w:leader="dot" w:pos="9016"/>
            </w:tabs>
            <w:rPr>
              <w:rFonts w:ascii="Arial" w:eastAsiaTheme="minorEastAsia" w:hAnsi="Arial" w:cs="Arial"/>
              <w:noProof/>
              <w:lang w:eastAsia="en-AU"/>
            </w:rPr>
          </w:pPr>
          <w:hyperlink w:anchor="_Toc535503316" w:history="1">
            <w:r w:rsidR="003D0998" w:rsidRPr="007B3452">
              <w:rPr>
                <w:rStyle w:val="Hyperlink"/>
                <w:rFonts w:ascii="Arial" w:hAnsi="Arial" w:cs="Arial"/>
                <w:noProof/>
              </w:rPr>
              <w:t>Supporting further education for financial planners</w:t>
            </w:r>
            <w:r w:rsidR="003D0998" w:rsidRPr="007B3452">
              <w:rPr>
                <w:rFonts w:ascii="Arial" w:hAnsi="Arial" w:cs="Arial"/>
                <w:noProof/>
                <w:webHidden/>
              </w:rPr>
              <w:tab/>
            </w:r>
            <w:r w:rsidR="003D0998" w:rsidRPr="007B3452">
              <w:rPr>
                <w:rFonts w:ascii="Arial" w:hAnsi="Arial" w:cs="Arial"/>
                <w:noProof/>
                <w:webHidden/>
              </w:rPr>
              <w:fldChar w:fldCharType="begin"/>
            </w:r>
            <w:r w:rsidR="003D0998" w:rsidRPr="007B3452">
              <w:rPr>
                <w:rFonts w:ascii="Arial" w:hAnsi="Arial" w:cs="Arial"/>
                <w:noProof/>
                <w:webHidden/>
              </w:rPr>
              <w:instrText xml:space="preserve"> PAGEREF _Toc535503316 \h </w:instrText>
            </w:r>
            <w:r w:rsidR="003D0998" w:rsidRPr="007B3452">
              <w:rPr>
                <w:rFonts w:ascii="Arial" w:hAnsi="Arial" w:cs="Arial"/>
                <w:noProof/>
                <w:webHidden/>
              </w:rPr>
            </w:r>
            <w:r w:rsidR="003D0998" w:rsidRPr="007B3452">
              <w:rPr>
                <w:rFonts w:ascii="Arial" w:hAnsi="Arial" w:cs="Arial"/>
                <w:noProof/>
                <w:webHidden/>
              </w:rPr>
              <w:fldChar w:fldCharType="separate"/>
            </w:r>
            <w:r w:rsidR="00D268D5">
              <w:rPr>
                <w:rFonts w:ascii="Arial" w:hAnsi="Arial" w:cs="Arial"/>
                <w:noProof/>
                <w:webHidden/>
              </w:rPr>
              <w:t>17</w:t>
            </w:r>
            <w:r w:rsidR="003D0998" w:rsidRPr="007B3452">
              <w:rPr>
                <w:rFonts w:ascii="Arial" w:hAnsi="Arial" w:cs="Arial"/>
                <w:noProof/>
                <w:webHidden/>
              </w:rPr>
              <w:fldChar w:fldCharType="end"/>
            </w:r>
          </w:hyperlink>
        </w:p>
        <w:p w14:paraId="00E48754" w14:textId="4C859591" w:rsidR="003D0998" w:rsidRPr="007B3452" w:rsidRDefault="003544FA">
          <w:pPr>
            <w:pStyle w:val="TOC1"/>
            <w:tabs>
              <w:tab w:val="right" w:leader="dot" w:pos="9016"/>
            </w:tabs>
            <w:rPr>
              <w:rFonts w:ascii="Arial" w:eastAsiaTheme="minorEastAsia" w:hAnsi="Arial" w:cs="Arial"/>
              <w:noProof/>
              <w:lang w:eastAsia="en-AU"/>
            </w:rPr>
          </w:pPr>
          <w:hyperlink w:anchor="_Toc535503317" w:history="1">
            <w:r w:rsidR="003D0998" w:rsidRPr="007B3452">
              <w:rPr>
                <w:rStyle w:val="Hyperlink"/>
                <w:rFonts w:ascii="Arial" w:hAnsi="Arial" w:cs="Arial"/>
                <w:noProof/>
              </w:rPr>
              <w:t>Improving Australia’s retirement system</w:t>
            </w:r>
            <w:r w:rsidR="003D0998" w:rsidRPr="007B3452">
              <w:rPr>
                <w:rFonts w:ascii="Arial" w:hAnsi="Arial" w:cs="Arial"/>
                <w:noProof/>
                <w:webHidden/>
              </w:rPr>
              <w:tab/>
            </w:r>
            <w:r w:rsidR="003D0998" w:rsidRPr="007B3452">
              <w:rPr>
                <w:rFonts w:ascii="Arial" w:hAnsi="Arial" w:cs="Arial"/>
                <w:noProof/>
                <w:webHidden/>
              </w:rPr>
              <w:fldChar w:fldCharType="begin"/>
            </w:r>
            <w:r w:rsidR="003D0998" w:rsidRPr="007B3452">
              <w:rPr>
                <w:rFonts w:ascii="Arial" w:hAnsi="Arial" w:cs="Arial"/>
                <w:noProof/>
                <w:webHidden/>
              </w:rPr>
              <w:instrText xml:space="preserve"> PAGEREF _Toc535503317 \h </w:instrText>
            </w:r>
            <w:r w:rsidR="003D0998" w:rsidRPr="007B3452">
              <w:rPr>
                <w:rFonts w:ascii="Arial" w:hAnsi="Arial" w:cs="Arial"/>
                <w:noProof/>
                <w:webHidden/>
              </w:rPr>
            </w:r>
            <w:r w:rsidR="003D0998" w:rsidRPr="007B3452">
              <w:rPr>
                <w:rFonts w:ascii="Arial" w:hAnsi="Arial" w:cs="Arial"/>
                <w:noProof/>
                <w:webHidden/>
              </w:rPr>
              <w:fldChar w:fldCharType="separate"/>
            </w:r>
            <w:r w:rsidR="00D268D5">
              <w:rPr>
                <w:rFonts w:ascii="Arial" w:hAnsi="Arial" w:cs="Arial"/>
                <w:noProof/>
                <w:webHidden/>
              </w:rPr>
              <w:t>19</w:t>
            </w:r>
            <w:r w:rsidR="003D0998" w:rsidRPr="007B3452">
              <w:rPr>
                <w:rFonts w:ascii="Arial" w:hAnsi="Arial" w:cs="Arial"/>
                <w:noProof/>
                <w:webHidden/>
              </w:rPr>
              <w:fldChar w:fldCharType="end"/>
            </w:r>
          </w:hyperlink>
        </w:p>
        <w:p w14:paraId="5A2850CB" w14:textId="7AB5F627" w:rsidR="003D0998" w:rsidRPr="007B3452" w:rsidRDefault="003544FA">
          <w:pPr>
            <w:pStyle w:val="TOC2"/>
            <w:tabs>
              <w:tab w:val="right" w:leader="dot" w:pos="9016"/>
            </w:tabs>
            <w:rPr>
              <w:rFonts w:ascii="Arial" w:eastAsiaTheme="minorEastAsia" w:hAnsi="Arial" w:cs="Arial"/>
              <w:noProof/>
              <w:lang w:eastAsia="en-AU"/>
            </w:rPr>
          </w:pPr>
          <w:hyperlink w:anchor="_Toc535503318" w:history="1">
            <w:r w:rsidR="003D0998" w:rsidRPr="007B3452">
              <w:rPr>
                <w:rStyle w:val="Hyperlink"/>
                <w:rFonts w:ascii="Arial" w:hAnsi="Arial" w:cs="Arial"/>
                <w:noProof/>
              </w:rPr>
              <w:t>Superannuation</w:t>
            </w:r>
            <w:r w:rsidR="003D0998" w:rsidRPr="007B3452">
              <w:rPr>
                <w:rFonts w:ascii="Arial" w:hAnsi="Arial" w:cs="Arial"/>
                <w:noProof/>
                <w:webHidden/>
              </w:rPr>
              <w:tab/>
            </w:r>
            <w:r w:rsidR="003D0998" w:rsidRPr="007B3452">
              <w:rPr>
                <w:rFonts w:ascii="Arial" w:hAnsi="Arial" w:cs="Arial"/>
                <w:noProof/>
                <w:webHidden/>
              </w:rPr>
              <w:fldChar w:fldCharType="begin"/>
            </w:r>
            <w:r w:rsidR="003D0998" w:rsidRPr="007B3452">
              <w:rPr>
                <w:rFonts w:ascii="Arial" w:hAnsi="Arial" w:cs="Arial"/>
                <w:noProof/>
                <w:webHidden/>
              </w:rPr>
              <w:instrText xml:space="preserve"> PAGEREF _Toc535503318 \h </w:instrText>
            </w:r>
            <w:r w:rsidR="003D0998" w:rsidRPr="007B3452">
              <w:rPr>
                <w:rFonts w:ascii="Arial" w:hAnsi="Arial" w:cs="Arial"/>
                <w:noProof/>
                <w:webHidden/>
              </w:rPr>
            </w:r>
            <w:r w:rsidR="003D0998" w:rsidRPr="007B3452">
              <w:rPr>
                <w:rFonts w:ascii="Arial" w:hAnsi="Arial" w:cs="Arial"/>
                <w:noProof/>
                <w:webHidden/>
              </w:rPr>
              <w:fldChar w:fldCharType="separate"/>
            </w:r>
            <w:r w:rsidR="00D268D5">
              <w:rPr>
                <w:rFonts w:ascii="Arial" w:hAnsi="Arial" w:cs="Arial"/>
                <w:noProof/>
                <w:webHidden/>
              </w:rPr>
              <w:t>19</w:t>
            </w:r>
            <w:r w:rsidR="003D0998" w:rsidRPr="007B3452">
              <w:rPr>
                <w:rFonts w:ascii="Arial" w:hAnsi="Arial" w:cs="Arial"/>
                <w:noProof/>
                <w:webHidden/>
              </w:rPr>
              <w:fldChar w:fldCharType="end"/>
            </w:r>
          </w:hyperlink>
        </w:p>
        <w:p w14:paraId="57B06D30" w14:textId="74BF406E" w:rsidR="003D0998" w:rsidRPr="007B3452" w:rsidRDefault="003544FA">
          <w:pPr>
            <w:pStyle w:val="TOC3"/>
            <w:tabs>
              <w:tab w:val="right" w:leader="dot" w:pos="9016"/>
            </w:tabs>
            <w:rPr>
              <w:rFonts w:ascii="Arial" w:eastAsiaTheme="minorEastAsia" w:hAnsi="Arial" w:cs="Arial"/>
              <w:noProof/>
              <w:lang w:eastAsia="en-AU"/>
            </w:rPr>
          </w:pPr>
          <w:hyperlink w:anchor="_Toc535503319" w:history="1">
            <w:r w:rsidR="003D0998" w:rsidRPr="007B3452">
              <w:rPr>
                <w:rStyle w:val="Hyperlink"/>
                <w:rFonts w:ascii="Arial" w:hAnsi="Arial" w:cs="Arial"/>
                <w:noProof/>
              </w:rPr>
              <w:t>Payments for Paid Parental Leave and carer’s leave</w:t>
            </w:r>
            <w:r w:rsidR="003D0998" w:rsidRPr="007B3452">
              <w:rPr>
                <w:rFonts w:ascii="Arial" w:hAnsi="Arial" w:cs="Arial"/>
                <w:noProof/>
                <w:webHidden/>
              </w:rPr>
              <w:tab/>
            </w:r>
            <w:r w:rsidR="003D0998" w:rsidRPr="007B3452">
              <w:rPr>
                <w:rFonts w:ascii="Arial" w:hAnsi="Arial" w:cs="Arial"/>
                <w:noProof/>
                <w:webHidden/>
              </w:rPr>
              <w:fldChar w:fldCharType="begin"/>
            </w:r>
            <w:r w:rsidR="003D0998" w:rsidRPr="007B3452">
              <w:rPr>
                <w:rFonts w:ascii="Arial" w:hAnsi="Arial" w:cs="Arial"/>
                <w:noProof/>
                <w:webHidden/>
              </w:rPr>
              <w:instrText xml:space="preserve"> PAGEREF _Toc535503319 \h </w:instrText>
            </w:r>
            <w:r w:rsidR="003D0998" w:rsidRPr="007B3452">
              <w:rPr>
                <w:rFonts w:ascii="Arial" w:hAnsi="Arial" w:cs="Arial"/>
                <w:noProof/>
                <w:webHidden/>
              </w:rPr>
            </w:r>
            <w:r w:rsidR="003D0998" w:rsidRPr="007B3452">
              <w:rPr>
                <w:rFonts w:ascii="Arial" w:hAnsi="Arial" w:cs="Arial"/>
                <w:noProof/>
                <w:webHidden/>
              </w:rPr>
              <w:fldChar w:fldCharType="separate"/>
            </w:r>
            <w:r w:rsidR="00D268D5">
              <w:rPr>
                <w:rFonts w:ascii="Arial" w:hAnsi="Arial" w:cs="Arial"/>
                <w:noProof/>
                <w:webHidden/>
              </w:rPr>
              <w:t>19</w:t>
            </w:r>
            <w:r w:rsidR="003D0998" w:rsidRPr="007B3452">
              <w:rPr>
                <w:rFonts w:ascii="Arial" w:hAnsi="Arial" w:cs="Arial"/>
                <w:noProof/>
                <w:webHidden/>
              </w:rPr>
              <w:fldChar w:fldCharType="end"/>
            </w:r>
          </w:hyperlink>
        </w:p>
        <w:p w14:paraId="2659AFE4" w14:textId="71300DDD" w:rsidR="003D0998" w:rsidRPr="007B3452" w:rsidRDefault="003544FA">
          <w:pPr>
            <w:pStyle w:val="TOC3"/>
            <w:tabs>
              <w:tab w:val="right" w:leader="dot" w:pos="9016"/>
            </w:tabs>
            <w:rPr>
              <w:rFonts w:ascii="Arial" w:eastAsiaTheme="minorEastAsia" w:hAnsi="Arial" w:cs="Arial"/>
              <w:noProof/>
              <w:lang w:eastAsia="en-AU"/>
            </w:rPr>
          </w:pPr>
          <w:hyperlink w:anchor="_Toc535503320" w:history="1">
            <w:r w:rsidR="003D0998" w:rsidRPr="007B3452">
              <w:rPr>
                <w:rStyle w:val="Hyperlink"/>
                <w:rFonts w:ascii="Arial" w:hAnsi="Arial" w:cs="Arial"/>
                <w:noProof/>
              </w:rPr>
              <w:t>Low Income Superannuation Contribution Scheme</w:t>
            </w:r>
            <w:r w:rsidR="003D0998" w:rsidRPr="007B3452">
              <w:rPr>
                <w:rFonts w:ascii="Arial" w:hAnsi="Arial" w:cs="Arial"/>
                <w:noProof/>
                <w:webHidden/>
              </w:rPr>
              <w:tab/>
            </w:r>
            <w:r w:rsidR="003D0998" w:rsidRPr="007B3452">
              <w:rPr>
                <w:rFonts w:ascii="Arial" w:hAnsi="Arial" w:cs="Arial"/>
                <w:noProof/>
                <w:webHidden/>
              </w:rPr>
              <w:fldChar w:fldCharType="begin"/>
            </w:r>
            <w:r w:rsidR="003D0998" w:rsidRPr="007B3452">
              <w:rPr>
                <w:rFonts w:ascii="Arial" w:hAnsi="Arial" w:cs="Arial"/>
                <w:noProof/>
                <w:webHidden/>
              </w:rPr>
              <w:instrText xml:space="preserve"> PAGEREF _Toc535503320 \h </w:instrText>
            </w:r>
            <w:r w:rsidR="003D0998" w:rsidRPr="007B3452">
              <w:rPr>
                <w:rFonts w:ascii="Arial" w:hAnsi="Arial" w:cs="Arial"/>
                <w:noProof/>
                <w:webHidden/>
              </w:rPr>
            </w:r>
            <w:r w:rsidR="003D0998" w:rsidRPr="007B3452">
              <w:rPr>
                <w:rFonts w:ascii="Arial" w:hAnsi="Arial" w:cs="Arial"/>
                <w:noProof/>
                <w:webHidden/>
              </w:rPr>
              <w:fldChar w:fldCharType="separate"/>
            </w:r>
            <w:r w:rsidR="00D268D5">
              <w:rPr>
                <w:rFonts w:ascii="Arial" w:hAnsi="Arial" w:cs="Arial"/>
                <w:noProof/>
                <w:webHidden/>
              </w:rPr>
              <w:t>20</w:t>
            </w:r>
            <w:r w:rsidR="003D0998" w:rsidRPr="007B3452">
              <w:rPr>
                <w:rFonts w:ascii="Arial" w:hAnsi="Arial" w:cs="Arial"/>
                <w:noProof/>
                <w:webHidden/>
              </w:rPr>
              <w:fldChar w:fldCharType="end"/>
            </w:r>
          </w:hyperlink>
        </w:p>
        <w:p w14:paraId="59BD956B" w14:textId="5AC7F4D9" w:rsidR="003D0998" w:rsidRPr="007B3452" w:rsidRDefault="003544FA">
          <w:pPr>
            <w:pStyle w:val="TOC2"/>
            <w:tabs>
              <w:tab w:val="right" w:leader="dot" w:pos="9016"/>
            </w:tabs>
            <w:rPr>
              <w:rFonts w:ascii="Arial" w:eastAsiaTheme="minorEastAsia" w:hAnsi="Arial" w:cs="Arial"/>
              <w:noProof/>
              <w:lang w:eastAsia="en-AU"/>
            </w:rPr>
          </w:pPr>
          <w:hyperlink w:anchor="_Toc535503321" w:history="1">
            <w:r w:rsidR="003D0998" w:rsidRPr="007B3452">
              <w:rPr>
                <w:rStyle w:val="Hyperlink"/>
                <w:rFonts w:ascii="Arial" w:hAnsi="Arial" w:cs="Arial"/>
                <w:noProof/>
              </w:rPr>
              <w:t>Insurance</w:t>
            </w:r>
            <w:r w:rsidR="003D0998" w:rsidRPr="007B3452">
              <w:rPr>
                <w:rFonts w:ascii="Arial" w:hAnsi="Arial" w:cs="Arial"/>
                <w:noProof/>
                <w:webHidden/>
              </w:rPr>
              <w:tab/>
            </w:r>
            <w:r w:rsidR="003D0998" w:rsidRPr="007B3452">
              <w:rPr>
                <w:rFonts w:ascii="Arial" w:hAnsi="Arial" w:cs="Arial"/>
                <w:noProof/>
                <w:webHidden/>
              </w:rPr>
              <w:fldChar w:fldCharType="begin"/>
            </w:r>
            <w:r w:rsidR="003D0998" w:rsidRPr="007B3452">
              <w:rPr>
                <w:rFonts w:ascii="Arial" w:hAnsi="Arial" w:cs="Arial"/>
                <w:noProof/>
                <w:webHidden/>
              </w:rPr>
              <w:instrText xml:space="preserve"> PAGEREF _Toc535503321 \h </w:instrText>
            </w:r>
            <w:r w:rsidR="003D0998" w:rsidRPr="007B3452">
              <w:rPr>
                <w:rFonts w:ascii="Arial" w:hAnsi="Arial" w:cs="Arial"/>
                <w:noProof/>
                <w:webHidden/>
              </w:rPr>
            </w:r>
            <w:r w:rsidR="003D0998" w:rsidRPr="007B3452">
              <w:rPr>
                <w:rFonts w:ascii="Arial" w:hAnsi="Arial" w:cs="Arial"/>
                <w:noProof/>
                <w:webHidden/>
              </w:rPr>
              <w:fldChar w:fldCharType="separate"/>
            </w:r>
            <w:r w:rsidR="00D268D5">
              <w:rPr>
                <w:rFonts w:ascii="Arial" w:hAnsi="Arial" w:cs="Arial"/>
                <w:noProof/>
                <w:webHidden/>
              </w:rPr>
              <w:t>21</w:t>
            </w:r>
            <w:r w:rsidR="003D0998" w:rsidRPr="007B3452">
              <w:rPr>
                <w:rFonts w:ascii="Arial" w:hAnsi="Arial" w:cs="Arial"/>
                <w:noProof/>
                <w:webHidden/>
              </w:rPr>
              <w:fldChar w:fldCharType="end"/>
            </w:r>
          </w:hyperlink>
        </w:p>
        <w:p w14:paraId="591A10AC" w14:textId="2B16D6DF" w:rsidR="003D0998" w:rsidRPr="007B3452" w:rsidRDefault="003544FA">
          <w:pPr>
            <w:pStyle w:val="TOC3"/>
            <w:tabs>
              <w:tab w:val="right" w:leader="dot" w:pos="9016"/>
            </w:tabs>
            <w:rPr>
              <w:rFonts w:ascii="Arial" w:eastAsiaTheme="minorEastAsia" w:hAnsi="Arial" w:cs="Arial"/>
              <w:noProof/>
              <w:lang w:eastAsia="en-AU"/>
            </w:rPr>
          </w:pPr>
          <w:hyperlink w:anchor="_Toc535503322" w:history="1">
            <w:r w:rsidR="003D0998" w:rsidRPr="007B3452">
              <w:rPr>
                <w:rStyle w:val="Hyperlink"/>
                <w:rFonts w:ascii="Arial" w:hAnsi="Arial" w:cs="Arial"/>
                <w:noProof/>
              </w:rPr>
              <w:t>Portability of insurance</w:t>
            </w:r>
            <w:r w:rsidR="003D0998" w:rsidRPr="007B3452">
              <w:rPr>
                <w:rFonts w:ascii="Arial" w:hAnsi="Arial" w:cs="Arial"/>
                <w:noProof/>
                <w:webHidden/>
              </w:rPr>
              <w:tab/>
            </w:r>
            <w:r w:rsidR="003D0998" w:rsidRPr="007B3452">
              <w:rPr>
                <w:rFonts w:ascii="Arial" w:hAnsi="Arial" w:cs="Arial"/>
                <w:noProof/>
                <w:webHidden/>
              </w:rPr>
              <w:fldChar w:fldCharType="begin"/>
            </w:r>
            <w:r w:rsidR="003D0998" w:rsidRPr="007B3452">
              <w:rPr>
                <w:rFonts w:ascii="Arial" w:hAnsi="Arial" w:cs="Arial"/>
                <w:noProof/>
                <w:webHidden/>
              </w:rPr>
              <w:instrText xml:space="preserve"> PAGEREF _Toc535503322 \h </w:instrText>
            </w:r>
            <w:r w:rsidR="003D0998" w:rsidRPr="007B3452">
              <w:rPr>
                <w:rFonts w:ascii="Arial" w:hAnsi="Arial" w:cs="Arial"/>
                <w:noProof/>
                <w:webHidden/>
              </w:rPr>
            </w:r>
            <w:r w:rsidR="003D0998" w:rsidRPr="007B3452">
              <w:rPr>
                <w:rFonts w:ascii="Arial" w:hAnsi="Arial" w:cs="Arial"/>
                <w:noProof/>
                <w:webHidden/>
              </w:rPr>
              <w:fldChar w:fldCharType="separate"/>
            </w:r>
            <w:r w:rsidR="00D268D5">
              <w:rPr>
                <w:rFonts w:ascii="Arial" w:hAnsi="Arial" w:cs="Arial"/>
                <w:noProof/>
                <w:webHidden/>
              </w:rPr>
              <w:t>21</w:t>
            </w:r>
            <w:r w:rsidR="003D0998" w:rsidRPr="007B3452">
              <w:rPr>
                <w:rFonts w:ascii="Arial" w:hAnsi="Arial" w:cs="Arial"/>
                <w:noProof/>
                <w:webHidden/>
              </w:rPr>
              <w:fldChar w:fldCharType="end"/>
            </w:r>
          </w:hyperlink>
        </w:p>
        <w:p w14:paraId="57FE786A" w14:textId="301AC3BF" w:rsidR="003D0998" w:rsidRPr="007B3452" w:rsidRDefault="003544FA">
          <w:pPr>
            <w:pStyle w:val="TOC3"/>
            <w:tabs>
              <w:tab w:val="right" w:leader="dot" w:pos="9016"/>
            </w:tabs>
            <w:rPr>
              <w:rFonts w:ascii="Arial" w:eastAsiaTheme="minorEastAsia" w:hAnsi="Arial" w:cs="Arial"/>
              <w:noProof/>
              <w:lang w:eastAsia="en-AU"/>
            </w:rPr>
          </w:pPr>
          <w:hyperlink w:anchor="_Toc535503323" w:history="1">
            <w:r w:rsidR="003D0998" w:rsidRPr="007B3452">
              <w:rPr>
                <w:rStyle w:val="Hyperlink"/>
                <w:rFonts w:ascii="Arial" w:hAnsi="Arial" w:cs="Arial"/>
                <w:noProof/>
              </w:rPr>
              <w:t>Death and total permanent disability benefits</w:t>
            </w:r>
            <w:r w:rsidR="003D0998" w:rsidRPr="007B3452">
              <w:rPr>
                <w:rFonts w:ascii="Arial" w:hAnsi="Arial" w:cs="Arial"/>
                <w:noProof/>
                <w:webHidden/>
              </w:rPr>
              <w:tab/>
            </w:r>
            <w:r w:rsidR="003D0998" w:rsidRPr="007B3452">
              <w:rPr>
                <w:rFonts w:ascii="Arial" w:hAnsi="Arial" w:cs="Arial"/>
                <w:noProof/>
                <w:webHidden/>
              </w:rPr>
              <w:fldChar w:fldCharType="begin"/>
            </w:r>
            <w:r w:rsidR="003D0998" w:rsidRPr="007B3452">
              <w:rPr>
                <w:rFonts w:ascii="Arial" w:hAnsi="Arial" w:cs="Arial"/>
                <w:noProof/>
                <w:webHidden/>
              </w:rPr>
              <w:instrText xml:space="preserve"> PAGEREF _Toc535503323 \h </w:instrText>
            </w:r>
            <w:r w:rsidR="003D0998" w:rsidRPr="007B3452">
              <w:rPr>
                <w:rFonts w:ascii="Arial" w:hAnsi="Arial" w:cs="Arial"/>
                <w:noProof/>
                <w:webHidden/>
              </w:rPr>
            </w:r>
            <w:r w:rsidR="003D0998" w:rsidRPr="007B3452">
              <w:rPr>
                <w:rFonts w:ascii="Arial" w:hAnsi="Arial" w:cs="Arial"/>
                <w:noProof/>
                <w:webHidden/>
              </w:rPr>
              <w:fldChar w:fldCharType="separate"/>
            </w:r>
            <w:r w:rsidR="00D268D5">
              <w:rPr>
                <w:rFonts w:ascii="Arial" w:hAnsi="Arial" w:cs="Arial"/>
                <w:noProof/>
                <w:webHidden/>
              </w:rPr>
              <w:t>21</w:t>
            </w:r>
            <w:r w:rsidR="003D0998" w:rsidRPr="007B3452">
              <w:rPr>
                <w:rFonts w:ascii="Arial" w:hAnsi="Arial" w:cs="Arial"/>
                <w:noProof/>
                <w:webHidden/>
              </w:rPr>
              <w:fldChar w:fldCharType="end"/>
            </w:r>
          </w:hyperlink>
        </w:p>
        <w:p w14:paraId="585E63DB" w14:textId="20DAE380" w:rsidR="003D0998" w:rsidRPr="007B3452" w:rsidRDefault="003544FA">
          <w:pPr>
            <w:pStyle w:val="TOC2"/>
            <w:tabs>
              <w:tab w:val="right" w:leader="dot" w:pos="9016"/>
            </w:tabs>
            <w:rPr>
              <w:rFonts w:ascii="Arial" w:eastAsiaTheme="minorEastAsia" w:hAnsi="Arial" w:cs="Arial"/>
              <w:noProof/>
              <w:lang w:eastAsia="en-AU"/>
            </w:rPr>
          </w:pPr>
          <w:hyperlink w:anchor="_Toc535503324" w:history="1">
            <w:r w:rsidR="003D0998" w:rsidRPr="007B3452">
              <w:rPr>
                <w:rStyle w:val="Hyperlink"/>
                <w:rFonts w:ascii="Arial" w:hAnsi="Arial" w:cs="Arial"/>
                <w:noProof/>
              </w:rPr>
              <w:t>Consistency in income testing</w:t>
            </w:r>
            <w:r w:rsidR="003D0998" w:rsidRPr="007B3452">
              <w:rPr>
                <w:rFonts w:ascii="Arial" w:hAnsi="Arial" w:cs="Arial"/>
                <w:noProof/>
                <w:webHidden/>
              </w:rPr>
              <w:tab/>
            </w:r>
            <w:r w:rsidR="003D0998" w:rsidRPr="007B3452">
              <w:rPr>
                <w:rFonts w:ascii="Arial" w:hAnsi="Arial" w:cs="Arial"/>
                <w:noProof/>
                <w:webHidden/>
              </w:rPr>
              <w:fldChar w:fldCharType="begin"/>
            </w:r>
            <w:r w:rsidR="003D0998" w:rsidRPr="007B3452">
              <w:rPr>
                <w:rFonts w:ascii="Arial" w:hAnsi="Arial" w:cs="Arial"/>
                <w:noProof/>
                <w:webHidden/>
              </w:rPr>
              <w:instrText xml:space="preserve"> PAGEREF _Toc535503324 \h </w:instrText>
            </w:r>
            <w:r w:rsidR="003D0998" w:rsidRPr="007B3452">
              <w:rPr>
                <w:rFonts w:ascii="Arial" w:hAnsi="Arial" w:cs="Arial"/>
                <w:noProof/>
                <w:webHidden/>
              </w:rPr>
            </w:r>
            <w:r w:rsidR="003D0998" w:rsidRPr="007B3452">
              <w:rPr>
                <w:rFonts w:ascii="Arial" w:hAnsi="Arial" w:cs="Arial"/>
                <w:noProof/>
                <w:webHidden/>
              </w:rPr>
              <w:fldChar w:fldCharType="separate"/>
            </w:r>
            <w:r w:rsidR="00D268D5">
              <w:rPr>
                <w:rFonts w:ascii="Arial" w:hAnsi="Arial" w:cs="Arial"/>
                <w:noProof/>
                <w:webHidden/>
              </w:rPr>
              <w:t>22</w:t>
            </w:r>
            <w:r w:rsidR="003D0998" w:rsidRPr="007B3452">
              <w:rPr>
                <w:rFonts w:ascii="Arial" w:hAnsi="Arial" w:cs="Arial"/>
                <w:noProof/>
                <w:webHidden/>
              </w:rPr>
              <w:fldChar w:fldCharType="end"/>
            </w:r>
          </w:hyperlink>
        </w:p>
        <w:p w14:paraId="3829B13C" w14:textId="766C0049" w:rsidR="003D0998" w:rsidRPr="007B3452" w:rsidRDefault="003544FA">
          <w:pPr>
            <w:pStyle w:val="TOC2"/>
            <w:tabs>
              <w:tab w:val="right" w:leader="dot" w:pos="9016"/>
            </w:tabs>
            <w:rPr>
              <w:rFonts w:ascii="Arial" w:eastAsiaTheme="minorEastAsia" w:hAnsi="Arial" w:cs="Arial"/>
              <w:noProof/>
              <w:lang w:eastAsia="en-AU"/>
            </w:rPr>
          </w:pPr>
          <w:hyperlink w:anchor="_Toc535503325" w:history="1">
            <w:r w:rsidR="003D0998" w:rsidRPr="007B3452">
              <w:rPr>
                <w:rStyle w:val="Hyperlink"/>
                <w:rFonts w:ascii="Arial" w:hAnsi="Arial" w:cs="Arial"/>
                <w:noProof/>
              </w:rPr>
              <w:t>Reporting on the gendered nature of the retirement income gap</w:t>
            </w:r>
            <w:r w:rsidR="003D0998" w:rsidRPr="007B3452">
              <w:rPr>
                <w:rFonts w:ascii="Arial" w:hAnsi="Arial" w:cs="Arial"/>
                <w:noProof/>
                <w:webHidden/>
              </w:rPr>
              <w:tab/>
            </w:r>
            <w:r w:rsidR="003D0998" w:rsidRPr="007B3452">
              <w:rPr>
                <w:rFonts w:ascii="Arial" w:hAnsi="Arial" w:cs="Arial"/>
                <w:noProof/>
                <w:webHidden/>
              </w:rPr>
              <w:fldChar w:fldCharType="begin"/>
            </w:r>
            <w:r w:rsidR="003D0998" w:rsidRPr="007B3452">
              <w:rPr>
                <w:rFonts w:ascii="Arial" w:hAnsi="Arial" w:cs="Arial"/>
                <w:noProof/>
                <w:webHidden/>
              </w:rPr>
              <w:instrText xml:space="preserve"> PAGEREF _Toc535503325 \h </w:instrText>
            </w:r>
            <w:r w:rsidR="003D0998" w:rsidRPr="007B3452">
              <w:rPr>
                <w:rFonts w:ascii="Arial" w:hAnsi="Arial" w:cs="Arial"/>
                <w:noProof/>
                <w:webHidden/>
              </w:rPr>
            </w:r>
            <w:r w:rsidR="003D0998" w:rsidRPr="007B3452">
              <w:rPr>
                <w:rFonts w:ascii="Arial" w:hAnsi="Arial" w:cs="Arial"/>
                <w:noProof/>
                <w:webHidden/>
              </w:rPr>
              <w:fldChar w:fldCharType="separate"/>
            </w:r>
            <w:r w:rsidR="00D268D5">
              <w:rPr>
                <w:rFonts w:ascii="Arial" w:hAnsi="Arial" w:cs="Arial"/>
                <w:noProof/>
                <w:webHidden/>
              </w:rPr>
              <w:t>23</w:t>
            </w:r>
            <w:r w:rsidR="003D0998" w:rsidRPr="007B3452">
              <w:rPr>
                <w:rFonts w:ascii="Arial" w:hAnsi="Arial" w:cs="Arial"/>
                <w:noProof/>
                <w:webHidden/>
              </w:rPr>
              <w:fldChar w:fldCharType="end"/>
            </w:r>
          </w:hyperlink>
        </w:p>
        <w:p w14:paraId="60D040C6" w14:textId="3EAC160B" w:rsidR="00CE0A43" w:rsidRPr="007B3452" w:rsidRDefault="00CE0A43">
          <w:pPr>
            <w:rPr>
              <w:rFonts w:ascii="Arial" w:hAnsi="Arial" w:cs="Arial"/>
            </w:rPr>
          </w:pPr>
          <w:r w:rsidRPr="007B3452">
            <w:rPr>
              <w:rFonts w:ascii="Arial" w:hAnsi="Arial" w:cs="Arial"/>
              <w:b/>
              <w:bCs/>
              <w:noProof/>
            </w:rPr>
            <w:fldChar w:fldCharType="end"/>
          </w:r>
        </w:p>
      </w:sdtContent>
    </w:sdt>
    <w:p w14:paraId="3051CF5C" w14:textId="77777777" w:rsidR="00CE0A43" w:rsidRPr="007B3452" w:rsidRDefault="00CE0A43">
      <w:pPr>
        <w:rPr>
          <w:rFonts w:ascii="Arial" w:hAnsi="Arial" w:cs="Arial"/>
        </w:rPr>
      </w:pPr>
    </w:p>
    <w:p w14:paraId="4D8CD7AF" w14:textId="77777777" w:rsidR="00CE0A43" w:rsidRPr="007B3452" w:rsidRDefault="00CE0A43">
      <w:pPr>
        <w:rPr>
          <w:rFonts w:ascii="Arial" w:hAnsi="Arial" w:cs="Arial"/>
        </w:rPr>
      </w:pPr>
    </w:p>
    <w:p w14:paraId="2F3B378E" w14:textId="77777777" w:rsidR="00CE0A43" w:rsidRPr="007B3452" w:rsidRDefault="00CE0A43">
      <w:pPr>
        <w:rPr>
          <w:rFonts w:ascii="Arial" w:hAnsi="Arial" w:cs="Arial"/>
        </w:rPr>
        <w:sectPr w:rsidR="00CE0A43" w:rsidRPr="007B3452" w:rsidSect="00CE0A43">
          <w:pgSz w:w="11906" w:h="16838" w:code="9"/>
          <w:pgMar w:top="1440" w:right="1440" w:bottom="1440" w:left="1440" w:header="709" w:footer="709" w:gutter="0"/>
          <w:pgNumType w:start="1"/>
          <w:cols w:space="708"/>
          <w:docGrid w:linePitch="360"/>
        </w:sectPr>
      </w:pPr>
    </w:p>
    <w:p w14:paraId="0DCF1A68" w14:textId="77777777" w:rsidR="00CE0A43" w:rsidRPr="007B3452" w:rsidRDefault="00890316" w:rsidP="00CE0A43">
      <w:pPr>
        <w:pStyle w:val="Heading1"/>
        <w:rPr>
          <w:rFonts w:ascii="Arial" w:hAnsi="Arial" w:cs="Arial"/>
        </w:rPr>
      </w:pPr>
      <w:bookmarkStart w:id="0" w:name="_Toc535503301"/>
      <w:r w:rsidRPr="007B3452">
        <w:rPr>
          <w:rFonts w:ascii="Arial" w:hAnsi="Arial" w:cs="Arial"/>
        </w:rPr>
        <w:lastRenderedPageBreak/>
        <w:t>Introduction</w:t>
      </w:r>
      <w:bookmarkEnd w:id="0"/>
    </w:p>
    <w:p w14:paraId="5D34B6C3" w14:textId="3366D035" w:rsidR="00870A5D" w:rsidRPr="007B3452" w:rsidRDefault="004C4E97" w:rsidP="004C4E97">
      <w:pPr>
        <w:spacing w:after="240" w:line="276" w:lineRule="auto"/>
        <w:jc w:val="both"/>
        <w:rPr>
          <w:rFonts w:ascii="Arial" w:hAnsi="Arial" w:cs="Arial"/>
        </w:rPr>
      </w:pPr>
      <w:r w:rsidRPr="007B3452">
        <w:rPr>
          <w:rFonts w:ascii="Arial" w:hAnsi="Arial" w:cs="Arial"/>
        </w:rPr>
        <w:t>Financial planners provide valuable advice that is important for the long-term economic welfare of Australians.</w:t>
      </w:r>
      <w:r w:rsidR="00342AA7" w:rsidRPr="007B3452">
        <w:rPr>
          <w:rFonts w:ascii="Arial" w:hAnsi="Arial" w:cs="Arial"/>
        </w:rPr>
        <w:t xml:space="preserve"> </w:t>
      </w:r>
      <w:r w:rsidR="00870A5D" w:rsidRPr="007B3452">
        <w:rPr>
          <w:rFonts w:ascii="Arial" w:hAnsi="Arial" w:cs="Arial"/>
        </w:rPr>
        <w:t xml:space="preserve">Around </w:t>
      </w:r>
      <w:r w:rsidR="00622329" w:rsidRPr="007B3452">
        <w:rPr>
          <w:rFonts w:ascii="Arial" w:hAnsi="Arial" w:cs="Arial"/>
        </w:rPr>
        <w:t>2.3 million</w:t>
      </w:r>
      <w:r w:rsidR="00870A5D" w:rsidRPr="007B3452">
        <w:rPr>
          <w:rFonts w:ascii="Arial" w:hAnsi="Arial" w:cs="Arial"/>
        </w:rPr>
        <w:t xml:space="preserve"> Australians</w:t>
      </w:r>
      <w:r w:rsidR="00CF5C6E" w:rsidRPr="007B3452">
        <w:rPr>
          <w:rStyle w:val="FootnoteReference"/>
          <w:rFonts w:ascii="Arial" w:hAnsi="Arial" w:cs="Arial"/>
        </w:rPr>
        <w:footnoteReference w:id="1"/>
      </w:r>
      <w:r w:rsidR="00870A5D" w:rsidRPr="007B3452">
        <w:rPr>
          <w:rFonts w:ascii="Arial" w:hAnsi="Arial" w:cs="Arial"/>
        </w:rPr>
        <w:t xml:space="preserve"> access financial advice from </w:t>
      </w:r>
      <w:r w:rsidR="00622329" w:rsidRPr="007B3452">
        <w:rPr>
          <w:rFonts w:ascii="Arial" w:hAnsi="Arial" w:cs="Arial"/>
        </w:rPr>
        <w:t>3</w:t>
      </w:r>
      <w:r w:rsidR="00870A5D" w:rsidRPr="007B3452">
        <w:rPr>
          <w:rFonts w:ascii="Arial" w:hAnsi="Arial" w:cs="Arial"/>
        </w:rPr>
        <w:t xml:space="preserve">0,000 </w:t>
      </w:r>
      <w:r w:rsidR="00581F13" w:rsidRPr="007B3452">
        <w:rPr>
          <w:rFonts w:ascii="Arial" w:hAnsi="Arial" w:cs="Arial"/>
        </w:rPr>
        <w:t xml:space="preserve">qualified </w:t>
      </w:r>
      <w:r w:rsidR="00870A5D" w:rsidRPr="007B3452">
        <w:rPr>
          <w:rFonts w:ascii="Arial" w:hAnsi="Arial" w:cs="Arial"/>
        </w:rPr>
        <w:t>financial planners.</w:t>
      </w:r>
      <w:r w:rsidR="00890316" w:rsidRPr="007B3452">
        <w:rPr>
          <w:rFonts w:ascii="Arial" w:hAnsi="Arial" w:cs="Arial"/>
        </w:rPr>
        <w:t xml:space="preserve"> The Financial Planning Association of Australia represents its membership of 14,000 financial planners.</w:t>
      </w:r>
    </w:p>
    <w:p w14:paraId="4A542C68" w14:textId="77777777" w:rsidR="00144256" w:rsidRPr="007B3452" w:rsidRDefault="004C4E97" w:rsidP="008D333B">
      <w:pPr>
        <w:spacing w:after="240" w:line="276" w:lineRule="auto"/>
        <w:jc w:val="both"/>
        <w:rPr>
          <w:rFonts w:ascii="Arial" w:hAnsi="Arial" w:cs="Arial"/>
        </w:rPr>
      </w:pPr>
      <w:r w:rsidRPr="007B3452">
        <w:rPr>
          <w:rFonts w:ascii="Arial" w:hAnsi="Arial" w:cs="Arial"/>
        </w:rPr>
        <w:t>The financial planning profession is uniquely positioned to help Australians build their wealth and plan for a financially independent retirement.</w:t>
      </w:r>
      <w:r w:rsidR="00342AA7" w:rsidRPr="007B3452">
        <w:rPr>
          <w:rFonts w:ascii="Arial" w:hAnsi="Arial" w:cs="Arial"/>
        </w:rPr>
        <w:t xml:space="preserve"> </w:t>
      </w:r>
      <w:r w:rsidR="00144256" w:rsidRPr="007B3452">
        <w:rPr>
          <w:rFonts w:ascii="Arial" w:hAnsi="Arial" w:cs="Arial"/>
        </w:rPr>
        <w:t>Quality financial advice can</w:t>
      </w:r>
      <w:r w:rsidR="008D333B" w:rsidRPr="007B3452">
        <w:rPr>
          <w:rFonts w:ascii="Arial" w:hAnsi="Arial" w:cs="Arial"/>
        </w:rPr>
        <w:t xml:space="preserve"> have a transformative effect on a person’s life. It can </w:t>
      </w:r>
      <w:r w:rsidR="00144256" w:rsidRPr="007B3452">
        <w:rPr>
          <w:rFonts w:ascii="Arial" w:hAnsi="Arial" w:cs="Arial"/>
        </w:rPr>
        <w:t>reduce financial and social exclusion</w:t>
      </w:r>
      <w:r w:rsidR="008D333B" w:rsidRPr="007B3452">
        <w:rPr>
          <w:rFonts w:ascii="Arial" w:hAnsi="Arial" w:cs="Arial"/>
        </w:rPr>
        <w:t>,</w:t>
      </w:r>
      <w:r w:rsidR="00144256" w:rsidRPr="007B3452">
        <w:rPr>
          <w:rFonts w:ascii="Arial" w:hAnsi="Arial" w:cs="Arial"/>
        </w:rPr>
        <w:t xml:space="preserve"> help </w:t>
      </w:r>
      <w:r w:rsidR="008D333B" w:rsidRPr="007B3452">
        <w:rPr>
          <w:rFonts w:ascii="Arial" w:hAnsi="Arial" w:cs="Arial"/>
        </w:rPr>
        <w:t>a person n</w:t>
      </w:r>
      <w:r w:rsidR="00144256" w:rsidRPr="007B3452">
        <w:rPr>
          <w:rFonts w:ascii="Arial" w:hAnsi="Arial" w:cs="Arial"/>
        </w:rPr>
        <w:t xml:space="preserve">avigate the financial </w:t>
      </w:r>
      <w:r w:rsidR="008D333B" w:rsidRPr="007B3452">
        <w:rPr>
          <w:rFonts w:ascii="Arial" w:hAnsi="Arial" w:cs="Arial"/>
        </w:rPr>
        <w:t>system</w:t>
      </w:r>
      <w:r w:rsidR="00144256" w:rsidRPr="007B3452">
        <w:rPr>
          <w:rFonts w:ascii="Arial" w:hAnsi="Arial" w:cs="Arial"/>
        </w:rPr>
        <w:t xml:space="preserve"> and learn how to better manage their finances</w:t>
      </w:r>
      <w:r w:rsidR="008D333B" w:rsidRPr="007B3452">
        <w:rPr>
          <w:rFonts w:ascii="Arial" w:hAnsi="Arial" w:cs="Arial"/>
        </w:rPr>
        <w:t xml:space="preserve">. </w:t>
      </w:r>
    </w:p>
    <w:p w14:paraId="1A387C42" w14:textId="77777777" w:rsidR="008D333B" w:rsidRPr="007B3452" w:rsidRDefault="008D333B" w:rsidP="008D333B">
      <w:pPr>
        <w:spacing w:after="240" w:line="276" w:lineRule="auto"/>
        <w:jc w:val="both"/>
        <w:rPr>
          <w:rFonts w:ascii="Arial" w:hAnsi="Arial" w:cs="Arial"/>
        </w:rPr>
      </w:pPr>
      <w:r w:rsidRPr="007B3452">
        <w:rPr>
          <w:rFonts w:ascii="Arial" w:hAnsi="Arial" w:cs="Arial"/>
        </w:rPr>
        <w:t>Financial planners can help people</w:t>
      </w:r>
      <w:r w:rsidR="00144256" w:rsidRPr="007B3452">
        <w:rPr>
          <w:rFonts w:ascii="Arial" w:hAnsi="Arial" w:cs="Arial"/>
        </w:rPr>
        <w:t xml:space="preserve"> change </w:t>
      </w:r>
      <w:r w:rsidRPr="007B3452">
        <w:rPr>
          <w:rFonts w:ascii="Arial" w:hAnsi="Arial" w:cs="Arial"/>
        </w:rPr>
        <w:t>their</w:t>
      </w:r>
      <w:r w:rsidR="00144256" w:rsidRPr="007B3452">
        <w:rPr>
          <w:rFonts w:ascii="Arial" w:hAnsi="Arial" w:cs="Arial"/>
        </w:rPr>
        <w:t xml:space="preserve"> </w:t>
      </w:r>
      <w:r w:rsidRPr="007B3452">
        <w:rPr>
          <w:rFonts w:ascii="Arial" w:hAnsi="Arial" w:cs="Arial"/>
        </w:rPr>
        <w:t>financial</w:t>
      </w:r>
      <w:r w:rsidR="00144256" w:rsidRPr="007B3452">
        <w:rPr>
          <w:rFonts w:ascii="Arial" w:hAnsi="Arial" w:cs="Arial"/>
        </w:rPr>
        <w:t xml:space="preserve"> </w:t>
      </w:r>
      <w:r w:rsidRPr="007B3452">
        <w:rPr>
          <w:rFonts w:ascii="Arial" w:hAnsi="Arial" w:cs="Arial"/>
        </w:rPr>
        <w:t>habits by</w:t>
      </w:r>
      <w:r w:rsidR="00144256" w:rsidRPr="007B3452">
        <w:rPr>
          <w:rFonts w:ascii="Arial" w:hAnsi="Arial" w:cs="Arial"/>
        </w:rPr>
        <w:t xml:space="preserve"> setting proper budgets, plan </w:t>
      </w:r>
      <w:r w:rsidRPr="007B3452">
        <w:rPr>
          <w:rFonts w:ascii="Arial" w:hAnsi="Arial" w:cs="Arial"/>
        </w:rPr>
        <w:t>to</w:t>
      </w:r>
      <w:r w:rsidR="00144256" w:rsidRPr="007B3452">
        <w:rPr>
          <w:rFonts w:ascii="Arial" w:hAnsi="Arial" w:cs="Arial"/>
        </w:rPr>
        <w:t xml:space="preserve"> pay off debt, organis</w:t>
      </w:r>
      <w:r w:rsidRPr="007B3452">
        <w:rPr>
          <w:rFonts w:ascii="Arial" w:hAnsi="Arial" w:cs="Arial"/>
        </w:rPr>
        <w:t>e their</w:t>
      </w:r>
      <w:r w:rsidR="00144256" w:rsidRPr="007B3452">
        <w:rPr>
          <w:rFonts w:ascii="Arial" w:hAnsi="Arial" w:cs="Arial"/>
        </w:rPr>
        <w:t xml:space="preserve"> finances and build</w:t>
      </w:r>
      <w:r w:rsidRPr="007B3452">
        <w:rPr>
          <w:rFonts w:ascii="Arial" w:hAnsi="Arial" w:cs="Arial"/>
        </w:rPr>
        <w:t xml:space="preserve"> long-term</w:t>
      </w:r>
      <w:r w:rsidR="00144256" w:rsidRPr="007B3452">
        <w:rPr>
          <w:rFonts w:ascii="Arial" w:hAnsi="Arial" w:cs="Arial"/>
        </w:rPr>
        <w:t xml:space="preserve"> wealth</w:t>
      </w:r>
      <w:r w:rsidRPr="007B3452">
        <w:rPr>
          <w:rFonts w:ascii="Arial" w:hAnsi="Arial" w:cs="Arial"/>
        </w:rPr>
        <w:t>. Financial planners i</w:t>
      </w:r>
      <w:r w:rsidR="00144256" w:rsidRPr="007B3452">
        <w:rPr>
          <w:rFonts w:ascii="Arial" w:hAnsi="Arial" w:cs="Arial"/>
        </w:rPr>
        <w:t>mprov</w:t>
      </w:r>
      <w:r w:rsidRPr="007B3452">
        <w:rPr>
          <w:rFonts w:ascii="Arial" w:hAnsi="Arial" w:cs="Arial"/>
        </w:rPr>
        <w:t>e</w:t>
      </w:r>
      <w:r w:rsidR="00144256" w:rsidRPr="007B3452">
        <w:rPr>
          <w:rFonts w:ascii="Arial" w:hAnsi="Arial" w:cs="Arial"/>
        </w:rPr>
        <w:t xml:space="preserve"> the financial capability of </w:t>
      </w:r>
      <w:r w:rsidRPr="007B3452">
        <w:rPr>
          <w:rFonts w:ascii="Arial" w:hAnsi="Arial" w:cs="Arial"/>
        </w:rPr>
        <w:t>their clients</w:t>
      </w:r>
      <w:r w:rsidR="00144256" w:rsidRPr="007B3452">
        <w:rPr>
          <w:rFonts w:ascii="Arial" w:hAnsi="Arial" w:cs="Arial"/>
        </w:rPr>
        <w:t>, enabling them to make informed judgments about the use and management of money throughout their lives.</w:t>
      </w:r>
    </w:p>
    <w:p w14:paraId="0403A7BA" w14:textId="77777777" w:rsidR="00D90763" w:rsidRPr="007B3452" w:rsidRDefault="008D333B" w:rsidP="00870A5D">
      <w:pPr>
        <w:spacing w:after="240" w:line="276" w:lineRule="auto"/>
        <w:jc w:val="both"/>
        <w:rPr>
          <w:rFonts w:ascii="Arial" w:hAnsi="Arial" w:cs="Arial"/>
        </w:rPr>
      </w:pPr>
      <w:r w:rsidRPr="007B3452">
        <w:rPr>
          <w:rFonts w:ascii="Arial" w:hAnsi="Arial" w:cs="Arial"/>
        </w:rPr>
        <w:t>The d</w:t>
      </w:r>
      <w:r w:rsidR="00D90763" w:rsidRPr="007B3452">
        <w:rPr>
          <w:rFonts w:ascii="Arial" w:hAnsi="Arial" w:cs="Arial"/>
        </w:rPr>
        <w:t xml:space="preserve">emand </w:t>
      </w:r>
      <w:r w:rsidR="00ED1D42" w:rsidRPr="007B3452">
        <w:rPr>
          <w:rFonts w:ascii="Arial" w:hAnsi="Arial" w:cs="Arial"/>
        </w:rPr>
        <w:t xml:space="preserve">for financial advice </w:t>
      </w:r>
      <w:r w:rsidR="00D90763" w:rsidRPr="007B3452">
        <w:rPr>
          <w:rFonts w:ascii="Arial" w:hAnsi="Arial" w:cs="Arial"/>
        </w:rPr>
        <w:t xml:space="preserve">is </w:t>
      </w:r>
      <w:r w:rsidR="00870A5D" w:rsidRPr="007B3452">
        <w:rPr>
          <w:rFonts w:ascii="Arial" w:hAnsi="Arial" w:cs="Arial"/>
        </w:rPr>
        <w:t>increasing.</w:t>
      </w:r>
      <w:r w:rsidR="00342AA7" w:rsidRPr="007B3452">
        <w:rPr>
          <w:rFonts w:ascii="Arial" w:hAnsi="Arial" w:cs="Arial"/>
        </w:rPr>
        <w:t xml:space="preserve"> </w:t>
      </w:r>
      <w:r w:rsidR="00870A5D" w:rsidRPr="007B3452">
        <w:rPr>
          <w:rFonts w:ascii="Arial" w:hAnsi="Arial" w:cs="Arial"/>
        </w:rPr>
        <w:t xml:space="preserve">Financial markets and products </w:t>
      </w:r>
      <w:r w:rsidR="00D90763" w:rsidRPr="007B3452">
        <w:rPr>
          <w:rFonts w:ascii="Arial" w:hAnsi="Arial" w:cs="Arial"/>
        </w:rPr>
        <w:t>are getting more complex</w:t>
      </w:r>
      <w:r w:rsidR="00870A5D" w:rsidRPr="007B3452">
        <w:rPr>
          <w:rFonts w:ascii="Arial" w:hAnsi="Arial" w:cs="Arial"/>
        </w:rPr>
        <w:t xml:space="preserve"> and diverse. Tax and superannuation laws continu</w:t>
      </w:r>
      <w:r w:rsidRPr="007B3452">
        <w:rPr>
          <w:rFonts w:ascii="Arial" w:hAnsi="Arial" w:cs="Arial"/>
        </w:rPr>
        <w:t>e</w:t>
      </w:r>
      <w:r w:rsidR="00870A5D" w:rsidRPr="007B3452">
        <w:rPr>
          <w:rFonts w:ascii="Arial" w:hAnsi="Arial" w:cs="Arial"/>
        </w:rPr>
        <w:t xml:space="preserve"> to </w:t>
      </w:r>
      <w:r w:rsidRPr="007B3452">
        <w:rPr>
          <w:rFonts w:ascii="Arial" w:hAnsi="Arial" w:cs="Arial"/>
        </w:rPr>
        <w:t>evolve</w:t>
      </w:r>
      <w:r w:rsidR="00870A5D" w:rsidRPr="007B3452">
        <w:rPr>
          <w:rFonts w:ascii="Arial" w:hAnsi="Arial" w:cs="Arial"/>
        </w:rPr>
        <w:t xml:space="preserve">. It is increasingly </w:t>
      </w:r>
      <w:r w:rsidR="007C072A" w:rsidRPr="007B3452">
        <w:rPr>
          <w:rFonts w:ascii="Arial" w:hAnsi="Arial" w:cs="Arial"/>
        </w:rPr>
        <w:t>difficult</w:t>
      </w:r>
      <w:r w:rsidR="00870A5D" w:rsidRPr="007B3452">
        <w:rPr>
          <w:rFonts w:ascii="Arial" w:hAnsi="Arial" w:cs="Arial"/>
        </w:rPr>
        <w:t xml:space="preserve"> for the average person to effectively weigh up their options and make </w:t>
      </w:r>
      <w:r w:rsidR="006A1651" w:rsidRPr="007B3452">
        <w:rPr>
          <w:rFonts w:ascii="Arial" w:hAnsi="Arial" w:cs="Arial"/>
        </w:rPr>
        <w:t>astute</w:t>
      </w:r>
      <w:r w:rsidR="00870A5D" w:rsidRPr="007B3452">
        <w:rPr>
          <w:rFonts w:ascii="Arial" w:hAnsi="Arial" w:cs="Arial"/>
        </w:rPr>
        <w:t xml:space="preserve">, strategic decisions. </w:t>
      </w:r>
    </w:p>
    <w:p w14:paraId="1B464372" w14:textId="77777777" w:rsidR="00D90763" w:rsidRPr="007B3452" w:rsidRDefault="00D90763" w:rsidP="008D333B">
      <w:pPr>
        <w:spacing w:after="240" w:line="276" w:lineRule="auto"/>
        <w:jc w:val="both"/>
        <w:rPr>
          <w:rFonts w:ascii="Arial" w:hAnsi="Arial" w:cs="Arial"/>
        </w:rPr>
      </w:pPr>
      <w:r w:rsidRPr="007B3452">
        <w:rPr>
          <w:rFonts w:ascii="Arial" w:hAnsi="Arial" w:cs="Arial"/>
        </w:rPr>
        <w:t xml:space="preserve">Australians are </w:t>
      </w:r>
      <w:r w:rsidR="00870A5D" w:rsidRPr="007B3452">
        <w:rPr>
          <w:rFonts w:ascii="Arial" w:hAnsi="Arial" w:cs="Arial"/>
        </w:rPr>
        <w:t xml:space="preserve">also </w:t>
      </w:r>
      <w:r w:rsidRPr="007B3452">
        <w:rPr>
          <w:rFonts w:ascii="Arial" w:hAnsi="Arial" w:cs="Arial"/>
        </w:rPr>
        <w:t>demanding more from their retirement</w:t>
      </w:r>
      <w:r w:rsidR="00870A5D" w:rsidRPr="007B3452">
        <w:rPr>
          <w:rFonts w:ascii="Arial" w:hAnsi="Arial" w:cs="Arial"/>
        </w:rPr>
        <w:t>. We are living longer and spending more time in the</w:t>
      </w:r>
      <w:r w:rsidRPr="007B3452">
        <w:rPr>
          <w:rFonts w:ascii="Arial" w:hAnsi="Arial" w:cs="Arial"/>
        </w:rPr>
        <w:t xml:space="preserve"> retirement</w:t>
      </w:r>
      <w:r w:rsidR="00870A5D" w:rsidRPr="007B3452">
        <w:rPr>
          <w:rFonts w:ascii="Arial" w:hAnsi="Arial" w:cs="Arial"/>
        </w:rPr>
        <w:t xml:space="preserve"> phase of life, and we have </w:t>
      </w:r>
      <w:r w:rsidRPr="007B3452">
        <w:rPr>
          <w:rFonts w:ascii="Arial" w:hAnsi="Arial" w:cs="Arial"/>
        </w:rPr>
        <w:t xml:space="preserve">higher expectations about the standard of living </w:t>
      </w:r>
      <w:r w:rsidR="008D333B" w:rsidRPr="007B3452">
        <w:rPr>
          <w:rFonts w:ascii="Arial" w:hAnsi="Arial" w:cs="Arial"/>
        </w:rPr>
        <w:t>we</w:t>
      </w:r>
      <w:r w:rsidRPr="007B3452">
        <w:rPr>
          <w:rFonts w:ascii="Arial" w:hAnsi="Arial" w:cs="Arial"/>
        </w:rPr>
        <w:t xml:space="preserve"> will enjoy</w:t>
      </w:r>
      <w:r w:rsidR="00870A5D" w:rsidRPr="007B3452">
        <w:rPr>
          <w:rFonts w:ascii="Arial" w:hAnsi="Arial" w:cs="Arial"/>
        </w:rPr>
        <w:t>.</w:t>
      </w:r>
      <w:r w:rsidR="00342AA7" w:rsidRPr="007B3452">
        <w:rPr>
          <w:rFonts w:ascii="Arial" w:hAnsi="Arial" w:cs="Arial"/>
        </w:rPr>
        <w:t xml:space="preserve"> </w:t>
      </w:r>
      <w:r w:rsidR="00870A5D" w:rsidRPr="007B3452">
        <w:rPr>
          <w:rFonts w:ascii="Arial" w:hAnsi="Arial" w:cs="Arial"/>
        </w:rPr>
        <w:t>Long-term d</w:t>
      </w:r>
      <w:r w:rsidRPr="007B3452">
        <w:rPr>
          <w:rFonts w:ascii="Arial" w:hAnsi="Arial" w:cs="Arial"/>
        </w:rPr>
        <w:t>emographic</w:t>
      </w:r>
      <w:r w:rsidR="00870A5D" w:rsidRPr="007B3452">
        <w:rPr>
          <w:rFonts w:ascii="Arial" w:hAnsi="Arial" w:cs="Arial"/>
        </w:rPr>
        <w:t xml:space="preserve"> and economic changes are placing a</w:t>
      </w:r>
      <w:r w:rsidRPr="007B3452">
        <w:rPr>
          <w:rFonts w:ascii="Arial" w:hAnsi="Arial" w:cs="Arial"/>
        </w:rPr>
        <w:t xml:space="preserve"> strain on traditional retirement support</w:t>
      </w:r>
      <w:r w:rsidR="008D333B" w:rsidRPr="007B3452">
        <w:rPr>
          <w:rFonts w:ascii="Arial" w:hAnsi="Arial" w:cs="Arial"/>
        </w:rPr>
        <w:t>s</w:t>
      </w:r>
      <w:r w:rsidRPr="007B3452">
        <w:rPr>
          <w:rFonts w:ascii="Arial" w:hAnsi="Arial" w:cs="Arial"/>
        </w:rPr>
        <w:t xml:space="preserve"> such as the aged pension</w:t>
      </w:r>
      <w:r w:rsidR="00870A5D" w:rsidRPr="007B3452">
        <w:rPr>
          <w:rFonts w:ascii="Arial" w:hAnsi="Arial" w:cs="Arial"/>
        </w:rPr>
        <w:t>, aged care and health care, giving governments a challenge in managing their budget</w:t>
      </w:r>
      <w:r w:rsidR="00342AA7" w:rsidRPr="007B3452">
        <w:rPr>
          <w:rFonts w:ascii="Arial" w:hAnsi="Arial" w:cs="Arial"/>
        </w:rPr>
        <w:t>s</w:t>
      </w:r>
      <w:r w:rsidR="00870A5D" w:rsidRPr="007B3452">
        <w:rPr>
          <w:rFonts w:ascii="Arial" w:hAnsi="Arial" w:cs="Arial"/>
        </w:rPr>
        <w:t>.</w:t>
      </w:r>
    </w:p>
    <w:p w14:paraId="71961AB8" w14:textId="6E40EF33" w:rsidR="006A1651" w:rsidRPr="007B3452" w:rsidRDefault="00A1275C" w:rsidP="008D333B">
      <w:pPr>
        <w:spacing w:after="240" w:line="276" w:lineRule="auto"/>
        <w:jc w:val="both"/>
        <w:rPr>
          <w:rFonts w:ascii="Arial" w:hAnsi="Arial" w:cs="Arial"/>
        </w:rPr>
      </w:pPr>
      <w:r w:rsidRPr="007B3452">
        <w:rPr>
          <w:rFonts w:ascii="Arial" w:hAnsi="Arial" w:cs="Arial"/>
        </w:rPr>
        <w:t>The advice provided by financial planners will take on more significance as Australians attempt to navigate these challenges</w:t>
      </w:r>
      <w:r w:rsidR="00E77F77" w:rsidRPr="007B3452">
        <w:rPr>
          <w:rFonts w:ascii="Arial" w:hAnsi="Arial" w:cs="Arial"/>
        </w:rPr>
        <w:t xml:space="preserve"> and the </w:t>
      </w:r>
      <w:r w:rsidR="00733267" w:rsidRPr="007B3452">
        <w:rPr>
          <w:rFonts w:ascii="Arial" w:hAnsi="Arial" w:cs="Arial"/>
        </w:rPr>
        <w:t>g</w:t>
      </w:r>
      <w:r w:rsidR="00E77F77" w:rsidRPr="007B3452">
        <w:rPr>
          <w:rFonts w:ascii="Arial" w:hAnsi="Arial" w:cs="Arial"/>
        </w:rPr>
        <w:t xml:space="preserve">overnment </w:t>
      </w:r>
      <w:r w:rsidR="00733267" w:rsidRPr="007B3452">
        <w:rPr>
          <w:rFonts w:ascii="Arial" w:hAnsi="Arial" w:cs="Arial"/>
        </w:rPr>
        <w:t xml:space="preserve">looks to support the </w:t>
      </w:r>
      <w:proofErr w:type="gramStart"/>
      <w:r w:rsidR="00733267" w:rsidRPr="007B3452">
        <w:rPr>
          <w:rFonts w:ascii="Arial" w:hAnsi="Arial" w:cs="Arial"/>
        </w:rPr>
        <w:t>long term</w:t>
      </w:r>
      <w:proofErr w:type="gramEnd"/>
      <w:r w:rsidR="00733267" w:rsidRPr="007B3452">
        <w:rPr>
          <w:rFonts w:ascii="Arial" w:hAnsi="Arial" w:cs="Arial"/>
        </w:rPr>
        <w:t xml:space="preserve"> integrity of the Federal Budget</w:t>
      </w:r>
      <w:r w:rsidRPr="007B3452">
        <w:rPr>
          <w:rFonts w:ascii="Arial" w:hAnsi="Arial" w:cs="Arial"/>
        </w:rPr>
        <w:t>.</w:t>
      </w:r>
    </w:p>
    <w:p w14:paraId="268BE86D" w14:textId="77777777" w:rsidR="00A1275C" w:rsidRPr="007B3452" w:rsidRDefault="00581F13" w:rsidP="00342AA7">
      <w:pPr>
        <w:spacing w:after="240" w:line="276" w:lineRule="auto"/>
        <w:jc w:val="both"/>
        <w:rPr>
          <w:rFonts w:ascii="Arial" w:hAnsi="Arial" w:cs="Arial"/>
        </w:rPr>
      </w:pPr>
      <w:r w:rsidRPr="007B3452">
        <w:rPr>
          <w:rFonts w:ascii="Arial" w:hAnsi="Arial" w:cs="Arial"/>
        </w:rPr>
        <w:t>The financial planning profession is also changing.</w:t>
      </w:r>
      <w:r w:rsidR="00342AA7" w:rsidRPr="007B3452">
        <w:rPr>
          <w:rFonts w:ascii="Arial" w:hAnsi="Arial" w:cs="Arial"/>
        </w:rPr>
        <w:t xml:space="preserve"> </w:t>
      </w:r>
      <w:r w:rsidR="00A1275C" w:rsidRPr="007B3452">
        <w:rPr>
          <w:rFonts w:ascii="Arial" w:hAnsi="Arial" w:cs="Arial"/>
        </w:rPr>
        <w:t>Australians rightly expect their financial planner to have the right qualifications and skills and to put their interests first. Financial planners are being held to higher standards, needing a minimum degree-level education, to have passed a professional exam and to comply with a Code of Ethics.</w:t>
      </w:r>
    </w:p>
    <w:p w14:paraId="60606082" w14:textId="77777777" w:rsidR="00890316" w:rsidRPr="007B3452" w:rsidRDefault="00A1275C">
      <w:pPr>
        <w:rPr>
          <w:rFonts w:ascii="Arial" w:hAnsi="Arial" w:cs="Arial"/>
        </w:rPr>
      </w:pPr>
      <w:r w:rsidRPr="007B3452">
        <w:rPr>
          <w:rFonts w:ascii="Arial" w:hAnsi="Arial" w:cs="Arial"/>
        </w:rPr>
        <w:t>Like many professions, financial planners are adapting to new technology which is changing the way they operate. A focus on upfront and transparent service fees is changing the way many financial planners do business.</w:t>
      </w:r>
      <w:r w:rsidR="00342AA7" w:rsidRPr="007B3452">
        <w:rPr>
          <w:rFonts w:ascii="Arial" w:hAnsi="Arial" w:cs="Arial"/>
        </w:rPr>
        <w:t xml:space="preserve"> </w:t>
      </w:r>
      <w:r w:rsidRPr="007B3452">
        <w:rPr>
          <w:rFonts w:ascii="Arial" w:hAnsi="Arial" w:cs="Arial"/>
        </w:rPr>
        <w:t>The financial planning profession we see in five years times will be very different to the profession we see today.</w:t>
      </w:r>
      <w:r w:rsidR="00890316" w:rsidRPr="007B3452">
        <w:rPr>
          <w:rFonts w:ascii="Arial" w:hAnsi="Arial" w:cs="Arial"/>
        </w:rPr>
        <w:br w:type="page"/>
      </w:r>
    </w:p>
    <w:p w14:paraId="6C633CEE" w14:textId="77777777" w:rsidR="00890316" w:rsidRPr="007B3452" w:rsidRDefault="00890316" w:rsidP="00890316">
      <w:pPr>
        <w:pStyle w:val="Heading1"/>
        <w:rPr>
          <w:rFonts w:ascii="Arial" w:hAnsi="Arial" w:cs="Arial"/>
        </w:rPr>
      </w:pPr>
      <w:bookmarkStart w:id="1" w:name="_Toc535503302"/>
      <w:r w:rsidRPr="007B3452">
        <w:rPr>
          <w:rFonts w:ascii="Arial" w:hAnsi="Arial" w:cs="Arial"/>
        </w:rPr>
        <w:lastRenderedPageBreak/>
        <w:t>Executive Summary</w:t>
      </w:r>
      <w:bookmarkEnd w:id="1"/>
    </w:p>
    <w:p w14:paraId="36257145" w14:textId="77777777" w:rsidR="00890316" w:rsidRPr="007B3452" w:rsidRDefault="00890316" w:rsidP="008D333B">
      <w:pPr>
        <w:spacing w:after="240" w:line="276" w:lineRule="auto"/>
        <w:jc w:val="both"/>
        <w:rPr>
          <w:rFonts w:ascii="Arial" w:hAnsi="Arial" w:cs="Arial"/>
        </w:rPr>
      </w:pPr>
      <w:r w:rsidRPr="007B3452">
        <w:rPr>
          <w:rFonts w:ascii="Arial" w:hAnsi="Arial" w:cs="Arial"/>
        </w:rPr>
        <w:t>T</w:t>
      </w:r>
      <w:r w:rsidR="00870A5D" w:rsidRPr="007B3452">
        <w:rPr>
          <w:rFonts w:ascii="Arial" w:hAnsi="Arial" w:cs="Arial"/>
        </w:rPr>
        <w:t xml:space="preserve">he </w:t>
      </w:r>
      <w:r w:rsidR="008D333B" w:rsidRPr="007B3452">
        <w:rPr>
          <w:rFonts w:ascii="Arial" w:hAnsi="Arial" w:cs="Arial"/>
        </w:rPr>
        <w:t xml:space="preserve">Federal </w:t>
      </w:r>
      <w:r w:rsidR="00870A5D" w:rsidRPr="007B3452">
        <w:rPr>
          <w:rFonts w:ascii="Arial" w:hAnsi="Arial" w:cs="Arial"/>
        </w:rPr>
        <w:t>Government should promote initiatives that enhance the ability of today’s working population to save and prepare for retirement</w:t>
      </w:r>
      <w:r w:rsidRPr="007B3452">
        <w:rPr>
          <w:rFonts w:ascii="Arial" w:hAnsi="Arial" w:cs="Arial"/>
        </w:rPr>
        <w:t xml:space="preserve"> and </w:t>
      </w:r>
      <w:r w:rsidR="00C12419" w:rsidRPr="007B3452">
        <w:rPr>
          <w:rFonts w:ascii="Arial" w:hAnsi="Arial" w:cs="Arial"/>
        </w:rPr>
        <w:t xml:space="preserve">maintain the integrity of the superannuation system </w:t>
      </w:r>
      <w:r w:rsidR="00A1275C" w:rsidRPr="007B3452">
        <w:rPr>
          <w:rFonts w:ascii="Arial" w:hAnsi="Arial" w:cs="Arial"/>
        </w:rPr>
        <w:t>to</w:t>
      </w:r>
      <w:r w:rsidR="00C12419" w:rsidRPr="007B3452">
        <w:rPr>
          <w:rFonts w:ascii="Arial" w:hAnsi="Arial" w:cs="Arial"/>
        </w:rPr>
        <w:t xml:space="preserve"> </w:t>
      </w:r>
      <w:r w:rsidR="00A1275C" w:rsidRPr="007B3452">
        <w:rPr>
          <w:rFonts w:ascii="Arial" w:hAnsi="Arial" w:cs="Arial"/>
        </w:rPr>
        <w:t>ensure</w:t>
      </w:r>
      <w:r w:rsidRPr="007B3452">
        <w:rPr>
          <w:rFonts w:ascii="Arial" w:hAnsi="Arial" w:cs="Arial"/>
        </w:rPr>
        <w:t xml:space="preserve"> </w:t>
      </w:r>
      <w:r w:rsidR="00C12419" w:rsidRPr="007B3452">
        <w:rPr>
          <w:rFonts w:ascii="Arial" w:hAnsi="Arial" w:cs="Arial"/>
        </w:rPr>
        <w:t>older</w:t>
      </w:r>
      <w:r w:rsidRPr="007B3452">
        <w:rPr>
          <w:rFonts w:ascii="Arial" w:hAnsi="Arial" w:cs="Arial"/>
        </w:rPr>
        <w:t xml:space="preserve"> Australians </w:t>
      </w:r>
      <w:r w:rsidR="00A1275C" w:rsidRPr="007B3452">
        <w:rPr>
          <w:rFonts w:ascii="Arial" w:hAnsi="Arial" w:cs="Arial"/>
        </w:rPr>
        <w:t xml:space="preserve">are able </w:t>
      </w:r>
      <w:r w:rsidRPr="007B3452">
        <w:rPr>
          <w:rFonts w:ascii="Arial" w:hAnsi="Arial" w:cs="Arial"/>
        </w:rPr>
        <w:t xml:space="preserve">to </w:t>
      </w:r>
      <w:r w:rsidR="00C12419" w:rsidRPr="007B3452">
        <w:rPr>
          <w:rFonts w:ascii="Arial" w:hAnsi="Arial" w:cs="Arial"/>
        </w:rPr>
        <w:t>retire with dignity</w:t>
      </w:r>
      <w:r w:rsidR="00870A5D" w:rsidRPr="007B3452">
        <w:rPr>
          <w:rFonts w:ascii="Arial" w:hAnsi="Arial" w:cs="Arial"/>
        </w:rPr>
        <w:t xml:space="preserve">. </w:t>
      </w:r>
    </w:p>
    <w:p w14:paraId="557732D1" w14:textId="5F74DBC2" w:rsidR="00D90763" w:rsidRPr="007B3452" w:rsidRDefault="00870A5D" w:rsidP="008D333B">
      <w:pPr>
        <w:spacing w:after="240" w:line="276" w:lineRule="auto"/>
        <w:jc w:val="both"/>
        <w:rPr>
          <w:rFonts w:ascii="Arial" w:hAnsi="Arial" w:cs="Arial"/>
        </w:rPr>
      </w:pPr>
      <w:r w:rsidRPr="007B3452">
        <w:rPr>
          <w:rFonts w:ascii="Arial" w:hAnsi="Arial" w:cs="Arial"/>
        </w:rPr>
        <w:t xml:space="preserve">A key part of this goal is to improve access for </w:t>
      </w:r>
      <w:r w:rsidR="00890316" w:rsidRPr="007B3452">
        <w:rPr>
          <w:rFonts w:ascii="Arial" w:hAnsi="Arial" w:cs="Arial"/>
        </w:rPr>
        <w:t xml:space="preserve">Australians </w:t>
      </w:r>
      <w:r w:rsidRPr="007B3452">
        <w:rPr>
          <w:rFonts w:ascii="Arial" w:hAnsi="Arial" w:cs="Arial"/>
        </w:rPr>
        <w:t xml:space="preserve">to professional </w:t>
      </w:r>
      <w:r w:rsidR="00D90763" w:rsidRPr="007B3452">
        <w:rPr>
          <w:rFonts w:ascii="Arial" w:hAnsi="Arial" w:cs="Arial"/>
        </w:rPr>
        <w:t xml:space="preserve">financial advice to help </w:t>
      </w:r>
      <w:r w:rsidRPr="007B3452">
        <w:rPr>
          <w:rFonts w:ascii="Arial" w:hAnsi="Arial" w:cs="Arial"/>
        </w:rPr>
        <w:t>them</w:t>
      </w:r>
      <w:r w:rsidR="00D90763" w:rsidRPr="007B3452">
        <w:rPr>
          <w:rFonts w:ascii="Arial" w:hAnsi="Arial" w:cs="Arial"/>
        </w:rPr>
        <w:t xml:space="preserve"> navigate the</w:t>
      </w:r>
      <w:r w:rsidR="00C12419" w:rsidRPr="007B3452">
        <w:rPr>
          <w:rFonts w:ascii="Arial" w:hAnsi="Arial" w:cs="Arial"/>
        </w:rPr>
        <w:t>ir financial</w:t>
      </w:r>
      <w:r w:rsidR="00D90763" w:rsidRPr="007B3452">
        <w:rPr>
          <w:rFonts w:ascii="Arial" w:hAnsi="Arial" w:cs="Arial"/>
        </w:rPr>
        <w:t xml:space="preserve"> challenges</w:t>
      </w:r>
      <w:r w:rsidRPr="007B3452">
        <w:rPr>
          <w:rFonts w:ascii="Arial" w:hAnsi="Arial" w:cs="Arial"/>
        </w:rPr>
        <w:t xml:space="preserve">. This is particularly important for </w:t>
      </w:r>
      <w:r w:rsidR="00D90763" w:rsidRPr="007B3452">
        <w:rPr>
          <w:rFonts w:ascii="Arial" w:hAnsi="Arial" w:cs="Arial"/>
        </w:rPr>
        <w:t>those who have not traditionally been able to access or afford advice</w:t>
      </w:r>
      <w:r w:rsidR="008D333B" w:rsidRPr="007B3452">
        <w:rPr>
          <w:rFonts w:ascii="Arial" w:hAnsi="Arial" w:cs="Arial"/>
        </w:rPr>
        <w:t xml:space="preserve">, </w:t>
      </w:r>
      <w:r w:rsidR="00C12419" w:rsidRPr="007B3452">
        <w:rPr>
          <w:rFonts w:ascii="Arial" w:hAnsi="Arial" w:cs="Arial"/>
        </w:rPr>
        <w:t>including</w:t>
      </w:r>
      <w:r w:rsidRPr="007B3452">
        <w:rPr>
          <w:rFonts w:ascii="Arial" w:hAnsi="Arial" w:cs="Arial"/>
        </w:rPr>
        <w:t xml:space="preserve"> </w:t>
      </w:r>
      <w:r w:rsidR="00D90763" w:rsidRPr="007B3452">
        <w:rPr>
          <w:rFonts w:ascii="Arial" w:hAnsi="Arial" w:cs="Arial"/>
        </w:rPr>
        <w:t>women</w:t>
      </w:r>
      <w:r w:rsidRPr="007B3452">
        <w:rPr>
          <w:rFonts w:ascii="Arial" w:hAnsi="Arial" w:cs="Arial"/>
        </w:rPr>
        <w:t xml:space="preserve"> and</w:t>
      </w:r>
      <w:r w:rsidR="00D90763" w:rsidRPr="007B3452">
        <w:rPr>
          <w:rFonts w:ascii="Arial" w:hAnsi="Arial" w:cs="Arial"/>
        </w:rPr>
        <w:t xml:space="preserve"> people on lower incomes</w:t>
      </w:r>
      <w:r w:rsidRPr="007B3452">
        <w:rPr>
          <w:rFonts w:ascii="Arial" w:hAnsi="Arial" w:cs="Arial"/>
        </w:rPr>
        <w:t>.</w:t>
      </w:r>
      <w:r w:rsidR="00B44C1E" w:rsidRPr="007B3452">
        <w:rPr>
          <w:rFonts w:ascii="Arial" w:hAnsi="Arial" w:cs="Arial"/>
        </w:rPr>
        <w:t xml:space="preserve"> </w:t>
      </w:r>
      <w:r w:rsidRPr="007B3452">
        <w:rPr>
          <w:rFonts w:ascii="Arial" w:hAnsi="Arial" w:cs="Arial"/>
        </w:rPr>
        <w:t xml:space="preserve">To achieve this goal, the Financial Planning Association of Australia is recommending the federal Government adopt </w:t>
      </w:r>
      <w:r w:rsidR="003D0998" w:rsidRPr="007B3452">
        <w:rPr>
          <w:rFonts w:ascii="Arial" w:hAnsi="Arial" w:cs="Arial"/>
        </w:rPr>
        <w:t>16</w:t>
      </w:r>
      <w:r w:rsidRPr="007B3452">
        <w:rPr>
          <w:rFonts w:ascii="Arial" w:hAnsi="Arial" w:cs="Arial"/>
        </w:rPr>
        <w:t xml:space="preserve"> recommendations across the following themes.</w:t>
      </w:r>
    </w:p>
    <w:p w14:paraId="58E55218" w14:textId="77777777" w:rsidR="008D333B" w:rsidRPr="007B3452" w:rsidRDefault="008D333B" w:rsidP="008D333B">
      <w:pPr>
        <w:rPr>
          <w:rFonts w:ascii="Arial" w:hAnsi="Arial" w:cs="Arial"/>
          <w:i/>
        </w:rPr>
      </w:pPr>
    </w:p>
    <w:p w14:paraId="708B3836" w14:textId="77777777" w:rsidR="00C22879" w:rsidRPr="007B3452" w:rsidRDefault="00C22879" w:rsidP="008D333B">
      <w:pPr>
        <w:rPr>
          <w:rFonts w:ascii="Arial" w:hAnsi="Arial" w:cs="Arial"/>
          <w:b/>
          <w:i/>
        </w:rPr>
      </w:pPr>
      <w:r w:rsidRPr="007B3452">
        <w:rPr>
          <w:rFonts w:ascii="Arial" w:hAnsi="Arial" w:cs="Arial"/>
          <w:b/>
          <w:i/>
        </w:rPr>
        <w:t>Enhanc</w:t>
      </w:r>
      <w:r w:rsidR="00870A5D" w:rsidRPr="007B3452">
        <w:rPr>
          <w:rFonts w:ascii="Arial" w:hAnsi="Arial" w:cs="Arial"/>
          <w:b/>
          <w:i/>
        </w:rPr>
        <w:t>ing</w:t>
      </w:r>
      <w:r w:rsidRPr="007B3452">
        <w:rPr>
          <w:rFonts w:ascii="Arial" w:hAnsi="Arial" w:cs="Arial"/>
          <w:b/>
          <w:i/>
        </w:rPr>
        <w:t xml:space="preserve"> the ability of all Australians to access financial advice to assist them to plan and save for their </w:t>
      </w:r>
      <w:r w:rsidR="00A41C62" w:rsidRPr="007B3452">
        <w:rPr>
          <w:rFonts w:ascii="Arial" w:hAnsi="Arial" w:cs="Arial"/>
          <w:b/>
          <w:i/>
        </w:rPr>
        <w:t>future</w:t>
      </w:r>
      <w:r w:rsidR="00870A5D" w:rsidRPr="007B3452">
        <w:rPr>
          <w:rFonts w:ascii="Arial" w:hAnsi="Arial" w:cs="Arial"/>
          <w:b/>
          <w:i/>
        </w:rPr>
        <w:t>.</w:t>
      </w:r>
    </w:p>
    <w:p w14:paraId="27F85320" w14:textId="77777777" w:rsidR="00581F13" w:rsidRPr="007B3452" w:rsidRDefault="00581F13" w:rsidP="008D333B">
      <w:pPr>
        <w:rPr>
          <w:rFonts w:ascii="Arial" w:hAnsi="Arial" w:cs="Arial"/>
        </w:rPr>
      </w:pPr>
      <w:r w:rsidRPr="007B3452">
        <w:rPr>
          <w:rFonts w:ascii="Arial" w:hAnsi="Arial" w:cs="Arial"/>
        </w:rPr>
        <w:t xml:space="preserve">Having a financial plan is important for all Australians, regardless of </w:t>
      </w:r>
      <w:r w:rsidR="00890316" w:rsidRPr="007B3452">
        <w:rPr>
          <w:rFonts w:ascii="Arial" w:hAnsi="Arial" w:cs="Arial"/>
        </w:rPr>
        <w:t>age, gender</w:t>
      </w:r>
      <w:r w:rsidRPr="007B3452">
        <w:rPr>
          <w:rFonts w:ascii="Arial" w:hAnsi="Arial" w:cs="Arial"/>
        </w:rPr>
        <w:t xml:space="preserve"> or income level.</w:t>
      </w:r>
      <w:r w:rsidR="00890316" w:rsidRPr="007B3452">
        <w:rPr>
          <w:rFonts w:ascii="Arial" w:hAnsi="Arial" w:cs="Arial"/>
        </w:rPr>
        <w:t xml:space="preserve"> </w:t>
      </w:r>
      <w:r w:rsidRPr="007B3452">
        <w:rPr>
          <w:rFonts w:ascii="Arial" w:hAnsi="Arial" w:cs="Arial"/>
        </w:rPr>
        <w:t>The cost of financial advice is a barrier to many people, particularly those on lower incomes. Yet these are often the people who would most benefit from the counsel of a qualified financial planner.</w:t>
      </w:r>
    </w:p>
    <w:p w14:paraId="7C99AE7D" w14:textId="59CC1ABD" w:rsidR="008950B6" w:rsidRPr="007B3452" w:rsidRDefault="008950B6" w:rsidP="008D333B">
      <w:pPr>
        <w:rPr>
          <w:rFonts w:ascii="Arial" w:hAnsi="Arial" w:cs="Arial"/>
        </w:rPr>
      </w:pPr>
      <w:r w:rsidRPr="007B3452">
        <w:rPr>
          <w:rFonts w:ascii="Arial" w:hAnsi="Arial" w:cs="Arial"/>
        </w:rPr>
        <w:t xml:space="preserve">At the same time, the cost of operating as a financial planner is increasing due to more comprehensive regulation, higher standards for education and training, and the move towards </w:t>
      </w:r>
      <w:r w:rsidR="00911C2C" w:rsidRPr="007B3452">
        <w:rPr>
          <w:rFonts w:ascii="Arial" w:hAnsi="Arial" w:cs="Arial"/>
        </w:rPr>
        <w:t>user pays regulator</w:t>
      </w:r>
      <w:r w:rsidRPr="007B3452">
        <w:rPr>
          <w:rFonts w:ascii="Arial" w:hAnsi="Arial" w:cs="Arial"/>
        </w:rPr>
        <w:t xml:space="preserve"> fee models. These costs are ultimately passed on to consumers in the form of higher fees.</w:t>
      </w:r>
    </w:p>
    <w:p w14:paraId="2EC7F6A2" w14:textId="31BB83F5" w:rsidR="00890316" w:rsidRPr="007B3452" w:rsidRDefault="00581F13" w:rsidP="008D333B">
      <w:pPr>
        <w:rPr>
          <w:rFonts w:ascii="Arial" w:hAnsi="Arial" w:cs="Arial"/>
        </w:rPr>
      </w:pPr>
      <w:r w:rsidRPr="007B3452">
        <w:rPr>
          <w:rFonts w:ascii="Arial" w:hAnsi="Arial" w:cs="Arial"/>
        </w:rPr>
        <w:t>Providing a tax deduction for</w:t>
      </w:r>
      <w:r w:rsidR="00890316" w:rsidRPr="007B3452">
        <w:rPr>
          <w:rFonts w:ascii="Arial" w:hAnsi="Arial" w:cs="Arial"/>
        </w:rPr>
        <w:t xml:space="preserve"> costs associated with the creation of an initial</w:t>
      </w:r>
      <w:r w:rsidRPr="007B3452">
        <w:rPr>
          <w:rFonts w:ascii="Arial" w:hAnsi="Arial" w:cs="Arial"/>
        </w:rPr>
        <w:t xml:space="preserve"> financial </w:t>
      </w:r>
      <w:r w:rsidR="00890316" w:rsidRPr="007B3452">
        <w:rPr>
          <w:rFonts w:ascii="Arial" w:hAnsi="Arial" w:cs="Arial"/>
        </w:rPr>
        <w:t xml:space="preserve">plan would </w:t>
      </w:r>
      <w:r w:rsidR="008950B6" w:rsidRPr="007B3452">
        <w:rPr>
          <w:rFonts w:ascii="Arial" w:hAnsi="Arial" w:cs="Arial"/>
        </w:rPr>
        <w:t xml:space="preserve">ensure that financial advice did not become unaffordable for many Australians. It would </w:t>
      </w:r>
      <w:r w:rsidR="00890316" w:rsidRPr="007B3452">
        <w:rPr>
          <w:rFonts w:ascii="Arial" w:hAnsi="Arial" w:cs="Arial"/>
        </w:rPr>
        <w:t xml:space="preserve">assist </w:t>
      </w:r>
      <w:r w:rsidR="008950B6" w:rsidRPr="007B3452">
        <w:rPr>
          <w:rFonts w:ascii="Arial" w:hAnsi="Arial" w:cs="Arial"/>
        </w:rPr>
        <w:t xml:space="preserve">all </w:t>
      </w:r>
      <w:r w:rsidR="00890316" w:rsidRPr="007B3452">
        <w:rPr>
          <w:rFonts w:ascii="Arial" w:hAnsi="Arial" w:cs="Arial"/>
        </w:rPr>
        <w:t>working-age Australians to access financial advice, particularly where they had not done so before</w:t>
      </w:r>
      <w:r w:rsidR="00C3404F" w:rsidRPr="007B3452">
        <w:rPr>
          <w:rFonts w:ascii="Arial" w:hAnsi="Arial" w:cs="Arial"/>
        </w:rPr>
        <w:t>, and would bring it into line with fees for advice on existing investments which are already tax deductable</w:t>
      </w:r>
      <w:r w:rsidR="00890316" w:rsidRPr="007B3452">
        <w:rPr>
          <w:rFonts w:ascii="Arial" w:hAnsi="Arial" w:cs="Arial"/>
        </w:rPr>
        <w:t xml:space="preserve"> (recommendation </w:t>
      </w:r>
      <w:r w:rsidR="003D0998" w:rsidRPr="007B3452">
        <w:rPr>
          <w:rFonts w:ascii="Arial" w:hAnsi="Arial" w:cs="Arial"/>
        </w:rPr>
        <w:t>1</w:t>
      </w:r>
      <w:r w:rsidR="00890316" w:rsidRPr="007B3452">
        <w:rPr>
          <w:rFonts w:ascii="Arial" w:hAnsi="Arial" w:cs="Arial"/>
        </w:rPr>
        <w:t>).</w:t>
      </w:r>
    </w:p>
    <w:p w14:paraId="484D7D31" w14:textId="0CAB273F" w:rsidR="00581F13" w:rsidRPr="007B3452" w:rsidRDefault="00890316" w:rsidP="008D333B">
      <w:pPr>
        <w:rPr>
          <w:rFonts w:ascii="Arial" w:hAnsi="Arial" w:cs="Arial"/>
        </w:rPr>
      </w:pPr>
      <w:r w:rsidRPr="007B3452">
        <w:rPr>
          <w:rFonts w:ascii="Arial" w:hAnsi="Arial" w:cs="Arial"/>
        </w:rPr>
        <w:t>G</w:t>
      </w:r>
      <w:r w:rsidR="00581F13" w:rsidRPr="007B3452">
        <w:rPr>
          <w:rFonts w:ascii="Arial" w:hAnsi="Arial" w:cs="Arial"/>
        </w:rPr>
        <w:t>iving individuals a limited capacity to access their superannuation to pay for financial advice</w:t>
      </w:r>
      <w:r w:rsidRPr="007B3452">
        <w:rPr>
          <w:rFonts w:ascii="Arial" w:hAnsi="Arial" w:cs="Arial"/>
        </w:rPr>
        <w:t>, similar the Pensions Advice Allowance scheme that was recently introduced in the UK, would ensure lower-income Australians are not excluded from the benefits of getting qualified financial advice</w:t>
      </w:r>
      <w:r w:rsidR="00BA4B05" w:rsidRPr="007B3452">
        <w:rPr>
          <w:rFonts w:ascii="Arial" w:hAnsi="Arial" w:cs="Arial"/>
        </w:rPr>
        <w:t xml:space="preserve"> (recommendation </w:t>
      </w:r>
      <w:r w:rsidR="003D0998" w:rsidRPr="007B3452">
        <w:rPr>
          <w:rFonts w:ascii="Arial" w:hAnsi="Arial" w:cs="Arial"/>
        </w:rPr>
        <w:t>2</w:t>
      </w:r>
      <w:r w:rsidR="00BA4B05" w:rsidRPr="007B3452">
        <w:rPr>
          <w:rFonts w:ascii="Arial" w:hAnsi="Arial" w:cs="Arial"/>
        </w:rPr>
        <w:t>)</w:t>
      </w:r>
      <w:r w:rsidR="00581F13" w:rsidRPr="007B3452">
        <w:rPr>
          <w:rFonts w:ascii="Arial" w:hAnsi="Arial" w:cs="Arial"/>
        </w:rPr>
        <w:t xml:space="preserve">. </w:t>
      </w:r>
    </w:p>
    <w:p w14:paraId="5FC8A08F" w14:textId="77777777" w:rsidR="00581F13" w:rsidRPr="007B3452" w:rsidRDefault="00581F13" w:rsidP="008D333B">
      <w:pPr>
        <w:rPr>
          <w:rFonts w:ascii="Arial" w:hAnsi="Arial" w:cs="Arial"/>
        </w:rPr>
      </w:pPr>
    </w:p>
    <w:p w14:paraId="2EC46D09" w14:textId="77777777" w:rsidR="00C22879" w:rsidRPr="007B3452" w:rsidRDefault="00C22879" w:rsidP="00581F13">
      <w:pPr>
        <w:rPr>
          <w:rFonts w:ascii="Arial" w:hAnsi="Arial" w:cs="Arial"/>
          <w:b/>
          <w:i/>
        </w:rPr>
      </w:pPr>
      <w:r w:rsidRPr="007B3452">
        <w:rPr>
          <w:rFonts w:ascii="Arial" w:hAnsi="Arial" w:cs="Arial"/>
          <w:b/>
          <w:i/>
        </w:rPr>
        <w:t>Continu</w:t>
      </w:r>
      <w:r w:rsidR="00870A5D" w:rsidRPr="007B3452">
        <w:rPr>
          <w:rFonts w:ascii="Arial" w:hAnsi="Arial" w:cs="Arial"/>
          <w:b/>
          <w:i/>
        </w:rPr>
        <w:t>ing</w:t>
      </w:r>
      <w:r w:rsidRPr="007B3452">
        <w:rPr>
          <w:rFonts w:ascii="Arial" w:hAnsi="Arial" w:cs="Arial"/>
          <w:b/>
          <w:i/>
        </w:rPr>
        <w:t xml:space="preserve"> to protect consumers of financial advice </w:t>
      </w:r>
      <w:r w:rsidR="00D90763" w:rsidRPr="007B3452">
        <w:rPr>
          <w:rFonts w:ascii="Arial" w:hAnsi="Arial" w:cs="Arial"/>
          <w:b/>
          <w:i/>
        </w:rPr>
        <w:t xml:space="preserve">by providing appropriate safeguards and increasing financial </w:t>
      </w:r>
      <w:r w:rsidR="00D63073" w:rsidRPr="007B3452">
        <w:rPr>
          <w:rFonts w:ascii="Arial" w:hAnsi="Arial" w:cs="Arial"/>
          <w:b/>
          <w:i/>
        </w:rPr>
        <w:t>capability.</w:t>
      </w:r>
    </w:p>
    <w:p w14:paraId="4097B901" w14:textId="77777777" w:rsidR="00860AB3" w:rsidRPr="007B3452" w:rsidRDefault="00890316" w:rsidP="00581F13">
      <w:pPr>
        <w:rPr>
          <w:rFonts w:ascii="Arial" w:hAnsi="Arial" w:cs="Arial"/>
        </w:rPr>
      </w:pPr>
      <w:r w:rsidRPr="007B3452">
        <w:rPr>
          <w:rFonts w:ascii="Arial" w:hAnsi="Arial" w:cs="Arial"/>
        </w:rPr>
        <w:t xml:space="preserve">The recent focus for the financial planning profession has been on increasing standards and </w:t>
      </w:r>
      <w:r w:rsidR="001A1FB6" w:rsidRPr="007B3452">
        <w:rPr>
          <w:rFonts w:ascii="Arial" w:hAnsi="Arial" w:cs="Arial"/>
        </w:rPr>
        <w:t xml:space="preserve">regulatory </w:t>
      </w:r>
      <w:r w:rsidRPr="007B3452">
        <w:rPr>
          <w:rFonts w:ascii="Arial" w:hAnsi="Arial" w:cs="Arial"/>
        </w:rPr>
        <w:t xml:space="preserve">oversight to ensure consumers can </w:t>
      </w:r>
      <w:r w:rsidR="00BA2D85" w:rsidRPr="007B3452">
        <w:rPr>
          <w:rFonts w:ascii="Arial" w:hAnsi="Arial" w:cs="Arial"/>
        </w:rPr>
        <w:t>continue to h</w:t>
      </w:r>
      <w:r w:rsidRPr="007B3452">
        <w:rPr>
          <w:rFonts w:ascii="Arial" w:hAnsi="Arial" w:cs="Arial"/>
        </w:rPr>
        <w:t>ave confidence in the advice they are receiving.</w:t>
      </w:r>
      <w:r w:rsidR="001A1FB6" w:rsidRPr="007B3452">
        <w:rPr>
          <w:rFonts w:ascii="Arial" w:hAnsi="Arial" w:cs="Arial"/>
        </w:rPr>
        <w:t xml:space="preserve"> </w:t>
      </w:r>
      <w:r w:rsidR="00BA4B05" w:rsidRPr="007B3452">
        <w:rPr>
          <w:rFonts w:ascii="Arial" w:hAnsi="Arial" w:cs="Arial"/>
        </w:rPr>
        <w:t xml:space="preserve">While these reforms are still being implemented, there are some additional steps that would </w:t>
      </w:r>
      <w:r w:rsidR="001A1FB6" w:rsidRPr="007B3452">
        <w:rPr>
          <w:rFonts w:ascii="Arial" w:hAnsi="Arial" w:cs="Arial"/>
        </w:rPr>
        <w:t>provide additional</w:t>
      </w:r>
      <w:r w:rsidR="00BA4B05" w:rsidRPr="007B3452">
        <w:rPr>
          <w:rFonts w:ascii="Arial" w:hAnsi="Arial" w:cs="Arial"/>
        </w:rPr>
        <w:t xml:space="preserve"> protection</w:t>
      </w:r>
      <w:r w:rsidR="001A1FB6" w:rsidRPr="007B3452">
        <w:rPr>
          <w:rFonts w:ascii="Arial" w:hAnsi="Arial" w:cs="Arial"/>
        </w:rPr>
        <w:t xml:space="preserve"> for consumers</w:t>
      </w:r>
      <w:r w:rsidR="00BA4B05" w:rsidRPr="007B3452">
        <w:rPr>
          <w:rFonts w:ascii="Arial" w:hAnsi="Arial" w:cs="Arial"/>
        </w:rPr>
        <w:t xml:space="preserve">. </w:t>
      </w:r>
    </w:p>
    <w:p w14:paraId="1B7500BE" w14:textId="4DFA7C38" w:rsidR="00890316" w:rsidRPr="007B3452" w:rsidRDefault="001A1FB6" w:rsidP="00581F13">
      <w:pPr>
        <w:rPr>
          <w:rFonts w:ascii="Arial" w:hAnsi="Arial" w:cs="Arial"/>
        </w:rPr>
      </w:pPr>
      <w:r w:rsidRPr="007B3452">
        <w:rPr>
          <w:rFonts w:ascii="Arial" w:hAnsi="Arial" w:cs="Arial"/>
        </w:rPr>
        <w:t xml:space="preserve">There is some evidence that consumers are confused by the distinction between “general advice” and “personal advice”. This confusion can lead to a consumer mistakenly believing they are receiving advice </w:t>
      </w:r>
      <w:r w:rsidR="001E0433" w:rsidRPr="007B3452">
        <w:rPr>
          <w:rFonts w:ascii="Arial" w:hAnsi="Arial" w:cs="Arial"/>
        </w:rPr>
        <w:t xml:space="preserve">that </w:t>
      </w:r>
      <w:r w:rsidRPr="007B3452">
        <w:rPr>
          <w:rFonts w:ascii="Arial" w:hAnsi="Arial" w:cs="Arial"/>
        </w:rPr>
        <w:t>reflect</w:t>
      </w:r>
      <w:r w:rsidR="001E0433" w:rsidRPr="007B3452">
        <w:rPr>
          <w:rFonts w:ascii="Arial" w:hAnsi="Arial" w:cs="Arial"/>
        </w:rPr>
        <w:t>s</w:t>
      </w:r>
      <w:r w:rsidRPr="007B3452">
        <w:rPr>
          <w:rFonts w:ascii="Arial" w:hAnsi="Arial" w:cs="Arial"/>
        </w:rPr>
        <w:t xml:space="preserve"> their individual </w:t>
      </w:r>
      <w:r w:rsidR="00B44C1E" w:rsidRPr="007B3452">
        <w:rPr>
          <w:rFonts w:ascii="Arial" w:hAnsi="Arial" w:cs="Arial"/>
        </w:rPr>
        <w:t>objectives, financial situation and needs</w:t>
      </w:r>
      <w:r w:rsidRPr="007B3452">
        <w:rPr>
          <w:rFonts w:ascii="Arial" w:hAnsi="Arial" w:cs="Arial"/>
        </w:rPr>
        <w:t xml:space="preserve">, when </w:t>
      </w:r>
      <w:r w:rsidR="00B44C1E" w:rsidRPr="007B3452">
        <w:rPr>
          <w:rFonts w:ascii="Arial" w:hAnsi="Arial" w:cs="Arial"/>
        </w:rPr>
        <w:t>they are receiving</w:t>
      </w:r>
      <w:r w:rsidR="001E0433" w:rsidRPr="007B3452">
        <w:rPr>
          <w:rFonts w:ascii="Arial" w:hAnsi="Arial" w:cs="Arial"/>
        </w:rPr>
        <w:t xml:space="preserve"> general information about financial products that may or may not be appropriate to them</w:t>
      </w:r>
      <w:r w:rsidRPr="007B3452">
        <w:rPr>
          <w:rFonts w:ascii="Arial" w:hAnsi="Arial" w:cs="Arial"/>
        </w:rPr>
        <w:t xml:space="preserve">. To prevent this </w:t>
      </w:r>
      <w:r w:rsidR="001E0433" w:rsidRPr="007B3452">
        <w:rPr>
          <w:rFonts w:ascii="Arial" w:hAnsi="Arial" w:cs="Arial"/>
        </w:rPr>
        <w:t xml:space="preserve">potential </w:t>
      </w:r>
      <w:r w:rsidRPr="007B3452">
        <w:rPr>
          <w:rFonts w:ascii="Arial" w:hAnsi="Arial" w:cs="Arial"/>
        </w:rPr>
        <w:t xml:space="preserve">confusion, the FPA supports renaming </w:t>
      </w:r>
      <w:r w:rsidRPr="007B3452">
        <w:rPr>
          <w:rFonts w:ascii="Arial" w:hAnsi="Arial" w:cs="Arial"/>
        </w:rPr>
        <w:lastRenderedPageBreak/>
        <w:t xml:space="preserve">“general advice” in the </w:t>
      </w:r>
      <w:r w:rsidRPr="007B3452">
        <w:rPr>
          <w:rFonts w:ascii="Arial" w:hAnsi="Arial" w:cs="Arial"/>
          <w:i/>
        </w:rPr>
        <w:t>Corporations Act 2001</w:t>
      </w:r>
      <w:r w:rsidRPr="007B3452">
        <w:rPr>
          <w:rFonts w:ascii="Arial" w:hAnsi="Arial" w:cs="Arial"/>
        </w:rPr>
        <w:t xml:space="preserve"> to “general or product information” </w:t>
      </w:r>
      <w:r w:rsidR="003877D0" w:rsidRPr="007B3452">
        <w:rPr>
          <w:rFonts w:ascii="Arial" w:hAnsi="Arial" w:cs="Arial"/>
        </w:rPr>
        <w:t>as recommended by the Productivity Commission</w:t>
      </w:r>
      <w:r w:rsidR="00AB1751" w:rsidRPr="007B3452">
        <w:rPr>
          <w:rFonts w:ascii="Arial" w:hAnsi="Arial" w:cs="Arial"/>
        </w:rPr>
        <w:t xml:space="preserve"> (recommendation </w:t>
      </w:r>
      <w:r w:rsidR="003D0998" w:rsidRPr="007B3452">
        <w:rPr>
          <w:rFonts w:ascii="Arial" w:hAnsi="Arial" w:cs="Arial"/>
        </w:rPr>
        <w:t>3</w:t>
      </w:r>
      <w:r w:rsidR="00AB1751" w:rsidRPr="007B3452">
        <w:rPr>
          <w:rFonts w:ascii="Arial" w:hAnsi="Arial" w:cs="Arial"/>
        </w:rPr>
        <w:t>)</w:t>
      </w:r>
      <w:r w:rsidR="003877D0" w:rsidRPr="007B3452">
        <w:rPr>
          <w:rFonts w:ascii="Arial" w:hAnsi="Arial" w:cs="Arial"/>
        </w:rPr>
        <w:t xml:space="preserve">. </w:t>
      </w:r>
      <w:r w:rsidRPr="007B3452">
        <w:rPr>
          <w:rFonts w:ascii="Arial" w:hAnsi="Arial" w:cs="Arial"/>
        </w:rPr>
        <w:t xml:space="preserve">To ensure consumers are properly aware of the different types of advice they could seek, ASIC should also </w:t>
      </w:r>
      <w:r w:rsidR="00BA4B05" w:rsidRPr="007B3452">
        <w:rPr>
          <w:rFonts w:ascii="Arial" w:hAnsi="Arial" w:cs="Arial"/>
        </w:rPr>
        <w:t xml:space="preserve">amend the General Advice Warning </w:t>
      </w:r>
      <w:r w:rsidRPr="007B3452">
        <w:rPr>
          <w:rFonts w:ascii="Arial" w:hAnsi="Arial" w:cs="Arial"/>
        </w:rPr>
        <w:t xml:space="preserve">in Regulatory Guide 244 to require </w:t>
      </w:r>
      <w:r w:rsidR="003877D0" w:rsidRPr="007B3452">
        <w:rPr>
          <w:rFonts w:ascii="Arial" w:hAnsi="Arial" w:cs="Arial"/>
        </w:rPr>
        <w:t xml:space="preserve">individuals </w:t>
      </w:r>
      <w:r w:rsidRPr="007B3452">
        <w:rPr>
          <w:rFonts w:ascii="Arial" w:hAnsi="Arial" w:cs="Arial"/>
        </w:rPr>
        <w:t xml:space="preserve">providing general </w:t>
      </w:r>
      <w:r w:rsidR="003877D0" w:rsidRPr="007B3452">
        <w:rPr>
          <w:rFonts w:ascii="Arial" w:hAnsi="Arial" w:cs="Arial"/>
        </w:rPr>
        <w:t xml:space="preserve">product information </w:t>
      </w:r>
      <w:r w:rsidRPr="007B3452">
        <w:rPr>
          <w:rFonts w:ascii="Arial" w:hAnsi="Arial" w:cs="Arial"/>
        </w:rPr>
        <w:t xml:space="preserve">to inform the consumer that they should consider whether they would benefit from personal advice </w:t>
      </w:r>
      <w:r w:rsidR="00BA4B05" w:rsidRPr="007B3452">
        <w:rPr>
          <w:rFonts w:ascii="Arial" w:hAnsi="Arial" w:cs="Arial"/>
        </w:rPr>
        <w:t xml:space="preserve">(recommendation </w:t>
      </w:r>
      <w:r w:rsidR="008A21AE" w:rsidRPr="007B3452">
        <w:rPr>
          <w:rFonts w:ascii="Arial" w:hAnsi="Arial" w:cs="Arial"/>
        </w:rPr>
        <w:t>4</w:t>
      </w:r>
      <w:r w:rsidR="00BA4B05" w:rsidRPr="007B3452">
        <w:rPr>
          <w:rFonts w:ascii="Arial" w:hAnsi="Arial" w:cs="Arial"/>
        </w:rPr>
        <w:t>).</w:t>
      </w:r>
    </w:p>
    <w:p w14:paraId="72AA3470" w14:textId="1A16A056" w:rsidR="00BA4B05" w:rsidRPr="007B3452" w:rsidRDefault="00BA4B05" w:rsidP="00581F13">
      <w:pPr>
        <w:rPr>
          <w:rFonts w:ascii="Arial" w:hAnsi="Arial" w:cs="Arial"/>
        </w:rPr>
      </w:pPr>
      <w:r w:rsidRPr="007B3452">
        <w:rPr>
          <w:rFonts w:ascii="Arial" w:hAnsi="Arial" w:cs="Arial"/>
        </w:rPr>
        <w:t xml:space="preserve">The Government should review the definitions of retail, sophisticated and wholesale investors in the </w:t>
      </w:r>
      <w:r w:rsidRPr="007B3452">
        <w:rPr>
          <w:rFonts w:ascii="Arial" w:hAnsi="Arial" w:cs="Arial"/>
          <w:i/>
        </w:rPr>
        <w:t>Corporations Act 2001</w:t>
      </w:r>
      <w:r w:rsidRPr="007B3452">
        <w:rPr>
          <w:rFonts w:ascii="Arial" w:hAnsi="Arial" w:cs="Arial"/>
        </w:rPr>
        <w:t xml:space="preserve"> to ensure </w:t>
      </w:r>
      <w:r w:rsidR="001E0433" w:rsidRPr="007B3452">
        <w:rPr>
          <w:rFonts w:ascii="Arial" w:hAnsi="Arial" w:cs="Arial"/>
        </w:rPr>
        <w:t>investors are treated in a manner appropriate to their knowledge of the financial system and ability to engage with and manage risks</w:t>
      </w:r>
      <w:r w:rsidRPr="007B3452">
        <w:rPr>
          <w:rFonts w:ascii="Arial" w:hAnsi="Arial" w:cs="Arial"/>
        </w:rPr>
        <w:t xml:space="preserve"> (recommendation </w:t>
      </w:r>
      <w:r w:rsidR="008A21AE" w:rsidRPr="007B3452">
        <w:rPr>
          <w:rFonts w:ascii="Arial" w:hAnsi="Arial" w:cs="Arial"/>
        </w:rPr>
        <w:t>5</w:t>
      </w:r>
      <w:r w:rsidRPr="007B3452">
        <w:rPr>
          <w:rFonts w:ascii="Arial" w:hAnsi="Arial" w:cs="Arial"/>
        </w:rPr>
        <w:t>).</w:t>
      </w:r>
    </w:p>
    <w:p w14:paraId="06AAAE78" w14:textId="51D788C7" w:rsidR="00BA4B05" w:rsidRPr="007B3452" w:rsidRDefault="00BA4B05" w:rsidP="00581F13">
      <w:pPr>
        <w:rPr>
          <w:rFonts w:ascii="Arial" w:hAnsi="Arial" w:cs="Arial"/>
        </w:rPr>
      </w:pPr>
      <w:r w:rsidRPr="007B3452">
        <w:rPr>
          <w:rFonts w:ascii="Arial" w:hAnsi="Arial" w:cs="Arial"/>
        </w:rPr>
        <w:t xml:space="preserve">Legal professional privilege should be available to individuals seeking tax advice from qualified financial planners, as it is for those seeking the same advice from lawyers and accountants (recommendation </w:t>
      </w:r>
      <w:r w:rsidR="008A21AE" w:rsidRPr="007B3452">
        <w:rPr>
          <w:rFonts w:ascii="Arial" w:hAnsi="Arial" w:cs="Arial"/>
        </w:rPr>
        <w:t>6</w:t>
      </w:r>
      <w:r w:rsidRPr="007B3452">
        <w:rPr>
          <w:rFonts w:ascii="Arial" w:hAnsi="Arial" w:cs="Arial"/>
        </w:rPr>
        <w:t>).</w:t>
      </w:r>
    </w:p>
    <w:p w14:paraId="5CF3D5C8" w14:textId="2C42C56B" w:rsidR="00BA4B05" w:rsidRPr="007B3452" w:rsidRDefault="003D0998" w:rsidP="00581F13">
      <w:pPr>
        <w:rPr>
          <w:rFonts w:ascii="Arial" w:hAnsi="Arial" w:cs="Arial"/>
        </w:rPr>
      </w:pPr>
      <w:r w:rsidRPr="007B3452">
        <w:rPr>
          <w:rFonts w:ascii="Arial" w:hAnsi="Arial" w:cs="Arial"/>
        </w:rPr>
        <w:t>T</w:t>
      </w:r>
      <w:r w:rsidR="00BA4B05" w:rsidRPr="007B3452">
        <w:rPr>
          <w:rFonts w:ascii="Arial" w:hAnsi="Arial" w:cs="Arial"/>
        </w:rPr>
        <w:t xml:space="preserve">he Government should review its efforts to promote financial literacy and coordinate a specific strategy to address financial literacy among women (recommendation </w:t>
      </w:r>
      <w:r w:rsidR="008A21AE" w:rsidRPr="007B3452">
        <w:rPr>
          <w:rFonts w:ascii="Arial" w:hAnsi="Arial" w:cs="Arial"/>
        </w:rPr>
        <w:t>7</w:t>
      </w:r>
      <w:r w:rsidR="00BA4B05" w:rsidRPr="007B3452">
        <w:rPr>
          <w:rFonts w:ascii="Arial" w:hAnsi="Arial" w:cs="Arial"/>
        </w:rPr>
        <w:t>).</w:t>
      </w:r>
    </w:p>
    <w:p w14:paraId="41936CF9" w14:textId="40CB8FEF" w:rsidR="003D0998" w:rsidRPr="007B3452" w:rsidRDefault="003D0998" w:rsidP="00581F13">
      <w:pPr>
        <w:rPr>
          <w:rFonts w:ascii="Arial" w:hAnsi="Arial" w:cs="Arial"/>
        </w:rPr>
      </w:pPr>
      <w:r w:rsidRPr="007B3452">
        <w:rPr>
          <w:rFonts w:ascii="Arial" w:hAnsi="Arial" w:cs="Arial"/>
        </w:rPr>
        <w:t xml:space="preserve">Finally, the Government should address the impact of regulator decisions on competition in the financial services industry by adding the Australian Competition and Consumer Commission to the Council of Financial Regulators (recommendation </w:t>
      </w:r>
      <w:r w:rsidR="008A21AE" w:rsidRPr="007B3452">
        <w:rPr>
          <w:rFonts w:ascii="Arial" w:hAnsi="Arial" w:cs="Arial"/>
        </w:rPr>
        <w:t>8</w:t>
      </w:r>
      <w:r w:rsidRPr="007B3452">
        <w:rPr>
          <w:rFonts w:ascii="Arial" w:hAnsi="Arial" w:cs="Arial"/>
        </w:rPr>
        <w:t>).</w:t>
      </w:r>
    </w:p>
    <w:p w14:paraId="115D4F99" w14:textId="77777777" w:rsidR="00581F13" w:rsidRPr="007B3452" w:rsidRDefault="00581F13" w:rsidP="00581F13">
      <w:pPr>
        <w:rPr>
          <w:rFonts w:ascii="Arial" w:hAnsi="Arial" w:cs="Arial"/>
        </w:rPr>
      </w:pPr>
    </w:p>
    <w:p w14:paraId="43C35050" w14:textId="77777777" w:rsidR="00D90763" w:rsidRPr="007B3452" w:rsidRDefault="00D90763" w:rsidP="00581F13">
      <w:pPr>
        <w:rPr>
          <w:rFonts w:ascii="Arial" w:hAnsi="Arial" w:cs="Arial"/>
          <w:b/>
          <w:i/>
        </w:rPr>
      </w:pPr>
      <w:r w:rsidRPr="007B3452">
        <w:rPr>
          <w:rFonts w:ascii="Arial" w:hAnsi="Arial" w:cs="Arial"/>
          <w:b/>
          <w:i/>
        </w:rPr>
        <w:t>Support</w:t>
      </w:r>
      <w:r w:rsidR="00870A5D" w:rsidRPr="007B3452">
        <w:rPr>
          <w:rFonts w:ascii="Arial" w:hAnsi="Arial" w:cs="Arial"/>
          <w:b/>
          <w:i/>
        </w:rPr>
        <w:t>ing</w:t>
      </w:r>
      <w:r w:rsidRPr="007B3452">
        <w:rPr>
          <w:rFonts w:ascii="Arial" w:hAnsi="Arial" w:cs="Arial"/>
          <w:b/>
          <w:i/>
        </w:rPr>
        <w:t xml:space="preserve"> the ongoing professionalisation of the financial planning sector and build</w:t>
      </w:r>
      <w:r w:rsidR="008D333B" w:rsidRPr="007B3452">
        <w:rPr>
          <w:rFonts w:ascii="Arial" w:hAnsi="Arial" w:cs="Arial"/>
          <w:b/>
          <w:i/>
        </w:rPr>
        <w:t>ing</w:t>
      </w:r>
      <w:r w:rsidRPr="007B3452">
        <w:rPr>
          <w:rFonts w:ascii="Arial" w:hAnsi="Arial" w:cs="Arial"/>
          <w:b/>
          <w:i/>
        </w:rPr>
        <w:t xml:space="preserve"> on the recent reforms to education and ethical standards</w:t>
      </w:r>
      <w:r w:rsidR="008D333B" w:rsidRPr="007B3452">
        <w:rPr>
          <w:rFonts w:ascii="Arial" w:hAnsi="Arial" w:cs="Arial"/>
          <w:b/>
          <w:i/>
        </w:rPr>
        <w:t>.</w:t>
      </w:r>
    </w:p>
    <w:p w14:paraId="36ECDB97" w14:textId="77777777" w:rsidR="00DD66B3" w:rsidRPr="007B3452" w:rsidRDefault="00DD66B3" w:rsidP="00581F13">
      <w:pPr>
        <w:rPr>
          <w:rFonts w:ascii="Arial" w:hAnsi="Arial" w:cs="Arial"/>
        </w:rPr>
      </w:pPr>
      <w:r w:rsidRPr="007B3452">
        <w:rPr>
          <w:rFonts w:ascii="Arial" w:hAnsi="Arial" w:cs="Arial"/>
        </w:rPr>
        <w:t xml:space="preserve">Since 1 January 2019, financial planners are subject to new requirements that set a minimum education and training standard. From </w:t>
      </w:r>
      <w:r w:rsidR="00AC2C1B" w:rsidRPr="007B3452">
        <w:rPr>
          <w:rFonts w:ascii="Arial" w:hAnsi="Arial" w:cs="Arial"/>
        </w:rPr>
        <w:t>1 January 2020</w:t>
      </w:r>
      <w:r w:rsidRPr="007B3452">
        <w:rPr>
          <w:rFonts w:ascii="Arial" w:hAnsi="Arial" w:cs="Arial"/>
        </w:rPr>
        <w:t>, they will also have a new Code of Ethics and the oversight of a Code Monitoring Body.</w:t>
      </w:r>
      <w:r w:rsidR="00DC55C4" w:rsidRPr="007B3452">
        <w:rPr>
          <w:rFonts w:ascii="Arial" w:hAnsi="Arial" w:cs="Arial"/>
        </w:rPr>
        <w:t xml:space="preserve"> </w:t>
      </w:r>
      <w:r w:rsidRPr="007B3452">
        <w:rPr>
          <w:rFonts w:ascii="Arial" w:hAnsi="Arial" w:cs="Arial"/>
        </w:rPr>
        <w:t>The FPA has been a long-term supporter of increased standards for financial planners and wholeheartedly embraces these changes.</w:t>
      </w:r>
    </w:p>
    <w:p w14:paraId="37B0F11E" w14:textId="0D5CA11B" w:rsidR="00581F13" w:rsidRPr="007B3452" w:rsidRDefault="00DD66B3" w:rsidP="00581F13">
      <w:pPr>
        <w:rPr>
          <w:rFonts w:ascii="Arial" w:hAnsi="Arial" w:cs="Arial"/>
        </w:rPr>
      </w:pPr>
      <w:r w:rsidRPr="007B3452">
        <w:rPr>
          <w:rFonts w:ascii="Arial" w:hAnsi="Arial" w:cs="Arial"/>
        </w:rPr>
        <w:t>To assist financial planners</w:t>
      </w:r>
      <w:r w:rsidR="00776D7A" w:rsidRPr="007B3452">
        <w:rPr>
          <w:rFonts w:ascii="Arial" w:hAnsi="Arial" w:cs="Arial"/>
        </w:rPr>
        <w:t xml:space="preserve"> to serve their clients effectively, the Government should</w:t>
      </w:r>
      <w:r w:rsidRPr="007B3452">
        <w:rPr>
          <w:rFonts w:ascii="Arial" w:hAnsi="Arial" w:cs="Arial"/>
        </w:rPr>
        <w:t xml:space="preserve"> make changes to allow financial planners to act on behalf of their clients when dealing with Commonwealth agencies such as Centrelink and the ATO (recommendation </w:t>
      </w:r>
      <w:r w:rsidR="008A21AE" w:rsidRPr="007B3452">
        <w:rPr>
          <w:rFonts w:ascii="Arial" w:hAnsi="Arial" w:cs="Arial"/>
        </w:rPr>
        <w:t>9</w:t>
      </w:r>
      <w:r w:rsidRPr="007B3452">
        <w:rPr>
          <w:rFonts w:ascii="Arial" w:hAnsi="Arial" w:cs="Arial"/>
        </w:rPr>
        <w:t>).</w:t>
      </w:r>
    </w:p>
    <w:p w14:paraId="1A1EEDC2" w14:textId="3F1293F0" w:rsidR="00BA4B05" w:rsidRPr="007B3452" w:rsidRDefault="00776D7A" w:rsidP="00581F13">
      <w:pPr>
        <w:rPr>
          <w:rFonts w:ascii="Arial" w:hAnsi="Arial" w:cs="Arial"/>
        </w:rPr>
      </w:pPr>
      <w:r w:rsidRPr="007B3452">
        <w:rPr>
          <w:rFonts w:ascii="Arial" w:hAnsi="Arial" w:cs="Arial"/>
        </w:rPr>
        <w:t xml:space="preserve">Between now and 2024, all financial planners will be required to undertake some form of formal education to meet the new education and training standards. To ensure financial planners </w:t>
      </w:r>
      <w:r w:rsidR="00066A59" w:rsidRPr="007B3452">
        <w:rPr>
          <w:rFonts w:ascii="Arial" w:hAnsi="Arial" w:cs="Arial"/>
        </w:rPr>
        <w:t>can</w:t>
      </w:r>
      <w:r w:rsidRPr="007B3452">
        <w:rPr>
          <w:rFonts w:ascii="Arial" w:hAnsi="Arial" w:cs="Arial"/>
        </w:rPr>
        <w:t xml:space="preserve"> meet the cost of this new requirement, the Government should review the support available for planners and extend Commonwealth Supported Places to postgraduate courses that are part of the education and training standard (recommendation </w:t>
      </w:r>
      <w:r w:rsidR="008A21AE" w:rsidRPr="007B3452">
        <w:rPr>
          <w:rFonts w:ascii="Arial" w:hAnsi="Arial" w:cs="Arial"/>
        </w:rPr>
        <w:t>10</w:t>
      </w:r>
      <w:r w:rsidRPr="007B3452">
        <w:rPr>
          <w:rFonts w:ascii="Arial" w:hAnsi="Arial" w:cs="Arial"/>
        </w:rPr>
        <w:t>).</w:t>
      </w:r>
    </w:p>
    <w:p w14:paraId="2F93E77F" w14:textId="77777777" w:rsidR="00776D7A" w:rsidRPr="007B3452" w:rsidRDefault="00776D7A" w:rsidP="00581F13">
      <w:pPr>
        <w:rPr>
          <w:rFonts w:ascii="Arial" w:hAnsi="Arial" w:cs="Arial"/>
        </w:rPr>
      </w:pPr>
    </w:p>
    <w:p w14:paraId="5824B991" w14:textId="77777777" w:rsidR="00D90763" w:rsidRPr="007B3452" w:rsidRDefault="00D90763" w:rsidP="00581F13">
      <w:pPr>
        <w:rPr>
          <w:rFonts w:ascii="Arial" w:hAnsi="Arial" w:cs="Arial"/>
          <w:b/>
          <w:i/>
        </w:rPr>
      </w:pPr>
      <w:r w:rsidRPr="007B3452">
        <w:rPr>
          <w:rFonts w:ascii="Arial" w:hAnsi="Arial" w:cs="Arial"/>
          <w:b/>
          <w:i/>
        </w:rPr>
        <w:t>Improv</w:t>
      </w:r>
      <w:r w:rsidR="008D333B" w:rsidRPr="007B3452">
        <w:rPr>
          <w:rFonts w:ascii="Arial" w:hAnsi="Arial" w:cs="Arial"/>
          <w:b/>
          <w:i/>
        </w:rPr>
        <w:t>ing</w:t>
      </w:r>
      <w:r w:rsidRPr="007B3452">
        <w:rPr>
          <w:rFonts w:ascii="Arial" w:hAnsi="Arial" w:cs="Arial"/>
          <w:b/>
          <w:i/>
        </w:rPr>
        <w:t xml:space="preserve"> Australia’s retirement system by addressing gaps in retirement savings and ensuring consistent and fair tax treatments</w:t>
      </w:r>
      <w:r w:rsidR="008D333B" w:rsidRPr="007B3452">
        <w:rPr>
          <w:rFonts w:ascii="Arial" w:hAnsi="Arial" w:cs="Arial"/>
          <w:b/>
          <w:i/>
        </w:rPr>
        <w:t>.</w:t>
      </w:r>
    </w:p>
    <w:p w14:paraId="13EFE5FE" w14:textId="77777777" w:rsidR="001A4948" w:rsidRPr="007B3452" w:rsidRDefault="001A4948">
      <w:pPr>
        <w:rPr>
          <w:rFonts w:ascii="Arial" w:hAnsi="Arial" w:cs="Arial"/>
        </w:rPr>
      </w:pPr>
      <w:r w:rsidRPr="007B3452">
        <w:rPr>
          <w:rFonts w:ascii="Arial" w:hAnsi="Arial" w:cs="Arial"/>
        </w:rPr>
        <w:t xml:space="preserve">As informed observers of Australia’s retirement system, financial planners also have a responsibility to suggest improvements that will give all Australians </w:t>
      </w:r>
      <w:r w:rsidR="00F331B8" w:rsidRPr="007B3452">
        <w:rPr>
          <w:rFonts w:ascii="Arial" w:hAnsi="Arial" w:cs="Arial"/>
        </w:rPr>
        <w:t xml:space="preserve">the tools </w:t>
      </w:r>
      <w:r w:rsidRPr="007B3452">
        <w:rPr>
          <w:rFonts w:ascii="Arial" w:hAnsi="Arial" w:cs="Arial"/>
        </w:rPr>
        <w:t>to save and prepare for their retirement.</w:t>
      </w:r>
    </w:p>
    <w:p w14:paraId="7556ED7A" w14:textId="128BC9C8" w:rsidR="001A4948" w:rsidRPr="007B3452" w:rsidRDefault="001A4948">
      <w:pPr>
        <w:rPr>
          <w:rFonts w:ascii="Arial" w:hAnsi="Arial" w:cs="Arial"/>
        </w:rPr>
      </w:pPr>
      <w:r w:rsidRPr="007B3452">
        <w:rPr>
          <w:rFonts w:ascii="Arial" w:hAnsi="Arial" w:cs="Arial"/>
        </w:rPr>
        <w:t>The superannuation system should be equitable. It should not disadvantage Australians that take time off work to raise children</w:t>
      </w:r>
      <w:r w:rsidR="00AB1751" w:rsidRPr="007B3452">
        <w:rPr>
          <w:rFonts w:ascii="Arial" w:hAnsi="Arial" w:cs="Arial"/>
        </w:rPr>
        <w:t>,</w:t>
      </w:r>
      <w:r w:rsidRPr="007B3452">
        <w:rPr>
          <w:rFonts w:ascii="Arial" w:hAnsi="Arial" w:cs="Arial"/>
        </w:rPr>
        <w:t xml:space="preserve"> care for family members </w:t>
      </w:r>
      <w:r w:rsidR="00AB1751" w:rsidRPr="007B3452">
        <w:rPr>
          <w:rFonts w:ascii="Arial" w:hAnsi="Arial" w:cs="Arial"/>
        </w:rPr>
        <w:t xml:space="preserve">or recover from a workplace injury </w:t>
      </w:r>
      <w:r w:rsidRPr="007B3452">
        <w:rPr>
          <w:rFonts w:ascii="Arial" w:hAnsi="Arial" w:cs="Arial"/>
        </w:rPr>
        <w:t xml:space="preserve">by denying them superannuation guarantee payments during this period. The </w:t>
      </w:r>
      <w:r w:rsidRPr="007B3452">
        <w:rPr>
          <w:rFonts w:ascii="Arial" w:hAnsi="Arial" w:cs="Arial"/>
        </w:rPr>
        <w:lastRenderedPageBreak/>
        <w:t>Government should investigate how and when to extend these payments to paid parental leave</w:t>
      </w:r>
      <w:r w:rsidR="00AB1751" w:rsidRPr="007B3452">
        <w:rPr>
          <w:rFonts w:ascii="Arial" w:hAnsi="Arial" w:cs="Arial"/>
        </w:rPr>
        <w:t>,</w:t>
      </w:r>
      <w:r w:rsidRPr="007B3452">
        <w:rPr>
          <w:rFonts w:ascii="Arial" w:hAnsi="Arial" w:cs="Arial"/>
        </w:rPr>
        <w:t xml:space="preserve"> carers leave</w:t>
      </w:r>
      <w:r w:rsidR="00AB1751" w:rsidRPr="007B3452">
        <w:rPr>
          <w:rFonts w:ascii="Arial" w:hAnsi="Arial" w:cs="Arial"/>
        </w:rPr>
        <w:t xml:space="preserve"> and the workplace health and safety framework</w:t>
      </w:r>
      <w:r w:rsidRPr="007B3452">
        <w:rPr>
          <w:rFonts w:ascii="Arial" w:hAnsi="Arial" w:cs="Arial"/>
        </w:rPr>
        <w:t xml:space="preserve"> at the earliest opportunity (recommendation </w:t>
      </w:r>
      <w:r w:rsidR="008A21AE" w:rsidRPr="007B3452">
        <w:rPr>
          <w:rFonts w:ascii="Arial" w:hAnsi="Arial" w:cs="Arial"/>
        </w:rPr>
        <w:t>11</w:t>
      </w:r>
      <w:r w:rsidRPr="007B3452">
        <w:rPr>
          <w:rFonts w:ascii="Arial" w:hAnsi="Arial" w:cs="Arial"/>
        </w:rPr>
        <w:t>).</w:t>
      </w:r>
    </w:p>
    <w:p w14:paraId="22E167F8" w14:textId="055F83DF" w:rsidR="001A4948" w:rsidRPr="007B3452" w:rsidRDefault="001A4948">
      <w:pPr>
        <w:rPr>
          <w:rFonts w:ascii="Arial" w:hAnsi="Arial" w:cs="Arial"/>
        </w:rPr>
      </w:pPr>
      <w:r w:rsidRPr="007B3452">
        <w:rPr>
          <w:rFonts w:ascii="Arial" w:hAnsi="Arial" w:cs="Arial"/>
        </w:rPr>
        <w:t xml:space="preserve">Australians on lower incomes continue to find it difficult to save for their retirement. </w:t>
      </w:r>
      <w:r w:rsidR="00A1136A" w:rsidRPr="007B3452">
        <w:rPr>
          <w:rFonts w:ascii="Arial" w:hAnsi="Arial" w:cs="Arial"/>
        </w:rPr>
        <w:t>A</w:t>
      </w:r>
      <w:r w:rsidRPr="007B3452">
        <w:rPr>
          <w:rFonts w:ascii="Arial" w:hAnsi="Arial" w:cs="Arial"/>
        </w:rPr>
        <w:t xml:space="preserve"> </w:t>
      </w:r>
      <w:proofErr w:type="gramStart"/>
      <w:r w:rsidRPr="007B3452">
        <w:rPr>
          <w:rFonts w:ascii="Arial" w:hAnsi="Arial" w:cs="Arial"/>
        </w:rPr>
        <w:t>Low Income</w:t>
      </w:r>
      <w:proofErr w:type="gramEnd"/>
      <w:r w:rsidR="00A1136A" w:rsidRPr="007B3452">
        <w:rPr>
          <w:rFonts w:ascii="Arial" w:hAnsi="Arial" w:cs="Arial"/>
        </w:rPr>
        <w:t xml:space="preserve"> Superannuation Contribution Scheme would provide a boost to the retirement savings of many Australians and, in turn, reduce future pressure on the age pension (recommendation </w:t>
      </w:r>
      <w:r w:rsidR="008A21AE" w:rsidRPr="007B3452">
        <w:rPr>
          <w:rFonts w:ascii="Arial" w:hAnsi="Arial" w:cs="Arial"/>
        </w:rPr>
        <w:t>12</w:t>
      </w:r>
      <w:r w:rsidR="00A1136A" w:rsidRPr="007B3452">
        <w:rPr>
          <w:rFonts w:ascii="Arial" w:hAnsi="Arial" w:cs="Arial"/>
        </w:rPr>
        <w:t>).</w:t>
      </w:r>
      <w:r w:rsidRPr="007B3452">
        <w:rPr>
          <w:rFonts w:ascii="Arial" w:hAnsi="Arial" w:cs="Arial"/>
        </w:rPr>
        <w:t xml:space="preserve"> </w:t>
      </w:r>
    </w:p>
    <w:p w14:paraId="4CB5C652" w14:textId="2A217953" w:rsidR="008A21AE" w:rsidRPr="007B3452" w:rsidRDefault="008A21AE" w:rsidP="00CE26FD">
      <w:pPr>
        <w:rPr>
          <w:rFonts w:ascii="Arial" w:hAnsi="Arial" w:cs="Arial"/>
        </w:rPr>
      </w:pPr>
      <w:r w:rsidRPr="007B3452">
        <w:rPr>
          <w:rFonts w:ascii="Arial" w:hAnsi="Arial" w:cs="Arial"/>
        </w:rPr>
        <w:t>To reduce the number of Australians holding multiple superannuation accounts, the Government should investigate measures to provide for the portability of insurance between superannuation funds (recommendation 13).</w:t>
      </w:r>
    </w:p>
    <w:p w14:paraId="3C5E584E" w14:textId="389A2F95" w:rsidR="00CE26FD" w:rsidRPr="007B3452" w:rsidRDefault="00CE26FD" w:rsidP="00CE26FD">
      <w:pPr>
        <w:rPr>
          <w:rFonts w:ascii="Arial" w:hAnsi="Arial" w:cs="Arial"/>
        </w:rPr>
      </w:pPr>
      <w:r w:rsidRPr="007B3452">
        <w:rPr>
          <w:rFonts w:ascii="Arial" w:hAnsi="Arial" w:cs="Arial"/>
        </w:rPr>
        <w:t>T</w:t>
      </w:r>
      <w:r w:rsidR="001A4948" w:rsidRPr="007B3452">
        <w:rPr>
          <w:rFonts w:ascii="Arial" w:hAnsi="Arial" w:cs="Arial"/>
        </w:rPr>
        <w:t xml:space="preserve">he Government should </w:t>
      </w:r>
      <w:r w:rsidR="000C02F6" w:rsidRPr="007B3452">
        <w:rPr>
          <w:rFonts w:ascii="Arial" w:hAnsi="Arial" w:cs="Arial"/>
        </w:rPr>
        <w:t>adjust</w:t>
      </w:r>
      <w:r w:rsidR="001A4948" w:rsidRPr="007B3452">
        <w:rPr>
          <w:rFonts w:ascii="Arial" w:hAnsi="Arial" w:cs="Arial"/>
        </w:rPr>
        <w:t xml:space="preserve"> insurance</w:t>
      </w:r>
      <w:r w:rsidR="00ED03AF" w:rsidRPr="007B3452">
        <w:rPr>
          <w:rFonts w:ascii="Arial" w:hAnsi="Arial" w:cs="Arial"/>
        </w:rPr>
        <w:t xml:space="preserve"> and tax</w:t>
      </w:r>
      <w:r w:rsidR="001A4948" w:rsidRPr="007B3452">
        <w:rPr>
          <w:rFonts w:ascii="Arial" w:hAnsi="Arial" w:cs="Arial"/>
        </w:rPr>
        <w:t xml:space="preserve"> laws to ensure there is consistency between insurance access from within and outside of superannuation funds (recommendation </w:t>
      </w:r>
      <w:r w:rsidR="008A21AE" w:rsidRPr="007B3452">
        <w:rPr>
          <w:rFonts w:ascii="Arial" w:hAnsi="Arial" w:cs="Arial"/>
        </w:rPr>
        <w:t>14</w:t>
      </w:r>
      <w:r w:rsidR="001A4948" w:rsidRPr="007B3452">
        <w:rPr>
          <w:rFonts w:ascii="Arial" w:hAnsi="Arial" w:cs="Arial"/>
        </w:rPr>
        <w:t>).</w:t>
      </w:r>
      <w:r w:rsidRPr="007B3452">
        <w:rPr>
          <w:rFonts w:ascii="Arial" w:hAnsi="Arial" w:cs="Arial"/>
        </w:rPr>
        <w:t xml:space="preserve"> Consistent income testing assessment across all retirement income streams would encourage Australians to grow their superannuation and plan to be self-funded in retirement (recommendation </w:t>
      </w:r>
      <w:r w:rsidR="008A21AE" w:rsidRPr="007B3452">
        <w:rPr>
          <w:rFonts w:ascii="Arial" w:hAnsi="Arial" w:cs="Arial"/>
        </w:rPr>
        <w:t>15</w:t>
      </w:r>
      <w:r w:rsidRPr="007B3452">
        <w:rPr>
          <w:rFonts w:ascii="Arial" w:hAnsi="Arial" w:cs="Arial"/>
        </w:rPr>
        <w:t>).</w:t>
      </w:r>
    </w:p>
    <w:p w14:paraId="0A6E7F8E" w14:textId="1703871F" w:rsidR="00CE26FD" w:rsidRPr="007B3452" w:rsidRDefault="00CE26FD" w:rsidP="00CE26FD">
      <w:pPr>
        <w:rPr>
          <w:rFonts w:ascii="Arial" w:hAnsi="Arial" w:cs="Arial"/>
        </w:rPr>
      </w:pPr>
      <w:r w:rsidRPr="007B3452">
        <w:rPr>
          <w:rFonts w:ascii="Arial" w:hAnsi="Arial" w:cs="Arial"/>
        </w:rPr>
        <w:t xml:space="preserve">Finally, the Government should also consider collecting data on the gendered nature of the retirement income gap to allow it to better address this issue in future policy work (recommendation </w:t>
      </w:r>
      <w:r w:rsidR="008A21AE" w:rsidRPr="007B3452">
        <w:rPr>
          <w:rFonts w:ascii="Arial" w:hAnsi="Arial" w:cs="Arial"/>
        </w:rPr>
        <w:t>16</w:t>
      </w:r>
      <w:r w:rsidRPr="007B3452">
        <w:rPr>
          <w:rFonts w:ascii="Arial" w:hAnsi="Arial" w:cs="Arial"/>
        </w:rPr>
        <w:t>).</w:t>
      </w:r>
    </w:p>
    <w:p w14:paraId="4C202E8C" w14:textId="77777777" w:rsidR="00CE26FD" w:rsidRPr="007B3452" w:rsidRDefault="00CE26FD">
      <w:pPr>
        <w:rPr>
          <w:rFonts w:ascii="Arial" w:hAnsi="Arial" w:cs="Arial"/>
        </w:rPr>
      </w:pPr>
    </w:p>
    <w:p w14:paraId="09A68109" w14:textId="77777777" w:rsidR="00CE0A43" w:rsidRPr="007B3452" w:rsidRDefault="00CE0A43">
      <w:pPr>
        <w:rPr>
          <w:rFonts w:ascii="Arial" w:hAnsi="Arial" w:cs="Arial"/>
        </w:rPr>
      </w:pPr>
      <w:r w:rsidRPr="007B3452">
        <w:rPr>
          <w:rFonts w:ascii="Arial" w:hAnsi="Arial" w:cs="Arial"/>
        </w:rPr>
        <w:br w:type="page"/>
      </w:r>
    </w:p>
    <w:p w14:paraId="53B0F762" w14:textId="77777777" w:rsidR="00CE0A43" w:rsidRPr="007B3452" w:rsidRDefault="00CE0A43" w:rsidP="00CE0A43">
      <w:pPr>
        <w:pStyle w:val="Heading1"/>
        <w:rPr>
          <w:rFonts w:ascii="Arial" w:hAnsi="Arial" w:cs="Arial"/>
        </w:rPr>
      </w:pPr>
      <w:bookmarkStart w:id="2" w:name="_Toc535503303"/>
      <w:r w:rsidRPr="007B3452">
        <w:rPr>
          <w:rFonts w:ascii="Arial" w:hAnsi="Arial" w:cs="Arial"/>
        </w:rPr>
        <w:lastRenderedPageBreak/>
        <w:t>Recommendations</w:t>
      </w:r>
      <w:bookmarkEnd w:id="2"/>
    </w:p>
    <w:p w14:paraId="470F3E85" w14:textId="77777777" w:rsidR="00CE0A43" w:rsidRPr="007B3452" w:rsidRDefault="00CE0A43">
      <w:pPr>
        <w:rPr>
          <w:rFonts w:ascii="Arial" w:hAnsi="Arial" w:cs="Arial"/>
        </w:rPr>
      </w:pPr>
    </w:p>
    <w:p w14:paraId="59A51174" w14:textId="77777777" w:rsidR="003D0998" w:rsidRPr="007B3452" w:rsidRDefault="003D0998" w:rsidP="003D0998">
      <w:pPr>
        <w:spacing w:after="0" w:line="240" w:lineRule="auto"/>
        <w:rPr>
          <w:rFonts w:ascii="Arial" w:hAnsi="Arial" w:cs="Arial"/>
        </w:rPr>
      </w:pPr>
      <w:r w:rsidRPr="007B3452">
        <w:rPr>
          <w:rFonts w:ascii="Arial" w:hAnsi="Arial" w:cs="Arial"/>
          <w:b/>
        </w:rPr>
        <w:t>Recommendation 1:</w:t>
      </w:r>
      <w:r w:rsidRPr="007B3452">
        <w:rPr>
          <w:rFonts w:ascii="Arial" w:hAnsi="Arial" w:cs="Arial"/>
        </w:rPr>
        <w:t xml:space="preserve"> </w:t>
      </w:r>
    </w:p>
    <w:p w14:paraId="2C9B726C" w14:textId="77777777" w:rsidR="003D0998" w:rsidRPr="007B3452" w:rsidRDefault="003D0998" w:rsidP="003D0998">
      <w:pPr>
        <w:spacing w:after="0" w:line="240" w:lineRule="auto"/>
        <w:rPr>
          <w:rFonts w:ascii="Arial" w:hAnsi="Arial" w:cs="Arial"/>
          <w:b/>
        </w:rPr>
      </w:pPr>
      <w:r w:rsidRPr="007B3452">
        <w:rPr>
          <w:rFonts w:ascii="Arial" w:hAnsi="Arial" w:cs="Arial"/>
        </w:rPr>
        <w:t>The FPA recommends the Government provides a tax deduction for fees associated with the preparation of an initial financial plan, and for the ongoing management fees and annual retainer fees of financial advisers.</w:t>
      </w:r>
    </w:p>
    <w:p w14:paraId="6EE9CC37" w14:textId="77777777" w:rsidR="003D0998" w:rsidRPr="007B3452" w:rsidRDefault="003D0998" w:rsidP="003D0998">
      <w:pPr>
        <w:spacing w:after="0" w:line="240" w:lineRule="auto"/>
        <w:rPr>
          <w:rFonts w:ascii="Arial" w:hAnsi="Arial" w:cs="Arial"/>
          <w:b/>
        </w:rPr>
      </w:pPr>
    </w:p>
    <w:p w14:paraId="09AADA0E" w14:textId="02436797" w:rsidR="003D0998" w:rsidRPr="007B3452" w:rsidRDefault="003D0998" w:rsidP="003D0998">
      <w:pPr>
        <w:spacing w:after="0" w:line="240" w:lineRule="auto"/>
        <w:rPr>
          <w:rFonts w:ascii="Arial" w:hAnsi="Arial" w:cs="Arial"/>
        </w:rPr>
      </w:pPr>
      <w:r w:rsidRPr="007B3452">
        <w:rPr>
          <w:rFonts w:ascii="Arial" w:hAnsi="Arial" w:cs="Arial"/>
          <w:b/>
        </w:rPr>
        <w:t>Recommendation 2:</w:t>
      </w:r>
      <w:r w:rsidRPr="007B3452">
        <w:rPr>
          <w:rFonts w:ascii="Arial" w:hAnsi="Arial" w:cs="Arial"/>
        </w:rPr>
        <w:t xml:space="preserve"> </w:t>
      </w:r>
    </w:p>
    <w:p w14:paraId="2EDE5EF1" w14:textId="7A7C011B" w:rsidR="00CE0A43" w:rsidRPr="007B3452" w:rsidRDefault="003D0998" w:rsidP="003D0998">
      <w:pPr>
        <w:spacing w:after="0" w:line="240" w:lineRule="auto"/>
        <w:rPr>
          <w:rFonts w:ascii="Arial" w:hAnsi="Arial" w:cs="Arial"/>
        </w:rPr>
      </w:pPr>
      <w:r w:rsidRPr="007B3452">
        <w:rPr>
          <w:rFonts w:ascii="Arial" w:hAnsi="Arial" w:cs="Arial"/>
        </w:rPr>
        <w:t>The FPA recommends the Government consider whether a Pensions Advice Allowance, like that which has been adopted by the UK Government, would assist Australians in accessing qualified financial advice.</w:t>
      </w:r>
    </w:p>
    <w:p w14:paraId="23ED093C" w14:textId="77777777" w:rsidR="00CE0A43" w:rsidRPr="007B3452" w:rsidRDefault="00CE0A43" w:rsidP="003D0998">
      <w:pPr>
        <w:spacing w:after="0" w:line="240" w:lineRule="auto"/>
        <w:rPr>
          <w:rFonts w:ascii="Arial" w:hAnsi="Arial" w:cs="Arial"/>
        </w:rPr>
      </w:pPr>
    </w:p>
    <w:p w14:paraId="670CCFE2" w14:textId="77777777" w:rsidR="003D0998" w:rsidRPr="007B3452" w:rsidRDefault="003D0998" w:rsidP="003D0998">
      <w:pPr>
        <w:spacing w:after="0" w:line="240" w:lineRule="auto"/>
        <w:rPr>
          <w:rFonts w:ascii="Arial" w:hAnsi="Arial" w:cs="Arial"/>
          <w:b/>
        </w:rPr>
      </w:pPr>
      <w:r w:rsidRPr="007B3452">
        <w:rPr>
          <w:rFonts w:ascii="Arial" w:hAnsi="Arial" w:cs="Arial"/>
          <w:b/>
        </w:rPr>
        <w:t xml:space="preserve">Recommendation 3: </w:t>
      </w:r>
    </w:p>
    <w:p w14:paraId="718FF50E" w14:textId="77777777" w:rsidR="003D0998" w:rsidRPr="007B3452" w:rsidRDefault="003D0998" w:rsidP="003D0998">
      <w:pPr>
        <w:spacing w:after="0" w:line="240" w:lineRule="auto"/>
        <w:rPr>
          <w:rFonts w:ascii="Arial" w:hAnsi="Arial" w:cs="Arial"/>
          <w:b/>
        </w:rPr>
      </w:pPr>
      <w:r w:rsidRPr="007B3452">
        <w:rPr>
          <w:rFonts w:ascii="Arial" w:hAnsi="Arial" w:cs="Arial"/>
        </w:rPr>
        <w:t xml:space="preserve">The FPA recommends the Government implements the Productivity Commission’s recommendation 10.2 to rename the term “general advice” in the </w:t>
      </w:r>
      <w:r w:rsidRPr="007B3452">
        <w:rPr>
          <w:rFonts w:ascii="Arial" w:hAnsi="Arial" w:cs="Arial"/>
          <w:i/>
        </w:rPr>
        <w:t xml:space="preserve">Corporations Act </w:t>
      </w:r>
      <w:r w:rsidRPr="007B3452">
        <w:rPr>
          <w:rFonts w:ascii="Arial" w:hAnsi="Arial" w:cs="Arial"/>
        </w:rPr>
        <w:t>2001 and only use the term “advice” in association with personal advice.</w:t>
      </w:r>
    </w:p>
    <w:p w14:paraId="1A121129" w14:textId="77777777" w:rsidR="003D0998" w:rsidRPr="007B3452" w:rsidRDefault="003D0998" w:rsidP="003D0998">
      <w:pPr>
        <w:spacing w:after="0" w:line="240" w:lineRule="auto"/>
        <w:rPr>
          <w:rFonts w:ascii="Arial" w:hAnsi="Arial" w:cs="Arial"/>
        </w:rPr>
      </w:pPr>
    </w:p>
    <w:p w14:paraId="42290AB1" w14:textId="77777777" w:rsidR="003D0998" w:rsidRPr="007B3452" w:rsidRDefault="003D0998" w:rsidP="003D0998">
      <w:pPr>
        <w:spacing w:after="0" w:line="240" w:lineRule="auto"/>
        <w:rPr>
          <w:rFonts w:ascii="Arial" w:hAnsi="Arial" w:cs="Arial"/>
          <w:b/>
        </w:rPr>
      </w:pPr>
      <w:r w:rsidRPr="007B3452">
        <w:rPr>
          <w:rFonts w:ascii="Arial" w:hAnsi="Arial" w:cs="Arial"/>
          <w:b/>
        </w:rPr>
        <w:t xml:space="preserve">Recommendation 4: </w:t>
      </w:r>
    </w:p>
    <w:p w14:paraId="3B8BF601" w14:textId="77777777" w:rsidR="003D0998" w:rsidRPr="007B3452" w:rsidRDefault="003D0998" w:rsidP="003D0998">
      <w:pPr>
        <w:spacing w:after="0" w:line="240" w:lineRule="auto"/>
        <w:rPr>
          <w:rFonts w:ascii="Arial" w:hAnsi="Arial" w:cs="Arial"/>
          <w:b/>
        </w:rPr>
      </w:pPr>
      <w:r w:rsidRPr="007B3452">
        <w:rPr>
          <w:rFonts w:ascii="Arial" w:hAnsi="Arial" w:cs="Arial"/>
        </w:rPr>
        <w:t>The FPA recommends the Government amends ASIC Regulatory Guidance 244 to improve the general advice warning and ensure consumers are properly informed that they are not receiving personal advice and that their interests have not been considered.</w:t>
      </w:r>
    </w:p>
    <w:p w14:paraId="17364077" w14:textId="77777777" w:rsidR="003D0998" w:rsidRPr="007B3452" w:rsidRDefault="003D0998" w:rsidP="003D0998">
      <w:pPr>
        <w:spacing w:after="0" w:line="240" w:lineRule="auto"/>
        <w:rPr>
          <w:rFonts w:ascii="Arial" w:hAnsi="Arial" w:cs="Arial"/>
        </w:rPr>
      </w:pPr>
    </w:p>
    <w:p w14:paraId="1753C93C" w14:textId="77777777" w:rsidR="003D0998" w:rsidRPr="007B3452" w:rsidRDefault="003D0998" w:rsidP="003D0998">
      <w:pPr>
        <w:spacing w:after="0" w:line="240" w:lineRule="auto"/>
        <w:rPr>
          <w:rFonts w:ascii="Arial" w:hAnsi="Arial" w:cs="Arial"/>
          <w:b/>
        </w:rPr>
      </w:pPr>
      <w:r w:rsidRPr="007B3452">
        <w:rPr>
          <w:rFonts w:ascii="Arial" w:hAnsi="Arial" w:cs="Arial"/>
          <w:b/>
        </w:rPr>
        <w:t xml:space="preserve">Recommendation 5: </w:t>
      </w:r>
    </w:p>
    <w:p w14:paraId="045BB886" w14:textId="77777777" w:rsidR="003D0998" w:rsidRPr="007B3452" w:rsidRDefault="003D0998" w:rsidP="003D0998">
      <w:pPr>
        <w:spacing w:after="0" w:line="240" w:lineRule="auto"/>
        <w:rPr>
          <w:rFonts w:ascii="Arial" w:hAnsi="Arial" w:cs="Arial"/>
        </w:rPr>
      </w:pPr>
      <w:r w:rsidRPr="007B3452">
        <w:rPr>
          <w:rFonts w:ascii="Arial" w:hAnsi="Arial" w:cs="Arial"/>
        </w:rPr>
        <w:t xml:space="preserve">The FPA recommends the Government reviews the effectiveness and value of the retail, sophisticated and wholesale investor/client definitions in the </w:t>
      </w:r>
      <w:r w:rsidRPr="007B3452">
        <w:rPr>
          <w:rFonts w:ascii="Arial" w:hAnsi="Arial" w:cs="Arial"/>
          <w:i/>
        </w:rPr>
        <w:t>Corporations Act 2001</w:t>
      </w:r>
      <w:r w:rsidRPr="007B3452">
        <w:rPr>
          <w:rFonts w:ascii="Arial" w:hAnsi="Arial" w:cs="Arial"/>
        </w:rPr>
        <w:t>.</w:t>
      </w:r>
    </w:p>
    <w:p w14:paraId="578819CA" w14:textId="7901E10C" w:rsidR="00CE0A43" w:rsidRPr="007B3452" w:rsidRDefault="00CE0A43" w:rsidP="003D0998">
      <w:pPr>
        <w:spacing w:after="0" w:line="240" w:lineRule="auto"/>
        <w:rPr>
          <w:rFonts w:ascii="Arial" w:hAnsi="Arial" w:cs="Arial"/>
        </w:rPr>
      </w:pPr>
    </w:p>
    <w:p w14:paraId="03B01997" w14:textId="77777777" w:rsidR="003D0998" w:rsidRPr="007B3452" w:rsidRDefault="003D0998" w:rsidP="003D0998">
      <w:pPr>
        <w:spacing w:after="0" w:line="240" w:lineRule="auto"/>
        <w:rPr>
          <w:rFonts w:ascii="Arial" w:hAnsi="Arial" w:cs="Arial"/>
          <w:b/>
        </w:rPr>
      </w:pPr>
      <w:bookmarkStart w:id="3" w:name="_Toc535503304"/>
      <w:r w:rsidRPr="007B3452">
        <w:rPr>
          <w:rFonts w:ascii="Arial" w:hAnsi="Arial" w:cs="Arial"/>
          <w:b/>
        </w:rPr>
        <w:t xml:space="preserve">Recommendation 6: </w:t>
      </w:r>
    </w:p>
    <w:p w14:paraId="15D268BC" w14:textId="77777777" w:rsidR="003D0998" w:rsidRPr="007B3452" w:rsidRDefault="003D0998" w:rsidP="003D0998">
      <w:pPr>
        <w:spacing w:after="0" w:line="240" w:lineRule="auto"/>
        <w:rPr>
          <w:rFonts w:ascii="Arial" w:hAnsi="Arial" w:cs="Arial"/>
        </w:rPr>
      </w:pPr>
      <w:r w:rsidRPr="007B3452">
        <w:rPr>
          <w:rFonts w:ascii="Arial" w:hAnsi="Arial" w:cs="Arial"/>
        </w:rPr>
        <w:t>The FPA recommends the Government extends legal professional privilege in define circumstances to all practitioners relevant to the areas of law they provide advice in (i.e. taxation, superannuation, social security).</w:t>
      </w:r>
    </w:p>
    <w:p w14:paraId="3196C524" w14:textId="77777777" w:rsidR="003D0998" w:rsidRPr="007B3452" w:rsidRDefault="003D0998" w:rsidP="003D0998">
      <w:pPr>
        <w:spacing w:after="0" w:line="240" w:lineRule="auto"/>
        <w:rPr>
          <w:rFonts w:ascii="Arial" w:hAnsi="Arial" w:cs="Arial"/>
        </w:rPr>
      </w:pPr>
    </w:p>
    <w:p w14:paraId="0015CD73" w14:textId="77777777" w:rsidR="003D0998" w:rsidRPr="007B3452" w:rsidRDefault="003D0998" w:rsidP="003D0998">
      <w:pPr>
        <w:spacing w:after="0" w:line="240" w:lineRule="auto"/>
        <w:rPr>
          <w:rFonts w:ascii="Arial" w:hAnsi="Arial" w:cs="Arial"/>
          <w:b/>
        </w:rPr>
      </w:pPr>
      <w:r w:rsidRPr="007B3452">
        <w:rPr>
          <w:rFonts w:ascii="Arial" w:hAnsi="Arial" w:cs="Arial"/>
          <w:b/>
        </w:rPr>
        <w:t xml:space="preserve">Recommendation 7: </w:t>
      </w:r>
    </w:p>
    <w:p w14:paraId="5F77604F" w14:textId="1AF9FFD8" w:rsidR="003D0998" w:rsidRPr="007B3452" w:rsidRDefault="003D0998" w:rsidP="003D0998">
      <w:pPr>
        <w:spacing w:after="0" w:line="240" w:lineRule="auto"/>
        <w:rPr>
          <w:rFonts w:ascii="Arial" w:hAnsi="Arial" w:cs="Arial"/>
        </w:rPr>
      </w:pPr>
      <w:r w:rsidRPr="007B3452">
        <w:rPr>
          <w:rFonts w:ascii="Arial" w:hAnsi="Arial" w:cs="Arial"/>
        </w:rPr>
        <w:t>The FPA recommends the Government commits to providing an ongoing budget appropriation for its new financial capability body.</w:t>
      </w:r>
    </w:p>
    <w:p w14:paraId="03D8C4C2" w14:textId="2E00FE4D" w:rsidR="003D0998" w:rsidRPr="007B3452" w:rsidRDefault="003D0998" w:rsidP="003D0998">
      <w:pPr>
        <w:spacing w:after="0" w:line="240" w:lineRule="auto"/>
        <w:rPr>
          <w:rFonts w:ascii="Arial" w:eastAsiaTheme="majorEastAsia" w:hAnsi="Arial" w:cs="Arial"/>
          <w:b/>
          <w:color w:val="5BBBB7"/>
          <w:sz w:val="32"/>
          <w:szCs w:val="32"/>
        </w:rPr>
      </w:pPr>
    </w:p>
    <w:p w14:paraId="6A21EF1C" w14:textId="77777777" w:rsidR="003D0998" w:rsidRPr="007B3452" w:rsidRDefault="003D0998" w:rsidP="003D0998">
      <w:pPr>
        <w:spacing w:after="0" w:line="240" w:lineRule="auto"/>
        <w:rPr>
          <w:rFonts w:ascii="Arial" w:hAnsi="Arial" w:cs="Arial"/>
          <w:b/>
        </w:rPr>
      </w:pPr>
      <w:r w:rsidRPr="007B3452">
        <w:rPr>
          <w:rFonts w:ascii="Arial" w:hAnsi="Arial" w:cs="Arial"/>
          <w:b/>
        </w:rPr>
        <w:t xml:space="preserve">Recommendation 8: </w:t>
      </w:r>
    </w:p>
    <w:p w14:paraId="77288FCF" w14:textId="52371A1D" w:rsidR="003D0998" w:rsidRPr="007B3452" w:rsidRDefault="003D0998" w:rsidP="003D0998">
      <w:pPr>
        <w:spacing w:after="0" w:line="240" w:lineRule="auto"/>
        <w:rPr>
          <w:rFonts w:ascii="Arial" w:hAnsi="Arial" w:cs="Arial"/>
        </w:rPr>
      </w:pPr>
      <w:r w:rsidRPr="007B3452">
        <w:rPr>
          <w:rFonts w:ascii="Arial" w:hAnsi="Arial" w:cs="Arial"/>
        </w:rPr>
        <w:t>The FPA recommends the Government agrees to add the Australian Competition and Consumer Commission to the Council of Financial Regulators.</w:t>
      </w:r>
    </w:p>
    <w:p w14:paraId="26F19E3B" w14:textId="1E501327" w:rsidR="003D0998" w:rsidRPr="007B3452" w:rsidRDefault="003D0998" w:rsidP="003D0998">
      <w:pPr>
        <w:spacing w:after="0" w:line="240" w:lineRule="auto"/>
        <w:rPr>
          <w:rFonts w:ascii="Arial" w:eastAsiaTheme="majorEastAsia" w:hAnsi="Arial" w:cs="Arial"/>
          <w:b/>
          <w:color w:val="5BBBB7"/>
          <w:sz w:val="32"/>
          <w:szCs w:val="32"/>
        </w:rPr>
      </w:pPr>
    </w:p>
    <w:p w14:paraId="4DFEC0D9" w14:textId="77777777" w:rsidR="003D0998" w:rsidRPr="007B3452" w:rsidRDefault="003D0998" w:rsidP="003D0998">
      <w:pPr>
        <w:spacing w:after="0" w:line="240" w:lineRule="auto"/>
        <w:rPr>
          <w:rFonts w:ascii="Arial" w:hAnsi="Arial" w:cs="Arial"/>
          <w:b/>
        </w:rPr>
      </w:pPr>
      <w:r w:rsidRPr="007B3452">
        <w:rPr>
          <w:rFonts w:ascii="Arial" w:hAnsi="Arial" w:cs="Arial"/>
          <w:b/>
        </w:rPr>
        <w:t xml:space="preserve">Recommendation 9: </w:t>
      </w:r>
    </w:p>
    <w:p w14:paraId="413924D1" w14:textId="77777777" w:rsidR="003D0998" w:rsidRPr="007B3452" w:rsidRDefault="003D0998" w:rsidP="003D0998">
      <w:pPr>
        <w:spacing w:after="0" w:line="240" w:lineRule="auto"/>
        <w:rPr>
          <w:rFonts w:ascii="Arial" w:hAnsi="Arial" w:cs="Arial"/>
        </w:rPr>
      </w:pPr>
      <w:r w:rsidRPr="007B3452">
        <w:rPr>
          <w:rFonts w:ascii="Arial" w:hAnsi="Arial" w:cs="Arial"/>
        </w:rPr>
        <w:t>The FPA recommends the Government pursue measures to ensure financial planners can efficiently interact with government agencies on behalf of their clients, including:</w:t>
      </w:r>
    </w:p>
    <w:p w14:paraId="43FF5FFD" w14:textId="77777777" w:rsidR="009C7DC7" w:rsidRPr="007B3452" w:rsidRDefault="009C7DC7" w:rsidP="009C7DC7">
      <w:pPr>
        <w:numPr>
          <w:ilvl w:val="0"/>
          <w:numId w:val="18"/>
        </w:numPr>
        <w:spacing w:after="0" w:line="240" w:lineRule="auto"/>
        <w:rPr>
          <w:rFonts w:ascii="Arial" w:hAnsi="Arial" w:cs="Arial"/>
        </w:rPr>
      </w:pPr>
      <w:r w:rsidRPr="007B3452">
        <w:rPr>
          <w:rFonts w:ascii="Arial" w:hAnsi="Arial" w:cs="Arial"/>
        </w:rPr>
        <w:t>for Centrelink and Department of Veterans’ Affairs to allow a financial planner to request and update client details and access full income and asset statements online; and</w:t>
      </w:r>
    </w:p>
    <w:p w14:paraId="37123DC2" w14:textId="77777777" w:rsidR="009C7DC7" w:rsidRPr="007B3452" w:rsidRDefault="009C7DC7" w:rsidP="009C7DC7">
      <w:pPr>
        <w:numPr>
          <w:ilvl w:val="0"/>
          <w:numId w:val="18"/>
        </w:numPr>
        <w:spacing w:after="0" w:line="240" w:lineRule="auto"/>
        <w:rPr>
          <w:rFonts w:ascii="Arial" w:hAnsi="Arial" w:cs="Arial"/>
        </w:rPr>
      </w:pPr>
      <w:r w:rsidRPr="007B3452">
        <w:rPr>
          <w:rFonts w:ascii="Arial" w:hAnsi="Arial" w:cs="Arial"/>
        </w:rPr>
        <w:t>for the Tax Practitioners Board and ATO to allow a financial planner to:</w:t>
      </w:r>
    </w:p>
    <w:p w14:paraId="51D814F1" w14:textId="77777777" w:rsidR="009C7DC7" w:rsidRPr="007B3452" w:rsidRDefault="009C7DC7" w:rsidP="009C7DC7">
      <w:pPr>
        <w:numPr>
          <w:ilvl w:val="0"/>
          <w:numId w:val="19"/>
        </w:numPr>
        <w:spacing w:after="0" w:line="240" w:lineRule="auto"/>
        <w:rPr>
          <w:rFonts w:ascii="Arial" w:hAnsi="Arial" w:cs="Arial"/>
        </w:rPr>
      </w:pPr>
      <w:r w:rsidRPr="007B3452">
        <w:rPr>
          <w:rFonts w:ascii="Arial" w:hAnsi="Arial" w:cs="Arial"/>
        </w:rPr>
        <w:t>apply for an ABN and TFN on behalf of clients who wish to establish a self-managed super fund; and</w:t>
      </w:r>
    </w:p>
    <w:p w14:paraId="69A836BE" w14:textId="77777777" w:rsidR="009C7DC7" w:rsidRPr="007B3452" w:rsidRDefault="009C7DC7" w:rsidP="009C7DC7">
      <w:pPr>
        <w:numPr>
          <w:ilvl w:val="0"/>
          <w:numId w:val="19"/>
        </w:numPr>
        <w:spacing w:after="0" w:line="240" w:lineRule="auto"/>
        <w:rPr>
          <w:rFonts w:ascii="Arial" w:hAnsi="Arial" w:cs="Arial"/>
        </w:rPr>
      </w:pPr>
      <w:r w:rsidRPr="007B3452">
        <w:rPr>
          <w:rFonts w:ascii="Arial" w:hAnsi="Arial" w:cs="Arial"/>
        </w:rPr>
        <w:t xml:space="preserve">contact the ATO on behalf of clients in relation to superannuation balances, contributions, and additional superannuation tax determinations. </w:t>
      </w:r>
    </w:p>
    <w:p w14:paraId="00FB9138" w14:textId="508300D7" w:rsidR="003D0998" w:rsidRPr="007B3452" w:rsidRDefault="003D0998" w:rsidP="003D0998">
      <w:pPr>
        <w:spacing w:after="0" w:line="240" w:lineRule="auto"/>
        <w:rPr>
          <w:rFonts w:ascii="Arial" w:eastAsiaTheme="majorEastAsia" w:hAnsi="Arial" w:cs="Arial"/>
          <w:b/>
          <w:color w:val="5BBBB7"/>
          <w:sz w:val="32"/>
          <w:szCs w:val="32"/>
        </w:rPr>
      </w:pPr>
    </w:p>
    <w:p w14:paraId="1B8944B7" w14:textId="77777777" w:rsidR="003D0998" w:rsidRPr="007B3452" w:rsidRDefault="003D0998" w:rsidP="003D0998">
      <w:pPr>
        <w:spacing w:after="0" w:line="240" w:lineRule="auto"/>
        <w:rPr>
          <w:rFonts w:ascii="Arial" w:hAnsi="Arial" w:cs="Arial"/>
          <w:b/>
        </w:rPr>
      </w:pPr>
      <w:r w:rsidRPr="007B3452">
        <w:rPr>
          <w:rFonts w:ascii="Arial" w:hAnsi="Arial" w:cs="Arial"/>
          <w:b/>
        </w:rPr>
        <w:t xml:space="preserve">Recommendation 10: </w:t>
      </w:r>
    </w:p>
    <w:p w14:paraId="7C1DDA9F" w14:textId="77777777" w:rsidR="003D0998" w:rsidRPr="007B3452" w:rsidRDefault="003D0998" w:rsidP="003D0998">
      <w:pPr>
        <w:spacing w:after="0" w:line="240" w:lineRule="auto"/>
        <w:rPr>
          <w:rFonts w:ascii="Arial" w:hAnsi="Arial" w:cs="Arial"/>
        </w:rPr>
      </w:pPr>
      <w:r w:rsidRPr="007B3452">
        <w:rPr>
          <w:rFonts w:ascii="Arial" w:hAnsi="Arial" w:cs="Arial"/>
        </w:rPr>
        <w:lastRenderedPageBreak/>
        <w:t>The FPA recommends that the Government review the support that is available to financial planners who are completing formal education mandated by FASEA and consider providing support through Commonwealth Supported Places.</w:t>
      </w:r>
    </w:p>
    <w:p w14:paraId="4CC42341" w14:textId="64D3894D" w:rsidR="003D0998" w:rsidRPr="007B3452" w:rsidRDefault="003D0998" w:rsidP="003D0998">
      <w:pPr>
        <w:spacing w:after="0" w:line="240" w:lineRule="auto"/>
        <w:rPr>
          <w:rFonts w:ascii="Arial" w:eastAsiaTheme="majorEastAsia" w:hAnsi="Arial" w:cs="Arial"/>
          <w:b/>
          <w:color w:val="5BBBB7"/>
          <w:sz w:val="32"/>
          <w:szCs w:val="32"/>
        </w:rPr>
      </w:pPr>
    </w:p>
    <w:p w14:paraId="2100ADB3" w14:textId="77777777" w:rsidR="003D0998" w:rsidRPr="007B3452" w:rsidRDefault="003D0998" w:rsidP="003D0998">
      <w:pPr>
        <w:spacing w:after="0" w:line="240" w:lineRule="auto"/>
        <w:rPr>
          <w:rFonts w:ascii="Arial" w:hAnsi="Arial" w:cs="Arial"/>
          <w:b/>
        </w:rPr>
      </w:pPr>
      <w:r w:rsidRPr="007B3452">
        <w:rPr>
          <w:rFonts w:ascii="Arial" w:hAnsi="Arial" w:cs="Arial"/>
          <w:b/>
        </w:rPr>
        <w:t xml:space="preserve">Recommendation 11: </w:t>
      </w:r>
    </w:p>
    <w:p w14:paraId="3214704A" w14:textId="61490E8A" w:rsidR="003D0998" w:rsidRPr="007B3452" w:rsidRDefault="003D0998" w:rsidP="003D0998">
      <w:pPr>
        <w:spacing w:after="0" w:line="240" w:lineRule="auto"/>
        <w:rPr>
          <w:rFonts w:ascii="Arial" w:hAnsi="Arial" w:cs="Arial"/>
        </w:rPr>
      </w:pPr>
      <w:r w:rsidRPr="007B3452">
        <w:rPr>
          <w:rFonts w:ascii="Arial" w:hAnsi="Arial" w:cs="Arial"/>
        </w:rPr>
        <w:t>The FPA recommends the Government legislate to require the payment of superannuation on Paid Parental Leave and carer’s leave.</w:t>
      </w:r>
    </w:p>
    <w:p w14:paraId="4ABFA0AB" w14:textId="3483A679" w:rsidR="003D0998" w:rsidRPr="007B3452" w:rsidRDefault="003D0998" w:rsidP="003D0998">
      <w:pPr>
        <w:spacing w:after="0" w:line="240" w:lineRule="auto"/>
        <w:rPr>
          <w:rFonts w:ascii="Arial" w:hAnsi="Arial" w:cs="Arial"/>
        </w:rPr>
      </w:pPr>
    </w:p>
    <w:p w14:paraId="564C20C3" w14:textId="77777777" w:rsidR="003D0998" w:rsidRPr="007B3452" w:rsidRDefault="003D0998" w:rsidP="003D0998">
      <w:pPr>
        <w:spacing w:after="0" w:line="240" w:lineRule="auto"/>
        <w:rPr>
          <w:rFonts w:ascii="Arial" w:hAnsi="Arial" w:cs="Arial"/>
          <w:b/>
        </w:rPr>
      </w:pPr>
      <w:r w:rsidRPr="007B3452">
        <w:rPr>
          <w:rFonts w:ascii="Arial" w:hAnsi="Arial" w:cs="Arial"/>
          <w:b/>
        </w:rPr>
        <w:t xml:space="preserve">Recommendation 12: </w:t>
      </w:r>
    </w:p>
    <w:p w14:paraId="4191BF44" w14:textId="61943F2F" w:rsidR="003D0998" w:rsidRPr="007B3452" w:rsidRDefault="003D0998" w:rsidP="003D0998">
      <w:pPr>
        <w:spacing w:after="0" w:line="240" w:lineRule="auto"/>
        <w:rPr>
          <w:rFonts w:ascii="Arial" w:hAnsi="Arial" w:cs="Arial"/>
        </w:rPr>
      </w:pPr>
      <w:r w:rsidRPr="007B3452">
        <w:rPr>
          <w:rFonts w:ascii="Arial" w:hAnsi="Arial" w:cs="Arial"/>
        </w:rPr>
        <w:t>The FPA recommends the Government provides a</w:t>
      </w:r>
      <w:r w:rsidR="006B0956" w:rsidRPr="007B3452">
        <w:rPr>
          <w:rFonts w:ascii="Arial" w:hAnsi="Arial" w:cs="Arial"/>
        </w:rPr>
        <w:t>n enhanced</w:t>
      </w:r>
      <w:r w:rsidRPr="007B3452">
        <w:rPr>
          <w:rFonts w:ascii="Arial" w:hAnsi="Arial" w:cs="Arial"/>
        </w:rPr>
        <w:t xml:space="preserve"> superannuation co-contribution scheme to support Australians on low incomes to save for their retirement.</w:t>
      </w:r>
    </w:p>
    <w:p w14:paraId="1D7886BF" w14:textId="33D61060" w:rsidR="003D0998" w:rsidRPr="007B3452" w:rsidRDefault="003D0998" w:rsidP="003D0998">
      <w:pPr>
        <w:spacing w:after="0" w:line="240" w:lineRule="auto"/>
        <w:rPr>
          <w:rFonts w:ascii="Arial" w:hAnsi="Arial" w:cs="Arial"/>
        </w:rPr>
      </w:pPr>
    </w:p>
    <w:p w14:paraId="285102C3" w14:textId="77777777" w:rsidR="003D0998" w:rsidRPr="007B3452" w:rsidRDefault="003D0998" w:rsidP="003D0998">
      <w:pPr>
        <w:spacing w:after="0" w:line="240" w:lineRule="auto"/>
        <w:rPr>
          <w:rFonts w:ascii="Arial" w:hAnsi="Arial" w:cs="Arial"/>
          <w:b/>
        </w:rPr>
      </w:pPr>
      <w:r w:rsidRPr="007B3452">
        <w:rPr>
          <w:rFonts w:ascii="Arial" w:hAnsi="Arial" w:cs="Arial"/>
          <w:b/>
        </w:rPr>
        <w:t xml:space="preserve">Recommendation 13: </w:t>
      </w:r>
    </w:p>
    <w:p w14:paraId="46E3C1E4" w14:textId="5B4E9790" w:rsidR="003D0998" w:rsidRPr="007B3452" w:rsidRDefault="003D0998" w:rsidP="003D0998">
      <w:pPr>
        <w:spacing w:after="0" w:line="240" w:lineRule="auto"/>
        <w:rPr>
          <w:rFonts w:ascii="Arial" w:hAnsi="Arial" w:cs="Arial"/>
        </w:rPr>
      </w:pPr>
      <w:r w:rsidRPr="007B3452">
        <w:rPr>
          <w:rFonts w:ascii="Arial" w:hAnsi="Arial" w:cs="Arial"/>
        </w:rPr>
        <w:t>The FPA recommends the Government investigate options to provide for portability of insurance between superannuation accounts.</w:t>
      </w:r>
    </w:p>
    <w:p w14:paraId="71194EFE" w14:textId="72F864C0" w:rsidR="003D0998" w:rsidRPr="007B3452" w:rsidRDefault="003D0998" w:rsidP="003D0998">
      <w:pPr>
        <w:spacing w:after="0" w:line="240" w:lineRule="auto"/>
        <w:rPr>
          <w:rFonts w:ascii="Arial" w:hAnsi="Arial" w:cs="Arial"/>
        </w:rPr>
      </w:pPr>
    </w:p>
    <w:p w14:paraId="6D379140" w14:textId="77777777" w:rsidR="003D0998" w:rsidRPr="007B3452" w:rsidRDefault="003D0998" w:rsidP="003D0998">
      <w:pPr>
        <w:spacing w:after="0" w:line="240" w:lineRule="auto"/>
        <w:rPr>
          <w:rFonts w:ascii="Arial" w:hAnsi="Arial" w:cs="Arial"/>
          <w:b/>
        </w:rPr>
      </w:pPr>
      <w:r w:rsidRPr="007B3452">
        <w:rPr>
          <w:rFonts w:ascii="Arial" w:hAnsi="Arial" w:cs="Arial"/>
          <w:b/>
        </w:rPr>
        <w:t xml:space="preserve">Recommendation 14: </w:t>
      </w:r>
    </w:p>
    <w:p w14:paraId="5BA2790B" w14:textId="082D523D" w:rsidR="003D0998" w:rsidRPr="007B3452" w:rsidRDefault="003D0998" w:rsidP="003D0998">
      <w:pPr>
        <w:spacing w:after="0" w:line="240" w:lineRule="auto"/>
        <w:rPr>
          <w:rFonts w:ascii="Arial" w:hAnsi="Arial" w:cs="Arial"/>
        </w:rPr>
      </w:pPr>
      <w:r w:rsidRPr="007B3452">
        <w:rPr>
          <w:rFonts w:ascii="Arial" w:hAnsi="Arial" w:cs="Arial"/>
        </w:rPr>
        <w:t>The FPA recommends the Government remove all tax on all death benefits paid from superannuation regardless of the beneficiary, to mirror arrangements for personally held insurances. As a minimum, the Government should remove the untaxed element calculations for all death benefits and remove all tax on death benefits paid to adult children. The FPA further recommends the Government standardise the definition of beneficiary across the superannuation and taxation regimes to remove inconsistent treatment.</w:t>
      </w:r>
    </w:p>
    <w:p w14:paraId="3E3E0AF8" w14:textId="03ED2572" w:rsidR="003D0998" w:rsidRPr="007B3452" w:rsidRDefault="003D0998" w:rsidP="003D0998">
      <w:pPr>
        <w:spacing w:after="0" w:line="240" w:lineRule="auto"/>
        <w:rPr>
          <w:rFonts w:ascii="Arial" w:hAnsi="Arial" w:cs="Arial"/>
        </w:rPr>
      </w:pPr>
    </w:p>
    <w:p w14:paraId="1B913893" w14:textId="77777777" w:rsidR="008223AA" w:rsidRPr="008223AA" w:rsidRDefault="008223AA" w:rsidP="008223AA">
      <w:pPr>
        <w:spacing w:after="0" w:line="240" w:lineRule="auto"/>
        <w:rPr>
          <w:rFonts w:ascii="Arial" w:hAnsi="Arial" w:cs="Arial"/>
          <w:b/>
        </w:rPr>
      </w:pPr>
      <w:r w:rsidRPr="008223AA">
        <w:rPr>
          <w:rFonts w:ascii="Arial" w:hAnsi="Arial" w:cs="Arial"/>
          <w:b/>
        </w:rPr>
        <w:t xml:space="preserve">Recommendation 15: </w:t>
      </w:r>
    </w:p>
    <w:p w14:paraId="2D3416C7" w14:textId="77777777" w:rsidR="008223AA" w:rsidRPr="008223AA" w:rsidRDefault="008223AA" w:rsidP="008223AA">
      <w:pPr>
        <w:spacing w:after="0" w:line="240" w:lineRule="auto"/>
        <w:rPr>
          <w:rFonts w:ascii="Arial" w:hAnsi="Arial" w:cs="Arial"/>
        </w:rPr>
      </w:pPr>
      <w:r w:rsidRPr="008223AA">
        <w:rPr>
          <w:rFonts w:ascii="Arial" w:hAnsi="Arial" w:cs="Arial"/>
        </w:rPr>
        <w:t>The FPA recommends the Government:</w:t>
      </w:r>
    </w:p>
    <w:p w14:paraId="425A8CAF" w14:textId="77777777" w:rsidR="008223AA" w:rsidRPr="008223AA" w:rsidRDefault="008223AA" w:rsidP="008223AA">
      <w:pPr>
        <w:numPr>
          <w:ilvl w:val="0"/>
          <w:numId w:val="1"/>
        </w:numPr>
        <w:spacing w:after="0" w:line="240" w:lineRule="auto"/>
        <w:rPr>
          <w:rFonts w:ascii="Arial" w:hAnsi="Arial" w:cs="Arial"/>
        </w:rPr>
      </w:pPr>
      <w:r w:rsidRPr="008223AA">
        <w:rPr>
          <w:rFonts w:ascii="Arial" w:hAnsi="Arial" w:cs="Arial"/>
        </w:rPr>
        <w:t>adopt a consistent income testing assessment across all retirement income streams;</w:t>
      </w:r>
    </w:p>
    <w:p w14:paraId="26D3FEDA" w14:textId="77777777" w:rsidR="008223AA" w:rsidRPr="008223AA" w:rsidRDefault="008223AA" w:rsidP="008223AA">
      <w:pPr>
        <w:numPr>
          <w:ilvl w:val="0"/>
          <w:numId w:val="1"/>
        </w:numPr>
        <w:spacing w:after="0" w:line="240" w:lineRule="auto"/>
        <w:rPr>
          <w:rFonts w:ascii="Arial" w:hAnsi="Arial" w:cs="Arial"/>
        </w:rPr>
      </w:pPr>
      <w:r w:rsidRPr="008223AA">
        <w:rPr>
          <w:rFonts w:ascii="Arial" w:hAnsi="Arial" w:cs="Arial"/>
        </w:rPr>
        <w:t xml:space="preserve">ensure consistent outcomes for income and asset means testing in retirement; </w:t>
      </w:r>
    </w:p>
    <w:p w14:paraId="2DE4AC8A" w14:textId="77777777" w:rsidR="008223AA" w:rsidRPr="008223AA" w:rsidRDefault="008223AA" w:rsidP="008223AA">
      <w:pPr>
        <w:numPr>
          <w:ilvl w:val="0"/>
          <w:numId w:val="1"/>
        </w:numPr>
        <w:spacing w:after="0" w:line="240" w:lineRule="auto"/>
        <w:rPr>
          <w:rFonts w:ascii="Arial" w:hAnsi="Arial" w:cs="Arial"/>
        </w:rPr>
      </w:pPr>
      <w:r w:rsidRPr="008223AA">
        <w:rPr>
          <w:rFonts w:ascii="Arial" w:hAnsi="Arial" w:cs="Arial"/>
        </w:rPr>
        <w:t xml:space="preserve">commit to reversing the amendments contained in Schedule 11 of the </w:t>
      </w:r>
      <w:r w:rsidRPr="008223AA">
        <w:rPr>
          <w:rFonts w:ascii="Arial" w:hAnsi="Arial" w:cs="Arial"/>
          <w:i/>
        </w:rPr>
        <w:t>Social Services and Other Legislation Amendment Act 2013</w:t>
      </w:r>
      <w:r w:rsidRPr="008223AA">
        <w:rPr>
          <w:rFonts w:ascii="Arial" w:hAnsi="Arial" w:cs="Arial"/>
        </w:rPr>
        <w:t>; and</w:t>
      </w:r>
    </w:p>
    <w:p w14:paraId="38BBFE94" w14:textId="77777777" w:rsidR="008223AA" w:rsidRPr="008223AA" w:rsidRDefault="008223AA" w:rsidP="008223AA">
      <w:pPr>
        <w:numPr>
          <w:ilvl w:val="0"/>
          <w:numId w:val="1"/>
        </w:numPr>
        <w:spacing w:after="0" w:line="240" w:lineRule="auto"/>
        <w:rPr>
          <w:rFonts w:ascii="Arial" w:hAnsi="Arial" w:cs="Arial"/>
        </w:rPr>
      </w:pPr>
      <w:r w:rsidRPr="008223AA">
        <w:rPr>
          <w:rFonts w:ascii="Arial" w:hAnsi="Arial" w:cs="Arial"/>
        </w:rPr>
        <w:t xml:space="preserve">allow portability of pre-1 January 2015 income testing treatment. </w:t>
      </w:r>
    </w:p>
    <w:p w14:paraId="5C163D68" w14:textId="15A3F2A7" w:rsidR="003D0998" w:rsidRPr="007B3452" w:rsidRDefault="003D0998" w:rsidP="003D0998">
      <w:pPr>
        <w:spacing w:after="0" w:line="240" w:lineRule="auto"/>
        <w:rPr>
          <w:rFonts w:ascii="Arial" w:hAnsi="Arial" w:cs="Arial"/>
        </w:rPr>
      </w:pPr>
    </w:p>
    <w:p w14:paraId="26FF6E87" w14:textId="77777777" w:rsidR="003D0998" w:rsidRPr="007B3452" w:rsidRDefault="003D0998" w:rsidP="003D0998">
      <w:pPr>
        <w:spacing w:after="0" w:line="240" w:lineRule="auto"/>
        <w:rPr>
          <w:rFonts w:ascii="Arial" w:hAnsi="Arial" w:cs="Arial"/>
          <w:b/>
        </w:rPr>
      </w:pPr>
      <w:r w:rsidRPr="007B3452">
        <w:rPr>
          <w:rFonts w:ascii="Arial" w:hAnsi="Arial" w:cs="Arial"/>
          <w:b/>
        </w:rPr>
        <w:t xml:space="preserve">Recommendation 16: </w:t>
      </w:r>
    </w:p>
    <w:p w14:paraId="304004BD" w14:textId="77777777" w:rsidR="003D0998" w:rsidRPr="007B3452" w:rsidRDefault="003D0998" w:rsidP="003D0998">
      <w:pPr>
        <w:spacing w:after="0" w:line="240" w:lineRule="auto"/>
        <w:rPr>
          <w:rFonts w:ascii="Arial" w:hAnsi="Arial" w:cs="Arial"/>
        </w:rPr>
      </w:pPr>
      <w:r w:rsidRPr="007B3452">
        <w:rPr>
          <w:rFonts w:ascii="Arial" w:hAnsi="Arial" w:cs="Arial"/>
        </w:rPr>
        <w:t>The FPA recommends the Government request that the Federal Sex Discrimination Commissioner monitor and report on the gendered nature of the retirement income gap, including sufficiency of the age pension, with a view to providing advice to the Government on how to address the gap.</w:t>
      </w:r>
    </w:p>
    <w:p w14:paraId="4DA0A5A4" w14:textId="77777777" w:rsidR="003D0998" w:rsidRPr="007B3452" w:rsidRDefault="003D0998" w:rsidP="003D0998">
      <w:pPr>
        <w:rPr>
          <w:rFonts w:ascii="Arial" w:hAnsi="Arial" w:cs="Arial"/>
        </w:rPr>
      </w:pPr>
    </w:p>
    <w:p w14:paraId="3BC23B04" w14:textId="77777777" w:rsidR="003D0998" w:rsidRPr="007B3452" w:rsidRDefault="003D0998" w:rsidP="003D0998">
      <w:pPr>
        <w:rPr>
          <w:rFonts w:ascii="Arial" w:hAnsi="Arial" w:cs="Arial"/>
        </w:rPr>
      </w:pPr>
    </w:p>
    <w:p w14:paraId="363EF530" w14:textId="77777777" w:rsidR="003D0998" w:rsidRPr="007B3452" w:rsidRDefault="003D0998" w:rsidP="003D0998">
      <w:pPr>
        <w:rPr>
          <w:rFonts w:ascii="Arial" w:hAnsi="Arial" w:cs="Arial"/>
        </w:rPr>
      </w:pPr>
    </w:p>
    <w:p w14:paraId="39964E71" w14:textId="77777777" w:rsidR="003D0998" w:rsidRPr="007B3452" w:rsidRDefault="003D0998" w:rsidP="003D0998">
      <w:pPr>
        <w:rPr>
          <w:rFonts w:ascii="Arial" w:hAnsi="Arial" w:cs="Arial"/>
        </w:rPr>
      </w:pPr>
    </w:p>
    <w:p w14:paraId="22473673" w14:textId="77777777" w:rsidR="003D0998" w:rsidRPr="007B3452" w:rsidRDefault="003D0998" w:rsidP="003D0998">
      <w:pPr>
        <w:rPr>
          <w:rFonts w:ascii="Arial" w:eastAsiaTheme="majorEastAsia" w:hAnsi="Arial" w:cs="Arial"/>
          <w:b/>
          <w:color w:val="5BBBB7"/>
          <w:sz w:val="32"/>
          <w:szCs w:val="32"/>
        </w:rPr>
      </w:pPr>
    </w:p>
    <w:p w14:paraId="65AEF313" w14:textId="584030A3" w:rsidR="003D0998" w:rsidRPr="007B3452" w:rsidRDefault="003D0998">
      <w:pPr>
        <w:rPr>
          <w:rFonts w:ascii="Arial" w:eastAsiaTheme="majorEastAsia" w:hAnsi="Arial" w:cs="Arial"/>
          <w:b/>
          <w:color w:val="5BBBB7"/>
          <w:sz w:val="32"/>
          <w:szCs w:val="32"/>
        </w:rPr>
      </w:pPr>
      <w:r w:rsidRPr="007B3452">
        <w:rPr>
          <w:rFonts w:ascii="Arial" w:hAnsi="Arial" w:cs="Arial"/>
        </w:rPr>
        <w:br w:type="page"/>
      </w:r>
    </w:p>
    <w:p w14:paraId="1B522FCE" w14:textId="582384EA" w:rsidR="00CE0A43" w:rsidRPr="007B3452" w:rsidRDefault="00CD6A4E" w:rsidP="00CE0A43">
      <w:pPr>
        <w:pStyle w:val="Heading1"/>
        <w:rPr>
          <w:rFonts w:ascii="Arial" w:hAnsi="Arial" w:cs="Arial"/>
        </w:rPr>
      </w:pPr>
      <w:r w:rsidRPr="007B3452">
        <w:rPr>
          <w:rFonts w:ascii="Arial" w:hAnsi="Arial" w:cs="Arial"/>
        </w:rPr>
        <w:lastRenderedPageBreak/>
        <w:t>Accessibility of Financial Advice</w:t>
      </w:r>
      <w:bookmarkEnd w:id="3"/>
    </w:p>
    <w:p w14:paraId="3B00A802" w14:textId="77777777" w:rsidR="00144256" w:rsidRPr="007B3452" w:rsidRDefault="00144256" w:rsidP="00144256">
      <w:pPr>
        <w:rPr>
          <w:rFonts w:ascii="Arial" w:hAnsi="Arial" w:cs="Arial"/>
        </w:rPr>
      </w:pPr>
    </w:p>
    <w:p w14:paraId="233A3B15" w14:textId="77777777" w:rsidR="00CE0A43" w:rsidRPr="007B3452" w:rsidRDefault="00CD6A4E" w:rsidP="00CE0A43">
      <w:pPr>
        <w:pStyle w:val="Heading2"/>
        <w:rPr>
          <w:rFonts w:ascii="Arial" w:hAnsi="Arial" w:cs="Arial"/>
        </w:rPr>
      </w:pPr>
      <w:bookmarkStart w:id="4" w:name="_Toc535503305"/>
      <w:r w:rsidRPr="007B3452">
        <w:rPr>
          <w:rFonts w:ascii="Arial" w:hAnsi="Arial" w:cs="Arial"/>
        </w:rPr>
        <w:t>Tax deductable financial advice</w:t>
      </w:r>
      <w:bookmarkEnd w:id="4"/>
    </w:p>
    <w:p w14:paraId="76023D76" w14:textId="0C299A3D" w:rsidR="00D11844" w:rsidRPr="007B3452" w:rsidRDefault="004C4E97" w:rsidP="00D11844">
      <w:pPr>
        <w:spacing w:after="240" w:line="276" w:lineRule="auto"/>
        <w:jc w:val="both"/>
        <w:rPr>
          <w:rFonts w:ascii="Arial" w:hAnsi="Arial" w:cs="Arial"/>
        </w:rPr>
      </w:pPr>
      <w:r w:rsidRPr="007B3452">
        <w:rPr>
          <w:rFonts w:ascii="Arial" w:hAnsi="Arial" w:cs="Arial"/>
        </w:rPr>
        <w:t>Tax</w:t>
      </w:r>
      <w:r w:rsidR="00C30161" w:rsidRPr="007B3452">
        <w:rPr>
          <w:rFonts w:ascii="Arial" w:hAnsi="Arial" w:cs="Arial"/>
        </w:rPr>
        <w:t xml:space="preserve"> treatments</w:t>
      </w:r>
      <w:r w:rsidRPr="007B3452">
        <w:rPr>
          <w:rFonts w:ascii="Arial" w:hAnsi="Arial" w:cs="Arial"/>
        </w:rPr>
        <w:t xml:space="preserve"> </w:t>
      </w:r>
      <w:r w:rsidR="00C30161" w:rsidRPr="007B3452">
        <w:rPr>
          <w:rFonts w:ascii="Arial" w:hAnsi="Arial" w:cs="Arial"/>
        </w:rPr>
        <w:t>are</w:t>
      </w:r>
      <w:r w:rsidRPr="007B3452">
        <w:rPr>
          <w:rFonts w:ascii="Arial" w:hAnsi="Arial" w:cs="Arial"/>
        </w:rPr>
        <w:t xml:space="preserve"> applied to financial advice in a variety of ways depending on the nature of the advice and when it is provided.</w:t>
      </w:r>
      <w:r w:rsidR="0056333E" w:rsidRPr="007B3452">
        <w:rPr>
          <w:rFonts w:ascii="Arial" w:hAnsi="Arial" w:cs="Arial"/>
        </w:rPr>
        <w:t xml:space="preserve"> </w:t>
      </w:r>
      <w:r w:rsidR="00D11844" w:rsidRPr="007B3452">
        <w:rPr>
          <w:rFonts w:ascii="Arial" w:hAnsi="Arial" w:cs="Arial"/>
        </w:rPr>
        <w:t>The Australian Taxation Office</w:t>
      </w:r>
      <w:r w:rsidR="00C30161" w:rsidRPr="007B3452">
        <w:rPr>
          <w:rFonts w:ascii="Arial" w:hAnsi="Arial" w:cs="Arial"/>
        </w:rPr>
        <w:t xml:space="preserve"> (ATO)</w:t>
      </w:r>
      <w:r w:rsidR="00D11844" w:rsidRPr="007B3452">
        <w:rPr>
          <w:rFonts w:ascii="Arial" w:hAnsi="Arial" w:cs="Arial"/>
        </w:rPr>
        <w:t xml:space="preserve"> has declared that a fee for service arrangement for the preparation of an initial financial plan is not tax deductible under section 8-1 of the </w:t>
      </w:r>
      <w:r w:rsidR="00D11844" w:rsidRPr="007B3452">
        <w:rPr>
          <w:rFonts w:ascii="Arial" w:hAnsi="Arial" w:cs="Arial"/>
          <w:i/>
        </w:rPr>
        <w:t>Income Tax Assessment Act 1997</w:t>
      </w:r>
      <w:r w:rsidR="00D11844" w:rsidRPr="007B3452">
        <w:rPr>
          <w:rFonts w:ascii="Arial" w:hAnsi="Arial" w:cs="Arial"/>
        </w:rPr>
        <w:t>.</w:t>
      </w:r>
    </w:p>
    <w:p w14:paraId="4EFCBE4B" w14:textId="77777777" w:rsidR="00D11844" w:rsidRPr="007B3452" w:rsidRDefault="00D11844" w:rsidP="00D11844">
      <w:pPr>
        <w:spacing w:after="240" w:line="276" w:lineRule="auto"/>
        <w:jc w:val="both"/>
        <w:rPr>
          <w:rFonts w:ascii="Arial" w:hAnsi="Arial" w:cs="Arial"/>
        </w:rPr>
      </w:pPr>
      <w:r w:rsidRPr="007B3452">
        <w:rPr>
          <w:rFonts w:ascii="Arial" w:hAnsi="Arial" w:cs="Arial"/>
        </w:rPr>
        <w:t>Tax Determination TD 95/60 differentiates between a fee for drawing up an initial financial plan and a management fee or annual retainer fee. The determination states that the expense incurred in drawing up a</w:t>
      </w:r>
      <w:r w:rsidR="00C30161" w:rsidRPr="007B3452">
        <w:rPr>
          <w:rFonts w:ascii="Arial" w:hAnsi="Arial" w:cs="Arial"/>
        </w:rPr>
        <w:t>n initial financial</w:t>
      </w:r>
      <w:r w:rsidRPr="007B3452">
        <w:rPr>
          <w:rFonts w:ascii="Arial" w:hAnsi="Arial" w:cs="Arial"/>
        </w:rPr>
        <w:t xml:space="preserve"> plan is not deductible for income tax purposes because the expenditure is not incurred in the course of gaining or producing assessable income, but rather is an expense that is associated with putting the income earning investments in place.</w:t>
      </w:r>
    </w:p>
    <w:p w14:paraId="587C2817" w14:textId="2F85BDFC" w:rsidR="004C4E97" w:rsidRPr="007B3452" w:rsidRDefault="00D11844" w:rsidP="00144256">
      <w:pPr>
        <w:spacing w:after="240" w:line="276" w:lineRule="auto"/>
        <w:jc w:val="both"/>
        <w:rPr>
          <w:rFonts w:ascii="Arial" w:hAnsi="Arial" w:cs="Arial"/>
        </w:rPr>
      </w:pPr>
      <w:r w:rsidRPr="007B3452">
        <w:rPr>
          <w:rFonts w:ascii="Arial" w:hAnsi="Arial" w:cs="Arial"/>
        </w:rPr>
        <w:t xml:space="preserve">Taxation Ruling IT39 states that where expenditure is incurred in ‘servicing an investment portfolio’ it should properly be regarded as being incurred in relation to the management of income producing investments and thus </w:t>
      </w:r>
      <w:r w:rsidR="00C30161" w:rsidRPr="007B3452">
        <w:rPr>
          <w:rFonts w:ascii="Arial" w:hAnsi="Arial" w:cs="Arial"/>
        </w:rPr>
        <w:t>is deductible for income tax purposes</w:t>
      </w:r>
      <w:r w:rsidRPr="007B3452">
        <w:rPr>
          <w:rFonts w:ascii="Arial" w:hAnsi="Arial" w:cs="Arial"/>
        </w:rPr>
        <w:t>.</w:t>
      </w:r>
      <w:r w:rsidR="0056333E" w:rsidRPr="007B3452">
        <w:rPr>
          <w:rFonts w:ascii="Arial" w:hAnsi="Arial" w:cs="Arial"/>
        </w:rPr>
        <w:t xml:space="preserve"> </w:t>
      </w:r>
      <w:r w:rsidR="00C30161" w:rsidRPr="007B3452">
        <w:rPr>
          <w:rFonts w:ascii="Arial" w:hAnsi="Arial" w:cs="Arial"/>
        </w:rPr>
        <w:t>Treating the creation of an initial financial plan differently from ongoing advice provided to service an investment portfolio has a range of negative impacts on the community.</w:t>
      </w:r>
      <w:r w:rsidR="0056333E" w:rsidRPr="007B3452">
        <w:rPr>
          <w:rFonts w:ascii="Arial" w:hAnsi="Arial" w:cs="Arial"/>
        </w:rPr>
        <w:t xml:space="preserve"> </w:t>
      </w:r>
      <w:r w:rsidR="00144256" w:rsidRPr="007B3452">
        <w:rPr>
          <w:rFonts w:ascii="Arial" w:hAnsi="Arial" w:cs="Arial"/>
        </w:rPr>
        <w:t xml:space="preserve">The inability to claim a tax deduction for the fees associated with an initial financial plan </w:t>
      </w:r>
      <w:r w:rsidR="004C4E97" w:rsidRPr="007B3452">
        <w:rPr>
          <w:rFonts w:ascii="Arial" w:hAnsi="Arial" w:cs="Arial"/>
        </w:rPr>
        <w:t>is</w:t>
      </w:r>
      <w:r w:rsidR="00144256" w:rsidRPr="007B3452">
        <w:rPr>
          <w:rFonts w:ascii="Arial" w:hAnsi="Arial" w:cs="Arial"/>
        </w:rPr>
        <w:t xml:space="preserve"> a disincentive for people to </w:t>
      </w:r>
      <w:r w:rsidR="004C4E97" w:rsidRPr="007B3452">
        <w:rPr>
          <w:rFonts w:ascii="Arial" w:hAnsi="Arial" w:cs="Arial"/>
        </w:rPr>
        <w:t xml:space="preserve">get professional assistance to help them </w:t>
      </w:r>
      <w:r w:rsidRPr="007B3452">
        <w:rPr>
          <w:rFonts w:ascii="Arial" w:hAnsi="Arial" w:cs="Arial"/>
        </w:rPr>
        <w:t>actively plan</w:t>
      </w:r>
      <w:r w:rsidR="00B44C1E" w:rsidRPr="007B3452">
        <w:rPr>
          <w:rFonts w:ascii="Arial" w:hAnsi="Arial" w:cs="Arial"/>
        </w:rPr>
        <w:t>, save and secure their financial future.</w:t>
      </w:r>
    </w:p>
    <w:p w14:paraId="2E1ADCAA" w14:textId="770E1B74" w:rsidR="004C4E97" w:rsidRPr="007B3452" w:rsidRDefault="004C4E97" w:rsidP="00144256">
      <w:pPr>
        <w:spacing w:after="240" w:line="276" w:lineRule="auto"/>
        <w:jc w:val="both"/>
        <w:rPr>
          <w:rFonts w:ascii="Arial" w:hAnsi="Arial" w:cs="Arial"/>
        </w:rPr>
      </w:pPr>
      <w:r w:rsidRPr="007B3452">
        <w:rPr>
          <w:rFonts w:ascii="Arial" w:hAnsi="Arial" w:cs="Arial"/>
        </w:rPr>
        <w:t>It acts as a barrier to entry for people who have not previously received financial advice.</w:t>
      </w:r>
      <w:r w:rsidR="00D11844" w:rsidRPr="007B3452">
        <w:rPr>
          <w:rFonts w:ascii="Arial" w:hAnsi="Arial" w:cs="Arial"/>
        </w:rPr>
        <w:t xml:space="preserve"> Research commissioned by the FPA has found that 30</w:t>
      </w:r>
      <w:r w:rsidR="00E17F11" w:rsidRPr="007B3452">
        <w:rPr>
          <w:rFonts w:ascii="Arial" w:hAnsi="Arial" w:cs="Arial"/>
        </w:rPr>
        <w:t xml:space="preserve"> per cent</w:t>
      </w:r>
      <w:r w:rsidR="00D11844" w:rsidRPr="007B3452">
        <w:rPr>
          <w:rFonts w:ascii="Arial" w:hAnsi="Arial" w:cs="Arial"/>
        </w:rPr>
        <w:t xml:space="preserve"> of </w:t>
      </w:r>
      <w:r w:rsidR="00234230" w:rsidRPr="007B3452">
        <w:rPr>
          <w:rFonts w:ascii="Arial" w:hAnsi="Arial" w:cs="Arial"/>
        </w:rPr>
        <w:t xml:space="preserve">people </w:t>
      </w:r>
      <w:r w:rsidR="00D11844" w:rsidRPr="007B3452">
        <w:rPr>
          <w:rFonts w:ascii="Arial" w:hAnsi="Arial" w:cs="Arial"/>
        </w:rPr>
        <w:t xml:space="preserve">who have not used financial advice and do not intend to seek advice in </w:t>
      </w:r>
      <w:r w:rsidR="00234230" w:rsidRPr="007B3452">
        <w:rPr>
          <w:rFonts w:ascii="Arial" w:hAnsi="Arial" w:cs="Arial"/>
        </w:rPr>
        <w:t xml:space="preserve">the </w:t>
      </w:r>
      <w:r w:rsidR="00D11844" w:rsidRPr="007B3452">
        <w:rPr>
          <w:rFonts w:ascii="Arial" w:hAnsi="Arial" w:cs="Arial"/>
        </w:rPr>
        <w:t xml:space="preserve">future have stated that the high cost of advice is a key </w:t>
      </w:r>
      <w:r w:rsidR="00234230" w:rsidRPr="007B3452">
        <w:rPr>
          <w:rFonts w:ascii="Arial" w:hAnsi="Arial" w:cs="Arial"/>
        </w:rPr>
        <w:t>factor in their decision</w:t>
      </w:r>
      <w:r w:rsidR="008E3CF6" w:rsidRPr="007B3452">
        <w:rPr>
          <w:rStyle w:val="FootnoteReference"/>
          <w:rFonts w:ascii="Arial" w:hAnsi="Arial" w:cs="Arial"/>
        </w:rPr>
        <w:footnoteReference w:id="2"/>
      </w:r>
      <w:r w:rsidR="00D11844" w:rsidRPr="007B3452">
        <w:rPr>
          <w:rFonts w:ascii="Arial" w:hAnsi="Arial" w:cs="Arial"/>
        </w:rPr>
        <w:t>.</w:t>
      </w:r>
      <w:r w:rsidR="00B44C1E" w:rsidRPr="007B3452">
        <w:rPr>
          <w:rFonts w:ascii="Arial" w:hAnsi="Arial" w:cs="Arial"/>
        </w:rPr>
        <w:t xml:space="preserve"> </w:t>
      </w:r>
      <w:r w:rsidRPr="007B3452">
        <w:rPr>
          <w:rFonts w:ascii="Arial" w:hAnsi="Arial" w:cs="Arial"/>
        </w:rPr>
        <w:t>These are often the people who would most benefit in getting assistance planning for their future</w:t>
      </w:r>
      <w:r w:rsidR="00D11844" w:rsidRPr="007B3452">
        <w:rPr>
          <w:rFonts w:ascii="Arial" w:hAnsi="Arial" w:cs="Arial"/>
        </w:rPr>
        <w:t>.</w:t>
      </w:r>
    </w:p>
    <w:p w14:paraId="57902539" w14:textId="77777777" w:rsidR="00C30161" w:rsidRPr="007B3452" w:rsidRDefault="00C30161" w:rsidP="00144256">
      <w:pPr>
        <w:spacing w:after="240" w:line="276" w:lineRule="auto"/>
        <w:jc w:val="both"/>
        <w:rPr>
          <w:rFonts w:ascii="Arial" w:hAnsi="Arial" w:cs="Arial"/>
        </w:rPr>
      </w:pPr>
      <w:r w:rsidRPr="007B3452">
        <w:rPr>
          <w:rFonts w:ascii="Arial" w:hAnsi="Arial" w:cs="Arial"/>
        </w:rPr>
        <w:t>The benefits of tax deductions available for ongoing advice predominantly fall to people who can already afford financial advice and have established investment portfolios.</w:t>
      </w:r>
      <w:r w:rsidR="00BA2D85" w:rsidRPr="007B3452">
        <w:rPr>
          <w:rFonts w:ascii="Arial" w:hAnsi="Arial" w:cs="Arial"/>
        </w:rPr>
        <w:t xml:space="preserve"> These are predominantly people on higher incomes and with higher net wealth.</w:t>
      </w:r>
    </w:p>
    <w:p w14:paraId="4FF0CFC7" w14:textId="42A075A4" w:rsidR="00D11844" w:rsidRPr="007B3452" w:rsidRDefault="00D11844" w:rsidP="00C30161">
      <w:pPr>
        <w:spacing w:after="240" w:line="276" w:lineRule="auto"/>
        <w:jc w:val="both"/>
        <w:rPr>
          <w:rFonts w:ascii="Arial" w:hAnsi="Arial" w:cs="Arial"/>
        </w:rPr>
      </w:pPr>
      <w:r w:rsidRPr="007B3452">
        <w:rPr>
          <w:rFonts w:ascii="Arial" w:hAnsi="Arial" w:cs="Arial"/>
        </w:rPr>
        <w:t>Increasing access to financial advice</w:t>
      </w:r>
      <w:r w:rsidR="00C30161" w:rsidRPr="007B3452">
        <w:rPr>
          <w:rFonts w:ascii="Arial" w:hAnsi="Arial" w:cs="Arial"/>
        </w:rPr>
        <w:t xml:space="preserve"> for all Australians</w:t>
      </w:r>
      <w:r w:rsidR="00BA2D85" w:rsidRPr="007B3452">
        <w:rPr>
          <w:rFonts w:ascii="Arial" w:hAnsi="Arial" w:cs="Arial"/>
        </w:rPr>
        <w:t>, including those on lower incomes,</w:t>
      </w:r>
      <w:r w:rsidRPr="007B3452">
        <w:rPr>
          <w:rFonts w:ascii="Arial" w:hAnsi="Arial" w:cs="Arial"/>
        </w:rPr>
        <w:t xml:space="preserve"> will result in a more financially </w:t>
      </w:r>
      <w:r w:rsidR="00CB2170" w:rsidRPr="007B3452">
        <w:rPr>
          <w:rFonts w:ascii="Arial" w:hAnsi="Arial" w:cs="Arial"/>
        </w:rPr>
        <w:t xml:space="preserve">capable </w:t>
      </w:r>
      <w:r w:rsidRPr="007B3452">
        <w:rPr>
          <w:rFonts w:ascii="Arial" w:hAnsi="Arial" w:cs="Arial"/>
        </w:rPr>
        <w:t>community</w:t>
      </w:r>
      <w:r w:rsidR="00B44C1E" w:rsidRPr="007B3452">
        <w:rPr>
          <w:rFonts w:ascii="Arial" w:hAnsi="Arial" w:cs="Arial"/>
        </w:rPr>
        <w:t>,</w:t>
      </w:r>
      <w:r w:rsidRPr="007B3452">
        <w:rPr>
          <w:rFonts w:ascii="Arial" w:hAnsi="Arial" w:cs="Arial"/>
        </w:rPr>
        <w:t xml:space="preserve"> with individuals </w:t>
      </w:r>
      <w:r w:rsidR="00927A9E" w:rsidRPr="007B3452">
        <w:rPr>
          <w:rFonts w:ascii="Arial" w:hAnsi="Arial" w:cs="Arial"/>
        </w:rPr>
        <w:t xml:space="preserve">more </w:t>
      </w:r>
      <w:r w:rsidR="00B44C1E" w:rsidRPr="007B3452">
        <w:rPr>
          <w:rFonts w:ascii="Arial" w:hAnsi="Arial" w:cs="Arial"/>
        </w:rPr>
        <w:t xml:space="preserve">financially </w:t>
      </w:r>
      <w:r w:rsidR="00927A9E" w:rsidRPr="007B3452">
        <w:rPr>
          <w:rFonts w:ascii="Arial" w:hAnsi="Arial" w:cs="Arial"/>
        </w:rPr>
        <w:t xml:space="preserve">literate and </w:t>
      </w:r>
      <w:r w:rsidRPr="007B3452">
        <w:rPr>
          <w:rFonts w:ascii="Arial" w:hAnsi="Arial" w:cs="Arial"/>
        </w:rPr>
        <w:t>better able to support themselves</w:t>
      </w:r>
      <w:r w:rsidR="00927A9E" w:rsidRPr="007B3452">
        <w:rPr>
          <w:rFonts w:ascii="Arial" w:hAnsi="Arial" w:cs="Arial"/>
        </w:rPr>
        <w:t xml:space="preserve"> including</w:t>
      </w:r>
      <w:r w:rsidRPr="007B3452">
        <w:rPr>
          <w:rFonts w:ascii="Arial" w:hAnsi="Arial" w:cs="Arial"/>
        </w:rPr>
        <w:t xml:space="preserve"> in retirement</w:t>
      </w:r>
      <w:r w:rsidR="0026033E" w:rsidRPr="007B3452">
        <w:rPr>
          <w:rStyle w:val="FootnoteReference"/>
          <w:rFonts w:ascii="Arial" w:hAnsi="Arial" w:cs="Arial"/>
        </w:rPr>
        <w:footnoteReference w:id="3"/>
      </w:r>
      <w:r w:rsidRPr="007B3452">
        <w:rPr>
          <w:rFonts w:ascii="Arial" w:hAnsi="Arial" w:cs="Arial"/>
        </w:rPr>
        <w:t>.</w:t>
      </w:r>
      <w:r w:rsidR="00B44C1E" w:rsidRPr="007B3452">
        <w:rPr>
          <w:rFonts w:ascii="Arial" w:hAnsi="Arial" w:cs="Arial"/>
        </w:rPr>
        <w:t xml:space="preserve"> Access to financial advice</w:t>
      </w:r>
      <w:r w:rsidRPr="007B3452">
        <w:rPr>
          <w:rFonts w:ascii="Arial" w:hAnsi="Arial" w:cs="Arial"/>
        </w:rPr>
        <w:t xml:space="preserve"> also assists Government to fulfil its obligation to address the substantial issues of financial and social exclusion by helping consumers gain access to expertise to help them navigate the financial marketplace and learn how to better manage their finances</w:t>
      </w:r>
      <w:r w:rsidR="002325BF" w:rsidRPr="007B3452">
        <w:rPr>
          <w:rStyle w:val="FootnoteReference"/>
          <w:rFonts w:ascii="Arial" w:hAnsi="Arial" w:cs="Arial"/>
        </w:rPr>
        <w:footnoteReference w:id="4"/>
      </w:r>
      <w:r w:rsidRPr="007B3452">
        <w:rPr>
          <w:rFonts w:ascii="Arial" w:hAnsi="Arial" w:cs="Arial"/>
        </w:rPr>
        <w:t>.</w:t>
      </w:r>
    </w:p>
    <w:p w14:paraId="645FD77D" w14:textId="77777777" w:rsidR="00C30161" w:rsidRPr="007B3452" w:rsidRDefault="00C30161" w:rsidP="00C30161">
      <w:pPr>
        <w:spacing w:after="240" w:line="276" w:lineRule="auto"/>
        <w:jc w:val="both"/>
        <w:rPr>
          <w:rFonts w:ascii="Arial" w:hAnsi="Arial" w:cs="Arial"/>
        </w:rPr>
      </w:pPr>
      <w:r w:rsidRPr="007B3452">
        <w:rPr>
          <w:rFonts w:ascii="Arial" w:hAnsi="Arial" w:cs="Arial"/>
        </w:rPr>
        <w:t>The precedent of tax deductibility of professional fees is already set and allows people to deduct fees paid to registered tax agents, BAS agents and lawyers.</w:t>
      </w:r>
      <w:r w:rsidR="00F331B8" w:rsidRPr="007B3452">
        <w:rPr>
          <w:rFonts w:ascii="Arial" w:hAnsi="Arial" w:cs="Arial"/>
        </w:rPr>
        <w:t xml:space="preserve"> Financial planners must </w:t>
      </w:r>
      <w:r w:rsidR="00F331B8" w:rsidRPr="007B3452">
        <w:rPr>
          <w:rFonts w:ascii="Arial" w:hAnsi="Arial" w:cs="Arial"/>
        </w:rPr>
        <w:lastRenderedPageBreak/>
        <w:t xml:space="preserve">also register with the Tax Practitioners Board and are subject to the provisions of the </w:t>
      </w:r>
      <w:r w:rsidR="00F331B8" w:rsidRPr="007B3452">
        <w:rPr>
          <w:rFonts w:ascii="Arial" w:hAnsi="Arial" w:cs="Arial"/>
          <w:i/>
        </w:rPr>
        <w:t>Tax Agent Services Act 2009</w:t>
      </w:r>
      <w:r w:rsidR="00F331B8" w:rsidRPr="007B3452">
        <w:rPr>
          <w:rFonts w:ascii="Arial" w:hAnsi="Arial" w:cs="Arial"/>
        </w:rPr>
        <w:t xml:space="preserve"> </w:t>
      </w:r>
      <w:r w:rsidR="00200108" w:rsidRPr="007B3452">
        <w:rPr>
          <w:rFonts w:ascii="Arial" w:hAnsi="Arial" w:cs="Arial"/>
        </w:rPr>
        <w:t>in line with their account</w:t>
      </w:r>
      <w:r w:rsidR="001D55EF" w:rsidRPr="007B3452">
        <w:rPr>
          <w:rFonts w:ascii="Arial" w:hAnsi="Arial" w:cs="Arial"/>
        </w:rPr>
        <w:t>ant</w:t>
      </w:r>
      <w:r w:rsidR="00200108" w:rsidRPr="007B3452">
        <w:rPr>
          <w:rFonts w:ascii="Arial" w:hAnsi="Arial" w:cs="Arial"/>
        </w:rPr>
        <w:t xml:space="preserve"> peers.</w:t>
      </w:r>
    </w:p>
    <w:p w14:paraId="4BDABA37" w14:textId="77777777" w:rsidR="00D11844" w:rsidRPr="007B3452" w:rsidRDefault="00D11844" w:rsidP="00D11844">
      <w:pPr>
        <w:spacing w:before="200" w:after="240"/>
        <w:jc w:val="both"/>
        <w:rPr>
          <w:rFonts w:ascii="Arial" w:hAnsi="Arial" w:cs="Arial"/>
        </w:rPr>
      </w:pPr>
      <w:r w:rsidRPr="007B3452">
        <w:rPr>
          <w:rFonts w:ascii="Arial" w:hAnsi="Arial" w:cs="Arial"/>
        </w:rPr>
        <w:t xml:space="preserve">While </w:t>
      </w:r>
      <w:r w:rsidR="00234230" w:rsidRPr="007B3452">
        <w:rPr>
          <w:rFonts w:ascii="Arial" w:hAnsi="Arial" w:cs="Arial"/>
        </w:rPr>
        <w:t>providing a tax deduction for fees associated with the preparation of an initial financial plan</w:t>
      </w:r>
      <w:r w:rsidRPr="007B3452">
        <w:rPr>
          <w:rFonts w:ascii="Arial" w:hAnsi="Arial" w:cs="Arial"/>
        </w:rPr>
        <w:t xml:space="preserve"> would involve some additional costs to Government, </w:t>
      </w:r>
      <w:r w:rsidR="00BA2D85" w:rsidRPr="007B3452">
        <w:rPr>
          <w:rFonts w:ascii="Arial" w:hAnsi="Arial" w:cs="Arial"/>
        </w:rPr>
        <w:t xml:space="preserve">the FPA expects </w:t>
      </w:r>
      <w:r w:rsidRPr="007B3452">
        <w:rPr>
          <w:rFonts w:ascii="Arial" w:hAnsi="Arial" w:cs="Arial"/>
        </w:rPr>
        <w:t xml:space="preserve">these costs would be significantly outweighed by the long-term benefits. To control the </w:t>
      </w:r>
      <w:r w:rsidR="00234230" w:rsidRPr="007B3452">
        <w:rPr>
          <w:rFonts w:ascii="Arial" w:hAnsi="Arial" w:cs="Arial"/>
        </w:rPr>
        <w:t>budget impact</w:t>
      </w:r>
      <w:r w:rsidRPr="007B3452">
        <w:rPr>
          <w:rFonts w:ascii="Arial" w:hAnsi="Arial" w:cs="Arial"/>
        </w:rPr>
        <w:t>, the Government could include caps on either the size of the tax deduction or an income cap on those able to receive a deduction.</w:t>
      </w:r>
    </w:p>
    <w:p w14:paraId="2126A7B9" w14:textId="77777777" w:rsidR="001B337A" w:rsidRPr="007B3452" w:rsidRDefault="001B337A">
      <w:pPr>
        <w:rPr>
          <w:rFonts w:ascii="Arial" w:hAnsi="Arial" w:cs="Arial"/>
        </w:rPr>
      </w:pPr>
    </w:p>
    <w:p w14:paraId="62FD3295" w14:textId="77777777" w:rsidR="007E0B43" w:rsidRPr="007B3452" w:rsidRDefault="001B337A">
      <w:pPr>
        <w:rPr>
          <w:rFonts w:ascii="Arial" w:hAnsi="Arial" w:cs="Arial"/>
        </w:rPr>
      </w:pPr>
      <w:r w:rsidRPr="007B3452">
        <w:rPr>
          <w:rFonts w:ascii="Arial" w:hAnsi="Arial" w:cs="Arial"/>
          <w:b/>
        </w:rPr>
        <w:t>Recommendation</w:t>
      </w:r>
      <w:r w:rsidR="007E0B43" w:rsidRPr="007B3452">
        <w:rPr>
          <w:rFonts w:ascii="Arial" w:hAnsi="Arial" w:cs="Arial"/>
          <w:b/>
        </w:rPr>
        <w:t xml:space="preserve"> 1</w:t>
      </w:r>
      <w:r w:rsidRPr="007B3452">
        <w:rPr>
          <w:rFonts w:ascii="Arial" w:hAnsi="Arial" w:cs="Arial"/>
          <w:b/>
        </w:rPr>
        <w:t>:</w:t>
      </w:r>
      <w:r w:rsidRPr="007B3452">
        <w:rPr>
          <w:rFonts w:ascii="Arial" w:hAnsi="Arial" w:cs="Arial"/>
        </w:rPr>
        <w:t xml:space="preserve"> </w:t>
      </w:r>
    </w:p>
    <w:p w14:paraId="268A57D2" w14:textId="77777777" w:rsidR="001B337A" w:rsidRPr="007B3452" w:rsidRDefault="001B337A">
      <w:pPr>
        <w:rPr>
          <w:rFonts w:ascii="Arial" w:hAnsi="Arial" w:cs="Arial"/>
          <w:b/>
        </w:rPr>
      </w:pPr>
      <w:r w:rsidRPr="007B3452">
        <w:rPr>
          <w:rFonts w:ascii="Arial" w:hAnsi="Arial" w:cs="Arial"/>
        </w:rPr>
        <w:t>The FPA recommends th</w:t>
      </w:r>
      <w:r w:rsidR="007C25C5" w:rsidRPr="007B3452">
        <w:rPr>
          <w:rFonts w:ascii="Arial" w:hAnsi="Arial" w:cs="Arial"/>
        </w:rPr>
        <w:t xml:space="preserve">e </w:t>
      </w:r>
      <w:r w:rsidR="007E0B43" w:rsidRPr="007B3452">
        <w:rPr>
          <w:rFonts w:ascii="Arial" w:hAnsi="Arial" w:cs="Arial"/>
        </w:rPr>
        <w:t xml:space="preserve">Government provides a tax deduction for </w:t>
      </w:r>
      <w:r w:rsidR="00234230" w:rsidRPr="007B3452">
        <w:rPr>
          <w:rFonts w:ascii="Arial" w:hAnsi="Arial" w:cs="Arial"/>
        </w:rPr>
        <w:t xml:space="preserve">fees associated with </w:t>
      </w:r>
      <w:r w:rsidR="007E0B43" w:rsidRPr="007B3452">
        <w:rPr>
          <w:rFonts w:ascii="Arial" w:hAnsi="Arial" w:cs="Arial"/>
        </w:rPr>
        <w:t xml:space="preserve">the </w:t>
      </w:r>
      <w:r w:rsidR="007C25C5" w:rsidRPr="007B3452">
        <w:rPr>
          <w:rFonts w:ascii="Arial" w:hAnsi="Arial" w:cs="Arial"/>
        </w:rPr>
        <w:t>preparation of a</w:t>
      </w:r>
      <w:r w:rsidR="007E0B43" w:rsidRPr="007B3452">
        <w:rPr>
          <w:rFonts w:ascii="Arial" w:hAnsi="Arial" w:cs="Arial"/>
        </w:rPr>
        <w:t xml:space="preserve">n initial financial plan, and </w:t>
      </w:r>
      <w:r w:rsidR="00C22879" w:rsidRPr="007B3452">
        <w:rPr>
          <w:rFonts w:ascii="Arial" w:hAnsi="Arial" w:cs="Arial"/>
        </w:rPr>
        <w:t xml:space="preserve">for the </w:t>
      </w:r>
      <w:r w:rsidR="007E0B43" w:rsidRPr="007B3452">
        <w:rPr>
          <w:rFonts w:ascii="Arial" w:hAnsi="Arial" w:cs="Arial"/>
        </w:rPr>
        <w:t xml:space="preserve">ongoing management fees and annual retainer fees </w:t>
      </w:r>
      <w:r w:rsidR="00C22879" w:rsidRPr="007B3452">
        <w:rPr>
          <w:rFonts w:ascii="Arial" w:hAnsi="Arial" w:cs="Arial"/>
        </w:rPr>
        <w:t>of</w:t>
      </w:r>
      <w:r w:rsidR="007E0B43" w:rsidRPr="007B3452">
        <w:rPr>
          <w:rFonts w:ascii="Arial" w:hAnsi="Arial" w:cs="Arial"/>
        </w:rPr>
        <w:t xml:space="preserve"> financial advisers.</w:t>
      </w:r>
    </w:p>
    <w:p w14:paraId="2457D707" w14:textId="77777777" w:rsidR="007E0B43" w:rsidRPr="007B3452" w:rsidRDefault="007E0B43">
      <w:pPr>
        <w:rPr>
          <w:rFonts w:ascii="Arial" w:hAnsi="Arial" w:cs="Arial"/>
        </w:rPr>
      </w:pPr>
    </w:p>
    <w:p w14:paraId="58E0E2CF" w14:textId="77777777" w:rsidR="00CE0A43" w:rsidRPr="007B3452" w:rsidRDefault="00CD6A4E" w:rsidP="00CE0A43">
      <w:pPr>
        <w:pStyle w:val="Heading2"/>
        <w:rPr>
          <w:rFonts w:ascii="Arial" w:hAnsi="Arial" w:cs="Arial"/>
        </w:rPr>
      </w:pPr>
      <w:bookmarkStart w:id="5" w:name="_Toc535503306"/>
      <w:r w:rsidRPr="007B3452">
        <w:rPr>
          <w:rFonts w:ascii="Arial" w:hAnsi="Arial" w:cs="Arial"/>
        </w:rPr>
        <w:t>Pension</w:t>
      </w:r>
      <w:r w:rsidR="00621DFF" w:rsidRPr="007B3452">
        <w:rPr>
          <w:rFonts w:ascii="Arial" w:hAnsi="Arial" w:cs="Arial"/>
        </w:rPr>
        <w:t>s</w:t>
      </w:r>
      <w:r w:rsidRPr="007B3452">
        <w:rPr>
          <w:rFonts w:ascii="Arial" w:hAnsi="Arial" w:cs="Arial"/>
        </w:rPr>
        <w:t xml:space="preserve"> advice allowance</w:t>
      </w:r>
      <w:bookmarkEnd w:id="5"/>
    </w:p>
    <w:p w14:paraId="466A130A" w14:textId="77777777" w:rsidR="00CD6A4E" w:rsidRPr="007B3452" w:rsidRDefault="00621DFF" w:rsidP="00D85860">
      <w:pPr>
        <w:spacing w:before="200" w:after="240"/>
        <w:jc w:val="both"/>
        <w:rPr>
          <w:rFonts w:ascii="Arial" w:hAnsi="Arial" w:cs="Arial"/>
        </w:rPr>
      </w:pPr>
      <w:r w:rsidRPr="007B3452">
        <w:rPr>
          <w:rFonts w:ascii="Arial" w:hAnsi="Arial" w:cs="Arial"/>
        </w:rPr>
        <w:t xml:space="preserve">All Australians can benefit from receiving professional financial advice to help them actively plan and save for their retirement. However, it </w:t>
      </w:r>
      <w:r w:rsidR="001D55EF" w:rsidRPr="007B3452">
        <w:rPr>
          <w:rFonts w:ascii="Arial" w:hAnsi="Arial" w:cs="Arial"/>
        </w:rPr>
        <w:t xml:space="preserve">can be </w:t>
      </w:r>
      <w:r w:rsidRPr="007B3452">
        <w:rPr>
          <w:rFonts w:ascii="Arial" w:hAnsi="Arial" w:cs="Arial"/>
        </w:rPr>
        <w:t xml:space="preserve">difficult for </w:t>
      </w:r>
      <w:r w:rsidR="00A85875" w:rsidRPr="007B3452">
        <w:rPr>
          <w:rFonts w:ascii="Arial" w:hAnsi="Arial" w:cs="Arial"/>
        </w:rPr>
        <w:t>individuals</w:t>
      </w:r>
      <w:r w:rsidRPr="007B3452">
        <w:rPr>
          <w:rFonts w:ascii="Arial" w:hAnsi="Arial" w:cs="Arial"/>
        </w:rPr>
        <w:t xml:space="preserve"> on lower incomes to provide upfront payment of fees for financial advice, despite it providing a </w:t>
      </w:r>
      <w:r w:rsidR="00115C3C" w:rsidRPr="007B3452">
        <w:rPr>
          <w:rFonts w:ascii="Arial" w:hAnsi="Arial" w:cs="Arial"/>
        </w:rPr>
        <w:t xml:space="preserve">long-term </w:t>
      </w:r>
      <w:r w:rsidR="00BA2D85" w:rsidRPr="007B3452">
        <w:rPr>
          <w:rFonts w:ascii="Arial" w:hAnsi="Arial" w:cs="Arial"/>
        </w:rPr>
        <w:t>improvement in their financial position</w:t>
      </w:r>
      <w:r w:rsidR="00115C3C" w:rsidRPr="007B3452">
        <w:rPr>
          <w:rFonts w:ascii="Arial" w:hAnsi="Arial" w:cs="Arial"/>
        </w:rPr>
        <w:t>.</w:t>
      </w:r>
    </w:p>
    <w:p w14:paraId="6E69396D" w14:textId="77777777" w:rsidR="00D85860" w:rsidRPr="007B3452" w:rsidRDefault="00D85860" w:rsidP="00D85860">
      <w:pPr>
        <w:spacing w:before="200" w:after="240"/>
        <w:jc w:val="both"/>
        <w:rPr>
          <w:rFonts w:ascii="Arial" w:hAnsi="Arial" w:cs="Arial"/>
        </w:rPr>
      </w:pPr>
      <w:r w:rsidRPr="007B3452">
        <w:rPr>
          <w:rFonts w:ascii="Arial" w:hAnsi="Arial" w:cs="Arial"/>
        </w:rPr>
        <w:t>This challenge can be addressed</w:t>
      </w:r>
      <w:r w:rsidR="00621DFF" w:rsidRPr="007B3452">
        <w:rPr>
          <w:rFonts w:ascii="Arial" w:hAnsi="Arial" w:cs="Arial"/>
        </w:rPr>
        <w:t xml:space="preserve"> in part</w:t>
      </w:r>
      <w:r w:rsidRPr="007B3452">
        <w:rPr>
          <w:rFonts w:ascii="Arial" w:hAnsi="Arial" w:cs="Arial"/>
        </w:rPr>
        <w:t xml:space="preserve"> through the introduction of a Pension</w:t>
      </w:r>
      <w:r w:rsidR="00621DFF" w:rsidRPr="007B3452">
        <w:rPr>
          <w:rFonts w:ascii="Arial" w:hAnsi="Arial" w:cs="Arial"/>
        </w:rPr>
        <w:t>s</w:t>
      </w:r>
      <w:r w:rsidRPr="007B3452">
        <w:rPr>
          <w:rFonts w:ascii="Arial" w:hAnsi="Arial" w:cs="Arial"/>
        </w:rPr>
        <w:t xml:space="preserve"> Advice Allowance scheme.</w:t>
      </w:r>
      <w:r w:rsidR="00BA2D85" w:rsidRPr="007B3452">
        <w:rPr>
          <w:rFonts w:ascii="Arial" w:hAnsi="Arial" w:cs="Arial"/>
        </w:rPr>
        <w:t xml:space="preserve"> </w:t>
      </w:r>
      <w:r w:rsidRPr="007B3452">
        <w:rPr>
          <w:rFonts w:ascii="Arial" w:hAnsi="Arial" w:cs="Arial"/>
        </w:rPr>
        <w:t>The scheme would allow a</w:t>
      </w:r>
      <w:r w:rsidR="00A85875" w:rsidRPr="007B3452">
        <w:rPr>
          <w:rFonts w:ascii="Arial" w:hAnsi="Arial" w:cs="Arial"/>
        </w:rPr>
        <w:t xml:space="preserve">n individual </w:t>
      </w:r>
      <w:r w:rsidR="00621DFF" w:rsidRPr="007B3452">
        <w:rPr>
          <w:rFonts w:ascii="Arial" w:hAnsi="Arial" w:cs="Arial"/>
        </w:rPr>
        <w:t xml:space="preserve">to instruct their </w:t>
      </w:r>
      <w:r w:rsidRPr="007B3452">
        <w:rPr>
          <w:rFonts w:ascii="Arial" w:hAnsi="Arial" w:cs="Arial"/>
        </w:rPr>
        <w:t xml:space="preserve">superannuation provider, in limited circumstances, to withdraw </w:t>
      </w:r>
      <w:r w:rsidR="00621DFF" w:rsidRPr="007B3452">
        <w:rPr>
          <w:rFonts w:ascii="Arial" w:hAnsi="Arial" w:cs="Arial"/>
        </w:rPr>
        <w:t>an amount</w:t>
      </w:r>
      <w:r w:rsidRPr="007B3452">
        <w:rPr>
          <w:rFonts w:ascii="Arial" w:hAnsi="Arial" w:cs="Arial"/>
        </w:rPr>
        <w:t xml:space="preserve"> from </w:t>
      </w:r>
      <w:r w:rsidR="00621DFF" w:rsidRPr="007B3452">
        <w:rPr>
          <w:rFonts w:ascii="Arial" w:hAnsi="Arial" w:cs="Arial"/>
        </w:rPr>
        <w:t>the</w:t>
      </w:r>
      <w:r w:rsidR="00A85875" w:rsidRPr="007B3452">
        <w:rPr>
          <w:rFonts w:ascii="Arial" w:hAnsi="Arial" w:cs="Arial"/>
        </w:rPr>
        <w:t xml:space="preserve"> individual’s </w:t>
      </w:r>
      <w:r w:rsidR="00621DFF" w:rsidRPr="007B3452">
        <w:rPr>
          <w:rFonts w:ascii="Arial" w:hAnsi="Arial" w:cs="Arial"/>
        </w:rPr>
        <w:t>superannuation</w:t>
      </w:r>
      <w:r w:rsidR="00A85875" w:rsidRPr="007B3452">
        <w:rPr>
          <w:rFonts w:ascii="Arial" w:hAnsi="Arial" w:cs="Arial"/>
        </w:rPr>
        <w:t xml:space="preserve"> fund</w:t>
      </w:r>
      <w:r w:rsidR="00621DFF" w:rsidRPr="007B3452">
        <w:rPr>
          <w:rFonts w:ascii="Arial" w:hAnsi="Arial" w:cs="Arial"/>
        </w:rPr>
        <w:t xml:space="preserve"> </w:t>
      </w:r>
      <w:r w:rsidRPr="007B3452">
        <w:rPr>
          <w:rFonts w:ascii="Arial" w:hAnsi="Arial" w:cs="Arial"/>
        </w:rPr>
        <w:t>to pay for financial advice on their behalf.</w:t>
      </w:r>
    </w:p>
    <w:p w14:paraId="55CCFFC9" w14:textId="77777777" w:rsidR="00CD6A4E" w:rsidRPr="007B3452" w:rsidRDefault="00D85860" w:rsidP="00D85860">
      <w:pPr>
        <w:spacing w:before="200" w:after="240"/>
        <w:jc w:val="both"/>
        <w:rPr>
          <w:rFonts w:ascii="Arial" w:hAnsi="Arial" w:cs="Arial"/>
        </w:rPr>
      </w:pPr>
      <w:r w:rsidRPr="007B3452">
        <w:rPr>
          <w:rFonts w:ascii="Arial" w:hAnsi="Arial" w:cs="Arial"/>
        </w:rPr>
        <w:t xml:space="preserve">A similar scheme was introduced in the United Kingdom in April 2017 after a recommendation by the </w:t>
      </w:r>
      <w:r w:rsidR="00621DFF" w:rsidRPr="007B3452">
        <w:rPr>
          <w:rFonts w:ascii="Arial" w:hAnsi="Arial" w:cs="Arial"/>
        </w:rPr>
        <w:t>UK Government’s Financial Advice Market Review.</w:t>
      </w:r>
      <w:r w:rsidR="00D2396E" w:rsidRPr="007B3452">
        <w:rPr>
          <w:rFonts w:ascii="Arial" w:hAnsi="Arial" w:cs="Arial"/>
        </w:rPr>
        <w:t xml:space="preserve"> The UK scheme allows consumers to access £500 from their pension account on three separate occasions to get retirement financial advice.</w:t>
      </w:r>
    </w:p>
    <w:p w14:paraId="347D9F28" w14:textId="77777777" w:rsidR="00D85860" w:rsidRPr="007B3452" w:rsidRDefault="00A85875" w:rsidP="00D85860">
      <w:pPr>
        <w:spacing w:before="200" w:after="240"/>
        <w:jc w:val="both"/>
        <w:rPr>
          <w:rFonts w:ascii="Arial" w:hAnsi="Arial" w:cs="Arial"/>
        </w:rPr>
      </w:pPr>
      <w:r w:rsidRPr="007B3452">
        <w:rPr>
          <w:rFonts w:ascii="Arial" w:hAnsi="Arial" w:cs="Arial"/>
        </w:rPr>
        <w:t>An</w:t>
      </w:r>
      <w:r w:rsidR="00D85860" w:rsidRPr="007B3452">
        <w:rPr>
          <w:rFonts w:ascii="Arial" w:hAnsi="Arial" w:cs="Arial"/>
        </w:rPr>
        <w:t xml:space="preserve"> </w:t>
      </w:r>
      <w:r w:rsidRPr="007B3452">
        <w:rPr>
          <w:rFonts w:ascii="Arial" w:hAnsi="Arial" w:cs="Arial"/>
        </w:rPr>
        <w:t xml:space="preserve">Australian Pensions Advice Allowance </w:t>
      </w:r>
      <w:r w:rsidR="00115C3C" w:rsidRPr="007B3452">
        <w:rPr>
          <w:rFonts w:ascii="Arial" w:hAnsi="Arial" w:cs="Arial"/>
        </w:rPr>
        <w:t>scheme</w:t>
      </w:r>
      <w:r w:rsidR="00D85860" w:rsidRPr="007B3452">
        <w:rPr>
          <w:rFonts w:ascii="Arial" w:hAnsi="Arial" w:cs="Arial"/>
        </w:rPr>
        <w:t xml:space="preserve"> </w:t>
      </w:r>
      <w:r w:rsidR="00D2396E" w:rsidRPr="007B3452">
        <w:rPr>
          <w:rFonts w:ascii="Arial" w:hAnsi="Arial" w:cs="Arial"/>
        </w:rPr>
        <w:t>could achieve a similar success in making financial advice available and improving the retirement position of Australians.</w:t>
      </w:r>
      <w:r w:rsidR="00B44C1E" w:rsidRPr="007B3452">
        <w:rPr>
          <w:rFonts w:ascii="Arial" w:hAnsi="Arial" w:cs="Arial"/>
        </w:rPr>
        <w:t xml:space="preserve"> </w:t>
      </w:r>
      <w:r w:rsidR="00D2396E" w:rsidRPr="007B3452">
        <w:rPr>
          <w:rFonts w:ascii="Arial" w:hAnsi="Arial" w:cs="Arial"/>
        </w:rPr>
        <w:t xml:space="preserve">An Australian scheme </w:t>
      </w:r>
      <w:r w:rsidR="00115C3C" w:rsidRPr="007B3452">
        <w:rPr>
          <w:rFonts w:ascii="Arial" w:hAnsi="Arial" w:cs="Arial"/>
        </w:rPr>
        <w:t xml:space="preserve">should be </w:t>
      </w:r>
      <w:r w:rsidR="00D85860" w:rsidRPr="007B3452">
        <w:rPr>
          <w:rFonts w:ascii="Arial" w:hAnsi="Arial" w:cs="Arial"/>
        </w:rPr>
        <w:t xml:space="preserve">as simple as possible, minimising </w:t>
      </w:r>
      <w:r w:rsidR="00115C3C" w:rsidRPr="007B3452">
        <w:rPr>
          <w:rFonts w:ascii="Arial" w:hAnsi="Arial" w:cs="Arial"/>
        </w:rPr>
        <w:t xml:space="preserve">the need for major </w:t>
      </w:r>
      <w:r w:rsidR="00D85860" w:rsidRPr="007B3452">
        <w:rPr>
          <w:rFonts w:ascii="Arial" w:hAnsi="Arial" w:cs="Arial"/>
        </w:rPr>
        <w:t xml:space="preserve">systems changes and </w:t>
      </w:r>
      <w:r w:rsidR="00115C3C" w:rsidRPr="007B3452">
        <w:rPr>
          <w:rFonts w:ascii="Arial" w:hAnsi="Arial" w:cs="Arial"/>
        </w:rPr>
        <w:t>making use of existing oversight arrangements</w:t>
      </w:r>
      <w:r w:rsidR="00D85860" w:rsidRPr="007B3452">
        <w:rPr>
          <w:rFonts w:ascii="Arial" w:hAnsi="Arial" w:cs="Arial"/>
        </w:rPr>
        <w:t xml:space="preserve">. </w:t>
      </w:r>
      <w:r w:rsidR="00115C3C" w:rsidRPr="007B3452">
        <w:rPr>
          <w:rFonts w:ascii="Arial" w:hAnsi="Arial" w:cs="Arial"/>
        </w:rPr>
        <w:t>A simple scheme</w:t>
      </w:r>
      <w:r w:rsidR="00D85860" w:rsidRPr="007B3452">
        <w:rPr>
          <w:rFonts w:ascii="Arial" w:hAnsi="Arial" w:cs="Arial"/>
        </w:rPr>
        <w:t xml:space="preserve"> would </w:t>
      </w:r>
      <w:r w:rsidR="00B44C1E" w:rsidRPr="007B3452">
        <w:rPr>
          <w:rFonts w:ascii="Arial" w:hAnsi="Arial" w:cs="Arial"/>
        </w:rPr>
        <w:t xml:space="preserve">also </w:t>
      </w:r>
      <w:r w:rsidR="00D85860" w:rsidRPr="007B3452">
        <w:rPr>
          <w:rFonts w:ascii="Arial" w:hAnsi="Arial" w:cs="Arial"/>
        </w:rPr>
        <w:t xml:space="preserve">encourage </w:t>
      </w:r>
      <w:r w:rsidR="00115C3C" w:rsidRPr="007B3452">
        <w:rPr>
          <w:rFonts w:ascii="Arial" w:hAnsi="Arial" w:cs="Arial"/>
        </w:rPr>
        <w:t xml:space="preserve">superannuation </w:t>
      </w:r>
      <w:r w:rsidR="00D85860" w:rsidRPr="007B3452">
        <w:rPr>
          <w:rFonts w:ascii="Arial" w:hAnsi="Arial" w:cs="Arial"/>
        </w:rPr>
        <w:t xml:space="preserve">providers and trustees to make the allowance available to </w:t>
      </w:r>
      <w:r w:rsidR="00115C3C" w:rsidRPr="007B3452">
        <w:rPr>
          <w:rFonts w:ascii="Arial" w:hAnsi="Arial" w:cs="Arial"/>
        </w:rPr>
        <w:t>their</w:t>
      </w:r>
      <w:r w:rsidR="00D85860" w:rsidRPr="007B3452">
        <w:rPr>
          <w:rFonts w:ascii="Arial" w:hAnsi="Arial" w:cs="Arial"/>
        </w:rPr>
        <w:t xml:space="preserve"> </w:t>
      </w:r>
      <w:r w:rsidR="001D55EF" w:rsidRPr="007B3452">
        <w:rPr>
          <w:rFonts w:ascii="Arial" w:hAnsi="Arial" w:cs="Arial"/>
        </w:rPr>
        <w:t>members</w:t>
      </w:r>
      <w:r w:rsidR="00D85860" w:rsidRPr="007B3452">
        <w:rPr>
          <w:rFonts w:ascii="Arial" w:hAnsi="Arial" w:cs="Arial"/>
        </w:rPr>
        <w:t>.</w:t>
      </w:r>
    </w:p>
    <w:p w14:paraId="524F92E7" w14:textId="445365C6" w:rsidR="00115C3C" w:rsidRPr="007B3452" w:rsidRDefault="00D85860" w:rsidP="00B44C1E">
      <w:pPr>
        <w:spacing w:before="200" w:after="240"/>
        <w:jc w:val="both"/>
        <w:rPr>
          <w:rFonts w:ascii="Arial" w:hAnsi="Arial" w:cs="Arial"/>
        </w:rPr>
      </w:pPr>
      <w:r w:rsidRPr="007B3452">
        <w:rPr>
          <w:rFonts w:ascii="Arial" w:hAnsi="Arial" w:cs="Arial"/>
        </w:rPr>
        <w:t>A</w:t>
      </w:r>
      <w:r w:rsidR="00115C3C" w:rsidRPr="007B3452">
        <w:rPr>
          <w:rFonts w:ascii="Arial" w:hAnsi="Arial" w:cs="Arial"/>
        </w:rPr>
        <w:t xml:space="preserve">n Australian Pensions Advice Allowance could </w:t>
      </w:r>
      <w:r w:rsidRPr="007B3452">
        <w:rPr>
          <w:rFonts w:ascii="Arial" w:hAnsi="Arial" w:cs="Arial"/>
        </w:rPr>
        <w:t>be limited to up to $1000</w:t>
      </w:r>
      <w:r w:rsidR="00B44C1E" w:rsidRPr="007B3452">
        <w:rPr>
          <w:rFonts w:ascii="Arial" w:hAnsi="Arial" w:cs="Arial"/>
        </w:rPr>
        <w:t xml:space="preserve"> up to three times in an individual’s lifetime, allowing access to licensed financial advice in different stages of life (e.g. during the accumulation phase, during the years leading up to retirement, and during retirement). It would be appropriate to include safeguards for people with extremely low superannuation balances for whom withdrawing funds would be unreasonable and represent poor value-for-money.</w:t>
      </w:r>
    </w:p>
    <w:p w14:paraId="4E742E14" w14:textId="0172E8CE" w:rsidR="006E6B39" w:rsidRPr="007B3452" w:rsidRDefault="00734FA5" w:rsidP="00B44C1E">
      <w:pPr>
        <w:spacing w:before="200" w:after="240"/>
        <w:jc w:val="both"/>
        <w:rPr>
          <w:rFonts w:ascii="Arial" w:hAnsi="Arial" w:cs="Arial"/>
        </w:rPr>
      </w:pPr>
      <w:r w:rsidRPr="007B3452">
        <w:rPr>
          <w:rFonts w:ascii="Arial" w:hAnsi="Arial" w:cs="Arial"/>
        </w:rPr>
        <w:t>A</w:t>
      </w:r>
      <w:r w:rsidR="00FA310A" w:rsidRPr="007B3452">
        <w:rPr>
          <w:rFonts w:ascii="Arial" w:hAnsi="Arial" w:cs="Arial"/>
        </w:rPr>
        <w:t xml:space="preserve">n Australian Pensions Advice Allowance would </w:t>
      </w:r>
      <w:r w:rsidR="007A2C4B" w:rsidRPr="007B3452">
        <w:rPr>
          <w:rFonts w:ascii="Arial" w:hAnsi="Arial" w:cs="Arial"/>
        </w:rPr>
        <w:t xml:space="preserve">also </w:t>
      </w:r>
      <w:r w:rsidR="00FA310A" w:rsidRPr="007B3452">
        <w:rPr>
          <w:rFonts w:ascii="Arial" w:hAnsi="Arial" w:cs="Arial"/>
        </w:rPr>
        <w:t xml:space="preserve">make </w:t>
      </w:r>
      <w:r w:rsidR="00554EC2" w:rsidRPr="007B3452">
        <w:rPr>
          <w:rFonts w:ascii="Arial" w:hAnsi="Arial" w:cs="Arial"/>
        </w:rPr>
        <w:t xml:space="preserve">licensed </w:t>
      </w:r>
      <w:r w:rsidR="007A2C4B" w:rsidRPr="007B3452">
        <w:rPr>
          <w:rFonts w:ascii="Arial" w:hAnsi="Arial" w:cs="Arial"/>
        </w:rPr>
        <w:t xml:space="preserve">financial </w:t>
      </w:r>
      <w:r w:rsidR="00FA310A" w:rsidRPr="007B3452">
        <w:rPr>
          <w:rFonts w:ascii="Arial" w:hAnsi="Arial" w:cs="Arial"/>
        </w:rPr>
        <w:t xml:space="preserve">advice access </w:t>
      </w:r>
      <w:r w:rsidR="0049356A" w:rsidRPr="007B3452">
        <w:rPr>
          <w:rFonts w:ascii="Arial" w:hAnsi="Arial" w:cs="Arial"/>
        </w:rPr>
        <w:t xml:space="preserve">in relation to superannuation and retirement </w:t>
      </w:r>
      <w:r w:rsidR="001461BF" w:rsidRPr="007B3452">
        <w:rPr>
          <w:rFonts w:ascii="Arial" w:hAnsi="Arial" w:cs="Arial"/>
        </w:rPr>
        <w:t>universally a</w:t>
      </w:r>
      <w:r w:rsidR="007A2C4B" w:rsidRPr="007B3452">
        <w:rPr>
          <w:rFonts w:ascii="Arial" w:hAnsi="Arial" w:cs="Arial"/>
        </w:rPr>
        <w:t>vailable</w:t>
      </w:r>
      <w:r w:rsidR="001461BF" w:rsidRPr="007B3452">
        <w:rPr>
          <w:rFonts w:ascii="Arial" w:hAnsi="Arial" w:cs="Arial"/>
        </w:rPr>
        <w:t xml:space="preserve"> </w:t>
      </w:r>
      <w:r w:rsidR="007E7C32" w:rsidRPr="007B3452">
        <w:rPr>
          <w:rFonts w:ascii="Arial" w:hAnsi="Arial" w:cs="Arial"/>
        </w:rPr>
        <w:t>for all Australian</w:t>
      </w:r>
      <w:r w:rsidR="0049356A" w:rsidRPr="007B3452">
        <w:rPr>
          <w:rFonts w:ascii="Arial" w:hAnsi="Arial" w:cs="Arial"/>
        </w:rPr>
        <w:t>s</w:t>
      </w:r>
      <w:r w:rsidR="0023634A" w:rsidRPr="007B3452">
        <w:rPr>
          <w:rFonts w:ascii="Arial" w:hAnsi="Arial" w:cs="Arial"/>
        </w:rPr>
        <w:t>,</w:t>
      </w:r>
      <w:r w:rsidR="007E7C32" w:rsidRPr="007B3452">
        <w:rPr>
          <w:rFonts w:ascii="Arial" w:hAnsi="Arial" w:cs="Arial"/>
        </w:rPr>
        <w:t xml:space="preserve"> </w:t>
      </w:r>
      <w:r w:rsidR="00F06171" w:rsidRPr="007B3452">
        <w:rPr>
          <w:rFonts w:ascii="Arial" w:hAnsi="Arial" w:cs="Arial"/>
        </w:rPr>
        <w:t xml:space="preserve">compared to the </w:t>
      </w:r>
      <w:r w:rsidR="0023634A" w:rsidRPr="007B3452">
        <w:rPr>
          <w:rFonts w:ascii="Arial" w:hAnsi="Arial" w:cs="Arial"/>
        </w:rPr>
        <w:t xml:space="preserve">current </w:t>
      </w:r>
      <w:r w:rsidR="00F06171" w:rsidRPr="007B3452">
        <w:rPr>
          <w:rFonts w:ascii="Arial" w:hAnsi="Arial" w:cs="Arial"/>
        </w:rPr>
        <w:t>limited access</w:t>
      </w:r>
      <w:r w:rsidR="0023634A" w:rsidRPr="007B3452">
        <w:rPr>
          <w:rFonts w:ascii="Arial" w:hAnsi="Arial" w:cs="Arial"/>
        </w:rPr>
        <w:t xml:space="preserve">, and limited scope </w:t>
      </w:r>
      <w:r w:rsidR="00F06171" w:rsidRPr="007B3452">
        <w:rPr>
          <w:rFonts w:ascii="Arial" w:hAnsi="Arial" w:cs="Arial"/>
        </w:rPr>
        <w:t xml:space="preserve">intra-fund advice </w:t>
      </w:r>
      <w:r w:rsidR="0023634A" w:rsidRPr="007B3452">
        <w:rPr>
          <w:rFonts w:ascii="Arial" w:hAnsi="Arial" w:cs="Arial"/>
        </w:rPr>
        <w:t xml:space="preserve">services </w:t>
      </w:r>
      <w:r w:rsidR="007F3679" w:rsidRPr="007B3452">
        <w:rPr>
          <w:rFonts w:ascii="Arial" w:hAnsi="Arial" w:cs="Arial"/>
        </w:rPr>
        <w:t xml:space="preserve">which </w:t>
      </w:r>
      <w:r w:rsidR="0023634A" w:rsidRPr="007B3452">
        <w:rPr>
          <w:rFonts w:ascii="Arial" w:hAnsi="Arial" w:cs="Arial"/>
        </w:rPr>
        <w:t>are</w:t>
      </w:r>
      <w:r w:rsidR="007F3679" w:rsidRPr="007B3452">
        <w:rPr>
          <w:rFonts w:ascii="Arial" w:hAnsi="Arial" w:cs="Arial"/>
        </w:rPr>
        <w:t xml:space="preserve"> </w:t>
      </w:r>
      <w:r w:rsidR="00A82594" w:rsidRPr="007B3452">
        <w:rPr>
          <w:rFonts w:ascii="Arial" w:hAnsi="Arial" w:cs="Arial"/>
        </w:rPr>
        <w:t>not offered by all superannuation trustees</w:t>
      </w:r>
      <w:r w:rsidR="007E7C32" w:rsidRPr="007B3452">
        <w:rPr>
          <w:rFonts w:ascii="Arial" w:hAnsi="Arial" w:cs="Arial"/>
        </w:rPr>
        <w:t xml:space="preserve">. </w:t>
      </w:r>
    </w:p>
    <w:p w14:paraId="51C38BCC" w14:textId="77777777" w:rsidR="00D85860" w:rsidRPr="007B3452" w:rsidRDefault="00D85860" w:rsidP="00D85860">
      <w:pPr>
        <w:spacing w:before="200" w:after="240"/>
        <w:jc w:val="both"/>
        <w:rPr>
          <w:rFonts w:ascii="Arial" w:hAnsi="Arial" w:cs="Arial"/>
        </w:rPr>
      </w:pPr>
    </w:p>
    <w:p w14:paraId="55D6EFD1" w14:textId="77777777" w:rsidR="007E0B43" w:rsidRPr="007B3452" w:rsidRDefault="001B337A" w:rsidP="001B337A">
      <w:pPr>
        <w:rPr>
          <w:rFonts w:ascii="Arial" w:hAnsi="Arial" w:cs="Arial"/>
        </w:rPr>
      </w:pPr>
      <w:r w:rsidRPr="007B3452">
        <w:rPr>
          <w:rFonts w:ascii="Arial" w:hAnsi="Arial" w:cs="Arial"/>
          <w:b/>
        </w:rPr>
        <w:t>Recommendation</w:t>
      </w:r>
      <w:r w:rsidR="007E0B43" w:rsidRPr="007B3452">
        <w:rPr>
          <w:rFonts w:ascii="Arial" w:hAnsi="Arial" w:cs="Arial"/>
          <w:b/>
        </w:rPr>
        <w:t xml:space="preserve"> 2</w:t>
      </w:r>
      <w:r w:rsidRPr="007B3452">
        <w:rPr>
          <w:rFonts w:ascii="Arial" w:hAnsi="Arial" w:cs="Arial"/>
          <w:b/>
        </w:rPr>
        <w:t>:</w:t>
      </w:r>
      <w:r w:rsidRPr="007B3452">
        <w:rPr>
          <w:rFonts w:ascii="Arial" w:hAnsi="Arial" w:cs="Arial"/>
        </w:rPr>
        <w:t xml:space="preserve"> </w:t>
      </w:r>
    </w:p>
    <w:p w14:paraId="31BB158B" w14:textId="77777777" w:rsidR="00720783" w:rsidRPr="007B3452" w:rsidRDefault="001B337A">
      <w:pPr>
        <w:rPr>
          <w:rFonts w:ascii="Arial" w:eastAsiaTheme="majorEastAsia" w:hAnsi="Arial" w:cs="Arial"/>
          <w:b/>
          <w:color w:val="5BBBB7"/>
          <w:sz w:val="32"/>
          <w:szCs w:val="32"/>
        </w:rPr>
      </w:pPr>
      <w:r w:rsidRPr="007B3452">
        <w:rPr>
          <w:rFonts w:ascii="Arial" w:hAnsi="Arial" w:cs="Arial"/>
        </w:rPr>
        <w:t>The FPA recommends th</w:t>
      </w:r>
      <w:r w:rsidR="007E0B43" w:rsidRPr="007B3452">
        <w:rPr>
          <w:rFonts w:ascii="Arial" w:hAnsi="Arial" w:cs="Arial"/>
        </w:rPr>
        <w:t>e Government</w:t>
      </w:r>
      <w:r w:rsidR="00E643C5" w:rsidRPr="007B3452">
        <w:rPr>
          <w:rFonts w:ascii="Arial" w:hAnsi="Arial" w:cs="Arial"/>
        </w:rPr>
        <w:t xml:space="preserve"> consider whether</w:t>
      </w:r>
      <w:r w:rsidR="007E0B43" w:rsidRPr="007B3452">
        <w:rPr>
          <w:rFonts w:ascii="Arial" w:hAnsi="Arial" w:cs="Arial"/>
        </w:rPr>
        <w:t xml:space="preserve"> a Pension</w:t>
      </w:r>
      <w:r w:rsidR="00621DFF" w:rsidRPr="007B3452">
        <w:rPr>
          <w:rFonts w:ascii="Arial" w:hAnsi="Arial" w:cs="Arial"/>
        </w:rPr>
        <w:t>s</w:t>
      </w:r>
      <w:r w:rsidR="007E0B43" w:rsidRPr="007B3452">
        <w:rPr>
          <w:rFonts w:ascii="Arial" w:hAnsi="Arial" w:cs="Arial"/>
        </w:rPr>
        <w:t xml:space="preserve"> Advice Allowance</w:t>
      </w:r>
      <w:r w:rsidR="00E643C5" w:rsidRPr="007B3452">
        <w:rPr>
          <w:rFonts w:ascii="Arial" w:hAnsi="Arial" w:cs="Arial"/>
        </w:rPr>
        <w:t xml:space="preserve">, </w:t>
      </w:r>
      <w:r w:rsidR="000C02F6" w:rsidRPr="007B3452">
        <w:rPr>
          <w:rFonts w:ascii="Arial" w:hAnsi="Arial" w:cs="Arial"/>
        </w:rPr>
        <w:t>like</w:t>
      </w:r>
      <w:r w:rsidR="00E643C5" w:rsidRPr="007B3452">
        <w:rPr>
          <w:rFonts w:ascii="Arial" w:hAnsi="Arial" w:cs="Arial"/>
        </w:rPr>
        <w:t xml:space="preserve"> that which has been adopted by the UK Government, would assist Australians in accessing qualified financial advice</w:t>
      </w:r>
      <w:r w:rsidR="007E0B43" w:rsidRPr="007B3452">
        <w:rPr>
          <w:rFonts w:ascii="Arial" w:hAnsi="Arial" w:cs="Arial"/>
        </w:rPr>
        <w:t xml:space="preserve">. </w:t>
      </w:r>
      <w:r w:rsidR="00720783" w:rsidRPr="007B3452">
        <w:rPr>
          <w:rFonts w:ascii="Arial" w:hAnsi="Arial" w:cs="Arial"/>
        </w:rPr>
        <w:br w:type="page"/>
      </w:r>
    </w:p>
    <w:p w14:paraId="71364F8F" w14:textId="77777777" w:rsidR="00CD6A4E" w:rsidRPr="007B3452" w:rsidRDefault="00CD6A4E" w:rsidP="00CD6A4E">
      <w:pPr>
        <w:pStyle w:val="Heading1"/>
        <w:rPr>
          <w:rFonts w:ascii="Arial" w:hAnsi="Arial" w:cs="Arial"/>
        </w:rPr>
      </w:pPr>
      <w:bookmarkStart w:id="6" w:name="_Toc535503307"/>
      <w:r w:rsidRPr="007B3452">
        <w:rPr>
          <w:rFonts w:ascii="Arial" w:hAnsi="Arial" w:cs="Arial"/>
        </w:rPr>
        <w:lastRenderedPageBreak/>
        <w:t>Protecting Consumers</w:t>
      </w:r>
      <w:bookmarkEnd w:id="6"/>
    </w:p>
    <w:p w14:paraId="48A9DC22" w14:textId="77777777" w:rsidR="0056333E" w:rsidRPr="007B3452" w:rsidRDefault="0056333E" w:rsidP="00144BEB">
      <w:pPr>
        <w:pStyle w:val="Heading2"/>
        <w:rPr>
          <w:rFonts w:ascii="Arial" w:hAnsi="Arial" w:cs="Arial"/>
        </w:rPr>
      </w:pPr>
    </w:p>
    <w:p w14:paraId="4B970787" w14:textId="2FA78519" w:rsidR="001E0433" w:rsidRPr="007B3452" w:rsidRDefault="001E0433" w:rsidP="00144BEB">
      <w:pPr>
        <w:pStyle w:val="Heading2"/>
        <w:rPr>
          <w:rFonts w:ascii="Arial" w:hAnsi="Arial" w:cs="Arial"/>
        </w:rPr>
      </w:pPr>
      <w:bookmarkStart w:id="7" w:name="_Toc535503308"/>
      <w:r w:rsidRPr="007B3452">
        <w:rPr>
          <w:rFonts w:ascii="Arial" w:hAnsi="Arial" w:cs="Arial"/>
        </w:rPr>
        <w:t xml:space="preserve">Renaming </w:t>
      </w:r>
      <w:r w:rsidR="00606F1B" w:rsidRPr="007B3452">
        <w:rPr>
          <w:rFonts w:ascii="Arial" w:hAnsi="Arial" w:cs="Arial"/>
        </w:rPr>
        <w:t>“</w:t>
      </w:r>
      <w:r w:rsidRPr="007B3452">
        <w:rPr>
          <w:rFonts w:ascii="Arial" w:hAnsi="Arial" w:cs="Arial"/>
        </w:rPr>
        <w:t>general advice</w:t>
      </w:r>
      <w:r w:rsidR="00606F1B" w:rsidRPr="007B3452">
        <w:rPr>
          <w:rFonts w:ascii="Arial" w:hAnsi="Arial" w:cs="Arial"/>
        </w:rPr>
        <w:t>”</w:t>
      </w:r>
      <w:bookmarkEnd w:id="7"/>
    </w:p>
    <w:p w14:paraId="7C089324" w14:textId="77777777" w:rsidR="00B44C1E" w:rsidRPr="007B3452" w:rsidRDefault="00B44C1E" w:rsidP="001E0433">
      <w:pPr>
        <w:rPr>
          <w:rFonts w:ascii="Arial" w:hAnsi="Arial" w:cs="Arial"/>
        </w:rPr>
      </w:pPr>
      <w:r w:rsidRPr="007B3452">
        <w:rPr>
          <w:rFonts w:ascii="Arial" w:hAnsi="Arial" w:cs="Arial"/>
        </w:rPr>
        <w:t>There is some evidence that consumers can be confused with the phrase</w:t>
      </w:r>
      <w:r w:rsidR="00606F1B" w:rsidRPr="007B3452">
        <w:rPr>
          <w:rFonts w:ascii="Arial" w:hAnsi="Arial" w:cs="Arial"/>
        </w:rPr>
        <w:t>s</w:t>
      </w:r>
      <w:r w:rsidRPr="007B3452">
        <w:rPr>
          <w:rFonts w:ascii="Arial" w:hAnsi="Arial" w:cs="Arial"/>
        </w:rPr>
        <w:t xml:space="preserve"> “general advice” </w:t>
      </w:r>
      <w:r w:rsidR="00606F1B" w:rsidRPr="007B3452">
        <w:rPr>
          <w:rFonts w:ascii="Arial" w:hAnsi="Arial" w:cs="Arial"/>
        </w:rPr>
        <w:t xml:space="preserve">and “personal advice” </w:t>
      </w:r>
      <w:r w:rsidRPr="007B3452">
        <w:rPr>
          <w:rFonts w:ascii="Arial" w:hAnsi="Arial" w:cs="Arial"/>
        </w:rPr>
        <w:t xml:space="preserve">as currently defined by the </w:t>
      </w:r>
      <w:r w:rsidRPr="007B3452">
        <w:rPr>
          <w:rFonts w:ascii="Arial" w:hAnsi="Arial" w:cs="Arial"/>
          <w:i/>
        </w:rPr>
        <w:t>Corporations Act 2001</w:t>
      </w:r>
      <w:r w:rsidR="00606F1B" w:rsidRPr="007B3452">
        <w:rPr>
          <w:rFonts w:ascii="Arial" w:hAnsi="Arial" w:cs="Arial"/>
        </w:rPr>
        <w:t>. Consumers can mistakenly think that any advice they receive has been tailored to their circumstances and has specifically considered their objectives, financial situation and needs. However, only “personal advice” satisfies this description. “General advice” is more properly described as general information that may or may not be relevant to a consumer’s circumstances.</w:t>
      </w:r>
    </w:p>
    <w:p w14:paraId="7001C8C2" w14:textId="77777777" w:rsidR="00606F1B" w:rsidRPr="007B3452" w:rsidRDefault="00606F1B" w:rsidP="001E0433">
      <w:pPr>
        <w:rPr>
          <w:rFonts w:ascii="Arial" w:hAnsi="Arial" w:cs="Arial"/>
        </w:rPr>
      </w:pPr>
      <w:r w:rsidRPr="007B3452">
        <w:rPr>
          <w:rFonts w:ascii="Arial" w:hAnsi="Arial" w:cs="Arial"/>
        </w:rPr>
        <w:t xml:space="preserve">To remove this potential confusion, the FPA considers that the phrase “advice” should only be used for information that has been tailored to a consumer’s personal circumstances as is currently the case with “personal advice”. “General advice” should be renamed to better reflect its content </w:t>
      </w:r>
      <w:r w:rsidR="005163E5" w:rsidRPr="007B3452">
        <w:rPr>
          <w:rFonts w:ascii="Arial" w:hAnsi="Arial" w:cs="Arial"/>
        </w:rPr>
        <w:t>of general information and ensure that consumers can reliably judge between the two.</w:t>
      </w:r>
    </w:p>
    <w:p w14:paraId="0F7F9DE9" w14:textId="77777777" w:rsidR="001E0433" w:rsidRPr="007B3452" w:rsidRDefault="001D55EF" w:rsidP="001E0433">
      <w:pPr>
        <w:rPr>
          <w:rFonts w:ascii="Arial" w:hAnsi="Arial" w:cs="Arial"/>
        </w:rPr>
      </w:pPr>
      <w:r w:rsidRPr="007B3452">
        <w:rPr>
          <w:rFonts w:ascii="Arial" w:hAnsi="Arial" w:cs="Arial"/>
        </w:rPr>
        <w:t>The FPA supports the</w:t>
      </w:r>
      <w:r w:rsidR="000579E6" w:rsidRPr="007B3452">
        <w:rPr>
          <w:rFonts w:ascii="Arial" w:hAnsi="Arial" w:cs="Arial"/>
        </w:rPr>
        <w:t xml:space="preserve"> Productivity Commission</w:t>
      </w:r>
      <w:r w:rsidR="00AB1751" w:rsidRPr="007B3452">
        <w:rPr>
          <w:rFonts w:ascii="Arial" w:hAnsi="Arial" w:cs="Arial"/>
        </w:rPr>
        <w:t>’</w:t>
      </w:r>
      <w:r w:rsidR="000579E6" w:rsidRPr="007B3452">
        <w:rPr>
          <w:rFonts w:ascii="Arial" w:hAnsi="Arial" w:cs="Arial"/>
        </w:rPr>
        <w:t>s</w:t>
      </w:r>
      <w:r w:rsidRPr="007B3452">
        <w:rPr>
          <w:rFonts w:ascii="Arial" w:hAnsi="Arial" w:cs="Arial"/>
        </w:rPr>
        <w:t xml:space="preserve"> recommendation </w:t>
      </w:r>
      <w:r w:rsidR="000579E6" w:rsidRPr="007B3452">
        <w:rPr>
          <w:rFonts w:ascii="Arial" w:hAnsi="Arial" w:cs="Arial"/>
        </w:rPr>
        <w:t>10.2:</w:t>
      </w:r>
    </w:p>
    <w:p w14:paraId="2DD9A89F" w14:textId="77777777" w:rsidR="000579E6" w:rsidRPr="007B3452" w:rsidRDefault="000579E6" w:rsidP="000579E6">
      <w:pPr>
        <w:pStyle w:val="Rec"/>
        <w:keepNext/>
        <w:ind w:left="720"/>
        <w:rPr>
          <w:rFonts w:cs="Arial"/>
          <w:i/>
          <w:szCs w:val="22"/>
        </w:rPr>
      </w:pPr>
      <w:r w:rsidRPr="007B3452">
        <w:rPr>
          <w:rFonts w:cs="Arial"/>
          <w:i/>
          <w:szCs w:val="22"/>
        </w:rPr>
        <w:t>General advice, as defined in the Corporations Act 2001 (</w:t>
      </w:r>
      <w:proofErr w:type="spellStart"/>
      <w:r w:rsidRPr="007B3452">
        <w:rPr>
          <w:rFonts w:cs="Arial"/>
          <w:i/>
          <w:szCs w:val="22"/>
        </w:rPr>
        <w:t>Cth</w:t>
      </w:r>
      <w:proofErr w:type="spellEnd"/>
      <w:r w:rsidRPr="007B3452">
        <w:rPr>
          <w:rFonts w:cs="Arial"/>
          <w:i/>
          <w:szCs w:val="22"/>
        </w:rPr>
        <w:t xml:space="preserve">), is a misleading term and should be renamed. Any replacement must ensure that the term ‘advice’ can only be used in association with ‘personal advice’ — that is, advice that takes into consideration personal circumstances. </w:t>
      </w:r>
    </w:p>
    <w:p w14:paraId="12269F5A" w14:textId="77777777" w:rsidR="000579E6" w:rsidRPr="007B3452" w:rsidRDefault="000579E6" w:rsidP="000579E6">
      <w:pPr>
        <w:pStyle w:val="Rec"/>
        <w:keepNext/>
        <w:ind w:left="720"/>
        <w:rPr>
          <w:rFonts w:cs="Arial"/>
          <w:i/>
          <w:szCs w:val="22"/>
        </w:rPr>
      </w:pPr>
      <w:r w:rsidRPr="007B3452">
        <w:rPr>
          <w:rFonts w:cs="Arial"/>
          <w:i/>
          <w:szCs w:val="22"/>
        </w:rPr>
        <w:t>Consumer testing of alternative terminology is required to ensure that misinterpretation and excessive reliance on this type of information is minimised. Including time for consumer testing and a transition period to enable industry training and adjustment, a new term should be in effect by mid</w:t>
      </w:r>
      <w:r w:rsidRPr="007B3452">
        <w:rPr>
          <w:rFonts w:cs="Arial"/>
          <w:i/>
          <w:szCs w:val="22"/>
        </w:rPr>
        <w:noBreakHyphen/>
        <w:t>2020.</w:t>
      </w:r>
      <w:r w:rsidRPr="007B3452">
        <w:rPr>
          <w:rStyle w:val="FootnoteReference"/>
          <w:rFonts w:ascii="Arial" w:hAnsi="Arial" w:cs="Arial"/>
          <w:i/>
          <w:szCs w:val="22"/>
        </w:rPr>
        <w:footnoteReference w:id="5"/>
      </w:r>
    </w:p>
    <w:p w14:paraId="6EBBED06" w14:textId="77777777" w:rsidR="00F45678" w:rsidRPr="007B3452" w:rsidRDefault="00F45678" w:rsidP="00F45678">
      <w:pPr>
        <w:spacing w:line="240" w:lineRule="auto"/>
        <w:rPr>
          <w:rFonts w:ascii="Arial" w:eastAsia="Times New Roman" w:hAnsi="Arial" w:cs="Arial"/>
          <w:color w:val="000000" w:themeColor="text1"/>
          <w:szCs w:val="20"/>
          <w:lang w:eastAsia="en-AU"/>
        </w:rPr>
      </w:pPr>
    </w:p>
    <w:p w14:paraId="3A80FB43" w14:textId="77777777" w:rsidR="00F45678" w:rsidRPr="007B3452" w:rsidRDefault="00F45678" w:rsidP="00F45678">
      <w:pPr>
        <w:spacing w:line="240" w:lineRule="auto"/>
        <w:ind w:right="480"/>
        <w:rPr>
          <w:rFonts w:ascii="Arial" w:eastAsia="Times New Roman" w:hAnsi="Arial" w:cs="Arial"/>
          <w:color w:val="000000" w:themeColor="text1"/>
          <w:szCs w:val="20"/>
          <w:lang w:eastAsia="en-AU"/>
        </w:rPr>
      </w:pPr>
      <w:r w:rsidRPr="007B3452">
        <w:rPr>
          <w:rFonts w:ascii="Arial" w:eastAsia="Times New Roman" w:hAnsi="Arial" w:cs="Arial"/>
          <w:color w:val="000000" w:themeColor="text1"/>
          <w:szCs w:val="20"/>
          <w:lang w:eastAsia="en-AU"/>
        </w:rPr>
        <w:t>This should be a renaming of the term ‘general advice’ only. Licensing and all the other forms of regulation which currently apply to ‘general advice’ should remain in place and apply under the alternative terminology.</w:t>
      </w:r>
    </w:p>
    <w:p w14:paraId="01340B64" w14:textId="77777777" w:rsidR="000579E6" w:rsidRPr="007B3452" w:rsidRDefault="000579E6" w:rsidP="001E0433">
      <w:pPr>
        <w:rPr>
          <w:rFonts w:ascii="Arial" w:hAnsi="Arial" w:cs="Arial"/>
        </w:rPr>
      </w:pPr>
    </w:p>
    <w:p w14:paraId="44A5AAD5" w14:textId="77777777" w:rsidR="001E0433" w:rsidRPr="007B3452" w:rsidRDefault="001E0433" w:rsidP="001E0433">
      <w:pPr>
        <w:rPr>
          <w:rFonts w:ascii="Arial" w:hAnsi="Arial" w:cs="Arial"/>
          <w:b/>
        </w:rPr>
      </w:pPr>
      <w:r w:rsidRPr="007B3452">
        <w:rPr>
          <w:rFonts w:ascii="Arial" w:hAnsi="Arial" w:cs="Arial"/>
          <w:b/>
        </w:rPr>
        <w:t xml:space="preserve">Recommendation 3: </w:t>
      </w:r>
    </w:p>
    <w:p w14:paraId="22978D5E" w14:textId="77777777" w:rsidR="001E0433" w:rsidRPr="007B3452" w:rsidRDefault="001E0433" w:rsidP="001E0433">
      <w:pPr>
        <w:rPr>
          <w:rFonts w:ascii="Arial" w:hAnsi="Arial" w:cs="Arial"/>
          <w:b/>
        </w:rPr>
      </w:pPr>
      <w:r w:rsidRPr="007B3452">
        <w:rPr>
          <w:rFonts w:ascii="Arial" w:hAnsi="Arial" w:cs="Arial"/>
        </w:rPr>
        <w:t>The FPA recommends the Government</w:t>
      </w:r>
      <w:r w:rsidR="00AB1751" w:rsidRPr="007B3452">
        <w:rPr>
          <w:rFonts w:ascii="Arial" w:hAnsi="Arial" w:cs="Arial"/>
        </w:rPr>
        <w:t xml:space="preserve"> implements the Productivity Commission’s recommendation 10.2 </w:t>
      </w:r>
      <w:r w:rsidRPr="007B3452">
        <w:rPr>
          <w:rFonts w:ascii="Arial" w:hAnsi="Arial" w:cs="Arial"/>
        </w:rPr>
        <w:t xml:space="preserve">to rename </w:t>
      </w:r>
      <w:r w:rsidR="00AB1751" w:rsidRPr="007B3452">
        <w:rPr>
          <w:rFonts w:ascii="Arial" w:hAnsi="Arial" w:cs="Arial"/>
        </w:rPr>
        <w:t xml:space="preserve">the term </w:t>
      </w:r>
      <w:r w:rsidRPr="007B3452">
        <w:rPr>
          <w:rFonts w:ascii="Arial" w:hAnsi="Arial" w:cs="Arial"/>
        </w:rPr>
        <w:t xml:space="preserve">“general advice” </w:t>
      </w:r>
      <w:r w:rsidR="00AB1751" w:rsidRPr="007B3452">
        <w:rPr>
          <w:rFonts w:ascii="Arial" w:hAnsi="Arial" w:cs="Arial"/>
        </w:rPr>
        <w:t xml:space="preserve">in the </w:t>
      </w:r>
      <w:r w:rsidR="00AB1751" w:rsidRPr="007B3452">
        <w:rPr>
          <w:rFonts w:ascii="Arial" w:hAnsi="Arial" w:cs="Arial"/>
          <w:i/>
        </w:rPr>
        <w:t xml:space="preserve">Corporations Act </w:t>
      </w:r>
      <w:r w:rsidR="00AB1751" w:rsidRPr="007B3452">
        <w:rPr>
          <w:rFonts w:ascii="Arial" w:hAnsi="Arial" w:cs="Arial"/>
        </w:rPr>
        <w:t>2001 and only use the term “advice” in association with personal advice</w:t>
      </w:r>
      <w:r w:rsidRPr="007B3452">
        <w:rPr>
          <w:rFonts w:ascii="Arial" w:hAnsi="Arial" w:cs="Arial"/>
        </w:rPr>
        <w:t>.</w:t>
      </w:r>
    </w:p>
    <w:p w14:paraId="2B1701E0" w14:textId="77777777" w:rsidR="001E0433" w:rsidRPr="007B3452" w:rsidRDefault="001E0433" w:rsidP="001E0433">
      <w:pPr>
        <w:rPr>
          <w:rFonts w:ascii="Arial" w:hAnsi="Arial" w:cs="Arial"/>
        </w:rPr>
      </w:pPr>
    </w:p>
    <w:p w14:paraId="2CAFC717" w14:textId="77777777" w:rsidR="00144BEB" w:rsidRPr="007B3452" w:rsidRDefault="00144BEB" w:rsidP="00144BEB">
      <w:pPr>
        <w:pStyle w:val="Heading2"/>
        <w:rPr>
          <w:rFonts w:ascii="Arial" w:hAnsi="Arial" w:cs="Arial"/>
        </w:rPr>
      </w:pPr>
      <w:bookmarkStart w:id="8" w:name="_Toc535503309"/>
      <w:r w:rsidRPr="007B3452">
        <w:rPr>
          <w:rFonts w:ascii="Arial" w:hAnsi="Arial" w:cs="Arial"/>
        </w:rPr>
        <w:t>General advice warning</w:t>
      </w:r>
      <w:bookmarkEnd w:id="8"/>
    </w:p>
    <w:p w14:paraId="6E759997" w14:textId="77777777" w:rsidR="00E643C5" w:rsidRPr="007B3452" w:rsidRDefault="00144BEB" w:rsidP="00CD6A4E">
      <w:pPr>
        <w:rPr>
          <w:rFonts w:ascii="Arial" w:hAnsi="Arial" w:cs="Arial"/>
        </w:rPr>
      </w:pPr>
      <w:r w:rsidRPr="007B3452">
        <w:rPr>
          <w:rFonts w:ascii="Arial" w:hAnsi="Arial" w:cs="Arial"/>
        </w:rPr>
        <w:t xml:space="preserve">It is important that consumers seeking advice about their finances are properly informed about the nature of the advice they are receiving. </w:t>
      </w:r>
    </w:p>
    <w:p w14:paraId="309226B3" w14:textId="77777777" w:rsidR="00144BEB" w:rsidRPr="007B3452" w:rsidRDefault="007136C5" w:rsidP="00CD6A4E">
      <w:pPr>
        <w:rPr>
          <w:rFonts w:ascii="Arial" w:hAnsi="Arial" w:cs="Arial"/>
        </w:rPr>
      </w:pPr>
      <w:r w:rsidRPr="007B3452">
        <w:rPr>
          <w:rFonts w:ascii="Arial" w:hAnsi="Arial" w:cs="Arial"/>
        </w:rPr>
        <w:t xml:space="preserve">Regulatory Guidance </w:t>
      </w:r>
      <w:r w:rsidR="00E643C5" w:rsidRPr="007B3452">
        <w:rPr>
          <w:rFonts w:ascii="Arial" w:hAnsi="Arial" w:cs="Arial"/>
        </w:rPr>
        <w:t xml:space="preserve">(RG) </w:t>
      </w:r>
      <w:r w:rsidRPr="007B3452">
        <w:rPr>
          <w:rFonts w:ascii="Arial" w:hAnsi="Arial" w:cs="Arial"/>
        </w:rPr>
        <w:t xml:space="preserve">244 sets out ASIC’s expectations for </w:t>
      </w:r>
      <w:r w:rsidR="00144BEB" w:rsidRPr="007B3452">
        <w:rPr>
          <w:rFonts w:ascii="Arial" w:hAnsi="Arial" w:cs="Arial"/>
        </w:rPr>
        <w:t>advisers</w:t>
      </w:r>
      <w:r w:rsidRPr="007B3452">
        <w:rPr>
          <w:rFonts w:ascii="Arial" w:hAnsi="Arial" w:cs="Arial"/>
        </w:rPr>
        <w:t xml:space="preserve"> </w:t>
      </w:r>
      <w:r w:rsidR="00144BEB" w:rsidRPr="007B3452">
        <w:rPr>
          <w:rFonts w:ascii="Arial" w:hAnsi="Arial" w:cs="Arial"/>
        </w:rPr>
        <w:t xml:space="preserve">when </w:t>
      </w:r>
      <w:r w:rsidRPr="007B3452">
        <w:rPr>
          <w:rFonts w:ascii="Arial" w:hAnsi="Arial" w:cs="Arial"/>
        </w:rPr>
        <w:t xml:space="preserve">giving </w:t>
      </w:r>
      <w:r w:rsidR="00144BEB" w:rsidRPr="007B3452">
        <w:rPr>
          <w:rFonts w:ascii="Arial" w:hAnsi="Arial" w:cs="Arial"/>
        </w:rPr>
        <w:t xml:space="preserve">their clients </w:t>
      </w:r>
      <w:proofErr w:type="gramStart"/>
      <w:r w:rsidRPr="007B3452">
        <w:rPr>
          <w:rFonts w:ascii="Arial" w:hAnsi="Arial" w:cs="Arial"/>
        </w:rPr>
        <w:t>factual information</w:t>
      </w:r>
      <w:proofErr w:type="gramEnd"/>
      <w:r w:rsidRPr="007B3452">
        <w:rPr>
          <w:rFonts w:ascii="Arial" w:hAnsi="Arial" w:cs="Arial"/>
        </w:rPr>
        <w:t xml:space="preserve">, general advice, personal advice and scaled advice. </w:t>
      </w:r>
      <w:r w:rsidR="00E643C5" w:rsidRPr="007B3452">
        <w:rPr>
          <w:rFonts w:ascii="Arial" w:hAnsi="Arial" w:cs="Arial"/>
        </w:rPr>
        <w:t xml:space="preserve">While RG 244 is principally aimed at Australian Financial Services (AFS) licensees and their authorised </w:t>
      </w:r>
      <w:r w:rsidR="00E643C5" w:rsidRPr="007B3452">
        <w:rPr>
          <w:rFonts w:ascii="Arial" w:hAnsi="Arial" w:cs="Arial"/>
        </w:rPr>
        <w:lastRenderedPageBreak/>
        <w:t xml:space="preserve">representatives, it notes that the Corporations Regulations provide an exemption that allows </w:t>
      </w:r>
      <w:r w:rsidR="00DA5840" w:rsidRPr="007B3452">
        <w:rPr>
          <w:rFonts w:ascii="Arial" w:hAnsi="Arial" w:cs="Arial"/>
        </w:rPr>
        <w:t xml:space="preserve">a </w:t>
      </w:r>
      <w:r w:rsidR="00E643C5" w:rsidRPr="007B3452">
        <w:rPr>
          <w:rFonts w:ascii="Arial" w:hAnsi="Arial" w:cs="Arial"/>
        </w:rPr>
        <w:t>financial product issuer to give general advice</w:t>
      </w:r>
      <w:r w:rsidR="00DA5840" w:rsidRPr="007B3452">
        <w:rPr>
          <w:rFonts w:ascii="Arial" w:hAnsi="Arial" w:cs="Arial"/>
        </w:rPr>
        <w:t xml:space="preserve"> to a client</w:t>
      </w:r>
      <w:r w:rsidR="00E643C5" w:rsidRPr="007B3452">
        <w:rPr>
          <w:rFonts w:ascii="Arial" w:hAnsi="Arial" w:cs="Arial"/>
        </w:rPr>
        <w:t>.</w:t>
      </w:r>
    </w:p>
    <w:p w14:paraId="71E369C8" w14:textId="77777777" w:rsidR="00144BEB" w:rsidRPr="007B3452" w:rsidRDefault="007136C5" w:rsidP="00CD6A4E">
      <w:pPr>
        <w:rPr>
          <w:rFonts w:ascii="Arial" w:hAnsi="Arial" w:cs="Arial"/>
        </w:rPr>
      </w:pPr>
      <w:r w:rsidRPr="007B3452">
        <w:rPr>
          <w:rFonts w:ascii="Arial" w:hAnsi="Arial" w:cs="Arial"/>
        </w:rPr>
        <w:t>ASIC recommends that, where an</w:t>
      </w:r>
      <w:r w:rsidR="00144BEB" w:rsidRPr="007B3452">
        <w:rPr>
          <w:rFonts w:ascii="Arial" w:hAnsi="Arial" w:cs="Arial"/>
        </w:rPr>
        <w:t xml:space="preserve"> adviser</w:t>
      </w:r>
      <w:r w:rsidRPr="007B3452">
        <w:rPr>
          <w:rFonts w:ascii="Arial" w:hAnsi="Arial" w:cs="Arial"/>
        </w:rPr>
        <w:t xml:space="preserve"> is giving general advice, they should take reasonable steps to ensure the client understands that the advice being provided is general advice</w:t>
      </w:r>
      <w:r w:rsidR="00DA5840" w:rsidRPr="007B3452">
        <w:rPr>
          <w:rFonts w:ascii="Arial" w:hAnsi="Arial" w:cs="Arial"/>
        </w:rPr>
        <w:t xml:space="preserve"> only</w:t>
      </w:r>
      <w:r w:rsidRPr="007B3452">
        <w:rPr>
          <w:rFonts w:ascii="Arial" w:hAnsi="Arial" w:cs="Arial"/>
        </w:rPr>
        <w:t xml:space="preserve"> and does not take into consideration the client’s specific objectives or financial situation.</w:t>
      </w:r>
    </w:p>
    <w:p w14:paraId="3C5E05CF" w14:textId="77777777" w:rsidR="00DA5840" w:rsidRPr="007B3452" w:rsidRDefault="00144BEB" w:rsidP="00CD6A4E">
      <w:pPr>
        <w:rPr>
          <w:rFonts w:ascii="Arial" w:hAnsi="Arial" w:cs="Arial"/>
        </w:rPr>
      </w:pPr>
      <w:r w:rsidRPr="007B3452">
        <w:rPr>
          <w:rFonts w:ascii="Arial" w:hAnsi="Arial" w:cs="Arial"/>
        </w:rPr>
        <w:t xml:space="preserve">While this is an important </w:t>
      </w:r>
      <w:r w:rsidR="00DA5840" w:rsidRPr="007B3452">
        <w:rPr>
          <w:rFonts w:ascii="Arial" w:hAnsi="Arial" w:cs="Arial"/>
        </w:rPr>
        <w:t>warning</w:t>
      </w:r>
      <w:r w:rsidRPr="007B3452">
        <w:rPr>
          <w:rFonts w:ascii="Arial" w:hAnsi="Arial" w:cs="Arial"/>
        </w:rPr>
        <w:t xml:space="preserve">, the FPA considers that </w:t>
      </w:r>
      <w:r w:rsidR="005163E5" w:rsidRPr="007B3452">
        <w:rPr>
          <w:rFonts w:ascii="Arial" w:hAnsi="Arial" w:cs="Arial"/>
        </w:rPr>
        <w:t xml:space="preserve">when </w:t>
      </w:r>
      <w:r w:rsidR="00DA5840" w:rsidRPr="007B3452">
        <w:rPr>
          <w:rFonts w:ascii="Arial" w:hAnsi="Arial" w:cs="Arial"/>
        </w:rPr>
        <w:t>clients</w:t>
      </w:r>
      <w:r w:rsidR="005163E5" w:rsidRPr="007B3452">
        <w:rPr>
          <w:rFonts w:ascii="Arial" w:hAnsi="Arial" w:cs="Arial"/>
        </w:rPr>
        <w:t xml:space="preserve"> are receiving general </w:t>
      </w:r>
      <w:proofErr w:type="gramStart"/>
      <w:r w:rsidR="005163E5" w:rsidRPr="007B3452">
        <w:rPr>
          <w:rFonts w:ascii="Arial" w:hAnsi="Arial" w:cs="Arial"/>
        </w:rPr>
        <w:t>advice</w:t>
      </w:r>
      <w:proofErr w:type="gramEnd"/>
      <w:r w:rsidR="005163E5" w:rsidRPr="007B3452">
        <w:rPr>
          <w:rFonts w:ascii="Arial" w:hAnsi="Arial" w:cs="Arial"/>
        </w:rPr>
        <w:t xml:space="preserve"> they </w:t>
      </w:r>
      <w:r w:rsidR="00DA5840" w:rsidRPr="007B3452">
        <w:rPr>
          <w:rFonts w:ascii="Arial" w:hAnsi="Arial" w:cs="Arial"/>
        </w:rPr>
        <w:t>should</w:t>
      </w:r>
      <w:r w:rsidRPr="007B3452">
        <w:rPr>
          <w:rFonts w:ascii="Arial" w:hAnsi="Arial" w:cs="Arial"/>
        </w:rPr>
        <w:t xml:space="preserve"> </w:t>
      </w:r>
      <w:r w:rsidR="00E643C5" w:rsidRPr="007B3452">
        <w:rPr>
          <w:rFonts w:ascii="Arial" w:hAnsi="Arial" w:cs="Arial"/>
        </w:rPr>
        <w:t xml:space="preserve">also </w:t>
      </w:r>
      <w:r w:rsidR="00DA5840" w:rsidRPr="007B3452">
        <w:rPr>
          <w:rFonts w:ascii="Arial" w:hAnsi="Arial" w:cs="Arial"/>
        </w:rPr>
        <w:t>be in</w:t>
      </w:r>
      <w:r w:rsidR="00E643C5" w:rsidRPr="007B3452">
        <w:rPr>
          <w:rFonts w:ascii="Arial" w:hAnsi="Arial" w:cs="Arial"/>
        </w:rPr>
        <w:t xml:space="preserve">formed that they should consider whether they would benefit from </w:t>
      </w:r>
      <w:r w:rsidR="005163E5" w:rsidRPr="007B3452">
        <w:rPr>
          <w:rFonts w:ascii="Arial" w:hAnsi="Arial" w:cs="Arial"/>
        </w:rPr>
        <w:t xml:space="preserve">receiving </w:t>
      </w:r>
      <w:r w:rsidR="00E643C5" w:rsidRPr="007B3452">
        <w:rPr>
          <w:rFonts w:ascii="Arial" w:hAnsi="Arial" w:cs="Arial"/>
        </w:rPr>
        <w:t xml:space="preserve">personal advice </w:t>
      </w:r>
      <w:r w:rsidR="00DA5840" w:rsidRPr="007B3452">
        <w:rPr>
          <w:rFonts w:ascii="Arial" w:hAnsi="Arial" w:cs="Arial"/>
        </w:rPr>
        <w:t>that reflects their objectives</w:t>
      </w:r>
      <w:r w:rsidR="005163E5" w:rsidRPr="007B3452">
        <w:rPr>
          <w:rFonts w:ascii="Arial" w:hAnsi="Arial" w:cs="Arial"/>
        </w:rPr>
        <w:t xml:space="preserve">, </w:t>
      </w:r>
      <w:r w:rsidR="00DA5840" w:rsidRPr="007B3452">
        <w:rPr>
          <w:rFonts w:ascii="Arial" w:hAnsi="Arial" w:cs="Arial"/>
        </w:rPr>
        <w:t>financial situation</w:t>
      </w:r>
      <w:r w:rsidR="005163E5" w:rsidRPr="007B3452">
        <w:rPr>
          <w:rFonts w:ascii="Arial" w:hAnsi="Arial" w:cs="Arial"/>
        </w:rPr>
        <w:t xml:space="preserve"> and needs</w:t>
      </w:r>
      <w:r w:rsidR="00DA5840" w:rsidRPr="007B3452">
        <w:rPr>
          <w:rFonts w:ascii="Arial" w:hAnsi="Arial" w:cs="Arial"/>
        </w:rPr>
        <w:t>.</w:t>
      </w:r>
    </w:p>
    <w:p w14:paraId="7E119C41" w14:textId="77777777" w:rsidR="00DA5840" w:rsidRPr="007B3452" w:rsidRDefault="00DA5840" w:rsidP="00CD6A4E">
      <w:pPr>
        <w:rPr>
          <w:rFonts w:ascii="Arial" w:hAnsi="Arial" w:cs="Arial"/>
        </w:rPr>
      </w:pPr>
      <w:r w:rsidRPr="007B3452">
        <w:rPr>
          <w:rFonts w:ascii="Arial" w:hAnsi="Arial" w:cs="Arial"/>
        </w:rPr>
        <w:t>This additional information would ensure that clients are not mistaken about the nature of the advice they are receiving, and they are given the option of seeking personal advice from a licensed financial planner</w:t>
      </w:r>
      <w:r w:rsidR="005163E5" w:rsidRPr="007B3452">
        <w:rPr>
          <w:rFonts w:ascii="Arial" w:hAnsi="Arial" w:cs="Arial"/>
        </w:rPr>
        <w:t xml:space="preserve"> if they wish</w:t>
      </w:r>
      <w:r w:rsidRPr="007B3452">
        <w:rPr>
          <w:rFonts w:ascii="Arial" w:hAnsi="Arial" w:cs="Arial"/>
        </w:rPr>
        <w:t>.</w:t>
      </w:r>
    </w:p>
    <w:p w14:paraId="04A46373" w14:textId="77777777" w:rsidR="0045785A" w:rsidRPr="007B3452" w:rsidRDefault="0045785A" w:rsidP="0045785A">
      <w:pPr>
        <w:spacing w:before="120" w:line="240" w:lineRule="auto"/>
        <w:ind w:right="120"/>
        <w:rPr>
          <w:rFonts w:ascii="Arial" w:eastAsia="Times New Roman" w:hAnsi="Arial" w:cs="Arial"/>
          <w:color w:val="000000" w:themeColor="text1"/>
          <w:szCs w:val="20"/>
          <w:lang w:eastAsia="en-AU"/>
        </w:rPr>
      </w:pPr>
      <w:r w:rsidRPr="007B3452">
        <w:rPr>
          <w:rFonts w:ascii="Arial" w:eastAsia="Times New Roman" w:hAnsi="Arial" w:cs="Arial"/>
          <w:color w:val="000000" w:themeColor="text1"/>
          <w:szCs w:val="20"/>
          <w:lang w:eastAsia="en-AU"/>
        </w:rPr>
        <w:t xml:space="preserve">However, the Productivity Commission’s Recommendation 10.2 is not </w:t>
      </w:r>
      <w:proofErr w:type="gramStart"/>
      <w:r w:rsidRPr="007B3452">
        <w:rPr>
          <w:rFonts w:ascii="Arial" w:eastAsia="Times New Roman" w:hAnsi="Arial" w:cs="Arial"/>
          <w:color w:val="000000" w:themeColor="text1"/>
          <w:szCs w:val="20"/>
          <w:lang w:eastAsia="en-AU"/>
        </w:rPr>
        <w:t>sufficient</w:t>
      </w:r>
      <w:proofErr w:type="gramEnd"/>
      <w:r w:rsidRPr="007B3452">
        <w:rPr>
          <w:rFonts w:ascii="Arial" w:eastAsia="Times New Roman" w:hAnsi="Arial" w:cs="Arial"/>
          <w:color w:val="000000" w:themeColor="text1"/>
          <w:szCs w:val="20"/>
          <w:lang w:eastAsia="en-AU"/>
        </w:rPr>
        <w:t xml:space="preserve"> to address the problems that can arise where financial products are sold under a general advice model. Additional changes are also necessary, including:</w:t>
      </w:r>
    </w:p>
    <w:p w14:paraId="3187F3BE" w14:textId="77777777" w:rsidR="0045785A" w:rsidRPr="007B3452" w:rsidRDefault="0045785A" w:rsidP="005D113D">
      <w:pPr>
        <w:pStyle w:val="ListParagraph"/>
        <w:numPr>
          <w:ilvl w:val="0"/>
          <w:numId w:val="1"/>
        </w:numPr>
        <w:ind w:hanging="357"/>
        <w:contextualSpacing w:val="0"/>
        <w:rPr>
          <w:rFonts w:ascii="Arial" w:hAnsi="Arial" w:cs="Arial"/>
        </w:rPr>
      </w:pPr>
      <w:r w:rsidRPr="007B3452">
        <w:rPr>
          <w:rFonts w:ascii="Arial" w:hAnsi="Arial" w:cs="Arial"/>
        </w:rPr>
        <w:t xml:space="preserve">Consumer warning – the current ‘general advice’ warning under s949A of the </w:t>
      </w:r>
      <w:r w:rsidRPr="007B3452">
        <w:rPr>
          <w:rFonts w:ascii="Arial" w:hAnsi="Arial" w:cs="Arial"/>
          <w:i/>
        </w:rPr>
        <w:t>Corporations Act</w:t>
      </w:r>
      <w:r w:rsidR="00AB1751" w:rsidRPr="007B3452">
        <w:rPr>
          <w:rFonts w:ascii="Arial" w:hAnsi="Arial" w:cs="Arial"/>
          <w:i/>
        </w:rPr>
        <w:t xml:space="preserve"> 2001</w:t>
      </w:r>
      <w:r w:rsidRPr="007B3452">
        <w:rPr>
          <w:rFonts w:ascii="Arial" w:hAnsi="Arial" w:cs="Arial"/>
        </w:rPr>
        <w:t xml:space="preserve"> should be amended to require the warning to clearly state that:</w:t>
      </w:r>
    </w:p>
    <w:p w14:paraId="2787C73B" w14:textId="77777777" w:rsidR="00AB1751" w:rsidRPr="007B3452" w:rsidRDefault="0045785A" w:rsidP="005D113D">
      <w:pPr>
        <w:pStyle w:val="ListParagraph"/>
        <w:numPr>
          <w:ilvl w:val="1"/>
          <w:numId w:val="1"/>
        </w:numPr>
        <w:ind w:hanging="357"/>
        <w:contextualSpacing w:val="0"/>
        <w:rPr>
          <w:rFonts w:ascii="Arial" w:hAnsi="Arial" w:cs="Arial"/>
        </w:rPr>
      </w:pPr>
      <w:r w:rsidRPr="007B3452">
        <w:rPr>
          <w:rFonts w:ascii="Arial" w:hAnsi="Arial" w:cs="Arial"/>
        </w:rPr>
        <w:t>the information does not include any advice in any form;</w:t>
      </w:r>
    </w:p>
    <w:p w14:paraId="67A2DF2E" w14:textId="77777777" w:rsidR="00AB1751" w:rsidRPr="007B3452" w:rsidRDefault="0045785A" w:rsidP="005D113D">
      <w:pPr>
        <w:pStyle w:val="ListParagraph"/>
        <w:numPr>
          <w:ilvl w:val="1"/>
          <w:numId w:val="1"/>
        </w:numPr>
        <w:ind w:hanging="357"/>
        <w:contextualSpacing w:val="0"/>
        <w:rPr>
          <w:rFonts w:ascii="Arial" w:hAnsi="Arial" w:cs="Arial"/>
        </w:rPr>
      </w:pPr>
      <w:r w:rsidRPr="007B3452">
        <w:rPr>
          <w:rFonts w:ascii="Arial" w:hAnsi="Arial" w:cs="Arial"/>
        </w:rPr>
        <w:t>it does not take account of the consumer’s objectives, financial situation or needs;</w:t>
      </w:r>
    </w:p>
    <w:p w14:paraId="63897065" w14:textId="77777777" w:rsidR="00AB1751" w:rsidRPr="007B3452" w:rsidRDefault="0045785A" w:rsidP="005D113D">
      <w:pPr>
        <w:pStyle w:val="ListParagraph"/>
        <w:numPr>
          <w:ilvl w:val="1"/>
          <w:numId w:val="1"/>
        </w:numPr>
        <w:ind w:hanging="357"/>
        <w:contextualSpacing w:val="0"/>
        <w:rPr>
          <w:rFonts w:ascii="Arial" w:hAnsi="Arial" w:cs="Arial"/>
        </w:rPr>
      </w:pPr>
      <w:r w:rsidRPr="007B3452">
        <w:rPr>
          <w:rFonts w:ascii="Arial" w:hAnsi="Arial" w:cs="Arial"/>
        </w:rPr>
        <w:t>it is information only and the best interests of the consumer have not been considered in providing the information; and</w:t>
      </w:r>
    </w:p>
    <w:p w14:paraId="4BB6DEC8" w14:textId="77777777" w:rsidR="0045785A" w:rsidRPr="007B3452" w:rsidRDefault="0045785A" w:rsidP="005D113D">
      <w:pPr>
        <w:pStyle w:val="ListParagraph"/>
        <w:numPr>
          <w:ilvl w:val="1"/>
          <w:numId w:val="1"/>
        </w:numPr>
        <w:ind w:hanging="357"/>
        <w:contextualSpacing w:val="0"/>
        <w:rPr>
          <w:rFonts w:ascii="Arial" w:hAnsi="Arial" w:cs="Arial"/>
        </w:rPr>
      </w:pPr>
      <w:r w:rsidRPr="007B3452">
        <w:rPr>
          <w:rFonts w:ascii="Arial" w:hAnsi="Arial" w:cs="Arial"/>
        </w:rPr>
        <w:t>if the sales representative will be remunerated via a commission or incentive payment for the sale of that product.</w:t>
      </w:r>
    </w:p>
    <w:p w14:paraId="6DEF53CD" w14:textId="77777777" w:rsidR="0045785A" w:rsidRPr="007B3452" w:rsidRDefault="0045785A" w:rsidP="005D113D">
      <w:pPr>
        <w:pStyle w:val="ListParagraph"/>
        <w:numPr>
          <w:ilvl w:val="0"/>
          <w:numId w:val="1"/>
        </w:numPr>
        <w:ind w:hanging="357"/>
        <w:contextualSpacing w:val="0"/>
        <w:rPr>
          <w:rFonts w:ascii="Arial" w:hAnsi="Arial" w:cs="Arial"/>
        </w:rPr>
      </w:pPr>
      <w:r w:rsidRPr="007B3452">
        <w:rPr>
          <w:rFonts w:ascii="Arial" w:hAnsi="Arial" w:cs="Arial"/>
        </w:rPr>
        <w:t xml:space="preserve">Product obligations - </w:t>
      </w:r>
      <w:r w:rsidR="00AB1751" w:rsidRPr="007B3452">
        <w:rPr>
          <w:rFonts w:ascii="Arial" w:hAnsi="Arial" w:cs="Arial"/>
        </w:rPr>
        <w:t>a</w:t>
      </w:r>
      <w:r w:rsidRPr="007B3452">
        <w:rPr>
          <w:rFonts w:ascii="Arial" w:hAnsi="Arial" w:cs="Arial"/>
        </w:rPr>
        <w:t>n obligation on product providers to ensure products sold through ‘general advice’ must be fit for purpose and simple for consumers to understand and assess. This obligation must relate to product design, not just disclosure.</w:t>
      </w:r>
    </w:p>
    <w:p w14:paraId="65E97D32" w14:textId="77777777" w:rsidR="0045785A" w:rsidRPr="007B3452" w:rsidRDefault="0045785A" w:rsidP="005D113D">
      <w:pPr>
        <w:pStyle w:val="ListParagraph"/>
        <w:numPr>
          <w:ilvl w:val="0"/>
          <w:numId w:val="1"/>
        </w:numPr>
        <w:ind w:hanging="357"/>
        <w:contextualSpacing w:val="0"/>
        <w:rPr>
          <w:rFonts w:ascii="Arial" w:hAnsi="Arial" w:cs="Arial"/>
        </w:rPr>
      </w:pPr>
      <w:r w:rsidRPr="007B3452">
        <w:rPr>
          <w:rFonts w:ascii="Arial" w:hAnsi="Arial" w:cs="Arial"/>
        </w:rPr>
        <w:t xml:space="preserve">Product provider ‘target market </w:t>
      </w:r>
      <w:proofErr w:type="gramStart"/>
      <w:r w:rsidRPr="007B3452">
        <w:rPr>
          <w:rFonts w:ascii="Arial" w:hAnsi="Arial" w:cs="Arial"/>
        </w:rPr>
        <w:t>determinations’</w:t>
      </w:r>
      <w:proofErr w:type="gramEnd"/>
      <w:r w:rsidRPr="007B3452">
        <w:rPr>
          <w:rFonts w:ascii="Arial" w:hAnsi="Arial" w:cs="Arial"/>
        </w:rPr>
        <w:t xml:space="preserve"> should include a risk rating for financial products. Target market determinations of products with high risk ratings should be required to include a stronger warning and a recommendation to seek personal financial advice about the product. This could be achieved though regulatory guidance.</w:t>
      </w:r>
    </w:p>
    <w:p w14:paraId="2216D2C4" w14:textId="77777777" w:rsidR="0045785A" w:rsidRPr="007B3452" w:rsidRDefault="0045785A" w:rsidP="005D113D">
      <w:pPr>
        <w:pStyle w:val="ListParagraph"/>
        <w:numPr>
          <w:ilvl w:val="0"/>
          <w:numId w:val="1"/>
        </w:numPr>
        <w:ind w:hanging="357"/>
        <w:contextualSpacing w:val="0"/>
        <w:rPr>
          <w:rFonts w:ascii="Arial" w:hAnsi="Arial" w:cs="Arial"/>
        </w:rPr>
      </w:pPr>
      <w:r w:rsidRPr="007B3452">
        <w:rPr>
          <w:rFonts w:ascii="Arial" w:hAnsi="Arial" w:cs="Arial"/>
        </w:rPr>
        <w:t xml:space="preserve">Licensing exemption - </w:t>
      </w:r>
      <w:r w:rsidR="00AB1751" w:rsidRPr="007B3452">
        <w:rPr>
          <w:rFonts w:ascii="Arial" w:hAnsi="Arial" w:cs="Arial"/>
        </w:rPr>
        <w:t>t</w:t>
      </w:r>
      <w:r w:rsidRPr="007B3452">
        <w:rPr>
          <w:rFonts w:ascii="Arial" w:hAnsi="Arial" w:cs="Arial"/>
        </w:rPr>
        <w:t>he removal of the current licensing exemption for financial product issuers under regulation 7.1.33H.</w:t>
      </w:r>
    </w:p>
    <w:p w14:paraId="60A070AF" w14:textId="77777777" w:rsidR="001B337A" w:rsidRPr="007B3452" w:rsidRDefault="001B337A" w:rsidP="00CD6A4E">
      <w:pPr>
        <w:rPr>
          <w:rFonts w:ascii="Arial" w:hAnsi="Arial" w:cs="Arial"/>
        </w:rPr>
      </w:pPr>
    </w:p>
    <w:p w14:paraId="060FCE5B" w14:textId="77777777" w:rsidR="00C65891" w:rsidRPr="007B3452" w:rsidRDefault="001B337A" w:rsidP="001B337A">
      <w:pPr>
        <w:rPr>
          <w:rFonts w:ascii="Arial" w:hAnsi="Arial" w:cs="Arial"/>
          <w:b/>
        </w:rPr>
      </w:pPr>
      <w:r w:rsidRPr="007B3452">
        <w:rPr>
          <w:rFonts w:ascii="Arial" w:hAnsi="Arial" w:cs="Arial"/>
          <w:b/>
        </w:rPr>
        <w:t>Recommendation</w:t>
      </w:r>
      <w:r w:rsidR="00C65891" w:rsidRPr="007B3452">
        <w:rPr>
          <w:rFonts w:ascii="Arial" w:hAnsi="Arial" w:cs="Arial"/>
          <w:b/>
        </w:rPr>
        <w:t xml:space="preserve"> </w:t>
      </w:r>
      <w:r w:rsidR="005B29AC" w:rsidRPr="007B3452">
        <w:rPr>
          <w:rFonts w:ascii="Arial" w:hAnsi="Arial" w:cs="Arial"/>
          <w:b/>
        </w:rPr>
        <w:t>4</w:t>
      </w:r>
      <w:r w:rsidRPr="007B3452">
        <w:rPr>
          <w:rFonts w:ascii="Arial" w:hAnsi="Arial" w:cs="Arial"/>
          <w:b/>
        </w:rPr>
        <w:t xml:space="preserve">: </w:t>
      </w:r>
    </w:p>
    <w:p w14:paraId="276C384D" w14:textId="77777777" w:rsidR="001B337A" w:rsidRPr="007B3452" w:rsidRDefault="001B337A" w:rsidP="00CD6A4E">
      <w:pPr>
        <w:rPr>
          <w:rFonts w:ascii="Arial" w:hAnsi="Arial" w:cs="Arial"/>
          <w:b/>
        </w:rPr>
      </w:pPr>
      <w:r w:rsidRPr="007B3452">
        <w:rPr>
          <w:rFonts w:ascii="Arial" w:hAnsi="Arial" w:cs="Arial"/>
        </w:rPr>
        <w:t>The FPA recommends th</w:t>
      </w:r>
      <w:r w:rsidR="00C12419" w:rsidRPr="007B3452">
        <w:rPr>
          <w:rFonts w:ascii="Arial" w:hAnsi="Arial" w:cs="Arial"/>
        </w:rPr>
        <w:t>e Government amend</w:t>
      </w:r>
      <w:r w:rsidR="006D09FF" w:rsidRPr="007B3452">
        <w:rPr>
          <w:rFonts w:ascii="Arial" w:hAnsi="Arial" w:cs="Arial"/>
        </w:rPr>
        <w:t>s</w:t>
      </w:r>
      <w:r w:rsidR="00C12419" w:rsidRPr="007B3452">
        <w:rPr>
          <w:rFonts w:ascii="Arial" w:hAnsi="Arial" w:cs="Arial"/>
        </w:rPr>
        <w:t xml:space="preserve"> ASIC Regulatory Guidance 244 to </w:t>
      </w:r>
      <w:r w:rsidR="00AB1751" w:rsidRPr="007B3452">
        <w:rPr>
          <w:rFonts w:ascii="Arial" w:hAnsi="Arial" w:cs="Arial"/>
        </w:rPr>
        <w:t xml:space="preserve">improve the general advice warning </w:t>
      </w:r>
      <w:r w:rsidR="006D09FF" w:rsidRPr="007B3452">
        <w:rPr>
          <w:rFonts w:ascii="Arial" w:hAnsi="Arial" w:cs="Arial"/>
        </w:rPr>
        <w:t>and ensure consumers are properly informed that they are not receiving personal advice and that their interests have not been considered</w:t>
      </w:r>
      <w:r w:rsidR="007136C5" w:rsidRPr="007B3452">
        <w:rPr>
          <w:rFonts w:ascii="Arial" w:hAnsi="Arial" w:cs="Arial"/>
        </w:rPr>
        <w:t>.</w:t>
      </w:r>
    </w:p>
    <w:p w14:paraId="7DB8A122" w14:textId="77777777" w:rsidR="001B337A" w:rsidRPr="007B3452" w:rsidRDefault="001B337A" w:rsidP="00CD6A4E">
      <w:pPr>
        <w:rPr>
          <w:rFonts w:ascii="Arial" w:hAnsi="Arial" w:cs="Arial"/>
        </w:rPr>
      </w:pPr>
    </w:p>
    <w:p w14:paraId="2F0A9A47" w14:textId="77777777" w:rsidR="00CD6A4E" w:rsidRPr="007B3452" w:rsidRDefault="00CD6A4E" w:rsidP="00CD6A4E">
      <w:pPr>
        <w:pStyle w:val="Heading2"/>
        <w:rPr>
          <w:rFonts w:ascii="Arial" w:hAnsi="Arial" w:cs="Arial"/>
        </w:rPr>
      </w:pPr>
      <w:bookmarkStart w:id="9" w:name="_Toc535503310"/>
      <w:r w:rsidRPr="007B3452">
        <w:rPr>
          <w:rFonts w:ascii="Arial" w:hAnsi="Arial" w:cs="Arial"/>
        </w:rPr>
        <w:t xml:space="preserve">Retail, sophisticated </w:t>
      </w:r>
      <w:r w:rsidR="00DE75E6" w:rsidRPr="007B3452">
        <w:rPr>
          <w:rFonts w:ascii="Arial" w:hAnsi="Arial" w:cs="Arial"/>
        </w:rPr>
        <w:t>a</w:t>
      </w:r>
      <w:r w:rsidRPr="007B3452">
        <w:rPr>
          <w:rFonts w:ascii="Arial" w:hAnsi="Arial" w:cs="Arial"/>
        </w:rPr>
        <w:t xml:space="preserve">nd wholesale </w:t>
      </w:r>
      <w:r w:rsidR="00DE75E6" w:rsidRPr="007B3452">
        <w:rPr>
          <w:rFonts w:ascii="Arial" w:hAnsi="Arial" w:cs="Arial"/>
        </w:rPr>
        <w:t>investors/</w:t>
      </w:r>
      <w:r w:rsidR="00986B7A" w:rsidRPr="007B3452">
        <w:rPr>
          <w:rFonts w:ascii="Arial" w:hAnsi="Arial" w:cs="Arial"/>
        </w:rPr>
        <w:t>clients</w:t>
      </w:r>
      <w:bookmarkEnd w:id="9"/>
    </w:p>
    <w:p w14:paraId="44CD5243" w14:textId="77777777" w:rsidR="00E6615C" w:rsidRPr="007B3452" w:rsidRDefault="00986B7A" w:rsidP="00B55410">
      <w:pPr>
        <w:rPr>
          <w:rFonts w:ascii="Arial" w:hAnsi="Arial" w:cs="Arial"/>
        </w:rPr>
      </w:pPr>
      <w:r w:rsidRPr="007B3452">
        <w:rPr>
          <w:rFonts w:ascii="Arial" w:hAnsi="Arial" w:cs="Arial"/>
        </w:rPr>
        <w:t>Investors</w:t>
      </w:r>
      <w:r w:rsidR="00104CF2" w:rsidRPr="007B3452">
        <w:rPr>
          <w:rFonts w:ascii="Arial" w:hAnsi="Arial" w:cs="Arial"/>
        </w:rPr>
        <w:t xml:space="preserve"> are also </w:t>
      </w:r>
      <w:r w:rsidRPr="007B3452">
        <w:rPr>
          <w:rFonts w:ascii="Arial" w:hAnsi="Arial" w:cs="Arial"/>
        </w:rPr>
        <w:t xml:space="preserve">treated differently, and subject to different protections, </w:t>
      </w:r>
      <w:r w:rsidR="00E6615C" w:rsidRPr="007B3452">
        <w:rPr>
          <w:rFonts w:ascii="Arial" w:hAnsi="Arial" w:cs="Arial"/>
        </w:rPr>
        <w:t xml:space="preserve">whether they are deemed to be retail </w:t>
      </w:r>
      <w:r w:rsidRPr="007B3452">
        <w:rPr>
          <w:rFonts w:ascii="Arial" w:hAnsi="Arial" w:cs="Arial"/>
        </w:rPr>
        <w:t>clients</w:t>
      </w:r>
      <w:r w:rsidR="00E6615C" w:rsidRPr="007B3452">
        <w:rPr>
          <w:rFonts w:ascii="Arial" w:hAnsi="Arial" w:cs="Arial"/>
        </w:rPr>
        <w:t xml:space="preserve">, sophisticated investors </w:t>
      </w:r>
      <w:r w:rsidRPr="007B3452">
        <w:rPr>
          <w:rFonts w:ascii="Arial" w:hAnsi="Arial" w:cs="Arial"/>
        </w:rPr>
        <w:t>or</w:t>
      </w:r>
      <w:r w:rsidR="00E6615C" w:rsidRPr="007B3452">
        <w:rPr>
          <w:rFonts w:ascii="Arial" w:hAnsi="Arial" w:cs="Arial"/>
        </w:rPr>
        <w:t xml:space="preserve"> wholesale </w:t>
      </w:r>
      <w:r w:rsidRPr="007B3452">
        <w:rPr>
          <w:rFonts w:ascii="Arial" w:hAnsi="Arial" w:cs="Arial"/>
        </w:rPr>
        <w:t xml:space="preserve">clients under the </w:t>
      </w:r>
      <w:r w:rsidRPr="007B3452">
        <w:rPr>
          <w:rFonts w:ascii="Arial" w:hAnsi="Arial" w:cs="Arial"/>
          <w:i/>
        </w:rPr>
        <w:t>Corporations Act 2001</w:t>
      </w:r>
      <w:r w:rsidR="00E6615C" w:rsidRPr="007B3452">
        <w:rPr>
          <w:rFonts w:ascii="Arial" w:hAnsi="Arial" w:cs="Arial"/>
        </w:rPr>
        <w:t xml:space="preserve">. The overarching goal of these definitions is to provide a level of protection to </w:t>
      </w:r>
      <w:r w:rsidRPr="007B3452">
        <w:rPr>
          <w:rFonts w:ascii="Arial" w:hAnsi="Arial" w:cs="Arial"/>
        </w:rPr>
        <w:t>investors</w:t>
      </w:r>
      <w:r w:rsidR="00E6615C" w:rsidRPr="007B3452">
        <w:rPr>
          <w:rFonts w:ascii="Arial" w:hAnsi="Arial" w:cs="Arial"/>
        </w:rPr>
        <w:t xml:space="preserve"> that is based on </w:t>
      </w:r>
      <w:r w:rsidR="00506EBE" w:rsidRPr="007B3452">
        <w:rPr>
          <w:rFonts w:ascii="Arial" w:hAnsi="Arial" w:cs="Arial"/>
        </w:rPr>
        <w:t xml:space="preserve">their ability to understand and manage the risks inherent in </w:t>
      </w:r>
      <w:r w:rsidRPr="007B3452">
        <w:rPr>
          <w:rFonts w:ascii="Arial" w:hAnsi="Arial" w:cs="Arial"/>
        </w:rPr>
        <w:t>different financial products</w:t>
      </w:r>
      <w:r w:rsidR="00506EBE" w:rsidRPr="007B3452">
        <w:rPr>
          <w:rFonts w:ascii="Arial" w:hAnsi="Arial" w:cs="Arial"/>
        </w:rPr>
        <w:t>.</w:t>
      </w:r>
    </w:p>
    <w:p w14:paraId="13D99E39" w14:textId="77777777" w:rsidR="00DE75E6" w:rsidRPr="007B3452" w:rsidRDefault="00DE75E6" w:rsidP="00B55410">
      <w:pPr>
        <w:rPr>
          <w:rFonts w:ascii="Arial" w:hAnsi="Arial" w:cs="Arial"/>
        </w:rPr>
      </w:pPr>
      <w:r w:rsidRPr="007B3452">
        <w:rPr>
          <w:rFonts w:ascii="Arial" w:hAnsi="Arial" w:cs="Arial"/>
        </w:rPr>
        <w:t>For example, in various circumstances a retail client has the right to receive a financial services guide, a statement of advice, a product disclosure statement and access to compensation and complain</w:t>
      </w:r>
      <w:r w:rsidR="00AC0597" w:rsidRPr="007B3452">
        <w:rPr>
          <w:rFonts w:ascii="Arial" w:hAnsi="Arial" w:cs="Arial"/>
        </w:rPr>
        <w:t>t</w:t>
      </w:r>
      <w:r w:rsidRPr="007B3452">
        <w:rPr>
          <w:rFonts w:ascii="Arial" w:hAnsi="Arial" w:cs="Arial"/>
        </w:rPr>
        <w:t xml:space="preserve"> handling arrangements. These protections are not required for a wholesale client.</w:t>
      </w:r>
    </w:p>
    <w:p w14:paraId="1E97A7EE" w14:textId="77777777" w:rsidR="00104CF2" w:rsidRPr="007B3452" w:rsidRDefault="00E6615C" w:rsidP="00B55410">
      <w:pPr>
        <w:rPr>
          <w:rFonts w:ascii="Arial" w:hAnsi="Arial" w:cs="Arial"/>
        </w:rPr>
      </w:pPr>
      <w:r w:rsidRPr="007B3452">
        <w:rPr>
          <w:rFonts w:ascii="Arial" w:hAnsi="Arial" w:cs="Arial"/>
        </w:rPr>
        <w:t>However, the FPA questions whether the current definitions of</w:t>
      </w:r>
      <w:r w:rsidR="00B55410" w:rsidRPr="007B3452">
        <w:rPr>
          <w:rFonts w:ascii="Arial" w:hAnsi="Arial" w:cs="Arial"/>
        </w:rPr>
        <w:t xml:space="preserve"> retail, sophisticated</w:t>
      </w:r>
      <w:r w:rsidR="00986B7A" w:rsidRPr="007B3452">
        <w:rPr>
          <w:rFonts w:ascii="Arial" w:hAnsi="Arial" w:cs="Arial"/>
        </w:rPr>
        <w:t xml:space="preserve"> </w:t>
      </w:r>
      <w:r w:rsidR="00B55410" w:rsidRPr="007B3452">
        <w:rPr>
          <w:rFonts w:ascii="Arial" w:hAnsi="Arial" w:cs="Arial"/>
        </w:rPr>
        <w:t xml:space="preserve">and wholesale </w:t>
      </w:r>
      <w:r w:rsidR="00DE75E6" w:rsidRPr="007B3452">
        <w:rPr>
          <w:rFonts w:ascii="Arial" w:hAnsi="Arial" w:cs="Arial"/>
        </w:rPr>
        <w:t>investor/</w:t>
      </w:r>
      <w:r w:rsidR="00986B7A" w:rsidRPr="007B3452">
        <w:rPr>
          <w:rFonts w:ascii="Arial" w:hAnsi="Arial" w:cs="Arial"/>
        </w:rPr>
        <w:t>client</w:t>
      </w:r>
      <w:r w:rsidRPr="007B3452">
        <w:rPr>
          <w:rFonts w:ascii="Arial" w:hAnsi="Arial" w:cs="Arial"/>
        </w:rPr>
        <w:t xml:space="preserve"> remain relevant </w:t>
      </w:r>
      <w:r w:rsidR="00DE75E6" w:rsidRPr="007B3452">
        <w:rPr>
          <w:rFonts w:ascii="Arial" w:hAnsi="Arial" w:cs="Arial"/>
        </w:rPr>
        <w:t xml:space="preserve">in the contemporary context </w:t>
      </w:r>
      <w:r w:rsidRPr="007B3452">
        <w:rPr>
          <w:rFonts w:ascii="Arial" w:hAnsi="Arial" w:cs="Arial"/>
        </w:rPr>
        <w:t>and strongly supports a review of the definitions</w:t>
      </w:r>
      <w:r w:rsidR="00B55410" w:rsidRPr="007B3452">
        <w:rPr>
          <w:rFonts w:ascii="Arial" w:hAnsi="Arial" w:cs="Arial"/>
        </w:rPr>
        <w:t xml:space="preserve">. </w:t>
      </w:r>
    </w:p>
    <w:p w14:paraId="3B122A48" w14:textId="77777777" w:rsidR="00E6615C" w:rsidRPr="007B3452" w:rsidRDefault="00E6615C" w:rsidP="00B55410">
      <w:pPr>
        <w:rPr>
          <w:rFonts w:ascii="Arial" w:hAnsi="Arial" w:cs="Arial"/>
        </w:rPr>
      </w:pPr>
      <w:r w:rsidRPr="007B3452">
        <w:rPr>
          <w:rFonts w:ascii="Arial" w:hAnsi="Arial" w:cs="Arial"/>
        </w:rPr>
        <w:t>T</w:t>
      </w:r>
      <w:r w:rsidR="00B55410" w:rsidRPr="007B3452">
        <w:rPr>
          <w:rFonts w:ascii="Arial" w:hAnsi="Arial" w:cs="Arial"/>
        </w:rPr>
        <w:t>here are several difficulties with the retail/sophisticated investor distinction</w:t>
      </w:r>
      <w:r w:rsidRPr="007B3452">
        <w:rPr>
          <w:rFonts w:ascii="Arial" w:hAnsi="Arial" w:cs="Arial"/>
        </w:rPr>
        <w:t>:</w:t>
      </w:r>
    </w:p>
    <w:p w14:paraId="42ECD74F" w14:textId="77777777" w:rsidR="00E6615C" w:rsidRPr="007B3452" w:rsidRDefault="00B55410" w:rsidP="005D113D">
      <w:pPr>
        <w:pStyle w:val="ListParagraph"/>
        <w:numPr>
          <w:ilvl w:val="0"/>
          <w:numId w:val="1"/>
        </w:numPr>
        <w:ind w:left="714" w:hanging="357"/>
        <w:contextualSpacing w:val="0"/>
        <w:rPr>
          <w:rFonts w:ascii="Arial" w:hAnsi="Arial" w:cs="Arial"/>
        </w:rPr>
      </w:pPr>
      <w:r w:rsidRPr="007B3452">
        <w:rPr>
          <w:rFonts w:ascii="Arial" w:hAnsi="Arial" w:cs="Arial"/>
        </w:rPr>
        <w:t xml:space="preserve">the distinction is based on the wealth of the investor, rather than a qualitative and/or quantitative measure of their financial </w:t>
      </w:r>
      <w:r w:rsidR="00640B59" w:rsidRPr="007B3452">
        <w:rPr>
          <w:rFonts w:ascii="Arial" w:hAnsi="Arial" w:cs="Arial"/>
        </w:rPr>
        <w:t>capability</w:t>
      </w:r>
      <w:r w:rsidRPr="007B3452">
        <w:rPr>
          <w:rFonts w:ascii="Arial" w:hAnsi="Arial" w:cs="Arial"/>
        </w:rPr>
        <w:t>;</w:t>
      </w:r>
    </w:p>
    <w:p w14:paraId="6DFA5284" w14:textId="77777777" w:rsidR="00E6615C" w:rsidRPr="007B3452" w:rsidRDefault="00B55410" w:rsidP="005D113D">
      <w:pPr>
        <w:pStyle w:val="ListParagraph"/>
        <w:numPr>
          <w:ilvl w:val="0"/>
          <w:numId w:val="1"/>
        </w:numPr>
        <w:ind w:left="714" w:hanging="357"/>
        <w:contextualSpacing w:val="0"/>
        <w:rPr>
          <w:rFonts w:ascii="Arial" w:hAnsi="Arial" w:cs="Arial"/>
        </w:rPr>
      </w:pPr>
      <w:r w:rsidRPr="007B3452">
        <w:rPr>
          <w:rFonts w:ascii="Arial" w:hAnsi="Arial" w:cs="Arial"/>
        </w:rPr>
        <w:t>the distinction does not incorporate behavioural elements into the categorisation or basic understanding of how these participants will operate;</w:t>
      </w:r>
    </w:p>
    <w:p w14:paraId="2880C88F" w14:textId="77777777" w:rsidR="00E6615C" w:rsidRPr="007B3452" w:rsidRDefault="00B55410" w:rsidP="005D113D">
      <w:pPr>
        <w:pStyle w:val="ListParagraph"/>
        <w:numPr>
          <w:ilvl w:val="0"/>
          <w:numId w:val="1"/>
        </w:numPr>
        <w:ind w:left="714" w:hanging="357"/>
        <w:contextualSpacing w:val="0"/>
        <w:rPr>
          <w:rFonts w:ascii="Arial" w:hAnsi="Arial" w:cs="Arial"/>
        </w:rPr>
      </w:pPr>
      <w:r w:rsidRPr="007B3452">
        <w:rPr>
          <w:rFonts w:ascii="Arial" w:hAnsi="Arial" w:cs="Arial"/>
        </w:rPr>
        <w:t>the distinction functions to remove judgement and discretion from financial intermediaries regarding their conduct towards clients with differing degrees of financial capability, and;</w:t>
      </w:r>
    </w:p>
    <w:p w14:paraId="256C8FE0" w14:textId="77777777" w:rsidR="00B55410" w:rsidRPr="007B3452" w:rsidRDefault="00B55410" w:rsidP="005D113D">
      <w:pPr>
        <w:pStyle w:val="ListParagraph"/>
        <w:numPr>
          <w:ilvl w:val="0"/>
          <w:numId w:val="1"/>
        </w:numPr>
        <w:ind w:left="714" w:hanging="357"/>
        <w:contextualSpacing w:val="0"/>
        <w:rPr>
          <w:rFonts w:ascii="Arial" w:hAnsi="Arial" w:cs="Arial"/>
        </w:rPr>
      </w:pPr>
      <w:r w:rsidRPr="007B3452">
        <w:rPr>
          <w:rFonts w:ascii="Arial" w:hAnsi="Arial" w:cs="Arial"/>
        </w:rPr>
        <w:t>the distinction, when paired with a disclosure-based system of regulation, encourages documentary compliance with little consumer protection benefit or improvement in financial capability or opportunity.</w:t>
      </w:r>
    </w:p>
    <w:p w14:paraId="50D85778" w14:textId="77777777" w:rsidR="00B55410" w:rsidRPr="007B3452" w:rsidRDefault="00506EBE" w:rsidP="00B55410">
      <w:pPr>
        <w:rPr>
          <w:rFonts w:ascii="Arial" w:hAnsi="Arial" w:cs="Arial"/>
        </w:rPr>
      </w:pPr>
      <w:r w:rsidRPr="007B3452">
        <w:rPr>
          <w:rFonts w:ascii="Arial" w:hAnsi="Arial" w:cs="Arial"/>
        </w:rPr>
        <w:t>The FPA suggests that the Government adopt a</w:t>
      </w:r>
      <w:r w:rsidR="00B55410" w:rsidRPr="007B3452">
        <w:rPr>
          <w:rFonts w:ascii="Arial" w:hAnsi="Arial" w:cs="Arial"/>
        </w:rPr>
        <w:t xml:space="preserve">n updated concept of the </w:t>
      </w:r>
      <w:r w:rsidRPr="007B3452">
        <w:rPr>
          <w:rFonts w:ascii="Arial" w:hAnsi="Arial" w:cs="Arial"/>
        </w:rPr>
        <w:t>“</w:t>
      </w:r>
      <w:r w:rsidR="00B55410" w:rsidRPr="007B3452">
        <w:rPr>
          <w:rFonts w:ascii="Arial" w:hAnsi="Arial" w:cs="Arial"/>
        </w:rPr>
        <w:t>financial citizen</w:t>
      </w:r>
      <w:r w:rsidRPr="007B3452">
        <w:rPr>
          <w:rFonts w:ascii="Arial" w:hAnsi="Arial" w:cs="Arial"/>
        </w:rPr>
        <w:t>”</w:t>
      </w:r>
      <w:r w:rsidR="00B55410" w:rsidRPr="007B3452">
        <w:rPr>
          <w:rFonts w:ascii="Arial" w:hAnsi="Arial" w:cs="Arial"/>
        </w:rPr>
        <w:t xml:space="preserve">, as a standard that incorporates the behaviour, capacity, and opportunity of </w:t>
      </w:r>
      <w:r w:rsidR="00640B59" w:rsidRPr="007B3452">
        <w:rPr>
          <w:rFonts w:ascii="Arial" w:hAnsi="Arial" w:cs="Arial"/>
        </w:rPr>
        <w:t>consumers</w:t>
      </w:r>
      <w:r w:rsidR="00B55410" w:rsidRPr="007B3452">
        <w:rPr>
          <w:rFonts w:ascii="Arial" w:hAnsi="Arial" w:cs="Arial"/>
        </w:rPr>
        <w:t xml:space="preserve">, </w:t>
      </w:r>
      <w:r w:rsidRPr="007B3452">
        <w:rPr>
          <w:rFonts w:ascii="Arial" w:hAnsi="Arial" w:cs="Arial"/>
        </w:rPr>
        <w:t>to guide the engagement between advisers and their clients</w:t>
      </w:r>
      <w:r w:rsidR="00B55410" w:rsidRPr="007B3452">
        <w:rPr>
          <w:rFonts w:ascii="Arial" w:hAnsi="Arial" w:cs="Arial"/>
        </w:rPr>
        <w:t xml:space="preserve">. </w:t>
      </w:r>
      <w:r w:rsidRPr="007B3452">
        <w:rPr>
          <w:rFonts w:ascii="Arial" w:hAnsi="Arial" w:cs="Arial"/>
        </w:rPr>
        <w:t>When compared with the existing retail/sophisticated investor definitions, this approach</w:t>
      </w:r>
      <w:r w:rsidR="00B55410" w:rsidRPr="007B3452">
        <w:rPr>
          <w:rFonts w:ascii="Arial" w:hAnsi="Arial" w:cs="Arial"/>
        </w:rPr>
        <w:t xml:space="preserve"> would </w:t>
      </w:r>
      <w:r w:rsidRPr="007B3452">
        <w:rPr>
          <w:rFonts w:ascii="Arial" w:hAnsi="Arial" w:cs="Arial"/>
        </w:rPr>
        <w:t xml:space="preserve">provide a more appropriate level of protection for </w:t>
      </w:r>
      <w:r w:rsidR="00640B59" w:rsidRPr="007B3452">
        <w:rPr>
          <w:rFonts w:ascii="Arial" w:hAnsi="Arial" w:cs="Arial"/>
        </w:rPr>
        <w:t xml:space="preserve">consumers </w:t>
      </w:r>
      <w:r w:rsidRPr="007B3452">
        <w:rPr>
          <w:rFonts w:ascii="Arial" w:hAnsi="Arial" w:cs="Arial"/>
        </w:rPr>
        <w:t xml:space="preserve">and </w:t>
      </w:r>
      <w:r w:rsidR="00B55410" w:rsidRPr="007B3452">
        <w:rPr>
          <w:rFonts w:ascii="Arial" w:hAnsi="Arial" w:cs="Arial"/>
        </w:rPr>
        <w:t>offer greater flexibility to the financial services sector as to how institutions manage their relationships with clients.</w:t>
      </w:r>
    </w:p>
    <w:p w14:paraId="16A0814B" w14:textId="77777777" w:rsidR="00B55410" w:rsidRPr="007B3452" w:rsidRDefault="00E6615C" w:rsidP="00B55410">
      <w:pPr>
        <w:rPr>
          <w:rFonts w:ascii="Arial" w:hAnsi="Arial" w:cs="Arial"/>
        </w:rPr>
      </w:pPr>
      <w:r w:rsidRPr="007B3452">
        <w:rPr>
          <w:rFonts w:ascii="Arial" w:hAnsi="Arial" w:cs="Arial"/>
        </w:rPr>
        <w:t xml:space="preserve">The FPA has previously </w:t>
      </w:r>
      <w:r w:rsidR="00B55410" w:rsidRPr="007B3452">
        <w:rPr>
          <w:rFonts w:ascii="Arial" w:hAnsi="Arial" w:cs="Arial"/>
        </w:rPr>
        <w:t>proposed a series of reforms to the foundational legal and regulatory concepts which underpin the definition:</w:t>
      </w:r>
    </w:p>
    <w:p w14:paraId="268CE6E6" w14:textId="77777777" w:rsidR="00B55410" w:rsidRPr="007B3452" w:rsidRDefault="00B55410" w:rsidP="005D113D">
      <w:pPr>
        <w:pStyle w:val="ListParagraph"/>
        <w:numPr>
          <w:ilvl w:val="0"/>
          <w:numId w:val="1"/>
        </w:numPr>
        <w:ind w:left="714" w:hanging="357"/>
        <w:contextualSpacing w:val="0"/>
        <w:rPr>
          <w:rFonts w:ascii="Arial" w:hAnsi="Arial" w:cs="Arial"/>
        </w:rPr>
      </w:pPr>
      <w:r w:rsidRPr="007B3452">
        <w:rPr>
          <w:rFonts w:ascii="Arial" w:hAnsi="Arial" w:cs="Arial"/>
        </w:rPr>
        <w:t xml:space="preserve">Investor/consumer: </w:t>
      </w:r>
      <w:r w:rsidR="0049743E" w:rsidRPr="007B3452">
        <w:rPr>
          <w:rFonts w:ascii="Arial" w:hAnsi="Arial" w:cs="Arial"/>
        </w:rPr>
        <w:t>consumers</w:t>
      </w:r>
      <w:r w:rsidRPr="007B3452">
        <w:rPr>
          <w:rFonts w:ascii="Arial" w:hAnsi="Arial" w:cs="Arial"/>
        </w:rPr>
        <w:t xml:space="preserve"> could be categorised with respect to the purpose they have engaged with the financial system. </w:t>
      </w:r>
      <w:proofErr w:type="gramStart"/>
      <w:r w:rsidRPr="007B3452">
        <w:rPr>
          <w:rFonts w:ascii="Arial" w:hAnsi="Arial" w:cs="Arial"/>
        </w:rPr>
        <w:t xml:space="preserve">In particular, </w:t>
      </w:r>
      <w:r w:rsidR="0049743E" w:rsidRPr="007B3452">
        <w:rPr>
          <w:rFonts w:ascii="Arial" w:hAnsi="Arial" w:cs="Arial"/>
        </w:rPr>
        <w:t>consumers</w:t>
      </w:r>
      <w:proofErr w:type="gramEnd"/>
      <w:r w:rsidR="0049743E" w:rsidRPr="007B3452">
        <w:rPr>
          <w:rFonts w:ascii="Arial" w:hAnsi="Arial" w:cs="Arial"/>
        </w:rPr>
        <w:t xml:space="preserve"> </w:t>
      </w:r>
      <w:r w:rsidRPr="007B3452">
        <w:rPr>
          <w:rFonts w:ascii="Arial" w:hAnsi="Arial" w:cs="Arial"/>
        </w:rPr>
        <w:t>who rely on carrying risk for profit as the basis of their use of the financial system should have different regulatory rights and obligations to users who purchase financial products as consumer</w:t>
      </w:r>
      <w:r w:rsidR="00506EBE" w:rsidRPr="007B3452">
        <w:rPr>
          <w:rFonts w:ascii="Arial" w:hAnsi="Arial" w:cs="Arial"/>
        </w:rPr>
        <w:t>s</w:t>
      </w:r>
      <w:r w:rsidRPr="007B3452">
        <w:rPr>
          <w:rFonts w:ascii="Arial" w:hAnsi="Arial" w:cs="Arial"/>
        </w:rPr>
        <w:t>.</w:t>
      </w:r>
    </w:p>
    <w:p w14:paraId="64B5A363" w14:textId="77777777" w:rsidR="00B55410" w:rsidRPr="007B3452" w:rsidRDefault="00B55410" w:rsidP="005D113D">
      <w:pPr>
        <w:pStyle w:val="ListParagraph"/>
        <w:numPr>
          <w:ilvl w:val="0"/>
          <w:numId w:val="1"/>
        </w:numPr>
        <w:ind w:left="714" w:hanging="357"/>
        <w:contextualSpacing w:val="0"/>
        <w:rPr>
          <w:rFonts w:ascii="Arial" w:hAnsi="Arial" w:cs="Arial"/>
        </w:rPr>
      </w:pPr>
      <w:r w:rsidRPr="007B3452">
        <w:rPr>
          <w:rFonts w:ascii="Arial" w:hAnsi="Arial" w:cs="Arial"/>
        </w:rPr>
        <w:t>Suitability regulation: Suitability regulation may also be appropriate outside of recommending complex products. If financial intermediaries are required to form a judgement about the financial capability of the clients they serve, it will help them to tailor their disclosure obligations to the needs of the client and to reasonably adjust the scope of their professional obligations to those needs as well.</w:t>
      </w:r>
    </w:p>
    <w:p w14:paraId="5EC85DB7" w14:textId="77777777" w:rsidR="00B55410" w:rsidRPr="007B3452" w:rsidRDefault="00B55410" w:rsidP="005D113D">
      <w:pPr>
        <w:pStyle w:val="ListParagraph"/>
        <w:numPr>
          <w:ilvl w:val="0"/>
          <w:numId w:val="1"/>
        </w:numPr>
        <w:ind w:left="714" w:hanging="357"/>
        <w:contextualSpacing w:val="0"/>
        <w:rPr>
          <w:rFonts w:ascii="Arial" w:hAnsi="Arial" w:cs="Arial"/>
        </w:rPr>
      </w:pPr>
      <w:r w:rsidRPr="007B3452">
        <w:rPr>
          <w:rFonts w:ascii="Arial" w:hAnsi="Arial" w:cs="Arial"/>
        </w:rPr>
        <w:lastRenderedPageBreak/>
        <w:t xml:space="preserve">Institutional/individual: This distinction relies on the institutional checks and balances available to the client in order to mitigate behavioural, capability, and exclusion-based inefficiencies. Where suitability regulation is intended to respond to the unique financial capability of the client, regulation which focuses on the ability of the </w:t>
      </w:r>
      <w:r w:rsidR="0049743E" w:rsidRPr="007B3452">
        <w:rPr>
          <w:rFonts w:ascii="Arial" w:hAnsi="Arial" w:cs="Arial"/>
        </w:rPr>
        <w:t xml:space="preserve">consumer </w:t>
      </w:r>
      <w:r w:rsidRPr="007B3452">
        <w:rPr>
          <w:rFonts w:ascii="Arial" w:hAnsi="Arial" w:cs="Arial"/>
        </w:rPr>
        <w:t xml:space="preserve">to access financial intermediaries to help that </w:t>
      </w:r>
      <w:r w:rsidR="0049743E" w:rsidRPr="007B3452">
        <w:rPr>
          <w:rFonts w:ascii="Arial" w:hAnsi="Arial" w:cs="Arial"/>
        </w:rPr>
        <w:t xml:space="preserve">consumer </w:t>
      </w:r>
      <w:r w:rsidRPr="007B3452">
        <w:rPr>
          <w:rFonts w:ascii="Arial" w:hAnsi="Arial" w:cs="Arial"/>
        </w:rPr>
        <w:t>make better financial decisions.</w:t>
      </w:r>
    </w:p>
    <w:p w14:paraId="47C015D7" w14:textId="77777777" w:rsidR="00B55410" w:rsidRPr="007B3452" w:rsidRDefault="00E6615C" w:rsidP="00B55410">
      <w:pPr>
        <w:rPr>
          <w:rFonts w:ascii="Arial" w:hAnsi="Arial" w:cs="Arial"/>
        </w:rPr>
      </w:pPr>
      <w:r w:rsidRPr="007B3452">
        <w:rPr>
          <w:rFonts w:ascii="Arial" w:hAnsi="Arial" w:cs="Arial"/>
        </w:rPr>
        <w:t>A first step towards addressing these issues would be for the Government to agree to review the current definitions of retail, sophisticated and wholesale investor</w:t>
      </w:r>
      <w:r w:rsidR="00DE75E6" w:rsidRPr="007B3452">
        <w:rPr>
          <w:rFonts w:ascii="Arial" w:hAnsi="Arial" w:cs="Arial"/>
        </w:rPr>
        <w:t>/client</w:t>
      </w:r>
      <w:r w:rsidRPr="007B3452">
        <w:rPr>
          <w:rFonts w:ascii="Arial" w:hAnsi="Arial" w:cs="Arial"/>
        </w:rPr>
        <w:t xml:space="preserve"> definitions</w:t>
      </w:r>
      <w:r w:rsidR="00506EBE" w:rsidRPr="007B3452">
        <w:rPr>
          <w:rFonts w:ascii="Arial" w:hAnsi="Arial" w:cs="Arial"/>
        </w:rPr>
        <w:t xml:space="preserve"> to consider whether they remain appropriate and what alternatives may be better.</w:t>
      </w:r>
    </w:p>
    <w:p w14:paraId="2F12A336" w14:textId="77777777" w:rsidR="00CD6A4E" w:rsidRPr="007B3452" w:rsidRDefault="00CD6A4E" w:rsidP="00CD6A4E">
      <w:pPr>
        <w:rPr>
          <w:rFonts w:ascii="Arial" w:hAnsi="Arial" w:cs="Arial"/>
        </w:rPr>
      </w:pPr>
    </w:p>
    <w:p w14:paraId="790C1ABE" w14:textId="77777777" w:rsidR="00C65891" w:rsidRPr="007B3452" w:rsidRDefault="001B337A" w:rsidP="001B337A">
      <w:pPr>
        <w:rPr>
          <w:rFonts w:ascii="Arial" w:hAnsi="Arial" w:cs="Arial"/>
          <w:b/>
        </w:rPr>
      </w:pPr>
      <w:r w:rsidRPr="007B3452">
        <w:rPr>
          <w:rFonts w:ascii="Arial" w:hAnsi="Arial" w:cs="Arial"/>
          <w:b/>
        </w:rPr>
        <w:t>Recommendation</w:t>
      </w:r>
      <w:r w:rsidR="00C65891" w:rsidRPr="007B3452">
        <w:rPr>
          <w:rFonts w:ascii="Arial" w:hAnsi="Arial" w:cs="Arial"/>
          <w:b/>
        </w:rPr>
        <w:t xml:space="preserve"> </w:t>
      </w:r>
      <w:r w:rsidR="005B29AC" w:rsidRPr="007B3452">
        <w:rPr>
          <w:rFonts w:ascii="Arial" w:hAnsi="Arial" w:cs="Arial"/>
          <w:b/>
        </w:rPr>
        <w:t>5</w:t>
      </w:r>
      <w:r w:rsidRPr="007B3452">
        <w:rPr>
          <w:rFonts w:ascii="Arial" w:hAnsi="Arial" w:cs="Arial"/>
          <w:b/>
        </w:rPr>
        <w:t xml:space="preserve">: </w:t>
      </w:r>
    </w:p>
    <w:p w14:paraId="606AD9D7" w14:textId="77777777" w:rsidR="001B337A" w:rsidRPr="007B3452" w:rsidRDefault="001B337A" w:rsidP="001B337A">
      <w:pPr>
        <w:rPr>
          <w:rFonts w:ascii="Arial" w:hAnsi="Arial" w:cs="Arial"/>
        </w:rPr>
      </w:pPr>
      <w:r w:rsidRPr="007B3452">
        <w:rPr>
          <w:rFonts w:ascii="Arial" w:hAnsi="Arial" w:cs="Arial"/>
        </w:rPr>
        <w:t>The FPA recommends th</w:t>
      </w:r>
      <w:r w:rsidR="00C22879" w:rsidRPr="007B3452">
        <w:rPr>
          <w:rFonts w:ascii="Arial" w:hAnsi="Arial" w:cs="Arial"/>
        </w:rPr>
        <w:t>e Government reviews the effectiveness and value of the retail, sophisticated and wholesale investor</w:t>
      </w:r>
      <w:r w:rsidR="00DE75E6" w:rsidRPr="007B3452">
        <w:rPr>
          <w:rFonts w:ascii="Arial" w:hAnsi="Arial" w:cs="Arial"/>
        </w:rPr>
        <w:t>/client</w:t>
      </w:r>
      <w:r w:rsidR="00C22879" w:rsidRPr="007B3452">
        <w:rPr>
          <w:rFonts w:ascii="Arial" w:hAnsi="Arial" w:cs="Arial"/>
        </w:rPr>
        <w:t xml:space="preserve"> definitions in the </w:t>
      </w:r>
      <w:r w:rsidR="00C22879" w:rsidRPr="007B3452">
        <w:rPr>
          <w:rFonts w:ascii="Arial" w:hAnsi="Arial" w:cs="Arial"/>
          <w:i/>
        </w:rPr>
        <w:t>Corporations Act 2001</w:t>
      </w:r>
      <w:r w:rsidR="00C22879" w:rsidRPr="007B3452">
        <w:rPr>
          <w:rFonts w:ascii="Arial" w:hAnsi="Arial" w:cs="Arial"/>
        </w:rPr>
        <w:t>.</w:t>
      </w:r>
    </w:p>
    <w:p w14:paraId="7E33FFD1" w14:textId="77777777" w:rsidR="001B337A" w:rsidRPr="007B3452" w:rsidRDefault="001B337A" w:rsidP="00CD6A4E">
      <w:pPr>
        <w:rPr>
          <w:rFonts w:ascii="Arial" w:hAnsi="Arial" w:cs="Arial"/>
        </w:rPr>
      </w:pPr>
    </w:p>
    <w:p w14:paraId="2BE9F8A7" w14:textId="77777777" w:rsidR="00CD6A4E" w:rsidRPr="007B3452" w:rsidRDefault="00CD6A4E" w:rsidP="00CD6A4E">
      <w:pPr>
        <w:pStyle w:val="Heading2"/>
        <w:rPr>
          <w:rFonts w:ascii="Arial" w:hAnsi="Arial" w:cs="Arial"/>
        </w:rPr>
      </w:pPr>
      <w:bookmarkStart w:id="10" w:name="_Toc535503311"/>
      <w:r w:rsidRPr="007B3452">
        <w:rPr>
          <w:rFonts w:ascii="Arial" w:hAnsi="Arial" w:cs="Arial"/>
        </w:rPr>
        <w:t>Professional privilege for financial advisers</w:t>
      </w:r>
      <w:bookmarkEnd w:id="10"/>
    </w:p>
    <w:p w14:paraId="49F4DEBB" w14:textId="77777777" w:rsidR="00400F89" w:rsidRPr="007B3452" w:rsidRDefault="00400F89" w:rsidP="00400F89">
      <w:pPr>
        <w:rPr>
          <w:rFonts w:ascii="Arial" w:hAnsi="Arial" w:cs="Arial"/>
        </w:rPr>
      </w:pPr>
      <w:r w:rsidRPr="007B3452">
        <w:rPr>
          <w:rFonts w:ascii="Arial" w:hAnsi="Arial" w:cs="Arial"/>
        </w:rPr>
        <w:t xml:space="preserve">Legal professional privilege is a right attaching to qualifying communications between lawyers and their clients.  This privilege is considered a right of the client rather than the legal professional, and it has </w:t>
      </w:r>
      <w:proofErr w:type="gramStart"/>
      <w:r w:rsidRPr="007B3452">
        <w:rPr>
          <w:rFonts w:ascii="Arial" w:hAnsi="Arial" w:cs="Arial"/>
        </w:rPr>
        <w:t>its</w:t>
      </w:r>
      <w:proofErr w:type="gramEnd"/>
      <w:r w:rsidRPr="007B3452">
        <w:rPr>
          <w:rFonts w:ascii="Arial" w:hAnsi="Arial" w:cs="Arial"/>
        </w:rPr>
        <w:t xml:space="preserve"> roots in the notion that fairness and public interest require a client being able to make full and frank disclosures to their professional adviser without the risk of prejudice and damage by subsequent compulsory admission.</w:t>
      </w:r>
    </w:p>
    <w:p w14:paraId="52119163" w14:textId="77777777" w:rsidR="00400F89" w:rsidRPr="007B3452" w:rsidRDefault="00400F89" w:rsidP="00400F89">
      <w:pPr>
        <w:rPr>
          <w:rFonts w:ascii="Arial" w:hAnsi="Arial" w:cs="Arial"/>
        </w:rPr>
      </w:pPr>
      <w:r w:rsidRPr="007B3452">
        <w:rPr>
          <w:rFonts w:ascii="Arial" w:hAnsi="Arial" w:cs="Arial"/>
        </w:rPr>
        <w:t>It is widely viewed that legal professional privilege is necessary to ensure proper administration of justice.  However, under common law it only extends to the client-lawyer relationship.</w:t>
      </w:r>
    </w:p>
    <w:p w14:paraId="07035A8F" w14:textId="77777777" w:rsidR="00400F89" w:rsidRPr="007B3452" w:rsidRDefault="00400F89" w:rsidP="00400F89">
      <w:pPr>
        <w:rPr>
          <w:rFonts w:ascii="Arial" w:hAnsi="Arial" w:cs="Arial"/>
        </w:rPr>
      </w:pPr>
      <w:r w:rsidRPr="007B3452">
        <w:rPr>
          <w:rFonts w:ascii="Arial" w:hAnsi="Arial" w:cs="Arial"/>
        </w:rPr>
        <w:t>In 2007, the Australian Law Reform Commission (ALRC) delivered a report, “Privilege in Perspective: Client Legal Privilege in Federal Investigations”, which reviewed legal professional privilege in the context of federal investigatory bodies, including the ACCC, ASIC, ATO, APRA, AFP and Royal Commissions of inquiry.</w:t>
      </w:r>
    </w:p>
    <w:p w14:paraId="26B5E064" w14:textId="77777777" w:rsidR="00400F89" w:rsidRPr="007B3452" w:rsidRDefault="00400F89" w:rsidP="00400F89">
      <w:pPr>
        <w:rPr>
          <w:rFonts w:ascii="Arial" w:hAnsi="Arial" w:cs="Arial"/>
        </w:rPr>
      </w:pPr>
      <w:r w:rsidRPr="007B3452">
        <w:rPr>
          <w:rFonts w:ascii="Arial" w:hAnsi="Arial" w:cs="Arial"/>
        </w:rPr>
        <w:t>One of the major recommendations of the ALRC report was that privilege be extended, in defined circumstances, to include tax advice provided by accountants.  This extension would formalise the accountant’s exemption and would bring Australia in line with the position in the US, UK and NZ.</w:t>
      </w:r>
    </w:p>
    <w:p w14:paraId="2A6E17E6" w14:textId="77777777" w:rsidR="00400F89" w:rsidRPr="007B3452" w:rsidRDefault="00400F89" w:rsidP="00400F89">
      <w:pPr>
        <w:rPr>
          <w:rFonts w:ascii="Arial" w:hAnsi="Arial" w:cs="Arial"/>
        </w:rPr>
      </w:pPr>
      <w:r w:rsidRPr="007B3452">
        <w:rPr>
          <w:rFonts w:ascii="Arial" w:hAnsi="Arial" w:cs="Arial"/>
        </w:rPr>
        <w:t xml:space="preserve">Under Sections 263 and 264 of the </w:t>
      </w:r>
      <w:r w:rsidRPr="007B3452">
        <w:rPr>
          <w:rFonts w:ascii="Arial" w:hAnsi="Arial" w:cs="Arial"/>
          <w:i/>
        </w:rPr>
        <w:t>Income Tax Assessment Act 1936</w:t>
      </w:r>
      <w:r w:rsidR="00E33A72" w:rsidRPr="007B3452">
        <w:rPr>
          <w:rFonts w:ascii="Arial" w:hAnsi="Arial" w:cs="Arial"/>
        </w:rPr>
        <w:t>,</w:t>
      </w:r>
      <w:r w:rsidRPr="007B3452">
        <w:rPr>
          <w:rFonts w:ascii="Arial" w:hAnsi="Arial" w:cs="Arial"/>
        </w:rPr>
        <w:t xml:space="preserve"> the Commissioner has broad powers enabling the ATO to access buildings and documents in pursuit of </w:t>
      </w:r>
      <w:r w:rsidR="00E33A72" w:rsidRPr="007B3452">
        <w:rPr>
          <w:rFonts w:ascii="Arial" w:hAnsi="Arial" w:cs="Arial"/>
        </w:rPr>
        <w:t>its</w:t>
      </w:r>
      <w:r w:rsidRPr="007B3452">
        <w:rPr>
          <w:rFonts w:ascii="Arial" w:hAnsi="Arial" w:cs="Arial"/>
        </w:rPr>
        <w:t xml:space="preserve"> legal aims.  This provision captures the two primary Tax Acts, plus parts of the </w:t>
      </w:r>
      <w:r w:rsidRPr="007B3452">
        <w:rPr>
          <w:rFonts w:ascii="Arial" w:hAnsi="Arial" w:cs="Arial"/>
          <w:i/>
        </w:rPr>
        <w:t>Taxation Administration Act 1953</w:t>
      </w:r>
      <w:r w:rsidRPr="007B3452">
        <w:rPr>
          <w:rFonts w:ascii="Arial" w:hAnsi="Arial" w:cs="Arial"/>
        </w:rPr>
        <w:t>, which together contains the powers dealing with objections, reviews and appeals and the collection and recovery of income tax.</w:t>
      </w:r>
    </w:p>
    <w:p w14:paraId="5C97958A" w14:textId="77777777" w:rsidR="00400F89" w:rsidRPr="007B3452" w:rsidRDefault="00400F89" w:rsidP="00400F89">
      <w:pPr>
        <w:rPr>
          <w:rFonts w:ascii="Arial" w:hAnsi="Arial" w:cs="Arial"/>
        </w:rPr>
      </w:pPr>
      <w:r w:rsidRPr="007B3452">
        <w:rPr>
          <w:rFonts w:ascii="Arial" w:hAnsi="Arial" w:cs="Arial"/>
        </w:rPr>
        <w:t xml:space="preserve">Since the decision of Baker v Campbell (1983) 153 CLR 52, communications and documents under </w:t>
      </w:r>
      <w:r w:rsidR="00E33A72" w:rsidRPr="007B3452">
        <w:rPr>
          <w:rFonts w:ascii="Arial" w:hAnsi="Arial" w:cs="Arial"/>
        </w:rPr>
        <w:t>legal professional privilege</w:t>
      </w:r>
      <w:r w:rsidRPr="007B3452">
        <w:rPr>
          <w:rFonts w:ascii="Arial" w:hAnsi="Arial" w:cs="Arial"/>
        </w:rPr>
        <w:t xml:space="preserve"> have not been available for inspection by the Commissioner under sections 263 and 264.</w:t>
      </w:r>
    </w:p>
    <w:p w14:paraId="3E50B7CF" w14:textId="77777777" w:rsidR="00E33A72" w:rsidRPr="007B3452" w:rsidRDefault="00E33A72" w:rsidP="00E33A72">
      <w:pPr>
        <w:spacing w:after="240"/>
        <w:jc w:val="both"/>
        <w:rPr>
          <w:rFonts w:ascii="Arial" w:hAnsi="Arial" w:cs="Arial"/>
        </w:rPr>
      </w:pPr>
      <w:r w:rsidRPr="007B3452">
        <w:rPr>
          <w:rFonts w:ascii="Arial" w:hAnsi="Arial" w:cs="Arial"/>
        </w:rPr>
        <w:t xml:space="preserve">In the 1980s, the accounting profession successfully argued that the ability of lawyers to claim legal professional privilege gave them a competitive advantage over accountants when providing taxation advice.  In response, the ATO issued the ‘Access and Information Gathering Manual’ guidelines recognising that “taxpayers should be able to consult with their professional </w:t>
      </w:r>
      <w:r w:rsidRPr="007B3452">
        <w:rPr>
          <w:rFonts w:ascii="Arial" w:hAnsi="Arial" w:cs="Arial"/>
        </w:rPr>
        <w:lastRenderedPageBreak/>
        <w:t>accounting advisers on a confidential basis” and created self-imposed limits on ATO access to accountant’s papers.</w:t>
      </w:r>
    </w:p>
    <w:p w14:paraId="39A85086" w14:textId="77777777" w:rsidR="00400F89" w:rsidRPr="007B3452" w:rsidRDefault="00400F89" w:rsidP="00400F89">
      <w:pPr>
        <w:rPr>
          <w:rFonts w:ascii="Arial" w:hAnsi="Arial" w:cs="Arial"/>
        </w:rPr>
      </w:pPr>
      <w:r w:rsidRPr="007B3452">
        <w:rPr>
          <w:rFonts w:ascii="Arial" w:hAnsi="Arial" w:cs="Arial"/>
        </w:rPr>
        <w:t>This exemption</w:t>
      </w:r>
      <w:r w:rsidR="00E33A72" w:rsidRPr="007B3452">
        <w:rPr>
          <w:rFonts w:ascii="Arial" w:hAnsi="Arial" w:cs="Arial"/>
        </w:rPr>
        <w:t>, known as the “accountant’s exemption”,</w:t>
      </w:r>
      <w:r w:rsidRPr="007B3452">
        <w:rPr>
          <w:rFonts w:ascii="Arial" w:hAnsi="Arial" w:cs="Arial"/>
        </w:rPr>
        <w:t xml:space="preserve"> provides different concessions for differing types of documents, such as source documents (i.e. records of transactions), restricted source documents (i.e. </w:t>
      </w:r>
      <w:r w:rsidR="00E33A72" w:rsidRPr="007B3452">
        <w:rPr>
          <w:rFonts w:ascii="Arial" w:hAnsi="Arial" w:cs="Arial"/>
        </w:rPr>
        <w:t>a</w:t>
      </w:r>
      <w:r w:rsidRPr="007B3452">
        <w:rPr>
          <w:rFonts w:ascii="Arial" w:hAnsi="Arial" w:cs="Arial"/>
        </w:rPr>
        <w:t xml:space="preserve">dvice documents) and non-source documents (i.e. </w:t>
      </w:r>
      <w:r w:rsidR="00E33A72" w:rsidRPr="007B3452">
        <w:rPr>
          <w:rFonts w:ascii="Arial" w:hAnsi="Arial" w:cs="Arial"/>
        </w:rPr>
        <w:t>o</w:t>
      </w:r>
      <w:r w:rsidRPr="007B3452">
        <w:rPr>
          <w:rFonts w:ascii="Arial" w:hAnsi="Arial" w:cs="Arial"/>
        </w:rPr>
        <w:t xml:space="preserve">ther advice documents).  </w:t>
      </w:r>
    </w:p>
    <w:p w14:paraId="0925F3BC" w14:textId="77777777" w:rsidR="00400F89" w:rsidRPr="007B3452" w:rsidRDefault="00400F89" w:rsidP="00400F89">
      <w:pPr>
        <w:rPr>
          <w:rFonts w:ascii="Arial" w:hAnsi="Arial" w:cs="Arial"/>
        </w:rPr>
      </w:pPr>
      <w:r w:rsidRPr="007B3452">
        <w:rPr>
          <w:rFonts w:ascii="Arial" w:hAnsi="Arial" w:cs="Arial"/>
        </w:rPr>
        <w:t xml:space="preserve">Since 1 July 2014, </w:t>
      </w:r>
      <w:r w:rsidR="00E33A72" w:rsidRPr="007B3452">
        <w:rPr>
          <w:rFonts w:ascii="Arial" w:hAnsi="Arial" w:cs="Arial"/>
        </w:rPr>
        <w:t>f</w:t>
      </w:r>
      <w:r w:rsidRPr="007B3452">
        <w:rPr>
          <w:rFonts w:ascii="Arial" w:hAnsi="Arial" w:cs="Arial"/>
        </w:rPr>
        <w:t xml:space="preserve">inancial </w:t>
      </w:r>
      <w:r w:rsidR="00E33A72" w:rsidRPr="007B3452">
        <w:rPr>
          <w:rFonts w:ascii="Arial" w:hAnsi="Arial" w:cs="Arial"/>
        </w:rPr>
        <w:t>p</w:t>
      </w:r>
      <w:r w:rsidRPr="007B3452">
        <w:rPr>
          <w:rFonts w:ascii="Arial" w:hAnsi="Arial" w:cs="Arial"/>
        </w:rPr>
        <w:t xml:space="preserve">lanners have been required to fall under </w:t>
      </w:r>
      <w:r w:rsidR="00E33A72" w:rsidRPr="007B3452">
        <w:rPr>
          <w:rFonts w:ascii="Arial" w:hAnsi="Arial" w:cs="Arial"/>
        </w:rPr>
        <w:t xml:space="preserve">the </w:t>
      </w:r>
      <w:r w:rsidRPr="007B3452">
        <w:rPr>
          <w:rFonts w:ascii="Arial" w:hAnsi="Arial" w:cs="Arial"/>
        </w:rPr>
        <w:t>registration and governance of the Tax Practitioners Board, with progressive registration since 1 July 2014.  This change recogni</w:t>
      </w:r>
      <w:r w:rsidR="006D09FF" w:rsidRPr="007B3452">
        <w:rPr>
          <w:rFonts w:ascii="Arial" w:hAnsi="Arial" w:cs="Arial"/>
        </w:rPr>
        <w:t>s</w:t>
      </w:r>
      <w:r w:rsidRPr="007B3452">
        <w:rPr>
          <w:rFonts w:ascii="Arial" w:hAnsi="Arial" w:cs="Arial"/>
        </w:rPr>
        <w:t xml:space="preserve">es that </w:t>
      </w:r>
      <w:r w:rsidR="00E33A72" w:rsidRPr="007B3452">
        <w:rPr>
          <w:rFonts w:ascii="Arial" w:hAnsi="Arial" w:cs="Arial"/>
        </w:rPr>
        <w:t>f</w:t>
      </w:r>
      <w:r w:rsidRPr="007B3452">
        <w:rPr>
          <w:rFonts w:ascii="Arial" w:hAnsi="Arial" w:cs="Arial"/>
        </w:rPr>
        <w:t xml:space="preserve">inancial </w:t>
      </w:r>
      <w:r w:rsidR="00E33A72" w:rsidRPr="007B3452">
        <w:rPr>
          <w:rFonts w:ascii="Arial" w:hAnsi="Arial" w:cs="Arial"/>
        </w:rPr>
        <w:t>p</w:t>
      </w:r>
      <w:r w:rsidRPr="007B3452">
        <w:rPr>
          <w:rFonts w:ascii="Arial" w:hAnsi="Arial" w:cs="Arial"/>
        </w:rPr>
        <w:t xml:space="preserve">lanners provide </w:t>
      </w:r>
      <w:r w:rsidR="00E33A72" w:rsidRPr="007B3452">
        <w:rPr>
          <w:rFonts w:ascii="Arial" w:hAnsi="Arial" w:cs="Arial"/>
        </w:rPr>
        <w:t>t</w:t>
      </w:r>
      <w:r w:rsidRPr="007B3452">
        <w:rPr>
          <w:rFonts w:ascii="Arial" w:hAnsi="Arial" w:cs="Arial"/>
        </w:rPr>
        <w:t xml:space="preserve">axation </w:t>
      </w:r>
      <w:r w:rsidR="00E33A72" w:rsidRPr="007B3452">
        <w:rPr>
          <w:rFonts w:ascii="Arial" w:hAnsi="Arial" w:cs="Arial"/>
        </w:rPr>
        <w:t>a</w:t>
      </w:r>
      <w:r w:rsidRPr="007B3452">
        <w:rPr>
          <w:rFonts w:ascii="Arial" w:hAnsi="Arial" w:cs="Arial"/>
        </w:rPr>
        <w:t>dvice that clients rely on to make informed financial decisions.</w:t>
      </w:r>
      <w:r w:rsidR="008C637B" w:rsidRPr="007B3452">
        <w:rPr>
          <w:rFonts w:ascii="Arial" w:hAnsi="Arial" w:cs="Arial"/>
        </w:rPr>
        <w:t xml:space="preserve"> </w:t>
      </w:r>
    </w:p>
    <w:p w14:paraId="1004189D" w14:textId="77777777" w:rsidR="00400F89" w:rsidRPr="007B3452" w:rsidRDefault="00400F89" w:rsidP="00400F89">
      <w:pPr>
        <w:rPr>
          <w:rFonts w:ascii="Arial" w:hAnsi="Arial" w:cs="Arial"/>
        </w:rPr>
      </w:pPr>
      <w:r w:rsidRPr="007B3452">
        <w:rPr>
          <w:rFonts w:ascii="Arial" w:hAnsi="Arial" w:cs="Arial"/>
        </w:rPr>
        <w:t xml:space="preserve">While there is scope for the ATO to lift the </w:t>
      </w:r>
      <w:r w:rsidR="00E33A72" w:rsidRPr="007B3452">
        <w:rPr>
          <w:rFonts w:ascii="Arial" w:hAnsi="Arial" w:cs="Arial"/>
        </w:rPr>
        <w:t>a</w:t>
      </w:r>
      <w:r w:rsidRPr="007B3452">
        <w:rPr>
          <w:rFonts w:ascii="Arial" w:hAnsi="Arial" w:cs="Arial"/>
        </w:rPr>
        <w:t xml:space="preserve">ccountant’s exemption, there remains a competitive advantage with </w:t>
      </w:r>
      <w:r w:rsidR="00E33A72" w:rsidRPr="007B3452">
        <w:rPr>
          <w:rFonts w:ascii="Arial" w:hAnsi="Arial" w:cs="Arial"/>
        </w:rPr>
        <w:t>a</w:t>
      </w:r>
      <w:r w:rsidRPr="007B3452">
        <w:rPr>
          <w:rFonts w:ascii="Arial" w:hAnsi="Arial" w:cs="Arial"/>
        </w:rPr>
        <w:t xml:space="preserve">ccountants having access to this exemption while </w:t>
      </w:r>
      <w:r w:rsidR="00E33A72" w:rsidRPr="007B3452">
        <w:rPr>
          <w:rFonts w:ascii="Arial" w:hAnsi="Arial" w:cs="Arial"/>
        </w:rPr>
        <w:t>f</w:t>
      </w:r>
      <w:r w:rsidRPr="007B3452">
        <w:rPr>
          <w:rFonts w:ascii="Arial" w:hAnsi="Arial" w:cs="Arial"/>
        </w:rPr>
        <w:t xml:space="preserve">inancial </w:t>
      </w:r>
      <w:r w:rsidR="00E33A72" w:rsidRPr="007B3452">
        <w:rPr>
          <w:rFonts w:ascii="Arial" w:hAnsi="Arial" w:cs="Arial"/>
        </w:rPr>
        <w:t>p</w:t>
      </w:r>
      <w:r w:rsidRPr="007B3452">
        <w:rPr>
          <w:rFonts w:ascii="Arial" w:hAnsi="Arial" w:cs="Arial"/>
        </w:rPr>
        <w:t xml:space="preserve">lanners do not. </w:t>
      </w:r>
    </w:p>
    <w:p w14:paraId="0831040C" w14:textId="77777777" w:rsidR="00400F89" w:rsidRPr="007B3452" w:rsidRDefault="00400F89" w:rsidP="00400F89">
      <w:pPr>
        <w:rPr>
          <w:rFonts w:ascii="Arial" w:hAnsi="Arial" w:cs="Arial"/>
        </w:rPr>
      </w:pPr>
      <w:r w:rsidRPr="007B3452">
        <w:rPr>
          <w:rFonts w:ascii="Arial" w:hAnsi="Arial" w:cs="Arial"/>
        </w:rPr>
        <w:t xml:space="preserve">It was noted in the 2007 ALRC report that the fact that the same advice can be given by accountants and lawyers on taxation matters as the crucial factor in their push for the extension of privilege to taxation advice.  On the same basis this should also extend to </w:t>
      </w:r>
      <w:r w:rsidR="00E33A72" w:rsidRPr="007B3452">
        <w:rPr>
          <w:rFonts w:ascii="Arial" w:hAnsi="Arial" w:cs="Arial"/>
        </w:rPr>
        <w:t>f</w:t>
      </w:r>
      <w:r w:rsidRPr="007B3452">
        <w:rPr>
          <w:rFonts w:ascii="Arial" w:hAnsi="Arial" w:cs="Arial"/>
        </w:rPr>
        <w:t xml:space="preserve">inancial </w:t>
      </w:r>
      <w:r w:rsidR="00E33A72" w:rsidRPr="007B3452">
        <w:rPr>
          <w:rFonts w:ascii="Arial" w:hAnsi="Arial" w:cs="Arial"/>
        </w:rPr>
        <w:t>p</w:t>
      </w:r>
      <w:r w:rsidRPr="007B3452">
        <w:rPr>
          <w:rFonts w:ascii="Arial" w:hAnsi="Arial" w:cs="Arial"/>
        </w:rPr>
        <w:t>lanners providing the same advice</w:t>
      </w:r>
      <w:r w:rsidR="008C637B" w:rsidRPr="007B3452">
        <w:rPr>
          <w:rFonts w:ascii="Arial" w:hAnsi="Arial" w:cs="Arial"/>
        </w:rPr>
        <w:t xml:space="preserve"> as other tax agents</w:t>
      </w:r>
      <w:r w:rsidRPr="007B3452">
        <w:rPr>
          <w:rFonts w:ascii="Arial" w:hAnsi="Arial" w:cs="Arial"/>
        </w:rPr>
        <w:t>.</w:t>
      </w:r>
    </w:p>
    <w:p w14:paraId="5B74FF00" w14:textId="77777777" w:rsidR="00400F89" w:rsidRPr="007B3452" w:rsidRDefault="00400F89" w:rsidP="00400F89">
      <w:pPr>
        <w:rPr>
          <w:rFonts w:ascii="Arial" w:hAnsi="Arial" w:cs="Arial"/>
        </w:rPr>
      </w:pPr>
      <w:r w:rsidRPr="007B3452">
        <w:rPr>
          <w:rFonts w:ascii="Arial" w:hAnsi="Arial" w:cs="Arial"/>
        </w:rPr>
        <w:t>In 2011</w:t>
      </w:r>
      <w:r w:rsidR="00E33A72" w:rsidRPr="007B3452">
        <w:rPr>
          <w:rFonts w:ascii="Arial" w:hAnsi="Arial" w:cs="Arial"/>
        </w:rPr>
        <w:t>,</w:t>
      </w:r>
      <w:r w:rsidRPr="007B3452">
        <w:rPr>
          <w:rFonts w:ascii="Arial" w:hAnsi="Arial" w:cs="Arial"/>
        </w:rPr>
        <w:t xml:space="preserve"> the ALRC provided a submission in response to the Discussion Paper on “Privilege in relation to Tax Advice”.  This submission covered </w:t>
      </w:r>
      <w:r w:rsidR="000C02F6" w:rsidRPr="007B3452">
        <w:rPr>
          <w:rFonts w:ascii="Arial" w:hAnsi="Arial" w:cs="Arial"/>
        </w:rPr>
        <w:t>several</w:t>
      </w:r>
      <w:r w:rsidRPr="007B3452">
        <w:rPr>
          <w:rFonts w:ascii="Arial" w:hAnsi="Arial" w:cs="Arial"/>
        </w:rPr>
        <w:t xml:space="preserve"> areas, including the extension of the proposed </w:t>
      </w:r>
      <w:r w:rsidR="00E33A72" w:rsidRPr="007B3452">
        <w:rPr>
          <w:rFonts w:ascii="Arial" w:hAnsi="Arial" w:cs="Arial"/>
        </w:rPr>
        <w:t>p</w:t>
      </w:r>
      <w:r w:rsidRPr="007B3452">
        <w:rPr>
          <w:rFonts w:ascii="Arial" w:hAnsi="Arial" w:cs="Arial"/>
        </w:rPr>
        <w:t xml:space="preserve">rivilege to BAS agents.  The ALRC response was that BAS agents may be included under any extension within their limit to provide advice with respects to taxation law under section 90-10 of the </w:t>
      </w:r>
      <w:r w:rsidRPr="007B3452">
        <w:rPr>
          <w:rFonts w:ascii="Arial" w:hAnsi="Arial" w:cs="Arial"/>
          <w:i/>
        </w:rPr>
        <w:t>Tax Agent Services Act 2008</w:t>
      </w:r>
      <w:r w:rsidRPr="007B3452">
        <w:rPr>
          <w:rFonts w:ascii="Arial" w:hAnsi="Arial" w:cs="Arial"/>
        </w:rPr>
        <w:t xml:space="preserve">.  </w:t>
      </w:r>
    </w:p>
    <w:p w14:paraId="32677725" w14:textId="77777777" w:rsidR="00400F89" w:rsidRPr="007B3452" w:rsidRDefault="00400F89" w:rsidP="00400F89">
      <w:pPr>
        <w:rPr>
          <w:rFonts w:ascii="Arial" w:hAnsi="Arial" w:cs="Arial"/>
        </w:rPr>
      </w:pPr>
      <w:r w:rsidRPr="007B3452">
        <w:rPr>
          <w:rFonts w:ascii="Arial" w:hAnsi="Arial" w:cs="Arial"/>
        </w:rPr>
        <w:t xml:space="preserve">Further, the ALRC made a general observation that it is the lawful provision of advice with respect to </w:t>
      </w:r>
      <w:proofErr w:type="gramStart"/>
      <w:r w:rsidRPr="007B3452">
        <w:rPr>
          <w:rFonts w:ascii="Arial" w:hAnsi="Arial" w:cs="Arial"/>
        </w:rPr>
        <w:t>particular laws</w:t>
      </w:r>
      <w:proofErr w:type="gramEnd"/>
      <w:r w:rsidRPr="007B3452">
        <w:rPr>
          <w:rFonts w:ascii="Arial" w:hAnsi="Arial" w:cs="Arial"/>
        </w:rPr>
        <w:t xml:space="preserve"> that provides the foundation for applying the rationale to other professionals.  </w:t>
      </w:r>
    </w:p>
    <w:p w14:paraId="46529F9B" w14:textId="55568D9E" w:rsidR="00400F89" w:rsidRPr="007B3452" w:rsidRDefault="00400F89" w:rsidP="00400F89">
      <w:pPr>
        <w:rPr>
          <w:rFonts w:ascii="Arial" w:hAnsi="Arial" w:cs="Arial"/>
        </w:rPr>
      </w:pPr>
      <w:r w:rsidRPr="007B3452">
        <w:rPr>
          <w:rFonts w:ascii="Arial" w:hAnsi="Arial" w:cs="Arial"/>
        </w:rPr>
        <w:t xml:space="preserve">The FPA shares the same interpretation that would see the new category of Registered Tax (Financial) Adviser captured within any law created to extend the provision of </w:t>
      </w:r>
      <w:r w:rsidR="00E33A72" w:rsidRPr="007B3452">
        <w:rPr>
          <w:rFonts w:ascii="Arial" w:hAnsi="Arial" w:cs="Arial"/>
        </w:rPr>
        <w:t>legal professional privilege</w:t>
      </w:r>
      <w:r w:rsidRPr="007B3452">
        <w:rPr>
          <w:rFonts w:ascii="Arial" w:hAnsi="Arial" w:cs="Arial"/>
        </w:rPr>
        <w:t xml:space="preserve"> (in defined circumstances).</w:t>
      </w:r>
    </w:p>
    <w:p w14:paraId="7483C481" w14:textId="1CC7FDDE" w:rsidR="00DE3CD4" w:rsidRPr="007B3452" w:rsidRDefault="00DE3CD4" w:rsidP="00400F89">
      <w:pPr>
        <w:rPr>
          <w:rFonts w:ascii="Arial" w:hAnsi="Arial" w:cs="Arial"/>
        </w:rPr>
      </w:pPr>
      <w:r w:rsidRPr="007B3452">
        <w:rPr>
          <w:rFonts w:ascii="Arial" w:hAnsi="Arial" w:cs="Arial"/>
        </w:rPr>
        <w:t>Finally, the</w:t>
      </w:r>
      <w:r w:rsidR="00476B48" w:rsidRPr="007B3452">
        <w:rPr>
          <w:rFonts w:ascii="Arial" w:hAnsi="Arial" w:cs="Arial"/>
        </w:rPr>
        <w:t xml:space="preserve"> existence of client privilege </w:t>
      </w:r>
      <w:r w:rsidR="00970E6B" w:rsidRPr="007B3452">
        <w:rPr>
          <w:rFonts w:ascii="Arial" w:hAnsi="Arial" w:cs="Arial"/>
        </w:rPr>
        <w:t xml:space="preserve">will </w:t>
      </w:r>
      <w:r w:rsidR="00476B48" w:rsidRPr="007B3452">
        <w:rPr>
          <w:rFonts w:ascii="Arial" w:hAnsi="Arial" w:cs="Arial"/>
        </w:rPr>
        <w:t>promote</w:t>
      </w:r>
      <w:r w:rsidR="00970E6B" w:rsidRPr="007B3452">
        <w:rPr>
          <w:rFonts w:ascii="Arial" w:hAnsi="Arial" w:cs="Arial"/>
        </w:rPr>
        <w:t xml:space="preserve"> improved community wide compliance with the law</w:t>
      </w:r>
      <w:r w:rsidR="009304B5" w:rsidRPr="007B3452">
        <w:rPr>
          <w:rFonts w:ascii="Arial" w:hAnsi="Arial" w:cs="Arial"/>
        </w:rPr>
        <w:t>, particularly in the areas of superannuation, taxation and social security</w:t>
      </w:r>
      <w:r w:rsidR="00E97E71" w:rsidRPr="007B3452">
        <w:rPr>
          <w:rFonts w:ascii="Arial" w:hAnsi="Arial" w:cs="Arial"/>
        </w:rPr>
        <w:t>, as consumers will have a broader range of professions to seek cost effective advice from</w:t>
      </w:r>
      <w:r w:rsidR="00C95F42" w:rsidRPr="007B3452">
        <w:rPr>
          <w:rFonts w:ascii="Arial" w:hAnsi="Arial" w:cs="Arial"/>
        </w:rPr>
        <w:t>. This capacity to seek advice and information</w:t>
      </w:r>
      <w:r w:rsidR="00D028FF" w:rsidRPr="007B3452">
        <w:rPr>
          <w:rFonts w:ascii="Arial" w:hAnsi="Arial" w:cs="Arial"/>
        </w:rPr>
        <w:t xml:space="preserve"> will promote the asking of questions by consumers and limit the capacity for abuse</w:t>
      </w:r>
      <w:r w:rsidR="0090148F" w:rsidRPr="007B3452">
        <w:rPr>
          <w:rFonts w:ascii="Arial" w:hAnsi="Arial" w:cs="Arial"/>
        </w:rPr>
        <w:t xml:space="preserve"> of the law. </w:t>
      </w:r>
    </w:p>
    <w:p w14:paraId="6AC1DCFD" w14:textId="77777777" w:rsidR="001B337A" w:rsidRPr="007B3452" w:rsidRDefault="001B337A" w:rsidP="00CD6A4E">
      <w:pPr>
        <w:rPr>
          <w:rFonts w:ascii="Arial" w:hAnsi="Arial" w:cs="Arial"/>
        </w:rPr>
      </w:pPr>
    </w:p>
    <w:p w14:paraId="2A47D464" w14:textId="77777777" w:rsidR="00C65891" w:rsidRPr="007B3452" w:rsidRDefault="001B337A" w:rsidP="001B337A">
      <w:pPr>
        <w:rPr>
          <w:rFonts w:ascii="Arial" w:hAnsi="Arial" w:cs="Arial"/>
          <w:b/>
        </w:rPr>
      </w:pPr>
      <w:r w:rsidRPr="007B3452">
        <w:rPr>
          <w:rFonts w:ascii="Arial" w:hAnsi="Arial" w:cs="Arial"/>
          <w:b/>
        </w:rPr>
        <w:t>Recommendation</w:t>
      </w:r>
      <w:r w:rsidR="00C65891" w:rsidRPr="007B3452">
        <w:rPr>
          <w:rFonts w:ascii="Arial" w:hAnsi="Arial" w:cs="Arial"/>
          <w:b/>
        </w:rPr>
        <w:t xml:space="preserve"> </w:t>
      </w:r>
      <w:r w:rsidR="005B29AC" w:rsidRPr="007B3452">
        <w:rPr>
          <w:rFonts w:ascii="Arial" w:hAnsi="Arial" w:cs="Arial"/>
          <w:b/>
        </w:rPr>
        <w:t>6</w:t>
      </w:r>
      <w:r w:rsidRPr="007B3452">
        <w:rPr>
          <w:rFonts w:ascii="Arial" w:hAnsi="Arial" w:cs="Arial"/>
          <w:b/>
        </w:rPr>
        <w:t xml:space="preserve">: </w:t>
      </w:r>
    </w:p>
    <w:p w14:paraId="20ABCB2F" w14:textId="77777777" w:rsidR="001B337A" w:rsidRPr="007B3452" w:rsidRDefault="001B337A" w:rsidP="001B337A">
      <w:pPr>
        <w:rPr>
          <w:rFonts w:ascii="Arial" w:hAnsi="Arial" w:cs="Arial"/>
        </w:rPr>
      </w:pPr>
      <w:r w:rsidRPr="007B3452">
        <w:rPr>
          <w:rFonts w:ascii="Arial" w:hAnsi="Arial" w:cs="Arial"/>
        </w:rPr>
        <w:t>The FPA recommends th</w:t>
      </w:r>
      <w:r w:rsidR="00C22879" w:rsidRPr="007B3452">
        <w:rPr>
          <w:rFonts w:ascii="Arial" w:hAnsi="Arial" w:cs="Arial"/>
        </w:rPr>
        <w:t>e Government extends</w:t>
      </w:r>
      <w:r w:rsidR="00E33A72" w:rsidRPr="007B3452">
        <w:rPr>
          <w:rFonts w:ascii="Arial" w:hAnsi="Arial" w:cs="Arial"/>
        </w:rPr>
        <w:t xml:space="preserve"> legal</w:t>
      </w:r>
      <w:r w:rsidR="00C22879" w:rsidRPr="007B3452">
        <w:rPr>
          <w:rFonts w:ascii="Arial" w:hAnsi="Arial" w:cs="Arial"/>
        </w:rPr>
        <w:t xml:space="preserve"> professional privilege in define circumstances to all practitioners relevant to the areas of law they provide advice in (i.e. taxation, superannuation, social security).</w:t>
      </w:r>
    </w:p>
    <w:p w14:paraId="799E8F28" w14:textId="77777777" w:rsidR="001B337A" w:rsidRPr="007B3452" w:rsidRDefault="001B337A" w:rsidP="00CD6A4E">
      <w:pPr>
        <w:rPr>
          <w:rFonts w:ascii="Arial" w:hAnsi="Arial" w:cs="Arial"/>
        </w:rPr>
      </w:pPr>
    </w:p>
    <w:p w14:paraId="52E6DD81" w14:textId="77777777" w:rsidR="00CD6A4E" w:rsidRPr="007B3452" w:rsidRDefault="00CD6A4E" w:rsidP="00CD6A4E">
      <w:pPr>
        <w:pStyle w:val="Heading2"/>
        <w:rPr>
          <w:rFonts w:ascii="Arial" w:hAnsi="Arial" w:cs="Arial"/>
        </w:rPr>
      </w:pPr>
      <w:bookmarkStart w:id="11" w:name="_Toc535503312"/>
      <w:r w:rsidRPr="007B3452">
        <w:rPr>
          <w:rFonts w:ascii="Arial" w:hAnsi="Arial" w:cs="Arial"/>
        </w:rPr>
        <w:t xml:space="preserve">Increasing financial </w:t>
      </w:r>
      <w:r w:rsidR="005163E5" w:rsidRPr="007B3452">
        <w:rPr>
          <w:rFonts w:ascii="Arial" w:hAnsi="Arial" w:cs="Arial"/>
        </w:rPr>
        <w:t>capability</w:t>
      </w:r>
      <w:bookmarkEnd w:id="11"/>
    </w:p>
    <w:p w14:paraId="7DCC6DF5" w14:textId="77777777" w:rsidR="00003D57" w:rsidRPr="007B3452" w:rsidRDefault="008C28F4" w:rsidP="007F7B94">
      <w:pPr>
        <w:rPr>
          <w:rFonts w:ascii="Arial" w:hAnsi="Arial" w:cs="Arial"/>
        </w:rPr>
      </w:pPr>
      <w:r w:rsidRPr="007B3452">
        <w:rPr>
          <w:rFonts w:ascii="Arial" w:hAnsi="Arial" w:cs="Arial"/>
        </w:rPr>
        <w:t>Educating Australians on financial issues remains a key factor in promoting their financial wellbeing and ensuring they are adequately prepared for retirement.</w:t>
      </w:r>
      <w:r w:rsidR="001E3E19" w:rsidRPr="007B3452">
        <w:rPr>
          <w:rFonts w:ascii="Arial" w:hAnsi="Arial" w:cs="Arial"/>
        </w:rPr>
        <w:t xml:space="preserve"> </w:t>
      </w:r>
      <w:r w:rsidR="007F7B94" w:rsidRPr="007B3452">
        <w:rPr>
          <w:rFonts w:ascii="Arial" w:hAnsi="Arial" w:cs="Arial"/>
        </w:rPr>
        <w:t xml:space="preserve">There have been </w:t>
      </w:r>
      <w:r w:rsidR="007F7B94" w:rsidRPr="007B3452">
        <w:rPr>
          <w:rFonts w:ascii="Arial" w:hAnsi="Arial" w:cs="Arial"/>
        </w:rPr>
        <w:lastRenderedPageBreak/>
        <w:t xml:space="preserve">significant </w:t>
      </w:r>
      <w:r w:rsidR="00774053" w:rsidRPr="007B3452">
        <w:rPr>
          <w:rFonts w:ascii="Arial" w:hAnsi="Arial" w:cs="Arial"/>
        </w:rPr>
        <w:t>contributions</w:t>
      </w:r>
      <w:r w:rsidR="007F7B94" w:rsidRPr="007B3452">
        <w:rPr>
          <w:rFonts w:ascii="Arial" w:hAnsi="Arial" w:cs="Arial"/>
        </w:rPr>
        <w:t xml:space="preserve"> in the area of financial literacy</w:t>
      </w:r>
      <w:r w:rsidR="003C60A7" w:rsidRPr="007B3452">
        <w:rPr>
          <w:rFonts w:ascii="Arial" w:hAnsi="Arial" w:cs="Arial"/>
        </w:rPr>
        <w:t xml:space="preserve"> in recent years</w:t>
      </w:r>
      <w:r w:rsidR="00774053" w:rsidRPr="007B3452">
        <w:rPr>
          <w:rFonts w:ascii="Arial" w:hAnsi="Arial" w:cs="Arial"/>
        </w:rPr>
        <w:t xml:space="preserve">. </w:t>
      </w:r>
      <w:r w:rsidR="003C60A7" w:rsidRPr="007B3452">
        <w:rPr>
          <w:rFonts w:ascii="Arial" w:hAnsi="Arial" w:cs="Arial"/>
        </w:rPr>
        <w:t xml:space="preserve">ASIC’s </w:t>
      </w:r>
      <w:proofErr w:type="spellStart"/>
      <w:r w:rsidR="003C60A7" w:rsidRPr="007B3452">
        <w:rPr>
          <w:rFonts w:ascii="Arial" w:hAnsi="Arial" w:cs="Arial"/>
        </w:rPr>
        <w:t>MoneySmart</w:t>
      </w:r>
      <w:proofErr w:type="spellEnd"/>
      <w:r w:rsidR="003C60A7" w:rsidRPr="007B3452">
        <w:rPr>
          <w:rFonts w:ascii="Arial" w:hAnsi="Arial" w:cs="Arial"/>
        </w:rPr>
        <w:t xml:space="preserve"> website has become a focal point for the dissemination of information on a wide variety of financial topics.</w:t>
      </w:r>
      <w:r w:rsidR="001E3E19" w:rsidRPr="007B3452">
        <w:rPr>
          <w:rFonts w:ascii="Arial" w:hAnsi="Arial" w:cs="Arial"/>
        </w:rPr>
        <w:t xml:space="preserve"> </w:t>
      </w:r>
    </w:p>
    <w:p w14:paraId="26A356E0" w14:textId="77777777" w:rsidR="00003D57" w:rsidRPr="007B3452" w:rsidRDefault="00003D57" w:rsidP="00003D57">
      <w:pPr>
        <w:rPr>
          <w:rFonts w:ascii="Arial" w:hAnsi="Arial" w:cs="Arial"/>
        </w:rPr>
      </w:pPr>
      <w:r w:rsidRPr="007B3452">
        <w:rPr>
          <w:rFonts w:ascii="Arial" w:hAnsi="Arial" w:cs="Arial"/>
        </w:rPr>
        <w:t>ASIC’s coordination and strategic oversight of the financial literacy programs and resources provided by numerous organisations throughout Australia has significantly transformed their delivery and effectiveness. ASIC’s role in this area is well supported by the community and should be leveraged and enhanced.</w:t>
      </w:r>
    </w:p>
    <w:p w14:paraId="6348A76A" w14:textId="77777777" w:rsidR="00003D57" w:rsidRPr="007B3452" w:rsidRDefault="00003D57" w:rsidP="007F7B94">
      <w:pPr>
        <w:rPr>
          <w:rFonts w:ascii="Arial" w:hAnsi="Arial" w:cs="Arial"/>
        </w:rPr>
      </w:pPr>
    </w:p>
    <w:p w14:paraId="754B77C1" w14:textId="77777777" w:rsidR="003C60A7" w:rsidRPr="007B3452" w:rsidRDefault="003C60A7" w:rsidP="007F7B94">
      <w:pPr>
        <w:rPr>
          <w:rFonts w:ascii="Arial" w:hAnsi="Arial" w:cs="Arial"/>
        </w:rPr>
      </w:pPr>
      <w:r w:rsidRPr="007B3452">
        <w:rPr>
          <w:rFonts w:ascii="Arial" w:hAnsi="Arial" w:cs="Arial"/>
        </w:rPr>
        <w:t>However, m</w:t>
      </w:r>
      <w:r w:rsidR="007F7B94" w:rsidRPr="007B3452">
        <w:rPr>
          <w:rFonts w:ascii="Arial" w:hAnsi="Arial" w:cs="Arial"/>
        </w:rPr>
        <w:t xml:space="preserve">ore </w:t>
      </w:r>
      <w:r w:rsidR="009776F4" w:rsidRPr="007B3452">
        <w:rPr>
          <w:rFonts w:ascii="Arial" w:hAnsi="Arial" w:cs="Arial"/>
        </w:rPr>
        <w:t xml:space="preserve">needs to be </w:t>
      </w:r>
      <w:r w:rsidR="007F7B94" w:rsidRPr="007B3452">
        <w:rPr>
          <w:rFonts w:ascii="Arial" w:hAnsi="Arial" w:cs="Arial"/>
        </w:rPr>
        <w:t xml:space="preserve">done to </w:t>
      </w:r>
      <w:r w:rsidRPr="007B3452">
        <w:rPr>
          <w:rFonts w:ascii="Arial" w:hAnsi="Arial" w:cs="Arial"/>
        </w:rPr>
        <w:t xml:space="preserve">proactively </w:t>
      </w:r>
      <w:r w:rsidR="007F7B94" w:rsidRPr="007B3452">
        <w:rPr>
          <w:rFonts w:ascii="Arial" w:hAnsi="Arial" w:cs="Arial"/>
        </w:rPr>
        <w:t xml:space="preserve">engage with </w:t>
      </w:r>
      <w:r w:rsidRPr="007B3452">
        <w:rPr>
          <w:rFonts w:ascii="Arial" w:hAnsi="Arial" w:cs="Arial"/>
        </w:rPr>
        <w:t>parts of the community that have not accessed this information</w:t>
      </w:r>
      <w:r w:rsidR="005163E5" w:rsidRPr="007B3452">
        <w:rPr>
          <w:rFonts w:ascii="Arial" w:hAnsi="Arial" w:cs="Arial"/>
        </w:rPr>
        <w:t>, aren’t displaying good financial capability</w:t>
      </w:r>
      <w:r w:rsidRPr="007B3452">
        <w:rPr>
          <w:rFonts w:ascii="Arial" w:hAnsi="Arial" w:cs="Arial"/>
        </w:rPr>
        <w:t xml:space="preserve"> and continue to struggle with financial pressures.</w:t>
      </w:r>
    </w:p>
    <w:p w14:paraId="6B3E16AE" w14:textId="5B964A26" w:rsidR="003C60A7" w:rsidRPr="007B3452" w:rsidRDefault="003C60A7" w:rsidP="003C60A7">
      <w:pPr>
        <w:rPr>
          <w:rFonts w:ascii="Arial" w:hAnsi="Arial" w:cs="Arial"/>
        </w:rPr>
      </w:pPr>
      <w:r w:rsidRPr="007B3452">
        <w:rPr>
          <w:rFonts w:ascii="Arial" w:hAnsi="Arial" w:cs="Arial"/>
        </w:rPr>
        <w:t>The FPA welcomes the Government’s commitment to establish a new body that will build financial capability for all Australians and the commitment in the 2018-19 federal budget to provide $10</w:t>
      </w:r>
      <w:r w:rsidR="0056333E" w:rsidRPr="007B3452">
        <w:rPr>
          <w:rFonts w:ascii="Arial" w:hAnsi="Arial" w:cs="Arial"/>
        </w:rPr>
        <w:t> </w:t>
      </w:r>
      <w:r w:rsidRPr="007B3452">
        <w:rPr>
          <w:rFonts w:ascii="Arial" w:hAnsi="Arial" w:cs="Arial"/>
        </w:rPr>
        <w:t xml:space="preserve">million in </w:t>
      </w:r>
      <w:r w:rsidR="001E3E19" w:rsidRPr="007B3452">
        <w:rPr>
          <w:rFonts w:ascii="Arial" w:hAnsi="Arial" w:cs="Arial"/>
        </w:rPr>
        <w:t xml:space="preserve">funding to specifically address financial </w:t>
      </w:r>
      <w:r w:rsidR="005163E5" w:rsidRPr="007B3452">
        <w:rPr>
          <w:rFonts w:ascii="Arial" w:hAnsi="Arial" w:cs="Arial"/>
        </w:rPr>
        <w:t>capability</w:t>
      </w:r>
      <w:r w:rsidR="001E3E19" w:rsidRPr="007B3452">
        <w:rPr>
          <w:rFonts w:ascii="Arial" w:hAnsi="Arial" w:cs="Arial"/>
        </w:rPr>
        <w:t xml:space="preserve"> among Australian women.</w:t>
      </w:r>
      <w:r w:rsidRPr="007B3452">
        <w:rPr>
          <w:rFonts w:ascii="Arial" w:hAnsi="Arial" w:cs="Arial"/>
        </w:rPr>
        <w:t xml:space="preserve"> </w:t>
      </w:r>
    </w:p>
    <w:p w14:paraId="360A44B1" w14:textId="2387F777" w:rsidR="003C60A7" w:rsidRPr="007B3452" w:rsidRDefault="003C60A7" w:rsidP="007F7B94">
      <w:pPr>
        <w:rPr>
          <w:rFonts w:ascii="Arial" w:hAnsi="Arial" w:cs="Arial"/>
        </w:rPr>
      </w:pPr>
      <w:r w:rsidRPr="007B3452">
        <w:rPr>
          <w:rFonts w:ascii="Arial" w:hAnsi="Arial" w:cs="Arial"/>
        </w:rPr>
        <w:t xml:space="preserve">As well as directly engaging with members of the community, the FPA considers that this new </w:t>
      </w:r>
      <w:r w:rsidR="001E3E19" w:rsidRPr="007B3452">
        <w:rPr>
          <w:rFonts w:ascii="Arial" w:hAnsi="Arial" w:cs="Arial"/>
        </w:rPr>
        <w:t xml:space="preserve">financial </w:t>
      </w:r>
      <w:r w:rsidR="005163E5" w:rsidRPr="007B3452">
        <w:rPr>
          <w:rFonts w:ascii="Arial" w:hAnsi="Arial" w:cs="Arial"/>
        </w:rPr>
        <w:t>capability</w:t>
      </w:r>
      <w:r w:rsidR="001E3E19" w:rsidRPr="007B3452">
        <w:rPr>
          <w:rFonts w:ascii="Arial" w:hAnsi="Arial" w:cs="Arial"/>
        </w:rPr>
        <w:t xml:space="preserve"> </w:t>
      </w:r>
      <w:r w:rsidRPr="007B3452">
        <w:rPr>
          <w:rFonts w:ascii="Arial" w:hAnsi="Arial" w:cs="Arial"/>
        </w:rPr>
        <w:t xml:space="preserve">body </w:t>
      </w:r>
      <w:r w:rsidR="007F7B94" w:rsidRPr="007B3452">
        <w:rPr>
          <w:rFonts w:ascii="Arial" w:hAnsi="Arial" w:cs="Arial"/>
        </w:rPr>
        <w:t>could usefully mobilise and co-ordinate different public and private sector stakeholders t</w:t>
      </w:r>
      <w:r w:rsidRPr="007B3452">
        <w:rPr>
          <w:rFonts w:ascii="Arial" w:hAnsi="Arial" w:cs="Arial"/>
        </w:rPr>
        <w:t xml:space="preserve">hat can also contribute to improving financial </w:t>
      </w:r>
      <w:r w:rsidR="005163E5" w:rsidRPr="007B3452">
        <w:rPr>
          <w:rFonts w:ascii="Arial" w:hAnsi="Arial" w:cs="Arial"/>
        </w:rPr>
        <w:t>capability.</w:t>
      </w:r>
      <w:r w:rsidR="003D0998" w:rsidRPr="007B3452">
        <w:rPr>
          <w:rFonts w:ascii="Arial" w:hAnsi="Arial" w:cs="Arial"/>
        </w:rPr>
        <w:t xml:space="preserve"> </w:t>
      </w:r>
      <w:r w:rsidR="007F7B94" w:rsidRPr="007B3452">
        <w:rPr>
          <w:rFonts w:ascii="Arial" w:hAnsi="Arial" w:cs="Arial"/>
        </w:rPr>
        <w:t xml:space="preserve">Many of the points at which </w:t>
      </w:r>
      <w:r w:rsidR="00B55410" w:rsidRPr="007B3452">
        <w:rPr>
          <w:rFonts w:ascii="Arial" w:hAnsi="Arial" w:cs="Arial"/>
        </w:rPr>
        <w:t>individuals</w:t>
      </w:r>
      <w:r w:rsidR="007F7B94" w:rsidRPr="007B3452">
        <w:rPr>
          <w:rFonts w:ascii="Arial" w:hAnsi="Arial" w:cs="Arial"/>
        </w:rPr>
        <w:t xml:space="preserve"> already interact with the Federal Government (for example, through Centrelink, the MyGov website) and State Government (for example, maternity hospitals and baby health nurses, aged care workers) could be used to </w:t>
      </w:r>
      <w:r w:rsidR="00B55410" w:rsidRPr="007B3452">
        <w:rPr>
          <w:rFonts w:ascii="Arial" w:hAnsi="Arial" w:cs="Arial"/>
        </w:rPr>
        <w:t>provide</w:t>
      </w:r>
      <w:r w:rsidR="007F7B94" w:rsidRPr="007B3452">
        <w:rPr>
          <w:rFonts w:ascii="Arial" w:hAnsi="Arial" w:cs="Arial"/>
        </w:rPr>
        <w:t xml:space="preserve"> financial </w:t>
      </w:r>
      <w:r w:rsidR="00B55410" w:rsidRPr="007B3452">
        <w:rPr>
          <w:rFonts w:ascii="Arial" w:hAnsi="Arial" w:cs="Arial"/>
        </w:rPr>
        <w:t>education.</w:t>
      </w:r>
    </w:p>
    <w:p w14:paraId="42FA04EE" w14:textId="77777777" w:rsidR="007F7B94" w:rsidRPr="007B3452" w:rsidRDefault="003C60A7" w:rsidP="007F7B94">
      <w:pPr>
        <w:rPr>
          <w:rFonts w:ascii="Arial" w:hAnsi="Arial" w:cs="Arial"/>
        </w:rPr>
      </w:pPr>
      <w:r w:rsidRPr="007B3452">
        <w:rPr>
          <w:rFonts w:ascii="Arial" w:hAnsi="Arial" w:cs="Arial"/>
        </w:rPr>
        <w:t>To do this job effectively, the new body will need the certainty of ongoing operational funding. While the initial budget appropriation</w:t>
      </w:r>
      <w:r w:rsidR="001E3E19" w:rsidRPr="007B3452">
        <w:rPr>
          <w:rFonts w:ascii="Arial" w:hAnsi="Arial" w:cs="Arial"/>
        </w:rPr>
        <w:t>, charitable donations</w:t>
      </w:r>
      <w:r w:rsidRPr="007B3452">
        <w:rPr>
          <w:rFonts w:ascii="Arial" w:hAnsi="Arial" w:cs="Arial"/>
        </w:rPr>
        <w:t xml:space="preserve"> and possible future community benefit funds are </w:t>
      </w:r>
      <w:r w:rsidR="001E3E19" w:rsidRPr="007B3452">
        <w:rPr>
          <w:rFonts w:ascii="Arial" w:hAnsi="Arial" w:cs="Arial"/>
        </w:rPr>
        <w:t>welcome boosts, the Government should commit to providing a standing budget appropriation</w:t>
      </w:r>
      <w:r w:rsidR="007F7B94" w:rsidRPr="007B3452">
        <w:rPr>
          <w:rFonts w:ascii="Arial" w:hAnsi="Arial" w:cs="Arial"/>
        </w:rPr>
        <w:t xml:space="preserve"> </w:t>
      </w:r>
      <w:r w:rsidR="001E3E19" w:rsidRPr="007B3452">
        <w:rPr>
          <w:rFonts w:ascii="Arial" w:hAnsi="Arial" w:cs="Arial"/>
        </w:rPr>
        <w:t>for the new body to ensure it is on a sound footing into the future.</w:t>
      </w:r>
    </w:p>
    <w:p w14:paraId="0C9BF502" w14:textId="77777777" w:rsidR="00CD6A4E" w:rsidRPr="007B3452" w:rsidRDefault="00CD6A4E">
      <w:pPr>
        <w:rPr>
          <w:rFonts w:ascii="Arial" w:hAnsi="Arial" w:cs="Arial"/>
        </w:rPr>
      </w:pPr>
    </w:p>
    <w:p w14:paraId="5612F955" w14:textId="77777777" w:rsidR="00C65891" w:rsidRPr="007B3452" w:rsidRDefault="001B337A" w:rsidP="001B337A">
      <w:pPr>
        <w:rPr>
          <w:rFonts w:ascii="Arial" w:hAnsi="Arial" w:cs="Arial"/>
          <w:b/>
        </w:rPr>
      </w:pPr>
      <w:r w:rsidRPr="007B3452">
        <w:rPr>
          <w:rFonts w:ascii="Arial" w:hAnsi="Arial" w:cs="Arial"/>
          <w:b/>
        </w:rPr>
        <w:t>Recommendation</w:t>
      </w:r>
      <w:r w:rsidR="00C65891" w:rsidRPr="007B3452">
        <w:rPr>
          <w:rFonts w:ascii="Arial" w:hAnsi="Arial" w:cs="Arial"/>
          <w:b/>
        </w:rPr>
        <w:t xml:space="preserve"> </w:t>
      </w:r>
      <w:r w:rsidR="005B29AC" w:rsidRPr="007B3452">
        <w:rPr>
          <w:rFonts w:ascii="Arial" w:hAnsi="Arial" w:cs="Arial"/>
          <w:b/>
        </w:rPr>
        <w:t>7</w:t>
      </w:r>
      <w:r w:rsidRPr="007B3452">
        <w:rPr>
          <w:rFonts w:ascii="Arial" w:hAnsi="Arial" w:cs="Arial"/>
          <w:b/>
        </w:rPr>
        <w:t xml:space="preserve">: </w:t>
      </w:r>
    </w:p>
    <w:p w14:paraId="30F42725" w14:textId="77777777" w:rsidR="00720783" w:rsidRPr="007B3452" w:rsidRDefault="001B337A">
      <w:pPr>
        <w:rPr>
          <w:rFonts w:ascii="Arial" w:eastAsiaTheme="majorEastAsia" w:hAnsi="Arial" w:cs="Arial"/>
          <w:b/>
          <w:color w:val="5BBBB7"/>
          <w:sz w:val="32"/>
          <w:szCs w:val="32"/>
        </w:rPr>
      </w:pPr>
      <w:r w:rsidRPr="007B3452">
        <w:rPr>
          <w:rFonts w:ascii="Arial" w:hAnsi="Arial" w:cs="Arial"/>
        </w:rPr>
        <w:t>The FPA recommends</w:t>
      </w:r>
      <w:r w:rsidR="001E3E19" w:rsidRPr="007B3452">
        <w:rPr>
          <w:rFonts w:ascii="Arial" w:hAnsi="Arial" w:cs="Arial"/>
        </w:rPr>
        <w:t xml:space="preserve"> the Government </w:t>
      </w:r>
      <w:r w:rsidR="006F5DC2" w:rsidRPr="007B3452">
        <w:rPr>
          <w:rFonts w:ascii="Arial" w:hAnsi="Arial" w:cs="Arial"/>
        </w:rPr>
        <w:t>commits to</w:t>
      </w:r>
      <w:r w:rsidR="001E3E19" w:rsidRPr="007B3452">
        <w:rPr>
          <w:rFonts w:ascii="Arial" w:hAnsi="Arial" w:cs="Arial"/>
        </w:rPr>
        <w:t xml:space="preserve"> providing an ongoing budget appropriation for its new financial </w:t>
      </w:r>
      <w:r w:rsidR="005163E5" w:rsidRPr="007B3452">
        <w:rPr>
          <w:rFonts w:ascii="Arial" w:hAnsi="Arial" w:cs="Arial"/>
        </w:rPr>
        <w:t>capability</w:t>
      </w:r>
      <w:r w:rsidR="001E3E19" w:rsidRPr="007B3452">
        <w:rPr>
          <w:rFonts w:ascii="Arial" w:hAnsi="Arial" w:cs="Arial"/>
        </w:rPr>
        <w:t xml:space="preserve"> body.</w:t>
      </w:r>
    </w:p>
    <w:p w14:paraId="2AA292F9" w14:textId="77777777" w:rsidR="002D38C3" w:rsidRPr="007B3452" w:rsidRDefault="002D38C3">
      <w:pPr>
        <w:rPr>
          <w:rFonts w:ascii="Arial" w:hAnsi="Arial" w:cs="Arial"/>
        </w:rPr>
      </w:pPr>
    </w:p>
    <w:p w14:paraId="487230B8" w14:textId="77777777" w:rsidR="002D38C3" w:rsidRPr="007B3452" w:rsidRDefault="002D38C3" w:rsidP="002D38C3">
      <w:pPr>
        <w:pStyle w:val="Heading2"/>
        <w:rPr>
          <w:rFonts w:ascii="Arial" w:hAnsi="Arial" w:cs="Arial"/>
        </w:rPr>
      </w:pPr>
      <w:bookmarkStart w:id="12" w:name="_Toc535503313"/>
      <w:r w:rsidRPr="007B3452">
        <w:rPr>
          <w:rFonts w:ascii="Arial" w:hAnsi="Arial" w:cs="Arial"/>
        </w:rPr>
        <w:t>Promoting competition in the financial services industry</w:t>
      </w:r>
      <w:bookmarkEnd w:id="12"/>
    </w:p>
    <w:p w14:paraId="3CC721F6" w14:textId="281AD936" w:rsidR="002D38C3" w:rsidRPr="007B3452" w:rsidRDefault="002D38C3" w:rsidP="002D38C3">
      <w:pPr>
        <w:rPr>
          <w:rFonts w:ascii="Arial" w:hAnsi="Arial" w:cs="Arial"/>
        </w:rPr>
      </w:pPr>
      <w:r w:rsidRPr="007B3452">
        <w:rPr>
          <w:rFonts w:ascii="Arial" w:hAnsi="Arial" w:cs="Arial"/>
        </w:rPr>
        <w:t>There is often a lack of consideration of competitive outcomes by regulators in the financial services industry. The FPA supports recommendation 19.1 of the Productivity Commission’s report Competition in the Australian Financial System</w:t>
      </w:r>
      <w:r w:rsidR="003D0998" w:rsidRPr="007B3452">
        <w:rPr>
          <w:rFonts w:ascii="Arial" w:hAnsi="Arial" w:cs="Arial"/>
        </w:rPr>
        <w:t xml:space="preserve">, in which the Commission </w:t>
      </w:r>
      <w:r w:rsidRPr="007B3452">
        <w:rPr>
          <w:rFonts w:ascii="Arial" w:hAnsi="Arial" w:cs="Arial"/>
        </w:rPr>
        <w:t xml:space="preserve">recommends </w:t>
      </w:r>
      <w:r w:rsidR="003D0998" w:rsidRPr="007B3452">
        <w:rPr>
          <w:rFonts w:ascii="Arial" w:hAnsi="Arial" w:cs="Arial"/>
        </w:rPr>
        <w:t xml:space="preserve">adding the Australian Competition and Consumer Commission (ACCC) to </w:t>
      </w:r>
      <w:r w:rsidRPr="007B3452">
        <w:rPr>
          <w:rFonts w:ascii="Arial" w:hAnsi="Arial" w:cs="Arial"/>
        </w:rPr>
        <w:t xml:space="preserve">the Council of Financial Regulators (CFR) </w:t>
      </w:r>
      <w:r w:rsidR="003D0998" w:rsidRPr="007B3452">
        <w:rPr>
          <w:rFonts w:ascii="Arial" w:hAnsi="Arial" w:cs="Arial"/>
        </w:rPr>
        <w:t>and requiring</w:t>
      </w:r>
      <w:r w:rsidRPr="007B3452">
        <w:rPr>
          <w:rFonts w:ascii="Arial" w:hAnsi="Arial" w:cs="Arial"/>
        </w:rPr>
        <w:t xml:space="preserve"> consideration of competition</w:t>
      </w:r>
      <w:r w:rsidR="003D0998" w:rsidRPr="007B3452">
        <w:rPr>
          <w:rFonts w:ascii="Arial" w:hAnsi="Arial" w:cs="Arial"/>
        </w:rPr>
        <w:t xml:space="preserve"> impacts by regulators</w:t>
      </w:r>
      <w:r w:rsidRPr="007B3452">
        <w:rPr>
          <w:rFonts w:ascii="Arial" w:hAnsi="Arial" w:cs="Arial"/>
        </w:rPr>
        <w:t xml:space="preserve">. </w:t>
      </w:r>
    </w:p>
    <w:p w14:paraId="2E7E404B" w14:textId="2453BD06" w:rsidR="002D38C3" w:rsidRPr="007B3452" w:rsidRDefault="002D38C3" w:rsidP="002D38C3">
      <w:pPr>
        <w:rPr>
          <w:rFonts w:ascii="Arial" w:hAnsi="Arial" w:cs="Arial"/>
        </w:rPr>
      </w:pPr>
      <w:r w:rsidRPr="007B3452">
        <w:rPr>
          <w:rFonts w:ascii="Arial" w:hAnsi="Arial" w:cs="Arial"/>
        </w:rPr>
        <w:t xml:space="preserve">The FPA does not believe it is </w:t>
      </w:r>
      <w:r w:rsidR="00066A59" w:rsidRPr="007B3452">
        <w:rPr>
          <w:rFonts w:ascii="Arial" w:hAnsi="Arial" w:cs="Arial"/>
        </w:rPr>
        <w:t>enough</w:t>
      </w:r>
      <w:r w:rsidRPr="007B3452">
        <w:rPr>
          <w:rFonts w:ascii="Arial" w:hAnsi="Arial" w:cs="Arial"/>
        </w:rPr>
        <w:t xml:space="preserve"> for the Government to include in its Statement of Expectations for all members of the CFR the practice of reviewing, before they are implemented, regulator actions that may have material effects on competition. The FPA support</w:t>
      </w:r>
      <w:r w:rsidR="003D0998" w:rsidRPr="007B3452">
        <w:rPr>
          <w:rFonts w:ascii="Arial" w:hAnsi="Arial" w:cs="Arial"/>
        </w:rPr>
        <w:t>s</w:t>
      </w:r>
      <w:r w:rsidRPr="007B3452">
        <w:rPr>
          <w:rFonts w:ascii="Arial" w:hAnsi="Arial" w:cs="Arial"/>
        </w:rPr>
        <w:t xml:space="preserve"> legislated changes to regulator responsibilities to ensure the effects on competition </w:t>
      </w:r>
      <w:r w:rsidRPr="007B3452">
        <w:rPr>
          <w:rFonts w:ascii="Arial" w:hAnsi="Arial" w:cs="Arial"/>
        </w:rPr>
        <w:lastRenderedPageBreak/>
        <w:t>are given due consideration and review, and the appropriate priority by the Regulator (or Treasury) prior to the implementation of Regulator actions.</w:t>
      </w:r>
    </w:p>
    <w:p w14:paraId="3C7549C0" w14:textId="73854AF3" w:rsidR="002D38C3" w:rsidRPr="007B3452" w:rsidRDefault="002D38C3" w:rsidP="002D38C3">
      <w:pPr>
        <w:rPr>
          <w:rFonts w:ascii="Arial" w:hAnsi="Arial" w:cs="Arial"/>
        </w:rPr>
      </w:pPr>
      <w:r w:rsidRPr="007B3452">
        <w:rPr>
          <w:rFonts w:ascii="Arial" w:hAnsi="Arial" w:cs="Arial"/>
        </w:rPr>
        <w:t>Regulators should also be considering the impact a regulatory action has on competition at the time of creating the proposal and throughout its consultation process. This requirement should include Treasury, as a member of the CFR and in its role of identifying and implementing Government policy.</w:t>
      </w:r>
    </w:p>
    <w:p w14:paraId="0E79DDB2" w14:textId="77777777" w:rsidR="003D0998" w:rsidRPr="007B3452" w:rsidRDefault="003D0998" w:rsidP="002D38C3">
      <w:pPr>
        <w:rPr>
          <w:rFonts w:ascii="Arial" w:hAnsi="Arial" w:cs="Arial"/>
          <w:b/>
        </w:rPr>
      </w:pPr>
    </w:p>
    <w:p w14:paraId="7A9B0FAE" w14:textId="4977D933" w:rsidR="002D38C3" w:rsidRPr="007B3452" w:rsidRDefault="002D38C3" w:rsidP="002D38C3">
      <w:pPr>
        <w:rPr>
          <w:rFonts w:ascii="Arial" w:hAnsi="Arial" w:cs="Arial"/>
          <w:b/>
        </w:rPr>
      </w:pPr>
      <w:r w:rsidRPr="007B3452">
        <w:rPr>
          <w:rFonts w:ascii="Arial" w:hAnsi="Arial" w:cs="Arial"/>
          <w:b/>
        </w:rPr>
        <w:t xml:space="preserve">Recommendation </w:t>
      </w:r>
      <w:r w:rsidR="003D0998" w:rsidRPr="007B3452">
        <w:rPr>
          <w:rFonts w:ascii="Arial" w:hAnsi="Arial" w:cs="Arial"/>
          <w:b/>
        </w:rPr>
        <w:t>8</w:t>
      </w:r>
      <w:r w:rsidRPr="007B3452">
        <w:rPr>
          <w:rFonts w:ascii="Arial" w:hAnsi="Arial" w:cs="Arial"/>
          <w:b/>
        </w:rPr>
        <w:t xml:space="preserve">: </w:t>
      </w:r>
    </w:p>
    <w:p w14:paraId="218E742F" w14:textId="21005055" w:rsidR="005163E5" w:rsidRPr="007B3452" w:rsidRDefault="002D38C3" w:rsidP="003D0998">
      <w:pPr>
        <w:rPr>
          <w:rFonts w:ascii="Arial" w:hAnsi="Arial" w:cs="Arial"/>
          <w:b/>
          <w:sz w:val="32"/>
          <w:szCs w:val="32"/>
        </w:rPr>
      </w:pPr>
      <w:r w:rsidRPr="007B3452">
        <w:rPr>
          <w:rFonts w:ascii="Arial" w:hAnsi="Arial" w:cs="Arial"/>
        </w:rPr>
        <w:t xml:space="preserve">The FPA recommends the Government </w:t>
      </w:r>
      <w:r w:rsidR="003D0998" w:rsidRPr="007B3452">
        <w:rPr>
          <w:rFonts w:ascii="Arial" w:hAnsi="Arial" w:cs="Arial"/>
        </w:rPr>
        <w:t>agrees to add the Australian Competition and Consumer Commission to the Council of Financial Regulators</w:t>
      </w:r>
      <w:r w:rsidRPr="007B3452">
        <w:rPr>
          <w:rFonts w:ascii="Arial" w:hAnsi="Arial" w:cs="Arial"/>
        </w:rPr>
        <w:t>.</w:t>
      </w:r>
      <w:r w:rsidR="005163E5" w:rsidRPr="007B3452">
        <w:rPr>
          <w:rFonts w:ascii="Arial" w:hAnsi="Arial" w:cs="Arial"/>
        </w:rPr>
        <w:br w:type="page"/>
      </w:r>
    </w:p>
    <w:p w14:paraId="710BFC53" w14:textId="77777777" w:rsidR="00CD6A4E" w:rsidRPr="007B3452" w:rsidRDefault="00CD6A4E" w:rsidP="00CD6A4E">
      <w:pPr>
        <w:pStyle w:val="Heading1"/>
        <w:rPr>
          <w:rFonts w:ascii="Arial" w:hAnsi="Arial" w:cs="Arial"/>
        </w:rPr>
      </w:pPr>
      <w:bookmarkStart w:id="13" w:name="_Toc535503314"/>
      <w:r w:rsidRPr="007B3452">
        <w:rPr>
          <w:rFonts w:ascii="Arial" w:hAnsi="Arial" w:cs="Arial"/>
        </w:rPr>
        <w:lastRenderedPageBreak/>
        <w:t>Supporting the professionalisation of financial planning</w:t>
      </w:r>
      <w:bookmarkEnd w:id="13"/>
    </w:p>
    <w:p w14:paraId="73DBE067" w14:textId="77777777" w:rsidR="00CD6A4E" w:rsidRPr="007B3452" w:rsidRDefault="00CD6A4E" w:rsidP="00CD6A4E">
      <w:pPr>
        <w:pStyle w:val="Heading2"/>
        <w:rPr>
          <w:rFonts w:ascii="Arial" w:hAnsi="Arial" w:cs="Arial"/>
        </w:rPr>
      </w:pPr>
    </w:p>
    <w:p w14:paraId="553CD11E" w14:textId="77777777" w:rsidR="00CD6A4E" w:rsidRPr="007B3452" w:rsidRDefault="00CD6A4E" w:rsidP="00CD6A4E">
      <w:pPr>
        <w:pStyle w:val="Heading2"/>
        <w:rPr>
          <w:rFonts w:ascii="Arial" w:hAnsi="Arial" w:cs="Arial"/>
        </w:rPr>
      </w:pPr>
      <w:bookmarkStart w:id="14" w:name="_Toc535503315"/>
      <w:r w:rsidRPr="007B3452">
        <w:rPr>
          <w:rFonts w:ascii="Arial" w:hAnsi="Arial" w:cs="Arial"/>
        </w:rPr>
        <w:t>Streamlining interactions with Centrelink</w:t>
      </w:r>
      <w:r w:rsidR="003805AC" w:rsidRPr="007B3452">
        <w:rPr>
          <w:rFonts w:ascii="Arial" w:hAnsi="Arial" w:cs="Arial"/>
        </w:rPr>
        <w:t xml:space="preserve"> and the ATO</w:t>
      </w:r>
      <w:bookmarkEnd w:id="14"/>
    </w:p>
    <w:p w14:paraId="192F55ED" w14:textId="5ACF02AB" w:rsidR="00507270" w:rsidRPr="007B3452" w:rsidRDefault="00507270">
      <w:pPr>
        <w:rPr>
          <w:rFonts w:ascii="Arial" w:hAnsi="Arial" w:cs="Arial"/>
        </w:rPr>
      </w:pPr>
      <w:r w:rsidRPr="007B3452">
        <w:rPr>
          <w:rFonts w:ascii="Arial" w:hAnsi="Arial" w:cs="Arial"/>
        </w:rPr>
        <w:t xml:space="preserve">Many people turn to their financial </w:t>
      </w:r>
      <w:r w:rsidR="00145F4B" w:rsidRPr="007B3452">
        <w:rPr>
          <w:rFonts w:ascii="Arial" w:hAnsi="Arial" w:cs="Arial"/>
        </w:rPr>
        <w:t xml:space="preserve">planners </w:t>
      </w:r>
      <w:r w:rsidRPr="007B3452">
        <w:rPr>
          <w:rFonts w:ascii="Arial" w:hAnsi="Arial" w:cs="Arial"/>
        </w:rPr>
        <w:t>for assistance engaging with government agencies on financial matters.</w:t>
      </w:r>
      <w:r w:rsidR="00145F4B" w:rsidRPr="007B3452">
        <w:rPr>
          <w:rFonts w:ascii="Arial" w:hAnsi="Arial" w:cs="Arial"/>
        </w:rPr>
        <w:t xml:space="preserve"> This is particularly true in relation to social security and superannuation due to the complex relationship between </w:t>
      </w:r>
      <w:r w:rsidR="0084297B" w:rsidRPr="007B3452">
        <w:rPr>
          <w:rFonts w:ascii="Arial" w:hAnsi="Arial" w:cs="Arial"/>
        </w:rPr>
        <w:t>social security</w:t>
      </w:r>
      <w:r w:rsidR="00145F4B" w:rsidRPr="007B3452">
        <w:rPr>
          <w:rFonts w:ascii="Arial" w:hAnsi="Arial" w:cs="Arial"/>
        </w:rPr>
        <w:t xml:space="preserve"> benefits and superannuation rules.</w:t>
      </w:r>
    </w:p>
    <w:p w14:paraId="48001966" w14:textId="3D313D49" w:rsidR="00507270" w:rsidRPr="007B3452" w:rsidRDefault="00507270">
      <w:pPr>
        <w:rPr>
          <w:rFonts w:ascii="Arial" w:hAnsi="Arial" w:cs="Arial"/>
        </w:rPr>
      </w:pPr>
      <w:r w:rsidRPr="007B3452">
        <w:rPr>
          <w:rFonts w:ascii="Arial" w:hAnsi="Arial" w:cs="Arial"/>
        </w:rPr>
        <w:t xml:space="preserve">There is also benefit to government in streamlining access to financial </w:t>
      </w:r>
      <w:r w:rsidR="00145F4B" w:rsidRPr="007B3452">
        <w:rPr>
          <w:rFonts w:ascii="Arial" w:hAnsi="Arial" w:cs="Arial"/>
        </w:rPr>
        <w:t xml:space="preserve">planners </w:t>
      </w:r>
      <w:r w:rsidRPr="007B3452">
        <w:rPr>
          <w:rFonts w:ascii="Arial" w:hAnsi="Arial" w:cs="Arial"/>
        </w:rPr>
        <w:t xml:space="preserve">acting on behalf of their clients, with </w:t>
      </w:r>
      <w:r w:rsidR="00145F4B" w:rsidRPr="007B3452">
        <w:rPr>
          <w:rFonts w:ascii="Arial" w:hAnsi="Arial" w:cs="Arial"/>
        </w:rPr>
        <w:t xml:space="preserve">planners </w:t>
      </w:r>
      <w:r w:rsidRPr="007B3452">
        <w:rPr>
          <w:rFonts w:ascii="Arial" w:hAnsi="Arial" w:cs="Arial"/>
        </w:rPr>
        <w:t xml:space="preserve">being able to keep client details accurate and </w:t>
      </w:r>
      <w:r w:rsidR="00066A59" w:rsidRPr="007B3452">
        <w:rPr>
          <w:rFonts w:ascii="Arial" w:hAnsi="Arial" w:cs="Arial"/>
        </w:rPr>
        <w:t>up-to-date and</w:t>
      </w:r>
      <w:r w:rsidRPr="007B3452">
        <w:rPr>
          <w:rFonts w:ascii="Arial" w:hAnsi="Arial" w:cs="Arial"/>
        </w:rPr>
        <w:t xml:space="preserve"> assist clients in navigating complicated government processes.</w:t>
      </w:r>
      <w:r w:rsidR="00145F4B" w:rsidRPr="007B3452">
        <w:rPr>
          <w:rFonts w:ascii="Arial" w:hAnsi="Arial" w:cs="Arial"/>
        </w:rPr>
        <w:t xml:space="preserve"> Interacting with a qualified financial planner who is an expert in the relevant social security and superannuation regulations and other laws, rather than the consumer who may not understand these systems, can greatly reduce the time Centrelink</w:t>
      </w:r>
      <w:r w:rsidR="00DF363D" w:rsidRPr="007B3452">
        <w:rPr>
          <w:rFonts w:ascii="Arial" w:hAnsi="Arial" w:cs="Arial"/>
        </w:rPr>
        <w:t xml:space="preserve">, </w:t>
      </w:r>
      <w:r w:rsidR="007A1283" w:rsidRPr="007B3452">
        <w:rPr>
          <w:rFonts w:ascii="Arial" w:hAnsi="Arial" w:cs="Arial"/>
        </w:rPr>
        <w:t>Department of Veterans</w:t>
      </w:r>
      <w:r w:rsidR="000B30C6" w:rsidRPr="007B3452">
        <w:rPr>
          <w:rFonts w:ascii="Arial" w:hAnsi="Arial" w:cs="Arial"/>
        </w:rPr>
        <w:t>’</w:t>
      </w:r>
      <w:r w:rsidR="007A1283" w:rsidRPr="007B3452">
        <w:rPr>
          <w:rFonts w:ascii="Arial" w:hAnsi="Arial" w:cs="Arial"/>
        </w:rPr>
        <w:t xml:space="preserve"> Affairs</w:t>
      </w:r>
      <w:r w:rsidR="00145F4B" w:rsidRPr="007B3452">
        <w:rPr>
          <w:rFonts w:ascii="Arial" w:hAnsi="Arial" w:cs="Arial"/>
        </w:rPr>
        <w:t xml:space="preserve"> and ATO staff spend in assisting consumer applications, enquiries and claims.</w:t>
      </w:r>
    </w:p>
    <w:p w14:paraId="46DB2FA7" w14:textId="77777777" w:rsidR="00145F4B" w:rsidRPr="007B3452" w:rsidRDefault="00145F4B">
      <w:pPr>
        <w:rPr>
          <w:rFonts w:ascii="Arial" w:hAnsi="Arial" w:cs="Arial"/>
        </w:rPr>
      </w:pPr>
    </w:p>
    <w:p w14:paraId="61BFEC16" w14:textId="0E8C0371" w:rsidR="00C65891" w:rsidRPr="007B3452" w:rsidRDefault="001B337A" w:rsidP="001B337A">
      <w:pPr>
        <w:rPr>
          <w:rFonts w:ascii="Arial" w:hAnsi="Arial" w:cs="Arial"/>
          <w:b/>
        </w:rPr>
      </w:pPr>
      <w:r w:rsidRPr="007B3452">
        <w:rPr>
          <w:rFonts w:ascii="Arial" w:hAnsi="Arial" w:cs="Arial"/>
          <w:b/>
        </w:rPr>
        <w:t>Recommendation</w:t>
      </w:r>
      <w:r w:rsidR="00C65891" w:rsidRPr="007B3452">
        <w:rPr>
          <w:rFonts w:ascii="Arial" w:hAnsi="Arial" w:cs="Arial"/>
          <w:b/>
        </w:rPr>
        <w:t xml:space="preserve"> </w:t>
      </w:r>
      <w:r w:rsidR="003D0998" w:rsidRPr="007B3452">
        <w:rPr>
          <w:rFonts w:ascii="Arial" w:hAnsi="Arial" w:cs="Arial"/>
          <w:b/>
        </w:rPr>
        <w:t>9</w:t>
      </w:r>
      <w:r w:rsidRPr="007B3452">
        <w:rPr>
          <w:rFonts w:ascii="Arial" w:hAnsi="Arial" w:cs="Arial"/>
          <w:b/>
        </w:rPr>
        <w:t xml:space="preserve">: </w:t>
      </w:r>
    </w:p>
    <w:p w14:paraId="1AD100B4" w14:textId="77777777" w:rsidR="001B337A" w:rsidRPr="007B3452" w:rsidRDefault="001B337A" w:rsidP="0056333E">
      <w:pPr>
        <w:rPr>
          <w:rFonts w:ascii="Arial" w:hAnsi="Arial" w:cs="Arial"/>
        </w:rPr>
      </w:pPr>
      <w:r w:rsidRPr="007B3452">
        <w:rPr>
          <w:rFonts w:ascii="Arial" w:hAnsi="Arial" w:cs="Arial"/>
        </w:rPr>
        <w:t>The FPA recommends th</w:t>
      </w:r>
      <w:r w:rsidR="008061C5" w:rsidRPr="007B3452">
        <w:rPr>
          <w:rFonts w:ascii="Arial" w:hAnsi="Arial" w:cs="Arial"/>
        </w:rPr>
        <w:t xml:space="preserve">e Government pursue </w:t>
      </w:r>
      <w:r w:rsidR="00507270" w:rsidRPr="007B3452">
        <w:rPr>
          <w:rFonts w:ascii="Arial" w:hAnsi="Arial" w:cs="Arial"/>
        </w:rPr>
        <w:t>measures</w:t>
      </w:r>
      <w:r w:rsidR="008061C5" w:rsidRPr="007B3452">
        <w:rPr>
          <w:rFonts w:ascii="Arial" w:hAnsi="Arial" w:cs="Arial"/>
        </w:rPr>
        <w:t xml:space="preserve"> to ensure financial </w:t>
      </w:r>
      <w:r w:rsidR="00145F4B" w:rsidRPr="007B3452">
        <w:rPr>
          <w:rFonts w:ascii="Arial" w:hAnsi="Arial" w:cs="Arial"/>
        </w:rPr>
        <w:t xml:space="preserve">planners </w:t>
      </w:r>
      <w:r w:rsidR="008061C5" w:rsidRPr="007B3452">
        <w:rPr>
          <w:rFonts w:ascii="Arial" w:hAnsi="Arial" w:cs="Arial"/>
        </w:rPr>
        <w:t xml:space="preserve">can </w:t>
      </w:r>
      <w:r w:rsidR="00507270" w:rsidRPr="007B3452">
        <w:rPr>
          <w:rFonts w:ascii="Arial" w:hAnsi="Arial" w:cs="Arial"/>
        </w:rPr>
        <w:t xml:space="preserve">efficiently </w:t>
      </w:r>
      <w:r w:rsidR="008061C5" w:rsidRPr="007B3452">
        <w:rPr>
          <w:rFonts w:ascii="Arial" w:hAnsi="Arial" w:cs="Arial"/>
        </w:rPr>
        <w:t>interact with government agencies on behalf of their clients, including:</w:t>
      </w:r>
    </w:p>
    <w:p w14:paraId="5F14C4C4" w14:textId="35ACB86E" w:rsidR="008061C5" w:rsidRPr="007B3452" w:rsidRDefault="008061C5" w:rsidP="000B30C6">
      <w:pPr>
        <w:pStyle w:val="ListParagraph"/>
        <w:numPr>
          <w:ilvl w:val="0"/>
          <w:numId w:val="18"/>
        </w:numPr>
        <w:contextualSpacing w:val="0"/>
        <w:rPr>
          <w:rFonts w:ascii="Arial" w:hAnsi="Arial" w:cs="Arial"/>
        </w:rPr>
      </w:pPr>
      <w:r w:rsidRPr="007B3452">
        <w:rPr>
          <w:rFonts w:ascii="Arial" w:hAnsi="Arial" w:cs="Arial"/>
        </w:rPr>
        <w:t>for Centrelink</w:t>
      </w:r>
      <w:r w:rsidR="000B30C6" w:rsidRPr="007B3452">
        <w:rPr>
          <w:rFonts w:ascii="Arial" w:hAnsi="Arial" w:cs="Arial"/>
        </w:rPr>
        <w:t xml:space="preserve"> and Department of Veterans’ Affairs</w:t>
      </w:r>
      <w:r w:rsidRPr="007B3452">
        <w:rPr>
          <w:rFonts w:ascii="Arial" w:hAnsi="Arial" w:cs="Arial"/>
        </w:rPr>
        <w:t xml:space="preserve"> to allow a financial </w:t>
      </w:r>
      <w:r w:rsidR="00DE24F4" w:rsidRPr="007B3452">
        <w:rPr>
          <w:rFonts w:ascii="Arial" w:hAnsi="Arial" w:cs="Arial"/>
        </w:rPr>
        <w:t xml:space="preserve">planner </w:t>
      </w:r>
      <w:r w:rsidRPr="007B3452">
        <w:rPr>
          <w:rFonts w:ascii="Arial" w:hAnsi="Arial" w:cs="Arial"/>
        </w:rPr>
        <w:t>to request and update client details and access full income and asset statements online; and</w:t>
      </w:r>
    </w:p>
    <w:p w14:paraId="3ACD8911" w14:textId="7966DB40" w:rsidR="00DE24F4" w:rsidRPr="007B3452" w:rsidRDefault="008061C5" w:rsidP="000B30C6">
      <w:pPr>
        <w:pStyle w:val="ListParagraph"/>
        <w:numPr>
          <w:ilvl w:val="0"/>
          <w:numId w:val="18"/>
        </w:numPr>
        <w:contextualSpacing w:val="0"/>
        <w:rPr>
          <w:rFonts w:ascii="Arial" w:hAnsi="Arial" w:cs="Arial"/>
        </w:rPr>
      </w:pPr>
      <w:r w:rsidRPr="007B3452">
        <w:rPr>
          <w:rFonts w:ascii="Arial" w:hAnsi="Arial" w:cs="Arial"/>
        </w:rPr>
        <w:t xml:space="preserve">for the Tax Practitioners Board </w:t>
      </w:r>
      <w:r w:rsidR="005B33A6" w:rsidRPr="007B3452">
        <w:rPr>
          <w:rFonts w:ascii="Arial" w:hAnsi="Arial" w:cs="Arial"/>
        </w:rPr>
        <w:t xml:space="preserve">and ATO </w:t>
      </w:r>
      <w:r w:rsidRPr="007B3452">
        <w:rPr>
          <w:rFonts w:ascii="Arial" w:hAnsi="Arial" w:cs="Arial"/>
        </w:rPr>
        <w:t xml:space="preserve">to allow a </w:t>
      </w:r>
      <w:r w:rsidR="00DE24F4" w:rsidRPr="007B3452">
        <w:rPr>
          <w:rFonts w:ascii="Arial" w:hAnsi="Arial" w:cs="Arial"/>
        </w:rPr>
        <w:t>financial planner</w:t>
      </w:r>
      <w:r w:rsidRPr="007B3452">
        <w:rPr>
          <w:rFonts w:ascii="Arial" w:hAnsi="Arial" w:cs="Arial"/>
        </w:rPr>
        <w:t xml:space="preserve"> to</w:t>
      </w:r>
      <w:r w:rsidR="00DE24F4" w:rsidRPr="007B3452">
        <w:rPr>
          <w:rFonts w:ascii="Arial" w:hAnsi="Arial" w:cs="Arial"/>
        </w:rPr>
        <w:t>:</w:t>
      </w:r>
    </w:p>
    <w:p w14:paraId="7A10204C" w14:textId="6D0A7FCD" w:rsidR="008061C5" w:rsidRPr="007B3452" w:rsidRDefault="008061C5" w:rsidP="005B33A6">
      <w:pPr>
        <w:pStyle w:val="ListParagraph"/>
        <w:numPr>
          <w:ilvl w:val="0"/>
          <w:numId w:val="19"/>
        </w:numPr>
        <w:contextualSpacing w:val="0"/>
        <w:rPr>
          <w:rFonts w:ascii="Arial" w:hAnsi="Arial" w:cs="Arial"/>
        </w:rPr>
      </w:pPr>
      <w:r w:rsidRPr="007B3452">
        <w:rPr>
          <w:rFonts w:ascii="Arial" w:hAnsi="Arial" w:cs="Arial"/>
        </w:rPr>
        <w:t xml:space="preserve">apply for an ABN </w:t>
      </w:r>
      <w:r w:rsidR="005B33A6" w:rsidRPr="007B3452">
        <w:rPr>
          <w:rFonts w:ascii="Arial" w:hAnsi="Arial" w:cs="Arial"/>
        </w:rPr>
        <w:t xml:space="preserve">and TFN </w:t>
      </w:r>
      <w:r w:rsidRPr="007B3452">
        <w:rPr>
          <w:rFonts w:ascii="Arial" w:hAnsi="Arial" w:cs="Arial"/>
        </w:rPr>
        <w:t>on behalf of clients who wish to establish a self-managed super fund</w:t>
      </w:r>
      <w:r w:rsidR="00DE24F4" w:rsidRPr="007B3452">
        <w:rPr>
          <w:rFonts w:ascii="Arial" w:hAnsi="Arial" w:cs="Arial"/>
        </w:rPr>
        <w:t>; and</w:t>
      </w:r>
    </w:p>
    <w:p w14:paraId="57B3FC9E" w14:textId="03E160C0" w:rsidR="00DE24F4" w:rsidRPr="007B3452" w:rsidRDefault="00DE24F4" w:rsidP="005B33A6">
      <w:pPr>
        <w:pStyle w:val="ListParagraph"/>
        <w:numPr>
          <w:ilvl w:val="0"/>
          <w:numId w:val="19"/>
        </w:numPr>
        <w:contextualSpacing w:val="0"/>
        <w:rPr>
          <w:rFonts w:ascii="Arial" w:hAnsi="Arial" w:cs="Arial"/>
        </w:rPr>
      </w:pPr>
      <w:r w:rsidRPr="007B3452">
        <w:rPr>
          <w:rFonts w:ascii="Arial" w:hAnsi="Arial" w:cs="Arial"/>
        </w:rPr>
        <w:t xml:space="preserve">contact the ATO on behalf of clients </w:t>
      </w:r>
      <w:r w:rsidR="00181B37" w:rsidRPr="007B3452">
        <w:rPr>
          <w:rFonts w:ascii="Arial" w:hAnsi="Arial" w:cs="Arial"/>
        </w:rPr>
        <w:t>in relation to</w:t>
      </w:r>
      <w:r w:rsidRPr="007B3452">
        <w:rPr>
          <w:rFonts w:ascii="Arial" w:hAnsi="Arial" w:cs="Arial"/>
        </w:rPr>
        <w:t xml:space="preserve"> superannuation </w:t>
      </w:r>
      <w:r w:rsidR="00181B37" w:rsidRPr="007B3452">
        <w:rPr>
          <w:rFonts w:ascii="Arial" w:hAnsi="Arial" w:cs="Arial"/>
        </w:rPr>
        <w:t xml:space="preserve">balances, </w:t>
      </w:r>
      <w:r w:rsidRPr="007B3452">
        <w:rPr>
          <w:rFonts w:ascii="Arial" w:hAnsi="Arial" w:cs="Arial"/>
        </w:rPr>
        <w:t>contributions</w:t>
      </w:r>
      <w:r w:rsidR="00181B37" w:rsidRPr="007B3452">
        <w:rPr>
          <w:rFonts w:ascii="Arial" w:hAnsi="Arial" w:cs="Arial"/>
        </w:rPr>
        <w:t xml:space="preserve">, </w:t>
      </w:r>
      <w:r w:rsidR="009C7DC7" w:rsidRPr="007B3452">
        <w:rPr>
          <w:rFonts w:ascii="Arial" w:hAnsi="Arial" w:cs="Arial"/>
        </w:rPr>
        <w:t xml:space="preserve">and additional superannuation tax determinations. </w:t>
      </w:r>
    </w:p>
    <w:p w14:paraId="2EEF20BA" w14:textId="77777777" w:rsidR="001B337A" w:rsidRPr="007B3452" w:rsidRDefault="001B337A">
      <w:pPr>
        <w:rPr>
          <w:rFonts w:ascii="Arial" w:hAnsi="Arial" w:cs="Arial"/>
        </w:rPr>
      </w:pPr>
    </w:p>
    <w:p w14:paraId="26C7458E" w14:textId="77777777" w:rsidR="00CD6A4E" w:rsidRPr="007B3452" w:rsidRDefault="00CD6A4E" w:rsidP="00CD6A4E">
      <w:pPr>
        <w:pStyle w:val="Heading2"/>
        <w:rPr>
          <w:rFonts w:ascii="Arial" w:hAnsi="Arial" w:cs="Arial"/>
        </w:rPr>
      </w:pPr>
      <w:bookmarkStart w:id="15" w:name="_Toc535503316"/>
      <w:r w:rsidRPr="007B3452">
        <w:rPr>
          <w:rFonts w:ascii="Arial" w:hAnsi="Arial" w:cs="Arial"/>
        </w:rPr>
        <w:t xml:space="preserve">Supporting further education for financial </w:t>
      </w:r>
      <w:r w:rsidR="007C5171" w:rsidRPr="007B3452">
        <w:rPr>
          <w:rFonts w:ascii="Arial" w:hAnsi="Arial" w:cs="Arial"/>
        </w:rPr>
        <w:t>planners</w:t>
      </w:r>
      <w:bookmarkEnd w:id="15"/>
    </w:p>
    <w:p w14:paraId="45C42516" w14:textId="77777777" w:rsidR="00CD6A4E" w:rsidRPr="007B3452" w:rsidRDefault="00920B0D">
      <w:pPr>
        <w:rPr>
          <w:rFonts w:ascii="Arial" w:hAnsi="Arial" w:cs="Arial"/>
        </w:rPr>
      </w:pPr>
      <w:r w:rsidRPr="007B3452">
        <w:rPr>
          <w:rFonts w:ascii="Arial" w:hAnsi="Arial" w:cs="Arial"/>
        </w:rPr>
        <w:t xml:space="preserve">Between 2019 and 2024, all financial </w:t>
      </w:r>
      <w:r w:rsidR="007C5171" w:rsidRPr="007B3452">
        <w:rPr>
          <w:rFonts w:ascii="Arial" w:hAnsi="Arial" w:cs="Arial"/>
        </w:rPr>
        <w:t xml:space="preserve">planners </w:t>
      </w:r>
      <w:r w:rsidRPr="007B3452">
        <w:rPr>
          <w:rFonts w:ascii="Arial" w:hAnsi="Arial" w:cs="Arial"/>
        </w:rPr>
        <w:t>will be required to complete additional formal education to comply with the Financial Adviser Standards and Ethics Authority’s new education and training standard.</w:t>
      </w:r>
    </w:p>
    <w:p w14:paraId="10CFA84B" w14:textId="77777777" w:rsidR="00920B0D" w:rsidRPr="007B3452" w:rsidRDefault="00920B0D">
      <w:pPr>
        <w:rPr>
          <w:rFonts w:ascii="Arial" w:hAnsi="Arial" w:cs="Arial"/>
        </w:rPr>
      </w:pPr>
      <w:r w:rsidRPr="007B3452">
        <w:rPr>
          <w:rFonts w:ascii="Arial" w:hAnsi="Arial" w:cs="Arial"/>
        </w:rPr>
        <w:t xml:space="preserve">The FPA supports the new education and training standard and has a long history of advocating in favour of higher standards for financial </w:t>
      </w:r>
      <w:r w:rsidR="007C5171" w:rsidRPr="007B3452">
        <w:rPr>
          <w:rFonts w:ascii="Arial" w:hAnsi="Arial" w:cs="Arial"/>
        </w:rPr>
        <w:t xml:space="preserve">planners </w:t>
      </w:r>
      <w:r w:rsidRPr="007B3452">
        <w:rPr>
          <w:rFonts w:ascii="Arial" w:hAnsi="Arial" w:cs="Arial"/>
        </w:rPr>
        <w:t xml:space="preserve">through the Certified Financial Planner designation. However, the FPA also recognises that mandating higher standards is a substantial cost to business in the form of tuition fees and the substantial time taken for </w:t>
      </w:r>
      <w:r w:rsidR="007C5171" w:rsidRPr="007B3452">
        <w:rPr>
          <w:rFonts w:ascii="Arial" w:hAnsi="Arial" w:cs="Arial"/>
        </w:rPr>
        <w:t xml:space="preserve">planners </w:t>
      </w:r>
      <w:r w:rsidRPr="007B3452">
        <w:rPr>
          <w:rFonts w:ascii="Arial" w:hAnsi="Arial" w:cs="Arial"/>
        </w:rPr>
        <w:t xml:space="preserve">to complete </w:t>
      </w:r>
      <w:r w:rsidR="007C5171" w:rsidRPr="007B3452">
        <w:rPr>
          <w:rFonts w:ascii="Arial" w:hAnsi="Arial" w:cs="Arial"/>
        </w:rPr>
        <w:t>any additional study that may be required to meet the new education requirements</w:t>
      </w:r>
      <w:r w:rsidRPr="007B3452">
        <w:rPr>
          <w:rFonts w:ascii="Arial" w:hAnsi="Arial" w:cs="Arial"/>
        </w:rPr>
        <w:t>.</w:t>
      </w:r>
    </w:p>
    <w:p w14:paraId="0977FCEC" w14:textId="77777777" w:rsidR="00920B0D" w:rsidRPr="007B3452" w:rsidRDefault="00920B0D">
      <w:pPr>
        <w:rPr>
          <w:rFonts w:ascii="Arial" w:hAnsi="Arial" w:cs="Arial"/>
        </w:rPr>
      </w:pPr>
      <w:r w:rsidRPr="007B3452">
        <w:rPr>
          <w:rFonts w:ascii="Arial" w:hAnsi="Arial" w:cs="Arial"/>
        </w:rPr>
        <w:t xml:space="preserve">The FPA calls on the Government to ensure that, as it is implementing the new education and training standard, it also makes available support for </w:t>
      </w:r>
      <w:r w:rsidR="007C5171" w:rsidRPr="007B3452">
        <w:rPr>
          <w:rFonts w:ascii="Arial" w:hAnsi="Arial" w:cs="Arial"/>
        </w:rPr>
        <w:t xml:space="preserve">planners </w:t>
      </w:r>
      <w:r w:rsidRPr="007B3452">
        <w:rPr>
          <w:rFonts w:ascii="Arial" w:hAnsi="Arial" w:cs="Arial"/>
        </w:rPr>
        <w:t>to ensure these costs are manageable for small practices.</w:t>
      </w:r>
    </w:p>
    <w:p w14:paraId="5B2E9BA3" w14:textId="77777777" w:rsidR="003043C0" w:rsidRPr="007B3452" w:rsidRDefault="00920B0D">
      <w:pPr>
        <w:rPr>
          <w:rFonts w:ascii="Arial" w:hAnsi="Arial" w:cs="Arial"/>
        </w:rPr>
      </w:pPr>
      <w:r w:rsidRPr="007B3452">
        <w:rPr>
          <w:rFonts w:ascii="Arial" w:hAnsi="Arial" w:cs="Arial"/>
        </w:rPr>
        <w:t>The Government may wish to consider whether Commonwealth Supported Places</w:t>
      </w:r>
      <w:r w:rsidR="003043C0" w:rsidRPr="007B3452">
        <w:rPr>
          <w:rFonts w:ascii="Arial" w:hAnsi="Arial" w:cs="Arial"/>
        </w:rPr>
        <w:t xml:space="preserve"> (CSPs)</w:t>
      </w:r>
      <w:r w:rsidRPr="007B3452">
        <w:rPr>
          <w:rFonts w:ascii="Arial" w:hAnsi="Arial" w:cs="Arial"/>
        </w:rPr>
        <w:t xml:space="preserve"> </w:t>
      </w:r>
      <w:r w:rsidR="003043C0" w:rsidRPr="007B3452">
        <w:rPr>
          <w:rFonts w:ascii="Arial" w:hAnsi="Arial" w:cs="Arial"/>
        </w:rPr>
        <w:t xml:space="preserve">would be an appropriate mechanism to manage the costs being imposed on financial </w:t>
      </w:r>
      <w:r w:rsidR="007C5171" w:rsidRPr="007B3452">
        <w:rPr>
          <w:rFonts w:ascii="Arial" w:hAnsi="Arial" w:cs="Arial"/>
        </w:rPr>
        <w:lastRenderedPageBreak/>
        <w:t>planners</w:t>
      </w:r>
      <w:r w:rsidR="003043C0" w:rsidRPr="007B3452">
        <w:rPr>
          <w:rFonts w:ascii="Arial" w:hAnsi="Arial" w:cs="Arial"/>
        </w:rPr>
        <w:t xml:space="preserve">. CSPs are already available for undergraduate courses, including the approved FASEA courses which will be the most common entry pathway for new </w:t>
      </w:r>
      <w:r w:rsidR="007C5171" w:rsidRPr="007B3452">
        <w:rPr>
          <w:rFonts w:ascii="Arial" w:hAnsi="Arial" w:cs="Arial"/>
        </w:rPr>
        <w:t xml:space="preserve">financial planners </w:t>
      </w:r>
      <w:r w:rsidR="003043C0" w:rsidRPr="007B3452">
        <w:rPr>
          <w:rFonts w:ascii="Arial" w:hAnsi="Arial" w:cs="Arial"/>
        </w:rPr>
        <w:t xml:space="preserve">in the future. </w:t>
      </w:r>
    </w:p>
    <w:p w14:paraId="26159502" w14:textId="77777777" w:rsidR="001B337A" w:rsidRPr="007B3452" w:rsidRDefault="007C5171">
      <w:pPr>
        <w:rPr>
          <w:rFonts w:ascii="Arial" w:hAnsi="Arial" w:cs="Arial"/>
        </w:rPr>
      </w:pPr>
      <w:r w:rsidRPr="007B3452">
        <w:rPr>
          <w:rFonts w:ascii="Arial" w:hAnsi="Arial" w:cs="Arial"/>
        </w:rPr>
        <w:t>Many e</w:t>
      </w:r>
      <w:r w:rsidR="003043C0" w:rsidRPr="007B3452">
        <w:rPr>
          <w:rFonts w:ascii="Arial" w:hAnsi="Arial" w:cs="Arial"/>
        </w:rPr>
        <w:t xml:space="preserve">xisting advisers often did not have </w:t>
      </w:r>
      <w:r w:rsidRPr="007B3452">
        <w:rPr>
          <w:rFonts w:ascii="Arial" w:hAnsi="Arial" w:cs="Arial"/>
        </w:rPr>
        <w:t>available to them</w:t>
      </w:r>
      <w:r w:rsidR="003043C0" w:rsidRPr="007B3452">
        <w:rPr>
          <w:rFonts w:ascii="Arial" w:hAnsi="Arial" w:cs="Arial"/>
        </w:rPr>
        <w:t xml:space="preserve"> </w:t>
      </w:r>
      <w:r w:rsidRPr="007B3452">
        <w:rPr>
          <w:rFonts w:ascii="Arial" w:hAnsi="Arial" w:cs="Arial"/>
        </w:rPr>
        <w:t xml:space="preserve">financial planning specific </w:t>
      </w:r>
      <w:r w:rsidR="003043C0" w:rsidRPr="007B3452">
        <w:rPr>
          <w:rFonts w:ascii="Arial" w:hAnsi="Arial" w:cs="Arial"/>
        </w:rPr>
        <w:t xml:space="preserve">undergraduate courses when they entered the profession. They are now required to complete postgraduate courses as an </w:t>
      </w:r>
      <w:r w:rsidR="000C02F6" w:rsidRPr="007B3452">
        <w:rPr>
          <w:rFonts w:ascii="Arial" w:hAnsi="Arial" w:cs="Arial"/>
        </w:rPr>
        <w:t xml:space="preserve">equivalent. It would be equitable for the same support that is available to undergraduate financial planning students </w:t>
      </w:r>
      <w:r w:rsidRPr="007B3452">
        <w:rPr>
          <w:rFonts w:ascii="Arial" w:hAnsi="Arial" w:cs="Arial"/>
        </w:rPr>
        <w:t xml:space="preserve">to </w:t>
      </w:r>
      <w:r w:rsidR="000C02F6" w:rsidRPr="007B3452">
        <w:rPr>
          <w:rFonts w:ascii="Arial" w:hAnsi="Arial" w:cs="Arial"/>
        </w:rPr>
        <w:t>also</w:t>
      </w:r>
      <w:r w:rsidRPr="007B3452">
        <w:rPr>
          <w:rFonts w:ascii="Arial" w:hAnsi="Arial" w:cs="Arial"/>
        </w:rPr>
        <w:t xml:space="preserve"> be</w:t>
      </w:r>
      <w:r w:rsidR="000C02F6" w:rsidRPr="007B3452">
        <w:rPr>
          <w:rFonts w:ascii="Arial" w:hAnsi="Arial" w:cs="Arial"/>
        </w:rPr>
        <w:t xml:space="preserve"> available to postgraduate students.</w:t>
      </w:r>
    </w:p>
    <w:p w14:paraId="25022A92" w14:textId="77777777" w:rsidR="001B337A" w:rsidRPr="007B3452" w:rsidRDefault="001B337A">
      <w:pPr>
        <w:rPr>
          <w:rFonts w:ascii="Arial" w:hAnsi="Arial" w:cs="Arial"/>
        </w:rPr>
      </w:pPr>
    </w:p>
    <w:p w14:paraId="5F27E965" w14:textId="124138EA" w:rsidR="00C65891" w:rsidRPr="007B3452" w:rsidRDefault="001B337A" w:rsidP="001B337A">
      <w:pPr>
        <w:rPr>
          <w:rFonts w:ascii="Arial" w:hAnsi="Arial" w:cs="Arial"/>
          <w:b/>
        </w:rPr>
      </w:pPr>
      <w:r w:rsidRPr="007B3452">
        <w:rPr>
          <w:rFonts w:ascii="Arial" w:hAnsi="Arial" w:cs="Arial"/>
          <w:b/>
        </w:rPr>
        <w:t>Recommendation</w:t>
      </w:r>
      <w:r w:rsidR="00C65891" w:rsidRPr="007B3452">
        <w:rPr>
          <w:rFonts w:ascii="Arial" w:hAnsi="Arial" w:cs="Arial"/>
          <w:b/>
        </w:rPr>
        <w:t xml:space="preserve"> </w:t>
      </w:r>
      <w:r w:rsidR="003D0998" w:rsidRPr="007B3452">
        <w:rPr>
          <w:rFonts w:ascii="Arial" w:hAnsi="Arial" w:cs="Arial"/>
          <w:b/>
        </w:rPr>
        <w:t>10</w:t>
      </w:r>
      <w:r w:rsidRPr="007B3452">
        <w:rPr>
          <w:rFonts w:ascii="Arial" w:hAnsi="Arial" w:cs="Arial"/>
          <w:b/>
        </w:rPr>
        <w:t xml:space="preserve">: </w:t>
      </w:r>
    </w:p>
    <w:p w14:paraId="1931B70A" w14:textId="77777777" w:rsidR="001B337A" w:rsidRPr="007B3452" w:rsidRDefault="001B337A" w:rsidP="001B337A">
      <w:pPr>
        <w:rPr>
          <w:rFonts w:ascii="Arial" w:hAnsi="Arial" w:cs="Arial"/>
        </w:rPr>
      </w:pPr>
      <w:r w:rsidRPr="007B3452">
        <w:rPr>
          <w:rFonts w:ascii="Arial" w:hAnsi="Arial" w:cs="Arial"/>
        </w:rPr>
        <w:t>The FPA recommends tha</w:t>
      </w:r>
      <w:r w:rsidR="00920B0D" w:rsidRPr="007B3452">
        <w:rPr>
          <w:rFonts w:ascii="Arial" w:hAnsi="Arial" w:cs="Arial"/>
        </w:rPr>
        <w:t xml:space="preserve">t the Government review the support that is available to financial </w:t>
      </w:r>
      <w:r w:rsidR="007C5171" w:rsidRPr="007B3452">
        <w:rPr>
          <w:rFonts w:ascii="Arial" w:hAnsi="Arial" w:cs="Arial"/>
        </w:rPr>
        <w:t xml:space="preserve">planners </w:t>
      </w:r>
      <w:r w:rsidR="00920B0D" w:rsidRPr="007B3452">
        <w:rPr>
          <w:rFonts w:ascii="Arial" w:hAnsi="Arial" w:cs="Arial"/>
        </w:rPr>
        <w:t xml:space="preserve">who are completing formal education mandated by </w:t>
      </w:r>
      <w:r w:rsidR="000C02F6" w:rsidRPr="007B3452">
        <w:rPr>
          <w:rFonts w:ascii="Arial" w:hAnsi="Arial" w:cs="Arial"/>
        </w:rPr>
        <w:t>FASEA and</w:t>
      </w:r>
      <w:r w:rsidR="00920B0D" w:rsidRPr="007B3452">
        <w:rPr>
          <w:rFonts w:ascii="Arial" w:hAnsi="Arial" w:cs="Arial"/>
        </w:rPr>
        <w:t xml:space="preserve"> </w:t>
      </w:r>
      <w:r w:rsidR="003043C0" w:rsidRPr="007B3452">
        <w:rPr>
          <w:rFonts w:ascii="Arial" w:hAnsi="Arial" w:cs="Arial"/>
        </w:rPr>
        <w:t xml:space="preserve">consider </w:t>
      </w:r>
      <w:r w:rsidR="000C02F6" w:rsidRPr="007B3452">
        <w:rPr>
          <w:rFonts w:ascii="Arial" w:hAnsi="Arial" w:cs="Arial"/>
        </w:rPr>
        <w:t>providing</w:t>
      </w:r>
      <w:r w:rsidR="003043C0" w:rsidRPr="007B3452">
        <w:rPr>
          <w:rFonts w:ascii="Arial" w:hAnsi="Arial" w:cs="Arial"/>
        </w:rPr>
        <w:t xml:space="preserve"> support through Commonwealth Supported Places.</w:t>
      </w:r>
    </w:p>
    <w:p w14:paraId="2347AAF7" w14:textId="77777777" w:rsidR="00CD6A4E" w:rsidRPr="007B3452" w:rsidRDefault="00CD6A4E">
      <w:pPr>
        <w:rPr>
          <w:rFonts w:ascii="Arial" w:hAnsi="Arial" w:cs="Arial"/>
        </w:rPr>
      </w:pPr>
    </w:p>
    <w:p w14:paraId="0F767F47" w14:textId="77777777" w:rsidR="00720783" w:rsidRPr="007B3452" w:rsidRDefault="00720783">
      <w:pPr>
        <w:rPr>
          <w:rFonts w:ascii="Arial" w:eastAsiaTheme="majorEastAsia" w:hAnsi="Arial" w:cs="Arial"/>
          <w:b/>
          <w:color w:val="5BBBB7"/>
          <w:sz w:val="32"/>
          <w:szCs w:val="32"/>
        </w:rPr>
      </w:pPr>
      <w:r w:rsidRPr="007B3452">
        <w:rPr>
          <w:rFonts w:ascii="Arial" w:hAnsi="Arial" w:cs="Arial"/>
        </w:rPr>
        <w:br w:type="page"/>
      </w:r>
    </w:p>
    <w:p w14:paraId="4FFD8D73" w14:textId="77777777" w:rsidR="00CD6A4E" w:rsidRPr="007B3452" w:rsidRDefault="00CD6A4E" w:rsidP="00CD6A4E">
      <w:pPr>
        <w:pStyle w:val="Heading1"/>
        <w:rPr>
          <w:rFonts w:ascii="Arial" w:hAnsi="Arial" w:cs="Arial"/>
        </w:rPr>
      </w:pPr>
      <w:bookmarkStart w:id="16" w:name="_Toc535503317"/>
      <w:r w:rsidRPr="007B3452">
        <w:rPr>
          <w:rFonts w:ascii="Arial" w:hAnsi="Arial" w:cs="Arial"/>
        </w:rPr>
        <w:lastRenderedPageBreak/>
        <w:t>Improving Australia’s retirement system</w:t>
      </w:r>
      <w:bookmarkEnd w:id="16"/>
    </w:p>
    <w:p w14:paraId="4D2859A1" w14:textId="77777777" w:rsidR="00CD6A4E" w:rsidRPr="007B3452" w:rsidRDefault="00CD6A4E" w:rsidP="00CD6A4E">
      <w:pPr>
        <w:pStyle w:val="Heading2"/>
        <w:rPr>
          <w:rFonts w:ascii="Arial" w:hAnsi="Arial" w:cs="Arial"/>
        </w:rPr>
      </w:pPr>
    </w:p>
    <w:p w14:paraId="20036210" w14:textId="77777777" w:rsidR="00CD6A4E" w:rsidRPr="007B3452" w:rsidRDefault="00CD6A4E" w:rsidP="00CD6A4E">
      <w:pPr>
        <w:pStyle w:val="Heading2"/>
        <w:rPr>
          <w:rFonts w:ascii="Arial" w:hAnsi="Arial" w:cs="Arial"/>
        </w:rPr>
      </w:pPr>
      <w:bookmarkStart w:id="17" w:name="_Toc535503318"/>
      <w:r w:rsidRPr="007B3452">
        <w:rPr>
          <w:rFonts w:ascii="Arial" w:hAnsi="Arial" w:cs="Arial"/>
        </w:rPr>
        <w:t>Superannuation</w:t>
      </w:r>
      <w:bookmarkEnd w:id="17"/>
    </w:p>
    <w:p w14:paraId="733CA072" w14:textId="77777777" w:rsidR="00CD6A4E" w:rsidRPr="007B3452" w:rsidRDefault="00CD6A4E" w:rsidP="000927A9">
      <w:pPr>
        <w:pStyle w:val="Heading3"/>
        <w:rPr>
          <w:rFonts w:ascii="Arial" w:hAnsi="Arial" w:cs="Arial"/>
        </w:rPr>
      </w:pPr>
      <w:bookmarkStart w:id="18" w:name="_Toc535503319"/>
      <w:r w:rsidRPr="007B3452">
        <w:rPr>
          <w:rFonts w:ascii="Arial" w:hAnsi="Arial" w:cs="Arial"/>
        </w:rPr>
        <w:t xml:space="preserve">Payments for Paid Parental Leave and </w:t>
      </w:r>
      <w:r w:rsidR="00C65891" w:rsidRPr="007B3452">
        <w:rPr>
          <w:rFonts w:ascii="Arial" w:hAnsi="Arial" w:cs="Arial"/>
        </w:rPr>
        <w:t>carer’s</w:t>
      </w:r>
      <w:r w:rsidRPr="007B3452">
        <w:rPr>
          <w:rFonts w:ascii="Arial" w:hAnsi="Arial" w:cs="Arial"/>
        </w:rPr>
        <w:t xml:space="preserve"> leave</w:t>
      </w:r>
      <w:bookmarkEnd w:id="18"/>
    </w:p>
    <w:p w14:paraId="77E4256E" w14:textId="66BD383D" w:rsidR="00E33A72" w:rsidRPr="007B3452" w:rsidRDefault="00E33A72" w:rsidP="00E33A72">
      <w:pPr>
        <w:rPr>
          <w:rFonts w:ascii="Arial" w:hAnsi="Arial" w:cs="Arial"/>
        </w:rPr>
      </w:pPr>
      <w:r w:rsidRPr="007B3452">
        <w:rPr>
          <w:rFonts w:ascii="Arial" w:hAnsi="Arial" w:cs="Arial"/>
        </w:rPr>
        <w:t xml:space="preserve">Under the Paid Parental Leave (PPL) scheme, eligible working parents can receive funding from the Government to care for a newborn child.  They may receive up to 18 weeks income.  This payment may come either directly from Centrelink or through an employer.  Some employers have elected to pay superannuation guarantee payments for </w:t>
      </w:r>
      <w:r w:rsidR="00575E77" w:rsidRPr="007B3452">
        <w:rPr>
          <w:rFonts w:ascii="Arial" w:hAnsi="Arial" w:cs="Arial"/>
        </w:rPr>
        <w:t>parents</w:t>
      </w:r>
      <w:r w:rsidRPr="007B3452">
        <w:rPr>
          <w:rFonts w:ascii="Arial" w:hAnsi="Arial" w:cs="Arial"/>
        </w:rPr>
        <w:t xml:space="preserve"> during both paid and unpaid </w:t>
      </w:r>
      <w:proofErr w:type="spellStart"/>
      <w:r w:rsidR="00575E77" w:rsidRPr="007B3452">
        <w:rPr>
          <w:rFonts w:ascii="Arial" w:hAnsi="Arial" w:cs="Arial"/>
        </w:rPr>
        <w:t>partental</w:t>
      </w:r>
      <w:proofErr w:type="spellEnd"/>
      <w:r w:rsidRPr="007B3452">
        <w:rPr>
          <w:rFonts w:ascii="Arial" w:hAnsi="Arial" w:cs="Arial"/>
        </w:rPr>
        <w:t xml:space="preserve"> leave, however this is not compulsory.</w:t>
      </w:r>
    </w:p>
    <w:p w14:paraId="067CDC15" w14:textId="77777777" w:rsidR="00E33A72" w:rsidRPr="007B3452" w:rsidRDefault="00E33A72" w:rsidP="00E33A72">
      <w:pPr>
        <w:rPr>
          <w:rFonts w:ascii="Arial" w:hAnsi="Arial" w:cs="Arial"/>
        </w:rPr>
      </w:pPr>
      <w:r w:rsidRPr="007B3452">
        <w:rPr>
          <w:rFonts w:ascii="Arial" w:hAnsi="Arial" w:cs="Arial"/>
        </w:rPr>
        <w:t xml:space="preserve">Under the original framework for the PPL scheme the Productivity Commission recommended that employers </w:t>
      </w:r>
      <w:r w:rsidR="00E17F11" w:rsidRPr="007B3452">
        <w:rPr>
          <w:rFonts w:ascii="Arial" w:hAnsi="Arial" w:cs="Arial"/>
        </w:rPr>
        <w:t xml:space="preserve">be required to </w:t>
      </w:r>
      <w:r w:rsidRPr="007B3452">
        <w:rPr>
          <w:rFonts w:ascii="Arial" w:hAnsi="Arial" w:cs="Arial"/>
        </w:rPr>
        <w:t>provide superannuation contributions for employees</w:t>
      </w:r>
      <w:r w:rsidR="00E17F11" w:rsidRPr="007B3452">
        <w:rPr>
          <w:rFonts w:ascii="Arial" w:hAnsi="Arial" w:cs="Arial"/>
        </w:rPr>
        <w:t xml:space="preserve"> during PPL</w:t>
      </w:r>
      <w:r w:rsidRPr="007B3452">
        <w:rPr>
          <w:rFonts w:ascii="Arial" w:hAnsi="Arial" w:cs="Arial"/>
        </w:rPr>
        <w:t>. At that time</w:t>
      </w:r>
      <w:r w:rsidR="00E17F11" w:rsidRPr="007B3452">
        <w:rPr>
          <w:rFonts w:ascii="Arial" w:hAnsi="Arial" w:cs="Arial"/>
        </w:rPr>
        <w:t xml:space="preserve">, the Productivity Commission </w:t>
      </w:r>
      <w:r w:rsidRPr="007B3452">
        <w:rPr>
          <w:rFonts w:ascii="Arial" w:hAnsi="Arial" w:cs="Arial"/>
        </w:rPr>
        <w:t>estimated that this component would have a net cost of $70</w:t>
      </w:r>
      <w:r w:rsidR="00E17F11" w:rsidRPr="007B3452">
        <w:rPr>
          <w:rFonts w:ascii="Arial" w:hAnsi="Arial" w:cs="Arial"/>
        </w:rPr>
        <w:t> </w:t>
      </w:r>
      <w:r w:rsidRPr="007B3452">
        <w:rPr>
          <w:rFonts w:ascii="Arial" w:hAnsi="Arial" w:cs="Arial"/>
        </w:rPr>
        <w:t>m</w:t>
      </w:r>
      <w:r w:rsidR="00E17F11" w:rsidRPr="007B3452">
        <w:rPr>
          <w:rFonts w:ascii="Arial" w:hAnsi="Arial" w:cs="Arial"/>
        </w:rPr>
        <w:t>illion</w:t>
      </w:r>
      <w:r w:rsidRPr="007B3452">
        <w:rPr>
          <w:rFonts w:ascii="Arial" w:hAnsi="Arial" w:cs="Arial"/>
        </w:rPr>
        <w:t xml:space="preserve"> to the economy as 79</w:t>
      </w:r>
      <w:r w:rsidR="00E17F11" w:rsidRPr="007B3452">
        <w:rPr>
          <w:rFonts w:ascii="Arial" w:hAnsi="Arial" w:cs="Arial"/>
        </w:rPr>
        <w:t xml:space="preserve"> per cent</w:t>
      </w:r>
      <w:r w:rsidRPr="007B3452">
        <w:rPr>
          <w:rFonts w:ascii="Arial" w:hAnsi="Arial" w:cs="Arial"/>
        </w:rPr>
        <w:t xml:space="preserve"> of </w:t>
      </w:r>
      <w:r w:rsidR="00507270" w:rsidRPr="007B3452">
        <w:rPr>
          <w:rFonts w:ascii="Arial" w:hAnsi="Arial" w:cs="Arial"/>
        </w:rPr>
        <w:t>parents</w:t>
      </w:r>
      <w:r w:rsidRPr="007B3452">
        <w:rPr>
          <w:rFonts w:ascii="Arial" w:hAnsi="Arial" w:cs="Arial"/>
        </w:rPr>
        <w:t xml:space="preserve"> eligible for PPL would be eligible for the super contribution component.  However, the Productivity Commission recommended that this component of the PPL be delayed three years </w:t>
      </w:r>
      <w:r w:rsidR="00E17F11" w:rsidRPr="007B3452">
        <w:rPr>
          <w:rFonts w:ascii="Arial" w:hAnsi="Arial" w:cs="Arial"/>
        </w:rPr>
        <w:t>after PPL commences and a review can be conducted on how it is operating</w:t>
      </w:r>
      <w:r w:rsidRPr="007B3452">
        <w:rPr>
          <w:rFonts w:ascii="Arial" w:hAnsi="Arial" w:cs="Arial"/>
        </w:rPr>
        <w:t>.</w:t>
      </w:r>
    </w:p>
    <w:p w14:paraId="7F13D37D" w14:textId="77777777" w:rsidR="00E33A72" w:rsidRPr="007B3452" w:rsidRDefault="00E33A72" w:rsidP="00E33A72">
      <w:pPr>
        <w:rPr>
          <w:rFonts w:ascii="Arial" w:hAnsi="Arial" w:cs="Arial"/>
        </w:rPr>
      </w:pPr>
      <w:r w:rsidRPr="007B3452">
        <w:rPr>
          <w:rFonts w:ascii="Arial" w:hAnsi="Arial" w:cs="Arial"/>
        </w:rPr>
        <w:t>The PPL has been introduced and implementation has been ‘bedded down’.  We believe that it is now time to introduce the superannuation component of the PPL.</w:t>
      </w:r>
    </w:p>
    <w:p w14:paraId="36A555A7" w14:textId="77777777" w:rsidR="00E33A72" w:rsidRPr="007B3452" w:rsidRDefault="00E33A72" w:rsidP="00E33A72">
      <w:pPr>
        <w:rPr>
          <w:rFonts w:ascii="Arial" w:hAnsi="Arial" w:cs="Arial"/>
        </w:rPr>
      </w:pPr>
      <w:r w:rsidRPr="007B3452">
        <w:rPr>
          <w:rFonts w:ascii="Arial" w:hAnsi="Arial" w:cs="Arial"/>
        </w:rPr>
        <w:t>Having regard to the current economic forecasts and the Government’s budgetary constraints, we support the measures recommended by the Productivity Commission to limit the financial impacts on business by:</w:t>
      </w:r>
    </w:p>
    <w:p w14:paraId="7FD3A93A" w14:textId="77777777" w:rsidR="00E17F11" w:rsidRPr="007B3452" w:rsidRDefault="00E17F11" w:rsidP="005D113D">
      <w:pPr>
        <w:pStyle w:val="ListParagraph"/>
        <w:numPr>
          <w:ilvl w:val="0"/>
          <w:numId w:val="1"/>
        </w:numPr>
        <w:ind w:hanging="357"/>
        <w:contextualSpacing w:val="0"/>
        <w:rPr>
          <w:rFonts w:ascii="Arial" w:hAnsi="Arial" w:cs="Arial"/>
        </w:rPr>
      </w:pPr>
      <w:r w:rsidRPr="007B3452">
        <w:rPr>
          <w:rFonts w:ascii="Arial" w:hAnsi="Arial" w:cs="Arial"/>
        </w:rPr>
        <w:t>a</w:t>
      </w:r>
      <w:r w:rsidR="00E33A72" w:rsidRPr="007B3452">
        <w:rPr>
          <w:rFonts w:ascii="Arial" w:hAnsi="Arial" w:cs="Arial"/>
        </w:rPr>
        <w:t>pplying the contribution rate to the lower of the employee’s actual pre-wages or the minimum weekly wage;</w:t>
      </w:r>
    </w:p>
    <w:p w14:paraId="61D47184" w14:textId="77777777" w:rsidR="00E17F11" w:rsidRPr="007B3452" w:rsidRDefault="00E17F11" w:rsidP="005D113D">
      <w:pPr>
        <w:pStyle w:val="ListParagraph"/>
        <w:numPr>
          <w:ilvl w:val="0"/>
          <w:numId w:val="1"/>
        </w:numPr>
        <w:ind w:hanging="357"/>
        <w:contextualSpacing w:val="0"/>
        <w:rPr>
          <w:rFonts w:ascii="Arial" w:hAnsi="Arial" w:cs="Arial"/>
        </w:rPr>
      </w:pPr>
      <w:r w:rsidRPr="007B3452">
        <w:rPr>
          <w:rFonts w:ascii="Arial" w:hAnsi="Arial" w:cs="Arial"/>
        </w:rPr>
        <w:t>l</w:t>
      </w:r>
      <w:r w:rsidR="00E33A72" w:rsidRPr="007B3452">
        <w:rPr>
          <w:rFonts w:ascii="Arial" w:hAnsi="Arial" w:cs="Arial"/>
        </w:rPr>
        <w:t>imiting</w:t>
      </w:r>
      <w:r w:rsidR="002211F7" w:rsidRPr="007B3452">
        <w:rPr>
          <w:rFonts w:ascii="Arial" w:hAnsi="Arial" w:cs="Arial"/>
        </w:rPr>
        <w:t xml:space="preserve"> the</w:t>
      </w:r>
      <w:r w:rsidR="00E33A72" w:rsidRPr="007B3452">
        <w:rPr>
          <w:rFonts w:ascii="Arial" w:hAnsi="Arial" w:cs="Arial"/>
        </w:rPr>
        <w:t xml:space="preserve"> mandated superannuation contributions rate to the statutory rate; and</w:t>
      </w:r>
    </w:p>
    <w:p w14:paraId="494FB7EE" w14:textId="77777777" w:rsidR="00E17F11" w:rsidRPr="007B3452" w:rsidRDefault="00E17F11" w:rsidP="005D113D">
      <w:pPr>
        <w:pStyle w:val="ListParagraph"/>
        <w:numPr>
          <w:ilvl w:val="0"/>
          <w:numId w:val="1"/>
        </w:numPr>
        <w:ind w:hanging="357"/>
        <w:contextualSpacing w:val="0"/>
        <w:rPr>
          <w:rFonts w:ascii="Arial" w:hAnsi="Arial" w:cs="Arial"/>
        </w:rPr>
      </w:pPr>
      <w:r w:rsidRPr="007B3452">
        <w:rPr>
          <w:rFonts w:ascii="Arial" w:hAnsi="Arial" w:cs="Arial"/>
        </w:rPr>
        <w:t>r</w:t>
      </w:r>
      <w:r w:rsidR="00E33A72" w:rsidRPr="007B3452">
        <w:rPr>
          <w:rFonts w:ascii="Arial" w:hAnsi="Arial" w:cs="Arial"/>
        </w:rPr>
        <w:t>estricting superannuation contributions to employees who:</w:t>
      </w:r>
    </w:p>
    <w:p w14:paraId="1F8F5AD7" w14:textId="77777777" w:rsidR="00E17F11" w:rsidRPr="007B3452" w:rsidRDefault="00E17F11" w:rsidP="005D113D">
      <w:pPr>
        <w:pStyle w:val="ListParagraph"/>
        <w:numPr>
          <w:ilvl w:val="1"/>
          <w:numId w:val="1"/>
        </w:numPr>
        <w:ind w:hanging="357"/>
        <w:contextualSpacing w:val="0"/>
        <w:rPr>
          <w:rFonts w:ascii="Arial" w:hAnsi="Arial" w:cs="Arial"/>
        </w:rPr>
      </w:pPr>
      <w:r w:rsidRPr="007B3452">
        <w:rPr>
          <w:rFonts w:ascii="Arial" w:hAnsi="Arial" w:cs="Arial"/>
        </w:rPr>
        <w:t>p</w:t>
      </w:r>
      <w:r w:rsidR="00E33A72" w:rsidRPr="007B3452">
        <w:rPr>
          <w:rFonts w:ascii="Arial" w:hAnsi="Arial" w:cs="Arial"/>
        </w:rPr>
        <w:t>assed the eligibility requirements for PPL, including the work test;</w:t>
      </w:r>
    </w:p>
    <w:p w14:paraId="6AAC13E6" w14:textId="77777777" w:rsidR="00E17F11" w:rsidRPr="007B3452" w:rsidRDefault="00E17F11" w:rsidP="005D113D">
      <w:pPr>
        <w:pStyle w:val="ListParagraph"/>
        <w:numPr>
          <w:ilvl w:val="1"/>
          <w:numId w:val="1"/>
        </w:numPr>
        <w:ind w:hanging="357"/>
        <w:contextualSpacing w:val="0"/>
        <w:rPr>
          <w:rFonts w:ascii="Arial" w:hAnsi="Arial" w:cs="Arial"/>
        </w:rPr>
      </w:pPr>
      <w:r w:rsidRPr="007B3452">
        <w:rPr>
          <w:rFonts w:ascii="Arial" w:hAnsi="Arial" w:cs="Arial"/>
        </w:rPr>
        <w:t>r</w:t>
      </w:r>
      <w:r w:rsidR="00E33A72" w:rsidRPr="007B3452">
        <w:rPr>
          <w:rFonts w:ascii="Arial" w:hAnsi="Arial" w:cs="Arial"/>
        </w:rPr>
        <w:t>eceived superannuation entitlements before going on paid leave; and</w:t>
      </w:r>
    </w:p>
    <w:p w14:paraId="7D28E1AF" w14:textId="77777777" w:rsidR="00E33A72" w:rsidRPr="007B3452" w:rsidRDefault="00E17F11" w:rsidP="005D113D">
      <w:pPr>
        <w:pStyle w:val="ListParagraph"/>
        <w:numPr>
          <w:ilvl w:val="1"/>
          <w:numId w:val="1"/>
        </w:numPr>
        <w:ind w:hanging="357"/>
        <w:contextualSpacing w:val="0"/>
        <w:rPr>
          <w:rFonts w:ascii="Arial" w:hAnsi="Arial" w:cs="Arial"/>
        </w:rPr>
      </w:pPr>
      <w:r w:rsidRPr="007B3452">
        <w:rPr>
          <w:rFonts w:ascii="Arial" w:hAnsi="Arial" w:cs="Arial"/>
        </w:rPr>
        <w:t>w</w:t>
      </w:r>
      <w:r w:rsidR="00E33A72" w:rsidRPr="007B3452">
        <w:rPr>
          <w:rFonts w:ascii="Arial" w:hAnsi="Arial" w:cs="Arial"/>
        </w:rPr>
        <w:t>ere eligible for unpaid parental leave.</w:t>
      </w:r>
    </w:p>
    <w:p w14:paraId="2466E518" w14:textId="5749F224" w:rsidR="00E33A72" w:rsidRPr="007B3452" w:rsidRDefault="00D36E70" w:rsidP="00E33A72">
      <w:pPr>
        <w:rPr>
          <w:rFonts w:ascii="Arial" w:hAnsi="Arial" w:cs="Arial"/>
        </w:rPr>
      </w:pPr>
      <w:proofErr w:type="gramStart"/>
      <w:r w:rsidRPr="007B3452">
        <w:rPr>
          <w:rFonts w:ascii="Arial" w:hAnsi="Arial" w:cs="Arial"/>
        </w:rPr>
        <w:t>In particular, t</w:t>
      </w:r>
      <w:r w:rsidR="00E33A72" w:rsidRPr="007B3452">
        <w:rPr>
          <w:rFonts w:ascii="Arial" w:hAnsi="Arial" w:cs="Arial"/>
        </w:rPr>
        <w:t>his</w:t>
      </w:r>
      <w:proofErr w:type="gramEnd"/>
      <w:r w:rsidR="00E33A72" w:rsidRPr="007B3452">
        <w:rPr>
          <w:rFonts w:ascii="Arial" w:hAnsi="Arial" w:cs="Arial"/>
        </w:rPr>
        <w:t xml:space="preserve"> proposal would have widespread benefits for women throughout their working lives and for the economy more broadly. Research by Mercer suggests that in the US and other </w:t>
      </w:r>
      <w:r w:rsidR="00E17F11" w:rsidRPr="007B3452">
        <w:rPr>
          <w:rFonts w:ascii="Arial" w:hAnsi="Arial" w:cs="Arial"/>
        </w:rPr>
        <w:t>overseas jurisdictions</w:t>
      </w:r>
      <w:r w:rsidR="00E33A72" w:rsidRPr="007B3452">
        <w:rPr>
          <w:rFonts w:ascii="Arial" w:hAnsi="Arial" w:cs="Arial"/>
        </w:rPr>
        <w:t xml:space="preserve"> retirement programs that address different work arrangements (such as part-time or work breaks) ‘are associated with higher female representation at the professional through executive level’. According to Mercer, there is a clear link between ‘women’s participation in the workforce and economic growth’.</w:t>
      </w:r>
    </w:p>
    <w:p w14:paraId="1A6FA090" w14:textId="77777777" w:rsidR="00E33A72" w:rsidRPr="007B3452" w:rsidRDefault="00E33A72" w:rsidP="00E33A72">
      <w:pPr>
        <w:rPr>
          <w:rFonts w:ascii="Arial" w:hAnsi="Arial" w:cs="Arial"/>
        </w:rPr>
      </w:pPr>
      <w:r w:rsidRPr="007B3452">
        <w:rPr>
          <w:rFonts w:ascii="Arial" w:hAnsi="Arial" w:cs="Arial"/>
        </w:rPr>
        <w:t xml:space="preserve">The principle enshrined in the Productivity Commission’s work, being that superannuation should be paid on income substitutes, should also be extended to Carer Payment, Carer Allowance, Carer Supplement and Parenting Payments.  This is consistent with the fact that employees are paid </w:t>
      </w:r>
      <w:r w:rsidR="00E17F11" w:rsidRPr="007B3452">
        <w:rPr>
          <w:rFonts w:ascii="Arial" w:hAnsi="Arial" w:cs="Arial"/>
        </w:rPr>
        <w:t>superannuation guarantee</w:t>
      </w:r>
      <w:r w:rsidRPr="007B3452">
        <w:rPr>
          <w:rFonts w:ascii="Arial" w:hAnsi="Arial" w:cs="Arial"/>
        </w:rPr>
        <w:t xml:space="preserve"> on other types of leave such as sick leave, annual leave and long service leave. It would build a direct link in the system between payment for caring work and superannuation contributions.  </w:t>
      </w:r>
    </w:p>
    <w:p w14:paraId="476F7BCB" w14:textId="77777777" w:rsidR="00E17F11" w:rsidRPr="007B3452" w:rsidRDefault="00E33A72" w:rsidP="00E33A72">
      <w:pPr>
        <w:rPr>
          <w:rFonts w:ascii="Arial" w:hAnsi="Arial" w:cs="Arial"/>
        </w:rPr>
      </w:pPr>
      <w:r w:rsidRPr="007B3452">
        <w:rPr>
          <w:rFonts w:ascii="Arial" w:hAnsi="Arial" w:cs="Arial"/>
        </w:rPr>
        <w:t xml:space="preserve">This reform could, in recognition of the Government’s budgetary constraints, be introduced in increments.  Even if implemented, this recommendation would only provide an increase to </w:t>
      </w:r>
      <w:r w:rsidRPr="007B3452">
        <w:rPr>
          <w:rFonts w:ascii="Arial" w:hAnsi="Arial" w:cs="Arial"/>
        </w:rPr>
        <w:lastRenderedPageBreak/>
        <w:t xml:space="preserve">the primary carer’s superannuation balance of $977.62 (net of contributions tax over those 18 weeks). We therefore consider this recommendation to be a step towards wider policy reform and in this </w:t>
      </w:r>
      <w:r w:rsidR="000C02F6" w:rsidRPr="007B3452">
        <w:rPr>
          <w:rFonts w:ascii="Arial" w:hAnsi="Arial" w:cs="Arial"/>
        </w:rPr>
        <w:t>respect</w:t>
      </w:r>
      <w:r w:rsidR="00507270" w:rsidRPr="007B3452">
        <w:rPr>
          <w:rFonts w:ascii="Arial" w:hAnsi="Arial" w:cs="Arial"/>
        </w:rPr>
        <w:t>,</w:t>
      </w:r>
      <w:r w:rsidRPr="007B3452">
        <w:rPr>
          <w:rFonts w:ascii="Arial" w:hAnsi="Arial" w:cs="Arial"/>
        </w:rPr>
        <w:t xml:space="preserve"> we agree with the recommendation of the Human Rights Commission that a carer credit scheme and a national carer card be introduced.</w:t>
      </w:r>
    </w:p>
    <w:p w14:paraId="1AECFF87" w14:textId="77777777" w:rsidR="00CD6A4E" w:rsidRPr="007B3452" w:rsidRDefault="00E33A72" w:rsidP="00E33A72">
      <w:pPr>
        <w:rPr>
          <w:rFonts w:ascii="Arial" w:hAnsi="Arial" w:cs="Arial"/>
        </w:rPr>
      </w:pPr>
      <w:r w:rsidRPr="007B3452">
        <w:rPr>
          <w:rFonts w:ascii="Arial" w:hAnsi="Arial" w:cs="Arial"/>
        </w:rPr>
        <w:t>Carer credits, which exist overseas, could take the form of direct credits to the superannuation accounts of individuals with parental care responsibilities and carer responsibilities (either out of the workforce or working part-time) that would be paid annually at the end of the tax year by the government into the individual’s superannuation account through adult life.</w:t>
      </w:r>
    </w:p>
    <w:p w14:paraId="11139D49" w14:textId="77777777" w:rsidR="001B337A" w:rsidRPr="007B3452" w:rsidRDefault="001B337A" w:rsidP="00CD6A4E">
      <w:pPr>
        <w:rPr>
          <w:rFonts w:ascii="Arial" w:hAnsi="Arial" w:cs="Arial"/>
        </w:rPr>
      </w:pPr>
    </w:p>
    <w:p w14:paraId="3885B8AF" w14:textId="58439A04" w:rsidR="00C65891" w:rsidRPr="007B3452" w:rsidRDefault="001B337A" w:rsidP="001B337A">
      <w:pPr>
        <w:rPr>
          <w:rFonts w:ascii="Arial" w:hAnsi="Arial" w:cs="Arial"/>
          <w:b/>
        </w:rPr>
      </w:pPr>
      <w:r w:rsidRPr="007B3452">
        <w:rPr>
          <w:rFonts w:ascii="Arial" w:hAnsi="Arial" w:cs="Arial"/>
          <w:b/>
        </w:rPr>
        <w:t>Recommendation</w:t>
      </w:r>
      <w:r w:rsidR="00C65891" w:rsidRPr="007B3452">
        <w:rPr>
          <w:rFonts w:ascii="Arial" w:hAnsi="Arial" w:cs="Arial"/>
          <w:b/>
        </w:rPr>
        <w:t xml:space="preserve"> </w:t>
      </w:r>
      <w:r w:rsidR="005B29AC" w:rsidRPr="007B3452">
        <w:rPr>
          <w:rFonts w:ascii="Arial" w:hAnsi="Arial" w:cs="Arial"/>
          <w:b/>
        </w:rPr>
        <w:t>1</w:t>
      </w:r>
      <w:r w:rsidR="003D0998" w:rsidRPr="007B3452">
        <w:rPr>
          <w:rFonts w:ascii="Arial" w:hAnsi="Arial" w:cs="Arial"/>
          <w:b/>
        </w:rPr>
        <w:t>1</w:t>
      </w:r>
      <w:r w:rsidRPr="007B3452">
        <w:rPr>
          <w:rFonts w:ascii="Arial" w:hAnsi="Arial" w:cs="Arial"/>
          <w:b/>
        </w:rPr>
        <w:t xml:space="preserve">: </w:t>
      </w:r>
    </w:p>
    <w:p w14:paraId="7D0AF021" w14:textId="77777777" w:rsidR="001B337A" w:rsidRPr="007B3452" w:rsidRDefault="001B337A" w:rsidP="001B337A">
      <w:pPr>
        <w:rPr>
          <w:rFonts w:ascii="Arial" w:hAnsi="Arial" w:cs="Arial"/>
        </w:rPr>
      </w:pPr>
      <w:r w:rsidRPr="007B3452">
        <w:rPr>
          <w:rFonts w:ascii="Arial" w:hAnsi="Arial" w:cs="Arial"/>
        </w:rPr>
        <w:t>The FPA recommends th</w:t>
      </w:r>
      <w:r w:rsidR="00C65891" w:rsidRPr="007B3452">
        <w:rPr>
          <w:rFonts w:ascii="Arial" w:hAnsi="Arial" w:cs="Arial"/>
        </w:rPr>
        <w:t>e Government legislate to require the payment of superannuation on Paid Parental Leave and carer’s leave.</w:t>
      </w:r>
    </w:p>
    <w:p w14:paraId="27AB2B09" w14:textId="77777777" w:rsidR="001B337A" w:rsidRPr="007B3452" w:rsidRDefault="001B337A" w:rsidP="00CD6A4E">
      <w:pPr>
        <w:rPr>
          <w:rFonts w:ascii="Arial" w:hAnsi="Arial" w:cs="Arial"/>
        </w:rPr>
      </w:pPr>
    </w:p>
    <w:p w14:paraId="6C9EB449" w14:textId="77777777" w:rsidR="00CD6A4E" w:rsidRPr="007B3452" w:rsidRDefault="00CD6A4E" w:rsidP="000927A9">
      <w:pPr>
        <w:pStyle w:val="Heading3"/>
        <w:rPr>
          <w:rFonts w:ascii="Arial" w:hAnsi="Arial" w:cs="Arial"/>
        </w:rPr>
      </w:pPr>
      <w:bookmarkStart w:id="19" w:name="_Toc535503320"/>
      <w:r w:rsidRPr="007B3452">
        <w:rPr>
          <w:rFonts w:ascii="Arial" w:hAnsi="Arial" w:cs="Arial"/>
        </w:rPr>
        <w:t>Low Income Superannuation Contribution Scheme</w:t>
      </w:r>
      <w:bookmarkEnd w:id="19"/>
    </w:p>
    <w:p w14:paraId="1F774151" w14:textId="77777777" w:rsidR="00CD6A4E" w:rsidRPr="007B3452" w:rsidRDefault="008A1EF7" w:rsidP="00CD6A4E">
      <w:pPr>
        <w:rPr>
          <w:rFonts w:ascii="Arial" w:hAnsi="Arial" w:cs="Arial"/>
        </w:rPr>
      </w:pPr>
      <w:r w:rsidRPr="007B3452">
        <w:rPr>
          <w:rFonts w:ascii="Arial" w:hAnsi="Arial" w:cs="Arial"/>
        </w:rPr>
        <w:t>Supporting Australians on low incomes to save and plan for their retirement remains an ongoing challenge.</w:t>
      </w:r>
      <w:r w:rsidR="00D31C87" w:rsidRPr="007B3452">
        <w:rPr>
          <w:rFonts w:ascii="Arial" w:hAnsi="Arial" w:cs="Arial"/>
        </w:rPr>
        <w:t xml:space="preserve"> The Government has used a range of measures in the past to boost the superannuation of Australians on low incomes.</w:t>
      </w:r>
    </w:p>
    <w:p w14:paraId="3D119060" w14:textId="77777777" w:rsidR="00D31C87" w:rsidRPr="007B3452" w:rsidRDefault="00D31C87" w:rsidP="00CD6A4E">
      <w:pPr>
        <w:rPr>
          <w:rFonts w:ascii="Arial" w:hAnsi="Arial" w:cs="Arial"/>
        </w:rPr>
      </w:pPr>
      <w:r w:rsidRPr="007B3452">
        <w:rPr>
          <w:rFonts w:ascii="Arial" w:hAnsi="Arial" w:cs="Arial"/>
        </w:rPr>
        <w:t xml:space="preserve">The current approach is for a </w:t>
      </w:r>
      <w:proofErr w:type="gramStart"/>
      <w:r w:rsidRPr="007B3452">
        <w:rPr>
          <w:rFonts w:ascii="Arial" w:hAnsi="Arial" w:cs="Arial"/>
        </w:rPr>
        <w:t>Low Income</w:t>
      </w:r>
      <w:proofErr w:type="gramEnd"/>
      <w:r w:rsidRPr="007B3452">
        <w:rPr>
          <w:rFonts w:ascii="Arial" w:hAnsi="Arial" w:cs="Arial"/>
        </w:rPr>
        <w:t xml:space="preserve"> Super Tax Offset Contribution (LISTO) which ensures an equitable tax outcome on superannuation contributions. While this is a valuable policy measure, it is less support than has previously been available under various co-contribution schemes. The FPAs view is that more support for low income earners is necessary and the Government should revisit a </w:t>
      </w:r>
      <w:proofErr w:type="gramStart"/>
      <w:r w:rsidRPr="007B3452">
        <w:rPr>
          <w:rFonts w:ascii="Arial" w:hAnsi="Arial" w:cs="Arial"/>
        </w:rPr>
        <w:t>Low Income</w:t>
      </w:r>
      <w:proofErr w:type="gramEnd"/>
      <w:r w:rsidRPr="007B3452">
        <w:rPr>
          <w:rFonts w:ascii="Arial" w:hAnsi="Arial" w:cs="Arial"/>
        </w:rPr>
        <w:t xml:space="preserve"> Superannuation Contribution Scheme.</w:t>
      </w:r>
    </w:p>
    <w:p w14:paraId="65DC8572" w14:textId="77777777" w:rsidR="008A1EF7" w:rsidRPr="007B3452" w:rsidRDefault="008A1EF7" w:rsidP="00CD6A4E">
      <w:pPr>
        <w:rPr>
          <w:rFonts w:ascii="Arial" w:hAnsi="Arial" w:cs="Arial"/>
        </w:rPr>
      </w:pPr>
      <w:r w:rsidRPr="007B3452">
        <w:rPr>
          <w:rFonts w:ascii="Arial" w:hAnsi="Arial" w:cs="Arial"/>
        </w:rPr>
        <w:t xml:space="preserve">A strengthened </w:t>
      </w:r>
      <w:proofErr w:type="gramStart"/>
      <w:r w:rsidRPr="007B3452">
        <w:rPr>
          <w:rFonts w:ascii="Arial" w:hAnsi="Arial" w:cs="Arial"/>
        </w:rPr>
        <w:t>Low Income</w:t>
      </w:r>
      <w:proofErr w:type="gramEnd"/>
      <w:r w:rsidRPr="007B3452">
        <w:rPr>
          <w:rFonts w:ascii="Arial" w:hAnsi="Arial" w:cs="Arial"/>
        </w:rPr>
        <w:t xml:space="preserve"> Superannuation Contribution Scheme would be effective at encouraging people to make voluntary contributions to their superannuation where possible, boosting superannuation balances at retirement and reducing demand on the age pension.</w:t>
      </w:r>
    </w:p>
    <w:p w14:paraId="57F846B2" w14:textId="77777777" w:rsidR="00A85875" w:rsidRPr="007B3452" w:rsidRDefault="00A85875" w:rsidP="00D31C87">
      <w:pPr>
        <w:rPr>
          <w:rFonts w:ascii="Arial" w:hAnsi="Arial" w:cs="Arial"/>
        </w:rPr>
      </w:pPr>
      <w:r w:rsidRPr="007B3452">
        <w:rPr>
          <w:rFonts w:ascii="Arial" w:hAnsi="Arial" w:cs="Arial"/>
        </w:rPr>
        <w:t xml:space="preserve">To incentivise Australians to save for retirement, the FPA recommends the </w:t>
      </w:r>
      <w:r w:rsidR="005767E3" w:rsidRPr="007B3452">
        <w:rPr>
          <w:rFonts w:ascii="Arial" w:hAnsi="Arial" w:cs="Arial"/>
        </w:rPr>
        <w:t>G</w:t>
      </w:r>
      <w:r w:rsidRPr="007B3452">
        <w:rPr>
          <w:rFonts w:ascii="Arial" w:hAnsi="Arial" w:cs="Arial"/>
        </w:rPr>
        <w:t xml:space="preserve">overnment restore </w:t>
      </w:r>
      <w:r w:rsidR="005767E3" w:rsidRPr="007B3452">
        <w:rPr>
          <w:rFonts w:ascii="Arial" w:hAnsi="Arial" w:cs="Arial"/>
        </w:rPr>
        <w:t>a</w:t>
      </w:r>
      <w:r w:rsidRPr="007B3452">
        <w:rPr>
          <w:rFonts w:ascii="Arial" w:hAnsi="Arial" w:cs="Arial"/>
        </w:rPr>
        <w:t xml:space="preserve"> </w:t>
      </w:r>
      <w:r w:rsidR="005767E3" w:rsidRPr="007B3452">
        <w:rPr>
          <w:rFonts w:ascii="Arial" w:hAnsi="Arial" w:cs="Arial"/>
        </w:rPr>
        <w:t xml:space="preserve">superannuation </w:t>
      </w:r>
      <w:r w:rsidRPr="007B3452">
        <w:rPr>
          <w:rFonts w:ascii="Arial" w:hAnsi="Arial" w:cs="Arial"/>
        </w:rPr>
        <w:t xml:space="preserve">co-contribution scheme </w:t>
      </w:r>
      <w:r w:rsidR="00D31C87" w:rsidRPr="007B3452">
        <w:rPr>
          <w:rFonts w:ascii="Arial" w:hAnsi="Arial" w:cs="Arial"/>
        </w:rPr>
        <w:t xml:space="preserve">with: </w:t>
      </w:r>
      <w:r w:rsidRPr="007B3452">
        <w:rPr>
          <w:rFonts w:ascii="Arial" w:hAnsi="Arial" w:cs="Arial"/>
        </w:rPr>
        <w:t xml:space="preserve">co-contributions </w:t>
      </w:r>
      <w:proofErr w:type="gramStart"/>
      <w:r w:rsidR="00D31C87" w:rsidRPr="007B3452">
        <w:rPr>
          <w:rFonts w:ascii="Arial" w:hAnsi="Arial" w:cs="Arial"/>
        </w:rPr>
        <w:t>similar to</w:t>
      </w:r>
      <w:proofErr w:type="gramEnd"/>
      <w:r w:rsidR="00D31C87" w:rsidRPr="007B3452">
        <w:rPr>
          <w:rFonts w:ascii="Arial" w:hAnsi="Arial" w:cs="Arial"/>
        </w:rPr>
        <w:t xml:space="preserve"> those available</w:t>
      </w:r>
      <w:r w:rsidRPr="007B3452">
        <w:rPr>
          <w:rFonts w:ascii="Arial" w:hAnsi="Arial" w:cs="Arial"/>
        </w:rPr>
        <w:t xml:space="preserve"> between 2004 and 2009;</w:t>
      </w:r>
      <w:r w:rsidR="00D31C87" w:rsidRPr="007B3452">
        <w:rPr>
          <w:rFonts w:ascii="Arial" w:hAnsi="Arial" w:cs="Arial"/>
        </w:rPr>
        <w:t xml:space="preserve"> a</w:t>
      </w:r>
      <w:r w:rsidRPr="007B3452">
        <w:rPr>
          <w:rFonts w:ascii="Arial" w:hAnsi="Arial" w:cs="Arial"/>
        </w:rPr>
        <w:t xml:space="preserve"> maximum Government contribution </w:t>
      </w:r>
      <w:r w:rsidR="00D31C87" w:rsidRPr="007B3452">
        <w:rPr>
          <w:rFonts w:ascii="Arial" w:hAnsi="Arial" w:cs="Arial"/>
        </w:rPr>
        <w:t>of</w:t>
      </w:r>
      <w:r w:rsidRPr="007B3452">
        <w:rPr>
          <w:rFonts w:ascii="Arial" w:hAnsi="Arial" w:cs="Arial"/>
        </w:rPr>
        <w:t xml:space="preserve"> $1,500 </w:t>
      </w:r>
      <w:r w:rsidR="00D31C87" w:rsidRPr="007B3452">
        <w:rPr>
          <w:rFonts w:ascii="Arial" w:hAnsi="Arial" w:cs="Arial"/>
        </w:rPr>
        <w:t>with</w:t>
      </w:r>
      <w:r w:rsidRPr="007B3452">
        <w:rPr>
          <w:rFonts w:ascii="Arial" w:hAnsi="Arial" w:cs="Arial"/>
        </w:rPr>
        <w:t xml:space="preserve"> a timetable to increase</w:t>
      </w:r>
      <w:r w:rsidR="00D31C87" w:rsidRPr="007B3452">
        <w:rPr>
          <w:rFonts w:ascii="Arial" w:hAnsi="Arial" w:cs="Arial"/>
        </w:rPr>
        <w:t xml:space="preserve"> this amount</w:t>
      </w:r>
      <w:r w:rsidRPr="007B3452">
        <w:rPr>
          <w:rFonts w:ascii="Arial" w:hAnsi="Arial" w:cs="Arial"/>
        </w:rPr>
        <w:t>; and</w:t>
      </w:r>
      <w:r w:rsidR="00D31C87" w:rsidRPr="007B3452">
        <w:rPr>
          <w:rFonts w:ascii="Arial" w:hAnsi="Arial" w:cs="Arial"/>
        </w:rPr>
        <w:t xml:space="preserve"> a</w:t>
      </w:r>
      <w:r w:rsidRPr="007B3452">
        <w:rPr>
          <w:rFonts w:ascii="Arial" w:hAnsi="Arial" w:cs="Arial"/>
        </w:rPr>
        <w:t>n increased income threshold to allow for greater access to the scheme.</w:t>
      </w:r>
    </w:p>
    <w:p w14:paraId="6ABD0429" w14:textId="77777777" w:rsidR="00A85875" w:rsidRPr="007B3452" w:rsidRDefault="00A85875" w:rsidP="008A1EF7">
      <w:pPr>
        <w:rPr>
          <w:rFonts w:ascii="Arial" w:hAnsi="Arial" w:cs="Arial"/>
        </w:rPr>
      </w:pPr>
      <w:r w:rsidRPr="007B3452">
        <w:rPr>
          <w:rFonts w:ascii="Arial" w:hAnsi="Arial" w:cs="Arial"/>
        </w:rPr>
        <w:t>Th</w:t>
      </w:r>
      <w:r w:rsidR="00D31C87" w:rsidRPr="007B3452">
        <w:rPr>
          <w:rFonts w:ascii="Arial" w:hAnsi="Arial" w:cs="Arial"/>
        </w:rPr>
        <w:t xml:space="preserve">is scheme would provide a </w:t>
      </w:r>
      <w:r w:rsidRPr="007B3452">
        <w:rPr>
          <w:rFonts w:ascii="Arial" w:hAnsi="Arial" w:cs="Arial"/>
        </w:rPr>
        <w:t>further incentive for people to actively engage with their superannuation and make after-tax contributions</w:t>
      </w:r>
      <w:r w:rsidR="00D31C87" w:rsidRPr="007B3452">
        <w:rPr>
          <w:rFonts w:ascii="Arial" w:hAnsi="Arial" w:cs="Arial"/>
        </w:rPr>
        <w:t xml:space="preserve"> where they could afford to do so.</w:t>
      </w:r>
    </w:p>
    <w:p w14:paraId="70558F81" w14:textId="77777777" w:rsidR="00A85875" w:rsidRPr="007B3452" w:rsidRDefault="00A85875" w:rsidP="008A1EF7">
      <w:pPr>
        <w:rPr>
          <w:rFonts w:ascii="Arial" w:hAnsi="Arial" w:cs="Arial"/>
        </w:rPr>
      </w:pPr>
      <w:r w:rsidRPr="007B3452">
        <w:rPr>
          <w:rFonts w:ascii="Arial" w:hAnsi="Arial" w:cs="Arial"/>
        </w:rPr>
        <w:t xml:space="preserve">While the co-contribution scheme is intended to assist lower income earners, anecdotally it would appear that such taxpayers are often unlikely to be able to avail themselves of the benefits as their disposable income is likely to be totally consumed by household expenditure. This is an area where the Government could work to provide a further concessional adjustment that genuinely assists low-income earners increase their superannuation contributions. </w:t>
      </w:r>
    </w:p>
    <w:p w14:paraId="1D6F364F" w14:textId="77777777" w:rsidR="00A85875" w:rsidRPr="007B3452" w:rsidRDefault="00A85875" w:rsidP="008A1EF7">
      <w:pPr>
        <w:rPr>
          <w:rFonts w:ascii="Arial" w:hAnsi="Arial" w:cs="Arial"/>
        </w:rPr>
      </w:pPr>
      <w:r w:rsidRPr="007B3452">
        <w:rPr>
          <w:rFonts w:ascii="Arial" w:hAnsi="Arial" w:cs="Arial"/>
        </w:rPr>
        <w:t xml:space="preserve">The FPA would like to highlight that </w:t>
      </w:r>
      <w:r w:rsidR="00D31C87" w:rsidRPr="007B3452">
        <w:rPr>
          <w:rFonts w:ascii="Arial" w:hAnsi="Arial" w:cs="Arial"/>
        </w:rPr>
        <w:t xml:space="preserve">previous </w:t>
      </w:r>
      <w:r w:rsidRPr="007B3452">
        <w:rPr>
          <w:rFonts w:ascii="Arial" w:hAnsi="Arial" w:cs="Arial"/>
        </w:rPr>
        <w:t>co-contribution scheme</w:t>
      </w:r>
      <w:r w:rsidR="00D31C87" w:rsidRPr="007B3452">
        <w:rPr>
          <w:rFonts w:ascii="Arial" w:hAnsi="Arial" w:cs="Arial"/>
        </w:rPr>
        <w:t>s</w:t>
      </w:r>
      <w:r w:rsidRPr="007B3452">
        <w:rPr>
          <w:rFonts w:ascii="Arial" w:hAnsi="Arial" w:cs="Arial"/>
        </w:rPr>
        <w:t xml:space="preserve"> only support</w:t>
      </w:r>
      <w:r w:rsidR="00D31C87" w:rsidRPr="007B3452">
        <w:rPr>
          <w:rFonts w:ascii="Arial" w:hAnsi="Arial" w:cs="Arial"/>
        </w:rPr>
        <w:t>ed</w:t>
      </w:r>
      <w:r w:rsidRPr="007B3452">
        <w:rPr>
          <w:rFonts w:ascii="Arial" w:hAnsi="Arial" w:cs="Arial"/>
        </w:rPr>
        <w:t xml:space="preserve"> those who </w:t>
      </w:r>
      <w:r w:rsidR="00D31C87" w:rsidRPr="007B3452">
        <w:rPr>
          <w:rFonts w:ascii="Arial" w:hAnsi="Arial" w:cs="Arial"/>
        </w:rPr>
        <w:t>we</w:t>
      </w:r>
      <w:r w:rsidRPr="007B3452">
        <w:rPr>
          <w:rFonts w:ascii="Arial" w:hAnsi="Arial" w:cs="Arial"/>
        </w:rPr>
        <w:t xml:space="preserve">re working. </w:t>
      </w:r>
      <w:r w:rsidR="00D31C87" w:rsidRPr="007B3452">
        <w:rPr>
          <w:rFonts w:ascii="Arial" w:hAnsi="Arial" w:cs="Arial"/>
        </w:rPr>
        <w:t xml:space="preserve">The FPA </w:t>
      </w:r>
      <w:r w:rsidRPr="007B3452">
        <w:rPr>
          <w:rFonts w:ascii="Arial" w:hAnsi="Arial" w:cs="Arial"/>
        </w:rPr>
        <w:t>recommend</w:t>
      </w:r>
      <w:r w:rsidR="00D31C87" w:rsidRPr="007B3452">
        <w:rPr>
          <w:rFonts w:ascii="Arial" w:hAnsi="Arial" w:cs="Arial"/>
        </w:rPr>
        <w:t>s</w:t>
      </w:r>
      <w:r w:rsidRPr="007B3452">
        <w:rPr>
          <w:rFonts w:ascii="Arial" w:hAnsi="Arial" w:cs="Arial"/>
        </w:rPr>
        <w:t xml:space="preserve"> the removal of the work-test requirement to </w:t>
      </w:r>
      <w:r w:rsidRPr="007B3452">
        <w:rPr>
          <w:rFonts w:ascii="Arial" w:hAnsi="Arial" w:cs="Arial"/>
        </w:rPr>
        <w:lastRenderedPageBreak/>
        <w:t xml:space="preserve">extend the </w:t>
      </w:r>
      <w:r w:rsidR="00D31C87" w:rsidRPr="007B3452">
        <w:rPr>
          <w:rFonts w:ascii="Arial" w:hAnsi="Arial" w:cs="Arial"/>
        </w:rPr>
        <w:t>scheme</w:t>
      </w:r>
      <w:r w:rsidRPr="007B3452">
        <w:rPr>
          <w:rFonts w:ascii="Arial" w:hAnsi="Arial" w:cs="Arial"/>
        </w:rPr>
        <w:t xml:space="preserve"> to people who are temporarily not working such as stay-at-home parents, carers and those on income protection or workers’ compensation insurance benefits. </w:t>
      </w:r>
    </w:p>
    <w:p w14:paraId="4E8344A6" w14:textId="77777777" w:rsidR="001B337A" w:rsidRPr="007B3452" w:rsidRDefault="00A85875" w:rsidP="00A85875">
      <w:pPr>
        <w:rPr>
          <w:rFonts w:ascii="Arial" w:hAnsi="Arial" w:cs="Arial"/>
        </w:rPr>
      </w:pPr>
      <w:r w:rsidRPr="007B3452">
        <w:rPr>
          <w:rFonts w:ascii="Arial" w:hAnsi="Arial" w:cs="Arial"/>
        </w:rPr>
        <w:t>The FPA suggests the fiscal impact of the restoration and broadening of the co-contribution scheme could be offset by the resulting future savings on age pension expenditure and should not be funded by an increase in other superannuation taxes. Funding options could include better targeting of the measure with the introduction of a family income threshold for members of a couple rather than eligibility based on just the individual’s income. Not only would this assist with the expansion of the measure to a non-working spouse, but it would also promote greater equity and affordability.</w:t>
      </w:r>
    </w:p>
    <w:p w14:paraId="1CED66E1" w14:textId="77777777" w:rsidR="001B337A" w:rsidRPr="007B3452" w:rsidRDefault="001B337A" w:rsidP="00CD6A4E">
      <w:pPr>
        <w:rPr>
          <w:rFonts w:ascii="Arial" w:hAnsi="Arial" w:cs="Arial"/>
        </w:rPr>
      </w:pPr>
    </w:p>
    <w:p w14:paraId="5A907FA8" w14:textId="0C8A60A0" w:rsidR="00C65891" w:rsidRPr="007B3452" w:rsidRDefault="001B337A" w:rsidP="001B337A">
      <w:pPr>
        <w:rPr>
          <w:rFonts w:ascii="Arial" w:hAnsi="Arial" w:cs="Arial"/>
          <w:b/>
        </w:rPr>
      </w:pPr>
      <w:r w:rsidRPr="007B3452">
        <w:rPr>
          <w:rFonts w:ascii="Arial" w:hAnsi="Arial" w:cs="Arial"/>
          <w:b/>
        </w:rPr>
        <w:t>Recommendation</w:t>
      </w:r>
      <w:r w:rsidR="00C65891" w:rsidRPr="007B3452">
        <w:rPr>
          <w:rFonts w:ascii="Arial" w:hAnsi="Arial" w:cs="Arial"/>
          <w:b/>
        </w:rPr>
        <w:t xml:space="preserve"> </w:t>
      </w:r>
      <w:r w:rsidR="00720783" w:rsidRPr="007B3452">
        <w:rPr>
          <w:rFonts w:ascii="Arial" w:hAnsi="Arial" w:cs="Arial"/>
          <w:b/>
        </w:rPr>
        <w:t>1</w:t>
      </w:r>
      <w:r w:rsidR="003D0998" w:rsidRPr="007B3452">
        <w:rPr>
          <w:rFonts w:ascii="Arial" w:hAnsi="Arial" w:cs="Arial"/>
          <w:b/>
        </w:rPr>
        <w:t>2</w:t>
      </w:r>
      <w:r w:rsidRPr="007B3452">
        <w:rPr>
          <w:rFonts w:ascii="Arial" w:hAnsi="Arial" w:cs="Arial"/>
          <w:b/>
        </w:rPr>
        <w:t xml:space="preserve">: </w:t>
      </w:r>
    </w:p>
    <w:p w14:paraId="747E3987" w14:textId="3ADD3F3A" w:rsidR="00A85875" w:rsidRPr="007B3452" w:rsidRDefault="001B337A" w:rsidP="00D31C87">
      <w:pPr>
        <w:rPr>
          <w:rFonts w:ascii="Arial" w:hAnsi="Arial" w:cs="Arial"/>
        </w:rPr>
      </w:pPr>
      <w:r w:rsidRPr="007B3452">
        <w:rPr>
          <w:rFonts w:ascii="Arial" w:hAnsi="Arial" w:cs="Arial"/>
        </w:rPr>
        <w:t>The FPA recommends th</w:t>
      </w:r>
      <w:r w:rsidR="00A85875" w:rsidRPr="007B3452">
        <w:rPr>
          <w:rFonts w:ascii="Arial" w:hAnsi="Arial" w:cs="Arial"/>
        </w:rPr>
        <w:t>e Government provides a</w:t>
      </w:r>
      <w:r w:rsidR="006B0956" w:rsidRPr="007B3452">
        <w:rPr>
          <w:rFonts w:ascii="Arial" w:hAnsi="Arial" w:cs="Arial"/>
        </w:rPr>
        <w:t>n enhanced</w:t>
      </w:r>
      <w:r w:rsidR="00A85875" w:rsidRPr="007B3452">
        <w:rPr>
          <w:rFonts w:ascii="Arial" w:hAnsi="Arial" w:cs="Arial"/>
        </w:rPr>
        <w:t xml:space="preserve"> superannuation co-contribution scheme</w:t>
      </w:r>
      <w:r w:rsidR="00D31C87" w:rsidRPr="007B3452">
        <w:rPr>
          <w:rFonts w:ascii="Arial" w:hAnsi="Arial" w:cs="Arial"/>
        </w:rPr>
        <w:t xml:space="preserve"> to support Australians on low incomes to save for their retirement</w:t>
      </w:r>
      <w:r w:rsidR="00A85875" w:rsidRPr="007B3452">
        <w:rPr>
          <w:rFonts w:ascii="Arial" w:hAnsi="Arial" w:cs="Arial"/>
        </w:rPr>
        <w:t>.</w:t>
      </w:r>
    </w:p>
    <w:p w14:paraId="2971E6A8" w14:textId="77777777" w:rsidR="001B337A" w:rsidRPr="007B3452" w:rsidRDefault="001B337A" w:rsidP="00CD6A4E">
      <w:pPr>
        <w:rPr>
          <w:rFonts w:ascii="Arial" w:hAnsi="Arial" w:cs="Arial"/>
        </w:rPr>
      </w:pPr>
    </w:p>
    <w:p w14:paraId="11AA8331" w14:textId="77777777" w:rsidR="00CD6A4E" w:rsidRPr="007B3452" w:rsidRDefault="000927A9" w:rsidP="00CD6A4E">
      <w:pPr>
        <w:pStyle w:val="Heading2"/>
        <w:rPr>
          <w:rFonts w:ascii="Arial" w:hAnsi="Arial" w:cs="Arial"/>
        </w:rPr>
      </w:pPr>
      <w:bookmarkStart w:id="20" w:name="_Toc535503321"/>
      <w:r w:rsidRPr="007B3452">
        <w:rPr>
          <w:rFonts w:ascii="Arial" w:hAnsi="Arial" w:cs="Arial"/>
        </w:rPr>
        <w:t>Insurance</w:t>
      </w:r>
      <w:bookmarkEnd w:id="20"/>
    </w:p>
    <w:p w14:paraId="3E3D26C2" w14:textId="74406F0B" w:rsidR="00125DAF" w:rsidRPr="007B3452" w:rsidRDefault="00125DAF" w:rsidP="000927A9">
      <w:pPr>
        <w:pStyle w:val="Heading3"/>
        <w:rPr>
          <w:rFonts w:ascii="Arial" w:hAnsi="Arial" w:cs="Arial"/>
        </w:rPr>
      </w:pPr>
      <w:bookmarkStart w:id="21" w:name="_Toc535503322"/>
      <w:r w:rsidRPr="007B3452">
        <w:rPr>
          <w:rFonts w:ascii="Arial" w:hAnsi="Arial" w:cs="Arial"/>
        </w:rPr>
        <w:t>Portability of insurance</w:t>
      </w:r>
      <w:bookmarkEnd w:id="21"/>
    </w:p>
    <w:p w14:paraId="1D6AE809" w14:textId="73EDBB77" w:rsidR="00125DAF" w:rsidRPr="007B3452" w:rsidRDefault="00125DAF" w:rsidP="00125DAF">
      <w:pPr>
        <w:rPr>
          <w:rFonts w:ascii="Arial" w:hAnsi="Arial" w:cs="Arial"/>
        </w:rPr>
      </w:pPr>
      <w:r w:rsidRPr="007B3452">
        <w:rPr>
          <w:rFonts w:ascii="Arial" w:hAnsi="Arial" w:cs="Arial"/>
        </w:rPr>
        <w:t>The Productivity Commission has reported on the large number of Australians who hold multiple superannuation accounts, thereby exposing them to duplicated fees and reducing their ability to save for retirement.</w:t>
      </w:r>
    </w:p>
    <w:p w14:paraId="10EE8DE2" w14:textId="79BE87C1" w:rsidR="00125DAF" w:rsidRPr="007B3452" w:rsidRDefault="00125DAF" w:rsidP="00125DAF">
      <w:pPr>
        <w:rPr>
          <w:rFonts w:ascii="Arial" w:hAnsi="Arial" w:cs="Arial"/>
        </w:rPr>
      </w:pPr>
      <w:r w:rsidRPr="007B3452">
        <w:rPr>
          <w:rFonts w:ascii="Arial" w:hAnsi="Arial" w:cs="Arial"/>
        </w:rPr>
        <w:t xml:space="preserve">The biggest barrier to consolidation of superannuation is the lack of portability of insurance. The older a person gets, the more difficult it is for them to get life, TPD, or income protection insurance cover. Such individuals may hold cover inside their superannuation account however this insurance cover is not portable. If the individual closes that account when consolidating their superannuation, or under auto-consolidation requirements, the insurance cover also closes. The cover cannot be transferred to the new or consolidated superannuation account, even though the insured is the same person. </w:t>
      </w:r>
    </w:p>
    <w:p w14:paraId="66F0FEAB" w14:textId="23E437AA" w:rsidR="00125DAF" w:rsidRPr="007B3452" w:rsidRDefault="00125DAF" w:rsidP="00125DAF">
      <w:pPr>
        <w:rPr>
          <w:rFonts w:ascii="Arial" w:hAnsi="Arial" w:cs="Arial"/>
        </w:rPr>
      </w:pPr>
      <w:r w:rsidRPr="007B3452">
        <w:rPr>
          <w:rFonts w:ascii="Arial" w:hAnsi="Arial" w:cs="Arial"/>
        </w:rPr>
        <w:t>Fixing the portability of insurance will significantly help reduce the number of multiple superannuation accounts. There may also be scenarios where an individual holds a superannuation account for the purposes of maintaining insurance, and that account meets the definition of ‘a lost member or inactive account’. Without portability of insurance, auto-consolidation by the ATO risks removing insurance that the member wants to maintain.</w:t>
      </w:r>
    </w:p>
    <w:p w14:paraId="75F0331F" w14:textId="77777777" w:rsidR="00125DAF" w:rsidRPr="007B3452" w:rsidRDefault="00125DAF" w:rsidP="00125DAF">
      <w:pPr>
        <w:rPr>
          <w:rFonts w:ascii="Arial" w:hAnsi="Arial" w:cs="Arial"/>
          <w:b/>
        </w:rPr>
      </w:pPr>
    </w:p>
    <w:p w14:paraId="325C79EF" w14:textId="0A9E9F23" w:rsidR="00125DAF" w:rsidRPr="007B3452" w:rsidRDefault="00125DAF" w:rsidP="00125DAF">
      <w:pPr>
        <w:rPr>
          <w:rFonts w:ascii="Arial" w:hAnsi="Arial" w:cs="Arial"/>
          <w:b/>
        </w:rPr>
      </w:pPr>
      <w:r w:rsidRPr="007B3452">
        <w:rPr>
          <w:rFonts w:ascii="Arial" w:hAnsi="Arial" w:cs="Arial"/>
          <w:b/>
        </w:rPr>
        <w:t>Recommendation 1</w:t>
      </w:r>
      <w:r w:rsidR="003D0998" w:rsidRPr="007B3452">
        <w:rPr>
          <w:rFonts w:ascii="Arial" w:hAnsi="Arial" w:cs="Arial"/>
          <w:b/>
        </w:rPr>
        <w:t>3</w:t>
      </w:r>
      <w:r w:rsidRPr="007B3452">
        <w:rPr>
          <w:rFonts w:ascii="Arial" w:hAnsi="Arial" w:cs="Arial"/>
          <w:b/>
        </w:rPr>
        <w:t xml:space="preserve">: </w:t>
      </w:r>
    </w:p>
    <w:p w14:paraId="20BEA2AA" w14:textId="29851727" w:rsidR="00125DAF" w:rsidRPr="007B3452" w:rsidRDefault="00125DAF" w:rsidP="00125DAF">
      <w:pPr>
        <w:rPr>
          <w:rFonts w:ascii="Arial" w:hAnsi="Arial" w:cs="Arial"/>
        </w:rPr>
      </w:pPr>
      <w:r w:rsidRPr="007B3452">
        <w:rPr>
          <w:rFonts w:ascii="Arial" w:hAnsi="Arial" w:cs="Arial"/>
        </w:rPr>
        <w:t>The FPA recommends the Government investigate options to provide for portability of insurance between superannuation accounts.</w:t>
      </w:r>
    </w:p>
    <w:p w14:paraId="6F240EEF" w14:textId="77777777" w:rsidR="00125DAF" w:rsidRPr="007B3452" w:rsidRDefault="00125DAF" w:rsidP="00125DAF">
      <w:pPr>
        <w:rPr>
          <w:rFonts w:ascii="Arial" w:hAnsi="Arial" w:cs="Arial"/>
        </w:rPr>
      </w:pPr>
    </w:p>
    <w:p w14:paraId="55779F34" w14:textId="5C6F8B3A" w:rsidR="000927A9" w:rsidRPr="007B3452" w:rsidRDefault="000927A9" w:rsidP="000927A9">
      <w:pPr>
        <w:pStyle w:val="Heading3"/>
        <w:rPr>
          <w:rFonts w:ascii="Arial" w:hAnsi="Arial" w:cs="Arial"/>
        </w:rPr>
      </w:pPr>
      <w:bookmarkStart w:id="22" w:name="_Toc535503323"/>
      <w:r w:rsidRPr="007B3452">
        <w:rPr>
          <w:rFonts w:ascii="Arial" w:hAnsi="Arial" w:cs="Arial"/>
        </w:rPr>
        <w:t>Death</w:t>
      </w:r>
      <w:r w:rsidR="00E35CEC" w:rsidRPr="007B3452">
        <w:rPr>
          <w:rFonts w:ascii="Arial" w:hAnsi="Arial" w:cs="Arial"/>
        </w:rPr>
        <w:t xml:space="preserve"> and </w:t>
      </w:r>
      <w:r w:rsidR="00A27A3E" w:rsidRPr="007B3452">
        <w:rPr>
          <w:rFonts w:ascii="Arial" w:hAnsi="Arial" w:cs="Arial"/>
        </w:rPr>
        <w:t>total permanent disability</w:t>
      </w:r>
      <w:r w:rsidRPr="007B3452">
        <w:rPr>
          <w:rFonts w:ascii="Arial" w:hAnsi="Arial" w:cs="Arial"/>
        </w:rPr>
        <w:t xml:space="preserve"> benefits</w:t>
      </w:r>
      <w:bookmarkEnd w:id="22"/>
    </w:p>
    <w:p w14:paraId="692374C4" w14:textId="77777777" w:rsidR="00923074" w:rsidRPr="007B3452" w:rsidRDefault="00F013BB" w:rsidP="006112E6">
      <w:pPr>
        <w:rPr>
          <w:rFonts w:ascii="Arial" w:hAnsi="Arial" w:cs="Arial"/>
        </w:rPr>
      </w:pPr>
      <w:r w:rsidRPr="007B3452">
        <w:rPr>
          <w:rFonts w:ascii="Arial" w:hAnsi="Arial" w:cs="Arial"/>
        </w:rPr>
        <w:t xml:space="preserve">Benefits paid under insurance for death or total permanent disability (TPD) are taxed differently depending on whether the policy is held inside or outside of the superannuation system. </w:t>
      </w:r>
      <w:r w:rsidR="00923074" w:rsidRPr="007B3452">
        <w:rPr>
          <w:rFonts w:ascii="Arial" w:hAnsi="Arial" w:cs="Arial"/>
        </w:rPr>
        <w:t xml:space="preserve">This distinction has </w:t>
      </w:r>
      <w:r w:rsidR="000C02F6" w:rsidRPr="007B3452">
        <w:rPr>
          <w:rFonts w:ascii="Arial" w:hAnsi="Arial" w:cs="Arial"/>
        </w:rPr>
        <w:t>several</w:t>
      </w:r>
      <w:r w:rsidR="00923074" w:rsidRPr="007B3452">
        <w:rPr>
          <w:rFonts w:ascii="Arial" w:hAnsi="Arial" w:cs="Arial"/>
        </w:rPr>
        <w:t xml:space="preserve"> negative impacts for consumers.</w:t>
      </w:r>
    </w:p>
    <w:p w14:paraId="10436C1B" w14:textId="77777777" w:rsidR="006112E6" w:rsidRPr="007B3452" w:rsidRDefault="00923074" w:rsidP="006112E6">
      <w:pPr>
        <w:rPr>
          <w:rFonts w:ascii="Arial" w:hAnsi="Arial" w:cs="Arial"/>
        </w:rPr>
      </w:pPr>
      <w:r w:rsidRPr="007B3452">
        <w:rPr>
          <w:rFonts w:ascii="Arial" w:hAnsi="Arial" w:cs="Arial"/>
        </w:rPr>
        <w:t xml:space="preserve">Firstly, the differing tax treatments add </w:t>
      </w:r>
      <w:r w:rsidR="00F013BB" w:rsidRPr="007B3452">
        <w:rPr>
          <w:rFonts w:ascii="Arial" w:hAnsi="Arial" w:cs="Arial"/>
        </w:rPr>
        <w:t>complexity</w:t>
      </w:r>
      <w:r w:rsidRPr="007B3452">
        <w:rPr>
          <w:rFonts w:ascii="Arial" w:hAnsi="Arial" w:cs="Arial"/>
        </w:rPr>
        <w:t xml:space="preserve"> which </w:t>
      </w:r>
      <w:r w:rsidR="00F013BB" w:rsidRPr="007B3452">
        <w:rPr>
          <w:rFonts w:ascii="Arial" w:hAnsi="Arial" w:cs="Arial"/>
        </w:rPr>
        <w:t>makes it difficult</w:t>
      </w:r>
      <w:r w:rsidR="006112E6" w:rsidRPr="007B3452">
        <w:rPr>
          <w:rFonts w:ascii="Arial" w:hAnsi="Arial" w:cs="Arial"/>
        </w:rPr>
        <w:t xml:space="preserve"> </w:t>
      </w:r>
      <w:r w:rsidR="00F013BB" w:rsidRPr="007B3452">
        <w:rPr>
          <w:rFonts w:ascii="Arial" w:hAnsi="Arial" w:cs="Arial"/>
        </w:rPr>
        <w:t>for consumers to compare and select from different insurance policies</w:t>
      </w:r>
      <w:r w:rsidRPr="007B3452">
        <w:rPr>
          <w:rFonts w:ascii="Arial" w:hAnsi="Arial" w:cs="Arial"/>
        </w:rPr>
        <w:t xml:space="preserve">. Consumers generally need </w:t>
      </w:r>
      <w:r w:rsidRPr="007B3452">
        <w:rPr>
          <w:rFonts w:ascii="Arial" w:hAnsi="Arial" w:cs="Arial"/>
        </w:rPr>
        <w:lastRenderedPageBreak/>
        <w:t xml:space="preserve">professional assistance to </w:t>
      </w:r>
      <w:r w:rsidR="006112E6" w:rsidRPr="007B3452">
        <w:rPr>
          <w:rFonts w:ascii="Arial" w:hAnsi="Arial" w:cs="Arial"/>
        </w:rPr>
        <w:t>calculat</w:t>
      </w:r>
      <w:r w:rsidRPr="007B3452">
        <w:rPr>
          <w:rFonts w:ascii="Arial" w:hAnsi="Arial" w:cs="Arial"/>
        </w:rPr>
        <w:t>e</w:t>
      </w:r>
      <w:r w:rsidR="006112E6" w:rsidRPr="007B3452">
        <w:rPr>
          <w:rFonts w:ascii="Arial" w:hAnsi="Arial" w:cs="Arial"/>
        </w:rPr>
        <w:t xml:space="preserve"> potential tax payable</w:t>
      </w:r>
      <w:r w:rsidR="00F013BB" w:rsidRPr="007B3452">
        <w:rPr>
          <w:rFonts w:ascii="Arial" w:hAnsi="Arial" w:cs="Arial"/>
        </w:rPr>
        <w:t xml:space="preserve"> on benefits</w:t>
      </w:r>
      <w:r w:rsidRPr="007B3452">
        <w:rPr>
          <w:rFonts w:ascii="Arial" w:hAnsi="Arial" w:cs="Arial"/>
        </w:rPr>
        <w:t xml:space="preserve"> under a </w:t>
      </w:r>
      <w:proofErr w:type="gramStart"/>
      <w:r w:rsidRPr="007B3452">
        <w:rPr>
          <w:rFonts w:ascii="Arial" w:hAnsi="Arial" w:cs="Arial"/>
        </w:rPr>
        <w:t>particular insurance</w:t>
      </w:r>
      <w:proofErr w:type="gramEnd"/>
      <w:r w:rsidRPr="007B3452">
        <w:rPr>
          <w:rFonts w:ascii="Arial" w:hAnsi="Arial" w:cs="Arial"/>
        </w:rPr>
        <w:t xml:space="preserve"> policy</w:t>
      </w:r>
      <w:r w:rsidR="006112E6" w:rsidRPr="007B3452">
        <w:rPr>
          <w:rFonts w:ascii="Arial" w:hAnsi="Arial" w:cs="Arial"/>
        </w:rPr>
        <w:t>, how benefits are drawn down in the event of death or TPD</w:t>
      </w:r>
      <w:r w:rsidR="00F013BB" w:rsidRPr="007B3452">
        <w:rPr>
          <w:rFonts w:ascii="Arial" w:hAnsi="Arial" w:cs="Arial"/>
        </w:rPr>
        <w:t>,</w:t>
      </w:r>
      <w:r w:rsidR="006112E6" w:rsidRPr="007B3452">
        <w:rPr>
          <w:rFonts w:ascii="Arial" w:hAnsi="Arial" w:cs="Arial"/>
        </w:rPr>
        <w:t xml:space="preserve"> and to whom those benefits may be payable.</w:t>
      </w:r>
    </w:p>
    <w:p w14:paraId="059706AD" w14:textId="77777777" w:rsidR="00CC4097" w:rsidRPr="007B3452" w:rsidRDefault="00923074" w:rsidP="006112E6">
      <w:pPr>
        <w:rPr>
          <w:rFonts w:ascii="Arial" w:hAnsi="Arial" w:cs="Arial"/>
        </w:rPr>
      </w:pPr>
      <w:r w:rsidRPr="007B3452">
        <w:rPr>
          <w:rFonts w:ascii="Arial" w:hAnsi="Arial" w:cs="Arial"/>
        </w:rPr>
        <w:t xml:space="preserve">Secondly, taxing death and TPD benefits paid under insurance held inside the superannuation system encourages unnecessary and complex strategies to reduce tax liabilities. For example, terminally ill consumers </w:t>
      </w:r>
      <w:r w:rsidR="00A13D9A" w:rsidRPr="007B3452">
        <w:rPr>
          <w:rFonts w:ascii="Arial" w:hAnsi="Arial" w:cs="Arial"/>
        </w:rPr>
        <w:t xml:space="preserve">may be </w:t>
      </w:r>
      <w:r w:rsidRPr="007B3452">
        <w:rPr>
          <w:rFonts w:ascii="Arial" w:hAnsi="Arial" w:cs="Arial"/>
        </w:rPr>
        <w:t>encouraged to withdraw their death benefits early and gift them to adult children</w:t>
      </w:r>
      <w:r w:rsidR="00CC4097" w:rsidRPr="007B3452">
        <w:rPr>
          <w:rFonts w:ascii="Arial" w:hAnsi="Arial" w:cs="Arial"/>
        </w:rPr>
        <w:t xml:space="preserve"> tax-free</w:t>
      </w:r>
      <w:r w:rsidRPr="007B3452">
        <w:rPr>
          <w:rFonts w:ascii="Arial" w:hAnsi="Arial" w:cs="Arial"/>
        </w:rPr>
        <w:t>.</w:t>
      </w:r>
    </w:p>
    <w:p w14:paraId="0DE7DD8A" w14:textId="755E1F15" w:rsidR="006112E6" w:rsidRPr="007B3452" w:rsidRDefault="00F013BB" w:rsidP="006112E6">
      <w:pPr>
        <w:rPr>
          <w:rFonts w:ascii="Arial" w:hAnsi="Arial" w:cs="Arial"/>
        </w:rPr>
      </w:pPr>
      <w:r w:rsidRPr="007B3452">
        <w:rPr>
          <w:rFonts w:ascii="Arial" w:hAnsi="Arial" w:cs="Arial"/>
        </w:rPr>
        <w:t>The FPA’s view is that taxation should be applied to death and TP</w:t>
      </w:r>
      <w:r w:rsidR="00AA60C0" w:rsidRPr="007B3452">
        <w:rPr>
          <w:rFonts w:ascii="Arial" w:hAnsi="Arial" w:cs="Arial"/>
        </w:rPr>
        <w:t>D</w:t>
      </w:r>
      <w:r w:rsidRPr="007B3452">
        <w:rPr>
          <w:rFonts w:ascii="Arial" w:hAnsi="Arial" w:cs="Arial"/>
        </w:rPr>
        <w:t xml:space="preserve"> </w:t>
      </w:r>
      <w:r w:rsidR="00926538" w:rsidRPr="007B3452">
        <w:rPr>
          <w:rFonts w:ascii="Arial" w:hAnsi="Arial" w:cs="Arial"/>
        </w:rPr>
        <w:t>sums insured payments</w:t>
      </w:r>
      <w:r w:rsidRPr="007B3452">
        <w:rPr>
          <w:rFonts w:ascii="Arial" w:hAnsi="Arial" w:cs="Arial"/>
        </w:rPr>
        <w:t xml:space="preserve"> consistently, regardless of whether those insurance policies are held inside or outside of the superannuation system. D</w:t>
      </w:r>
      <w:r w:rsidR="006112E6" w:rsidRPr="007B3452">
        <w:rPr>
          <w:rFonts w:ascii="Arial" w:hAnsi="Arial" w:cs="Arial"/>
        </w:rPr>
        <w:t xml:space="preserve">eath or TPD </w:t>
      </w:r>
      <w:r w:rsidRPr="007B3452">
        <w:rPr>
          <w:rFonts w:ascii="Arial" w:hAnsi="Arial" w:cs="Arial"/>
        </w:rPr>
        <w:t xml:space="preserve">benefits paid on a </w:t>
      </w:r>
      <w:r w:rsidR="006112E6" w:rsidRPr="007B3452">
        <w:rPr>
          <w:rFonts w:ascii="Arial" w:hAnsi="Arial" w:cs="Arial"/>
        </w:rPr>
        <w:t xml:space="preserve">policy held outside </w:t>
      </w:r>
      <w:r w:rsidRPr="007B3452">
        <w:rPr>
          <w:rFonts w:ascii="Arial" w:hAnsi="Arial" w:cs="Arial"/>
        </w:rPr>
        <w:t xml:space="preserve">of the </w:t>
      </w:r>
      <w:r w:rsidR="006112E6" w:rsidRPr="007B3452">
        <w:rPr>
          <w:rFonts w:ascii="Arial" w:hAnsi="Arial" w:cs="Arial"/>
        </w:rPr>
        <w:t>superannuation</w:t>
      </w:r>
      <w:r w:rsidRPr="007B3452">
        <w:rPr>
          <w:rFonts w:ascii="Arial" w:hAnsi="Arial" w:cs="Arial"/>
        </w:rPr>
        <w:t xml:space="preserve"> system</w:t>
      </w:r>
      <w:r w:rsidR="006112E6" w:rsidRPr="007B3452">
        <w:rPr>
          <w:rFonts w:ascii="Arial" w:hAnsi="Arial" w:cs="Arial"/>
        </w:rPr>
        <w:t xml:space="preserve"> </w:t>
      </w:r>
      <w:r w:rsidRPr="007B3452">
        <w:rPr>
          <w:rFonts w:ascii="Arial" w:hAnsi="Arial" w:cs="Arial"/>
        </w:rPr>
        <w:t>are</w:t>
      </w:r>
      <w:r w:rsidR="006112E6" w:rsidRPr="007B3452">
        <w:rPr>
          <w:rFonts w:ascii="Arial" w:hAnsi="Arial" w:cs="Arial"/>
        </w:rPr>
        <w:t xml:space="preserve"> generally tax-free </w:t>
      </w:r>
      <w:r w:rsidRPr="007B3452">
        <w:rPr>
          <w:rFonts w:ascii="Arial" w:hAnsi="Arial" w:cs="Arial"/>
        </w:rPr>
        <w:t xml:space="preserve">and it would be appropriate for the </w:t>
      </w:r>
      <w:r w:rsidR="006112E6" w:rsidRPr="007B3452">
        <w:rPr>
          <w:rFonts w:ascii="Arial" w:hAnsi="Arial" w:cs="Arial"/>
        </w:rPr>
        <w:t xml:space="preserve">same tax-free status </w:t>
      </w:r>
      <w:r w:rsidRPr="007B3452">
        <w:rPr>
          <w:rFonts w:ascii="Arial" w:hAnsi="Arial" w:cs="Arial"/>
        </w:rPr>
        <w:t>to</w:t>
      </w:r>
      <w:r w:rsidR="006112E6" w:rsidRPr="007B3452">
        <w:rPr>
          <w:rFonts w:ascii="Arial" w:hAnsi="Arial" w:cs="Arial"/>
        </w:rPr>
        <w:t xml:space="preserve"> </w:t>
      </w:r>
      <w:r w:rsidRPr="007B3452">
        <w:rPr>
          <w:rFonts w:ascii="Arial" w:hAnsi="Arial" w:cs="Arial"/>
        </w:rPr>
        <w:t>be extended</w:t>
      </w:r>
      <w:r w:rsidR="006112E6" w:rsidRPr="007B3452">
        <w:rPr>
          <w:rFonts w:ascii="Arial" w:hAnsi="Arial" w:cs="Arial"/>
        </w:rPr>
        <w:t xml:space="preserve"> to policies </w:t>
      </w:r>
      <w:r w:rsidRPr="007B3452">
        <w:rPr>
          <w:rFonts w:ascii="Arial" w:hAnsi="Arial" w:cs="Arial"/>
        </w:rPr>
        <w:t>held</w:t>
      </w:r>
      <w:r w:rsidR="006112E6" w:rsidRPr="007B3452">
        <w:rPr>
          <w:rFonts w:ascii="Arial" w:hAnsi="Arial" w:cs="Arial"/>
        </w:rPr>
        <w:t xml:space="preserve"> inside </w:t>
      </w:r>
      <w:r w:rsidRPr="007B3452">
        <w:rPr>
          <w:rFonts w:ascii="Arial" w:hAnsi="Arial" w:cs="Arial"/>
        </w:rPr>
        <w:t xml:space="preserve">of the </w:t>
      </w:r>
      <w:r w:rsidR="006112E6" w:rsidRPr="007B3452">
        <w:rPr>
          <w:rFonts w:ascii="Arial" w:hAnsi="Arial" w:cs="Arial"/>
        </w:rPr>
        <w:t>superannuation</w:t>
      </w:r>
      <w:r w:rsidRPr="007B3452">
        <w:rPr>
          <w:rFonts w:ascii="Arial" w:hAnsi="Arial" w:cs="Arial"/>
        </w:rPr>
        <w:t xml:space="preserve"> system</w:t>
      </w:r>
      <w:r w:rsidR="006112E6" w:rsidRPr="007B3452">
        <w:rPr>
          <w:rFonts w:ascii="Arial" w:hAnsi="Arial" w:cs="Arial"/>
        </w:rPr>
        <w:t>.</w:t>
      </w:r>
    </w:p>
    <w:p w14:paraId="132A9D93" w14:textId="77777777" w:rsidR="00CC4097" w:rsidRPr="007B3452" w:rsidRDefault="00CC4097" w:rsidP="006112E6">
      <w:pPr>
        <w:rPr>
          <w:rFonts w:ascii="Arial" w:hAnsi="Arial" w:cs="Arial"/>
        </w:rPr>
      </w:pPr>
      <w:r w:rsidRPr="007B3452">
        <w:rPr>
          <w:rFonts w:ascii="Arial" w:hAnsi="Arial" w:cs="Arial"/>
        </w:rPr>
        <w:t>This approach would make it much easier for consumers to compare different insurance policies and it would remove the demand for strategies to reduce tax liabilities for insurance held inside the superannuation system.</w:t>
      </w:r>
    </w:p>
    <w:p w14:paraId="64EBCAD8" w14:textId="77777777" w:rsidR="001B337A" w:rsidRPr="007B3452" w:rsidRDefault="001B337A" w:rsidP="000927A9">
      <w:pPr>
        <w:rPr>
          <w:rFonts w:ascii="Arial" w:hAnsi="Arial" w:cs="Arial"/>
        </w:rPr>
      </w:pPr>
    </w:p>
    <w:p w14:paraId="44D1B462" w14:textId="2FDA0ECC" w:rsidR="00C65891" w:rsidRPr="007B3452" w:rsidRDefault="001B337A" w:rsidP="001B337A">
      <w:pPr>
        <w:rPr>
          <w:rFonts w:ascii="Arial" w:hAnsi="Arial" w:cs="Arial"/>
          <w:b/>
        </w:rPr>
      </w:pPr>
      <w:r w:rsidRPr="007B3452">
        <w:rPr>
          <w:rFonts w:ascii="Arial" w:hAnsi="Arial" w:cs="Arial"/>
          <w:b/>
        </w:rPr>
        <w:t>Recommendation</w:t>
      </w:r>
      <w:r w:rsidR="00C65891" w:rsidRPr="007B3452">
        <w:rPr>
          <w:rFonts w:ascii="Arial" w:hAnsi="Arial" w:cs="Arial"/>
          <w:b/>
        </w:rPr>
        <w:t xml:space="preserve"> 1</w:t>
      </w:r>
      <w:r w:rsidR="003D0998" w:rsidRPr="007B3452">
        <w:rPr>
          <w:rFonts w:ascii="Arial" w:hAnsi="Arial" w:cs="Arial"/>
          <w:b/>
        </w:rPr>
        <w:t>4</w:t>
      </w:r>
      <w:r w:rsidRPr="007B3452">
        <w:rPr>
          <w:rFonts w:ascii="Arial" w:hAnsi="Arial" w:cs="Arial"/>
          <w:b/>
        </w:rPr>
        <w:t xml:space="preserve">: </w:t>
      </w:r>
    </w:p>
    <w:p w14:paraId="3C01ED5E" w14:textId="77777777" w:rsidR="001B337A" w:rsidRPr="007B3452" w:rsidRDefault="001B337A" w:rsidP="001B337A">
      <w:pPr>
        <w:rPr>
          <w:rFonts w:ascii="Arial" w:hAnsi="Arial" w:cs="Arial"/>
        </w:rPr>
      </w:pPr>
      <w:r w:rsidRPr="007B3452">
        <w:rPr>
          <w:rFonts w:ascii="Arial" w:hAnsi="Arial" w:cs="Arial"/>
        </w:rPr>
        <w:t>The FPA recommends th</w:t>
      </w:r>
      <w:r w:rsidR="00C65891" w:rsidRPr="007B3452">
        <w:rPr>
          <w:rFonts w:ascii="Arial" w:hAnsi="Arial" w:cs="Arial"/>
        </w:rPr>
        <w:t>e Government remove all tax on all death benefits paid from superannuation regardless of the beneficiary, to mirror arrangements for personally held insurances.</w:t>
      </w:r>
    </w:p>
    <w:p w14:paraId="30FBF9DA" w14:textId="77777777" w:rsidR="00C65891" w:rsidRPr="007B3452" w:rsidRDefault="00C65891" w:rsidP="001B337A">
      <w:pPr>
        <w:rPr>
          <w:rFonts w:ascii="Arial" w:hAnsi="Arial" w:cs="Arial"/>
        </w:rPr>
      </w:pPr>
      <w:r w:rsidRPr="007B3452">
        <w:rPr>
          <w:rFonts w:ascii="Arial" w:hAnsi="Arial" w:cs="Arial"/>
        </w:rPr>
        <w:t>As a minimum, the Government should remove the untaxed element calculations for all death benefits and remove all tax on death benefits paid to adult children.</w:t>
      </w:r>
    </w:p>
    <w:p w14:paraId="4DACFDB5" w14:textId="77777777" w:rsidR="001B337A" w:rsidRPr="007B3452" w:rsidRDefault="001B337A" w:rsidP="000927A9">
      <w:pPr>
        <w:rPr>
          <w:rFonts w:ascii="Arial" w:hAnsi="Arial" w:cs="Arial"/>
        </w:rPr>
      </w:pPr>
      <w:r w:rsidRPr="007B3452">
        <w:rPr>
          <w:rFonts w:ascii="Arial" w:hAnsi="Arial" w:cs="Arial"/>
        </w:rPr>
        <w:t xml:space="preserve">The FPA </w:t>
      </w:r>
      <w:r w:rsidR="00CC4097" w:rsidRPr="007B3452">
        <w:rPr>
          <w:rFonts w:ascii="Arial" w:hAnsi="Arial" w:cs="Arial"/>
        </w:rPr>
        <w:t xml:space="preserve">further </w:t>
      </w:r>
      <w:r w:rsidRPr="007B3452">
        <w:rPr>
          <w:rFonts w:ascii="Arial" w:hAnsi="Arial" w:cs="Arial"/>
        </w:rPr>
        <w:t>recommends th</w:t>
      </w:r>
      <w:r w:rsidR="00013DD7" w:rsidRPr="007B3452">
        <w:rPr>
          <w:rFonts w:ascii="Arial" w:hAnsi="Arial" w:cs="Arial"/>
        </w:rPr>
        <w:t>e Government standardise the definition of beneficiary across the superannuation and taxation regimes to remove inconsistent treatment.</w:t>
      </w:r>
    </w:p>
    <w:p w14:paraId="008DD69C" w14:textId="77777777" w:rsidR="001B337A" w:rsidRPr="007B3452" w:rsidRDefault="001B337A" w:rsidP="000927A9">
      <w:pPr>
        <w:rPr>
          <w:rFonts w:ascii="Arial" w:hAnsi="Arial" w:cs="Arial"/>
        </w:rPr>
      </w:pPr>
    </w:p>
    <w:p w14:paraId="5C6EC795" w14:textId="77777777" w:rsidR="000927A9" w:rsidRPr="007B3452" w:rsidRDefault="000927A9" w:rsidP="000927A9">
      <w:pPr>
        <w:pStyle w:val="Heading2"/>
        <w:rPr>
          <w:rFonts w:ascii="Arial" w:hAnsi="Arial" w:cs="Arial"/>
        </w:rPr>
      </w:pPr>
      <w:bookmarkStart w:id="23" w:name="_Toc535503324"/>
      <w:r w:rsidRPr="007B3452">
        <w:rPr>
          <w:rFonts w:ascii="Arial" w:hAnsi="Arial" w:cs="Arial"/>
        </w:rPr>
        <w:t>Consistency in income testing</w:t>
      </w:r>
      <w:bookmarkEnd w:id="23"/>
    </w:p>
    <w:p w14:paraId="20EB7FB7" w14:textId="77777777" w:rsidR="006A6922" w:rsidRPr="007B3452" w:rsidRDefault="00A27A3E" w:rsidP="00A27A3E">
      <w:pPr>
        <w:rPr>
          <w:rFonts w:ascii="Arial" w:hAnsi="Arial" w:cs="Arial"/>
        </w:rPr>
      </w:pPr>
      <w:r w:rsidRPr="007B3452">
        <w:rPr>
          <w:rFonts w:ascii="Arial" w:hAnsi="Arial" w:cs="Arial"/>
        </w:rPr>
        <w:t xml:space="preserve">Changes to the means testing of account-based pensions made by the </w:t>
      </w:r>
      <w:r w:rsidRPr="007B3452">
        <w:rPr>
          <w:rFonts w:ascii="Arial" w:hAnsi="Arial" w:cs="Arial"/>
          <w:i/>
        </w:rPr>
        <w:t>Social Services and Other Legislation Amendment Act 2013</w:t>
      </w:r>
      <w:r w:rsidRPr="007B3452">
        <w:rPr>
          <w:rFonts w:ascii="Arial" w:hAnsi="Arial" w:cs="Arial"/>
        </w:rPr>
        <w:t xml:space="preserve"> achieve</w:t>
      </w:r>
      <w:r w:rsidR="00A13D9A" w:rsidRPr="007B3452">
        <w:rPr>
          <w:rFonts w:ascii="Arial" w:hAnsi="Arial" w:cs="Arial"/>
        </w:rPr>
        <w:t>d</w:t>
      </w:r>
      <w:r w:rsidRPr="007B3452">
        <w:rPr>
          <w:rFonts w:ascii="Arial" w:hAnsi="Arial" w:cs="Arial"/>
        </w:rPr>
        <w:t xml:space="preserve"> poor outcomes for income supported retirees</w:t>
      </w:r>
      <w:r w:rsidR="006A6922" w:rsidRPr="007B3452">
        <w:rPr>
          <w:rFonts w:ascii="Arial" w:hAnsi="Arial" w:cs="Arial"/>
        </w:rPr>
        <w:t xml:space="preserve"> and act</w:t>
      </w:r>
      <w:r w:rsidR="00A13D9A" w:rsidRPr="007B3452">
        <w:rPr>
          <w:rFonts w:ascii="Arial" w:hAnsi="Arial" w:cs="Arial"/>
        </w:rPr>
        <w:t>ed</w:t>
      </w:r>
      <w:r w:rsidR="006A6922" w:rsidRPr="007B3452">
        <w:rPr>
          <w:rFonts w:ascii="Arial" w:hAnsi="Arial" w:cs="Arial"/>
        </w:rPr>
        <w:t xml:space="preserve"> as a disincentive for individuals to grow their superannuation and self-fund their retirement</w:t>
      </w:r>
      <w:r w:rsidRPr="007B3452">
        <w:rPr>
          <w:rFonts w:ascii="Arial" w:hAnsi="Arial" w:cs="Arial"/>
        </w:rPr>
        <w:t xml:space="preserve">. These changes have been in place since 1 January 2015. </w:t>
      </w:r>
    </w:p>
    <w:p w14:paraId="058F5398" w14:textId="77777777" w:rsidR="006A6922" w:rsidRPr="007B3452" w:rsidRDefault="006A6922" w:rsidP="00A27A3E">
      <w:pPr>
        <w:rPr>
          <w:rFonts w:ascii="Arial" w:hAnsi="Arial" w:cs="Arial"/>
        </w:rPr>
      </w:pPr>
      <w:r w:rsidRPr="007B3452">
        <w:rPr>
          <w:rFonts w:ascii="Arial" w:hAnsi="Arial" w:cs="Arial"/>
        </w:rPr>
        <w:t>The FPA has previously raised this issue in its submission to the Senate Standing Committee on Community Affairs in 2013. In this submission, the FPA noted</w:t>
      </w:r>
      <w:r w:rsidR="006C491A" w:rsidRPr="007B3452">
        <w:rPr>
          <w:rFonts w:ascii="Arial" w:hAnsi="Arial" w:cs="Arial"/>
        </w:rPr>
        <w:t xml:space="preserve"> that a</w:t>
      </w:r>
      <w:r w:rsidRPr="007B3452">
        <w:rPr>
          <w:rFonts w:ascii="Arial" w:hAnsi="Arial" w:cs="Arial"/>
        </w:rPr>
        <w:t>ccount</w:t>
      </w:r>
      <w:r w:rsidR="006C491A" w:rsidRPr="007B3452">
        <w:rPr>
          <w:rFonts w:ascii="Arial" w:hAnsi="Arial" w:cs="Arial"/>
        </w:rPr>
        <w:t>-</w:t>
      </w:r>
      <w:r w:rsidRPr="007B3452">
        <w:rPr>
          <w:rFonts w:ascii="Arial" w:hAnsi="Arial" w:cs="Arial"/>
        </w:rPr>
        <w:t xml:space="preserve">based pensions are highly effective financial products. They are structured in a way that encourages and rewards retirees for withdrawing the minimum allowable from their balance, while still retaining flexibility and control to the beneficiary. With the help of a financial planner, these products can help pensioners minimise reliance on the </w:t>
      </w:r>
      <w:r w:rsidR="00834933" w:rsidRPr="007B3452">
        <w:rPr>
          <w:rFonts w:ascii="Arial" w:hAnsi="Arial" w:cs="Arial"/>
        </w:rPr>
        <w:t>a</w:t>
      </w:r>
      <w:r w:rsidRPr="007B3452">
        <w:rPr>
          <w:rFonts w:ascii="Arial" w:hAnsi="Arial" w:cs="Arial"/>
        </w:rPr>
        <w:t xml:space="preserve">ge </w:t>
      </w:r>
      <w:r w:rsidR="00834933" w:rsidRPr="007B3452">
        <w:rPr>
          <w:rFonts w:ascii="Arial" w:hAnsi="Arial" w:cs="Arial"/>
        </w:rPr>
        <w:t>p</w:t>
      </w:r>
      <w:r w:rsidRPr="007B3452">
        <w:rPr>
          <w:rFonts w:ascii="Arial" w:hAnsi="Arial" w:cs="Arial"/>
        </w:rPr>
        <w:t>ension.</w:t>
      </w:r>
    </w:p>
    <w:p w14:paraId="6686A5F7" w14:textId="77777777" w:rsidR="006A6922" w:rsidRPr="007B3452" w:rsidRDefault="006A6922" w:rsidP="00A27A3E">
      <w:pPr>
        <w:rPr>
          <w:rFonts w:ascii="Arial" w:hAnsi="Arial" w:cs="Arial"/>
        </w:rPr>
      </w:pPr>
      <w:r w:rsidRPr="007B3452">
        <w:rPr>
          <w:rFonts w:ascii="Arial" w:hAnsi="Arial" w:cs="Arial"/>
        </w:rPr>
        <w:t xml:space="preserve">Deeming these pensions to be financial investments under the Social Security Act and financial assets under the Veterans’ Entitlements Act </w:t>
      </w:r>
      <w:r w:rsidR="006C491A" w:rsidRPr="007B3452">
        <w:rPr>
          <w:rFonts w:ascii="Arial" w:hAnsi="Arial" w:cs="Arial"/>
        </w:rPr>
        <w:t>is</w:t>
      </w:r>
      <w:r w:rsidRPr="007B3452">
        <w:rPr>
          <w:rFonts w:ascii="Arial" w:hAnsi="Arial" w:cs="Arial"/>
        </w:rPr>
        <w:t xml:space="preserve"> a disincentive for those approaching retirement from structuring their retirement savings into a prudent, managed stipend. This approach encourage</w:t>
      </w:r>
      <w:r w:rsidR="006C491A" w:rsidRPr="007B3452">
        <w:rPr>
          <w:rFonts w:ascii="Arial" w:hAnsi="Arial" w:cs="Arial"/>
        </w:rPr>
        <w:t>s</w:t>
      </w:r>
      <w:r w:rsidRPr="007B3452">
        <w:rPr>
          <w:rFonts w:ascii="Arial" w:hAnsi="Arial" w:cs="Arial"/>
        </w:rPr>
        <w:t xml:space="preserve"> irresponsible spending, or a deleteriously risk-averse attitude to retirement savings, </w:t>
      </w:r>
      <w:r w:rsidR="00834933" w:rsidRPr="007B3452">
        <w:rPr>
          <w:rFonts w:ascii="Arial" w:hAnsi="Arial" w:cs="Arial"/>
        </w:rPr>
        <w:t xml:space="preserve">which </w:t>
      </w:r>
      <w:r w:rsidRPr="007B3452">
        <w:rPr>
          <w:rFonts w:ascii="Arial" w:hAnsi="Arial" w:cs="Arial"/>
        </w:rPr>
        <w:t xml:space="preserve">in either case </w:t>
      </w:r>
      <w:r w:rsidR="00834933" w:rsidRPr="007B3452">
        <w:rPr>
          <w:rFonts w:ascii="Arial" w:hAnsi="Arial" w:cs="Arial"/>
        </w:rPr>
        <w:t xml:space="preserve">results in </w:t>
      </w:r>
      <w:r w:rsidRPr="007B3452">
        <w:rPr>
          <w:rFonts w:ascii="Arial" w:hAnsi="Arial" w:cs="Arial"/>
        </w:rPr>
        <w:t>retirees continu</w:t>
      </w:r>
      <w:r w:rsidR="00834933" w:rsidRPr="007B3452">
        <w:rPr>
          <w:rFonts w:ascii="Arial" w:hAnsi="Arial" w:cs="Arial"/>
        </w:rPr>
        <w:t xml:space="preserve">ing </w:t>
      </w:r>
      <w:r w:rsidRPr="007B3452">
        <w:rPr>
          <w:rFonts w:ascii="Arial" w:hAnsi="Arial" w:cs="Arial"/>
        </w:rPr>
        <w:t xml:space="preserve">to rely on the </w:t>
      </w:r>
      <w:r w:rsidR="006C491A" w:rsidRPr="007B3452">
        <w:rPr>
          <w:rFonts w:ascii="Arial" w:hAnsi="Arial" w:cs="Arial"/>
        </w:rPr>
        <w:t>a</w:t>
      </w:r>
      <w:r w:rsidRPr="007B3452">
        <w:rPr>
          <w:rFonts w:ascii="Arial" w:hAnsi="Arial" w:cs="Arial"/>
        </w:rPr>
        <w:t xml:space="preserve">ge </w:t>
      </w:r>
      <w:r w:rsidR="006C491A" w:rsidRPr="007B3452">
        <w:rPr>
          <w:rFonts w:ascii="Arial" w:hAnsi="Arial" w:cs="Arial"/>
        </w:rPr>
        <w:t>p</w:t>
      </w:r>
      <w:r w:rsidRPr="007B3452">
        <w:rPr>
          <w:rFonts w:ascii="Arial" w:hAnsi="Arial" w:cs="Arial"/>
        </w:rPr>
        <w:t>ension – perhaps to an even greater extent than they would on an account</w:t>
      </w:r>
      <w:r w:rsidR="006C491A" w:rsidRPr="007B3452">
        <w:rPr>
          <w:rFonts w:ascii="Arial" w:hAnsi="Arial" w:cs="Arial"/>
        </w:rPr>
        <w:t>-</w:t>
      </w:r>
      <w:r w:rsidRPr="007B3452">
        <w:rPr>
          <w:rFonts w:ascii="Arial" w:hAnsi="Arial" w:cs="Arial"/>
        </w:rPr>
        <w:t>based pension.</w:t>
      </w:r>
    </w:p>
    <w:p w14:paraId="5699D3F7" w14:textId="77777777" w:rsidR="00A27A3E" w:rsidRPr="007B3452" w:rsidRDefault="006A6922" w:rsidP="00A27A3E">
      <w:pPr>
        <w:rPr>
          <w:rFonts w:ascii="Arial" w:hAnsi="Arial" w:cs="Arial"/>
        </w:rPr>
      </w:pPr>
      <w:r w:rsidRPr="007B3452">
        <w:rPr>
          <w:rFonts w:ascii="Arial" w:hAnsi="Arial" w:cs="Arial"/>
        </w:rPr>
        <w:lastRenderedPageBreak/>
        <w:t>T</w:t>
      </w:r>
      <w:r w:rsidR="00A27A3E" w:rsidRPr="007B3452">
        <w:rPr>
          <w:rFonts w:ascii="Arial" w:hAnsi="Arial" w:cs="Arial"/>
        </w:rPr>
        <w:t xml:space="preserve">here are </w:t>
      </w:r>
      <w:r w:rsidRPr="007B3452">
        <w:rPr>
          <w:rFonts w:ascii="Arial" w:hAnsi="Arial" w:cs="Arial"/>
        </w:rPr>
        <w:t>alternative</w:t>
      </w:r>
      <w:r w:rsidR="00A27A3E" w:rsidRPr="007B3452">
        <w:rPr>
          <w:rFonts w:ascii="Arial" w:hAnsi="Arial" w:cs="Arial"/>
        </w:rPr>
        <w:t xml:space="preserve"> policy options which could assist the Government make the means testing of social security fairer. These include:</w:t>
      </w:r>
    </w:p>
    <w:p w14:paraId="66657F66" w14:textId="77777777" w:rsidR="006A6922" w:rsidRPr="007B3452" w:rsidRDefault="006A6922" w:rsidP="005D113D">
      <w:pPr>
        <w:pStyle w:val="ListParagraph"/>
        <w:numPr>
          <w:ilvl w:val="0"/>
          <w:numId w:val="1"/>
        </w:numPr>
        <w:ind w:left="714" w:hanging="357"/>
        <w:contextualSpacing w:val="0"/>
        <w:rPr>
          <w:rFonts w:ascii="Arial" w:hAnsi="Arial" w:cs="Arial"/>
        </w:rPr>
      </w:pPr>
      <w:r w:rsidRPr="007B3452">
        <w:rPr>
          <w:rFonts w:ascii="Arial" w:hAnsi="Arial" w:cs="Arial"/>
        </w:rPr>
        <w:t>a</w:t>
      </w:r>
      <w:r w:rsidR="00A27A3E" w:rsidRPr="007B3452">
        <w:rPr>
          <w:rFonts w:ascii="Arial" w:hAnsi="Arial" w:cs="Arial"/>
        </w:rPr>
        <w:t>ddressing the significant difference between the income and asset tests for pensions from annuities, defined benefit pension products, and account</w:t>
      </w:r>
      <w:r w:rsidRPr="007B3452">
        <w:rPr>
          <w:rFonts w:ascii="Arial" w:hAnsi="Arial" w:cs="Arial"/>
        </w:rPr>
        <w:t>-</w:t>
      </w:r>
      <w:r w:rsidR="00A27A3E" w:rsidRPr="007B3452">
        <w:rPr>
          <w:rFonts w:ascii="Arial" w:hAnsi="Arial" w:cs="Arial"/>
        </w:rPr>
        <w:t xml:space="preserve">based pensions which could be brought more into line; </w:t>
      </w:r>
      <w:r w:rsidR="006C491A" w:rsidRPr="007B3452">
        <w:rPr>
          <w:rFonts w:ascii="Arial" w:hAnsi="Arial" w:cs="Arial"/>
        </w:rPr>
        <w:t>or</w:t>
      </w:r>
    </w:p>
    <w:p w14:paraId="385CE30D" w14:textId="77777777" w:rsidR="006A6922" w:rsidRPr="007B3452" w:rsidRDefault="006A6922" w:rsidP="005D113D">
      <w:pPr>
        <w:pStyle w:val="ListParagraph"/>
        <w:numPr>
          <w:ilvl w:val="0"/>
          <w:numId w:val="1"/>
        </w:numPr>
        <w:ind w:left="714" w:hanging="357"/>
        <w:contextualSpacing w:val="0"/>
        <w:rPr>
          <w:rFonts w:ascii="Arial" w:hAnsi="Arial" w:cs="Arial"/>
        </w:rPr>
      </w:pPr>
      <w:r w:rsidRPr="007B3452">
        <w:rPr>
          <w:rFonts w:ascii="Arial" w:hAnsi="Arial" w:cs="Arial"/>
        </w:rPr>
        <w:t>a</w:t>
      </w:r>
      <w:r w:rsidR="00A27A3E" w:rsidRPr="007B3452">
        <w:rPr>
          <w:rFonts w:ascii="Arial" w:hAnsi="Arial" w:cs="Arial"/>
        </w:rPr>
        <w:t xml:space="preserve">ddressing the significant difference between the income and asset tests generally. </w:t>
      </w:r>
    </w:p>
    <w:p w14:paraId="5E7F4476" w14:textId="592ADD34" w:rsidR="00CD6A4E" w:rsidRPr="007B3452" w:rsidRDefault="00A27A3E" w:rsidP="006A6922">
      <w:pPr>
        <w:rPr>
          <w:rFonts w:ascii="Arial" w:hAnsi="Arial" w:cs="Arial"/>
        </w:rPr>
      </w:pPr>
      <w:r w:rsidRPr="007B3452">
        <w:rPr>
          <w:rFonts w:ascii="Arial" w:hAnsi="Arial" w:cs="Arial"/>
        </w:rPr>
        <w:t>Whether an asset is affected by the incomes test (due to deeming) or assets test, the test should give consumers the same age pension assessment outcome.</w:t>
      </w:r>
      <w:r w:rsidR="006C491A" w:rsidRPr="007B3452">
        <w:rPr>
          <w:rFonts w:ascii="Arial" w:hAnsi="Arial" w:cs="Arial"/>
        </w:rPr>
        <w:t xml:space="preserve"> This is not currently the case.</w:t>
      </w:r>
    </w:p>
    <w:p w14:paraId="5C74EF74" w14:textId="59E1EED0" w:rsidR="006E18FD" w:rsidRPr="007B3452" w:rsidRDefault="00DE66AC" w:rsidP="006A6922">
      <w:pPr>
        <w:rPr>
          <w:rFonts w:ascii="Arial" w:hAnsi="Arial" w:cs="Arial"/>
        </w:rPr>
      </w:pPr>
      <w:r w:rsidRPr="007B3452">
        <w:rPr>
          <w:rFonts w:ascii="Arial" w:hAnsi="Arial" w:cs="Arial"/>
        </w:rPr>
        <w:t xml:space="preserve">Further, the 1 January 2015 changes have caused some </w:t>
      </w:r>
      <w:r w:rsidR="007E0064" w:rsidRPr="007B3452">
        <w:rPr>
          <w:rFonts w:ascii="Arial" w:hAnsi="Arial" w:cs="Arial"/>
        </w:rPr>
        <w:t xml:space="preserve">age pension recipients to be locked into </w:t>
      </w:r>
      <w:r w:rsidR="007D1C53" w:rsidRPr="007B3452">
        <w:rPr>
          <w:rFonts w:ascii="Arial" w:hAnsi="Arial" w:cs="Arial"/>
        </w:rPr>
        <w:t xml:space="preserve">underperforming or expensive </w:t>
      </w:r>
      <w:r w:rsidR="007E0064" w:rsidRPr="007B3452">
        <w:rPr>
          <w:rFonts w:ascii="Arial" w:hAnsi="Arial" w:cs="Arial"/>
        </w:rPr>
        <w:t xml:space="preserve">products due to the lack of portability of </w:t>
      </w:r>
      <w:r w:rsidR="0028701C" w:rsidRPr="007B3452">
        <w:rPr>
          <w:rFonts w:ascii="Arial" w:hAnsi="Arial" w:cs="Arial"/>
        </w:rPr>
        <w:t>pre-1 January 2015 income test treatment</w:t>
      </w:r>
      <w:r w:rsidR="007D1C53" w:rsidRPr="007B3452">
        <w:rPr>
          <w:rFonts w:ascii="Arial" w:hAnsi="Arial" w:cs="Arial"/>
        </w:rPr>
        <w:t xml:space="preserve"> which the new rules created</w:t>
      </w:r>
      <w:r w:rsidR="0028701C" w:rsidRPr="007B3452">
        <w:rPr>
          <w:rFonts w:ascii="Arial" w:hAnsi="Arial" w:cs="Arial"/>
        </w:rPr>
        <w:t xml:space="preserve">. </w:t>
      </w:r>
    </w:p>
    <w:p w14:paraId="53723B6E" w14:textId="77777777" w:rsidR="001B337A" w:rsidRPr="007B3452" w:rsidRDefault="001B337A">
      <w:pPr>
        <w:rPr>
          <w:rFonts w:ascii="Arial" w:hAnsi="Arial" w:cs="Arial"/>
        </w:rPr>
      </w:pPr>
    </w:p>
    <w:p w14:paraId="605EDF9F" w14:textId="6C642FF3" w:rsidR="00C65891" w:rsidRPr="007B3452" w:rsidRDefault="001B337A" w:rsidP="001B337A">
      <w:pPr>
        <w:rPr>
          <w:rFonts w:ascii="Arial" w:hAnsi="Arial" w:cs="Arial"/>
          <w:b/>
        </w:rPr>
      </w:pPr>
      <w:r w:rsidRPr="007B3452">
        <w:rPr>
          <w:rFonts w:ascii="Arial" w:hAnsi="Arial" w:cs="Arial"/>
          <w:b/>
        </w:rPr>
        <w:t>Recommendation</w:t>
      </w:r>
      <w:r w:rsidR="00C65891" w:rsidRPr="007B3452">
        <w:rPr>
          <w:rFonts w:ascii="Arial" w:hAnsi="Arial" w:cs="Arial"/>
          <w:b/>
        </w:rPr>
        <w:t xml:space="preserve"> 1</w:t>
      </w:r>
      <w:r w:rsidR="003D0998" w:rsidRPr="007B3452">
        <w:rPr>
          <w:rFonts w:ascii="Arial" w:hAnsi="Arial" w:cs="Arial"/>
          <w:b/>
        </w:rPr>
        <w:t>5</w:t>
      </w:r>
      <w:r w:rsidRPr="007B3452">
        <w:rPr>
          <w:rFonts w:ascii="Arial" w:hAnsi="Arial" w:cs="Arial"/>
          <w:b/>
        </w:rPr>
        <w:t xml:space="preserve">: </w:t>
      </w:r>
    </w:p>
    <w:p w14:paraId="32B5CFD9" w14:textId="77777777" w:rsidR="00A27A3E" w:rsidRPr="007B3452" w:rsidRDefault="001B337A" w:rsidP="005D113D">
      <w:pPr>
        <w:rPr>
          <w:rFonts w:ascii="Arial" w:hAnsi="Arial" w:cs="Arial"/>
        </w:rPr>
      </w:pPr>
      <w:r w:rsidRPr="007B3452">
        <w:rPr>
          <w:rFonts w:ascii="Arial" w:hAnsi="Arial" w:cs="Arial"/>
        </w:rPr>
        <w:t>The FPA recommends th</w:t>
      </w:r>
      <w:r w:rsidR="000C6926" w:rsidRPr="007B3452">
        <w:rPr>
          <w:rFonts w:ascii="Arial" w:hAnsi="Arial" w:cs="Arial"/>
        </w:rPr>
        <w:t>e Government</w:t>
      </w:r>
      <w:r w:rsidR="00A27A3E" w:rsidRPr="007B3452">
        <w:rPr>
          <w:rFonts w:ascii="Arial" w:hAnsi="Arial" w:cs="Arial"/>
        </w:rPr>
        <w:t>:</w:t>
      </w:r>
    </w:p>
    <w:p w14:paraId="03F37FB1" w14:textId="77777777" w:rsidR="001B337A" w:rsidRPr="007B3452" w:rsidRDefault="006A6922" w:rsidP="005D113D">
      <w:pPr>
        <w:pStyle w:val="ListParagraph"/>
        <w:numPr>
          <w:ilvl w:val="0"/>
          <w:numId w:val="1"/>
        </w:numPr>
        <w:contextualSpacing w:val="0"/>
        <w:rPr>
          <w:rFonts w:ascii="Arial" w:hAnsi="Arial" w:cs="Arial"/>
        </w:rPr>
      </w:pPr>
      <w:r w:rsidRPr="007B3452">
        <w:rPr>
          <w:rFonts w:ascii="Arial" w:hAnsi="Arial" w:cs="Arial"/>
        </w:rPr>
        <w:t xml:space="preserve">adopt </w:t>
      </w:r>
      <w:r w:rsidR="000C6926" w:rsidRPr="007B3452">
        <w:rPr>
          <w:rFonts w:ascii="Arial" w:hAnsi="Arial" w:cs="Arial"/>
        </w:rPr>
        <w:t>a consistent income testing assessment across all retirement income stream</w:t>
      </w:r>
      <w:r w:rsidR="00A27A3E" w:rsidRPr="007B3452">
        <w:rPr>
          <w:rFonts w:ascii="Arial" w:hAnsi="Arial" w:cs="Arial"/>
        </w:rPr>
        <w:t>s;</w:t>
      </w:r>
    </w:p>
    <w:p w14:paraId="2F766432" w14:textId="29B4634B" w:rsidR="00A27A3E" w:rsidRPr="007B3452" w:rsidRDefault="006A6922" w:rsidP="005D113D">
      <w:pPr>
        <w:pStyle w:val="ListParagraph"/>
        <w:numPr>
          <w:ilvl w:val="0"/>
          <w:numId w:val="1"/>
        </w:numPr>
        <w:contextualSpacing w:val="0"/>
        <w:rPr>
          <w:rFonts w:ascii="Arial" w:hAnsi="Arial" w:cs="Arial"/>
        </w:rPr>
      </w:pPr>
      <w:r w:rsidRPr="007B3452">
        <w:rPr>
          <w:rFonts w:ascii="Arial" w:hAnsi="Arial" w:cs="Arial"/>
        </w:rPr>
        <w:t xml:space="preserve">ensure </w:t>
      </w:r>
      <w:r w:rsidR="00A27A3E" w:rsidRPr="007B3452">
        <w:rPr>
          <w:rFonts w:ascii="Arial" w:hAnsi="Arial" w:cs="Arial"/>
        </w:rPr>
        <w:t xml:space="preserve">consistent outcomes for income and asset means testing in retirement; </w:t>
      </w:r>
    </w:p>
    <w:p w14:paraId="6BEEA329" w14:textId="3215562A" w:rsidR="00A27A3E" w:rsidRPr="007B3452" w:rsidRDefault="006A6922" w:rsidP="005D113D">
      <w:pPr>
        <w:pStyle w:val="ListParagraph"/>
        <w:numPr>
          <w:ilvl w:val="0"/>
          <w:numId w:val="1"/>
        </w:numPr>
        <w:contextualSpacing w:val="0"/>
        <w:rPr>
          <w:rFonts w:ascii="Arial" w:hAnsi="Arial" w:cs="Arial"/>
        </w:rPr>
      </w:pPr>
      <w:r w:rsidRPr="007B3452">
        <w:rPr>
          <w:rFonts w:ascii="Arial" w:hAnsi="Arial" w:cs="Arial"/>
        </w:rPr>
        <w:t xml:space="preserve">commit to reversing the amendments contained in Schedule 11 of the </w:t>
      </w:r>
      <w:r w:rsidRPr="007B3452">
        <w:rPr>
          <w:rFonts w:ascii="Arial" w:hAnsi="Arial" w:cs="Arial"/>
          <w:i/>
        </w:rPr>
        <w:t>Social Services and Other Legislation Amendment Act 2013</w:t>
      </w:r>
      <w:r w:rsidR="008223AA" w:rsidRPr="007B3452">
        <w:rPr>
          <w:rFonts w:ascii="Arial" w:hAnsi="Arial" w:cs="Arial"/>
        </w:rPr>
        <w:t xml:space="preserve">; </w:t>
      </w:r>
      <w:r w:rsidR="008223AA" w:rsidRPr="007B3452">
        <w:rPr>
          <w:rFonts w:ascii="Arial" w:hAnsi="Arial" w:cs="Arial"/>
        </w:rPr>
        <w:t>and</w:t>
      </w:r>
    </w:p>
    <w:p w14:paraId="779759A7" w14:textId="4720E045" w:rsidR="008223AA" w:rsidRPr="007B3452" w:rsidRDefault="008223AA" w:rsidP="005D113D">
      <w:pPr>
        <w:pStyle w:val="ListParagraph"/>
        <w:numPr>
          <w:ilvl w:val="0"/>
          <w:numId w:val="1"/>
        </w:numPr>
        <w:contextualSpacing w:val="0"/>
        <w:rPr>
          <w:rFonts w:ascii="Arial" w:hAnsi="Arial" w:cs="Arial"/>
        </w:rPr>
      </w:pPr>
      <w:r w:rsidRPr="007B3452">
        <w:rPr>
          <w:rFonts w:ascii="Arial" w:hAnsi="Arial" w:cs="Arial"/>
        </w:rPr>
        <w:t xml:space="preserve">allow portability of pre-1 January 2015 income testing treatment. </w:t>
      </w:r>
    </w:p>
    <w:p w14:paraId="3CF6434C" w14:textId="77777777" w:rsidR="001B5FA6" w:rsidRPr="007B3452" w:rsidRDefault="001B5FA6" w:rsidP="001B5FA6">
      <w:pPr>
        <w:pStyle w:val="Heading2"/>
        <w:rPr>
          <w:rFonts w:ascii="Arial" w:hAnsi="Arial" w:cs="Arial"/>
        </w:rPr>
      </w:pPr>
    </w:p>
    <w:p w14:paraId="4E80878F" w14:textId="77777777" w:rsidR="001B5FA6" w:rsidRPr="007B3452" w:rsidRDefault="001B5FA6" w:rsidP="001B5FA6">
      <w:pPr>
        <w:pStyle w:val="Heading2"/>
        <w:rPr>
          <w:rFonts w:ascii="Arial" w:hAnsi="Arial" w:cs="Arial"/>
        </w:rPr>
      </w:pPr>
      <w:bookmarkStart w:id="24" w:name="_Toc535503325"/>
      <w:r w:rsidRPr="007B3452">
        <w:rPr>
          <w:rFonts w:ascii="Arial" w:hAnsi="Arial" w:cs="Arial"/>
        </w:rPr>
        <w:t>Reporting on the gendered nature of the retirement income gap</w:t>
      </w:r>
      <w:bookmarkEnd w:id="24"/>
    </w:p>
    <w:p w14:paraId="33DD67B2" w14:textId="77777777" w:rsidR="001B5FA6" w:rsidRPr="007B3452" w:rsidRDefault="001B5FA6" w:rsidP="001B5FA6">
      <w:pPr>
        <w:rPr>
          <w:rFonts w:ascii="Arial" w:hAnsi="Arial" w:cs="Arial"/>
        </w:rPr>
      </w:pPr>
      <w:r w:rsidRPr="007B3452">
        <w:rPr>
          <w:rFonts w:ascii="Arial" w:hAnsi="Arial" w:cs="Arial"/>
        </w:rPr>
        <w:t xml:space="preserve">The retirement framework (including the age pension) ought to be conducive to all Australians having a level of income in retirement that is consistent with a dignified retirement.  </w:t>
      </w:r>
    </w:p>
    <w:p w14:paraId="4FDFDCF9" w14:textId="77777777" w:rsidR="001B5FA6" w:rsidRPr="007B3452" w:rsidRDefault="001B5FA6" w:rsidP="001B5FA6">
      <w:pPr>
        <w:rPr>
          <w:rFonts w:ascii="Arial" w:hAnsi="Arial" w:cs="Arial"/>
        </w:rPr>
      </w:pPr>
      <w:r w:rsidRPr="007B3452">
        <w:rPr>
          <w:rFonts w:ascii="Arial" w:hAnsi="Arial" w:cs="Arial"/>
        </w:rPr>
        <w:t>Australian women have a substantially different experience of retirement than Australian men. Women live longer and spend longer in the retirement phase of life. Women also have, on average, lower superannuation balances, and make up most Australians living solely on the age pension. It follows that Australian women have a lower income in retirement than Australian men and are disproportionately affected by poverty in retirement.</w:t>
      </w:r>
    </w:p>
    <w:p w14:paraId="5A2D16F8" w14:textId="77777777" w:rsidR="001B5FA6" w:rsidRPr="007B3452" w:rsidRDefault="001B5FA6" w:rsidP="001B5FA6">
      <w:pPr>
        <w:rPr>
          <w:rFonts w:ascii="Arial" w:hAnsi="Arial" w:cs="Arial"/>
        </w:rPr>
      </w:pPr>
      <w:r w:rsidRPr="007B3452">
        <w:rPr>
          <w:rFonts w:ascii="Arial" w:hAnsi="Arial" w:cs="Arial"/>
        </w:rPr>
        <w:t>It is important that the Government’s decisions about the retirement framework are informed by quality data and insights into the gendered nature of the retirement income gap and seek to address this gap. As a first step, the Government should collect data and report on this issue with a view to developing policy options in the future.</w:t>
      </w:r>
    </w:p>
    <w:p w14:paraId="0ED7121F" w14:textId="77777777" w:rsidR="001B5FA6" w:rsidRPr="007B3452" w:rsidRDefault="001B5FA6" w:rsidP="001B5FA6">
      <w:pPr>
        <w:rPr>
          <w:rFonts w:ascii="Arial" w:hAnsi="Arial" w:cs="Arial"/>
        </w:rPr>
      </w:pPr>
    </w:p>
    <w:p w14:paraId="6BDEE38F" w14:textId="72BD99C7" w:rsidR="001B5FA6" w:rsidRPr="007B3452" w:rsidRDefault="001B5FA6" w:rsidP="001B5FA6">
      <w:pPr>
        <w:rPr>
          <w:rFonts w:ascii="Arial" w:hAnsi="Arial" w:cs="Arial"/>
          <w:b/>
        </w:rPr>
      </w:pPr>
      <w:r w:rsidRPr="007B3452">
        <w:rPr>
          <w:rFonts w:ascii="Arial" w:hAnsi="Arial" w:cs="Arial"/>
          <w:b/>
        </w:rPr>
        <w:t>Recommendation 1</w:t>
      </w:r>
      <w:r w:rsidR="003D0998" w:rsidRPr="007B3452">
        <w:rPr>
          <w:rFonts w:ascii="Arial" w:hAnsi="Arial" w:cs="Arial"/>
          <w:b/>
        </w:rPr>
        <w:t>6</w:t>
      </w:r>
      <w:r w:rsidRPr="007B3452">
        <w:rPr>
          <w:rFonts w:ascii="Arial" w:hAnsi="Arial" w:cs="Arial"/>
          <w:b/>
        </w:rPr>
        <w:t xml:space="preserve">: </w:t>
      </w:r>
    </w:p>
    <w:p w14:paraId="5E9CFE5F" w14:textId="3C85262D" w:rsidR="00153CF6" w:rsidRPr="007B3452" w:rsidRDefault="001B5FA6" w:rsidP="003D0998">
      <w:pPr>
        <w:rPr>
          <w:rFonts w:ascii="Arial" w:hAnsi="Arial" w:cs="Arial"/>
        </w:rPr>
      </w:pPr>
      <w:r w:rsidRPr="007B3452">
        <w:rPr>
          <w:rFonts w:ascii="Arial" w:hAnsi="Arial" w:cs="Arial"/>
        </w:rPr>
        <w:t>The FPA recommends the Government request that the Federal Sex Discrimination Commissioner monitor and report on the gendered nature of the retirement income gap, including sufficiency of the age pension, with a view to providing advice to the Government on how to address the gap.</w:t>
      </w:r>
      <w:bookmarkStart w:id="25" w:name="_GoBack"/>
      <w:bookmarkEnd w:id="25"/>
    </w:p>
    <w:sectPr w:rsidR="00153CF6" w:rsidRPr="007B3452" w:rsidSect="00CE0A43">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26850" w14:textId="77777777" w:rsidR="003544FA" w:rsidRDefault="003544FA" w:rsidP="00CE0A43">
      <w:pPr>
        <w:spacing w:after="0" w:line="240" w:lineRule="auto"/>
      </w:pPr>
      <w:r>
        <w:separator/>
      </w:r>
    </w:p>
  </w:endnote>
  <w:endnote w:type="continuationSeparator" w:id="0">
    <w:p w14:paraId="570AD07B" w14:textId="77777777" w:rsidR="003544FA" w:rsidRDefault="003544FA" w:rsidP="00CE0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altName w:val="Times New Roman"/>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4294835"/>
      <w:docPartObj>
        <w:docPartGallery w:val="Page Numbers (Bottom of Page)"/>
        <w:docPartUnique/>
      </w:docPartObj>
    </w:sdtPr>
    <w:sdtEndPr>
      <w:rPr>
        <w:noProof/>
      </w:rPr>
    </w:sdtEndPr>
    <w:sdtContent>
      <w:p w14:paraId="7B7EB64E" w14:textId="77777777" w:rsidR="006D09FF" w:rsidRDefault="006D09FF" w:rsidP="00CE0A43">
        <w:pPr>
          <w:pStyle w:val="Footer"/>
          <w:jc w:val="right"/>
        </w:pPr>
        <w:r>
          <w:fldChar w:fldCharType="begin"/>
        </w:r>
        <w:r>
          <w:instrText xml:space="preserve"> PAGE   \* MERGEFORMAT </w:instrText>
        </w:r>
        <w:r>
          <w:fldChar w:fldCharType="separate"/>
        </w:r>
        <w:r>
          <w:rPr>
            <w:noProof/>
          </w:rPr>
          <w:t>22</w:t>
        </w:r>
        <w:r>
          <w:rPr>
            <w:noProof/>
          </w:rPr>
          <w:fldChar w:fldCharType="end"/>
        </w:r>
      </w:p>
      <w:p w14:paraId="4724BAC2" w14:textId="77777777" w:rsidR="006D09FF" w:rsidRDefault="006D09FF" w:rsidP="00CE0A43">
        <w:pPr>
          <w:pStyle w:val="Footer"/>
          <w:jc w:val="right"/>
        </w:pPr>
        <w:r>
          <w:t>2019-20 Budget Submission</w:t>
        </w:r>
      </w:p>
      <w:p w14:paraId="671D7805" w14:textId="77777777" w:rsidR="006D09FF" w:rsidRDefault="006D09FF" w:rsidP="00CE0A43">
        <w:pPr>
          <w:pStyle w:val="Footer"/>
          <w:jc w:val="right"/>
        </w:pPr>
        <w:r>
          <w:t>Financial Planning Association of Australia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DB31F" w14:textId="77777777" w:rsidR="003544FA" w:rsidRDefault="003544FA" w:rsidP="00CE0A43">
      <w:pPr>
        <w:spacing w:after="0" w:line="240" w:lineRule="auto"/>
      </w:pPr>
      <w:r>
        <w:separator/>
      </w:r>
    </w:p>
  </w:footnote>
  <w:footnote w:type="continuationSeparator" w:id="0">
    <w:p w14:paraId="000403D5" w14:textId="77777777" w:rsidR="003544FA" w:rsidRDefault="003544FA" w:rsidP="00CE0A43">
      <w:pPr>
        <w:spacing w:after="0" w:line="240" w:lineRule="auto"/>
      </w:pPr>
      <w:r>
        <w:continuationSeparator/>
      </w:r>
    </w:p>
  </w:footnote>
  <w:footnote w:id="1">
    <w:p w14:paraId="0A4E3E19" w14:textId="093B3715" w:rsidR="00CF5C6E" w:rsidRDefault="00CF5C6E">
      <w:pPr>
        <w:pStyle w:val="FootnoteText"/>
      </w:pPr>
      <w:r>
        <w:rPr>
          <w:rStyle w:val="FootnoteReference"/>
        </w:rPr>
        <w:footnoteRef/>
      </w:r>
      <w:r>
        <w:t xml:space="preserve"> </w:t>
      </w:r>
      <w:r w:rsidR="00B36241">
        <w:t xml:space="preserve">Royal Commission into Misconduct </w:t>
      </w:r>
    </w:p>
  </w:footnote>
  <w:footnote w:id="2">
    <w:p w14:paraId="734019BD" w14:textId="71F7ADD3" w:rsidR="008E3CF6" w:rsidRDefault="008E3CF6">
      <w:pPr>
        <w:pStyle w:val="FootnoteText"/>
      </w:pPr>
      <w:r>
        <w:rPr>
          <w:rStyle w:val="FootnoteReference"/>
        </w:rPr>
        <w:footnoteRef/>
      </w:r>
      <w:r>
        <w:t xml:space="preserve"> Investment Trends, ‘FPA Member Satisfaction Report’ (December 2014)</w:t>
      </w:r>
    </w:p>
  </w:footnote>
  <w:footnote w:id="3">
    <w:p w14:paraId="1C321F55" w14:textId="5E563E25" w:rsidR="0026033E" w:rsidRDefault="0026033E">
      <w:pPr>
        <w:pStyle w:val="FootnoteText"/>
      </w:pPr>
      <w:r>
        <w:rPr>
          <w:rStyle w:val="FootnoteReference"/>
        </w:rPr>
        <w:footnoteRef/>
      </w:r>
      <w:r>
        <w:t xml:space="preserve"> </w:t>
      </w:r>
      <w:proofErr w:type="spellStart"/>
      <w:r w:rsidR="00093154">
        <w:t>Sunsuper</w:t>
      </w:r>
      <w:proofErr w:type="spellEnd"/>
      <w:r w:rsidR="00093154">
        <w:t>, 2017 Value of Advice Report (</w:t>
      </w:r>
      <w:r w:rsidR="00566D61">
        <w:t>October 2017)</w:t>
      </w:r>
      <w:r w:rsidR="002E665C">
        <w:t xml:space="preserve">, </w:t>
      </w:r>
      <w:r w:rsidR="00EA2E17">
        <w:t>24-</w:t>
      </w:r>
      <w:r w:rsidR="00996BAD">
        <w:t>26</w:t>
      </w:r>
    </w:p>
  </w:footnote>
  <w:footnote w:id="4">
    <w:p w14:paraId="20CDEFC5" w14:textId="0D3ADA9C" w:rsidR="002325BF" w:rsidRDefault="002325BF">
      <w:pPr>
        <w:pStyle w:val="FootnoteText"/>
      </w:pPr>
      <w:r>
        <w:rPr>
          <w:rStyle w:val="FootnoteReference"/>
        </w:rPr>
        <w:footnoteRef/>
      </w:r>
      <w:r>
        <w:t xml:space="preserve"> Ibid.</w:t>
      </w:r>
      <w:r w:rsidR="00EA2E17">
        <w:t>, 26</w:t>
      </w:r>
    </w:p>
  </w:footnote>
  <w:footnote w:id="5">
    <w:p w14:paraId="7052A2E0" w14:textId="77777777" w:rsidR="006D09FF" w:rsidRPr="00D36073" w:rsidRDefault="006D09FF">
      <w:pPr>
        <w:pStyle w:val="FootnoteText"/>
        <w:rPr>
          <w:rFonts w:asciiTheme="minorHAnsi" w:hAnsiTheme="minorHAnsi"/>
          <w:sz w:val="18"/>
          <w:lang w:val="en-GB"/>
        </w:rPr>
      </w:pPr>
      <w:r w:rsidRPr="00D36073">
        <w:rPr>
          <w:rStyle w:val="FootnoteReference"/>
          <w:rFonts w:asciiTheme="minorHAnsi" w:hAnsiTheme="minorHAnsi"/>
          <w:sz w:val="18"/>
        </w:rPr>
        <w:footnoteRef/>
      </w:r>
      <w:r w:rsidRPr="00D36073">
        <w:rPr>
          <w:rFonts w:asciiTheme="minorHAnsi" w:hAnsiTheme="minorHAnsi"/>
          <w:sz w:val="18"/>
        </w:rPr>
        <w:t xml:space="preserve"> June 2018, </w:t>
      </w:r>
      <w:r w:rsidRPr="00D36073">
        <w:rPr>
          <w:rFonts w:asciiTheme="minorHAnsi" w:hAnsiTheme="minorHAnsi"/>
          <w:sz w:val="18"/>
          <w:lang w:val="en-GB"/>
        </w:rPr>
        <w:t>Competition in the Australian financial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2C8A8" w14:textId="77777777" w:rsidR="006D09FF" w:rsidRDefault="006D09FF">
    <w:pPr>
      <w:pStyle w:val="Header"/>
    </w:pPr>
    <w:r>
      <w:rPr>
        <w:noProof/>
        <w:lang w:eastAsia="en-AU"/>
      </w:rPr>
      <w:drawing>
        <wp:inline distT="0" distB="0" distL="0" distR="0" wp14:anchorId="1533D7BF" wp14:editId="00E87163">
          <wp:extent cx="2217420" cy="935736"/>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PA_LH_logo_HOR_RGB.png"/>
                  <pic:cNvPicPr/>
                </pic:nvPicPr>
                <pic:blipFill>
                  <a:blip r:embed="rId1">
                    <a:extLst>
                      <a:ext uri="{28A0092B-C50C-407E-A947-70E740481C1C}">
                        <a14:useLocalDpi xmlns:a14="http://schemas.microsoft.com/office/drawing/2010/main" val="0"/>
                      </a:ext>
                    </a:extLst>
                  </a:blip>
                  <a:stretch>
                    <a:fillRect/>
                  </a:stretch>
                </pic:blipFill>
                <pic:spPr>
                  <a:xfrm>
                    <a:off x="0" y="0"/>
                    <a:ext cx="2217420" cy="9357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71E52"/>
    <w:multiLevelType w:val="multilevel"/>
    <w:tmpl w:val="CD802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428A3"/>
    <w:multiLevelType w:val="hybridMultilevel"/>
    <w:tmpl w:val="3A8C9B44"/>
    <w:lvl w:ilvl="0" w:tplc="0C09001B">
      <w:start w:val="1"/>
      <w:numFmt w:val="lowerRoman"/>
      <w:lvlText w:val="%1."/>
      <w:lvlJc w:val="righ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11E7782E"/>
    <w:multiLevelType w:val="hybridMultilevel"/>
    <w:tmpl w:val="8604D02C"/>
    <w:lvl w:ilvl="0" w:tplc="D33C6048">
      <w:start w:val="1"/>
      <w:numFmt w:val="bullet"/>
      <w:lvlText w:val=""/>
      <w:lvlJc w:val="left"/>
      <w:pPr>
        <w:tabs>
          <w:tab w:val="num" w:pos="714"/>
        </w:tabs>
        <w:ind w:left="714" w:hanging="357"/>
      </w:pPr>
      <w:rPr>
        <w:rFonts w:ascii="Symbol" w:hAnsi="Symbol" w:hint="default"/>
      </w:rPr>
    </w:lvl>
    <w:lvl w:ilvl="1" w:tplc="0C090003" w:tentative="1">
      <w:start w:val="1"/>
      <w:numFmt w:val="bullet"/>
      <w:lvlText w:val="o"/>
      <w:lvlJc w:val="left"/>
      <w:pPr>
        <w:tabs>
          <w:tab w:val="num" w:pos="1797"/>
        </w:tabs>
        <w:ind w:left="1797" w:hanging="360"/>
      </w:pPr>
      <w:rPr>
        <w:rFonts w:ascii="Courier New" w:hAnsi="Courier New" w:cs="Courier New" w:hint="default"/>
      </w:rPr>
    </w:lvl>
    <w:lvl w:ilvl="2" w:tplc="0C090005" w:tentative="1">
      <w:start w:val="1"/>
      <w:numFmt w:val="bullet"/>
      <w:lvlText w:val=""/>
      <w:lvlJc w:val="left"/>
      <w:pPr>
        <w:tabs>
          <w:tab w:val="num" w:pos="2517"/>
        </w:tabs>
        <w:ind w:left="2517" w:hanging="360"/>
      </w:pPr>
      <w:rPr>
        <w:rFonts w:ascii="Wingdings" w:hAnsi="Wingdings" w:hint="default"/>
      </w:rPr>
    </w:lvl>
    <w:lvl w:ilvl="3" w:tplc="0C090001" w:tentative="1">
      <w:start w:val="1"/>
      <w:numFmt w:val="bullet"/>
      <w:lvlText w:val=""/>
      <w:lvlJc w:val="left"/>
      <w:pPr>
        <w:tabs>
          <w:tab w:val="num" w:pos="3237"/>
        </w:tabs>
        <w:ind w:left="3237" w:hanging="360"/>
      </w:pPr>
      <w:rPr>
        <w:rFonts w:ascii="Symbol" w:hAnsi="Symbol" w:hint="default"/>
      </w:rPr>
    </w:lvl>
    <w:lvl w:ilvl="4" w:tplc="0C090003" w:tentative="1">
      <w:start w:val="1"/>
      <w:numFmt w:val="bullet"/>
      <w:lvlText w:val="o"/>
      <w:lvlJc w:val="left"/>
      <w:pPr>
        <w:tabs>
          <w:tab w:val="num" w:pos="3957"/>
        </w:tabs>
        <w:ind w:left="3957" w:hanging="360"/>
      </w:pPr>
      <w:rPr>
        <w:rFonts w:ascii="Courier New" w:hAnsi="Courier New" w:cs="Courier New" w:hint="default"/>
      </w:rPr>
    </w:lvl>
    <w:lvl w:ilvl="5" w:tplc="0C090005" w:tentative="1">
      <w:start w:val="1"/>
      <w:numFmt w:val="bullet"/>
      <w:lvlText w:val=""/>
      <w:lvlJc w:val="left"/>
      <w:pPr>
        <w:tabs>
          <w:tab w:val="num" w:pos="4677"/>
        </w:tabs>
        <w:ind w:left="4677" w:hanging="360"/>
      </w:pPr>
      <w:rPr>
        <w:rFonts w:ascii="Wingdings" w:hAnsi="Wingdings" w:hint="default"/>
      </w:rPr>
    </w:lvl>
    <w:lvl w:ilvl="6" w:tplc="0C090001" w:tentative="1">
      <w:start w:val="1"/>
      <w:numFmt w:val="bullet"/>
      <w:lvlText w:val=""/>
      <w:lvlJc w:val="left"/>
      <w:pPr>
        <w:tabs>
          <w:tab w:val="num" w:pos="5397"/>
        </w:tabs>
        <w:ind w:left="5397" w:hanging="360"/>
      </w:pPr>
      <w:rPr>
        <w:rFonts w:ascii="Symbol" w:hAnsi="Symbol" w:hint="default"/>
      </w:rPr>
    </w:lvl>
    <w:lvl w:ilvl="7" w:tplc="0C090003" w:tentative="1">
      <w:start w:val="1"/>
      <w:numFmt w:val="bullet"/>
      <w:lvlText w:val="o"/>
      <w:lvlJc w:val="left"/>
      <w:pPr>
        <w:tabs>
          <w:tab w:val="num" w:pos="6117"/>
        </w:tabs>
        <w:ind w:left="6117" w:hanging="360"/>
      </w:pPr>
      <w:rPr>
        <w:rFonts w:ascii="Courier New" w:hAnsi="Courier New" w:cs="Courier New" w:hint="default"/>
      </w:rPr>
    </w:lvl>
    <w:lvl w:ilvl="8" w:tplc="0C090005" w:tentative="1">
      <w:start w:val="1"/>
      <w:numFmt w:val="bullet"/>
      <w:lvlText w:val=""/>
      <w:lvlJc w:val="left"/>
      <w:pPr>
        <w:tabs>
          <w:tab w:val="num" w:pos="6837"/>
        </w:tabs>
        <w:ind w:left="6837" w:hanging="360"/>
      </w:pPr>
      <w:rPr>
        <w:rFonts w:ascii="Wingdings" w:hAnsi="Wingdings" w:hint="default"/>
      </w:rPr>
    </w:lvl>
  </w:abstractNum>
  <w:abstractNum w:abstractNumId="3" w15:restartNumberingAfterBreak="0">
    <w:nsid w:val="1B897AB5"/>
    <w:multiLevelType w:val="hybridMultilevel"/>
    <w:tmpl w:val="75E08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E41AB0"/>
    <w:multiLevelType w:val="hybridMultilevel"/>
    <w:tmpl w:val="A148BC5C"/>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DC34C86"/>
    <w:multiLevelType w:val="hybridMultilevel"/>
    <w:tmpl w:val="3A8C9B44"/>
    <w:lvl w:ilvl="0" w:tplc="0C09001B">
      <w:start w:val="1"/>
      <w:numFmt w:val="lowerRoman"/>
      <w:lvlText w:val="%1."/>
      <w:lvlJc w:val="righ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32162E84"/>
    <w:multiLevelType w:val="hybridMultilevel"/>
    <w:tmpl w:val="8B3E5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0C6491"/>
    <w:multiLevelType w:val="hybridMultilevel"/>
    <w:tmpl w:val="C486E1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9F12AA"/>
    <w:multiLevelType w:val="hybridMultilevel"/>
    <w:tmpl w:val="85EC365C"/>
    <w:lvl w:ilvl="0" w:tplc="0C090017">
      <w:start w:val="1"/>
      <w:numFmt w:val="lowerLetter"/>
      <w:lvlText w:val="%1)"/>
      <w:lvlJc w:val="left"/>
      <w:pPr>
        <w:ind w:left="1080" w:hanging="360"/>
      </w:pPr>
      <w:rPr>
        <w:rFonts w:hint="default"/>
      </w:rPr>
    </w:lvl>
    <w:lvl w:ilvl="1" w:tplc="0C09001B">
      <w:start w:val="1"/>
      <w:numFmt w:val="lowerRoman"/>
      <w:lvlText w:val="%2."/>
      <w:lvlJc w:val="righ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3E093063"/>
    <w:multiLevelType w:val="hybridMultilevel"/>
    <w:tmpl w:val="020855B4"/>
    <w:lvl w:ilvl="0" w:tplc="9E1073E8">
      <w:start w:val="2019"/>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275E49"/>
    <w:multiLevelType w:val="hybridMultilevel"/>
    <w:tmpl w:val="190E71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3106C"/>
    <w:multiLevelType w:val="multilevel"/>
    <w:tmpl w:val="5F1635F2"/>
    <w:lvl w:ilvl="0">
      <w:start w:val="1"/>
      <w:numFmt w:val="decimal"/>
      <w:lvlText w:val="%1"/>
      <w:lvlJc w:val="left"/>
      <w:pPr>
        <w:tabs>
          <w:tab w:val="num" w:pos="624"/>
        </w:tabs>
        <w:ind w:left="624" w:hanging="624"/>
      </w:pPr>
      <w:rPr>
        <w:rFonts w:ascii="Arial Bold" w:hAnsi="Arial Bold" w:hint="default"/>
        <w:b/>
        <w:bCs/>
        <w:i w:val="0"/>
        <w:iCs w:val="0"/>
        <w:color w:val="auto"/>
        <w:sz w:val="26"/>
        <w:szCs w:val="26"/>
      </w:rPr>
    </w:lvl>
    <w:lvl w:ilvl="1">
      <w:start w:val="1"/>
      <w:numFmt w:val="decimal"/>
      <w:lvlText w:val="%1.%2"/>
      <w:lvlJc w:val="left"/>
      <w:pPr>
        <w:tabs>
          <w:tab w:val="num" w:pos="624"/>
        </w:tabs>
        <w:ind w:left="624" w:hanging="624"/>
      </w:pPr>
      <w:rPr>
        <w:rFonts w:ascii="Arial Bold" w:hAnsi="Arial Bold" w:hint="default"/>
        <w:b/>
        <w:bCs/>
        <w:i w:val="0"/>
        <w:iCs w:val="0"/>
        <w:color w:val="auto"/>
      </w:rPr>
    </w:lvl>
    <w:lvl w:ilvl="2">
      <w:start w:val="1"/>
      <w:numFmt w:val="none"/>
      <w:lvlText w:val=""/>
      <w:lvlJc w:val="left"/>
      <w:pPr>
        <w:tabs>
          <w:tab w:val="num" w:pos="624"/>
        </w:tabs>
        <w:ind w:left="624" w:firstLine="0"/>
      </w:pPr>
      <w:rPr>
        <w:rFonts w:ascii="Arial" w:hAnsi="Arial" w:hint="default"/>
        <w:b w:val="0"/>
        <w:bCs w:val="0"/>
        <w:i w:val="0"/>
        <w:iCs w:val="0"/>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9531A78"/>
    <w:multiLevelType w:val="hybridMultilevel"/>
    <w:tmpl w:val="A882FD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5C5D1CB4"/>
    <w:multiLevelType w:val="hybridMultilevel"/>
    <w:tmpl w:val="2FAE7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E74D6C"/>
    <w:multiLevelType w:val="hybridMultilevel"/>
    <w:tmpl w:val="A148BC5C"/>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FDF439D"/>
    <w:multiLevelType w:val="hybridMultilevel"/>
    <w:tmpl w:val="22D0D4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71E402D2"/>
    <w:multiLevelType w:val="hybridMultilevel"/>
    <w:tmpl w:val="FA8A4548"/>
    <w:lvl w:ilvl="0" w:tplc="CD3C039E">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4BD4FB1"/>
    <w:multiLevelType w:val="hybridMultilevel"/>
    <w:tmpl w:val="DE5E38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9"/>
  </w:num>
  <w:num w:numId="2">
    <w:abstractNumId w:val="15"/>
  </w:num>
  <w:num w:numId="3">
    <w:abstractNumId w:val="17"/>
  </w:num>
  <w:num w:numId="4">
    <w:abstractNumId w:val="12"/>
  </w:num>
  <w:num w:numId="5">
    <w:abstractNumId w:val="11"/>
  </w:num>
  <w:num w:numId="6">
    <w:abstractNumId w:val="7"/>
  </w:num>
  <w:num w:numId="7">
    <w:abstractNumId w:val="2"/>
  </w:num>
  <w:num w:numId="8">
    <w:abstractNumId w:val="6"/>
  </w:num>
  <w:num w:numId="9">
    <w:abstractNumId w:val="10"/>
  </w:num>
  <w:num w:numId="10">
    <w:abstractNumId w:val="3"/>
  </w:num>
  <w:num w:numId="11">
    <w:abstractNumId w:val="16"/>
  </w:num>
  <w:num w:numId="12">
    <w:abstractNumId w:val="14"/>
  </w:num>
  <w:num w:numId="13">
    <w:abstractNumId w:val="13"/>
  </w:num>
  <w:num w:numId="14">
    <w:abstractNumId w:val="0"/>
  </w:num>
  <w:num w:numId="15">
    <w:abstractNumId w:val="18"/>
  </w:num>
  <w:num w:numId="16">
    <w:abstractNumId w:val="8"/>
  </w:num>
  <w:num w:numId="17">
    <w:abstractNumId w:val="1"/>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A43"/>
    <w:rsid w:val="00003D57"/>
    <w:rsid w:val="00013DD7"/>
    <w:rsid w:val="000579E6"/>
    <w:rsid w:val="00066A59"/>
    <w:rsid w:val="00076821"/>
    <w:rsid w:val="000927A9"/>
    <w:rsid w:val="00093154"/>
    <w:rsid w:val="000949F8"/>
    <w:rsid w:val="000B30C6"/>
    <w:rsid w:val="000C02F6"/>
    <w:rsid w:val="000C6926"/>
    <w:rsid w:val="001014C5"/>
    <w:rsid w:val="00104CF2"/>
    <w:rsid w:val="00115C3C"/>
    <w:rsid w:val="00125DAF"/>
    <w:rsid w:val="00143A8A"/>
    <w:rsid w:val="00144256"/>
    <w:rsid w:val="00144BEB"/>
    <w:rsid w:val="00145F4B"/>
    <w:rsid w:val="001461BF"/>
    <w:rsid w:val="00153CF6"/>
    <w:rsid w:val="00174749"/>
    <w:rsid w:val="001819D5"/>
    <w:rsid w:val="00181B37"/>
    <w:rsid w:val="00186551"/>
    <w:rsid w:val="001A1FB6"/>
    <w:rsid w:val="001A4948"/>
    <w:rsid w:val="001B337A"/>
    <w:rsid w:val="001B5FA6"/>
    <w:rsid w:val="001C43FB"/>
    <w:rsid w:val="001D55EF"/>
    <w:rsid w:val="001E0433"/>
    <w:rsid w:val="001E3E19"/>
    <w:rsid w:val="00200108"/>
    <w:rsid w:val="002211F7"/>
    <w:rsid w:val="002325BF"/>
    <w:rsid w:val="00234230"/>
    <w:rsid w:val="0023634A"/>
    <w:rsid w:val="0026033E"/>
    <w:rsid w:val="0028701C"/>
    <w:rsid w:val="00295C1D"/>
    <w:rsid w:val="002B4E47"/>
    <w:rsid w:val="002D38C3"/>
    <w:rsid w:val="002E3CFF"/>
    <w:rsid w:val="002E665C"/>
    <w:rsid w:val="003043C0"/>
    <w:rsid w:val="003315FB"/>
    <w:rsid w:val="00342AA7"/>
    <w:rsid w:val="003544FA"/>
    <w:rsid w:val="00371D9E"/>
    <w:rsid w:val="003805AC"/>
    <w:rsid w:val="003877D0"/>
    <w:rsid w:val="003C60A7"/>
    <w:rsid w:val="003D0998"/>
    <w:rsid w:val="003F3564"/>
    <w:rsid w:val="00400EF6"/>
    <w:rsid w:val="00400F89"/>
    <w:rsid w:val="00403D17"/>
    <w:rsid w:val="00441C07"/>
    <w:rsid w:val="004449FF"/>
    <w:rsid w:val="0045785A"/>
    <w:rsid w:val="00474978"/>
    <w:rsid w:val="00476B48"/>
    <w:rsid w:val="0049356A"/>
    <w:rsid w:val="0049743E"/>
    <w:rsid w:val="004C4E97"/>
    <w:rsid w:val="004E5A69"/>
    <w:rsid w:val="00506EBE"/>
    <w:rsid w:val="00507270"/>
    <w:rsid w:val="005163E5"/>
    <w:rsid w:val="005224EB"/>
    <w:rsid w:val="00554EC2"/>
    <w:rsid w:val="0056333E"/>
    <w:rsid w:val="00563598"/>
    <w:rsid w:val="00566D61"/>
    <w:rsid w:val="005714D9"/>
    <w:rsid w:val="00575E77"/>
    <w:rsid w:val="005767E3"/>
    <w:rsid w:val="00581F13"/>
    <w:rsid w:val="005B29AC"/>
    <w:rsid w:val="005B33A6"/>
    <w:rsid w:val="005D113D"/>
    <w:rsid w:val="00606F1B"/>
    <w:rsid w:val="006112E6"/>
    <w:rsid w:val="00621DFF"/>
    <w:rsid w:val="00622329"/>
    <w:rsid w:val="00624345"/>
    <w:rsid w:val="00624B3A"/>
    <w:rsid w:val="006269BA"/>
    <w:rsid w:val="00640B59"/>
    <w:rsid w:val="00654E5C"/>
    <w:rsid w:val="00661544"/>
    <w:rsid w:val="00683B13"/>
    <w:rsid w:val="00686828"/>
    <w:rsid w:val="00687037"/>
    <w:rsid w:val="006A1651"/>
    <w:rsid w:val="006A6922"/>
    <w:rsid w:val="006B0956"/>
    <w:rsid w:val="006B3B8F"/>
    <w:rsid w:val="006C491A"/>
    <w:rsid w:val="006D09FF"/>
    <w:rsid w:val="006E18FD"/>
    <w:rsid w:val="006E6B39"/>
    <w:rsid w:val="006F5DC2"/>
    <w:rsid w:val="007136C5"/>
    <w:rsid w:val="00720783"/>
    <w:rsid w:val="00730C4C"/>
    <w:rsid w:val="00733267"/>
    <w:rsid w:val="00734FA5"/>
    <w:rsid w:val="007443A9"/>
    <w:rsid w:val="0075156B"/>
    <w:rsid w:val="00774053"/>
    <w:rsid w:val="00776D7A"/>
    <w:rsid w:val="007A1283"/>
    <w:rsid w:val="007A2C4B"/>
    <w:rsid w:val="007B3452"/>
    <w:rsid w:val="007C072A"/>
    <w:rsid w:val="007C25C5"/>
    <w:rsid w:val="007C5171"/>
    <w:rsid w:val="007D1C53"/>
    <w:rsid w:val="007D55AE"/>
    <w:rsid w:val="007D798D"/>
    <w:rsid w:val="007E0064"/>
    <w:rsid w:val="007E0B43"/>
    <w:rsid w:val="007E7C32"/>
    <w:rsid w:val="007F3679"/>
    <w:rsid w:val="007F7B94"/>
    <w:rsid w:val="008061C5"/>
    <w:rsid w:val="00820E1B"/>
    <w:rsid w:val="008223AA"/>
    <w:rsid w:val="00834933"/>
    <w:rsid w:val="0084297B"/>
    <w:rsid w:val="00860AB3"/>
    <w:rsid w:val="00870A5D"/>
    <w:rsid w:val="00890316"/>
    <w:rsid w:val="008950B6"/>
    <w:rsid w:val="008A1EF7"/>
    <w:rsid w:val="008A21AE"/>
    <w:rsid w:val="008C28F4"/>
    <w:rsid w:val="008C637B"/>
    <w:rsid w:val="008D333B"/>
    <w:rsid w:val="008D517A"/>
    <w:rsid w:val="008D5F35"/>
    <w:rsid w:val="008D6716"/>
    <w:rsid w:val="008D73FC"/>
    <w:rsid w:val="008E1E10"/>
    <w:rsid w:val="008E3CF6"/>
    <w:rsid w:val="0090148F"/>
    <w:rsid w:val="00911C2C"/>
    <w:rsid w:val="00920B0D"/>
    <w:rsid w:val="00923074"/>
    <w:rsid w:val="00926538"/>
    <w:rsid w:val="00927993"/>
    <w:rsid w:val="00927A9E"/>
    <w:rsid w:val="009304B5"/>
    <w:rsid w:val="009618C2"/>
    <w:rsid w:val="00963312"/>
    <w:rsid w:val="00970E6B"/>
    <w:rsid w:val="009776F4"/>
    <w:rsid w:val="00982AE5"/>
    <w:rsid w:val="00986B7A"/>
    <w:rsid w:val="00996BAD"/>
    <w:rsid w:val="009C7DC7"/>
    <w:rsid w:val="00A1136A"/>
    <w:rsid w:val="00A1275C"/>
    <w:rsid w:val="00A13D9A"/>
    <w:rsid w:val="00A27A3E"/>
    <w:rsid w:val="00A41C62"/>
    <w:rsid w:val="00A82594"/>
    <w:rsid w:val="00A85875"/>
    <w:rsid w:val="00AA60C0"/>
    <w:rsid w:val="00AB1751"/>
    <w:rsid w:val="00AC0597"/>
    <w:rsid w:val="00AC2C1B"/>
    <w:rsid w:val="00B36241"/>
    <w:rsid w:val="00B44C1E"/>
    <w:rsid w:val="00B55410"/>
    <w:rsid w:val="00BA2D85"/>
    <w:rsid w:val="00BA4B05"/>
    <w:rsid w:val="00BA63F3"/>
    <w:rsid w:val="00BD2E3E"/>
    <w:rsid w:val="00C12419"/>
    <w:rsid w:val="00C22879"/>
    <w:rsid w:val="00C30161"/>
    <w:rsid w:val="00C333A4"/>
    <w:rsid w:val="00C3404F"/>
    <w:rsid w:val="00C65891"/>
    <w:rsid w:val="00C95F42"/>
    <w:rsid w:val="00CB2170"/>
    <w:rsid w:val="00CB3824"/>
    <w:rsid w:val="00CC4097"/>
    <w:rsid w:val="00CD6A4E"/>
    <w:rsid w:val="00CE0A43"/>
    <w:rsid w:val="00CE26FD"/>
    <w:rsid w:val="00CF51BD"/>
    <w:rsid w:val="00CF5C6E"/>
    <w:rsid w:val="00D02565"/>
    <w:rsid w:val="00D028FF"/>
    <w:rsid w:val="00D11844"/>
    <w:rsid w:val="00D125B5"/>
    <w:rsid w:val="00D2396E"/>
    <w:rsid w:val="00D268D5"/>
    <w:rsid w:val="00D31C87"/>
    <w:rsid w:val="00D36073"/>
    <w:rsid w:val="00D36E70"/>
    <w:rsid w:val="00D63073"/>
    <w:rsid w:val="00D847D8"/>
    <w:rsid w:val="00D85860"/>
    <w:rsid w:val="00D859BA"/>
    <w:rsid w:val="00D90763"/>
    <w:rsid w:val="00DA5840"/>
    <w:rsid w:val="00DC55C4"/>
    <w:rsid w:val="00DD66B3"/>
    <w:rsid w:val="00DE24F4"/>
    <w:rsid w:val="00DE3CD4"/>
    <w:rsid w:val="00DE66AC"/>
    <w:rsid w:val="00DE75E6"/>
    <w:rsid w:val="00DF363D"/>
    <w:rsid w:val="00E17F11"/>
    <w:rsid w:val="00E33A72"/>
    <w:rsid w:val="00E35091"/>
    <w:rsid w:val="00E35CEC"/>
    <w:rsid w:val="00E643C5"/>
    <w:rsid w:val="00E6615C"/>
    <w:rsid w:val="00E74EC1"/>
    <w:rsid w:val="00E77F77"/>
    <w:rsid w:val="00E97E71"/>
    <w:rsid w:val="00EA2E17"/>
    <w:rsid w:val="00EC7221"/>
    <w:rsid w:val="00ED03AF"/>
    <w:rsid w:val="00ED1D42"/>
    <w:rsid w:val="00EE25C0"/>
    <w:rsid w:val="00F013BB"/>
    <w:rsid w:val="00F019E5"/>
    <w:rsid w:val="00F06171"/>
    <w:rsid w:val="00F255CD"/>
    <w:rsid w:val="00F331B8"/>
    <w:rsid w:val="00F45678"/>
    <w:rsid w:val="00F64C44"/>
    <w:rsid w:val="00FA310A"/>
    <w:rsid w:val="00FC2F04"/>
    <w:rsid w:val="00FD75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E326E"/>
  <w15:chartTrackingRefBased/>
  <w15:docId w15:val="{C015CF3C-DC12-4768-9690-8739064DD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37A"/>
    <w:pPr>
      <w:keepNext/>
      <w:keepLines/>
      <w:spacing w:before="240" w:after="0"/>
      <w:outlineLvl w:val="0"/>
    </w:pPr>
    <w:rPr>
      <w:rFonts w:asciiTheme="majorHAnsi" w:eastAsiaTheme="majorEastAsia" w:hAnsiTheme="majorHAnsi" w:cstheme="majorBidi"/>
      <w:b/>
      <w:color w:val="5BBBB7"/>
      <w:sz w:val="32"/>
      <w:szCs w:val="32"/>
    </w:rPr>
  </w:style>
  <w:style w:type="paragraph" w:styleId="Heading2">
    <w:name w:val="heading 2"/>
    <w:basedOn w:val="Normal"/>
    <w:next w:val="Normal"/>
    <w:link w:val="Heading2Char"/>
    <w:uiPriority w:val="9"/>
    <w:unhideWhenUsed/>
    <w:qFormat/>
    <w:rsid w:val="001B337A"/>
    <w:pPr>
      <w:keepNext/>
      <w:keepLines/>
      <w:spacing w:before="40" w:after="0"/>
      <w:outlineLvl w:val="1"/>
    </w:pPr>
    <w:rPr>
      <w:rFonts w:asciiTheme="majorHAnsi" w:eastAsiaTheme="majorEastAsia" w:hAnsiTheme="majorHAnsi" w:cstheme="majorBidi"/>
      <w:b/>
      <w:color w:val="5BBBB7"/>
      <w:sz w:val="26"/>
      <w:szCs w:val="26"/>
    </w:rPr>
  </w:style>
  <w:style w:type="paragraph" w:styleId="Heading3">
    <w:name w:val="heading 3"/>
    <w:basedOn w:val="Normal"/>
    <w:next w:val="Normal"/>
    <w:link w:val="Heading3Char"/>
    <w:uiPriority w:val="9"/>
    <w:unhideWhenUsed/>
    <w:qFormat/>
    <w:rsid w:val="005767E3"/>
    <w:pPr>
      <w:keepNext/>
      <w:keepLines/>
      <w:spacing w:before="40" w:after="0"/>
      <w:outlineLvl w:val="2"/>
    </w:pPr>
    <w:rPr>
      <w:rFonts w:asciiTheme="majorHAnsi" w:eastAsiaTheme="majorEastAsia" w:hAnsiTheme="majorHAnsi" w:cstheme="majorBidi"/>
      <w:b/>
      <w:color w:val="5BBBB7"/>
      <w:sz w:val="24"/>
      <w:szCs w:val="24"/>
    </w:rPr>
  </w:style>
  <w:style w:type="paragraph" w:styleId="Heading4">
    <w:name w:val="heading 4"/>
    <w:basedOn w:val="Normal"/>
    <w:next w:val="Normal"/>
    <w:link w:val="Heading4Char"/>
    <w:uiPriority w:val="9"/>
    <w:unhideWhenUsed/>
    <w:qFormat/>
    <w:rsid w:val="00400F8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37A"/>
    <w:rPr>
      <w:rFonts w:asciiTheme="majorHAnsi" w:eastAsiaTheme="majorEastAsia" w:hAnsiTheme="majorHAnsi" w:cstheme="majorBidi"/>
      <w:b/>
      <w:color w:val="5BBBB7"/>
      <w:sz w:val="32"/>
      <w:szCs w:val="32"/>
    </w:rPr>
  </w:style>
  <w:style w:type="paragraph" w:styleId="TOCHeading">
    <w:name w:val="TOC Heading"/>
    <w:basedOn w:val="Heading1"/>
    <w:next w:val="Normal"/>
    <w:uiPriority w:val="39"/>
    <w:unhideWhenUsed/>
    <w:qFormat/>
    <w:rsid w:val="00CE0A43"/>
    <w:pPr>
      <w:outlineLvl w:val="9"/>
    </w:pPr>
    <w:rPr>
      <w:lang w:val="en-US"/>
    </w:rPr>
  </w:style>
  <w:style w:type="paragraph" w:styleId="Header">
    <w:name w:val="header"/>
    <w:basedOn w:val="Normal"/>
    <w:link w:val="HeaderChar"/>
    <w:uiPriority w:val="99"/>
    <w:unhideWhenUsed/>
    <w:rsid w:val="00CE0A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A43"/>
  </w:style>
  <w:style w:type="paragraph" w:styleId="Footer">
    <w:name w:val="footer"/>
    <w:basedOn w:val="Normal"/>
    <w:link w:val="FooterChar"/>
    <w:uiPriority w:val="99"/>
    <w:unhideWhenUsed/>
    <w:rsid w:val="00CE0A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A43"/>
  </w:style>
  <w:style w:type="paragraph" w:styleId="TOC1">
    <w:name w:val="toc 1"/>
    <w:basedOn w:val="Normal"/>
    <w:next w:val="Normal"/>
    <w:autoRedefine/>
    <w:uiPriority w:val="39"/>
    <w:unhideWhenUsed/>
    <w:rsid w:val="00CE0A43"/>
    <w:pPr>
      <w:spacing w:after="100"/>
    </w:pPr>
  </w:style>
  <w:style w:type="character" w:styleId="Hyperlink">
    <w:name w:val="Hyperlink"/>
    <w:basedOn w:val="DefaultParagraphFont"/>
    <w:uiPriority w:val="99"/>
    <w:unhideWhenUsed/>
    <w:rsid w:val="00CE0A43"/>
    <w:rPr>
      <w:color w:val="0563C1" w:themeColor="hyperlink"/>
      <w:u w:val="single"/>
    </w:rPr>
  </w:style>
  <w:style w:type="character" w:customStyle="1" w:styleId="Heading2Char">
    <w:name w:val="Heading 2 Char"/>
    <w:basedOn w:val="DefaultParagraphFont"/>
    <w:link w:val="Heading2"/>
    <w:uiPriority w:val="9"/>
    <w:rsid w:val="001B337A"/>
    <w:rPr>
      <w:rFonts w:asciiTheme="majorHAnsi" w:eastAsiaTheme="majorEastAsia" w:hAnsiTheme="majorHAnsi" w:cstheme="majorBidi"/>
      <w:b/>
      <w:color w:val="5BBBB7"/>
      <w:sz w:val="26"/>
      <w:szCs w:val="26"/>
    </w:rPr>
  </w:style>
  <w:style w:type="paragraph" w:styleId="TOC2">
    <w:name w:val="toc 2"/>
    <w:basedOn w:val="Normal"/>
    <w:next w:val="Normal"/>
    <w:autoRedefine/>
    <w:uiPriority w:val="39"/>
    <w:unhideWhenUsed/>
    <w:rsid w:val="00CE0A43"/>
    <w:pPr>
      <w:spacing w:after="100"/>
      <w:ind w:left="220"/>
    </w:pPr>
  </w:style>
  <w:style w:type="character" w:customStyle="1" w:styleId="Heading3Char">
    <w:name w:val="Heading 3 Char"/>
    <w:basedOn w:val="DefaultParagraphFont"/>
    <w:link w:val="Heading3"/>
    <w:uiPriority w:val="9"/>
    <w:rsid w:val="005767E3"/>
    <w:rPr>
      <w:rFonts w:asciiTheme="majorHAnsi" w:eastAsiaTheme="majorEastAsia" w:hAnsiTheme="majorHAnsi" w:cstheme="majorBidi"/>
      <w:b/>
      <w:color w:val="5BBBB7"/>
      <w:sz w:val="24"/>
      <w:szCs w:val="24"/>
    </w:rPr>
  </w:style>
  <w:style w:type="paragraph" w:styleId="TOC3">
    <w:name w:val="toc 3"/>
    <w:basedOn w:val="Normal"/>
    <w:next w:val="Normal"/>
    <w:autoRedefine/>
    <w:uiPriority w:val="39"/>
    <w:unhideWhenUsed/>
    <w:rsid w:val="000927A9"/>
    <w:pPr>
      <w:spacing w:after="100"/>
      <w:ind w:left="440"/>
    </w:pPr>
  </w:style>
  <w:style w:type="character" w:styleId="CommentReference">
    <w:name w:val="annotation reference"/>
    <w:basedOn w:val="DefaultParagraphFont"/>
    <w:uiPriority w:val="99"/>
    <w:semiHidden/>
    <w:unhideWhenUsed/>
    <w:rsid w:val="007E0B43"/>
    <w:rPr>
      <w:sz w:val="16"/>
      <w:szCs w:val="16"/>
    </w:rPr>
  </w:style>
  <w:style w:type="paragraph" w:styleId="CommentText">
    <w:name w:val="annotation text"/>
    <w:basedOn w:val="Normal"/>
    <w:link w:val="CommentTextChar"/>
    <w:uiPriority w:val="99"/>
    <w:semiHidden/>
    <w:unhideWhenUsed/>
    <w:rsid w:val="007E0B43"/>
    <w:pPr>
      <w:spacing w:line="240" w:lineRule="auto"/>
    </w:pPr>
    <w:rPr>
      <w:sz w:val="20"/>
      <w:szCs w:val="20"/>
    </w:rPr>
  </w:style>
  <w:style w:type="character" w:customStyle="1" w:styleId="CommentTextChar">
    <w:name w:val="Comment Text Char"/>
    <w:basedOn w:val="DefaultParagraphFont"/>
    <w:link w:val="CommentText"/>
    <w:uiPriority w:val="99"/>
    <w:semiHidden/>
    <w:rsid w:val="007E0B43"/>
    <w:rPr>
      <w:sz w:val="20"/>
      <w:szCs w:val="20"/>
    </w:rPr>
  </w:style>
  <w:style w:type="paragraph" w:styleId="CommentSubject">
    <w:name w:val="annotation subject"/>
    <w:basedOn w:val="CommentText"/>
    <w:next w:val="CommentText"/>
    <w:link w:val="CommentSubjectChar"/>
    <w:uiPriority w:val="99"/>
    <w:semiHidden/>
    <w:unhideWhenUsed/>
    <w:rsid w:val="007E0B43"/>
    <w:rPr>
      <w:b/>
      <w:bCs/>
    </w:rPr>
  </w:style>
  <w:style w:type="character" w:customStyle="1" w:styleId="CommentSubjectChar">
    <w:name w:val="Comment Subject Char"/>
    <w:basedOn w:val="CommentTextChar"/>
    <w:link w:val="CommentSubject"/>
    <w:uiPriority w:val="99"/>
    <w:semiHidden/>
    <w:rsid w:val="007E0B43"/>
    <w:rPr>
      <w:b/>
      <w:bCs/>
      <w:sz w:val="20"/>
      <w:szCs w:val="20"/>
    </w:rPr>
  </w:style>
  <w:style w:type="paragraph" w:styleId="BalloonText">
    <w:name w:val="Balloon Text"/>
    <w:basedOn w:val="Normal"/>
    <w:link w:val="BalloonTextChar"/>
    <w:uiPriority w:val="99"/>
    <w:semiHidden/>
    <w:unhideWhenUsed/>
    <w:rsid w:val="007E0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B43"/>
    <w:rPr>
      <w:rFonts w:ascii="Segoe UI" w:hAnsi="Segoe UI" w:cs="Segoe UI"/>
      <w:sz w:val="18"/>
      <w:szCs w:val="18"/>
    </w:rPr>
  </w:style>
  <w:style w:type="paragraph" w:styleId="ListParagraph">
    <w:name w:val="List Paragraph"/>
    <w:basedOn w:val="Normal"/>
    <w:uiPriority w:val="34"/>
    <w:qFormat/>
    <w:rsid w:val="00C22879"/>
    <w:pPr>
      <w:ind w:left="720"/>
      <w:contextualSpacing/>
    </w:pPr>
  </w:style>
  <w:style w:type="paragraph" w:styleId="FootnoteText">
    <w:name w:val="footnote text"/>
    <w:basedOn w:val="Normal"/>
    <w:link w:val="FootnoteTextChar"/>
    <w:uiPriority w:val="99"/>
    <w:unhideWhenUsed/>
    <w:rsid w:val="007D798D"/>
    <w:pPr>
      <w:spacing w:after="0" w:line="240" w:lineRule="auto"/>
      <w:jc w:val="both"/>
    </w:pPr>
    <w:rPr>
      <w:rFonts w:ascii="Arial" w:eastAsia="Times New Roman" w:hAnsi="Arial" w:cs="Arial"/>
      <w:sz w:val="20"/>
      <w:szCs w:val="20"/>
    </w:rPr>
  </w:style>
  <w:style w:type="character" w:customStyle="1" w:styleId="FootnoteTextChar">
    <w:name w:val="Footnote Text Char"/>
    <w:basedOn w:val="DefaultParagraphFont"/>
    <w:link w:val="FootnoteText"/>
    <w:uiPriority w:val="99"/>
    <w:rsid w:val="007D798D"/>
    <w:rPr>
      <w:rFonts w:ascii="Arial" w:eastAsia="Times New Roman" w:hAnsi="Arial" w:cs="Arial"/>
      <w:sz w:val="20"/>
      <w:szCs w:val="20"/>
    </w:rPr>
  </w:style>
  <w:style w:type="character" w:styleId="FootnoteReference">
    <w:name w:val="footnote reference"/>
    <w:uiPriority w:val="99"/>
    <w:unhideWhenUsed/>
    <w:rsid w:val="007D798D"/>
    <w:rPr>
      <w:rFonts w:ascii="Times New Roman" w:hAnsi="Times New Roman" w:cs="Times New Roman" w:hint="default"/>
      <w:vertAlign w:val="superscript"/>
    </w:rPr>
  </w:style>
  <w:style w:type="paragraph" w:customStyle="1" w:styleId="ListstyleL1">
    <w:name w:val="List style L1"/>
    <w:next w:val="ListstyleL2"/>
    <w:qFormat/>
    <w:rsid w:val="00D85860"/>
    <w:pPr>
      <w:tabs>
        <w:tab w:val="num" w:pos="624"/>
      </w:tabs>
      <w:spacing w:before="160" w:after="80" w:line="320" w:lineRule="exact"/>
      <w:ind w:left="624" w:hanging="624"/>
    </w:pPr>
    <w:rPr>
      <w:rFonts w:ascii="Arial" w:eastAsiaTheme="minorEastAsia" w:hAnsi="Arial"/>
      <w:b/>
      <w:sz w:val="26"/>
      <w:szCs w:val="26"/>
      <w:lang w:val="en-US"/>
    </w:rPr>
  </w:style>
  <w:style w:type="paragraph" w:customStyle="1" w:styleId="ListstyleL2">
    <w:name w:val="List style L2"/>
    <w:next w:val="ListParagraph"/>
    <w:qFormat/>
    <w:rsid w:val="00D85860"/>
    <w:pPr>
      <w:tabs>
        <w:tab w:val="num" w:pos="624"/>
      </w:tabs>
      <w:spacing w:after="0" w:line="240" w:lineRule="auto"/>
      <w:ind w:left="624" w:hanging="624"/>
    </w:pPr>
    <w:rPr>
      <w:rFonts w:ascii="Arial" w:eastAsiaTheme="minorEastAsia" w:hAnsi="Arial"/>
      <w:b/>
      <w:lang w:val="en-US"/>
    </w:rPr>
  </w:style>
  <w:style w:type="paragraph" w:styleId="PlainText">
    <w:name w:val="Plain Text"/>
    <w:basedOn w:val="Normal"/>
    <w:link w:val="PlainTextChar"/>
    <w:uiPriority w:val="99"/>
    <w:unhideWhenUsed/>
    <w:rsid w:val="007F7B9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F7B94"/>
    <w:rPr>
      <w:rFonts w:ascii="Calibri" w:hAnsi="Calibri"/>
      <w:szCs w:val="21"/>
    </w:rPr>
  </w:style>
  <w:style w:type="character" w:customStyle="1" w:styleId="Heading4Char">
    <w:name w:val="Heading 4 Char"/>
    <w:basedOn w:val="DefaultParagraphFont"/>
    <w:link w:val="Heading4"/>
    <w:uiPriority w:val="9"/>
    <w:rsid w:val="00400F89"/>
    <w:rPr>
      <w:rFonts w:asciiTheme="majorHAnsi" w:eastAsiaTheme="majorEastAsia" w:hAnsiTheme="majorHAnsi" w:cstheme="majorBidi"/>
      <w:i/>
      <w:iCs/>
      <w:color w:val="2F5496" w:themeColor="accent1" w:themeShade="BF"/>
    </w:rPr>
  </w:style>
  <w:style w:type="character" w:styleId="PlaceholderText">
    <w:name w:val="Placeholder Text"/>
    <w:basedOn w:val="DefaultParagraphFont"/>
    <w:uiPriority w:val="99"/>
    <w:semiHidden/>
    <w:rsid w:val="00D2396E"/>
    <w:rPr>
      <w:color w:val="808080"/>
    </w:rPr>
  </w:style>
  <w:style w:type="paragraph" w:customStyle="1" w:styleId="RecTitle">
    <w:name w:val="Rec Title"/>
    <w:basedOn w:val="BodyText"/>
    <w:next w:val="Rec"/>
    <w:qFormat/>
    <w:rsid w:val="000579E6"/>
    <w:pPr>
      <w:keepNext/>
      <w:keepLines/>
      <w:spacing w:before="240" w:after="0" w:line="280" w:lineRule="atLeast"/>
      <w:jc w:val="both"/>
    </w:pPr>
    <w:rPr>
      <w:rFonts w:ascii="Arial" w:eastAsia="Times New Roman" w:hAnsi="Arial" w:cs="Times New Roman"/>
      <w:caps/>
      <w:sz w:val="18"/>
      <w:szCs w:val="20"/>
      <w:lang w:eastAsia="en-AU"/>
    </w:rPr>
  </w:style>
  <w:style w:type="paragraph" w:customStyle="1" w:styleId="Rec">
    <w:name w:val="Rec"/>
    <w:basedOn w:val="BodyText"/>
    <w:qFormat/>
    <w:rsid w:val="000579E6"/>
    <w:pPr>
      <w:keepLines/>
      <w:spacing w:before="120" w:after="0" w:line="280" w:lineRule="atLeast"/>
      <w:jc w:val="both"/>
    </w:pPr>
    <w:rPr>
      <w:rFonts w:ascii="Arial" w:eastAsia="Times New Roman" w:hAnsi="Arial" w:cs="Times New Roman"/>
      <w:szCs w:val="20"/>
      <w:lang w:eastAsia="en-AU"/>
    </w:rPr>
  </w:style>
  <w:style w:type="paragraph" w:styleId="BodyText">
    <w:name w:val="Body Text"/>
    <w:basedOn w:val="Normal"/>
    <w:link w:val="BodyTextChar"/>
    <w:uiPriority w:val="99"/>
    <w:semiHidden/>
    <w:unhideWhenUsed/>
    <w:rsid w:val="000579E6"/>
    <w:pPr>
      <w:spacing w:after="120"/>
    </w:pPr>
  </w:style>
  <w:style w:type="character" w:customStyle="1" w:styleId="BodyTextChar">
    <w:name w:val="Body Text Char"/>
    <w:basedOn w:val="DefaultParagraphFont"/>
    <w:link w:val="BodyText"/>
    <w:uiPriority w:val="99"/>
    <w:semiHidden/>
    <w:rsid w:val="000579E6"/>
  </w:style>
  <w:style w:type="paragraph" w:customStyle="1" w:styleId="BoxSpaceAbove">
    <w:name w:val="Box Space Above"/>
    <w:basedOn w:val="BodyText"/>
    <w:rsid w:val="00153CF6"/>
    <w:pPr>
      <w:keepNext/>
      <w:spacing w:before="360" w:after="0" w:line="80" w:lineRule="exact"/>
    </w:pPr>
    <w:rPr>
      <w:rFonts w:ascii="Times New Roman" w:eastAsia="Times New Roman" w:hAnsi="Times New Roman" w:cs="Times New Roman"/>
      <w:sz w:val="24"/>
      <w:szCs w:val="20"/>
      <w:lang w:eastAsia="en-AU"/>
    </w:rPr>
  </w:style>
  <w:style w:type="paragraph" w:customStyle="1" w:styleId="RecBullet">
    <w:name w:val="Rec Bullet"/>
    <w:basedOn w:val="Rec"/>
    <w:rsid w:val="00153CF6"/>
    <w:pPr>
      <w:numPr>
        <w:numId w:val="15"/>
      </w:numPr>
      <w:spacing w:before="80"/>
    </w:pPr>
  </w:style>
  <w:style w:type="paragraph" w:customStyle="1" w:styleId="BoxSpaceBelow">
    <w:name w:val="Box Space Below"/>
    <w:basedOn w:val="Normal"/>
    <w:rsid w:val="00153CF6"/>
    <w:pPr>
      <w:spacing w:before="60" w:after="60" w:line="80" w:lineRule="exact"/>
      <w:jc w:val="both"/>
    </w:pPr>
    <w:rPr>
      <w:rFonts w:ascii="Arial" w:eastAsia="Times New Roman" w:hAnsi="Arial" w:cs="Times New Roman"/>
      <w:sz w:val="14"/>
      <w:szCs w:val="20"/>
      <w:lang w:eastAsia="en-AU"/>
    </w:rPr>
  </w:style>
  <w:style w:type="paragraph" w:customStyle="1" w:styleId="Space">
    <w:name w:val="Space"/>
    <w:basedOn w:val="Normal"/>
    <w:rsid w:val="00153CF6"/>
    <w:pPr>
      <w:keepNext/>
      <w:spacing w:after="0" w:line="120" w:lineRule="exact"/>
      <w:jc w:val="both"/>
    </w:pPr>
    <w:rPr>
      <w:rFonts w:ascii="Arial" w:eastAsia="Times New Roman" w:hAnsi="Arial"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4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17" Type="http://schemas.openxmlformats.org/officeDocument/2006/relationships/customXml" Target="../customXml/item7.xml"/><Relationship Id="rId2" Type="http://schemas.openxmlformats.org/officeDocument/2006/relationships/numbering" Target="numbering.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927" ma:contentTypeDescription="" ma:contentTypeScope="" ma:versionID="fe07e9850183902da89560eea46850c3">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0f563589-9cf9-4143-b1eb-fb0534803d38">2019MINS-957875958-386</_dlc_DocId>
    <TaxCatchAll xmlns="0f563589-9cf9-4143-b1eb-fb0534803d38">
      <Value>3</Value>
    </TaxCatchAll>
    <_dlc_DocIdUrl xmlns="0f563589-9cf9-4143-b1eb-fb0534803d38">
      <Url>http://tweb/sites/mins/activity/prebudget/_layouts/15/DocIdRedir.aspx?ID=2019MINS-957875958-386</Url>
      <Description>2019MINS-957875958-386</Description>
    </_dlc_DocIdUrl>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documentManagement>
</p:properties>
</file>

<file path=customXml/itemProps1.xml><?xml version="1.0" encoding="utf-8"?>
<ds:datastoreItem xmlns:ds="http://schemas.openxmlformats.org/officeDocument/2006/customXml" ds:itemID="{6CA3FF11-5B94-4E56-A39F-A0402ECC6436}">
  <ds:schemaRefs>
    <ds:schemaRef ds:uri="http://schemas.openxmlformats.org/officeDocument/2006/bibliography"/>
  </ds:schemaRefs>
</ds:datastoreItem>
</file>

<file path=customXml/itemProps2.xml><?xml version="1.0" encoding="utf-8"?>
<ds:datastoreItem xmlns:ds="http://schemas.openxmlformats.org/officeDocument/2006/customXml" ds:itemID="{ACFDB8D8-06EC-4ED5-8B33-900C52C36424}"/>
</file>

<file path=customXml/itemProps3.xml><?xml version="1.0" encoding="utf-8"?>
<ds:datastoreItem xmlns:ds="http://schemas.openxmlformats.org/officeDocument/2006/customXml" ds:itemID="{CF386773-79F0-421F-9B78-E326A453906E}"/>
</file>

<file path=customXml/itemProps4.xml><?xml version="1.0" encoding="utf-8"?>
<ds:datastoreItem xmlns:ds="http://schemas.openxmlformats.org/officeDocument/2006/customXml" ds:itemID="{8920CF35-CEEF-423F-99A4-C2F2D4BD8DEF}"/>
</file>

<file path=customXml/itemProps5.xml><?xml version="1.0" encoding="utf-8"?>
<ds:datastoreItem xmlns:ds="http://schemas.openxmlformats.org/officeDocument/2006/customXml" ds:itemID="{287CA998-F174-4B0D-BBD0-007A41711CCF}"/>
</file>

<file path=customXml/itemProps6.xml><?xml version="1.0" encoding="utf-8"?>
<ds:datastoreItem xmlns:ds="http://schemas.openxmlformats.org/officeDocument/2006/customXml" ds:itemID="{6D7CA605-5E7D-426B-B097-E3368D478EA3}"/>
</file>

<file path=customXml/itemProps7.xml><?xml version="1.0" encoding="utf-8"?>
<ds:datastoreItem xmlns:ds="http://schemas.openxmlformats.org/officeDocument/2006/customXml" ds:itemID="{D16D90AF-96D4-4784-BD4E-C785416EFD7C}"/>
</file>

<file path=docProps/app.xml><?xml version="1.0" encoding="utf-8"?>
<Properties xmlns="http://schemas.openxmlformats.org/officeDocument/2006/extended-properties" xmlns:vt="http://schemas.openxmlformats.org/officeDocument/2006/docPropsVTypes">
  <Template>Normal</Template>
  <TotalTime>100</TotalTime>
  <Pages>25</Pages>
  <Words>8898</Words>
  <Characters>50724</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Hannan</dc:creator>
  <cp:keywords/>
  <dc:description/>
  <cp:lastModifiedBy>Benjamin Marshan</cp:lastModifiedBy>
  <cp:revision>22</cp:revision>
  <cp:lastPrinted>2019-02-01T04:31:00Z</cp:lastPrinted>
  <dcterms:created xsi:type="dcterms:W3CDTF">2019-02-01T02:52:00Z</dcterms:created>
  <dcterms:modified xsi:type="dcterms:W3CDTF">2019-02-01T04:31:00Z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3;#TSY RA-8730 - Retain as national archives|77f958b9-774b-411f-8853-551bb899336c</vt:lpwstr>
  </property>
  <property fmtid="{D5CDD505-2E9C-101B-9397-08002B2CF9AE}" pid="4" name="_dlc_DocIdItemGuid">
    <vt:lpwstr>5b2a8365-46a2-4761-a393-b29052df0e8a</vt:lpwstr>
  </property>
</Properties>
</file>