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C22BE" w14:textId="77777777" w:rsidR="00E91B2E" w:rsidRDefault="00E91B2E" w:rsidP="00E91B2E">
      <w:pPr>
        <w:pStyle w:val="Default"/>
      </w:pPr>
    </w:p>
    <w:p w14:paraId="001D8EF8" w14:textId="77777777" w:rsidR="00E91B2E" w:rsidRDefault="00E91B2E" w:rsidP="00E91B2E">
      <w:pPr>
        <w:pStyle w:val="Default"/>
      </w:pPr>
      <w:r>
        <w:t xml:space="preserve"> </w:t>
      </w:r>
    </w:p>
    <w:p w14:paraId="09027F90" w14:textId="77777777" w:rsidR="00E91B2E" w:rsidRDefault="00E91B2E" w:rsidP="00E91B2E">
      <w:pPr>
        <w:pStyle w:val="ListParagraph"/>
        <w:kinsoku w:val="0"/>
        <w:overflowPunct w:val="0"/>
        <w:ind w:left="1348"/>
        <w:rPr>
          <w:sz w:val="20"/>
          <w:szCs w:val="20"/>
        </w:rPr>
      </w:pPr>
      <w:r>
        <w:rPr>
          <w:noProof/>
          <w:sz w:val="20"/>
          <w:szCs w:val="20"/>
          <w:lang w:eastAsia="en-AU"/>
        </w:rPr>
        <w:drawing>
          <wp:inline distT="0" distB="0" distL="0" distR="0" wp14:anchorId="674D83F5" wp14:editId="23CC44B1">
            <wp:extent cx="364807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1200150"/>
                    </a:xfrm>
                    <a:prstGeom prst="rect">
                      <a:avLst/>
                    </a:prstGeom>
                    <a:noFill/>
                    <a:ln>
                      <a:noFill/>
                    </a:ln>
                  </pic:spPr>
                </pic:pic>
              </a:graphicData>
            </a:graphic>
          </wp:inline>
        </w:drawing>
      </w:r>
    </w:p>
    <w:p w14:paraId="3FE46505" w14:textId="77777777" w:rsidR="00E91B2E" w:rsidRDefault="00E91B2E" w:rsidP="00E91B2E">
      <w:pPr>
        <w:pStyle w:val="Default"/>
      </w:pPr>
    </w:p>
    <w:p w14:paraId="38045164" w14:textId="77777777" w:rsidR="00E91B2E" w:rsidRDefault="00E91B2E" w:rsidP="00E91B2E">
      <w:pPr>
        <w:pStyle w:val="Default"/>
      </w:pPr>
    </w:p>
    <w:p w14:paraId="18B3390E" w14:textId="77777777" w:rsidR="00E91B2E" w:rsidRDefault="00E91B2E" w:rsidP="00E91B2E">
      <w:pPr>
        <w:pStyle w:val="Default"/>
      </w:pPr>
    </w:p>
    <w:p w14:paraId="2EA08BC1" w14:textId="77777777" w:rsidR="00E91B2E" w:rsidRDefault="00E91B2E" w:rsidP="00E91B2E">
      <w:pPr>
        <w:pStyle w:val="Default"/>
      </w:pPr>
    </w:p>
    <w:p w14:paraId="601E3165" w14:textId="77777777" w:rsidR="00E91B2E" w:rsidRDefault="00E91B2E" w:rsidP="00E91B2E">
      <w:pPr>
        <w:pStyle w:val="Default"/>
      </w:pPr>
    </w:p>
    <w:p w14:paraId="0159D812" w14:textId="77777777" w:rsidR="00E91B2E" w:rsidRDefault="00E91B2E" w:rsidP="00E91B2E">
      <w:pPr>
        <w:pStyle w:val="Default"/>
      </w:pPr>
    </w:p>
    <w:p w14:paraId="6EC2DEFD" w14:textId="6F20EF36" w:rsidR="00E91B2E" w:rsidRPr="00A074A0" w:rsidRDefault="00E91B2E" w:rsidP="00E91B2E">
      <w:pPr>
        <w:pStyle w:val="Default"/>
        <w:jc w:val="center"/>
        <w:rPr>
          <w:rFonts w:ascii="Augustus" w:hAnsi="Augustus"/>
          <w:b/>
          <w:bCs/>
          <w:color w:val="00AEAA"/>
          <w:sz w:val="44"/>
          <w:szCs w:val="44"/>
        </w:rPr>
      </w:pPr>
      <w:r w:rsidRPr="00A074A0">
        <w:rPr>
          <w:rFonts w:ascii="Augustus" w:hAnsi="Augustus"/>
          <w:b/>
          <w:bCs/>
          <w:color w:val="00AEAA"/>
          <w:sz w:val="44"/>
          <w:szCs w:val="44"/>
        </w:rPr>
        <w:t>2019-20 Pre-</w:t>
      </w:r>
      <w:r w:rsidR="00A074A0">
        <w:rPr>
          <w:rFonts w:ascii="Augustus" w:hAnsi="Augustus"/>
          <w:b/>
          <w:bCs/>
          <w:color w:val="00AEAA"/>
          <w:sz w:val="44"/>
          <w:szCs w:val="44"/>
        </w:rPr>
        <w:t>b</w:t>
      </w:r>
      <w:r w:rsidRPr="00A074A0">
        <w:rPr>
          <w:rFonts w:ascii="Augustus" w:hAnsi="Augustus"/>
          <w:b/>
          <w:bCs/>
          <w:color w:val="00AEAA"/>
          <w:sz w:val="44"/>
          <w:szCs w:val="44"/>
        </w:rPr>
        <w:t>udget Submission</w:t>
      </w:r>
    </w:p>
    <w:p w14:paraId="44F16F72" w14:textId="77777777" w:rsidR="00E91B2E" w:rsidRDefault="00E91B2E" w:rsidP="00E91B2E">
      <w:pPr>
        <w:pStyle w:val="Default"/>
        <w:jc w:val="center"/>
        <w:rPr>
          <w:sz w:val="96"/>
          <w:szCs w:val="96"/>
        </w:rPr>
      </w:pPr>
    </w:p>
    <w:p w14:paraId="50D05BFB" w14:textId="77777777" w:rsidR="00A074A0" w:rsidRDefault="004406CB" w:rsidP="00A074A0">
      <w:pPr>
        <w:pStyle w:val="Default"/>
        <w:jc w:val="center"/>
        <w:rPr>
          <w:rFonts w:ascii="Augustus" w:hAnsi="Augustus" w:cs="Arial"/>
          <w:sz w:val="32"/>
          <w:szCs w:val="32"/>
        </w:rPr>
      </w:pPr>
      <w:r w:rsidRPr="00A074A0">
        <w:rPr>
          <w:rFonts w:ascii="Augustus" w:hAnsi="Augustus" w:cs="Arial"/>
          <w:sz w:val="32"/>
          <w:szCs w:val="32"/>
        </w:rPr>
        <w:t>Dementia Australia</w:t>
      </w:r>
    </w:p>
    <w:p w14:paraId="7D4D3E34" w14:textId="27577465" w:rsidR="00E91B2E" w:rsidRPr="00A074A0" w:rsidRDefault="00A074A0" w:rsidP="00A074A0">
      <w:pPr>
        <w:pStyle w:val="Default"/>
        <w:jc w:val="center"/>
        <w:rPr>
          <w:rFonts w:ascii="Augustus" w:hAnsi="Augustus" w:cs="Arial"/>
          <w:sz w:val="32"/>
          <w:szCs w:val="32"/>
        </w:rPr>
      </w:pPr>
      <w:r>
        <w:rPr>
          <w:rFonts w:ascii="Augustus" w:hAnsi="Augustus" w:cs="Arial"/>
          <w:sz w:val="32"/>
          <w:szCs w:val="32"/>
        </w:rPr>
        <w:t>Designing a new future</w:t>
      </w:r>
      <w:r w:rsidR="004406CB" w:rsidRPr="00A074A0">
        <w:rPr>
          <w:rFonts w:ascii="Augustus" w:hAnsi="Augustus" w:cs="Arial"/>
          <w:sz w:val="32"/>
          <w:szCs w:val="32"/>
        </w:rPr>
        <w:t xml:space="preserve"> – D</w:t>
      </w:r>
      <w:r w:rsidR="00CB5855" w:rsidRPr="00A074A0">
        <w:rPr>
          <w:rFonts w:ascii="Augustus" w:hAnsi="Augustus" w:cs="Arial"/>
          <w:sz w:val="32"/>
          <w:szCs w:val="32"/>
        </w:rPr>
        <w:t>iagnosis and B</w:t>
      </w:r>
      <w:r w:rsidR="00E91B2E" w:rsidRPr="00A074A0">
        <w:rPr>
          <w:rFonts w:ascii="Augustus" w:hAnsi="Augustus" w:cs="Arial"/>
          <w:sz w:val="32"/>
          <w:szCs w:val="32"/>
        </w:rPr>
        <w:t>eyond</w:t>
      </w:r>
    </w:p>
    <w:p w14:paraId="17585046" w14:textId="77777777" w:rsidR="00A57F36" w:rsidRDefault="00A57F36" w:rsidP="00E91B2E">
      <w:pPr>
        <w:jc w:val="center"/>
        <w:rPr>
          <w:b/>
          <w:bCs/>
          <w:color w:val="00AEAA"/>
          <w:sz w:val="40"/>
          <w:szCs w:val="40"/>
        </w:rPr>
      </w:pPr>
    </w:p>
    <w:p w14:paraId="320C38D0" w14:textId="77777777" w:rsidR="00B740A5" w:rsidRPr="00A074A0" w:rsidRDefault="00E91B2E" w:rsidP="00E91B2E">
      <w:pPr>
        <w:jc w:val="center"/>
        <w:rPr>
          <w:rFonts w:ascii="Arial" w:hAnsi="Arial" w:cs="Arial"/>
          <w:b/>
          <w:bCs/>
          <w:color w:val="00AEAA"/>
          <w:sz w:val="32"/>
          <w:szCs w:val="32"/>
        </w:rPr>
      </w:pPr>
      <w:r w:rsidRPr="00A074A0">
        <w:rPr>
          <w:rFonts w:ascii="Arial" w:hAnsi="Arial" w:cs="Arial"/>
          <w:b/>
          <w:bCs/>
          <w:color w:val="00AEAA"/>
          <w:sz w:val="32"/>
          <w:szCs w:val="32"/>
        </w:rPr>
        <w:t>December 2018</w:t>
      </w:r>
    </w:p>
    <w:p w14:paraId="19EC63EC" w14:textId="77777777" w:rsidR="00A57F36" w:rsidRDefault="00A57F36" w:rsidP="00E91B2E">
      <w:pPr>
        <w:jc w:val="center"/>
        <w:rPr>
          <w:b/>
          <w:bCs/>
          <w:color w:val="00AEAA"/>
          <w:sz w:val="40"/>
          <w:szCs w:val="40"/>
        </w:rPr>
      </w:pPr>
    </w:p>
    <w:p w14:paraId="1CC21ED7" w14:textId="77777777" w:rsidR="00A57F36" w:rsidRDefault="00A57F36" w:rsidP="00E91B2E">
      <w:pPr>
        <w:jc w:val="center"/>
        <w:rPr>
          <w:b/>
          <w:bCs/>
          <w:color w:val="00AEAA"/>
          <w:sz w:val="40"/>
          <w:szCs w:val="40"/>
        </w:rPr>
      </w:pPr>
    </w:p>
    <w:p w14:paraId="5E25EA3B" w14:textId="77777777" w:rsidR="00A57F36" w:rsidRDefault="00A57F36" w:rsidP="00E91B2E">
      <w:pPr>
        <w:jc w:val="center"/>
        <w:rPr>
          <w:b/>
          <w:bCs/>
          <w:color w:val="00AEAA"/>
          <w:sz w:val="40"/>
          <w:szCs w:val="40"/>
        </w:rPr>
      </w:pPr>
    </w:p>
    <w:p w14:paraId="6F97C840" w14:textId="77777777" w:rsidR="00A57F36" w:rsidRDefault="00A57F36" w:rsidP="00E91B2E">
      <w:pPr>
        <w:jc w:val="center"/>
        <w:rPr>
          <w:b/>
          <w:bCs/>
          <w:color w:val="00AEAA"/>
          <w:sz w:val="40"/>
          <w:szCs w:val="40"/>
        </w:rPr>
      </w:pPr>
    </w:p>
    <w:p w14:paraId="2CEA31E4" w14:textId="77777777" w:rsidR="00A57F36" w:rsidRDefault="00A57F36" w:rsidP="00E91B2E">
      <w:pPr>
        <w:jc w:val="center"/>
        <w:rPr>
          <w:b/>
          <w:bCs/>
          <w:color w:val="00AEAA"/>
          <w:sz w:val="40"/>
          <w:szCs w:val="40"/>
        </w:rPr>
      </w:pPr>
    </w:p>
    <w:p w14:paraId="2F88CE5F" w14:textId="77777777" w:rsidR="00A57F36" w:rsidRDefault="00A57F36" w:rsidP="00E91B2E">
      <w:pPr>
        <w:jc w:val="center"/>
        <w:rPr>
          <w:b/>
          <w:bCs/>
          <w:color w:val="00AEAA"/>
          <w:sz w:val="40"/>
          <w:szCs w:val="40"/>
        </w:rPr>
      </w:pPr>
    </w:p>
    <w:p w14:paraId="2E61E47C" w14:textId="77777777" w:rsidR="00A57F36"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40"/>
          <w:szCs w:val="40"/>
        </w:rPr>
      </w:pPr>
    </w:p>
    <w:p w14:paraId="7C8737F1" w14:textId="77777777" w:rsidR="00A57F36"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40"/>
          <w:szCs w:val="40"/>
        </w:rPr>
      </w:pPr>
    </w:p>
    <w:p w14:paraId="6A7A2304" w14:textId="77777777" w:rsidR="00A57F36"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40"/>
          <w:szCs w:val="40"/>
        </w:rPr>
      </w:pPr>
    </w:p>
    <w:p w14:paraId="6A9E4411" w14:textId="77777777" w:rsidR="00A57F36"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40"/>
          <w:szCs w:val="40"/>
        </w:rPr>
      </w:pPr>
    </w:p>
    <w:p w14:paraId="54A6246E" w14:textId="77777777" w:rsidR="00A57F36"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40"/>
          <w:szCs w:val="40"/>
        </w:rPr>
      </w:pPr>
    </w:p>
    <w:p w14:paraId="04D06B27" w14:textId="77777777" w:rsidR="00A57F36" w:rsidRPr="00A074A0" w:rsidRDefault="00A57F36" w:rsidP="00A57F36">
      <w:pPr>
        <w:kinsoku w:val="0"/>
        <w:overflowPunct w:val="0"/>
        <w:autoSpaceDE w:val="0"/>
        <w:autoSpaceDN w:val="0"/>
        <w:adjustRightInd w:val="0"/>
        <w:spacing w:after="0" w:line="415" w:lineRule="exact"/>
        <w:ind w:left="39"/>
        <w:outlineLvl w:val="0"/>
        <w:rPr>
          <w:rFonts w:ascii="Augustus" w:hAnsi="Augustus" w:cs="Arial"/>
          <w:b/>
          <w:bCs/>
          <w:color w:val="00AEAA"/>
          <w:sz w:val="36"/>
          <w:szCs w:val="36"/>
        </w:rPr>
      </w:pPr>
      <w:r w:rsidRPr="00A074A0">
        <w:rPr>
          <w:rFonts w:ascii="Augustus" w:hAnsi="Augustus" w:cs="Arial"/>
          <w:b/>
          <w:bCs/>
          <w:color w:val="00AEAA"/>
          <w:sz w:val="36"/>
          <w:szCs w:val="36"/>
        </w:rPr>
        <w:t>About Dementia Australia</w:t>
      </w:r>
    </w:p>
    <w:p w14:paraId="4AAB6CD1" w14:textId="77777777" w:rsidR="00A57F36" w:rsidRPr="00A074A0" w:rsidRDefault="00A57F36" w:rsidP="00A57F36">
      <w:pPr>
        <w:kinsoku w:val="0"/>
        <w:overflowPunct w:val="0"/>
        <w:autoSpaceDE w:val="0"/>
        <w:autoSpaceDN w:val="0"/>
        <w:adjustRightInd w:val="0"/>
        <w:spacing w:after="0" w:line="415" w:lineRule="exact"/>
        <w:ind w:left="39"/>
        <w:outlineLvl w:val="0"/>
        <w:rPr>
          <w:rFonts w:ascii="Arial" w:hAnsi="Arial" w:cs="Arial"/>
          <w:b/>
          <w:bCs/>
          <w:color w:val="00AEAA"/>
          <w:sz w:val="24"/>
          <w:szCs w:val="24"/>
        </w:rPr>
      </w:pPr>
    </w:p>
    <w:p w14:paraId="2D7A69DD" w14:textId="69B035E2" w:rsidR="00A57F36" w:rsidRPr="00E53F32" w:rsidRDefault="00A57F36" w:rsidP="00A57F36">
      <w:pPr>
        <w:kinsoku w:val="0"/>
        <w:overflowPunct w:val="0"/>
        <w:autoSpaceDE w:val="0"/>
        <w:autoSpaceDN w:val="0"/>
        <w:adjustRightInd w:val="0"/>
        <w:spacing w:before="25" w:after="0" w:line="276" w:lineRule="auto"/>
        <w:ind w:left="162" w:right="224"/>
        <w:jc w:val="both"/>
        <w:rPr>
          <w:rFonts w:ascii="Arial" w:hAnsi="Arial" w:cs="Arial"/>
          <w:sz w:val="24"/>
          <w:szCs w:val="24"/>
        </w:rPr>
      </w:pPr>
      <w:r w:rsidRPr="00E53F32">
        <w:rPr>
          <w:rFonts w:ascii="Arial" w:hAnsi="Arial" w:cs="Arial"/>
          <w:sz w:val="24"/>
          <w:szCs w:val="24"/>
        </w:rPr>
        <w:t xml:space="preserve">Dementia Australia (formerly known as Alzheimer’s Australia) is the peak, non-profit organisation for </w:t>
      </w:r>
      <w:r w:rsidR="00CF4673" w:rsidRPr="00CF4673">
        <w:rPr>
          <w:rFonts w:ascii="Arial" w:hAnsi="Arial" w:cs="Arial"/>
          <w:sz w:val="24"/>
          <w:szCs w:val="24"/>
        </w:rPr>
        <w:t>people of all ages, living with all forms of deme</w:t>
      </w:r>
      <w:r w:rsidR="00CF4673">
        <w:rPr>
          <w:rFonts w:ascii="Arial" w:hAnsi="Arial" w:cs="Arial"/>
          <w:sz w:val="24"/>
          <w:szCs w:val="24"/>
        </w:rPr>
        <w:t>ntia, their families and carers</w:t>
      </w:r>
      <w:r w:rsidR="0087107D" w:rsidRPr="00E53F32">
        <w:rPr>
          <w:rFonts w:ascii="Arial" w:hAnsi="Arial" w:cs="Arial"/>
          <w:sz w:val="24"/>
          <w:szCs w:val="24"/>
        </w:rPr>
        <w:t>. We represent the more than 436</w:t>
      </w:r>
      <w:r w:rsidRPr="00E53F32">
        <w:rPr>
          <w:rFonts w:ascii="Arial" w:hAnsi="Arial" w:cs="Arial"/>
          <w:sz w:val="24"/>
          <w:szCs w:val="24"/>
        </w:rPr>
        <w:t>,000 Australians living wit</w:t>
      </w:r>
      <w:r w:rsidR="0087107D" w:rsidRPr="00E53F32">
        <w:rPr>
          <w:rFonts w:ascii="Arial" w:hAnsi="Arial" w:cs="Arial"/>
          <w:sz w:val="24"/>
          <w:szCs w:val="24"/>
        </w:rPr>
        <w:t>h dementia and the estimated 1.5</w:t>
      </w:r>
      <w:r w:rsidRPr="00E53F32">
        <w:rPr>
          <w:rFonts w:ascii="Arial" w:hAnsi="Arial" w:cs="Arial"/>
          <w:sz w:val="24"/>
          <w:szCs w:val="24"/>
        </w:rPr>
        <w:t xml:space="preserve"> million Australians involved in their care.</w:t>
      </w:r>
    </w:p>
    <w:p w14:paraId="4C3C1841" w14:textId="553FF8D5" w:rsidR="00A57F36" w:rsidRPr="00E53F32" w:rsidRDefault="00A57F36" w:rsidP="00A57F36">
      <w:pPr>
        <w:kinsoku w:val="0"/>
        <w:overflowPunct w:val="0"/>
        <w:autoSpaceDE w:val="0"/>
        <w:autoSpaceDN w:val="0"/>
        <w:adjustRightInd w:val="0"/>
        <w:spacing w:before="160" w:after="0" w:line="276" w:lineRule="auto"/>
        <w:ind w:left="162" w:right="226"/>
        <w:jc w:val="both"/>
        <w:rPr>
          <w:rFonts w:ascii="Arial" w:hAnsi="Arial" w:cs="Arial"/>
          <w:sz w:val="24"/>
          <w:szCs w:val="24"/>
        </w:rPr>
      </w:pPr>
      <w:r w:rsidRPr="00E53F32">
        <w:rPr>
          <w:rFonts w:ascii="Arial" w:hAnsi="Arial" w:cs="Arial"/>
          <w:sz w:val="24"/>
          <w:szCs w:val="24"/>
        </w:rPr>
        <w:t xml:space="preserve">Dementia Australia works with </w:t>
      </w:r>
      <w:r w:rsidR="007E4C7E">
        <w:rPr>
          <w:rFonts w:ascii="Arial" w:hAnsi="Arial" w:cs="Arial"/>
          <w:sz w:val="24"/>
          <w:szCs w:val="24"/>
        </w:rPr>
        <w:t>individuals, families, communities</w:t>
      </w:r>
      <w:r w:rsidRPr="00E53F32">
        <w:rPr>
          <w:rFonts w:ascii="Arial" w:hAnsi="Arial" w:cs="Arial"/>
          <w:sz w:val="24"/>
          <w:szCs w:val="24"/>
        </w:rPr>
        <w:t>, all levels of government, and other key stakeholders to ensure that people with dementia, their families and carers are appropriately supported – at work, at home (including residential aged care) or in their local community.</w:t>
      </w:r>
    </w:p>
    <w:p w14:paraId="387B4EB4" w14:textId="50FC9E1C" w:rsidR="00A57F36" w:rsidRPr="00E53F32" w:rsidRDefault="00A57F36" w:rsidP="00A57F36">
      <w:pPr>
        <w:kinsoku w:val="0"/>
        <w:overflowPunct w:val="0"/>
        <w:autoSpaceDE w:val="0"/>
        <w:autoSpaceDN w:val="0"/>
        <w:adjustRightInd w:val="0"/>
        <w:spacing w:before="159" w:after="0" w:line="276" w:lineRule="auto"/>
        <w:ind w:left="162" w:right="230"/>
        <w:jc w:val="both"/>
        <w:rPr>
          <w:rFonts w:ascii="Arial" w:hAnsi="Arial" w:cs="Arial"/>
          <w:sz w:val="24"/>
          <w:szCs w:val="24"/>
        </w:rPr>
      </w:pPr>
      <w:r w:rsidRPr="00E53F32">
        <w:rPr>
          <w:rFonts w:ascii="Arial" w:hAnsi="Arial" w:cs="Arial"/>
          <w:sz w:val="24"/>
          <w:szCs w:val="24"/>
        </w:rPr>
        <w:t xml:space="preserve">Our close engagement with </w:t>
      </w:r>
      <w:r w:rsidR="007E4C7E">
        <w:rPr>
          <w:rFonts w:ascii="Arial" w:hAnsi="Arial" w:cs="Arial"/>
          <w:sz w:val="24"/>
          <w:szCs w:val="24"/>
        </w:rPr>
        <w:t>people who have a lived experience of dementia</w:t>
      </w:r>
      <w:r w:rsidRPr="00E53F32">
        <w:rPr>
          <w:rFonts w:ascii="Arial" w:hAnsi="Arial" w:cs="Arial"/>
          <w:sz w:val="24"/>
          <w:szCs w:val="24"/>
        </w:rPr>
        <w:t xml:space="preserve"> means that we are an important advocate for those impacted by </w:t>
      </w:r>
      <w:r w:rsidR="007E4C7E">
        <w:rPr>
          <w:rFonts w:ascii="Arial" w:hAnsi="Arial" w:cs="Arial"/>
          <w:sz w:val="24"/>
          <w:szCs w:val="24"/>
        </w:rPr>
        <w:t>the condition</w:t>
      </w:r>
      <w:r w:rsidRPr="00E53F32">
        <w:rPr>
          <w:rFonts w:ascii="Arial" w:hAnsi="Arial" w:cs="Arial"/>
          <w:sz w:val="24"/>
          <w:szCs w:val="24"/>
        </w:rPr>
        <w:t xml:space="preserve"> and we are also well placed to provide input on policy matters, identify service gaps and draw on our expertise to collaborate with a wide range of stakeholders, including researchers, technology experts and providers.</w:t>
      </w:r>
    </w:p>
    <w:p w14:paraId="6D87281A" w14:textId="77777777" w:rsidR="00A57F36" w:rsidRPr="00E53F32" w:rsidRDefault="00A57F36" w:rsidP="00A57F36">
      <w:pPr>
        <w:kinsoku w:val="0"/>
        <w:overflowPunct w:val="0"/>
        <w:autoSpaceDE w:val="0"/>
        <w:autoSpaceDN w:val="0"/>
        <w:adjustRightInd w:val="0"/>
        <w:spacing w:before="159" w:after="0" w:line="273" w:lineRule="auto"/>
        <w:ind w:left="162" w:right="240"/>
        <w:jc w:val="both"/>
        <w:rPr>
          <w:rFonts w:ascii="Arial" w:hAnsi="Arial" w:cs="Arial"/>
          <w:sz w:val="24"/>
          <w:szCs w:val="24"/>
        </w:rPr>
      </w:pPr>
      <w:r w:rsidRPr="00E53F32">
        <w:rPr>
          <w:rFonts w:ascii="Arial" w:hAnsi="Arial" w:cs="Arial"/>
          <w:sz w:val="24"/>
          <w:szCs w:val="24"/>
        </w:rPr>
        <w:t>In addition to advocating for the needs of people living with all types of dementia, and for their families and carers, Dementia Australia provides support services, education and information aimed at addressing the gaps in mainstream services.</w:t>
      </w:r>
    </w:p>
    <w:p w14:paraId="751A700B" w14:textId="77777777" w:rsidR="00A57F36" w:rsidRPr="00E53F32" w:rsidRDefault="00A57F36" w:rsidP="00A57F36">
      <w:pPr>
        <w:kinsoku w:val="0"/>
        <w:overflowPunct w:val="0"/>
        <w:autoSpaceDE w:val="0"/>
        <w:autoSpaceDN w:val="0"/>
        <w:adjustRightInd w:val="0"/>
        <w:spacing w:before="166" w:after="0" w:line="276" w:lineRule="auto"/>
        <w:ind w:left="162" w:right="235"/>
        <w:jc w:val="both"/>
        <w:rPr>
          <w:rFonts w:ascii="Arial" w:hAnsi="Arial" w:cs="Arial"/>
          <w:sz w:val="24"/>
          <w:szCs w:val="24"/>
        </w:rPr>
      </w:pPr>
      <w:r w:rsidRPr="00E53F32">
        <w:rPr>
          <w:rFonts w:ascii="Arial" w:hAnsi="Arial" w:cs="Arial"/>
          <w:sz w:val="24"/>
          <w:szCs w:val="24"/>
        </w:rPr>
        <w:t xml:space="preserve">Dementia Australia is a member </w:t>
      </w:r>
      <w:r w:rsidRPr="00E53F32">
        <w:rPr>
          <w:rFonts w:ascii="Arial" w:hAnsi="Arial" w:cs="Arial"/>
          <w:spacing w:val="-4"/>
          <w:sz w:val="24"/>
          <w:szCs w:val="24"/>
        </w:rPr>
        <w:t>of</w:t>
      </w:r>
      <w:r w:rsidRPr="00E53F32">
        <w:rPr>
          <w:rFonts w:ascii="Arial" w:hAnsi="Arial" w:cs="Arial"/>
          <w:spacing w:val="50"/>
          <w:sz w:val="24"/>
          <w:szCs w:val="24"/>
        </w:rPr>
        <w:t xml:space="preserve"> </w:t>
      </w:r>
      <w:r w:rsidRPr="00E53F32">
        <w:rPr>
          <w:rFonts w:ascii="Arial" w:hAnsi="Arial" w:cs="Arial"/>
          <w:sz w:val="24"/>
          <w:szCs w:val="24"/>
        </w:rPr>
        <w:t>Alzheimer's Disease International, the umbrella organisation of dementia associations around the world.</w:t>
      </w:r>
    </w:p>
    <w:p w14:paraId="124946EB"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20324EA9"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45006018"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r>
        <w:rPr>
          <w:noProof/>
          <w:sz w:val="20"/>
          <w:szCs w:val="20"/>
          <w:lang w:eastAsia="en-AU"/>
        </w:rPr>
        <w:drawing>
          <wp:inline distT="0" distB="0" distL="0" distR="0" wp14:anchorId="6E740959" wp14:editId="74978D5F">
            <wp:extent cx="364807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1200150"/>
                    </a:xfrm>
                    <a:prstGeom prst="rect">
                      <a:avLst/>
                    </a:prstGeom>
                    <a:noFill/>
                    <a:ln>
                      <a:noFill/>
                    </a:ln>
                  </pic:spPr>
                </pic:pic>
              </a:graphicData>
            </a:graphic>
          </wp:inline>
        </w:drawing>
      </w:r>
    </w:p>
    <w:p w14:paraId="3A734320"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72E2E442"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055BBCAE"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2B6206B3"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6AA7D04D"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42EEFA8E"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650EF898" w14:textId="77777777" w:rsidR="00A57F36" w:rsidRDefault="00A57F36" w:rsidP="00A57F36">
      <w:pPr>
        <w:kinsoku w:val="0"/>
        <w:overflowPunct w:val="0"/>
        <w:autoSpaceDE w:val="0"/>
        <w:autoSpaceDN w:val="0"/>
        <w:adjustRightInd w:val="0"/>
        <w:spacing w:after="0" w:line="240" w:lineRule="auto"/>
        <w:rPr>
          <w:rFonts w:ascii="Arial" w:hAnsi="Arial" w:cs="Arial"/>
          <w:sz w:val="24"/>
          <w:szCs w:val="24"/>
        </w:rPr>
      </w:pPr>
    </w:p>
    <w:p w14:paraId="0A63C559" w14:textId="77777777" w:rsidR="00E53F32" w:rsidRDefault="00E53F32" w:rsidP="00A57F36">
      <w:pPr>
        <w:kinsoku w:val="0"/>
        <w:overflowPunct w:val="0"/>
        <w:autoSpaceDE w:val="0"/>
        <w:autoSpaceDN w:val="0"/>
        <w:adjustRightInd w:val="0"/>
        <w:spacing w:after="0" w:line="240" w:lineRule="auto"/>
        <w:rPr>
          <w:rFonts w:ascii="Arial" w:hAnsi="Arial" w:cs="Arial"/>
          <w:sz w:val="24"/>
          <w:szCs w:val="24"/>
        </w:rPr>
      </w:pPr>
    </w:p>
    <w:p w14:paraId="496D0F42" w14:textId="77777777" w:rsidR="00A074A0" w:rsidRDefault="00A074A0">
      <w:pPr>
        <w:rPr>
          <w:rFonts w:ascii="Augustus" w:hAnsi="Augustus" w:cs="Arial"/>
          <w:b/>
          <w:color w:val="19B6BD"/>
          <w:sz w:val="28"/>
          <w:szCs w:val="28"/>
        </w:rPr>
      </w:pPr>
      <w:r>
        <w:rPr>
          <w:rFonts w:ascii="Augustus" w:hAnsi="Augustus" w:cs="Arial"/>
          <w:b/>
          <w:color w:val="19B6BD"/>
          <w:sz w:val="28"/>
          <w:szCs w:val="28"/>
        </w:rPr>
        <w:br w:type="page"/>
      </w:r>
    </w:p>
    <w:p w14:paraId="3096B0EA" w14:textId="536AF605" w:rsidR="00A57F36" w:rsidRPr="001C25FF" w:rsidRDefault="00E30438" w:rsidP="00A57F36">
      <w:pPr>
        <w:kinsoku w:val="0"/>
        <w:overflowPunct w:val="0"/>
        <w:autoSpaceDE w:val="0"/>
        <w:autoSpaceDN w:val="0"/>
        <w:adjustRightInd w:val="0"/>
        <w:spacing w:after="0" w:line="240" w:lineRule="auto"/>
        <w:rPr>
          <w:rFonts w:ascii="Augustus" w:hAnsi="Augustus" w:cs="Arial"/>
          <w:b/>
          <w:color w:val="19B6BD"/>
          <w:sz w:val="28"/>
          <w:szCs w:val="28"/>
        </w:rPr>
      </w:pPr>
      <w:r w:rsidRPr="001C25FF">
        <w:rPr>
          <w:rFonts w:ascii="Augustus" w:hAnsi="Augustus" w:cs="Arial"/>
          <w:b/>
          <w:color w:val="19B6BD"/>
          <w:sz w:val="28"/>
          <w:szCs w:val="28"/>
        </w:rPr>
        <w:lastRenderedPageBreak/>
        <w:t>I</w:t>
      </w:r>
      <w:r w:rsidR="00F72D56" w:rsidRPr="001C25FF">
        <w:rPr>
          <w:rFonts w:ascii="Augustus" w:hAnsi="Augustus" w:cs="Arial"/>
          <w:b/>
          <w:color w:val="19B6BD"/>
          <w:sz w:val="28"/>
          <w:szCs w:val="28"/>
        </w:rPr>
        <w:t>NTRODUCTION</w:t>
      </w:r>
    </w:p>
    <w:p w14:paraId="200DC2B9" w14:textId="77777777" w:rsidR="00524288" w:rsidRDefault="00524288" w:rsidP="00A57F36">
      <w:pPr>
        <w:kinsoku w:val="0"/>
        <w:overflowPunct w:val="0"/>
        <w:autoSpaceDE w:val="0"/>
        <w:autoSpaceDN w:val="0"/>
        <w:adjustRightInd w:val="0"/>
        <w:spacing w:after="0" w:line="240" w:lineRule="auto"/>
        <w:rPr>
          <w:rFonts w:ascii="Arial" w:hAnsi="Arial" w:cs="Arial"/>
          <w:b/>
          <w:sz w:val="24"/>
          <w:szCs w:val="24"/>
        </w:rPr>
      </w:pPr>
    </w:p>
    <w:p w14:paraId="7BD6868F" w14:textId="3EF71B84" w:rsidR="002B22DD" w:rsidRPr="001C25FF" w:rsidRDefault="00524288"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Dementia </w:t>
      </w:r>
      <w:r w:rsidR="00BB7777" w:rsidRPr="001C25FF">
        <w:rPr>
          <w:rFonts w:ascii="Arial" w:hAnsi="Arial" w:cs="Arial"/>
        </w:rPr>
        <w:t>remains</w:t>
      </w:r>
      <w:r w:rsidRPr="001C25FF">
        <w:rPr>
          <w:rFonts w:ascii="Arial" w:hAnsi="Arial" w:cs="Arial"/>
        </w:rPr>
        <w:t xml:space="preserve"> one of the largest health and social challenges facing Australia and the world. It is the leading cause of death of women in Australia, the second leading cause of death in this country and</w:t>
      </w:r>
      <w:r w:rsidR="007E4C7E" w:rsidRPr="001C25FF">
        <w:rPr>
          <w:rFonts w:ascii="Arial" w:hAnsi="Arial" w:cs="Arial"/>
        </w:rPr>
        <w:t xml:space="preserve"> it</w:t>
      </w:r>
      <w:r w:rsidRPr="001C25FF">
        <w:rPr>
          <w:rFonts w:ascii="Arial" w:hAnsi="Arial" w:cs="Arial"/>
        </w:rPr>
        <w:t xml:space="preserve"> is predicted to become the leading cause of death within the next five years</w:t>
      </w:r>
      <w:r w:rsidR="007E4C7E" w:rsidRPr="001C25FF">
        <w:rPr>
          <w:rFonts w:ascii="Arial" w:hAnsi="Arial" w:cs="Arial"/>
        </w:rPr>
        <w:t>.</w:t>
      </w:r>
      <w:r w:rsidRPr="001C25FF">
        <w:rPr>
          <w:rStyle w:val="FootnoteReference"/>
          <w:rFonts w:ascii="Arial" w:hAnsi="Arial" w:cs="Arial"/>
        </w:rPr>
        <w:footnoteReference w:id="1"/>
      </w:r>
      <w:r w:rsidRPr="001C25FF">
        <w:rPr>
          <w:rFonts w:ascii="Arial" w:hAnsi="Arial" w:cs="Arial"/>
        </w:rPr>
        <w:t xml:space="preserve"> Dementia is not a natural part of ageing.</w:t>
      </w:r>
      <w:r w:rsidR="00BB7777" w:rsidRPr="001C25FF">
        <w:rPr>
          <w:rFonts w:ascii="Arial" w:hAnsi="Arial" w:cs="Arial"/>
        </w:rPr>
        <w:t xml:space="preserve"> It is more common in older people but it can affect people in their 40s, 50s and even their 30s.</w:t>
      </w:r>
      <w:r w:rsidRPr="001C25FF">
        <w:rPr>
          <w:rFonts w:ascii="Arial" w:hAnsi="Arial" w:cs="Arial"/>
        </w:rPr>
        <w:t xml:space="preserve"> </w:t>
      </w:r>
    </w:p>
    <w:p w14:paraId="276E6B20" w14:textId="77777777" w:rsidR="002B22DD" w:rsidRPr="001C25FF" w:rsidRDefault="002B22DD" w:rsidP="00363F26">
      <w:pPr>
        <w:kinsoku w:val="0"/>
        <w:overflowPunct w:val="0"/>
        <w:autoSpaceDE w:val="0"/>
        <w:autoSpaceDN w:val="0"/>
        <w:adjustRightInd w:val="0"/>
        <w:spacing w:after="0" w:line="240" w:lineRule="auto"/>
        <w:jc w:val="both"/>
        <w:rPr>
          <w:rFonts w:ascii="Arial" w:hAnsi="Arial" w:cs="Arial"/>
        </w:rPr>
      </w:pPr>
    </w:p>
    <w:p w14:paraId="52107C5F" w14:textId="41F98FDE" w:rsidR="002B22DD" w:rsidRPr="001C25FF" w:rsidRDefault="00BB7777"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In essence, the term describes a disease process that results in progressive cognitive degeneration. </w:t>
      </w:r>
      <w:r w:rsidR="00524288" w:rsidRPr="001C25FF">
        <w:rPr>
          <w:rFonts w:ascii="Arial" w:hAnsi="Arial" w:cs="Arial"/>
        </w:rPr>
        <w:t xml:space="preserve">It is a terminal condition that affects people’s abilities and memories and </w:t>
      </w:r>
      <w:r w:rsidRPr="001C25FF">
        <w:rPr>
          <w:rFonts w:ascii="Arial" w:hAnsi="Arial" w:cs="Arial"/>
        </w:rPr>
        <w:t xml:space="preserve">it </w:t>
      </w:r>
      <w:r w:rsidR="00524288" w:rsidRPr="001C25FF">
        <w:rPr>
          <w:rFonts w:ascii="Arial" w:hAnsi="Arial" w:cs="Arial"/>
        </w:rPr>
        <w:t>has a profound impact on the individual and their loved ones.</w:t>
      </w:r>
      <w:r w:rsidRPr="001C25FF">
        <w:rPr>
          <w:rFonts w:ascii="Arial" w:hAnsi="Arial" w:cs="Arial"/>
        </w:rPr>
        <w:t xml:space="preserve"> The condition can lead to discrimination and </w:t>
      </w:r>
      <w:r w:rsidR="00524288" w:rsidRPr="001C25FF">
        <w:rPr>
          <w:rFonts w:ascii="Arial" w:hAnsi="Arial" w:cs="Arial"/>
        </w:rPr>
        <w:t xml:space="preserve">misunderstanding, </w:t>
      </w:r>
      <w:r w:rsidR="002B22DD" w:rsidRPr="001C25FF">
        <w:rPr>
          <w:rFonts w:ascii="Arial" w:hAnsi="Arial" w:cs="Arial"/>
        </w:rPr>
        <w:t xml:space="preserve">it </w:t>
      </w:r>
      <w:r w:rsidR="00524288" w:rsidRPr="001C25FF">
        <w:rPr>
          <w:rFonts w:ascii="Arial" w:hAnsi="Arial" w:cs="Arial"/>
        </w:rPr>
        <w:t xml:space="preserve">isolates people, their families and carers from social networks, and </w:t>
      </w:r>
      <w:r w:rsidR="002B22DD" w:rsidRPr="001C25FF">
        <w:rPr>
          <w:rFonts w:ascii="Arial" w:hAnsi="Arial" w:cs="Arial"/>
        </w:rPr>
        <w:t xml:space="preserve">it continues to </w:t>
      </w:r>
      <w:r w:rsidR="00524288" w:rsidRPr="001C25FF">
        <w:rPr>
          <w:rFonts w:ascii="Arial" w:hAnsi="Arial" w:cs="Arial"/>
        </w:rPr>
        <w:t>carr</w:t>
      </w:r>
      <w:r w:rsidR="002B22DD" w:rsidRPr="001C25FF">
        <w:rPr>
          <w:rFonts w:ascii="Arial" w:hAnsi="Arial" w:cs="Arial"/>
        </w:rPr>
        <w:t>y</w:t>
      </w:r>
      <w:r w:rsidR="00524288" w:rsidRPr="001C25FF">
        <w:rPr>
          <w:rFonts w:ascii="Arial" w:hAnsi="Arial" w:cs="Arial"/>
        </w:rPr>
        <w:t xml:space="preserve"> significant social and economic consequences. </w:t>
      </w:r>
    </w:p>
    <w:p w14:paraId="18ACBD1E" w14:textId="77777777" w:rsidR="002B22DD" w:rsidRPr="001C25FF" w:rsidRDefault="002B22DD" w:rsidP="00363F26">
      <w:pPr>
        <w:kinsoku w:val="0"/>
        <w:overflowPunct w:val="0"/>
        <w:autoSpaceDE w:val="0"/>
        <w:autoSpaceDN w:val="0"/>
        <w:adjustRightInd w:val="0"/>
        <w:spacing w:after="0" w:line="240" w:lineRule="auto"/>
        <w:jc w:val="both"/>
        <w:rPr>
          <w:rFonts w:ascii="Arial" w:hAnsi="Arial" w:cs="Arial"/>
        </w:rPr>
      </w:pPr>
    </w:p>
    <w:p w14:paraId="4AF3F225" w14:textId="1D072981" w:rsidR="00524288" w:rsidRPr="001C25FF" w:rsidRDefault="00524288"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People living with dementia constitute one of the most vulnerable groups in our society. A wide range of evidence comprehensively demonstrates that the care provided to </w:t>
      </w:r>
      <w:r w:rsidR="00334B4F">
        <w:rPr>
          <w:rFonts w:ascii="Arial" w:hAnsi="Arial" w:cs="Arial"/>
        </w:rPr>
        <w:t>people</w:t>
      </w:r>
      <w:r w:rsidR="00334B4F" w:rsidRPr="001C25FF">
        <w:rPr>
          <w:rFonts w:ascii="Arial" w:hAnsi="Arial" w:cs="Arial"/>
        </w:rPr>
        <w:t xml:space="preserve"> </w:t>
      </w:r>
      <w:r w:rsidRPr="001C25FF">
        <w:rPr>
          <w:rFonts w:ascii="Arial" w:hAnsi="Arial" w:cs="Arial"/>
        </w:rPr>
        <w:t>living with dementia is worse than the care delivered to any other vulnerable group.</w:t>
      </w:r>
    </w:p>
    <w:p w14:paraId="0B9D6576" w14:textId="77777777" w:rsidR="002404E6" w:rsidRPr="001C25FF" w:rsidRDefault="002404E6" w:rsidP="00363F26">
      <w:pPr>
        <w:kinsoku w:val="0"/>
        <w:overflowPunct w:val="0"/>
        <w:autoSpaceDE w:val="0"/>
        <w:autoSpaceDN w:val="0"/>
        <w:adjustRightInd w:val="0"/>
        <w:spacing w:after="0" w:line="240" w:lineRule="auto"/>
        <w:jc w:val="both"/>
        <w:rPr>
          <w:rFonts w:ascii="Arial" w:hAnsi="Arial" w:cs="Arial"/>
        </w:rPr>
      </w:pPr>
    </w:p>
    <w:p w14:paraId="304A288D" w14:textId="77777777" w:rsidR="009A005E" w:rsidRPr="001C25FF" w:rsidRDefault="00524288"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It is estimated that there are more than 436,000 Australi</w:t>
      </w:r>
      <w:r w:rsidR="009A005E" w:rsidRPr="001C25FF">
        <w:rPr>
          <w:rFonts w:ascii="Arial" w:hAnsi="Arial" w:cs="Arial"/>
        </w:rPr>
        <w:t>ans living with dementia and</w:t>
      </w:r>
    </w:p>
    <w:p w14:paraId="2802640B" w14:textId="36D00791" w:rsidR="00524288" w:rsidRPr="001C25FF" w:rsidRDefault="00524288"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1.5 million people involved in their care; by 205</w:t>
      </w:r>
      <w:r w:rsidR="002404E6" w:rsidRPr="001C25FF">
        <w:rPr>
          <w:rFonts w:ascii="Arial" w:hAnsi="Arial" w:cs="Arial"/>
        </w:rPr>
        <w:t>8</w:t>
      </w:r>
      <w:r w:rsidRPr="001C25FF">
        <w:rPr>
          <w:rFonts w:ascii="Arial" w:hAnsi="Arial" w:cs="Arial"/>
        </w:rPr>
        <w:t xml:space="preserve"> </w:t>
      </w:r>
      <w:r w:rsidR="00334B4F">
        <w:rPr>
          <w:rFonts w:ascii="Arial" w:hAnsi="Arial" w:cs="Arial"/>
        </w:rPr>
        <w:t xml:space="preserve">it is estimated </w:t>
      </w:r>
      <w:r w:rsidRPr="001C25FF">
        <w:rPr>
          <w:rFonts w:ascii="Arial" w:hAnsi="Arial" w:cs="Arial"/>
        </w:rPr>
        <w:t xml:space="preserve">there will be </w:t>
      </w:r>
      <w:r w:rsidR="00334B4F">
        <w:rPr>
          <w:rFonts w:ascii="Arial" w:hAnsi="Arial" w:cs="Arial"/>
        </w:rPr>
        <w:t>almost</w:t>
      </w:r>
      <w:r w:rsidR="00334B4F" w:rsidRPr="001C25FF">
        <w:rPr>
          <w:rFonts w:ascii="Arial" w:hAnsi="Arial" w:cs="Arial"/>
        </w:rPr>
        <w:t xml:space="preserve"> </w:t>
      </w:r>
      <w:r w:rsidR="002404E6" w:rsidRPr="001C25FF">
        <w:rPr>
          <w:rFonts w:ascii="Arial" w:hAnsi="Arial" w:cs="Arial"/>
        </w:rPr>
        <w:t xml:space="preserve">1.1 </w:t>
      </w:r>
      <w:r w:rsidRPr="001C25FF">
        <w:rPr>
          <w:rFonts w:ascii="Arial" w:hAnsi="Arial" w:cs="Arial"/>
        </w:rPr>
        <w:t>million people living with dementia. Th</w:t>
      </w:r>
      <w:r w:rsidR="00C94300" w:rsidRPr="001C25FF">
        <w:rPr>
          <w:rFonts w:ascii="Arial" w:hAnsi="Arial" w:cs="Arial"/>
        </w:rPr>
        <w:t xml:space="preserve">ese numbers include </w:t>
      </w:r>
      <w:r w:rsidR="002B22DD" w:rsidRPr="001C25FF">
        <w:rPr>
          <w:rFonts w:ascii="Arial" w:hAnsi="Arial" w:cs="Arial"/>
        </w:rPr>
        <w:t xml:space="preserve">the </w:t>
      </w:r>
      <w:r w:rsidR="00C94300" w:rsidRPr="001C25FF">
        <w:rPr>
          <w:rFonts w:ascii="Arial" w:hAnsi="Arial" w:cs="Arial"/>
        </w:rPr>
        <w:t xml:space="preserve">more than </w:t>
      </w:r>
      <w:r w:rsidR="002B22DD" w:rsidRPr="001C25FF">
        <w:rPr>
          <w:rFonts w:ascii="Arial" w:hAnsi="Arial" w:cs="Arial"/>
        </w:rPr>
        <w:t>27</w:t>
      </w:r>
      <w:r w:rsidRPr="001C25FF">
        <w:rPr>
          <w:rFonts w:ascii="Arial" w:hAnsi="Arial" w:cs="Arial"/>
        </w:rPr>
        <w:t>,000 people with younger onset dementia, that is, dementia that develops before the age of 65</w:t>
      </w:r>
      <w:r w:rsidR="002B22DD" w:rsidRPr="001C25FF">
        <w:rPr>
          <w:rFonts w:ascii="Arial" w:hAnsi="Arial" w:cs="Arial"/>
        </w:rPr>
        <w:t>.</w:t>
      </w:r>
      <w:r w:rsidR="00C94300" w:rsidRPr="001C25FF">
        <w:rPr>
          <w:rStyle w:val="FootnoteReference"/>
          <w:rFonts w:ascii="Arial" w:hAnsi="Arial" w:cs="Arial"/>
        </w:rPr>
        <w:footnoteReference w:id="2"/>
      </w:r>
    </w:p>
    <w:p w14:paraId="7EC4C406" w14:textId="77777777" w:rsidR="009A005E" w:rsidRPr="00524288" w:rsidRDefault="009A005E" w:rsidP="00363F26">
      <w:pPr>
        <w:kinsoku w:val="0"/>
        <w:overflowPunct w:val="0"/>
        <w:autoSpaceDE w:val="0"/>
        <w:autoSpaceDN w:val="0"/>
        <w:adjustRightInd w:val="0"/>
        <w:spacing w:after="0" w:line="240" w:lineRule="auto"/>
        <w:jc w:val="both"/>
        <w:rPr>
          <w:rFonts w:ascii="Arial" w:hAnsi="Arial" w:cs="Arial"/>
          <w:sz w:val="24"/>
          <w:szCs w:val="24"/>
        </w:rPr>
      </w:pPr>
    </w:p>
    <w:p w14:paraId="6EE0C689" w14:textId="77777777" w:rsidR="008D29EF" w:rsidRPr="001C25FF" w:rsidRDefault="008D29EF" w:rsidP="008D29EF">
      <w:pPr>
        <w:kinsoku w:val="0"/>
        <w:overflowPunct w:val="0"/>
        <w:autoSpaceDE w:val="0"/>
        <w:autoSpaceDN w:val="0"/>
        <w:adjustRightInd w:val="0"/>
        <w:spacing w:after="0" w:line="240" w:lineRule="auto"/>
        <w:jc w:val="both"/>
        <w:rPr>
          <w:rFonts w:ascii="Augustus" w:hAnsi="Augustus" w:cs="Arial"/>
          <w:sz w:val="24"/>
          <w:szCs w:val="24"/>
        </w:rPr>
      </w:pPr>
      <w:r w:rsidRPr="001C25FF">
        <w:rPr>
          <w:rFonts w:ascii="Augustus" w:hAnsi="Augustus" w:cs="Arial"/>
          <w:b/>
          <w:bCs/>
          <w:sz w:val="24"/>
          <w:szCs w:val="24"/>
        </w:rPr>
        <w:t xml:space="preserve">The cost to our community </w:t>
      </w:r>
    </w:p>
    <w:p w14:paraId="15B9E92E" w14:textId="77777777" w:rsidR="008D29EF" w:rsidRDefault="008D29EF" w:rsidP="008D29EF">
      <w:pPr>
        <w:kinsoku w:val="0"/>
        <w:overflowPunct w:val="0"/>
        <w:autoSpaceDE w:val="0"/>
        <w:autoSpaceDN w:val="0"/>
        <w:adjustRightInd w:val="0"/>
        <w:spacing w:after="0" w:line="240" w:lineRule="auto"/>
        <w:jc w:val="both"/>
        <w:rPr>
          <w:rFonts w:ascii="Arial" w:hAnsi="Arial" w:cs="Arial"/>
          <w:sz w:val="24"/>
          <w:szCs w:val="24"/>
        </w:rPr>
      </w:pPr>
    </w:p>
    <w:p w14:paraId="402D681C" w14:textId="77777777" w:rsidR="008D29EF" w:rsidRPr="001C25FF" w:rsidRDefault="008D29EF" w:rsidP="008D29EF">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The cost of dementia to the Australian economy is already enormous and growing rapidly. </w:t>
      </w:r>
    </w:p>
    <w:p w14:paraId="183352D8" w14:textId="77777777" w:rsidR="008D29EF" w:rsidRPr="001C25FF" w:rsidRDefault="008D29EF" w:rsidP="008D29EF">
      <w:pPr>
        <w:kinsoku w:val="0"/>
        <w:overflowPunct w:val="0"/>
        <w:autoSpaceDE w:val="0"/>
        <w:autoSpaceDN w:val="0"/>
        <w:adjustRightInd w:val="0"/>
        <w:spacing w:after="0" w:line="240" w:lineRule="auto"/>
        <w:jc w:val="both"/>
        <w:rPr>
          <w:rFonts w:ascii="Arial" w:hAnsi="Arial" w:cs="Arial"/>
        </w:rPr>
      </w:pPr>
    </w:p>
    <w:p w14:paraId="28FFDB35" w14:textId="65BF0703" w:rsidR="008D29EF" w:rsidRPr="001C25FF" w:rsidRDefault="008D29EF" w:rsidP="008D29EF">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In 2018, dementia is estimated to have cost Australia more than $15 billion. By 2025, the total cost of dementia is predicted to increase to $18.7 billion in today’s dollars, and by 2056, to </w:t>
      </w:r>
      <w:r w:rsidR="00334B4F">
        <w:rPr>
          <w:rFonts w:ascii="Arial" w:hAnsi="Arial" w:cs="Arial"/>
        </w:rPr>
        <w:t>more than</w:t>
      </w:r>
      <w:r w:rsidR="00334B4F" w:rsidRPr="001C25FF">
        <w:rPr>
          <w:rFonts w:ascii="Arial" w:hAnsi="Arial" w:cs="Arial"/>
        </w:rPr>
        <w:t xml:space="preserve"> </w:t>
      </w:r>
      <w:r w:rsidRPr="001C25FF">
        <w:rPr>
          <w:rFonts w:ascii="Arial" w:hAnsi="Arial" w:cs="Arial"/>
        </w:rPr>
        <w:t>$36.8 billion.</w:t>
      </w:r>
      <w:r w:rsidRPr="001C25FF">
        <w:rPr>
          <w:rStyle w:val="FootnoteReference"/>
          <w:rFonts w:ascii="Arial" w:hAnsi="Arial" w:cs="Arial"/>
        </w:rPr>
        <w:footnoteReference w:id="3"/>
      </w:r>
      <w:r w:rsidRPr="001C25FF">
        <w:rPr>
          <w:rFonts w:ascii="Arial" w:hAnsi="Arial" w:cs="Arial"/>
        </w:rPr>
        <w:t xml:space="preserve"> </w:t>
      </w:r>
    </w:p>
    <w:p w14:paraId="37048DA5" w14:textId="77777777" w:rsidR="008D29EF" w:rsidRDefault="008D29EF" w:rsidP="008D29EF">
      <w:pPr>
        <w:kinsoku w:val="0"/>
        <w:overflowPunct w:val="0"/>
        <w:autoSpaceDE w:val="0"/>
        <w:autoSpaceDN w:val="0"/>
        <w:adjustRightInd w:val="0"/>
        <w:spacing w:after="0" w:line="240" w:lineRule="auto"/>
        <w:jc w:val="both"/>
        <w:rPr>
          <w:rFonts w:ascii="Arial" w:hAnsi="Arial" w:cs="Arial"/>
          <w:sz w:val="24"/>
          <w:szCs w:val="24"/>
        </w:rPr>
      </w:pPr>
    </w:p>
    <w:p w14:paraId="669F2048" w14:textId="4ED32FA7" w:rsidR="008D29EF" w:rsidRPr="001C25FF" w:rsidRDefault="00FD47FB" w:rsidP="008D29EF">
      <w:pPr>
        <w:kinsoku w:val="0"/>
        <w:overflowPunct w:val="0"/>
        <w:autoSpaceDE w:val="0"/>
        <w:autoSpaceDN w:val="0"/>
        <w:adjustRightInd w:val="0"/>
        <w:spacing w:after="0" w:line="240" w:lineRule="auto"/>
        <w:jc w:val="both"/>
        <w:rPr>
          <w:rFonts w:ascii="Augustus" w:hAnsi="Augustus" w:cs="Arial"/>
          <w:b/>
          <w:sz w:val="24"/>
          <w:szCs w:val="24"/>
        </w:rPr>
      </w:pPr>
      <w:r w:rsidRPr="001C25FF">
        <w:rPr>
          <w:rFonts w:ascii="Augustus" w:hAnsi="Augustus" w:cs="Arial"/>
          <w:b/>
          <w:sz w:val="24"/>
          <w:szCs w:val="24"/>
        </w:rPr>
        <w:t>Dementia as core business</w:t>
      </w:r>
    </w:p>
    <w:p w14:paraId="631DF8B6" w14:textId="77777777" w:rsidR="008D29EF" w:rsidRDefault="008D29EF" w:rsidP="008D29EF">
      <w:pPr>
        <w:kinsoku w:val="0"/>
        <w:overflowPunct w:val="0"/>
        <w:autoSpaceDE w:val="0"/>
        <w:autoSpaceDN w:val="0"/>
        <w:adjustRightInd w:val="0"/>
        <w:spacing w:after="0" w:line="240" w:lineRule="auto"/>
        <w:jc w:val="both"/>
        <w:rPr>
          <w:rFonts w:ascii="Arial" w:hAnsi="Arial" w:cs="Arial"/>
          <w:sz w:val="24"/>
          <w:szCs w:val="24"/>
        </w:rPr>
      </w:pPr>
    </w:p>
    <w:p w14:paraId="44BABB79" w14:textId="5704575D" w:rsidR="008D29EF" w:rsidRPr="001C25FF" w:rsidRDefault="008D29EF" w:rsidP="008D29EF">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Health, aged care and disability services reforms over recent years have been increasingly based on the belief that supporting people impacted by dementia should be part of core business for service providers. However</w:t>
      </w:r>
      <w:r w:rsidR="00FD47FB" w:rsidRPr="001C25FF">
        <w:rPr>
          <w:rFonts w:ascii="Arial" w:hAnsi="Arial" w:cs="Arial"/>
        </w:rPr>
        <w:t>, despite the pace of reforms in disability and aged care,</w:t>
      </w:r>
      <w:r w:rsidRPr="001C25FF">
        <w:rPr>
          <w:rFonts w:ascii="Arial" w:hAnsi="Arial" w:cs="Arial"/>
        </w:rPr>
        <w:t xml:space="preserve"> there is </w:t>
      </w:r>
      <w:r w:rsidR="00FD47FB" w:rsidRPr="001C25FF">
        <w:rPr>
          <w:rFonts w:ascii="Arial" w:hAnsi="Arial" w:cs="Arial"/>
        </w:rPr>
        <w:t xml:space="preserve">still </w:t>
      </w:r>
      <w:r w:rsidRPr="001C25FF">
        <w:rPr>
          <w:rFonts w:ascii="Arial" w:hAnsi="Arial" w:cs="Arial"/>
        </w:rPr>
        <w:t>much to do before this can become a reality. Consumer and provider experien</w:t>
      </w:r>
      <w:r w:rsidR="00FD47FB" w:rsidRPr="001C25FF">
        <w:rPr>
          <w:rFonts w:ascii="Arial" w:hAnsi="Arial" w:cs="Arial"/>
        </w:rPr>
        <w:t>ce tells us that there are further</w:t>
      </w:r>
      <w:r w:rsidRPr="001C25FF">
        <w:rPr>
          <w:rFonts w:ascii="Arial" w:hAnsi="Arial" w:cs="Arial"/>
        </w:rPr>
        <w:t xml:space="preserve"> significant steps that need to be taken for quality dementia care and support to become an intrinsic part of health, aged care and disability services.</w:t>
      </w:r>
    </w:p>
    <w:p w14:paraId="16D8009F" w14:textId="77777777" w:rsidR="00FD47FB" w:rsidRPr="001C25FF" w:rsidRDefault="00FD47FB" w:rsidP="008D29EF">
      <w:pPr>
        <w:kinsoku w:val="0"/>
        <w:overflowPunct w:val="0"/>
        <w:autoSpaceDE w:val="0"/>
        <w:autoSpaceDN w:val="0"/>
        <w:adjustRightInd w:val="0"/>
        <w:spacing w:after="0" w:line="240" w:lineRule="auto"/>
        <w:jc w:val="both"/>
        <w:rPr>
          <w:rFonts w:ascii="Arial" w:hAnsi="Arial" w:cs="Arial"/>
        </w:rPr>
      </w:pPr>
    </w:p>
    <w:p w14:paraId="6C65E1A9" w14:textId="77777777" w:rsidR="00FD47FB" w:rsidRPr="001C25FF" w:rsidRDefault="00FD47FB" w:rsidP="00FD47FB">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This is especially so for marginalised or disadvantaged communities where their experience is often characterised by unacceptably long delays in diagnosis, poor access to treatment and lack of choice and quality in residential and community care to name but a few.</w:t>
      </w:r>
    </w:p>
    <w:p w14:paraId="0564970C" w14:textId="77777777" w:rsidR="00E30438" w:rsidRDefault="00E30438" w:rsidP="00514692">
      <w:pPr>
        <w:kinsoku w:val="0"/>
        <w:overflowPunct w:val="0"/>
        <w:autoSpaceDE w:val="0"/>
        <w:autoSpaceDN w:val="0"/>
        <w:adjustRightInd w:val="0"/>
        <w:spacing w:after="0" w:line="240" w:lineRule="auto"/>
        <w:jc w:val="both"/>
        <w:rPr>
          <w:rFonts w:ascii="Arial" w:hAnsi="Arial" w:cs="Arial"/>
          <w:b/>
          <w:sz w:val="24"/>
          <w:szCs w:val="24"/>
        </w:rPr>
      </w:pPr>
    </w:p>
    <w:p w14:paraId="2A93526D" w14:textId="77777777" w:rsidR="00F72D56" w:rsidRDefault="00F72D56" w:rsidP="00514692">
      <w:pPr>
        <w:kinsoku w:val="0"/>
        <w:overflowPunct w:val="0"/>
        <w:autoSpaceDE w:val="0"/>
        <w:autoSpaceDN w:val="0"/>
        <w:adjustRightInd w:val="0"/>
        <w:spacing w:after="0" w:line="240" w:lineRule="auto"/>
        <w:jc w:val="both"/>
        <w:rPr>
          <w:rFonts w:ascii="Arial" w:hAnsi="Arial" w:cs="Arial"/>
          <w:b/>
          <w:sz w:val="24"/>
          <w:szCs w:val="24"/>
        </w:rPr>
      </w:pPr>
    </w:p>
    <w:p w14:paraId="70CDE01C" w14:textId="77777777" w:rsidR="00F72D56" w:rsidRDefault="00F72D56" w:rsidP="00514692">
      <w:pPr>
        <w:kinsoku w:val="0"/>
        <w:overflowPunct w:val="0"/>
        <w:autoSpaceDE w:val="0"/>
        <w:autoSpaceDN w:val="0"/>
        <w:adjustRightInd w:val="0"/>
        <w:spacing w:after="0" w:line="240" w:lineRule="auto"/>
        <w:jc w:val="both"/>
        <w:rPr>
          <w:rFonts w:ascii="Arial" w:hAnsi="Arial" w:cs="Arial"/>
          <w:b/>
          <w:sz w:val="24"/>
          <w:szCs w:val="24"/>
        </w:rPr>
      </w:pPr>
    </w:p>
    <w:p w14:paraId="7F0353DD" w14:textId="77777777" w:rsidR="00A57F36" w:rsidRPr="001C25FF" w:rsidRDefault="00E30438" w:rsidP="00A57F36">
      <w:pPr>
        <w:kinsoku w:val="0"/>
        <w:overflowPunct w:val="0"/>
        <w:autoSpaceDE w:val="0"/>
        <w:autoSpaceDN w:val="0"/>
        <w:adjustRightInd w:val="0"/>
        <w:spacing w:after="0" w:line="240" w:lineRule="auto"/>
        <w:rPr>
          <w:rFonts w:ascii="Augustus" w:hAnsi="Augustus" w:cs="Arial"/>
          <w:b/>
          <w:caps/>
          <w:color w:val="19B6BD"/>
          <w:sz w:val="28"/>
          <w:szCs w:val="28"/>
        </w:rPr>
      </w:pPr>
      <w:r w:rsidRPr="001C25FF">
        <w:rPr>
          <w:rFonts w:ascii="Augustus" w:hAnsi="Augustus" w:cs="Arial"/>
          <w:b/>
          <w:caps/>
          <w:color w:val="19B6BD"/>
          <w:sz w:val="28"/>
          <w:szCs w:val="28"/>
        </w:rPr>
        <w:lastRenderedPageBreak/>
        <w:t>Designing a New Future – Dementia Australia</w:t>
      </w:r>
      <w:r w:rsidR="008F59D8" w:rsidRPr="001C25FF">
        <w:rPr>
          <w:rFonts w:ascii="Augustus" w:hAnsi="Augustus" w:cs="Arial"/>
          <w:b/>
          <w:caps/>
          <w:color w:val="19B6BD"/>
          <w:sz w:val="28"/>
          <w:szCs w:val="28"/>
        </w:rPr>
        <w:t>’s</w:t>
      </w:r>
      <w:r w:rsidRPr="001C25FF">
        <w:rPr>
          <w:rFonts w:ascii="Augustus" w:hAnsi="Augustus" w:cs="Arial"/>
          <w:b/>
          <w:caps/>
          <w:color w:val="19B6BD"/>
          <w:sz w:val="28"/>
          <w:szCs w:val="28"/>
        </w:rPr>
        <w:t xml:space="preserve"> Strategic Direction 2018-2023</w:t>
      </w:r>
    </w:p>
    <w:p w14:paraId="3DB54171" w14:textId="77777777" w:rsidR="00E30438" w:rsidRDefault="00E30438" w:rsidP="00A57F36">
      <w:pPr>
        <w:kinsoku w:val="0"/>
        <w:overflowPunct w:val="0"/>
        <w:autoSpaceDE w:val="0"/>
        <w:autoSpaceDN w:val="0"/>
        <w:adjustRightInd w:val="0"/>
        <w:spacing w:after="0" w:line="240" w:lineRule="auto"/>
        <w:rPr>
          <w:rFonts w:ascii="Arial" w:hAnsi="Arial" w:cs="Arial"/>
          <w:b/>
          <w:sz w:val="24"/>
          <w:szCs w:val="24"/>
        </w:rPr>
      </w:pPr>
    </w:p>
    <w:p w14:paraId="6D9C6523" w14:textId="0EB37D45"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Dementia Australia’s Strategic D</w:t>
      </w:r>
      <w:r w:rsidR="00E30438" w:rsidRPr="001C25FF">
        <w:rPr>
          <w:rFonts w:ascii="Arial" w:hAnsi="Arial" w:cs="Arial"/>
        </w:rPr>
        <w:t>irection</w:t>
      </w:r>
      <w:r w:rsidR="00FD47FB" w:rsidRPr="001C25FF">
        <w:rPr>
          <w:rFonts w:ascii="Arial" w:hAnsi="Arial" w:cs="Arial"/>
        </w:rPr>
        <w:t>,</w:t>
      </w:r>
      <w:r w:rsidRPr="001C25FF">
        <w:t xml:space="preserve"> </w:t>
      </w:r>
      <w:r w:rsidRPr="001C25FF">
        <w:rPr>
          <w:rFonts w:ascii="Arial" w:hAnsi="Arial" w:cs="Arial"/>
          <w:i/>
        </w:rPr>
        <w:t xml:space="preserve">Designing a </w:t>
      </w:r>
      <w:r w:rsidR="00334B4F">
        <w:rPr>
          <w:rFonts w:ascii="Arial" w:hAnsi="Arial" w:cs="Arial"/>
          <w:i/>
        </w:rPr>
        <w:t>n</w:t>
      </w:r>
      <w:r w:rsidRPr="001C25FF">
        <w:rPr>
          <w:rFonts w:ascii="Arial" w:hAnsi="Arial" w:cs="Arial"/>
          <w:i/>
        </w:rPr>
        <w:t xml:space="preserve">ew </w:t>
      </w:r>
      <w:r w:rsidR="00334B4F">
        <w:rPr>
          <w:rFonts w:ascii="Arial" w:hAnsi="Arial" w:cs="Arial"/>
          <w:i/>
        </w:rPr>
        <w:t>f</w:t>
      </w:r>
      <w:r w:rsidRPr="001C25FF">
        <w:rPr>
          <w:rFonts w:ascii="Arial" w:hAnsi="Arial" w:cs="Arial"/>
          <w:i/>
        </w:rPr>
        <w:t>uture</w:t>
      </w:r>
      <w:r w:rsidRPr="001C25FF">
        <w:rPr>
          <w:rFonts w:ascii="Arial" w:hAnsi="Arial" w:cs="Arial"/>
        </w:rPr>
        <w:t xml:space="preserve"> </w:t>
      </w:r>
      <w:r w:rsidR="00E30438" w:rsidRPr="001C25FF">
        <w:rPr>
          <w:rFonts w:ascii="Arial" w:hAnsi="Arial" w:cs="Arial"/>
        </w:rPr>
        <w:t>2018-2023</w:t>
      </w:r>
      <w:r w:rsidR="00FD47FB" w:rsidRPr="001C25FF">
        <w:rPr>
          <w:rFonts w:ascii="Arial" w:hAnsi="Arial" w:cs="Arial"/>
        </w:rPr>
        <w:t>,</w:t>
      </w:r>
      <w:r w:rsidR="00E30438" w:rsidRPr="001C25FF">
        <w:rPr>
          <w:rFonts w:ascii="Arial" w:hAnsi="Arial" w:cs="Arial"/>
        </w:rPr>
        <w:t xml:space="preserve"> is underpinned by a visio</w:t>
      </w:r>
      <w:r w:rsidR="00EE2965" w:rsidRPr="001C25FF">
        <w:rPr>
          <w:rFonts w:ascii="Arial" w:hAnsi="Arial" w:cs="Arial"/>
        </w:rPr>
        <w:t xml:space="preserve">n and purpose that speaks to what the organisation represents: </w:t>
      </w:r>
    </w:p>
    <w:p w14:paraId="23E0EECC" w14:textId="77777777" w:rsidR="00363F26" w:rsidRPr="001C25FF" w:rsidRDefault="009A005E" w:rsidP="00363F26">
      <w:pPr>
        <w:kinsoku w:val="0"/>
        <w:overflowPunct w:val="0"/>
        <w:autoSpaceDE w:val="0"/>
        <w:autoSpaceDN w:val="0"/>
        <w:adjustRightInd w:val="0"/>
        <w:spacing w:after="0" w:line="240" w:lineRule="auto"/>
        <w:jc w:val="both"/>
        <w:rPr>
          <w:rFonts w:ascii="Arial" w:hAnsi="Arial" w:cs="Arial"/>
        </w:rPr>
      </w:pPr>
      <w:r w:rsidRPr="001C25FF">
        <w:rPr>
          <w:noProof/>
          <w:lang w:eastAsia="en-AU"/>
        </w:rPr>
        <mc:AlternateContent>
          <mc:Choice Requires="wps">
            <w:drawing>
              <wp:anchor distT="0" distB="0" distL="114300" distR="114300" simplePos="0" relativeHeight="251659264" behindDoc="0" locked="0" layoutInCell="1" allowOverlap="1" wp14:anchorId="75176108" wp14:editId="1CF262EC">
                <wp:simplePos x="0" y="0"/>
                <wp:positionH relativeFrom="margin">
                  <wp:posOffset>389890</wp:posOffset>
                </wp:positionH>
                <wp:positionV relativeFrom="paragraph">
                  <wp:posOffset>173990</wp:posOffset>
                </wp:positionV>
                <wp:extent cx="4943475" cy="1828800"/>
                <wp:effectExtent l="0" t="0" r="28575" b="20320"/>
                <wp:wrapSquare wrapText="bothSides"/>
                <wp:docPr id="3" name="Text Box 3"/>
                <wp:cNvGraphicFramePr/>
                <a:graphic xmlns:a="http://schemas.openxmlformats.org/drawingml/2006/main">
                  <a:graphicData uri="http://schemas.microsoft.com/office/word/2010/wordprocessingShape">
                    <wps:wsp>
                      <wps:cNvSpPr txBox="1"/>
                      <wps:spPr>
                        <a:xfrm>
                          <a:off x="0" y="0"/>
                          <a:ext cx="4943475" cy="1828800"/>
                        </a:xfrm>
                        <a:prstGeom prst="rect">
                          <a:avLst/>
                        </a:prstGeom>
                        <a:noFill/>
                        <a:ln w="6350">
                          <a:solidFill>
                            <a:prstClr val="black"/>
                          </a:solidFill>
                        </a:ln>
                      </wps:spPr>
                      <wps:txbx>
                        <w:txbxContent>
                          <w:p w14:paraId="58C431CD" w14:textId="77777777" w:rsidR="00EA2D19" w:rsidRPr="00AF75E3" w:rsidRDefault="00EA2D19" w:rsidP="00363F26">
                            <w:pPr>
                              <w:kinsoku w:val="0"/>
                              <w:overflowPunct w:val="0"/>
                              <w:autoSpaceDE w:val="0"/>
                              <w:autoSpaceDN w:val="0"/>
                              <w:adjustRightInd w:val="0"/>
                              <w:spacing w:after="0" w:line="240" w:lineRule="auto"/>
                              <w:ind w:left="720"/>
                              <w:rPr>
                                <w:rFonts w:ascii="Arial" w:hAnsi="Arial" w:cs="Arial"/>
                                <w:sz w:val="24"/>
                                <w:szCs w:val="24"/>
                              </w:rPr>
                            </w:pPr>
                            <w:r>
                              <w:rPr>
                                <w:rFonts w:ascii="Arial" w:hAnsi="Arial" w:cs="Arial"/>
                                <w:sz w:val="24"/>
                                <w:szCs w:val="24"/>
                              </w:rPr>
                              <w:t>S</w:t>
                            </w:r>
                            <w:r w:rsidRPr="00363F26">
                              <w:rPr>
                                <w:rFonts w:ascii="Arial" w:hAnsi="Arial" w:cs="Arial"/>
                                <w:sz w:val="24"/>
                                <w:szCs w:val="24"/>
                              </w:rPr>
                              <w:t>tanding for the rights of people impacted by dementia to receive early supports and high-quality services throughout their lives as well as being respected, valued and included in their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75176108" id="_x0000_t202" coordsize="21600,21600" o:spt="202" path="m,l,21600r21600,l21600,xe">
                <v:stroke joinstyle="miter"/>
                <v:path gradientshapeok="t" o:connecttype="rect"/>
              </v:shapetype>
              <v:shape id="Text Box 3" o:spid="_x0000_s1026" type="#_x0000_t202" style="position:absolute;left:0;text-align:left;margin-left:30.7pt;margin-top:13.7pt;width:389.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iFRQIAAHoEAAAOAAAAZHJzL2Uyb0RvYy54bWysVMtu2zAQvBfoPxC8N/JDThzDcuA6SFEg&#10;SAIkQc40RVlCKS5L0pbSr++QthMj7anohdoXl7szu5pf9a1mO+V8Q6bgw7MBZ8pIKhuzKfjz082X&#10;KWc+CFMKTUYV/FV5frX4/Gne2ZkaUU26VI4hifGzzha8DsHOsszLWrXCn5FVBs6KXCsCVLfJSic6&#10;ZG91NhoMzrOOXGkdSeU9rNd7J1+k/FWlZLivKq8C0wVHbSGdLp3reGaLuZhtnLB1Iw9liH+oohWN&#10;waNvqa5FEGzrmj9StY105KkKZ5LajKqqkSr1gG6Ggw/dPNbCqtQLwPH2DSb//9LKu92DY01Z8DFn&#10;RrSg6En1gX2lno0jOp31MwQ9WoSFHmawfLR7GGPTfeXa+EU7DH7g/PqGbUwmYcwv83F+MeFMwjec&#10;jqbTQUI/e79unQ/fFLUsCgV3IC9hKna3PqAUhB5D4muGbhqtE4HasK7g5+PJIF3wpJsyOmNYvLLS&#10;ju0ERmCthfwRy0eukyho2sAYm903FaXQr/sDAmsqXwGAo/0AeStvGuS9FT48CIeJQc/YgnCPo9KE&#10;YuggcVaT+/U3e4wHkfBy1mECC+5/boVTnOnvBhRfDvM8jmxS8snFCIo79axPPWbbrggdDrFvViYx&#10;xgd9FCtH7QuWZRlfhUsYibcLHo7iKuz3Assm1XKZgjCkVoRb82hlTH3E86l/Ec4eeAqg+I6Osypm&#10;H+jax8ab3i63AaQlLiPAe1QPuGPAEy2HZYwbdKqnqPdfxuI3AAAA//8DAFBLAwQUAAYACAAAACEA&#10;jGk22eAAAAAJAQAADwAAAGRycy9kb3ducmV2LnhtbEyPzU7DQAyE70i8w8pI3OgmbelPyKZCCIjE&#10;jUIPubmJmwSy3ii7bdO3x5zgNLJmNPM53Yy2UycafOvYQDyJQBGXrmq5NvD58XK3AuUDcoWdYzJw&#10;IQ+b7PoqxaRyZ36n0zbUSkrYJ2igCaFPtPZlQxb9xPXE4h3cYDHIOdS6GvAs5bbT0yhaaIsty0KD&#10;PT01VH5vj9ZAYXdF//aMuHw9+GI3fuUXn+fG3N6Mjw+gAo3hLwy/+IIOmTDt3ZErrzoDi3guSQPT&#10;paj4q9l6DWpvYBbfz0Fnqf7/QfYDAAD//wMAUEsBAi0AFAAGAAgAAAAhALaDOJL+AAAA4QEAABMA&#10;AAAAAAAAAAAAAAAAAAAAAFtDb250ZW50X1R5cGVzXS54bWxQSwECLQAUAAYACAAAACEAOP0h/9YA&#10;AACUAQAACwAAAAAAAAAAAAAAAAAvAQAAX3JlbHMvLnJlbHNQSwECLQAUAAYACAAAACEA2ivIhUUC&#10;AAB6BAAADgAAAAAAAAAAAAAAAAAuAgAAZHJzL2Uyb0RvYy54bWxQSwECLQAUAAYACAAAACEAjGk2&#10;2eAAAAAJAQAADwAAAAAAAAAAAAAAAACfBAAAZHJzL2Rvd25yZXYueG1sUEsFBgAAAAAEAAQA8wAA&#10;AKwFAAAAAA==&#10;" filled="f" strokeweight=".5pt">
                <v:textbox style="mso-fit-shape-to-text:t">
                  <w:txbxContent>
                    <w:p w14:paraId="58C431CD" w14:textId="77777777" w:rsidR="00EA2D19" w:rsidRPr="00AF75E3" w:rsidRDefault="00EA2D19" w:rsidP="00363F26">
                      <w:pPr>
                        <w:kinsoku w:val="0"/>
                        <w:overflowPunct w:val="0"/>
                        <w:autoSpaceDE w:val="0"/>
                        <w:autoSpaceDN w:val="0"/>
                        <w:adjustRightInd w:val="0"/>
                        <w:spacing w:after="0" w:line="240" w:lineRule="auto"/>
                        <w:ind w:left="720"/>
                        <w:rPr>
                          <w:rFonts w:ascii="Arial" w:hAnsi="Arial" w:cs="Arial"/>
                          <w:sz w:val="24"/>
                          <w:szCs w:val="24"/>
                        </w:rPr>
                      </w:pPr>
                      <w:r>
                        <w:rPr>
                          <w:rFonts w:ascii="Arial" w:hAnsi="Arial" w:cs="Arial"/>
                          <w:sz w:val="24"/>
                          <w:szCs w:val="24"/>
                        </w:rPr>
                        <w:t>S</w:t>
                      </w:r>
                      <w:r w:rsidRPr="00363F26">
                        <w:rPr>
                          <w:rFonts w:ascii="Arial" w:hAnsi="Arial" w:cs="Arial"/>
                          <w:sz w:val="24"/>
                          <w:szCs w:val="24"/>
                        </w:rPr>
                        <w:t>tanding for the rights of people impacted by dementia to receive early supports and high-quality services throughout their lives as well as being respected, valued and included in their communities.</w:t>
                      </w:r>
                    </w:p>
                  </w:txbxContent>
                </v:textbox>
                <w10:wrap type="square" anchorx="margin"/>
              </v:shape>
            </w:pict>
          </mc:Fallback>
        </mc:AlternateContent>
      </w:r>
    </w:p>
    <w:p w14:paraId="0735BDFD"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33C63707" w14:textId="77777777" w:rsidR="00363F26" w:rsidRPr="001C25FF" w:rsidRDefault="00701753"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 </w:t>
      </w:r>
    </w:p>
    <w:p w14:paraId="5639D026"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02F31C06"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4386B9F7"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337E7A04" w14:textId="77777777" w:rsidR="00FD47FB" w:rsidRPr="001C25FF" w:rsidRDefault="00FD47FB" w:rsidP="00FD47FB">
      <w:pPr>
        <w:kinsoku w:val="0"/>
        <w:overflowPunct w:val="0"/>
        <w:autoSpaceDE w:val="0"/>
        <w:autoSpaceDN w:val="0"/>
        <w:adjustRightInd w:val="0"/>
        <w:spacing w:after="0" w:line="240" w:lineRule="auto"/>
        <w:jc w:val="both"/>
        <w:rPr>
          <w:rFonts w:ascii="Arial" w:hAnsi="Arial" w:cs="Arial"/>
        </w:rPr>
      </w:pPr>
    </w:p>
    <w:p w14:paraId="1958F68E" w14:textId="41329FCB" w:rsidR="00FD47FB" w:rsidRPr="001C25FF" w:rsidRDefault="00FD47FB" w:rsidP="00FD47FB">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By undertaking</w:t>
      </w:r>
      <w:r w:rsidR="000249A4" w:rsidRPr="001C25FF">
        <w:rPr>
          <w:rFonts w:ascii="Arial" w:hAnsi="Arial" w:cs="Arial"/>
        </w:rPr>
        <w:t xml:space="preserve"> </w:t>
      </w:r>
      <w:r w:rsidRPr="001C25FF">
        <w:rPr>
          <w:rFonts w:ascii="Arial" w:hAnsi="Arial" w:cs="Arial"/>
        </w:rPr>
        <w:t>rigorous consultation</w:t>
      </w:r>
      <w:r w:rsidR="00077AD3" w:rsidRPr="001C25FF">
        <w:rPr>
          <w:rFonts w:ascii="Arial" w:hAnsi="Arial" w:cs="Arial"/>
        </w:rPr>
        <w:t>s</w:t>
      </w:r>
      <w:r w:rsidRPr="001C25FF">
        <w:rPr>
          <w:rFonts w:ascii="Arial" w:hAnsi="Arial" w:cs="Arial"/>
        </w:rPr>
        <w:t xml:space="preserve"> with a wide cross-section of Australia’s communit</w:t>
      </w:r>
      <w:r w:rsidR="00077AD3" w:rsidRPr="001C25FF">
        <w:rPr>
          <w:rFonts w:ascii="Arial" w:hAnsi="Arial" w:cs="Arial"/>
        </w:rPr>
        <w:t>ies</w:t>
      </w:r>
      <w:r w:rsidRPr="001C25FF">
        <w:rPr>
          <w:rFonts w:ascii="Arial" w:hAnsi="Arial" w:cs="Arial"/>
        </w:rPr>
        <w:t>, Dementia Australia found that the biggest issues for people living with dementia are:</w:t>
      </w:r>
    </w:p>
    <w:p w14:paraId="04F76E7F" w14:textId="77777777" w:rsidR="00FD47FB" w:rsidRPr="001C25FF" w:rsidRDefault="00FD47FB" w:rsidP="00FD47FB">
      <w:pPr>
        <w:kinsoku w:val="0"/>
        <w:overflowPunct w:val="0"/>
        <w:autoSpaceDE w:val="0"/>
        <w:autoSpaceDN w:val="0"/>
        <w:adjustRightInd w:val="0"/>
        <w:spacing w:after="0" w:line="240" w:lineRule="auto"/>
        <w:rPr>
          <w:rFonts w:ascii="Arial" w:hAnsi="Arial" w:cs="Arial"/>
        </w:rPr>
      </w:pPr>
    </w:p>
    <w:p w14:paraId="2356A780" w14:textId="77777777" w:rsidR="00FD47FB" w:rsidRPr="001C25FF" w:rsidRDefault="00FD47FB" w:rsidP="00FD47FB">
      <w:pPr>
        <w:pStyle w:val="ListParagraph"/>
        <w:numPr>
          <w:ilvl w:val="0"/>
          <w:numId w:val="6"/>
        </w:numPr>
        <w:kinsoku w:val="0"/>
        <w:overflowPunct w:val="0"/>
        <w:rPr>
          <w:rFonts w:ascii="Arial" w:hAnsi="Arial" w:cs="Arial"/>
          <w:sz w:val="22"/>
          <w:szCs w:val="22"/>
        </w:rPr>
      </w:pPr>
      <w:r w:rsidRPr="001C25FF">
        <w:rPr>
          <w:rFonts w:ascii="Arial" w:hAnsi="Arial" w:cs="Arial"/>
          <w:sz w:val="22"/>
          <w:szCs w:val="22"/>
        </w:rPr>
        <w:t xml:space="preserve">Access to </w:t>
      </w:r>
      <w:r w:rsidRPr="001C25FF">
        <w:rPr>
          <w:rFonts w:ascii="Arial" w:hAnsi="Arial" w:cs="Arial"/>
          <w:b/>
          <w:sz w:val="22"/>
          <w:szCs w:val="22"/>
        </w:rPr>
        <w:t>timely diagnosis</w:t>
      </w:r>
      <w:r w:rsidRPr="001C25FF">
        <w:rPr>
          <w:rFonts w:ascii="Arial" w:hAnsi="Arial" w:cs="Arial"/>
          <w:sz w:val="22"/>
          <w:szCs w:val="22"/>
        </w:rPr>
        <w:t xml:space="preserve"> and support</w:t>
      </w:r>
    </w:p>
    <w:p w14:paraId="4E64972A" w14:textId="77777777" w:rsidR="00FD47FB" w:rsidRPr="001C25FF" w:rsidRDefault="00FD47FB" w:rsidP="00FD47FB">
      <w:pPr>
        <w:pStyle w:val="ListParagraph"/>
        <w:numPr>
          <w:ilvl w:val="0"/>
          <w:numId w:val="6"/>
        </w:numPr>
        <w:kinsoku w:val="0"/>
        <w:overflowPunct w:val="0"/>
        <w:rPr>
          <w:rFonts w:ascii="Arial" w:hAnsi="Arial" w:cs="Arial"/>
          <w:sz w:val="22"/>
          <w:szCs w:val="22"/>
        </w:rPr>
      </w:pPr>
      <w:r w:rsidRPr="001C25FF">
        <w:rPr>
          <w:rFonts w:ascii="Arial" w:hAnsi="Arial" w:cs="Arial"/>
          <w:b/>
          <w:sz w:val="22"/>
          <w:szCs w:val="22"/>
        </w:rPr>
        <w:t>Quality</w:t>
      </w:r>
      <w:r w:rsidRPr="001C25FF">
        <w:rPr>
          <w:rFonts w:ascii="Arial" w:hAnsi="Arial" w:cs="Arial"/>
          <w:sz w:val="22"/>
          <w:szCs w:val="22"/>
        </w:rPr>
        <w:t xml:space="preserve"> of dementia care; and</w:t>
      </w:r>
    </w:p>
    <w:p w14:paraId="040812E8" w14:textId="77777777" w:rsidR="00FD47FB" w:rsidRPr="001C25FF" w:rsidRDefault="00FD47FB" w:rsidP="00FD47FB">
      <w:pPr>
        <w:pStyle w:val="ListParagraph"/>
        <w:numPr>
          <w:ilvl w:val="0"/>
          <w:numId w:val="6"/>
        </w:numPr>
        <w:kinsoku w:val="0"/>
        <w:overflowPunct w:val="0"/>
        <w:rPr>
          <w:rFonts w:ascii="Arial" w:hAnsi="Arial" w:cs="Arial"/>
          <w:sz w:val="22"/>
          <w:szCs w:val="22"/>
        </w:rPr>
      </w:pPr>
      <w:r w:rsidRPr="001C25FF">
        <w:rPr>
          <w:rFonts w:ascii="Arial" w:hAnsi="Arial" w:cs="Arial"/>
          <w:b/>
          <w:sz w:val="22"/>
          <w:szCs w:val="22"/>
        </w:rPr>
        <w:t>Discrimination</w:t>
      </w:r>
      <w:r w:rsidRPr="001C25FF">
        <w:rPr>
          <w:rFonts w:ascii="Arial" w:hAnsi="Arial" w:cs="Arial"/>
          <w:sz w:val="22"/>
          <w:szCs w:val="22"/>
        </w:rPr>
        <w:t xml:space="preserve"> experienced as a result of living with dementia.</w:t>
      </w:r>
    </w:p>
    <w:p w14:paraId="36EADB72" w14:textId="77777777" w:rsidR="00F72D56" w:rsidRDefault="00F72D56" w:rsidP="001C25FF">
      <w:pPr>
        <w:kinsoku w:val="0"/>
        <w:overflowPunct w:val="0"/>
        <w:autoSpaceDE w:val="0"/>
        <w:autoSpaceDN w:val="0"/>
        <w:adjustRightInd w:val="0"/>
        <w:spacing w:after="0" w:line="240" w:lineRule="auto"/>
        <w:rPr>
          <w:rFonts w:ascii="Augustus" w:hAnsi="Augustus" w:cs="Arial"/>
          <w:b/>
          <w:caps/>
          <w:color w:val="19B6BD"/>
          <w:sz w:val="28"/>
          <w:szCs w:val="28"/>
        </w:rPr>
      </w:pPr>
    </w:p>
    <w:p w14:paraId="55FEA89B" w14:textId="1CDC20D3" w:rsidR="00F72D56" w:rsidRPr="001C25FF" w:rsidRDefault="00F72D56" w:rsidP="001C25FF">
      <w:pPr>
        <w:kinsoku w:val="0"/>
        <w:overflowPunct w:val="0"/>
        <w:autoSpaceDE w:val="0"/>
        <w:autoSpaceDN w:val="0"/>
        <w:adjustRightInd w:val="0"/>
        <w:spacing w:after="0" w:line="240" w:lineRule="auto"/>
        <w:jc w:val="both"/>
        <w:rPr>
          <w:rFonts w:ascii="Augustus" w:hAnsi="Augustus" w:cs="Arial"/>
          <w:b/>
          <w:bCs/>
          <w:sz w:val="24"/>
          <w:szCs w:val="24"/>
        </w:rPr>
      </w:pPr>
      <w:r w:rsidRPr="001C25FF">
        <w:rPr>
          <w:rFonts w:ascii="Augustus" w:hAnsi="Augustus" w:cs="Arial"/>
          <w:b/>
          <w:bCs/>
          <w:sz w:val="24"/>
          <w:szCs w:val="24"/>
        </w:rPr>
        <w:t>Diagnosis and Beyond</w:t>
      </w:r>
    </w:p>
    <w:p w14:paraId="40CA960A" w14:textId="77777777" w:rsidR="00F72D56" w:rsidRDefault="00F72D56" w:rsidP="00363F26">
      <w:pPr>
        <w:kinsoku w:val="0"/>
        <w:overflowPunct w:val="0"/>
        <w:autoSpaceDE w:val="0"/>
        <w:autoSpaceDN w:val="0"/>
        <w:adjustRightInd w:val="0"/>
        <w:spacing w:after="0" w:line="240" w:lineRule="auto"/>
        <w:jc w:val="both"/>
        <w:rPr>
          <w:rFonts w:ascii="Arial" w:hAnsi="Arial" w:cs="Arial"/>
        </w:rPr>
      </w:pPr>
    </w:p>
    <w:p w14:paraId="680255D6" w14:textId="293D923F" w:rsidR="00EE2965" w:rsidRPr="001C25FF" w:rsidRDefault="00701753"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Dementia Australia seeks commitment in the forthcoming </w:t>
      </w:r>
      <w:r w:rsidR="00E46CD6" w:rsidRPr="001C25FF">
        <w:rPr>
          <w:rFonts w:ascii="Arial" w:hAnsi="Arial" w:cs="Arial"/>
        </w:rPr>
        <w:t>2019-2020 Federal B</w:t>
      </w:r>
      <w:r w:rsidRPr="001C25FF">
        <w:rPr>
          <w:rFonts w:ascii="Arial" w:hAnsi="Arial" w:cs="Arial"/>
        </w:rPr>
        <w:t>udget to ad</w:t>
      </w:r>
      <w:r w:rsidR="00491073" w:rsidRPr="001C25FF">
        <w:rPr>
          <w:rFonts w:ascii="Arial" w:hAnsi="Arial" w:cs="Arial"/>
        </w:rPr>
        <w:t xml:space="preserve">dress </w:t>
      </w:r>
      <w:r w:rsidR="00491073" w:rsidRPr="001C25FF">
        <w:rPr>
          <w:rFonts w:ascii="Arial" w:hAnsi="Arial" w:cs="Arial"/>
          <w:b/>
        </w:rPr>
        <w:t>three</w:t>
      </w:r>
      <w:r w:rsidR="00491073" w:rsidRPr="001C25FF">
        <w:rPr>
          <w:rFonts w:ascii="Arial" w:hAnsi="Arial" w:cs="Arial"/>
        </w:rPr>
        <w:t xml:space="preserve"> integral components</w:t>
      </w:r>
      <w:r w:rsidR="00FD47FB" w:rsidRPr="001C25FF">
        <w:rPr>
          <w:rFonts w:ascii="Arial" w:hAnsi="Arial" w:cs="Arial"/>
        </w:rPr>
        <w:t>.</w:t>
      </w:r>
      <w:r w:rsidR="008F59D8" w:rsidRPr="001C25FF">
        <w:rPr>
          <w:rFonts w:ascii="Arial" w:hAnsi="Arial" w:cs="Arial"/>
        </w:rPr>
        <w:t xml:space="preserve"> These areas </w:t>
      </w:r>
      <w:r w:rsidR="00491073" w:rsidRPr="001C25FF">
        <w:rPr>
          <w:rFonts w:ascii="Arial" w:hAnsi="Arial" w:cs="Arial"/>
        </w:rPr>
        <w:t>frame Dementia Australia’s activities to create an inclusive future where all people impacted by dementia re</w:t>
      </w:r>
      <w:r w:rsidR="00EE2965" w:rsidRPr="001C25FF">
        <w:rPr>
          <w:rFonts w:ascii="Arial" w:hAnsi="Arial" w:cs="Arial"/>
        </w:rPr>
        <w:t xml:space="preserve">ceive the care and support </w:t>
      </w:r>
      <w:r w:rsidR="005D2D69">
        <w:rPr>
          <w:rFonts w:ascii="Arial" w:hAnsi="Arial" w:cs="Arial"/>
        </w:rPr>
        <w:t>that</w:t>
      </w:r>
      <w:r w:rsidR="00E53F32" w:rsidRPr="001C25FF">
        <w:rPr>
          <w:rFonts w:ascii="Arial" w:hAnsi="Arial" w:cs="Arial"/>
        </w:rPr>
        <w:t xml:space="preserve"> </w:t>
      </w:r>
      <w:r w:rsidR="00EE2965" w:rsidRPr="001C25FF">
        <w:rPr>
          <w:rFonts w:ascii="Arial" w:hAnsi="Arial" w:cs="Arial"/>
        </w:rPr>
        <w:t xml:space="preserve">they </w:t>
      </w:r>
      <w:r w:rsidR="00491073" w:rsidRPr="001C25FF">
        <w:rPr>
          <w:rFonts w:ascii="Arial" w:hAnsi="Arial" w:cs="Arial"/>
        </w:rPr>
        <w:t>need</w:t>
      </w:r>
      <w:r w:rsidR="00EE2965" w:rsidRPr="001C25FF">
        <w:rPr>
          <w:rFonts w:ascii="Arial" w:hAnsi="Arial" w:cs="Arial"/>
        </w:rPr>
        <w:t xml:space="preserve"> and deserve</w:t>
      </w:r>
      <w:r w:rsidR="000249A4" w:rsidRPr="001C25FF">
        <w:rPr>
          <w:rFonts w:ascii="Arial" w:hAnsi="Arial" w:cs="Arial"/>
        </w:rPr>
        <w:t>. They span</w:t>
      </w:r>
      <w:r w:rsidR="00FD47FB" w:rsidRPr="001C25FF">
        <w:rPr>
          <w:rFonts w:ascii="Arial" w:hAnsi="Arial" w:cs="Arial"/>
        </w:rPr>
        <w:t>:</w:t>
      </w:r>
    </w:p>
    <w:p w14:paraId="3CA3F08C"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1BC6107B" w14:textId="414E7DE6" w:rsidR="00FD47FB" w:rsidRPr="001C25FF" w:rsidRDefault="00FD47FB" w:rsidP="00FD47FB">
      <w:pPr>
        <w:pStyle w:val="ListParagraph"/>
        <w:numPr>
          <w:ilvl w:val="0"/>
          <w:numId w:val="5"/>
        </w:numPr>
        <w:kinsoku w:val="0"/>
        <w:overflowPunct w:val="0"/>
        <w:rPr>
          <w:rFonts w:ascii="Arial" w:hAnsi="Arial" w:cs="Arial"/>
          <w:sz w:val="22"/>
          <w:szCs w:val="22"/>
        </w:rPr>
      </w:pPr>
      <w:r w:rsidRPr="001C25FF">
        <w:rPr>
          <w:rFonts w:ascii="Arial" w:hAnsi="Arial" w:cs="Arial"/>
          <w:sz w:val="22"/>
          <w:szCs w:val="22"/>
        </w:rPr>
        <w:t>Develop</w:t>
      </w:r>
      <w:r w:rsidR="000249A4" w:rsidRPr="001C25FF">
        <w:rPr>
          <w:rFonts w:ascii="Arial" w:hAnsi="Arial" w:cs="Arial"/>
          <w:sz w:val="22"/>
          <w:szCs w:val="22"/>
        </w:rPr>
        <w:t>ing</w:t>
      </w:r>
      <w:r w:rsidRPr="001C25FF">
        <w:rPr>
          <w:rFonts w:ascii="Arial" w:hAnsi="Arial" w:cs="Arial"/>
          <w:sz w:val="22"/>
          <w:szCs w:val="22"/>
        </w:rPr>
        <w:t xml:space="preserve"> a </w:t>
      </w:r>
      <w:r w:rsidRPr="001C25FF">
        <w:rPr>
          <w:rFonts w:ascii="Arial" w:hAnsi="Arial" w:cs="Arial"/>
          <w:b/>
          <w:sz w:val="22"/>
          <w:szCs w:val="22"/>
        </w:rPr>
        <w:t>clear pathway for diagnosis</w:t>
      </w:r>
      <w:r w:rsidR="00E666D5">
        <w:rPr>
          <w:rFonts w:ascii="Arial" w:hAnsi="Arial" w:cs="Arial"/>
          <w:b/>
          <w:sz w:val="22"/>
          <w:szCs w:val="22"/>
        </w:rPr>
        <w:t xml:space="preserve"> and support</w:t>
      </w:r>
      <w:r w:rsidRPr="001C25FF">
        <w:rPr>
          <w:rFonts w:ascii="Arial" w:hAnsi="Arial" w:cs="Arial"/>
          <w:b/>
          <w:sz w:val="22"/>
          <w:szCs w:val="22"/>
        </w:rPr>
        <w:t>;</w:t>
      </w:r>
    </w:p>
    <w:p w14:paraId="18730DD0" w14:textId="371531C3" w:rsidR="00FD47FB" w:rsidRPr="001C25FF" w:rsidRDefault="00FD47FB" w:rsidP="00FD47FB">
      <w:pPr>
        <w:pStyle w:val="ListParagraph"/>
        <w:numPr>
          <w:ilvl w:val="0"/>
          <w:numId w:val="5"/>
        </w:numPr>
        <w:kinsoku w:val="0"/>
        <w:overflowPunct w:val="0"/>
        <w:rPr>
          <w:rFonts w:ascii="Arial" w:hAnsi="Arial" w:cs="Arial"/>
          <w:sz w:val="22"/>
          <w:szCs w:val="22"/>
        </w:rPr>
      </w:pPr>
      <w:r w:rsidRPr="001C25FF">
        <w:rPr>
          <w:rFonts w:ascii="Arial" w:hAnsi="Arial" w:cs="Arial"/>
          <w:b/>
          <w:sz w:val="22"/>
          <w:szCs w:val="22"/>
        </w:rPr>
        <w:t>Defin</w:t>
      </w:r>
      <w:r w:rsidR="000249A4" w:rsidRPr="001C25FF">
        <w:rPr>
          <w:rFonts w:ascii="Arial" w:hAnsi="Arial" w:cs="Arial"/>
          <w:b/>
          <w:sz w:val="22"/>
          <w:szCs w:val="22"/>
        </w:rPr>
        <w:t>ing</w:t>
      </w:r>
      <w:r w:rsidRPr="001C25FF">
        <w:rPr>
          <w:rFonts w:ascii="Arial" w:hAnsi="Arial" w:cs="Arial"/>
          <w:b/>
          <w:sz w:val="22"/>
          <w:szCs w:val="22"/>
        </w:rPr>
        <w:t xml:space="preserve"> Quality Standards</w:t>
      </w:r>
      <w:r w:rsidRPr="001C25FF">
        <w:rPr>
          <w:rFonts w:ascii="Arial" w:hAnsi="Arial" w:cs="Arial"/>
          <w:sz w:val="22"/>
          <w:szCs w:val="22"/>
        </w:rPr>
        <w:t xml:space="preserve"> in dementia care; and</w:t>
      </w:r>
    </w:p>
    <w:p w14:paraId="10E590D9" w14:textId="4322C6CE" w:rsidR="00FD47FB" w:rsidRPr="001C25FF" w:rsidRDefault="00FD47FB" w:rsidP="00FD47FB">
      <w:pPr>
        <w:pStyle w:val="ListParagraph"/>
        <w:numPr>
          <w:ilvl w:val="0"/>
          <w:numId w:val="5"/>
        </w:numPr>
        <w:kinsoku w:val="0"/>
        <w:overflowPunct w:val="0"/>
        <w:rPr>
          <w:rFonts w:ascii="Arial" w:hAnsi="Arial" w:cs="Arial"/>
          <w:sz w:val="22"/>
          <w:szCs w:val="22"/>
        </w:rPr>
      </w:pPr>
      <w:r w:rsidRPr="001C25FF">
        <w:rPr>
          <w:rFonts w:ascii="Arial" w:hAnsi="Arial" w:cs="Arial"/>
          <w:sz w:val="22"/>
          <w:szCs w:val="22"/>
        </w:rPr>
        <w:t>Reduc</w:t>
      </w:r>
      <w:r w:rsidR="000249A4" w:rsidRPr="001C25FF">
        <w:rPr>
          <w:rFonts w:ascii="Arial" w:hAnsi="Arial" w:cs="Arial"/>
          <w:sz w:val="22"/>
          <w:szCs w:val="22"/>
        </w:rPr>
        <w:t>ing</w:t>
      </w:r>
      <w:r w:rsidRPr="001C25FF">
        <w:rPr>
          <w:rFonts w:ascii="Arial" w:hAnsi="Arial" w:cs="Arial"/>
          <w:sz w:val="22"/>
          <w:szCs w:val="22"/>
        </w:rPr>
        <w:t xml:space="preserve"> </w:t>
      </w:r>
      <w:r w:rsidRPr="001C25FF">
        <w:rPr>
          <w:rFonts w:ascii="Arial" w:hAnsi="Arial" w:cs="Arial"/>
          <w:b/>
          <w:sz w:val="22"/>
          <w:szCs w:val="22"/>
        </w:rPr>
        <w:t>discrimination</w:t>
      </w:r>
      <w:r w:rsidRPr="001C25FF">
        <w:rPr>
          <w:rFonts w:ascii="Arial" w:hAnsi="Arial" w:cs="Arial"/>
          <w:sz w:val="22"/>
          <w:szCs w:val="22"/>
        </w:rPr>
        <w:t>.</w:t>
      </w:r>
    </w:p>
    <w:p w14:paraId="785003B9" w14:textId="77777777" w:rsidR="00363F26" w:rsidRPr="001C25FF" w:rsidRDefault="00363F26" w:rsidP="00363F26">
      <w:pPr>
        <w:kinsoku w:val="0"/>
        <w:overflowPunct w:val="0"/>
        <w:autoSpaceDE w:val="0"/>
        <w:autoSpaceDN w:val="0"/>
        <w:adjustRightInd w:val="0"/>
        <w:spacing w:after="0" w:line="240" w:lineRule="auto"/>
        <w:jc w:val="both"/>
        <w:rPr>
          <w:rFonts w:ascii="Arial" w:hAnsi="Arial" w:cs="Arial"/>
        </w:rPr>
      </w:pPr>
    </w:p>
    <w:p w14:paraId="2F50A591" w14:textId="4620FDBD" w:rsidR="000249A4" w:rsidRPr="001C25FF" w:rsidRDefault="00422192" w:rsidP="00D107C0">
      <w:pPr>
        <w:kinsoku w:val="0"/>
        <w:overflowPunct w:val="0"/>
        <w:rPr>
          <w:rFonts w:ascii="Arial" w:hAnsi="Arial" w:cs="Arial"/>
        </w:rPr>
      </w:pPr>
      <w:r w:rsidRPr="001C25FF">
        <w:rPr>
          <w:rFonts w:ascii="Arial" w:hAnsi="Arial" w:cs="Arial"/>
        </w:rPr>
        <w:t xml:space="preserve">It is clear that Dementia Australia cannot achieve these goals in isolation. </w:t>
      </w:r>
      <w:r w:rsidR="0083071F" w:rsidRPr="001C25FF">
        <w:rPr>
          <w:rFonts w:ascii="Arial" w:hAnsi="Arial" w:cs="Arial"/>
        </w:rPr>
        <w:t>And it is a</w:t>
      </w:r>
      <w:r w:rsidR="000249A4" w:rsidRPr="001C25FF">
        <w:rPr>
          <w:rFonts w:ascii="Arial" w:hAnsi="Arial" w:cs="Arial"/>
        </w:rPr>
        <w:t xml:space="preserve">lso clear that the current raft of </w:t>
      </w:r>
      <w:r w:rsidR="00077AD3" w:rsidRPr="001C25FF">
        <w:rPr>
          <w:rFonts w:ascii="Arial" w:hAnsi="Arial" w:cs="Arial"/>
        </w:rPr>
        <w:t xml:space="preserve">health, </w:t>
      </w:r>
      <w:r w:rsidR="0083071F" w:rsidRPr="001C25FF">
        <w:rPr>
          <w:rFonts w:ascii="Arial" w:hAnsi="Arial" w:cs="Arial"/>
        </w:rPr>
        <w:t>disability and aged care reforms</w:t>
      </w:r>
      <w:r w:rsidR="000249A4" w:rsidRPr="001C25FF">
        <w:rPr>
          <w:rFonts w:ascii="Arial" w:hAnsi="Arial" w:cs="Arial"/>
        </w:rPr>
        <w:t xml:space="preserve"> </w:t>
      </w:r>
      <w:r w:rsidR="0083071F" w:rsidRPr="001C25FF">
        <w:rPr>
          <w:rFonts w:ascii="Arial" w:hAnsi="Arial" w:cs="Arial"/>
        </w:rPr>
        <w:t>will not</w:t>
      </w:r>
      <w:r w:rsidR="00077AD3" w:rsidRPr="001C25FF">
        <w:rPr>
          <w:rFonts w:ascii="Arial" w:hAnsi="Arial" w:cs="Arial"/>
        </w:rPr>
        <w:t>, on their own,</w:t>
      </w:r>
      <w:r w:rsidR="0083071F" w:rsidRPr="001C25FF">
        <w:rPr>
          <w:rFonts w:ascii="Arial" w:hAnsi="Arial" w:cs="Arial"/>
        </w:rPr>
        <w:t xml:space="preserve"> result in the systemic change that is required to improve the lives of those impacted by dementia.</w:t>
      </w:r>
      <w:r w:rsidR="000249A4" w:rsidRPr="001C25FF">
        <w:rPr>
          <w:rFonts w:ascii="Arial" w:hAnsi="Arial" w:cs="Arial"/>
        </w:rPr>
        <w:t xml:space="preserve"> To put it simply, a generalised approach to reform is not enough. </w:t>
      </w:r>
      <w:r w:rsidR="00DB1C88" w:rsidRPr="001C25FF">
        <w:rPr>
          <w:rFonts w:ascii="Arial" w:hAnsi="Arial" w:cs="Arial"/>
        </w:rPr>
        <w:t>Dementia is not yet core business</w:t>
      </w:r>
      <w:r w:rsidR="000249A4" w:rsidRPr="001C25FF">
        <w:rPr>
          <w:rFonts w:ascii="Arial" w:hAnsi="Arial" w:cs="Arial"/>
        </w:rPr>
        <w:t xml:space="preserve"> and requires specific attention to make it so</w:t>
      </w:r>
      <w:r w:rsidR="00DB1C88" w:rsidRPr="001C25FF">
        <w:rPr>
          <w:rFonts w:ascii="Arial" w:hAnsi="Arial" w:cs="Arial"/>
        </w:rPr>
        <w:t>.</w:t>
      </w:r>
      <w:r w:rsidR="00077AD3" w:rsidRPr="001C25FF">
        <w:rPr>
          <w:rFonts w:ascii="Arial" w:hAnsi="Arial" w:cs="Arial"/>
        </w:rPr>
        <w:t xml:space="preserve"> </w:t>
      </w:r>
    </w:p>
    <w:p w14:paraId="2BC625E5" w14:textId="2B865ACF" w:rsidR="00DB1C88" w:rsidRPr="001C25FF" w:rsidRDefault="00D107C0" w:rsidP="00363F26">
      <w:pPr>
        <w:kinsoku w:val="0"/>
        <w:overflowPunct w:val="0"/>
        <w:jc w:val="both"/>
        <w:rPr>
          <w:rFonts w:ascii="Arial" w:hAnsi="Arial" w:cs="Arial"/>
        </w:rPr>
      </w:pPr>
      <w:r w:rsidRPr="001C25FF">
        <w:rPr>
          <w:rFonts w:ascii="Arial" w:hAnsi="Arial" w:cs="Arial"/>
        </w:rPr>
        <w:t xml:space="preserve">Each </w:t>
      </w:r>
      <w:r w:rsidR="00DB1C88" w:rsidRPr="001C25FF">
        <w:rPr>
          <w:rFonts w:ascii="Arial" w:hAnsi="Arial" w:cs="Arial"/>
        </w:rPr>
        <w:t xml:space="preserve">of the three </w:t>
      </w:r>
      <w:r w:rsidRPr="001C25FF">
        <w:rPr>
          <w:rFonts w:ascii="Arial" w:hAnsi="Arial" w:cs="Arial"/>
        </w:rPr>
        <w:t>priority area</w:t>
      </w:r>
      <w:r w:rsidR="00DB1C88" w:rsidRPr="001C25FF">
        <w:rPr>
          <w:rFonts w:ascii="Arial" w:hAnsi="Arial" w:cs="Arial"/>
        </w:rPr>
        <w:t>s</w:t>
      </w:r>
      <w:r w:rsidRPr="001C25FF">
        <w:rPr>
          <w:rFonts w:ascii="Arial" w:hAnsi="Arial" w:cs="Arial"/>
        </w:rPr>
        <w:t xml:space="preserve"> </w:t>
      </w:r>
      <w:r w:rsidR="00DB1C88" w:rsidRPr="001C25FF">
        <w:rPr>
          <w:rFonts w:ascii="Arial" w:hAnsi="Arial" w:cs="Arial"/>
        </w:rPr>
        <w:t xml:space="preserve">outlined below </w:t>
      </w:r>
      <w:r w:rsidRPr="001C25FF">
        <w:rPr>
          <w:rFonts w:ascii="Arial" w:hAnsi="Arial" w:cs="Arial"/>
        </w:rPr>
        <w:t>embrace a range of initiatives whic</w:t>
      </w:r>
      <w:r w:rsidR="005616D2" w:rsidRPr="001C25FF">
        <w:rPr>
          <w:rFonts w:ascii="Arial" w:hAnsi="Arial" w:cs="Arial"/>
        </w:rPr>
        <w:t>h will ensure tha</w:t>
      </w:r>
      <w:r w:rsidR="00DB1C88" w:rsidRPr="001C25FF">
        <w:rPr>
          <w:rFonts w:ascii="Arial" w:hAnsi="Arial" w:cs="Arial"/>
        </w:rPr>
        <w:t>t real, system-wide transformation</w:t>
      </w:r>
      <w:r w:rsidR="005616D2" w:rsidRPr="001C25FF">
        <w:rPr>
          <w:rFonts w:ascii="Arial" w:hAnsi="Arial" w:cs="Arial"/>
        </w:rPr>
        <w:t xml:space="preserve"> is achieved</w:t>
      </w:r>
      <w:r w:rsidR="00514692" w:rsidRPr="001C25FF">
        <w:rPr>
          <w:rFonts w:ascii="Arial" w:hAnsi="Arial" w:cs="Arial"/>
        </w:rPr>
        <w:t>. A total investment of $</w:t>
      </w:r>
      <w:r w:rsidR="00B01260">
        <w:rPr>
          <w:rFonts w:ascii="Arial" w:hAnsi="Arial" w:cs="Arial"/>
        </w:rPr>
        <w:t>30,06</w:t>
      </w:r>
      <w:r w:rsidR="001044FE" w:rsidRPr="001C25FF">
        <w:rPr>
          <w:rFonts w:ascii="Arial" w:hAnsi="Arial" w:cs="Arial"/>
        </w:rPr>
        <w:t>0,000</w:t>
      </w:r>
      <w:r w:rsidR="00DB1C88" w:rsidRPr="001C25FF">
        <w:rPr>
          <w:rFonts w:ascii="Arial" w:hAnsi="Arial" w:cs="Arial"/>
        </w:rPr>
        <w:t xml:space="preserve"> </w:t>
      </w:r>
      <w:r w:rsidR="00514692" w:rsidRPr="001C25FF">
        <w:rPr>
          <w:rFonts w:ascii="Arial" w:hAnsi="Arial" w:cs="Arial"/>
        </w:rPr>
        <w:t>over 5</w:t>
      </w:r>
      <w:r w:rsidR="00DB1C88" w:rsidRPr="001C25FF">
        <w:rPr>
          <w:rFonts w:ascii="Arial" w:hAnsi="Arial" w:cs="Arial"/>
        </w:rPr>
        <w:t xml:space="preserve"> years</w:t>
      </w:r>
      <w:r w:rsidR="000249A4" w:rsidRPr="001C25FF">
        <w:rPr>
          <w:rFonts w:ascii="Arial" w:hAnsi="Arial" w:cs="Arial"/>
        </w:rPr>
        <w:t xml:space="preserve"> will ensure that timely diagnosi</w:t>
      </w:r>
      <w:bookmarkStart w:id="0" w:name="_GoBack"/>
      <w:bookmarkEnd w:id="0"/>
      <w:r w:rsidR="000249A4" w:rsidRPr="001C25FF">
        <w:rPr>
          <w:rFonts w:ascii="Arial" w:hAnsi="Arial" w:cs="Arial"/>
        </w:rPr>
        <w:t xml:space="preserve">s, quality care and a life free of discrimination can become a reality. </w:t>
      </w:r>
    </w:p>
    <w:p w14:paraId="22556BA4" w14:textId="028BB8D1" w:rsidR="00514692" w:rsidRPr="001C25FF" w:rsidRDefault="00514692" w:rsidP="00514692">
      <w:pPr>
        <w:jc w:val="both"/>
        <w:rPr>
          <w:rFonts w:ascii="Arial" w:hAnsi="Arial" w:cs="Arial"/>
        </w:rPr>
      </w:pPr>
      <w:r w:rsidRPr="001C25FF">
        <w:rPr>
          <w:rFonts w:ascii="Arial" w:hAnsi="Arial" w:cs="Arial"/>
        </w:rPr>
        <w:t xml:space="preserve">At a total cost of just </w:t>
      </w:r>
      <w:r w:rsidR="001044FE" w:rsidRPr="001C25FF">
        <w:rPr>
          <w:rFonts w:ascii="Arial" w:hAnsi="Arial" w:cs="Arial"/>
        </w:rPr>
        <w:t>over</w:t>
      </w:r>
      <w:r w:rsidRPr="001C25FF">
        <w:rPr>
          <w:rFonts w:ascii="Arial" w:hAnsi="Arial" w:cs="Arial"/>
        </w:rPr>
        <w:t xml:space="preserve"> $30 million, the Federal Government can ensure that people living with dementia are</w:t>
      </w:r>
      <w:r w:rsidR="00F72D56" w:rsidRPr="001C25FF">
        <w:rPr>
          <w:rFonts w:ascii="Arial" w:hAnsi="Arial" w:cs="Arial"/>
        </w:rPr>
        <w:t>:</w:t>
      </w:r>
    </w:p>
    <w:p w14:paraId="420F2FCB" w14:textId="337ED5D2" w:rsidR="00514692" w:rsidRPr="001C25FF" w:rsidRDefault="00514692" w:rsidP="00514692">
      <w:pPr>
        <w:pStyle w:val="ListParagraph"/>
        <w:numPr>
          <w:ilvl w:val="0"/>
          <w:numId w:val="4"/>
        </w:numPr>
        <w:jc w:val="both"/>
        <w:rPr>
          <w:rFonts w:ascii="Arial" w:hAnsi="Arial" w:cs="Arial"/>
          <w:sz w:val="22"/>
          <w:szCs w:val="22"/>
        </w:rPr>
      </w:pPr>
      <w:r w:rsidRPr="001C25FF">
        <w:rPr>
          <w:rFonts w:ascii="Arial" w:hAnsi="Arial" w:cs="Arial"/>
          <w:sz w:val="22"/>
          <w:szCs w:val="22"/>
        </w:rPr>
        <w:t>supported by establishing a clear pathway towards diagnosis and beyond which will address timely and appropriate diagnosis</w:t>
      </w:r>
      <w:r w:rsidR="00ED4DA9">
        <w:rPr>
          <w:rFonts w:ascii="Arial" w:hAnsi="Arial" w:cs="Arial"/>
          <w:sz w:val="22"/>
          <w:szCs w:val="22"/>
        </w:rPr>
        <w:t xml:space="preserve"> support</w:t>
      </w:r>
      <w:r w:rsidR="00F72D56" w:rsidRPr="001C25FF">
        <w:rPr>
          <w:rFonts w:ascii="Arial" w:hAnsi="Arial" w:cs="Arial"/>
          <w:sz w:val="22"/>
          <w:szCs w:val="22"/>
        </w:rPr>
        <w:t>;</w:t>
      </w:r>
    </w:p>
    <w:p w14:paraId="5BA967F2" w14:textId="71410BA4" w:rsidR="00514692" w:rsidRPr="001C25FF" w:rsidRDefault="00514692" w:rsidP="00514692">
      <w:pPr>
        <w:pStyle w:val="ListParagraph"/>
        <w:numPr>
          <w:ilvl w:val="0"/>
          <w:numId w:val="4"/>
        </w:numPr>
        <w:jc w:val="both"/>
        <w:rPr>
          <w:rFonts w:ascii="Arial" w:hAnsi="Arial" w:cs="Arial"/>
          <w:sz w:val="22"/>
          <w:szCs w:val="22"/>
        </w:rPr>
      </w:pPr>
      <w:r w:rsidRPr="001C25FF">
        <w:rPr>
          <w:rFonts w:ascii="Arial" w:hAnsi="Arial" w:cs="Arial"/>
          <w:sz w:val="22"/>
          <w:szCs w:val="22"/>
        </w:rPr>
        <w:t>in receipt of quality dementia care by developing specific standards which will build the capacity of the sector to provide care which is truly person-centred and in line with evidence-based best practice</w:t>
      </w:r>
      <w:r w:rsidR="00F72D56" w:rsidRPr="001C25FF">
        <w:rPr>
          <w:rFonts w:ascii="Arial" w:hAnsi="Arial" w:cs="Arial"/>
          <w:sz w:val="22"/>
          <w:szCs w:val="22"/>
        </w:rPr>
        <w:t>; and</w:t>
      </w:r>
    </w:p>
    <w:p w14:paraId="0D0589A8" w14:textId="77777777" w:rsidR="00514692" w:rsidRPr="001C25FF" w:rsidRDefault="00514692" w:rsidP="00514692">
      <w:pPr>
        <w:pStyle w:val="ListParagraph"/>
        <w:numPr>
          <w:ilvl w:val="0"/>
          <w:numId w:val="4"/>
        </w:numPr>
        <w:jc w:val="both"/>
        <w:rPr>
          <w:rFonts w:ascii="Arial" w:hAnsi="Arial" w:cs="Arial"/>
          <w:sz w:val="22"/>
          <w:szCs w:val="22"/>
        </w:rPr>
      </w:pPr>
      <w:r w:rsidRPr="001C25FF">
        <w:rPr>
          <w:rFonts w:ascii="Arial" w:hAnsi="Arial" w:cs="Arial"/>
          <w:sz w:val="22"/>
          <w:szCs w:val="22"/>
        </w:rPr>
        <w:t xml:space="preserve">in the position where their diagnoses of dementia will not unduly make them suffer by reducing discrimination through providing education to communities around the complexity of living with dementia. </w:t>
      </w:r>
    </w:p>
    <w:p w14:paraId="287EA43C" w14:textId="38A2BD45" w:rsidR="00514692" w:rsidRPr="001C25FF" w:rsidRDefault="00514692" w:rsidP="001C25FF">
      <w:pPr>
        <w:rPr>
          <w:rFonts w:ascii="Arial" w:hAnsi="Arial" w:cs="Arial"/>
        </w:rPr>
      </w:pPr>
    </w:p>
    <w:p w14:paraId="5643E19F" w14:textId="236786C5" w:rsidR="00F72D56" w:rsidRPr="00CF237F" w:rsidRDefault="00F72D56" w:rsidP="001C25FF">
      <w:pPr>
        <w:rPr>
          <w:rFonts w:ascii="Arial" w:hAnsi="Arial" w:cs="Arial"/>
        </w:rPr>
      </w:pPr>
      <w:r>
        <w:rPr>
          <w:rFonts w:ascii="Arial" w:hAnsi="Arial" w:cs="Arial"/>
        </w:rPr>
        <w:lastRenderedPageBreak/>
        <w:t>The breakdown of funding required is as follows:</w:t>
      </w:r>
    </w:p>
    <w:p w14:paraId="1D6F6019" w14:textId="77777777" w:rsidR="00514692" w:rsidRPr="00CF237F" w:rsidRDefault="00514692" w:rsidP="00514692">
      <w:pPr>
        <w:jc w:val="center"/>
        <w:rPr>
          <w:rFonts w:ascii="Arial" w:hAnsi="Arial" w:cs="Arial"/>
        </w:rPr>
      </w:pPr>
    </w:p>
    <w:p w14:paraId="54C671CD" w14:textId="77777777" w:rsidR="00514692" w:rsidRPr="001C25FF" w:rsidRDefault="00514692" w:rsidP="00514692">
      <w:pPr>
        <w:jc w:val="center"/>
        <w:rPr>
          <w:rFonts w:ascii="Augustus" w:hAnsi="Augustus" w:cs="Arial"/>
          <w:b/>
          <w:color w:val="19B6BD"/>
        </w:rPr>
      </w:pPr>
      <w:r w:rsidRPr="001C25FF">
        <w:rPr>
          <w:rFonts w:ascii="Augustus" w:hAnsi="Augustus" w:cs="Arial"/>
          <w:b/>
          <w:color w:val="19B6BD"/>
        </w:rPr>
        <w:t>TOTAL FEDERAL FUNDING COMMITMENT</w:t>
      </w:r>
    </w:p>
    <w:tbl>
      <w:tblPr>
        <w:tblStyle w:val="ListTable2-Accent31"/>
        <w:tblW w:w="8642" w:type="dxa"/>
        <w:tblLook w:val="04A0" w:firstRow="1" w:lastRow="0" w:firstColumn="1" w:lastColumn="0" w:noHBand="0" w:noVBand="1"/>
      </w:tblPr>
      <w:tblGrid>
        <w:gridCol w:w="3084"/>
        <w:gridCol w:w="2730"/>
        <w:gridCol w:w="2828"/>
      </w:tblGrid>
      <w:tr w:rsidR="00514692" w:rsidRPr="00E45242" w14:paraId="6ED40F50" w14:textId="77777777" w:rsidTr="001C25FF">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084" w:type="dxa"/>
          </w:tcPr>
          <w:p w14:paraId="5C08B3B1" w14:textId="77777777" w:rsidR="00514692" w:rsidRPr="007D7463" w:rsidRDefault="00514692" w:rsidP="00EA2D19">
            <w:pPr>
              <w:rPr>
                <w:rFonts w:ascii="Arial" w:hAnsi="Arial" w:cs="Arial"/>
                <w:b w:val="0"/>
              </w:rPr>
            </w:pPr>
            <w:r w:rsidRPr="007D7463">
              <w:rPr>
                <w:rFonts w:ascii="Arial" w:hAnsi="Arial" w:cs="Arial"/>
              </w:rPr>
              <w:t>Priority 1</w:t>
            </w:r>
          </w:p>
        </w:tc>
        <w:tc>
          <w:tcPr>
            <w:tcW w:w="2730" w:type="dxa"/>
          </w:tcPr>
          <w:p w14:paraId="54E26E8F" w14:textId="14CC3A4B" w:rsidR="00514692" w:rsidRPr="007D7463" w:rsidRDefault="00514692" w:rsidP="00EA2D19">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D7463">
              <w:rPr>
                <w:rFonts w:ascii="Arial" w:hAnsi="Arial" w:cs="Arial"/>
              </w:rPr>
              <w:t>Timely diagnosis</w:t>
            </w:r>
            <w:r w:rsidR="0014155F">
              <w:rPr>
                <w:rFonts w:ascii="Arial" w:hAnsi="Arial" w:cs="Arial"/>
              </w:rPr>
              <w:t xml:space="preserve"> and support</w:t>
            </w:r>
          </w:p>
        </w:tc>
        <w:tc>
          <w:tcPr>
            <w:tcW w:w="2828" w:type="dxa"/>
          </w:tcPr>
          <w:p w14:paraId="0DB834F3" w14:textId="1DBF177C" w:rsidR="00514692" w:rsidRPr="007D7463" w:rsidRDefault="00B01260" w:rsidP="001C25FF">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$ 14,11</w:t>
            </w:r>
            <w:r w:rsidR="001044FE" w:rsidRPr="007D7463">
              <w:rPr>
                <w:rFonts w:ascii="Arial" w:hAnsi="Arial" w:cs="Arial"/>
              </w:rPr>
              <w:t>0,000</w:t>
            </w:r>
          </w:p>
        </w:tc>
      </w:tr>
      <w:tr w:rsidR="00514692" w:rsidRPr="00E45242" w14:paraId="36BD1418" w14:textId="77777777" w:rsidTr="001C25F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084" w:type="dxa"/>
          </w:tcPr>
          <w:p w14:paraId="585C6360" w14:textId="77777777" w:rsidR="00514692" w:rsidRPr="007D7463" w:rsidRDefault="00514692" w:rsidP="00EA2D19">
            <w:pPr>
              <w:rPr>
                <w:rFonts w:ascii="Arial" w:hAnsi="Arial" w:cs="Arial"/>
                <w:b w:val="0"/>
              </w:rPr>
            </w:pPr>
            <w:r w:rsidRPr="007D7463">
              <w:rPr>
                <w:rFonts w:ascii="Arial" w:hAnsi="Arial" w:cs="Arial"/>
              </w:rPr>
              <w:t>Priority 2</w:t>
            </w:r>
          </w:p>
        </w:tc>
        <w:tc>
          <w:tcPr>
            <w:tcW w:w="2730" w:type="dxa"/>
          </w:tcPr>
          <w:p w14:paraId="6B5D48B1" w14:textId="77777777" w:rsidR="00514692" w:rsidRPr="007D7463" w:rsidRDefault="00514692" w:rsidP="00EA2D19">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7463">
              <w:rPr>
                <w:rFonts w:ascii="Arial" w:hAnsi="Arial" w:cs="Arial"/>
                <w:b/>
              </w:rPr>
              <w:t>Quality Dementia Standards</w:t>
            </w:r>
          </w:p>
        </w:tc>
        <w:tc>
          <w:tcPr>
            <w:tcW w:w="2828" w:type="dxa"/>
          </w:tcPr>
          <w:p w14:paraId="74BAA0F0" w14:textId="66D67607" w:rsidR="00514692" w:rsidRPr="007D7463" w:rsidRDefault="00514692" w:rsidP="001C25FF">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7463">
              <w:rPr>
                <w:rFonts w:ascii="Arial" w:hAnsi="Arial" w:cs="Arial"/>
                <w:b/>
              </w:rPr>
              <w:t>$   8,</w:t>
            </w:r>
            <w:r w:rsidR="001044FE" w:rsidRPr="007D7463">
              <w:rPr>
                <w:rFonts w:ascii="Arial" w:hAnsi="Arial" w:cs="Arial"/>
                <w:b/>
              </w:rPr>
              <w:t>800,000</w:t>
            </w:r>
          </w:p>
        </w:tc>
      </w:tr>
      <w:tr w:rsidR="00514692" w:rsidRPr="00E45242" w14:paraId="4344EF4E" w14:textId="77777777" w:rsidTr="001C25FF">
        <w:trPr>
          <w:trHeight w:val="575"/>
        </w:trPr>
        <w:tc>
          <w:tcPr>
            <w:cnfStyle w:val="001000000000" w:firstRow="0" w:lastRow="0" w:firstColumn="1" w:lastColumn="0" w:oddVBand="0" w:evenVBand="0" w:oddHBand="0" w:evenHBand="0" w:firstRowFirstColumn="0" w:firstRowLastColumn="0" w:lastRowFirstColumn="0" w:lastRowLastColumn="0"/>
            <w:tcW w:w="3084" w:type="dxa"/>
          </w:tcPr>
          <w:p w14:paraId="0EB8AEC5" w14:textId="77777777" w:rsidR="00514692" w:rsidRPr="007D7463" w:rsidRDefault="00514692" w:rsidP="00EA2D19">
            <w:pPr>
              <w:rPr>
                <w:rFonts w:ascii="Arial" w:hAnsi="Arial" w:cs="Arial"/>
                <w:b w:val="0"/>
              </w:rPr>
            </w:pPr>
            <w:r w:rsidRPr="007D7463">
              <w:rPr>
                <w:rFonts w:ascii="Arial" w:hAnsi="Arial" w:cs="Arial"/>
              </w:rPr>
              <w:t>Priority 3</w:t>
            </w:r>
          </w:p>
        </w:tc>
        <w:tc>
          <w:tcPr>
            <w:tcW w:w="2730" w:type="dxa"/>
          </w:tcPr>
          <w:p w14:paraId="5E156B12" w14:textId="77777777" w:rsidR="00514692" w:rsidRPr="007D7463" w:rsidRDefault="00514692" w:rsidP="00EA2D19">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D7463">
              <w:rPr>
                <w:rFonts w:ascii="Arial" w:hAnsi="Arial" w:cs="Arial"/>
                <w:b/>
              </w:rPr>
              <w:t>Reducing discrimination</w:t>
            </w:r>
          </w:p>
        </w:tc>
        <w:tc>
          <w:tcPr>
            <w:tcW w:w="2828" w:type="dxa"/>
          </w:tcPr>
          <w:p w14:paraId="76B97185" w14:textId="7A307FB1" w:rsidR="00514692" w:rsidRPr="007D7463" w:rsidRDefault="00514692" w:rsidP="001C25FF">
            <w:pPr>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r w:rsidRPr="007D7463">
              <w:rPr>
                <w:rFonts w:ascii="Arial" w:hAnsi="Arial" w:cs="Arial"/>
                <w:b/>
              </w:rPr>
              <w:t>$   7,150,000</w:t>
            </w:r>
          </w:p>
        </w:tc>
      </w:tr>
      <w:tr w:rsidR="00514692" w:rsidRPr="00E45242" w14:paraId="3F8F0822" w14:textId="77777777" w:rsidTr="001C25F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084" w:type="dxa"/>
          </w:tcPr>
          <w:p w14:paraId="469D6411" w14:textId="7B2D9BBB" w:rsidR="00514692" w:rsidRPr="007D7463" w:rsidRDefault="00514692" w:rsidP="00EA2D19">
            <w:pPr>
              <w:rPr>
                <w:rFonts w:ascii="Arial" w:hAnsi="Arial" w:cs="Arial"/>
                <w:b w:val="0"/>
              </w:rPr>
            </w:pPr>
          </w:p>
        </w:tc>
        <w:tc>
          <w:tcPr>
            <w:tcW w:w="2730" w:type="dxa"/>
          </w:tcPr>
          <w:p w14:paraId="1F14CD20" w14:textId="4AE7A66A" w:rsidR="00514692" w:rsidRPr="007D7463" w:rsidRDefault="00F72D56" w:rsidP="00EA2D19">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TOTAL</w:t>
            </w:r>
          </w:p>
        </w:tc>
        <w:tc>
          <w:tcPr>
            <w:tcW w:w="2828" w:type="dxa"/>
          </w:tcPr>
          <w:p w14:paraId="7C0DFC25" w14:textId="67314DC8" w:rsidR="00514692" w:rsidRPr="007D7463" w:rsidRDefault="00514692" w:rsidP="00B01260">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7463">
              <w:rPr>
                <w:rFonts w:ascii="Arial" w:hAnsi="Arial" w:cs="Arial"/>
                <w:b/>
              </w:rPr>
              <w:t xml:space="preserve">$ </w:t>
            </w:r>
            <w:r w:rsidR="00B01260">
              <w:rPr>
                <w:rFonts w:ascii="Arial" w:hAnsi="Arial" w:cs="Arial"/>
                <w:b/>
              </w:rPr>
              <w:t>30,06</w:t>
            </w:r>
            <w:r w:rsidR="001044FE" w:rsidRPr="007D7463">
              <w:rPr>
                <w:rFonts w:ascii="Arial" w:hAnsi="Arial" w:cs="Arial"/>
                <w:b/>
              </w:rPr>
              <w:t>0,</w:t>
            </w:r>
            <w:r w:rsidR="00B01260">
              <w:rPr>
                <w:rFonts w:ascii="Arial" w:hAnsi="Arial" w:cs="Arial"/>
                <w:b/>
              </w:rPr>
              <w:t>000</w:t>
            </w:r>
            <w:r w:rsidRPr="007D7463">
              <w:rPr>
                <w:rFonts w:ascii="Arial" w:hAnsi="Arial" w:cs="Arial"/>
                <w:b/>
              </w:rPr>
              <w:t xml:space="preserve">         </w:t>
            </w:r>
          </w:p>
        </w:tc>
      </w:tr>
    </w:tbl>
    <w:p w14:paraId="4B37F06F" w14:textId="302C00CE" w:rsidR="00DB1C88" w:rsidRDefault="00DB1C88" w:rsidP="00A57F36">
      <w:pPr>
        <w:kinsoku w:val="0"/>
        <w:overflowPunct w:val="0"/>
        <w:autoSpaceDE w:val="0"/>
        <w:autoSpaceDN w:val="0"/>
        <w:adjustRightInd w:val="0"/>
        <w:spacing w:after="0" w:line="240" w:lineRule="auto"/>
        <w:rPr>
          <w:rFonts w:ascii="Arial" w:hAnsi="Arial" w:cs="Arial"/>
          <w:b/>
          <w:sz w:val="24"/>
          <w:szCs w:val="24"/>
        </w:rPr>
      </w:pPr>
    </w:p>
    <w:p w14:paraId="3C0FAC8A" w14:textId="77777777" w:rsidR="00DB1C88" w:rsidRDefault="00DB1C88" w:rsidP="00A57F36">
      <w:pPr>
        <w:kinsoku w:val="0"/>
        <w:overflowPunct w:val="0"/>
        <w:autoSpaceDE w:val="0"/>
        <w:autoSpaceDN w:val="0"/>
        <w:adjustRightInd w:val="0"/>
        <w:spacing w:after="0" w:line="240" w:lineRule="auto"/>
        <w:rPr>
          <w:rFonts w:ascii="Arial" w:hAnsi="Arial" w:cs="Arial"/>
          <w:b/>
          <w:sz w:val="24"/>
          <w:szCs w:val="24"/>
        </w:rPr>
      </w:pPr>
    </w:p>
    <w:p w14:paraId="19A1E93C" w14:textId="5D85E80C" w:rsidR="00F72D56" w:rsidRDefault="00F72D56">
      <w:pPr>
        <w:rPr>
          <w:rFonts w:ascii="Arial" w:eastAsia="Times New Roman" w:hAnsi="Arial" w:cs="Arial"/>
          <w:b/>
          <w:bCs/>
          <w:color w:val="2DBDB6"/>
          <w:sz w:val="28"/>
          <w:szCs w:val="28"/>
        </w:rPr>
      </w:pPr>
    </w:p>
    <w:p w14:paraId="37568F54" w14:textId="77777777" w:rsidR="00884778" w:rsidRDefault="00884778" w:rsidP="00A57F36">
      <w:pPr>
        <w:kinsoku w:val="0"/>
        <w:overflowPunct w:val="0"/>
        <w:autoSpaceDE w:val="0"/>
        <w:autoSpaceDN w:val="0"/>
        <w:adjustRightInd w:val="0"/>
        <w:spacing w:after="0" w:line="240" w:lineRule="auto"/>
        <w:rPr>
          <w:rFonts w:ascii="Arial" w:hAnsi="Arial" w:cs="Arial"/>
          <w:sz w:val="24"/>
          <w:szCs w:val="24"/>
        </w:rPr>
      </w:pPr>
    </w:p>
    <w:p w14:paraId="34FA5052" w14:textId="77777777" w:rsidR="003814CE" w:rsidRDefault="003814CE">
      <w:pPr>
        <w:rPr>
          <w:rFonts w:ascii="Augustus" w:hAnsi="Augustus" w:cs="Arial"/>
          <w:b/>
          <w:caps/>
          <w:color w:val="19B6BD"/>
          <w:sz w:val="28"/>
          <w:szCs w:val="28"/>
        </w:rPr>
      </w:pPr>
      <w:r>
        <w:rPr>
          <w:rFonts w:ascii="Augustus" w:hAnsi="Augustus" w:cs="Arial"/>
          <w:b/>
          <w:caps/>
          <w:color w:val="19B6BD"/>
          <w:sz w:val="28"/>
          <w:szCs w:val="28"/>
        </w:rPr>
        <w:br w:type="page"/>
      </w:r>
    </w:p>
    <w:p w14:paraId="0EC562FC" w14:textId="33C88E83" w:rsidR="00884778" w:rsidRPr="001C25FF" w:rsidRDefault="00491073" w:rsidP="001C25FF">
      <w:pPr>
        <w:kinsoku w:val="0"/>
        <w:overflowPunct w:val="0"/>
        <w:autoSpaceDE w:val="0"/>
        <w:autoSpaceDN w:val="0"/>
        <w:adjustRightInd w:val="0"/>
        <w:spacing w:after="0" w:line="240" w:lineRule="auto"/>
        <w:rPr>
          <w:rFonts w:ascii="Augustus" w:hAnsi="Augustus" w:cs="Arial"/>
          <w:b/>
          <w:caps/>
          <w:color w:val="19B6BD"/>
          <w:sz w:val="28"/>
          <w:szCs w:val="28"/>
        </w:rPr>
      </w:pPr>
      <w:r w:rsidRPr="001C25FF">
        <w:rPr>
          <w:rFonts w:ascii="Augustus" w:hAnsi="Augustus" w:cs="Arial"/>
          <w:b/>
          <w:caps/>
          <w:color w:val="19B6BD"/>
          <w:sz w:val="28"/>
          <w:szCs w:val="28"/>
        </w:rPr>
        <w:lastRenderedPageBreak/>
        <w:t xml:space="preserve">Priority </w:t>
      </w:r>
      <w:r w:rsidR="00DA7D9D" w:rsidRPr="001C25FF">
        <w:rPr>
          <w:rFonts w:ascii="Augustus" w:hAnsi="Augustus" w:cs="Arial"/>
          <w:b/>
          <w:caps/>
          <w:color w:val="19B6BD"/>
          <w:sz w:val="28"/>
          <w:szCs w:val="28"/>
        </w:rPr>
        <w:t>#</w:t>
      </w:r>
      <w:r w:rsidRPr="001C25FF">
        <w:rPr>
          <w:rFonts w:ascii="Augustus" w:hAnsi="Augustus" w:cs="Arial"/>
          <w:b/>
          <w:caps/>
          <w:color w:val="19B6BD"/>
          <w:sz w:val="28"/>
          <w:szCs w:val="28"/>
        </w:rPr>
        <w:t xml:space="preserve">1: </w:t>
      </w:r>
      <w:r w:rsidR="001C714D" w:rsidRPr="001C25FF">
        <w:rPr>
          <w:rFonts w:ascii="Augustus" w:hAnsi="Augustus" w:cs="Arial"/>
          <w:b/>
          <w:caps/>
          <w:color w:val="19B6BD"/>
          <w:sz w:val="28"/>
          <w:szCs w:val="28"/>
        </w:rPr>
        <w:t>Develop a C</w:t>
      </w:r>
      <w:r w:rsidR="00C62BA6" w:rsidRPr="001C25FF">
        <w:rPr>
          <w:rFonts w:ascii="Augustus" w:hAnsi="Augustus" w:cs="Arial"/>
          <w:b/>
          <w:caps/>
          <w:color w:val="19B6BD"/>
          <w:sz w:val="28"/>
          <w:szCs w:val="28"/>
        </w:rPr>
        <w:t>lear Pathway f</w:t>
      </w:r>
      <w:r w:rsidR="001C714D" w:rsidRPr="001C25FF">
        <w:rPr>
          <w:rFonts w:ascii="Augustus" w:hAnsi="Augustus" w:cs="Arial"/>
          <w:b/>
          <w:caps/>
          <w:color w:val="19B6BD"/>
          <w:sz w:val="28"/>
          <w:szCs w:val="28"/>
        </w:rPr>
        <w:t>or Diagnosis</w:t>
      </w:r>
      <w:r w:rsidR="00EC1158">
        <w:rPr>
          <w:rFonts w:ascii="Augustus" w:hAnsi="Augustus" w:cs="Arial"/>
          <w:b/>
          <w:caps/>
          <w:color w:val="19B6BD"/>
          <w:sz w:val="28"/>
          <w:szCs w:val="28"/>
        </w:rPr>
        <w:t xml:space="preserve"> and support </w:t>
      </w:r>
    </w:p>
    <w:p w14:paraId="45730C61" w14:textId="77777777" w:rsidR="00BD037C" w:rsidRPr="00884778" w:rsidRDefault="00BD037C" w:rsidP="00BD037C">
      <w:pPr>
        <w:kinsoku w:val="0"/>
        <w:overflowPunct w:val="0"/>
        <w:autoSpaceDE w:val="0"/>
        <w:autoSpaceDN w:val="0"/>
        <w:adjustRightInd w:val="0"/>
        <w:spacing w:after="0" w:line="240" w:lineRule="auto"/>
        <w:jc w:val="center"/>
        <w:rPr>
          <w:rFonts w:ascii="Arial" w:hAnsi="Arial" w:cs="Arial"/>
          <w:sz w:val="24"/>
          <w:szCs w:val="24"/>
        </w:rPr>
      </w:pPr>
    </w:p>
    <w:tbl>
      <w:tblPr>
        <w:tblStyle w:val="PlainTable21"/>
        <w:tblW w:w="8222" w:type="dxa"/>
        <w:tblBorders>
          <w:insideH w:val="single" w:sz="4" w:space="0" w:color="7F7F7F" w:themeColor="text1" w:themeTint="80"/>
        </w:tblBorders>
        <w:tblLook w:val="04A0" w:firstRow="1" w:lastRow="0" w:firstColumn="1" w:lastColumn="0" w:noHBand="0" w:noVBand="1"/>
      </w:tblPr>
      <w:tblGrid>
        <w:gridCol w:w="1701"/>
        <w:gridCol w:w="4533"/>
        <w:gridCol w:w="1988"/>
      </w:tblGrid>
      <w:tr w:rsidR="00884778" w:rsidRPr="00884778" w14:paraId="37EA75DF" w14:textId="77777777" w:rsidTr="001C25F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tcBorders>
          </w:tcPr>
          <w:p w14:paraId="69AEACDE" w14:textId="504E2636" w:rsidR="00884778" w:rsidRPr="00884778" w:rsidRDefault="00884778" w:rsidP="00884778">
            <w:pPr>
              <w:kinsoku w:val="0"/>
              <w:overflowPunct w:val="0"/>
              <w:autoSpaceDE w:val="0"/>
              <w:autoSpaceDN w:val="0"/>
              <w:adjustRightInd w:val="0"/>
              <w:rPr>
                <w:rFonts w:ascii="Arial" w:hAnsi="Arial" w:cs="Arial"/>
                <w:b w:val="0"/>
                <w:sz w:val="24"/>
                <w:szCs w:val="24"/>
              </w:rPr>
            </w:pPr>
            <w:r w:rsidRPr="00884778">
              <w:rPr>
                <w:rFonts w:ascii="Arial" w:hAnsi="Arial" w:cs="Arial"/>
                <w:sz w:val="24"/>
                <w:szCs w:val="24"/>
              </w:rPr>
              <w:t>Initiative 1.</w:t>
            </w:r>
            <w:r w:rsidR="00DA7D9D">
              <w:rPr>
                <w:rFonts w:ascii="Arial" w:hAnsi="Arial" w:cs="Arial"/>
                <w:sz w:val="24"/>
                <w:szCs w:val="24"/>
              </w:rPr>
              <w:t>1</w:t>
            </w:r>
          </w:p>
        </w:tc>
        <w:tc>
          <w:tcPr>
            <w:tcW w:w="4533" w:type="dxa"/>
            <w:tcBorders>
              <w:bottom w:val="none" w:sz="0" w:space="0" w:color="auto"/>
            </w:tcBorders>
          </w:tcPr>
          <w:p w14:paraId="6D2AB35C" w14:textId="77777777" w:rsidR="00884778" w:rsidRPr="00E45242" w:rsidRDefault="00884778" w:rsidP="00884778">
            <w:pPr>
              <w:kinsoku w:val="0"/>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45242">
              <w:rPr>
                <w:rFonts w:ascii="Arial" w:hAnsi="Arial" w:cs="Arial"/>
                <w:b w:val="0"/>
                <w:sz w:val="24"/>
                <w:szCs w:val="24"/>
              </w:rPr>
              <w:t>Timely diagnosis of dementia</w:t>
            </w:r>
          </w:p>
        </w:tc>
        <w:tc>
          <w:tcPr>
            <w:tcW w:w="1988" w:type="dxa"/>
            <w:tcBorders>
              <w:bottom w:val="none" w:sz="0" w:space="0" w:color="auto"/>
            </w:tcBorders>
          </w:tcPr>
          <w:p w14:paraId="1A2FD426" w14:textId="033428EA" w:rsidR="00884778" w:rsidRPr="00E45242" w:rsidRDefault="00884778" w:rsidP="001C25FF">
            <w:pPr>
              <w:kinsoku w:val="0"/>
              <w:overflowPunct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45242">
              <w:rPr>
                <w:rFonts w:ascii="Arial" w:hAnsi="Arial" w:cs="Arial"/>
                <w:b w:val="0"/>
                <w:sz w:val="24"/>
                <w:szCs w:val="24"/>
              </w:rPr>
              <w:t>$  1,260,000</w:t>
            </w:r>
          </w:p>
        </w:tc>
      </w:tr>
      <w:tr w:rsidR="00884778" w:rsidRPr="00884778" w14:paraId="7D9D9078" w14:textId="77777777" w:rsidTr="001C25F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tcPr>
          <w:p w14:paraId="38B8AB1A" w14:textId="63333FBD" w:rsidR="00884778" w:rsidRPr="00884778" w:rsidRDefault="00884778" w:rsidP="001C25FF">
            <w:pPr>
              <w:kinsoku w:val="0"/>
              <w:overflowPunct w:val="0"/>
              <w:autoSpaceDE w:val="0"/>
              <w:autoSpaceDN w:val="0"/>
              <w:adjustRightInd w:val="0"/>
              <w:rPr>
                <w:rFonts w:ascii="Arial" w:hAnsi="Arial" w:cs="Arial"/>
                <w:b w:val="0"/>
                <w:sz w:val="24"/>
                <w:szCs w:val="24"/>
              </w:rPr>
            </w:pPr>
            <w:r w:rsidRPr="00884778">
              <w:rPr>
                <w:rFonts w:ascii="Arial" w:hAnsi="Arial" w:cs="Arial"/>
                <w:sz w:val="24"/>
                <w:szCs w:val="24"/>
              </w:rPr>
              <w:t xml:space="preserve">Initiative </w:t>
            </w:r>
            <w:r w:rsidR="00DA7D9D">
              <w:rPr>
                <w:rFonts w:ascii="Arial" w:hAnsi="Arial" w:cs="Arial"/>
                <w:sz w:val="24"/>
                <w:szCs w:val="24"/>
              </w:rPr>
              <w:t>1.</w:t>
            </w:r>
            <w:r w:rsidRPr="00884778">
              <w:rPr>
                <w:rFonts w:ascii="Arial" w:hAnsi="Arial" w:cs="Arial"/>
                <w:sz w:val="24"/>
                <w:szCs w:val="24"/>
              </w:rPr>
              <w:t>2</w:t>
            </w:r>
          </w:p>
        </w:tc>
        <w:tc>
          <w:tcPr>
            <w:tcW w:w="4533" w:type="dxa"/>
            <w:tcBorders>
              <w:top w:val="none" w:sz="0" w:space="0" w:color="auto"/>
              <w:bottom w:val="none" w:sz="0" w:space="0" w:color="auto"/>
            </w:tcBorders>
          </w:tcPr>
          <w:p w14:paraId="1F88DC0A" w14:textId="77777777" w:rsidR="00884778" w:rsidRPr="00884778" w:rsidRDefault="00884778" w:rsidP="00884778">
            <w:pPr>
              <w:kinsoku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84778">
              <w:rPr>
                <w:rFonts w:ascii="Arial" w:hAnsi="Arial" w:cs="Arial"/>
                <w:sz w:val="24"/>
                <w:szCs w:val="24"/>
              </w:rPr>
              <w:t>Direct referral model</w:t>
            </w:r>
          </w:p>
        </w:tc>
        <w:tc>
          <w:tcPr>
            <w:tcW w:w="1988" w:type="dxa"/>
            <w:tcBorders>
              <w:top w:val="none" w:sz="0" w:space="0" w:color="auto"/>
              <w:bottom w:val="none" w:sz="0" w:space="0" w:color="auto"/>
            </w:tcBorders>
          </w:tcPr>
          <w:p w14:paraId="606E2C12" w14:textId="1DDD6E24" w:rsidR="00884778" w:rsidRPr="00884778" w:rsidRDefault="00884778" w:rsidP="001C25FF">
            <w:pPr>
              <w:kinsoku w:val="0"/>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84778">
              <w:rPr>
                <w:rFonts w:ascii="Arial" w:hAnsi="Arial" w:cs="Arial"/>
                <w:sz w:val="24"/>
                <w:szCs w:val="24"/>
              </w:rPr>
              <w:t>$</w:t>
            </w:r>
            <w:r w:rsidR="00B01260">
              <w:rPr>
                <w:rFonts w:ascii="Arial" w:hAnsi="Arial" w:cs="Arial"/>
                <w:sz w:val="24"/>
                <w:szCs w:val="24"/>
              </w:rPr>
              <w:t xml:space="preserve"> </w:t>
            </w:r>
            <w:r w:rsidRPr="00884778">
              <w:rPr>
                <w:rFonts w:ascii="Arial" w:hAnsi="Arial" w:cs="Arial"/>
                <w:sz w:val="24"/>
                <w:szCs w:val="24"/>
              </w:rPr>
              <w:t xml:space="preserve"> 2,</w:t>
            </w:r>
            <w:r w:rsidR="00857BFE">
              <w:rPr>
                <w:rFonts w:ascii="Arial" w:hAnsi="Arial" w:cs="Arial"/>
                <w:sz w:val="24"/>
                <w:szCs w:val="24"/>
              </w:rPr>
              <w:t>500,000</w:t>
            </w:r>
          </w:p>
        </w:tc>
      </w:tr>
      <w:tr w:rsidR="00884778" w:rsidRPr="00884778" w14:paraId="0CD75CAD" w14:textId="77777777" w:rsidTr="001C25FF">
        <w:trPr>
          <w:trHeight w:val="411"/>
        </w:trPr>
        <w:tc>
          <w:tcPr>
            <w:cnfStyle w:val="001000000000" w:firstRow="0" w:lastRow="0" w:firstColumn="1" w:lastColumn="0" w:oddVBand="0" w:evenVBand="0" w:oddHBand="0" w:evenHBand="0" w:firstRowFirstColumn="0" w:firstRowLastColumn="0" w:lastRowFirstColumn="0" w:lastRowLastColumn="0"/>
            <w:tcW w:w="1701" w:type="dxa"/>
          </w:tcPr>
          <w:p w14:paraId="20BC34F2" w14:textId="40212694" w:rsidR="00884778" w:rsidRPr="00884778" w:rsidRDefault="00884778" w:rsidP="001C25FF">
            <w:pPr>
              <w:kinsoku w:val="0"/>
              <w:overflowPunct w:val="0"/>
              <w:autoSpaceDE w:val="0"/>
              <w:autoSpaceDN w:val="0"/>
              <w:adjustRightInd w:val="0"/>
              <w:rPr>
                <w:rFonts w:ascii="Arial" w:hAnsi="Arial" w:cs="Arial"/>
                <w:b w:val="0"/>
                <w:sz w:val="24"/>
                <w:szCs w:val="24"/>
              </w:rPr>
            </w:pPr>
            <w:r w:rsidRPr="00884778">
              <w:rPr>
                <w:rFonts w:ascii="Arial" w:hAnsi="Arial" w:cs="Arial"/>
                <w:sz w:val="24"/>
                <w:szCs w:val="24"/>
              </w:rPr>
              <w:t xml:space="preserve">Initiative </w:t>
            </w:r>
            <w:r w:rsidR="00DA7D9D">
              <w:rPr>
                <w:rFonts w:ascii="Arial" w:hAnsi="Arial" w:cs="Arial"/>
                <w:sz w:val="24"/>
                <w:szCs w:val="24"/>
              </w:rPr>
              <w:t>1.</w:t>
            </w:r>
            <w:r w:rsidRPr="00884778">
              <w:rPr>
                <w:rFonts w:ascii="Arial" w:hAnsi="Arial" w:cs="Arial"/>
                <w:sz w:val="24"/>
                <w:szCs w:val="24"/>
              </w:rPr>
              <w:t>3</w:t>
            </w:r>
          </w:p>
        </w:tc>
        <w:tc>
          <w:tcPr>
            <w:tcW w:w="4533" w:type="dxa"/>
          </w:tcPr>
          <w:p w14:paraId="6F47EA5F" w14:textId="77777777" w:rsidR="00884778" w:rsidRPr="00884778" w:rsidRDefault="00884778" w:rsidP="00884778">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84778">
              <w:rPr>
                <w:rFonts w:ascii="Arial" w:hAnsi="Arial" w:cs="Arial"/>
                <w:sz w:val="24"/>
                <w:szCs w:val="24"/>
              </w:rPr>
              <w:t>Dementia Care Navigator model</w:t>
            </w:r>
          </w:p>
        </w:tc>
        <w:tc>
          <w:tcPr>
            <w:tcW w:w="1988" w:type="dxa"/>
          </w:tcPr>
          <w:p w14:paraId="34F74323" w14:textId="2469418C" w:rsidR="00884778" w:rsidRPr="00884778" w:rsidRDefault="00B01260" w:rsidP="001C25FF">
            <w:pPr>
              <w:kinsoku w:val="0"/>
              <w:overflowPunct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r w:rsidR="00884778" w:rsidRPr="00884778">
              <w:rPr>
                <w:rFonts w:ascii="Arial" w:hAnsi="Arial" w:cs="Arial"/>
                <w:sz w:val="24"/>
                <w:szCs w:val="24"/>
              </w:rPr>
              <w:t>10,3</w:t>
            </w:r>
            <w:r w:rsidR="000C37F9">
              <w:rPr>
                <w:rFonts w:ascii="Arial" w:hAnsi="Arial" w:cs="Arial"/>
                <w:sz w:val="24"/>
                <w:szCs w:val="24"/>
              </w:rPr>
              <w:t>5</w:t>
            </w:r>
            <w:r w:rsidR="00857BFE">
              <w:rPr>
                <w:rFonts w:ascii="Arial" w:hAnsi="Arial" w:cs="Arial"/>
                <w:sz w:val="24"/>
                <w:szCs w:val="24"/>
              </w:rPr>
              <w:t>0,000</w:t>
            </w:r>
          </w:p>
        </w:tc>
      </w:tr>
      <w:tr w:rsidR="00884778" w:rsidRPr="00884778" w14:paraId="4C8482A4" w14:textId="77777777" w:rsidTr="001C25F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tcPr>
          <w:p w14:paraId="3D0B0CD9" w14:textId="3571FA6B" w:rsidR="00884778" w:rsidRPr="00514692" w:rsidRDefault="00884778" w:rsidP="00514692">
            <w:pPr>
              <w:kinsoku w:val="0"/>
              <w:overflowPunct w:val="0"/>
              <w:autoSpaceDE w:val="0"/>
              <w:autoSpaceDN w:val="0"/>
              <w:adjustRightInd w:val="0"/>
              <w:rPr>
                <w:rFonts w:ascii="Arial" w:hAnsi="Arial" w:cs="Arial"/>
                <w:sz w:val="24"/>
                <w:szCs w:val="24"/>
              </w:rPr>
            </w:pPr>
          </w:p>
        </w:tc>
        <w:tc>
          <w:tcPr>
            <w:tcW w:w="4533" w:type="dxa"/>
            <w:tcBorders>
              <w:top w:val="none" w:sz="0" w:space="0" w:color="auto"/>
              <w:bottom w:val="none" w:sz="0" w:space="0" w:color="auto"/>
            </w:tcBorders>
          </w:tcPr>
          <w:p w14:paraId="6BF8BCEB" w14:textId="72BF5B89" w:rsidR="00884778" w:rsidRPr="001C25FF" w:rsidRDefault="00987BCE" w:rsidP="00884778">
            <w:pPr>
              <w:kinsoku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ugustus" w:hAnsi="Augustus" w:cs="Arial"/>
                <w:b/>
                <w:sz w:val="24"/>
                <w:szCs w:val="24"/>
              </w:rPr>
            </w:pPr>
            <w:r w:rsidRPr="001C25FF">
              <w:rPr>
                <w:rFonts w:ascii="Augustus" w:hAnsi="Augustus" w:cs="Arial"/>
                <w:b/>
                <w:sz w:val="24"/>
                <w:szCs w:val="24"/>
              </w:rPr>
              <w:t>TOTAL</w:t>
            </w:r>
          </w:p>
        </w:tc>
        <w:tc>
          <w:tcPr>
            <w:tcW w:w="1988" w:type="dxa"/>
            <w:tcBorders>
              <w:top w:val="none" w:sz="0" w:space="0" w:color="auto"/>
              <w:bottom w:val="none" w:sz="0" w:space="0" w:color="auto"/>
            </w:tcBorders>
          </w:tcPr>
          <w:p w14:paraId="40746647" w14:textId="4CC59EB5" w:rsidR="00884778" w:rsidRPr="00884778" w:rsidRDefault="00884778" w:rsidP="001C25FF">
            <w:pPr>
              <w:kinsoku w:val="0"/>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84778">
              <w:rPr>
                <w:rFonts w:ascii="Arial" w:hAnsi="Arial" w:cs="Arial"/>
                <w:b/>
                <w:sz w:val="24"/>
                <w:szCs w:val="24"/>
              </w:rPr>
              <w:t>$14,</w:t>
            </w:r>
            <w:r w:rsidR="00B01260">
              <w:rPr>
                <w:rFonts w:ascii="Arial" w:hAnsi="Arial" w:cs="Arial"/>
                <w:b/>
                <w:sz w:val="24"/>
                <w:szCs w:val="24"/>
              </w:rPr>
              <w:t>11</w:t>
            </w:r>
            <w:r w:rsidR="00857BFE">
              <w:rPr>
                <w:rFonts w:ascii="Arial" w:hAnsi="Arial" w:cs="Arial"/>
                <w:b/>
                <w:sz w:val="24"/>
                <w:szCs w:val="24"/>
              </w:rPr>
              <w:t>0,000</w:t>
            </w:r>
          </w:p>
        </w:tc>
      </w:tr>
    </w:tbl>
    <w:p w14:paraId="1294A70C" w14:textId="77777777" w:rsidR="00884778" w:rsidRPr="00884778" w:rsidRDefault="00884778" w:rsidP="00884778">
      <w:pPr>
        <w:kinsoku w:val="0"/>
        <w:overflowPunct w:val="0"/>
        <w:autoSpaceDE w:val="0"/>
        <w:autoSpaceDN w:val="0"/>
        <w:adjustRightInd w:val="0"/>
        <w:spacing w:after="0" w:line="240" w:lineRule="auto"/>
        <w:jc w:val="both"/>
        <w:outlineLvl w:val="0"/>
        <w:rPr>
          <w:rFonts w:ascii="Arial" w:hAnsi="Arial" w:cs="Arial"/>
          <w:sz w:val="24"/>
          <w:szCs w:val="24"/>
        </w:rPr>
      </w:pPr>
    </w:p>
    <w:p w14:paraId="24C8D536" w14:textId="77777777" w:rsidR="00491073" w:rsidRDefault="00491073" w:rsidP="00884778">
      <w:pPr>
        <w:kinsoku w:val="0"/>
        <w:overflowPunct w:val="0"/>
        <w:autoSpaceDE w:val="0"/>
        <w:autoSpaceDN w:val="0"/>
        <w:adjustRightInd w:val="0"/>
        <w:spacing w:after="0" w:line="240" w:lineRule="auto"/>
        <w:jc w:val="both"/>
        <w:outlineLvl w:val="0"/>
        <w:rPr>
          <w:rFonts w:ascii="Arial" w:hAnsi="Arial" w:cs="Arial"/>
          <w:b/>
          <w:sz w:val="24"/>
          <w:szCs w:val="24"/>
        </w:rPr>
      </w:pPr>
    </w:p>
    <w:p w14:paraId="47A83888" w14:textId="5E7A7D8F" w:rsidR="00BD037C" w:rsidRPr="001C25FF" w:rsidRDefault="00BD037C" w:rsidP="00884778">
      <w:pPr>
        <w:kinsoku w:val="0"/>
        <w:overflowPunct w:val="0"/>
        <w:autoSpaceDE w:val="0"/>
        <w:autoSpaceDN w:val="0"/>
        <w:adjustRightInd w:val="0"/>
        <w:spacing w:after="0" w:line="240" w:lineRule="auto"/>
        <w:jc w:val="both"/>
        <w:outlineLvl w:val="0"/>
        <w:rPr>
          <w:rFonts w:ascii="Augustus" w:hAnsi="Augustus" w:cs="Arial"/>
          <w:b/>
          <w:sz w:val="24"/>
          <w:szCs w:val="24"/>
        </w:rPr>
      </w:pPr>
      <w:r w:rsidRPr="001C25FF">
        <w:rPr>
          <w:rFonts w:ascii="Augustus" w:hAnsi="Augustus" w:cs="Arial"/>
          <w:b/>
          <w:sz w:val="24"/>
          <w:szCs w:val="24"/>
        </w:rPr>
        <w:t>Initiative 1</w:t>
      </w:r>
      <w:r w:rsidR="00DA7D9D" w:rsidRPr="001C25FF">
        <w:rPr>
          <w:rFonts w:ascii="Augustus" w:hAnsi="Augustus" w:cs="Arial"/>
          <w:b/>
          <w:sz w:val="24"/>
          <w:szCs w:val="24"/>
        </w:rPr>
        <w:t>.1</w:t>
      </w:r>
      <w:r w:rsidRPr="001C25FF">
        <w:rPr>
          <w:rFonts w:ascii="Augustus" w:hAnsi="Augustus" w:cs="Arial"/>
          <w:b/>
          <w:sz w:val="24"/>
          <w:szCs w:val="24"/>
        </w:rPr>
        <w:t>: Timely diagnosis of dementia</w:t>
      </w:r>
    </w:p>
    <w:p w14:paraId="1B8D90ED" w14:textId="77777777" w:rsidR="005616D2" w:rsidRDefault="005616D2" w:rsidP="00884778">
      <w:pPr>
        <w:kinsoku w:val="0"/>
        <w:overflowPunct w:val="0"/>
        <w:autoSpaceDE w:val="0"/>
        <w:autoSpaceDN w:val="0"/>
        <w:adjustRightInd w:val="0"/>
        <w:spacing w:after="0" w:line="240" w:lineRule="auto"/>
        <w:jc w:val="both"/>
        <w:outlineLvl w:val="0"/>
        <w:rPr>
          <w:rFonts w:ascii="Arial" w:hAnsi="Arial" w:cs="Arial"/>
        </w:rPr>
      </w:pPr>
    </w:p>
    <w:p w14:paraId="20FD8D92" w14:textId="528E025A" w:rsidR="005616D2" w:rsidRPr="001C25FF" w:rsidRDefault="005616D2" w:rsidP="00363F26">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In partnership with people living with dementia, their fa</w:t>
      </w:r>
      <w:r w:rsidR="00363F26" w:rsidRPr="001C25FF">
        <w:rPr>
          <w:rFonts w:ascii="Arial" w:hAnsi="Arial" w:cs="Arial"/>
        </w:rPr>
        <w:t>milies and care</w:t>
      </w:r>
      <w:r w:rsidR="00E46CD6" w:rsidRPr="001C25FF">
        <w:rPr>
          <w:rFonts w:ascii="Arial" w:hAnsi="Arial" w:cs="Arial"/>
        </w:rPr>
        <w:t>r</w:t>
      </w:r>
      <w:r w:rsidR="00363F26" w:rsidRPr="001C25FF">
        <w:rPr>
          <w:rFonts w:ascii="Arial" w:hAnsi="Arial" w:cs="Arial"/>
        </w:rPr>
        <w:t>s, health,</w:t>
      </w:r>
      <w:r w:rsidRPr="001C25FF">
        <w:rPr>
          <w:rFonts w:ascii="Arial" w:hAnsi="Arial" w:cs="Arial"/>
        </w:rPr>
        <w:t xml:space="preserve"> aged care sector, government and vulnerable community groups, Dementia Australia will identify</w:t>
      </w:r>
      <w:r w:rsidR="000249A4" w:rsidRPr="001C25FF">
        <w:rPr>
          <w:rFonts w:ascii="Arial" w:hAnsi="Arial" w:cs="Arial"/>
        </w:rPr>
        <w:t xml:space="preserve"> </w:t>
      </w:r>
      <w:r w:rsidRPr="001C25FF">
        <w:rPr>
          <w:rFonts w:ascii="Arial" w:hAnsi="Arial" w:cs="Arial"/>
        </w:rPr>
        <w:t>the barriers to seeking a diagnosis</w:t>
      </w:r>
      <w:r w:rsidR="00966443" w:rsidRPr="001C25FF">
        <w:rPr>
          <w:rFonts w:ascii="Arial" w:hAnsi="Arial" w:cs="Arial"/>
        </w:rPr>
        <w:t>.</w:t>
      </w:r>
      <w:r w:rsidRPr="001C25FF">
        <w:rPr>
          <w:rFonts w:ascii="Arial" w:hAnsi="Arial" w:cs="Arial"/>
        </w:rPr>
        <w:t xml:space="preserve"> </w:t>
      </w:r>
    </w:p>
    <w:p w14:paraId="3A2CD9BB" w14:textId="77777777" w:rsidR="005616D2" w:rsidRPr="001C25FF" w:rsidRDefault="005616D2" w:rsidP="00491073">
      <w:pPr>
        <w:kinsoku w:val="0"/>
        <w:overflowPunct w:val="0"/>
        <w:autoSpaceDE w:val="0"/>
        <w:autoSpaceDN w:val="0"/>
        <w:adjustRightInd w:val="0"/>
        <w:spacing w:after="0" w:line="240" w:lineRule="auto"/>
        <w:jc w:val="both"/>
        <w:outlineLvl w:val="0"/>
        <w:rPr>
          <w:rFonts w:ascii="Arial" w:hAnsi="Arial" w:cs="Arial"/>
        </w:rPr>
      </w:pPr>
    </w:p>
    <w:p w14:paraId="65A99D8B" w14:textId="46BAD795" w:rsidR="00491073" w:rsidRPr="001C25FF" w:rsidRDefault="00491073" w:rsidP="00491073">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$1.26</w:t>
      </w:r>
      <w:r w:rsidR="000249A4" w:rsidRPr="001C25FF">
        <w:rPr>
          <w:rFonts w:ascii="Arial" w:hAnsi="Arial" w:cs="Arial"/>
        </w:rPr>
        <w:t xml:space="preserve"> million</w:t>
      </w:r>
    </w:p>
    <w:p w14:paraId="370DC9B2" w14:textId="77777777" w:rsidR="005616D2" w:rsidRDefault="005616D2" w:rsidP="00491073">
      <w:pPr>
        <w:kinsoku w:val="0"/>
        <w:overflowPunct w:val="0"/>
        <w:autoSpaceDE w:val="0"/>
        <w:autoSpaceDN w:val="0"/>
        <w:adjustRightInd w:val="0"/>
        <w:spacing w:after="0" w:line="240" w:lineRule="auto"/>
        <w:jc w:val="both"/>
        <w:outlineLvl w:val="0"/>
        <w:rPr>
          <w:rFonts w:ascii="Arial" w:hAnsi="Arial" w:cs="Arial"/>
          <w:sz w:val="24"/>
          <w:szCs w:val="24"/>
        </w:rPr>
      </w:pPr>
    </w:p>
    <w:p w14:paraId="26FF703B" w14:textId="77777777" w:rsidR="00491073" w:rsidRPr="00491073" w:rsidRDefault="00491073" w:rsidP="00491073">
      <w:pPr>
        <w:kinsoku w:val="0"/>
        <w:overflowPunct w:val="0"/>
        <w:autoSpaceDE w:val="0"/>
        <w:autoSpaceDN w:val="0"/>
        <w:adjustRightInd w:val="0"/>
        <w:spacing w:after="0" w:line="240" w:lineRule="auto"/>
        <w:jc w:val="both"/>
        <w:outlineLvl w:val="0"/>
        <w:rPr>
          <w:rFonts w:ascii="Arial" w:hAnsi="Arial" w:cs="Arial"/>
          <w:sz w:val="24"/>
          <w:szCs w:val="24"/>
        </w:rPr>
      </w:pPr>
    </w:p>
    <w:p w14:paraId="3081549C" w14:textId="1C2FC732" w:rsidR="00BD037C" w:rsidRPr="001C25FF" w:rsidRDefault="00BD037C" w:rsidP="00884778">
      <w:pPr>
        <w:kinsoku w:val="0"/>
        <w:overflowPunct w:val="0"/>
        <w:autoSpaceDE w:val="0"/>
        <w:autoSpaceDN w:val="0"/>
        <w:adjustRightInd w:val="0"/>
        <w:spacing w:after="0" w:line="240" w:lineRule="auto"/>
        <w:jc w:val="both"/>
        <w:outlineLvl w:val="0"/>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1.</w:t>
      </w:r>
      <w:r w:rsidRPr="001C25FF">
        <w:rPr>
          <w:rFonts w:ascii="Augustus" w:hAnsi="Augustus" w:cs="Arial"/>
          <w:b/>
          <w:sz w:val="24"/>
          <w:szCs w:val="24"/>
        </w:rPr>
        <w:t>2: Direct referral model</w:t>
      </w:r>
    </w:p>
    <w:p w14:paraId="6C97C1F5" w14:textId="77777777" w:rsidR="005616D2" w:rsidRDefault="005616D2" w:rsidP="00884778">
      <w:pPr>
        <w:kinsoku w:val="0"/>
        <w:overflowPunct w:val="0"/>
        <w:autoSpaceDE w:val="0"/>
        <w:autoSpaceDN w:val="0"/>
        <w:adjustRightInd w:val="0"/>
        <w:spacing w:after="0" w:line="240" w:lineRule="auto"/>
        <w:jc w:val="both"/>
        <w:outlineLvl w:val="0"/>
        <w:rPr>
          <w:rFonts w:ascii="Arial" w:hAnsi="Arial" w:cs="Arial"/>
          <w:b/>
        </w:rPr>
      </w:pPr>
    </w:p>
    <w:p w14:paraId="14F8B351" w14:textId="7C77ED54" w:rsidR="005616D2" w:rsidRPr="001C25FF" w:rsidRDefault="001044FE" w:rsidP="005616D2">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A clear pathway of referral is required across multiple entry points, which includes aged care, disability and health care sectors. A key component of this in</w:t>
      </w:r>
      <w:r w:rsidR="00320EAE" w:rsidRPr="001C25FF">
        <w:rPr>
          <w:rFonts w:ascii="Arial" w:hAnsi="Arial" w:cs="Arial"/>
        </w:rPr>
        <w:t>i</w:t>
      </w:r>
      <w:r w:rsidRPr="001C25FF">
        <w:rPr>
          <w:rFonts w:ascii="Arial" w:hAnsi="Arial" w:cs="Arial"/>
        </w:rPr>
        <w:t xml:space="preserve">tiative will be harnessing the experience and </w:t>
      </w:r>
      <w:r w:rsidR="00320EAE" w:rsidRPr="001C25FF">
        <w:rPr>
          <w:rFonts w:ascii="Arial" w:hAnsi="Arial" w:cs="Arial"/>
        </w:rPr>
        <w:t xml:space="preserve">established </w:t>
      </w:r>
      <w:r w:rsidRPr="001C25FF">
        <w:rPr>
          <w:rFonts w:ascii="Arial" w:hAnsi="Arial" w:cs="Arial"/>
        </w:rPr>
        <w:t xml:space="preserve">connections of Dementia Australia to ensure that </w:t>
      </w:r>
      <w:r w:rsidR="00524540" w:rsidRPr="00524540">
        <w:rPr>
          <w:rFonts w:ascii="Arial" w:hAnsi="Arial" w:cs="Arial"/>
        </w:rPr>
        <w:t>referral pathways to services, including reablement and other services that support indepen</w:t>
      </w:r>
      <w:r w:rsidR="00524540">
        <w:rPr>
          <w:rFonts w:ascii="Arial" w:hAnsi="Arial" w:cs="Arial"/>
        </w:rPr>
        <w:t>dence, are clear and consistent</w:t>
      </w:r>
      <w:r w:rsidR="00524540" w:rsidRPr="00524540">
        <w:rPr>
          <w:rFonts w:ascii="Arial" w:hAnsi="Arial" w:cs="Arial"/>
        </w:rPr>
        <w:t>.</w:t>
      </w:r>
    </w:p>
    <w:p w14:paraId="2403DFB4" w14:textId="77777777" w:rsidR="00BD037C" w:rsidRPr="001C25FF" w:rsidRDefault="00BD037C" w:rsidP="00884778">
      <w:pPr>
        <w:kinsoku w:val="0"/>
        <w:overflowPunct w:val="0"/>
        <w:autoSpaceDE w:val="0"/>
        <w:autoSpaceDN w:val="0"/>
        <w:adjustRightInd w:val="0"/>
        <w:spacing w:after="0" w:line="240" w:lineRule="auto"/>
        <w:jc w:val="both"/>
        <w:outlineLvl w:val="0"/>
        <w:rPr>
          <w:rFonts w:ascii="Arial" w:hAnsi="Arial" w:cs="Arial"/>
          <w:b/>
        </w:rPr>
      </w:pPr>
    </w:p>
    <w:p w14:paraId="43A9B57C" w14:textId="05D37355" w:rsidR="000E22D7" w:rsidRPr="001C25FF" w:rsidRDefault="000E22D7" w:rsidP="00884778">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$2.</w:t>
      </w:r>
      <w:r w:rsidR="00857BFE" w:rsidRPr="001C25FF">
        <w:rPr>
          <w:rFonts w:ascii="Arial" w:hAnsi="Arial" w:cs="Arial"/>
        </w:rPr>
        <w:t>5</w:t>
      </w:r>
      <w:r w:rsidR="000249A4" w:rsidRPr="001C25FF">
        <w:rPr>
          <w:rFonts w:ascii="Arial" w:hAnsi="Arial" w:cs="Arial"/>
        </w:rPr>
        <w:t xml:space="preserve"> million</w:t>
      </w:r>
    </w:p>
    <w:p w14:paraId="60A43F9F" w14:textId="77777777" w:rsidR="00304929" w:rsidRPr="001C25FF" w:rsidRDefault="00304929" w:rsidP="00884778">
      <w:pPr>
        <w:kinsoku w:val="0"/>
        <w:overflowPunct w:val="0"/>
        <w:autoSpaceDE w:val="0"/>
        <w:autoSpaceDN w:val="0"/>
        <w:adjustRightInd w:val="0"/>
        <w:spacing w:after="0" w:line="240" w:lineRule="auto"/>
        <w:jc w:val="both"/>
        <w:outlineLvl w:val="0"/>
        <w:rPr>
          <w:rFonts w:ascii="Arial" w:hAnsi="Arial" w:cs="Arial"/>
        </w:rPr>
      </w:pPr>
    </w:p>
    <w:p w14:paraId="18298DFB" w14:textId="77777777" w:rsidR="00491073" w:rsidRDefault="00491073" w:rsidP="00884778">
      <w:pPr>
        <w:kinsoku w:val="0"/>
        <w:overflowPunct w:val="0"/>
        <w:autoSpaceDE w:val="0"/>
        <w:autoSpaceDN w:val="0"/>
        <w:adjustRightInd w:val="0"/>
        <w:spacing w:after="0" w:line="240" w:lineRule="auto"/>
        <w:jc w:val="both"/>
        <w:outlineLvl w:val="0"/>
        <w:rPr>
          <w:rFonts w:ascii="Arial" w:hAnsi="Arial" w:cs="Arial"/>
          <w:b/>
          <w:sz w:val="24"/>
          <w:szCs w:val="24"/>
        </w:rPr>
      </w:pPr>
    </w:p>
    <w:p w14:paraId="0D389A26" w14:textId="2DD92C2D" w:rsidR="00884778" w:rsidRPr="001C25FF" w:rsidRDefault="00884778" w:rsidP="00884778">
      <w:pPr>
        <w:kinsoku w:val="0"/>
        <w:overflowPunct w:val="0"/>
        <w:autoSpaceDE w:val="0"/>
        <w:autoSpaceDN w:val="0"/>
        <w:adjustRightInd w:val="0"/>
        <w:spacing w:after="0" w:line="240" w:lineRule="auto"/>
        <w:jc w:val="both"/>
        <w:outlineLvl w:val="0"/>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1.</w:t>
      </w:r>
      <w:r w:rsidRPr="001C25FF">
        <w:rPr>
          <w:rFonts w:ascii="Augustus" w:hAnsi="Augustus" w:cs="Arial"/>
          <w:b/>
          <w:sz w:val="24"/>
          <w:szCs w:val="24"/>
        </w:rPr>
        <w:t>3</w:t>
      </w:r>
      <w:r w:rsidRPr="001C25FF">
        <w:rPr>
          <w:rFonts w:ascii="Augustus" w:hAnsi="Augustus" w:cs="Arial"/>
          <w:sz w:val="24"/>
          <w:szCs w:val="24"/>
        </w:rPr>
        <w:t xml:space="preserve">: </w:t>
      </w:r>
      <w:r w:rsidRPr="001C25FF">
        <w:rPr>
          <w:rFonts w:ascii="Augustus" w:hAnsi="Augustus" w:cs="Arial"/>
          <w:b/>
          <w:sz w:val="24"/>
          <w:szCs w:val="24"/>
        </w:rPr>
        <w:t>Dementia Care Navigators</w:t>
      </w:r>
    </w:p>
    <w:p w14:paraId="4F7E4D9D" w14:textId="77777777" w:rsidR="00884778" w:rsidRPr="00884778" w:rsidRDefault="00884778" w:rsidP="00884778">
      <w:pPr>
        <w:kinsoku w:val="0"/>
        <w:overflowPunct w:val="0"/>
        <w:autoSpaceDE w:val="0"/>
        <w:autoSpaceDN w:val="0"/>
        <w:adjustRightInd w:val="0"/>
        <w:spacing w:after="0" w:line="240" w:lineRule="auto"/>
        <w:ind w:left="720"/>
        <w:jc w:val="both"/>
        <w:outlineLvl w:val="0"/>
        <w:rPr>
          <w:rFonts w:ascii="Arial" w:hAnsi="Arial" w:cs="Arial"/>
          <w:sz w:val="24"/>
          <w:szCs w:val="24"/>
        </w:rPr>
      </w:pPr>
    </w:p>
    <w:p w14:paraId="3B746783" w14:textId="00DE6D43" w:rsidR="00884778" w:rsidRPr="001C25FF" w:rsidRDefault="004C410A"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 xml:space="preserve">Working directly with people living with dementia, </w:t>
      </w:r>
      <w:r w:rsidR="0073642A" w:rsidRPr="001C25FF">
        <w:rPr>
          <w:rFonts w:ascii="Arial" w:hAnsi="Arial" w:cs="Arial"/>
        </w:rPr>
        <w:t>their carers and families</w:t>
      </w:r>
      <w:r w:rsidRPr="001C25FF">
        <w:rPr>
          <w:rFonts w:ascii="Arial" w:hAnsi="Arial" w:cs="Arial"/>
        </w:rPr>
        <w:t>, Dementia Australia will provide</w:t>
      </w:r>
      <w:r w:rsidR="00E46CD6" w:rsidRPr="001C25FF">
        <w:rPr>
          <w:rFonts w:ascii="Arial" w:hAnsi="Arial" w:cs="Arial"/>
        </w:rPr>
        <w:t xml:space="preserve"> assistance with navigating </w:t>
      </w:r>
      <w:r w:rsidRPr="001C25FF">
        <w:rPr>
          <w:rFonts w:ascii="Arial" w:hAnsi="Arial" w:cs="Arial"/>
        </w:rPr>
        <w:t>aged care, disability and health care services</w:t>
      </w:r>
      <w:r w:rsidR="00EC1158">
        <w:rPr>
          <w:rFonts w:ascii="Arial" w:hAnsi="Arial" w:cs="Arial"/>
        </w:rPr>
        <w:t>, and most importantly navigating the changes as the disease progresses</w:t>
      </w:r>
      <w:r w:rsidRPr="001C25FF">
        <w:rPr>
          <w:rFonts w:ascii="Arial" w:hAnsi="Arial" w:cs="Arial"/>
        </w:rPr>
        <w:t xml:space="preserve">. The dementia </w:t>
      </w:r>
      <w:r w:rsidR="00A45C71" w:rsidRPr="001C25FF">
        <w:rPr>
          <w:rFonts w:ascii="Arial" w:hAnsi="Arial" w:cs="Arial"/>
        </w:rPr>
        <w:t xml:space="preserve">care </w:t>
      </w:r>
      <w:r w:rsidRPr="001C25FF">
        <w:rPr>
          <w:rFonts w:ascii="Arial" w:hAnsi="Arial" w:cs="Arial"/>
        </w:rPr>
        <w:t xml:space="preserve">navigator scheme </w:t>
      </w:r>
      <w:r w:rsidR="00A45C71" w:rsidRPr="001C25FF">
        <w:rPr>
          <w:rFonts w:ascii="Arial" w:hAnsi="Arial" w:cs="Arial"/>
        </w:rPr>
        <w:t>will expand on</w:t>
      </w:r>
      <w:r w:rsidR="008E4FAF" w:rsidRPr="001C25FF">
        <w:rPr>
          <w:rFonts w:ascii="Arial" w:hAnsi="Arial" w:cs="Arial"/>
        </w:rPr>
        <w:t xml:space="preserve"> the 201</w:t>
      </w:r>
      <w:r w:rsidR="00A45C71" w:rsidRPr="001C25FF">
        <w:rPr>
          <w:rFonts w:ascii="Arial" w:hAnsi="Arial" w:cs="Arial"/>
        </w:rPr>
        <w:t xml:space="preserve">8-2019 </w:t>
      </w:r>
      <w:r w:rsidR="00EC1158">
        <w:rPr>
          <w:rFonts w:ascii="Arial" w:hAnsi="Arial" w:cs="Arial"/>
        </w:rPr>
        <w:t xml:space="preserve">System </w:t>
      </w:r>
      <w:r w:rsidR="00A45C71" w:rsidRPr="001C25FF">
        <w:rPr>
          <w:rFonts w:ascii="Arial" w:hAnsi="Arial" w:cs="Arial"/>
        </w:rPr>
        <w:t xml:space="preserve">Navigator Budget measure and </w:t>
      </w:r>
      <w:r w:rsidRPr="001C25FF">
        <w:rPr>
          <w:rFonts w:ascii="Arial" w:hAnsi="Arial" w:cs="Arial"/>
        </w:rPr>
        <w:t>will trial a</w:t>
      </w:r>
      <w:r w:rsidR="008E4FAF" w:rsidRPr="001C25FF">
        <w:rPr>
          <w:rFonts w:ascii="Arial" w:hAnsi="Arial" w:cs="Arial"/>
        </w:rPr>
        <w:t>n</w:t>
      </w:r>
      <w:r w:rsidRPr="001C25FF">
        <w:rPr>
          <w:rFonts w:ascii="Arial" w:hAnsi="Arial" w:cs="Arial"/>
        </w:rPr>
        <w:t xml:space="preserve"> </w:t>
      </w:r>
      <w:r w:rsidR="008E4FAF" w:rsidRPr="001C25FF">
        <w:rPr>
          <w:rFonts w:ascii="Arial" w:hAnsi="Arial" w:cs="Arial"/>
        </w:rPr>
        <w:t xml:space="preserve">extended </w:t>
      </w:r>
      <w:r w:rsidRPr="001C25FF">
        <w:rPr>
          <w:rFonts w:ascii="Arial" w:hAnsi="Arial" w:cs="Arial"/>
        </w:rPr>
        <w:t>sample of this cohort across Australia, including in regional areas to ensure that it is the most effective approach for navigating the complexities of dementia.</w:t>
      </w:r>
    </w:p>
    <w:p w14:paraId="7BB3E082" w14:textId="77777777" w:rsidR="004C410A" w:rsidRPr="001C25FF" w:rsidRDefault="004C410A" w:rsidP="00363F26">
      <w:pPr>
        <w:kinsoku w:val="0"/>
        <w:overflowPunct w:val="0"/>
        <w:autoSpaceDE w:val="0"/>
        <w:autoSpaceDN w:val="0"/>
        <w:adjustRightInd w:val="0"/>
        <w:spacing w:after="0" w:line="240" w:lineRule="auto"/>
        <w:jc w:val="both"/>
        <w:rPr>
          <w:rFonts w:ascii="Arial" w:hAnsi="Arial" w:cs="Arial"/>
        </w:rPr>
      </w:pPr>
    </w:p>
    <w:p w14:paraId="3EB8C5DA" w14:textId="1BFC3988" w:rsidR="004C410A" w:rsidRPr="001C25FF" w:rsidRDefault="004C410A" w:rsidP="00363F26">
      <w:pPr>
        <w:kinsoku w:val="0"/>
        <w:overflowPunct w:val="0"/>
        <w:autoSpaceDE w:val="0"/>
        <w:autoSpaceDN w:val="0"/>
        <w:adjustRightInd w:val="0"/>
        <w:spacing w:after="0" w:line="240" w:lineRule="auto"/>
        <w:jc w:val="both"/>
        <w:rPr>
          <w:rFonts w:ascii="Arial" w:hAnsi="Arial" w:cs="Arial"/>
        </w:rPr>
      </w:pPr>
      <w:r w:rsidRPr="001C25FF">
        <w:rPr>
          <w:rFonts w:ascii="Arial" w:hAnsi="Arial" w:cs="Arial"/>
        </w:rPr>
        <w:t>Implementation cost: $10.3</w:t>
      </w:r>
      <w:r w:rsidR="000C37F9" w:rsidRPr="001C25FF">
        <w:rPr>
          <w:rFonts w:ascii="Arial" w:hAnsi="Arial" w:cs="Arial"/>
        </w:rPr>
        <w:t>5</w:t>
      </w:r>
      <w:r w:rsidRPr="001C25FF">
        <w:rPr>
          <w:rFonts w:ascii="Arial" w:hAnsi="Arial" w:cs="Arial"/>
        </w:rPr>
        <w:t xml:space="preserve"> </w:t>
      </w:r>
      <w:r w:rsidR="000249A4" w:rsidRPr="001C25FF">
        <w:rPr>
          <w:rFonts w:ascii="Arial" w:hAnsi="Arial" w:cs="Arial"/>
        </w:rPr>
        <w:t>million</w:t>
      </w:r>
    </w:p>
    <w:p w14:paraId="518B01F4" w14:textId="77777777" w:rsidR="00884778" w:rsidRPr="001C714D" w:rsidRDefault="00884778" w:rsidP="00A57F36">
      <w:pPr>
        <w:kinsoku w:val="0"/>
        <w:overflowPunct w:val="0"/>
        <w:autoSpaceDE w:val="0"/>
        <w:autoSpaceDN w:val="0"/>
        <w:adjustRightInd w:val="0"/>
        <w:spacing w:after="0" w:line="240" w:lineRule="auto"/>
        <w:rPr>
          <w:rFonts w:ascii="Arial" w:hAnsi="Arial" w:cs="Arial"/>
          <w:b/>
          <w:sz w:val="24"/>
          <w:szCs w:val="24"/>
        </w:rPr>
      </w:pPr>
    </w:p>
    <w:p w14:paraId="7E50E84D" w14:textId="7523F0E5" w:rsidR="00DA7D9D" w:rsidRDefault="00DA7D9D">
      <w:pPr>
        <w:rPr>
          <w:rFonts w:ascii="Arial" w:hAnsi="Arial" w:cs="Arial"/>
          <w:b/>
          <w:sz w:val="24"/>
          <w:szCs w:val="24"/>
        </w:rPr>
      </w:pPr>
    </w:p>
    <w:p w14:paraId="45508ACE" w14:textId="77777777" w:rsidR="003814CE" w:rsidRDefault="003814CE">
      <w:pPr>
        <w:rPr>
          <w:rFonts w:ascii="Augustus" w:hAnsi="Augustus" w:cs="Arial"/>
          <w:b/>
          <w:caps/>
          <w:color w:val="19B6BD"/>
          <w:sz w:val="28"/>
          <w:szCs w:val="28"/>
        </w:rPr>
      </w:pPr>
      <w:r>
        <w:rPr>
          <w:rFonts w:ascii="Augustus" w:hAnsi="Augustus" w:cs="Arial"/>
          <w:b/>
          <w:caps/>
          <w:color w:val="19B6BD"/>
          <w:sz w:val="28"/>
          <w:szCs w:val="28"/>
        </w:rPr>
        <w:br w:type="page"/>
      </w:r>
    </w:p>
    <w:p w14:paraId="5CD6CB99" w14:textId="01E83BF3" w:rsidR="00884778" w:rsidRPr="001C25FF" w:rsidRDefault="00CF237F" w:rsidP="001C25FF">
      <w:pPr>
        <w:kinsoku w:val="0"/>
        <w:overflowPunct w:val="0"/>
        <w:autoSpaceDE w:val="0"/>
        <w:autoSpaceDN w:val="0"/>
        <w:adjustRightInd w:val="0"/>
        <w:spacing w:after="0" w:line="240" w:lineRule="auto"/>
        <w:rPr>
          <w:rFonts w:ascii="Augustus" w:hAnsi="Augustus" w:cs="Arial"/>
          <w:b/>
          <w:caps/>
          <w:color w:val="19B6BD"/>
          <w:sz w:val="28"/>
          <w:szCs w:val="28"/>
        </w:rPr>
      </w:pPr>
      <w:r w:rsidRPr="001C25FF">
        <w:rPr>
          <w:rFonts w:ascii="Augustus" w:hAnsi="Augustus" w:cs="Arial"/>
          <w:b/>
          <w:caps/>
          <w:color w:val="19B6BD"/>
          <w:sz w:val="28"/>
          <w:szCs w:val="28"/>
        </w:rPr>
        <w:lastRenderedPageBreak/>
        <w:t xml:space="preserve">Priority </w:t>
      </w:r>
      <w:r w:rsidR="00DA7D9D" w:rsidRPr="001C25FF">
        <w:rPr>
          <w:rFonts w:ascii="Augustus" w:hAnsi="Augustus" w:cs="Arial"/>
          <w:b/>
          <w:caps/>
          <w:color w:val="19B6BD"/>
          <w:sz w:val="28"/>
          <w:szCs w:val="28"/>
        </w:rPr>
        <w:t>#</w:t>
      </w:r>
      <w:r w:rsidRPr="001C25FF">
        <w:rPr>
          <w:rFonts w:ascii="Augustus" w:hAnsi="Augustus" w:cs="Arial"/>
          <w:b/>
          <w:caps/>
          <w:color w:val="19B6BD"/>
          <w:sz w:val="28"/>
          <w:szCs w:val="28"/>
        </w:rPr>
        <w:t>2: Define Standards in Quality Dementia Care</w:t>
      </w:r>
    </w:p>
    <w:p w14:paraId="26040304" w14:textId="77777777" w:rsidR="00987BCE" w:rsidRPr="00304929" w:rsidRDefault="00987BCE" w:rsidP="00304929">
      <w:pPr>
        <w:kinsoku w:val="0"/>
        <w:overflowPunct w:val="0"/>
        <w:jc w:val="center"/>
        <w:rPr>
          <w:rFonts w:ascii="Arial" w:hAnsi="Arial" w:cs="Arial"/>
          <w:sz w:val="24"/>
          <w:szCs w:val="24"/>
        </w:rPr>
      </w:pPr>
    </w:p>
    <w:tbl>
      <w:tblPr>
        <w:tblStyle w:val="PlainTable21"/>
        <w:tblW w:w="0" w:type="auto"/>
        <w:tblLook w:val="04A0" w:firstRow="1" w:lastRow="0" w:firstColumn="1" w:lastColumn="0" w:noHBand="0" w:noVBand="1"/>
      </w:tblPr>
      <w:tblGrid>
        <w:gridCol w:w="3005"/>
        <w:gridCol w:w="3005"/>
        <w:gridCol w:w="2212"/>
      </w:tblGrid>
      <w:tr w:rsidR="00BD037C" w14:paraId="573CBBD4" w14:textId="77777777" w:rsidTr="001C2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FD7427" w14:textId="13F71D2B" w:rsidR="00BD037C" w:rsidRDefault="00BD037C" w:rsidP="00BD037C">
            <w:pPr>
              <w:kinsoku w:val="0"/>
              <w:overflowPunct w:val="0"/>
              <w:rPr>
                <w:rFonts w:ascii="Arial" w:hAnsi="Arial" w:cs="Arial"/>
              </w:rPr>
            </w:pPr>
            <w:r>
              <w:rPr>
                <w:rFonts w:ascii="Arial" w:hAnsi="Arial" w:cs="Arial"/>
              </w:rPr>
              <w:t xml:space="preserve">Initiative </w:t>
            </w:r>
            <w:r w:rsidR="00DA7D9D">
              <w:rPr>
                <w:rFonts w:ascii="Arial" w:hAnsi="Arial" w:cs="Arial"/>
              </w:rPr>
              <w:t>2.</w:t>
            </w:r>
            <w:r>
              <w:rPr>
                <w:rFonts w:ascii="Arial" w:hAnsi="Arial" w:cs="Arial"/>
              </w:rPr>
              <w:t>1</w:t>
            </w:r>
          </w:p>
        </w:tc>
        <w:tc>
          <w:tcPr>
            <w:tcW w:w="3005" w:type="dxa"/>
          </w:tcPr>
          <w:p w14:paraId="775DEC68" w14:textId="77777777" w:rsidR="00BD037C" w:rsidRPr="008E4FAF" w:rsidRDefault="001C714D" w:rsidP="00BD037C">
            <w:pPr>
              <w:kinsoku w:val="0"/>
              <w:overflowPunct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44FE">
              <w:rPr>
                <w:rFonts w:ascii="Arial" w:hAnsi="Arial" w:cs="Arial"/>
                <w:b w:val="0"/>
              </w:rPr>
              <w:t>Quality dementia care is defined, measured and achieved</w:t>
            </w:r>
          </w:p>
        </w:tc>
        <w:tc>
          <w:tcPr>
            <w:tcW w:w="2212" w:type="dxa"/>
          </w:tcPr>
          <w:p w14:paraId="694355BA" w14:textId="60417702" w:rsidR="00BD037C" w:rsidRPr="008E4FAF" w:rsidRDefault="00BD037C" w:rsidP="001C25FF">
            <w:pPr>
              <w:kinsoku w:val="0"/>
              <w:overflowPunct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44FE">
              <w:rPr>
                <w:rFonts w:ascii="Arial" w:hAnsi="Arial" w:cs="Arial"/>
                <w:b w:val="0"/>
              </w:rPr>
              <w:t>$2,350,000</w:t>
            </w:r>
          </w:p>
        </w:tc>
      </w:tr>
      <w:tr w:rsidR="00BD037C" w14:paraId="20C5D425" w14:textId="77777777" w:rsidTr="001C2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FFE8623" w14:textId="0A26AAEA" w:rsidR="00BD037C" w:rsidRDefault="00BD037C" w:rsidP="00BD037C">
            <w:pPr>
              <w:kinsoku w:val="0"/>
              <w:overflowPunct w:val="0"/>
              <w:rPr>
                <w:rFonts w:ascii="Arial" w:hAnsi="Arial" w:cs="Arial"/>
              </w:rPr>
            </w:pPr>
            <w:r>
              <w:rPr>
                <w:rFonts w:ascii="Arial" w:hAnsi="Arial" w:cs="Arial"/>
              </w:rPr>
              <w:t xml:space="preserve">Initiative </w:t>
            </w:r>
            <w:r w:rsidR="00DA7D9D">
              <w:rPr>
                <w:rFonts w:ascii="Arial" w:hAnsi="Arial" w:cs="Arial"/>
              </w:rPr>
              <w:t>2.</w:t>
            </w:r>
            <w:r>
              <w:rPr>
                <w:rFonts w:ascii="Arial" w:hAnsi="Arial" w:cs="Arial"/>
              </w:rPr>
              <w:t>2</w:t>
            </w:r>
          </w:p>
        </w:tc>
        <w:tc>
          <w:tcPr>
            <w:tcW w:w="3005" w:type="dxa"/>
          </w:tcPr>
          <w:p w14:paraId="726CC98C" w14:textId="62F7A818" w:rsidR="00BD037C" w:rsidRDefault="001C714D" w:rsidP="00BD037C">
            <w:pPr>
              <w:kinsoku w:val="0"/>
              <w:overflowPunct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Creation of 1</w:t>
            </w:r>
            <w:r w:rsidR="00987BCE">
              <w:rPr>
                <w:rFonts w:ascii="Arial" w:hAnsi="Arial" w:cs="Arial"/>
              </w:rPr>
              <w:t>,</w:t>
            </w:r>
            <w:r>
              <w:rPr>
                <w:rFonts w:ascii="Arial" w:hAnsi="Arial" w:cs="Arial"/>
              </w:rPr>
              <w:t>000 Dementia Practice Leaders</w:t>
            </w:r>
          </w:p>
        </w:tc>
        <w:tc>
          <w:tcPr>
            <w:tcW w:w="2212" w:type="dxa"/>
          </w:tcPr>
          <w:p w14:paraId="527D0215" w14:textId="77777777" w:rsidR="00BD037C" w:rsidRDefault="00BD037C" w:rsidP="001C25FF">
            <w:pPr>
              <w:kinsoku w:val="0"/>
              <w:overflowPunct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$4,000,000</w:t>
            </w:r>
          </w:p>
        </w:tc>
      </w:tr>
      <w:tr w:rsidR="00BD037C" w14:paraId="520B8107" w14:textId="77777777" w:rsidTr="001C25FF">
        <w:tc>
          <w:tcPr>
            <w:cnfStyle w:val="001000000000" w:firstRow="0" w:lastRow="0" w:firstColumn="1" w:lastColumn="0" w:oddVBand="0" w:evenVBand="0" w:oddHBand="0" w:evenHBand="0" w:firstRowFirstColumn="0" w:firstRowLastColumn="0" w:lastRowFirstColumn="0" w:lastRowLastColumn="0"/>
            <w:tcW w:w="3005" w:type="dxa"/>
          </w:tcPr>
          <w:p w14:paraId="60685439" w14:textId="08779C41" w:rsidR="00BD037C" w:rsidRDefault="00BD037C" w:rsidP="00BD037C">
            <w:pPr>
              <w:kinsoku w:val="0"/>
              <w:overflowPunct w:val="0"/>
              <w:rPr>
                <w:rFonts w:ascii="Arial" w:hAnsi="Arial" w:cs="Arial"/>
              </w:rPr>
            </w:pPr>
            <w:r>
              <w:rPr>
                <w:rFonts w:ascii="Arial" w:hAnsi="Arial" w:cs="Arial"/>
              </w:rPr>
              <w:t xml:space="preserve">Initiative </w:t>
            </w:r>
            <w:r w:rsidR="00DA7D9D">
              <w:rPr>
                <w:rFonts w:ascii="Arial" w:hAnsi="Arial" w:cs="Arial"/>
              </w:rPr>
              <w:t>2.</w:t>
            </w:r>
            <w:r>
              <w:rPr>
                <w:rFonts w:ascii="Arial" w:hAnsi="Arial" w:cs="Arial"/>
              </w:rPr>
              <w:t>3</w:t>
            </w:r>
          </w:p>
        </w:tc>
        <w:tc>
          <w:tcPr>
            <w:tcW w:w="3005" w:type="dxa"/>
          </w:tcPr>
          <w:p w14:paraId="1D74052C" w14:textId="77777777" w:rsidR="00BD037C" w:rsidRDefault="001C714D" w:rsidP="00BD037C">
            <w:pPr>
              <w:kinsoku w:val="0"/>
              <w:overflowPunct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Creation of Dementia Community of Practice</w:t>
            </w:r>
          </w:p>
        </w:tc>
        <w:tc>
          <w:tcPr>
            <w:tcW w:w="2212" w:type="dxa"/>
          </w:tcPr>
          <w:p w14:paraId="06F72322" w14:textId="712E10ED" w:rsidR="00BD037C" w:rsidRDefault="00491073" w:rsidP="001C25FF">
            <w:pPr>
              <w:kinsoku w:val="0"/>
              <w:overflowPunct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7D2E02">
              <w:rPr>
                <w:rFonts w:ascii="Arial" w:hAnsi="Arial" w:cs="Arial"/>
              </w:rPr>
              <w:t xml:space="preserve">   </w:t>
            </w:r>
            <w:r w:rsidR="00BD037C">
              <w:rPr>
                <w:rFonts w:ascii="Arial" w:hAnsi="Arial" w:cs="Arial"/>
              </w:rPr>
              <w:t>450,000</w:t>
            </w:r>
          </w:p>
        </w:tc>
      </w:tr>
      <w:tr w:rsidR="00BD037C" w14:paraId="42C938EC" w14:textId="77777777" w:rsidTr="001C2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E61D3CB" w14:textId="6FB21F26" w:rsidR="00BD037C" w:rsidRDefault="00BD037C" w:rsidP="00BD037C">
            <w:pPr>
              <w:kinsoku w:val="0"/>
              <w:overflowPunct w:val="0"/>
              <w:rPr>
                <w:rFonts w:ascii="Arial" w:hAnsi="Arial" w:cs="Arial"/>
              </w:rPr>
            </w:pPr>
            <w:r>
              <w:rPr>
                <w:rFonts w:ascii="Arial" w:hAnsi="Arial" w:cs="Arial"/>
              </w:rPr>
              <w:t xml:space="preserve">Initiative </w:t>
            </w:r>
            <w:r w:rsidR="00DA7D9D">
              <w:rPr>
                <w:rFonts w:ascii="Arial" w:hAnsi="Arial" w:cs="Arial"/>
              </w:rPr>
              <w:t>2.</w:t>
            </w:r>
            <w:r>
              <w:rPr>
                <w:rFonts w:ascii="Arial" w:hAnsi="Arial" w:cs="Arial"/>
              </w:rPr>
              <w:t>4</w:t>
            </w:r>
          </w:p>
        </w:tc>
        <w:tc>
          <w:tcPr>
            <w:tcW w:w="3005" w:type="dxa"/>
          </w:tcPr>
          <w:p w14:paraId="2A06DBF4" w14:textId="77777777" w:rsidR="00BD037C" w:rsidRDefault="001C714D" w:rsidP="00BD037C">
            <w:pPr>
              <w:kinsoku w:val="0"/>
              <w:overflowPunct w:val="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Dementia Learning Programs</w:t>
            </w:r>
          </w:p>
        </w:tc>
        <w:tc>
          <w:tcPr>
            <w:tcW w:w="2212" w:type="dxa"/>
          </w:tcPr>
          <w:p w14:paraId="6430E4DF" w14:textId="6C6431C3" w:rsidR="00BD037C" w:rsidRDefault="00491073" w:rsidP="001C25FF">
            <w:pPr>
              <w:kinsoku w:val="0"/>
              <w:overflowPunct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7D2E02">
              <w:rPr>
                <w:rFonts w:ascii="Arial" w:hAnsi="Arial" w:cs="Arial"/>
              </w:rPr>
              <w:t xml:space="preserve">   </w:t>
            </w:r>
            <w:r w:rsidR="008E4FAF">
              <w:rPr>
                <w:rFonts w:ascii="Arial" w:hAnsi="Arial" w:cs="Arial"/>
              </w:rPr>
              <w:t>500,000</w:t>
            </w:r>
          </w:p>
        </w:tc>
      </w:tr>
      <w:tr w:rsidR="00BD037C" w14:paraId="1CA9609B" w14:textId="77777777" w:rsidTr="001C25FF">
        <w:tc>
          <w:tcPr>
            <w:cnfStyle w:val="001000000000" w:firstRow="0" w:lastRow="0" w:firstColumn="1" w:lastColumn="0" w:oddVBand="0" w:evenVBand="0" w:oddHBand="0" w:evenHBand="0" w:firstRowFirstColumn="0" w:firstRowLastColumn="0" w:lastRowFirstColumn="0" w:lastRowLastColumn="0"/>
            <w:tcW w:w="3005" w:type="dxa"/>
          </w:tcPr>
          <w:p w14:paraId="3C997D84" w14:textId="1F61D979" w:rsidR="00BD037C" w:rsidRDefault="00BD037C" w:rsidP="00BD037C">
            <w:pPr>
              <w:kinsoku w:val="0"/>
              <w:overflowPunct w:val="0"/>
              <w:rPr>
                <w:rFonts w:ascii="Arial" w:hAnsi="Arial" w:cs="Arial"/>
              </w:rPr>
            </w:pPr>
            <w:r>
              <w:rPr>
                <w:rFonts w:ascii="Arial" w:hAnsi="Arial" w:cs="Arial"/>
              </w:rPr>
              <w:t xml:space="preserve">Initiative </w:t>
            </w:r>
            <w:r w:rsidR="00DA7D9D">
              <w:rPr>
                <w:rFonts w:ascii="Arial" w:hAnsi="Arial" w:cs="Arial"/>
              </w:rPr>
              <w:t>2.</w:t>
            </w:r>
            <w:r>
              <w:rPr>
                <w:rFonts w:ascii="Arial" w:hAnsi="Arial" w:cs="Arial"/>
              </w:rPr>
              <w:t>5</w:t>
            </w:r>
          </w:p>
        </w:tc>
        <w:tc>
          <w:tcPr>
            <w:tcW w:w="3005" w:type="dxa"/>
          </w:tcPr>
          <w:p w14:paraId="67710B3D" w14:textId="77777777" w:rsidR="00BD037C" w:rsidRDefault="001C714D" w:rsidP="00BD037C">
            <w:pPr>
              <w:kinsoku w:val="0"/>
              <w:overflowPunct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Immersive experiences program</w:t>
            </w:r>
          </w:p>
        </w:tc>
        <w:tc>
          <w:tcPr>
            <w:tcW w:w="2212" w:type="dxa"/>
          </w:tcPr>
          <w:p w14:paraId="76C91EA4" w14:textId="77777777" w:rsidR="00BD037C" w:rsidRDefault="00491073" w:rsidP="001C25FF">
            <w:pPr>
              <w:kinsoku w:val="0"/>
              <w:overflowPunct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BD037C">
              <w:rPr>
                <w:rFonts w:ascii="Arial" w:hAnsi="Arial" w:cs="Arial"/>
              </w:rPr>
              <w:t>1,500,000</w:t>
            </w:r>
          </w:p>
        </w:tc>
      </w:tr>
      <w:tr w:rsidR="00BD037C" w14:paraId="63E1D746" w14:textId="77777777" w:rsidTr="001C25F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005" w:type="dxa"/>
          </w:tcPr>
          <w:p w14:paraId="28EBEADC" w14:textId="168533C2" w:rsidR="00BD037C" w:rsidRDefault="00BD037C" w:rsidP="00BD037C">
            <w:pPr>
              <w:kinsoku w:val="0"/>
              <w:overflowPunct w:val="0"/>
              <w:rPr>
                <w:rFonts w:ascii="Arial" w:hAnsi="Arial" w:cs="Arial"/>
              </w:rPr>
            </w:pPr>
          </w:p>
        </w:tc>
        <w:tc>
          <w:tcPr>
            <w:tcW w:w="3005" w:type="dxa"/>
          </w:tcPr>
          <w:p w14:paraId="7D9DB782" w14:textId="1017251E" w:rsidR="00BD037C" w:rsidRPr="001C25FF" w:rsidRDefault="00987BCE" w:rsidP="00BD037C">
            <w:pPr>
              <w:kinsoku w:val="0"/>
              <w:overflowPunct w:val="0"/>
              <w:cnfStyle w:val="000000100000" w:firstRow="0" w:lastRow="0" w:firstColumn="0" w:lastColumn="0" w:oddVBand="0" w:evenVBand="0" w:oddHBand="1" w:evenHBand="0" w:firstRowFirstColumn="0" w:firstRowLastColumn="0" w:lastRowFirstColumn="0" w:lastRowLastColumn="0"/>
              <w:rPr>
                <w:rFonts w:ascii="Augustus" w:hAnsi="Augustus" w:cs="Arial"/>
                <w:b/>
              </w:rPr>
            </w:pPr>
            <w:r w:rsidRPr="001C25FF">
              <w:rPr>
                <w:rFonts w:ascii="Augustus" w:hAnsi="Augustus" w:cs="Arial"/>
                <w:b/>
              </w:rPr>
              <w:t>TOTAL</w:t>
            </w:r>
          </w:p>
        </w:tc>
        <w:tc>
          <w:tcPr>
            <w:tcW w:w="2212" w:type="dxa"/>
          </w:tcPr>
          <w:p w14:paraId="26960245" w14:textId="15993128" w:rsidR="00BD037C" w:rsidRPr="001C714D" w:rsidRDefault="00491073" w:rsidP="001C25FF">
            <w:pPr>
              <w:kinsoku w:val="0"/>
              <w:overflowPunct w:val="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w:t>
            </w:r>
            <w:r w:rsidR="008E4FAF">
              <w:rPr>
                <w:rFonts w:ascii="Arial" w:hAnsi="Arial" w:cs="Arial"/>
                <w:b/>
              </w:rPr>
              <w:t>8,800,000</w:t>
            </w:r>
          </w:p>
        </w:tc>
      </w:tr>
    </w:tbl>
    <w:p w14:paraId="6639FD01" w14:textId="77777777" w:rsidR="00304929" w:rsidRDefault="00304929" w:rsidP="00884778">
      <w:pPr>
        <w:kinsoku w:val="0"/>
        <w:overflowPunct w:val="0"/>
        <w:rPr>
          <w:rFonts w:ascii="Arial" w:hAnsi="Arial" w:cs="Arial"/>
          <w:b/>
          <w:sz w:val="24"/>
          <w:szCs w:val="24"/>
        </w:rPr>
      </w:pPr>
    </w:p>
    <w:p w14:paraId="59AC0393" w14:textId="19D058B6" w:rsidR="00884778" w:rsidRPr="001C25FF" w:rsidRDefault="000E22D7" w:rsidP="00884778">
      <w:pPr>
        <w:kinsoku w:val="0"/>
        <w:overflowPunct w:val="0"/>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2.</w:t>
      </w:r>
      <w:r w:rsidRPr="001C25FF">
        <w:rPr>
          <w:rFonts w:ascii="Augustus" w:hAnsi="Augustus" w:cs="Arial"/>
          <w:b/>
          <w:sz w:val="24"/>
          <w:szCs w:val="24"/>
        </w:rPr>
        <w:t>1: Quality in dementia care is achieved</w:t>
      </w:r>
    </w:p>
    <w:p w14:paraId="3712140A" w14:textId="2761CDB1" w:rsidR="00884778" w:rsidRDefault="00884778"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Dementia Australia </w:t>
      </w:r>
      <w:r w:rsidR="00DB0978" w:rsidRPr="001C25FF">
        <w:rPr>
          <w:rFonts w:ascii="Arial" w:hAnsi="Arial" w:cs="Arial"/>
        </w:rPr>
        <w:t xml:space="preserve">will collaborate with individuals, families, providers and the government to ensure that aged care quality standards are translated into dementia-specific indicators that build the capacity of people with dementia, their families and carers to make informed choices (based on comparable metrics) as well as </w:t>
      </w:r>
      <w:r w:rsidR="009F24EC" w:rsidRPr="001C25FF">
        <w:rPr>
          <w:rFonts w:ascii="Arial" w:hAnsi="Arial" w:cs="Arial"/>
        </w:rPr>
        <w:t xml:space="preserve">informing providers on the components of quality dementia care </w:t>
      </w:r>
      <w:r w:rsidR="00DA7D9D">
        <w:rPr>
          <w:rFonts w:ascii="Arial" w:hAnsi="Arial" w:cs="Arial"/>
        </w:rPr>
        <w:t xml:space="preserve">– </w:t>
      </w:r>
      <w:r w:rsidR="004C410A" w:rsidRPr="001C25FF">
        <w:rPr>
          <w:rFonts w:ascii="Arial" w:hAnsi="Arial" w:cs="Arial"/>
        </w:rPr>
        <w:t xml:space="preserve">with measurable outcomes. </w:t>
      </w:r>
      <w:r w:rsidR="009F24EC" w:rsidRPr="001C25FF">
        <w:rPr>
          <w:rFonts w:ascii="Arial" w:hAnsi="Arial" w:cs="Arial"/>
        </w:rPr>
        <w:t xml:space="preserve">In addition to defining foundational standards, </w:t>
      </w:r>
      <w:r w:rsidR="004C410A" w:rsidRPr="001C25FF">
        <w:rPr>
          <w:rFonts w:ascii="Arial" w:hAnsi="Arial" w:cs="Arial"/>
        </w:rPr>
        <w:t xml:space="preserve">Dementia Australia will </w:t>
      </w:r>
      <w:r w:rsidR="009F24EC" w:rsidRPr="001C25FF">
        <w:rPr>
          <w:rFonts w:ascii="Arial" w:hAnsi="Arial" w:cs="Arial"/>
        </w:rPr>
        <w:t xml:space="preserve">collaborate with a range of stakeholders, including providers, to </w:t>
      </w:r>
      <w:r w:rsidR="004C410A" w:rsidRPr="001C25FF">
        <w:rPr>
          <w:rFonts w:ascii="Arial" w:hAnsi="Arial" w:cs="Arial"/>
        </w:rPr>
        <w:t xml:space="preserve">establish </w:t>
      </w:r>
      <w:r w:rsidR="009F24EC" w:rsidRPr="001C25FF">
        <w:rPr>
          <w:rFonts w:ascii="Arial" w:hAnsi="Arial" w:cs="Arial"/>
        </w:rPr>
        <w:t xml:space="preserve">and test </w:t>
      </w:r>
      <w:r w:rsidR="004C410A" w:rsidRPr="001C25FF">
        <w:rPr>
          <w:rFonts w:ascii="Arial" w:hAnsi="Arial" w:cs="Arial"/>
        </w:rPr>
        <w:t>a ‘gold standard’ model of care</w:t>
      </w:r>
      <w:r w:rsidR="009F24EC" w:rsidRPr="001C25FF">
        <w:rPr>
          <w:rFonts w:ascii="Arial" w:hAnsi="Arial" w:cs="Arial"/>
        </w:rPr>
        <w:t>.</w:t>
      </w:r>
    </w:p>
    <w:p w14:paraId="0DE4C622"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4B97A437" w14:textId="5EB44C81" w:rsidR="004C410A" w:rsidRPr="001C25FF" w:rsidRDefault="004C410A"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$2.35</w:t>
      </w:r>
      <w:r w:rsidR="009F24EC" w:rsidRPr="001C25FF">
        <w:rPr>
          <w:rFonts w:ascii="Arial" w:hAnsi="Arial" w:cs="Arial"/>
        </w:rPr>
        <w:t xml:space="preserve"> million</w:t>
      </w:r>
    </w:p>
    <w:p w14:paraId="684BDFD7" w14:textId="77777777" w:rsidR="00A8692B" w:rsidRPr="00363F26" w:rsidRDefault="00A8692B" w:rsidP="00363F26">
      <w:pPr>
        <w:kinsoku w:val="0"/>
        <w:overflowPunct w:val="0"/>
        <w:jc w:val="both"/>
        <w:rPr>
          <w:rFonts w:ascii="Arial" w:hAnsi="Arial" w:cs="Arial"/>
          <w:sz w:val="24"/>
          <w:szCs w:val="24"/>
        </w:rPr>
      </w:pPr>
    </w:p>
    <w:p w14:paraId="3E29C00A" w14:textId="68E7FE2E" w:rsidR="000E22D7" w:rsidRPr="001C25FF" w:rsidRDefault="000E22D7" w:rsidP="00884778">
      <w:pPr>
        <w:kinsoku w:val="0"/>
        <w:overflowPunct w:val="0"/>
        <w:rPr>
          <w:rFonts w:ascii="Augustus" w:hAnsi="Augustus" w:cs="Arial"/>
          <w:b/>
          <w:sz w:val="24"/>
          <w:szCs w:val="24"/>
        </w:rPr>
      </w:pPr>
      <w:r w:rsidRPr="001C25FF">
        <w:rPr>
          <w:rFonts w:ascii="Augustus" w:hAnsi="Augustus" w:cs="Arial"/>
          <w:b/>
          <w:sz w:val="24"/>
          <w:szCs w:val="24"/>
        </w:rPr>
        <w:t>Initiative 2</w:t>
      </w:r>
      <w:r w:rsidR="00DA7D9D" w:rsidRPr="001C25FF">
        <w:rPr>
          <w:rFonts w:ascii="Augustus" w:hAnsi="Augustus" w:cs="Arial"/>
          <w:b/>
          <w:sz w:val="24"/>
          <w:szCs w:val="24"/>
        </w:rPr>
        <w:t>.2</w:t>
      </w:r>
      <w:r w:rsidRPr="001C25FF">
        <w:rPr>
          <w:rFonts w:ascii="Augustus" w:hAnsi="Augustus" w:cs="Arial"/>
          <w:b/>
          <w:sz w:val="24"/>
          <w:szCs w:val="24"/>
        </w:rPr>
        <w:t>: Dementia Practice Leaders</w:t>
      </w:r>
    </w:p>
    <w:p w14:paraId="62B90936" w14:textId="585B2642" w:rsidR="004C410A" w:rsidRDefault="009F24EC"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In recognition of the important role of workforce capacity and education, </w:t>
      </w:r>
      <w:r w:rsidR="004C410A" w:rsidRPr="001C25FF">
        <w:rPr>
          <w:rFonts w:ascii="Arial" w:hAnsi="Arial" w:cs="Arial"/>
        </w:rPr>
        <w:t xml:space="preserve">Dementia Australia </w:t>
      </w:r>
      <w:r w:rsidR="00E43745" w:rsidRPr="001C25FF">
        <w:rPr>
          <w:rFonts w:ascii="Arial" w:hAnsi="Arial" w:cs="Arial"/>
        </w:rPr>
        <w:t>w</w:t>
      </w:r>
      <w:r w:rsidR="004C410A" w:rsidRPr="001C25FF">
        <w:rPr>
          <w:rFonts w:ascii="Arial" w:hAnsi="Arial" w:cs="Arial"/>
        </w:rPr>
        <w:t>ill educate 1</w:t>
      </w:r>
      <w:r w:rsidRPr="001C25FF">
        <w:rPr>
          <w:rFonts w:ascii="Arial" w:hAnsi="Arial" w:cs="Arial"/>
        </w:rPr>
        <w:t>,</w:t>
      </w:r>
      <w:r w:rsidR="004C410A" w:rsidRPr="001C25FF">
        <w:rPr>
          <w:rFonts w:ascii="Arial" w:hAnsi="Arial" w:cs="Arial"/>
        </w:rPr>
        <w:t xml:space="preserve">000 aged care workers </w:t>
      </w:r>
      <w:r w:rsidR="00E43745" w:rsidRPr="001C25FF">
        <w:rPr>
          <w:rFonts w:ascii="Arial" w:hAnsi="Arial" w:cs="Arial"/>
        </w:rPr>
        <w:t xml:space="preserve">across </w:t>
      </w:r>
      <w:r w:rsidR="00CD5D43">
        <w:rPr>
          <w:rFonts w:ascii="Arial" w:hAnsi="Arial" w:cs="Arial"/>
        </w:rPr>
        <w:t>three</w:t>
      </w:r>
      <w:r w:rsidR="00CD5D43" w:rsidRPr="001C25FF">
        <w:rPr>
          <w:rFonts w:ascii="Arial" w:hAnsi="Arial" w:cs="Arial"/>
        </w:rPr>
        <w:t xml:space="preserve"> </w:t>
      </w:r>
      <w:r w:rsidR="00E43745" w:rsidRPr="001C25FF">
        <w:rPr>
          <w:rFonts w:ascii="Arial" w:hAnsi="Arial" w:cs="Arial"/>
        </w:rPr>
        <w:t xml:space="preserve">years </w:t>
      </w:r>
      <w:r w:rsidR="004C410A" w:rsidRPr="001C25FF">
        <w:rPr>
          <w:rFonts w:ascii="Arial" w:hAnsi="Arial" w:cs="Arial"/>
        </w:rPr>
        <w:t>to successfully complete the Certificate IV in Dementia Practice. A key aspect of this initiative is to provide a platform</w:t>
      </w:r>
      <w:r w:rsidR="00E43745" w:rsidRPr="001C25FF">
        <w:rPr>
          <w:rFonts w:ascii="Arial" w:hAnsi="Arial" w:cs="Arial"/>
        </w:rPr>
        <w:t xml:space="preserve"> for certified staff to provide coaching and mentoring to other staff, which will lead to recognition as Dementia Practice Leaders. This role is critical in translating knowledge into practice and recognises that 90</w:t>
      </w:r>
      <w:r w:rsidR="00CD5D43">
        <w:rPr>
          <w:rFonts w:ascii="Arial" w:hAnsi="Arial" w:cs="Arial"/>
        </w:rPr>
        <w:t xml:space="preserve"> per cent</w:t>
      </w:r>
      <w:r w:rsidR="00E43745" w:rsidRPr="001C25FF">
        <w:rPr>
          <w:rFonts w:ascii="Arial" w:hAnsi="Arial" w:cs="Arial"/>
        </w:rPr>
        <w:t xml:space="preserve"> of learning occurs in the workplace.</w:t>
      </w:r>
    </w:p>
    <w:p w14:paraId="46749303"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6FA344B1" w14:textId="45E7DE42" w:rsidR="00E43745" w:rsidRPr="001C25FF" w:rsidRDefault="00E43745"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$4</w:t>
      </w:r>
      <w:r w:rsidR="009F24EC" w:rsidRPr="001C25FF">
        <w:rPr>
          <w:rFonts w:ascii="Arial" w:hAnsi="Arial" w:cs="Arial"/>
        </w:rPr>
        <w:t xml:space="preserve"> million</w:t>
      </w:r>
    </w:p>
    <w:p w14:paraId="658F1F9A" w14:textId="77777777" w:rsidR="00304929" w:rsidRPr="00363F26" w:rsidRDefault="00304929" w:rsidP="00363F26">
      <w:pPr>
        <w:kinsoku w:val="0"/>
        <w:overflowPunct w:val="0"/>
        <w:jc w:val="both"/>
        <w:rPr>
          <w:rFonts w:ascii="Arial" w:hAnsi="Arial" w:cs="Arial"/>
          <w:sz w:val="24"/>
          <w:szCs w:val="24"/>
        </w:rPr>
      </w:pPr>
    </w:p>
    <w:p w14:paraId="3EBC46F7" w14:textId="270F102A" w:rsidR="000E22D7" w:rsidRPr="001C25FF" w:rsidRDefault="000E22D7" w:rsidP="00884778">
      <w:pPr>
        <w:kinsoku w:val="0"/>
        <w:overflowPunct w:val="0"/>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2.</w:t>
      </w:r>
      <w:r w:rsidRPr="001C25FF">
        <w:rPr>
          <w:rFonts w:ascii="Augustus" w:hAnsi="Augustus" w:cs="Arial"/>
          <w:b/>
          <w:sz w:val="24"/>
          <w:szCs w:val="24"/>
        </w:rPr>
        <w:t>3: Dementia Community of Practice</w:t>
      </w:r>
    </w:p>
    <w:p w14:paraId="57FB3A69" w14:textId="6B466B4E" w:rsidR="00E43745" w:rsidRDefault="009F24EC"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In this capacity building initiative, </w:t>
      </w:r>
      <w:r w:rsidR="00E43745" w:rsidRPr="001C25FF">
        <w:rPr>
          <w:rFonts w:ascii="Arial" w:hAnsi="Arial" w:cs="Arial"/>
        </w:rPr>
        <w:t xml:space="preserve">Dementia Practice Leaders across the country </w:t>
      </w:r>
      <w:r w:rsidRPr="001C25FF">
        <w:rPr>
          <w:rFonts w:ascii="Arial" w:hAnsi="Arial" w:cs="Arial"/>
        </w:rPr>
        <w:t>will be</w:t>
      </w:r>
      <w:r w:rsidR="00E43745" w:rsidRPr="001C25FF">
        <w:rPr>
          <w:rFonts w:ascii="Arial" w:hAnsi="Arial" w:cs="Arial"/>
        </w:rPr>
        <w:t xml:space="preserve"> supported in the ongoing practice of bettering the outcomes for people living with dementia in support and care organisations. Technology will support this community of practice to </w:t>
      </w:r>
      <w:r w:rsidR="00F30770" w:rsidRPr="001C25FF">
        <w:rPr>
          <w:rFonts w:ascii="Arial" w:hAnsi="Arial" w:cs="Arial"/>
        </w:rPr>
        <w:t>reach out to regional and remote locations to remain current with innovations in dementia care.</w:t>
      </w:r>
    </w:p>
    <w:p w14:paraId="4FDB190D"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5BFCAF53" w14:textId="77777777" w:rsidR="00F30770" w:rsidRDefault="00F30770"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$450,000</w:t>
      </w:r>
    </w:p>
    <w:p w14:paraId="42D871F8" w14:textId="77777777" w:rsidR="00DA7D9D" w:rsidRDefault="00DA7D9D" w:rsidP="00363F26">
      <w:pPr>
        <w:kinsoku w:val="0"/>
        <w:overflowPunct w:val="0"/>
        <w:jc w:val="both"/>
        <w:rPr>
          <w:rFonts w:ascii="Arial" w:hAnsi="Arial" w:cs="Arial"/>
        </w:rPr>
      </w:pPr>
    </w:p>
    <w:p w14:paraId="3DE9DD26" w14:textId="77777777" w:rsidR="003814CE" w:rsidRPr="001C25FF" w:rsidRDefault="003814CE" w:rsidP="00363F26">
      <w:pPr>
        <w:kinsoku w:val="0"/>
        <w:overflowPunct w:val="0"/>
        <w:jc w:val="both"/>
        <w:rPr>
          <w:rFonts w:ascii="Arial" w:hAnsi="Arial" w:cs="Arial"/>
        </w:rPr>
      </w:pPr>
    </w:p>
    <w:p w14:paraId="0F320706" w14:textId="631AA594" w:rsidR="000E22D7" w:rsidRPr="001C25FF" w:rsidRDefault="000E22D7" w:rsidP="00884778">
      <w:pPr>
        <w:kinsoku w:val="0"/>
        <w:overflowPunct w:val="0"/>
        <w:rPr>
          <w:rFonts w:ascii="Augustus" w:hAnsi="Augustus" w:cs="Arial"/>
          <w:b/>
          <w:sz w:val="24"/>
          <w:szCs w:val="24"/>
        </w:rPr>
      </w:pPr>
      <w:r w:rsidRPr="001C25FF">
        <w:rPr>
          <w:rFonts w:ascii="Augustus" w:hAnsi="Augustus" w:cs="Arial"/>
          <w:b/>
          <w:sz w:val="24"/>
          <w:szCs w:val="24"/>
        </w:rPr>
        <w:lastRenderedPageBreak/>
        <w:t xml:space="preserve">Initiative </w:t>
      </w:r>
      <w:r w:rsidR="00DA7D9D" w:rsidRPr="001C25FF">
        <w:rPr>
          <w:rFonts w:ascii="Augustus" w:hAnsi="Augustus" w:cs="Arial"/>
          <w:b/>
          <w:sz w:val="24"/>
          <w:szCs w:val="24"/>
        </w:rPr>
        <w:t>2.</w:t>
      </w:r>
      <w:r w:rsidRPr="001C25FF">
        <w:rPr>
          <w:rFonts w:ascii="Augustus" w:hAnsi="Augustus" w:cs="Arial"/>
          <w:b/>
          <w:sz w:val="24"/>
          <w:szCs w:val="24"/>
        </w:rPr>
        <w:t>4: Dementia Learning Programs</w:t>
      </w:r>
    </w:p>
    <w:p w14:paraId="0D441766" w14:textId="549B82B1" w:rsidR="00F30770" w:rsidRDefault="000A0C0C"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Preliminary reviews of dementia education highlight a number of gaps in learning pathways. Dementia Australia will develop and deliver</w:t>
      </w:r>
      <w:r w:rsidR="00F30770" w:rsidRPr="001C25FF">
        <w:rPr>
          <w:rFonts w:ascii="Arial" w:hAnsi="Arial" w:cs="Arial"/>
        </w:rPr>
        <w:t xml:space="preserve"> both accredited and non-accredited career pathways for aged care, disability</w:t>
      </w:r>
      <w:r w:rsidR="00E46CD6" w:rsidRPr="001C25FF">
        <w:rPr>
          <w:rFonts w:ascii="Arial" w:hAnsi="Arial" w:cs="Arial"/>
        </w:rPr>
        <w:t xml:space="preserve">, </w:t>
      </w:r>
      <w:r w:rsidR="00F30770" w:rsidRPr="001C25FF">
        <w:rPr>
          <w:rFonts w:ascii="Arial" w:hAnsi="Arial" w:cs="Arial"/>
        </w:rPr>
        <w:t>health staff and professiona</w:t>
      </w:r>
      <w:r w:rsidR="00435DCE" w:rsidRPr="001C25FF">
        <w:rPr>
          <w:rFonts w:ascii="Arial" w:hAnsi="Arial" w:cs="Arial"/>
        </w:rPr>
        <w:t>ls wishing to specialise in the dementia care</w:t>
      </w:r>
      <w:r w:rsidR="00F30770" w:rsidRPr="001C25FF">
        <w:rPr>
          <w:rFonts w:ascii="Arial" w:hAnsi="Arial" w:cs="Arial"/>
        </w:rPr>
        <w:t xml:space="preserve"> area leading to recognition as a dementia practice leader.</w:t>
      </w:r>
    </w:p>
    <w:p w14:paraId="23079082"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08424999" w14:textId="6CF19C89" w:rsidR="00F30770" w:rsidRPr="001C25FF" w:rsidRDefault="00F30770"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w:t>
      </w:r>
      <w:r w:rsidR="000A0C0C" w:rsidRPr="001C25FF">
        <w:rPr>
          <w:rFonts w:ascii="Arial" w:hAnsi="Arial" w:cs="Arial"/>
        </w:rPr>
        <w:t>500,000</w:t>
      </w:r>
    </w:p>
    <w:p w14:paraId="720E2621" w14:textId="77777777" w:rsidR="00304929" w:rsidRPr="00363F26" w:rsidRDefault="00304929" w:rsidP="00363F26">
      <w:pPr>
        <w:kinsoku w:val="0"/>
        <w:overflowPunct w:val="0"/>
        <w:jc w:val="both"/>
        <w:rPr>
          <w:rFonts w:ascii="Arial" w:hAnsi="Arial" w:cs="Arial"/>
          <w:sz w:val="24"/>
          <w:szCs w:val="24"/>
        </w:rPr>
      </w:pPr>
    </w:p>
    <w:p w14:paraId="23D9BEFE" w14:textId="104EFE4D" w:rsidR="000E22D7" w:rsidRPr="001C25FF" w:rsidRDefault="000E22D7" w:rsidP="00884778">
      <w:pPr>
        <w:kinsoku w:val="0"/>
        <w:overflowPunct w:val="0"/>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2.</w:t>
      </w:r>
      <w:r w:rsidRPr="001C25FF">
        <w:rPr>
          <w:rFonts w:ascii="Augustus" w:hAnsi="Augustus" w:cs="Arial"/>
          <w:b/>
          <w:sz w:val="24"/>
          <w:szCs w:val="24"/>
        </w:rPr>
        <w:t>5: Immersive experiences program</w:t>
      </w:r>
    </w:p>
    <w:p w14:paraId="7380EB9D" w14:textId="29E2BBC8" w:rsidR="00884778" w:rsidRDefault="00CF237F"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w:t>
      </w:r>
      <w:r w:rsidR="00F30770" w:rsidRPr="001C25FF">
        <w:rPr>
          <w:rFonts w:ascii="Arial" w:hAnsi="Arial" w:cs="Arial"/>
        </w:rPr>
        <w:t xml:space="preserve">mmersive </w:t>
      </w:r>
      <w:r w:rsidR="00EA2D19" w:rsidRPr="001C25FF">
        <w:rPr>
          <w:rFonts w:ascii="Arial" w:hAnsi="Arial" w:cs="Arial"/>
        </w:rPr>
        <w:t xml:space="preserve">educational </w:t>
      </w:r>
      <w:r w:rsidR="00F30770" w:rsidRPr="001C25FF">
        <w:rPr>
          <w:rFonts w:ascii="Arial" w:hAnsi="Arial" w:cs="Arial"/>
        </w:rPr>
        <w:t xml:space="preserve">experiences </w:t>
      </w:r>
      <w:r w:rsidR="00EA2D19" w:rsidRPr="001C25FF">
        <w:rPr>
          <w:rFonts w:ascii="Arial" w:hAnsi="Arial" w:cs="Arial"/>
        </w:rPr>
        <w:t>have proven to be impactful and greatly contribute towards developing deeper insights into the world of living with dementia. Dementia Australia’s aim is to</w:t>
      </w:r>
      <w:r w:rsidRPr="001C25FF">
        <w:rPr>
          <w:rFonts w:ascii="Arial" w:hAnsi="Arial" w:cs="Arial"/>
        </w:rPr>
        <w:t xml:space="preserve"> </w:t>
      </w:r>
      <w:r w:rsidR="00F30770" w:rsidRPr="001C25FF">
        <w:rPr>
          <w:rFonts w:ascii="Arial" w:hAnsi="Arial" w:cs="Arial"/>
        </w:rPr>
        <w:t>incorporat</w:t>
      </w:r>
      <w:r w:rsidR="00EA2D19" w:rsidRPr="001C25FF">
        <w:rPr>
          <w:rFonts w:ascii="Arial" w:hAnsi="Arial" w:cs="Arial"/>
        </w:rPr>
        <w:t>e immersive experiences</w:t>
      </w:r>
      <w:r w:rsidRPr="001C25FF">
        <w:rPr>
          <w:rFonts w:ascii="Arial" w:hAnsi="Arial" w:cs="Arial"/>
        </w:rPr>
        <w:t xml:space="preserve"> </w:t>
      </w:r>
      <w:r w:rsidR="00F30770" w:rsidRPr="001C25FF">
        <w:rPr>
          <w:rFonts w:ascii="Arial" w:hAnsi="Arial" w:cs="Arial"/>
        </w:rPr>
        <w:t xml:space="preserve">into all </w:t>
      </w:r>
      <w:r w:rsidR="00EA2D19" w:rsidRPr="001C25FF">
        <w:rPr>
          <w:rFonts w:ascii="Arial" w:hAnsi="Arial" w:cs="Arial"/>
        </w:rPr>
        <w:t>of its</w:t>
      </w:r>
      <w:r w:rsidRPr="001C25FF">
        <w:rPr>
          <w:rFonts w:ascii="Arial" w:hAnsi="Arial" w:cs="Arial"/>
        </w:rPr>
        <w:t xml:space="preserve"> </w:t>
      </w:r>
      <w:r w:rsidR="00F30770" w:rsidRPr="001C25FF">
        <w:rPr>
          <w:rFonts w:ascii="Arial" w:hAnsi="Arial" w:cs="Arial"/>
        </w:rPr>
        <w:t>education</w:t>
      </w:r>
      <w:r w:rsidR="00EA2D19" w:rsidRPr="001C25FF">
        <w:rPr>
          <w:rFonts w:ascii="Arial" w:hAnsi="Arial" w:cs="Arial"/>
        </w:rPr>
        <w:t>.</w:t>
      </w:r>
      <w:r w:rsidRPr="001C25FF">
        <w:rPr>
          <w:rFonts w:ascii="Arial" w:hAnsi="Arial" w:cs="Arial"/>
        </w:rPr>
        <w:t xml:space="preserve"> </w:t>
      </w:r>
      <w:r w:rsidR="00836A0E" w:rsidRPr="001C25FF">
        <w:rPr>
          <w:rFonts w:ascii="Arial" w:hAnsi="Arial" w:cs="Arial"/>
        </w:rPr>
        <w:t>This program will inspire participants to alter their current practice and will influence the practice of others.</w:t>
      </w:r>
    </w:p>
    <w:p w14:paraId="6485B1F5"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33DBE1F8" w14:textId="078F8DAB" w:rsidR="00836A0E" w:rsidRPr="001C25FF" w:rsidRDefault="00836A0E"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$1.5</w:t>
      </w:r>
      <w:r w:rsidR="009F24EC" w:rsidRPr="001C25FF">
        <w:rPr>
          <w:rFonts w:ascii="Arial" w:hAnsi="Arial" w:cs="Arial"/>
        </w:rPr>
        <w:t xml:space="preserve"> million</w:t>
      </w:r>
    </w:p>
    <w:p w14:paraId="1578AB5B" w14:textId="3B76EE4D" w:rsidR="00884778" w:rsidRPr="001C25FF" w:rsidRDefault="00884778" w:rsidP="00884778">
      <w:pPr>
        <w:kinsoku w:val="0"/>
        <w:overflowPunct w:val="0"/>
        <w:rPr>
          <w:rFonts w:ascii="Arial" w:hAnsi="Arial" w:cs="Arial"/>
        </w:rPr>
      </w:pPr>
    </w:p>
    <w:p w14:paraId="27C62781" w14:textId="7D6AA90A" w:rsidR="00DA7D9D" w:rsidRDefault="00DA7D9D">
      <w:pPr>
        <w:rPr>
          <w:rFonts w:ascii="Augustus" w:hAnsi="Augustus" w:cs="Arial"/>
          <w:b/>
          <w:caps/>
          <w:color w:val="19B6BD"/>
          <w:sz w:val="24"/>
          <w:szCs w:val="24"/>
        </w:rPr>
      </w:pPr>
    </w:p>
    <w:p w14:paraId="5B7C1665" w14:textId="77777777" w:rsidR="003814CE" w:rsidRDefault="003814CE">
      <w:pPr>
        <w:rPr>
          <w:rFonts w:ascii="Augustus" w:hAnsi="Augustus" w:cs="Arial"/>
          <w:b/>
          <w:caps/>
          <w:color w:val="19B6BD"/>
          <w:sz w:val="28"/>
          <w:szCs w:val="28"/>
        </w:rPr>
      </w:pPr>
      <w:r>
        <w:rPr>
          <w:rFonts w:ascii="Augustus" w:hAnsi="Augustus" w:cs="Arial"/>
          <w:b/>
          <w:caps/>
          <w:color w:val="19B6BD"/>
          <w:sz w:val="28"/>
          <w:szCs w:val="28"/>
        </w:rPr>
        <w:br w:type="page"/>
      </w:r>
    </w:p>
    <w:p w14:paraId="662E5B03" w14:textId="4FD5E341" w:rsidR="00304929" w:rsidRPr="001C25FF" w:rsidRDefault="00304929" w:rsidP="001C25FF">
      <w:pPr>
        <w:kinsoku w:val="0"/>
        <w:overflowPunct w:val="0"/>
        <w:autoSpaceDE w:val="0"/>
        <w:autoSpaceDN w:val="0"/>
        <w:adjustRightInd w:val="0"/>
        <w:spacing w:after="0" w:line="240" w:lineRule="auto"/>
        <w:rPr>
          <w:rFonts w:ascii="Augustus" w:hAnsi="Augustus" w:cs="Arial"/>
          <w:b/>
          <w:caps/>
          <w:color w:val="19B6BD"/>
          <w:sz w:val="28"/>
          <w:szCs w:val="28"/>
        </w:rPr>
      </w:pPr>
      <w:r w:rsidRPr="001C25FF">
        <w:rPr>
          <w:rFonts w:ascii="Augustus" w:hAnsi="Augustus" w:cs="Arial"/>
          <w:b/>
          <w:caps/>
          <w:color w:val="19B6BD"/>
          <w:sz w:val="28"/>
          <w:szCs w:val="28"/>
        </w:rPr>
        <w:lastRenderedPageBreak/>
        <w:t>Priority #3: Reduce discrimination</w:t>
      </w:r>
    </w:p>
    <w:p w14:paraId="1B667DE0" w14:textId="77777777" w:rsidR="00304929" w:rsidRDefault="00304929" w:rsidP="00A57F36">
      <w:pPr>
        <w:kinsoku w:val="0"/>
        <w:overflowPunct w:val="0"/>
        <w:autoSpaceDE w:val="0"/>
        <w:autoSpaceDN w:val="0"/>
        <w:adjustRightInd w:val="0"/>
        <w:spacing w:after="0" w:line="240" w:lineRule="auto"/>
        <w:rPr>
          <w:rFonts w:ascii="Arial" w:hAnsi="Arial" w:cs="Arial"/>
        </w:rPr>
      </w:pPr>
    </w:p>
    <w:p w14:paraId="45F7B08C" w14:textId="77777777" w:rsidR="00304929" w:rsidRPr="001C714D" w:rsidRDefault="00304929" w:rsidP="00A57F36">
      <w:pPr>
        <w:kinsoku w:val="0"/>
        <w:overflowPunct w:val="0"/>
        <w:autoSpaceDE w:val="0"/>
        <w:autoSpaceDN w:val="0"/>
        <w:adjustRightInd w:val="0"/>
        <w:spacing w:after="0" w:line="240" w:lineRule="auto"/>
        <w:rPr>
          <w:rFonts w:ascii="Arial" w:hAnsi="Arial" w:cs="Arial"/>
        </w:rPr>
      </w:pPr>
    </w:p>
    <w:tbl>
      <w:tblPr>
        <w:tblStyle w:val="PlainTable21"/>
        <w:tblW w:w="8364" w:type="dxa"/>
        <w:tblLook w:val="04A0" w:firstRow="1" w:lastRow="0" w:firstColumn="1" w:lastColumn="0" w:noHBand="0" w:noVBand="1"/>
      </w:tblPr>
      <w:tblGrid>
        <w:gridCol w:w="3244"/>
        <w:gridCol w:w="3244"/>
        <w:gridCol w:w="1876"/>
      </w:tblGrid>
      <w:tr w:rsidR="001C714D" w:rsidRPr="001C714D" w14:paraId="6D5A3CF5" w14:textId="77777777" w:rsidTr="001C25FF">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3244" w:type="dxa"/>
          </w:tcPr>
          <w:p w14:paraId="4A3CD136" w14:textId="77E640AC" w:rsidR="001C714D" w:rsidRPr="001C25FF" w:rsidRDefault="001C714D" w:rsidP="00A57F36">
            <w:pPr>
              <w:kinsoku w:val="0"/>
              <w:overflowPunct w:val="0"/>
              <w:autoSpaceDE w:val="0"/>
              <w:autoSpaceDN w:val="0"/>
              <w:adjustRightInd w:val="0"/>
              <w:rPr>
                <w:rFonts w:ascii="Arial" w:hAnsi="Arial" w:cs="Arial"/>
              </w:rPr>
            </w:pPr>
            <w:r w:rsidRPr="001C25FF">
              <w:rPr>
                <w:rFonts w:ascii="Arial" w:hAnsi="Arial" w:cs="Arial"/>
              </w:rPr>
              <w:t xml:space="preserve">Initiative </w:t>
            </w:r>
            <w:r w:rsidR="00DA7D9D">
              <w:rPr>
                <w:rFonts w:ascii="Arial" w:hAnsi="Arial" w:cs="Arial"/>
              </w:rPr>
              <w:t>3.</w:t>
            </w:r>
            <w:r w:rsidRPr="001C25FF">
              <w:rPr>
                <w:rFonts w:ascii="Arial" w:hAnsi="Arial" w:cs="Arial"/>
              </w:rPr>
              <w:t>1</w:t>
            </w:r>
          </w:p>
        </w:tc>
        <w:tc>
          <w:tcPr>
            <w:tcW w:w="3244" w:type="dxa"/>
          </w:tcPr>
          <w:p w14:paraId="1A32E31B" w14:textId="77777777" w:rsidR="001C714D" w:rsidRPr="00CF237F" w:rsidRDefault="001C714D" w:rsidP="00A57F36">
            <w:pPr>
              <w:kinsoku w:val="0"/>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F237F">
              <w:rPr>
                <w:rFonts w:ascii="Arial" w:hAnsi="Arial" w:cs="Arial"/>
                <w:b w:val="0"/>
              </w:rPr>
              <w:t>Establish baseline measure of discrimination</w:t>
            </w:r>
          </w:p>
        </w:tc>
        <w:tc>
          <w:tcPr>
            <w:tcW w:w="1876" w:type="dxa"/>
          </w:tcPr>
          <w:p w14:paraId="2D3F3829" w14:textId="53D95CEC" w:rsidR="001C714D" w:rsidRPr="00CF237F" w:rsidRDefault="001C714D" w:rsidP="001C25FF">
            <w:pPr>
              <w:kinsoku w:val="0"/>
              <w:overflowPunct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F237F">
              <w:rPr>
                <w:rFonts w:ascii="Arial" w:hAnsi="Arial" w:cs="Arial"/>
                <w:b w:val="0"/>
              </w:rPr>
              <w:t>$</w:t>
            </w:r>
            <w:r w:rsidR="009F24EC" w:rsidRPr="00CF237F">
              <w:rPr>
                <w:rFonts w:ascii="Arial" w:hAnsi="Arial" w:cs="Arial"/>
                <w:b w:val="0"/>
              </w:rPr>
              <w:t xml:space="preserve"> </w:t>
            </w:r>
            <w:r w:rsidR="00D50916">
              <w:rPr>
                <w:rFonts w:ascii="Arial" w:hAnsi="Arial" w:cs="Arial"/>
                <w:b w:val="0"/>
              </w:rPr>
              <w:t xml:space="preserve">  </w:t>
            </w:r>
            <w:r w:rsidR="009F24EC" w:rsidRPr="00CF237F">
              <w:rPr>
                <w:rFonts w:ascii="Arial" w:hAnsi="Arial" w:cs="Arial"/>
                <w:b w:val="0"/>
              </w:rPr>
              <w:t xml:space="preserve"> </w:t>
            </w:r>
            <w:r w:rsidRPr="00CF237F">
              <w:rPr>
                <w:rFonts w:ascii="Arial" w:hAnsi="Arial" w:cs="Arial"/>
                <w:b w:val="0"/>
              </w:rPr>
              <w:t>150,000</w:t>
            </w:r>
          </w:p>
        </w:tc>
      </w:tr>
      <w:tr w:rsidR="001C714D" w:rsidRPr="001C714D" w14:paraId="09E62F08" w14:textId="77777777" w:rsidTr="001C25FF">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3244" w:type="dxa"/>
          </w:tcPr>
          <w:p w14:paraId="39E16875" w14:textId="574C0B42" w:rsidR="001C714D" w:rsidRPr="001C25FF" w:rsidRDefault="001C714D" w:rsidP="00A57F36">
            <w:pPr>
              <w:kinsoku w:val="0"/>
              <w:overflowPunct w:val="0"/>
              <w:autoSpaceDE w:val="0"/>
              <w:autoSpaceDN w:val="0"/>
              <w:adjustRightInd w:val="0"/>
              <w:rPr>
                <w:rFonts w:ascii="Arial" w:hAnsi="Arial" w:cs="Arial"/>
              </w:rPr>
            </w:pPr>
            <w:r w:rsidRPr="001C25FF">
              <w:rPr>
                <w:rFonts w:ascii="Arial" w:hAnsi="Arial" w:cs="Arial"/>
              </w:rPr>
              <w:t xml:space="preserve">Initiative </w:t>
            </w:r>
            <w:r w:rsidR="00DA7D9D">
              <w:rPr>
                <w:rFonts w:ascii="Arial" w:hAnsi="Arial" w:cs="Arial"/>
              </w:rPr>
              <w:t>3.</w:t>
            </w:r>
            <w:r w:rsidRPr="001C25FF">
              <w:rPr>
                <w:rFonts w:ascii="Arial" w:hAnsi="Arial" w:cs="Arial"/>
              </w:rPr>
              <w:t>2</w:t>
            </w:r>
          </w:p>
        </w:tc>
        <w:tc>
          <w:tcPr>
            <w:tcW w:w="3244" w:type="dxa"/>
          </w:tcPr>
          <w:p w14:paraId="1771283F" w14:textId="77777777" w:rsidR="001C714D" w:rsidRPr="001C714D" w:rsidRDefault="001C714D" w:rsidP="00A57F36">
            <w:pPr>
              <w:kinsoku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1C714D">
              <w:rPr>
                <w:rFonts w:ascii="Arial" w:hAnsi="Arial" w:cs="Arial"/>
              </w:rPr>
              <w:t>Establish social movement of inclusiveness</w:t>
            </w:r>
          </w:p>
        </w:tc>
        <w:tc>
          <w:tcPr>
            <w:tcW w:w="1876" w:type="dxa"/>
          </w:tcPr>
          <w:p w14:paraId="6B21C742" w14:textId="77777777" w:rsidR="001C714D" w:rsidRPr="001C714D" w:rsidRDefault="001C714D" w:rsidP="001C25FF">
            <w:pPr>
              <w:kinsoku w:val="0"/>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1C714D">
              <w:rPr>
                <w:rFonts w:ascii="Arial" w:hAnsi="Arial" w:cs="Arial"/>
              </w:rPr>
              <w:t>$ 4,000,000</w:t>
            </w:r>
          </w:p>
        </w:tc>
      </w:tr>
      <w:tr w:rsidR="001C714D" w:rsidRPr="001C714D" w14:paraId="1506F6B8" w14:textId="77777777" w:rsidTr="001C25FF">
        <w:trPr>
          <w:trHeight w:val="651"/>
        </w:trPr>
        <w:tc>
          <w:tcPr>
            <w:cnfStyle w:val="001000000000" w:firstRow="0" w:lastRow="0" w:firstColumn="1" w:lastColumn="0" w:oddVBand="0" w:evenVBand="0" w:oddHBand="0" w:evenHBand="0" w:firstRowFirstColumn="0" w:firstRowLastColumn="0" w:lastRowFirstColumn="0" w:lastRowLastColumn="0"/>
            <w:tcW w:w="3244" w:type="dxa"/>
          </w:tcPr>
          <w:p w14:paraId="5EA709B7" w14:textId="1B58B7B9" w:rsidR="001C714D" w:rsidRPr="001C25FF" w:rsidRDefault="001C714D" w:rsidP="00A57F36">
            <w:pPr>
              <w:kinsoku w:val="0"/>
              <w:overflowPunct w:val="0"/>
              <w:autoSpaceDE w:val="0"/>
              <w:autoSpaceDN w:val="0"/>
              <w:adjustRightInd w:val="0"/>
              <w:rPr>
                <w:rFonts w:ascii="Arial" w:hAnsi="Arial" w:cs="Arial"/>
              </w:rPr>
            </w:pPr>
            <w:r w:rsidRPr="001C25FF">
              <w:rPr>
                <w:rFonts w:ascii="Arial" w:hAnsi="Arial" w:cs="Arial"/>
              </w:rPr>
              <w:t xml:space="preserve">Initiative </w:t>
            </w:r>
            <w:r w:rsidR="00DA7D9D">
              <w:rPr>
                <w:rFonts w:ascii="Arial" w:hAnsi="Arial" w:cs="Arial"/>
              </w:rPr>
              <w:t>3.</w:t>
            </w:r>
            <w:r w:rsidRPr="001C25FF">
              <w:rPr>
                <w:rFonts w:ascii="Arial" w:hAnsi="Arial" w:cs="Arial"/>
              </w:rPr>
              <w:t>3</w:t>
            </w:r>
          </w:p>
        </w:tc>
        <w:tc>
          <w:tcPr>
            <w:tcW w:w="3244" w:type="dxa"/>
          </w:tcPr>
          <w:p w14:paraId="492C9A15" w14:textId="0B6DD9D5" w:rsidR="001C714D" w:rsidRPr="001C714D" w:rsidRDefault="001C714D" w:rsidP="00A57F36">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C714D">
              <w:rPr>
                <w:rFonts w:ascii="Arial" w:hAnsi="Arial" w:cs="Arial"/>
              </w:rPr>
              <w:t>Expansion of Dementia</w:t>
            </w:r>
            <w:r w:rsidR="006A0F70">
              <w:rPr>
                <w:rFonts w:ascii="Arial" w:hAnsi="Arial" w:cs="Arial"/>
              </w:rPr>
              <w:t>-</w:t>
            </w:r>
            <w:r w:rsidRPr="001C714D">
              <w:rPr>
                <w:rFonts w:ascii="Arial" w:hAnsi="Arial" w:cs="Arial"/>
              </w:rPr>
              <w:t xml:space="preserve"> Friendly Communities</w:t>
            </w:r>
          </w:p>
        </w:tc>
        <w:tc>
          <w:tcPr>
            <w:tcW w:w="1876" w:type="dxa"/>
          </w:tcPr>
          <w:p w14:paraId="4F1FE0FC" w14:textId="77777777" w:rsidR="001C714D" w:rsidRPr="001C714D" w:rsidRDefault="001C714D" w:rsidP="001C25FF">
            <w:pPr>
              <w:kinsoku w:val="0"/>
              <w:overflowPunct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1C714D">
              <w:rPr>
                <w:rFonts w:ascii="Arial" w:hAnsi="Arial" w:cs="Arial"/>
              </w:rPr>
              <w:t>$ 3,000,000</w:t>
            </w:r>
          </w:p>
        </w:tc>
      </w:tr>
      <w:tr w:rsidR="001C714D" w:rsidRPr="001C714D" w14:paraId="72F121AE" w14:textId="77777777" w:rsidTr="001C25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4" w:type="dxa"/>
          </w:tcPr>
          <w:p w14:paraId="4733BC26" w14:textId="77777777" w:rsidR="001C714D" w:rsidRPr="001C714D" w:rsidRDefault="001C714D" w:rsidP="00A57F36">
            <w:pPr>
              <w:kinsoku w:val="0"/>
              <w:overflowPunct w:val="0"/>
              <w:autoSpaceDE w:val="0"/>
              <w:autoSpaceDN w:val="0"/>
              <w:adjustRightInd w:val="0"/>
              <w:rPr>
                <w:rFonts w:ascii="Arial" w:hAnsi="Arial" w:cs="Arial"/>
                <w:b w:val="0"/>
              </w:rPr>
            </w:pPr>
          </w:p>
        </w:tc>
        <w:tc>
          <w:tcPr>
            <w:tcW w:w="3244" w:type="dxa"/>
          </w:tcPr>
          <w:p w14:paraId="26C5C656" w14:textId="358CF865" w:rsidR="001C714D" w:rsidRPr="001C25FF" w:rsidRDefault="00DA7D9D" w:rsidP="00A57F36">
            <w:pPr>
              <w:kinsoku w:val="0"/>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ugustus" w:hAnsi="Augustus" w:cs="Arial"/>
                <w:b/>
              </w:rPr>
            </w:pPr>
            <w:r w:rsidRPr="001C25FF">
              <w:rPr>
                <w:rFonts w:ascii="Augustus" w:hAnsi="Augustus" w:cs="Arial"/>
                <w:b/>
              </w:rPr>
              <w:t>TOTAL</w:t>
            </w:r>
          </w:p>
        </w:tc>
        <w:tc>
          <w:tcPr>
            <w:tcW w:w="1876" w:type="dxa"/>
          </w:tcPr>
          <w:p w14:paraId="0C56A47E" w14:textId="77777777" w:rsidR="001C714D" w:rsidRPr="001C714D" w:rsidRDefault="001C714D" w:rsidP="001C25FF">
            <w:pPr>
              <w:kinsoku w:val="0"/>
              <w:overflowPunct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1C714D">
              <w:rPr>
                <w:rFonts w:ascii="Arial" w:hAnsi="Arial" w:cs="Arial"/>
                <w:b/>
              </w:rPr>
              <w:t>$ 7,150,000</w:t>
            </w:r>
          </w:p>
        </w:tc>
      </w:tr>
    </w:tbl>
    <w:p w14:paraId="27A5FAFC" w14:textId="77777777" w:rsidR="00E70D6F" w:rsidRPr="001C714D" w:rsidRDefault="00E70D6F" w:rsidP="00A57F36">
      <w:pPr>
        <w:kinsoku w:val="0"/>
        <w:overflowPunct w:val="0"/>
        <w:autoSpaceDE w:val="0"/>
        <w:autoSpaceDN w:val="0"/>
        <w:adjustRightInd w:val="0"/>
        <w:spacing w:after="0" w:line="240" w:lineRule="auto"/>
        <w:rPr>
          <w:rFonts w:ascii="Arial" w:hAnsi="Arial" w:cs="Arial"/>
          <w:b/>
        </w:rPr>
      </w:pPr>
    </w:p>
    <w:p w14:paraId="259A693E" w14:textId="77777777" w:rsidR="00A57F36" w:rsidRDefault="00A57F36" w:rsidP="00A57F36">
      <w:pPr>
        <w:kinsoku w:val="0"/>
        <w:overflowPunct w:val="0"/>
        <w:autoSpaceDE w:val="0"/>
        <w:autoSpaceDN w:val="0"/>
        <w:adjustRightInd w:val="0"/>
        <w:spacing w:after="0" w:line="240" w:lineRule="auto"/>
        <w:rPr>
          <w:rFonts w:ascii="Arial" w:hAnsi="Arial" w:cs="Arial"/>
          <w:b/>
          <w:sz w:val="24"/>
          <w:szCs w:val="24"/>
        </w:rPr>
      </w:pPr>
    </w:p>
    <w:p w14:paraId="17A12D93" w14:textId="3FFFBEA7" w:rsidR="00A57F36" w:rsidRPr="001C25FF" w:rsidRDefault="00C62BA6" w:rsidP="00C94300">
      <w:pPr>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3.</w:t>
      </w:r>
      <w:r w:rsidRPr="001C25FF">
        <w:rPr>
          <w:rFonts w:ascii="Augustus" w:hAnsi="Augustus" w:cs="Arial"/>
          <w:b/>
          <w:sz w:val="24"/>
          <w:szCs w:val="24"/>
        </w:rPr>
        <w:t>1: Establish baseline measures of discrimination</w:t>
      </w:r>
    </w:p>
    <w:p w14:paraId="1D5E0FE9" w14:textId="390D1265" w:rsidR="00836A0E" w:rsidRDefault="00EA2D19"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People living with dementia report that discrimination is a common experience, however the drivers and metrics for measuring change have not been addressed. </w:t>
      </w:r>
      <w:r w:rsidR="00836A0E" w:rsidRPr="001C25FF">
        <w:rPr>
          <w:rFonts w:ascii="Arial" w:hAnsi="Arial" w:cs="Arial"/>
        </w:rPr>
        <w:t>Research will be undertaken around existing measures of discrimination and stigmatisation experienced by people living with dementia</w:t>
      </w:r>
      <w:r w:rsidR="00435DCE" w:rsidRPr="001C25FF">
        <w:rPr>
          <w:rFonts w:ascii="Arial" w:hAnsi="Arial" w:cs="Arial"/>
        </w:rPr>
        <w:t xml:space="preserve">. This research </w:t>
      </w:r>
      <w:r w:rsidR="00836A0E" w:rsidRPr="001C25FF">
        <w:rPr>
          <w:rFonts w:ascii="Arial" w:hAnsi="Arial" w:cs="Arial"/>
        </w:rPr>
        <w:t xml:space="preserve">will contribute to the development of a suitable tool for use in the context of dementia. </w:t>
      </w:r>
    </w:p>
    <w:p w14:paraId="1BED04A6" w14:textId="77777777" w:rsidR="00DA7D9D" w:rsidRPr="001C25FF" w:rsidRDefault="00DA7D9D" w:rsidP="001C25FF">
      <w:pPr>
        <w:kinsoku w:val="0"/>
        <w:overflowPunct w:val="0"/>
        <w:autoSpaceDE w:val="0"/>
        <w:autoSpaceDN w:val="0"/>
        <w:adjustRightInd w:val="0"/>
        <w:spacing w:after="0" w:line="240" w:lineRule="auto"/>
        <w:jc w:val="both"/>
        <w:outlineLvl w:val="0"/>
        <w:rPr>
          <w:rFonts w:ascii="Arial" w:hAnsi="Arial" w:cs="Arial"/>
        </w:rPr>
      </w:pPr>
    </w:p>
    <w:p w14:paraId="3C951744" w14:textId="77777777" w:rsidR="00836A0E" w:rsidRPr="001C25FF" w:rsidRDefault="00836A0E"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$150,000</w:t>
      </w:r>
    </w:p>
    <w:p w14:paraId="1AD81817" w14:textId="77777777" w:rsidR="00A074A0" w:rsidRPr="00836A0E" w:rsidRDefault="00A074A0" w:rsidP="00C94300">
      <w:pPr>
        <w:rPr>
          <w:rFonts w:ascii="Arial" w:hAnsi="Arial" w:cs="Arial"/>
        </w:rPr>
      </w:pPr>
    </w:p>
    <w:p w14:paraId="2831CC40" w14:textId="09514C60" w:rsidR="00C62BA6" w:rsidRPr="001C25FF" w:rsidRDefault="00C62BA6" w:rsidP="00C94300">
      <w:pPr>
        <w:rPr>
          <w:rFonts w:ascii="Augustus" w:hAnsi="Augustus" w:cs="Arial"/>
          <w:b/>
          <w:sz w:val="24"/>
          <w:szCs w:val="24"/>
        </w:rPr>
      </w:pPr>
      <w:r w:rsidRPr="001C25FF">
        <w:rPr>
          <w:rFonts w:ascii="Augustus" w:hAnsi="Augustus" w:cs="Arial"/>
          <w:b/>
          <w:sz w:val="24"/>
          <w:szCs w:val="24"/>
        </w:rPr>
        <w:t xml:space="preserve">Initiative </w:t>
      </w:r>
      <w:r w:rsidR="00DA7D9D" w:rsidRPr="001C25FF">
        <w:rPr>
          <w:rFonts w:ascii="Augustus" w:hAnsi="Augustus" w:cs="Arial"/>
          <w:b/>
          <w:sz w:val="24"/>
          <w:szCs w:val="24"/>
        </w:rPr>
        <w:t>3.</w:t>
      </w:r>
      <w:r w:rsidRPr="001C25FF">
        <w:rPr>
          <w:rFonts w:ascii="Augustus" w:hAnsi="Augustus" w:cs="Arial"/>
          <w:b/>
          <w:sz w:val="24"/>
          <w:szCs w:val="24"/>
        </w:rPr>
        <w:t>2: Social movement of inclusiveness</w:t>
      </w:r>
    </w:p>
    <w:p w14:paraId="7637649A" w14:textId="77777777" w:rsidR="00DA7D9D" w:rsidRDefault="00EC55A6"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An attitudinal shift is required in order to address the misunderstanding and fear which exists around dementia. </w:t>
      </w:r>
      <w:r w:rsidR="00836A0E" w:rsidRPr="001C25FF">
        <w:rPr>
          <w:rFonts w:ascii="Arial" w:hAnsi="Arial" w:cs="Arial"/>
        </w:rPr>
        <w:t xml:space="preserve">This initiative </w:t>
      </w:r>
      <w:r w:rsidR="00EA2D19" w:rsidRPr="001C25FF">
        <w:rPr>
          <w:rFonts w:ascii="Arial" w:hAnsi="Arial" w:cs="Arial"/>
        </w:rPr>
        <w:t xml:space="preserve">aims to </w:t>
      </w:r>
      <w:r w:rsidR="00836A0E" w:rsidRPr="001C25FF">
        <w:rPr>
          <w:rFonts w:ascii="Arial" w:hAnsi="Arial" w:cs="Arial"/>
        </w:rPr>
        <w:t>create a ‘movement of change’ that calls the community to action both individually and collectively. A multi-media awareness campaign will be created with the aim</w:t>
      </w:r>
      <w:r w:rsidR="00435DCE" w:rsidRPr="001C25FF">
        <w:rPr>
          <w:rFonts w:ascii="Arial" w:hAnsi="Arial" w:cs="Arial"/>
        </w:rPr>
        <w:t xml:space="preserve"> </w:t>
      </w:r>
      <w:r w:rsidR="00836A0E" w:rsidRPr="001C25FF">
        <w:rPr>
          <w:rFonts w:ascii="Arial" w:hAnsi="Arial" w:cs="Arial"/>
        </w:rPr>
        <w:t>to develop the community’s knowledge of dementia and to foster an empathetic approach towards the disease.</w:t>
      </w:r>
    </w:p>
    <w:p w14:paraId="197579D6" w14:textId="461B5BA2" w:rsidR="00836A0E" w:rsidRPr="001C25FF" w:rsidRDefault="00836A0E"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 </w:t>
      </w:r>
    </w:p>
    <w:p w14:paraId="4ACFBE44" w14:textId="293A9630" w:rsidR="00836A0E" w:rsidRPr="001C25FF" w:rsidRDefault="00836A0E"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$4</w:t>
      </w:r>
      <w:r w:rsidR="005440D4" w:rsidRPr="001C25FF">
        <w:rPr>
          <w:rFonts w:ascii="Arial" w:hAnsi="Arial" w:cs="Arial"/>
        </w:rPr>
        <w:t xml:space="preserve"> million</w:t>
      </w:r>
    </w:p>
    <w:p w14:paraId="63F889A4" w14:textId="25011CE5" w:rsidR="00304929" w:rsidRPr="00363F26" w:rsidRDefault="00304929" w:rsidP="00363F26">
      <w:pPr>
        <w:jc w:val="both"/>
        <w:rPr>
          <w:rFonts w:ascii="Arial" w:hAnsi="Arial" w:cs="Arial"/>
          <w:sz w:val="24"/>
          <w:szCs w:val="24"/>
        </w:rPr>
      </w:pPr>
    </w:p>
    <w:p w14:paraId="50C54C57" w14:textId="3BD7A990" w:rsidR="00C62BA6" w:rsidRPr="001C25FF" w:rsidRDefault="00C62BA6" w:rsidP="00C94300">
      <w:pPr>
        <w:rPr>
          <w:rFonts w:ascii="Augustus" w:hAnsi="Augustus" w:cs="Arial"/>
          <w:b/>
          <w:sz w:val="24"/>
          <w:szCs w:val="24"/>
        </w:rPr>
      </w:pPr>
      <w:r w:rsidRPr="001C25FF">
        <w:rPr>
          <w:rFonts w:ascii="Augustus" w:hAnsi="Augustus" w:cs="Arial"/>
          <w:b/>
          <w:sz w:val="24"/>
          <w:szCs w:val="24"/>
        </w:rPr>
        <w:t>Initiative 3</w:t>
      </w:r>
      <w:r w:rsidR="00DA7D9D">
        <w:rPr>
          <w:rFonts w:ascii="Augustus" w:hAnsi="Augustus" w:cs="Arial"/>
          <w:b/>
          <w:sz w:val="24"/>
          <w:szCs w:val="24"/>
        </w:rPr>
        <w:t>.3</w:t>
      </w:r>
      <w:r w:rsidRPr="001C25FF">
        <w:rPr>
          <w:rFonts w:ascii="Augustus" w:hAnsi="Augustus" w:cs="Arial"/>
          <w:b/>
          <w:sz w:val="24"/>
          <w:szCs w:val="24"/>
        </w:rPr>
        <w:t>: Dementia</w:t>
      </w:r>
      <w:r w:rsidR="00BC19F3">
        <w:rPr>
          <w:rFonts w:ascii="Augustus" w:hAnsi="Augustus" w:cs="Arial"/>
          <w:b/>
          <w:sz w:val="24"/>
          <w:szCs w:val="24"/>
        </w:rPr>
        <w:t>-</w:t>
      </w:r>
      <w:r w:rsidRPr="001C25FF">
        <w:rPr>
          <w:rFonts w:ascii="Augustus" w:hAnsi="Augustus" w:cs="Arial"/>
          <w:b/>
          <w:sz w:val="24"/>
          <w:szCs w:val="24"/>
        </w:rPr>
        <w:t>Friendly Communities</w:t>
      </w:r>
    </w:p>
    <w:p w14:paraId="3C0E97CC" w14:textId="0D399F2F" w:rsidR="00836A0E" w:rsidRDefault="00EC55A6"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The Dementia</w:t>
      </w:r>
      <w:r w:rsidR="00BC19F3">
        <w:rPr>
          <w:rFonts w:ascii="Arial" w:hAnsi="Arial" w:cs="Arial"/>
        </w:rPr>
        <w:t>-</w:t>
      </w:r>
      <w:r w:rsidRPr="001C25FF">
        <w:rPr>
          <w:rFonts w:ascii="Arial" w:hAnsi="Arial" w:cs="Arial"/>
        </w:rPr>
        <w:t xml:space="preserve">Friendly </w:t>
      </w:r>
      <w:r w:rsidR="00E23DC7">
        <w:rPr>
          <w:rFonts w:ascii="Arial" w:hAnsi="Arial" w:cs="Arial"/>
        </w:rPr>
        <w:t>C</w:t>
      </w:r>
      <w:r w:rsidRPr="001C25FF">
        <w:rPr>
          <w:rFonts w:ascii="Arial" w:hAnsi="Arial" w:cs="Arial"/>
        </w:rPr>
        <w:t xml:space="preserve">ommunities and the Dementia Friends program has achieved great results in increasing the understanding and public awareness of dementia across Australia. It is important that this momentum is sustained and further embedded into society. </w:t>
      </w:r>
      <w:r w:rsidR="00E53F32" w:rsidRPr="001C25FF">
        <w:rPr>
          <w:rFonts w:ascii="Arial" w:hAnsi="Arial" w:cs="Arial"/>
        </w:rPr>
        <w:t>This initiative will expand the Dementia</w:t>
      </w:r>
      <w:r w:rsidR="00BC19F3">
        <w:rPr>
          <w:rFonts w:ascii="Arial" w:hAnsi="Arial" w:cs="Arial"/>
        </w:rPr>
        <w:t>-</w:t>
      </w:r>
      <w:r w:rsidR="00E53F32" w:rsidRPr="001C25FF">
        <w:rPr>
          <w:rFonts w:ascii="Arial" w:hAnsi="Arial" w:cs="Arial"/>
        </w:rPr>
        <w:t>Friendly Communities and Dementia Friends program.</w:t>
      </w:r>
    </w:p>
    <w:p w14:paraId="10FCD7B1" w14:textId="77777777" w:rsidR="001C25FF" w:rsidRPr="001C25FF" w:rsidRDefault="001C25FF" w:rsidP="001C25FF">
      <w:pPr>
        <w:kinsoku w:val="0"/>
        <w:overflowPunct w:val="0"/>
        <w:autoSpaceDE w:val="0"/>
        <w:autoSpaceDN w:val="0"/>
        <w:adjustRightInd w:val="0"/>
        <w:spacing w:after="0" w:line="240" w:lineRule="auto"/>
        <w:jc w:val="both"/>
        <w:outlineLvl w:val="0"/>
        <w:rPr>
          <w:rFonts w:ascii="Arial" w:hAnsi="Arial" w:cs="Arial"/>
        </w:rPr>
      </w:pPr>
    </w:p>
    <w:p w14:paraId="16E2400F" w14:textId="2201D55F" w:rsidR="00C62BA6" w:rsidRPr="001C25FF" w:rsidRDefault="00C62BA6"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Implementation cost: $</w:t>
      </w:r>
      <w:r w:rsidR="001044FE" w:rsidRPr="001C25FF">
        <w:rPr>
          <w:rFonts w:ascii="Arial" w:hAnsi="Arial" w:cs="Arial"/>
        </w:rPr>
        <w:t>3</w:t>
      </w:r>
      <w:r w:rsidR="005440D4" w:rsidRPr="001C25FF">
        <w:rPr>
          <w:rFonts w:ascii="Arial" w:hAnsi="Arial" w:cs="Arial"/>
        </w:rPr>
        <w:t xml:space="preserve"> million</w:t>
      </w:r>
    </w:p>
    <w:p w14:paraId="46F6AA28" w14:textId="77777777" w:rsidR="0087107D" w:rsidRDefault="0087107D" w:rsidP="0087107D">
      <w:pPr>
        <w:rPr>
          <w:rFonts w:ascii="Arial" w:hAnsi="Arial" w:cs="Arial"/>
        </w:rPr>
      </w:pPr>
    </w:p>
    <w:p w14:paraId="71D492F9" w14:textId="77777777" w:rsidR="001C25FF" w:rsidRDefault="001C25FF" w:rsidP="00363F26">
      <w:pPr>
        <w:jc w:val="both"/>
        <w:rPr>
          <w:rFonts w:ascii="Arial" w:hAnsi="Arial" w:cs="Arial"/>
          <w:b/>
        </w:rPr>
      </w:pPr>
    </w:p>
    <w:p w14:paraId="769B625C" w14:textId="77777777" w:rsidR="003814CE" w:rsidRDefault="003814CE">
      <w:pPr>
        <w:rPr>
          <w:rFonts w:ascii="Augustus" w:hAnsi="Augustus" w:cs="Arial"/>
          <w:b/>
          <w:caps/>
          <w:color w:val="19B6BD"/>
          <w:sz w:val="28"/>
          <w:szCs w:val="28"/>
        </w:rPr>
      </w:pPr>
      <w:r>
        <w:rPr>
          <w:rFonts w:ascii="Augustus" w:hAnsi="Augustus" w:cs="Arial"/>
          <w:b/>
          <w:caps/>
          <w:color w:val="19B6BD"/>
          <w:sz w:val="28"/>
          <w:szCs w:val="28"/>
        </w:rPr>
        <w:br w:type="page"/>
      </w:r>
    </w:p>
    <w:p w14:paraId="7FE3CD87" w14:textId="4273FC1B" w:rsidR="001C25FF" w:rsidRPr="001C25FF" w:rsidRDefault="0087107D" w:rsidP="001C25FF">
      <w:pPr>
        <w:kinsoku w:val="0"/>
        <w:overflowPunct w:val="0"/>
        <w:autoSpaceDE w:val="0"/>
        <w:autoSpaceDN w:val="0"/>
        <w:adjustRightInd w:val="0"/>
        <w:spacing w:after="240" w:line="240" w:lineRule="auto"/>
        <w:rPr>
          <w:rFonts w:ascii="Augustus" w:hAnsi="Augustus" w:cs="Arial"/>
          <w:b/>
          <w:caps/>
          <w:color w:val="19B6BD"/>
          <w:sz w:val="28"/>
          <w:szCs w:val="28"/>
        </w:rPr>
      </w:pPr>
      <w:r w:rsidRPr="001C25FF">
        <w:rPr>
          <w:rFonts w:ascii="Augustus" w:hAnsi="Augustus" w:cs="Arial"/>
          <w:b/>
          <w:caps/>
          <w:color w:val="19B6BD"/>
          <w:sz w:val="28"/>
          <w:szCs w:val="28"/>
        </w:rPr>
        <w:lastRenderedPageBreak/>
        <w:t>Conclusion</w:t>
      </w:r>
    </w:p>
    <w:p w14:paraId="626979D2" w14:textId="5F50BEF6" w:rsidR="003B307F" w:rsidRDefault="0087107D" w:rsidP="001C25FF">
      <w:pPr>
        <w:kinsoku w:val="0"/>
        <w:overflowPunct w:val="0"/>
        <w:autoSpaceDE w:val="0"/>
        <w:autoSpaceDN w:val="0"/>
        <w:adjustRightInd w:val="0"/>
        <w:spacing w:after="0" w:line="240" w:lineRule="auto"/>
        <w:jc w:val="both"/>
        <w:outlineLvl w:val="0"/>
        <w:rPr>
          <w:rFonts w:ascii="Arial" w:hAnsi="Arial" w:cs="Arial"/>
        </w:rPr>
      </w:pPr>
      <w:r w:rsidRPr="001C25FF">
        <w:rPr>
          <w:rFonts w:ascii="Arial" w:hAnsi="Arial" w:cs="Arial"/>
        </w:rPr>
        <w:t xml:space="preserve">The prevalence of dementia in our community is growing exponentially. Australia needs decisive action to ensure that the outcomes for people living with dementia are adequately considered </w:t>
      </w:r>
      <w:r w:rsidR="003B307F" w:rsidRPr="001C25FF">
        <w:rPr>
          <w:rFonts w:ascii="Arial" w:hAnsi="Arial" w:cs="Arial"/>
        </w:rPr>
        <w:t>in the context of more generalised health, disability and aged care reforms, with targeted, translatable</w:t>
      </w:r>
      <w:r w:rsidRPr="001C25FF">
        <w:rPr>
          <w:rFonts w:ascii="Arial" w:hAnsi="Arial" w:cs="Arial"/>
        </w:rPr>
        <w:t xml:space="preserve"> action implemented</w:t>
      </w:r>
      <w:r w:rsidR="003B307F" w:rsidRPr="001C25FF">
        <w:rPr>
          <w:rFonts w:ascii="Arial" w:hAnsi="Arial" w:cs="Arial"/>
        </w:rPr>
        <w:t xml:space="preserve">. </w:t>
      </w:r>
      <w:r w:rsidRPr="001C25FF">
        <w:rPr>
          <w:rFonts w:ascii="Arial" w:hAnsi="Arial" w:cs="Arial"/>
        </w:rPr>
        <w:t xml:space="preserve">  </w:t>
      </w:r>
    </w:p>
    <w:p w14:paraId="0E4CFFDB" w14:textId="77777777" w:rsidR="001C25FF" w:rsidRPr="001C25FF" w:rsidRDefault="001C25FF" w:rsidP="001C25FF">
      <w:pPr>
        <w:kinsoku w:val="0"/>
        <w:overflowPunct w:val="0"/>
        <w:autoSpaceDE w:val="0"/>
        <w:autoSpaceDN w:val="0"/>
        <w:adjustRightInd w:val="0"/>
        <w:spacing w:after="0" w:line="240" w:lineRule="auto"/>
        <w:jc w:val="both"/>
        <w:outlineLvl w:val="0"/>
        <w:rPr>
          <w:rFonts w:ascii="Arial" w:hAnsi="Arial" w:cs="Arial"/>
        </w:rPr>
      </w:pPr>
    </w:p>
    <w:p w14:paraId="660BA1DD" w14:textId="769C88D1" w:rsidR="0087107D" w:rsidRPr="001C25FF" w:rsidRDefault="00643DAD" w:rsidP="001C25FF">
      <w:pPr>
        <w:kinsoku w:val="0"/>
        <w:overflowPunct w:val="0"/>
        <w:autoSpaceDE w:val="0"/>
        <w:autoSpaceDN w:val="0"/>
        <w:adjustRightInd w:val="0"/>
        <w:spacing w:after="0" w:line="240" w:lineRule="auto"/>
        <w:jc w:val="both"/>
        <w:outlineLvl w:val="0"/>
        <w:rPr>
          <w:rFonts w:ascii="Arial" w:hAnsi="Arial" w:cs="Arial"/>
        </w:rPr>
      </w:pPr>
      <w:r>
        <w:rPr>
          <w:rFonts w:ascii="Arial" w:hAnsi="Arial" w:cs="Arial"/>
        </w:rPr>
        <w:t>The</w:t>
      </w:r>
      <w:r w:rsidR="002F6186">
        <w:rPr>
          <w:rFonts w:ascii="Arial" w:hAnsi="Arial" w:cs="Arial"/>
        </w:rPr>
        <w:t xml:space="preserve"> funding investments</w:t>
      </w:r>
      <w:r w:rsidR="00AE06B9">
        <w:rPr>
          <w:rFonts w:ascii="Arial" w:hAnsi="Arial" w:cs="Arial"/>
        </w:rPr>
        <w:t xml:space="preserve"> outlined in this</w:t>
      </w:r>
      <w:r w:rsidR="002F6186">
        <w:rPr>
          <w:rFonts w:ascii="Arial" w:hAnsi="Arial" w:cs="Arial"/>
        </w:rPr>
        <w:t xml:space="preserve"> submission will represent long term savings for the government.</w:t>
      </w:r>
      <w:r w:rsidR="00AE06B9">
        <w:rPr>
          <w:rFonts w:ascii="Arial" w:hAnsi="Arial" w:cs="Arial"/>
        </w:rPr>
        <w:t xml:space="preserve"> </w:t>
      </w:r>
      <w:r w:rsidR="003B307F" w:rsidRPr="001C25FF">
        <w:rPr>
          <w:rFonts w:ascii="Arial" w:hAnsi="Arial" w:cs="Arial"/>
        </w:rPr>
        <w:t>Investing in initiatives that define</w:t>
      </w:r>
      <w:r w:rsidR="0087107D" w:rsidRPr="001C25FF">
        <w:rPr>
          <w:rFonts w:ascii="Arial" w:hAnsi="Arial" w:cs="Arial"/>
        </w:rPr>
        <w:t xml:space="preserve"> the pathway to diagnoses, develop quality standards for care and reduc</w:t>
      </w:r>
      <w:r w:rsidR="003B307F" w:rsidRPr="001C25FF">
        <w:rPr>
          <w:rFonts w:ascii="Arial" w:hAnsi="Arial" w:cs="Arial"/>
        </w:rPr>
        <w:t>e</w:t>
      </w:r>
      <w:r w:rsidR="0087107D" w:rsidRPr="001C25FF">
        <w:rPr>
          <w:rFonts w:ascii="Arial" w:hAnsi="Arial" w:cs="Arial"/>
        </w:rPr>
        <w:t xml:space="preserve"> the daily discrimination faced by people living with dementia will demonstrate that the Federal Government is serious about making dementia core business</w:t>
      </w:r>
      <w:r w:rsidR="003B307F" w:rsidRPr="001C25FF">
        <w:rPr>
          <w:rFonts w:ascii="Arial" w:hAnsi="Arial" w:cs="Arial"/>
        </w:rPr>
        <w:t xml:space="preserve"> in Australia</w:t>
      </w:r>
    </w:p>
    <w:sectPr w:rsidR="0087107D" w:rsidRPr="001C25FF" w:rsidSect="005146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A9CF4" w14:textId="77777777" w:rsidR="00E9544E" w:rsidRDefault="00E9544E" w:rsidP="00524288">
      <w:pPr>
        <w:spacing w:after="0" w:line="240" w:lineRule="auto"/>
      </w:pPr>
      <w:r>
        <w:separator/>
      </w:r>
    </w:p>
  </w:endnote>
  <w:endnote w:type="continuationSeparator" w:id="0">
    <w:p w14:paraId="65242AB2" w14:textId="77777777" w:rsidR="00E9544E" w:rsidRDefault="00E9544E" w:rsidP="005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ugustus">
    <w:altName w:val="Malgun Gothic"/>
    <w:panose1 w:val="02000500020000020004"/>
    <w:charset w:val="00"/>
    <w:family w:val="modern"/>
    <w:notTrueType/>
    <w:pitch w:val="variable"/>
    <w:sig w:usb0="8000002F" w:usb1="50000048"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450029"/>
      <w:docPartObj>
        <w:docPartGallery w:val="Page Numbers (Bottom of Page)"/>
        <w:docPartUnique/>
      </w:docPartObj>
    </w:sdtPr>
    <w:sdtEndPr>
      <w:rPr>
        <w:noProof/>
      </w:rPr>
    </w:sdtEndPr>
    <w:sdtContent>
      <w:p w14:paraId="27BF26B8" w14:textId="792C5AAA" w:rsidR="00EA2D19" w:rsidRDefault="00EA2D19">
        <w:pPr>
          <w:pStyle w:val="Footer"/>
          <w:jc w:val="right"/>
        </w:pPr>
        <w:r>
          <w:fldChar w:fldCharType="begin"/>
        </w:r>
        <w:r>
          <w:instrText xml:space="preserve"> PAGE   \* MERGEFORMAT </w:instrText>
        </w:r>
        <w:r>
          <w:fldChar w:fldCharType="separate"/>
        </w:r>
        <w:r w:rsidR="005D2D69">
          <w:rPr>
            <w:noProof/>
          </w:rPr>
          <w:t>8</w:t>
        </w:r>
        <w:r>
          <w:rPr>
            <w:noProof/>
          </w:rPr>
          <w:fldChar w:fldCharType="end"/>
        </w:r>
      </w:p>
    </w:sdtContent>
  </w:sdt>
  <w:p w14:paraId="6B3D3057" w14:textId="77777777" w:rsidR="00EA2D19" w:rsidRDefault="00EA2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B8B8" w14:textId="77777777" w:rsidR="00E9544E" w:rsidRDefault="00E9544E" w:rsidP="00524288">
      <w:pPr>
        <w:spacing w:after="0" w:line="240" w:lineRule="auto"/>
      </w:pPr>
      <w:r>
        <w:separator/>
      </w:r>
    </w:p>
  </w:footnote>
  <w:footnote w:type="continuationSeparator" w:id="0">
    <w:p w14:paraId="158720C9" w14:textId="77777777" w:rsidR="00E9544E" w:rsidRDefault="00E9544E" w:rsidP="00524288">
      <w:pPr>
        <w:spacing w:after="0" w:line="240" w:lineRule="auto"/>
      </w:pPr>
      <w:r>
        <w:continuationSeparator/>
      </w:r>
    </w:p>
  </w:footnote>
  <w:footnote w:id="1">
    <w:p w14:paraId="0F51DD0A" w14:textId="3F82F87E" w:rsidR="00EA2D19" w:rsidRPr="00514692" w:rsidRDefault="00EA2D19">
      <w:pPr>
        <w:pStyle w:val="FootnoteText"/>
        <w:rPr>
          <w:rFonts w:ascii="Arial" w:hAnsi="Arial" w:cs="Arial"/>
          <w:sz w:val="18"/>
          <w:szCs w:val="18"/>
        </w:rPr>
      </w:pPr>
      <w:r>
        <w:rPr>
          <w:rStyle w:val="FootnoteReference"/>
        </w:rPr>
        <w:footnoteRef/>
      </w:r>
      <w:r>
        <w:t xml:space="preserve"> </w:t>
      </w:r>
      <w:r w:rsidRPr="00514692">
        <w:rPr>
          <w:rFonts w:ascii="Arial" w:hAnsi="Arial" w:cs="Arial"/>
          <w:color w:val="000000"/>
          <w:sz w:val="18"/>
          <w:szCs w:val="18"/>
          <w:shd w:val="clear" w:color="auto" w:fill="FFFFFF"/>
        </w:rPr>
        <w:t>Australian Bureau of Statistics (2018)</w:t>
      </w:r>
      <w:r>
        <w:rPr>
          <w:rFonts w:ascii="Arial" w:hAnsi="Arial" w:cs="Arial"/>
          <w:color w:val="000000"/>
          <w:sz w:val="18"/>
          <w:szCs w:val="18"/>
          <w:shd w:val="clear" w:color="auto" w:fill="FFFFFF"/>
        </w:rPr>
        <w:t>.</w:t>
      </w:r>
      <w:r w:rsidRPr="00514692">
        <w:rPr>
          <w:rFonts w:ascii="Arial" w:hAnsi="Arial" w:cs="Arial"/>
          <w:color w:val="000000"/>
          <w:sz w:val="18"/>
          <w:szCs w:val="18"/>
          <w:shd w:val="clear" w:color="auto" w:fill="FFFFFF"/>
        </w:rPr>
        <w:t> </w:t>
      </w:r>
      <w:r w:rsidRPr="00514692">
        <w:rPr>
          <w:rStyle w:val="Emphasis"/>
          <w:rFonts w:ascii="Arial" w:hAnsi="Arial" w:cs="Arial"/>
          <w:color w:val="000000"/>
          <w:sz w:val="18"/>
          <w:szCs w:val="18"/>
          <w:shd w:val="clear" w:color="auto" w:fill="FFFFFF"/>
        </w:rPr>
        <w:t>Causes of Death, Australia, 2017</w:t>
      </w:r>
      <w:r w:rsidRPr="00514692">
        <w:rPr>
          <w:rFonts w:ascii="Arial" w:hAnsi="Arial" w:cs="Arial"/>
          <w:color w:val="000000"/>
          <w:sz w:val="18"/>
          <w:szCs w:val="18"/>
          <w:shd w:val="clear" w:color="auto" w:fill="FFFFFF"/>
        </w:rPr>
        <w:t> (cat. no. 3303.0)</w:t>
      </w:r>
      <w:r w:rsidRPr="00514692">
        <w:rPr>
          <w:rFonts w:ascii="Arial" w:hAnsi="Arial" w:cs="Arial"/>
          <w:sz w:val="18"/>
          <w:szCs w:val="18"/>
        </w:rPr>
        <w:t>.</w:t>
      </w:r>
    </w:p>
  </w:footnote>
  <w:footnote w:id="2">
    <w:p w14:paraId="529987CC" w14:textId="3FBF1DB6" w:rsidR="00EA2D19" w:rsidRPr="00514692" w:rsidRDefault="00EA2D19">
      <w:pPr>
        <w:pStyle w:val="FootnoteText"/>
        <w:rPr>
          <w:rFonts w:ascii="Arial" w:hAnsi="Arial" w:cs="Arial"/>
          <w:sz w:val="18"/>
          <w:szCs w:val="18"/>
        </w:rPr>
      </w:pPr>
      <w:r w:rsidRPr="00514692">
        <w:rPr>
          <w:rStyle w:val="FootnoteReference"/>
          <w:rFonts w:ascii="Arial" w:hAnsi="Arial" w:cs="Arial"/>
          <w:sz w:val="18"/>
          <w:szCs w:val="18"/>
        </w:rPr>
        <w:footnoteRef/>
      </w:r>
      <w:r w:rsidRPr="00514692">
        <w:rPr>
          <w:rFonts w:ascii="Arial" w:hAnsi="Arial" w:cs="Arial"/>
          <w:sz w:val="18"/>
          <w:szCs w:val="18"/>
        </w:rPr>
        <w:t xml:space="preserve"> Dementia Australia (2018). Dementia Prevalence Data 2018-2058, commissioned research undertaken by </w:t>
      </w:r>
      <w:r w:rsidRPr="002A09B0">
        <w:rPr>
          <w:rFonts w:ascii="Arial" w:hAnsi="Arial" w:cs="Arial"/>
          <w:sz w:val="18"/>
          <w:szCs w:val="18"/>
        </w:rPr>
        <w:t xml:space="preserve">The National Centre for Social and Economic Modelling </w:t>
      </w:r>
      <w:r>
        <w:rPr>
          <w:rFonts w:ascii="Arial" w:hAnsi="Arial" w:cs="Arial"/>
          <w:sz w:val="18"/>
          <w:szCs w:val="18"/>
        </w:rPr>
        <w:t>[</w:t>
      </w:r>
      <w:r w:rsidRPr="002A09B0">
        <w:rPr>
          <w:rFonts w:ascii="Arial" w:hAnsi="Arial" w:cs="Arial"/>
          <w:sz w:val="18"/>
          <w:szCs w:val="18"/>
        </w:rPr>
        <w:t>NATSEM</w:t>
      </w:r>
      <w:r>
        <w:rPr>
          <w:rFonts w:ascii="Arial" w:hAnsi="Arial" w:cs="Arial"/>
          <w:sz w:val="18"/>
          <w:szCs w:val="18"/>
        </w:rPr>
        <w:t>]</w:t>
      </w:r>
      <w:r w:rsidRPr="00514692">
        <w:rPr>
          <w:rFonts w:ascii="Arial" w:hAnsi="Arial" w:cs="Arial"/>
          <w:sz w:val="18"/>
          <w:szCs w:val="18"/>
        </w:rPr>
        <w:t>, University of Canberra.</w:t>
      </w:r>
    </w:p>
  </w:footnote>
  <w:footnote w:id="3">
    <w:p w14:paraId="07F03AAE" w14:textId="0303CE2F" w:rsidR="00EA2D19" w:rsidRPr="00514692" w:rsidRDefault="00EA2D19">
      <w:pPr>
        <w:pStyle w:val="FootnoteText"/>
        <w:rPr>
          <w:rFonts w:ascii="Arial" w:hAnsi="Arial" w:cs="Arial"/>
          <w:sz w:val="18"/>
          <w:szCs w:val="18"/>
          <w:lang w:val="en-US"/>
        </w:rPr>
      </w:pPr>
      <w:r w:rsidRPr="00514692">
        <w:rPr>
          <w:rStyle w:val="FootnoteReference"/>
          <w:rFonts w:ascii="Arial" w:hAnsi="Arial" w:cs="Arial"/>
          <w:sz w:val="18"/>
          <w:szCs w:val="18"/>
        </w:rPr>
        <w:footnoteRef/>
      </w:r>
      <w:r w:rsidRPr="00514692">
        <w:rPr>
          <w:rFonts w:ascii="Arial" w:hAnsi="Arial" w:cs="Arial"/>
          <w:sz w:val="18"/>
          <w:szCs w:val="18"/>
        </w:rPr>
        <w:t xml:space="preserve"> The National Centre for Social and Economic Modelling </w:t>
      </w:r>
      <w:r>
        <w:rPr>
          <w:rFonts w:ascii="Arial" w:hAnsi="Arial" w:cs="Arial"/>
          <w:sz w:val="18"/>
          <w:szCs w:val="18"/>
        </w:rPr>
        <w:t>[</w:t>
      </w:r>
      <w:r w:rsidRPr="00514692">
        <w:rPr>
          <w:rFonts w:ascii="Arial" w:hAnsi="Arial" w:cs="Arial"/>
          <w:sz w:val="18"/>
          <w:szCs w:val="18"/>
        </w:rPr>
        <w:t>NATSEM</w:t>
      </w:r>
      <w:r>
        <w:rPr>
          <w:rFonts w:ascii="Arial" w:hAnsi="Arial" w:cs="Arial"/>
          <w:sz w:val="18"/>
          <w:szCs w:val="18"/>
        </w:rPr>
        <w:t>] for Dementia Australia</w:t>
      </w:r>
      <w:r w:rsidRPr="00514692">
        <w:rPr>
          <w:rFonts w:ascii="Arial" w:hAnsi="Arial" w:cs="Arial"/>
          <w:sz w:val="18"/>
          <w:szCs w:val="18"/>
        </w:rPr>
        <w:t xml:space="preserve"> (2016)</w:t>
      </w:r>
      <w:r>
        <w:rPr>
          <w:rFonts w:ascii="Arial" w:hAnsi="Arial" w:cs="Arial"/>
          <w:sz w:val="18"/>
          <w:szCs w:val="18"/>
        </w:rPr>
        <w:t>.</w:t>
      </w:r>
      <w:r w:rsidRPr="00514692">
        <w:rPr>
          <w:rFonts w:ascii="Arial" w:hAnsi="Arial" w:cs="Arial"/>
          <w:sz w:val="18"/>
          <w:szCs w:val="18"/>
        </w:rPr>
        <w:t xml:space="preserve"> </w:t>
      </w:r>
      <w:r w:rsidRPr="00514692">
        <w:rPr>
          <w:rFonts w:ascii="Arial" w:hAnsi="Arial" w:cs="Arial"/>
          <w:i/>
          <w:sz w:val="18"/>
          <w:szCs w:val="18"/>
        </w:rPr>
        <w:t>Economic Cost of Dementia in Australia 2016-2056</w:t>
      </w:r>
      <w:r>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69F"/>
    <w:multiLevelType w:val="hybridMultilevel"/>
    <w:tmpl w:val="621E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E64F25"/>
    <w:multiLevelType w:val="hybridMultilevel"/>
    <w:tmpl w:val="5CFC8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CB76C5"/>
    <w:multiLevelType w:val="hybridMultilevel"/>
    <w:tmpl w:val="8F320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D3E4D4E"/>
    <w:multiLevelType w:val="hybridMultilevel"/>
    <w:tmpl w:val="B8EE05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66B45364"/>
    <w:multiLevelType w:val="hybridMultilevel"/>
    <w:tmpl w:val="5322C8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8D427BB"/>
    <w:multiLevelType w:val="hybridMultilevel"/>
    <w:tmpl w:val="9D92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2E"/>
    <w:rsid w:val="00014AF4"/>
    <w:rsid w:val="000249A4"/>
    <w:rsid w:val="000505E1"/>
    <w:rsid w:val="00077AD3"/>
    <w:rsid w:val="000A0C0C"/>
    <w:rsid w:val="000B4B23"/>
    <w:rsid w:val="000C37F9"/>
    <w:rsid w:val="000E22D7"/>
    <w:rsid w:val="001044FE"/>
    <w:rsid w:val="00117355"/>
    <w:rsid w:val="0014155F"/>
    <w:rsid w:val="001C25FF"/>
    <w:rsid w:val="001C714D"/>
    <w:rsid w:val="002404E6"/>
    <w:rsid w:val="00277D72"/>
    <w:rsid w:val="002B22DD"/>
    <w:rsid w:val="002F6186"/>
    <w:rsid w:val="00304929"/>
    <w:rsid w:val="00320EAE"/>
    <w:rsid w:val="00334B4F"/>
    <w:rsid w:val="00350B2F"/>
    <w:rsid w:val="00363F26"/>
    <w:rsid w:val="003814CE"/>
    <w:rsid w:val="003B307F"/>
    <w:rsid w:val="00422192"/>
    <w:rsid w:val="00435DCE"/>
    <w:rsid w:val="004406CB"/>
    <w:rsid w:val="00491073"/>
    <w:rsid w:val="004C410A"/>
    <w:rsid w:val="004E4BD7"/>
    <w:rsid w:val="00514692"/>
    <w:rsid w:val="00524288"/>
    <w:rsid w:val="00524540"/>
    <w:rsid w:val="005440D4"/>
    <w:rsid w:val="00553FEE"/>
    <w:rsid w:val="005616D2"/>
    <w:rsid w:val="005D2D69"/>
    <w:rsid w:val="00607265"/>
    <w:rsid w:val="00643DAD"/>
    <w:rsid w:val="006A0F70"/>
    <w:rsid w:val="006B22D9"/>
    <w:rsid w:val="006B2746"/>
    <w:rsid w:val="00701753"/>
    <w:rsid w:val="0073642A"/>
    <w:rsid w:val="007D2E02"/>
    <w:rsid w:val="007D63C6"/>
    <w:rsid w:val="007D7463"/>
    <w:rsid w:val="007E4C7E"/>
    <w:rsid w:val="0083071F"/>
    <w:rsid w:val="00836A0E"/>
    <w:rsid w:val="00857BFE"/>
    <w:rsid w:val="0087107D"/>
    <w:rsid w:val="00884778"/>
    <w:rsid w:val="008D29EF"/>
    <w:rsid w:val="008E4E23"/>
    <w:rsid w:val="008E4FAF"/>
    <w:rsid w:val="008F59D8"/>
    <w:rsid w:val="00966443"/>
    <w:rsid w:val="00987BCE"/>
    <w:rsid w:val="009A005E"/>
    <w:rsid w:val="009F24EC"/>
    <w:rsid w:val="00A074A0"/>
    <w:rsid w:val="00A45C71"/>
    <w:rsid w:val="00A57F36"/>
    <w:rsid w:val="00A8692B"/>
    <w:rsid w:val="00A91EBA"/>
    <w:rsid w:val="00AE06B9"/>
    <w:rsid w:val="00AE5096"/>
    <w:rsid w:val="00B01260"/>
    <w:rsid w:val="00B740A5"/>
    <w:rsid w:val="00BA7009"/>
    <w:rsid w:val="00BB7777"/>
    <w:rsid w:val="00BC19F3"/>
    <w:rsid w:val="00BC6A6D"/>
    <w:rsid w:val="00BD037C"/>
    <w:rsid w:val="00C21553"/>
    <w:rsid w:val="00C62BA6"/>
    <w:rsid w:val="00C94300"/>
    <w:rsid w:val="00CB5855"/>
    <w:rsid w:val="00CD5D43"/>
    <w:rsid w:val="00CF237F"/>
    <w:rsid w:val="00CF4673"/>
    <w:rsid w:val="00D107C0"/>
    <w:rsid w:val="00D36B1A"/>
    <w:rsid w:val="00D50916"/>
    <w:rsid w:val="00D73B7E"/>
    <w:rsid w:val="00D90462"/>
    <w:rsid w:val="00DA7D9D"/>
    <w:rsid w:val="00DB0978"/>
    <w:rsid w:val="00DB1C88"/>
    <w:rsid w:val="00E04058"/>
    <w:rsid w:val="00E23DC7"/>
    <w:rsid w:val="00E30438"/>
    <w:rsid w:val="00E43745"/>
    <w:rsid w:val="00E45242"/>
    <w:rsid w:val="00E46CD6"/>
    <w:rsid w:val="00E5181E"/>
    <w:rsid w:val="00E53F32"/>
    <w:rsid w:val="00E666D5"/>
    <w:rsid w:val="00E70D6F"/>
    <w:rsid w:val="00E91B2E"/>
    <w:rsid w:val="00E9544E"/>
    <w:rsid w:val="00EA2D19"/>
    <w:rsid w:val="00EB2000"/>
    <w:rsid w:val="00EC1158"/>
    <w:rsid w:val="00EC55A6"/>
    <w:rsid w:val="00ED4DA9"/>
    <w:rsid w:val="00EE2965"/>
    <w:rsid w:val="00F15964"/>
    <w:rsid w:val="00F30770"/>
    <w:rsid w:val="00F72D56"/>
    <w:rsid w:val="00FD4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ADEF2"/>
  <w15:docId w15:val="{10BC7673-B247-4506-ADF8-8CB11808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B2E"/>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1"/>
    <w:qFormat/>
    <w:rsid w:val="00E91B2E"/>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E70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24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288"/>
    <w:rPr>
      <w:sz w:val="20"/>
      <w:szCs w:val="20"/>
    </w:rPr>
  </w:style>
  <w:style w:type="character" w:styleId="FootnoteReference">
    <w:name w:val="footnote reference"/>
    <w:basedOn w:val="DefaultParagraphFont"/>
    <w:uiPriority w:val="99"/>
    <w:semiHidden/>
    <w:unhideWhenUsed/>
    <w:rsid w:val="00524288"/>
    <w:rPr>
      <w:vertAlign w:val="superscript"/>
    </w:rPr>
  </w:style>
  <w:style w:type="table" w:customStyle="1" w:styleId="TableGrid1">
    <w:name w:val="Table Grid1"/>
    <w:basedOn w:val="TableNormal"/>
    <w:next w:val="TableGrid"/>
    <w:uiPriority w:val="39"/>
    <w:rsid w:val="00884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5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9D8"/>
  </w:style>
  <w:style w:type="paragraph" w:styleId="Footer">
    <w:name w:val="footer"/>
    <w:basedOn w:val="Normal"/>
    <w:link w:val="FooterChar"/>
    <w:uiPriority w:val="99"/>
    <w:unhideWhenUsed/>
    <w:rsid w:val="008F5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D8"/>
  </w:style>
  <w:style w:type="paragraph" w:styleId="BalloonText">
    <w:name w:val="Balloon Text"/>
    <w:basedOn w:val="Normal"/>
    <w:link w:val="BalloonTextChar"/>
    <w:uiPriority w:val="99"/>
    <w:semiHidden/>
    <w:unhideWhenUsed/>
    <w:rsid w:val="00CB5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55"/>
    <w:rPr>
      <w:rFonts w:ascii="Segoe UI" w:hAnsi="Segoe UI" w:cs="Segoe UI"/>
      <w:sz w:val="18"/>
      <w:szCs w:val="18"/>
    </w:rPr>
  </w:style>
  <w:style w:type="character" w:styleId="CommentReference">
    <w:name w:val="annotation reference"/>
    <w:basedOn w:val="DefaultParagraphFont"/>
    <w:uiPriority w:val="99"/>
    <w:semiHidden/>
    <w:unhideWhenUsed/>
    <w:rsid w:val="00966443"/>
    <w:rPr>
      <w:sz w:val="16"/>
      <w:szCs w:val="16"/>
    </w:rPr>
  </w:style>
  <w:style w:type="paragraph" w:styleId="CommentText">
    <w:name w:val="annotation text"/>
    <w:basedOn w:val="Normal"/>
    <w:link w:val="CommentTextChar"/>
    <w:uiPriority w:val="99"/>
    <w:semiHidden/>
    <w:unhideWhenUsed/>
    <w:rsid w:val="00966443"/>
    <w:pPr>
      <w:spacing w:line="240" w:lineRule="auto"/>
    </w:pPr>
    <w:rPr>
      <w:sz w:val="20"/>
      <w:szCs w:val="20"/>
    </w:rPr>
  </w:style>
  <w:style w:type="character" w:customStyle="1" w:styleId="CommentTextChar">
    <w:name w:val="Comment Text Char"/>
    <w:basedOn w:val="DefaultParagraphFont"/>
    <w:link w:val="CommentText"/>
    <w:uiPriority w:val="99"/>
    <w:semiHidden/>
    <w:rsid w:val="00966443"/>
    <w:rPr>
      <w:sz w:val="20"/>
      <w:szCs w:val="20"/>
    </w:rPr>
  </w:style>
  <w:style w:type="paragraph" w:styleId="CommentSubject">
    <w:name w:val="annotation subject"/>
    <w:basedOn w:val="CommentText"/>
    <w:next w:val="CommentText"/>
    <w:link w:val="CommentSubjectChar"/>
    <w:uiPriority w:val="99"/>
    <w:semiHidden/>
    <w:unhideWhenUsed/>
    <w:rsid w:val="00966443"/>
    <w:rPr>
      <w:b/>
      <w:bCs/>
    </w:rPr>
  </w:style>
  <w:style w:type="character" w:customStyle="1" w:styleId="CommentSubjectChar">
    <w:name w:val="Comment Subject Char"/>
    <w:basedOn w:val="CommentTextChar"/>
    <w:link w:val="CommentSubject"/>
    <w:uiPriority w:val="99"/>
    <w:semiHidden/>
    <w:rsid w:val="00966443"/>
    <w:rPr>
      <w:b/>
      <w:bCs/>
      <w:sz w:val="20"/>
      <w:szCs w:val="20"/>
    </w:rPr>
  </w:style>
  <w:style w:type="character" w:styleId="Emphasis">
    <w:name w:val="Emphasis"/>
    <w:basedOn w:val="DefaultParagraphFont"/>
    <w:uiPriority w:val="20"/>
    <w:qFormat/>
    <w:rsid w:val="008D29EF"/>
    <w:rPr>
      <w:i/>
      <w:iCs/>
    </w:rPr>
  </w:style>
  <w:style w:type="table" w:customStyle="1" w:styleId="PlainTable21">
    <w:name w:val="Plain Table 21"/>
    <w:basedOn w:val="TableNormal"/>
    <w:uiPriority w:val="42"/>
    <w:rsid w:val="007D63C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51">
    <w:name w:val="List Table 2 - Accent 51"/>
    <w:basedOn w:val="TableNormal"/>
    <w:uiPriority w:val="47"/>
    <w:rsid w:val="00F72D56"/>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31">
    <w:name w:val="List Table 2 - Accent 31"/>
    <w:basedOn w:val="TableNormal"/>
    <w:uiPriority w:val="47"/>
    <w:rsid w:val="00F72D56"/>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2019MINS-957875958-29</_dlc_DocId>
    <TaxCatchAll xmlns="0f563589-9cf9-4143-b1eb-fb0534803d38">
      <Value>2</Value>
    </TaxCatchAll>
    <_dlc_DocIdUrl xmlns="0f563589-9cf9-4143-b1eb-fb0534803d38">
      <Url>http://tweb/sites/mins/activity/prebudget/_layouts/15/DocIdRedir.aspx?ID=2019MINS-957875958-29</Url>
      <Description>2019MINS-957875958-29</Description>
    </_dlc_DocIdUrl>
  </documentManagement>
</p:properties>
</file>

<file path=customXml/itemProps1.xml><?xml version="1.0" encoding="utf-8"?>
<ds:datastoreItem xmlns:ds="http://schemas.openxmlformats.org/officeDocument/2006/customXml" ds:itemID="{2DCBAE0F-1E88-4FF0-A8F4-DC581F9FE8C5}">
  <ds:schemaRefs>
    <ds:schemaRef ds:uri="http://schemas.openxmlformats.org/officeDocument/2006/bibliography"/>
  </ds:schemaRefs>
</ds:datastoreItem>
</file>

<file path=customXml/itemProps2.xml><?xml version="1.0" encoding="utf-8"?>
<ds:datastoreItem xmlns:ds="http://schemas.openxmlformats.org/officeDocument/2006/customXml" ds:itemID="{E474CAD3-FACC-4637-A6D3-63510F93E87A}"/>
</file>

<file path=customXml/itemProps3.xml><?xml version="1.0" encoding="utf-8"?>
<ds:datastoreItem xmlns:ds="http://schemas.openxmlformats.org/officeDocument/2006/customXml" ds:itemID="{2ADB840D-7C5D-4B28-9975-45FA062C9AF4}"/>
</file>

<file path=customXml/itemProps4.xml><?xml version="1.0" encoding="utf-8"?>
<ds:datastoreItem xmlns:ds="http://schemas.openxmlformats.org/officeDocument/2006/customXml" ds:itemID="{0371DBD7-A774-46E6-8063-79A5889B3CE4}"/>
</file>

<file path=customXml/itemProps5.xml><?xml version="1.0" encoding="utf-8"?>
<ds:datastoreItem xmlns:ds="http://schemas.openxmlformats.org/officeDocument/2006/customXml" ds:itemID="{473BCD59-AFC0-4AEA-8D02-FA3B67E13F5E}"/>
</file>

<file path=customXml/itemProps6.xml><?xml version="1.0" encoding="utf-8"?>
<ds:datastoreItem xmlns:ds="http://schemas.openxmlformats.org/officeDocument/2006/customXml" ds:itemID="{4555B534-280A-4027-BB80-825F0D66062D}"/>
</file>

<file path=docProps/app.xml><?xml version="1.0" encoding="utf-8"?>
<Properties xmlns="http://schemas.openxmlformats.org/officeDocument/2006/extended-properties" xmlns:vt="http://schemas.openxmlformats.org/officeDocument/2006/docPropsVTypes">
  <Template>Normal</Template>
  <TotalTime>1</TotalTime>
  <Pages>10</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Giusti</dc:creator>
  <cp:lastModifiedBy>Kaele Stokes</cp:lastModifiedBy>
  <cp:revision>2</cp:revision>
  <cp:lastPrinted>2018-12-23T22:30:00Z</cp:lastPrinted>
  <dcterms:created xsi:type="dcterms:W3CDTF">2018-12-23T22:32:00Z</dcterms:created>
  <dcterms:modified xsi:type="dcterms:W3CDTF">2018-12-23T22:32:00Z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395868738</vt:i4>
  </property>
  <property fmtid="{D5CDD505-2E9C-101B-9397-08002B2CF9AE}" pid="3" name="_NewReviewCycle">
    <vt:lpwstr/>
  </property>
  <property fmtid="{D5CDD505-2E9C-101B-9397-08002B2CF9AE}" pid="4" name="_EmailSubject">
    <vt:lpwstr>Batch 1 - Pre-budget submissions for approval to publish [DLM=For-Official-Use-Only]</vt:lpwstr>
  </property>
  <property fmtid="{D5CDD505-2E9C-101B-9397-08002B2CF9AE}" pid="5" name="_AuthorEmail">
    <vt:lpwstr>Daniel.Craig@TREASURY.GOV.AU</vt:lpwstr>
  </property>
  <property fmtid="{D5CDD505-2E9C-101B-9397-08002B2CF9AE}" pid="6" name="_AuthorEmailDisplayName">
    <vt:lpwstr>Craig, Daniel</vt:lpwstr>
  </property>
  <property fmtid="{D5CDD505-2E9C-101B-9397-08002B2CF9AE}" pid="7" name="_dlc_DocIdItemGuid">
    <vt:lpwstr>eb6b8760-c4eb-46f6-bd49-354919a67480</vt:lpwstr>
  </property>
  <property fmtid="{D5CDD505-2E9C-101B-9397-08002B2CF9AE}" pid="8" name="ContentTypeId">
    <vt:lpwstr>0x010100C1F664D0940F85469AA434981483399000F4DE3D0581DC214CAE2C0C5F81A0F4A1</vt:lpwstr>
  </property>
  <property fmtid="{D5CDD505-2E9C-101B-9397-08002B2CF9AE}" pid="9" name="TSYRecordClass">
    <vt:lpwstr>2;#TSY RA-8733 - Destroy 10 years after action completed|18609896-7c96-418c-bbc1-db3751e97ee3</vt:lpwstr>
  </property>
</Properties>
</file>