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harts/style1.xml" ContentType="application/vnd.ms-office.chartstyle+xml"/>
  <Override PartName="/word/charts/chart1.xml" ContentType="application/vnd.openxmlformats-officedocument.drawingml.chart+xml"/>
  <Override PartName="/word/charts/colors1.xml" ContentType="application/vnd.ms-office.chartcolorstyl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FB65B" w14:textId="77777777" w:rsidR="00C73983" w:rsidRDefault="008921CA" w:rsidP="00C73983">
      <w:r>
        <w:rPr>
          <w:noProof/>
          <w:lang w:eastAsia="en-AU"/>
        </w:rPr>
        <mc:AlternateContent>
          <mc:Choice Requires="wps">
            <w:drawing>
              <wp:anchor distT="0" distB="0" distL="114300" distR="114300" simplePos="0" relativeHeight="251672576" behindDoc="0" locked="0" layoutInCell="1" allowOverlap="1" wp14:anchorId="3B5C3C31" wp14:editId="5C7DF8FE">
                <wp:simplePos x="0" y="0"/>
                <wp:positionH relativeFrom="column">
                  <wp:posOffset>-1080135</wp:posOffset>
                </wp:positionH>
                <wp:positionV relativeFrom="paragraph">
                  <wp:posOffset>3006900</wp:posOffset>
                </wp:positionV>
                <wp:extent cx="7560310" cy="5783855"/>
                <wp:effectExtent l="0" t="0" r="2540" b="7620"/>
                <wp:wrapNone/>
                <wp:docPr id="10" name="Rectangle 10"/>
                <wp:cNvGraphicFramePr/>
                <a:graphic xmlns:a="http://schemas.openxmlformats.org/drawingml/2006/main">
                  <a:graphicData uri="http://schemas.microsoft.com/office/word/2010/wordprocessingShape">
                    <wps:wsp>
                      <wps:cNvSpPr/>
                      <wps:spPr>
                        <a:xfrm>
                          <a:off x="0" y="0"/>
                          <a:ext cx="7560310" cy="5783855"/>
                        </a:xfrm>
                        <a:prstGeom prst="rect">
                          <a:avLst/>
                        </a:prstGeom>
                        <a:solidFill>
                          <a:srgbClr val="23378B">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41F48" id="Rectangle 10" o:spid="_x0000_s1026" style="position:absolute;margin-left:-85.05pt;margin-top:236.75pt;width:595.3pt;height:45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egcpwIAAKkFAAAOAAAAZHJzL2Uyb0RvYy54bWysVEtv2zAMvg/YfxB0X+28mjSoU2QtOgwo&#10;2qLt0LMiS7EBWdQkJU7260dJtvtYscOwHBRRJD+Sn0meXxwaRfbCuhp0QUcnOSVCcyhrvS3oj6fr&#10;LwtKnGe6ZAq0KOhROHqx+vzpvDVLMYYKVCksQRDtlq0paOW9WWaZ45VomDsBIzQqJdiGeRTtNist&#10;axG9Udk4z0+zFmxpLHDhHL5eJSVdRXwpBfd3UjrhiSoo5ubjaeO5CWe2OmfLrWWmqnmXBvuHLBpW&#10;aww6QF0xz8jO1n9ANTW34ED6Ew5NBlLWXMQasJpR/q6ax4oZEWtBcpwZaHL/D5bf7u8tqUv8dkiP&#10;Zg1+owdkjemtEgTfkKDWuCXaPZp720kOr6Hag7RN+Mc6yCGSehxIFQdPOD7OZ6f5JIBz1M3mi8li&#10;Nguo2Yu7sc5/E9CQcCmoxfiRTLa/cT6Z9iYhmgNVl9e1UlGw282lsmTP8AuPJ5P54mvyVaZi6XU+&#10;PcvHXUiXzGP4NzhKBzQNATeFDC9ZqD1VG2/+qESwU/pBSKQN6xvHcLFhxZAI41xoP0qqipUiZTLL&#10;8ddnElo8eMRcImBAlhh/wO4AessE0mOnLDv74Cpivw/O+d8SS86DR4wM2g/OTa3BfgSgsKoucrLv&#10;SUrUBJY2UB6xqSykaXOGX9f4YW+Y8/fM4nhhM+DK8Hd4SAVtQaG7UVKB/fXRe7DHrkctJS2Oa0Hd&#10;zx2zghL1XeM8nI2m0zDfUZjO5mMU7GvN5rVG75pLwH4Z4XIyPF6DvVf9VVponnGzrENUVDHNMXZB&#10;ube9cOnTGsHdxMV6Hc1wpg3zN/rR8AAeWA2N+3R4ZtZ03e1xMG6hH222fNfkyTZ4aljvPMg6TsAL&#10;rx3fuA9i43S7Kyyc13K0etmwq98AAAD//wMAUEsDBBQABgAIAAAAIQAy2u5k3wAAAA4BAAAPAAAA&#10;ZHJzL2Rvd25yZXYueG1sTI+7bsMwDEX3Av0HgQW6JZLtuAlcy0FRoN3zWLIpFmMb1cOQlMT++zJT&#10;u12CB5eH9Xayht0wxME7CdlSAEPXej24TsLx8LXYAItJOa2Mdyhhxgjb5vmpVpX2d7fD2z51jEpc&#10;rJSEPqWx4jy2PVoVl35ER7uLD1YlGkPHdVB3KreG50K8casGRxd6NeJnj+3P/molBP8d8oOY55J3&#10;uj2Z3eniVSnl68v08Q4s4ZT+YHjokzo05HT2V6cjMxIW2VpkxEpYrYsS2AMRuaB0plRsVgXwpub/&#10;32h+AQAA//8DAFBLAQItABQABgAIAAAAIQC2gziS/gAAAOEBAAATAAAAAAAAAAAAAAAAAAAAAABb&#10;Q29udGVudF9UeXBlc10ueG1sUEsBAi0AFAAGAAgAAAAhADj9If/WAAAAlAEAAAsAAAAAAAAAAAAA&#10;AAAALwEAAF9yZWxzLy5yZWxzUEsBAi0AFAAGAAgAAAAhAPsN6BynAgAAqQUAAA4AAAAAAAAAAAAA&#10;AAAALgIAAGRycy9lMm9Eb2MueG1sUEsBAi0AFAAGAAgAAAAhADLa7mTfAAAADgEAAA8AAAAAAAAA&#10;AAAAAAAAAQUAAGRycy9kb3ducmV2LnhtbFBLBQYAAAAABAAEAPMAAAANBgAAAAA=&#10;" fillcolor="#23378b" stroked="f" strokeweight="2pt">
                <v:fill opacity="49087f"/>
              </v:rect>
            </w:pict>
          </mc:Fallback>
        </mc:AlternateContent>
      </w:r>
      <w:r>
        <w:rPr>
          <w:noProof/>
          <w:lang w:eastAsia="en-AU"/>
        </w:rPr>
        <mc:AlternateContent>
          <mc:Choice Requires="wps">
            <w:drawing>
              <wp:anchor distT="0" distB="0" distL="114300" distR="114300" simplePos="0" relativeHeight="251676672" behindDoc="0" locked="0" layoutInCell="1" allowOverlap="1" wp14:anchorId="67C61644" wp14:editId="3551216B">
                <wp:simplePos x="0" y="0"/>
                <wp:positionH relativeFrom="margin">
                  <wp:posOffset>-808355</wp:posOffset>
                </wp:positionH>
                <wp:positionV relativeFrom="paragraph">
                  <wp:posOffset>1738630</wp:posOffset>
                </wp:positionV>
                <wp:extent cx="5964555" cy="12496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5964555" cy="1249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74B68" w14:textId="74CE459F" w:rsidR="00FE685B" w:rsidRPr="00742D72" w:rsidRDefault="00FE685B" w:rsidP="00D460CD">
                            <w:pPr>
                              <w:pStyle w:val="Title"/>
                            </w:pPr>
                            <w:r>
                              <w:t>2019-20 Federal Budget Submission</w:t>
                            </w:r>
                          </w:p>
                          <w:p w14:paraId="63947F1D" w14:textId="77777777" w:rsidR="00FE685B" w:rsidRPr="00C73983" w:rsidRDefault="00FE685B" w:rsidP="00742D72">
                            <w:pPr>
                              <w:pStyle w:val="DocumentDetail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61644" id="_x0000_t202" coordsize="21600,21600" o:spt="202" path="m,l,21600r21600,l21600,xe">
                <v:stroke joinstyle="miter"/>
                <v:path gradientshapeok="t" o:connecttype="rect"/>
              </v:shapetype>
              <v:shape id="Text Box 4" o:spid="_x0000_s1026" type="#_x0000_t202" style="position:absolute;margin-left:-63.65pt;margin-top:136.9pt;width:469.65pt;height:98.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rygAIAAGMFAAAOAAAAZHJzL2Uyb0RvYy54bWysVN9v2jAQfp+0/8Hy+xpggRVEqFirTpOq&#10;thpMfTaOXaLZPs82JOyv39lJALG9dNpLYt99d7777sf8ptGK7IXzFZiCDq8GlAjDoazMa0G/r+8/&#10;XFPiAzMlU2BEQQ/C05vF+3fz2s7ECLagSuEIOjF+VtuCbkOwsyzzfCs081dghUGlBKdZwKt7zUrH&#10;avSuVTYaDCZZDa60DrjwHqV3rZIukn8pBQ9PUnoRiCooxhbS16XvJn6zxZzNXh2z24p3YbB/iEKz&#10;yuCjR1d3LDCyc9UfrnTFHXiQ4YqDzkDKiouUA2YzHFxks9oyK1IuSI63R5r8/3PLH/fPjlRlQXNK&#10;DNNYorVoAvkMDckjO7X1MwStLMJCg2Ksci/3KIxJN9Lp+Md0COqR58OR2+iMo3A8neTj8ZgSjrrh&#10;KJ9OrhP72cncOh++CNAkHgrqsHiJU7Z/8AFDQWgPia8ZuK+USgVUhtQFnXwcD5LBUYMWykSsSK3Q&#10;uYkptaGnUzgoETHKfBMSqUgZREFqQnGrHNkzbB/GuTAhJZ/8IjqiJAbxFsMOf4rqLcZtHv3LYMLR&#10;WFcGXMr+IuzyRx+ybPFI5Fne8RiaTdOVegPlASvtoJ0Ub/l9hdV4YD48M4ejgcXFcQ9P+JEKkHXo&#10;TpRswf36mzzisWNRS0mNo1ZQ/3PHnKBEfTXYy9NhnsfZTJd8/GmEF3eu2ZxrzE7fApZjiIvF8nSM&#10;+KD6o3SgX3ArLOOrqGKG49sFDf3xNrQLALcKF8tlAuE0WhYezMry6DpWJ/baunlhznYNGbCXH6Ef&#10;Sja76MsWGy0NLHcBZJWaNhLcstoRj5OcernbOnFVnN8T6rQbF78BAAD//wMAUEsDBBQABgAIAAAA&#10;IQDa5utG4wAAAAwBAAAPAAAAZHJzL2Rvd25yZXYueG1sTI/BSsNAEIbvgu+wjOCt3SRqG2I2pQSK&#10;IPXQ2ou3TXaaBLOzMbtto0/v9KSnYZiPf74/X022F2ccfedIQTyPQCDVznTUKDi8b2YpCB80Gd07&#10;QgXf6GFV3N7kOjPuQjs870MjOIR8phW0IQyZlL5u0Wo/dwMS345utDrwOjbSjPrC4baXSRQtpNUd&#10;8YdWD1i2WH/uT1bBa7l507sqselPX75sj+vh6/DxpNT93bR+BhFwCn8wXPVZHQp2qtyJjBe9glmc&#10;LB+YVcCTSzCSxgnXqxQ8LqMFyCKX/0sUvwAAAP//AwBQSwECLQAUAAYACAAAACEAtoM4kv4AAADh&#10;AQAAEwAAAAAAAAAAAAAAAAAAAAAAW0NvbnRlbnRfVHlwZXNdLnhtbFBLAQItABQABgAIAAAAIQA4&#10;/SH/1gAAAJQBAAALAAAAAAAAAAAAAAAAAC8BAABfcmVscy8ucmVsc1BLAQItABQABgAIAAAAIQDP&#10;sCrygAIAAGMFAAAOAAAAAAAAAAAAAAAAAC4CAABkcnMvZTJvRG9jLnhtbFBLAQItABQABgAIAAAA&#10;IQDa5utG4wAAAAwBAAAPAAAAAAAAAAAAAAAAANoEAABkcnMvZG93bnJldi54bWxQSwUGAAAAAAQA&#10;BADzAAAA6gUAAAAA&#10;" filled="f" stroked="f" strokeweight=".5pt">
                <v:textbox>
                  <w:txbxContent>
                    <w:p w14:paraId="08774B68" w14:textId="74CE459F" w:rsidR="00FE685B" w:rsidRPr="00742D72" w:rsidRDefault="00FE685B" w:rsidP="00D460CD">
                      <w:pPr>
                        <w:pStyle w:val="Title"/>
                      </w:pPr>
                      <w:r>
                        <w:t>2019-20 Federal Budget Submission</w:t>
                      </w:r>
                    </w:p>
                    <w:p w14:paraId="63947F1D" w14:textId="77777777" w:rsidR="00FE685B" w:rsidRPr="00C73983" w:rsidRDefault="00FE685B" w:rsidP="00742D72">
                      <w:pPr>
                        <w:pStyle w:val="DocumentDetails"/>
                      </w:pPr>
                    </w:p>
                  </w:txbxContent>
                </v:textbox>
                <w10:wrap anchorx="margin"/>
              </v:shape>
            </w:pict>
          </mc:Fallback>
        </mc:AlternateContent>
      </w:r>
      <w:r>
        <w:rPr>
          <w:noProof/>
          <w:lang w:eastAsia="en-AU"/>
        </w:rPr>
        <mc:AlternateContent>
          <mc:Choice Requires="wps">
            <w:drawing>
              <wp:anchor distT="0" distB="0" distL="114300" distR="114300" simplePos="0" relativeHeight="251675648" behindDoc="0" locked="0" layoutInCell="1" allowOverlap="1" wp14:anchorId="047BE33C" wp14:editId="1FC934B7">
                <wp:simplePos x="0" y="0"/>
                <wp:positionH relativeFrom="column">
                  <wp:posOffset>-775335</wp:posOffset>
                </wp:positionH>
                <wp:positionV relativeFrom="paragraph">
                  <wp:posOffset>3186974</wp:posOffset>
                </wp:positionV>
                <wp:extent cx="6923314" cy="490918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6923314" cy="4909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BBCC09" w14:textId="77777777" w:rsidR="00FE685B" w:rsidRDefault="00FE685B" w:rsidP="00742D72">
                            <w:pPr>
                              <w:pStyle w:val="DocumentDetails"/>
                            </w:pPr>
                          </w:p>
                          <w:p w14:paraId="268F3C27" w14:textId="77777777" w:rsidR="00FE685B" w:rsidRDefault="00FE685B" w:rsidP="00742D72">
                            <w:pPr>
                              <w:pStyle w:val="DocumentDetails"/>
                            </w:pPr>
                          </w:p>
                          <w:p w14:paraId="60037790" w14:textId="77777777" w:rsidR="00FE685B" w:rsidRDefault="00FE685B" w:rsidP="00742D72">
                            <w:pPr>
                              <w:pStyle w:val="DocumentDetails"/>
                            </w:pPr>
                          </w:p>
                          <w:p w14:paraId="000EAF86" w14:textId="77777777" w:rsidR="00FE685B" w:rsidRDefault="00FE685B" w:rsidP="00742D72">
                            <w:pPr>
                              <w:pStyle w:val="DocumentDetails"/>
                            </w:pPr>
                          </w:p>
                          <w:p w14:paraId="4E7063D9" w14:textId="77777777" w:rsidR="00FE685B" w:rsidRDefault="00FE685B" w:rsidP="00742D72">
                            <w:pPr>
                              <w:pStyle w:val="DocumentDetails"/>
                            </w:pPr>
                          </w:p>
                          <w:p w14:paraId="48B35034" w14:textId="77777777" w:rsidR="00FE685B" w:rsidRDefault="00FE685B" w:rsidP="00742D72">
                            <w:pPr>
                              <w:pStyle w:val="DocumentDetails"/>
                            </w:pPr>
                          </w:p>
                          <w:p w14:paraId="2218B03C" w14:textId="77777777" w:rsidR="00FE685B" w:rsidRDefault="00FE685B" w:rsidP="00742D72">
                            <w:pPr>
                              <w:pStyle w:val="DocumentDetails"/>
                            </w:pPr>
                          </w:p>
                          <w:p w14:paraId="282DC35E" w14:textId="77777777" w:rsidR="00FE685B" w:rsidRDefault="00FE685B" w:rsidP="00742D72">
                            <w:pPr>
                              <w:pStyle w:val="DocumentDetails"/>
                            </w:pPr>
                          </w:p>
                          <w:p w14:paraId="7EACB141" w14:textId="77777777" w:rsidR="00FE685B" w:rsidRPr="008921CA" w:rsidRDefault="00FE685B" w:rsidP="008921CA">
                            <w:pPr>
                              <w:jc w:val="right"/>
                              <w:rPr>
                                <w:b/>
                                <w:color w:val="FFFFFF" w:themeColor="background1"/>
                                <w:szCs w:val="20"/>
                              </w:rPr>
                            </w:pPr>
                            <w:r w:rsidRPr="008921CA">
                              <w:rPr>
                                <w:b/>
                                <w:bCs/>
                                <w:color w:val="FFFFFF" w:themeColor="background1"/>
                                <w:szCs w:val="20"/>
                              </w:rPr>
                              <w:t>Australian Private Hospitals Association</w:t>
                            </w:r>
                            <w:r w:rsidRPr="008921CA">
                              <w:rPr>
                                <w:b/>
                                <w:color w:val="FFFFFF" w:themeColor="background1"/>
                                <w:szCs w:val="20"/>
                              </w:rPr>
                              <w:t xml:space="preserve"> ABN 82 008 623 809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BE33C" id="Text Box 5" o:spid="_x0000_s1027" type="#_x0000_t202" style="position:absolute;margin-left:-61.05pt;margin-top:250.95pt;width:545.15pt;height:38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jgAIAAGoFAAAOAAAAZHJzL2Uyb0RvYy54bWysVN1P2zAQf5+0/8Hy+0hbWkYrUtSBmCYh&#10;QINpz65j02i2z7OvTbq/fmcnKRXbC9NekvPd774/Li5ba9hOhViDK/n4ZMSZchKq2j2X/NvTzYdz&#10;ziIKVwkDTpV8ryK/XL5/d9H4hZrABkylAiMjLi4aX/INol8URZQbZUU8Aa8cCTUEK5Ce4bmogmjI&#10;ujXFZDQ6KxoIlQ8gVYzEve6EfJnta60k3msdFTJTcooN8zfk7zp9i+WFWDwH4Te17MMQ/xCFFbUj&#10;pwdT1wIF24b6D1O2lgEiaDyRYAvQupYq50DZjEevsnncCK9yLlSc6A9liv/PrLzbPQRWVyWfceaE&#10;pRY9qRbZJ2jZLFWn8XFBoEdPMGyJTV0e+JGYKelWB5v+lA4jOdV5f6htMiaJeTafnJ6Op5xJkk3n&#10;o/n4PNsvXtR9iPhZgWWJKHmg5uWait1tRAqFoAMkeXNwUxuTG2gca8jF6WyUFQ4S0jAuYVUehd5M&#10;SqkLPVO4NyphjPuqNJUiZ5AYeQjVlQlsJ2h8hJTKYU4+2yV0QmkK4i2KPf4lqrcod3kMnsHhQdnW&#10;DkLO/lXY1Y8hZN3hqZBHeScS23WbZ+DQ2TVUe2p4gG5hopc3NTXlVkR8EIE2hHpMW4/39NEGqPjQ&#10;U5xtIPz6Gz/haXBJyllDG1fy+HMrguLMfHE00vPxdJpWND+ms48TeoRjyfpY4rb2CqgrY7ovXmYy&#10;4dEMpA5gv9NxWCWvJBJOku+S40BeYXcH6LhItVplEC2lF3jrHr1MplOT0sg9td9F8P1cIo30HQy7&#10;KRavxrPDJk0Hqy2CrvPspjp3Ve3rTwudR7o/PuliHL8z6uVELn8DAAD//wMAUEsDBBQABgAIAAAA&#10;IQBaCfQx4wAAAA0BAAAPAAAAZHJzL2Rvd25yZXYueG1sTI/BTsMwEETvSPyDtUjcWjuWUtIQp6oi&#10;VUgIDi29cHPibRIRr0PstoGvx5zguJqnmbfFZrYDu+Dke0cKkqUAhtQ401Or4Pi2W2TAfNBk9OAI&#10;FXyhh015e1Po3Lgr7fFyCC2LJeRzraALYcw5902HVvulG5FidnKT1SGeU8vNpK+x3A5cCrHiVvcU&#10;Fzo9YtVh83E4WwXP1e5V72tps++heno5bcfP43uq1P3dvH0EFnAOfzD86kd1KKNT7c5kPBsULBIp&#10;k8gqSEWyBhaR9SqTwOrIyodUAC8L/v+L8gcAAP//AwBQSwECLQAUAAYACAAAACEAtoM4kv4AAADh&#10;AQAAEwAAAAAAAAAAAAAAAAAAAAAAW0NvbnRlbnRfVHlwZXNdLnhtbFBLAQItABQABgAIAAAAIQA4&#10;/SH/1gAAAJQBAAALAAAAAAAAAAAAAAAAAC8BAABfcmVscy8ucmVsc1BLAQItABQABgAIAAAAIQCj&#10;b+JjgAIAAGoFAAAOAAAAAAAAAAAAAAAAAC4CAABkcnMvZTJvRG9jLnhtbFBLAQItABQABgAIAAAA&#10;IQBaCfQx4wAAAA0BAAAPAAAAAAAAAAAAAAAAANoEAABkcnMvZG93bnJldi54bWxQSwUGAAAAAAQA&#10;BADzAAAA6gUAAAAA&#10;" filled="f" stroked="f" strokeweight=".5pt">
                <v:textbox>
                  <w:txbxContent>
                    <w:p w14:paraId="13BBCC09" w14:textId="77777777" w:rsidR="00FE685B" w:rsidRDefault="00FE685B" w:rsidP="00742D72">
                      <w:pPr>
                        <w:pStyle w:val="DocumentDetails"/>
                      </w:pPr>
                    </w:p>
                    <w:p w14:paraId="268F3C27" w14:textId="77777777" w:rsidR="00FE685B" w:rsidRDefault="00FE685B" w:rsidP="00742D72">
                      <w:pPr>
                        <w:pStyle w:val="DocumentDetails"/>
                      </w:pPr>
                    </w:p>
                    <w:p w14:paraId="60037790" w14:textId="77777777" w:rsidR="00FE685B" w:rsidRDefault="00FE685B" w:rsidP="00742D72">
                      <w:pPr>
                        <w:pStyle w:val="DocumentDetails"/>
                      </w:pPr>
                    </w:p>
                    <w:p w14:paraId="000EAF86" w14:textId="77777777" w:rsidR="00FE685B" w:rsidRDefault="00FE685B" w:rsidP="00742D72">
                      <w:pPr>
                        <w:pStyle w:val="DocumentDetails"/>
                      </w:pPr>
                    </w:p>
                    <w:p w14:paraId="4E7063D9" w14:textId="77777777" w:rsidR="00FE685B" w:rsidRDefault="00FE685B" w:rsidP="00742D72">
                      <w:pPr>
                        <w:pStyle w:val="DocumentDetails"/>
                      </w:pPr>
                    </w:p>
                    <w:p w14:paraId="48B35034" w14:textId="77777777" w:rsidR="00FE685B" w:rsidRDefault="00FE685B" w:rsidP="00742D72">
                      <w:pPr>
                        <w:pStyle w:val="DocumentDetails"/>
                      </w:pPr>
                    </w:p>
                    <w:p w14:paraId="2218B03C" w14:textId="77777777" w:rsidR="00FE685B" w:rsidRDefault="00FE685B" w:rsidP="00742D72">
                      <w:pPr>
                        <w:pStyle w:val="DocumentDetails"/>
                      </w:pPr>
                    </w:p>
                    <w:p w14:paraId="282DC35E" w14:textId="77777777" w:rsidR="00FE685B" w:rsidRDefault="00FE685B" w:rsidP="00742D72">
                      <w:pPr>
                        <w:pStyle w:val="DocumentDetails"/>
                      </w:pPr>
                    </w:p>
                    <w:p w14:paraId="7EACB141" w14:textId="77777777" w:rsidR="00FE685B" w:rsidRPr="008921CA" w:rsidRDefault="00FE685B" w:rsidP="008921CA">
                      <w:pPr>
                        <w:jc w:val="right"/>
                        <w:rPr>
                          <w:b/>
                          <w:color w:val="FFFFFF" w:themeColor="background1"/>
                          <w:szCs w:val="20"/>
                        </w:rPr>
                      </w:pPr>
                      <w:r w:rsidRPr="008921CA">
                        <w:rPr>
                          <w:b/>
                          <w:bCs/>
                          <w:color w:val="FFFFFF" w:themeColor="background1"/>
                          <w:szCs w:val="20"/>
                        </w:rPr>
                        <w:t>Australian Private Hospitals Association</w:t>
                      </w:r>
                      <w:r w:rsidRPr="008921CA">
                        <w:rPr>
                          <w:b/>
                          <w:color w:val="FFFFFF" w:themeColor="background1"/>
                          <w:szCs w:val="20"/>
                        </w:rPr>
                        <w:t xml:space="preserve"> ABN 82 008 623 809</w:t>
                      </w:r>
                    </w:p>
                  </w:txbxContent>
                </v:textbox>
              </v:shape>
            </w:pict>
          </mc:Fallback>
        </mc:AlternateContent>
      </w:r>
      <w:r w:rsidR="00D460CD">
        <w:rPr>
          <w:noProof/>
          <w:lang w:eastAsia="en-AU"/>
        </w:rPr>
        <mc:AlternateContent>
          <mc:Choice Requires="wps">
            <w:drawing>
              <wp:anchor distT="0" distB="0" distL="114300" distR="114300" simplePos="0" relativeHeight="251674624" behindDoc="0" locked="0" layoutInCell="1" allowOverlap="1" wp14:anchorId="04F801A3" wp14:editId="396383B0">
                <wp:simplePos x="0" y="0"/>
                <wp:positionH relativeFrom="column">
                  <wp:posOffset>-1080135</wp:posOffset>
                </wp:positionH>
                <wp:positionV relativeFrom="paragraph">
                  <wp:posOffset>1401445</wp:posOffset>
                </wp:positionV>
                <wp:extent cx="6236970" cy="1595120"/>
                <wp:effectExtent l="0" t="0" r="0" b="5080"/>
                <wp:wrapNone/>
                <wp:docPr id="15" name="Rectangle 15"/>
                <wp:cNvGraphicFramePr/>
                <a:graphic xmlns:a="http://schemas.openxmlformats.org/drawingml/2006/main">
                  <a:graphicData uri="http://schemas.microsoft.com/office/word/2010/wordprocessingShape">
                    <wps:wsp>
                      <wps:cNvSpPr/>
                      <wps:spPr>
                        <a:xfrm>
                          <a:off x="0" y="0"/>
                          <a:ext cx="6236970" cy="1595120"/>
                        </a:xfrm>
                        <a:prstGeom prst="rect">
                          <a:avLst/>
                        </a:prstGeom>
                        <a:solidFill>
                          <a:srgbClr val="F39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E2384" id="Rectangle 15" o:spid="_x0000_s1026" style="position:absolute;margin-left:-85.05pt;margin-top:110.35pt;width:491.1pt;height:1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NgmAIAAIgFAAAOAAAAZHJzL2Uyb0RvYy54bWysVE1v2zAMvQ/YfxB0X22nTbcEdYqgRYYB&#10;RVu0HXpWZCkxIIsapcTJfv0o+aNdV+ww7GJL4uMj+UTx4vLQGLZX6GuwJS9Ocs6UlVDVdlPy70+r&#10;T18480HYShiwquRH5fnl4uOHi9bN1QS2YCqFjEisn7eu5NsQ3DzLvNyqRvgTcMqSUQM2ItAWN1mF&#10;oiX2xmSTPD/PWsDKIUjlPZ1ed0a+SPxaKxnutPYqMFNyyi2kL6bvOn6zxYWYb1C4bS37NMQ/ZNGI&#10;2lLQkepaBMF2WP9B1dQSwYMOJxKaDLSupUo1UDVF/qaax61wKtVC4ng3yuT/H6283d8jqyu6uyln&#10;VjR0Rw+kmrAboxidkUCt83PCPbp77HeelrHag8Ym/qkOdkiiHkdR1SEwSYfnk9Pz2WfSXpKtmM6m&#10;xSTJnr24O/Thq4KGxUXJkeInMcX+xgcKSdABEqN5MHW1qo1JG9ysrwyyvaAbXp3O8nxg/w1mbARb&#10;iG4dYzzJYmldMWkVjkZFnLEPSpMqlP4kZZL6UY1xhJTKhqIzbUWluvBTCj5Gjx0cPVL6iTAya4o/&#10;cvcEA7IjGbi7LHt8dFWpnUfn/G+Jdc6jR4oMNozOTW0B3yMwVFUfucMPInXSRJXWUB2pZxC6x+Sd&#10;XNV0bzfCh3uB9HrormkihDv6aANtyaFfcbYF/PneecRTU5OVs5ZeY8n9j51AxZn5ZqndZ8XZWXy+&#10;aXM2/UwtxPC1Zf3aYnfNFVA7FDR7nEzLiA9mWGqE5pkGxzJGJZOwkmKXXAYcNlehmxI0eqRaLhOM&#10;nqwT4cY+OhnJo6qxL58OzwJd37yB+v4Whpcr5m96uMNGTwvLXQBdpwZ/0bXXm557apx+NMV58nqf&#10;UC8DdPELAAD//wMAUEsDBBQABgAIAAAAIQD+I9ut3gAAAAwBAAAPAAAAZHJzL2Rvd25yZXYueG1s&#10;TI/BToQwEIbvJr5DMybedtviZkGkbMwmylXRxGuhIxDplNAu4NtbT3qcmS//fH9x2uzIFpz94EiB&#10;3AtgSK0zA3UK3t+edhkwHzQZPTpCBd/o4VReXxU6N26lV1zq0LEYQj7XCvoQppxz3/Zotd+7CSne&#10;Pt1sdYjj3HEz6zWG25EnQhy51QPFD72e8Nxj+1VfrIJzu5iqqg/P6Yuv73xTdR/HbFXq9mZ7fAAW&#10;cAt/MPzqR3Uoo1PjLmQ8GxXsZCpkZBUkiUiBRSSTSdw0Cg6pvAdeFvx/ifIHAAD//wMAUEsBAi0A&#10;FAAGAAgAAAAhALaDOJL+AAAA4QEAABMAAAAAAAAAAAAAAAAAAAAAAFtDb250ZW50X1R5cGVzXS54&#10;bWxQSwECLQAUAAYACAAAACEAOP0h/9YAAACUAQAACwAAAAAAAAAAAAAAAAAvAQAAX3JlbHMvLnJl&#10;bHNQSwECLQAUAAYACAAAACEAS7qjYJgCAACIBQAADgAAAAAAAAAAAAAAAAAuAgAAZHJzL2Uyb0Rv&#10;Yy54bWxQSwECLQAUAAYACAAAACEA/iPbrd4AAAAMAQAADwAAAAAAAAAAAAAAAADyBAAAZHJzL2Rv&#10;d25yZXYueG1sUEsFBgAAAAAEAAQA8wAAAP0FAAAAAA==&#10;" fillcolor="#f39000" stroked="f" strokeweight="2pt"/>
            </w:pict>
          </mc:Fallback>
        </mc:AlternateContent>
      </w:r>
      <w:r w:rsidR="00C73983">
        <w:br w:type="page"/>
      </w:r>
    </w:p>
    <w:p w14:paraId="6714556F" w14:textId="52B9EC08" w:rsidR="00384A84" w:rsidRDefault="00384A84" w:rsidP="00236C00">
      <w:pPr>
        <w:pStyle w:val="Pageno"/>
        <w:sectPr w:rsidR="00384A84" w:rsidSect="00C95945">
          <w:headerReference w:type="default" r:id="rId8"/>
          <w:pgSz w:w="11906" w:h="16838" w:code="9"/>
          <w:pgMar w:top="1701" w:right="1701" w:bottom="1701" w:left="1701" w:header="709" w:footer="2387" w:gutter="0"/>
          <w:cols w:space="708"/>
          <w:docGrid w:linePitch="360"/>
        </w:sectPr>
      </w:pPr>
    </w:p>
    <w:p w14:paraId="309C1C44" w14:textId="77777777" w:rsidR="00C64F9F" w:rsidRPr="001F0367" w:rsidRDefault="00C64F9F" w:rsidP="001F0367">
      <w:pPr>
        <w:pBdr>
          <w:bottom w:val="single" w:sz="48" w:space="1" w:color="002060"/>
        </w:pBdr>
        <w:rPr>
          <w:b/>
          <w:color w:val="002060"/>
          <w:sz w:val="56"/>
          <w:szCs w:val="56"/>
        </w:rPr>
      </w:pPr>
      <w:r w:rsidRPr="001F0367">
        <w:rPr>
          <w:b/>
          <w:color w:val="002060"/>
          <w:sz w:val="56"/>
          <w:szCs w:val="56"/>
        </w:rPr>
        <w:lastRenderedPageBreak/>
        <w:t>Contents</w:t>
      </w:r>
    </w:p>
    <w:sdt>
      <w:sdtPr>
        <w:id w:val="-4364022"/>
        <w:docPartObj>
          <w:docPartGallery w:val="Table of Contents"/>
          <w:docPartUnique/>
        </w:docPartObj>
      </w:sdtPr>
      <w:sdtEndPr>
        <w:rPr>
          <w:noProof/>
        </w:rPr>
      </w:sdtEndPr>
      <w:sdtContent>
        <w:p w14:paraId="6FF51F17" w14:textId="56093D64" w:rsidR="00C64F9F" w:rsidRDefault="00C64F9F" w:rsidP="00073DD7"/>
        <w:p w14:paraId="3B3B7653" w14:textId="0521A4B6" w:rsidR="00983E7E" w:rsidRDefault="00C64F9F">
          <w:pPr>
            <w:pStyle w:val="TOC1"/>
            <w:tabs>
              <w:tab w:val="right" w:leader="dot" w:pos="8494"/>
            </w:tabs>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532567950" w:history="1">
            <w:r w:rsidR="00983E7E" w:rsidRPr="00ED1AB2">
              <w:rPr>
                <w:rStyle w:val="Hyperlink"/>
                <w:noProof/>
              </w:rPr>
              <w:t>The private hospital sector</w:t>
            </w:r>
            <w:r w:rsidR="00983E7E">
              <w:rPr>
                <w:noProof/>
                <w:webHidden/>
              </w:rPr>
              <w:tab/>
            </w:r>
            <w:r w:rsidR="00983E7E">
              <w:rPr>
                <w:noProof/>
                <w:webHidden/>
              </w:rPr>
              <w:fldChar w:fldCharType="begin"/>
            </w:r>
            <w:r w:rsidR="00983E7E">
              <w:rPr>
                <w:noProof/>
                <w:webHidden/>
              </w:rPr>
              <w:instrText xml:space="preserve"> PAGEREF _Toc532567950 \h </w:instrText>
            </w:r>
            <w:r w:rsidR="00983E7E">
              <w:rPr>
                <w:noProof/>
                <w:webHidden/>
              </w:rPr>
            </w:r>
            <w:r w:rsidR="00983E7E">
              <w:rPr>
                <w:noProof/>
                <w:webHidden/>
              </w:rPr>
              <w:fldChar w:fldCharType="separate"/>
            </w:r>
            <w:r w:rsidR="0038337E">
              <w:rPr>
                <w:noProof/>
                <w:webHidden/>
              </w:rPr>
              <w:t>3</w:t>
            </w:r>
            <w:r w:rsidR="00983E7E">
              <w:rPr>
                <w:noProof/>
                <w:webHidden/>
              </w:rPr>
              <w:fldChar w:fldCharType="end"/>
            </w:r>
          </w:hyperlink>
        </w:p>
        <w:p w14:paraId="73371EB3" w14:textId="38CB83AA" w:rsidR="00983E7E" w:rsidRDefault="00983E7E">
          <w:pPr>
            <w:pStyle w:val="TOC2"/>
            <w:tabs>
              <w:tab w:val="right" w:leader="dot" w:pos="8494"/>
            </w:tabs>
            <w:rPr>
              <w:rFonts w:asciiTheme="minorHAnsi" w:eastAsiaTheme="minorEastAsia" w:hAnsiTheme="minorHAnsi" w:cstheme="minorBidi"/>
              <w:noProof/>
              <w:sz w:val="22"/>
              <w:szCs w:val="22"/>
              <w:lang w:eastAsia="en-AU"/>
            </w:rPr>
          </w:pPr>
          <w:hyperlink w:anchor="_Toc532567951" w:history="1">
            <w:r w:rsidRPr="00ED1AB2">
              <w:rPr>
                <w:rStyle w:val="Hyperlink"/>
                <w:noProof/>
              </w:rPr>
              <w:t>The Australian Private Hospitals Association</w:t>
            </w:r>
            <w:r>
              <w:rPr>
                <w:noProof/>
                <w:webHidden/>
              </w:rPr>
              <w:tab/>
            </w:r>
            <w:r>
              <w:rPr>
                <w:noProof/>
                <w:webHidden/>
              </w:rPr>
              <w:fldChar w:fldCharType="begin"/>
            </w:r>
            <w:r>
              <w:rPr>
                <w:noProof/>
                <w:webHidden/>
              </w:rPr>
              <w:instrText xml:space="preserve"> PAGEREF _Toc532567951 \h </w:instrText>
            </w:r>
            <w:r>
              <w:rPr>
                <w:noProof/>
                <w:webHidden/>
              </w:rPr>
            </w:r>
            <w:r>
              <w:rPr>
                <w:noProof/>
                <w:webHidden/>
              </w:rPr>
              <w:fldChar w:fldCharType="separate"/>
            </w:r>
            <w:r w:rsidR="0038337E">
              <w:rPr>
                <w:noProof/>
                <w:webHidden/>
              </w:rPr>
              <w:t>3</w:t>
            </w:r>
            <w:r>
              <w:rPr>
                <w:noProof/>
                <w:webHidden/>
              </w:rPr>
              <w:fldChar w:fldCharType="end"/>
            </w:r>
          </w:hyperlink>
        </w:p>
        <w:p w14:paraId="24A19CFC" w14:textId="39FA42C0" w:rsidR="00983E7E" w:rsidRDefault="00983E7E">
          <w:pPr>
            <w:pStyle w:val="TOC1"/>
            <w:tabs>
              <w:tab w:val="right" w:leader="dot" w:pos="8494"/>
            </w:tabs>
            <w:rPr>
              <w:rFonts w:asciiTheme="minorHAnsi" w:eastAsiaTheme="minorEastAsia" w:hAnsiTheme="minorHAnsi" w:cstheme="minorBidi"/>
              <w:noProof/>
              <w:sz w:val="22"/>
              <w:szCs w:val="22"/>
              <w:lang w:eastAsia="en-AU"/>
            </w:rPr>
          </w:pPr>
          <w:hyperlink w:anchor="_Toc532567952" w:history="1">
            <w:r w:rsidRPr="00ED1AB2">
              <w:rPr>
                <w:rStyle w:val="Hyperlink"/>
                <w:noProof/>
              </w:rPr>
              <w:t>The Private Health Insurance Rebate – relief for low income families</w:t>
            </w:r>
            <w:r>
              <w:rPr>
                <w:noProof/>
                <w:webHidden/>
              </w:rPr>
              <w:tab/>
            </w:r>
            <w:r>
              <w:rPr>
                <w:noProof/>
                <w:webHidden/>
              </w:rPr>
              <w:fldChar w:fldCharType="begin"/>
            </w:r>
            <w:r>
              <w:rPr>
                <w:noProof/>
                <w:webHidden/>
              </w:rPr>
              <w:instrText xml:space="preserve"> PAGEREF _Toc532567952 \h </w:instrText>
            </w:r>
            <w:r>
              <w:rPr>
                <w:noProof/>
                <w:webHidden/>
              </w:rPr>
            </w:r>
            <w:r>
              <w:rPr>
                <w:noProof/>
                <w:webHidden/>
              </w:rPr>
              <w:fldChar w:fldCharType="separate"/>
            </w:r>
            <w:r w:rsidR="0038337E">
              <w:rPr>
                <w:noProof/>
                <w:webHidden/>
              </w:rPr>
              <w:t>4</w:t>
            </w:r>
            <w:r>
              <w:rPr>
                <w:noProof/>
                <w:webHidden/>
              </w:rPr>
              <w:fldChar w:fldCharType="end"/>
            </w:r>
          </w:hyperlink>
        </w:p>
        <w:p w14:paraId="67102F02" w14:textId="2C0013F2" w:rsidR="00983E7E" w:rsidRDefault="00983E7E">
          <w:pPr>
            <w:pStyle w:val="TOC2"/>
            <w:tabs>
              <w:tab w:val="right" w:leader="dot" w:pos="8494"/>
            </w:tabs>
            <w:rPr>
              <w:rFonts w:asciiTheme="minorHAnsi" w:eastAsiaTheme="minorEastAsia" w:hAnsiTheme="minorHAnsi" w:cstheme="minorBidi"/>
              <w:noProof/>
              <w:sz w:val="22"/>
              <w:szCs w:val="22"/>
              <w:lang w:eastAsia="en-AU"/>
            </w:rPr>
          </w:pPr>
          <w:hyperlink w:anchor="_Toc532567953" w:history="1">
            <w:r w:rsidRPr="00ED1AB2">
              <w:rPr>
                <w:rStyle w:val="Hyperlink"/>
                <w:rFonts w:eastAsia="Calibri"/>
                <w:noProof/>
              </w:rPr>
              <w:t>Budget proposal</w:t>
            </w:r>
            <w:r>
              <w:rPr>
                <w:noProof/>
                <w:webHidden/>
              </w:rPr>
              <w:tab/>
            </w:r>
            <w:r>
              <w:rPr>
                <w:noProof/>
                <w:webHidden/>
              </w:rPr>
              <w:fldChar w:fldCharType="begin"/>
            </w:r>
            <w:r>
              <w:rPr>
                <w:noProof/>
                <w:webHidden/>
              </w:rPr>
              <w:instrText xml:space="preserve"> PAGEREF _Toc532567953 \h </w:instrText>
            </w:r>
            <w:r>
              <w:rPr>
                <w:noProof/>
                <w:webHidden/>
              </w:rPr>
            </w:r>
            <w:r>
              <w:rPr>
                <w:noProof/>
                <w:webHidden/>
              </w:rPr>
              <w:fldChar w:fldCharType="separate"/>
            </w:r>
            <w:r w:rsidR="0038337E">
              <w:rPr>
                <w:noProof/>
                <w:webHidden/>
              </w:rPr>
              <w:t>4</w:t>
            </w:r>
            <w:r>
              <w:rPr>
                <w:noProof/>
                <w:webHidden/>
              </w:rPr>
              <w:fldChar w:fldCharType="end"/>
            </w:r>
          </w:hyperlink>
        </w:p>
        <w:p w14:paraId="72E85A28" w14:textId="09602016" w:rsidR="00983E7E" w:rsidRDefault="00983E7E">
          <w:pPr>
            <w:pStyle w:val="TOC2"/>
            <w:tabs>
              <w:tab w:val="right" w:leader="dot" w:pos="8494"/>
            </w:tabs>
            <w:rPr>
              <w:rFonts w:asciiTheme="minorHAnsi" w:eastAsiaTheme="minorEastAsia" w:hAnsiTheme="minorHAnsi" w:cstheme="minorBidi"/>
              <w:noProof/>
              <w:sz w:val="22"/>
              <w:szCs w:val="22"/>
              <w:lang w:eastAsia="en-AU"/>
            </w:rPr>
          </w:pPr>
          <w:hyperlink w:anchor="_Toc532567954" w:history="1">
            <w:r w:rsidRPr="00ED1AB2">
              <w:rPr>
                <w:rStyle w:val="Hyperlink"/>
                <w:rFonts w:eastAsia="Calibri"/>
                <w:noProof/>
              </w:rPr>
              <w:t>Rationale</w:t>
            </w:r>
            <w:r>
              <w:rPr>
                <w:noProof/>
                <w:webHidden/>
              </w:rPr>
              <w:tab/>
            </w:r>
            <w:r>
              <w:rPr>
                <w:noProof/>
                <w:webHidden/>
              </w:rPr>
              <w:fldChar w:fldCharType="begin"/>
            </w:r>
            <w:r>
              <w:rPr>
                <w:noProof/>
                <w:webHidden/>
              </w:rPr>
              <w:instrText xml:space="preserve"> PAGEREF _Toc532567954 \h </w:instrText>
            </w:r>
            <w:r>
              <w:rPr>
                <w:noProof/>
                <w:webHidden/>
              </w:rPr>
            </w:r>
            <w:r>
              <w:rPr>
                <w:noProof/>
                <w:webHidden/>
              </w:rPr>
              <w:fldChar w:fldCharType="separate"/>
            </w:r>
            <w:r w:rsidR="0038337E">
              <w:rPr>
                <w:noProof/>
                <w:webHidden/>
              </w:rPr>
              <w:t>4</w:t>
            </w:r>
            <w:r>
              <w:rPr>
                <w:noProof/>
                <w:webHidden/>
              </w:rPr>
              <w:fldChar w:fldCharType="end"/>
            </w:r>
          </w:hyperlink>
        </w:p>
        <w:p w14:paraId="56D7A917" w14:textId="0670F2C8" w:rsidR="00983E7E" w:rsidRDefault="00983E7E">
          <w:pPr>
            <w:pStyle w:val="TOC2"/>
            <w:tabs>
              <w:tab w:val="right" w:leader="dot" w:pos="8494"/>
            </w:tabs>
            <w:rPr>
              <w:rFonts w:asciiTheme="minorHAnsi" w:eastAsiaTheme="minorEastAsia" w:hAnsiTheme="minorHAnsi" w:cstheme="minorBidi"/>
              <w:noProof/>
              <w:sz w:val="22"/>
              <w:szCs w:val="22"/>
              <w:lang w:eastAsia="en-AU"/>
            </w:rPr>
          </w:pPr>
          <w:hyperlink w:anchor="_Toc532567955" w:history="1">
            <w:r w:rsidRPr="00ED1AB2">
              <w:rPr>
                <w:rStyle w:val="Hyperlink"/>
                <w:rFonts w:eastAsia="Calibri"/>
                <w:noProof/>
              </w:rPr>
              <w:t>What this means for Australian consumers</w:t>
            </w:r>
            <w:r>
              <w:rPr>
                <w:noProof/>
                <w:webHidden/>
              </w:rPr>
              <w:tab/>
            </w:r>
            <w:r>
              <w:rPr>
                <w:noProof/>
                <w:webHidden/>
              </w:rPr>
              <w:fldChar w:fldCharType="begin"/>
            </w:r>
            <w:r>
              <w:rPr>
                <w:noProof/>
                <w:webHidden/>
              </w:rPr>
              <w:instrText xml:space="preserve"> PAGEREF _Toc532567955 \h </w:instrText>
            </w:r>
            <w:r>
              <w:rPr>
                <w:noProof/>
                <w:webHidden/>
              </w:rPr>
            </w:r>
            <w:r>
              <w:rPr>
                <w:noProof/>
                <w:webHidden/>
              </w:rPr>
              <w:fldChar w:fldCharType="separate"/>
            </w:r>
            <w:r w:rsidR="0038337E">
              <w:rPr>
                <w:noProof/>
                <w:webHidden/>
              </w:rPr>
              <w:t>5</w:t>
            </w:r>
            <w:r>
              <w:rPr>
                <w:noProof/>
                <w:webHidden/>
              </w:rPr>
              <w:fldChar w:fldCharType="end"/>
            </w:r>
          </w:hyperlink>
        </w:p>
        <w:p w14:paraId="2A7EBB3D" w14:textId="514C872D" w:rsidR="00983E7E" w:rsidRDefault="00983E7E">
          <w:pPr>
            <w:pStyle w:val="TOC1"/>
            <w:tabs>
              <w:tab w:val="right" w:leader="dot" w:pos="8494"/>
            </w:tabs>
            <w:rPr>
              <w:rFonts w:asciiTheme="minorHAnsi" w:eastAsiaTheme="minorEastAsia" w:hAnsiTheme="minorHAnsi" w:cstheme="minorBidi"/>
              <w:noProof/>
              <w:sz w:val="22"/>
              <w:szCs w:val="22"/>
              <w:lang w:eastAsia="en-AU"/>
            </w:rPr>
          </w:pPr>
          <w:hyperlink w:anchor="_Toc532567956" w:history="1">
            <w:r w:rsidRPr="00ED1AB2">
              <w:rPr>
                <w:rStyle w:val="Hyperlink"/>
                <w:noProof/>
              </w:rPr>
              <w:t>Private health insurance reform -  communication campaign</w:t>
            </w:r>
            <w:r>
              <w:rPr>
                <w:noProof/>
                <w:webHidden/>
              </w:rPr>
              <w:tab/>
            </w:r>
            <w:r>
              <w:rPr>
                <w:noProof/>
                <w:webHidden/>
              </w:rPr>
              <w:fldChar w:fldCharType="begin"/>
            </w:r>
            <w:r>
              <w:rPr>
                <w:noProof/>
                <w:webHidden/>
              </w:rPr>
              <w:instrText xml:space="preserve"> PAGEREF _Toc532567956 \h </w:instrText>
            </w:r>
            <w:r>
              <w:rPr>
                <w:noProof/>
                <w:webHidden/>
              </w:rPr>
            </w:r>
            <w:r>
              <w:rPr>
                <w:noProof/>
                <w:webHidden/>
              </w:rPr>
              <w:fldChar w:fldCharType="separate"/>
            </w:r>
            <w:r w:rsidR="0038337E">
              <w:rPr>
                <w:noProof/>
                <w:webHidden/>
              </w:rPr>
              <w:t>7</w:t>
            </w:r>
            <w:r>
              <w:rPr>
                <w:noProof/>
                <w:webHidden/>
              </w:rPr>
              <w:fldChar w:fldCharType="end"/>
            </w:r>
          </w:hyperlink>
        </w:p>
        <w:p w14:paraId="5AE1CB81" w14:textId="65CE4DC4" w:rsidR="00983E7E" w:rsidRDefault="00983E7E">
          <w:pPr>
            <w:pStyle w:val="TOC2"/>
            <w:tabs>
              <w:tab w:val="right" w:leader="dot" w:pos="8494"/>
            </w:tabs>
            <w:rPr>
              <w:rFonts w:asciiTheme="minorHAnsi" w:eastAsiaTheme="minorEastAsia" w:hAnsiTheme="minorHAnsi" w:cstheme="minorBidi"/>
              <w:noProof/>
              <w:sz w:val="22"/>
              <w:szCs w:val="22"/>
              <w:lang w:eastAsia="en-AU"/>
            </w:rPr>
          </w:pPr>
          <w:hyperlink w:anchor="_Toc532567957" w:history="1">
            <w:r w:rsidRPr="00ED1AB2">
              <w:rPr>
                <w:rStyle w:val="Hyperlink"/>
                <w:rFonts w:eastAsia="Calibri"/>
                <w:noProof/>
              </w:rPr>
              <w:t>Budget proposal</w:t>
            </w:r>
            <w:r>
              <w:rPr>
                <w:noProof/>
                <w:webHidden/>
              </w:rPr>
              <w:tab/>
            </w:r>
            <w:r>
              <w:rPr>
                <w:noProof/>
                <w:webHidden/>
              </w:rPr>
              <w:fldChar w:fldCharType="begin"/>
            </w:r>
            <w:r>
              <w:rPr>
                <w:noProof/>
                <w:webHidden/>
              </w:rPr>
              <w:instrText xml:space="preserve"> PAGEREF _Toc532567957 \h </w:instrText>
            </w:r>
            <w:r>
              <w:rPr>
                <w:noProof/>
                <w:webHidden/>
              </w:rPr>
            </w:r>
            <w:r>
              <w:rPr>
                <w:noProof/>
                <w:webHidden/>
              </w:rPr>
              <w:fldChar w:fldCharType="separate"/>
            </w:r>
            <w:r w:rsidR="0038337E">
              <w:rPr>
                <w:noProof/>
                <w:webHidden/>
              </w:rPr>
              <w:t>7</w:t>
            </w:r>
            <w:r>
              <w:rPr>
                <w:noProof/>
                <w:webHidden/>
              </w:rPr>
              <w:fldChar w:fldCharType="end"/>
            </w:r>
          </w:hyperlink>
        </w:p>
        <w:p w14:paraId="2349047C" w14:textId="70860C75" w:rsidR="00983E7E" w:rsidRDefault="00983E7E">
          <w:pPr>
            <w:pStyle w:val="TOC2"/>
            <w:tabs>
              <w:tab w:val="right" w:leader="dot" w:pos="8494"/>
            </w:tabs>
            <w:rPr>
              <w:rFonts w:asciiTheme="minorHAnsi" w:eastAsiaTheme="minorEastAsia" w:hAnsiTheme="minorHAnsi" w:cstheme="minorBidi"/>
              <w:noProof/>
              <w:sz w:val="22"/>
              <w:szCs w:val="22"/>
              <w:lang w:eastAsia="en-AU"/>
            </w:rPr>
          </w:pPr>
          <w:hyperlink w:anchor="_Toc532567958" w:history="1">
            <w:r w:rsidRPr="00ED1AB2">
              <w:rPr>
                <w:rStyle w:val="Hyperlink"/>
                <w:rFonts w:eastAsia="Calibri"/>
                <w:noProof/>
              </w:rPr>
              <w:t>Rationale</w:t>
            </w:r>
            <w:r>
              <w:rPr>
                <w:noProof/>
                <w:webHidden/>
              </w:rPr>
              <w:tab/>
            </w:r>
            <w:r>
              <w:rPr>
                <w:noProof/>
                <w:webHidden/>
              </w:rPr>
              <w:fldChar w:fldCharType="begin"/>
            </w:r>
            <w:r>
              <w:rPr>
                <w:noProof/>
                <w:webHidden/>
              </w:rPr>
              <w:instrText xml:space="preserve"> PAGEREF _Toc532567958 \h </w:instrText>
            </w:r>
            <w:r>
              <w:rPr>
                <w:noProof/>
                <w:webHidden/>
              </w:rPr>
            </w:r>
            <w:r>
              <w:rPr>
                <w:noProof/>
                <w:webHidden/>
              </w:rPr>
              <w:fldChar w:fldCharType="separate"/>
            </w:r>
            <w:r w:rsidR="0038337E">
              <w:rPr>
                <w:noProof/>
                <w:webHidden/>
              </w:rPr>
              <w:t>7</w:t>
            </w:r>
            <w:r>
              <w:rPr>
                <w:noProof/>
                <w:webHidden/>
              </w:rPr>
              <w:fldChar w:fldCharType="end"/>
            </w:r>
          </w:hyperlink>
        </w:p>
        <w:p w14:paraId="433DBCBF" w14:textId="3DED2F25" w:rsidR="00983E7E" w:rsidRDefault="00983E7E">
          <w:pPr>
            <w:pStyle w:val="TOC2"/>
            <w:tabs>
              <w:tab w:val="right" w:leader="dot" w:pos="8494"/>
            </w:tabs>
            <w:rPr>
              <w:rFonts w:asciiTheme="minorHAnsi" w:eastAsiaTheme="minorEastAsia" w:hAnsiTheme="minorHAnsi" w:cstheme="minorBidi"/>
              <w:noProof/>
              <w:sz w:val="22"/>
              <w:szCs w:val="22"/>
              <w:lang w:eastAsia="en-AU"/>
            </w:rPr>
          </w:pPr>
          <w:hyperlink w:anchor="_Toc532567959" w:history="1">
            <w:r w:rsidRPr="00ED1AB2">
              <w:rPr>
                <w:rStyle w:val="Hyperlink"/>
                <w:rFonts w:eastAsia="Calibri"/>
                <w:noProof/>
              </w:rPr>
              <w:t xml:space="preserve">What this means for Australian </w:t>
            </w:r>
            <w:r w:rsidRPr="00ED1AB2">
              <w:rPr>
                <w:rStyle w:val="Hyperlink"/>
                <w:noProof/>
              </w:rPr>
              <w:t>consumers</w:t>
            </w:r>
            <w:r>
              <w:rPr>
                <w:noProof/>
                <w:webHidden/>
              </w:rPr>
              <w:tab/>
            </w:r>
            <w:r>
              <w:rPr>
                <w:noProof/>
                <w:webHidden/>
              </w:rPr>
              <w:fldChar w:fldCharType="begin"/>
            </w:r>
            <w:r>
              <w:rPr>
                <w:noProof/>
                <w:webHidden/>
              </w:rPr>
              <w:instrText xml:space="preserve"> PAGEREF _Toc532567959 \h </w:instrText>
            </w:r>
            <w:r>
              <w:rPr>
                <w:noProof/>
                <w:webHidden/>
              </w:rPr>
            </w:r>
            <w:r>
              <w:rPr>
                <w:noProof/>
                <w:webHidden/>
              </w:rPr>
              <w:fldChar w:fldCharType="separate"/>
            </w:r>
            <w:r w:rsidR="0038337E">
              <w:rPr>
                <w:noProof/>
                <w:webHidden/>
              </w:rPr>
              <w:t>7</w:t>
            </w:r>
            <w:r>
              <w:rPr>
                <w:noProof/>
                <w:webHidden/>
              </w:rPr>
              <w:fldChar w:fldCharType="end"/>
            </w:r>
          </w:hyperlink>
        </w:p>
        <w:p w14:paraId="327ED1F7" w14:textId="764FA3BB" w:rsidR="00983E7E" w:rsidRDefault="00983E7E">
          <w:pPr>
            <w:pStyle w:val="TOC1"/>
            <w:tabs>
              <w:tab w:val="right" w:leader="dot" w:pos="8494"/>
            </w:tabs>
            <w:rPr>
              <w:rFonts w:asciiTheme="minorHAnsi" w:eastAsiaTheme="minorEastAsia" w:hAnsiTheme="minorHAnsi" w:cstheme="minorBidi"/>
              <w:noProof/>
              <w:sz w:val="22"/>
              <w:szCs w:val="22"/>
              <w:lang w:eastAsia="en-AU"/>
            </w:rPr>
          </w:pPr>
          <w:hyperlink w:anchor="_Toc532567960" w:history="1">
            <w:r w:rsidRPr="00ED1AB2">
              <w:rPr>
                <w:rStyle w:val="Hyperlink"/>
                <w:noProof/>
              </w:rPr>
              <w:t>Workforce – meeting clinical skill shortages now and for the future</w:t>
            </w:r>
            <w:r>
              <w:rPr>
                <w:noProof/>
                <w:webHidden/>
              </w:rPr>
              <w:tab/>
            </w:r>
            <w:r>
              <w:rPr>
                <w:noProof/>
                <w:webHidden/>
              </w:rPr>
              <w:fldChar w:fldCharType="begin"/>
            </w:r>
            <w:r>
              <w:rPr>
                <w:noProof/>
                <w:webHidden/>
              </w:rPr>
              <w:instrText xml:space="preserve"> PAGEREF _Toc532567960 \h </w:instrText>
            </w:r>
            <w:r>
              <w:rPr>
                <w:noProof/>
                <w:webHidden/>
              </w:rPr>
            </w:r>
            <w:r>
              <w:rPr>
                <w:noProof/>
                <w:webHidden/>
              </w:rPr>
              <w:fldChar w:fldCharType="separate"/>
            </w:r>
            <w:r w:rsidR="0038337E">
              <w:rPr>
                <w:noProof/>
                <w:webHidden/>
              </w:rPr>
              <w:t>9</w:t>
            </w:r>
            <w:r>
              <w:rPr>
                <w:noProof/>
                <w:webHidden/>
              </w:rPr>
              <w:fldChar w:fldCharType="end"/>
            </w:r>
          </w:hyperlink>
        </w:p>
        <w:p w14:paraId="4649BDC2" w14:textId="5DE34C37" w:rsidR="00983E7E" w:rsidRDefault="00983E7E">
          <w:pPr>
            <w:pStyle w:val="TOC2"/>
            <w:tabs>
              <w:tab w:val="right" w:leader="dot" w:pos="8494"/>
            </w:tabs>
            <w:rPr>
              <w:rFonts w:asciiTheme="minorHAnsi" w:eastAsiaTheme="minorEastAsia" w:hAnsiTheme="minorHAnsi" w:cstheme="minorBidi"/>
              <w:noProof/>
              <w:sz w:val="22"/>
              <w:szCs w:val="22"/>
              <w:lang w:eastAsia="en-AU"/>
            </w:rPr>
          </w:pPr>
          <w:hyperlink w:anchor="_Toc532567961" w:history="1">
            <w:r w:rsidRPr="00ED1AB2">
              <w:rPr>
                <w:rStyle w:val="Hyperlink"/>
                <w:rFonts w:eastAsia="Calibri"/>
                <w:noProof/>
              </w:rPr>
              <w:t>Budget proposal</w:t>
            </w:r>
            <w:r>
              <w:rPr>
                <w:noProof/>
                <w:webHidden/>
              </w:rPr>
              <w:tab/>
            </w:r>
            <w:r>
              <w:rPr>
                <w:noProof/>
                <w:webHidden/>
              </w:rPr>
              <w:fldChar w:fldCharType="begin"/>
            </w:r>
            <w:r>
              <w:rPr>
                <w:noProof/>
                <w:webHidden/>
              </w:rPr>
              <w:instrText xml:space="preserve"> PAGEREF _Toc532567961 \h </w:instrText>
            </w:r>
            <w:r>
              <w:rPr>
                <w:noProof/>
                <w:webHidden/>
              </w:rPr>
            </w:r>
            <w:r>
              <w:rPr>
                <w:noProof/>
                <w:webHidden/>
              </w:rPr>
              <w:fldChar w:fldCharType="separate"/>
            </w:r>
            <w:r w:rsidR="0038337E">
              <w:rPr>
                <w:noProof/>
                <w:webHidden/>
              </w:rPr>
              <w:t>9</w:t>
            </w:r>
            <w:r>
              <w:rPr>
                <w:noProof/>
                <w:webHidden/>
              </w:rPr>
              <w:fldChar w:fldCharType="end"/>
            </w:r>
          </w:hyperlink>
        </w:p>
        <w:p w14:paraId="16018AD4" w14:textId="4F78DDF3" w:rsidR="00983E7E" w:rsidRDefault="00983E7E">
          <w:pPr>
            <w:pStyle w:val="TOC2"/>
            <w:tabs>
              <w:tab w:val="right" w:leader="dot" w:pos="8494"/>
            </w:tabs>
            <w:rPr>
              <w:rFonts w:asciiTheme="minorHAnsi" w:eastAsiaTheme="minorEastAsia" w:hAnsiTheme="minorHAnsi" w:cstheme="minorBidi"/>
              <w:noProof/>
              <w:sz w:val="22"/>
              <w:szCs w:val="22"/>
              <w:lang w:eastAsia="en-AU"/>
            </w:rPr>
          </w:pPr>
          <w:hyperlink w:anchor="_Toc532567962" w:history="1">
            <w:r w:rsidRPr="00ED1AB2">
              <w:rPr>
                <w:rStyle w:val="Hyperlink"/>
                <w:rFonts w:eastAsia="Calibri"/>
                <w:noProof/>
              </w:rPr>
              <w:t>Rationale</w:t>
            </w:r>
            <w:r>
              <w:rPr>
                <w:noProof/>
                <w:webHidden/>
              </w:rPr>
              <w:tab/>
            </w:r>
            <w:r>
              <w:rPr>
                <w:noProof/>
                <w:webHidden/>
              </w:rPr>
              <w:fldChar w:fldCharType="begin"/>
            </w:r>
            <w:r>
              <w:rPr>
                <w:noProof/>
                <w:webHidden/>
              </w:rPr>
              <w:instrText xml:space="preserve"> PAGEREF _Toc532567962 \h </w:instrText>
            </w:r>
            <w:r>
              <w:rPr>
                <w:noProof/>
                <w:webHidden/>
              </w:rPr>
            </w:r>
            <w:r>
              <w:rPr>
                <w:noProof/>
                <w:webHidden/>
              </w:rPr>
              <w:fldChar w:fldCharType="separate"/>
            </w:r>
            <w:r w:rsidR="0038337E">
              <w:rPr>
                <w:noProof/>
                <w:webHidden/>
              </w:rPr>
              <w:t>9</w:t>
            </w:r>
            <w:r>
              <w:rPr>
                <w:noProof/>
                <w:webHidden/>
              </w:rPr>
              <w:fldChar w:fldCharType="end"/>
            </w:r>
          </w:hyperlink>
        </w:p>
        <w:p w14:paraId="5437A834" w14:textId="5142BC61" w:rsidR="00983E7E" w:rsidRDefault="00983E7E">
          <w:pPr>
            <w:pStyle w:val="TOC2"/>
            <w:tabs>
              <w:tab w:val="right" w:leader="dot" w:pos="8494"/>
            </w:tabs>
            <w:rPr>
              <w:rFonts w:asciiTheme="minorHAnsi" w:eastAsiaTheme="minorEastAsia" w:hAnsiTheme="minorHAnsi" w:cstheme="minorBidi"/>
              <w:noProof/>
              <w:sz w:val="22"/>
              <w:szCs w:val="22"/>
              <w:lang w:eastAsia="en-AU"/>
            </w:rPr>
          </w:pPr>
          <w:hyperlink w:anchor="_Toc532567963" w:history="1">
            <w:r w:rsidRPr="00ED1AB2">
              <w:rPr>
                <w:rStyle w:val="Hyperlink"/>
                <w:rFonts w:eastAsia="Calibri"/>
                <w:noProof/>
              </w:rPr>
              <w:t>What this means for Australian consumers</w:t>
            </w:r>
            <w:r>
              <w:rPr>
                <w:noProof/>
                <w:webHidden/>
              </w:rPr>
              <w:tab/>
            </w:r>
            <w:r>
              <w:rPr>
                <w:noProof/>
                <w:webHidden/>
              </w:rPr>
              <w:fldChar w:fldCharType="begin"/>
            </w:r>
            <w:r>
              <w:rPr>
                <w:noProof/>
                <w:webHidden/>
              </w:rPr>
              <w:instrText xml:space="preserve"> PAGEREF _Toc532567963 \h </w:instrText>
            </w:r>
            <w:r>
              <w:rPr>
                <w:noProof/>
                <w:webHidden/>
              </w:rPr>
            </w:r>
            <w:r>
              <w:rPr>
                <w:noProof/>
                <w:webHidden/>
              </w:rPr>
              <w:fldChar w:fldCharType="separate"/>
            </w:r>
            <w:r w:rsidR="0038337E">
              <w:rPr>
                <w:noProof/>
                <w:webHidden/>
              </w:rPr>
              <w:t>11</w:t>
            </w:r>
            <w:r>
              <w:rPr>
                <w:noProof/>
                <w:webHidden/>
              </w:rPr>
              <w:fldChar w:fldCharType="end"/>
            </w:r>
          </w:hyperlink>
        </w:p>
        <w:p w14:paraId="763CADC7" w14:textId="5B1461DE" w:rsidR="00983E7E" w:rsidRDefault="00983E7E">
          <w:pPr>
            <w:pStyle w:val="TOC1"/>
            <w:tabs>
              <w:tab w:val="right" w:leader="dot" w:pos="8494"/>
            </w:tabs>
            <w:rPr>
              <w:rFonts w:asciiTheme="minorHAnsi" w:eastAsiaTheme="minorEastAsia" w:hAnsiTheme="minorHAnsi" w:cstheme="minorBidi"/>
              <w:noProof/>
              <w:sz w:val="22"/>
              <w:szCs w:val="22"/>
              <w:lang w:eastAsia="en-AU"/>
            </w:rPr>
          </w:pPr>
          <w:hyperlink w:anchor="_Toc532567964" w:history="1">
            <w:r w:rsidRPr="00ED1AB2">
              <w:rPr>
                <w:rStyle w:val="Hyperlink"/>
                <w:noProof/>
              </w:rPr>
              <w:t>Pharmacy – PBS Special Pricing Arrangements</w:t>
            </w:r>
            <w:r>
              <w:rPr>
                <w:noProof/>
                <w:webHidden/>
              </w:rPr>
              <w:tab/>
            </w:r>
            <w:r>
              <w:rPr>
                <w:noProof/>
                <w:webHidden/>
              </w:rPr>
              <w:fldChar w:fldCharType="begin"/>
            </w:r>
            <w:r>
              <w:rPr>
                <w:noProof/>
                <w:webHidden/>
              </w:rPr>
              <w:instrText xml:space="preserve"> PAGEREF _Toc532567964 \h </w:instrText>
            </w:r>
            <w:r>
              <w:rPr>
                <w:noProof/>
                <w:webHidden/>
              </w:rPr>
            </w:r>
            <w:r>
              <w:rPr>
                <w:noProof/>
                <w:webHidden/>
              </w:rPr>
              <w:fldChar w:fldCharType="separate"/>
            </w:r>
            <w:r w:rsidR="0038337E">
              <w:rPr>
                <w:noProof/>
                <w:webHidden/>
              </w:rPr>
              <w:t>12</w:t>
            </w:r>
            <w:r>
              <w:rPr>
                <w:noProof/>
                <w:webHidden/>
              </w:rPr>
              <w:fldChar w:fldCharType="end"/>
            </w:r>
          </w:hyperlink>
        </w:p>
        <w:p w14:paraId="10E391CC" w14:textId="427E4A3C" w:rsidR="00983E7E" w:rsidRDefault="00983E7E">
          <w:pPr>
            <w:pStyle w:val="TOC2"/>
            <w:tabs>
              <w:tab w:val="right" w:leader="dot" w:pos="8494"/>
            </w:tabs>
            <w:rPr>
              <w:rFonts w:asciiTheme="minorHAnsi" w:eastAsiaTheme="minorEastAsia" w:hAnsiTheme="minorHAnsi" w:cstheme="minorBidi"/>
              <w:noProof/>
              <w:sz w:val="22"/>
              <w:szCs w:val="22"/>
              <w:lang w:eastAsia="en-AU"/>
            </w:rPr>
          </w:pPr>
          <w:hyperlink w:anchor="_Toc532567965" w:history="1">
            <w:r w:rsidRPr="00ED1AB2">
              <w:rPr>
                <w:rStyle w:val="Hyperlink"/>
                <w:rFonts w:eastAsia="Calibri"/>
                <w:noProof/>
              </w:rPr>
              <w:t>Budget proposal</w:t>
            </w:r>
            <w:r>
              <w:rPr>
                <w:noProof/>
                <w:webHidden/>
              </w:rPr>
              <w:tab/>
            </w:r>
            <w:r>
              <w:rPr>
                <w:noProof/>
                <w:webHidden/>
              </w:rPr>
              <w:fldChar w:fldCharType="begin"/>
            </w:r>
            <w:r>
              <w:rPr>
                <w:noProof/>
                <w:webHidden/>
              </w:rPr>
              <w:instrText xml:space="preserve"> PAGEREF _Toc532567965 \h </w:instrText>
            </w:r>
            <w:r>
              <w:rPr>
                <w:noProof/>
                <w:webHidden/>
              </w:rPr>
            </w:r>
            <w:r>
              <w:rPr>
                <w:noProof/>
                <w:webHidden/>
              </w:rPr>
              <w:fldChar w:fldCharType="separate"/>
            </w:r>
            <w:r w:rsidR="0038337E">
              <w:rPr>
                <w:noProof/>
                <w:webHidden/>
              </w:rPr>
              <w:t>12</w:t>
            </w:r>
            <w:r>
              <w:rPr>
                <w:noProof/>
                <w:webHidden/>
              </w:rPr>
              <w:fldChar w:fldCharType="end"/>
            </w:r>
          </w:hyperlink>
        </w:p>
        <w:p w14:paraId="055D052C" w14:textId="58B9E906" w:rsidR="00983E7E" w:rsidRDefault="00983E7E">
          <w:pPr>
            <w:pStyle w:val="TOC2"/>
            <w:tabs>
              <w:tab w:val="right" w:leader="dot" w:pos="8494"/>
            </w:tabs>
            <w:rPr>
              <w:rFonts w:asciiTheme="minorHAnsi" w:eastAsiaTheme="minorEastAsia" w:hAnsiTheme="minorHAnsi" w:cstheme="minorBidi"/>
              <w:noProof/>
              <w:sz w:val="22"/>
              <w:szCs w:val="22"/>
              <w:lang w:eastAsia="en-AU"/>
            </w:rPr>
          </w:pPr>
          <w:hyperlink w:anchor="_Toc532567966" w:history="1">
            <w:r w:rsidRPr="00ED1AB2">
              <w:rPr>
                <w:rStyle w:val="Hyperlink"/>
                <w:rFonts w:eastAsia="Calibri"/>
                <w:noProof/>
              </w:rPr>
              <w:t>Rationale</w:t>
            </w:r>
            <w:r>
              <w:rPr>
                <w:noProof/>
                <w:webHidden/>
              </w:rPr>
              <w:tab/>
            </w:r>
            <w:r>
              <w:rPr>
                <w:noProof/>
                <w:webHidden/>
              </w:rPr>
              <w:fldChar w:fldCharType="begin"/>
            </w:r>
            <w:r>
              <w:rPr>
                <w:noProof/>
                <w:webHidden/>
              </w:rPr>
              <w:instrText xml:space="preserve"> PAGEREF _Toc532567966 \h </w:instrText>
            </w:r>
            <w:r>
              <w:rPr>
                <w:noProof/>
                <w:webHidden/>
              </w:rPr>
            </w:r>
            <w:r>
              <w:rPr>
                <w:noProof/>
                <w:webHidden/>
              </w:rPr>
              <w:fldChar w:fldCharType="separate"/>
            </w:r>
            <w:r w:rsidR="0038337E">
              <w:rPr>
                <w:noProof/>
                <w:webHidden/>
              </w:rPr>
              <w:t>12</w:t>
            </w:r>
            <w:r>
              <w:rPr>
                <w:noProof/>
                <w:webHidden/>
              </w:rPr>
              <w:fldChar w:fldCharType="end"/>
            </w:r>
          </w:hyperlink>
        </w:p>
        <w:p w14:paraId="5C9C1617" w14:textId="3B559BD2" w:rsidR="00983E7E" w:rsidRDefault="00983E7E">
          <w:pPr>
            <w:pStyle w:val="TOC2"/>
            <w:tabs>
              <w:tab w:val="right" w:leader="dot" w:pos="8494"/>
            </w:tabs>
            <w:rPr>
              <w:rFonts w:asciiTheme="minorHAnsi" w:eastAsiaTheme="minorEastAsia" w:hAnsiTheme="minorHAnsi" w:cstheme="minorBidi"/>
              <w:noProof/>
              <w:sz w:val="22"/>
              <w:szCs w:val="22"/>
              <w:lang w:eastAsia="en-AU"/>
            </w:rPr>
          </w:pPr>
          <w:hyperlink w:anchor="_Toc532567967" w:history="1">
            <w:r w:rsidRPr="00ED1AB2">
              <w:rPr>
                <w:rStyle w:val="Hyperlink"/>
                <w:rFonts w:eastAsia="Calibri"/>
                <w:noProof/>
              </w:rPr>
              <w:t>What this means for Australian consumers</w:t>
            </w:r>
            <w:r>
              <w:rPr>
                <w:noProof/>
                <w:webHidden/>
              </w:rPr>
              <w:tab/>
            </w:r>
            <w:r>
              <w:rPr>
                <w:noProof/>
                <w:webHidden/>
              </w:rPr>
              <w:fldChar w:fldCharType="begin"/>
            </w:r>
            <w:r>
              <w:rPr>
                <w:noProof/>
                <w:webHidden/>
              </w:rPr>
              <w:instrText xml:space="preserve"> PAGEREF _Toc532567967 \h </w:instrText>
            </w:r>
            <w:r>
              <w:rPr>
                <w:noProof/>
                <w:webHidden/>
              </w:rPr>
            </w:r>
            <w:r>
              <w:rPr>
                <w:noProof/>
                <w:webHidden/>
              </w:rPr>
              <w:fldChar w:fldCharType="separate"/>
            </w:r>
            <w:r w:rsidR="0038337E">
              <w:rPr>
                <w:noProof/>
                <w:webHidden/>
              </w:rPr>
              <w:t>12</w:t>
            </w:r>
            <w:r>
              <w:rPr>
                <w:noProof/>
                <w:webHidden/>
              </w:rPr>
              <w:fldChar w:fldCharType="end"/>
            </w:r>
          </w:hyperlink>
        </w:p>
        <w:p w14:paraId="6B085788" w14:textId="7B315559" w:rsidR="00983E7E" w:rsidRDefault="00983E7E">
          <w:pPr>
            <w:pStyle w:val="TOC1"/>
            <w:tabs>
              <w:tab w:val="right" w:leader="dot" w:pos="8494"/>
            </w:tabs>
            <w:rPr>
              <w:rFonts w:asciiTheme="minorHAnsi" w:eastAsiaTheme="minorEastAsia" w:hAnsiTheme="minorHAnsi" w:cstheme="minorBidi"/>
              <w:noProof/>
              <w:sz w:val="22"/>
              <w:szCs w:val="22"/>
              <w:lang w:eastAsia="en-AU"/>
            </w:rPr>
          </w:pPr>
          <w:hyperlink w:anchor="_Toc532567968" w:history="1">
            <w:r w:rsidRPr="00ED1AB2">
              <w:rPr>
                <w:rStyle w:val="Hyperlink"/>
                <w:noProof/>
              </w:rPr>
              <w:t>Key statistics</w:t>
            </w:r>
            <w:r>
              <w:rPr>
                <w:noProof/>
                <w:webHidden/>
              </w:rPr>
              <w:tab/>
            </w:r>
            <w:r>
              <w:rPr>
                <w:noProof/>
                <w:webHidden/>
              </w:rPr>
              <w:fldChar w:fldCharType="begin"/>
            </w:r>
            <w:r>
              <w:rPr>
                <w:noProof/>
                <w:webHidden/>
              </w:rPr>
              <w:instrText xml:space="preserve"> PAGEREF _Toc532567968 \h </w:instrText>
            </w:r>
            <w:r>
              <w:rPr>
                <w:noProof/>
                <w:webHidden/>
              </w:rPr>
            </w:r>
            <w:r>
              <w:rPr>
                <w:noProof/>
                <w:webHidden/>
              </w:rPr>
              <w:fldChar w:fldCharType="separate"/>
            </w:r>
            <w:r w:rsidR="0038337E">
              <w:rPr>
                <w:noProof/>
                <w:webHidden/>
              </w:rPr>
              <w:t>13</w:t>
            </w:r>
            <w:r>
              <w:rPr>
                <w:noProof/>
                <w:webHidden/>
              </w:rPr>
              <w:fldChar w:fldCharType="end"/>
            </w:r>
          </w:hyperlink>
        </w:p>
        <w:p w14:paraId="3A12DAD1" w14:textId="6DF608E0" w:rsidR="00983E7E" w:rsidRDefault="00983E7E">
          <w:pPr>
            <w:pStyle w:val="TOC2"/>
            <w:tabs>
              <w:tab w:val="right" w:leader="dot" w:pos="8494"/>
            </w:tabs>
            <w:rPr>
              <w:rFonts w:asciiTheme="minorHAnsi" w:eastAsiaTheme="minorEastAsia" w:hAnsiTheme="minorHAnsi" w:cstheme="minorBidi"/>
              <w:noProof/>
              <w:sz w:val="22"/>
              <w:szCs w:val="22"/>
              <w:lang w:eastAsia="en-AU"/>
            </w:rPr>
          </w:pPr>
          <w:hyperlink w:anchor="_Toc532567969" w:history="1">
            <w:r w:rsidRPr="00ED1AB2">
              <w:rPr>
                <w:rStyle w:val="Hyperlink"/>
                <w:rFonts w:eastAsia="Calibri"/>
                <w:noProof/>
              </w:rPr>
              <w:t>Industry statistics</w:t>
            </w:r>
            <w:r>
              <w:rPr>
                <w:noProof/>
                <w:webHidden/>
              </w:rPr>
              <w:tab/>
            </w:r>
            <w:r>
              <w:rPr>
                <w:noProof/>
                <w:webHidden/>
              </w:rPr>
              <w:fldChar w:fldCharType="begin"/>
            </w:r>
            <w:r>
              <w:rPr>
                <w:noProof/>
                <w:webHidden/>
              </w:rPr>
              <w:instrText xml:space="preserve"> PAGEREF _Toc532567969 \h </w:instrText>
            </w:r>
            <w:r>
              <w:rPr>
                <w:noProof/>
                <w:webHidden/>
              </w:rPr>
            </w:r>
            <w:r>
              <w:rPr>
                <w:noProof/>
                <w:webHidden/>
              </w:rPr>
              <w:fldChar w:fldCharType="separate"/>
            </w:r>
            <w:r w:rsidR="0038337E">
              <w:rPr>
                <w:noProof/>
                <w:webHidden/>
              </w:rPr>
              <w:t>13</w:t>
            </w:r>
            <w:r>
              <w:rPr>
                <w:noProof/>
                <w:webHidden/>
              </w:rPr>
              <w:fldChar w:fldCharType="end"/>
            </w:r>
          </w:hyperlink>
        </w:p>
        <w:p w14:paraId="09ECFC5F" w14:textId="70E5CECD" w:rsidR="00C64F9F" w:rsidRDefault="00C64F9F">
          <w:r>
            <w:rPr>
              <w:b/>
              <w:bCs/>
              <w:noProof/>
            </w:rPr>
            <w:fldChar w:fldCharType="end"/>
          </w:r>
        </w:p>
      </w:sdtContent>
    </w:sdt>
    <w:p w14:paraId="639A7AF0" w14:textId="77777777" w:rsidR="0001579F" w:rsidRDefault="00C64F9F" w:rsidP="00CC0C97">
      <w:pPr>
        <w:pStyle w:val="Heading1"/>
      </w:pPr>
      <w:r>
        <w:br w:type="page"/>
      </w:r>
      <w:bookmarkStart w:id="0" w:name="_Toc532567950"/>
      <w:r w:rsidR="0001579F">
        <w:t xml:space="preserve">The </w:t>
      </w:r>
      <w:r w:rsidR="00C25F30">
        <w:t>p</w:t>
      </w:r>
      <w:r w:rsidR="0001579F">
        <w:t xml:space="preserve">rivate </w:t>
      </w:r>
      <w:r w:rsidR="00C25F30">
        <w:t>h</w:t>
      </w:r>
      <w:r w:rsidR="0001579F">
        <w:t xml:space="preserve">ospital </w:t>
      </w:r>
      <w:r w:rsidR="00C25F30" w:rsidRPr="001F0367">
        <w:rPr>
          <w:color w:val="002060"/>
        </w:rPr>
        <w:t>s</w:t>
      </w:r>
      <w:r w:rsidR="0001579F" w:rsidRPr="001F0367">
        <w:rPr>
          <w:color w:val="002060"/>
        </w:rPr>
        <w:t>ector</w:t>
      </w:r>
      <w:bookmarkEnd w:id="0"/>
    </w:p>
    <w:p w14:paraId="386B2C65" w14:textId="77777777" w:rsidR="008B34C7" w:rsidRPr="00D43E0A" w:rsidRDefault="008B34C7" w:rsidP="00073DD7">
      <w:pPr>
        <w:rPr>
          <w:rFonts w:ascii="Calibri" w:hAnsi="Calibri" w:cs="Calibri"/>
          <w:bCs/>
          <w:kern w:val="32"/>
          <w:sz w:val="22"/>
          <w:szCs w:val="22"/>
        </w:rPr>
      </w:pPr>
      <w:r w:rsidRPr="00D43E0A">
        <w:rPr>
          <w:rFonts w:ascii="Calibri" w:hAnsi="Calibri" w:cs="Calibri"/>
          <w:bCs/>
          <w:kern w:val="32"/>
          <w:sz w:val="22"/>
          <w:szCs w:val="22"/>
        </w:rPr>
        <w:t>The private hospital sector makes a significant contribution to health care in Australia, providing a large number of services and taking the pressure off the already st</w:t>
      </w:r>
      <w:r w:rsidR="00A32D7E" w:rsidRPr="00D43E0A">
        <w:rPr>
          <w:rFonts w:ascii="Calibri" w:hAnsi="Calibri" w:cs="Calibri"/>
          <w:bCs/>
          <w:kern w:val="32"/>
          <w:sz w:val="22"/>
          <w:szCs w:val="22"/>
        </w:rPr>
        <w:t>retched public hospital system.</w:t>
      </w:r>
    </w:p>
    <w:p w14:paraId="72AA8C15" w14:textId="683EC238" w:rsidR="000E1555" w:rsidRPr="00D43E0A" w:rsidRDefault="00415351" w:rsidP="00073DD7">
      <w:pPr>
        <w:rPr>
          <w:rFonts w:ascii="Calibri" w:hAnsi="Calibri" w:cs="Calibri"/>
          <w:bCs/>
          <w:kern w:val="32"/>
          <w:sz w:val="22"/>
          <w:szCs w:val="22"/>
        </w:rPr>
      </w:pPr>
      <w:r w:rsidRPr="00D43E0A">
        <w:rPr>
          <w:rFonts w:ascii="Calibri" w:hAnsi="Calibri" w:cs="Calibri"/>
          <w:bCs/>
          <w:kern w:val="32"/>
          <w:sz w:val="22"/>
          <w:szCs w:val="22"/>
        </w:rPr>
        <w:t>The private hospital sector</w:t>
      </w:r>
      <w:r w:rsidR="00D621C7" w:rsidRPr="00D43E0A">
        <w:rPr>
          <w:rFonts w:ascii="Calibri" w:hAnsi="Calibri" w:cs="Calibri"/>
          <w:bCs/>
          <w:kern w:val="32"/>
          <w:sz w:val="22"/>
          <w:szCs w:val="22"/>
        </w:rPr>
        <w:t xml:space="preserve"> treats</w:t>
      </w:r>
      <w:r w:rsidR="00B302C5" w:rsidRPr="00D43E0A">
        <w:rPr>
          <w:rFonts w:ascii="Calibri" w:hAnsi="Calibri" w:cs="Calibri"/>
          <w:bCs/>
          <w:kern w:val="32"/>
          <w:sz w:val="22"/>
          <w:szCs w:val="22"/>
        </w:rPr>
        <w:t xml:space="preserve"> </w:t>
      </w:r>
      <w:r w:rsidR="000E1555" w:rsidRPr="00D43E0A">
        <w:rPr>
          <w:rFonts w:ascii="Calibri" w:hAnsi="Calibri" w:cs="Calibri"/>
          <w:bCs/>
          <w:kern w:val="32"/>
          <w:sz w:val="22"/>
          <w:szCs w:val="22"/>
        </w:rPr>
        <w:t>4</w:t>
      </w:r>
      <w:r w:rsidR="00540D22" w:rsidRPr="00D43E0A">
        <w:rPr>
          <w:rFonts w:ascii="Calibri" w:hAnsi="Calibri" w:cs="Calibri"/>
          <w:bCs/>
          <w:kern w:val="32"/>
          <w:sz w:val="22"/>
          <w:szCs w:val="22"/>
        </w:rPr>
        <w:t>.</w:t>
      </w:r>
      <w:r w:rsidR="004B00A2" w:rsidRPr="00D43E0A">
        <w:rPr>
          <w:rFonts w:ascii="Calibri" w:hAnsi="Calibri" w:cs="Calibri"/>
          <w:bCs/>
          <w:kern w:val="32"/>
          <w:sz w:val="22"/>
          <w:szCs w:val="22"/>
        </w:rPr>
        <w:t>43</w:t>
      </w:r>
      <w:r w:rsidR="0002020D" w:rsidRPr="00D43E0A">
        <w:rPr>
          <w:rFonts w:ascii="Calibri" w:hAnsi="Calibri" w:cs="Calibri"/>
          <w:bCs/>
          <w:kern w:val="32"/>
          <w:sz w:val="22"/>
          <w:szCs w:val="22"/>
        </w:rPr>
        <w:t xml:space="preserve"> million </w:t>
      </w:r>
      <w:r w:rsidR="007C5C96" w:rsidRPr="00D43E0A">
        <w:rPr>
          <w:rFonts w:ascii="Calibri" w:hAnsi="Calibri" w:cs="Calibri"/>
          <w:bCs/>
          <w:kern w:val="32"/>
          <w:sz w:val="22"/>
          <w:szCs w:val="22"/>
        </w:rPr>
        <w:t xml:space="preserve">separations </w:t>
      </w:r>
      <w:r w:rsidR="000E1555" w:rsidRPr="00D43E0A">
        <w:rPr>
          <w:rFonts w:ascii="Calibri" w:hAnsi="Calibri" w:cs="Calibri"/>
          <w:bCs/>
          <w:kern w:val="32"/>
          <w:sz w:val="22"/>
          <w:szCs w:val="22"/>
        </w:rPr>
        <w:t>a year</w:t>
      </w:r>
      <w:r w:rsidR="00C25F30" w:rsidRPr="00D43E0A">
        <w:rPr>
          <w:rFonts w:ascii="Calibri" w:hAnsi="Calibri" w:cs="Calibri"/>
          <w:bCs/>
          <w:kern w:val="32"/>
          <w:sz w:val="22"/>
          <w:szCs w:val="22"/>
        </w:rPr>
        <w:t>.</w:t>
      </w:r>
    </w:p>
    <w:p w14:paraId="3967AA2A" w14:textId="77777777" w:rsidR="00994481" w:rsidRPr="00D43E0A" w:rsidRDefault="000E1555" w:rsidP="00073DD7">
      <w:pPr>
        <w:rPr>
          <w:rFonts w:ascii="Calibri" w:hAnsi="Calibri" w:cs="Calibri"/>
          <w:bCs/>
          <w:kern w:val="32"/>
          <w:sz w:val="22"/>
          <w:szCs w:val="22"/>
        </w:rPr>
      </w:pPr>
      <w:r w:rsidRPr="00D43E0A">
        <w:rPr>
          <w:rFonts w:ascii="Calibri" w:hAnsi="Calibri" w:cs="Calibri"/>
          <w:bCs/>
          <w:kern w:val="32"/>
          <w:sz w:val="22"/>
          <w:szCs w:val="22"/>
        </w:rPr>
        <w:t>I</w:t>
      </w:r>
      <w:r w:rsidR="005924F5" w:rsidRPr="00D43E0A">
        <w:rPr>
          <w:rFonts w:ascii="Calibri" w:hAnsi="Calibri" w:cs="Calibri"/>
          <w:bCs/>
          <w:kern w:val="32"/>
          <w:sz w:val="22"/>
          <w:szCs w:val="22"/>
        </w:rPr>
        <w:t>n 2016–17 it delivered</w:t>
      </w:r>
      <w:r w:rsidRPr="00D43E0A">
        <w:rPr>
          <w:rFonts w:ascii="Calibri" w:hAnsi="Calibri" w:cs="Calibri"/>
          <w:bCs/>
          <w:kern w:val="32"/>
          <w:sz w:val="22"/>
          <w:szCs w:val="22"/>
        </w:rPr>
        <w:t xml:space="preserve">: </w:t>
      </w:r>
    </w:p>
    <w:p w14:paraId="58F7D38A" w14:textId="77777777" w:rsidR="000E1555" w:rsidRPr="00D43E0A" w:rsidRDefault="00415351" w:rsidP="00B42BA3">
      <w:pPr>
        <w:pStyle w:val="ListParagraph"/>
        <w:numPr>
          <w:ilvl w:val="0"/>
          <w:numId w:val="4"/>
        </w:numPr>
        <w:rPr>
          <w:rFonts w:ascii="Calibri" w:hAnsi="Calibri" w:cs="Calibri"/>
          <w:bCs/>
          <w:kern w:val="32"/>
          <w:sz w:val="22"/>
          <w:szCs w:val="22"/>
        </w:rPr>
      </w:pPr>
      <w:r w:rsidRPr="00D43E0A">
        <w:rPr>
          <w:rFonts w:ascii="Calibri" w:hAnsi="Calibri" w:cs="Calibri"/>
          <w:bCs/>
          <w:kern w:val="32"/>
          <w:sz w:val="22"/>
          <w:szCs w:val="22"/>
        </w:rPr>
        <w:t>More than a third</w:t>
      </w:r>
      <w:r w:rsidR="000E1555" w:rsidRPr="00D43E0A">
        <w:rPr>
          <w:rFonts w:ascii="Calibri" w:hAnsi="Calibri" w:cs="Calibri"/>
          <w:bCs/>
          <w:kern w:val="32"/>
          <w:sz w:val="22"/>
          <w:szCs w:val="22"/>
        </w:rPr>
        <w:t xml:space="preserve"> of chemotherapy</w:t>
      </w:r>
    </w:p>
    <w:p w14:paraId="367B3D82" w14:textId="3704D877" w:rsidR="00994481" w:rsidRPr="00D43E0A" w:rsidRDefault="00994481" w:rsidP="00B42BA3">
      <w:pPr>
        <w:pStyle w:val="ListParagraph"/>
        <w:numPr>
          <w:ilvl w:val="0"/>
          <w:numId w:val="4"/>
        </w:numPr>
        <w:rPr>
          <w:rFonts w:ascii="Calibri" w:hAnsi="Calibri" w:cs="Calibri"/>
          <w:bCs/>
          <w:kern w:val="32"/>
          <w:sz w:val="22"/>
          <w:szCs w:val="22"/>
        </w:rPr>
      </w:pPr>
      <w:r w:rsidRPr="00D43E0A">
        <w:rPr>
          <w:rFonts w:ascii="Calibri" w:hAnsi="Calibri" w:cs="Calibri"/>
          <w:bCs/>
          <w:kern w:val="32"/>
          <w:sz w:val="22"/>
          <w:szCs w:val="22"/>
        </w:rPr>
        <w:t>60</w:t>
      </w:r>
      <w:r w:rsidR="001B5D06" w:rsidRPr="00D43E0A">
        <w:rPr>
          <w:rFonts w:ascii="Calibri" w:hAnsi="Calibri" w:cs="Calibri"/>
          <w:bCs/>
          <w:kern w:val="32"/>
          <w:sz w:val="22"/>
          <w:szCs w:val="22"/>
        </w:rPr>
        <w:t xml:space="preserve"> percent</w:t>
      </w:r>
      <w:r w:rsidRPr="00D43E0A">
        <w:rPr>
          <w:rFonts w:ascii="Calibri" w:hAnsi="Calibri" w:cs="Calibri"/>
          <w:bCs/>
          <w:kern w:val="32"/>
          <w:sz w:val="22"/>
          <w:szCs w:val="22"/>
        </w:rPr>
        <w:t xml:space="preserve"> of all surgery</w:t>
      </w:r>
    </w:p>
    <w:p w14:paraId="30F37F0A" w14:textId="6FBDEA05" w:rsidR="000E1555" w:rsidRPr="00D43E0A" w:rsidRDefault="000E1555" w:rsidP="00B42BA3">
      <w:pPr>
        <w:pStyle w:val="ListParagraph"/>
        <w:numPr>
          <w:ilvl w:val="0"/>
          <w:numId w:val="4"/>
        </w:numPr>
        <w:rPr>
          <w:rFonts w:ascii="Calibri" w:hAnsi="Calibri" w:cs="Calibri"/>
          <w:bCs/>
          <w:kern w:val="32"/>
          <w:sz w:val="22"/>
          <w:szCs w:val="22"/>
        </w:rPr>
      </w:pPr>
      <w:r w:rsidRPr="00D43E0A">
        <w:rPr>
          <w:rFonts w:ascii="Calibri" w:hAnsi="Calibri" w:cs="Calibri"/>
          <w:bCs/>
          <w:kern w:val="32"/>
          <w:sz w:val="22"/>
          <w:szCs w:val="22"/>
        </w:rPr>
        <w:t>7</w:t>
      </w:r>
      <w:r w:rsidR="005924F5" w:rsidRPr="00D43E0A">
        <w:rPr>
          <w:rFonts w:ascii="Calibri" w:hAnsi="Calibri" w:cs="Calibri"/>
          <w:bCs/>
          <w:kern w:val="32"/>
          <w:sz w:val="22"/>
          <w:szCs w:val="22"/>
        </w:rPr>
        <w:t>9</w:t>
      </w:r>
      <w:r w:rsidR="001B5D06" w:rsidRPr="00D43E0A">
        <w:rPr>
          <w:rFonts w:ascii="Calibri" w:hAnsi="Calibri" w:cs="Calibri"/>
          <w:bCs/>
          <w:kern w:val="32"/>
          <w:sz w:val="22"/>
          <w:szCs w:val="22"/>
        </w:rPr>
        <w:t xml:space="preserve"> </w:t>
      </w:r>
      <w:r w:rsidR="00B875A5" w:rsidRPr="00D43E0A">
        <w:rPr>
          <w:rFonts w:ascii="Calibri" w:hAnsi="Calibri" w:cs="Calibri"/>
          <w:bCs/>
          <w:kern w:val="32"/>
          <w:sz w:val="22"/>
          <w:szCs w:val="22"/>
        </w:rPr>
        <w:t>percent</w:t>
      </w:r>
      <w:r w:rsidR="00B875A5" w:rsidRPr="00D43E0A" w:rsidDel="001B5D06">
        <w:rPr>
          <w:rFonts w:ascii="Calibri" w:hAnsi="Calibri" w:cs="Calibri"/>
          <w:bCs/>
          <w:kern w:val="32"/>
          <w:sz w:val="22"/>
          <w:szCs w:val="22"/>
        </w:rPr>
        <w:t xml:space="preserve"> </w:t>
      </w:r>
      <w:r w:rsidR="00B875A5" w:rsidRPr="00D43E0A">
        <w:rPr>
          <w:rFonts w:ascii="Calibri" w:hAnsi="Calibri" w:cs="Calibri"/>
          <w:bCs/>
          <w:kern w:val="32"/>
          <w:sz w:val="22"/>
          <w:szCs w:val="22"/>
        </w:rPr>
        <w:t>of</w:t>
      </w:r>
      <w:r w:rsidRPr="00D43E0A">
        <w:rPr>
          <w:rFonts w:ascii="Calibri" w:hAnsi="Calibri" w:cs="Calibri"/>
          <w:bCs/>
          <w:kern w:val="32"/>
          <w:sz w:val="22"/>
          <w:szCs w:val="22"/>
        </w:rPr>
        <w:t xml:space="preserve"> rehabilitation</w:t>
      </w:r>
    </w:p>
    <w:p w14:paraId="085D822C" w14:textId="05765684" w:rsidR="000E1555" w:rsidRPr="00D43E0A" w:rsidRDefault="003B3C58" w:rsidP="00B42BA3">
      <w:pPr>
        <w:pStyle w:val="ListParagraph"/>
        <w:numPr>
          <w:ilvl w:val="0"/>
          <w:numId w:val="4"/>
        </w:numPr>
        <w:rPr>
          <w:rFonts w:ascii="Calibri" w:hAnsi="Calibri" w:cs="Calibri"/>
          <w:bCs/>
          <w:kern w:val="32"/>
          <w:sz w:val="22"/>
          <w:szCs w:val="22"/>
        </w:rPr>
      </w:pPr>
      <w:r w:rsidRPr="00D43E0A">
        <w:rPr>
          <w:rFonts w:ascii="Calibri" w:hAnsi="Calibri" w:cs="Calibri"/>
          <w:bCs/>
          <w:kern w:val="32"/>
          <w:sz w:val="22"/>
          <w:szCs w:val="22"/>
        </w:rPr>
        <w:t>73</w:t>
      </w:r>
      <w:r w:rsidR="001B5D06" w:rsidRPr="00D43E0A">
        <w:rPr>
          <w:rFonts w:ascii="Calibri" w:hAnsi="Calibri" w:cs="Calibri"/>
          <w:bCs/>
          <w:kern w:val="32"/>
          <w:sz w:val="22"/>
          <w:szCs w:val="22"/>
        </w:rPr>
        <w:t xml:space="preserve"> </w:t>
      </w:r>
      <w:r w:rsidR="00B875A5" w:rsidRPr="00D43E0A">
        <w:rPr>
          <w:rFonts w:ascii="Calibri" w:hAnsi="Calibri" w:cs="Calibri"/>
          <w:bCs/>
          <w:kern w:val="32"/>
          <w:sz w:val="22"/>
          <w:szCs w:val="22"/>
        </w:rPr>
        <w:t>percent</w:t>
      </w:r>
      <w:r w:rsidR="00B875A5" w:rsidRPr="00D43E0A" w:rsidDel="001B5D06">
        <w:rPr>
          <w:rFonts w:ascii="Calibri" w:hAnsi="Calibri" w:cs="Calibri"/>
          <w:bCs/>
          <w:kern w:val="32"/>
          <w:sz w:val="22"/>
          <w:szCs w:val="22"/>
        </w:rPr>
        <w:t xml:space="preserve"> </w:t>
      </w:r>
      <w:r w:rsidR="00B875A5" w:rsidRPr="00D43E0A">
        <w:rPr>
          <w:rFonts w:ascii="Calibri" w:hAnsi="Calibri" w:cs="Calibri"/>
          <w:bCs/>
          <w:kern w:val="32"/>
          <w:sz w:val="22"/>
          <w:szCs w:val="22"/>
        </w:rPr>
        <w:t>of</w:t>
      </w:r>
      <w:r w:rsidR="000E1555" w:rsidRPr="00D43E0A">
        <w:rPr>
          <w:rFonts w:ascii="Calibri" w:hAnsi="Calibri" w:cs="Calibri"/>
          <w:bCs/>
          <w:kern w:val="32"/>
          <w:sz w:val="22"/>
          <w:szCs w:val="22"/>
        </w:rPr>
        <w:t xml:space="preserve"> eye procedure</w:t>
      </w:r>
      <w:r w:rsidR="00C25F30" w:rsidRPr="00D43E0A">
        <w:rPr>
          <w:rFonts w:ascii="Calibri" w:hAnsi="Calibri" w:cs="Calibri"/>
          <w:bCs/>
          <w:kern w:val="32"/>
          <w:sz w:val="22"/>
          <w:szCs w:val="22"/>
        </w:rPr>
        <w:t>s</w:t>
      </w:r>
    </w:p>
    <w:p w14:paraId="065775CE" w14:textId="77777777" w:rsidR="000E1555" w:rsidRPr="00D43E0A" w:rsidRDefault="000E1555" w:rsidP="00B42BA3">
      <w:pPr>
        <w:pStyle w:val="ListParagraph"/>
        <w:numPr>
          <w:ilvl w:val="0"/>
          <w:numId w:val="4"/>
        </w:numPr>
        <w:rPr>
          <w:rFonts w:ascii="Calibri" w:hAnsi="Calibri" w:cs="Calibri"/>
          <w:bCs/>
          <w:kern w:val="32"/>
          <w:sz w:val="22"/>
          <w:szCs w:val="22"/>
        </w:rPr>
      </w:pPr>
      <w:r w:rsidRPr="00D43E0A">
        <w:rPr>
          <w:rFonts w:ascii="Calibri" w:hAnsi="Calibri" w:cs="Calibri"/>
          <w:bCs/>
          <w:kern w:val="32"/>
          <w:sz w:val="22"/>
          <w:szCs w:val="22"/>
        </w:rPr>
        <w:t xml:space="preserve">Almost half of all </w:t>
      </w:r>
      <w:r w:rsidR="00132925" w:rsidRPr="00D43E0A">
        <w:rPr>
          <w:rFonts w:ascii="Calibri" w:hAnsi="Calibri" w:cs="Calibri"/>
          <w:bCs/>
          <w:kern w:val="32"/>
          <w:sz w:val="22"/>
          <w:szCs w:val="22"/>
        </w:rPr>
        <w:t xml:space="preserve">heart </w:t>
      </w:r>
      <w:r w:rsidR="003B3C58" w:rsidRPr="00D43E0A">
        <w:rPr>
          <w:rFonts w:ascii="Calibri" w:hAnsi="Calibri" w:cs="Calibri"/>
          <w:bCs/>
          <w:kern w:val="32"/>
          <w:sz w:val="22"/>
          <w:szCs w:val="22"/>
        </w:rPr>
        <w:t>p</w:t>
      </w:r>
      <w:r w:rsidR="00132925" w:rsidRPr="00D43E0A">
        <w:rPr>
          <w:rFonts w:ascii="Calibri" w:hAnsi="Calibri" w:cs="Calibri"/>
          <w:bCs/>
          <w:kern w:val="32"/>
          <w:sz w:val="22"/>
          <w:szCs w:val="22"/>
        </w:rPr>
        <w:t>rocedures</w:t>
      </w:r>
    </w:p>
    <w:p w14:paraId="644F0C91" w14:textId="50CD8A23" w:rsidR="000E1555" w:rsidRPr="00D43E0A" w:rsidRDefault="005924F5" w:rsidP="00B42BA3">
      <w:pPr>
        <w:pStyle w:val="ListParagraph"/>
        <w:numPr>
          <w:ilvl w:val="0"/>
          <w:numId w:val="4"/>
        </w:numPr>
        <w:rPr>
          <w:rFonts w:ascii="Calibri" w:hAnsi="Calibri" w:cs="Calibri"/>
          <w:bCs/>
          <w:kern w:val="32"/>
          <w:sz w:val="22"/>
          <w:szCs w:val="22"/>
        </w:rPr>
      </w:pPr>
      <w:r w:rsidRPr="00D43E0A">
        <w:rPr>
          <w:rFonts w:ascii="Calibri" w:hAnsi="Calibri" w:cs="Calibri"/>
          <w:bCs/>
          <w:kern w:val="32"/>
          <w:sz w:val="22"/>
          <w:szCs w:val="22"/>
        </w:rPr>
        <w:t>73</w:t>
      </w:r>
      <w:r w:rsidR="001B5D06" w:rsidRPr="00D43E0A">
        <w:rPr>
          <w:rFonts w:ascii="Calibri" w:hAnsi="Calibri" w:cs="Calibri"/>
          <w:bCs/>
          <w:kern w:val="32"/>
          <w:sz w:val="22"/>
          <w:szCs w:val="22"/>
        </w:rPr>
        <w:t xml:space="preserve"> </w:t>
      </w:r>
      <w:r w:rsidR="00B875A5" w:rsidRPr="00D43E0A">
        <w:rPr>
          <w:rFonts w:ascii="Calibri" w:hAnsi="Calibri" w:cs="Calibri"/>
          <w:bCs/>
          <w:kern w:val="32"/>
          <w:sz w:val="22"/>
          <w:szCs w:val="22"/>
        </w:rPr>
        <w:t>percent</w:t>
      </w:r>
      <w:r w:rsidR="00B875A5" w:rsidRPr="00D43E0A" w:rsidDel="001B5D06">
        <w:rPr>
          <w:rFonts w:ascii="Calibri" w:hAnsi="Calibri" w:cs="Calibri"/>
          <w:bCs/>
          <w:kern w:val="32"/>
          <w:sz w:val="22"/>
          <w:szCs w:val="22"/>
        </w:rPr>
        <w:t xml:space="preserve"> </w:t>
      </w:r>
      <w:r w:rsidR="00B875A5" w:rsidRPr="00D43E0A">
        <w:rPr>
          <w:rFonts w:ascii="Calibri" w:hAnsi="Calibri" w:cs="Calibri"/>
          <w:bCs/>
          <w:kern w:val="32"/>
          <w:sz w:val="22"/>
          <w:szCs w:val="22"/>
        </w:rPr>
        <w:t>of</w:t>
      </w:r>
      <w:r w:rsidR="000E1555" w:rsidRPr="00D43E0A">
        <w:rPr>
          <w:rFonts w:ascii="Calibri" w:hAnsi="Calibri" w:cs="Calibri"/>
          <w:bCs/>
          <w:kern w:val="32"/>
          <w:sz w:val="22"/>
          <w:szCs w:val="22"/>
        </w:rPr>
        <w:t xml:space="preserve"> </w:t>
      </w:r>
      <w:r w:rsidR="003B3C58" w:rsidRPr="00D43E0A">
        <w:rPr>
          <w:rFonts w:ascii="Calibri" w:hAnsi="Calibri" w:cs="Calibri"/>
          <w:bCs/>
          <w:kern w:val="32"/>
          <w:sz w:val="22"/>
          <w:szCs w:val="22"/>
        </w:rPr>
        <w:t>procedures</w:t>
      </w:r>
      <w:r w:rsidR="000E1555" w:rsidRPr="00D43E0A">
        <w:rPr>
          <w:rFonts w:ascii="Calibri" w:hAnsi="Calibri" w:cs="Calibri"/>
          <w:bCs/>
          <w:kern w:val="32"/>
          <w:sz w:val="22"/>
          <w:szCs w:val="22"/>
        </w:rPr>
        <w:t xml:space="preserve"> on the brain, spine and nerves</w:t>
      </w:r>
      <w:r w:rsidR="00C25F30" w:rsidRPr="00D43E0A">
        <w:rPr>
          <w:rFonts w:ascii="Calibri" w:hAnsi="Calibri" w:cs="Calibri"/>
          <w:bCs/>
          <w:kern w:val="32"/>
          <w:sz w:val="22"/>
          <w:szCs w:val="22"/>
        </w:rPr>
        <w:t>.</w:t>
      </w:r>
    </w:p>
    <w:p w14:paraId="2D1B8C87" w14:textId="77777777" w:rsidR="00B74D81" w:rsidRPr="00D43E0A" w:rsidRDefault="008B34C7" w:rsidP="00073DD7">
      <w:pPr>
        <w:rPr>
          <w:rFonts w:ascii="Calibri" w:hAnsi="Calibri" w:cs="Calibri"/>
          <w:bCs/>
          <w:kern w:val="32"/>
          <w:sz w:val="22"/>
          <w:szCs w:val="22"/>
        </w:rPr>
      </w:pPr>
      <w:r w:rsidRPr="00D43E0A">
        <w:rPr>
          <w:rFonts w:ascii="Calibri" w:hAnsi="Calibri" w:cs="Calibri"/>
          <w:bCs/>
          <w:kern w:val="32"/>
          <w:sz w:val="22"/>
          <w:szCs w:val="22"/>
        </w:rPr>
        <w:t>Australian private hospitals b</w:t>
      </w:r>
      <w:r w:rsidR="00B74D81" w:rsidRPr="00D43E0A">
        <w:rPr>
          <w:rFonts w:ascii="Calibri" w:hAnsi="Calibri" w:cs="Calibri"/>
          <w:bCs/>
          <w:kern w:val="32"/>
          <w:sz w:val="22"/>
          <w:szCs w:val="22"/>
        </w:rPr>
        <w:t xml:space="preserve">y the numbers: </w:t>
      </w:r>
    </w:p>
    <w:p w14:paraId="14EAE9EB" w14:textId="1498C128" w:rsidR="000E1555" w:rsidRPr="00D43E0A" w:rsidRDefault="000E1555" w:rsidP="00B42BA3">
      <w:pPr>
        <w:pStyle w:val="ListParagraph"/>
        <w:numPr>
          <w:ilvl w:val="0"/>
          <w:numId w:val="4"/>
        </w:numPr>
        <w:rPr>
          <w:rFonts w:ascii="Calibri" w:hAnsi="Calibri" w:cs="Calibri"/>
          <w:bCs/>
          <w:kern w:val="32"/>
          <w:sz w:val="22"/>
          <w:szCs w:val="22"/>
        </w:rPr>
      </w:pPr>
      <w:r w:rsidRPr="00D43E0A">
        <w:rPr>
          <w:rFonts w:ascii="Calibri" w:hAnsi="Calibri" w:cs="Calibri"/>
          <w:bCs/>
          <w:kern w:val="32"/>
          <w:sz w:val="22"/>
          <w:szCs w:val="22"/>
        </w:rPr>
        <w:t>Almost half (4</w:t>
      </w:r>
      <w:r w:rsidR="004B00A2" w:rsidRPr="00D43E0A">
        <w:rPr>
          <w:rFonts w:ascii="Calibri" w:hAnsi="Calibri" w:cs="Calibri"/>
          <w:bCs/>
          <w:kern w:val="32"/>
          <w:sz w:val="22"/>
          <w:szCs w:val="22"/>
        </w:rPr>
        <w:t>9</w:t>
      </w:r>
      <w:r w:rsidR="001B5D06" w:rsidRPr="00D43E0A">
        <w:rPr>
          <w:rFonts w:ascii="Calibri" w:hAnsi="Calibri" w:cs="Calibri"/>
          <w:bCs/>
          <w:kern w:val="32"/>
          <w:sz w:val="22"/>
          <w:szCs w:val="22"/>
        </w:rPr>
        <w:t xml:space="preserve"> </w:t>
      </w:r>
      <w:r w:rsidR="00B875A5" w:rsidRPr="00D43E0A">
        <w:rPr>
          <w:rFonts w:ascii="Calibri" w:hAnsi="Calibri" w:cs="Calibri"/>
          <w:bCs/>
          <w:kern w:val="32"/>
          <w:sz w:val="22"/>
          <w:szCs w:val="22"/>
        </w:rPr>
        <w:t>percent</w:t>
      </w:r>
      <w:r w:rsidR="00B875A5" w:rsidRPr="00D43E0A" w:rsidDel="001B5D06">
        <w:rPr>
          <w:rFonts w:ascii="Calibri" w:hAnsi="Calibri" w:cs="Calibri"/>
          <w:bCs/>
          <w:kern w:val="32"/>
          <w:sz w:val="22"/>
          <w:szCs w:val="22"/>
        </w:rPr>
        <w:t>)</w:t>
      </w:r>
      <w:r w:rsidRPr="00D43E0A">
        <w:rPr>
          <w:rFonts w:ascii="Calibri" w:hAnsi="Calibri" w:cs="Calibri"/>
          <w:bCs/>
          <w:kern w:val="32"/>
          <w:sz w:val="22"/>
          <w:szCs w:val="22"/>
        </w:rPr>
        <w:t xml:space="preserve"> of all Australian hospitals are private</w:t>
      </w:r>
    </w:p>
    <w:p w14:paraId="131C8BCE" w14:textId="77777777" w:rsidR="00994481" w:rsidRPr="00D43E0A" w:rsidRDefault="004B00A2" w:rsidP="00B42BA3">
      <w:pPr>
        <w:pStyle w:val="ListParagraph"/>
        <w:numPr>
          <w:ilvl w:val="0"/>
          <w:numId w:val="4"/>
        </w:numPr>
        <w:rPr>
          <w:rFonts w:ascii="Calibri" w:hAnsi="Calibri" w:cs="Calibri"/>
          <w:bCs/>
          <w:kern w:val="32"/>
          <w:sz w:val="22"/>
          <w:szCs w:val="22"/>
        </w:rPr>
      </w:pPr>
      <w:r w:rsidRPr="00D43E0A">
        <w:rPr>
          <w:rFonts w:ascii="Calibri" w:hAnsi="Calibri" w:cs="Calibri"/>
          <w:bCs/>
          <w:kern w:val="32"/>
          <w:sz w:val="22"/>
          <w:szCs w:val="22"/>
        </w:rPr>
        <w:t>657</w:t>
      </w:r>
      <w:r w:rsidR="00B74D81" w:rsidRPr="00D43E0A">
        <w:rPr>
          <w:rFonts w:ascii="Calibri" w:hAnsi="Calibri" w:cs="Calibri"/>
          <w:bCs/>
          <w:kern w:val="32"/>
          <w:sz w:val="22"/>
          <w:szCs w:val="22"/>
        </w:rPr>
        <w:t xml:space="preserve"> private hospitals</w:t>
      </w:r>
      <w:r w:rsidR="00994481" w:rsidRPr="00D43E0A">
        <w:rPr>
          <w:rFonts w:ascii="Calibri" w:hAnsi="Calibri" w:cs="Calibri"/>
          <w:bCs/>
          <w:kern w:val="32"/>
          <w:sz w:val="22"/>
          <w:szCs w:val="22"/>
        </w:rPr>
        <w:t xml:space="preserve"> made up of: </w:t>
      </w:r>
    </w:p>
    <w:p w14:paraId="492C107D" w14:textId="77777777" w:rsidR="00994481" w:rsidRPr="00D43E0A" w:rsidRDefault="004B00A2" w:rsidP="00B42BA3">
      <w:pPr>
        <w:pStyle w:val="ListParagraph"/>
        <w:numPr>
          <w:ilvl w:val="0"/>
          <w:numId w:val="4"/>
        </w:numPr>
        <w:rPr>
          <w:rFonts w:ascii="Calibri" w:hAnsi="Calibri" w:cs="Calibri"/>
          <w:bCs/>
          <w:kern w:val="32"/>
          <w:sz w:val="22"/>
          <w:szCs w:val="22"/>
        </w:rPr>
      </w:pPr>
      <w:r w:rsidRPr="00D43E0A">
        <w:rPr>
          <w:rFonts w:ascii="Calibri" w:hAnsi="Calibri" w:cs="Calibri"/>
          <w:bCs/>
          <w:kern w:val="32"/>
          <w:sz w:val="22"/>
          <w:szCs w:val="22"/>
        </w:rPr>
        <w:t>300</w:t>
      </w:r>
      <w:r w:rsidR="00994481" w:rsidRPr="00D43E0A">
        <w:rPr>
          <w:rFonts w:ascii="Calibri" w:hAnsi="Calibri" w:cs="Calibri"/>
          <w:bCs/>
          <w:kern w:val="32"/>
          <w:sz w:val="22"/>
          <w:szCs w:val="22"/>
        </w:rPr>
        <w:t xml:space="preserve"> overnight hospitals</w:t>
      </w:r>
    </w:p>
    <w:p w14:paraId="3A815D28" w14:textId="77777777" w:rsidR="00B74D81" w:rsidRPr="00D43E0A" w:rsidRDefault="004B00A2" w:rsidP="00B42BA3">
      <w:pPr>
        <w:pStyle w:val="ListParagraph"/>
        <w:numPr>
          <w:ilvl w:val="0"/>
          <w:numId w:val="4"/>
        </w:numPr>
        <w:rPr>
          <w:rFonts w:ascii="Calibri" w:hAnsi="Calibri" w:cs="Calibri"/>
          <w:bCs/>
          <w:kern w:val="32"/>
          <w:sz w:val="22"/>
          <w:szCs w:val="22"/>
        </w:rPr>
      </w:pPr>
      <w:r w:rsidRPr="00D43E0A">
        <w:rPr>
          <w:rFonts w:ascii="Calibri" w:hAnsi="Calibri" w:cs="Calibri"/>
          <w:bCs/>
          <w:kern w:val="32"/>
          <w:sz w:val="22"/>
          <w:szCs w:val="22"/>
        </w:rPr>
        <w:t>357</w:t>
      </w:r>
      <w:r w:rsidR="00994481" w:rsidRPr="00D43E0A">
        <w:rPr>
          <w:rFonts w:ascii="Calibri" w:hAnsi="Calibri" w:cs="Calibri"/>
          <w:bCs/>
          <w:kern w:val="32"/>
          <w:sz w:val="22"/>
          <w:szCs w:val="22"/>
        </w:rPr>
        <w:t xml:space="preserve"> day hospitals </w:t>
      </w:r>
    </w:p>
    <w:p w14:paraId="0FDFA7E4" w14:textId="4AADD04F" w:rsidR="00B74D81" w:rsidRPr="00D43E0A" w:rsidRDefault="005924F5" w:rsidP="00B42BA3">
      <w:pPr>
        <w:pStyle w:val="ListParagraph"/>
        <w:numPr>
          <w:ilvl w:val="0"/>
          <w:numId w:val="4"/>
        </w:numPr>
        <w:rPr>
          <w:rFonts w:ascii="Calibri" w:hAnsi="Calibri" w:cs="Calibri"/>
          <w:bCs/>
          <w:kern w:val="32"/>
          <w:sz w:val="22"/>
          <w:szCs w:val="22"/>
        </w:rPr>
      </w:pPr>
      <w:r w:rsidRPr="00D43E0A">
        <w:rPr>
          <w:rFonts w:ascii="Calibri" w:hAnsi="Calibri" w:cs="Calibri"/>
          <w:bCs/>
          <w:kern w:val="32"/>
          <w:sz w:val="22"/>
          <w:szCs w:val="22"/>
        </w:rPr>
        <w:t>34,339</w:t>
      </w:r>
      <w:r w:rsidR="00B74D81" w:rsidRPr="00D43E0A">
        <w:rPr>
          <w:rFonts w:ascii="Calibri" w:hAnsi="Calibri" w:cs="Calibri"/>
          <w:bCs/>
          <w:kern w:val="32"/>
          <w:sz w:val="22"/>
          <w:szCs w:val="22"/>
        </w:rPr>
        <w:t xml:space="preserve"> beds and chairs (</w:t>
      </w:r>
      <w:r w:rsidRPr="00D43E0A">
        <w:rPr>
          <w:rFonts w:ascii="Calibri" w:hAnsi="Calibri" w:cs="Calibri"/>
          <w:bCs/>
          <w:kern w:val="32"/>
          <w:sz w:val="22"/>
          <w:szCs w:val="22"/>
        </w:rPr>
        <w:t>31,029</w:t>
      </w:r>
      <w:r w:rsidR="00D621C7" w:rsidRPr="00D43E0A">
        <w:rPr>
          <w:rFonts w:ascii="Calibri" w:hAnsi="Calibri" w:cs="Calibri"/>
          <w:bCs/>
          <w:kern w:val="32"/>
          <w:sz w:val="22"/>
          <w:szCs w:val="22"/>
        </w:rPr>
        <w:t xml:space="preserve"> in overnight hospitals </w:t>
      </w:r>
      <w:r w:rsidR="00B74D81" w:rsidRPr="00D43E0A">
        <w:rPr>
          <w:rFonts w:ascii="Calibri" w:hAnsi="Calibri" w:cs="Calibri"/>
          <w:bCs/>
          <w:kern w:val="32"/>
          <w:sz w:val="22"/>
          <w:szCs w:val="22"/>
        </w:rPr>
        <w:t>and 3</w:t>
      </w:r>
      <w:r w:rsidR="00C25F30" w:rsidRPr="00D43E0A">
        <w:rPr>
          <w:rFonts w:ascii="Calibri" w:hAnsi="Calibri" w:cs="Calibri"/>
          <w:bCs/>
          <w:kern w:val="32"/>
          <w:sz w:val="22"/>
          <w:szCs w:val="22"/>
        </w:rPr>
        <w:t>,</w:t>
      </w:r>
      <w:r w:rsidR="004B00A2" w:rsidRPr="00D43E0A">
        <w:rPr>
          <w:rFonts w:ascii="Calibri" w:hAnsi="Calibri" w:cs="Calibri"/>
          <w:bCs/>
          <w:kern w:val="32"/>
          <w:sz w:val="22"/>
          <w:szCs w:val="22"/>
        </w:rPr>
        <w:t>310</w:t>
      </w:r>
      <w:r w:rsidR="009A3F04" w:rsidRPr="00D43E0A">
        <w:rPr>
          <w:rFonts w:ascii="Calibri" w:hAnsi="Calibri" w:cs="Calibri"/>
          <w:bCs/>
          <w:kern w:val="32"/>
          <w:sz w:val="22"/>
          <w:szCs w:val="22"/>
        </w:rPr>
        <w:t xml:space="preserve"> in free-</w:t>
      </w:r>
      <w:r w:rsidR="00B74D81" w:rsidRPr="00D43E0A">
        <w:rPr>
          <w:rFonts w:ascii="Calibri" w:hAnsi="Calibri" w:cs="Calibri"/>
          <w:bCs/>
          <w:kern w:val="32"/>
          <w:sz w:val="22"/>
          <w:szCs w:val="22"/>
        </w:rPr>
        <w:t>standing day surgeries)</w:t>
      </w:r>
    </w:p>
    <w:p w14:paraId="6355CD85" w14:textId="0DC0B793" w:rsidR="00512183" w:rsidRPr="00512183" w:rsidRDefault="000E1555" w:rsidP="00512183">
      <w:pPr>
        <w:pStyle w:val="ListParagraph"/>
        <w:numPr>
          <w:ilvl w:val="0"/>
          <w:numId w:val="4"/>
        </w:numPr>
      </w:pPr>
      <w:r w:rsidRPr="00D43E0A">
        <w:rPr>
          <w:rFonts w:ascii="Calibri" w:hAnsi="Calibri" w:cs="Calibri"/>
          <w:bCs/>
          <w:kern w:val="32"/>
          <w:sz w:val="22"/>
          <w:szCs w:val="22"/>
        </w:rPr>
        <w:t>Employs</w:t>
      </w:r>
      <w:r w:rsidR="00BD0BA5" w:rsidRPr="00D43E0A">
        <w:rPr>
          <w:rFonts w:ascii="Calibri" w:hAnsi="Calibri" w:cs="Calibri"/>
          <w:bCs/>
          <w:kern w:val="32"/>
          <w:sz w:val="22"/>
          <w:szCs w:val="22"/>
        </w:rPr>
        <w:t xml:space="preserve"> </w:t>
      </w:r>
      <w:r w:rsidR="009A3F04" w:rsidRPr="00D43E0A">
        <w:rPr>
          <w:rFonts w:ascii="Calibri" w:hAnsi="Calibri" w:cs="Calibri"/>
          <w:bCs/>
          <w:kern w:val="32"/>
          <w:sz w:val="22"/>
          <w:szCs w:val="22"/>
        </w:rPr>
        <w:t>more than</w:t>
      </w:r>
      <w:r w:rsidRPr="00D43E0A">
        <w:rPr>
          <w:rFonts w:ascii="Calibri" w:hAnsi="Calibri" w:cs="Calibri"/>
          <w:bCs/>
          <w:kern w:val="32"/>
          <w:sz w:val="22"/>
          <w:szCs w:val="22"/>
        </w:rPr>
        <w:t xml:space="preserve"> 6</w:t>
      </w:r>
      <w:r w:rsidR="004B00A2" w:rsidRPr="00D43E0A">
        <w:rPr>
          <w:rFonts w:ascii="Calibri" w:hAnsi="Calibri" w:cs="Calibri"/>
          <w:bCs/>
          <w:kern w:val="32"/>
          <w:sz w:val="22"/>
          <w:szCs w:val="22"/>
        </w:rPr>
        <w:t>9,000 full-</w:t>
      </w:r>
      <w:r w:rsidRPr="00D43E0A">
        <w:rPr>
          <w:rFonts w:ascii="Calibri" w:hAnsi="Calibri" w:cs="Calibri"/>
          <w:bCs/>
          <w:kern w:val="32"/>
          <w:sz w:val="22"/>
          <w:szCs w:val="22"/>
        </w:rPr>
        <w:t>time equivalent staff</w:t>
      </w:r>
      <w:r w:rsidR="00C25F30" w:rsidRPr="00D43E0A">
        <w:rPr>
          <w:rFonts w:ascii="Calibri" w:hAnsi="Calibri" w:cs="Calibri"/>
          <w:bCs/>
          <w:kern w:val="32"/>
          <w:sz w:val="22"/>
          <w:szCs w:val="22"/>
        </w:rPr>
        <w:t xml:space="preserve">. </w:t>
      </w:r>
    </w:p>
    <w:p w14:paraId="3238DAF7" w14:textId="77777777" w:rsidR="00994481" w:rsidRPr="00073DD7" w:rsidRDefault="00994481" w:rsidP="004E50CF">
      <w:pPr>
        <w:pStyle w:val="Heading2"/>
      </w:pPr>
      <w:bookmarkStart w:id="1" w:name="_Toc532567951"/>
      <w:r w:rsidRPr="00073DD7">
        <w:t>The Australian Private Hospitals Association</w:t>
      </w:r>
      <w:bookmarkEnd w:id="1"/>
    </w:p>
    <w:p w14:paraId="4A3507B4" w14:textId="0BA2BC73" w:rsidR="004979DA" w:rsidRPr="00D43E0A" w:rsidRDefault="00994481" w:rsidP="00073DD7">
      <w:pPr>
        <w:rPr>
          <w:rFonts w:ascii="Calibri" w:hAnsi="Calibri" w:cs="Calibri"/>
          <w:bCs/>
          <w:kern w:val="32"/>
          <w:sz w:val="22"/>
          <w:szCs w:val="22"/>
        </w:rPr>
      </w:pPr>
      <w:r w:rsidRPr="00D43E0A">
        <w:rPr>
          <w:rFonts w:ascii="Calibri" w:hAnsi="Calibri" w:cs="Calibri"/>
          <w:bCs/>
          <w:kern w:val="32"/>
          <w:sz w:val="22"/>
          <w:szCs w:val="22"/>
        </w:rPr>
        <w:t>The Australian Private Hospitals Association (APHA) is the peak industry body representing the private hospital and day surgery sector. About 7</w:t>
      </w:r>
      <w:r w:rsidR="00287668" w:rsidRPr="00D43E0A">
        <w:rPr>
          <w:rFonts w:ascii="Calibri" w:hAnsi="Calibri" w:cs="Calibri"/>
          <w:bCs/>
          <w:kern w:val="32"/>
          <w:sz w:val="22"/>
          <w:szCs w:val="22"/>
        </w:rPr>
        <w:t>0</w:t>
      </w:r>
      <w:r w:rsidR="001B5D06" w:rsidRPr="00D43E0A">
        <w:rPr>
          <w:rFonts w:ascii="Calibri" w:hAnsi="Calibri" w:cs="Calibri"/>
          <w:bCs/>
          <w:kern w:val="32"/>
          <w:sz w:val="22"/>
          <w:szCs w:val="22"/>
        </w:rPr>
        <w:t xml:space="preserve"> percent</w:t>
      </w:r>
      <w:r w:rsidRPr="00D43E0A">
        <w:rPr>
          <w:rFonts w:ascii="Calibri" w:hAnsi="Calibri" w:cs="Calibri"/>
          <w:bCs/>
          <w:kern w:val="32"/>
          <w:sz w:val="22"/>
          <w:szCs w:val="22"/>
        </w:rPr>
        <w:t xml:space="preserve"> </w:t>
      </w:r>
      <w:r w:rsidR="00D621C7" w:rsidRPr="00D43E0A">
        <w:rPr>
          <w:rFonts w:ascii="Calibri" w:hAnsi="Calibri" w:cs="Calibri"/>
          <w:bCs/>
          <w:kern w:val="32"/>
          <w:sz w:val="22"/>
          <w:szCs w:val="22"/>
        </w:rPr>
        <w:t xml:space="preserve">of </w:t>
      </w:r>
      <w:r w:rsidRPr="00D43E0A">
        <w:rPr>
          <w:rFonts w:ascii="Calibri" w:hAnsi="Calibri" w:cs="Calibri"/>
          <w:bCs/>
          <w:kern w:val="32"/>
          <w:sz w:val="22"/>
          <w:szCs w:val="22"/>
        </w:rPr>
        <w:t xml:space="preserve">overnight hospitals and half of all day surgeries in Australia are APHA members. </w:t>
      </w:r>
    </w:p>
    <w:p w14:paraId="2A40E890" w14:textId="77777777" w:rsidR="004979DA" w:rsidRDefault="004979DA">
      <w:pPr>
        <w:spacing w:after="200" w:line="276" w:lineRule="auto"/>
        <w:rPr>
          <w:rFonts w:ascii="Calibri" w:hAnsi="Calibri" w:cs="Calibri"/>
          <w:bCs/>
          <w:kern w:val="32"/>
          <w:sz w:val="22"/>
          <w:szCs w:val="22"/>
        </w:rPr>
      </w:pPr>
      <w:r>
        <w:rPr>
          <w:rFonts w:ascii="Calibri" w:hAnsi="Calibri" w:cs="Calibri"/>
          <w:bCs/>
          <w:kern w:val="32"/>
          <w:sz w:val="22"/>
          <w:szCs w:val="22"/>
        </w:rPr>
        <w:br w:type="page"/>
      </w:r>
    </w:p>
    <w:p w14:paraId="0687674D" w14:textId="69FDBF2D" w:rsidR="00F74B51" w:rsidRDefault="00AA2F53" w:rsidP="00F74B51">
      <w:pPr>
        <w:pStyle w:val="Heading1"/>
      </w:pPr>
      <w:bookmarkStart w:id="2" w:name="_Ref460257217"/>
      <w:bookmarkStart w:id="3" w:name="_Toc532567952"/>
      <w:r>
        <w:t xml:space="preserve">The Private Health Insurance Rebate – </w:t>
      </w:r>
      <w:r w:rsidR="001F0367">
        <w:t>r</w:t>
      </w:r>
      <w:r>
        <w:t xml:space="preserve">elief for </w:t>
      </w:r>
      <w:r w:rsidR="001F0367">
        <w:t>l</w:t>
      </w:r>
      <w:r>
        <w:t xml:space="preserve">ow </w:t>
      </w:r>
      <w:r w:rsidR="001F0367">
        <w:t>i</w:t>
      </w:r>
      <w:r>
        <w:t xml:space="preserve">ncome </w:t>
      </w:r>
      <w:r w:rsidR="001F0367">
        <w:t>f</w:t>
      </w:r>
      <w:r>
        <w:t>amilies</w:t>
      </w:r>
      <w:bookmarkEnd w:id="3"/>
      <w:r w:rsidR="00F74B51">
        <w:t xml:space="preserve"> </w:t>
      </w:r>
    </w:p>
    <w:p w14:paraId="08B5E3A5" w14:textId="673C3743" w:rsidR="00CA1001" w:rsidRPr="00C36BD0" w:rsidRDefault="00CA1001" w:rsidP="00CA1001">
      <w:pPr>
        <w:pStyle w:val="Heading2"/>
        <w:rPr>
          <w:rFonts w:eastAsia="Calibri"/>
        </w:rPr>
      </w:pPr>
      <w:bookmarkStart w:id="4" w:name="_Toc532567953"/>
      <w:r>
        <w:rPr>
          <w:rFonts w:eastAsia="Calibri"/>
        </w:rPr>
        <w:t xml:space="preserve">Budget </w:t>
      </w:r>
      <w:r w:rsidR="001F0367">
        <w:rPr>
          <w:rFonts w:eastAsia="Calibri"/>
        </w:rPr>
        <w:t>p</w:t>
      </w:r>
      <w:r>
        <w:rPr>
          <w:rFonts w:eastAsia="Calibri"/>
        </w:rPr>
        <w:t>roposal</w:t>
      </w:r>
      <w:bookmarkEnd w:id="4"/>
    </w:p>
    <w:p w14:paraId="279F78EC" w14:textId="61825BAD" w:rsidR="001118D5" w:rsidRPr="00D43E0A" w:rsidRDefault="00CA1001" w:rsidP="001118D5">
      <w:pPr>
        <w:rPr>
          <w:rFonts w:ascii="Calibri" w:hAnsi="Calibri" w:cs="Calibri"/>
          <w:bCs/>
          <w:kern w:val="32"/>
          <w:sz w:val="22"/>
          <w:szCs w:val="22"/>
        </w:rPr>
      </w:pPr>
      <w:r>
        <w:rPr>
          <w:rFonts w:ascii="Calibri" w:hAnsi="Calibri" w:cs="Calibri"/>
          <w:bCs/>
          <w:kern w:val="32"/>
          <w:sz w:val="22"/>
          <w:szCs w:val="22"/>
        </w:rPr>
        <w:t xml:space="preserve">Freezing the rebate for Base Tier households would </w:t>
      </w:r>
      <w:r w:rsidR="001118D5">
        <w:rPr>
          <w:rFonts w:ascii="Calibri" w:hAnsi="Calibri" w:cs="Calibri"/>
          <w:bCs/>
          <w:kern w:val="32"/>
          <w:sz w:val="22"/>
          <w:szCs w:val="22"/>
        </w:rPr>
        <w:t xml:space="preserve">mean </w:t>
      </w:r>
      <w:r w:rsidR="005C4983">
        <w:rPr>
          <w:rFonts w:ascii="Calibri" w:hAnsi="Calibri" w:cs="Calibri"/>
          <w:bCs/>
          <w:kern w:val="32"/>
          <w:sz w:val="22"/>
          <w:szCs w:val="22"/>
        </w:rPr>
        <w:t>low-income</w:t>
      </w:r>
      <w:r w:rsidR="001118D5">
        <w:rPr>
          <w:rFonts w:ascii="Calibri" w:hAnsi="Calibri" w:cs="Calibri"/>
          <w:bCs/>
          <w:kern w:val="32"/>
          <w:sz w:val="22"/>
          <w:szCs w:val="22"/>
        </w:rPr>
        <w:t xml:space="preserve"> households are no longer subjected to a regressive and inequitable anomaly in current policy settings which directly impact affordability of health insurance. The cost of health insurance for these families would increase by no more than the premium increases approved by the Federal Government.</w:t>
      </w:r>
    </w:p>
    <w:p w14:paraId="2D213754" w14:textId="77777777" w:rsidR="00CA1001" w:rsidRPr="00CA1001" w:rsidRDefault="00CA1001" w:rsidP="00CA1001">
      <w:pPr>
        <w:pStyle w:val="Heading2"/>
        <w:rPr>
          <w:rFonts w:eastAsia="Calibri"/>
        </w:rPr>
      </w:pPr>
      <w:bookmarkStart w:id="5" w:name="_Toc532567954"/>
      <w:r w:rsidRPr="00CA1001">
        <w:rPr>
          <w:rFonts w:eastAsia="Calibri"/>
        </w:rPr>
        <w:t>Rationale</w:t>
      </w:r>
      <w:bookmarkEnd w:id="5"/>
    </w:p>
    <w:p w14:paraId="7B76E8E5" w14:textId="1D93587E" w:rsidR="00F74B51" w:rsidRDefault="00F74B51" w:rsidP="00073DD7">
      <w:pPr>
        <w:rPr>
          <w:rFonts w:ascii="Calibri" w:hAnsi="Calibri" w:cs="Calibri"/>
          <w:bCs/>
          <w:kern w:val="32"/>
          <w:sz w:val="22"/>
          <w:szCs w:val="22"/>
        </w:rPr>
      </w:pPr>
      <w:r w:rsidRPr="00D43E0A">
        <w:rPr>
          <w:rFonts w:ascii="Calibri" w:hAnsi="Calibri" w:cs="Calibri"/>
          <w:bCs/>
          <w:kern w:val="32"/>
          <w:sz w:val="22"/>
          <w:szCs w:val="22"/>
        </w:rPr>
        <w:t xml:space="preserve">The increasing costs of health insurance premiums mean fewer Australians are retaining their cover, and </w:t>
      </w:r>
      <w:r w:rsidR="001118D5">
        <w:rPr>
          <w:rFonts w:ascii="Calibri" w:hAnsi="Calibri" w:cs="Calibri"/>
          <w:bCs/>
          <w:kern w:val="32"/>
          <w:sz w:val="22"/>
          <w:szCs w:val="22"/>
        </w:rPr>
        <w:t xml:space="preserve">those who retain insurance are </w:t>
      </w:r>
      <w:r w:rsidRPr="00D43E0A">
        <w:rPr>
          <w:rFonts w:ascii="Calibri" w:hAnsi="Calibri" w:cs="Calibri"/>
          <w:bCs/>
          <w:kern w:val="32"/>
          <w:sz w:val="22"/>
          <w:szCs w:val="22"/>
        </w:rPr>
        <w:t>reducing their level of cover. Recent quarters have seen a net decrease in the number of people covered by health insurance</w:t>
      </w:r>
      <w:r w:rsidR="001118D5">
        <w:rPr>
          <w:rFonts w:ascii="Calibri" w:hAnsi="Calibri" w:cs="Calibri"/>
          <w:bCs/>
          <w:kern w:val="32"/>
          <w:sz w:val="22"/>
          <w:szCs w:val="22"/>
        </w:rPr>
        <w:t xml:space="preserve"> coupled with an increase in exclusionary policies.</w:t>
      </w:r>
    </w:p>
    <w:p w14:paraId="5C6755AE" w14:textId="2C262520" w:rsidR="00E50410" w:rsidRDefault="00E50410" w:rsidP="00E50410">
      <w:pPr>
        <w:rPr>
          <w:rFonts w:ascii="Calibri" w:hAnsi="Calibri" w:cs="Calibri"/>
          <w:bCs/>
          <w:kern w:val="32"/>
          <w:sz w:val="22"/>
          <w:szCs w:val="22"/>
        </w:rPr>
      </w:pPr>
      <w:r>
        <w:rPr>
          <w:rFonts w:ascii="Calibri" w:hAnsi="Calibri" w:cs="Calibri"/>
          <w:bCs/>
          <w:kern w:val="32"/>
          <w:sz w:val="22"/>
          <w:szCs w:val="22"/>
        </w:rPr>
        <w:t>Although the Federal Government succeeded in 2018 in delivering the lowest private health insurance premium in 17 years with an average weighted premium increase of 3.95</w:t>
      </w:r>
      <w:r w:rsidR="00833C18">
        <w:rPr>
          <w:rFonts w:ascii="Calibri" w:hAnsi="Calibri" w:cs="Calibri"/>
          <w:bCs/>
          <w:kern w:val="32"/>
          <w:sz w:val="22"/>
          <w:szCs w:val="22"/>
        </w:rPr>
        <w:t xml:space="preserve"> percent</w:t>
      </w:r>
      <w:r>
        <w:rPr>
          <w:rFonts w:ascii="Calibri" w:hAnsi="Calibri" w:cs="Calibri"/>
          <w:bCs/>
          <w:kern w:val="32"/>
          <w:sz w:val="22"/>
          <w:szCs w:val="22"/>
        </w:rPr>
        <w:t>, this achievement was not enough to turn the tide of people dropping private health insurance</w:t>
      </w:r>
      <w:r w:rsidR="00CA1001">
        <w:rPr>
          <w:rFonts w:ascii="Calibri" w:hAnsi="Calibri" w:cs="Calibri"/>
          <w:bCs/>
          <w:kern w:val="32"/>
          <w:sz w:val="22"/>
          <w:szCs w:val="22"/>
        </w:rPr>
        <w:t xml:space="preserve">. </w:t>
      </w:r>
    </w:p>
    <w:p w14:paraId="7E6244FB" w14:textId="16415D63" w:rsidR="0030242F" w:rsidRPr="00D43E0A" w:rsidRDefault="0030242F" w:rsidP="0030242F">
      <w:pPr>
        <w:rPr>
          <w:rFonts w:ascii="Calibri" w:hAnsi="Calibri" w:cs="Calibri"/>
          <w:bCs/>
          <w:kern w:val="32"/>
          <w:sz w:val="22"/>
          <w:szCs w:val="22"/>
        </w:rPr>
      </w:pPr>
      <w:r w:rsidRPr="00D43E0A">
        <w:rPr>
          <w:rFonts w:ascii="Calibri" w:hAnsi="Calibri" w:cs="Calibri"/>
          <w:bCs/>
          <w:kern w:val="32"/>
          <w:sz w:val="22"/>
          <w:szCs w:val="22"/>
        </w:rPr>
        <w:t xml:space="preserve">The percentage of the Australian population with private health insurance hospital cover has declined from a long-term plateau of around 47 percent to just </w:t>
      </w:r>
      <w:r>
        <w:rPr>
          <w:rFonts w:ascii="Calibri" w:hAnsi="Calibri" w:cs="Calibri"/>
          <w:bCs/>
          <w:kern w:val="32"/>
          <w:sz w:val="22"/>
          <w:szCs w:val="22"/>
        </w:rPr>
        <w:t>44.9</w:t>
      </w:r>
      <w:r w:rsidRPr="00D43E0A">
        <w:rPr>
          <w:rFonts w:ascii="Calibri" w:hAnsi="Calibri" w:cs="Calibri"/>
          <w:bCs/>
          <w:kern w:val="32"/>
          <w:sz w:val="22"/>
          <w:szCs w:val="22"/>
        </w:rPr>
        <w:t xml:space="preserve"> percent as at 30 </w:t>
      </w:r>
      <w:r>
        <w:rPr>
          <w:rFonts w:ascii="Calibri" w:hAnsi="Calibri" w:cs="Calibri"/>
          <w:bCs/>
          <w:kern w:val="32"/>
          <w:sz w:val="22"/>
          <w:szCs w:val="22"/>
        </w:rPr>
        <w:t>September</w:t>
      </w:r>
      <w:r w:rsidRPr="00D43E0A">
        <w:rPr>
          <w:rFonts w:ascii="Calibri" w:hAnsi="Calibri" w:cs="Calibri"/>
          <w:bCs/>
          <w:kern w:val="32"/>
          <w:sz w:val="22"/>
          <w:szCs w:val="22"/>
        </w:rPr>
        <w:t xml:space="preserve"> 2018.</w:t>
      </w:r>
      <w:r>
        <w:rPr>
          <w:rFonts w:ascii="Calibri" w:hAnsi="Calibri" w:cs="Calibri"/>
          <w:bCs/>
          <w:kern w:val="32"/>
          <w:sz w:val="22"/>
          <w:szCs w:val="22"/>
        </w:rPr>
        <w:t xml:space="preserve"> T</w:t>
      </w:r>
      <w:r w:rsidRPr="00D43E0A">
        <w:rPr>
          <w:rFonts w:ascii="Calibri" w:hAnsi="Calibri" w:cs="Calibri"/>
          <w:bCs/>
          <w:kern w:val="32"/>
          <w:sz w:val="22"/>
          <w:szCs w:val="22"/>
        </w:rPr>
        <w:t>he June 2018 quarter saw the largest quarterly decline in the number of people with private health insurance in over a decade; a net loss of 57,512 people</w:t>
      </w:r>
      <w:r>
        <w:rPr>
          <w:rFonts w:ascii="Calibri" w:hAnsi="Calibri" w:cs="Calibri"/>
          <w:bCs/>
          <w:kern w:val="32"/>
          <w:sz w:val="22"/>
          <w:szCs w:val="22"/>
        </w:rPr>
        <w:t>. In September 2018, there was a further net loss of 5,256 people with hospital cover insurance.</w:t>
      </w:r>
    </w:p>
    <w:p w14:paraId="5BAF8B7A" w14:textId="541F0188" w:rsidR="0030242F" w:rsidRPr="00D43E0A" w:rsidRDefault="0030242F" w:rsidP="0030242F">
      <w:pPr>
        <w:rPr>
          <w:rFonts w:ascii="Calibri" w:hAnsi="Calibri" w:cs="Calibri"/>
          <w:bCs/>
          <w:kern w:val="32"/>
          <w:sz w:val="22"/>
          <w:szCs w:val="22"/>
        </w:rPr>
      </w:pPr>
      <w:r>
        <w:rPr>
          <w:noProof/>
          <w:lang w:eastAsia="en-AU"/>
        </w:rPr>
        <w:drawing>
          <wp:inline distT="0" distB="0" distL="0" distR="0" wp14:anchorId="448AAE80" wp14:editId="63145553">
            <wp:extent cx="5340485" cy="2791839"/>
            <wp:effectExtent l="0" t="0" r="12700"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233D19" w14:textId="112BFFEB" w:rsidR="0030242F" w:rsidRDefault="00D576C5" w:rsidP="00E50410">
      <w:pPr>
        <w:rPr>
          <w:rFonts w:ascii="Calibri" w:hAnsi="Calibri" w:cs="Calibri"/>
          <w:bCs/>
          <w:kern w:val="32"/>
          <w:sz w:val="22"/>
          <w:szCs w:val="22"/>
        </w:rPr>
      </w:pPr>
      <w:r>
        <w:rPr>
          <w:rFonts w:ascii="Calibri" w:hAnsi="Calibri" w:cs="Calibri"/>
          <w:bCs/>
          <w:kern w:val="32"/>
          <w:sz w:val="22"/>
          <w:szCs w:val="22"/>
        </w:rPr>
        <w:t>Source:  APRA Private Health Insurance Statistics, multiple years.</w:t>
      </w:r>
    </w:p>
    <w:p w14:paraId="4F9C7A5D" w14:textId="7C145E00" w:rsidR="00F74B51" w:rsidRPr="00D43E0A" w:rsidRDefault="00DB1D0D" w:rsidP="00073DD7">
      <w:pPr>
        <w:rPr>
          <w:rFonts w:ascii="Calibri" w:hAnsi="Calibri" w:cs="Calibri"/>
          <w:bCs/>
          <w:kern w:val="32"/>
          <w:sz w:val="22"/>
          <w:szCs w:val="22"/>
        </w:rPr>
      </w:pPr>
      <w:r w:rsidRPr="00D43E0A">
        <w:rPr>
          <w:rFonts w:ascii="Calibri" w:hAnsi="Calibri" w:cs="Calibri"/>
          <w:bCs/>
          <w:kern w:val="32"/>
          <w:sz w:val="22"/>
          <w:szCs w:val="22"/>
        </w:rPr>
        <w:t>The</w:t>
      </w:r>
      <w:r w:rsidR="006146BD" w:rsidRPr="00D43E0A">
        <w:rPr>
          <w:rFonts w:ascii="Calibri" w:hAnsi="Calibri" w:cs="Calibri"/>
          <w:bCs/>
          <w:kern w:val="32"/>
          <w:sz w:val="22"/>
          <w:szCs w:val="22"/>
        </w:rPr>
        <w:t xml:space="preserve"> indexation of the private health insurance rebate to the Consumer Price Index</w:t>
      </w:r>
      <w:r w:rsidR="001118D5">
        <w:rPr>
          <w:rFonts w:ascii="Calibri" w:hAnsi="Calibri" w:cs="Calibri"/>
          <w:bCs/>
          <w:kern w:val="32"/>
          <w:sz w:val="22"/>
          <w:szCs w:val="22"/>
        </w:rPr>
        <w:t>, as opposed to the actual cost of premiums,</w:t>
      </w:r>
      <w:r w:rsidR="006146BD" w:rsidRPr="00D43E0A">
        <w:rPr>
          <w:rFonts w:ascii="Calibri" w:hAnsi="Calibri" w:cs="Calibri"/>
          <w:bCs/>
          <w:kern w:val="32"/>
          <w:sz w:val="22"/>
          <w:szCs w:val="22"/>
        </w:rPr>
        <w:t xml:space="preserve"> has meant the real value of the rebate for households on low incomes has reduced from 30</w:t>
      </w:r>
      <w:r w:rsidR="00833C18">
        <w:rPr>
          <w:rFonts w:ascii="Calibri" w:hAnsi="Calibri" w:cs="Calibri"/>
          <w:bCs/>
          <w:kern w:val="32"/>
          <w:sz w:val="22"/>
          <w:szCs w:val="22"/>
        </w:rPr>
        <w:t xml:space="preserve"> percent</w:t>
      </w:r>
      <w:r w:rsidR="006146BD" w:rsidRPr="00D43E0A">
        <w:rPr>
          <w:rFonts w:ascii="Calibri" w:hAnsi="Calibri" w:cs="Calibri"/>
          <w:bCs/>
          <w:kern w:val="32"/>
          <w:sz w:val="22"/>
          <w:szCs w:val="22"/>
        </w:rPr>
        <w:t xml:space="preserve"> to only 25</w:t>
      </w:r>
      <w:r w:rsidR="00833C18">
        <w:rPr>
          <w:rFonts w:ascii="Calibri" w:hAnsi="Calibri" w:cs="Calibri"/>
          <w:bCs/>
          <w:kern w:val="32"/>
          <w:sz w:val="22"/>
          <w:szCs w:val="22"/>
        </w:rPr>
        <w:t xml:space="preserve"> percent</w:t>
      </w:r>
      <w:r w:rsidR="006146BD" w:rsidRPr="00D43E0A">
        <w:rPr>
          <w:rFonts w:ascii="Calibri" w:hAnsi="Calibri" w:cs="Calibri"/>
          <w:bCs/>
          <w:kern w:val="32"/>
          <w:sz w:val="22"/>
          <w:szCs w:val="22"/>
        </w:rPr>
        <w:t xml:space="preserve"> as premium increases have continued to exceed general inflation</w:t>
      </w:r>
      <w:r w:rsidR="00CA1001">
        <w:rPr>
          <w:rFonts w:ascii="Calibri" w:hAnsi="Calibri" w:cs="Calibri"/>
          <w:bCs/>
          <w:kern w:val="32"/>
          <w:sz w:val="22"/>
          <w:szCs w:val="22"/>
        </w:rPr>
        <w:t xml:space="preserve">. </w:t>
      </w:r>
    </w:p>
    <w:p w14:paraId="410F2AD6" w14:textId="6FED654F" w:rsidR="00F74B51" w:rsidRPr="00C36BD0" w:rsidRDefault="00F74B51" w:rsidP="00073DD7">
      <w:pPr>
        <w:pStyle w:val="Heading2"/>
        <w:rPr>
          <w:rFonts w:eastAsia="Calibri"/>
        </w:rPr>
      </w:pPr>
      <w:bookmarkStart w:id="6" w:name="_Toc532567955"/>
      <w:r w:rsidRPr="00C36BD0">
        <w:rPr>
          <w:rFonts w:eastAsia="Calibri"/>
        </w:rPr>
        <w:t xml:space="preserve">What this means for Australian </w:t>
      </w:r>
      <w:r w:rsidR="004937AD">
        <w:rPr>
          <w:rFonts w:eastAsia="Calibri"/>
        </w:rPr>
        <w:t>c</w:t>
      </w:r>
      <w:r w:rsidRPr="00C36BD0">
        <w:rPr>
          <w:rFonts w:eastAsia="Calibri"/>
        </w:rPr>
        <w:t>onsumers</w:t>
      </w:r>
      <w:bookmarkEnd w:id="6"/>
    </w:p>
    <w:p w14:paraId="483A5F78" w14:textId="72C2EF85" w:rsidR="00FB4053" w:rsidRPr="00D43E0A" w:rsidRDefault="00FB4053" w:rsidP="00073DD7">
      <w:pPr>
        <w:rPr>
          <w:rFonts w:ascii="Calibri" w:hAnsi="Calibri" w:cs="Calibri"/>
          <w:bCs/>
          <w:kern w:val="32"/>
          <w:sz w:val="22"/>
          <w:szCs w:val="22"/>
        </w:rPr>
      </w:pPr>
      <w:r w:rsidRPr="00D43E0A">
        <w:rPr>
          <w:rFonts w:ascii="Calibri" w:hAnsi="Calibri" w:cs="Calibri"/>
          <w:bCs/>
          <w:kern w:val="32"/>
          <w:sz w:val="22"/>
          <w:szCs w:val="22"/>
        </w:rPr>
        <w:t xml:space="preserve">Falling participation in private health insurance and increasing utilisation by those </w:t>
      </w:r>
      <w:r w:rsidR="001B5D06" w:rsidRPr="00D43E0A">
        <w:rPr>
          <w:rFonts w:ascii="Calibri" w:hAnsi="Calibri" w:cs="Calibri"/>
          <w:bCs/>
          <w:kern w:val="32"/>
          <w:sz w:val="22"/>
          <w:szCs w:val="22"/>
        </w:rPr>
        <w:t xml:space="preserve">who </w:t>
      </w:r>
      <w:r w:rsidRPr="00D43E0A">
        <w:rPr>
          <w:rFonts w:ascii="Calibri" w:hAnsi="Calibri" w:cs="Calibri"/>
          <w:bCs/>
          <w:kern w:val="32"/>
          <w:sz w:val="22"/>
          <w:szCs w:val="22"/>
        </w:rPr>
        <w:t xml:space="preserve">retain cover </w:t>
      </w:r>
      <w:r w:rsidR="00DF1449" w:rsidRPr="00D43E0A">
        <w:rPr>
          <w:rFonts w:ascii="Calibri" w:hAnsi="Calibri" w:cs="Calibri"/>
          <w:bCs/>
          <w:kern w:val="32"/>
          <w:sz w:val="22"/>
          <w:szCs w:val="22"/>
        </w:rPr>
        <w:t>is putting</w:t>
      </w:r>
      <w:r w:rsidRPr="00D43E0A">
        <w:rPr>
          <w:rFonts w:ascii="Calibri" w:hAnsi="Calibri" w:cs="Calibri"/>
          <w:bCs/>
          <w:kern w:val="32"/>
          <w:sz w:val="22"/>
          <w:szCs w:val="22"/>
        </w:rPr>
        <w:t xml:space="preserve"> upwards pressure on premiums</w:t>
      </w:r>
      <w:r w:rsidR="001B5D06" w:rsidRPr="00D43E0A">
        <w:rPr>
          <w:rFonts w:ascii="Calibri" w:hAnsi="Calibri" w:cs="Calibri"/>
          <w:bCs/>
          <w:kern w:val="32"/>
          <w:sz w:val="22"/>
          <w:szCs w:val="22"/>
        </w:rPr>
        <w:t>,</w:t>
      </w:r>
      <w:r w:rsidRPr="00D43E0A">
        <w:rPr>
          <w:rFonts w:ascii="Calibri" w:hAnsi="Calibri" w:cs="Calibri"/>
          <w:bCs/>
          <w:kern w:val="32"/>
          <w:sz w:val="22"/>
          <w:szCs w:val="22"/>
        </w:rPr>
        <w:t xml:space="preserve"> further driving a negative spiral</w:t>
      </w:r>
      <w:r w:rsidR="00DB1D0D" w:rsidRPr="00D43E0A">
        <w:rPr>
          <w:rFonts w:ascii="Calibri" w:hAnsi="Calibri" w:cs="Calibri"/>
          <w:bCs/>
          <w:kern w:val="32"/>
          <w:sz w:val="22"/>
          <w:szCs w:val="22"/>
        </w:rPr>
        <w:t xml:space="preserve"> of falling participation and increasing premiums.</w:t>
      </w:r>
    </w:p>
    <w:p w14:paraId="4B715EE3" w14:textId="45066F6F" w:rsidR="00F74B51" w:rsidRPr="00D43E0A" w:rsidRDefault="00F74B51" w:rsidP="00073DD7">
      <w:pPr>
        <w:rPr>
          <w:rFonts w:ascii="Calibri" w:hAnsi="Calibri" w:cs="Calibri"/>
          <w:bCs/>
          <w:kern w:val="32"/>
          <w:sz w:val="22"/>
          <w:szCs w:val="22"/>
        </w:rPr>
      </w:pPr>
      <w:r w:rsidRPr="00D43E0A">
        <w:rPr>
          <w:rFonts w:ascii="Calibri" w:hAnsi="Calibri" w:cs="Calibri"/>
          <w:bCs/>
          <w:kern w:val="32"/>
          <w:sz w:val="22"/>
          <w:szCs w:val="22"/>
        </w:rPr>
        <w:t>If more Australians drop cover or choose exclusions in their cover it will mean more pressure on the public system and impact overall healthcare outcomes when consumers choose to or are forced to, delay important treatments.</w:t>
      </w:r>
    </w:p>
    <w:p w14:paraId="14DC50BA" w14:textId="347B7421" w:rsidR="00DB1D0D" w:rsidRDefault="00DB1D0D" w:rsidP="00073DD7">
      <w:pPr>
        <w:rPr>
          <w:rFonts w:ascii="Calibri" w:hAnsi="Calibri" w:cs="Calibri"/>
          <w:bCs/>
          <w:kern w:val="32"/>
          <w:sz w:val="22"/>
          <w:szCs w:val="22"/>
        </w:rPr>
      </w:pPr>
      <w:r w:rsidRPr="00D43E0A">
        <w:rPr>
          <w:rFonts w:ascii="Calibri" w:hAnsi="Calibri" w:cs="Calibri"/>
          <w:bCs/>
          <w:kern w:val="32"/>
          <w:sz w:val="22"/>
          <w:szCs w:val="22"/>
        </w:rPr>
        <w:t>Households on low incomes face a ‘double whammy’ of increased premiums and reduced rebates</w:t>
      </w:r>
      <w:r w:rsidR="00CA1001">
        <w:rPr>
          <w:rFonts w:ascii="Calibri" w:hAnsi="Calibri" w:cs="Calibri"/>
          <w:bCs/>
          <w:kern w:val="32"/>
          <w:sz w:val="22"/>
          <w:szCs w:val="22"/>
        </w:rPr>
        <w:t xml:space="preserve">. </w:t>
      </w:r>
      <w:r w:rsidR="003A37CC">
        <w:rPr>
          <w:rFonts w:ascii="Calibri" w:hAnsi="Calibri" w:cs="Calibri"/>
          <w:bCs/>
          <w:kern w:val="32"/>
          <w:sz w:val="22"/>
          <w:szCs w:val="22"/>
        </w:rPr>
        <w:t>When premiums increased by an average of 3.95</w:t>
      </w:r>
      <w:r w:rsidR="00833C18">
        <w:rPr>
          <w:rFonts w:ascii="Calibri" w:hAnsi="Calibri" w:cs="Calibri"/>
          <w:bCs/>
          <w:kern w:val="32"/>
          <w:sz w:val="22"/>
          <w:szCs w:val="22"/>
        </w:rPr>
        <w:t xml:space="preserve"> percent</w:t>
      </w:r>
      <w:r w:rsidR="003A37CC">
        <w:rPr>
          <w:rFonts w:ascii="Calibri" w:hAnsi="Calibri" w:cs="Calibri"/>
          <w:bCs/>
          <w:kern w:val="32"/>
          <w:sz w:val="22"/>
          <w:szCs w:val="22"/>
        </w:rPr>
        <w:t>, these households experienced an increase of 5.06</w:t>
      </w:r>
      <w:r w:rsidR="00833C18">
        <w:rPr>
          <w:rFonts w:ascii="Calibri" w:hAnsi="Calibri" w:cs="Calibri"/>
          <w:bCs/>
          <w:kern w:val="32"/>
          <w:sz w:val="22"/>
          <w:szCs w:val="22"/>
        </w:rPr>
        <w:t xml:space="preserve"> percent</w:t>
      </w:r>
      <w:r w:rsidR="003A37CC">
        <w:rPr>
          <w:rFonts w:ascii="Calibri" w:hAnsi="Calibri" w:cs="Calibri"/>
          <w:bCs/>
          <w:kern w:val="32"/>
          <w:sz w:val="22"/>
          <w:szCs w:val="22"/>
        </w:rPr>
        <w:t>.</w:t>
      </w:r>
    </w:p>
    <w:p w14:paraId="14F71491" w14:textId="6CECDEEC" w:rsidR="0080781C" w:rsidRPr="00D43E0A" w:rsidRDefault="00E50410" w:rsidP="0080781C">
      <w:pPr>
        <w:rPr>
          <w:rFonts w:ascii="Calibri" w:hAnsi="Calibri" w:cs="Calibri"/>
          <w:bCs/>
          <w:kern w:val="32"/>
          <w:sz w:val="22"/>
          <w:szCs w:val="22"/>
        </w:rPr>
      </w:pPr>
      <w:r w:rsidRPr="00D43E0A">
        <w:rPr>
          <w:rFonts w:ascii="Calibri" w:hAnsi="Calibri" w:cs="Calibri"/>
          <w:bCs/>
          <w:kern w:val="32"/>
          <w:sz w:val="22"/>
          <w:szCs w:val="22"/>
        </w:rPr>
        <w:t>In 2017</w:t>
      </w:r>
      <w:r>
        <w:rPr>
          <w:rFonts w:ascii="Calibri" w:hAnsi="Calibri" w:cs="Calibri"/>
          <w:bCs/>
          <w:kern w:val="32"/>
          <w:sz w:val="22"/>
          <w:szCs w:val="22"/>
        </w:rPr>
        <w:t>–</w:t>
      </w:r>
      <w:r w:rsidRPr="00D43E0A">
        <w:rPr>
          <w:rFonts w:ascii="Calibri" w:hAnsi="Calibri" w:cs="Calibri"/>
          <w:bCs/>
          <w:kern w:val="32"/>
          <w:sz w:val="22"/>
          <w:szCs w:val="22"/>
        </w:rPr>
        <w:t>18 the full private health insurance rebate was restricted to single households with incomes of $90,000 or less and families with incomes of $180,000 or less (not including additional allowances for dependent children). For these lowest</w:t>
      </w:r>
      <w:r>
        <w:rPr>
          <w:rFonts w:ascii="Calibri" w:hAnsi="Calibri" w:cs="Calibri"/>
          <w:bCs/>
          <w:kern w:val="32"/>
          <w:sz w:val="22"/>
          <w:szCs w:val="22"/>
        </w:rPr>
        <w:t>-</w:t>
      </w:r>
      <w:r w:rsidRPr="00D43E0A">
        <w:rPr>
          <w:rFonts w:ascii="Calibri" w:hAnsi="Calibri" w:cs="Calibri"/>
          <w:bCs/>
          <w:kern w:val="32"/>
          <w:sz w:val="22"/>
          <w:szCs w:val="22"/>
        </w:rPr>
        <w:t>income households</w:t>
      </w:r>
      <w:r>
        <w:rPr>
          <w:rFonts w:ascii="Calibri" w:hAnsi="Calibri" w:cs="Calibri"/>
          <w:bCs/>
          <w:kern w:val="32"/>
          <w:sz w:val="22"/>
          <w:szCs w:val="22"/>
        </w:rPr>
        <w:t>,</w:t>
      </w:r>
      <w:r w:rsidRPr="00D43E0A">
        <w:rPr>
          <w:rFonts w:ascii="Calibri" w:hAnsi="Calibri" w:cs="Calibri"/>
          <w:bCs/>
          <w:kern w:val="32"/>
          <w:sz w:val="22"/>
          <w:szCs w:val="22"/>
        </w:rPr>
        <w:t xml:space="preserve"> the maximum rebate for people under the age of 65 has decreased from 30 percent in 2013</w:t>
      </w:r>
      <w:r>
        <w:rPr>
          <w:rFonts w:ascii="Calibri" w:hAnsi="Calibri" w:cs="Calibri"/>
          <w:bCs/>
          <w:kern w:val="32"/>
          <w:sz w:val="22"/>
          <w:szCs w:val="22"/>
        </w:rPr>
        <w:t>–</w:t>
      </w:r>
      <w:r w:rsidRPr="00D43E0A">
        <w:rPr>
          <w:rFonts w:ascii="Calibri" w:hAnsi="Calibri" w:cs="Calibri"/>
          <w:bCs/>
          <w:kern w:val="32"/>
          <w:sz w:val="22"/>
          <w:szCs w:val="22"/>
        </w:rPr>
        <w:t xml:space="preserve">14 to just </w:t>
      </w:r>
      <w:r>
        <w:rPr>
          <w:rFonts w:ascii="Calibri" w:hAnsi="Calibri" w:cs="Calibri"/>
          <w:bCs/>
          <w:kern w:val="32"/>
          <w:sz w:val="22"/>
          <w:szCs w:val="22"/>
        </w:rPr>
        <w:t>25.145</w:t>
      </w:r>
      <w:r w:rsidRPr="00D43E0A">
        <w:rPr>
          <w:rFonts w:ascii="Calibri" w:hAnsi="Calibri" w:cs="Calibri"/>
          <w:bCs/>
          <w:kern w:val="32"/>
          <w:sz w:val="22"/>
          <w:szCs w:val="22"/>
        </w:rPr>
        <w:t xml:space="preserve"> percent in </w:t>
      </w:r>
      <w:r>
        <w:rPr>
          <w:rFonts w:ascii="Calibri" w:hAnsi="Calibri" w:cs="Calibri"/>
          <w:bCs/>
          <w:kern w:val="32"/>
          <w:sz w:val="22"/>
          <w:szCs w:val="22"/>
        </w:rPr>
        <w:t>2018–19</w:t>
      </w:r>
      <w:r w:rsidRPr="00D43E0A">
        <w:rPr>
          <w:rFonts w:ascii="Calibri" w:hAnsi="Calibri" w:cs="Calibri"/>
          <w:bCs/>
          <w:kern w:val="32"/>
          <w:sz w:val="22"/>
          <w:szCs w:val="22"/>
        </w:rPr>
        <w:t>.</w:t>
      </w:r>
      <w:r w:rsidR="0080781C">
        <w:rPr>
          <w:rFonts w:ascii="Calibri" w:hAnsi="Calibri" w:cs="Calibri"/>
          <w:bCs/>
          <w:kern w:val="32"/>
          <w:sz w:val="22"/>
          <w:szCs w:val="22"/>
        </w:rPr>
        <w:t xml:space="preserve"> For people on low incomes aged 65-69 the value of the rebate has fallen from 35</w:t>
      </w:r>
      <w:r w:rsidR="00833C18">
        <w:rPr>
          <w:rFonts w:ascii="Calibri" w:hAnsi="Calibri" w:cs="Calibri"/>
          <w:bCs/>
          <w:kern w:val="32"/>
          <w:sz w:val="22"/>
          <w:szCs w:val="22"/>
        </w:rPr>
        <w:t xml:space="preserve"> percent</w:t>
      </w:r>
      <w:r w:rsidR="0080781C">
        <w:rPr>
          <w:rFonts w:ascii="Calibri" w:hAnsi="Calibri" w:cs="Calibri"/>
          <w:bCs/>
          <w:kern w:val="32"/>
          <w:sz w:val="22"/>
          <w:szCs w:val="22"/>
        </w:rPr>
        <w:t xml:space="preserve"> to 29.651</w:t>
      </w:r>
      <w:r w:rsidR="00833C18">
        <w:rPr>
          <w:rFonts w:ascii="Calibri" w:hAnsi="Calibri" w:cs="Calibri"/>
          <w:bCs/>
          <w:kern w:val="32"/>
          <w:sz w:val="22"/>
          <w:szCs w:val="22"/>
        </w:rPr>
        <w:t xml:space="preserve"> percent</w:t>
      </w:r>
      <w:r w:rsidR="0080781C">
        <w:rPr>
          <w:rFonts w:ascii="Calibri" w:hAnsi="Calibri" w:cs="Calibri"/>
          <w:bCs/>
          <w:kern w:val="32"/>
          <w:sz w:val="22"/>
          <w:szCs w:val="22"/>
        </w:rPr>
        <w:t xml:space="preserve"> and for those aged 70 and over the rebate has reduced from 40</w:t>
      </w:r>
      <w:r w:rsidR="00833C18">
        <w:rPr>
          <w:rFonts w:ascii="Calibri" w:hAnsi="Calibri" w:cs="Calibri"/>
          <w:bCs/>
          <w:kern w:val="32"/>
          <w:sz w:val="22"/>
          <w:szCs w:val="22"/>
        </w:rPr>
        <w:t xml:space="preserve"> percent</w:t>
      </w:r>
      <w:r w:rsidR="0080781C">
        <w:rPr>
          <w:rFonts w:ascii="Calibri" w:hAnsi="Calibri" w:cs="Calibri"/>
          <w:bCs/>
          <w:kern w:val="32"/>
          <w:sz w:val="22"/>
          <w:szCs w:val="22"/>
        </w:rPr>
        <w:t xml:space="preserve"> to 33.887</w:t>
      </w:r>
      <w:r w:rsidR="00833C18">
        <w:rPr>
          <w:rFonts w:ascii="Calibri" w:hAnsi="Calibri" w:cs="Calibri"/>
          <w:bCs/>
          <w:kern w:val="32"/>
          <w:sz w:val="22"/>
          <w:szCs w:val="22"/>
        </w:rPr>
        <w:t xml:space="preserve"> percent</w:t>
      </w:r>
      <w:r w:rsidR="0080781C">
        <w:rPr>
          <w:rFonts w:ascii="Calibri" w:hAnsi="Calibri" w:cs="Calibri"/>
          <w:bCs/>
          <w:kern w:val="32"/>
          <w:sz w:val="22"/>
          <w:szCs w:val="22"/>
        </w:rPr>
        <w:t>.</w:t>
      </w:r>
    </w:p>
    <w:p w14:paraId="32A62039" w14:textId="77777777" w:rsidR="00E50410" w:rsidRPr="00D43E0A" w:rsidRDefault="00E50410" w:rsidP="00E50410">
      <w:pPr>
        <w:spacing w:after="0"/>
        <w:rPr>
          <w:rFonts w:asciiTheme="minorHAnsi" w:hAnsiTheme="minorHAnsi" w:cstheme="minorHAnsi"/>
          <w:sz w:val="22"/>
          <w:szCs w:val="22"/>
        </w:rPr>
      </w:pPr>
      <w:r w:rsidRPr="00D43E0A">
        <w:rPr>
          <w:rFonts w:asciiTheme="minorHAnsi" w:hAnsiTheme="minorHAnsi" w:cstheme="minorHAnsi"/>
          <w:b/>
          <w:sz w:val="22"/>
          <w:szCs w:val="22"/>
        </w:rPr>
        <w:t>Impact of Premium Increases and Rebate Reductions on Base Tier Households</w:t>
      </w:r>
    </w:p>
    <w:tbl>
      <w:tblPr>
        <w:tblW w:w="7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957"/>
        <w:gridCol w:w="1429"/>
        <w:gridCol w:w="1440"/>
        <w:gridCol w:w="1259"/>
        <w:gridCol w:w="1503"/>
      </w:tblGrid>
      <w:tr w:rsidR="00E50410" w:rsidRPr="004A5B63" w14:paraId="020AC4F1" w14:textId="77777777" w:rsidTr="00ED3CBA">
        <w:trPr>
          <w:trHeight w:val="315"/>
        </w:trPr>
        <w:tc>
          <w:tcPr>
            <w:tcW w:w="1234" w:type="dxa"/>
            <w:shd w:val="clear" w:color="auto" w:fill="auto"/>
          </w:tcPr>
          <w:p w14:paraId="2A2EEAD9" w14:textId="77777777" w:rsidR="00E50410" w:rsidRPr="004A5B63" w:rsidRDefault="00E50410" w:rsidP="00ED3CBA">
            <w:pPr>
              <w:spacing w:after="0"/>
              <w:jc w:val="center"/>
              <w:rPr>
                <w:rFonts w:asciiTheme="minorHAnsi" w:hAnsiTheme="minorHAnsi" w:cstheme="minorHAnsi"/>
                <w:b/>
                <w:color w:val="000000"/>
                <w:szCs w:val="20"/>
                <w:lang w:eastAsia="en-AU"/>
              </w:rPr>
            </w:pPr>
            <w:r>
              <w:rPr>
                <w:rFonts w:asciiTheme="minorHAnsi" w:hAnsiTheme="minorHAnsi" w:cstheme="minorHAnsi"/>
                <w:b/>
                <w:color w:val="000000"/>
                <w:szCs w:val="20"/>
                <w:lang w:eastAsia="en-AU"/>
              </w:rPr>
              <w:t>Year</w:t>
            </w:r>
            <w:r>
              <w:rPr>
                <w:rFonts w:asciiTheme="minorHAnsi" w:hAnsiTheme="minorHAnsi" w:cstheme="minorHAnsi"/>
                <w:b/>
                <w:color w:val="000000"/>
                <w:szCs w:val="20"/>
                <w:lang w:eastAsia="en-AU"/>
              </w:rPr>
              <w:br/>
              <w:t xml:space="preserve"> 1 April - </w:t>
            </w:r>
            <w:r>
              <w:rPr>
                <w:rFonts w:asciiTheme="minorHAnsi" w:hAnsiTheme="minorHAnsi" w:cstheme="minorHAnsi"/>
                <w:b/>
                <w:color w:val="000000"/>
                <w:szCs w:val="20"/>
                <w:lang w:eastAsia="en-AU"/>
              </w:rPr>
              <w:br/>
              <w:t>30 March</w:t>
            </w:r>
          </w:p>
        </w:tc>
        <w:tc>
          <w:tcPr>
            <w:tcW w:w="957" w:type="dxa"/>
            <w:shd w:val="clear" w:color="auto" w:fill="auto"/>
          </w:tcPr>
          <w:p w14:paraId="64F44CE3" w14:textId="77777777" w:rsidR="00E50410" w:rsidRPr="004A5B63" w:rsidRDefault="00E50410" w:rsidP="00ED3CBA">
            <w:pPr>
              <w:spacing w:after="0"/>
              <w:jc w:val="center"/>
              <w:rPr>
                <w:rFonts w:asciiTheme="minorHAnsi" w:hAnsiTheme="minorHAnsi" w:cstheme="minorHAnsi"/>
                <w:b/>
                <w:color w:val="000000"/>
                <w:szCs w:val="20"/>
                <w:lang w:eastAsia="en-AU"/>
              </w:rPr>
            </w:pPr>
            <w:r w:rsidRPr="004A5B63">
              <w:rPr>
                <w:rFonts w:asciiTheme="minorHAnsi" w:hAnsiTheme="minorHAnsi" w:cstheme="minorHAnsi"/>
                <w:b/>
                <w:color w:val="000000"/>
                <w:szCs w:val="20"/>
                <w:lang w:eastAsia="en-AU"/>
              </w:rPr>
              <w:t>Base Tier Rebate</w:t>
            </w:r>
          </w:p>
        </w:tc>
        <w:tc>
          <w:tcPr>
            <w:tcW w:w="1429" w:type="dxa"/>
            <w:shd w:val="clear" w:color="auto" w:fill="auto"/>
          </w:tcPr>
          <w:p w14:paraId="0B369A4D" w14:textId="77777777" w:rsidR="00E50410" w:rsidRPr="004A5B63" w:rsidRDefault="00E50410" w:rsidP="00ED3CBA">
            <w:pPr>
              <w:spacing w:after="0"/>
              <w:jc w:val="center"/>
              <w:rPr>
                <w:rFonts w:asciiTheme="minorHAnsi" w:hAnsiTheme="minorHAnsi" w:cstheme="minorHAnsi"/>
                <w:b/>
                <w:color w:val="000000"/>
                <w:szCs w:val="20"/>
                <w:lang w:eastAsia="en-AU"/>
              </w:rPr>
            </w:pPr>
            <w:r w:rsidRPr="004A5B63">
              <w:rPr>
                <w:rFonts w:asciiTheme="minorHAnsi" w:hAnsiTheme="minorHAnsi" w:cstheme="minorHAnsi"/>
                <w:b/>
                <w:color w:val="000000"/>
                <w:szCs w:val="20"/>
                <w:lang w:eastAsia="en-AU"/>
              </w:rPr>
              <w:t>Industry Average Premium Increase</w:t>
            </w:r>
          </w:p>
        </w:tc>
        <w:tc>
          <w:tcPr>
            <w:tcW w:w="1440" w:type="dxa"/>
            <w:shd w:val="clear" w:color="auto" w:fill="auto"/>
          </w:tcPr>
          <w:p w14:paraId="48CA3CC9" w14:textId="77777777" w:rsidR="00E50410" w:rsidRPr="004A5B63" w:rsidRDefault="00E50410" w:rsidP="00ED3CBA">
            <w:pPr>
              <w:spacing w:after="0"/>
              <w:jc w:val="center"/>
              <w:rPr>
                <w:rFonts w:asciiTheme="minorHAnsi" w:hAnsiTheme="minorHAnsi" w:cstheme="minorHAnsi"/>
                <w:b/>
                <w:color w:val="000000"/>
                <w:szCs w:val="20"/>
                <w:lang w:eastAsia="en-AU"/>
              </w:rPr>
            </w:pPr>
            <w:r w:rsidRPr="004A5B63">
              <w:rPr>
                <w:rFonts w:asciiTheme="minorHAnsi" w:hAnsiTheme="minorHAnsi" w:cstheme="minorHAnsi"/>
                <w:b/>
                <w:color w:val="000000"/>
                <w:szCs w:val="20"/>
                <w:lang w:eastAsia="en-AU"/>
              </w:rPr>
              <w:t>Premium before Rebate</w:t>
            </w:r>
          </w:p>
        </w:tc>
        <w:tc>
          <w:tcPr>
            <w:tcW w:w="1259" w:type="dxa"/>
            <w:shd w:val="clear" w:color="auto" w:fill="auto"/>
          </w:tcPr>
          <w:p w14:paraId="118AC96F" w14:textId="77777777" w:rsidR="00E50410" w:rsidRPr="004A5B63" w:rsidRDefault="00E50410" w:rsidP="00ED3CBA">
            <w:pPr>
              <w:spacing w:after="0"/>
              <w:jc w:val="center"/>
              <w:rPr>
                <w:rFonts w:asciiTheme="minorHAnsi" w:hAnsiTheme="minorHAnsi" w:cstheme="minorHAnsi"/>
                <w:b/>
                <w:color w:val="000000"/>
                <w:szCs w:val="20"/>
                <w:lang w:eastAsia="en-AU"/>
              </w:rPr>
            </w:pPr>
            <w:r w:rsidRPr="004A5B63">
              <w:rPr>
                <w:rFonts w:asciiTheme="minorHAnsi" w:hAnsiTheme="minorHAnsi" w:cstheme="minorHAnsi"/>
                <w:b/>
                <w:color w:val="000000"/>
                <w:szCs w:val="20"/>
                <w:lang w:eastAsia="en-AU"/>
              </w:rPr>
              <w:t>Premium after Rebate</w:t>
            </w:r>
          </w:p>
        </w:tc>
        <w:tc>
          <w:tcPr>
            <w:tcW w:w="1503" w:type="dxa"/>
            <w:shd w:val="clear" w:color="auto" w:fill="auto"/>
            <w:noWrap/>
          </w:tcPr>
          <w:p w14:paraId="145E55B5" w14:textId="77777777" w:rsidR="00E50410" w:rsidRPr="004A5B63" w:rsidRDefault="00E50410" w:rsidP="00ED3CBA">
            <w:pPr>
              <w:spacing w:after="0"/>
              <w:jc w:val="center"/>
              <w:rPr>
                <w:rFonts w:asciiTheme="minorHAnsi" w:hAnsiTheme="minorHAnsi" w:cstheme="minorHAnsi"/>
                <w:b/>
                <w:color w:val="000000"/>
                <w:szCs w:val="20"/>
                <w:lang w:eastAsia="en-AU"/>
              </w:rPr>
            </w:pPr>
            <w:r w:rsidRPr="004A5B63">
              <w:rPr>
                <w:rFonts w:asciiTheme="minorHAnsi" w:hAnsiTheme="minorHAnsi" w:cstheme="minorHAnsi"/>
                <w:b/>
                <w:color w:val="000000"/>
                <w:szCs w:val="20"/>
                <w:lang w:eastAsia="en-AU"/>
              </w:rPr>
              <w:t xml:space="preserve">Increased cost to </w:t>
            </w:r>
            <w:r>
              <w:rPr>
                <w:rFonts w:asciiTheme="minorHAnsi" w:hAnsiTheme="minorHAnsi" w:cstheme="minorHAnsi"/>
                <w:b/>
                <w:color w:val="000000"/>
                <w:szCs w:val="20"/>
                <w:lang w:eastAsia="en-AU"/>
              </w:rPr>
              <w:t xml:space="preserve">the </w:t>
            </w:r>
            <w:r w:rsidRPr="004A5B63">
              <w:rPr>
                <w:rFonts w:asciiTheme="minorHAnsi" w:hAnsiTheme="minorHAnsi" w:cstheme="minorHAnsi"/>
                <w:b/>
                <w:color w:val="000000"/>
                <w:szCs w:val="20"/>
                <w:lang w:eastAsia="en-AU"/>
              </w:rPr>
              <w:t>Consumer</w:t>
            </w:r>
          </w:p>
        </w:tc>
      </w:tr>
      <w:tr w:rsidR="00E50410" w:rsidRPr="004A5B63" w14:paraId="1BA6BE88" w14:textId="77777777" w:rsidTr="00ED3CBA">
        <w:trPr>
          <w:trHeight w:val="315"/>
        </w:trPr>
        <w:tc>
          <w:tcPr>
            <w:tcW w:w="1234" w:type="dxa"/>
            <w:shd w:val="clear" w:color="auto" w:fill="auto"/>
            <w:vAlign w:val="center"/>
            <w:hideMark/>
          </w:tcPr>
          <w:p w14:paraId="72321043" w14:textId="77777777" w:rsidR="00E50410" w:rsidRPr="004A5B63" w:rsidRDefault="00E50410" w:rsidP="00ED3CBA">
            <w:pPr>
              <w:spacing w:after="0"/>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2013</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14</w:t>
            </w:r>
          </w:p>
        </w:tc>
        <w:tc>
          <w:tcPr>
            <w:tcW w:w="957" w:type="dxa"/>
            <w:shd w:val="clear" w:color="auto" w:fill="auto"/>
            <w:vAlign w:val="center"/>
            <w:hideMark/>
          </w:tcPr>
          <w:p w14:paraId="05A6DBD2"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30.00</w:t>
            </w:r>
            <w:r>
              <w:rPr>
                <w:rFonts w:asciiTheme="minorHAnsi" w:hAnsiTheme="minorHAnsi" w:cstheme="minorHAnsi"/>
                <w:color w:val="000000"/>
                <w:szCs w:val="20"/>
                <w:lang w:eastAsia="en-AU"/>
              </w:rPr>
              <w:t>%</w:t>
            </w:r>
          </w:p>
        </w:tc>
        <w:tc>
          <w:tcPr>
            <w:tcW w:w="1429" w:type="dxa"/>
            <w:shd w:val="clear" w:color="auto" w:fill="auto"/>
            <w:vAlign w:val="center"/>
            <w:hideMark/>
          </w:tcPr>
          <w:p w14:paraId="6D4BCD0B"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5.6</w:t>
            </w:r>
            <w:r>
              <w:rPr>
                <w:rFonts w:asciiTheme="minorHAnsi" w:hAnsiTheme="minorHAnsi" w:cstheme="minorHAnsi"/>
                <w:color w:val="000000"/>
                <w:szCs w:val="20"/>
                <w:lang w:eastAsia="en-AU"/>
              </w:rPr>
              <w:t>0%</w:t>
            </w:r>
          </w:p>
        </w:tc>
        <w:tc>
          <w:tcPr>
            <w:tcW w:w="1440" w:type="dxa"/>
            <w:shd w:val="clear" w:color="auto" w:fill="auto"/>
            <w:vAlign w:val="center"/>
            <w:hideMark/>
          </w:tcPr>
          <w:p w14:paraId="10062353" w14:textId="77777777" w:rsidR="00E50410" w:rsidRPr="004A5B63" w:rsidRDefault="00E50410" w:rsidP="00ED3CBA">
            <w:pPr>
              <w:spacing w:after="0"/>
              <w:jc w:val="right"/>
              <w:rPr>
                <w:rFonts w:asciiTheme="minorHAnsi" w:hAnsiTheme="minorHAnsi" w:cstheme="minorHAnsi"/>
                <w:color w:val="000000"/>
                <w:szCs w:val="20"/>
                <w:lang w:eastAsia="en-AU"/>
              </w:rPr>
            </w:pP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3</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892.90</w:t>
            </w:r>
          </w:p>
        </w:tc>
        <w:tc>
          <w:tcPr>
            <w:tcW w:w="1259" w:type="dxa"/>
            <w:shd w:val="clear" w:color="auto" w:fill="auto"/>
            <w:vAlign w:val="center"/>
            <w:hideMark/>
          </w:tcPr>
          <w:p w14:paraId="5685D23C" w14:textId="77777777" w:rsidR="00E50410" w:rsidRPr="004A5B63" w:rsidRDefault="00E50410" w:rsidP="00ED3CBA">
            <w:pPr>
              <w:spacing w:after="0"/>
              <w:jc w:val="right"/>
              <w:rPr>
                <w:rFonts w:asciiTheme="minorHAnsi" w:hAnsiTheme="minorHAnsi" w:cstheme="minorHAnsi"/>
                <w:color w:val="000000"/>
                <w:szCs w:val="20"/>
                <w:lang w:eastAsia="en-AU"/>
              </w:rPr>
            </w:pP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2</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725.03</w:t>
            </w:r>
          </w:p>
        </w:tc>
        <w:tc>
          <w:tcPr>
            <w:tcW w:w="1503" w:type="dxa"/>
            <w:shd w:val="clear" w:color="auto" w:fill="auto"/>
            <w:noWrap/>
            <w:vAlign w:val="bottom"/>
            <w:hideMark/>
          </w:tcPr>
          <w:p w14:paraId="66DF32A4"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5.60%</w:t>
            </w:r>
          </w:p>
        </w:tc>
      </w:tr>
      <w:tr w:rsidR="00E50410" w:rsidRPr="004A5B63" w14:paraId="7463D872" w14:textId="77777777" w:rsidTr="00ED3CBA">
        <w:trPr>
          <w:trHeight w:val="315"/>
        </w:trPr>
        <w:tc>
          <w:tcPr>
            <w:tcW w:w="1234" w:type="dxa"/>
            <w:shd w:val="clear" w:color="auto" w:fill="auto"/>
            <w:vAlign w:val="center"/>
            <w:hideMark/>
          </w:tcPr>
          <w:p w14:paraId="66E83208" w14:textId="77777777" w:rsidR="00E50410" w:rsidRPr="004A5B63" w:rsidRDefault="00E50410" w:rsidP="00ED3CBA">
            <w:pPr>
              <w:spacing w:after="0"/>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2014</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15</w:t>
            </w:r>
          </w:p>
        </w:tc>
        <w:tc>
          <w:tcPr>
            <w:tcW w:w="957" w:type="dxa"/>
            <w:shd w:val="clear" w:color="auto" w:fill="auto"/>
            <w:vAlign w:val="center"/>
            <w:hideMark/>
          </w:tcPr>
          <w:p w14:paraId="74D459CF"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29.04</w:t>
            </w:r>
            <w:r>
              <w:rPr>
                <w:rFonts w:asciiTheme="minorHAnsi" w:hAnsiTheme="minorHAnsi" w:cstheme="minorHAnsi"/>
                <w:color w:val="000000"/>
                <w:szCs w:val="20"/>
                <w:lang w:eastAsia="en-AU"/>
              </w:rPr>
              <w:t>%</w:t>
            </w:r>
          </w:p>
        </w:tc>
        <w:tc>
          <w:tcPr>
            <w:tcW w:w="1429" w:type="dxa"/>
            <w:shd w:val="clear" w:color="auto" w:fill="auto"/>
            <w:vAlign w:val="center"/>
            <w:hideMark/>
          </w:tcPr>
          <w:p w14:paraId="1186528A"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6.2</w:t>
            </w:r>
            <w:r>
              <w:rPr>
                <w:rFonts w:asciiTheme="minorHAnsi" w:hAnsiTheme="minorHAnsi" w:cstheme="minorHAnsi"/>
                <w:color w:val="000000"/>
                <w:szCs w:val="20"/>
                <w:lang w:eastAsia="en-AU"/>
              </w:rPr>
              <w:t>0%</w:t>
            </w:r>
          </w:p>
        </w:tc>
        <w:tc>
          <w:tcPr>
            <w:tcW w:w="1440" w:type="dxa"/>
            <w:shd w:val="clear" w:color="auto" w:fill="auto"/>
            <w:noWrap/>
            <w:vAlign w:val="bottom"/>
            <w:hideMark/>
          </w:tcPr>
          <w:p w14:paraId="691920D1" w14:textId="77777777" w:rsidR="00E50410" w:rsidRPr="004A5B63" w:rsidRDefault="00E50410" w:rsidP="00ED3CBA">
            <w:pPr>
              <w:spacing w:after="0"/>
              <w:jc w:val="right"/>
              <w:rPr>
                <w:rFonts w:asciiTheme="minorHAnsi" w:hAnsiTheme="minorHAnsi" w:cstheme="minorHAnsi"/>
                <w:color w:val="000000"/>
                <w:szCs w:val="20"/>
                <w:lang w:eastAsia="en-AU"/>
              </w:rPr>
            </w:pP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4</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134.26</w:t>
            </w:r>
          </w:p>
        </w:tc>
        <w:tc>
          <w:tcPr>
            <w:tcW w:w="1259" w:type="dxa"/>
            <w:shd w:val="clear" w:color="auto" w:fill="auto"/>
            <w:vAlign w:val="center"/>
            <w:hideMark/>
          </w:tcPr>
          <w:p w14:paraId="040CE3F8" w14:textId="77777777" w:rsidR="00E50410" w:rsidRPr="004A5B63" w:rsidRDefault="00E50410" w:rsidP="00ED3CBA">
            <w:pPr>
              <w:spacing w:after="0"/>
              <w:jc w:val="right"/>
              <w:rPr>
                <w:rFonts w:asciiTheme="minorHAnsi" w:hAnsiTheme="minorHAnsi" w:cstheme="minorHAnsi"/>
                <w:color w:val="000000"/>
                <w:szCs w:val="20"/>
                <w:lang w:eastAsia="en-AU"/>
              </w:rPr>
            </w:pP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2</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933.67</w:t>
            </w:r>
          </w:p>
        </w:tc>
        <w:tc>
          <w:tcPr>
            <w:tcW w:w="1503" w:type="dxa"/>
            <w:shd w:val="clear" w:color="auto" w:fill="auto"/>
            <w:noWrap/>
            <w:vAlign w:val="bottom"/>
            <w:hideMark/>
          </w:tcPr>
          <w:p w14:paraId="7D926619"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7.66%</w:t>
            </w:r>
          </w:p>
        </w:tc>
      </w:tr>
      <w:tr w:rsidR="00E50410" w:rsidRPr="004A5B63" w14:paraId="007F73D9" w14:textId="77777777" w:rsidTr="00ED3CBA">
        <w:trPr>
          <w:trHeight w:val="315"/>
        </w:trPr>
        <w:tc>
          <w:tcPr>
            <w:tcW w:w="1234" w:type="dxa"/>
            <w:shd w:val="clear" w:color="auto" w:fill="auto"/>
            <w:vAlign w:val="center"/>
            <w:hideMark/>
          </w:tcPr>
          <w:p w14:paraId="357387EC" w14:textId="77777777" w:rsidR="00E50410" w:rsidRPr="004A5B63" w:rsidRDefault="00E50410" w:rsidP="00ED3CBA">
            <w:pPr>
              <w:spacing w:after="0"/>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2015</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16</w:t>
            </w:r>
          </w:p>
        </w:tc>
        <w:tc>
          <w:tcPr>
            <w:tcW w:w="957" w:type="dxa"/>
            <w:shd w:val="clear" w:color="auto" w:fill="auto"/>
            <w:vAlign w:val="center"/>
            <w:hideMark/>
          </w:tcPr>
          <w:p w14:paraId="2C3241FA"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27.82</w:t>
            </w:r>
            <w:r>
              <w:rPr>
                <w:rFonts w:asciiTheme="minorHAnsi" w:hAnsiTheme="minorHAnsi" w:cstheme="minorHAnsi"/>
                <w:color w:val="000000"/>
                <w:szCs w:val="20"/>
                <w:lang w:eastAsia="en-AU"/>
              </w:rPr>
              <w:t>%</w:t>
            </w:r>
          </w:p>
        </w:tc>
        <w:tc>
          <w:tcPr>
            <w:tcW w:w="1429" w:type="dxa"/>
            <w:shd w:val="clear" w:color="auto" w:fill="auto"/>
            <w:vAlign w:val="center"/>
            <w:hideMark/>
          </w:tcPr>
          <w:p w14:paraId="1F19D41C"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6.18</w:t>
            </w:r>
            <w:r>
              <w:rPr>
                <w:rFonts w:asciiTheme="minorHAnsi" w:hAnsiTheme="minorHAnsi" w:cstheme="minorHAnsi"/>
                <w:color w:val="000000"/>
                <w:szCs w:val="20"/>
                <w:lang w:eastAsia="en-AU"/>
              </w:rPr>
              <w:t>%</w:t>
            </w:r>
          </w:p>
        </w:tc>
        <w:tc>
          <w:tcPr>
            <w:tcW w:w="1440" w:type="dxa"/>
            <w:shd w:val="clear" w:color="auto" w:fill="auto"/>
            <w:vAlign w:val="center"/>
            <w:hideMark/>
          </w:tcPr>
          <w:p w14:paraId="3CEB0A2B" w14:textId="77777777" w:rsidR="00E50410" w:rsidRPr="004A5B63" w:rsidRDefault="00E50410" w:rsidP="00ED3CBA">
            <w:pPr>
              <w:spacing w:after="0"/>
              <w:jc w:val="right"/>
              <w:rPr>
                <w:rFonts w:asciiTheme="minorHAnsi" w:hAnsiTheme="minorHAnsi" w:cstheme="minorHAnsi"/>
                <w:color w:val="000000"/>
                <w:szCs w:val="20"/>
                <w:lang w:eastAsia="en-AU"/>
              </w:rPr>
            </w:pP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4</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389.76</w:t>
            </w:r>
          </w:p>
        </w:tc>
        <w:tc>
          <w:tcPr>
            <w:tcW w:w="1259" w:type="dxa"/>
            <w:shd w:val="clear" w:color="auto" w:fill="auto"/>
            <w:vAlign w:val="center"/>
            <w:hideMark/>
          </w:tcPr>
          <w:p w14:paraId="1FF1DEDA" w14:textId="77777777" w:rsidR="00E50410" w:rsidRPr="004A5B63" w:rsidRDefault="00E50410" w:rsidP="00ED3CBA">
            <w:pPr>
              <w:spacing w:after="0"/>
              <w:jc w:val="right"/>
              <w:rPr>
                <w:rFonts w:asciiTheme="minorHAnsi" w:hAnsiTheme="minorHAnsi" w:cstheme="minorHAnsi"/>
                <w:color w:val="000000"/>
                <w:szCs w:val="20"/>
                <w:lang w:eastAsia="en-AU"/>
              </w:rPr>
            </w:pP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3</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168.53</w:t>
            </w:r>
          </w:p>
        </w:tc>
        <w:tc>
          <w:tcPr>
            <w:tcW w:w="1503" w:type="dxa"/>
            <w:shd w:val="clear" w:color="auto" w:fill="auto"/>
            <w:noWrap/>
            <w:vAlign w:val="bottom"/>
            <w:hideMark/>
          </w:tcPr>
          <w:p w14:paraId="1CFF12C3"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8.01%</w:t>
            </w:r>
          </w:p>
        </w:tc>
      </w:tr>
      <w:tr w:rsidR="00E50410" w:rsidRPr="004A5B63" w14:paraId="6CC64909" w14:textId="77777777" w:rsidTr="00ED3CBA">
        <w:trPr>
          <w:trHeight w:val="315"/>
        </w:trPr>
        <w:tc>
          <w:tcPr>
            <w:tcW w:w="1234" w:type="dxa"/>
            <w:shd w:val="clear" w:color="auto" w:fill="auto"/>
            <w:vAlign w:val="center"/>
            <w:hideMark/>
          </w:tcPr>
          <w:p w14:paraId="348BF75E" w14:textId="77777777" w:rsidR="00E50410" w:rsidRPr="004A5B63" w:rsidRDefault="00E50410" w:rsidP="00ED3CBA">
            <w:pPr>
              <w:spacing w:after="0"/>
              <w:rPr>
                <w:rFonts w:asciiTheme="minorHAnsi" w:hAnsiTheme="minorHAnsi" w:cstheme="minorHAnsi"/>
                <w:color w:val="000000"/>
                <w:szCs w:val="20"/>
                <w:lang w:eastAsia="en-AU"/>
              </w:rPr>
            </w:pPr>
            <w:r w:rsidRPr="004A5B63">
              <w:rPr>
                <w:rFonts w:asciiTheme="minorHAnsi" w:eastAsia="Calibri" w:hAnsiTheme="minorHAnsi" w:cstheme="minorHAnsi"/>
                <w:color w:val="000000"/>
                <w:szCs w:val="20"/>
                <w:lang w:eastAsia="en-AU"/>
              </w:rPr>
              <w:t>2016</w:t>
            </w:r>
            <w:r>
              <w:rPr>
                <w:rFonts w:asciiTheme="minorHAnsi" w:eastAsia="Calibri" w:hAnsiTheme="minorHAnsi" w:cstheme="minorHAnsi"/>
                <w:color w:val="000000"/>
                <w:szCs w:val="20"/>
                <w:lang w:eastAsia="en-AU"/>
              </w:rPr>
              <w:t>–</w:t>
            </w:r>
            <w:r w:rsidRPr="004A5B63">
              <w:rPr>
                <w:rFonts w:asciiTheme="minorHAnsi" w:eastAsia="Calibri" w:hAnsiTheme="minorHAnsi" w:cstheme="minorHAnsi"/>
                <w:color w:val="000000"/>
                <w:szCs w:val="20"/>
                <w:lang w:eastAsia="en-AU"/>
              </w:rPr>
              <w:t>17</w:t>
            </w:r>
          </w:p>
        </w:tc>
        <w:tc>
          <w:tcPr>
            <w:tcW w:w="957" w:type="dxa"/>
            <w:shd w:val="clear" w:color="auto" w:fill="auto"/>
            <w:vAlign w:val="center"/>
            <w:hideMark/>
          </w:tcPr>
          <w:p w14:paraId="789D9914"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26.791</w:t>
            </w:r>
            <w:r>
              <w:rPr>
                <w:rFonts w:asciiTheme="minorHAnsi" w:hAnsiTheme="minorHAnsi" w:cstheme="minorHAnsi"/>
                <w:color w:val="000000"/>
                <w:szCs w:val="20"/>
                <w:lang w:eastAsia="en-AU"/>
              </w:rPr>
              <w:t>%</w:t>
            </w:r>
          </w:p>
        </w:tc>
        <w:tc>
          <w:tcPr>
            <w:tcW w:w="1429" w:type="dxa"/>
            <w:shd w:val="clear" w:color="auto" w:fill="auto"/>
            <w:vAlign w:val="center"/>
            <w:hideMark/>
          </w:tcPr>
          <w:p w14:paraId="510687FE"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5.59</w:t>
            </w:r>
            <w:r>
              <w:rPr>
                <w:rFonts w:asciiTheme="minorHAnsi" w:hAnsiTheme="minorHAnsi" w:cstheme="minorHAnsi"/>
                <w:color w:val="000000"/>
                <w:szCs w:val="20"/>
                <w:lang w:eastAsia="en-AU"/>
              </w:rPr>
              <w:t>%</w:t>
            </w:r>
          </w:p>
        </w:tc>
        <w:tc>
          <w:tcPr>
            <w:tcW w:w="1440" w:type="dxa"/>
            <w:shd w:val="clear" w:color="auto" w:fill="auto"/>
            <w:vAlign w:val="center"/>
            <w:hideMark/>
          </w:tcPr>
          <w:p w14:paraId="029BF6EA" w14:textId="77777777" w:rsidR="00E50410" w:rsidRPr="004A5B63" w:rsidRDefault="00E50410" w:rsidP="00ED3CBA">
            <w:pPr>
              <w:spacing w:after="0"/>
              <w:jc w:val="right"/>
              <w:rPr>
                <w:rFonts w:asciiTheme="minorHAnsi" w:hAnsiTheme="minorHAnsi" w:cstheme="minorHAnsi"/>
                <w:color w:val="000000"/>
                <w:szCs w:val="20"/>
                <w:lang w:eastAsia="en-AU"/>
              </w:rPr>
            </w:pP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4</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635.14</w:t>
            </w:r>
          </w:p>
        </w:tc>
        <w:tc>
          <w:tcPr>
            <w:tcW w:w="1259" w:type="dxa"/>
            <w:shd w:val="clear" w:color="auto" w:fill="auto"/>
            <w:vAlign w:val="center"/>
            <w:hideMark/>
          </w:tcPr>
          <w:p w14:paraId="345C281B" w14:textId="77777777" w:rsidR="00E50410" w:rsidRPr="004A5B63" w:rsidRDefault="00E50410" w:rsidP="00ED3CBA">
            <w:pPr>
              <w:spacing w:after="0"/>
              <w:jc w:val="right"/>
              <w:rPr>
                <w:rFonts w:asciiTheme="minorHAnsi" w:hAnsiTheme="minorHAnsi" w:cstheme="minorHAnsi"/>
                <w:color w:val="000000"/>
                <w:szCs w:val="20"/>
                <w:lang w:eastAsia="en-AU"/>
              </w:rPr>
            </w:pP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3</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393.34</w:t>
            </w:r>
          </w:p>
        </w:tc>
        <w:tc>
          <w:tcPr>
            <w:tcW w:w="1503" w:type="dxa"/>
            <w:shd w:val="clear" w:color="auto" w:fill="auto"/>
            <w:noWrap/>
            <w:vAlign w:val="bottom"/>
            <w:hideMark/>
          </w:tcPr>
          <w:p w14:paraId="4E7B5705"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7.10%</w:t>
            </w:r>
          </w:p>
        </w:tc>
      </w:tr>
      <w:tr w:rsidR="00E50410" w:rsidRPr="004A5B63" w14:paraId="7DE69815" w14:textId="77777777" w:rsidTr="00ED3CBA">
        <w:trPr>
          <w:trHeight w:val="315"/>
        </w:trPr>
        <w:tc>
          <w:tcPr>
            <w:tcW w:w="1234" w:type="dxa"/>
            <w:shd w:val="clear" w:color="auto" w:fill="auto"/>
            <w:vAlign w:val="center"/>
            <w:hideMark/>
          </w:tcPr>
          <w:p w14:paraId="0DECBF88" w14:textId="77777777" w:rsidR="00E50410" w:rsidRPr="004A5B63" w:rsidRDefault="00E50410" w:rsidP="00ED3CBA">
            <w:pPr>
              <w:spacing w:after="0"/>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2017</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18</w:t>
            </w:r>
          </w:p>
        </w:tc>
        <w:tc>
          <w:tcPr>
            <w:tcW w:w="957" w:type="dxa"/>
            <w:shd w:val="clear" w:color="auto" w:fill="auto"/>
            <w:vAlign w:val="center"/>
            <w:hideMark/>
          </w:tcPr>
          <w:p w14:paraId="4E7C6F31"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eastAsia="Calibri" w:hAnsiTheme="minorHAnsi" w:cstheme="minorHAnsi"/>
                <w:color w:val="000000"/>
                <w:szCs w:val="20"/>
                <w:lang w:eastAsia="en-AU"/>
              </w:rPr>
              <w:t>25.934</w:t>
            </w:r>
            <w:r>
              <w:rPr>
                <w:rFonts w:asciiTheme="minorHAnsi" w:eastAsia="Calibri" w:hAnsiTheme="minorHAnsi" w:cstheme="minorHAnsi"/>
                <w:color w:val="000000"/>
                <w:szCs w:val="20"/>
                <w:lang w:eastAsia="en-AU"/>
              </w:rPr>
              <w:t>%</w:t>
            </w:r>
          </w:p>
        </w:tc>
        <w:tc>
          <w:tcPr>
            <w:tcW w:w="1429" w:type="dxa"/>
            <w:shd w:val="clear" w:color="auto" w:fill="auto"/>
            <w:vAlign w:val="center"/>
            <w:hideMark/>
          </w:tcPr>
          <w:p w14:paraId="16C279C7"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4.84</w:t>
            </w:r>
            <w:r>
              <w:rPr>
                <w:rFonts w:asciiTheme="minorHAnsi" w:hAnsiTheme="minorHAnsi" w:cstheme="minorHAnsi"/>
                <w:color w:val="000000"/>
                <w:szCs w:val="20"/>
                <w:lang w:eastAsia="en-AU"/>
              </w:rPr>
              <w:t>%</w:t>
            </w:r>
          </w:p>
        </w:tc>
        <w:tc>
          <w:tcPr>
            <w:tcW w:w="1440" w:type="dxa"/>
            <w:shd w:val="clear" w:color="auto" w:fill="auto"/>
            <w:vAlign w:val="center"/>
            <w:hideMark/>
          </w:tcPr>
          <w:p w14:paraId="3DC68C01" w14:textId="77777777" w:rsidR="00E50410" w:rsidRPr="004A5B63" w:rsidRDefault="00E50410" w:rsidP="00ED3CBA">
            <w:pPr>
              <w:spacing w:after="0"/>
              <w:jc w:val="right"/>
              <w:rPr>
                <w:rFonts w:asciiTheme="minorHAnsi" w:hAnsiTheme="minorHAnsi" w:cstheme="minorHAnsi"/>
                <w:color w:val="000000"/>
                <w:szCs w:val="20"/>
                <w:lang w:eastAsia="en-AU"/>
              </w:rPr>
            </w:pP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4</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859.49</w:t>
            </w:r>
          </w:p>
        </w:tc>
        <w:tc>
          <w:tcPr>
            <w:tcW w:w="1259" w:type="dxa"/>
            <w:shd w:val="clear" w:color="auto" w:fill="auto"/>
            <w:vAlign w:val="center"/>
            <w:hideMark/>
          </w:tcPr>
          <w:p w14:paraId="04F5CB7F" w14:textId="77777777" w:rsidR="00E50410" w:rsidRPr="004A5B63" w:rsidRDefault="00E50410" w:rsidP="00ED3CBA">
            <w:pPr>
              <w:spacing w:after="0"/>
              <w:jc w:val="right"/>
              <w:rPr>
                <w:rFonts w:asciiTheme="minorHAnsi" w:hAnsiTheme="minorHAnsi" w:cstheme="minorHAnsi"/>
                <w:color w:val="000000"/>
                <w:szCs w:val="20"/>
                <w:lang w:eastAsia="en-AU"/>
              </w:rPr>
            </w:pP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3</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599.23</w:t>
            </w:r>
          </w:p>
        </w:tc>
        <w:tc>
          <w:tcPr>
            <w:tcW w:w="1503" w:type="dxa"/>
            <w:shd w:val="clear" w:color="auto" w:fill="auto"/>
            <w:noWrap/>
            <w:vAlign w:val="bottom"/>
            <w:hideMark/>
          </w:tcPr>
          <w:p w14:paraId="648C8566"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6.07%</w:t>
            </w:r>
          </w:p>
        </w:tc>
      </w:tr>
      <w:tr w:rsidR="00E50410" w:rsidRPr="004A5B63" w14:paraId="521A9EB2" w14:textId="77777777" w:rsidTr="00ED3CBA">
        <w:trPr>
          <w:trHeight w:val="315"/>
        </w:trPr>
        <w:tc>
          <w:tcPr>
            <w:tcW w:w="1234" w:type="dxa"/>
            <w:shd w:val="clear" w:color="auto" w:fill="auto"/>
            <w:vAlign w:val="center"/>
            <w:hideMark/>
          </w:tcPr>
          <w:p w14:paraId="12654B67" w14:textId="77777777" w:rsidR="00E50410" w:rsidRPr="004A5B63" w:rsidRDefault="00E50410" w:rsidP="00ED3CBA">
            <w:pPr>
              <w:spacing w:after="0"/>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2018</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19</w:t>
            </w:r>
          </w:p>
        </w:tc>
        <w:tc>
          <w:tcPr>
            <w:tcW w:w="957" w:type="dxa"/>
            <w:shd w:val="clear" w:color="auto" w:fill="auto"/>
            <w:vAlign w:val="center"/>
            <w:hideMark/>
          </w:tcPr>
          <w:p w14:paraId="530A65F0"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eastAsia="Calibri" w:hAnsiTheme="minorHAnsi" w:cstheme="minorHAnsi"/>
                <w:color w:val="000000"/>
                <w:szCs w:val="20"/>
                <w:lang w:eastAsia="en-AU"/>
              </w:rPr>
              <w:t>25.145</w:t>
            </w:r>
            <w:r>
              <w:rPr>
                <w:rFonts w:asciiTheme="minorHAnsi" w:eastAsia="Calibri" w:hAnsiTheme="minorHAnsi" w:cstheme="minorHAnsi"/>
                <w:color w:val="000000"/>
                <w:szCs w:val="20"/>
                <w:lang w:eastAsia="en-AU"/>
              </w:rPr>
              <w:t>%</w:t>
            </w:r>
          </w:p>
        </w:tc>
        <w:tc>
          <w:tcPr>
            <w:tcW w:w="1429" w:type="dxa"/>
            <w:shd w:val="clear" w:color="auto" w:fill="auto"/>
            <w:vAlign w:val="center"/>
            <w:hideMark/>
          </w:tcPr>
          <w:p w14:paraId="50F598E1"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3.95</w:t>
            </w:r>
            <w:r>
              <w:rPr>
                <w:rFonts w:asciiTheme="minorHAnsi" w:hAnsiTheme="minorHAnsi" w:cstheme="minorHAnsi"/>
                <w:color w:val="000000"/>
                <w:szCs w:val="20"/>
                <w:lang w:eastAsia="en-AU"/>
              </w:rPr>
              <w:t>%</w:t>
            </w:r>
          </w:p>
        </w:tc>
        <w:tc>
          <w:tcPr>
            <w:tcW w:w="1440" w:type="dxa"/>
            <w:shd w:val="clear" w:color="auto" w:fill="auto"/>
            <w:vAlign w:val="center"/>
            <w:hideMark/>
          </w:tcPr>
          <w:p w14:paraId="78F6D0C4" w14:textId="77777777" w:rsidR="00E50410" w:rsidRPr="004A5B63" w:rsidRDefault="00E50410" w:rsidP="00ED3CBA">
            <w:pPr>
              <w:spacing w:after="0"/>
              <w:jc w:val="right"/>
              <w:rPr>
                <w:rFonts w:asciiTheme="minorHAnsi" w:hAnsiTheme="minorHAnsi" w:cstheme="minorHAnsi"/>
                <w:color w:val="000000"/>
                <w:szCs w:val="20"/>
                <w:lang w:eastAsia="en-AU"/>
              </w:rPr>
            </w:pP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5</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051.44</w:t>
            </w:r>
          </w:p>
        </w:tc>
        <w:tc>
          <w:tcPr>
            <w:tcW w:w="1259" w:type="dxa"/>
            <w:shd w:val="clear" w:color="auto" w:fill="auto"/>
            <w:vAlign w:val="center"/>
            <w:hideMark/>
          </w:tcPr>
          <w:p w14:paraId="2FB3F806" w14:textId="77777777" w:rsidR="00E50410" w:rsidRPr="004A5B63" w:rsidRDefault="00E50410" w:rsidP="00ED3CBA">
            <w:pPr>
              <w:spacing w:after="0"/>
              <w:jc w:val="right"/>
              <w:rPr>
                <w:rFonts w:asciiTheme="minorHAnsi" w:hAnsiTheme="minorHAnsi" w:cstheme="minorHAnsi"/>
                <w:color w:val="000000"/>
                <w:szCs w:val="20"/>
                <w:lang w:eastAsia="en-AU"/>
              </w:rPr>
            </w:pP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3</w:t>
            </w:r>
            <w:r>
              <w:rPr>
                <w:rFonts w:asciiTheme="minorHAnsi" w:hAnsiTheme="minorHAnsi" w:cstheme="minorHAnsi"/>
                <w:color w:val="000000"/>
                <w:szCs w:val="20"/>
                <w:lang w:eastAsia="en-AU"/>
              </w:rPr>
              <w:t>,</w:t>
            </w:r>
            <w:r w:rsidRPr="004A5B63">
              <w:rPr>
                <w:rFonts w:asciiTheme="minorHAnsi" w:hAnsiTheme="minorHAnsi" w:cstheme="minorHAnsi"/>
                <w:color w:val="000000"/>
                <w:szCs w:val="20"/>
                <w:lang w:eastAsia="en-AU"/>
              </w:rPr>
              <w:t>781.25</w:t>
            </w:r>
          </w:p>
        </w:tc>
        <w:tc>
          <w:tcPr>
            <w:tcW w:w="1503" w:type="dxa"/>
            <w:shd w:val="clear" w:color="auto" w:fill="auto"/>
            <w:noWrap/>
            <w:vAlign w:val="bottom"/>
            <w:hideMark/>
          </w:tcPr>
          <w:p w14:paraId="263ECBBB" w14:textId="77777777" w:rsidR="00E50410" w:rsidRPr="004A5B63" w:rsidRDefault="00E50410" w:rsidP="00ED3CBA">
            <w:pPr>
              <w:spacing w:after="0"/>
              <w:jc w:val="right"/>
              <w:rPr>
                <w:rFonts w:asciiTheme="minorHAnsi" w:hAnsiTheme="minorHAnsi" w:cstheme="minorHAnsi"/>
                <w:color w:val="000000"/>
                <w:szCs w:val="20"/>
                <w:lang w:eastAsia="en-AU"/>
              </w:rPr>
            </w:pPr>
            <w:r w:rsidRPr="004A5B63">
              <w:rPr>
                <w:rFonts w:asciiTheme="minorHAnsi" w:hAnsiTheme="minorHAnsi" w:cstheme="minorHAnsi"/>
                <w:color w:val="000000"/>
                <w:szCs w:val="20"/>
                <w:lang w:eastAsia="en-AU"/>
              </w:rPr>
              <w:t>5.06%</w:t>
            </w:r>
          </w:p>
        </w:tc>
      </w:tr>
    </w:tbl>
    <w:p w14:paraId="624703BB" w14:textId="316B12A1" w:rsidR="00E50410" w:rsidRPr="00D43E0A" w:rsidRDefault="00E50410" w:rsidP="00E50410">
      <w:pPr>
        <w:rPr>
          <w:rFonts w:ascii="Calibri" w:hAnsi="Calibri" w:cs="Calibri"/>
          <w:bCs/>
          <w:kern w:val="32"/>
          <w:sz w:val="22"/>
          <w:szCs w:val="22"/>
        </w:rPr>
      </w:pPr>
      <w:r>
        <w:rPr>
          <w:rFonts w:ascii="Calibri" w:hAnsi="Calibri" w:cs="Calibri"/>
          <w:bCs/>
          <w:kern w:val="32"/>
          <w:sz w:val="22"/>
          <w:szCs w:val="22"/>
        </w:rPr>
        <w:t>Source:</w:t>
      </w:r>
      <w:r w:rsidR="00D576C5">
        <w:rPr>
          <w:rFonts w:ascii="Calibri" w:hAnsi="Calibri" w:cs="Calibri"/>
          <w:bCs/>
          <w:kern w:val="32"/>
          <w:sz w:val="22"/>
          <w:szCs w:val="22"/>
        </w:rPr>
        <w:t xml:space="preserve"> APHA analysis using private health insurance rebates and income tiers as published by the Australian Taxation Office. </w:t>
      </w:r>
    </w:p>
    <w:p w14:paraId="44A2FA10" w14:textId="10AA3C27" w:rsidR="0030242F" w:rsidRDefault="003A37CC" w:rsidP="00073DD7">
      <w:pPr>
        <w:rPr>
          <w:rFonts w:ascii="Calibri" w:hAnsi="Calibri" w:cs="Calibri"/>
          <w:bCs/>
          <w:kern w:val="32"/>
          <w:sz w:val="22"/>
          <w:szCs w:val="22"/>
        </w:rPr>
      </w:pPr>
      <w:r>
        <w:rPr>
          <w:rFonts w:ascii="Calibri" w:hAnsi="Calibri" w:cs="Calibri"/>
          <w:bCs/>
          <w:kern w:val="32"/>
          <w:sz w:val="22"/>
          <w:szCs w:val="22"/>
        </w:rPr>
        <w:t xml:space="preserve">This measure is regressive </w:t>
      </w:r>
      <w:r w:rsidR="00833C18">
        <w:rPr>
          <w:rFonts w:ascii="Calibri" w:hAnsi="Calibri" w:cs="Calibri"/>
          <w:bCs/>
          <w:kern w:val="32"/>
          <w:sz w:val="22"/>
          <w:szCs w:val="22"/>
        </w:rPr>
        <w:t xml:space="preserve">impacting </w:t>
      </w:r>
      <w:r>
        <w:rPr>
          <w:rFonts w:ascii="Calibri" w:hAnsi="Calibri" w:cs="Calibri"/>
          <w:bCs/>
          <w:kern w:val="32"/>
          <w:sz w:val="22"/>
          <w:szCs w:val="22"/>
        </w:rPr>
        <w:t>lower income households more severely than high income households</w:t>
      </w:r>
      <w:r w:rsidR="00CA1001">
        <w:rPr>
          <w:rFonts w:ascii="Calibri" w:hAnsi="Calibri" w:cs="Calibri"/>
          <w:bCs/>
          <w:kern w:val="32"/>
          <w:sz w:val="22"/>
          <w:szCs w:val="22"/>
        </w:rPr>
        <w:t xml:space="preserve">. </w:t>
      </w:r>
      <w:r w:rsidR="0080781C">
        <w:rPr>
          <w:rFonts w:ascii="Calibri" w:hAnsi="Calibri" w:cs="Calibri"/>
          <w:bCs/>
          <w:kern w:val="32"/>
          <w:sz w:val="22"/>
          <w:szCs w:val="22"/>
        </w:rPr>
        <w:t>As shown in the table below</w:t>
      </w:r>
      <w:r w:rsidR="001118D5">
        <w:rPr>
          <w:rFonts w:ascii="Calibri" w:hAnsi="Calibri" w:cs="Calibri"/>
          <w:bCs/>
          <w:kern w:val="32"/>
          <w:sz w:val="22"/>
          <w:szCs w:val="22"/>
        </w:rPr>
        <w:t>,</w:t>
      </w:r>
      <w:r w:rsidR="0080781C">
        <w:rPr>
          <w:rFonts w:ascii="Calibri" w:hAnsi="Calibri" w:cs="Calibri"/>
          <w:bCs/>
          <w:kern w:val="32"/>
          <w:sz w:val="22"/>
          <w:szCs w:val="22"/>
        </w:rPr>
        <w:t xml:space="preserve"> households in the lowest income tier experienced an in</w:t>
      </w:r>
      <w:r w:rsidR="00366B56">
        <w:rPr>
          <w:rFonts w:ascii="Calibri" w:hAnsi="Calibri" w:cs="Calibri"/>
          <w:bCs/>
          <w:kern w:val="32"/>
          <w:sz w:val="22"/>
          <w:szCs w:val="22"/>
        </w:rPr>
        <w:t>crease</w:t>
      </w:r>
      <w:r w:rsidR="0080781C">
        <w:rPr>
          <w:rFonts w:ascii="Calibri" w:hAnsi="Calibri" w:cs="Calibri"/>
          <w:bCs/>
          <w:kern w:val="32"/>
          <w:sz w:val="22"/>
          <w:szCs w:val="22"/>
        </w:rPr>
        <w:t xml:space="preserve"> of 5.06</w:t>
      </w:r>
      <w:r w:rsidR="00833C18">
        <w:rPr>
          <w:rFonts w:ascii="Calibri" w:hAnsi="Calibri" w:cs="Calibri"/>
          <w:bCs/>
          <w:kern w:val="32"/>
          <w:sz w:val="22"/>
          <w:szCs w:val="22"/>
        </w:rPr>
        <w:t xml:space="preserve"> percent</w:t>
      </w:r>
      <w:r w:rsidR="0080781C">
        <w:rPr>
          <w:rFonts w:ascii="Calibri" w:hAnsi="Calibri" w:cs="Calibri"/>
          <w:bCs/>
          <w:kern w:val="32"/>
          <w:sz w:val="22"/>
          <w:szCs w:val="22"/>
        </w:rPr>
        <w:t xml:space="preserve"> while households in the highest income tier (zero rebate) experienced an increase of </w:t>
      </w:r>
      <w:r w:rsidR="0030242F">
        <w:rPr>
          <w:rFonts w:ascii="Calibri" w:hAnsi="Calibri" w:cs="Calibri"/>
          <w:bCs/>
          <w:kern w:val="32"/>
          <w:sz w:val="22"/>
          <w:szCs w:val="22"/>
        </w:rPr>
        <w:t>3.95</w:t>
      </w:r>
      <w:r w:rsidR="00833C18">
        <w:rPr>
          <w:rFonts w:ascii="Calibri" w:hAnsi="Calibri" w:cs="Calibri"/>
          <w:bCs/>
          <w:kern w:val="32"/>
          <w:sz w:val="22"/>
          <w:szCs w:val="22"/>
        </w:rPr>
        <w:t xml:space="preserve"> percent</w:t>
      </w:r>
      <w:r w:rsidR="0030242F">
        <w:rPr>
          <w:rFonts w:ascii="Calibri" w:hAnsi="Calibri" w:cs="Calibri"/>
          <w:bCs/>
          <w:kern w:val="32"/>
          <w:sz w:val="22"/>
          <w:szCs w:val="22"/>
        </w:rPr>
        <w:t>.</w:t>
      </w:r>
    </w:p>
    <w:p w14:paraId="09F6D18A" w14:textId="144FF09E" w:rsidR="001118D5" w:rsidRDefault="001118D5" w:rsidP="00073DD7">
      <w:pPr>
        <w:rPr>
          <w:rFonts w:ascii="Calibri" w:hAnsi="Calibri" w:cs="Calibri"/>
          <w:bCs/>
          <w:kern w:val="32"/>
          <w:sz w:val="22"/>
          <w:szCs w:val="22"/>
        </w:rPr>
      </w:pPr>
      <w:r>
        <w:rPr>
          <w:rFonts w:ascii="Calibri" w:hAnsi="Calibri" w:cs="Calibri"/>
          <w:bCs/>
          <w:kern w:val="32"/>
          <w:sz w:val="22"/>
          <w:szCs w:val="22"/>
        </w:rPr>
        <w:t>It is totally inequitable that those who can least afford it have the biggest premium increases in real-terms due to current policy settings.</w:t>
      </w:r>
    </w:p>
    <w:p w14:paraId="2E8B0E1C" w14:textId="5390715B" w:rsidR="00CA1001" w:rsidRDefault="00CA1001">
      <w:r>
        <w:br w:type="page"/>
      </w:r>
    </w:p>
    <w:p w14:paraId="67598241" w14:textId="2FA3525B" w:rsidR="00FE685B" w:rsidRPr="00FE685B" w:rsidRDefault="00FE685B" w:rsidP="00FE685B">
      <w:pPr>
        <w:spacing w:after="0"/>
        <w:jc w:val="center"/>
        <w:rPr>
          <w:rFonts w:asciiTheme="minorHAnsi" w:hAnsiTheme="minorHAnsi" w:cstheme="minorHAnsi"/>
          <w:b/>
          <w:sz w:val="22"/>
          <w:szCs w:val="22"/>
        </w:rPr>
      </w:pPr>
      <w:r w:rsidRPr="00FE685B">
        <w:rPr>
          <w:rFonts w:asciiTheme="minorHAnsi" w:hAnsiTheme="minorHAnsi" w:cstheme="minorHAnsi"/>
          <w:b/>
          <w:sz w:val="22"/>
          <w:szCs w:val="22"/>
        </w:rPr>
        <w:t>Premium increases, Rebates and Cost Increases for Each Inco</w:t>
      </w:r>
      <w:bookmarkStart w:id="7" w:name="_GoBack"/>
      <w:bookmarkEnd w:id="7"/>
      <w:r w:rsidRPr="00FE685B">
        <w:rPr>
          <w:rFonts w:asciiTheme="minorHAnsi" w:hAnsiTheme="minorHAnsi" w:cstheme="minorHAnsi"/>
          <w:b/>
          <w:sz w:val="22"/>
          <w:szCs w:val="22"/>
        </w:rPr>
        <w:t>me Tier, 1 April 2018</w:t>
      </w:r>
    </w:p>
    <w:tbl>
      <w:tblPr>
        <w:tblStyle w:val="TableGrid"/>
        <w:tblW w:w="0" w:type="auto"/>
        <w:tblLook w:val="04A0" w:firstRow="1" w:lastRow="0" w:firstColumn="1" w:lastColumn="0" w:noHBand="0" w:noVBand="1"/>
      </w:tblPr>
      <w:tblGrid>
        <w:gridCol w:w="1137"/>
        <w:gridCol w:w="1026"/>
        <w:gridCol w:w="1099"/>
        <w:gridCol w:w="1016"/>
        <w:gridCol w:w="1099"/>
        <w:gridCol w:w="919"/>
        <w:gridCol w:w="1099"/>
        <w:gridCol w:w="1099"/>
      </w:tblGrid>
      <w:tr w:rsidR="0030242F" w:rsidRPr="00FE685B" w14:paraId="3441B2F5" w14:textId="77777777" w:rsidTr="00CA1001">
        <w:tc>
          <w:tcPr>
            <w:tcW w:w="1137" w:type="dxa"/>
            <w:vMerge w:val="restart"/>
          </w:tcPr>
          <w:p w14:paraId="658F3F1B" w14:textId="63682CC9" w:rsidR="0030242F" w:rsidRPr="00FE685B" w:rsidRDefault="0030242F" w:rsidP="00FE685B">
            <w:pPr>
              <w:spacing w:after="0"/>
              <w:jc w:val="center"/>
              <w:rPr>
                <w:rFonts w:asciiTheme="minorHAnsi" w:hAnsiTheme="minorHAnsi" w:cstheme="minorHAnsi"/>
                <w:b/>
                <w:sz w:val="22"/>
                <w:szCs w:val="22"/>
              </w:rPr>
            </w:pPr>
            <w:r w:rsidRPr="00FE685B">
              <w:rPr>
                <w:rFonts w:asciiTheme="minorHAnsi" w:hAnsiTheme="minorHAnsi" w:cstheme="minorHAnsi"/>
                <w:b/>
                <w:sz w:val="22"/>
                <w:szCs w:val="22"/>
              </w:rPr>
              <w:t>Industry average premium increase</w:t>
            </w:r>
          </w:p>
        </w:tc>
        <w:tc>
          <w:tcPr>
            <w:tcW w:w="2125" w:type="dxa"/>
            <w:gridSpan w:val="2"/>
          </w:tcPr>
          <w:p w14:paraId="770251A8" w14:textId="52CB3D64" w:rsidR="0030242F" w:rsidRPr="00FE685B" w:rsidRDefault="0030242F" w:rsidP="00FE685B">
            <w:pPr>
              <w:spacing w:after="0"/>
              <w:jc w:val="center"/>
              <w:rPr>
                <w:rFonts w:asciiTheme="minorHAnsi" w:hAnsiTheme="minorHAnsi" w:cstheme="minorHAnsi"/>
                <w:b/>
                <w:sz w:val="22"/>
                <w:szCs w:val="22"/>
              </w:rPr>
            </w:pPr>
            <w:r w:rsidRPr="00FE685B">
              <w:rPr>
                <w:rFonts w:asciiTheme="minorHAnsi" w:hAnsiTheme="minorHAnsi" w:cstheme="minorHAnsi"/>
                <w:b/>
                <w:sz w:val="22"/>
                <w:szCs w:val="22"/>
              </w:rPr>
              <w:t xml:space="preserve">Base Tier </w:t>
            </w:r>
          </w:p>
        </w:tc>
        <w:tc>
          <w:tcPr>
            <w:tcW w:w="2115" w:type="dxa"/>
            <w:gridSpan w:val="2"/>
          </w:tcPr>
          <w:p w14:paraId="28AE51A8" w14:textId="653B5FAB" w:rsidR="0030242F" w:rsidRPr="00FE685B" w:rsidRDefault="0030242F" w:rsidP="00FE685B">
            <w:pPr>
              <w:spacing w:after="0"/>
              <w:jc w:val="center"/>
              <w:rPr>
                <w:rFonts w:asciiTheme="minorHAnsi" w:hAnsiTheme="minorHAnsi" w:cstheme="minorHAnsi"/>
                <w:b/>
                <w:sz w:val="22"/>
                <w:szCs w:val="22"/>
              </w:rPr>
            </w:pPr>
            <w:r w:rsidRPr="00FE685B">
              <w:rPr>
                <w:rFonts w:asciiTheme="minorHAnsi" w:hAnsiTheme="minorHAnsi" w:cstheme="minorHAnsi"/>
                <w:b/>
                <w:sz w:val="22"/>
                <w:szCs w:val="22"/>
              </w:rPr>
              <w:t>Tier 1</w:t>
            </w:r>
          </w:p>
        </w:tc>
        <w:tc>
          <w:tcPr>
            <w:tcW w:w="2018" w:type="dxa"/>
            <w:gridSpan w:val="2"/>
          </w:tcPr>
          <w:p w14:paraId="250BCEF1" w14:textId="2CE9D90C" w:rsidR="0030242F" w:rsidRPr="00FE685B" w:rsidRDefault="0030242F" w:rsidP="00FE685B">
            <w:pPr>
              <w:spacing w:after="0"/>
              <w:jc w:val="center"/>
              <w:rPr>
                <w:rFonts w:asciiTheme="minorHAnsi" w:hAnsiTheme="minorHAnsi" w:cstheme="minorHAnsi"/>
                <w:b/>
                <w:sz w:val="22"/>
                <w:szCs w:val="22"/>
              </w:rPr>
            </w:pPr>
            <w:r w:rsidRPr="00FE685B">
              <w:rPr>
                <w:rFonts w:asciiTheme="minorHAnsi" w:hAnsiTheme="minorHAnsi" w:cstheme="minorHAnsi"/>
                <w:b/>
                <w:sz w:val="22"/>
                <w:szCs w:val="22"/>
              </w:rPr>
              <w:t>Tier 2</w:t>
            </w:r>
          </w:p>
        </w:tc>
        <w:tc>
          <w:tcPr>
            <w:tcW w:w="1099" w:type="dxa"/>
          </w:tcPr>
          <w:p w14:paraId="1426EC3E" w14:textId="697064B7" w:rsidR="0030242F" w:rsidRPr="00FE685B" w:rsidRDefault="0030242F" w:rsidP="00FE685B">
            <w:pPr>
              <w:spacing w:after="0"/>
              <w:jc w:val="center"/>
              <w:rPr>
                <w:rFonts w:asciiTheme="minorHAnsi" w:hAnsiTheme="minorHAnsi" w:cstheme="minorHAnsi"/>
                <w:b/>
                <w:sz w:val="22"/>
                <w:szCs w:val="22"/>
              </w:rPr>
            </w:pPr>
            <w:r w:rsidRPr="00FE685B">
              <w:rPr>
                <w:rFonts w:asciiTheme="minorHAnsi" w:hAnsiTheme="minorHAnsi" w:cstheme="minorHAnsi"/>
                <w:b/>
                <w:sz w:val="22"/>
                <w:szCs w:val="22"/>
              </w:rPr>
              <w:t>Tier 3</w:t>
            </w:r>
          </w:p>
        </w:tc>
      </w:tr>
      <w:tr w:rsidR="0030242F" w:rsidRPr="00FE685B" w14:paraId="462A55F0" w14:textId="77777777" w:rsidTr="00CA1001">
        <w:tc>
          <w:tcPr>
            <w:tcW w:w="1137" w:type="dxa"/>
            <w:vMerge/>
          </w:tcPr>
          <w:p w14:paraId="70107966" w14:textId="77777777" w:rsidR="0030242F" w:rsidRPr="00FE685B" w:rsidRDefault="0030242F" w:rsidP="00FE685B">
            <w:pPr>
              <w:spacing w:after="0"/>
              <w:jc w:val="center"/>
              <w:rPr>
                <w:rFonts w:asciiTheme="minorHAnsi" w:hAnsiTheme="minorHAnsi" w:cstheme="minorHAnsi"/>
                <w:b/>
                <w:sz w:val="22"/>
                <w:szCs w:val="22"/>
              </w:rPr>
            </w:pPr>
          </w:p>
        </w:tc>
        <w:tc>
          <w:tcPr>
            <w:tcW w:w="1026" w:type="dxa"/>
          </w:tcPr>
          <w:p w14:paraId="430E2A07" w14:textId="2B636088" w:rsidR="0030242F" w:rsidRPr="00FE685B" w:rsidRDefault="0030242F" w:rsidP="00FE685B">
            <w:pPr>
              <w:spacing w:after="0"/>
              <w:jc w:val="center"/>
              <w:rPr>
                <w:rFonts w:asciiTheme="minorHAnsi" w:hAnsiTheme="minorHAnsi" w:cstheme="minorHAnsi"/>
                <w:b/>
                <w:sz w:val="22"/>
                <w:szCs w:val="22"/>
              </w:rPr>
            </w:pPr>
            <w:r w:rsidRPr="00FE685B">
              <w:rPr>
                <w:rFonts w:asciiTheme="minorHAnsi" w:hAnsiTheme="minorHAnsi" w:cstheme="minorHAnsi"/>
                <w:b/>
                <w:sz w:val="22"/>
                <w:szCs w:val="22"/>
              </w:rPr>
              <w:t>Rebate</w:t>
            </w:r>
          </w:p>
        </w:tc>
        <w:tc>
          <w:tcPr>
            <w:tcW w:w="1099" w:type="dxa"/>
          </w:tcPr>
          <w:p w14:paraId="379B2A26" w14:textId="77777777" w:rsidR="005C4983" w:rsidRDefault="005C4983" w:rsidP="00FE685B">
            <w:pPr>
              <w:spacing w:after="0"/>
              <w:jc w:val="center"/>
              <w:rPr>
                <w:rFonts w:asciiTheme="minorHAnsi" w:hAnsiTheme="minorHAnsi" w:cstheme="minorHAnsi"/>
                <w:b/>
                <w:sz w:val="22"/>
                <w:szCs w:val="22"/>
              </w:rPr>
            </w:pPr>
            <w:r>
              <w:rPr>
                <w:rFonts w:asciiTheme="minorHAnsi" w:hAnsiTheme="minorHAnsi" w:cstheme="minorHAnsi"/>
                <w:b/>
                <w:sz w:val="22"/>
                <w:szCs w:val="22"/>
              </w:rPr>
              <w:t>Average</w:t>
            </w:r>
          </w:p>
          <w:p w14:paraId="116F1EA5" w14:textId="04EDFFFA" w:rsidR="0030242F" w:rsidRPr="00FE685B" w:rsidRDefault="005C4983" w:rsidP="005C4983">
            <w:pPr>
              <w:spacing w:after="0"/>
              <w:jc w:val="center"/>
              <w:rPr>
                <w:rFonts w:asciiTheme="minorHAnsi" w:hAnsiTheme="minorHAnsi" w:cstheme="minorHAnsi"/>
                <w:b/>
                <w:sz w:val="22"/>
                <w:szCs w:val="22"/>
              </w:rPr>
            </w:pPr>
            <w:r>
              <w:rPr>
                <w:rFonts w:asciiTheme="minorHAnsi" w:hAnsiTheme="minorHAnsi" w:cstheme="minorHAnsi"/>
                <w:b/>
                <w:sz w:val="22"/>
                <w:szCs w:val="22"/>
              </w:rPr>
              <w:t>i</w:t>
            </w:r>
            <w:r w:rsidR="0030242F" w:rsidRPr="00FE685B">
              <w:rPr>
                <w:rFonts w:asciiTheme="minorHAnsi" w:hAnsiTheme="minorHAnsi" w:cstheme="minorHAnsi"/>
                <w:b/>
                <w:sz w:val="22"/>
                <w:szCs w:val="22"/>
              </w:rPr>
              <w:t xml:space="preserve">ncreased </w:t>
            </w:r>
            <w:r>
              <w:rPr>
                <w:rFonts w:asciiTheme="minorHAnsi" w:hAnsiTheme="minorHAnsi" w:cstheme="minorHAnsi"/>
                <w:b/>
                <w:sz w:val="22"/>
                <w:szCs w:val="22"/>
              </w:rPr>
              <w:t>c</w:t>
            </w:r>
            <w:r w:rsidR="0030242F" w:rsidRPr="00FE685B">
              <w:rPr>
                <w:rFonts w:asciiTheme="minorHAnsi" w:hAnsiTheme="minorHAnsi" w:cstheme="minorHAnsi"/>
                <w:b/>
                <w:sz w:val="22"/>
                <w:szCs w:val="22"/>
              </w:rPr>
              <w:t>ost</w:t>
            </w:r>
          </w:p>
        </w:tc>
        <w:tc>
          <w:tcPr>
            <w:tcW w:w="1016" w:type="dxa"/>
          </w:tcPr>
          <w:p w14:paraId="6EF75A15" w14:textId="2A37DD43" w:rsidR="0030242F" w:rsidRPr="00FE685B" w:rsidRDefault="0030242F" w:rsidP="00FE685B">
            <w:pPr>
              <w:spacing w:after="0"/>
              <w:jc w:val="center"/>
              <w:rPr>
                <w:rFonts w:asciiTheme="minorHAnsi" w:hAnsiTheme="minorHAnsi" w:cstheme="minorHAnsi"/>
                <w:b/>
                <w:sz w:val="22"/>
                <w:szCs w:val="22"/>
              </w:rPr>
            </w:pPr>
            <w:r w:rsidRPr="00FE685B">
              <w:rPr>
                <w:rFonts w:asciiTheme="minorHAnsi" w:hAnsiTheme="minorHAnsi" w:cstheme="minorHAnsi"/>
                <w:b/>
                <w:sz w:val="22"/>
                <w:szCs w:val="22"/>
              </w:rPr>
              <w:t>Rebate</w:t>
            </w:r>
          </w:p>
        </w:tc>
        <w:tc>
          <w:tcPr>
            <w:tcW w:w="1099" w:type="dxa"/>
          </w:tcPr>
          <w:p w14:paraId="038849C4" w14:textId="77777777" w:rsidR="005C4983" w:rsidRDefault="005C4983" w:rsidP="005C4983">
            <w:pPr>
              <w:spacing w:after="0"/>
              <w:jc w:val="center"/>
              <w:rPr>
                <w:rFonts w:asciiTheme="minorHAnsi" w:hAnsiTheme="minorHAnsi" w:cstheme="minorHAnsi"/>
                <w:b/>
                <w:sz w:val="22"/>
                <w:szCs w:val="22"/>
              </w:rPr>
            </w:pPr>
            <w:r>
              <w:rPr>
                <w:rFonts w:asciiTheme="minorHAnsi" w:hAnsiTheme="minorHAnsi" w:cstheme="minorHAnsi"/>
                <w:b/>
                <w:sz w:val="22"/>
                <w:szCs w:val="22"/>
              </w:rPr>
              <w:t>Average</w:t>
            </w:r>
          </w:p>
          <w:p w14:paraId="2247D609" w14:textId="1E82A52B" w:rsidR="0030242F" w:rsidRPr="00FE685B" w:rsidRDefault="005C4983" w:rsidP="005C4983">
            <w:pPr>
              <w:spacing w:after="0"/>
              <w:jc w:val="center"/>
              <w:rPr>
                <w:rFonts w:asciiTheme="minorHAnsi" w:hAnsiTheme="minorHAnsi" w:cstheme="minorHAnsi"/>
                <w:b/>
                <w:sz w:val="22"/>
                <w:szCs w:val="22"/>
              </w:rPr>
            </w:pPr>
            <w:r>
              <w:rPr>
                <w:rFonts w:asciiTheme="minorHAnsi" w:hAnsiTheme="minorHAnsi" w:cstheme="minorHAnsi"/>
                <w:b/>
                <w:sz w:val="22"/>
                <w:szCs w:val="22"/>
              </w:rPr>
              <w:t>i</w:t>
            </w:r>
            <w:r w:rsidRPr="00FE685B">
              <w:rPr>
                <w:rFonts w:asciiTheme="minorHAnsi" w:hAnsiTheme="minorHAnsi" w:cstheme="minorHAnsi"/>
                <w:b/>
                <w:sz w:val="22"/>
                <w:szCs w:val="22"/>
              </w:rPr>
              <w:t xml:space="preserve">ncreased </w:t>
            </w:r>
            <w:r>
              <w:rPr>
                <w:rFonts w:asciiTheme="minorHAnsi" w:hAnsiTheme="minorHAnsi" w:cstheme="minorHAnsi"/>
                <w:b/>
                <w:sz w:val="22"/>
                <w:szCs w:val="22"/>
              </w:rPr>
              <w:t>c</w:t>
            </w:r>
            <w:r w:rsidRPr="00FE685B">
              <w:rPr>
                <w:rFonts w:asciiTheme="minorHAnsi" w:hAnsiTheme="minorHAnsi" w:cstheme="minorHAnsi"/>
                <w:b/>
                <w:sz w:val="22"/>
                <w:szCs w:val="22"/>
              </w:rPr>
              <w:t>ost</w:t>
            </w:r>
          </w:p>
        </w:tc>
        <w:tc>
          <w:tcPr>
            <w:tcW w:w="919" w:type="dxa"/>
          </w:tcPr>
          <w:p w14:paraId="38EADB3B" w14:textId="37913767" w:rsidR="0030242F" w:rsidRPr="00FE685B" w:rsidRDefault="0030242F" w:rsidP="00FE685B">
            <w:pPr>
              <w:spacing w:after="0"/>
              <w:jc w:val="center"/>
              <w:rPr>
                <w:rFonts w:asciiTheme="minorHAnsi" w:hAnsiTheme="minorHAnsi" w:cstheme="minorHAnsi"/>
                <w:b/>
                <w:sz w:val="22"/>
                <w:szCs w:val="22"/>
              </w:rPr>
            </w:pPr>
            <w:r w:rsidRPr="00FE685B">
              <w:rPr>
                <w:rFonts w:asciiTheme="minorHAnsi" w:hAnsiTheme="minorHAnsi" w:cstheme="minorHAnsi"/>
                <w:b/>
                <w:sz w:val="22"/>
                <w:szCs w:val="22"/>
              </w:rPr>
              <w:t>Rebate</w:t>
            </w:r>
          </w:p>
        </w:tc>
        <w:tc>
          <w:tcPr>
            <w:tcW w:w="1099" w:type="dxa"/>
          </w:tcPr>
          <w:p w14:paraId="5A73657B" w14:textId="77777777" w:rsidR="005C4983" w:rsidRDefault="005C4983" w:rsidP="005C4983">
            <w:pPr>
              <w:spacing w:after="0"/>
              <w:jc w:val="center"/>
              <w:rPr>
                <w:rFonts w:asciiTheme="minorHAnsi" w:hAnsiTheme="minorHAnsi" w:cstheme="minorHAnsi"/>
                <w:b/>
                <w:sz w:val="22"/>
                <w:szCs w:val="22"/>
              </w:rPr>
            </w:pPr>
            <w:r>
              <w:rPr>
                <w:rFonts w:asciiTheme="minorHAnsi" w:hAnsiTheme="minorHAnsi" w:cstheme="minorHAnsi"/>
                <w:b/>
                <w:sz w:val="22"/>
                <w:szCs w:val="22"/>
              </w:rPr>
              <w:t>Average</w:t>
            </w:r>
          </w:p>
          <w:p w14:paraId="24E9369C" w14:textId="180906B6" w:rsidR="0030242F" w:rsidRPr="00FE685B" w:rsidRDefault="005C4983" w:rsidP="005C4983">
            <w:pPr>
              <w:spacing w:after="0"/>
              <w:jc w:val="center"/>
              <w:rPr>
                <w:rFonts w:asciiTheme="minorHAnsi" w:hAnsiTheme="minorHAnsi" w:cstheme="minorHAnsi"/>
                <w:b/>
                <w:sz w:val="22"/>
                <w:szCs w:val="22"/>
              </w:rPr>
            </w:pPr>
            <w:r>
              <w:rPr>
                <w:rFonts w:asciiTheme="minorHAnsi" w:hAnsiTheme="minorHAnsi" w:cstheme="minorHAnsi"/>
                <w:b/>
                <w:sz w:val="22"/>
                <w:szCs w:val="22"/>
              </w:rPr>
              <w:t>i</w:t>
            </w:r>
            <w:r w:rsidRPr="00FE685B">
              <w:rPr>
                <w:rFonts w:asciiTheme="minorHAnsi" w:hAnsiTheme="minorHAnsi" w:cstheme="minorHAnsi"/>
                <w:b/>
                <w:sz w:val="22"/>
                <w:szCs w:val="22"/>
              </w:rPr>
              <w:t xml:space="preserve">ncreased </w:t>
            </w:r>
            <w:r>
              <w:rPr>
                <w:rFonts w:asciiTheme="minorHAnsi" w:hAnsiTheme="minorHAnsi" w:cstheme="minorHAnsi"/>
                <w:b/>
                <w:sz w:val="22"/>
                <w:szCs w:val="22"/>
              </w:rPr>
              <w:t>c</w:t>
            </w:r>
            <w:r w:rsidRPr="00FE685B">
              <w:rPr>
                <w:rFonts w:asciiTheme="minorHAnsi" w:hAnsiTheme="minorHAnsi" w:cstheme="minorHAnsi"/>
                <w:b/>
                <w:sz w:val="22"/>
                <w:szCs w:val="22"/>
              </w:rPr>
              <w:t>ost</w:t>
            </w:r>
          </w:p>
        </w:tc>
        <w:tc>
          <w:tcPr>
            <w:tcW w:w="1099" w:type="dxa"/>
          </w:tcPr>
          <w:p w14:paraId="49A39F64" w14:textId="77777777" w:rsidR="005C4983" w:rsidRDefault="005C4983" w:rsidP="005C4983">
            <w:pPr>
              <w:spacing w:after="0"/>
              <w:jc w:val="center"/>
              <w:rPr>
                <w:rFonts w:asciiTheme="minorHAnsi" w:hAnsiTheme="minorHAnsi" w:cstheme="minorHAnsi"/>
                <w:b/>
                <w:sz w:val="22"/>
                <w:szCs w:val="22"/>
              </w:rPr>
            </w:pPr>
            <w:r>
              <w:rPr>
                <w:rFonts w:asciiTheme="minorHAnsi" w:hAnsiTheme="minorHAnsi" w:cstheme="minorHAnsi"/>
                <w:b/>
                <w:sz w:val="22"/>
                <w:szCs w:val="22"/>
              </w:rPr>
              <w:t>Average</w:t>
            </w:r>
          </w:p>
          <w:p w14:paraId="21E0BFC9" w14:textId="25269C77" w:rsidR="0030242F" w:rsidRPr="00FE685B" w:rsidRDefault="005C4983" w:rsidP="005C4983">
            <w:pPr>
              <w:spacing w:after="0"/>
              <w:jc w:val="center"/>
              <w:rPr>
                <w:rFonts w:asciiTheme="minorHAnsi" w:hAnsiTheme="minorHAnsi" w:cstheme="minorHAnsi"/>
                <w:b/>
                <w:sz w:val="22"/>
                <w:szCs w:val="22"/>
              </w:rPr>
            </w:pPr>
            <w:r>
              <w:rPr>
                <w:rFonts w:asciiTheme="minorHAnsi" w:hAnsiTheme="minorHAnsi" w:cstheme="minorHAnsi"/>
                <w:b/>
                <w:sz w:val="22"/>
                <w:szCs w:val="22"/>
              </w:rPr>
              <w:t>i</w:t>
            </w:r>
            <w:r w:rsidRPr="00FE685B">
              <w:rPr>
                <w:rFonts w:asciiTheme="minorHAnsi" w:hAnsiTheme="minorHAnsi" w:cstheme="minorHAnsi"/>
                <w:b/>
                <w:sz w:val="22"/>
                <w:szCs w:val="22"/>
              </w:rPr>
              <w:t xml:space="preserve">ncreased </w:t>
            </w:r>
            <w:r>
              <w:rPr>
                <w:rFonts w:asciiTheme="minorHAnsi" w:hAnsiTheme="minorHAnsi" w:cstheme="minorHAnsi"/>
                <w:b/>
                <w:sz w:val="22"/>
                <w:szCs w:val="22"/>
              </w:rPr>
              <w:t>c</w:t>
            </w:r>
            <w:r w:rsidRPr="00FE685B">
              <w:rPr>
                <w:rFonts w:asciiTheme="minorHAnsi" w:hAnsiTheme="minorHAnsi" w:cstheme="minorHAnsi"/>
                <w:b/>
                <w:sz w:val="22"/>
                <w:szCs w:val="22"/>
              </w:rPr>
              <w:t>ost</w:t>
            </w:r>
          </w:p>
        </w:tc>
      </w:tr>
      <w:tr w:rsidR="0030242F" w:rsidRPr="00FE685B" w14:paraId="5BF8F0A2" w14:textId="77777777" w:rsidTr="00CA1001">
        <w:tc>
          <w:tcPr>
            <w:tcW w:w="1137" w:type="dxa"/>
          </w:tcPr>
          <w:p w14:paraId="577B2FD4" w14:textId="7B09D9E8" w:rsidR="0030242F" w:rsidRPr="00FE685B" w:rsidRDefault="0030242F" w:rsidP="00FE685B">
            <w:pPr>
              <w:spacing w:after="0"/>
              <w:jc w:val="right"/>
              <w:rPr>
                <w:rFonts w:asciiTheme="minorHAnsi" w:hAnsiTheme="minorHAnsi" w:cstheme="minorHAnsi"/>
                <w:sz w:val="22"/>
                <w:szCs w:val="22"/>
              </w:rPr>
            </w:pPr>
            <w:r w:rsidRPr="00FE685B">
              <w:rPr>
                <w:rFonts w:asciiTheme="minorHAnsi" w:hAnsiTheme="minorHAnsi" w:cstheme="minorHAnsi"/>
                <w:sz w:val="22"/>
                <w:szCs w:val="22"/>
              </w:rPr>
              <w:t>3.95%</w:t>
            </w:r>
          </w:p>
        </w:tc>
        <w:tc>
          <w:tcPr>
            <w:tcW w:w="1026" w:type="dxa"/>
          </w:tcPr>
          <w:p w14:paraId="2BE6B527" w14:textId="38D0F22E" w:rsidR="0030242F" w:rsidRPr="00FE685B" w:rsidRDefault="0030242F" w:rsidP="00FE685B">
            <w:pPr>
              <w:spacing w:after="0"/>
              <w:jc w:val="right"/>
              <w:rPr>
                <w:rFonts w:asciiTheme="minorHAnsi" w:hAnsiTheme="minorHAnsi" w:cstheme="minorHAnsi"/>
                <w:sz w:val="22"/>
                <w:szCs w:val="22"/>
              </w:rPr>
            </w:pPr>
            <w:r w:rsidRPr="00FE685B">
              <w:rPr>
                <w:rFonts w:asciiTheme="minorHAnsi" w:hAnsiTheme="minorHAnsi" w:cstheme="minorHAnsi"/>
                <w:sz w:val="22"/>
                <w:szCs w:val="22"/>
              </w:rPr>
              <w:t>25.145%</w:t>
            </w:r>
          </w:p>
        </w:tc>
        <w:tc>
          <w:tcPr>
            <w:tcW w:w="1099" w:type="dxa"/>
          </w:tcPr>
          <w:p w14:paraId="4CC06A8A" w14:textId="573AE198" w:rsidR="0030242F" w:rsidRPr="00FE685B" w:rsidRDefault="0030242F" w:rsidP="00FE685B">
            <w:pPr>
              <w:spacing w:after="0"/>
              <w:jc w:val="right"/>
              <w:rPr>
                <w:rFonts w:asciiTheme="minorHAnsi" w:hAnsiTheme="minorHAnsi" w:cstheme="minorHAnsi"/>
                <w:sz w:val="22"/>
                <w:szCs w:val="22"/>
              </w:rPr>
            </w:pPr>
            <w:r w:rsidRPr="00FE685B">
              <w:rPr>
                <w:rFonts w:asciiTheme="minorHAnsi" w:hAnsiTheme="minorHAnsi" w:cstheme="minorHAnsi"/>
                <w:sz w:val="22"/>
                <w:szCs w:val="22"/>
              </w:rPr>
              <w:t>5.06%</w:t>
            </w:r>
          </w:p>
        </w:tc>
        <w:tc>
          <w:tcPr>
            <w:tcW w:w="1016" w:type="dxa"/>
          </w:tcPr>
          <w:p w14:paraId="0CC41404" w14:textId="786FAEAC" w:rsidR="0030242F" w:rsidRPr="00FE685B" w:rsidRDefault="0030242F" w:rsidP="00FE685B">
            <w:pPr>
              <w:spacing w:after="0"/>
              <w:jc w:val="right"/>
              <w:rPr>
                <w:rFonts w:asciiTheme="minorHAnsi" w:hAnsiTheme="minorHAnsi" w:cstheme="minorHAnsi"/>
                <w:sz w:val="22"/>
                <w:szCs w:val="22"/>
              </w:rPr>
            </w:pPr>
            <w:r w:rsidRPr="00FE685B">
              <w:rPr>
                <w:rFonts w:asciiTheme="minorHAnsi" w:hAnsiTheme="minorHAnsi" w:cstheme="minorHAnsi"/>
                <w:sz w:val="22"/>
                <w:szCs w:val="22"/>
              </w:rPr>
              <w:t>16.943%</w:t>
            </w:r>
          </w:p>
        </w:tc>
        <w:tc>
          <w:tcPr>
            <w:tcW w:w="1099" w:type="dxa"/>
          </w:tcPr>
          <w:p w14:paraId="2CB878C4" w14:textId="78D46016" w:rsidR="0030242F" w:rsidRPr="00FE685B" w:rsidRDefault="0030242F" w:rsidP="00FE685B">
            <w:pPr>
              <w:spacing w:after="0"/>
              <w:jc w:val="right"/>
              <w:rPr>
                <w:rFonts w:asciiTheme="minorHAnsi" w:hAnsiTheme="minorHAnsi" w:cstheme="minorHAnsi"/>
                <w:sz w:val="22"/>
                <w:szCs w:val="22"/>
              </w:rPr>
            </w:pPr>
            <w:r w:rsidRPr="00FE685B">
              <w:rPr>
                <w:rFonts w:asciiTheme="minorHAnsi" w:hAnsiTheme="minorHAnsi" w:cstheme="minorHAnsi"/>
                <w:sz w:val="22"/>
                <w:szCs w:val="22"/>
              </w:rPr>
              <w:t>4.38%</w:t>
            </w:r>
          </w:p>
        </w:tc>
        <w:tc>
          <w:tcPr>
            <w:tcW w:w="919" w:type="dxa"/>
          </w:tcPr>
          <w:p w14:paraId="594095CC" w14:textId="57879976" w:rsidR="0030242F" w:rsidRPr="00FE685B" w:rsidRDefault="0030242F" w:rsidP="00FE685B">
            <w:pPr>
              <w:spacing w:after="0"/>
              <w:jc w:val="right"/>
              <w:rPr>
                <w:rFonts w:asciiTheme="minorHAnsi" w:hAnsiTheme="minorHAnsi" w:cstheme="minorHAnsi"/>
                <w:sz w:val="22"/>
                <w:szCs w:val="22"/>
              </w:rPr>
            </w:pPr>
            <w:r w:rsidRPr="00FE685B">
              <w:rPr>
                <w:rFonts w:asciiTheme="minorHAnsi" w:hAnsiTheme="minorHAnsi" w:cstheme="minorHAnsi"/>
                <w:sz w:val="22"/>
                <w:szCs w:val="22"/>
              </w:rPr>
              <w:t>8.471%</w:t>
            </w:r>
          </w:p>
        </w:tc>
        <w:tc>
          <w:tcPr>
            <w:tcW w:w="1099" w:type="dxa"/>
          </w:tcPr>
          <w:p w14:paraId="3F3DCEC3" w14:textId="241B432F" w:rsidR="0030242F" w:rsidRPr="00FE685B" w:rsidRDefault="0030242F" w:rsidP="00FE685B">
            <w:pPr>
              <w:spacing w:after="0"/>
              <w:jc w:val="right"/>
              <w:rPr>
                <w:rFonts w:asciiTheme="minorHAnsi" w:hAnsiTheme="minorHAnsi" w:cstheme="minorHAnsi"/>
                <w:sz w:val="22"/>
                <w:szCs w:val="22"/>
              </w:rPr>
            </w:pPr>
            <w:r w:rsidRPr="00FE685B">
              <w:rPr>
                <w:rFonts w:asciiTheme="minorHAnsi" w:hAnsiTheme="minorHAnsi" w:cstheme="minorHAnsi"/>
                <w:sz w:val="22"/>
                <w:szCs w:val="22"/>
              </w:rPr>
              <w:t>4.15%</w:t>
            </w:r>
          </w:p>
        </w:tc>
        <w:tc>
          <w:tcPr>
            <w:tcW w:w="1099" w:type="dxa"/>
          </w:tcPr>
          <w:p w14:paraId="1DBFA3BB" w14:textId="00C08CED" w:rsidR="0030242F" w:rsidRPr="00FE685B" w:rsidRDefault="0030242F" w:rsidP="00FE685B">
            <w:pPr>
              <w:spacing w:after="0"/>
              <w:jc w:val="right"/>
              <w:rPr>
                <w:rFonts w:asciiTheme="minorHAnsi" w:hAnsiTheme="minorHAnsi" w:cstheme="minorHAnsi"/>
                <w:sz w:val="22"/>
                <w:szCs w:val="22"/>
              </w:rPr>
            </w:pPr>
            <w:r w:rsidRPr="00FE685B">
              <w:rPr>
                <w:rFonts w:asciiTheme="minorHAnsi" w:hAnsiTheme="minorHAnsi" w:cstheme="minorHAnsi"/>
                <w:sz w:val="22"/>
                <w:szCs w:val="22"/>
              </w:rPr>
              <w:t>3.95%</w:t>
            </w:r>
          </w:p>
        </w:tc>
      </w:tr>
    </w:tbl>
    <w:p w14:paraId="758458FE" w14:textId="0E5AD868" w:rsidR="00D576C5" w:rsidRPr="00D43E0A" w:rsidRDefault="00D576C5" w:rsidP="00D576C5">
      <w:pPr>
        <w:rPr>
          <w:rFonts w:ascii="Calibri" w:hAnsi="Calibri" w:cs="Calibri"/>
          <w:bCs/>
          <w:kern w:val="32"/>
          <w:sz w:val="22"/>
          <w:szCs w:val="22"/>
        </w:rPr>
      </w:pPr>
      <w:r>
        <w:rPr>
          <w:rFonts w:ascii="Calibri" w:hAnsi="Calibri" w:cs="Calibri"/>
          <w:bCs/>
          <w:kern w:val="32"/>
          <w:sz w:val="22"/>
          <w:szCs w:val="22"/>
        </w:rPr>
        <w:t xml:space="preserve">Source: APHA analysis using private health insurance rebates and income tiers as published by the Australian Taxation Office. </w:t>
      </w:r>
    </w:p>
    <w:p w14:paraId="6C41DB65" w14:textId="789E3D74" w:rsidR="0030242F" w:rsidRPr="00D43E0A" w:rsidRDefault="0030242F" w:rsidP="0030242F">
      <w:pPr>
        <w:rPr>
          <w:rFonts w:ascii="Calibri" w:hAnsi="Calibri" w:cs="Calibri"/>
          <w:bCs/>
          <w:kern w:val="32"/>
          <w:sz w:val="22"/>
          <w:szCs w:val="22"/>
        </w:rPr>
      </w:pPr>
      <w:r>
        <w:rPr>
          <w:rFonts w:ascii="Calibri" w:hAnsi="Calibri" w:cs="Calibri"/>
          <w:bCs/>
          <w:kern w:val="32"/>
          <w:sz w:val="22"/>
          <w:szCs w:val="22"/>
        </w:rPr>
        <w:t>Furthermore, households on the Base Tier</w:t>
      </w:r>
      <w:r w:rsidRPr="00D43E0A">
        <w:rPr>
          <w:rFonts w:ascii="Calibri" w:hAnsi="Calibri" w:cs="Calibri"/>
          <w:bCs/>
          <w:kern w:val="32"/>
          <w:sz w:val="22"/>
          <w:szCs w:val="22"/>
        </w:rPr>
        <w:t xml:space="preserve"> are not liable for the Medicare Levy Surcharge </w:t>
      </w:r>
      <w:r>
        <w:rPr>
          <w:rFonts w:ascii="Calibri" w:hAnsi="Calibri" w:cs="Calibri"/>
          <w:bCs/>
          <w:kern w:val="32"/>
          <w:sz w:val="22"/>
          <w:szCs w:val="22"/>
        </w:rPr>
        <w:t>therefore</w:t>
      </w:r>
      <w:r w:rsidRPr="00D43E0A">
        <w:rPr>
          <w:rFonts w:ascii="Calibri" w:hAnsi="Calibri" w:cs="Calibri"/>
          <w:bCs/>
          <w:kern w:val="32"/>
          <w:sz w:val="22"/>
          <w:szCs w:val="22"/>
        </w:rPr>
        <w:t xml:space="preserve"> there is no tax advantage for them to hold private health insurance.</w:t>
      </w:r>
    </w:p>
    <w:p w14:paraId="6560E656" w14:textId="77777777" w:rsidR="0030242F" w:rsidRDefault="0030242F">
      <w:pPr>
        <w:spacing w:after="200" w:line="276" w:lineRule="auto"/>
        <w:rPr>
          <w:b/>
          <w:color w:val="23378B"/>
          <w:kern w:val="32"/>
          <w:sz w:val="56"/>
          <w:szCs w:val="56"/>
        </w:rPr>
      </w:pPr>
      <w:r>
        <w:br w:type="page"/>
      </w:r>
    </w:p>
    <w:p w14:paraId="38830A22" w14:textId="340E44CB" w:rsidR="00F74B51" w:rsidRPr="001C00B1" w:rsidRDefault="00F74B51" w:rsidP="00F74B51">
      <w:pPr>
        <w:pStyle w:val="Heading1"/>
      </w:pPr>
      <w:bookmarkStart w:id="8" w:name="_Toc532567956"/>
      <w:r w:rsidRPr="001C00B1">
        <w:t>Private health insurance</w:t>
      </w:r>
      <w:r w:rsidR="00384A84">
        <w:t xml:space="preserve"> reform - </w:t>
      </w:r>
      <w:r w:rsidRPr="001C00B1">
        <w:t xml:space="preserve"> communication</w:t>
      </w:r>
      <w:r w:rsidR="00384A84">
        <w:t xml:space="preserve"> campaign</w:t>
      </w:r>
      <w:bookmarkEnd w:id="8"/>
    </w:p>
    <w:p w14:paraId="4939DF85" w14:textId="025CFACF" w:rsidR="00CA1001" w:rsidRPr="00C36BD0" w:rsidRDefault="00CA1001" w:rsidP="00CA1001">
      <w:pPr>
        <w:pStyle w:val="Heading2"/>
        <w:rPr>
          <w:rFonts w:eastAsia="Calibri"/>
        </w:rPr>
      </w:pPr>
      <w:bookmarkStart w:id="9" w:name="_Toc532567957"/>
      <w:r>
        <w:rPr>
          <w:rFonts w:eastAsia="Calibri"/>
        </w:rPr>
        <w:t xml:space="preserve">Budget </w:t>
      </w:r>
      <w:r w:rsidR="001F0367">
        <w:rPr>
          <w:rFonts w:eastAsia="Calibri"/>
        </w:rPr>
        <w:t>p</w:t>
      </w:r>
      <w:r>
        <w:rPr>
          <w:rFonts w:eastAsia="Calibri"/>
        </w:rPr>
        <w:t>roposal</w:t>
      </w:r>
      <w:bookmarkEnd w:id="9"/>
    </w:p>
    <w:p w14:paraId="4C40D8B8" w14:textId="7385C699" w:rsidR="00CA1001" w:rsidRDefault="00CA1001" w:rsidP="00CA1001">
      <w:pPr>
        <w:rPr>
          <w:rFonts w:ascii="Calibri" w:hAnsi="Calibri" w:cs="Calibri"/>
          <w:bCs/>
          <w:kern w:val="32"/>
          <w:sz w:val="22"/>
          <w:szCs w:val="22"/>
        </w:rPr>
      </w:pPr>
      <w:r w:rsidRPr="00422D5F">
        <w:rPr>
          <w:rFonts w:ascii="Calibri" w:hAnsi="Calibri" w:cs="Calibri"/>
          <w:bCs/>
          <w:kern w:val="32"/>
          <w:sz w:val="22"/>
          <w:szCs w:val="22"/>
        </w:rPr>
        <w:t>A structured government led communication campaign</w:t>
      </w:r>
      <w:r w:rsidRPr="00384A84">
        <w:rPr>
          <w:rFonts w:ascii="Calibri" w:hAnsi="Calibri" w:cs="Calibri"/>
          <w:bCs/>
          <w:kern w:val="32"/>
          <w:sz w:val="22"/>
          <w:szCs w:val="22"/>
        </w:rPr>
        <w:t xml:space="preserve"> </w:t>
      </w:r>
      <w:r w:rsidRPr="00FF6DDB">
        <w:rPr>
          <w:rFonts w:ascii="Calibri" w:hAnsi="Calibri" w:cs="Calibri"/>
          <w:bCs/>
          <w:kern w:val="32"/>
          <w:sz w:val="22"/>
          <w:szCs w:val="22"/>
        </w:rPr>
        <w:t>is needed to support the implementation reforms aimed at providing clarity for consumers</w:t>
      </w:r>
      <w:r>
        <w:rPr>
          <w:rFonts w:ascii="Calibri" w:hAnsi="Calibri" w:cs="Calibri"/>
          <w:bCs/>
          <w:kern w:val="32"/>
          <w:sz w:val="22"/>
          <w:szCs w:val="22"/>
        </w:rPr>
        <w:t xml:space="preserve">. </w:t>
      </w:r>
      <w:r w:rsidRPr="00FF6DDB">
        <w:rPr>
          <w:rFonts w:ascii="Calibri" w:hAnsi="Calibri" w:cs="Calibri"/>
          <w:bCs/>
          <w:kern w:val="32"/>
          <w:sz w:val="22"/>
          <w:szCs w:val="22"/>
        </w:rPr>
        <w:t>This information campaign needs to be led by government and extend throughout the full implementation period (i.e. to Wednesday 1 April 2020)</w:t>
      </w:r>
      <w:r>
        <w:rPr>
          <w:rFonts w:ascii="Calibri" w:hAnsi="Calibri" w:cs="Calibri"/>
          <w:bCs/>
          <w:kern w:val="32"/>
          <w:sz w:val="22"/>
          <w:szCs w:val="22"/>
        </w:rPr>
        <w:t>. The campaign needs to highlight:</w:t>
      </w:r>
    </w:p>
    <w:p w14:paraId="6EC6D7CB" w14:textId="77777777" w:rsidR="00CA1001" w:rsidRDefault="00CA1001" w:rsidP="00CA1001">
      <w:pPr>
        <w:pStyle w:val="ListParagraph"/>
        <w:numPr>
          <w:ilvl w:val="0"/>
          <w:numId w:val="52"/>
        </w:numPr>
        <w:rPr>
          <w:rFonts w:ascii="Calibri" w:hAnsi="Calibri" w:cs="Calibri"/>
          <w:bCs/>
          <w:kern w:val="32"/>
          <w:sz w:val="22"/>
          <w:szCs w:val="22"/>
        </w:rPr>
      </w:pPr>
      <w:r>
        <w:rPr>
          <w:rFonts w:ascii="Calibri" w:hAnsi="Calibri" w:cs="Calibri"/>
          <w:bCs/>
          <w:kern w:val="32"/>
          <w:sz w:val="22"/>
          <w:szCs w:val="22"/>
        </w:rPr>
        <w:t>The importance of consumers seeking information as to why their premiums have increases and how their policies may change at 1 April.</w:t>
      </w:r>
    </w:p>
    <w:p w14:paraId="5D51757D" w14:textId="77777777" w:rsidR="00CA1001" w:rsidRDefault="00CA1001" w:rsidP="00CA1001">
      <w:pPr>
        <w:pStyle w:val="ListParagraph"/>
        <w:numPr>
          <w:ilvl w:val="0"/>
          <w:numId w:val="52"/>
        </w:numPr>
        <w:rPr>
          <w:rFonts w:ascii="Calibri" w:hAnsi="Calibri" w:cs="Calibri"/>
          <w:bCs/>
          <w:kern w:val="32"/>
          <w:sz w:val="22"/>
          <w:szCs w:val="22"/>
        </w:rPr>
      </w:pPr>
      <w:r>
        <w:rPr>
          <w:rFonts w:ascii="Calibri" w:hAnsi="Calibri" w:cs="Calibri"/>
          <w:bCs/>
          <w:kern w:val="32"/>
          <w:sz w:val="22"/>
          <w:szCs w:val="22"/>
        </w:rPr>
        <w:t>The importance of notifications provided by health insurers regarding detrimental changes to health insurance cover.</w:t>
      </w:r>
    </w:p>
    <w:p w14:paraId="1915283C" w14:textId="77777777" w:rsidR="00CA1001" w:rsidRDefault="00CA1001" w:rsidP="00CA1001">
      <w:pPr>
        <w:pStyle w:val="ListParagraph"/>
        <w:numPr>
          <w:ilvl w:val="0"/>
          <w:numId w:val="52"/>
        </w:numPr>
        <w:rPr>
          <w:rFonts w:ascii="Calibri" w:hAnsi="Calibri" w:cs="Calibri"/>
          <w:bCs/>
          <w:kern w:val="32"/>
          <w:sz w:val="22"/>
          <w:szCs w:val="22"/>
        </w:rPr>
      </w:pPr>
      <w:r>
        <w:rPr>
          <w:rFonts w:ascii="Calibri" w:hAnsi="Calibri" w:cs="Calibri"/>
          <w:bCs/>
          <w:kern w:val="32"/>
          <w:sz w:val="22"/>
          <w:szCs w:val="22"/>
        </w:rPr>
        <w:t>Consumer’s right to switch policies without loss of cover</w:t>
      </w:r>
    </w:p>
    <w:p w14:paraId="5BB547E2" w14:textId="77777777" w:rsidR="00CA1001" w:rsidRPr="00422D5F" w:rsidRDefault="00CA1001" w:rsidP="00CA1001">
      <w:pPr>
        <w:pStyle w:val="ListParagraph"/>
        <w:numPr>
          <w:ilvl w:val="0"/>
          <w:numId w:val="52"/>
        </w:numPr>
        <w:rPr>
          <w:rFonts w:ascii="Calibri" w:hAnsi="Calibri" w:cs="Calibri"/>
          <w:bCs/>
          <w:kern w:val="32"/>
          <w:sz w:val="22"/>
          <w:szCs w:val="22"/>
        </w:rPr>
      </w:pPr>
      <w:r>
        <w:rPr>
          <w:rFonts w:ascii="Calibri" w:hAnsi="Calibri" w:cs="Calibri"/>
          <w:bCs/>
          <w:kern w:val="32"/>
          <w:sz w:val="22"/>
          <w:szCs w:val="22"/>
        </w:rPr>
        <w:t>The availability of independent and impartial advice from privatehealth.gov.au</w:t>
      </w:r>
    </w:p>
    <w:p w14:paraId="1D7DA9AD" w14:textId="77777777" w:rsidR="00CA1001" w:rsidRPr="00CA1001" w:rsidRDefault="00CA1001" w:rsidP="00CA1001">
      <w:pPr>
        <w:pStyle w:val="Heading2"/>
        <w:rPr>
          <w:rFonts w:eastAsia="Calibri"/>
        </w:rPr>
      </w:pPr>
      <w:bookmarkStart w:id="10" w:name="_Toc532567958"/>
      <w:r w:rsidRPr="00CA1001">
        <w:rPr>
          <w:rFonts w:eastAsia="Calibri"/>
        </w:rPr>
        <w:t>Rationale</w:t>
      </w:r>
      <w:bookmarkEnd w:id="10"/>
    </w:p>
    <w:p w14:paraId="16288E6D" w14:textId="69A296BC" w:rsidR="00F74B51" w:rsidRPr="00D43E0A" w:rsidRDefault="00F74B51" w:rsidP="00073DD7">
      <w:pPr>
        <w:rPr>
          <w:rFonts w:ascii="Calibri" w:hAnsi="Calibri" w:cs="Calibri"/>
          <w:bCs/>
          <w:kern w:val="32"/>
          <w:sz w:val="22"/>
          <w:szCs w:val="22"/>
        </w:rPr>
      </w:pPr>
      <w:r w:rsidRPr="00D43E0A">
        <w:rPr>
          <w:rFonts w:ascii="Calibri" w:hAnsi="Calibri" w:cs="Calibri"/>
          <w:bCs/>
          <w:kern w:val="32"/>
          <w:sz w:val="22"/>
          <w:szCs w:val="22"/>
        </w:rPr>
        <w:t>Consumers are increasingly concerned about finding affordable and appropriate private health insurance products. They struggle to obtain the information they need to make the right decision for their family.</w:t>
      </w:r>
    </w:p>
    <w:p w14:paraId="0B7A3AC5" w14:textId="77777777" w:rsidR="00F74B51" w:rsidRPr="00D43E0A" w:rsidRDefault="00F74B51" w:rsidP="00073DD7">
      <w:pPr>
        <w:rPr>
          <w:rFonts w:ascii="Calibri" w:hAnsi="Calibri" w:cs="Calibri"/>
          <w:bCs/>
          <w:kern w:val="32"/>
          <w:sz w:val="22"/>
          <w:szCs w:val="22"/>
        </w:rPr>
      </w:pPr>
      <w:r w:rsidRPr="00D43E0A">
        <w:rPr>
          <w:rFonts w:ascii="Calibri" w:hAnsi="Calibri" w:cs="Calibri"/>
          <w:bCs/>
          <w:kern w:val="32"/>
          <w:sz w:val="22"/>
          <w:szCs w:val="22"/>
        </w:rPr>
        <w:t>Consumers often find health a difficult area in which to exercise informed choice. The Australian Competition and Consumer Commission (ACCC) has repeatedly cited concerns consumers are at a disadvantage when it comes to choosing private health insurance.</w:t>
      </w:r>
    </w:p>
    <w:p w14:paraId="43543A4A" w14:textId="3F393059" w:rsidR="00F74B51" w:rsidRDefault="00F74B51" w:rsidP="00073DD7">
      <w:pPr>
        <w:rPr>
          <w:rFonts w:ascii="Calibri" w:hAnsi="Calibri" w:cs="Calibri"/>
          <w:bCs/>
          <w:kern w:val="32"/>
          <w:sz w:val="22"/>
          <w:szCs w:val="22"/>
        </w:rPr>
      </w:pPr>
      <w:r w:rsidRPr="00D43E0A">
        <w:rPr>
          <w:rFonts w:ascii="Calibri" w:hAnsi="Calibri" w:cs="Calibri"/>
          <w:bCs/>
          <w:kern w:val="32"/>
          <w:sz w:val="22"/>
          <w:szCs w:val="22"/>
        </w:rPr>
        <w:t xml:space="preserve">The cost to family budgets from increasing premiums often means Australians are choosing products </w:t>
      </w:r>
      <w:r w:rsidR="001B67FD" w:rsidRPr="00D43E0A">
        <w:rPr>
          <w:rFonts w:ascii="Calibri" w:hAnsi="Calibri" w:cs="Calibri"/>
          <w:bCs/>
          <w:kern w:val="32"/>
          <w:sz w:val="22"/>
          <w:szCs w:val="22"/>
        </w:rPr>
        <w:t>with</w:t>
      </w:r>
      <w:r w:rsidRPr="00D43E0A">
        <w:rPr>
          <w:rFonts w:ascii="Calibri" w:hAnsi="Calibri" w:cs="Calibri"/>
          <w:bCs/>
          <w:kern w:val="32"/>
          <w:sz w:val="22"/>
          <w:szCs w:val="22"/>
        </w:rPr>
        <w:t xml:space="preserve"> ‘exclusions’. Australians often buy these health insurance products with little or no understanding of what they can and cannot access through their cover. </w:t>
      </w:r>
    </w:p>
    <w:p w14:paraId="2F11C07F" w14:textId="121C7560" w:rsidR="00582129" w:rsidRDefault="0030242F" w:rsidP="00073DD7">
      <w:pPr>
        <w:rPr>
          <w:rFonts w:ascii="Calibri" w:hAnsi="Calibri" w:cs="Calibri"/>
          <w:bCs/>
          <w:kern w:val="32"/>
          <w:sz w:val="22"/>
          <w:szCs w:val="22"/>
        </w:rPr>
      </w:pPr>
      <w:r>
        <w:rPr>
          <w:rFonts w:ascii="Calibri" w:hAnsi="Calibri" w:cs="Calibri"/>
          <w:bCs/>
          <w:kern w:val="32"/>
          <w:sz w:val="22"/>
          <w:szCs w:val="22"/>
        </w:rPr>
        <w:t xml:space="preserve">The significant reforms announced by the Federal Government are intended to provide clarity to consumers by ensuring private health insurance policies are consistently branded as “Gold”, “Silver” or “Bronze” and </w:t>
      </w:r>
      <w:r w:rsidR="00582129">
        <w:rPr>
          <w:rFonts w:ascii="Calibri" w:hAnsi="Calibri" w:cs="Calibri"/>
          <w:bCs/>
          <w:kern w:val="32"/>
          <w:sz w:val="22"/>
          <w:szCs w:val="22"/>
        </w:rPr>
        <w:t xml:space="preserve">coverage is described using a </w:t>
      </w:r>
      <w:r>
        <w:rPr>
          <w:rFonts w:ascii="Calibri" w:hAnsi="Calibri" w:cs="Calibri"/>
          <w:bCs/>
          <w:kern w:val="32"/>
          <w:sz w:val="22"/>
          <w:szCs w:val="22"/>
        </w:rPr>
        <w:t>clinical terminology</w:t>
      </w:r>
      <w:r w:rsidR="00CA1001">
        <w:rPr>
          <w:rFonts w:ascii="Calibri" w:hAnsi="Calibri" w:cs="Calibri"/>
          <w:bCs/>
          <w:kern w:val="32"/>
          <w:sz w:val="22"/>
          <w:szCs w:val="22"/>
        </w:rPr>
        <w:t xml:space="preserve">. </w:t>
      </w:r>
      <w:r w:rsidR="00582129">
        <w:rPr>
          <w:rFonts w:ascii="Calibri" w:hAnsi="Calibri" w:cs="Calibri"/>
          <w:bCs/>
          <w:kern w:val="32"/>
          <w:sz w:val="22"/>
          <w:szCs w:val="22"/>
        </w:rPr>
        <w:t>These reforms are welcome however the implementation period will be one of heightened risk for consumers a</w:t>
      </w:r>
      <w:r w:rsidR="005C4983">
        <w:rPr>
          <w:rFonts w:ascii="Calibri" w:hAnsi="Calibri" w:cs="Calibri"/>
          <w:bCs/>
          <w:kern w:val="32"/>
          <w:sz w:val="22"/>
          <w:szCs w:val="22"/>
        </w:rPr>
        <w:t>s</w:t>
      </w:r>
      <w:r w:rsidR="00582129">
        <w:rPr>
          <w:rFonts w:ascii="Calibri" w:hAnsi="Calibri" w:cs="Calibri"/>
          <w:bCs/>
          <w:kern w:val="32"/>
          <w:sz w:val="22"/>
          <w:szCs w:val="22"/>
        </w:rPr>
        <w:t xml:space="preserve"> health insurers adjust their policies to fit the new requirements</w:t>
      </w:r>
      <w:r w:rsidR="00CA1001">
        <w:rPr>
          <w:rFonts w:ascii="Calibri" w:hAnsi="Calibri" w:cs="Calibri"/>
          <w:bCs/>
          <w:kern w:val="32"/>
          <w:sz w:val="22"/>
          <w:szCs w:val="22"/>
        </w:rPr>
        <w:t xml:space="preserve">. </w:t>
      </w:r>
    </w:p>
    <w:p w14:paraId="114D02BA" w14:textId="59A979AC" w:rsidR="00F74B51" w:rsidRPr="00C36BD0" w:rsidRDefault="00F74B51" w:rsidP="00F74B51">
      <w:pPr>
        <w:pStyle w:val="Heading2"/>
        <w:rPr>
          <w:rFonts w:eastAsia="Calibri"/>
        </w:rPr>
      </w:pPr>
      <w:bookmarkStart w:id="11" w:name="_Toc532567959"/>
      <w:r w:rsidRPr="00C36BD0">
        <w:rPr>
          <w:rFonts w:eastAsia="Calibri"/>
        </w:rPr>
        <w:t xml:space="preserve">What this means for Australian </w:t>
      </w:r>
      <w:r w:rsidR="004937AD">
        <w:t>c</w:t>
      </w:r>
      <w:r w:rsidRPr="00C36BD0">
        <w:t>onsumers</w:t>
      </w:r>
      <w:bookmarkEnd w:id="11"/>
    </w:p>
    <w:p w14:paraId="526E44E1" w14:textId="77777777" w:rsidR="00F74B51" w:rsidRPr="00D43E0A" w:rsidRDefault="00F74B51" w:rsidP="00073DD7">
      <w:pPr>
        <w:rPr>
          <w:rFonts w:ascii="Calibri" w:hAnsi="Calibri" w:cs="Calibri"/>
          <w:bCs/>
          <w:kern w:val="32"/>
          <w:sz w:val="22"/>
          <w:szCs w:val="22"/>
        </w:rPr>
      </w:pPr>
      <w:r w:rsidRPr="00D43E0A">
        <w:rPr>
          <w:rFonts w:ascii="Calibri" w:hAnsi="Calibri" w:cs="Calibri"/>
          <w:bCs/>
          <w:kern w:val="32"/>
          <w:sz w:val="22"/>
          <w:szCs w:val="22"/>
        </w:rPr>
        <w:t>Too often, consumers are unaware of important gaps in their health insurance cover until seeking treatment and/or making a claim. Consumers may find they are not covered at all for the treatment required, or face significant and unexpected out-of-pocket costs. The resultant ‘bill shock’ can lead to:</w:t>
      </w:r>
    </w:p>
    <w:p w14:paraId="6B554520" w14:textId="77777777" w:rsidR="00F74B51" w:rsidRPr="00FF6DDB" w:rsidRDefault="00F74B51" w:rsidP="00286F4F">
      <w:pPr>
        <w:pStyle w:val="ListParagraph"/>
        <w:numPr>
          <w:ilvl w:val="0"/>
          <w:numId w:val="11"/>
        </w:numPr>
        <w:rPr>
          <w:rFonts w:ascii="Calibri" w:hAnsi="Calibri" w:cs="Calibri"/>
          <w:bCs/>
          <w:kern w:val="32"/>
          <w:sz w:val="22"/>
          <w:szCs w:val="22"/>
        </w:rPr>
      </w:pPr>
      <w:r w:rsidRPr="00FF6DDB">
        <w:rPr>
          <w:rFonts w:ascii="Calibri" w:hAnsi="Calibri" w:cs="Calibri"/>
          <w:bCs/>
          <w:kern w:val="32"/>
          <w:sz w:val="22"/>
          <w:szCs w:val="22"/>
        </w:rPr>
        <w:t>Consumers’ inability to afford access to timely treatment</w:t>
      </w:r>
    </w:p>
    <w:p w14:paraId="4149D137" w14:textId="77777777" w:rsidR="00F74B51" w:rsidRPr="00FF6DDB" w:rsidRDefault="00F74B51" w:rsidP="00286F4F">
      <w:pPr>
        <w:pStyle w:val="ListParagraph"/>
        <w:numPr>
          <w:ilvl w:val="0"/>
          <w:numId w:val="11"/>
        </w:numPr>
        <w:rPr>
          <w:rFonts w:ascii="Calibri" w:hAnsi="Calibri" w:cs="Calibri"/>
          <w:bCs/>
          <w:kern w:val="32"/>
          <w:sz w:val="22"/>
          <w:szCs w:val="22"/>
        </w:rPr>
      </w:pPr>
      <w:r w:rsidRPr="00FF6DDB">
        <w:rPr>
          <w:rFonts w:ascii="Calibri" w:hAnsi="Calibri" w:cs="Calibri"/>
          <w:bCs/>
          <w:kern w:val="32"/>
          <w:sz w:val="22"/>
          <w:szCs w:val="22"/>
        </w:rPr>
        <w:t>Consumers’ inability to access the doctor or facility of their choice</w:t>
      </w:r>
    </w:p>
    <w:p w14:paraId="47EBF6BC" w14:textId="77777777" w:rsidR="00F74B51" w:rsidRPr="00FF6DDB" w:rsidRDefault="00F74B51" w:rsidP="00286F4F">
      <w:pPr>
        <w:pStyle w:val="ListParagraph"/>
        <w:numPr>
          <w:ilvl w:val="0"/>
          <w:numId w:val="11"/>
        </w:numPr>
        <w:rPr>
          <w:rFonts w:ascii="Calibri" w:hAnsi="Calibri" w:cs="Calibri"/>
          <w:bCs/>
          <w:kern w:val="32"/>
          <w:sz w:val="22"/>
          <w:szCs w:val="22"/>
        </w:rPr>
      </w:pPr>
      <w:r w:rsidRPr="00FF6DDB">
        <w:rPr>
          <w:rFonts w:ascii="Calibri" w:hAnsi="Calibri" w:cs="Calibri"/>
          <w:bCs/>
          <w:kern w:val="32"/>
          <w:sz w:val="22"/>
          <w:szCs w:val="22"/>
        </w:rPr>
        <w:t xml:space="preserve">Financial stress and hardship at a time of ill-health </w:t>
      </w:r>
    </w:p>
    <w:p w14:paraId="42655646" w14:textId="77777777" w:rsidR="00F74B51" w:rsidRPr="00FF6DDB" w:rsidRDefault="00F74B51" w:rsidP="00286F4F">
      <w:pPr>
        <w:pStyle w:val="ListParagraph"/>
        <w:numPr>
          <w:ilvl w:val="0"/>
          <w:numId w:val="11"/>
        </w:numPr>
        <w:rPr>
          <w:rFonts w:ascii="Calibri" w:hAnsi="Calibri" w:cs="Calibri"/>
          <w:bCs/>
          <w:kern w:val="32"/>
          <w:sz w:val="22"/>
          <w:szCs w:val="22"/>
        </w:rPr>
      </w:pPr>
      <w:r w:rsidRPr="00FF6DDB">
        <w:rPr>
          <w:rFonts w:ascii="Calibri" w:hAnsi="Calibri" w:cs="Calibri"/>
          <w:bCs/>
          <w:kern w:val="32"/>
          <w:sz w:val="22"/>
          <w:szCs w:val="22"/>
        </w:rPr>
        <w:t>Consumers falling back to reliance on already overstretched public hospitals.</w:t>
      </w:r>
    </w:p>
    <w:p w14:paraId="06987D96" w14:textId="18A994E8" w:rsidR="00F74B51" w:rsidRDefault="00F74B51" w:rsidP="00073DD7">
      <w:pPr>
        <w:rPr>
          <w:rFonts w:ascii="Calibri" w:hAnsi="Calibri" w:cs="Calibri"/>
          <w:bCs/>
          <w:kern w:val="32"/>
          <w:sz w:val="22"/>
          <w:szCs w:val="22"/>
        </w:rPr>
      </w:pPr>
      <w:r w:rsidRPr="00D43E0A">
        <w:rPr>
          <w:rFonts w:ascii="Calibri" w:hAnsi="Calibri" w:cs="Calibri"/>
          <w:bCs/>
          <w:kern w:val="32"/>
          <w:sz w:val="22"/>
          <w:szCs w:val="22"/>
        </w:rPr>
        <w:t>APHA’s 2017 consumer survey shows Australians’ know very little about the restrictions on their private health insurance cover. For example, 32</w:t>
      </w:r>
      <w:r w:rsidR="00E53A88" w:rsidRPr="00D43E0A">
        <w:rPr>
          <w:rFonts w:ascii="Calibri" w:hAnsi="Calibri" w:cs="Calibri"/>
          <w:bCs/>
          <w:kern w:val="32"/>
          <w:sz w:val="22"/>
          <w:szCs w:val="22"/>
        </w:rPr>
        <w:t xml:space="preserve"> percent</w:t>
      </w:r>
      <w:r w:rsidRPr="00D43E0A">
        <w:rPr>
          <w:rFonts w:ascii="Calibri" w:hAnsi="Calibri" w:cs="Calibri"/>
          <w:bCs/>
          <w:kern w:val="32"/>
          <w:sz w:val="22"/>
          <w:szCs w:val="22"/>
        </w:rPr>
        <w:t xml:space="preserve"> do not know if they have exclusions in their policies. Of those who say they do know there are exclusions, 22</w:t>
      </w:r>
      <w:r w:rsidR="00E53A88" w:rsidRPr="00D43E0A">
        <w:rPr>
          <w:rFonts w:ascii="Calibri" w:hAnsi="Calibri" w:cs="Calibri"/>
          <w:bCs/>
          <w:kern w:val="32"/>
          <w:sz w:val="22"/>
          <w:szCs w:val="22"/>
        </w:rPr>
        <w:t xml:space="preserve"> percent </w:t>
      </w:r>
      <w:r w:rsidRPr="00D43E0A">
        <w:rPr>
          <w:rFonts w:ascii="Calibri" w:hAnsi="Calibri" w:cs="Calibri"/>
          <w:bCs/>
          <w:kern w:val="32"/>
          <w:sz w:val="22"/>
          <w:szCs w:val="22"/>
        </w:rPr>
        <w:t xml:space="preserve">of them are unsure what services are excluded. </w:t>
      </w:r>
    </w:p>
    <w:p w14:paraId="3CC2571B" w14:textId="180F178A" w:rsidR="00582129" w:rsidRDefault="00582129" w:rsidP="00073DD7">
      <w:pPr>
        <w:rPr>
          <w:rFonts w:ascii="Calibri" w:hAnsi="Calibri" w:cs="Calibri"/>
          <w:bCs/>
          <w:kern w:val="32"/>
          <w:sz w:val="22"/>
          <w:szCs w:val="22"/>
        </w:rPr>
      </w:pPr>
      <w:r>
        <w:rPr>
          <w:rFonts w:ascii="Calibri" w:hAnsi="Calibri" w:cs="Calibri"/>
          <w:bCs/>
          <w:kern w:val="32"/>
          <w:sz w:val="22"/>
          <w:szCs w:val="22"/>
        </w:rPr>
        <w:t>Even though private health insurers are required to notify members of any detrimental change to their cover, experience shows consumers</w:t>
      </w:r>
      <w:r w:rsidR="00833C18">
        <w:rPr>
          <w:rFonts w:ascii="Calibri" w:hAnsi="Calibri" w:cs="Calibri"/>
          <w:bCs/>
          <w:kern w:val="32"/>
          <w:sz w:val="22"/>
          <w:szCs w:val="22"/>
        </w:rPr>
        <w:t>’</w:t>
      </w:r>
      <w:r>
        <w:rPr>
          <w:rFonts w:ascii="Calibri" w:hAnsi="Calibri" w:cs="Calibri"/>
          <w:bCs/>
          <w:kern w:val="32"/>
          <w:sz w:val="22"/>
          <w:szCs w:val="22"/>
        </w:rPr>
        <w:t xml:space="preserve"> comprehension of these changes is low.</w:t>
      </w:r>
    </w:p>
    <w:p w14:paraId="315777B4" w14:textId="77777777" w:rsidR="00D922D3" w:rsidRDefault="00D922D3" w:rsidP="00D922D3">
      <w:pPr>
        <w:rPr>
          <w:rFonts w:ascii="Calibri" w:hAnsi="Calibri" w:cs="Calibri"/>
          <w:bCs/>
          <w:kern w:val="32"/>
          <w:sz w:val="22"/>
          <w:szCs w:val="22"/>
        </w:rPr>
      </w:pPr>
      <w:r>
        <w:rPr>
          <w:rFonts w:ascii="Calibri" w:hAnsi="Calibri" w:cs="Calibri"/>
          <w:bCs/>
          <w:kern w:val="32"/>
          <w:sz w:val="22"/>
          <w:szCs w:val="22"/>
        </w:rPr>
        <w:t>The implementation of Federal Government reforms introduces an increased level of risk for consumers in the short term.</w:t>
      </w:r>
    </w:p>
    <w:p w14:paraId="370FACA6" w14:textId="2698CAD0" w:rsidR="00D922D3" w:rsidRDefault="00D922D3" w:rsidP="00422D5F">
      <w:pPr>
        <w:pStyle w:val="ListParagraph"/>
        <w:numPr>
          <w:ilvl w:val="0"/>
          <w:numId w:val="51"/>
        </w:numPr>
        <w:rPr>
          <w:rFonts w:ascii="Calibri" w:hAnsi="Calibri" w:cs="Calibri"/>
          <w:bCs/>
          <w:kern w:val="32"/>
          <w:sz w:val="22"/>
          <w:szCs w:val="22"/>
        </w:rPr>
      </w:pPr>
      <w:r w:rsidRPr="00422D5F">
        <w:rPr>
          <w:rFonts w:ascii="Calibri" w:hAnsi="Calibri" w:cs="Calibri"/>
          <w:bCs/>
          <w:kern w:val="32"/>
          <w:sz w:val="22"/>
          <w:szCs w:val="22"/>
        </w:rPr>
        <w:t>High numbers of consumers will receive notification of significant changes to their existing policies</w:t>
      </w:r>
      <w:r w:rsidR="00CA1001">
        <w:rPr>
          <w:rFonts w:ascii="Calibri" w:hAnsi="Calibri" w:cs="Calibri"/>
          <w:bCs/>
          <w:kern w:val="32"/>
          <w:sz w:val="22"/>
          <w:szCs w:val="22"/>
        </w:rPr>
        <w:t xml:space="preserve">. </w:t>
      </w:r>
      <w:r w:rsidRPr="00422D5F">
        <w:rPr>
          <w:rFonts w:ascii="Calibri" w:hAnsi="Calibri" w:cs="Calibri"/>
          <w:bCs/>
          <w:kern w:val="32"/>
          <w:sz w:val="22"/>
          <w:szCs w:val="22"/>
        </w:rPr>
        <w:t>They will have a fixed period in which to decide whether to accept the changes to their existing coverage or move to an alternative policy</w:t>
      </w:r>
      <w:r w:rsidR="00CA1001">
        <w:rPr>
          <w:rFonts w:ascii="Calibri" w:hAnsi="Calibri" w:cs="Calibri"/>
          <w:bCs/>
          <w:kern w:val="32"/>
          <w:sz w:val="22"/>
          <w:szCs w:val="22"/>
        </w:rPr>
        <w:t xml:space="preserve">. </w:t>
      </w:r>
      <w:r w:rsidRPr="00422D5F">
        <w:rPr>
          <w:rFonts w:ascii="Calibri" w:hAnsi="Calibri" w:cs="Calibri"/>
          <w:bCs/>
          <w:kern w:val="32"/>
          <w:sz w:val="22"/>
          <w:szCs w:val="22"/>
        </w:rPr>
        <w:t>Failure to do so will result in waiting times being imposed as if the consumer were upgrading their cover. Furthermore the implementation period of 12 months means not all consumers will receive their notifications at the same time</w:t>
      </w:r>
      <w:r w:rsidR="00CA1001">
        <w:rPr>
          <w:rFonts w:ascii="Calibri" w:hAnsi="Calibri" w:cs="Calibri"/>
          <w:bCs/>
          <w:kern w:val="32"/>
          <w:sz w:val="22"/>
          <w:szCs w:val="22"/>
        </w:rPr>
        <w:t xml:space="preserve">. </w:t>
      </w:r>
      <w:r w:rsidR="00CA1001">
        <w:rPr>
          <w:rFonts w:ascii="Calibri" w:hAnsi="Calibri" w:cs="Calibri"/>
          <w:bCs/>
          <w:kern w:val="32"/>
          <w:sz w:val="22"/>
          <w:szCs w:val="22"/>
        </w:rPr>
        <w:br/>
      </w:r>
      <w:r w:rsidRPr="00422D5F">
        <w:rPr>
          <w:rFonts w:ascii="Calibri" w:hAnsi="Calibri" w:cs="Calibri"/>
          <w:bCs/>
          <w:kern w:val="32"/>
          <w:sz w:val="22"/>
          <w:szCs w:val="22"/>
        </w:rPr>
        <w:t xml:space="preserve"> </w:t>
      </w:r>
    </w:p>
    <w:p w14:paraId="32EC7F15" w14:textId="175C73F9" w:rsidR="00384A84" w:rsidRDefault="00384A84" w:rsidP="00422D5F">
      <w:pPr>
        <w:pStyle w:val="ListParagraph"/>
        <w:numPr>
          <w:ilvl w:val="0"/>
          <w:numId w:val="51"/>
        </w:numPr>
        <w:rPr>
          <w:rFonts w:ascii="Calibri" w:hAnsi="Calibri" w:cs="Calibri"/>
          <w:bCs/>
          <w:kern w:val="32"/>
          <w:sz w:val="22"/>
          <w:szCs w:val="22"/>
        </w:rPr>
      </w:pPr>
      <w:r>
        <w:rPr>
          <w:rFonts w:ascii="Calibri" w:hAnsi="Calibri" w:cs="Calibri"/>
          <w:bCs/>
          <w:kern w:val="32"/>
          <w:sz w:val="22"/>
          <w:szCs w:val="22"/>
        </w:rPr>
        <w:t>In some instances, consumers may find the premiums for their existing policies (or the equivalent level of cover offered by insurers) increase by significantly more than the industry average if health insurers have added to the extent of coverage provided. This may prompt a strong negative reaction with the risk consumers will drop their cover.</w:t>
      </w:r>
    </w:p>
    <w:p w14:paraId="5076E235" w14:textId="77777777" w:rsidR="00823870" w:rsidRDefault="00823870">
      <w:pPr>
        <w:spacing w:after="200" w:line="276" w:lineRule="auto"/>
        <w:rPr>
          <w:b/>
          <w:color w:val="23378B"/>
          <w:kern w:val="32"/>
          <w:sz w:val="56"/>
          <w:szCs w:val="56"/>
        </w:rPr>
      </w:pPr>
      <w:r>
        <w:br w:type="page"/>
      </w:r>
    </w:p>
    <w:bookmarkEnd w:id="2"/>
    <w:p w14:paraId="6CA4819C" w14:textId="0D60633E" w:rsidR="00D017E6" w:rsidRDefault="00D017E6">
      <w:pPr>
        <w:spacing w:after="200" w:line="276" w:lineRule="auto"/>
        <w:rPr>
          <w:rFonts w:ascii="Calibri" w:hAnsi="Calibri" w:cs="Calibri"/>
          <w:bCs/>
          <w:kern w:val="32"/>
          <w:sz w:val="22"/>
          <w:szCs w:val="22"/>
        </w:rPr>
      </w:pPr>
    </w:p>
    <w:p w14:paraId="4C19184F" w14:textId="021D53AC" w:rsidR="00C36CBD" w:rsidRDefault="00C36CBD">
      <w:pPr>
        <w:pStyle w:val="Heading1"/>
      </w:pPr>
      <w:bookmarkStart w:id="12" w:name="_Toc532567960"/>
      <w:r>
        <w:t>Workforce</w:t>
      </w:r>
      <w:r w:rsidR="001F0367">
        <w:t xml:space="preserve"> – meeting clinical skill shortages now and for the future</w:t>
      </w:r>
      <w:bookmarkEnd w:id="12"/>
    </w:p>
    <w:p w14:paraId="5B2BA797" w14:textId="018C63F0" w:rsidR="00422D5F" w:rsidRPr="00C36BD0" w:rsidRDefault="00422D5F" w:rsidP="00422D5F">
      <w:pPr>
        <w:pStyle w:val="Heading2"/>
        <w:rPr>
          <w:rFonts w:eastAsia="Calibri"/>
        </w:rPr>
      </w:pPr>
      <w:bookmarkStart w:id="13" w:name="_Toc532567961"/>
      <w:r>
        <w:rPr>
          <w:rFonts w:eastAsia="Calibri"/>
        </w:rPr>
        <w:t xml:space="preserve">Budget </w:t>
      </w:r>
      <w:r w:rsidR="001F0367">
        <w:rPr>
          <w:rFonts w:eastAsia="Calibri"/>
        </w:rPr>
        <w:t>p</w:t>
      </w:r>
      <w:r>
        <w:rPr>
          <w:rFonts w:eastAsia="Calibri"/>
        </w:rPr>
        <w:t>roposal</w:t>
      </w:r>
      <w:bookmarkEnd w:id="13"/>
    </w:p>
    <w:p w14:paraId="34C93402" w14:textId="77777777" w:rsidR="00422D5F" w:rsidRPr="006C31FE" w:rsidRDefault="00422D5F" w:rsidP="00422D5F">
      <w:pPr>
        <w:pStyle w:val="ListParagraph"/>
        <w:numPr>
          <w:ilvl w:val="0"/>
          <w:numId w:val="20"/>
        </w:numPr>
        <w:rPr>
          <w:rFonts w:ascii="Calibri" w:hAnsi="Calibri" w:cs="Calibri"/>
          <w:bCs/>
          <w:kern w:val="32"/>
          <w:sz w:val="22"/>
          <w:szCs w:val="22"/>
        </w:rPr>
      </w:pPr>
      <w:r w:rsidRPr="006C31FE">
        <w:rPr>
          <w:rFonts w:ascii="Calibri" w:hAnsi="Calibri" w:cs="Calibri"/>
          <w:b/>
          <w:bCs/>
          <w:kern w:val="32"/>
          <w:sz w:val="22"/>
          <w:szCs w:val="22"/>
        </w:rPr>
        <w:t xml:space="preserve">Government needs to continue to work with the private sector to provide training opportunities which would otherwise not be available. </w:t>
      </w:r>
      <w:r w:rsidRPr="006C31FE">
        <w:rPr>
          <w:rFonts w:ascii="Calibri" w:hAnsi="Calibri" w:cs="Calibri"/>
          <w:bCs/>
          <w:kern w:val="32"/>
          <w:sz w:val="22"/>
          <w:szCs w:val="22"/>
        </w:rPr>
        <w:t>Government support to continue and expand for training opportunities including:</w:t>
      </w:r>
    </w:p>
    <w:p w14:paraId="25DCF6A3" w14:textId="77777777" w:rsidR="00422D5F" w:rsidRPr="006C31FE" w:rsidRDefault="00422D5F" w:rsidP="00422D5F">
      <w:pPr>
        <w:pStyle w:val="ListParagraph"/>
        <w:numPr>
          <w:ilvl w:val="1"/>
          <w:numId w:val="20"/>
        </w:numPr>
        <w:rPr>
          <w:rFonts w:ascii="Calibri" w:hAnsi="Calibri" w:cs="Calibri"/>
          <w:bCs/>
          <w:kern w:val="32"/>
          <w:sz w:val="22"/>
          <w:szCs w:val="22"/>
        </w:rPr>
      </w:pPr>
      <w:r w:rsidRPr="006C31FE">
        <w:rPr>
          <w:rFonts w:ascii="Calibri" w:hAnsi="Calibri" w:cs="Calibri"/>
          <w:bCs/>
          <w:kern w:val="32"/>
          <w:sz w:val="22"/>
          <w:szCs w:val="22"/>
        </w:rPr>
        <w:t>Medical internships and junior doctor placements</w:t>
      </w:r>
    </w:p>
    <w:p w14:paraId="28EE90C0" w14:textId="77777777" w:rsidR="00422D5F" w:rsidRPr="006C31FE" w:rsidRDefault="00422D5F" w:rsidP="00422D5F">
      <w:pPr>
        <w:pStyle w:val="ListParagraph"/>
        <w:numPr>
          <w:ilvl w:val="1"/>
          <w:numId w:val="20"/>
        </w:numPr>
        <w:rPr>
          <w:rFonts w:ascii="Calibri" w:hAnsi="Calibri" w:cs="Calibri"/>
          <w:bCs/>
          <w:kern w:val="32"/>
          <w:sz w:val="22"/>
          <w:szCs w:val="22"/>
        </w:rPr>
      </w:pPr>
      <w:r w:rsidRPr="006C31FE">
        <w:rPr>
          <w:rFonts w:ascii="Calibri" w:hAnsi="Calibri" w:cs="Calibri"/>
          <w:bCs/>
          <w:kern w:val="32"/>
          <w:sz w:val="22"/>
          <w:szCs w:val="22"/>
        </w:rPr>
        <w:t>Specialist registrar training</w:t>
      </w:r>
    </w:p>
    <w:p w14:paraId="6333DECE" w14:textId="63596573" w:rsidR="00422D5F" w:rsidRPr="006C31FE" w:rsidRDefault="00422D5F" w:rsidP="0029054D">
      <w:pPr>
        <w:pStyle w:val="ListParagraph"/>
        <w:numPr>
          <w:ilvl w:val="1"/>
          <w:numId w:val="20"/>
        </w:numPr>
        <w:rPr>
          <w:rFonts w:ascii="Calibri" w:hAnsi="Calibri" w:cs="Calibri"/>
          <w:bCs/>
          <w:kern w:val="32"/>
          <w:sz w:val="22"/>
          <w:szCs w:val="22"/>
        </w:rPr>
      </w:pPr>
      <w:r w:rsidRPr="006C31FE">
        <w:rPr>
          <w:rFonts w:ascii="Calibri" w:hAnsi="Calibri" w:cs="Calibri"/>
          <w:bCs/>
          <w:kern w:val="32"/>
          <w:sz w:val="22"/>
          <w:szCs w:val="22"/>
        </w:rPr>
        <w:t>Student placements for medical, nursing and allied health undergraduates.</w:t>
      </w:r>
      <w:r w:rsidR="0029054D">
        <w:rPr>
          <w:rFonts w:ascii="Calibri" w:hAnsi="Calibri" w:cs="Calibri"/>
          <w:bCs/>
          <w:kern w:val="32"/>
          <w:sz w:val="22"/>
          <w:szCs w:val="22"/>
        </w:rPr>
        <w:br/>
      </w:r>
    </w:p>
    <w:p w14:paraId="57F7627F" w14:textId="77777777" w:rsidR="00422D5F" w:rsidRPr="006C31FE" w:rsidRDefault="00422D5F" w:rsidP="00422D5F">
      <w:pPr>
        <w:pStyle w:val="ListParagraph"/>
        <w:numPr>
          <w:ilvl w:val="0"/>
          <w:numId w:val="20"/>
        </w:numPr>
        <w:rPr>
          <w:rFonts w:ascii="Calibri" w:hAnsi="Calibri" w:cs="Calibri"/>
          <w:bCs/>
          <w:kern w:val="32"/>
          <w:sz w:val="22"/>
          <w:szCs w:val="22"/>
        </w:rPr>
      </w:pPr>
      <w:r w:rsidRPr="006C31FE">
        <w:rPr>
          <w:rFonts w:ascii="Calibri" w:hAnsi="Calibri" w:cs="Calibri"/>
          <w:b/>
          <w:bCs/>
          <w:kern w:val="32"/>
          <w:sz w:val="22"/>
          <w:szCs w:val="22"/>
        </w:rPr>
        <w:t>Skilled migration regulations need to be reformed to reduce the cost and complexity</w:t>
      </w:r>
      <w:r w:rsidRPr="006C31FE">
        <w:rPr>
          <w:rFonts w:ascii="Calibri" w:hAnsi="Calibri" w:cs="Calibri"/>
          <w:bCs/>
          <w:kern w:val="32"/>
          <w:sz w:val="22"/>
          <w:szCs w:val="22"/>
        </w:rPr>
        <w:t xml:space="preserve"> involved in recruiting skilled and experienced clinicians to positions which cannot be filled by Australian graduates. </w:t>
      </w:r>
    </w:p>
    <w:p w14:paraId="488A7DEC" w14:textId="77777777" w:rsidR="00422D5F" w:rsidRPr="006C31FE" w:rsidRDefault="00422D5F" w:rsidP="00422D5F">
      <w:pPr>
        <w:pStyle w:val="ListParagraph"/>
        <w:numPr>
          <w:ilvl w:val="1"/>
          <w:numId w:val="20"/>
        </w:numPr>
        <w:rPr>
          <w:rFonts w:ascii="Calibri" w:hAnsi="Calibri" w:cs="Calibri"/>
          <w:bCs/>
          <w:kern w:val="32"/>
          <w:sz w:val="22"/>
          <w:szCs w:val="22"/>
        </w:rPr>
      </w:pPr>
      <w:r w:rsidRPr="006C31FE">
        <w:rPr>
          <w:rFonts w:ascii="Calibri" w:hAnsi="Calibri" w:cs="Calibri"/>
          <w:bCs/>
          <w:kern w:val="32"/>
          <w:sz w:val="22"/>
          <w:szCs w:val="22"/>
        </w:rPr>
        <w:t>The charges to employers need to reduced.</w:t>
      </w:r>
    </w:p>
    <w:p w14:paraId="040DB422" w14:textId="77777777" w:rsidR="00422D5F" w:rsidRPr="006C31FE" w:rsidRDefault="00422D5F" w:rsidP="00422D5F">
      <w:pPr>
        <w:pStyle w:val="ListParagraph"/>
        <w:numPr>
          <w:ilvl w:val="1"/>
          <w:numId w:val="20"/>
        </w:numPr>
        <w:rPr>
          <w:rFonts w:ascii="Calibri" w:hAnsi="Calibri" w:cs="Calibri"/>
          <w:bCs/>
          <w:kern w:val="32"/>
          <w:sz w:val="22"/>
          <w:szCs w:val="22"/>
        </w:rPr>
      </w:pPr>
      <w:r w:rsidRPr="006C31FE">
        <w:rPr>
          <w:rFonts w:ascii="Calibri" w:hAnsi="Calibri" w:cs="Calibri"/>
          <w:bCs/>
          <w:kern w:val="32"/>
          <w:sz w:val="22"/>
          <w:szCs w:val="22"/>
        </w:rPr>
        <w:t>Pathways to permanent residency for highly skilled employees need to be restored</w:t>
      </w:r>
    </w:p>
    <w:p w14:paraId="1CC43753" w14:textId="77777777" w:rsidR="00422D5F" w:rsidRPr="006C31FE" w:rsidRDefault="00422D5F" w:rsidP="0029054D">
      <w:pPr>
        <w:pStyle w:val="ListParagraph"/>
        <w:numPr>
          <w:ilvl w:val="1"/>
          <w:numId w:val="20"/>
        </w:numPr>
        <w:rPr>
          <w:rFonts w:ascii="Calibri" w:hAnsi="Calibri" w:cs="Calibri"/>
          <w:bCs/>
          <w:kern w:val="32"/>
          <w:sz w:val="22"/>
          <w:szCs w:val="22"/>
        </w:rPr>
      </w:pPr>
      <w:r w:rsidRPr="006C31FE">
        <w:rPr>
          <w:rFonts w:ascii="Calibri" w:hAnsi="Calibri" w:cs="Calibri"/>
          <w:bCs/>
          <w:kern w:val="32"/>
          <w:sz w:val="22"/>
          <w:szCs w:val="22"/>
        </w:rPr>
        <w:t>Government investment in training and workforce development needs to align with skill shortages.</w:t>
      </w:r>
    </w:p>
    <w:p w14:paraId="1ECF5C73" w14:textId="17482C4F" w:rsidR="00422D5F" w:rsidRDefault="00422D5F" w:rsidP="00422D5F">
      <w:pPr>
        <w:pStyle w:val="Heading2"/>
        <w:rPr>
          <w:rFonts w:eastAsia="Calibri"/>
        </w:rPr>
      </w:pPr>
      <w:bookmarkStart w:id="14" w:name="_Toc532567962"/>
      <w:r w:rsidRPr="00422D5F">
        <w:rPr>
          <w:rFonts w:eastAsia="Calibri"/>
        </w:rPr>
        <w:t>Rationale</w:t>
      </w:r>
      <w:bookmarkEnd w:id="14"/>
    </w:p>
    <w:p w14:paraId="11399E65" w14:textId="28D008B6" w:rsidR="00422D5F" w:rsidRPr="00422D5F" w:rsidRDefault="00422D5F" w:rsidP="00422D5F">
      <w:pPr>
        <w:rPr>
          <w:b/>
        </w:rPr>
      </w:pPr>
      <w:r w:rsidRPr="00422D5F">
        <w:rPr>
          <w:b/>
        </w:rPr>
        <w:t>Training Australia’s future clinical workforce</w:t>
      </w:r>
    </w:p>
    <w:p w14:paraId="125D23F0" w14:textId="22908F1F" w:rsidR="00C36CBD" w:rsidRPr="00BE6700" w:rsidRDefault="00C36CBD" w:rsidP="006D5AB1">
      <w:pPr>
        <w:rPr>
          <w:rFonts w:ascii="Calibri" w:hAnsi="Calibri" w:cs="Calibri"/>
          <w:bCs/>
          <w:kern w:val="32"/>
          <w:sz w:val="22"/>
          <w:szCs w:val="22"/>
        </w:rPr>
      </w:pPr>
      <w:r w:rsidRPr="00BE6700">
        <w:rPr>
          <w:rFonts w:ascii="Calibri" w:hAnsi="Calibri" w:cs="Calibri"/>
          <w:bCs/>
          <w:kern w:val="32"/>
          <w:sz w:val="22"/>
          <w:szCs w:val="22"/>
        </w:rPr>
        <w:t xml:space="preserve">Australia’s future medical workforce faces </w:t>
      </w:r>
      <w:r w:rsidR="003A473E">
        <w:rPr>
          <w:rFonts w:ascii="Calibri" w:hAnsi="Calibri" w:cs="Calibri"/>
          <w:bCs/>
          <w:kern w:val="32"/>
          <w:sz w:val="22"/>
          <w:szCs w:val="22"/>
        </w:rPr>
        <w:t>four</w:t>
      </w:r>
      <w:r w:rsidR="003A473E" w:rsidRPr="00BE6700">
        <w:rPr>
          <w:rFonts w:ascii="Calibri" w:hAnsi="Calibri" w:cs="Calibri"/>
          <w:bCs/>
          <w:kern w:val="32"/>
          <w:sz w:val="22"/>
          <w:szCs w:val="22"/>
        </w:rPr>
        <w:t xml:space="preserve"> </w:t>
      </w:r>
      <w:r w:rsidRPr="00BE6700">
        <w:rPr>
          <w:rFonts w:ascii="Calibri" w:hAnsi="Calibri" w:cs="Calibri"/>
          <w:bCs/>
          <w:kern w:val="32"/>
          <w:sz w:val="22"/>
          <w:szCs w:val="22"/>
        </w:rPr>
        <w:t>challenges:</w:t>
      </w:r>
    </w:p>
    <w:p w14:paraId="4BACF31F" w14:textId="17FBD359" w:rsidR="00C36CBD" w:rsidRPr="00BE6700" w:rsidRDefault="00C36CBD" w:rsidP="003E013D">
      <w:pPr>
        <w:pStyle w:val="ListParagraph"/>
        <w:numPr>
          <w:ilvl w:val="0"/>
          <w:numId w:val="17"/>
        </w:numPr>
        <w:rPr>
          <w:rFonts w:ascii="Calibri" w:hAnsi="Calibri" w:cs="Calibri"/>
          <w:bCs/>
          <w:kern w:val="32"/>
          <w:sz w:val="22"/>
          <w:szCs w:val="22"/>
        </w:rPr>
      </w:pPr>
      <w:r w:rsidRPr="00BE6700">
        <w:rPr>
          <w:rFonts w:ascii="Calibri" w:hAnsi="Calibri" w:cs="Calibri"/>
          <w:bCs/>
          <w:kern w:val="32"/>
          <w:sz w:val="22"/>
          <w:szCs w:val="22"/>
        </w:rPr>
        <w:t>Retention of Australian trained graduates and provision of adequate opportunities for junior doctors to complete internships and acquire relevant experience</w:t>
      </w:r>
    </w:p>
    <w:p w14:paraId="32E7C5CA" w14:textId="238BFC9B" w:rsidR="00C36CBD" w:rsidRPr="00BE6700" w:rsidRDefault="00C36CBD" w:rsidP="003E013D">
      <w:pPr>
        <w:pStyle w:val="ListParagraph"/>
        <w:numPr>
          <w:ilvl w:val="0"/>
          <w:numId w:val="17"/>
        </w:numPr>
        <w:rPr>
          <w:rFonts w:ascii="Calibri" w:hAnsi="Calibri" w:cs="Calibri"/>
          <w:bCs/>
          <w:kern w:val="32"/>
          <w:sz w:val="22"/>
          <w:szCs w:val="22"/>
        </w:rPr>
      </w:pPr>
      <w:r w:rsidRPr="00BE6700">
        <w:rPr>
          <w:rFonts w:ascii="Calibri" w:hAnsi="Calibri" w:cs="Calibri"/>
          <w:bCs/>
          <w:kern w:val="32"/>
          <w:sz w:val="22"/>
          <w:szCs w:val="22"/>
        </w:rPr>
        <w:t>Attraction and retention of doctors to regional areas</w:t>
      </w:r>
    </w:p>
    <w:p w14:paraId="23667BAA" w14:textId="3DD7362B" w:rsidR="003A473E" w:rsidRDefault="00C36CBD" w:rsidP="00422D5F">
      <w:pPr>
        <w:pStyle w:val="ListParagraph"/>
        <w:numPr>
          <w:ilvl w:val="0"/>
          <w:numId w:val="17"/>
        </w:numPr>
        <w:rPr>
          <w:rFonts w:ascii="Calibri" w:hAnsi="Calibri" w:cs="Calibri"/>
          <w:bCs/>
          <w:kern w:val="32"/>
          <w:sz w:val="22"/>
          <w:szCs w:val="22"/>
        </w:rPr>
      </w:pPr>
      <w:r w:rsidRPr="003A473E">
        <w:rPr>
          <w:rFonts w:ascii="Calibri" w:hAnsi="Calibri" w:cs="Calibri"/>
          <w:bCs/>
          <w:kern w:val="32"/>
          <w:sz w:val="22"/>
          <w:szCs w:val="22"/>
        </w:rPr>
        <w:t>Attraction and retention of trainees to specialties in shortage</w:t>
      </w:r>
      <w:r w:rsidR="009A1B37" w:rsidRPr="003A473E">
        <w:rPr>
          <w:rFonts w:ascii="Calibri" w:hAnsi="Calibri" w:cs="Calibri"/>
          <w:bCs/>
          <w:kern w:val="32"/>
          <w:sz w:val="22"/>
          <w:szCs w:val="22"/>
        </w:rPr>
        <w:t>.</w:t>
      </w:r>
    </w:p>
    <w:p w14:paraId="044DD2B1" w14:textId="30C22732" w:rsidR="00C36CBD" w:rsidRPr="003A473E" w:rsidRDefault="00C36CBD" w:rsidP="00422D5F">
      <w:pPr>
        <w:pStyle w:val="ListParagraph"/>
        <w:numPr>
          <w:ilvl w:val="0"/>
          <w:numId w:val="17"/>
        </w:numPr>
        <w:rPr>
          <w:rFonts w:ascii="Calibri" w:hAnsi="Calibri" w:cs="Calibri"/>
          <w:bCs/>
          <w:kern w:val="32"/>
          <w:sz w:val="22"/>
          <w:szCs w:val="22"/>
        </w:rPr>
      </w:pPr>
      <w:r w:rsidRPr="003A473E">
        <w:rPr>
          <w:rFonts w:ascii="Calibri" w:hAnsi="Calibri" w:cs="Calibri"/>
          <w:bCs/>
          <w:kern w:val="32"/>
          <w:sz w:val="22"/>
          <w:szCs w:val="22"/>
        </w:rPr>
        <w:t xml:space="preserve">Provision of opportunities </w:t>
      </w:r>
      <w:r w:rsidR="005467B6" w:rsidRPr="003A473E">
        <w:rPr>
          <w:rFonts w:ascii="Calibri" w:hAnsi="Calibri" w:cs="Calibri"/>
          <w:bCs/>
          <w:kern w:val="32"/>
          <w:sz w:val="22"/>
          <w:szCs w:val="22"/>
        </w:rPr>
        <w:t xml:space="preserve">to </w:t>
      </w:r>
      <w:r w:rsidRPr="003A473E">
        <w:rPr>
          <w:rFonts w:ascii="Calibri" w:hAnsi="Calibri" w:cs="Calibri"/>
          <w:bCs/>
          <w:kern w:val="32"/>
          <w:sz w:val="22"/>
          <w:szCs w:val="22"/>
        </w:rPr>
        <w:t xml:space="preserve">equip trainees with the skills </w:t>
      </w:r>
      <w:r w:rsidR="00DB214C" w:rsidRPr="003A473E">
        <w:rPr>
          <w:rFonts w:ascii="Calibri" w:hAnsi="Calibri" w:cs="Calibri"/>
          <w:bCs/>
          <w:kern w:val="32"/>
          <w:sz w:val="22"/>
          <w:szCs w:val="22"/>
        </w:rPr>
        <w:t>they</w:t>
      </w:r>
      <w:r w:rsidRPr="003A473E">
        <w:rPr>
          <w:rFonts w:ascii="Calibri" w:hAnsi="Calibri" w:cs="Calibri"/>
          <w:bCs/>
          <w:kern w:val="32"/>
          <w:sz w:val="22"/>
          <w:szCs w:val="22"/>
        </w:rPr>
        <w:t xml:space="preserve"> need for </w:t>
      </w:r>
      <w:r w:rsidR="001002CA" w:rsidRPr="003A473E">
        <w:rPr>
          <w:rFonts w:ascii="Calibri" w:hAnsi="Calibri" w:cs="Calibri"/>
          <w:bCs/>
          <w:kern w:val="32"/>
          <w:sz w:val="22"/>
          <w:szCs w:val="22"/>
        </w:rPr>
        <w:t>their future careers</w:t>
      </w:r>
      <w:r w:rsidR="00DB214C" w:rsidRPr="003A473E">
        <w:rPr>
          <w:rFonts w:ascii="Calibri" w:hAnsi="Calibri" w:cs="Calibri"/>
          <w:bCs/>
          <w:kern w:val="32"/>
          <w:sz w:val="22"/>
          <w:szCs w:val="22"/>
        </w:rPr>
        <w:t>, including exposure to procedures and practices in the private sector.</w:t>
      </w:r>
    </w:p>
    <w:p w14:paraId="5BAF9022" w14:textId="7DA32FF7" w:rsidR="00422D5F" w:rsidRDefault="00422D5F" w:rsidP="006D5AB1">
      <w:pPr>
        <w:rPr>
          <w:rFonts w:ascii="Calibri" w:hAnsi="Calibri" w:cs="Calibri"/>
          <w:bCs/>
          <w:kern w:val="32"/>
          <w:sz w:val="22"/>
          <w:szCs w:val="22"/>
        </w:rPr>
      </w:pPr>
      <w:r>
        <w:rPr>
          <w:rFonts w:ascii="Calibri" w:hAnsi="Calibri" w:cs="Calibri"/>
          <w:bCs/>
          <w:kern w:val="32"/>
          <w:sz w:val="22"/>
          <w:szCs w:val="22"/>
        </w:rPr>
        <w:t xml:space="preserve">University </w:t>
      </w:r>
      <w:r w:rsidR="007A7D65">
        <w:rPr>
          <w:rFonts w:ascii="Calibri" w:hAnsi="Calibri" w:cs="Calibri"/>
          <w:bCs/>
          <w:kern w:val="32"/>
          <w:sz w:val="22"/>
          <w:szCs w:val="22"/>
        </w:rPr>
        <w:t xml:space="preserve">and vocational education and training </w:t>
      </w:r>
      <w:r>
        <w:rPr>
          <w:rFonts w:ascii="Calibri" w:hAnsi="Calibri" w:cs="Calibri"/>
          <w:bCs/>
          <w:kern w:val="32"/>
          <w:sz w:val="22"/>
          <w:szCs w:val="22"/>
        </w:rPr>
        <w:t>enrolments are at an all</w:t>
      </w:r>
      <w:r w:rsidR="00366B56">
        <w:rPr>
          <w:rFonts w:ascii="Calibri" w:hAnsi="Calibri" w:cs="Calibri"/>
          <w:bCs/>
          <w:kern w:val="32"/>
          <w:sz w:val="22"/>
          <w:szCs w:val="22"/>
        </w:rPr>
        <w:t>-</w:t>
      </w:r>
      <w:r>
        <w:rPr>
          <w:rFonts w:ascii="Calibri" w:hAnsi="Calibri" w:cs="Calibri"/>
          <w:bCs/>
          <w:kern w:val="32"/>
          <w:sz w:val="22"/>
          <w:szCs w:val="22"/>
        </w:rPr>
        <w:t>time high for medical, nursing and allied health professions</w:t>
      </w:r>
      <w:r w:rsidR="00CA1001">
        <w:rPr>
          <w:rFonts w:ascii="Calibri" w:hAnsi="Calibri" w:cs="Calibri"/>
          <w:bCs/>
          <w:kern w:val="32"/>
          <w:sz w:val="22"/>
          <w:szCs w:val="22"/>
        </w:rPr>
        <w:t xml:space="preserve">. </w:t>
      </w:r>
      <w:r>
        <w:rPr>
          <w:rFonts w:ascii="Calibri" w:hAnsi="Calibri" w:cs="Calibri"/>
          <w:bCs/>
          <w:kern w:val="32"/>
          <w:sz w:val="22"/>
          <w:szCs w:val="22"/>
        </w:rPr>
        <w:t>However</w:t>
      </w:r>
      <w:r w:rsidR="00366B56">
        <w:rPr>
          <w:rFonts w:ascii="Calibri" w:hAnsi="Calibri" w:cs="Calibri"/>
          <w:bCs/>
          <w:kern w:val="32"/>
          <w:sz w:val="22"/>
          <w:szCs w:val="22"/>
        </w:rPr>
        <w:t>,</w:t>
      </w:r>
      <w:r>
        <w:rPr>
          <w:rFonts w:ascii="Calibri" w:hAnsi="Calibri" w:cs="Calibri"/>
          <w:bCs/>
          <w:kern w:val="32"/>
          <w:sz w:val="22"/>
          <w:szCs w:val="22"/>
        </w:rPr>
        <w:t xml:space="preserve"> these graduates will be unable to enter their intended professions without adequate access to </w:t>
      </w:r>
      <w:r w:rsidR="007A7D65">
        <w:rPr>
          <w:rFonts w:ascii="Calibri" w:hAnsi="Calibri" w:cs="Calibri"/>
          <w:bCs/>
          <w:kern w:val="32"/>
          <w:sz w:val="22"/>
          <w:szCs w:val="22"/>
        </w:rPr>
        <w:t xml:space="preserve">clinical </w:t>
      </w:r>
      <w:r w:rsidR="0048783A">
        <w:rPr>
          <w:rFonts w:ascii="Calibri" w:hAnsi="Calibri" w:cs="Calibri"/>
          <w:bCs/>
          <w:kern w:val="32"/>
          <w:sz w:val="22"/>
          <w:szCs w:val="22"/>
        </w:rPr>
        <w:t>placements</w:t>
      </w:r>
      <w:r w:rsidR="00CA1001">
        <w:rPr>
          <w:rFonts w:ascii="Calibri" w:hAnsi="Calibri" w:cs="Calibri"/>
          <w:bCs/>
          <w:kern w:val="32"/>
          <w:sz w:val="22"/>
          <w:szCs w:val="22"/>
        </w:rPr>
        <w:t xml:space="preserve">. </w:t>
      </w:r>
    </w:p>
    <w:p w14:paraId="2AD7FBCB" w14:textId="098241D3" w:rsidR="006D5AB1" w:rsidRPr="00BE6700" w:rsidRDefault="006D5AB1" w:rsidP="006D5AB1">
      <w:pPr>
        <w:rPr>
          <w:rFonts w:ascii="Calibri" w:hAnsi="Calibri" w:cs="Calibri"/>
          <w:bCs/>
          <w:kern w:val="32"/>
          <w:sz w:val="22"/>
          <w:szCs w:val="22"/>
        </w:rPr>
      </w:pPr>
      <w:r w:rsidRPr="00BE6700">
        <w:rPr>
          <w:rFonts w:ascii="Calibri" w:hAnsi="Calibri" w:cs="Calibri"/>
          <w:bCs/>
          <w:kern w:val="32"/>
          <w:sz w:val="22"/>
          <w:szCs w:val="22"/>
        </w:rPr>
        <w:t>The private hospital sector has a vital role in meeting all these challenges</w:t>
      </w:r>
      <w:r w:rsidR="009A1B37">
        <w:rPr>
          <w:rFonts w:ascii="Calibri" w:hAnsi="Calibri" w:cs="Calibri"/>
          <w:bCs/>
          <w:kern w:val="32"/>
          <w:sz w:val="22"/>
          <w:szCs w:val="22"/>
        </w:rPr>
        <w:t xml:space="preserve"> </w:t>
      </w:r>
      <w:r w:rsidRPr="00BE6700">
        <w:rPr>
          <w:rFonts w:ascii="Calibri" w:hAnsi="Calibri" w:cs="Calibri"/>
          <w:bCs/>
          <w:kern w:val="32"/>
          <w:sz w:val="22"/>
          <w:szCs w:val="22"/>
        </w:rPr>
        <w:t>by:</w:t>
      </w:r>
    </w:p>
    <w:p w14:paraId="3AE36560" w14:textId="77777777" w:rsidR="006D5AB1" w:rsidRPr="00BE6700" w:rsidRDefault="006D5AB1" w:rsidP="003E013D">
      <w:pPr>
        <w:pStyle w:val="ListParagraph"/>
        <w:numPr>
          <w:ilvl w:val="0"/>
          <w:numId w:val="19"/>
        </w:numPr>
        <w:rPr>
          <w:rFonts w:ascii="Calibri" w:hAnsi="Calibri" w:cs="Calibri"/>
          <w:bCs/>
          <w:kern w:val="32"/>
          <w:sz w:val="22"/>
          <w:szCs w:val="22"/>
        </w:rPr>
      </w:pPr>
      <w:r w:rsidRPr="00BE6700">
        <w:rPr>
          <w:rFonts w:ascii="Calibri" w:hAnsi="Calibri" w:cs="Calibri"/>
          <w:bCs/>
          <w:kern w:val="32"/>
          <w:sz w:val="22"/>
          <w:szCs w:val="22"/>
        </w:rPr>
        <w:t>Providing placements for university and vocational education and training students</w:t>
      </w:r>
    </w:p>
    <w:p w14:paraId="40B4EA6B" w14:textId="77777777" w:rsidR="006D5AB1" w:rsidRPr="00BE6700" w:rsidRDefault="006D5AB1" w:rsidP="003E013D">
      <w:pPr>
        <w:pStyle w:val="ListParagraph"/>
        <w:numPr>
          <w:ilvl w:val="0"/>
          <w:numId w:val="19"/>
        </w:numPr>
        <w:rPr>
          <w:rFonts w:ascii="Calibri" w:hAnsi="Calibri" w:cs="Calibri"/>
          <w:bCs/>
          <w:kern w:val="32"/>
          <w:sz w:val="22"/>
          <w:szCs w:val="22"/>
        </w:rPr>
      </w:pPr>
      <w:r w:rsidRPr="00BE6700">
        <w:rPr>
          <w:rFonts w:ascii="Calibri" w:hAnsi="Calibri" w:cs="Calibri"/>
          <w:bCs/>
          <w:kern w:val="32"/>
          <w:sz w:val="22"/>
          <w:szCs w:val="22"/>
        </w:rPr>
        <w:t>Providing graduate placements for nurses and allied health professionals</w:t>
      </w:r>
    </w:p>
    <w:p w14:paraId="7791DCD7" w14:textId="77777777" w:rsidR="006D5AB1" w:rsidRPr="00BE6700" w:rsidRDefault="006D5AB1" w:rsidP="003E013D">
      <w:pPr>
        <w:pStyle w:val="ListParagraph"/>
        <w:numPr>
          <w:ilvl w:val="0"/>
          <w:numId w:val="19"/>
        </w:numPr>
        <w:rPr>
          <w:rFonts w:ascii="Calibri" w:hAnsi="Calibri" w:cs="Calibri"/>
          <w:bCs/>
          <w:kern w:val="32"/>
          <w:sz w:val="22"/>
          <w:szCs w:val="22"/>
        </w:rPr>
      </w:pPr>
      <w:r w:rsidRPr="00BE6700">
        <w:rPr>
          <w:rFonts w:ascii="Calibri" w:hAnsi="Calibri" w:cs="Calibri"/>
          <w:bCs/>
          <w:kern w:val="32"/>
          <w:sz w:val="22"/>
          <w:szCs w:val="22"/>
        </w:rPr>
        <w:t>Providing internships and junior doctor positions for medical graduates</w:t>
      </w:r>
    </w:p>
    <w:p w14:paraId="31D2195F" w14:textId="77777777" w:rsidR="006D5AB1" w:rsidRPr="00BE6700" w:rsidRDefault="006D5AB1" w:rsidP="003E013D">
      <w:pPr>
        <w:pStyle w:val="ListParagraph"/>
        <w:numPr>
          <w:ilvl w:val="0"/>
          <w:numId w:val="19"/>
        </w:numPr>
        <w:rPr>
          <w:rFonts w:ascii="Calibri" w:hAnsi="Calibri" w:cs="Calibri"/>
          <w:bCs/>
          <w:kern w:val="32"/>
          <w:sz w:val="22"/>
          <w:szCs w:val="22"/>
        </w:rPr>
      </w:pPr>
      <w:r w:rsidRPr="00BE6700">
        <w:rPr>
          <w:rFonts w:ascii="Calibri" w:hAnsi="Calibri" w:cs="Calibri"/>
          <w:bCs/>
          <w:kern w:val="32"/>
          <w:sz w:val="22"/>
          <w:szCs w:val="22"/>
        </w:rPr>
        <w:t>Providing registrar positions to train future medical specialists</w:t>
      </w:r>
    </w:p>
    <w:p w14:paraId="4C31AFD9" w14:textId="77254D99" w:rsidR="00DB214C" w:rsidRPr="00BE6700" w:rsidRDefault="006D5AB1" w:rsidP="003E013D">
      <w:pPr>
        <w:pStyle w:val="ListParagraph"/>
        <w:numPr>
          <w:ilvl w:val="0"/>
          <w:numId w:val="19"/>
        </w:numPr>
        <w:rPr>
          <w:rFonts w:ascii="Calibri" w:hAnsi="Calibri" w:cs="Calibri"/>
          <w:bCs/>
          <w:kern w:val="32"/>
          <w:sz w:val="22"/>
          <w:szCs w:val="22"/>
        </w:rPr>
      </w:pPr>
      <w:r w:rsidRPr="00BE6700">
        <w:rPr>
          <w:rFonts w:ascii="Calibri" w:hAnsi="Calibri" w:cs="Calibri"/>
          <w:bCs/>
          <w:kern w:val="32"/>
          <w:sz w:val="22"/>
          <w:szCs w:val="22"/>
        </w:rPr>
        <w:t xml:space="preserve">Supporting staff to acquire postgraduate and research qualifications. </w:t>
      </w:r>
    </w:p>
    <w:p w14:paraId="6C448B91" w14:textId="3F061997" w:rsidR="00422D5F" w:rsidRDefault="00422D5F" w:rsidP="00422D5F">
      <w:pPr>
        <w:rPr>
          <w:rFonts w:ascii="Calibri" w:hAnsi="Calibri" w:cs="Calibri"/>
          <w:bCs/>
          <w:kern w:val="32"/>
          <w:sz w:val="22"/>
          <w:szCs w:val="22"/>
        </w:rPr>
      </w:pPr>
      <w:r>
        <w:rPr>
          <w:rFonts w:ascii="Calibri" w:hAnsi="Calibri" w:cs="Calibri"/>
          <w:bCs/>
          <w:kern w:val="32"/>
          <w:sz w:val="22"/>
          <w:szCs w:val="22"/>
        </w:rPr>
        <w:t>In 2015, the private hospital sector spent a</w:t>
      </w:r>
      <w:r w:rsidR="00E71F30">
        <w:rPr>
          <w:rFonts w:ascii="Calibri" w:hAnsi="Calibri" w:cs="Calibri"/>
          <w:bCs/>
          <w:kern w:val="32"/>
          <w:sz w:val="22"/>
          <w:szCs w:val="22"/>
        </w:rPr>
        <w:t xml:space="preserve">n estimated </w:t>
      </w:r>
      <w:r>
        <w:rPr>
          <w:rFonts w:ascii="Calibri" w:hAnsi="Calibri" w:cs="Calibri"/>
          <w:bCs/>
          <w:kern w:val="32"/>
          <w:sz w:val="22"/>
          <w:szCs w:val="22"/>
        </w:rPr>
        <w:t xml:space="preserve">$167 million on training of medical, nursing, midwifery and allied health staff. In fact, the private sector plays a unique role in providing training in health areas not </w:t>
      </w:r>
      <w:r w:rsidR="00E71F30">
        <w:rPr>
          <w:rFonts w:ascii="Calibri" w:hAnsi="Calibri" w:cs="Calibri"/>
          <w:bCs/>
          <w:kern w:val="32"/>
          <w:sz w:val="22"/>
          <w:szCs w:val="22"/>
        </w:rPr>
        <w:t xml:space="preserve">readily </w:t>
      </w:r>
      <w:r>
        <w:rPr>
          <w:rFonts w:ascii="Calibri" w:hAnsi="Calibri" w:cs="Calibri"/>
          <w:bCs/>
          <w:kern w:val="32"/>
          <w:sz w:val="22"/>
          <w:szCs w:val="22"/>
        </w:rPr>
        <w:t>available in the public sector</w:t>
      </w:r>
      <w:r w:rsidR="00E71F30">
        <w:rPr>
          <w:rFonts w:ascii="Calibri" w:hAnsi="Calibri" w:cs="Calibri"/>
          <w:bCs/>
          <w:kern w:val="32"/>
          <w:sz w:val="22"/>
          <w:szCs w:val="22"/>
        </w:rPr>
        <w:t xml:space="preserve"> including many areas of s</w:t>
      </w:r>
      <w:r>
        <w:rPr>
          <w:rFonts w:ascii="Calibri" w:hAnsi="Calibri" w:cs="Calibri"/>
          <w:bCs/>
          <w:kern w:val="32"/>
          <w:sz w:val="22"/>
          <w:szCs w:val="22"/>
        </w:rPr>
        <w:t>urgery</w:t>
      </w:r>
      <w:r w:rsidR="00E71F30">
        <w:rPr>
          <w:rFonts w:ascii="Calibri" w:hAnsi="Calibri" w:cs="Calibri"/>
          <w:bCs/>
          <w:kern w:val="32"/>
          <w:sz w:val="22"/>
          <w:szCs w:val="22"/>
        </w:rPr>
        <w:t>,</w:t>
      </w:r>
      <w:r>
        <w:rPr>
          <w:rFonts w:ascii="Calibri" w:hAnsi="Calibri" w:cs="Calibri"/>
          <w:bCs/>
          <w:kern w:val="32"/>
          <w:sz w:val="22"/>
          <w:szCs w:val="22"/>
        </w:rPr>
        <w:t xml:space="preserve"> mental health</w:t>
      </w:r>
      <w:r w:rsidR="007A7D65">
        <w:rPr>
          <w:rFonts w:ascii="Calibri" w:hAnsi="Calibri" w:cs="Calibri"/>
          <w:bCs/>
          <w:kern w:val="32"/>
          <w:sz w:val="22"/>
          <w:szCs w:val="22"/>
        </w:rPr>
        <w:t xml:space="preserve"> and rehabilitation.</w:t>
      </w:r>
    </w:p>
    <w:p w14:paraId="7B6F12F9" w14:textId="0D20CEED" w:rsidR="00366B56" w:rsidRPr="00366B56" w:rsidRDefault="00366B56" w:rsidP="00422D5F">
      <w:pPr>
        <w:rPr>
          <w:rFonts w:ascii="Calibri" w:hAnsi="Calibri" w:cs="Calibri"/>
          <w:bCs/>
          <w:kern w:val="32"/>
          <w:sz w:val="22"/>
          <w:szCs w:val="22"/>
        </w:rPr>
      </w:pPr>
      <w:r w:rsidRPr="00366B56">
        <w:rPr>
          <w:rFonts w:ascii="Calibri" w:hAnsi="Calibri" w:cs="Calibri"/>
          <w:bCs/>
          <w:kern w:val="32"/>
          <w:sz w:val="22"/>
          <w:szCs w:val="22"/>
        </w:rPr>
        <w:t>If the private sector is to pay an even greater role in meeting these future challenges at time when it is also committed to keeping the cost of hospital care as affordable as possible, it will need financial support from Government to provide additional quality clinical training opportunities.</w:t>
      </w:r>
    </w:p>
    <w:p w14:paraId="2C0FB14D" w14:textId="0900B6BC" w:rsidR="007A7D65" w:rsidRPr="007A7D65" w:rsidRDefault="007A7D65" w:rsidP="00422D5F">
      <w:pPr>
        <w:rPr>
          <w:rFonts w:ascii="Calibri" w:hAnsi="Calibri" w:cs="Calibri"/>
          <w:b/>
          <w:bCs/>
          <w:kern w:val="32"/>
          <w:sz w:val="22"/>
          <w:szCs w:val="22"/>
        </w:rPr>
      </w:pPr>
      <w:r w:rsidRPr="007A7D65">
        <w:rPr>
          <w:rFonts w:ascii="Calibri" w:hAnsi="Calibri" w:cs="Calibri"/>
          <w:b/>
          <w:bCs/>
          <w:kern w:val="32"/>
          <w:sz w:val="22"/>
          <w:szCs w:val="22"/>
        </w:rPr>
        <w:t>Skill shortages</w:t>
      </w:r>
    </w:p>
    <w:p w14:paraId="2E50DF23" w14:textId="05AECABA" w:rsidR="0048783A" w:rsidRPr="00BE6700" w:rsidRDefault="0048783A" w:rsidP="0048783A">
      <w:pPr>
        <w:rPr>
          <w:rFonts w:ascii="Calibri" w:hAnsi="Calibri" w:cs="Calibri"/>
          <w:bCs/>
          <w:kern w:val="32"/>
          <w:sz w:val="22"/>
          <w:szCs w:val="22"/>
        </w:rPr>
      </w:pPr>
      <w:r>
        <w:rPr>
          <w:rFonts w:ascii="Calibri" w:hAnsi="Calibri" w:cs="Calibri"/>
          <w:bCs/>
          <w:kern w:val="32"/>
          <w:sz w:val="22"/>
          <w:szCs w:val="22"/>
        </w:rPr>
        <w:t xml:space="preserve">National data shows in aggregate </w:t>
      </w:r>
      <w:r w:rsidRPr="00CA1001">
        <w:rPr>
          <w:rFonts w:ascii="Calibri" w:hAnsi="Calibri" w:cs="Calibri"/>
          <w:bCs/>
          <w:kern w:val="32"/>
          <w:sz w:val="22"/>
          <w:szCs w:val="22"/>
        </w:rPr>
        <w:t>there has been no evident shortage of registered nurses since 2011 and since 2012 for enrolled nurses</w:t>
      </w:r>
      <w:r w:rsidR="00CA1001">
        <w:rPr>
          <w:rFonts w:ascii="Calibri" w:hAnsi="Calibri" w:cs="Calibri"/>
          <w:bCs/>
          <w:kern w:val="32"/>
          <w:sz w:val="22"/>
          <w:szCs w:val="22"/>
        </w:rPr>
        <w:t xml:space="preserve">. </w:t>
      </w:r>
      <w:r w:rsidRPr="00CA1001">
        <w:rPr>
          <w:rFonts w:ascii="Calibri" w:hAnsi="Calibri" w:cs="Calibri"/>
          <w:bCs/>
          <w:kern w:val="32"/>
          <w:sz w:val="22"/>
          <w:szCs w:val="22"/>
        </w:rPr>
        <w:t xml:space="preserve">Shortages in mid-wifery have been “patchy” and regional. However, </w:t>
      </w:r>
      <w:r w:rsidR="00833C18">
        <w:rPr>
          <w:rFonts w:ascii="Calibri" w:hAnsi="Calibri" w:cs="Calibri"/>
          <w:bCs/>
          <w:kern w:val="32"/>
          <w:sz w:val="22"/>
          <w:szCs w:val="22"/>
        </w:rPr>
        <w:t>t</w:t>
      </w:r>
      <w:r w:rsidRPr="00CA1001">
        <w:rPr>
          <w:rFonts w:ascii="Calibri" w:hAnsi="Calibri" w:cs="Calibri"/>
          <w:bCs/>
          <w:kern w:val="32"/>
          <w:sz w:val="22"/>
          <w:szCs w:val="22"/>
        </w:rPr>
        <w:t>he Department of Jobs and Small Business reports internet vacancies are now at an all</w:t>
      </w:r>
      <w:r w:rsidR="00366B56">
        <w:rPr>
          <w:rFonts w:ascii="Calibri" w:hAnsi="Calibri" w:cs="Calibri"/>
          <w:bCs/>
          <w:kern w:val="32"/>
          <w:sz w:val="22"/>
          <w:szCs w:val="22"/>
        </w:rPr>
        <w:t>-</w:t>
      </w:r>
      <w:r w:rsidRPr="00CA1001">
        <w:rPr>
          <w:rFonts w:ascii="Calibri" w:hAnsi="Calibri" w:cs="Calibri"/>
          <w:bCs/>
          <w:kern w:val="32"/>
          <w:sz w:val="22"/>
          <w:szCs w:val="22"/>
        </w:rPr>
        <w:t xml:space="preserve">time high and APHA member </w:t>
      </w:r>
      <w:r w:rsidRPr="00BE6700">
        <w:rPr>
          <w:rFonts w:ascii="Calibri" w:hAnsi="Calibri" w:cs="Calibri"/>
          <w:bCs/>
          <w:kern w:val="32"/>
          <w:sz w:val="22"/>
          <w:szCs w:val="22"/>
        </w:rPr>
        <w:t>hospitals already experience persistent difficulties in recruiting experience</w:t>
      </w:r>
      <w:r w:rsidR="00833C18">
        <w:rPr>
          <w:rFonts w:ascii="Calibri" w:hAnsi="Calibri" w:cs="Calibri"/>
          <w:bCs/>
          <w:kern w:val="32"/>
          <w:sz w:val="22"/>
          <w:szCs w:val="22"/>
        </w:rPr>
        <w:t>d</w:t>
      </w:r>
      <w:r w:rsidRPr="00BE6700">
        <w:rPr>
          <w:rFonts w:ascii="Calibri" w:hAnsi="Calibri" w:cs="Calibri"/>
          <w:bCs/>
          <w:kern w:val="32"/>
          <w:sz w:val="22"/>
          <w:szCs w:val="22"/>
        </w:rPr>
        <w:t xml:space="preserve"> nurses to take on specialised roles including:</w:t>
      </w:r>
    </w:p>
    <w:p w14:paraId="19BE0CDD" w14:textId="77777777" w:rsidR="00E71F30" w:rsidRDefault="00E71F30" w:rsidP="0048783A">
      <w:pPr>
        <w:pStyle w:val="ListParagraph"/>
        <w:numPr>
          <w:ilvl w:val="0"/>
          <w:numId w:val="18"/>
        </w:numPr>
        <w:rPr>
          <w:rFonts w:ascii="Calibri" w:hAnsi="Calibri" w:cs="Calibri"/>
          <w:bCs/>
          <w:kern w:val="32"/>
          <w:sz w:val="22"/>
          <w:szCs w:val="22"/>
        </w:rPr>
      </w:pPr>
      <w:r>
        <w:rPr>
          <w:rFonts w:ascii="Calibri" w:hAnsi="Calibri" w:cs="Calibri"/>
          <w:bCs/>
          <w:kern w:val="32"/>
          <w:sz w:val="22"/>
          <w:szCs w:val="22"/>
        </w:rPr>
        <w:t>Surgical</w:t>
      </w:r>
    </w:p>
    <w:p w14:paraId="6F55CFB8" w14:textId="77777777" w:rsidR="00E71F30" w:rsidRDefault="00E71F30" w:rsidP="0048783A">
      <w:pPr>
        <w:pStyle w:val="ListParagraph"/>
        <w:numPr>
          <w:ilvl w:val="0"/>
          <w:numId w:val="18"/>
        </w:numPr>
        <w:rPr>
          <w:rFonts w:ascii="Calibri" w:hAnsi="Calibri" w:cs="Calibri"/>
          <w:bCs/>
          <w:kern w:val="32"/>
          <w:sz w:val="22"/>
          <w:szCs w:val="22"/>
        </w:rPr>
      </w:pPr>
      <w:r>
        <w:rPr>
          <w:rFonts w:ascii="Calibri" w:hAnsi="Calibri" w:cs="Calibri"/>
          <w:bCs/>
          <w:kern w:val="32"/>
          <w:sz w:val="22"/>
          <w:szCs w:val="22"/>
        </w:rPr>
        <w:t>Critical care</w:t>
      </w:r>
    </w:p>
    <w:p w14:paraId="6F8D1D20" w14:textId="2C55B6E2" w:rsidR="0048783A" w:rsidRPr="00BE6700" w:rsidRDefault="0048783A" w:rsidP="0048783A">
      <w:pPr>
        <w:pStyle w:val="ListParagraph"/>
        <w:numPr>
          <w:ilvl w:val="0"/>
          <w:numId w:val="18"/>
        </w:numPr>
        <w:rPr>
          <w:rFonts w:ascii="Calibri" w:hAnsi="Calibri" w:cs="Calibri"/>
          <w:bCs/>
          <w:kern w:val="32"/>
          <w:sz w:val="22"/>
          <w:szCs w:val="22"/>
        </w:rPr>
      </w:pPr>
      <w:r w:rsidRPr="00BE6700">
        <w:rPr>
          <w:rFonts w:ascii="Calibri" w:hAnsi="Calibri" w:cs="Calibri"/>
          <w:bCs/>
          <w:kern w:val="32"/>
          <w:sz w:val="22"/>
          <w:szCs w:val="22"/>
        </w:rPr>
        <w:t xml:space="preserve">Peri-operative </w:t>
      </w:r>
    </w:p>
    <w:p w14:paraId="13A3458C" w14:textId="77777777" w:rsidR="0048783A" w:rsidRPr="00BE6700" w:rsidRDefault="0048783A" w:rsidP="0048783A">
      <w:pPr>
        <w:pStyle w:val="ListParagraph"/>
        <w:numPr>
          <w:ilvl w:val="0"/>
          <w:numId w:val="18"/>
        </w:numPr>
        <w:rPr>
          <w:rFonts w:ascii="Calibri" w:hAnsi="Calibri" w:cs="Calibri"/>
          <w:bCs/>
          <w:kern w:val="32"/>
          <w:sz w:val="22"/>
          <w:szCs w:val="22"/>
        </w:rPr>
      </w:pPr>
      <w:r w:rsidRPr="00BE6700">
        <w:rPr>
          <w:rFonts w:ascii="Calibri" w:hAnsi="Calibri" w:cs="Calibri"/>
          <w:bCs/>
          <w:kern w:val="32"/>
          <w:sz w:val="22"/>
          <w:szCs w:val="22"/>
        </w:rPr>
        <w:t>Cancer care</w:t>
      </w:r>
    </w:p>
    <w:p w14:paraId="79AFB524" w14:textId="52E9B682" w:rsidR="0048783A" w:rsidRDefault="0048783A" w:rsidP="0048783A">
      <w:pPr>
        <w:pStyle w:val="ListParagraph"/>
        <w:numPr>
          <w:ilvl w:val="0"/>
          <w:numId w:val="18"/>
        </w:numPr>
        <w:rPr>
          <w:rFonts w:ascii="Calibri" w:hAnsi="Calibri" w:cs="Calibri"/>
          <w:bCs/>
          <w:kern w:val="32"/>
          <w:sz w:val="22"/>
          <w:szCs w:val="22"/>
        </w:rPr>
      </w:pPr>
      <w:r w:rsidRPr="00BE6700">
        <w:rPr>
          <w:rFonts w:ascii="Calibri" w:hAnsi="Calibri" w:cs="Calibri"/>
          <w:bCs/>
          <w:kern w:val="32"/>
          <w:sz w:val="22"/>
          <w:szCs w:val="22"/>
        </w:rPr>
        <w:t>Mental health</w:t>
      </w:r>
    </w:p>
    <w:p w14:paraId="6B0B6EB8" w14:textId="2FC03275" w:rsidR="00E71F30" w:rsidRPr="00BE6700" w:rsidRDefault="00E71F30" w:rsidP="0048783A">
      <w:pPr>
        <w:pStyle w:val="ListParagraph"/>
        <w:numPr>
          <w:ilvl w:val="0"/>
          <w:numId w:val="18"/>
        </w:numPr>
        <w:rPr>
          <w:rFonts w:ascii="Calibri" w:hAnsi="Calibri" w:cs="Calibri"/>
          <w:bCs/>
          <w:kern w:val="32"/>
          <w:sz w:val="22"/>
          <w:szCs w:val="22"/>
        </w:rPr>
      </w:pPr>
      <w:r>
        <w:rPr>
          <w:rFonts w:ascii="Calibri" w:hAnsi="Calibri" w:cs="Calibri"/>
          <w:bCs/>
          <w:kern w:val="32"/>
          <w:sz w:val="22"/>
          <w:szCs w:val="22"/>
        </w:rPr>
        <w:t>Midwifery</w:t>
      </w:r>
    </w:p>
    <w:p w14:paraId="64C52980" w14:textId="77777777" w:rsidR="0048783A" w:rsidRDefault="0048783A" w:rsidP="0048783A">
      <w:pPr>
        <w:pStyle w:val="ListParagraph"/>
        <w:numPr>
          <w:ilvl w:val="0"/>
          <w:numId w:val="18"/>
        </w:numPr>
        <w:rPr>
          <w:rFonts w:ascii="Calibri" w:hAnsi="Calibri" w:cs="Calibri"/>
          <w:bCs/>
          <w:kern w:val="32"/>
          <w:sz w:val="22"/>
          <w:szCs w:val="22"/>
        </w:rPr>
      </w:pPr>
      <w:r w:rsidRPr="00BE6700">
        <w:rPr>
          <w:rFonts w:ascii="Calibri" w:hAnsi="Calibri" w:cs="Calibri"/>
          <w:bCs/>
          <w:kern w:val="32"/>
          <w:sz w:val="22"/>
          <w:szCs w:val="22"/>
        </w:rPr>
        <w:t>Nursing manager roles.</w:t>
      </w:r>
    </w:p>
    <w:p w14:paraId="7AD6046A" w14:textId="3CA19344" w:rsidR="0048783A" w:rsidRDefault="0048783A" w:rsidP="0048783A">
      <w:pPr>
        <w:rPr>
          <w:rFonts w:ascii="Calibri" w:hAnsi="Calibri" w:cs="Calibri"/>
          <w:bCs/>
          <w:kern w:val="32"/>
          <w:sz w:val="22"/>
          <w:szCs w:val="22"/>
        </w:rPr>
      </w:pPr>
      <w:r>
        <w:rPr>
          <w:rFonts w:ascii="Calibri" w:hAnsi="Calibri" w:cs="Calibri"/>
          <w:bCs/>
          <w:kern w:val="32"/>
          <w:sz w:val="22"/>
          <w:szCs w:val="22"/>
        </w:rPr>
        <w:t>The Department of Employment found nearly 80 percent of all qualified registered nurse applicants in NSW were considered by employers (all sectors) as either lacking the minimum level of experience required or lacking experience in the modality required</w:t>
      </w:r>
      <w:r w:rsidRPr="00366B56">
        <w:rPr>
          <w:vertAlign w:val="superscript"/>
        </w:rPr>
        <w:footnoteReference w:id="1"/>
      </w:r>
      <w:r>
        <w:rPr>
          <w:rFonts w:ascii="Calibri" w:hAnsi="Calibri" w:cs="Calibri"/>
          <w:bCs/>
          <w:kern w:val="32"/>
          <w:sz w:val="22"/>
          <w:szCs w:val="22"/>
        </w:rPr>
        <w:t>.</w:t>
      </w:r>
    </w:p>
    <w:p w14:paraId="090A59EC" w14:textId="77777777" w:rsidR="0048783A" w:rsidRDefault="0048783A" w:rsidP="00CA1001">
      <w:pPr>
        <w:rPr>
          <w:rFonts w:ascii="Calibri" w:hAnsi="Calibri" w:cs="Calibri"/>
          <w:bCs/>
          <w:kern w:val="32"/>
          <w:sz w:val="22"/>
          <w:szCs w:val="22"/>
        </w:rPr>
      </w:pPr>
      <w:r w:rsidRPr="00BE6700">
        <w:rPr>
          <w:rFonts w:ascii="Calibri" w:hAnsi="Calibri" w:cs="Calibri"/>
          <w:bCs/>
          <w:kern w:val="32"/>
          <w:sz w:val="22"/>
          <w:szCs w:val="22"/>
        </w:rPr>
        <w:t xml:space="preserve">The Department of Jobs and Small Business </w:t>
      </w:r>
      <w:r>
        <w:rPr>
          <w:rFonts w:ascii="Calibri" w:hAnsi="Calibri" w:cs="Calibri"/>
          <w:bCs/>
          <w:kern w:val="32"/>
          <w:sz w:val="22"/>
          <w:szCs w:val="22"/>
        </w:rPr>
        <w:t>h</w:t>
      </w:r>
      <w:r w:rsidRPr="00BE6700">
        <w:rPr>
          <w:rFonts w:ascii="Calibri" w:hAnsi="Calibri" w:cs="Calibri"/>
          <w:bCs/>
          <w:kern w:val="32"/>
          <w:sz w:val="22"/>
          <w:szCs w:val="22"/>
        </w:rPr>
        <w:t>as said employment in the health care and social assistance industry (a major employer of health professions) is projected to expand at double the pace of all industries over the five years to May 2023</w:t>
      </w:r>
      <w:r w:rsidRPr="00366B56">
        <w:rPr>
          <w:rFonts w:ascii="Calibri" w:hAnsi="Calibri" w:cs="Calibri"/>
          <w:bCs/>
          <w:kern w:val="32"/>
          <w:sz w:val="22"/>
          <w:szCs w:val="22"/>
          <w:vertAlign w:val="superscript"/>
        </w:rPr>
        <w:footnoteReference w:id="2"/>
      </w:r>
      <w:r w:rsidRPr="00BE6700">
        <w:rPr>
          <w:rFonts w:ascii="Calibri" w:hAnsi="Calibri" w:cs="Calibri"/>
          <w:bCs/>
          <w:kern w:val="32"/>
          <w:sz w:val="22"/>
          <w:szCs w:val="22"/>
        </w:rPr>
        <w:t>.</w:t>
      </w:r>
    </w:p>
    <w:p w14:paraId="4A6C16AD" w14:textId="640BD208" w:rsidR="0048783A" w:rsidRDefault="0048783A" w:rsidP="0048783A">
      <w:pPr>
        <w:rPr>
          <w:rFonts w:ascii="Calibri" w:hAnsi="Calibri" w:cs="Calibri"/>
          <w:bCs/>
          <w:kern w:val="32"/>
          <w:sz w:val="22"/>
          <w:szCs w:val="22"/>
        </w:rPr>
      </w:pPr>
      <w:r>
        <w:rPr>
          <w:rFonts w:ascii="Calibri" w:hAnsi="Calibri" w:cs="Calibri"/>
          <w:bCs/>
          <w:kern w:val="32"/>
          <w:sz w:val="22"/>
          <w:szCs w:val="22"/>
        </w:rPr>
        <w:t>M</w:t>
      </w:r>
      <w:r w:rsidRPr="00BE6700">
        <w:rPr>
          <w:rFonts w:ascii="Calibri" w:hAnsi="Calibri" w:cs="Calibri"/>
          <w:bCs/>
          <w:kern w:val="32"/>
          <w:sz w:val="22"/>
          <w:szCs w:val="22"/>
        </w:rPr>
        <w:t>igration remains an essential strategy for employers in recruiting to roles which require specialised skills and experience</w:t>
      </w:r>
      <w:r w:rsidR="00E71F30">
        <w:rPr>
          <w:rFonts w:ascii="Calibri" w:hAnsi="Calibri" w:cs="Calibri"/>
          <w:bCs/>
          <w:kern w:val="32"/>
          <w:sz w:val="22"/>
          <w:szCs w:val="22"/>
        </w:rPr>
        <w:t xml:space="preserve"> particularly, registered nurses and midwives</w:t>
      </w:r>
      <w:r w:rsidR="00CA1001">
        <w:rPr>
          <w:rFonts w:ascii="Calibri" w:hAnsi="Calibri" w:cs="Calibri"/>
          <w:bCs/>
          <w:kern w:val="32"/>
          <w:sz w:val="22"/>
          <w:szCs w:val="22"/>
        </w:rPr>
        <w:t xml:space="preserve">. </w:t>
      </w:r>
      <w:r w:rsidR="00E71F30">
        <w:rPr>
          <w:rFonts w:ascii="Calibri" w:hAnsi="Calibri" w:cs="Calibri"/>
          <w:bCs/>
          <w:kern w:val="32"/>
          <w:sz w:val="22"/>
          <w:szCs w:val="22"/>
        </w:rPr>
        <w:t xml:space="preserve">As at 30 September there were 2,270 registered nurses on skilled worker visas. They included 1,632 working in specialist areas relevant to private hospitals as summarised in the table </w:t>
      </w:r>
      <w:r w:rsidR="003E3570">
        <w:rPr>
          <w:rFonts w:ascii="Calibri" w:hAnsi="Calibri" w:cs="Calibri"/>
          <w:bCs/>
          <w:kern w:val="32"/>
          <w:sz w:val="22"/>
          <w:szCs w:val="22"/>
        </w:rPr>
        <w:t>following</w:t>
      </w:r>
      <w:r w:rsidR="00E71F30">
        <w:rPr>
          <w:rFonts w:ascii="Calibri" w:hAnsi="Calibri" w:cs="Calibri"/>
          <w:bCs/>
          <w:kern w:val="32"/>
          <w:sz w:val="22"/>
          <w:szCs w:val="22"/>
        </w:rPr>
        <w:t>.</w:t>
      </w:r>
    </w:p>
    <w:p w14:paraId="60C636C3" w14:textId="77777777" w:rsidR="003E3570" w:rsidRDefault="003E3570">
      <w:pPr>
        <w:spacing w:after="200" w:line="276" w:lineRule="auto"/>
        <w:rPr>
          <w:rFonts w:ascii="Calibri" w:hAnsi="Calibri" w:cs="Calibri"/>
          <w:b/>
          <w:bCs/>
          <w:kern w:val="32"/>
          <w:sz w:val="22"/>
          <w:szCs w:val="22"/>
        </w:rPr>
      </w:pPr>
      <w:r>
        <w:rPr>
          <w:rFonts w:ascii="Calibri" w:hAnsi="Calibri" w:cs="Calibri"/>
          <w:b/>
          <w:bCs/>
          <w:kern w:val="32"/>
          <w:sz w:val="22"/>
          <w:szCs w:val="22"/>
        </w:rPr>
        <w:br w:type="page"/>
      </w:r>
    </w:p>
    <w:p w14:paraId="246859AE" w14:textId="3C2489C6" w:rsidR="0048783A" w:rsidRPr="00E71F30" w:rsidRDefault="00E71F30" w:rsidP="00E71F30">
      <w:pPr>
        <w:jc w:val="center"/>
        <w:rPr>
          <w:rFonts w:ascii="Calibri" w:hAnsi="Calibri" w:cs="Calibri"/>
          <w:b/>
          <w:bCs/>
          <w:kern w:val="32"/>
          <w:sz w:val="22"/>
          <w:szCs w:val="22"/>
        </w:rPr>
      </w:pPr>
      <w:r w:rsidRPr="00E71F30">
        <w:rPr>
          <w:rFonts w:ascii="Calibri" w:hAnsi="Calibri" w:cs="Calibri"/>
          <w:b/>
          <w:bCs/>
          <w:kern w:val="32"/>
          <w:sz w:val="22"/>
          <w:szCs w:val="22"/>
        </w:rPr>
        <w:t>Registered nurses in selected areas relevant to the private hospital sector</w:t>
      </w:r>
    </w:p>
    <w:tbl>
      <w:tblPr>
        <w:tblStyle w:val="TableGrid"/>
        <w:tblW w:w="0" w:type="auto"/>
        <w:jc w:val="center"/>
        <w:tblLook w:val="04A0" w:firstRow="1" w:lastRow="0" w:firstColumn="1" w:lastColumn="0" w:noHBand="0" w:noVBand="1"/>
      </w:tblPr>
      <w:tblGrid>
        <w:gridCol w:w="2438"/>
        <w:gridCol w:w="1008"/>
      </w:tblGrid>
      <w:tr w:rsidR="0048783A" w14:paraId="70428B3D" w14:textId="77777777" w:rsidTr="00366B56">
        <w:trPr>
          <w:trHeight w:val="170"/>
          <w:jc w:val="center"/>
        </w:trPr>
        <w:tc>
          <w:tcPr>
            <w:tcW w:w="2438" w:type="dxa"/>
          </w:tcPr>
          <w:p w14:paraId="1D156D33" w14:textId="22CDBF9A" w:rsidR="00E71F30" w:rsidRDefault="00E71F30" w:rsidP="00E71F30">
            <w:pPr>
              <w:spacing w:after="0"/>
              <w:rPr>
                <w:rFonts w:ascii="Calibri" w:hAnsi="Calibri" w:cs="Calibri"/>
                <w:bCs/>
                <w:kern w:val="32"/>
                <w:sz w:val="22"/>
                <w:szCs w:val="22"/>
              </w:rPr>
            </w:pPr>
          </w:p>
        </w:tc>
        <w:tc>
          <w:tcPr>
            <w:tcW w:w="0" w:type="auto"/>
          </w:tcPr>
          <w:p w14:paraId="5A0AED68" w14:textId="2F15A310" w:rsidR="0048783A" w:rsidRDefault="00E71F30" w:rsidP="003E3570">
            <w:pPr>
              <w:spacing w:after="0"/>
              <w:jc w:val="right"/>
              <w:rPr>
                <w:rFonts w:ascii="Calibri" w:hAnsi="Calibri" w:cs="Calibri"/>
                <w:bCs/>
                <w:kern w:val="32"/>
                <w:sz w:val="22"/>
                <w:szCs w:val="22"/>
              </w:rPr>
            </w:pPr>
            <w:r>
              <w:rPr>
                <w:rFonts w:ascii="Calibri" w:hAnsi="Calibri" w:cs="Calibri"/>
                <w:bCs/>
                <w:kern w:val="32"/>
                <w:sz w:val="22"/>
                <w:szCs w:val="22"/>
              </w:rPr>
              <w:t>Australia</w:t>
            </w:r>
          </w:p>
        </w:tc>
      </w:tr>
      <w:tr w:rsidR="0048783A" w14:paraId="2017500C" w14:textId="6E7926EC" w:rsidTr="00366B56">
        <w:trPr>
          <w:trHeight w:val="170"/>
          <w:jc w:val="center"/>
        </w:trPr>
        <w:tc>
          <w:tcPr>
            <w:tcW w:w="2438" w:type="dxa"/>
          </w:tcPr>
          <w:p w14:paraId="30AC36E5" w14:textId="7F2BB54E" w:rsidR="0048783A" w:rsidRDefault="0048783A" w:rsidP="00E71F30">
            <w:pPr>
              <w:spacing w:after="0"/>
              <w:rPr>
                <w:rFonts w:ascii="Calibri" w:hAnsi="Calibri" w:cs="Calibri"/>
                <w:bCs/>
                <w:kern w:val="32"/>
                <w:sz w:val="22"/>
                <w:szCs w:val="22"/>
              </w:rPr>
            </w:pPr>
            <w:r>
              <w:rPr>
                <w:rFonts w:ascii="Calibri" w:hAnsi="Calibri" w:cs="Calibri"/>
                <w:bCs/>
                <w:kern w:val="32"/>
                <w:sz w:val="22"/>
                <w:szCs w:val="22"/>
              </w:rPr>
              <w:t>Critical Care</w:t>
            </w:r>
          </w:p>
        </w:tc>
        <w:tc>
          <w:tcPr>
            <w:tcW w:w="0" w:type="auto"/>
          </w:tcPr>
          <w:p w14:paraId="59C2C548" w14:textId="612C5ABF" w:rsidR="0048783A" w:rsidRDefault="0048783A" w:rsidP="00E71F30">
            <w:pPr>
              <w:spacing w:after="0"/>
              <w:jc w:val="right"/>
              <w:rPr>
                <w:rFonts w:ascii="Calibri" w:hAnsi="Calibri" w:cs="Calibri"/>
                <w:bCs/>
                <w:kern w:val="32"/>
                <w:sz w:val="22"/>
                <w:szCs w:val="22"/>
              </w:rPr>
            </w:pPr>
            <w:r>
              <w:rPr>
                <w:rFonts w:ascii="Calibri" w:hAnsi="Calibri" w:cs="Calibri"/>
                <w:bCs/>
                <w:kern w:val="32"/>
                <w:sz w:val="22"/>
                <w:szCs w:val="22"/>
              </w:rPr>
              <w:t>296</w:t>
            </w:r>
          </w:p>
        </w:tc>
      </w:tr>
      <w:tr w:rsidR="0048783A" w14:paraId="00894E32" w14:textId="777E0DD0" w:rsidTr="00366B56">
        <w:trPr>
          <w:trHeight w:val="170"/>
          <w:jc w:val="center"/>
        </w:trPr>
        <w:tc>
          <w:tcPr>
            <w:tcW w:w="2438" w:type="dxa"/>
          </w:tcPr>
          <w:p w14:paraId="67A6147A" w14:textId="6BED6109" w:rsidR="0048783A" w:rsidRDefault="0048783A" w:rsidP="00E71F30">
            <w:pPr>
              <w:spacing w:after="0"/>
              <w:rPr>
                <w:rFonts w:ascii="Calibri" w:hAnsi="Calibri" w:cs="Calibri"/>
                <w:bCs/>
                <w:kern w:val="32"/>
                <w:sz w:val="22"/>
                <w:szCs w:val="22"/>
              </w:rPr>
            </w:pPr>
            <w:r>
              <w:rPr>
                <w:rFonts w:ascii="Calibri" w:hAnsi="Calibri" w:cs="Calibri"/>
                <w:bCs/>
                <w:kern w:val="32"/>
                <w:sz w:val="22"/>
                <w:szCs w:val="22"/>
              </w:rPr>
              <w:t>Medical</w:t>
            </w:r>
          </w:p>
        </w:tc>
        <w:tc>
          <w:tcPr>
            <w:tcW w:w="0" w:type="auto"/>
          </w:tcPr>
          <w:p w14:paraId="696C731F" w14:textId="1457F65B" w:rsidR="0048783A" w:rsidRDefault="0048783A" w:rsidP="00E71F30">
            <w:pPr>
              <w:spacing w:after="0"/>
              <w:jc w:val="right"/>
              <w:rPr>
                <w:rFonts w:ascii="Calibri" w:hAnsi="Calibri" w:cs="Calibri"/>
                <w:bCs/>
                <w:kern w:val="32"/>
                <w:sz w:val="22"/>
                <w:szCs w:val="22"/>
              </w:rPr>
            </w:pPr>
            <w:r>
              <w:rPr>
                <w:rFonts w:ascii="Calibri" w:hAnsi="Calibri" w:cs="Calibri"/>
                <w:bCs/>
                <w:kern w:val="32"/>
                <w:sz w:val="22"/>
                <w:szCs w:val="22"/>
              </w:rPr>
              <w:t>432</w:t>
            </w:r>
          </w:p>
        </w:tc>
      </w:tr>
      <w:tr w:rsidR="0048783A" w14:paraId="43DB3D68" w14:textId="11FAFCB4" w:rsidTr="00366B56">
        <w:trPr>
          <w:trHeight w:val="170"/>
          <w:jc w:val="center"/>
        </w:trPr>
        <w:tc>
          <w:tcPr>
            <w:tcW w:w="2438" w:type="dxa"/>
          </w:tcPr>
          <w:p w14:paraId="596F17F6" w14:textId="1ECCD386" w:rsidR="0048783A" w:rsidRDefault="0048783A" w:rsidP="00E71F30">
            <w:pPr>
              <w:spacing w:after="0"/>
              <w:rPr>
                <w:rFonts w:ascii="Calibri" w:hAnsi="Calibri" w:cs="Calibri"/>
                <w:bCs/>
                <w:kern w:val="32"/>
                <w:sz w:val="22"/>
                <w:szCs w:val="22"/>
              </w:rPr>
            </w:pPr>
            <w:r>
              <w:rPr>
                <w:rFonts w:ascii="Calibri" w:hAnsi="Calibri" w:cs="Calibri"/>
                <w:bCs/>
                <w:kern w:val="32"/>
                <w:sz w:val="22"/>
                <w:szCs w:val="22"/>
              </w:rPr>
              <w:t>Mental Health</w:t>
            </w:r>
          </w:p>
        </w:tc>
        <w:tc>
          <w:tcPr>
            <w:tcW w:w="0" w:type="auto"/>
          </w:tcPr>
          <w:p w14:paraId="15F71B33" w14:textId="29B9EF7F" w:rsidR="0048783A" w:rsidRDefault="0048783A" w:rsidP="00E71F30">
            <w:pPr>
              <w:spacing w:after="0"/>
              <w:jc w:val="right"/>
              <w:rPr>
                <w:rFonts w:ascii="Calibri" w:hAnsi="Calibri" w:cs="Calibri"/>
                <w:bCs/>
                <w:kern w:val="32"/>
                <w:sz w:val="22"/>
                <w:szCs w:val="22"/>
              </w:rPr>
            </w:pPr>
            <w:r>
              <w:rPr>
                <w:rFonts w:ascii="Calibri" w:hAnsi="Calibri" w:cs="Calibri"/>
                <w:bCs/>
                <w:kern w:val="32"/>
                <w:sz w:val="22"/>
                <w:szCs w:val="22"/>
              </w:rPr>
              <w:t>195</w:t>
            </w:r>
          </w:p>
        </w:tc>
      </w:tr>
      <w:tr w:rsidR="0048783A" w14:paraId="6BE2733F" w14:textId="4B2FDA55" w:rsidTr="00366B56">
        <w:trPr>
          <w:trHeight w:val="170"/>
          <w:jc w:val="center"/>
        </w:trPr>
        <w:tc>
          <w:tcPr>
            <w:tcW w:w="2438" w:type="dxa"/>
          </w:tcPr>
          <w:p w14:paraId="4CCF9C5E" w14:textId="722B614D" w:rsidR="0048783A" w:rsidRDefault="0048783A" w:rsidP="00E71F30">
            <w:pPr>
              <w:spacing w:after="0"/>
              <w:rPr>
                <w:rFonts w:ascii="Calibri" w:hAnsi="Calibri" w:cs="Calibri"/>
                <w:bCs/>
                <w:kern w:val="32"/>
                <w:sz w:val="22"/>
                <w:szCs w:val="22"/>
              </w:rPr>
            </w:pPr>
            <w:r>
              <w:rPr>
                <w:rFonts w:ascii="Calibri" w:hAnsi="Calibri" w:cs="Calibri"/>
                <w:bCs/>
                <w:kern w:val="32"/>
                <w:sz w:val="22"/>
                <w:szCs w:val="22"/>
              </w:rPr>
              <w:t>Peri-operative</w:t>
            </w:r>
          </w:p>
        </w:tc>
        <w:tc>
          <w:tcPr>
            <w:tcW w:w="0" w:type="auto"/>
          </w:tcPr>
          <w:p w14:paraId="53AE96F7" w14:textId="5DB25236" w:rsidR="0048783A" w:rsidRDefault="0048783A" w:rsidP="00E71F30">
            <w:pPr>
              <w:spacing w:after="0"/>
              <w:jc w:val="right"/>
              <w:rPr>
                <w:rFonts w:ascii="Calibri" w:hAnsi="Calibri" w:cs="Calibri"/>
                <w:bCs/>
                <w:kern w:val="32"/>
                <w:sz w:val="22"/>
                <w:szCs w:val="22"/>
              </w:rPr>
            </w:pPr>
            <w:r>
              <w:rPr>
                <w:rFonts w:ascii="Calibri" w:hAnsi="Calibri" w:cs="Calibri"/>
                <w:bCs/>
                <w:kern w:val="32"/>
                <w:sz w:val="22"/>
                <w:szCs w:val="22"/>
              </w:rPr>
              <w:t>215</w:t>
            </w:r>
          </w:p>
        </w:tc>
      </w:tr>
      <w:tr w:rsidR="0048783A" w14:paraId="2CB1D545" w14:textId="400E659B" w:rsidTr="00366B56">
        <w:trPr>
          <w:trHeight w:val="170"/>
          <w:jc w:val="center"/>
        </w:trPr>
        <w:tc>
          <w:tcPr>
            <w:tcW w:w="2438" w:type="dxa"/>
          </w:tcPr>
          <w:p w14:paraId="696C18D7" w14:textId="4F29D382" w:rsidR="0048783A" w:rsidRDefault="0048783A" w:rsidP="00E71F30">
            <w:pPr>
              <w:spacing w:after="0"/>
              <w:rPr>
                <w:rFonts w:ascii="Calibri" w:hAnsi="Calibri" w:cs="Calibri"/>
                <w:bCs/>
                <w:kern w:val="32"/>
                <w:sz w:val="22"/>
                <w:szCs w:val="22"/>
              </w:rPr>
            </w:pPr>
            <w:r>
              <w:rPr>
                <w:rFonts w:ascii="Calibri" w:hAnsi="Calibri" w:cs="Calibri"/>
                <w:bCs/>
                <w:kern w:val="32"/>
                <w:sz w:val="22"/>
                <w:szCs w:val="22"/>
              </w:rPr>
              <w:t>Surgical</w:t>
            </w:r>
          </w:p>
        </w:tc>
        <w:tc>
          <w:tcPr>
            <w:tcW w:w="0" w:type="auto"/>
          </w:tcPr>
          <w:p w14:paraId="7301F21A" w14:textId="3D742176" w:rsidR="0048783A" w:rsidRDefault="0048783A" w:rsidP="00E71F30">
            <w:pPr>
              <w:spacing w:after="0"/>
              <w:jc w:val="right"/>
              <w:rPr>
                <w:rFonts w:ascii="Calibri" w:hAnsi="Calibri" w:cs="Calibri"/>
                <w:bCs/>
                <w:kern w:val="32"/>
                <w:sz w:val="22"/>
                <w:szCs w:val="22"/>
              </w:rPr>
            </w:pPr>
            <w:r>
              <w:rPr>
                <w:rFonts w:ascii="Calibri" w:hAnsi="Calibri" w:cs="Calibri"/>
                <w:bCs/>
                <w:kern w:val="32"/>
                <w:sz w:val="22"/>
                <w:szCs w:val="22"/>
              </w:rPr>
              <w:t>261</w:t>
            </w:r>
          </w:p>
        </w:tc>
      </w:tr>
      <w:tr w:rsidR="0048783A" w14:paraId="619A4CD4" w14:textId="18071FDC" w:rsidTr="00366B56">
        <w:trPr>
          <w:trHeight w:val="170"/>
          <w:jc w:val="center"/>
        </w:trPr>
        <w:tc>
          <w:tcPr>
            <w:tcW w:w="2438" w:type="dxa"/>
          </w:tcPr>
          <w:p w14:paraId="3D4F7B6D" w14:textId="12252B11" w:rsidR="0048783A" w:rsidRDefault="0048783A" w:rsidP="00E71F30">
            <w:pPr>
              <w:spacing w:after="0"/>
              <w:rPr>
                <w:rFonts w:ascii="Calibri" w:hAnsi="Calibri" w:cs="Calibri"/>
                <w:bCs/>
                <w:kern w:val="32"/>
                <w:sz w:val="22"/>
                <w:szCs w:val="22"/>
              </w:rPr>
            </w:pPr>
            <w:r>
              <w:rPr>
                <w:rFonts w:ascii="Calibri" w:hAnsi="Calibri" w:cs="Calibri"/>
                <w:bCs/>
                <w:kern w:val="32"/>
                <w:sz w:val="22"/>
                <w:szCs w:val="22"/>
              </w:rPr>
              <w:t>Paediatrics</w:t>
            </w:r>
          </w:p>
        </w:tc>
        <w:tc>
          <w:tcPr>
            <w:tcW w:w="0" w:type="auto"/>
          </w:tcPr>
          <w:p w14:paraId="2D3EE9C1" w14:textId="5F27C2A0" w:rsidR="0048783A" w:rsidRDefault="0048783A" w:rsidP="00E71F30">
            <w:pPr>
              <w:spacing w:after="0"/>
              <w:jc w:val="right"/>
              <w:rPr>
                <w:rFonts w:ascii="Calibri" w:hAnsi="Calibri" w:cs="Calibri"/>
                <w:bCs/>
                <w:kern w:val="32"/>
                <w:sz w:val="22"/>
                <w:szCs w:val="22"/>
              </w:rPr>
            </w:pPr>
            <w:r>
              <w:rPr>
                <w:rFonts w:ascii="Calibri" w:hAnsi="Calibri" w:cs="Calibri"/>
                <w:bCs/>
                <w:kern w:val="32"/>
                <w:sz w:val="22"/>
                <w:szCs w:val="22"/>
              </w:rPr>
              <w:t>54</w:t>
            </w:r>
          </w:p>
        </w:tc>
      </w:tr>
      <w:tr w:rsidR="0048783A" w14:paraId="13BAB548" w14:textId="77777777" w:rsidTr="00366B56">
        <w:trPr>
          <w:trHeight w:val="170"/>
          <w:jc w:val="center"/>
        </w:trPr>
        <w:tc>
          <w:tcPr>
            <w:tcW w:w="2438" w:type="dxa"/>
          </w:tcPr>
          <w:p w14:paraId="1C7D4D13" w14:textId="3CF9A23E" w:rsidR="0048783A" w:rsidRDefault="0048783A" w:rsidP="00E71F30">
            <w:pPr>
              <w:spacing w:after="0"/>
              <w:rPr>
                <w:rFonts w:ascii="Calibri" w:hAnsi="Calibri" w:cs="Calibri"/>
                <w:bCs/>
                <w:kern w:val="32"/>
                <w:sz w:val="22"/>
                <w:szCs w:val="22"/>
              </w:rPr>
            </w:pPr>
            <w:r>
              <w:rPr>
                <w:rFonts w:ascii="Calibri" w:hAnsi="Calibri" w:cs="Calibri"/>
                <w:bCs/>
                <w:kern w:val="32"/>
                <w:sz w:val="22"/>
                <w:szCs w:val="22"/>
              </w:rPr>
              <w:t>Total</w:t>
            </w:r>
          </w:p>
        </w:tc>
        <w:tc>
          <w:tcPr>
            <w:tcW w:w="0" w:type="auto"/>
          </w:tcPr>
          <w:p w14:paraId="0E02927E" w14:textId="7C8FE131" w:rsidR="0048783A" w:rsidRDefault="0048783A" w:rsidP="00E71F30">
            <w:pPr>
              <w:spacing w:after="0"/>
              <w:jc w:val="right"/>
              <w:rPr>
                <w:rFonts w:ascii="Calibri" w:hAnsi="Calibri" w:cs="Calibri"/>
                <w:bCs/>
                <w:kern w:val="32"/>
                <w:sz w:val="22"/>
                <w:szCs w:val="22"/>
              </w:rPr>
            </w:pPr>
            <w:r>
              <w:rPr>
                <w:rFonts w:ascii="Calibri" w:hAnsi="Calibri" w:cs="Calibri"/>
                <w:bCs/>
                <w:kern w:val="32"/>
                <w:sz w:val="22"/>
                <w:szCs w:val="22"/>
              </w:rPr>
              <w:t>1,632</w:t>
            </w:r>
          </w:p>
        </w:tc>
      </w:tr>
    </w:tbl>
    <w:p w14:paraId="07CECA64" w14:textId="2C23AC3D" w:rsidR="003E3570" w:rsidRDefault="003E3570" w:rsidP="003E3570">
      <w:pPr>
        <w:ind w:left="720"/>
        <w:rPr>
          <w:rFonts w:ascii="Calibri" w:hAnsi="Calibri" w:cs="Calibri"/>
          <w:bCs/>
          <w:kern w:val="32"/>
          <w:sz w:val="22"/>
          <w:szCs w:val="22"/>
        </w:rPr>
      </w:pPr>
      <w:r>
        <w:rPr>
          <w:rFonts w:ascii="Calibri" w:hAnsi="Calibri" w:cs="Calibri"/>
          <w:bCs/>
          <w:kern w:val="32"/>
          <w:sz w:val="22"/>
          <w:szCs w:val="22"/>
        </w:rPr>
        <w:t xml:space="preserve">Source:  Department of Home Affairs: Temporary resident (skilled) visa </w:t>
      </w:r>
      <w:r w:rsidR="00CA1001">
        <w:rPr>
          <w:rFonts w:ascii="Calibri" w:hAnsi="Calibri" w:cs="Calibri"/>
          <w:bCs/>
          <w:kern w:val="32"/>
          <w:sz w:val="22"/>
          <w:szCs w:val="22"/>
        </w:rPr>
        <w:t>h</w:t>
      </w:r>
      <w:r>
        <w:rPr>
          <w:rFonts w:ascii="Calibri" w:hAnsi="Calibri" w:cs="Calibri"/>
          <w:bCs/>
          <w:kern w:val="32"/>
          <w:sz w:val="22"/>
          <w:szCs w:val="22"/>
        </w:rPr>
        <w:t>olders</w:t>
      </w:r>
      <w:r>
        <w:rPr>
          <w:rFonts w:ascii="Calibri" w:hAnsi="Calibri" w:cs="Calibri"/>
          <w:bCs/>
          <w:kern w:val="32"/>
          <w:sz w:val="22"/>
          <w:szCs w:val="22"/>
        </w:rPr>
        <w:br/>
      </w:r>
      <w:hyperlink r:id="rId10" w:history="1">
        <w:r w:rsidRPr="00386801">
          <w:rPr>
            <w:rStyle w:val="Hyperlink"/>
            <w:rFonts w:ascii="Calibri" w:hAnsi="Calibri" w:cs="Calibri"/>
            <w:bCs/>
            <w:kern w:val="32"/>
            <w:sz w:val="22"/>
            <w:szCs w:val="22"/>
          </w:rPr>
          <w:t>https://data.gov.au/dataset/visa-temporary-work-skilled/resource/2134083a-c0f0-4961-a70e-dc215bf20fe5</w:t>
        </w:r>
      </w:hyperlink>
    </w:p>
    <w:p w14:paraId="165F9B1C" w14:textId="57585D1F" w:rsidR="00E71F30" w:rsidRDefault="00E71F30" w:rsidP="00422D5F">
      <w:pPr>
        <w:rPr>
          <w:rFonts w:ascii="Calibri" w:hAnsi="Calibri" w:cs="Calibri"/>
          <w:bCs/>
          <w:kern w:val="32"/>
          <w:sz w:val="22"/>
          <w:szCs w:val="22"/>
        </w:rPr>
      </w:pPr>
      <w:r>
        <w:rPr>
          <w:rFonts w:ascii="Calibri" w:hAnsi="Calibri" w:cs="Calibri"/>
          <w:bCs/>
          <w:kern w:val="32"/>
          <w:sz w:val="22"/>
          <w:szCs w:val="22"/>
        </w:rPr>
        <w:t>Reform</w:t>
      </w:r>
      <w:r w:rsidR="00CA1001">
        <w:rPr>
          <w:rFonts w:ascii="Calibri" w:hAnsi="Calibri" w:cs="Calibri"/>
          <w:bCs/>
          <w:kern w:val="32"/>
          <w:sz w:val="22"/>
          <w:szCs w:val="22"/>
        </w:rPr>
        <w:t xml:space="preserve">s </w:t>
      </w:r>
      <w:r>
        <w:rPr>
          <w:rFonts w:ascii="Calibri" w:hAnsi="Calibri" w:cs="Calibri"/>
          <w:bCs/>
          <w:kern w:val="32"/>
          <w:sz w:val="22"/>
          <w:szCs w:val="22"/>
        </w:rPr>
        <w:t>to skilled migration in 2018 dramatically</w:t>
      </w:r>
      <w:r w:rsidR="003E3570">
        <w:rPr>
          <w:rFonts w:ascii="Calibri" w:hAnsi="Calibri" w:cs="Calibri"/>
          <w:bCs/>
          <w:kern w:val="32"/>
          <w:sz w:val="22"/>
          <w:szCs w:val="22"/>
        </w:rPr>
        <w:t xml:space="preserve"> increased the cost to employers of sponsoring the migration of skilled employees</w:t>
      </w:r>
      <w:r w:rsidR="00CA1001">
        <w:rPr>
          <w:rFonts w:ascii="Calibri" w:hAnsi="Calibri" w:cs="Calibri"/>
          <w:bCs/>
          <w:kern w:val="32"/>
          <w:sz w:val="22"/>
          <w:szCs w:val="22"/>
        </w:rPr>
        <w:t xml:space="preserve">. </w:t>
      </w:r>
      <w:r w:rsidR="003E3570">
        <w:rPr>
          <w:rFonts w:ascii="Calibri" w:hAnsi="Calibri" w:cs="Calibri"/>
          <w:bCs/>
          <w:kern w:val="32"/>
          <w:sz w:val="22"/>
          <w:szCs w:val="22"/>
        </w:rPr>
        <w:t xml:space="preserve">While acknowledging the Federal Government needed to act to address damaging unintended consequences in some sectors, </w:t>
      </w:r>
      <w:r w:rsidR="00D576C5">
        <w:rPr>
          <w:rFonts w:ascii="Calibri" w:hAnsi="Calibri" w:cs="Calibri"/>
          <w:bCs/>
          <w:kern w:val="32"/>
          <w:sz w:val="22"/>
          <w:szCs w:val="22"/>
        </w:rPr>
        <w:t>APHA contend</w:t>
      </w:r>
      <w:r w:rsidR="005C4983">
        <w:rPr>
          <w:rFonts w:ascii="Calibri" w:hAnsi="Calibri" w:cs="Calibri"/>
          <w:bCs/>
          <w:kern w:val="32"/>
          <w:sz w:val="22"/>
          <w:szCs w:val="22"/>
        </w:rPr>
        <w:t>s</w:t>
      </w:r>
      <w:r w:rsidR="00D576C5">
        <w:rPr>
          <w:rFonts w:ascii="Calibri" w:hAnsi="Calibri" w:cs="Calibri"/>
          <w:bCs/>
          <w:kern w:val="32"/>
          <w:sz w:val="22"/>
          <w:szCs w:val="22"/>
        </w:rPr>
        <w:t xml:space="preserve"> the </w:t>
      </w:r>
      <w:r w:rsidR="003E3570">
        <w:rPr>
          <w:rFonts w:ascii="Calibri" w:hAnsi="Calibri" w:cs="Calibri"/>
          <w:bCs/>
          <w:kern w:val="32"/>
          <w:sz w:val="22"/>
          <w:szCs w:val="22"/>
        </w:rPr>
        <w:t>impact on the health sector has been detrimental</w:t>
      </w:r>
      <w:r w:rsidR="005C4983">
        <w:rPr>
          <w:rFonts w:ascii="Calibri" w:hAnsi="Calibri" w:cs="Calibri"/>
          <w:bCs/>
          <w:kern w:val="32"/>
          <w:sz w:val="22"/>
          <w:szCs w:val="22"/>
        </w:rPr>
        <w:t>:</w:t>
      </w:r>
    </w:p>
    <w:p w14:paraId="33954FBA" w14:textId="1A6CB450" w:rsidR="003E3570" w:rsidRDefault="003E3570" w:rsidP="003E3570">
      <w:pPr>
        <w:pStyle w:val="ListParagraph"/>
        <w:numPr>
          <w:ilvl w:val="0"/>
          <w:numId w:val="53"/>
        </w:numPr>
        <w:rPr>
          <w:rFonts w:ascii="Calibri" w:hAnsi="Calibri" w:cs="Calibri"/>
          <w:bCs/>
          <w:kern w:val="32"/>
          <w:sz w:val="22"/>
          <w:szCs w:val="22"/>
        </w:rPr>
      </w:pPr>
      <w:r w:rsidRPr="003E3570">
        <w:rPr>
          <w:rFonts w:ascii="Calibri" w:hAnsi="Calibri" w:cs="Calibri"/>
          <w:bCs/>
          <w:kern w:val="32"/>
          <w:sz w:val="22"/>
          <w:szCs w:val="22"/>
        </w:rPr>
        <w:t xml:space="preserve">There is </w:t>
      </w:r>
      <w:r>
        <w:rPr>
          <w:rFonts w:ascii="Calibri" w:hAnsi="Calibri" w:cs="Calibri"/>
          <w:bCs/>
          <w:kern w:val="32"/>
          <w:sz w:val="22"/>
          <w:szCs w:val="22"/>
        </w:rPr>
        <w:t xml:space="preserve">no longer the possibility of retaining skilled and valued employees beyond the initial visa period. </w:t>
      </w:r>
      <w:r w:rsidR="00CA1001">
        <w:rPr>
          <w:rFonts w:ascii="Calibri" w:hAnsi="Calibri" w:cs="Calibri"/>
          <w:bCs/>
          <w:kern w:val="32"/>
          <w:sz w:val="22"/>
          <w:szCs w:val="22"/>
        </w:rPr>
        <w:t>Consequently,</w:t>
      </w:r>
      <w:r>
        <w:rPr>
          <w:rFonts w:ascii="Calibri" w:hAnsi="Calibri" w:cs="Calibri"/>
          <w:bCs/>
          <w:kern w:val="32"/>
          <w:sz w:val="22"/>
          <w:szCs w:val="22"/>
        </w:rPr>
        <w:t xml:space="preserve"> </w:t>
      </w:r>
      <w:r w:rsidR="00D576C5">
        <w:rPr>
          <w:rFonts w:ascii="Calibri" w:hAnsi="Calibri" w:cs="Calibri"/>
          <w:bCs/>
          <w:kern w:val="32"/>
          <w:sz w:val="22"/>
          <w:szCs w:val="22"/>
        </w:rPr>
        <w:t xml:space="preserve">not only </w:t>
      </w:r>
      <w:r>
        <w:rPr>
          <w:rFonts w:ascii="Calibri" w:hAnsi="Calibri" w:cs="Calibri"/>
          <w:bCs/>
          <w:kern w:val="32"/>
          <w:sz w:val="22"/>
          <w:szCs w:val="22"/>
        </w:rPr>
        <w:t>employers</w:t>
      </w:r>
      <w:r w:rsidR="00D576C5">
        <w:rPr>
          <w:rFonts w:ascii="Calibri" w:hAnsi="Calibri" w:cs="Calibri"/>
          <w:bCs/>
          <w:kern w:val="32"/>
          <w:sz w:val="22"/>
          <w:szCs w:val="22"/>
        </w:rPr>
        <w:t>, but the health sector as a whole</w:t>
      </w:r>
      <w:r>
        <w:rPr>
          <w:rFonts w:ascii="Calibri" w:hAnsi="Calibri" w:cs="Calibri"/>
          <w:bCs/>
          <w:kern w:val="32"/>
          <w:sz w:val="22"/>
          <w:szCs w:val="22"/>
        </w:rPr>
        <w:t xml:space="preserve"> lose</w:t>
      </w:r>
      <w:r w:rsidR="00D576C5">
        <w:rPr>
          <w:rFonts w:ascii="Calibri" w:hAnsi="Calibri" w:cs="Calibri"/>
          <w:bCs/>
          <w:kern w:val="32"/>
          <w:sz w:val="22"/>
          <w:szCs w:val="22"/>
        </w:rPr>
        <w:t>s</w:t>
      </w:r>
      <w:r>
        <w:rPr>
          <w:rFonts w:ascii="Calibri" w:hAnsi="Calibri" w:cs="Calibri"/>
          <w:bCs/>
          <w:kern w:val="32"/>
          <w:sz w:val="22"/>
          <w:szCs w:val="22"/>
        </w:rPr>
        <w:t xml:space="preserve"> the benefit of several </w:t>
      </w:r>
      <w:r w:rsidR="00D576C5">
        <w:rPr>
          <w:rFonts w:ascii="Calibri" w:hAnsi="Calibri" w:cs="Calibri"/>
          <w:bCs/>
          <w:kern w:val="32"/>
          <w:sz w:val="22"/>
          <w:szCs w:val="22"/>
        </w:rPr>
        <w:t>years’</w:t>
      </w:r>
      <w:r>
        <w:rPr>
          <w:rFonts w:ascii="Calibri" w:hAnsi="Calibri" w:cs="Calibri"/>
          <w:bCs/>
          <w:kern w:val="32"/>
          <w:sz w:val="22"/>
          <w:szCs w:val="22"/>
        </w:rPr>
        <w:t xml:space="preserve"> investment in these individuals</w:t>
      </w:r>
      <w:r w:rsidR="00D576C5">
        <w:rPr>
          <w:rFonts w:ascii="Calibri" w:hAnsi="Calibri" w:cs="Calibri"/>
          <w:bCs/>
          <w:kern w:val="32"/>
          <w:sz w:val="22"/>
          <w:szCs w:val="22"/>
        </w:rPr>
        <w:t>;</w:t>
      </w:r>
      <w:r>
        <w:rPr>
          <w:rFonts w:ascii="Calibri" w:hAnsi="Calibri" w:cs="Calibri"/>
          <w:bCs/>
          <w:kern w:val="32"/>
          <w:sz w:val="22"/>
          <w:szCs w:val="22"/>
        </w:rPr>
        <w:t xml:space="preserve"> personnel essential to the provision of high quality health care.</w:t>
      </w:r>
    </w:p>
    <w:p w14:paraId="0EA28B5A" w14:textId="07A82E09" w:rsidR="003E3570" w:rsidRDefault="003E3570" w:rsidP="003E3570">
      <w:pPr>
        <w:pStyle w:val="ListParagraph"/>
        <w:numPr>
          <w:ilvl w:val="0"/>
          <w:numId w:val="53"/>
        </w:numPr>
        <w:rPr>
          <w:rFonts w:ascii="Calibri" w:hAnsi="Calibri" w:cs="Calibri"/>
          <w:bCs/>
          <w:kern w:val="32"/>
          <w:sz w:val="22"/>
          <w:szCs w:val="22"/>
        </w:rPr>
      </w:pPr>
      <w:r>
        <w:rPr>
          <w:rFonts w:ascii="Calibri" w:hAnsi="Calibri" w:cs="Calibri"/>
          <w:bCs/>
          <w:kern w:val="32"/>
          <w:sz w:val="22"/>
          <w:szCs w:val="22"/>
        </w:rPr>
        <w:t xml:space="preserve">The loss of highly skilled and experienced employees also reduces the capacity of private hospitals to train the next generation of Australian health care professionals. </w:t>
      </w:r>
    </w:p>
    <w:p w14:paraId="712FA7A3" w14:textId="4B525EE0" w:rsidR="00E71F30" w:rsidRPr="003E3570" w:rsidRDefault="003E3570" w:rsidP="00FE685B">
      <w:pPr>
        <w:pStyle w:val="ListParagraph"/>
        <w:numPr>
          <w:ilvl w:val="0"/>
          <w:numId w:val="53"/>
        </w:numPr>
        <w:rPr>
          <w:rFonts w:ascii="Calibri" w:hAnsi="Calibri" w:cs="Calibri"/>
          <w:bCs/>
          <w:kern w:val="32"/>
          <w:sz w:val="22"/>
          <w:szCs w:val="22"/>
        </w:rPr>
      </w:pPr>
      <w:r w:rsidRPr="003E3570">
        <w:rPr>
          <w:rFonts w:ascii="Calibri" w:hAnsi="Calibri" w:cs="Calibri"/>
          <w:bCs/>
          <w:kern w:val="32"/>
          <w:sz w:val="22"/>
          <w:szCs w:val="22"/>
        </w:rPr>
        <w:t>The Skilling Australia Fund provides no benefit to the health sector because it does not provide funding for university and post-graduate level programs of the type needed to address current skill shortages.</w:t>
      </w:r>
      <w:r>
        <w:rPr>
          <w:rFonts w:ascii="Calibri" w:hAnsi="Calibri" w:cs="Calibri"/>
          <w:bCs/>
          <w:kern w:val="32"/>
          <w:sz w:val="22"/>
          <w:szCs w:val="22"/>
        </w:rPr>
        <w:t xml:space="preserve"> It does nothing to reduce reliance of skilled migration or develop the Australian health sector workforce. </w:t>
      </w:r>
    </w:p>
    <w:p w14:paraId="73491EAC" w14:textId="77777777" w:rsidR="00422D5F" w:rsidRPr="001E5827" w:rsidRDefault="00422D5F" w:rsidP="00422D5F">
      <w:pPr>
        <w:pStyle w:val="Heading2"/>
        <w:rPr>
          <w:rFonts w:ascii="Calibri" w:hAnsi="Calibri" w:cs="Calibri"/>
          <w:kern w:val="32"/>
          <w:sz w:val="22"/>
          <w:szCs w:val="22"/>
        </w:rPr>
      </w:pPr>
      <w:bookmarkStart w:id="15" w:name="_Toc532393828"/>
      <w:bookmarkStart w:id="16" w:name="_Toc532567963"/>
      <w:r w:rsidRPr="00C36BD0">
        <w:rPr>
          <w:rFonts w:eastAsia="Calibri"/>
        </w:rPr>
        <w:t xml:space="preserve">What this means for Australian </w:t>
      </w:r>
      <w:r>
        <w:rPr>
          <w:rFonts w:eastAsia="Calibri"/>
        </w:rPr>
        <w:t>c</w:t>
      </w:r>
      <w:r w:rsidRPr="00C36BD0">
        <w:rPr>
          <w:rFonts w:eastAsia="Calibri"/>
        </w:rPr>
        <w:t>onsumers</w:t>
      </w:r>
      <w:bookmarkEnd w:id="15"/>
      <w:bookmarkEnd w:id="16"/>
      <w:r w:rsidRPr="00C36BD0">
        <w:rPr>
          <w:rFonts w:ascii="Calibri" w:hAnsi="Calibri" w:cs="Calibri"/>
          <w:kern w:val="32"/>
          <w:sz w:val="22"/>
          <w:szCs w:val="22"/>
        </w:rPr>
        <w:t xml:space="preserve"> </w:t>
      </w:r>
    </w:p>
    <w:p w14:paraId="572AA651" w14:textId="3EAF9336" w:rsidR="00422D5F" w:rsidRPr="006C31FE" w:rsidRDefault="00422D5F" w:rsidP="00422D5F">
      <w:pPr>
        <w:rPr>
          <w:rFonts w:ascii="Calibri" w:hAnsi="Calibri" w:cs="Calibri"/>
          <w:bCs/>
          <w:kern w:val="32"/>
          <w:sz w:val="22"/>
          <w:szCs w:val="22"/>
        </w:rPr>
      </w:pPr>
      <w:r w:rsidRPr="006C31FE">
        <w:rPr>
          <w:rFonts w:ascii="Calibri" w:hAnsi="Calibri" w:cs="Calibri"/>
          <w:bCs/>
          <w:kern w:val="32"/>
          <w:sz w:val="22"/>
          <w:szCs w:val="22"/>
        </w:rPr>
        <w:t>Without a ready supp</w:t>
      </w:r>
      <w:r w:rsidR="005C4983">
        <w:rPr>
          <w:rFonts w:ascii="Calibri" w:hAnsi="Calibri" w:cs="Calibri"/>
          <w:bCs/>
          <w:kern w:val="32"/>
          <w:sz w:val="22"/>
          <w:szCs w:val="22"/>
        </w:rPr>
        <w:t>ly</w:t>
      </w:r>
      <w:r w:rsidRPr="006C31FE">
        <w:rPr>
          <w:rFonts w:ascii="Calibri" w:hAnsi="Calibri" w:cs="Calibri"/>
          <w:bCs/>
          <w:kern w:val="32"/>
          <w:sz w:val="22"/>
          <w:szCs w:val="22"/>
        </w:rPr>
        <w:t xml:space="preserve"> of well trained and experience</w:t>
      </w:r>
      <w:r w:rsidR="005C4983">
        <w:rPr>
          <w:rFonts w:ascii="Calibri" w:hAnsi="Calibri" w:cs="Calibri"/>
          <w:bCs/>
          <w:kern w:val="32"/>
          <w:sz w:val="22"/>
          <w:szCs w:val="22"/>
        </w:rPr>
        <w:t>d</w:t>
      </w:r>
      <w:r w:rsidRPr="006C31FE">
        <w:rPr>
          <w:rFonts w:ascii="Calibri" w:hAnsi="Calibri" w:cs="Calibri"/>
          <w:bCs/>
          <w:kern w:val="32"/>
          <w:sz w:val="22"/>
          <w:szCs w:val="22"/>
        </w:rPr>
        <w:t xml:space="preserve"> clinicians, consumers will inevitably face challenges in accessing </w:t>
      </w:r>
      <w:r w:rsidR="005C4983">
        <w:rPr>
          <w:rFonts w:ascii="Calibri" w:hAnsi="Calibri" w:cs="Calibri"/>
          <w:bCs/>
          <w:kern w:val="32"/>
          <w:sz w:val="22"/>
          <w:szCs w:val="22"/>
        </w:rPr>
        <w:t xml:space="preserve">timely and </w:t>
      </w:r>
      <w:r w:rsidRPr="006C31FE">
        <w:rPr>
          <w:rFonts w:ascii="Calibri" w:hAnsi="Calibri" w:cs="Calibri"/>
          <w:bCs/>
          <w:kern w:val="32"/>
          <w:sz w:val="22"/>
          <w:szCs w:val="22"/>
        </w:rPr>
        <w:t xml:space="preserve">affordable </w:t>
      </w:r>
      <w:r w:rsidR="005C4983">
        <w:rPr>
          <w:rFonts w:ascii="Calibri" w:hAnsi="Calibri" w:cs="Calibri"/>
          <w:bCs/>
          <w:kern w:val="32"/>
          <w:sz w:val="22"/>
          <w:szCs w:val="22"/>
        </w:rPr>
        <w:t>high</w:t>
      </w:r>
      <w:r w:rsidR="00833C18">
        <w:rPr>
          <w:rFonts w:ascii="Calibri" w:hAnsi="Calibri" w:cs="Calibri"/>
          <w:bCs/>
          <w:kern w:val="32"/>
          <w:sz w:val="22"/>
          <w:szCs w:val="22"/>
        </w:rPr>
        <w:t xml:space="preserve"> </w:t>
      </w:r>
      <w:r w:rsidR="005C4983">
        <w:rPr>
          <w:rFonts w:ascii="Calibri" w:hAnsi="Calibri" w:cs="Calibri"/>
          <w:bCs/>
          <w:kern w:val="32"/>
          <w:sz w:val="22"/>
          <w:szCs w:val="22"/>
        </w:rPr>
        <w:t xml:space="preserve">quality </w:t>
      </w:r>
      <w:r w:rsidRPr="006C31FE">
        <w:rPr>
          <w:rFonts w:ascii="Calibri" w:hAnsi="Calibri" w:cs="Calibri"/>
          <w:bCs/>
          <w:kern w:val="32"/>
          <w:sz w:val="22"/>
          <w:szCs w:val="22"/>
        </w:rPr>
        <w:t>care.</w:t>
      </w:r>
    </w:p>
    <w:p w14:paraId="486829DB" w14:textId="77777777" w:rsidR="003A473E" w:rsidRDefault="003A473E">
      <w:pPr>
        <w:spacing w:after="200" w:line="276" w:lineRule="auto"/>
        <w:rPr>
          <w:rFonts w:ascii="Calibri" w:hAnsi="Calibri" w:cs="Calibri"/>
          <w:b/>
          <w:bCs/>
          <w:kern w:val="32"/>
          <w:sz w:val="22"/>
          <w:szCs w:val="22"/>
        </w:rPr>
      </w:pPr>
      <w:r>
        <w:rPr>
          <w:rFonts w:ascii="Calibri" w:hAnsi="Calibri" w:cs="Calibri"/>
          <w:b/>
          <w:bCs/>
          <w:kern w:val="32"/>
          <w:sz w:val="22"/>
          <w:szCs w:val="22"/>
        </w:rPr>
        <w:br w:type="page"/>
      </w:r>
    </w:p>
    <w:p w14:paraId="39ABEFC0" w14:textId="0C6B2AC6" w:rsidR="003A473E" w:rsidRPr="003A473E" w:rsidRDefault="003A473E" w:rsidP="00422D5F">
      <w:pPr>
        <w:pStyle w:val="Heading1"/>
        <w:rPr>
          <w:b w:val="0"/>
        </w:rPr>
      </w:pPr>
      <w:bookmarkStart w:id="17" w:name="_Toc532567964"/>
      <w:r w:rsidRPr="00422D5F">
        <w:t>Pharmacy</w:t>
      </w:r>
      <w:r>
        <w:t xml:space="preserve"> – </w:t>
      </w:r>
      <w:r w:rsidR="001F0367">
        <w:t xml:space="preserve">PBS </w:t>
      </w:r>
      <w:r>
        <w:t>Special Pricing Arrangements</w:t>
      </w:r>
      <w:bookmarkEnd w:id="17"/>
    </w:p>
    <w:p w14:paraId="5392F7E2" w14:textId="4F5C1BFC" w:rsidR="003A473E" w:rsidRPr="00C36BD0" w:rsidRDefault="003A473E" w:rsidP="003A473E">
      <w:pPr>
        <w:pStyle w:val="Heading2"/>
        <w:rPr>
          <w:rFonts w:eastAsia="Calibri"/>
        </w:rPr>
      </w:pPr>
      <w:bookmarkStart w:id="18" w:name="_Toc532567965"/>
      <w:r>
        <w:rPr>
          <w:rFonts w:eastAsia="Calibri"/>
        </w:rPr>
        <w:t xml:space="preserve">Budget </w:t>
      </w:r>
      <w:r w:rsidR="001F0367">
        <w:rPr>
          <w:rFonts w:eastAsia="Calibri"/>
        </w:rPr>
        <w:t>p</w:t>
      </w:r>
      <w:r>
        <w:rPr>
          <w:rFonts w:eastAsia="Calibri"/>
        </w:rPr>
        <w:t>roposal</w:t>
      </w:r>
      <w:bookmarkEnd w:id="18"/>
    </w:p>
    <w:p w14:paraId="143E3D75" w14:textId="087B99EA" w:rsidR="003A473E" w:rsidRPr="00986F07" w:rsidRDefault="003A473E" w:rsidP="00422D5F">
      <w:pPr>
        <w:rPr>
          <w:rFonts w:ascii="Calibri" w:hAnsi="Calibri" w:cs="Calibri"/>
          <w:bCs/>
          <w:kern w:val="32"/>
          <w:sz w:val="22"/>
          <w:szCs w:val="22"/>
        </w:rPr>
      </w:pPr>
      <w:r w:rsidRPr="00986F07">
        <w:rPr>
          <w:rFonts w:ascii="Calibri" w:hAnsi="Calibri" w:cs="Calibri"/>
          <w:bCs/>
          <w:kern w:val="32"/>
          <w:sz w:val="22"/>
          <w:szCs w:val="22"/>
        </w:rPr>
        <w:t xml:space="preserve">The </w:t>
      </w:r>
      <w:r w:rsidR="00983E7E">
        <w:rPr>
          <w:rFonts w:ascii="Calibri" w:hAnsi="Calibri" w:cs="Calibri"/>
          <w:bCs/>
          <w:kern w:val="32"/>
          <w:sz w:val="22"/>
          <w:szCs w:val="22"/>
        </w:rPr>
        <w:t>F</w:t>
      </w:r>
      <w:r w:rsidRPr="00986F07">
        <w:rPr>
          <w:rFonts w:ascii="Calibri" w:hAnsi="Calibri" w:cs="Calibri"/>
          <w:bCs/>
          <w:kern w:val="32"/>
          <w:sz w:val="22"/>
          <w:szCs w:val="22"/>
        </w:rPr>
        <w:t xml:space="preserve">ederal </w:t>
      </w:r>
      <w:r w:rsidR="00983E7E">
        <w:rPr>
          <w:rFonts w:ascii="Calibri" w:hAnsi="Calibri" w:cs="Calibri"/>
          <w:bCs/>
          <w:kern w:val="32"/>
          <w:sz w:val="22"/>
          <w:szCs w:val="22"/>
        </w:rPr>
        <w:t>G</w:t>
      </w:r>
      <w:r w:rsidRPr="00986F07">
        <w:rPr>
          <w:rFonts w:ascii="Calibri" w:hAnsi="Calibri" w:cs="Calibri"/>
          <w:bCs/>
          <w:kern w:val="32"/>
          <w:sz w:val="22"/>
          <w:szCs w:val="22"/>
        </w:rPr>
        <w:t xml:space="preserve">overnment needs to commit funding to support the added administrative costs to supply chain participants </w:t>
      </w:r>
      <w:r w:rsidR="00CA1001" w:rsidRPr="00986F07">
        <w:rPr>
          <w:rFonts w:ascii="Calibri" w:hAnsi="Calibri" w:cs="Calibri"/>
          <w:bCs/>
          <w:kern w:val="32"/>
          <w:sz w:val="22"/>
          <w:szCs w:val="22"/>
        </w:rPr>
        <w:t>as a consequence of the PBS Special Pricing Arrangements</w:t>
      </w:r>
      <w:r w:rsidR="00E054FD">
        <w:rPr>
          <w:rFonts w:ascii="Calibri" w:hAnsi="Calibri" w:cs="Calibri"/>
          <w:bCs/>
          <w:kern w:val="32"/>
          <w:sz w:val="22"/>
          <w:szCs w:val="22"/>
        </w:rPr>
        <w:t xml:space="preserve"> (SPAs)</w:t>
      </w:r>
      <w:r w:rsidR="00CA1001" w:rsidRPr="00986F07">
        <w:rPr>
          <w:rFonts w:ascii="Calibri" w:hAnsi="Calibri" w:cs="Calibri"/>
          <w:bCs/>
          <w:kern w:val="32"/>
          <w:sz w:val="22"/>
          <w:szCs w:val="22"/>
        </w:rPr>
        <w:t xml:space="preserve"> reform announced as part of the 2018/19 Federal Budget. These costs </w:t>
      </w:r>
      <w:r w:rsidR="00986F07">
        <w:rPr>
          <w:rFonts w:ascii="Calibri" w:hAnsi="Calibri" w:cs="Calibri"/>
          <w:bCs/>
          <w:kern w:val="32"/>
          <w:sz w:val="22"/>
          <w:szCs w:val="22"/>
        </w:rPr>
        <w:t>include</w:t>
      </w:r>
      <w:r w:rsidR="00CA1001" w:rsidRPr="00986F07">
        <w:rPr>
          <w:rFonts w:ascii="Calibri" w:hAnsi="Calibri" w:cs="Calibri"/>
          <w:bCs/>
          <w:kern w:val="32"/>
          <w:sz w:val="22"/>
          <w:szCs w:val="22"/>
        </w:rPr>
        <w:t xml:space="preserve"> the </w:t>
      </w:r>
      <w:r w:rsidRPr="00986F07">
        <w:rPr>
          <w:rFonts w:ascii="Calibri" w:hAnsi="Calibri" w:cs="Calibri"/>
          <w:bCs/>
          <w:kern w:val="32"/>
          <w:sz w:val="22"/>
          <w:szCs w:val="22"/>
        </w:rPr>
        <w:t>establishment of an escrow agent to handle the require</w:t>
      </w:r>
      <w:r w:rsidR="00E054FD">
        <w:rPr>
          <w:rFonts w:ascii="Calibri" w:hAnsi="Calibri" w:cs="Calibri"/>
          <w:bCs/>
          <w:kern w:val="32"/>
          <w:sz w:val="22"/>
          <w:szCs w:val="22"/>
        </w:rPr>
        <w:t>d</w:t>
      </w:r>
      <w:r w:rsidRPr="00986F07">
        <w:rPr>
          <w:rFonts w:ascii="Calibri" w:hAnsi="Calibri" w:cs="Calibri"/>
          <w:bCs/>
          <w:kern w:val="32"/>
          <w:sz w:val="22"/>
          <w:szCs w:val="22"/>
        </w:rPr>
        <w:t xml:space="preserve"> transactions and reconciliations</w:t>
      </w:r>
      <w:r w:rsidR="00E054FD">
        <w:rPr>
          <w:rFonts w:ascii="Calibri" w:hAnsi="Calibri" w:cs="Calibri"/>
          <w:bCs/>
          <w:kern w:val="32"/>
          <w:sz w:val="22"/>
          <w:szCs w:val="22"/>
        </w:rPr>
        <w:t xml:space="preserve"> between manufacturers, whole-sellers, compounding pharmacies and dispensing pharmacists (both hospital and community based) and the Department of Human Services.</w:t>
      </w:r>
    </w:p>
    <w:p w14:paraId="6912B1C5" w14:textId="0A27CA49" w:rsidR="00CA1001" w:rsidRPr="00986F07" w:rsidRDefault="00CA1001" w:rsidP="00422D5F">
      <w:pPr>
        <w:rPr>
          <w:rFonts w:ascii="Calibri" w:hAnsi="Calibri" w:cs="Calibri"/>
          <w:bCs/>
          <w:kern w:val="32"/>
          <w:sz w:val="22"/>
          <w:szCs w:val="22"/>
        </w:rPr>
      </w:pPr>
      <w:r w:rsidRPr="00986F07">
        <w:rPr>
          <w:rFonts w:ascii="Calibri" w:hAnsi="Calibri" w:cs="Calibri"/>
          <w:bCs/>
          <w:kern w:val="32"/>
          <w:sz w:val="22"/>
          <w:szCs w:val="22"/>
        </w:rPr>
        <w:t>Independent analysis estimates the</w:t>
      </w:r>
      <w:r w:rsidR="00E054FD">
        <w:rPr>
          <w:rFonts w:ascii="Calibri" w:hAnsi="Calibri" w:cs="Calibri"/>
          <w:bCs/>
          <w:kern w:val="32"/>
          <w:sz w:val="22"/>
          <w:szCs w:val="22"/>
        </w:rPr>
        <w:t xml:space="preserve"> full</w:t>
      </w:r>
      <w:r w:rsidRPr="00986F07">
        <w:rPr>
          <w:rFonts w:ascii="Calibri" w:hAnsi="Calibri" w:cs="Calibri"/>
          <w:bCs/>
          <w:kern w:val="32"/>
          <w:sz w:val="22"/>
          <w:szCs w:val="22"/>
        </w:rPr>
        <w:t xml:space="preserve"> cost to the Federal Government at $50</w:t>
      </w:r>
      <w:r w:rsidR="005C4983">
        <w:rPr>
          <w:rFonts w:ascii="Calibri" w:hAnsi="Calibri" w:cs="Calibri"/>
          <w:bCs/>
          <w:kern w:val="32"/>
          <w:sz w:val="22"/>
          <w:szCs w:val="22"/>
        </w:rPr>
        <w:t xml:space="preserve"> </w:t>
      </w:r>
      <w:r w:rsidRPr="00986F07">
        <w:rPr>
          <w:rFonts w:ascii="Calibri" w:hAnsi="Calibri" w:cs="Calibri"/>
          <w:bCs/>
          <w:kern w:val="32"/>
          <w:sz w:val="22"/>
          <w:szCs w:val="22"/>
        </w:rPr>
        <w:t>million per annum</w:t>
      </w:r>
      <w:r w:rsidR="00E054FD">
        <w:rPr>
          <w:rFonts w:ascii="Calibri" w:hAnsi="Calibri" w:cs="Calibri"/>
          <w:bCs/>
          <w:kern w:val="32"/>
          <w:sz w:val="22"/>
          <w:szCs w:val="22"/>
        </w:rPr>
        <w:t xml:space="preserve"> (on the basis of drugs currently funded through SPAs</w:t>
      </w:r>
      <w:r w:rsidR="005C4983">
        <w:rPr>
          <w:rFonts w:ascii="Calibri" w:hAnsi="Calibri" w:cs="Calibri"/>
          <w:bCs/>
          <w:kern w:val="32"/>
          <w:sz w:val="22"/>
          <w:szCs w:val="22"/>
        </w:rPr>
        <w:t>)</w:t>
      </w:r>
      <w:r w:rsidRPr="00986F07">
        <w:rPr>
          <w:rFonts w:ascii="Calibri" w:hAnsi="Calibri" w:cs="Calibri"/>
          <w:bCs/>
          <w:kern w:val="32"/>
          <w:sz w:val="22"/>
          <w:szCs w:val="22"/>
        </w:rPr>
        <w:t>.</w:t>
      </w:r>
    </w:p>
    <w:p w14:paraId="0B8282EC" w14:textId="19520EE3" w:rsidR="00CA1001" w:rsidRDefault="00CA1001" w:rsidP="00CA1001">
      <w:pPr>
        <w:pStyle w:val="Heading2"/>
        <w:rPr>
          <w:rFonts w:eastAsia="Calibri"/>
        </w:rPr>
      </w:pPr>
      <w:bookmarkStart w:id="19" w:name="_Toc532567966"/>
      <w:r w:rsidRPr="00CA1001">
        <w:rPr>
          <w:rFonts w:eastAsia="Calibri"/>
        </w:rPr>
        <w:t>Rationale</w:t>
      </w:r>
      <w:bookmarkEnd w:id="19"/>
    </w:p>
    <w:p w14:paraId="7C11DC66" w14:textId="1B9F4BF2" w:rsidR="00CA1001" w:rsidRPr="00986F07" w:rsidRDefault="00CA1001" w:rsidP="00CA1001">
      <w:pPr>
        <w:rPr>
          <w:rFonts w:ascii="Calibri" w:hAnsi="Calibri" w:cs="Calibri"/>
          <w:bCs/>
          <w:kern w:val="32"/>
          <w:sz w:val="22"/>
          <w:szCs w:val="22"/>
        </w:rPr>
      </w:pPr>
      <w:r w:rsidRPr="00986F07">
        <w:rPr>
          <w:rFonts w:ascii="Calibri" w:hAnsi="Calibri" w:cs="Calibri"/>
          <w:bCs/>
          <w:kern w:val="32"/>
          <w:sz w:val="22"/>
          <w:szCs w:val="22"/>
        </w:rPr>
        <w:t>In the 2018/19 Federal Budget, the Australian Government announced its intention to implement changes to administration arrangements for high cost Pharmaceutical Benefits Scheme (PBS</w:t>
      </w:r>
      <w:r w:rsidR="00E054FD">
        <w:rPr>
          <w:rFonts w:ascii="Calibri" w:hAnsi="Calibri" w:cs="Calibri"/>
          <w:bCs/>
          <w:kern w:val="32"/>
          <w:sz w:val="22"/>
          <w:szCs w:val="22"/>
        </w:rPr>
        <w:t>)</w:t>
      </w:r>
      <w:r w:rsidRPr="00986F07">
        <w:rPr>
          <w:rFonts w:ascii="Calibri" w:hAnsi="Calibri" w:cs="Calibri"/>
          <w:bCs/>
          <w:kern w:val="32"/>
          <w:sz w:val="22"/>
          <w:szCs w:val="22"/>
        </w:rPr>
        <w:t xml:space="preserve"> listed medicines</w:t>
      </w:r>
      <w:r w:rsidR="00986F07" w:rsidRPr="00986F07">
        <w:rPr>
          <w:rFonts w:ascii="Calibri" w:hAnsi="Calibri" w:cs="Calibri"/>
          <w:bCs/>
          <w:kern w:val="32"/>
          <w:sz w:val="22"/>
          <w:szCs w:val="22"/>
        </w:rPr>
        <w:t xml:space="preserve"> with the stated aim</w:t>
      </w:r>
      <w:r w:rsidR="00986F07">
        <w:rPr>
          <w:rFonts w:ascii="Calibri" w:hAnsi="Calibri" w:cs="Calibri"/>
          <w:bCs/>
          <w:kern w:val="32"/>
          <w:sz w:val="22"/>
          <w:szCs w:val="22"/>
        </w:rPr>
        <w:t>:</w:t>
      </w:r>
      <w:r w:rsidR="00986F07" w:rsidRPr="00986F07">
        <w:rPr>
          <w:rFonts w:ascii="Calibri" w:hAnsi="Calibri" w:cs="Calibri"/>
          <w:bCs/>
          <w:kern w:val="32"/>
          <w:sz w:val="22"/>
          <w:szCs w:val="22"/>
        </w:rPr>
        <w:t xml:space="preserve"> </w:t>
      </w:r>
    </w:p>
    <w:p w14:paraId="789A02F5" w14:textId="50F388EA" w:rsidR="00986F07" w:rsidRPr="00986F07" w:rsidRDefault="00986F07" w:rsidP="0029054D">
      <w:pPr>
        <w:pStyle w:val="ListParagraph"/>
        <w:numPr>
          <w:ilvl w:val="0"/>
          <w:numId w:val="53"/>
        </w:numPr>
        <w:rPr>
          <w:rFonts w:ascii="Calibri" w:hAnsi="Calibri" w:cs="Calibri"/>
          <w:bCs/>
          <w:kern w:val="32"/>
          <w:sz w:val="22"/>
          <w:szCs w:val="22"/>
        </w:rPr>
      </w:pPr>
      <w:r w:rsidRPr="00986F07">
        <w:rPr>
          <w:rFonts w:ascii="Calibri" w:hAnsi="Calibri" w:cs="Calibri"/>
          <w:bCs/>
          <w:kern w:val="32"/>
          <w:sz w:val="22"/>
          <w:szCs w:val="22"/>
        </w:rPr>
        <w:t>Increasing consumers’ access to high-cost medicines through community pharmacy</w:t>
      </w:r>
    </w:p>
    <w:p w14:paraId="477079BF" w14:textId="62F67577" w:rsidR="00986F07" w:rsidRPr="00986F07" w:rsidRDefault="00986F07" w:rsidP="0029054D">
      <w:pPr>
        <w:pStyle w:val="ListParagraph"/>
        <w:numPr>
          <w:ilvl w:val="0"/>
          <w:numId w:val="53"/>
        </w:numPr>
        <w:rPr>
          <w:rFonts w:ascii="Calibri" w:hAnsi="Calibri" w:cs="Calibri"/>
          <w:bCs/>
          <w:kern w:val="32"/>
          <w:sz w:val="22"/>
          <w:szCs w:val="22"/>
        </w:rPr>
      </w:pPr>
      <w:r w:rsidRPr="00986F07">
        <w:rPr>
          <w:rFonts w:ascii="Calibri" w:hAnsi="Calibri" w:cs="Calibri"/>
          <w:bCs/>
          <w:kern w:val="32"/>
          <w:sz w:val="22"/>
          <w:szCs w:val="22"/>
        </w:rPr>
        <w:t>Continuing to support a viable community pharmacy network by addressing cash flow concerns raised by pharmacists and wholesalers</w:t>
      </w:r>
      <w:r>
        <w:rPr>
          <w:rFonts w:ascii="Calibri" w:hAnsi="Calibri" w:cs="Calibri"/>
          <w:bCs/>
          <w:kern w:val="32"/>
          <w:sz w:val="22"/>
          <w:szCs w:val="22"/>
        </w:rPr>
        <w:t>,</w:t>
      </w:r>
      <w:r w:rsidRPr="00986F07">
        <w:rPr>
          <w:rFonts w:ascii="Calibri" w:hAnsi="Calibri" w:cs="Calibri"/>
          <w:bCs/>
          <w:kern w:val="32"/>
          <w:sz w:val="22"/>
          <w:szCs w:val="22"/>
        </w:rPr>
        <w:t xml:space="preserve"> and</w:t>
      </w:r>
    </w:p>
    <w:p w14:paraId="40FB8142" w14:textId="5A804004" w:rsidR="00986F07" w:rsidRPr="00986F07" w:rsidRDefault="00986F07" w:rsidP="0029054D">
      <w:pPr>
        <w:pStyle w:val="ListParagraph"/>
        <w:numPr>
          <w:ilvl w:val="0"/>
          <w:numId w:val="53"/>
        </w:numPr>
        <w:rPr>
          <w:rFonts w:ascii="Calibri" w:hAnsi="Calibri" w:cs="Calibri"/>
          <w:bCs/>
          <w:kern w:val="32"/>
          <w:sz w:val="22"/>
          <w:szCs w:val="22"/>
        </w:rPr>
      </w:pPr>
      <w:r w:rsidRPr="00986F07">
        <w:rPr>
          <w:rFonts w:ascii="Calibri" w:hAnsi="Calibri" w:cs="Calibri"/>
          <w:bCs/>
          <w:kern w:val="32"/>
          <w:sz w:val="22"/>
          <w:szCs w:val="22"/>
        </w:rPr>
        <w:t>Addressing the financial risks associated with the payment of large rebates from medicines companies to Government for some high cost medicine.</w:t>
      </w:r>
      <w:r>
        <w:rPr>
          <w:rFonts w:ascii="Calibri" w:hAnsi="Calibri" w:cs="Calibri"/>
          <w:bCs/>
          <w:kern w:val="32"/>
          <w:sz w:val="22"/>
          <w:szCs w:val="22"/>
        </w:rPr>
        <w:br/>
      </w:r>
    </w:p>
    <w:p w14:paraId="24C63BC1" w14:textId="492B3E81" w:rsidR="00986F07" w:rsidRDefault="00986F07" w:rsidP="00E054FD">
      <w:pPr>
        <w:rPr>
          <w:rFonts w:ascii="Calibri" w:hAnsi="Calibri" w:cs="Calibri"/>
          <w:bCs/>
          <w:kern w:val="32"/>
          <w:sz w:val="22"/>
          <w:szCs w:val="22"/>
        </w:rPr>
      </w:pPr>
      <w:r>
        <w:rPr>
          <w:rFonts w:ascii="Calibri" w:hAnsi="Calibri" w:cs="Calibri"/>
          <w:bCs/>
          <w:kern w:val="32"/>
          <w:sz w:val="22"/>
          <w:szCs w:val="22"/>
        </w:rPr>
        <w:t xml:space="preserve">Although not consulted prior to this announcement, APHA </w:t>
      </w:r>
      <w:r w:rsidR="005C4983">
        <w:rPr>
          <w:rFonts w:ascii="Calibri" w:hAnsi="Calibri" w:cs="Calibri"/>
          <w:bCs/>
          <w:kern w:val="32"/>
          <w:sz w:val="22"/>
          <w:szCs w:val="22"/>
        </w:rPr>
        <w:t>accepted</w:t>
      </w:r>
      <w:r>
        <w:rPr>
          <w:rFonts w:ascii="Calibri" w:hAnsi="Calibri" w:cs="Calibri"/>
          <w:bCs/>
          <w:kern w:val="32"/>
          <w:sz w:val="22"/>
          <w:szCs w:val="22"/>
        </w:rPr>
        <w:t xml:space="preserve"> the Department of Health’s invitation to </w:t>
      </w:r>
      <w:r w:rsidRPr="00986F07">
        <w:rPr>
          <w:rFonts w:ascii="Calibri" w:hAnsi="Calibri" w:cs="Calibri"/>
          <w:bCs/>
          <w:kern w:val="32"/>
          <w:sz w:val="22"/>
          <w:szCs w:val="22"/>
        </w:rPr>
        <w:t>engage</w:t>
      </w:r>
      <w:r>
        <w:rPr>
          <w:rFonts w:ascii="Calibri" w:hAnsi="Calibri" w:cs="Calibri"/>
          <w:bCs/>
          <w:kern w:val="32"/>
          <w:sz w:val="22"/>
          <w:szCs w:val="22"/>
        </w:rPr>
        <w:t xml:space="preserve"> </w:t>
      </w:r>
      <w:r w:rsidRPr="00986F07">
        <w:rPr>
          <w:rFonts w:ascii="Calibri" w:hAnsi="Calibri" w:cs="Calibri"/>
          <w:bCs/>
          <w:kern w:val="32"/>
          <w:sz w:val="22"/>
          <w:szCs w:val="22"/>
        </w:rPr>
        <w:t>in detailed conversations</w:t>
      </w:r>
      <w:r>
        <w:rPr>
          <w:rFonts w:ascii="Calibri" w:hAnsi="Calibri" w:cs="Calibri"/>
          <w:bCs/>
          <w:kern w:val="32"/>
          <w:sz w:val="22"/>
          <w:szCs w:val="22"/>
        </w:rPr>
        <w:t xml:space="preserve"> </w:t>
      </w:r>
      <w:r w:rsidRPr="00986F07">
        <w:rPr>
          <w:rFonts w:ascii="Calibri" w:hAnsi="Calibri" w:cs="Calibri"/>
          <w:bCs/>
          <w:kern w:val="32"/>
          <w:sz w:val="22"/>
          <w:szCs w:val="22"/>
        </w:rPr>
        <w:t>in an attempt to develop a workable model for the implementation of this measure</w:t>
      </w:r>
      <w:r w:rsidR="00833C18">
        <w:rPr>
          <w:rFonts w:ascii="Calibri" w:hAnsi="Calibri" w:cs="Calibri"/>
          <w:bCs/>
          <w:kern w:val="32"/>
          <w:sz w:val="22"/>
          <w:szCs w:val="22"/>
        </w:rPr>
        <w:t xml:space="preserve">. </w:t>
      </w:r>
      <w:r>
        <w:rPr>
          <w:rFonts w:ascii="Calibri" w:hAnsi="Calibri" w:cs="Calibri"/>
          <w:bCs/>
          <w:kern w:val="32"/>
          <w:sz w:val="22"/>
          <w:szCs w:val="22"/>
        </w:rPr>
        <w:t>Our conclusion is</w:t>
      </w:r>
      <w:r w:rsidR="00E054FD">
        <w:rPr>
          <w:rFonts w:ascii="Calibri" w:hAnsi="Calibri" w:cs="Calibri"/>
          <w:bCs/>
          <w:kern w:val="32"/>
          <w:sz w:val="22"/>
          <w:szCs w:val="22"/>
        </w:rPr>
        <w:t xml:space="preserve"> </w:t>
      </w:r>
      <w:r>
        <w:rPr>
          <w:rFonts w:ascii="Calibri" w:hAnsi="Calibri" w:cs="Calibri"/>
          <w:bCs/>
          <w:kern w:val="32"/>
          <w:sz w:val="22"/>
          <w:szCs w:val="22"/>
        </w:rPr>
        <w:t>this reform imposes substantial and additional transactional cost</w:t>
      </w:r>
      <w:r w:rsidR="00833C18">
        <w:rPr>
          <w:rFonts w:ascii="Calibri" w:hAnsi="Calibri" w:cs="Calibri"/>
          <w:bCs/>
          <w:kern w:val="32"/>
          <w:sz w:val="22"/>
          <w:szCs w:val="22"/>
        </w:rPr>
        <w:t>s</w:t>
      </w:r>
      <w:r>
        <w:rPr>
          <w:rFonts w:ascii="Calibri" w:hAnsi="Calibri" w:cs="Calibri"/>
          <w:bCs/>
          <w:kern w:val="32"/>
          <w:sz w:val="22"/>
          <w:szCs w:val="22"/>
        </w:rPr>
        <w:t xml:space="preserve"> on the sector</w:t>
      </w:r>
      <w:r w:rsidR="00E054FD">
        <w:rPr>
          <w:rFonts w:ascii="Calibri" w:hAnsi="Calibri" w:cs="Calibri"/>
          <w:bCs/>
          <w:kern w:val="32"/>
          <w:sz w:val="22"/>
          <w:szCs w:val="22"/>
        </w:rPr>
        <w:t xml:space="preserve"> and a </w:t>
      </w:r>
      <w:r w:rsidR="00D70482">
        <w:rPr>
          <w:rFonts w:ascii="Calibri" w:hAnsi="Calibri" w:cs="Calibri"/>
          <w:bCs/>
          <w:kern w:val="32"/>
          <w:sz w:val="22"/>
          <w:szCs w:val="22"/>
        </w:rPr>
        <w:t xml:space="preserve">high </w:t>
      </w:r>
      <w:r w:rsidR="00E054FD">
        <w:rPr>
          <w:rFonts w:ascii="Calibri" w:hAnsi="Calibri" w:cs="Calibri"/>
          <w:bCs/>
          <w:kern w:val="32"/>
          <w:sz w:val="22"/>
          <w:szCs w:val="22"/>
        </w:rPr>
        <w:t xml:space="preserve">level of complexity </w:t>
      </w:r>
      <w:r w:rsidR="00D70482">
        <w:rPr>
          <w:rFonts w:ascii="Calibri" w:hAnsi="Calibri" w:cs="Calibri"/>
          <w:bCs/>
          <w:kern w:val="32"/>
          <w:sz w:val="22"/>
          <w:szCs w:val="22"/>
        </w:rPr>
        <w:t>with respect to the collection and reconciliation of data across multiple supply-chain participants.</w:t>
      </w:r>
    </w:p>
    <w:p w14:paraId="524C06E6" w14:textId="5030C11A" w:rsidR="00E054FD" w:rsidRDefault="00E054FD" w:rsidP="00E054FD">
      <w:pPr>
        <w:rPr>
          <w:rFonts w:ascii="Calibri" w:hAnsi="Calibri" w:cs="Calibri"/>
          <w:bCs/>
          <w:kern w:val="32"/>
          <w:sz w:val="22"/>
          <w:szCs w:val="22"/>
        </w:rPr>
      </w:pPr>
      <w:r>
        <w:rPr>
          <w:rFonts w:ascii="Calibri" w:hAnsi="Calibri" w:cs="Calibri"/>
          <w:bCs/>
          <w:kern w:val="32"/>
          <w:sz w:val="22"/>
          <w:szCs w:val="22"/>
        </w:rPr>
        <w:t>APHA is appreciative of the fact the Federal Government has agreed to defer full implementation until 1 July 2020 for compounded drugs however it has stated the intent to commence with a trial implementation from 1 July 2019</w:t>
      </w:r>
      <w:r w:rsidR="00833C18">
        <w:rPr>
          <w:rFonts w:ascii="Calibri" w:hAnsi="Calibri" w:cs="Calibri"/>
          <w:bCs/>
          <w:kern w:val="32"/>
          <w:sz w:val="22"/>
          <w:szCs w:val="22"/>
        </w:rPr>
        <w:t xml:space="preserve">. </w:t>
      </w:r>
      <w:r w:rsidR="00D70482">
        <w:rPr>
          <w:rFonts w:ascii="Calibri" w:hAnsi="Calibri" w:cs="Calibri"/>
          <w:bCs/>
          <w:kern w:val="32"/>
          <w:sz w:val="22"/>
          <w:szCs w:val="22"/>
        </w:rPr>
        <w:t xml:space="preserve">In order for the trial proceed, it is essential a workable solution is found and a commitment made to a </w:t>
      </w:r>
      <w:r w:rsidR="005C4983">
        <w:rPr>
          <w:rFonts w:ascii="Calibri" w:hAnsi="Calibri" w:cs="Calibri"/>
          <w:bCs/>
          <w:kern w:val="32"/>
          <w:sz w:val="22"/>
          <w:szCs w:val="22"/>
        </w:rPr>
        <w:t xml:space="preserve">financially supporting </w:t>
      </w:r>
      <w:r w:rsidR="00D70482">
        <w:rPr>
          <w:rFonts w:ascii="Calibri" w:hAnsi="Calibri" w:cs="Calibri"/>
          <w:bCs/>
          <w:kern w:val="32"/>
          <w:sz w:val="22"/>
          <w:szCs w:val="22"/>
        </w:rPr>
        <w:t xml:space="preserve">model scalable to SPA arrangements as a whole. </w:t>
      </w:r>
    </w:p>
    <w:p w14:paraId="7F0AE4B0" w14:textId="77777777" w:rsidR="00E054FD" w:rsidRPr="001E5827" w:rsidRDefault="00E054FD" w:rsidP="00E054FD">
      <w:pPr>
        <w:pStyle w:val="Heading2"/>
        <w:rPr>
          <w:rFonts w:ascii="Calibri" w:hAnsi="Calibri" w:cs="Calibri"/>
          <w:kern w:val="32"/>
          <w:sz w:val="22"/>
          <w:szCs w:val="22"/>
        </w:rPr>
      </w:pPr>
      <w:bookmarkStart w:id="20" w:name="_Toc532567967"/>
      <w:r w:rsidRPr="00C36BD0">
        <w:rPr>
          <w:rFonts w:eastAsia="Calibri"/>
        </w:rPr>
        <w:t xml:space="preserve">What this means for Australian </w:t>
      </w:r>
      <w:r>
        <w:rPr>
          <w:rFonts w:eastAsia="Calibri"/>
        </w:rPr>
        <w:t>c</w:t>
      </w:r>
      <w:r w:rsidRPr="00C36BD0">
        <w:rPr>
          <w:rFonts w:eastAsia="Calibri"/>
        </w:rPr>
        <w:t>onsumers</w:t>
      </w:r>
      <w:bookmarkEnd w:id="20"/>
      <w:r w:rsidRPr="00C36BD0">
        <w:rPr>
          <w:rFonts w:ascii="Calibri" w:hAnsi="Calibri" w:cs="Calibri"/>
          <w:kern w:val="32"/>
          <w:sz w:val="22"/>
          <w:szCs w:val="22"/>
        </w:rPr>
        <w:t xml:space="preserve"> </w:t>
      </w:r>
    </w:p>
    <w:p w14:paraId="6B8A2296" w14:textId="0307465F" w:rsidR="00D70482" w:rsidRDefault="00E054FD" w:rsidP="00D70482">
      <w:pPr>
        <w:rPr>
          <w:rFonts w:ascii="Calibri" w:hAnsi="Calibri" w:cs="Calibri"/>
          <w:bCs/>
          <w:kern w:val="32"/>
          <w:sz w:val="22"/>
          <w:szCs w:val="22"/>
        </w:rPr>
      </w:pPr>
      <w:r>
        <w:rPr>
          <w:rFonts w:ascii="Calibri" w:hAnsi="Calibri" w:cs="Calibri"/>
          <w:bCs/>
          <w:kern w:val="32"/>
          <w:sz w:val="22"/>
          <w:szCs w:val="22"/>
        </w:rPr>
        <w:t>A significant number of the drugs currently listed on the PBS under Special Pricing Arrangements are used in the delivery of chemotherapy to cancer patients. The supply chains involved in the delivery of these drugs to both private and public sectors are highly specialised</w:t>
      </w:r>
      <w:r w:rsidR="00D70482">
        <w:rPr>
          <w:rFonts w:ascii="Calibri" w:hAnsi="Calibri" w:cs="Calibri"/>
          <w:bCs/>
          <w:kern w:val="32"/>
          <w:sz w:val="22"/>
          <w:szCs w:val="22"/>
        </w:rPr>
        <w:t xml:space="preserve">. If the imposition of additional administrative overheads were to cause any part of this supply chain to withdraw there would be </w:t>
      </w:r>
      <w:r w:rsidR="00366B56">
        <w:rPr>
          <w:rFonts w:ascii="Calibri" w:hAnsi="Calibri" w:cs="Calibri"/>
          <w:bCs/>
          <w:kern w:val="32"/>
          <w:sz w:val="22"/>
          <w:szCs w:val="22"/>
        </w:rPr>
        <w:t xml:space="preserve">an immediate impact on the availability of chemotherapy services in Australia. </w:t>
      </w:r>
    </w:p>
    <w:p w14:paraId="0EB7F5F2" w14:textId="77777777" w:rsidR="00FB4053" w:rsidRDefault="00FB4053" w:rsidP="00FB4053">
      <w:pPr>
        <w:pStyle w:val="Heading1"/>
        <w:rPr>
          <w:rFonts w:ascii="Calibri" w:eastAsia="Calibri" w:hAnsi="Calibri" w:cs="Calibri"/>
          <w:spacing w:val="3"/>
        </w:rPr>
      </w:pPr>
      <w:bookmarkStart w:id="21" w:name="_Toc532567968"/>
      <w:r w:rsidRPr="00A42C6C">
        <w:t>Key statistics</w:t>
      </w:r>
      <w:bookmarkEnd w:id="21"/>
    </w:p>
    <w:p w14:paraId="4262EB6D" w14:textId="77777777" w:rsidR="00FB4053" w:rsidRPr="00C36BD0" w:rsidRDefault="00FB4053" w:rsidP="00FB4053">
      <w:pPr>
        <w:pStyle w:val="Heading2"/>
        <w:rPr>
          <w:rFonts w:eastAsia="Calibri"/>
        </w:rPr>
      </w:pPr>
      <w:bookmarkStart w:id="22" w:name="_Toc532567969"/>
      <w:r w:rsidRPr="00C36BD0">
        <w:rPr>
          <w:rFonts w:eastAsia="Calibri"/>
        </w:rPr>
        <w:t>Industry statistics</w:t>
      </w:r>
      <w:bookmarkEnd w:id="22"/>
    </w:p>
    <w:p w14:paraId="67EE9C5F" w14:textId="0A6D27AB" w:rsidR="00FB4053" w:rsidRPr="0000278D" w:rsidRDefault="00FB4053" w:rsidP="009A1B37">
      <w:pPr>
        <w:pStyle w:val="ListParagraph"/>
        <w:numPr>
          <w:ilvl w:val="0"/>
          <w:numId w:val="25"/>
        </w:numPr>
        <w:rPr>
          <w:rFonts w:asciiTheme="minorHAnsi" w:hAnsiTheme="minorHAnsi" w:cstheme="minorHAnsi"/>
          <w:sz w:val="22"/>
          <w:szCs w:val="22"/>
        </w:rPr>
      </w:pPr>
      <w:r w:rsidRPr="0000278D">
        <w:rPr>
          <w:rFonts w:asciiTheme="minorHAnsi" w:hAnsiTheme="minorHAnsi" w:cstheme="minorHAnsi"/>
          <w:sz w:val="22"/>
          <w:szCs w:val="22"/>
        </w:rPr>
        <w:t>49</w:t>
      </w:r>
      <w:r w:rsidR="00B3763E" w:rsidRPr="0000278D">
        <w:rPr>
          <w:rFonts w:asciiTheme="minorHAnsi" w:hAnsiTheme="minorHAnsi" w:cstheme="minorHAnsi"/>
          <w:sz w:val="22"/>
          <w:szCs w:val="22"/>
        </w:rPr>
        <w:t xml:space="preserve"> percent</w:t>
      </w:r>
      <w:r w:rsidRPr="0000278D">
        <w:rPr>
          <w:rFonts w:asciiTheme="minorHAnsi" w:hAnsiTheme="minorHAnsi" w:cstheme="minorHAnsi"/>
          <w:sz w:val="22"/>
          <w:szCs w:val="22"/>
        </w:rPr>
        <w:t xml:space="preserve"> of Australia’s hospitals are private</w:t>
      </w:r>
    </w:p>
    <w:p w14:paraId="47F1D84E" w14:textId="77777777" w:rsidR="00FB4053" w:rsidRPr="0000278D" w:rsidRDefault="00FB4053" w:rsidP="009A1B37">
      <w:pPr>
        <w:pStyle w:val="ListParagraph"/>
        <w:numPr>
          <w:ilvl w:val="0"/>
          <w:numId w:val="25"/>
        </w:numPr>
        <w:rPr>
          <w:rFonts w:asciiTheme="minorHAnsi" w:hAnsiTheme="minorHAnsi" w:cstheme="minorHAnsi"/>
          <w:sz w:val="22"/>
          <w:szCs w:val="22"/>
        </w:rPr>
      </w:pPr>
      <w:r w:rsidRPr="0000278D">
        <w:rPr>
          <w:rFonts w:asciiTheme="minorHAnsi" w:hAnsiTheme="minorHAnsi" w:cstheme="minorHAnsi"/>
          <w:sz w:val="22"/>
          <w:szCs w:val="22"/>
        </w:rPr>
        <w:t>There are 657 private hospitals – 300 overnight hospitals and 357 day surgeries</w:t>
      </w:r>
    </w:p>
    <w:p w14:paraId="2404027A" w14:textId="49083825" w:rsidR="00FB4053" w:rsidRPr="0000278D" w:rsidRDefault="001B67FD" w:rsidP="009A1B37">
      <w:pPr>
        <w:pStyle w:val="ListParagraph"/>
        <w:numPr>
          <w:ilvl w:val="0"/>
          <w:numId w:val="25"/>
        </w:numPr>
        <w:rPr>
          <w:rFonts w:asciiTheme="minorHAnsi" w:hAnsiTheme="minorHAnsi" w:cstheme="minorHAnsi"/>
          <w:sz w:val="22"/>
          <w:szCs w:val="22"/>
        </w:rPr>
      </w:pPr>
      <w:r w:rsidRPr="0000278D">
        <w:rPr>
          <w:rFonts w:asciiTheme="minorHAnsi" w:hAnsiTheme="minorHAnsi" w:cstheme="minorHAnsi"/>
          <w:sz w:val="22"/>
          <w:szCs w:val="22"/>
        </w:rPr>
        <w:t>There are</w:t>
      </w:r>
      <w:r w:rsidR="00FB4053" w:rsidRPr="0000278D">
        <w:rPr>
          <w:rFonts w:asciiTheme="minorHAnsi" w:hAnsiTheme="minorHAnsi" w:cstheme="minorHAnsi"/>
          <w:sz w:val="22"/>
          <w:szCs w:val="22"/>
        </w:rPr>
        <w:t xml:space="preserve"> 34,339 beds and chairs (31,029 in overnight hospitals and 3,310 in free-standing day surgeries)</w:t>
      </w:r>
    </w:p>
    <w:p w14:paraId="4C4222C5" w14:textId="77777777" w:rsidR="00FB4053" w:rsidRPr="0000278D" w:rsidRDefault="00FB4053" w:rsidP="00073DD7">
      <w:pPr>
        <w:rPr>
          <w:rFonts w:asciiTheme="minorHAnsi" w:hAnsiTheme="minorHAnsi" w:cstheme="minorHAnsi"/>
          <w:sz w:val="22"/>
          <w:szCs w:val="22"/>
        </w:rPr>
      </w:pPr>
      <w:r w:rsidRPr="0000278D">
        <w:rPr>
          <w:rFonts w:asciiTheme="minorHAnsi" w:hAnsiTheme="minorHAnsi" w:cstheme="minorHAnsi"/>
          <w:sz w:val="22"/>
          <w:szCs w:val="22"/>
        </w:rPr>
        <w:t>Private hospitals are significant contributors to Australia’s health care system performing:</w:t>
      </w:r>
    </w:p>
    <w:p w14:paraId="203CAF4B" w14:textId="77777777" w:rsidR="00FB4053" w:rsidRPr="0000278D" w:rsidRDefault="00FB4053" w:rsidP="009A1B37">
      <w:pPr>
        <w:pStyle w:val="ListParagraph"/>
        <w:numPr>
          <w:ilvl w:val="0"/>
          <w:numId w:val="26"/>
        </w:numPr>
        <w:rPr>
          <w:rFonts w:asciiTheme="minorHAnsi" w:hAnsiTheme="minorHAnsi" w:cstheme="minorHAnsi"/>
          <w:sz w:val="22"/>
          <w:szCs w:val="22"/>
        </w:rPr>
      </w:pPr>
      <w:r w:rsidRPr="0000278D">
        <w:rPr>
          <w:rFonts w:asciiTheme="minorHAnsi" w:hAnsiTheme="minorHAnsi" w:cstheme="minorHAnsi"/>
          <w:sz w:val="22"/>
          <w:szCs w:val="22"/>
        </w:rPr>
        <w:t>More than a third of chemotherapy</w:t>
      </w:r>
    </w:p>
    <w:p w14:paraId="531D8DE9" w14:textId="1897918E" w:rsidR="00FB4053" w:rsidRPr="0000278D" w:rsidRDefault="00FB4053" w:rsidP="009A1B37">
      <w:pPr>
        <w:pStyle w:val="ListParagraph"/>
        <w:numPr>
          <w:ilvl w:val="0"/>
          <w:numId w:val="26"/>
        </w:numPr>
        <w:rPr>
          <w:rFonts w:asciiTheme="minorHAnsi" w:hAnsiTheme="minorHAnsi" w:cstheme="minorHAnsi"/>
          <w:sz w:val="22"/>
          <w:szCs w:val="22"/>
        </w:rPr>
      </w:pPr>
      <w:r w:rsidRPr="0000278D">
        <w:rPr>
          <w:rFonts w:asciiTheme="minorHAnsi" w:hAnsiTheme="minorHAnsi" w:cstheme="minorHAnsi"/>
          <w:sz w:val="22"/>
          <w:szCs w:val="22"/>
        </w:rPr>
        <w:t>60</w:t>
      </w:r>
      <w:r w:rsidR="00B3763E" w:rsidRPr="0000278D">
        <w:rPr>
          <w:rFonts w:asciiTheme="minorHAnsi" w:hAnsiTheme="minorHAnsi" w:cstheme="minorHAnsi"/>
          <w:sz w:val="22"/>
          <w:szCs w:val="22"/>
        </w:rPr>
        <w:t xml:space="preserve"> percent</w:t>
      </w:r>
      <w:r w:rsidRPr="0000278D">
        <w:rPr>
          <w:rFonts w:asciiTheme="minorHAnsi" w:hAnsiTheme="minorHAnsi" w:cstheme="minorHAnsi"/>
          <w:sz w:val="22"/>
          <w:szCs w:val="22"/>
        </w:rPr>
        <w:t xml:space="preserve"> of all surgery</w:t>
      </w:r>
    </w:p>
    <w:p w14:paraId="2FDA104B" w14:textId="09B7C48A" w:rsidR="00FB4053" w:rsidRPr="0000278D" w:rsidRDefault="00FB4053" w:rsidP="009A1B37">
      <w:pPr>
        <w:pStyle w:val="ListParagraph"/>
        <w:numPr>
          <w:ilvl w:val="0"/>
          <w:numId w:val="26"/>
        </w:numPr>
        <w:rPr>
          <w:rFonts w:asciiTheme="minorHAnsi" w:hAnsiTheme="minorHAnsi" w:cstheme="minorHAnsi"/>
          <w:sz w:val="22"/>
          <w:szCs w:val="22"/>
        </w:rPr>
      </w:pPr>
      <w:r w:rsidRPr="0000278D">
        <w:rPr>
          <w:rFonts w:asciiTheme="minorHAnsi" w:hAnsiTheme="minorHAnsi" w:cstheme="minorHAnsi"/>
          <w:sz w:val="22"/>
          <w:szCs w:val="22"/>
        </w:rPr>
        <w:t>79</w:t>
      </w:r>
      <w:r w:rsidR="00B3763E" w:rsidRPr="0000278D">
        <w:rPr>
          <w:rFonts w:asciiTheme="minorHAnsi" w:hAnsiTheme="minorHAnsi" w:cstheme="minorHAnsi"/>
          <w:sz w:val="22"/>
          <w:szCs w:val="22"/>
        </w:rPr>
        <w:t xml:space="preserve"> percent </w:t>
      </w:r>
      <w:r w:rsidRPr="0000278D">
        <w:rPr>
          <w:rFonts w:asciiTheme="minorHAnsi" w:hAnsiTheme="minorHAnsi" w:cstheme="minorHAnsi"/>
          <w:sz w:val="22"/>
          <w:szCs w:val="22"/>
        </w:rPr>
        <w:t>of rehabilitation</w:t>
      </w:r>
    </w:p>
    <w:p w14:paraId="5BAFCF42" w14:textId="69FB8E57" w:rsidR="00FB4053" w:rsidRPr="0000278D" w:rsidRDefault="00FB4053" w:rsidP="009A1B37">
      <w:pPr>
        <w:pStyle w:val="ListParagraph"/>
        <w:numPr>
          <w:ilvl w:val="0"/>
          <w:numId w:val="26"/>
        </w:numPr>
        <w:rPr>
          <w:rFonts w:asciiTheme="minorHAnsi" w:hAnsiTheme="minorHAnsi" w:cstheme="minorHAnsi"/>
          <w:sz w:val="22"/>
          <w:szCs w:val="22"/>
        </w:rPr>
      </w:pPr>
      <w:r w:rsidRPr="0000278D">
        <w:rPr>
          <w:rFonts w:asciiTheme="minorHAnsi" w:hAnsiTheme="minorHAnsi" w:cstheme="minorHAnsi"/>
          <w:sz w:val="22"/>
          <w:szCs w:val="22"/>
        </w:rPr>
        <w:t>73</w:t>
      </w:r>
      <w:r w:rsidR="00B3763E" w:rsidRPr="0000278D">
        <w:rPr>
          <w:rFonts w:asciiTheme="minorHAnsi" w:hAnsiTheme="minorHAnsi" w:cstheme="minorHAnsi"/>
          <w:sz w:val="22"/>
          <w:szCs w:val="22"/>
        </w:rPr>
        <w:t xml:space="preserve"> percent</w:t>
      </w:r>
      <w:r w:rsidR="00B3763E" w:rsidRPr="0000278D" w:rsidDel="00B3763E">
        <w:rPr>
          <w:rFonts w:asciiTheme="minorHAnsi" w:hAnsiTheme="minorHAnsi" w:cstheme="minorHAnsi"/>
          <w:sz w:val="22"/>
          <w:szCs w:val="22"/>
        </w:rPr>
        <w:t xml:space="preserve"> </w:t>
      </w:r>
      <w:r w:rsidRPr="0000278D">
        <w:rPr>
          <w:rFonts w:asciiTheme="minorHAnsi" w:hAnsiTheme="minorHAnsi" w:cstheme="minorHAnsi"/>
          <w:sz w:val="22"/>
          <w:szCs w:val="22"/>
        </w:rPr>
        <w:t>of all eye procedures</w:t>
      </w:r>
    </w:p>
    <w:p w14:paraId="02AEF1CB" w14:textId="77777777" w:rsidR="00FB4053" w:rsidRPr="0000278D" w:rsidRDefault="00FB4053" w:rsidP="009A1B37">
      <w:pPr>
        <w:pStyle w:val="ListParagraph"/>
        <w:numPr>
          <w:ilvl w:val="0"/>
          <w:numId w:val="26"/>
        </w:numPr>
        <w:rPr>
          <w:rFonts w:asciiTheme="minorHAnsi" w:hAnsiTheme="minorHAnsi" w:cstheme="minorHAnsi"/>
          <w:sz w:val="22"/>
          <w:szCs w:val="22"/>
        </w:rPr>
      </w:pPr>
      <w:r w:rsidRPr="0000278D">
        <w:rPr>
          <w:rFonts w:asciiTheme="minorHAnsi" w:hAnsiTheme="minorHAnsi" w:cstheme="minorHAnsi"/>
          <w:sz w:val="22"/>
          <w:szCs w:val="22"/>
        </w:rPr>
        <w:t>Almost half of all heart procedures</w:t>
      </w:r>
    </w:p>
    <w:p w14:paraId="0C7EB1EB" w14:textId="205F4071" w:rsidR="00FB4053" w:rsidRPr="0000278D" w:rsidRDefault="00FB4053" w:rsidP="009A1B37">
      <w:pPr>
        <w:pStyle w:val="ListParagraph"/>
        <w:numPr>
          <w:ilvl w:val="0"/>
          <w:numId w:val="26"/>
        </w:numPr>
        <w:rPr>
          <w:rFonts w:asciiTheme="minorHAnsi" w:hAnsiTheme="minorHAnsi" w:cstheme="minorHAnsi"/>
          <w:sz w:val="22"/>
          <w:szCs w:val="22"/>
        </w:rPr>
      </w:pPr>
      <w:r w:rsidRPr="0000278D">
        <w:rPr>
          <w:rFonts w:asciiTheme="minorHAnsi" w:hAnsiTheme="minorHAnsi" w:cstheme="minorHAnsi"/>
          <w:sz w:val="22"/>
          <w:szCs w:val="22"/>
        </w:rPr>
        <w:t>73</w:t>
      </w:r>
      <w:r w:rsidR="00B3763E" w:rsidRPr="0000278D">
        <w:rPr>
          <w:rFonts w:asciiTheme="minorHAnsi" w:hAnsiTheme="minorHAnsi" w:cstheme="minorHAnsi"/>
          <w:sz w:val="22"/>
          <w:szCs w:val="22"/>
        </w:rPr>
        <w:t xml:space="preserve"> </w:t>
      </w:r>
      <w:r w:rsidR="00B875A5" w:rsidRPr="0000278D">
        <w:rPr>
          <w:rFonts w:asciiTheme="minorHAnsi" w:hAnsiTheme="minorHAnsi" w:cstheme="minorHAnsi"/>
          <w:sz w:val="22"/>
          <w:szCs w:val="22"/>
        </w:rPr>
        <w:t>percent</w:t>
      </w:r>
      <w:r w:rsidR="00B875A5" w:rsidRPr="0000278D" w:rsidDel="00B3763E">
        <w:rPr>
          <w:rFonts w:asciiTheme="minorHAnsi" w:hAnsiTheme="minorHAnsi" w:cstheme="minorHAnsi"/>
          <w:sz w:val="22"/>
          <w:szCs w:val="22"/>
        </w:rPr>
        <w:t xml:space="preserve"> </w:t>
      </w:r>
      <w:r w:rsidR="00B875A5" w:rsidRPr="0000278D">
        <w:rPr>
          <w:rFonts w:asciiTheme="minorHAnsi" w:hAnsiTheme="minorHAnsi" w:cstheme="minorHAnsi"/>
          <w:sz w:val="22"/>
          <w:szCs w:val="22"/>
        </w:rPr>
        <w:t>of</w:t>
      </w:r>
      <w:r w:rsidRPr="0000278D">
        <w:rPr>
          <w:rFonts w:asciiTheme="minorHAnsi" w:hAnsiTheme="minorHAnsi" w:cstheme="minorHAnsi"/>
          <w:sz w:val="22"/>
          <w:szCs w:val="22"/>
        </w:rPr>
        <w:t xml:space="preserve"> procedures on the brain, spine and nerves.</w:t>
      </w:r>
    </w:p>
    <w:p w14:paraId="02DE6151" w14:textId="77777777" w:rsidR="00FB4053" w:rsidRPr="0000278D" w:rsidRDefault="00FB4053" w:rsidP="00073DD7">
      <w:pPr>
        <w:rPr>
          <w:rFonts w:asciiTheme="minorHAnsi" w:hAnsiTheme="minorHAnsi" w:cstheme="minorHAnsi"/>
          <w:sz w:val="22"/>
          <w:szCs w:val="22"/>
        </w:rPr>
      </w:pPr>
      <w:r w:rsidRPr="0000278D">
        <w:rPr>
          <w:rFonts w:asciiTheme="minorHAnsi" w:hAnsiTheme="minorHAnsi" w:cstheme="minorHAnsi"/>
          <w:sz w:val="22"/>
          <w:szCs w:val="22"/>
        </w:rPr>
        <w:t>Private patients in public hospitals:</w:t>
      </w:r>
    </w:p>
    <w:p w14:paraId="28480C8F" w14:textId="2C8710F7" w:rsidR="00FB4053" w:rsidRPr="0000278D" w:rsidRDefault="00FB4053" w:rsidP="009A1B37">
      <w:pPr>
        <w:pStyle w:val="ListParagraph"/>
        <w:numPr>
          <w:ilvl w:val="0"/>
          <w:numId w:val="27"/>
        </w:numPr>
        <w:rPr>
          <w:rFonts w:asciiTheme="minorHAnsi" w:hAnsiTheme="minorHAnsi" w:cstheme="minorHAnsi"/>
          <w:sz w:val="22"/>
          <w:szCs w:val="22"/>
        </w:rPr>
      </w:pPr>
      <w:r w:rsidRPr="0000278D">
        <w:rPr>
          <w:rFonts w:asciiTheme="minorHAnsi" w:hAnsiTheme="minorHAnsi" w:cstheme="minorHAnsi"/>
          <w:sz w:val="22"/>
          <w:szCs w:val="22"/>
        </w:rPr>
        <w:t>14.0</w:t>
      </w:r>
      <w:r w:rsidR="00B3763E" w:rsidRPr="0000278D">
        <w:rPr>
          <w:rFonts w:asciiTheme="minorHAnsi" w:hAnsiTheme="minorHAnsi" w:cstheme="minorHAnsi"/>
          <w:sz w:val="22"/>
          <w:szCs w:val="22"/>
        </w:rPr>
        <w:t xml:space="preserve"> percent</w:t>
      </w:r>
      <w:r w:rsidR="00B3763E" w:rsidRPr="0000278D" w:rsidDel="00B3763E">
        <w:rPr>
          <w:rFonts w:asciiTheme="minorHAnsi" w:hAnsiTheme="minorHAnsi" w:cstheme="minorHAnsi"/>
          <w:sz w:val="22"/>
          <w:szCs w:val="22"/>
        </w:rPr>
        <w:t xml:space="preserve"> </w:t>
      </w:r>
      <w:r w:rsidRPr="0000278D">
        <w:rPr>
          <w:rFonts w:asciiTheme="minorHAnsi" w:hAnsiTheme="minorHAnsi" w:cstheme="minorHAnsi"/>
          <w:sz w:val="22"/>
          <w:szCs w:val="22"/>
        </w:rPr>
        <w:t>of all public hospital patients are admitted as private patients (i.e. funded by private health insurance)</w:t>
      </w:r>
    </w:p>
    <w:p w14:paraId="6F16A343" w14:textId="54A2A3FA" w:rsidR="00FB4053" w:rsidRPr="0000278D" w:rsidRDefault="00FB4053" w:rsidP="009A1B37">
      <w:pPr>
        <w:pStyle w:val="ListParagraph"/>
        <w:numPr>
          <w:ilvl w:val="0"/>
          <w:numId w:val="27"/>
        </w:numPr>
        <w:rPr>
          <w:rFonts w:asciiTheme="minorHAnsi" w:hAnsiTheme="minorHAnsi" w:cstheme="minorHAnsi"/>
          <w:sz w:val="22"/>
          <w:szCs w:val="22"/>
        </w:rPr>
      </w:pPr>
      <w:r w:rsidRPr="0000278D">
        <w:rPr>
          <w:rFonts w:asciiTheme="minorHAnsi" w:hAnsiTheme="minorHAnsi" w:cstheme="minorHAnsi"/>
          <w:sz w:val="22"/>
          <w:szCs w:val="22"/>
        </w:rPr>
        <w:t>This is up from 8.9</w:t>
      </w:r>
      <w:r w:rsidR="00B3763E" w:rsidRPr="0000278D">
        <w:rPr>
          <w:rFonts w:asciiTheme="minorHAnsi" w:hAnsiTheme="minorHAnsi" w:cstheme="minorHAnsi"/>
          <w:sz w:val="22"/>
          <w:szCs w:val="22"/>
        </w:rPr>
        <w:t xml:space="preserve"> percent</w:t>
      </w:r>
      <w:r w:rsidR="00B3763E" w:rsidRPr="0000278D" w:rsidDel="00B3763E">
        <w:rPr>
          <w:rFonts w:asciiTheme="minorHAnsi" w:hAnsiTheme="minorHAnsi" w:cstheme="minorHAnsi"/>
          <w:sz w:val="22"/>
          <w:szCs w:val="22"/>
        </w:rPr>
        <w:t xml:space="preserve"> </w:t>
      </w:r>
      <w:r w:rsidRPr="0000278D">
        <w:rPr>
          <w:rFonts w:asciiTheme="minorHAnsi" w:hAnsiTheme="minorHAnsi" w:cstheme="minorHAnsi"/>
          <w:sz w:val="22"/>
          <w:szCs w:val="22"/>
        </w:rPr>
        <w:t>a decade ago</w:t>
      </w:r>
    </w:p>
    <w:p w14:paraId="528245F6" w14:textId="77777777" w:rsidR="00FB4053" w:rsidRPr="0000278D" w:rsidRDefault="00FB4053" w:rsidP="009A1B37">
      <w:pPr>
        <w:pStyle w:val="ListParagraph"/>
        <w:numPr>
          <w:ilvl w:val="0"/>
          <w:numId w:val="27"/>
        </w:numPr>
        <w:rPr>
          <w:rFonts w:asciiTheme="minorHAnsi" w:hAnsiTheme="minorHAnsi" w:cstheme="minorHAnsi"/>
          <w:sz w:val="22"/>
          <w:szCs w:val="22"/>
        </w:rPr>
      </w:pPr>
      <w:r w:rsidRPr="0000278D">
        <w:rPr>
          <w:rFonts w:asciiTheme="minorHAnsi" w:hAnsiTheme="minorHAnsi" w:cstheme="minorHAnsi"/>
          <w:sz w:val="22"/>
          <w:szCs w:val="22"/>
        </w:rPr>
        <w:t>Private patient recruitment by public hospitals is increasing wait times on public waiting lists.</w:t>
      </w:r>
    </w:p>
    <w:p w14:paraId="5072C94D" w14:textId="77777777" w:rsidR="00FB4053" w:rsidRPr="0000278D" w:rsidRDefault="00FB4053" w:rsidP="00073DD7">
      <w:pPr>
        <w:rPr>
          <w:rFonts w:asciiTheme="minorHAnsi" w:hAnsiTheme="minorHAnsi" w:cstheme="minorHAnsi"/>
          <w:sz w:val="22"/>
          <w:szCs w:val="22"/>
        </w:rPr>
      </w:pPr>
      <w:r w:rsidRPr="0000278D">
        <w:rPr>
          <w:rFonts w:asciiTheme="minorHAnsi" w:hAnsiTheme="minorHAnsi" w:cstheme="minorHAnsi"/>
          <w:sz w:val="22"/>
          <w:szCs w:val="22"/>
        </w:rPr>
        <w:t>Growth in private health insurance products with exclusions:</w:t>
      </w:r>
    </w:p>
    <w:p w14:paraId="5EA16B0F" w14:textId="7E799C43" w:rsidR="00FB4053" w:rsidRPr="0000278D" w:rsidRDefault="00FB4053" w:rsidP="009A1B37">
      <w:pPr>
        <w:pStyle w:val="ListParagraph"/>
        <w:numPr>
          <w:ilvl w:val="0"/>
          <w:numId w:val="28"/>
        </w:numPr>
        <w:rPr>
          <w:rFonts w:asciiTheme="minorHAnsi" w:hAnsiTheme="minorHAnsi" w:cstheme="minorHAnsi"/>
          <w:sz w:val="22"/>
          <w:szCs w:val="22"/>
        </w:rPr>
      </w:pPr>
      <w:r w:rsidRPr="0000278D">
        <w:rPr>
          <w:rFonts w:asciiTheme="minorHAnsi" w:hAnsiTheme="minorHAnsi" w:cstheme="minorHAnsi"/>
          <w:sz w:val="22"/>
          <w:szCs w:val="22"/>
        </w:rPr>
        <w:t>Less than half of all private health insurance hospital cover products offer full cover (41.7</w:t>
      </w:r>
      <w:r w:rsidR="004E26BD" w:rsidRPr="0000278D">
        <w:rPr>
          <w:rFonts w:asciiTheme="minorHAnsi" w:hAnsiTheme="minorHAnsi" w:cstheme="minorHAnsi"/>
          <w:sz w:val="22"/>
          <w:szCs w:val="22"/>
        </w:rPr>
        <w:t xml:space="preserve"> percent</w:t>
      </w:r>
      <w:r w:rsidRPr="0000278D">
        <w:rPr>
          <w:rFonts w:asciiTheme="minorHAnsi" w:hAnsiTheme="minorHAnsi" w:cstheme="minorHAnsi"/>
          <w:sz w:val="22"/>
          <w:szCs w:val="22"/>
        </w:rPr>
        <w:t>)</w:t>
      </w:r>
    </w:p>
    <w:p w14:paraId="7195015A" w14:textId="1A6CAC81" w:rsidR="00FB4053" w:rsidRPr="0000278D" w:rsidRDefault="00FB4053" w:rsidP="009A1B37">
      <w:pPr>
        <w:pStyle w:val="ListParagraph"/>
        <w:numPr>
          <w:ilvl w:val="0"/>
          <w:numId w:val="28"/>
        </w:numPr>
        <w:rPr>
          <w:rFonts w:asciiTheme="minorHAnsi" w:hAnsiTheme="minorHAnsi" w:cstheme="minorHAnsi"/>
          <w:sz w:val="22"/>
          <w:szCs w:val="22"/>
        </w:rPr>
      </w:pPr>
      <w:r w:rsidRPr="0000278D">
        <w:rPr>
          <w:rFonts w:asciiTheme="minorHAnsi" w:hAnsiTheme="minorHAnsi" w:cstheme="minorHAnsi"/>
          <w:sz w:val="22"/>
          <w:szCs w:val="22"/>
        </w:rPr>
        <w:t>The number of policies with exclusions has grown explosively, increasing 325</w:t>
      </w:r>
      <w:r w:rsidR="004E26BD" w:rsidRPr="0000278D">
        <w:rPr>
          <w:rFonts w:asciiTheme="minorHAnsi" w:hAnsiTheme="minorHAnsi" w:cstheme="minorHAnsi"/>
          <w:sz w:val="22"/>
          <w:szCs w:val="22"/>
        </w:rPr>
        <w:t xml:space="preserve"> percent</w:t>
      </w:r>
      <w:r w:rsidR="004E26BD" w:rsidRPr="0000278D" w:rsidDel="004E26BD">
        <w:rPr>
          <w:rFonts w:asciiTheme="minorHAnsi" w:hAnsiTheme="minorHAnsi" w:cstheme="minorHAnsi"/>
          <w:sz w:val="22"/>
          <w:szCs w:val="22"/>
        </w:rPr>
        <w:t xml:space="preserve"> </w:t>
      </w:r>
      <w:r w:rsidRPr="0000278D">
        <w:rPr>
          <w:rFonts w:asciiTheme="minorHAnsi" w:hAnsiTheme="minorHAnsi" w:cstheme="minorHAnsi"/>
          <w:sz w:val="22"/>
          <w:szCs w:val="22"/>
        </w:rPr>
        <w:t>in in the past ten years.</w:t>
      </w:r>
    </w:p>
    <w:p w14:paraId="7C61D0E7" w14:textId="7A7E9965" w:rsidR="00FB4053" w:rsidRPr="0000278D" w:rsidRDefault="00FB4053" w:rsidP="009A1B37">
      <w:pPr>
        <w:pStyle w:val="ListParagraph"/>
        <w:numPr>
          <w:ilvl w:val="0"/>
          <w:numId w:val="28"/>
        </w:numPr>
        <w:rPr>
          <w:rFonts w:asciiTheme="minorHAnsi" w:hAnsiTheme="minorHAnsi" w:cstheme="minorHAnsi"/>
          <w:sz w:val="22"/>
          <w:szCs w:val="22"/>
        </w:rPr>
      </w:pPr>
      <w:r w:rsidRPr="0000278D">
        <w:rPr>
          <w:rFonts w:asciiTheme="minorHAnsi" w:hAnsiTheme="minorHAnsi" w:cstheme="minorHAnsi"/>
          <w:sz w:val="22"/>
          <w:szCs w:val="22"/>
        </w:rPr>
        <w:t>The proportion of Australians whose policies have exclusions is now 43.3</w:t>
      </w:r>
      <w:r w:rsidR="00833C18">
        <w:rPr>
          <w:rFonts w:asciiTheme="minorHAnsi" w:hAnsiTheme="minorHAnsi" w:cstheme="minorHAnsi"/>
          <w:sz w:val="22"/>
          <w:szCs w:val="22"/>
        </w:rPr>
        <w:t xml:space="preserve"> percent</w:t>
      </w:r>
      <w:r w:rsidRPr="0000278D">
        <w:rPr>
          <w:rFonts w:asciiTheme="minorHAnsi" w:hAnsiTheme="minorHAnsi" w:cstheme="minorHAnsi"/>
          <w:sz w:val="22"/>
          <w:szCs w:val="22"/>
        </w:rPr>
        <w:t>, compared to 6.5</w:t>
      </w:r>
      <w:r w:rsidR="004E26BD" w:rsidRPr="0000278D">
        <w:rPr>
          <w:rFonts w:asciiTheme="minorHAnsi" w:hAnsiTheme="minorHAnsi" w:cstheme="minorHAnsi"/>
          <w:sz w:val="22"/>
          <w:szCs w:val="22"/>
        </w:rPr>
        <w:t xml:space="preserve"> percent</w:t>
      </w:r>
      <w:r w:rsidR="004E26BD" w:rsidRPr="0000278D" w:rsidDel="004E26BD">
        <w:rPr>
          <w:rFonts w:asciiTheme="minorHAnsi" w:hAnsiTheme="minorHAnsi" w:cstheme="minorHAnsi"/>
          <w:sz w:val="22"/>
          <w:szCs w:val="22"/>
        </w:rPr>
        <w:t xml:space="preserve"> </w:t>
      </w:r>
      <w:r w:rsidRPr="0000278D">
        <w:rPr>
          <w:rFonts w:asciiTheme="minorHAnsi" w:hAnsiTheme="minorHAnsi" w:cstheme="minorHAnsi"/>
          <w:sz w:val="22"/>
          <w:szCs w:val="22"/>
        </w:rPr>
        <w:t>in 2007 and 25.5</w:t>
      </w:r>
      <w:r w:rsidR="004E26BD" w:rsidRPr="0000278D">
        <w:rPr>
          <w:rFonts w:asciiTheme="minorHAnsi" w:hAnsiTheme="minorHAnsi" w:cstheme="minorHAnsi"/>
          <w:sz w:val="22"/>
          <w:szCs w:val="22"/>
        </w:rPr>
        <w:t xml:space="preserve"> percent</w:t>
      </w:r>
      <w:r w:rsidR="004E26BD" w:rsidRPr="0000278D" w:rsidDel="004E26BD">
        <w:rPr>
          <w:rFonts w:asciiTheme="minorHAnsi" w:hAnsiTheme="minorHAnsi" w:cstheme="minorHAnsi"/>
          <w:sz w:val="22"/>
          <w:szCs w:val="22"/>
        </w:rPr>
        <w:t xml:space="preserve"> </w:t>
      </w:r>
      <w:r w:rsidRPr="0000278D">
        <w:rPr>
          <w:rFonts w:asciiTheme="minorHAnsi" w:hAnsiTheme="minorHAnsi" w:cstheme="minorHAnsi"/>
          <w:sz w:val="22"/>
          <w:szCs w:val="22"/>
        </w:rPr>
        <w:t>in June 2012.</w:t>
      </w:r>
    </w:p>
    <w:p w14:paraId="4F982DD2" w14:textId="77777777" w:rsidR="00FB4053" w:rsidRPr="0000278D" w:rsidRDefault="00FB4053" w:rsidP="009A1B37">
      <w:pPr>
        <w:pStyle w:val="ListParagraph"/>
        <w:numPr>
          <w:ilvl w:val="0"/>
          <w:numId w:val="28"/>
        </w:numPr>
        <w:rPr>
          <w:rFonts w:asciiTheme="minorHAnsi" w:hAnsiTheme="minorHAnsi" w:cstheme="minorHAnsi"/>
          <w:sz w:val="22"/>
          <w:szCs w:val="22"/>
        </w:rPr>
      </w:pPr>
      <w:r w:rsidRPr="0000278D">
        <w:rPr>
          <w:rFonts w:asciiTheme="minorHAnsi" w:hAnsiTheme="minorHAnsi" w:cstheme="minorHAnsi"/>
          <w:sz w:val="22"/>
          <w:szCs w:val="22"/>
        </w:rPr>
        <w:t>This number is increasing year-on-year.</w:t>
      </w:r>
    </w:p>
    <w:p w14:paraId="7967DE85" w14:textId="77777777" w:rsidR="00FB4053" w:rsidRPr="0000278D" w:rsidRDefault="00FB4053" w:rsidP="00073DD7">
      <w:pPr>
        <w:rPr>
          <w:rFonts w:asciiTheme="minorHAnsi" w:hAnsiTheme="minorHAnsi" w:cstheme="minorHAnsi"/>
          <w:sz w:val="22"/>
          <w:szCs w:val="22"/>
        </w:rPr>
      </w:pPr>
      <w:r w:rsidRPr="0000278D">
        <w:rPr>
          <w:rFonts w:asciiTheme="minorHAnsi" w:hAnsiTheme="minorHAnsi" w:cstheme="minorHAnsi"/>
          <w:sz w:val="22"/>
          <w:szCs w:val="22"/>
        </w:rPr>
        <w:t>Australians’ understanding of their cover:</w:t>
      </w:r>
    </w:p>
    <w:p w14:paraId="20D0834A" w14:textId="75CED308" w:rsidR="00FB4053" w:rsidRPr="0000278D" w:rsidRDefault="00FB4053" w:rsidP="009A1B37">
      <w:pPr>
        <w:pStyle w:val="ListParagraph"/>
        <w:numPr>
          <w:ilvl w:val="0"/>
          <w:numId w:val="29"/>
        </w:numPr>
        <w:rPr>
          <w:rFonts w:asciiTheme="minorHAnsi" w:hAnsiTheme="minorHAnsi" w:cstheme="minorHAnsi"/>
          <w:sz w:val="22"/>
          <w:szCs w:val="22"/>
        </w:rPr>
      </w:pPr>
      <w:r w:rsidRPr="0000278D">
        <w:rPr>
          <w:rFonts w:asciiTheme="minorHAnsi" w:hAnsiTheme="minorHAnsi" w:cstheme="minorHAnsi"/>
          <w:sz w:val="22"/>
          <w:szCs w:val="22"/>
        </w:rPr>
        <w:t>32</w:t>
      </w:r>
      <w:r w:rsidR="004E26BD" w:rsidRPr="0000278D">
        <w:rPr>
          <w:rFonts w:asciiTheme="minorHAnsi" w:hAnsiTheme="minorHAnsi" w:cstheme="minorHAnsi"/>
          <w:sz w:val="22"/>
          <w:szCs w:val="22"/>
        </w:rPr>
        <w:t xml:space="preserve"> percent</w:t>
      </w:r>
      <w:r w:rsidRPr="0000278D">
        <w:rPr>
          <w:rFonts w:asciiTheme="minorHAnsi" w:hAnsiTheme="minorHAnsi" w:cstheme="minorHAnsi"/>
          <w:sz w:val="22"/>
          <w:szCs w:val="22"/>
        </w:rPr>
        <w:t xml:space="preserve"> are unsure whether they have exclusions in their policies</w:t>
      </w:r>
    </w:p>
    <w:p w14:paraId="257BC20B" w14:textId="5FC82A11" w:rsidR="006E52F1" w:rsidRPr="0000278D" w:rsidRDefault="00FB4053" w:rsidP="009A1B37">
      <w:pPr>
        <w:pStyle w:val="ListParagraph"/>
        <w:numPr>
          <w:ilvl w:val="0"/>
          <w:numId w:val="29"/>
        </w:numPr>
        <w:rPr>
          <w:rFonts w:asciiTheme="minorHAnsi" w:hAnsiTheme="minorHAnsi" w:cstheme="minorHAnsi"/>
          <w:sz w:val="22"/>
          <w:szCs w:val="22"/>
        </w:rPr>
      </w:pPr>
      <w:r w:rsidRPr="0000278D">
        <w:rPr>
          <w:rFonts w:asciiTheme="minorHAnsi" w:hAnsiTheme="minorHAnsi" w:cstheme="minorHAnsi"/>
          <w:sz w:val="22"/>
          <w:szCs w:val="22"/>
        </w:rPr>
        <w:t>Of those who say they do know there are exclusions, 22</w:t>
      </w:r>
      <w:r w:rsidR="004E26BD" w:rsidRPr="0000278D">
        <w:rPr>
          <w:rFonts w:asciiTheme="minorHAnsi" w:hAnsiTheme="minorHAnsi" w:cstheme="minorHAnsi"/>
          <w:sz w:val="22"/>
          <w:szCs w:val="22"/>
        </w:rPr>
        <w:t xml:space="preserve"> percent</w:t>
      </w:r>
      <w:r w:rsidRPr="0000278D">
        <w:rPr>
          <w:rFonts w:asciiTheme="minorHAnsi" w:hAnsiTheme="minorHAnsi" w:cstheme="minorHAnsi"/>
          <w:sz w:val="22"/>
          <w:szCs w:val="22"/>
        </w:rPr>
        <w:t xml:space="preserve"> of them do not know which services are excluded.</w:t>
      </w:r>
    </w:p>
    <w:sectPr w:rsidR="006E52F1" w:rsidRPr="0000278D" w:rsidSect="00366B56">
      <w:headerReference w:type="even" r:id="rId11"/>
      <w:headerReference w:type="default" r:id="rId12"/>
      <w:footerReference w:type="default" r:id="rId13"/>
      <w:headerReference w:type="first" r:id="rId14"/>
      <w:pgSz w:w="11906" w:h="16838"/>
      <w:pgMar w:top="238" w:right="1701" w:bottom="1134" w:left="1701" w:header="0"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2AB02" w14:textId="77777777" w:rsidR="00FE685B" w:rsidRDefault="00FE685B" w:rsidP="00C73983">
      <w:r>
        <w:separator/>
      </w:r>
    </w:p>
    <w:p w14:paraId="5AE7281E" w14:textId="77777777" w:rsidR="00FE685B" w:rsidRDefault="00FE685B" w:rsidP="00C73983"/>
  </w:endnote>
  <w:endnote w:type="continuationSeparator" w:id="0">
    <w:p w14:paraId="65DCA9B0" w14:textId="77777777" w:rsidR="00FE685B" w:rsidRDefault="00FE685B" w:rsidP="00C73983">
      <w:r>
        <w:continuationSeparator/>
      </w:r>
    </w:p>
    <w:p w14:paraId="5D66BFBE" w14:textId="77777777" w:rsidR="00FE685B" w:rsidRDefault="00FE685B" w:rsidP="00C73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FFFF" w:themeColor="background1"/>
      </w:rPr>
      <w:id w:val="-494036228"/>
      <w:docPartObj>
        <w:docPartGallery w:val="Page Numbers (Bottom of Page)"/>
        <w:docPartUnique/>
      </w:docPartObj>
    </w:sdtPr>
    <w:sdtEndPr>
      <w:rPr>
        <w:rStyle w:val="PagenoChar"/>
        <w:rFonts w:ascii="Arial" w:hAnsi="Arial" w:cs="Arial"/>
        <w:b/>
        <w:noProof/>
        <w:lang w:eastAsia="en-AU"/>
      </w:rPr>
    </w:sdtEndPr>
    <w:sdtContent>
      <w:p w14:paraId="7EB17CEB" w14:textId="77777777" w:rsidR="00FE685B" w:rsidRPr="00E82E32" w:rsidRDefault="00FE685B" w:rsidP="00366B56">
        <w:pPr>
          <w:pStyle w:val="Footer"/>
          <w:rPr>
            <w:rFonts w:ascii="Arial" w:hAnsi="Arial" w:cs="Arial"/>
            <w:b/>
            <w:noProof/>
            <w:color w:val="FFFFFF" w:themeColor="background1"/>
            <w:lang w:eastAsia="en-AU"/>
          </w:rPr>
        </w:pPr>
        <w:r w:rsidRPr="00E82E32">
          <w:rPr>
            <w:rStyle w:val="PagenoChar"/>
            <w:color w:val="FFFFFF" w:themeColor="background1"/>
          </w:rPr>
          <mc:AlternateContent>
            <mc:Choice Requires="wps">
              <w:drawing>
                <wp:anchor distT="0" distB="0" distL="114300" distR="114300" simplePos="0" relativeHeight="251654656" behindDoc="1" locked="0" layoutInCell="1" allowOverlap="1" wp14:anchorId="42AB6929" wp14:editId="26AC7842">
                  <wp:simplePos x="0" y="0"/>
                  <wp:positionH relativeFrom="page">
                    <wp:align>right</wp:align>
                  </wp:positionH>
                  <wp:positionV relativeFrom="paragraph">
                    <wp:posOffset>127635</wp:posOffset>
                  </wp:positionV>
                  <wp:extent cx="7643381" cy="681990"/>
                  <wp:effectExtent l="0" t="0" r="0" b="3810"/>
                  <wp:wrapNone/>
                  <wp:docPr id="37" name="Rectangle 37"/>
                  <wp:cNvGraphicFramePr/>
                  <a:graphic xmlns:a="http://schemas.openxmlformats.org/drawingml/2006/main">
                    <a:graphicData uri="http://schemas.microsoft.com/office/word/2010/wordprocessingShape">
                      <wps:wsp>
                        <wps:cNvSpPr/>
                        <wps:spPr>
                          <a:xfrm>
                            <a:off x="0" y="0"/>
                            <a:ext cx="7643381" cy="681990"/>
                          </a:xfrm>
                          <a:prstGeom prst="rect">
                            <a:avLst/>
                          </a:prstGeom>
                          <a:solidFill>
                            <a:srgbClr val="23378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5B6928" w14:textId="08658BE5" w:rsidR="00FE685B" w:rsidRPr="00357CBE" w:rsidRDefault="00FE685B" w:rsidP="00357CBE">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357CBE">
                                <w:rPr>
                                  <w:b/>
                                  <w:sz w:val="28"/>
                                  <w:szCs w:val="28"/>
                                </w:rPr>
                                <w:fldChar w:fldCharType="begin"/>
                              </w:r>
                              <w:r w:rsidRPr="00357CBE">
                                <w:rPr>
                                  <w:b/>
                                  <w:sz w:val="28"/>
                                  <w:szCs w:val="28"/>
                                </w:rPr>
                                <w:instrText xml:space="preserve"> PAGE   \* MERGEFORMAT </w:instrText>
                              </w:r>
                              <w:r w:rsidRPr="00357CBE">
                                <w:rPr>
                                  <w:b/>
                                  <w:sz w:val="28"/>
                                  <w:szCs w:val="28"/>
                                </w:rPr>
                                <w:fldChar w:fldCharType="separate"/>
                              </w:r>
                              <w:r w:rsidR="00F20513">
                                <w:rPr>
                                  <w:b/>
                                  <w:noProof/>
                                  <w:sz w:val="28"/>
                                  <w:szCs w:val="28"/>
                                </w:rPr>
                                <w:t>6</w:t>
                              </w:r>
                              <w:r w:rsidRPr="00357CBE">
                                <w:rPr>
                                  <w:b/>
                                  <w:noProof/>
                                  <w:sz w:val="28"/>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B6929" id="Rectangle 37" o:spid="_x0000_s1028" style="position:absolute;margin-left:550.65pt;margin-top:10.05pt;width:601.85pt;height:53.7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aQoowIAAJkFAAAOAAAAZHJzL2Uyb0RvYy54bWysVEtPGzEQvlfqf7B8L5sXJERsUAqiqoQK&#10;AirOjtdOVvJ63LGT3fTXd+x9QCnqoWoOjsfzzevbmbm4bCrDDgp9CTbn45MRZ8pKKEq7zfn3p5tP&#10;C858ELYQBqzK+VF5frn6+OGidks1gR2YQiEjJ9Yva5fzXQhumWVe7lQl/Ak4ZUmpASsRSMRtVqCo&#10;yXtlsslodJbVgIVDkMp7er1ulXyV/GutZLjT2qvATM4pt5BOTOcmntnqQiy3KNyulF0a4h+yqERp&#10;Kejg6loEwfZY/uGqKiWCBx1OJFQZaF1KlWqgasajN9U87oRTqRYix7uBJv//3Mpvh3tkZZHz6Zwz&#10;Kyr6Rg/EmrBboxi9EUG180vCPbp77CRP11hto7GK/1QHaxKpx4FU1QQm6XF+NptOF2POJOnOFuPz&#10;88R69mLt0IcvCioWLzlHCp+4FIdbHygiQXtIDObBlMVNaUwScLu5MsgOgj7wZDqdLz7HlMnkN5ix&#10;EWwhmrXq+JLFytpa0i0cjYo4Yx+UJlIo+0nKJLWjGuIIKZUN41a1E4Vqw5+O6NdHjw0cLVIuyWH0&#10;rCn+4Ltz0CNbJ73vNssOH01V6ubBePS3xFrjwSJFBhsG46q0gO85MFRVF7nF9yS11ESWQrNpUsMk&#10;ZHzZQHGkJkJop8s7eVPSl7wVPtwLpHGiwaMVEe7o0AbqnEN342wH+PO994inLictZzWNZ879j71A&#10;xZn5aqn/z8ezWZznJMxO5xMS8LVm81pj99UVUINQF1J26RrxwfRXjVA90yZZx6ikElZS7JzLgL1w&#10;Fdq1QbtIqvU6wWiGnQi39tHJ6DzyHDv1qXkW6Lp2DjQI36AfZbF809UtNlpaWO8D6DK1/Auv3Reg&#10;+U+t1O2quGBeywn1slFXvwAAAP//AwBQSwMEFAAGAAgAAAAhAJUqi33fAAAACAEAAA8AAABkcnMv&#10;ZG93bnJldi54bWxMj8FuwjAQRO+V+AdrkXorNkE0VYiDAKkHhKqqtAeOTrxN0sTrKHYg/fs6p3Kb&#10;1axm3qTb0bTsir2rLUlYLgQwpMLqmkoJX5+vTy/AnFekVWsJJfyig202e0hVou2NPvB69iULIeQS&#10;JaHyvks4d0WFRrmF7ZCC9217o3w4+5LrXt1CuGl5JMQzN6qm0FCpDg8VFs15MBKO6/H4/nMamoHe&#10;9vzgm/wSr05SPs7H3QaYx9H/P8OEH9AhC0y5HUg71koIQ7yESCyBTW4kVjGwfFLxGniW8vsB2R8A&#10;AAD//wMAUEsBAi0AFAAGAAgAAAAhALaDOJL+AAAA4QEAABMAAAAAAAAAAAAAAAAAAAAAAFtDb250&#10;ZW50X1R5cGVzXS54bWxQSwECLQAUAAYACAAAACEAOP0h/9YAAACUAQAACwAAAAAAAAAAAAAAAAAv&#10;AQAAX3JlbHMvLnJlbHNQSwECLQAUAAYACAAAACEA+tGkKKMCAACZBQAADgAAAAAAAAAAAAAAAAAu&#10;AgAAZHJzL2Uyb0RvYy54bWxQSwECLQAUAAYACAAAACEAlSqLfd8AAAAIAQAADwAAAAAAAAAAAAAA&#10;AAD9BAAAZHJzL2Rvd25yZXYueG1sUEsFBgAAAAAEAAQA8wAAAAkGAAAAAA==&#10;" fillcolor="#23378b" stroked="f" strokeweight="2pt">
                  <v:textbox>
                    <w:txbxContent>
                      <w:p w14:paraId="385B6928" w14:textId="08658BE5" w:rsidR="00FE685B" w:rsidRPr="00357CBE" w:rsidRDefault="00FE685B" w:rsidP="00357CBE">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357CBE">
                          <w:rPr>
                            <w:b/>
                            <w:sz w:val="28"/>
                            <w:szCs w:val="28"/>
                          </w:rPr>
                          <w:fldChar w:fldCharType="begin"/>
                        </w:r>
                        <w:r w:rsidRPr="00357CBE">
                          <w:rPr>
                            <w:b/>
                            <w:sz w:val="28"/>
                            <w:szCs w:val="28"/>
                          </w:rPr>
                          <w:instrText xml:space="preserve"> PAGE   \* MERGEFORMAT </w:instrText>
                        </w:r>
                        <w:r w:rsidRPr="00357CBE">
                          <w:rPr>
                            <w:b/>
                            <w:sz w:val="28"/>
                            <w:szCs w:val="28"/>
                          </w:rPr>
                          <w:fldChar w:fldCharType="separate"/>
                        </w:r>
                        <w:r w:rsidR="00F20513">
                          <w:rPr>
                            <w:b/>
                            <w:noProof/>
                            <w:sz w:val="28"/>
                            <w:szCs w:val="28"/>
                          </w:rPr>
                          <w:t>6</w:t>
                        </w:r>
                        <w:r w:rsidRPr="00357CBE">
                          <w:rPr>
                            <w:b/>
                            <w:noProof/>
                            <w:sz w:val="28"/>
                            <w:szCs w:val="28"/>
                          </w:rPr>
                          <w:fldChar w:fldCharType="end"/>
                        </w:r>
                      </w:p>
                    </w:txbxContent>
                  </v:textbox>
                  <w10:wrap anchorx="page"/>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17915" w14:textId="77777777" w:rsidR="00FE685B" w:rsidRDefault="00FE685B" w:rsidP="00C73983">
      <w:r>
        <w:separator/>
      </w:r>
    </w:p>
    <w:p w14:paraId="281EF48B" w14:textId="77777777" w:rsidR="00FE685B" w:rsidRDefault="00FE685B" w:rsidP="00C73983"/>
  </w:footnote>
  <w:footnote w:type="continuationSeparator" w:id="0">
    <w:p w14:paraId="5C6D80FB" w14:textId="77777777" w:rsidR="00FE685B" w:rsidRDefault="00FE685B" w:rsidP="00C73983">
      <w:r>
        <w:continuationSeparator/>
      </w:r>
    </w:p>
    <w:p w14:paraId="6FFA1225" w14:textId="77777777" w:rsidR="00FE685B" w:rsidRDefault="00FE685B" w:rsidP="00C73983"/>
  </w:footnote>
  <w:footnote w:id="1">
    <w:p w14:paraId="2BA587A8" w14:textId="77777777" w:rsidR="00FE685B" w:rsidRDefault="00FE685B" w:rsidP="0048783A">
      <w:pPr>
        <w:pStyle w:val="FootnoteText"/>
      </w:pPr>
      <w:r>
        <w:rPr>
          <w:rStyle w:val="FootnoteReference"/>
        </w:rPr>
        <w:footnoteRef/>
      </w:r>
      <w:r>
        <w:t xml:space="preserve"> </w:t>
      </w:r>
      <w:r w:rsidRPr="00CA1001">
        <w:rPr>
          <w:rFonts w:asciiTheme="minorHAnsi" w:hAnsiTheme="minorHAnsi" w:cstheme="minorHAnsi"/>
        </w:rPr>
        <w:t>Department of Employment – Registered Nursing June 2017 (</w:t>
      </w:r>
      <w:hyperlink r:id="rId1" w:history="1">
        <w:r w:rsidRPr="00386801">
          <w:rPr>
            <w:rStyle w:val="Hyperlink"/>
            <w:rFonts w:ascii="Calibri" w:hAnsi="Calibri" w:cs="Calibri"/>
            <w:bCs/>
            <w:kern w:val="32"/>
            <w:sz w:val="22"/>
            <w:szCs w:val="22"/>
          </w:rPr>
          <w:t>https://docs.jobs.gov.au/system/files/doc/other/2544registerednursesnsw_2.pdf</w:t>
        </w:r>
      </w:hyperlink>
      <w:r>
        <w:rPr>
          <w:rFonts w:ascii="Calibri" w:hAnsi="Calibri" w:cs="Calibri"/>
          <w:bCs/>
          <w:kern w:val="32"/>
          <w:sz w:val="22"/>
          <w:szCs w:val="22"/>
        </w:rPr>
        <w:t xml:space="preserve"> </w:t>
      </w:r>
    </w:p>
  </w:footnote>
  <w:footnote w:id="2">
    <w:p w14:paraId="08521492" w14:textId="1055526A" w:rsidR="00FE685B" w:rsidRPr="006C31FE" w:rsidRDefault="00FE685B" w:rsidP="0048783A">
      <w:pPr>
        <w:pStyle w:val="FootnoteText"/>
        <w:rPr>
          <w:rFonts w:asciiTheme="minorHAnsi" w:hAnsiTheme="minorHAnsi" w:cstheme="minorHAnsi"/>
        </w:rPr>
      </w:pPr>
      <w:r w:rsidRPr="006C31FE">
        <w:rPr>
          <w:rStyle w:val="FootnoteReference"/>
          <w:rFonts w:asciiTheme="minorHAnsi" w:hAnsiTheme="minorHAnsi" w:cstheme="minorHAnsi"/>
        </w:rPr>
        <w:footnoteRef/>
      </w:r>
      <w:r w:rsidRPr="006C31FE">
        <w:rPr>
          <w:rFonts w:asciiTheme="minorHAnsi" w:hAnsiTheme="minorHAnsi" w:cstheme="minorHAnsi"/>
        </w:rPr>
        <w:t xml:space="preserve"> Labo</w:t>
      </w:r>
      <w:r>
        <w:rPr>
          <w:rFonts w:asciiTheme="minorHAnsi" w:hAnsiTheme="minorHAnsi" w:cstheme="minorHAnsi"/>
        </w:rPr>
        <w:t>u</w:t>
      </w:r>
      <w:r w:rsidRPr="006C31FE">
        <w:rPr>
          <w:rFonts w:asciiTheme="minorHAnsi" w:hAnsiTheme="minorHAnsi" w:cstheme="minorHAnsi"/>
        </w:rPr>
        <w:t>r Market Research, Health Professions, Australia, 2017</w:t>
      </w:r>
      <w:r>
        <w:rPr>
          <w:rFonts w:asciiTheme="minorHAnsi" w:hAnsiTheme="minorHAnsi" w:cstheme="minorHAnsi"/>
        </w:rPr>
        <w:t>–</w:t>
      </w:r>
      <w:r w:rsidRPr="006C31FE">
        <w:rPr>
          <w:rFonts w:asciiTheme="minorHAnsi" w:hAnsiTheme="minorHAnsi" w:cstheme="minorHAnsi"/>
        </w:rPr>
        <w:t>18, September 2018 https://docs.jobs.gov.au/documents/health-professions-australia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1D34C" w14:textId="75687488" w:rsidR="00FE685B" w:rsidRPr="008073F1" w:rsidRDefault="00FE685B" w:rsidP="005D41A6">
    <w:pPr>
      <w:pStyle w:val="Title"/>
      <w:jc w:val="right"/>
    </w:pPr>
    <w:r>
      <w:drawing>
        <wp:anchor distT="0" distB="0" distL="114300" distR="114300" simplePos="0" relativeHeight="251660800" behindDoc="1" locked="0" layoutInCell="1" allowOverlap="1" wp14:anchorId="6854A7DD" wp14:editId="64520CBA">
          <wp:simplePos x="0" y="0"/>
          <wp:positionH relativeFrom="column">
            <wp:posOffset>3355678</wp:posOffset>
          </wp:positionH>
          <wp:positionV relativeFrom="paragraph">
            <wp:posOffset>794926</wp:posOffset>
          </wp:positionV>
          <wp:extent cx="2758440" cy="860425"/>
          <wp:effectExtent l="0" t="0" r="3810" b="0"/>
          <wp:wrapTight wrapText="bothSides">
            <wp:wrapPolygon edited="0">
              <wp:start x="14470" y="0"/>
              <wp:lineTo x="5967" y="1435"/>
              <wp:lineTo x="5818" y="6217"/>
              <wp:lineTo x="0" y="7652"/>
              <wp:lineTo x="0" y="12912"/>
              <wp:lineTo x="4773" y="15303"/>
              <wp:lineTo x="4475" y="19129"/>
              <wp:lineTo x="14470" y="21042"/>
              <wp:lineTo x="21481" y="21042"/>
              <wp:lineTo x="21481" y="9565"/>
              <wp:lineTo x="10740" y="7652"/>
              <wp:lineTo x="21481" y="7652"/>
              <wp:lineTo x="21481" y="0"/>
              <wp:lineTo x="1447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HA-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8440" cy="86042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3632" behindDoc="1" locked="0" layoutInCell="1" allowOverlap="1" wp14:anchorId="421935C3" wp14:editId="5C30539A">
          <wp:simplePos x="0" y="0"/>
          <wp:positionH relativeFrom="column">
            <wp:posOffset>-1080135</wp:posOffset>
          </wp:positionH>
          <wp:positionV relativeFrom="paragraph">
            <wp:posOffset>-450215</wp:posOffset>
          </wp:positionV>
          <wp:extent cx="7534910" cy="1186815"/>
          <wp:effectExtent l="0" t="0" r="8890" b="0"/>
          <wp:wrapTight wrapText="bothSides">
            <wp:wrapPolygon edited="0">
              <wp:start x="0" y="0"/>
              <wp:lineTo x="0" y="21149"/>
              <wp:lineTo x="21571" y="21149"/>
              <wp:lineTo x="2157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HA_D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34910" cy="11868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A89D2" w14:textId="77777777" w:rsidR="00FE685B" w:rsidRDefault="00FE6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1FE0D" w14:textId="75E8431B" w:rsidR="00FE685B" w:rsidRPr="00366B56" w:rsidRDefault="00FE685B" w:rsidP="005D41A6">
    <w:pPr>
      <w:pStyle w:val="Title"/>
      <w:jc w:val="right"/>
      <w:rPr>
        <w:sz w:val="16"/>
        <w:szCs w:val="16"/>
      </w:rPr>
    </w:pPr>
    <w:r w:rsidRPr="00366B56">
      <w:rPr>
        <w:sz w:val="16"/>
        <w:szCs w:val="16"/>
      </w:rPr>
      <w:drawing>
        <wp:anchor distT="0" distB="0" distL="114300" distR="114300" simplePos="0" relativeHeight="251662848" behindDoc="1" locked="0" layoutInCell="1" allowOverlap="1" wp14:anchorId="2CCDEA38" wp14:editId="0728F4FF">
          <wp:simplePos x="0" y="0"/>
          <wp:positionH relativeFrom="page">
            <wp:align>left</wp:align>
          </wp:positionH>
          <wp:positionV relativeFrom="paragraph">
            <wp:posOffset>-2743</wp:posOffset>
          </wp:positionV>
          <wp:extent cx="7534910" cy="1186815"/>
          <wp:effectExtent l="0" t="0" r="8890" b="0"/>
          <wp:wrapTight wrapText="bothSides">
            <wp:wrapPolygon edited="0">
              <wp:start x="0" y="0"/>
              <wp:lineTo x="0" y="21149"/>
              <wp:lineTo x="21571" y="21149"/>
              <wp:lineTo x="2157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HA_D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910" cy="118681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27E0" w14:textId="77777777" w:rsidR="00FE685B" w:rsidRDefault="00FE6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DBB"/>
    <w:multiLevelType w:val="hybridMultilevel"/>
    <w:tmpl w:val="D8C0C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11188D"/>
    <w:multiLevelType w:val="multilevel"/>
    <w:tmpl w:val="05364FFC"/>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
      <w:lvlJc w:val="left"/>
      <w:pPr>
        <w:tabs>
          <w:tab w:val="num" w:pos="726"/>
        </w:tabs>
        <w:ind w:left="726" w:hanging="360"/>
      </w:pPr>
      <w:rPr>
        <w:rFonts w:ascii="Symbol" w:hAnsi="Symbol" w:hint="default"/>
        <w:sz w:val="20"/>
      </w:rPr>
    </w:lvl>
    <w:lvl w:ilvl="2" w:tentative="1">
      <w:start w:val="1"/>
      <w:numFmt w:val="bullet"/>
      <w:lvlText w:val=""/>
      <w:lvlJc w:val="left"/>
      <w:pPr>
        <w:tabs>
          <w:tab w:val="num" w:pos="1446"/>
        </w:tabs>
        <w:ind w:left="1446" w:hanging="360"/>
      </w:pPr>
      <w:rPr>
        <w:rFonts w:ascii="Symbol" w:hAnsi="Symbol" w:hint="default"/>
        <w:sz w:val="20"/>
      </w:rPr>
    </w:lvl>
    <w:lvl w:ilvl="3" w:tentative="1">
      <w:start w:val="1"/>
      <w:numFmt w:val="bullet"/>
      <w:lvlText w:val=""/>
      <w:lvlJc w:val="left"/>
      <w:pPr>
        <w:tabs>
          <w:tab w:val="num" w:pos="2166"/>
        </w:tabs>
        <w:ind w:left="2166" w:hanging="360"/>
      </w:pPr>
      <w:rPr>
        <w:rFonts w:ascii="Symbol" w:hAnsi="Symbol" w:hint="default"/>
        <w:sz w:val="20"/>
      </w:rPr>
    </w:lvl>
    <w:lvl w:ilvl="4" w:tentative="1">
      <w:start w:val="1"/>
      <w:numFmt w:val="bullet"/>
      <w:lvlText w:val=""/>
      <w:lvlJc w:val="left"/>
      <w:pPr>
        <w:tabs>
          <w:tab w:val="num" w:pos="2886"/>
        </w:tabs>
        <w:ind w:left="2886" w:hanging="360"/>
      </w:pPr>
      <w:rPr>
        <w:rFonts w:ascii="Symbol" w:hAnsi="Symbol" w:hint="default"/>
        <w:sz w:val="20"/>
      </w:rPr>
    </w:lvl>
    <w:lvl w:ilvl="5" w:tentative="1">
      <w:start w:val="1"/>
      <w:numFmt w:val="bullet"/>
      <w:lvlText w:val=""/>
      <w:lvlJc w:val="left"/>
      <w:pPr>
        <w:tabs>
          <w:tab w:val="num" w:pos="3606"/>
        </w:tabs>
        <w:ind w:left="3606" w:hanging="360"/>
      </w:pPr>
      <w:rPr>
        <w:rFonts w:ascii="Symbol" w:hAnsi="Symbol" w:hint="default"/>
        <w:sz w:val="20"/>
      </w:rPr>
    </w:lvl>
    <w:lvl w:ilvl="6" w:tentative="1">
      <w:start w:val="1"/>
      <w:numFmt w:val="bullet"/>
      <w:lvlText w:val=""/>
      <w:lvlJc w:val="left"/>
      <w:pPr>
        <w:tabs>
          <w:tab w:val="num" w:pos="4326"/>
        </w:tabs>
        <w:ind w:left="4326" w:hanging="360"/>
      </w:pPr>
      <w:rPr>
        <w:rFonts w:ascii="Symbol" w:hAnsi="Symbol" w:hint="default"/>
        <w:sz w:val="20"/>
      </w:rPr>
    </w:lvl>
    <w:lvl w:ilvl="7" w:tentative="1">
      <w:start w:val="1"/>
      <w:numFmt w:val="bullet"/>
      <w:lvlText w:val=""/>
      <w:lvlJc w:val="left"/>
      <w:pPr>
        <w:tabs>
          <w:tab w:val="num" w:pos="5046"/>
        </w:tabs>
        <w:ind w:left="5046" w:hanging="360"/>
      </w:pPr>
      <w:rPr>
        <w:rFonts w:ascii="Symbol" w:hAnsi="Symbol" w:hint="default"/>
        <w:sz w:val="20"/>
      </w:rPr>
    </w:lvl>
    <w:lvl w:ilvl="8" w:tentative="1">
      <w:start w:val="1"/>
      <w:numFmt w:val="bullet"/>
      <w:lvlText w:val=""/>
      <w:lvlJc w:val="left"/>
      <w:pPr>
        <w:tabs>
          <w:tab w:val="num" w:pos="5766"/>
        </w:tabs>
        <w:ind w:left="5766" w:hanging="360"/>
      </w:pPr>
      <w:rPr>
        <w:rFonts w:ascii="Symbol" w:hAnsi="Symbol" w:hint="default"/>
        <w:sz w:val="20"/>
      </w:rPr>
    </w:lvl>
  </w:abstractNum>
  <w:abstractNum w:abstractNumId="2" w15:restartNumberingAfterBreak="0">
    <w:nsid w:val="0EF50295"/>
    <w:multiLevelType w:val="hybridMultilevel"/>
    <w:tmpl w:val="65249F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424127"/>
    <w:multiLevelType w:val="hybridMultilevel"/>
    <w:tmpl w:val="679EA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7D2430"/>
    <w:multiLevelType w:val="hybridMultilevel"/>
    <w:tmpl w:val="1840C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CF1C34"/>
    <w:multiLevelType w:val="hybridMultilevel"/>
    <w:tmpl w:val="6FE2C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C25ABB"/>
    <w:multiLevelType w:val="hybridMultilevel"/>
    <w:tmpl w:val="F1724F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BC20C5"/>
    <w:multiLevelType w:val="multilevel"/>
    <w:tmpl w:val="FEACC674"/>
    <w:styleLink w:val="111111"/>
    <w:lvl w:ilvl="0">
      <w:start w:val="1"/>
      <w:numFmt w:val="decimal"/>
      <w:lvlText w:val="%1"/>
      <w:lvlJc w:val="left"/>
      <w:pPr>
        <w:tabs>
          <w:tab w:val="num" w:pos="567"/>
        </w:tabs>
        <w:ind w:left="567" w:hanging="567"/>
      </w:pPr>
      <w:rPr>
        <w:rFonts w:ascii="Arial" w:hAnsi="Arial" w:hint="default"/>
        <w:b w:val="0"/>
        <w:i w:val="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24A3448F"/>
    <w:multiLevelType w:val="hybridMultilevel"/>
    <w:tmpl w:val="B8CE47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86503B"/>
    <w:multiLevelType w:val="hybridMultilevel"/>
    <w:tmpl w:val="7EA4F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5EB5B63"/>
    <w:multiLevelType w:val="hybridMultilevel"/>
    <w:tmpl w:val="4CD26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8B404F"/>
    <w:multiLevelType w:val="hybridMultilevel"/>
    <w:tmpl w:val="A0E4D9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7EC4636"/>
    <w:multiLevelType w:val="hybridMultilevel"/>
    <w:tmpl w:val="8BDCEF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8891EF0"/>
    <w:multiLevelType w:val="hybridMultilevel"/>
    <w:tmpl w:val="463AB5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D3E44B3"/>
    <w:multiLevelType w:val="hybridMultilevel"/>
    <w:tmpl w:val="9F3E7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4FC3287"/>
    <w:multiLevelType w:val="hybridMultilevel"/>
    <w:tmpl w:val="8688B7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B827E1E"/>
    <w:multiLevelType w:val="hybridMultilevel"/>
    <w:tmpl w:val="37204084"/>
    <w:lvl w:ilvl="0" w:tplc="A68CB30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FA3784"/>
    <w:multiLevelType w:val="hybridMultilevel"/>
    <w:tmpl w:val="E454F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747F06"/>
    <w:multiLevelType w:val="hybridMultilevel"/>
    <w:tmpl w:val="C9E62A14"/>
    <w:lvl w:ilvl="0" w:tplc="59F2F2B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252A1D"/>
    <w:multiLevelType w:val="hybridMultilevel"/>
    <w:tmpl w:val="C442C9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A205735"/>
    <w:multiLevelType w:val="hybridMultilevel"/>
    <w:tmpl w:val="B9021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C7B1C3E"/>
    <w:multiLevelType w:val="hybridMultilevel"/>
    <w:tmpl w:val="6A3AB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91628D"/>
    <w:multiLevelType w:val="multilevel"/>
    <w:tmpl w:val="0E3429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1C758C9"/>
    <w:multiLevelType w:val="hybridMultilevel"/>
    <w:tmpl w:val="A0F8E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D260AE"/>
    <w:multiLevelType w:val="hybridMultilevel"/>
    <w:tmpl w:val="A9B4E70C"/>
    <w:lvl w:ilvl="0" w:tplc="D6725232">
      <w:start w:val="1"/>
      <w:numFmt w:val="decimal"/>
      <w:pStyle w:val="agendaparagraph"/>
      <w:lvlText w:val="%1."/>
      <w:lvlJc w:val="left"/>
      <w:pPr>
        <w:tabs>
          <w:tab w:val="num" w:pos="720"/>
        </w:tabs>
        <w:ind w:left="720" w:hanging="720"/>
      </w:pPr>
      <w:rPr>
        <w:rFonts w:hint="default"/>
      </w:rPr>
    </w:lvl>
    <w:lvl w:ilvl="1" w:tplc="0C09000F">
      <w:start w:val="1"/>
      <w:numFmt w:val="decimal"/>
      <w:lvlText w:val="%2."/>
      <w:lvlJc w:val="left"/>
      <w:pPr>
        <w:tabs>
          <w:tab w:val="num" w:pos="1080"/>
        </w:tabs>
        <w:ind w:left="1080" w:hanging="360"/>
      </w:pPr>
      <w:rPr>
        <w:rFonts w:hint="default"/>
      </w:rPr>
    </w:lvl>
    <w:lvl w:ilvl="2" w:tplc="0C09000F">
      <w:start w:val="1"/>
      <w:numFmt w:val="decimal"/>
      <w:lvlText w:val="%3."/>
      <w:lvlJc w:val="lef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640F6857"/>
    <w:multiLevelType w:val="hybridMultilevel"/>
    <w:tmpl w:val="373457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4A678ED"/>
    <w:multiLevelType w:val="hybridMultilevel"/>
    <w:tmpl w:val="B87AD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FE502B"/>
    <w:multiLevelType w:val="hybridMultilevel"/>
    <w:tmpl w:val="97DAFEBA"/>
    <w:lvl w:ilvl="0" w:tplc="BAA258DC">
      <w:start w:val="1"/>
      <w:numFmt w:val="bullet"/>
      <w:pStyle w:val="ListParagraph"/>
      <w:lvlText w:val="+"/>
      <w:lvlJc w:val="left"/>
      <w:pPr>
        <w:ind w:left="720" w:hanging="360"/>
      </w:pPr>
      <w:rPr>
        <w:rFonts w:ascii="Helvetica" w:hAnsi="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416102"/>
    <w:multiLevelType w:val="hybridMultilevel"/>
    <w:tmpl w:val="C64C0D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FA27C5C"/>
    <w:multiLevelType w:val="hybridMultilevel"/>
    <w:tmpl w:val="953CC842"/>
    <w:lvl w:ilvl="0" w:tplc="29AAD6E4">
      <w:start w:val="1"/>
      <w:numFmt w:val="bullet"/>
      <w:pStyle w:val="DotPoint"/>
      <w:lvlText w:val=""/>
      <w:lvlJc w:val="left"/>
      <w:pPr>
        <w:ind w:left="357" w:hanging="357"/>
      </w:pPr>
      <w:rPr>
        <w:rFonts w:ascii="Symbol" w:hAnsi="Symbol" w:hint="default"/>
      </w:rPr>
    </w:lvl>
    <w:lvl w:ilvl="1" w:tplc="CCFC9076">
      <w:start w:val="1"/>
      <w:numFmt w:val="bullet"/>
      <w:pStyle w:val="SecondaryDotPoint"/>
      <w:lvlText w:val="o"/>
      <w:lvlJc w:val="left"/>
      <w:pPr>
        <w:ind w:left="3415" w:hanging="437"/>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FCF2121"/>
    <w:multiLevelType w:val="hybridMultilevel"/>
    <w:tmpl w:val="2EC47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3961836"/>
    <w:multiLevelType w:val="hybridMultilevel"/>
    <w:tmpl w:val="E63E8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9619B4"/>
    <w:multiLevelType w:val="hybridMultilevel"/>
    <w:tmpl w:val="6CD6D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3901E6"/>
    <w:multiLevelType w:val="hybridMultilevel"/>
    <w:tmpl w:val="06D473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9D405D3"/>
    <w:multiLevelType w:val="hybridMultilevel"/>
    <w:tmpl w:val="21203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95482C"/>
    <w:multiLevelType w:val="hybridMultilevel"/>
    <w:tmpl w:val="0D4A1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24"/>
  </w:num>
  <w:num w:numId="4">
    <w:abstractNumId w:val="5"/>
  </w:num>
  <w:num w:numId="5">
    <w:abstractNumId w:val="6"/>
  </w:num>
  <w:num w:numId="6">
    <w:abstractNumId w:val="25"/>
  </w:num>
  <w:num w:numId="7">
    <w:abstractNumId w:val="33"/>
  </w:num>
  <w:num w:numId="8">
    <w:abstractNumId w:val="26"/>
  </w:num>
  <w:num w:numId="9">
    <w:abstractNumId w:val="9"/>
  </w:num>
  <w:num w:numId="10">
    <w:abstractNumId w:val="29"/>
  </w:num>
  <w:num w:numId="11">
    <w:abstractNumId w:val="19"/>
  </w:num>
  <w:num w:numId="12">
    <w:abstractNumId w:val="23"/>
  </w:num>
  <w:num w:numId="13">
    <w:abstractNumId w:val="10"/>
  </w:num>
  <w:num w:numId="14">
    <w:abstractNumId w:val="35"/>
  </w:num>
  <w:num w:numId="15">
    <w:abstractNumId w:val="3"/>
  </w:num>
  <w:num w:numId="16">
    <w:abstractNumId w:val="32"/>
  </w:num>
  <w:num w:numId="17">
    <w:abstractNumId w:val="17"/>
  </w:num>
  <w:num w:numId="18">
    <w:abstractNumId w:val="20"/>
  </w:num>
  <w:num w:numId="19">
    <w:abstractNumId w:val="12"/>
  </w:num>
  <w:num w:numId="20">
    <w:abstractNumId w:val="15"/>
  </w:num>
  <w:num w:numId="21">
    <w:abstractNumId w:val="34"/>
  </w:num>
  <w:num w:numId="22">
    <w:abstractNumId w:val="31"/>
  </w:num>
  <w:num w:numId="23">
    <w:abstractNumId w:val="21"/>
  </w:num>
  <w:num w:numId="24">
    <w:abstractNumId w:val="0"/>
  </w:num>
  <w:num w:numId="25">
    <w:abstractNumId w:val="30"/>
  </w:num>
  <w:num w:numId="26">
    <w:abstractNumId w:val="8"/>
  </w:num>
  <w:num w:numId="27">
    <w:abstractNumId w:val="4"/>
  </w:num>
  <w:num w:numId="28">
    <w:abstractNumId w:val="13"/>
  </w:num>
  <w:num w:numId="29">
    <w:abstractNumId w:val="14"/>
  </w:num>
  <w:num w:numId="30">
    <w:abstractNumId w:val="22"/>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18"/>
  </w:num>
  <w:num w:numId="51">
    <w:abstractNumId w:val="2"/>
  </w:num>
  <w:num w:numId="52">
    <w:abstractNumId w:val="11"/>
  </w:num>
  <w:num w:numId="53">
    <w:abstractNumId w:val="28"/>
  </w:num>
  <w:num w:numId="54">
    <w:abstractNumId w:val="1"/>
  </w:num>
  <w:num w:numId="55">
    <w:abstractNumId w:val="27"/>
  </w:num>
  <w:num w:numId="56">
    <w:abstractNumId w:val="27"/>
  </w:num>
  <w:num w:numId="57">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1D"/>
    <w:rsid w:val="0000278D"/>
    <w:rsid w:val="00003783"/>
    <w:rsid w:val="00003823"/>
    <w:rsid w:val="000048A7"/>
    <w:rsid w:val="00012F00"/>
    <w:rsid w:val="000140DD"/>
    <w:rsid w:val="0001579F"/>
    <w:rsid w:val="0002020D"/>
    <w:rsid w:val="00027CF1"/>
    <w:rsid w:val="00031A4D"/>
    <w:rsid w:val="0003383B"/>
    <w:rsid w:val="00045A67"/>
    <w:rsid w:val="0005053B"/>
    <w:rsid w:val="00051C81"/>
    <w:rsid w:val="000524AF"/>
    <w:rsid w:val="000566D0"/>
    <w:rsid w:val="00057587"/>
    <w:rsid w:val="00065E96"/>
    <w:rsid w:val="00067468"/>
    <w:rsid w:val="00073DD7"/>
    <w:rsid w:val="000760FC"/>
    <w:rsid w:val="000815EE"/>
    <w:rsid w:val="00081992"/>
    <w:rsid w:val="00083C76"/>
    <w:rsid w:val="000841A7"/>
    <w:rsid w:val="000848E6"/>
    <w:rsid w:val="0009259A"/>
    <w:rsid w:val="000926A1"/>
    <w:rsid w:val="00094197"/>
    <w:rsid w:val="000A1E03"/>
    <w:rsid w:val="000A360B"/>
    <w:rsid w:val="000B235B"/>
    <w:rsid w:val="000B699F"/>
    <w:rsid w:val="000B7A00"/>
    <w:rsid w:val="000C51CB"/>
    <w:rsid w:val="000C7598"/>
    <w:rsid w:val="000D1CBF"/>
    <w:rsid w:val="000D5DA8"/>
    <w:rsid w:val="000D6633"/>
    <w:rsid w:val="000E0B32"/>
    <w:rsid w:val="000E1555"/>
    <w:rsid w:val="000E3310"/>
    <w:rsid w:val="000F2C2B"/>
    <w:rsid w:val="000F65FD"/>
    <w:rsid w:val="000F72ED"/>
    <w:rsid w:val="00100188"/>
    <w:rsid w:val="001002CA"/>
    <w:rsid w:val="001012FC"/>
    <w:rsid w:val="00102468"/>
    <w:rsid w:val="001100D7"/>
    <w:rsid w:val="001118D5"/>
    <w:rsid w:val="00114722"/>
    <w:rsid w:val="00125133"/>
    <w:rsid w:val="00130624"/>
    <w:rsid w:val="00131B7E"/>
    <w:rsid w:val="00132925"/>
    <w:rsid w:val="0013627F"/>
    <w:rsid w:val="001376BE"/>
    <w:rsid w:val="00137C9C"/>
    <w:rsid w:val="00141A37"/>
    <w:rsid w:val="00143CB4"/>
    <w:rsid w:val="00154C2C"/>
    <w:rsid w:val="001554C4"/>
    <w:rsid w:val="00156999"/>
    <w:rsid w:val="00165F1F"/>
    <w:rsid w:val="00165F3A"/>
    <w:rsid w:val="00171298"/>
    <w:rsid w:val="00172AC2"/>
    <w:rsid w:val="00175FBC"/>
    <w:rsid w:val="00180783"/>
    <w:rsid w:val="00183276"/>
    <w:rsid w:val="00196C8B"/>
    <w:rsid w:val="001A251D"/>
    <w:rsid w:val="001A55BC"/>
    <w:rsid w:val="001A5DDF"/>
    <w:rsid w:val="001A7748"/>
    <w:rsid w:val="001B2258"/>
    <w:rsid w:val="001B2D02"/>
    <w:rsid w:val="001B3566"/>
    <w:rsid w:val="001B5A00"/>
    <w:rsid w:val="001B5D06"/>
    <w:rsid w:val="001B67FD"/>
    <w:rsid w:val="001B6E0F"/>
    <w:rsid w:val="001B766D"/>
    <w:rsid w:val="001B793F"/>
    <w:rsid w:val="001B7D34"/>
    <w:rsid w:val="001C00B1"/>
    <w:rsid w:val="001C2903"/>
    <w:rsid w:val="001C5D6C"/>
    <w:rsid w:val="001C5E74"/>
    <w:rsid w:val="001C61EF"/>
    <w:rsid w:val="001D10C1"/>
    <w:rsid w:val="001D1873"/>
    <w:rsid w:val="001D3DF4"/>
    <w:rsid w:val="001E1061"/>
    <w:rsid w:val="001E5827"/>
    <w:rsid w:val="001F0367"/>
    <w:rsid w:val="001F16CA"/>
    <w:rsid w:val="001F2232"/>
    <w:rsid w:val="001F3FAE"/>
    <w:rsid w:val="001F4591"/>
    <w:rsid w:val="001F4FA3"/>
    <w:rsid w:val="00201D5D"/>
    <w:rsid w:val="0020475A"/>
    <w:rsid w:val="00204888"/>
    <w:rsid w:val="00205796"/>
    <w:rsid w:val="002124A0"/>
    <w:rsid w:val="00213564"/>
    <w:rsid w:val="0021473F"/>
    <w:rsid w:val="00221D22"/>
    <w:rsid w:val="0023538C"/>
    <w:rsid w:val="00236C00"/>
    <w:rsid w:val="002518AE"/>
    <w:rsid w:val="00251E3C"/>
    <w:rsid w:val="0026597A"/>
    <w:rsid w:val="00265AD8"/>
    <w:rsid w:val="00265D32"/>
    <w:rsid w:val="002752C7"/>
    <w:rsid w:val="00276685"/>
    <w:rsid w:val="00280877"/>
    <w:rsid w:val="00283B86"/>
    <w:rsid w:val="00284A41"/>
    <w:rsid w:val="0028596E"/>
    <w:rsid w:val="00286F4F"/>
    <w:rsid w:val="00287668"/>
    <w:rsid w:val="0029054D"/>
    <w:rsid w:val="002927A7"/>
    <w:rsid w:val="00296614"/>
    <w:rsid w:val="002B21FF"/>
    <w:rsid w:val="002B3529"/>
    <w:rsid w:val="002B39C6"/>
    <w:rsid w:val="002B41DE"/>
    <w:rsid w:val="002C2C46"/>
    <w:rsid w:val="002C6D2D"/>
    <w:rsid w:val="002D035B"/>
    <w:rsid w:val="002D58F8"/>
    <w:rsid w:val="002D658D"/>
    <w:rsid w:val="002E15E6"/>
    <w:rsid w:val="002E3508"/>
    <w:rsid w:val="002E5A24"/>
    <w:rsid w:val="002F118D"/>
    <w:rsid w:val="002F11AE"/>
    <w:rsid w:val="002F2D7C"/>
    <w:rsid w:val="0030242F"/>
    <w:rsid w:val="00310A40"/>
    <w:rsid w:val="003168A1"/>
    <w:rsid w:val="00324504"/>
    <w:rsid w:val="0032585E"/>
    <w:rsid w:val="00326319"/>
    <w:rsid w:val="0034798A"/>
    <w:rsid w:val="003527F4"/>
    <w:rsid w:val="00357CBE"/>
    <w:rsid w:val="00366B56"/>
    <w:rsid w:val="00367054"/>
    <w:rsid w:val="003706DA"/>
    <w:rsid w:val="00371BDC"/>
    <w:rsid w:val="0037393D"/>
    <w:rsid w:val="00382FCF"/>
    <w:rsid w:val="0038337E"/>
    <w:rsid w:val="003837D6"/>
    <w:rsid w:val="00384A84"/>
    <w:rsid w:val="003851C0"/>
    <w:rsid w:val="003A1174"/>
    <w:rsid w:val="003A2B0C"/>
    <w:rsid w:val="003A37CC"/>
    <w:rsid w:val="003A473E"/>
    <w:rsid w:val="003B0FA9"/>
    <w:rsid w:val="003B3C58"/>
    <w:rsid w:val="003B4958"/>
    <w:rsid w:val="003C108D"/>
    <w:rsid w:val="003C2E00"/>
    <w:rsid w:val="003D131B"/>
    <w:rsid w:val="003D1EFD"/>
    <w:rsid w:val="003E013D"/>
    <w:rsid w:val="003E096E"/>
    <w:rsid w:val="003E2F30"/>
    <w:rsid w:val="003E3570"/>
    <w:rsid w:val="003F0BCB"/>
    <w:rsid w:val="003F6E08"/>
    <w:rsid w:val="004008CB"/>
    <w:rsid w:val="004047CA"/>
    <w:rsid w:val="00405217"/>
    <w:rsid w:val="00412D56"/>
    <w:rsid w:val="00415351"/>
    <w:rsid w:val="00422D5F"/>
    <w:rsid w:val="004250CA"/>
    <w:rsid w:val="00427925"/>
    <w:rsid w:val="00432947"/>
    <w:rsid w:val="00436670"/>
    <w:rsid w:val="00437BDA"/>
    <w:rsid w:val="00445A30"/>
    <w:rsid w:val="004517BB"/>
    <w:rsid w:val="00455712"/>
    <w:rsid w:val="0045642F"/>
    <w:rsid w:val="00480281"/>
    <w:rsid w:val="00480BC6"/>
    <w:rsid w:val="004830C8"/>
    <w:rsid w:val="004854DC"/>
    <w:rsid w:val="0048783A"/>
    <w:rsid w:val="004937AD"/>
    <w:rsid w:val="0049551E"/>
    <w:rsid w:val="00495E2D"/>
    <w:rsid w:val="004979DA"/>
    <w:rsid w:val="004A099C"/>
    <w:rsid w:val="004A26DC"/>
    <w:rsid w:val="004A55E3"/>
    <w:rsid w:val="004A6F34"/>
    <w:rsid w:val="004B00A2"/>
    <w:rsid w:val="004D13B9"/>
    <w:rsid w:val="004D3474"/>
    <w:rsid w:val="004D5494"/>
    <w:rsid w:val="004E26BD"/>
    <w:rsid w:val="004E3A35"/>
    <w:rsid w:val="004E50CF"/>
    <w:rsid w:val="004F2C7C"/>
    <w:rsid w:val="004F5B83"/>
    <w:rsid w:val="0050239B"/>
    <w:rsid w:val="005064A5"/>
    <w:rsid w:val="00507404"/>
    <w:rsid w:val="00512183"/>
    <w:rsid w:val="00517EEC"/>
    <w:rsid w:val="00520E8E"/>
    <w:rsid w:val="00525C49"/>
    <w:rsid w:val="00526479"/>
    <w:rsid w:val="00526CF9"/>
    <w:rsid w:val="00531403"/>
    <w:rsid w:val="00534DC1"/>
    <w:rsid w:val="00535854"/>
    <w:rsid w:val="00535E72"/>
    <w:rsid w:val="005367A2"/>
    <w:rsid w:val="005369F4"/>
    <w:rsid w:val="00540D22"/>
    <w:rsid w:val="005467B6"/>
    <w:rsid w:val="00550727"/>
    <w:rsid w:val="00550B3F"/>
    <w:rsid w:val="00553F8E"/>
    <w:rsid w:val="0055435D"/>
    <w:rsid w:val="00562DCD"/>
    <w:rsid w:val="00564875"/>
    <w:rsid w:val="005659F2"/>
    <w:rsid w:val="00572F28"/>
    <w:rsid w:val="00577F7F"/>
    <w:rsid w:val="00582129"/>
    <w:rsid w:val="005924F5"/>
    <w:rsid w:val="005944CD"/>
    <w:rsid w:val="005953B2"/>
    <w:rsid w:val="00597CA9"/>
    <w:rsid w:val="005A0CF2"/>
    <w:rsid w:val="005A1358"/>
    <w:rsid w:val="005A2919"/>
    <w:rsid w:val="005A4A4D"/>
    <w:rsid w:val="005A67D1"/>
    <w:rsid w:val="005B0152"/>
    <w:rsid w:val="005B10E4"/>
    <w:rsid w:val="005B35CD"/>
    <w:rsid w:val="005B7CB0"/>
    <w:rsid w:val="005C258B"/>
    <w:rsid w:val="005C4983"/>
    <w:rsid w:val="005C5FD6"/>
    <w:rsid w:val="005D1465"/>
    <w:rsid w:val="005D41A6"/>
    <w:rsid w:val="005F2B62"/>
    <w:rsid w:val="005F4AD3"/>
    <w:rsid w:val="005F6E6A"/>
    <w:rsid w:val="0060049F"/>
    <w:rsid w:val="00600831"/>
    <w:rsid w:val="00612E57"/>
    <w:rsid w:val="0061371B"/>
    <w:rsid w:val="006146BD"/>
    <w:rsid w:val="0061743C"/>
    <w:rsid w:val="00617A32"/>
    <w:rsid w:val="00617DB7"/>
    <w:rsid w:val="0063035C"/>
    <w:rsid w:val="00636CE5"/>
    <w:rsid w:val="00637493"/>
    <w:rsid w:val="00644E9A"/>
    <w:rsid w:val="00645358"/>
    <w:rsid w:val="00646D22"/>
    <w:rsid w:val="00647618"/>
    <w:rsid w:val="0066596C"/>
    <w:rsid w:val="00673647"/>
    <w:rsid w:val="006737D6"/>
    <w:rsid w:val="006803B3"/>
    <w:rsid w:val="0068159E"/>
    <w:rsid w:val="0068266A"/>
    <w:rsid w:val="00687642"/>
    <w:rsid w:val="006A36A9"/>
    <w:rsid w:val="006B300D"/>
    <w:rsid w:val="006C0A01"/>
    <w:rsid w:val="006C2974"/>
    <w:rsid w:val="006C31FE"/>
    <w:rsid w:val="006D4E63"/>
    <w:rsid w:val="006D50EB"/>
    <w:rsid w:val="006D5AB1"/>
    <w:rsid w:val="006E52F1"/>
    <w:rsid w:val="006F22EC"/>
    <w:rsid w:val="00703EFA"/>
    <w:rsid w:val="00712D64"/>
    <w:rsid w:val="00713E8F"/>
    <w:rsid w:val="00727A37"/>
    <w:rsid w:val="00737265"/>
    <w:rsid w:val="00740936"/>
    <w:rsid w:val="00741969"/>
    <w:rsid w:val="00742D72"/>
    <w:rsid w:val="0075031D"/>
    <w:rsid w:val="007505C8"/>
    <w:rsid w:val="00756FC9"/>
    <w:rsid w:val="00764346"/>
    <w:rsid w:val="00770B9B"/>
    <w:rsid w:val="00771937"/>
    <w:rsid w:val="00773D0E"/>
    <w:rsid w:val="00781F1B"/>
    <w:rsid w:val="007836F3"/>
    <w:rsid w:val="00793765"/>
    <w:rsid w:val="0079380B"/>
    <w:rsid w:val="007A5748"/>
    <w:rsid w:val="007A6D96"/>
    <w:rsid w:val="007A7D65"/>
    <w:rsid w:val="007C258B"/>
    <w:rsid w:val="007C3CB2"/>
    <w:rsid w:val="007C5AE0"/>
    <w:rsid w:val="007C5C96"/>
    <w:rsid w:val="007D4457"/>
    <w:rsid w:val="007D58B6"/>
    <w:rsid w:val="007E2398"/>
    <w:rsid w:val="007E588D"/>
    <w:rsid w:val="007F4E2C"/>
    <w:rsid w:val="007F74BA"/>
    <w:rsid w:val="008033CF"/>
    <w:rsid w:val="00805B67"/>
    <w:rsid w:val="008073F1"/>
    <w:rsid w:val="0080781C"/>
    <w:rsid w:val="00816B2A"/>
    <w:rsid w:val="00823870"/>
    <w:rsid w:val="00824F6A"/>
    <w:rsid w:val="00833C18"/>
    <w:rsid w:val="00840771"/>
    <w:rsid w:val="00842A60"/>
    <w:rsid w:val="00842DB8"/>
    <w:rsid w:val="00851948"/>
    <w:rsid w:val="00856CA8"/>
    <w:rsid w:val="008575E8"/>
    <w:rsid w:val="00870F69"/>
    <w:rsid w:val="008729E3"/>
    <w:rsid w:val="008740C1"/>
    <w:rsid w:val="00874276"/>
    <w:rsid w:val="00882BFB"/>
    <w:rsid w:val="00885FF7"/>
    <w:rsid w:val="0089014D"/>
    <w:rsid w:val="008921CA"/>
    <w:rsid w:val="00892D45"/>
    <w:rsid w:val="008A0FB3"/>
    <w:rsid w:val="008A6933"/>
    <w:rsid w:val="008B34C7"/>
    <w:rsid w:val="008B6AFA"/>
    <w:rsid w:val="008B7C8B"/>
    <w:rsid w:val="008C243A"/>
    <w:rsid w:val="008C7E62"/>
    <w:rsid w:val="008D33AC"/>
    <w:rsid w:val="008D4F42"/>
    <w:rsid w:val="008E468B"/>
    <w:rsid w:val="008E4A43"/>
    <w:rsid w:val="008E5E1B"/>
    <w:rsid w:val="008F0FDD"/>
    <w:rsid w:val="008F36B4"/>
    <w:rsid w:val="008F53EC"/>
    <w:rsid w:val="00903BE6"/>
    <w:rsid w:val="00905A4D"/>
    <w:rsid w:val="009215E9"/>
    <w:rsid w:val="009224D0"/>
    <w:rsid w:val="00924E6D"/>
    <w:rsid w:val="00932019"/>
    <w:rsid w:val="00942759"/>
    <w:rsid w:val="00943DC6"/>
    <w:rsid w:val="0094404D"/>
    <w:rsid w:val="009526D5"/>
    <w:rsid w:val="0095351D"/>
    <w:rsid w:val="0095418B"/>
    <w:rsid w:val="00963165"/>
    <w:rsid w:val="00964C47"/>
    <w:rsid w:val="00973121"/>
    <w:rsid w:val="00975C1D"/>
    <w:rsid w:val="00980234"/>
    <w:rsid w:val="00980A87"/>
    <w:rsid w:val="00983E7E"/>
    <w:rsid w:val="00986F07"/>
    <w:rsid w:val="009906BA"/>
    <w:rsid w:val="00994481"/>
    <w:rsid w:val="009A1B37"/>
    <w:rsid w:val="009A3B91"/>
    <w:rsid w:val="009A3F04"/>
    <w:rsid w:val="009A53E5"/>
    <w:rsid w:val="009B1548"/>
    <w:rsid w:val="009B2E99"/>
    <w:rsid w:val="009B7597"/>
    <w:rsid w:val="009C12AD"/>
    <w:rsid w:val="009C1B07"/>
    <w:rsid w:val="009C3596"/>
    <w:rsid w:val="009C3AD9"/>
    <w:rsid w:val="009D5149"/>
    <w:rsid w:val="009D562B"/>
    <w:rsid w:val="009E1B13"/>
    <w:rsid w:val="00A00782"/>
    <w:rsid w:val="00A105EA"/>
    <w:rsid w:val="00A20EC9"/>
    <w:rsid w:val="00A22B3C"/>
    <w:rsid w:val="00A306FC"/>
    <w:rsid w:val="00A3126E"/>
    <w:rsid w:val="00A32D7E"/>
    <w:rsid w:val="00A36AEC"/>
    <w:rsid w:val="00A37D69"/>
    <w:rsid w:val="00A414F5"/>
    <w:rsid w:val="00A42C6C"/>
    <w:rsid w:val="00A42CE0"/>
    <w:rsid w:val="00A4512D"/>
    <w:rsid w:val="00A45794"/>
    <w:rsid w:val="00A51A92"/>
    <w:rsid w:val="00A55D34"/>
    <w:rsid w:val="00A62612"/>
    <w:rsid w:val="00A660D1"/>
    <w:rsid w:val="00A7072E"/>
    <w:rsid w:val="00A727EA"/>
    <w:rsid w:val="00A760F5"/>
    <w:rsid w:val="00A77E23"/>
    <w:rsid w:val="00A82A01"/>
    <w:rsid w:val="00A90A07"/>
    <w:rsid w:val="00A91263"/>
    <w:rsid w:val="00AA2F53"/>
    <w:rsid w:val="00AB006A"/>
    <w:rsid w:val="00AB1CA7"/>
    <w:rsid w:val="00AB2C94"/>
    <w:rsid w:val="00AC53A9"/>
    <w:rsid w:val="00AD05F7"/>
    <w:rsid w:val="00AD3A73"/>
    <w:rsid w:val="00AD71CF"/>
    <w:rsid w:val="00AD7F05"/>
    <w:rsid w:val="00AE0808"/>
    <w:rsid w:val="00AE15DA"/>
    <w:rsid w:val="00AE17AE"/>
    <w:rsid w:val="00AF3A44"/>
    <w:rsid w:val="00AF47C7"/>
    <w:rsid w:val="00AF4EDD"/>
    <w:rsid w:val="00B02B4E"/>
    <w:rsid w:val="00B049F0"/>
    <w:rsid w:val="00B1200F"/>
    <w:rsid w:val="00B20C4A"/>
    <w:rsid w:val="00B302C5"/>
    <w:rsid w:val="00B33E2E"/>
    <w:rsid w:val="00B3763E"/>
    <w:rsid w:val="00B4280F"/>
    <w:rsid w:val="00B42BA3"/>
    <w:rsid w:val="00B445F7"/>
    <w:rsid w:val="00B44E53"/>
    <w:rsid w:val="00B4508F"/>
    <w:rsid w:val="00B4646D"/>
    <w:rsid w:val="00B63ED3"/>
    <w:rsid w:val="00B65EDF"/>
    <w:rsid w:val="00B6613B"/>
    <w:rsid w:val="00B67BA3"/>
    <w:rsid w:val="00B700E1"/>
    <w:rsid w:val="00B718E7"/>
    <w:rsid w:val="00B7236F"/>
    <w:rsid w:val="00B73454"/>
    <w:rsid w:val="00B74D81"/>
    <w:rsid w:val="00B875A5"/>
    <w:rsid w:val="00B911A9"/>
    <w:rsid w:val="00B97771"/>
    <w:rsid w:val="00BA02AD"/>
    <w:rsid w:val="00BA49E2"/>
    <w:rsid w:val="00BB36BC"/>
    <w:rsid w:val="00BB3832"/>
    <w:rsid w:val="00BB3F62"/>
    <w:rsid w:val="00BB6CA4"/>
    <w:rsid w:val="00BC1616"/>
    <w:rsid w:val="00BC2980"/>
    <w:rsid w:val="00BD0BA5"/>
    <w:rsid w:val="00BD78C5"/>
    <w:rsid w:val="00BE6700"/>
    <w:rsid w:val="00BE7E9F"/>
    <w:rsid w:val="00BF2188"/>
    <w:rsid w:val="00BF68BD"/>
    <w:rsid w:val="00C00F73"/>
    <w:rsid w:val="00C026CC"/>
    <w:rsid w:val="00C02E65"/>
    <w:rsid w:val="00C06CC4"/>
    <w:rsid w:val="00C13CD4"/>
    <w:rsid w:val="00C141A4"/>
    <w:rsid w:val="00C25F30"/>
    <w:rsid w:val="00C27E29"/>
    <w:rsid w:val="00C27E46"/>
    <w:rsid w:val="00C36017"/>
    <w:rsid w:val="00C36CBD"/>
    <w:rsid w:val="00C40359"/>
    <w:rsid w:val="00C508AF"/>
    <w:rsid w:val="00C557F1"/>
    <w:rsid w:val="00C57406"/>
    <w:rsid w:val="00C57809"/>
    <w:rsid w:val="00C62CC7"/>
    <w:rsid w:val="00C64F9F"/>
    <w:rsid w:val="00C67A77"/>
    <w:rsid w:val="00C73983"/>
    <w:rsid w:val="00C7671C"/>
    <w:rsid w:val="00C7769B"/>
    <w:rsid w:val="00C8009E"/>
    <w:rsid w:val="00C84AE6"/>
    <w:rsid w:val="00C86791"/>
    <w:rsid w:val="00C906C5"/>
    <w:rsid w:val="00C92C1E"/>
    <w:rsid w:val="00C92EA9"/>
    <w:rsid w:val="00C95945"/>
    <w:rsid w:val="00C963C1"/>
    <w:rsid w:val="00CA0178"/>
    <w:rsid w:val="00CA09D0"/>
    <w:rsid w:val="00CA0E2F"/>
    <w:rsid w:val="00CA1001"/>
    <w:rsid w:val="00CA14A0"/>
    <w:rsid w:val="00CA1570"/>
    <w:rsid w:val="00CB38B3"/>
    <w:rsid w:val="00CB6AD0"/>
    <w:rsid w:val="00CC0C97"/>
    <w:rsid w:val="00CC0D93"/>
    <w:rsid w:val="00CC1893"/>
    <w:rsid w:val="00CC67C2"/>
    <w:rsid w:val="00CC7096"/>
    <w:rsid w:val="00CD1124"/>
    <w:rsid w:val="00CE0265"/>
    <w:rsid w:val="00CE0A7F"/>
    <w:rsid w:val="00CE1DA6"/>
    <w:rsid w:val="00CE5891"/>
    <w:rsid w:val="00CE5D0C"/>
    <w:rsid w:val="00CF27AE"/>
    <w:rsid w:val="00CF763D"/>
    <w:rsid w:val="00CF77F6"/>
    <w:rsid w:val="00D017E6"/>
    <w:rsid w:val="00D0240A"/>
    <w:rsid w:val="00D04FA0"/>
    <w:rsid w:val="00D11105"/>
    <w:rsid w:val="00D12549"/>
    <w:rsid w:val="00D2430F"/>
    <w:rsid w:val="00D25D99"/>
    <w:rsid w:val="00D36325"/>
    <w:rsid w:val="00D418B4"/>
    <w:rsid w:val="00D43E0A"/>
    <w:rsid w:val="00D44C48"/>
    <w:rsid w:val="00D460CD"/>
    <w:rsid w:val="00D478A5"/>
    <w:rsid w:val="00D5018F"/>
    <w:rsid w:val="00D50365"/>
    <w:rsid w:val="00D576C5"/>
    <w:rsid w:val="00D57A43"/>
    <w:rsid w:val="00D61ACA"/>
    <w:rsid w:val="00D621C7"/>
    <w:rsid w:val="00D64053"/>
    <w:rsid w:val="00D66BF9"/>
    <w:rsid w:val="00D67202"/>
    <w:rsid w:val="00D70482"/>
    <w:rsid w:val="00D72077"/>
    <w:rsid w:val="00D720D9"/>
    <w:rsid w:val="00D76F53"/>
    <w:rsid w:val="00D801A1"/>
    <w:rsid w:val="00D83148"/>
    <w:rsid w:val="00D85080"/>
    <w:rsid w:val="00D86396"/>
    <w:rsid w:val="00D87A82"/>
    <w:rsid w:val="00D91B55"/>
    <w:rsid w:val="00D922D3"/>
    <w:rsid w:val="00D9275B"/>
    <w:rsid w:val="00D93F56"/>
    <w:rsid w:val="00D943B9"/>
    <w:rsid w:val="00D96C1C"/>
    <w:rsid w:val="00D96D95"/>
    <w:rsid w:val="00D97106"/>
    <w:rsid w:val="00DA227D"/>
    <w:rsid w:val="00DA2E94"/>
    <w:rsid w:val="00DA4168"/>
    <w:rsid w:val="00DA5673"/>
    <w:rsid w:val="00DA5F6D"/>
    <w:rsid w:val="00DA6428"/>
    <w:rsid w:val="00DA6530"/>
    <w:rsid w:val="00DB0097"/>
    <w:rsid w:val="00DB1D0D"/>
    <w:rsid w:val="00DB214C"/>
    <w:rsid w:val="00DB3CE8"/>
    <w:rsid w:val="00DC32F4"/>
    <w:rsid w:val="00DC5484"/>
    <w:rsid w:val="00DC594E"/>
    <w:rsid w:val="00DC6854"/>
    <w:rsid w:val="00DD05E3"/>
    <w:rsid w:val="00DE0800"/>
    <w:rsid w:val="00DF1449"/>
    <w:rsid w:val="00E03C9C"/>
    <w:rsid w:val="00E054FD"/>
    <w:rsid w:val="00E067B7"/>
    <w:rsid w:val="00E06CB3"/>
    <w:rsid w:val="00E15C87"/>
    <w:rsid w:val="00E15E05"/>
    <w:rsid w:val="00E16334"/>
    <w:rsid w:val="00E30D1B"/>
    <w:rsid w:val="00E35B70"/>
    <w:rsid w:val="00E35EF3"/>
    <w:rsid w:val="00E45BBD"/>
    <w:rsid w:val="00E501AF"/>
    <w:rsid w:val="00E50410"/>
    <w:rsid w:val="00E53A88"/>
    <w:rsid w:val="00E53E45"/>
    <w:rsid w:val="00E6229A"/>
    <w:rsid w:val="00E6241A"/>
    <w:rsid w:val="00E6660F"/>
    <w:rsid w:val="00E71F30"/>
    <w:rsid w:val="00E71FAB"/>
    <w:rsid w:val="00E7540E"/>
    <w:rsid w:val="00E76109"/>
    <w:rsid w:val="00E8071C"/>
    <w:rsid w:val="00E81451"/>
    <w:rsid w:val="00E81EBD"/>
    <w:rsid w:val="00E82E32"/>
    <w:rsid w:val="00E8401B"/>
    <w:rsid w:val="00E85BD9"/>
    <w:rsid w:val="00E943B0"/>
    <w:rsid w:val="00E946AD"/>
    <w:rsid w:val="00EA04B8"/>
    <w:rsid w:val="00EA0512"/>
    <w:rsid w:val="00EA380C"/>
    <w:rsid w:val="00EA705E"/>
    <w:rsid w:val="00EB09B6"/>
    <w:rsid w:val="00EB7B88"/>
    <w:rsid w:val="00EC22B6"/>
    <w:rsid w:val="00EC4672"/>
    <w:rsid w:val="00ED1FB0"/>
    <w:rsid w:val="00ED3CBA"/>
    <w:rsid w:val="00ED5807"/>
    <w:rsid w:val="00EE08FD"/>
    <w:rsid w:val="00EE5A3D"/>
    <w:rsid w:val="00F009C3"/>
    <w:rsid w:val="00F00F7B"/>
    <w:rsid w:val="00F02263"/>
    <w:rsid w:val="00F07F5D"/>
    <w:rsid w:val="00F10AFB"/>
    <w:rsid w:val="00F10ED9"/>
    <w:rsid w:val="00F119C4"/>
    <w:rsid w:val="00F11D7A"/>
    <w:rsid w:val="00F20513"/>
    <w:rsid w:val="00F20B06"/>
    <w:rsid w:val="00F21238"/>
    <w:rsid w:val="00F26C1C"/>
    <w:rsid w:val="00F303C9"/>
    <w:rsid w:val="00F34BF0"/>
    <w:rsid w:val="00F360B2"/>
    <w:rsid w:val="00F4589F"/>
    <w:rsid w:val="00F46515"/>
    <w:rsid w:val="00F53FAB"/>
    <w:rsid w:val="00F613A7"/>
    <w:rsid w:val="00F61E37"/>
    <w:rsid w:val="00F62B8D"/>
    <w:rsid w:val="00F63375"/>
    <w:rsid w:val="00F738B9"/>
    <w:rsid w:val="00F74B51"/>
    <w:rsid w:val="00F808C4"/>
    <w:rsid w:val="00F818FE"/>
    <w:rsid w:val="00F87E2E"/>
    <w:rsid w:val="00F93935"/>
    <w:rsid w:val="00F976C9"/>
    <w:rsid w:val="00FA25B5"/>
    <w:rsid w:val="00FA298E"/>
    <w:rsid w:val="00FA486A"/>
    <w:rsid w:val="00FA5239"/>
    <w:rsid w:val="00FA6401"/>
    <w:rsid w:val="00FB21E9"/>
    <w:rsid w:val="00FB4053"/>
    <w:rsid w:val="00FB4E0B"/>
    <w:rsid w:val="00FB5DF2"/>
    <w:rsid w:val="00FC6A84"/>
    <w:rsid w:val="00FD06A9"/>
    <w:rsid w:val="00FD1A33"/>
    <w:rsid w:val="00FD3BC6"/>
    <w:rsid w:val="00FD7A37"/>
    <w:rsid w:val="00FE667A"/>
    <w:rsid w:val="00FE685B"/>
    <w:rsid w:val="00FE6C1F"/>
    <w:rsid w:val="00FF6D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E4FF5B"/>
  <w15:docId w15:val="{EA7ABC25-BE0B-4E70-B6B1-BB1F4318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41A"/>
    <w:pPr>
      <w:spacing w:after="240" w:line="240" w:lineRule="auto"/>
    </w:pPr>
    <w:rPr>
      <w:rFonts w:ascii="Arial" w:eastAsia="Times New Roman" w:hAnsi="Arial" w:cs="Times New Roman"/>
      <w:sz w:val="20"/>
      <w:szCs w:val="24"/>
    </w:rPr>
  </w:style>
  <w:style w:type="paragraph" w:styleId="Heading1">
    <w:name w:val="heading 1"/>
    <w:basedOn w:val="Normal"/>
    <w:next w:val="Normal"/>
    <w:link w:val="Heading1Char"/>
    <w:autoRedefine/>
    <w:qFormat/>
    <w:rsid w:val="004937AD"/>
    <w:pPr>
      <w:keepNext/>
      <w:pBdr>
        <w:bottom w:val="single" w:sz="48" w:space="1" w:color="23378B"/>
      </w:pBdr>
      <w:spacing w:after="120"/>
      <w:outlineLvl w:val="0"/>
    </w:pPr>
    <w:rPr>
      <w:b/>
      <w:color w:val="23378B"/>
      <w:kern w:val="32"/>
      <w:sz w:val="56"/>
      <w:szCs w:val="56"/>
    </w:rPr>
  </w:style>
  <w:style w:type="paragraph" w:styleId="Heading2">
    <w:name w:val="heading 2"/>
    <w:basedOn w:val="Normal"/>
    <w:next w:val="Normal"/>
    <w:link w:val="Heading2Char"/>
    <w:uiPriority w:val="9"/>
    <w:unhideWhenUsed/>
    <w:qFormat/>
    <w:rsid w:val="00F74B51"/>
    <w:pPr>
      <w:keepNext/>
      <w:keepLines/>
      <w:spacing w:before="200" w:after="0"/>
      <w:outlineLvl w:val="1"/>
    </w:pPr>
    <w:rPr>
      <w:rFonts w:asciiTheme="minorHAnsi" w:eastAsiaTheme="majorEastAsia" w:hAnsiTheme="minorHAnsi" w:cstheme="majorBidi"/>
      <w:b/>
      <w:bCs/>
      <w:sz w:val="32"/>
      <w:szCs w:val="26"/>
    </w:rPr>
  </w:style>
  <w:style w:type="paragraph" w:styleId="Heading3">
    <w:name w:val="heading 3"/>
    <w:basedOn w:val="Normal"/>
    <w:next w:val="Normal"/>
    <w:link w:val="Heading3Char"/>
    <w:uiPriority w:val="9"/>
    <w:unhideWhenUsed/>
    <w:qFormat/>
    <w:rsid w:val="00F74B51"/>
    <w:pPr>
      <w:keepNext/>
      <w:keepLines/>
      <w:spacing w:before="200" w:after="0"/>
      <w:outlineLvl w:val="2"/>
    </w:pPr>
    <w:rPr>
      <w:rFonts w:asciiTheme="minorHAnsi" w:eastAsiaTheme="majorEastAsia" w:hAnsiTheme="minorHAnsi"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A251D"/>
    <w:pPr>
      <w:tabs>
        <w:tab w:val="center" w:pos="4513"/>
        <w:tab w:val="right" w:pos="9026"/>
      </w:tabs>
      <w:spacing w:after="0"/>
    </w:pPr>
    <w:rPr>
      <w:rFonts w:asciiTheme="minorHAnsi" w:eastAsiaTheme="minorHAnsi" w:hAnsiTheme="minorHAnsi" w:cstheme="minorBidi"/>
      <w:szCs w:val="22"/>
    </w:rPr>
  </w:style>
  <w:style w:type="character" w:customStyle="1" w:styleId="HeaderChar">
    <w:name w:val="Header Char"/>
    <w:basedOn w:val="DefaultParagraphFont"/>
    <w:link w:val="Header"/>
    <w:rsid w:val="001A251D"/>
  </w:style>
  <w:style w:type="paragraph" w:styleId="Footer">
    <w:name w:val="footer"/>
    <w:basedOn w:val="Normal"/>
    <w:link w:val="FooterChar"/>
    <w:uiPriority w:val="99"/>
    <w:unhideWhenUsed/>
    <w:rsid w:val="001A251D"/>
    <w:pPr>
      <w:tabs>
        <w:tab w:val="center" w:pos="4513"/>
        <w:tab w:val="right" w:pos="9026"/>
      </w:tabs>
      <w:spacing w:after="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1A251D"/>
  </w:style>
  <w:style w:type="paragraph" w:styleId="Title">
    <w:name w:val="Title"/>
    <w:basedOn w:val="Normal"/>
    <w:next w:val="Normal"/>
    <w:link w:val="TitleChar"/>
    <w:uiPriority w:val="10"/>
    <w:qFormat/>
    <w:rsid w:val="00742D72"/>
    <w:pPr>
      <w:spacing w:after="0"/>
    </w:pPr>
    <w:rPr>
      <w:rFonts w:eastAsiaTheme="minorHAnsi" w:cs="Arial"/>
      <w:b/>
      <w:noProof/>
      <w:color w:val="FFFFFF" w:themeColor="background1"/>
      <w:sz w:val="70"/>
      <w:szCs w:val="70"/>
      <w:lang w:eastAsia="en-AU"/>
    </w:rPr>
  </w:style>
  <w:style w:type="character" w:customStyle="1" w:styleId="TitleChar">
    <w:name w:val="Title Char"/>
    <w:basedOn w:val="DefaultParagraphFont"/>
    <w:link w:val="Title"/>
    <w:uiPriority w:val="10"/>
    <w:rsid w:val="00742D72"/>
    <w:rPr>
      <w:rFonts w:ascii="Arial" w:hAnsi="Arial" w:cs="Arial"/>
      <w:b/>
      <w:noProof/>
      <w:color w:val="FFFFFF" w:themeColor="background1"/>
      <w:sz w:val="70"/>
      <w:szCs w:val="70"/>
      <w:lang w:eastAsia="en-AU"/>
    </w:rPr>
  </w:style>
  <w:style w:type="paragraph" w:customStyle="1" w:styleId="CoverTitle">
    <w:name w:val="Cover Title"/>
    <w:basedOn w:val="Normal"/>
    <w:link w:val="CoverTitleChar"/>
    <w:rsid w:val="001A251D"/>
    <w:pPr>
      <w:spacing w:line="880" w:lineRule="exact"/>
      <w:jc w:val="right"/>
    </w:pPr>
    <w:rPr>
      <w:b/>
      <w:color w:val="54928E"/>
      <w:sz w:val="88"/>
    </w:rPr>
  </w:style>
  <w:style w:type="character" w:customStyle="1" w:styleId="Heading1Char">
    <w:name w:val="Heading 1 Char"/>
    <w:basedOn w:val="DefaultParagraphFont"/>
    <w:link w:val="Heading1"/>
    <w:rsid w:val="004937AD"/>
    <w:rPr>
      <w:rFonts w:ascii="Arial" w:eastAsia="Times New Roman" w:hAnsi="Arial" w:cs="Times New Roman"/>
      <w:b/>
      <w:color w:val="23378B"/>
      <w:kern w:val="32"/>
      <w:sz w:val="56"/>
      <w:szCs w:val="56"/>
    </w:rPr>
  </w:style>
  <w:style w:type="numbering" w:styleId="111111">
    <w:name w:val="Outline List 2"/>
    <w:basedOn w:val="NoList"/>
    <w:rsid w:val="00C73983"/>
    <w:pPr>
      <w:numPr>
        <w:numId w:val="1"/>
      </w:numPr>
    </w:pPr>
  </w:style>
  <w:style w:type="paragraph" w:customStyle="1" w:styleId="DocumentTitle">
    <w:name w:val="Document Title"/>
    <w:basedOn w:val="CoverTitle"/>
    <w:link w:val="DocumentTitleChar"/>
    <w:qFormat/>
    <w:rsid w:val="00742D72"/>
    <w:pPr>
      <w:spacing w:after="120" w:line="240" w:lineRule="auto"/>
      <w:jc w:val="left"/>
    </w:pPr>
    <w:rPr>
      <w:color w:val="FFFFFF" w:themeColor="background1"/>
      <w:sz w:val="56"/>
    </w:rPr>
  </w:style>
  <w:style w:type="paragraph" w:customStyle="1" w:styleId="DocumentDetails">
    <w:name w:val="Document Details"/>
    <w:basedOn w:val="Normal"/>
    <w:link w:val="DocumentDetailsChar"/>
    <w:qFormat/>
    <w:rsid w:val="00742D72"/>
    <w:rPr>
      <w:b/>
      <w:color w:val="FFFFFF" w:themeColor="background1"/>
      <w:sz w:val="28"/>
    </w:rPr>
  </w:style>
  <w:style w:type="character" w:customStyle="1" w:styleId="CoverTitleChar">
    <w:name w:val="Cover Title Char"/>
    <w:basedOn w:val="DefaultParagraphFont"/>
    <w:link w:val="CoverTitle"/>
    <w:rsid w:val="00C73983"/>
    <w:rPr>
      <w:rFonts w:ascii="Arial" w:eastAsia="Times New Roman" w:hAnsi="Arial" w:cs="Times New Roman"/>
      <w:b/>
      <w:color w:val="54928E"/>
      <w:sz w:val="88"/>
      <w:szCs w:val="24"/>
    </w:rPr>
  </w:style>
  <w:style w:type="character" w:customStyle="1" w:styleId="DocumentTitleChar">
    <w:name w:val="Document Title Char"/>
    <w:basedOn w:val="CoverTitleChar"/>
    <w:link w:val="DocumentTitle"/>
    <w:rsid w:val="00742D72"/>
    <w:rPr>
      <w:rFonts w:ascii="Arial" w:eastAsia="Times New Roman" w:hAnsi="Arial" w:cs="Times New Roman"/>
      <w:b/>
      <w:color w:val="FFFFFF" w:themeColor="background1"/>
      <w:sz w:val="56"/>
      <w:szCs w:val="24"/>
    </w:rPr>
  </w:style>
  <w:style w:type="paragraph" w:styleId="ListParagraph">
    <w:name w:val="List Paragraph"/>
    <w:basedOn w:val="Normal"/>
    <w:link w:val="ListParagraphChar"/>
    <w:qFormat/>
    <w:rsid w:val="007F74BA"/>
    <w:pPr>
      <w:numPr>
        <w:numId w:val="2"/>
      </w:numPr>
      <w:contextualSpacing/>
    </w:pPr>
  </w:style>
  <w:style w:type="character" w:customStyle="1" w:styleId="DocumentDetailsChar">
    <w:name w:val="Document Details Char"/>
    <w:basedOn w:val="DefaultParagraphFont"/>
    <w:link w:val="DocumentDetails"/>
    <w:rsid w:val="00742D72"/>
    <w:rPr>
      <w:rFonts w:ascii="Arial" w:eastAsia="Times New Roman" w:hAnsi="Arial" w:cs="Times New Roman"/>
      <w:b/>
      <w:color w:val="FFFFFF" w:themeColor="background1"/>
      <w:sz w:val="28"/>
      <w:szCs w:val="24"/>
    </w:rPr>
  </w:style>
  <w:style w:type="paragraph" w:customStyle="1" w:styleId="Pageno">
    <w:name w:val="Page no."/>
    <w:basedOn w:val="Footer"/>
    <w:link w:val="PagenoChar"/>
    <w:qFormat/>
    <w:rsid w:val="00236C00"/>
    <w:rPr>
      <w:rFonts w:ascii="Arial" w:hAnsi="Arial" w:cs="Arial"/>
      <w:b/>
      <w:noProof/>
      <w:color w:val="008687"/>
      <w:sz w:val="22"/>
      <w:lang w:eastAsia="en-AU"/>
    </w:rPr>
  </w:style>
  <w:style w:type="paragraph" w:customStyle="1" w:styleId="agendaparagraph">
    <w:name w:val="agenda paragraph"/>
    <w:basedOn w:val="Normal"/>
    <w:link w:val="agendaparagraphChar"/>
    <w:uiPriority w:val="99"/>
    <w:rsid w:val="00CA09D0"/>
    <w:pPr>
      <w:numPr>
        <w:numId w:val="3"/>
      </w:numPr>
      <w:spacing w:after="0" w:line="480" w:lineRule="auto"/>
      <w:jc w:val="both"/>
    </w:pPr>
    <w:rPr>
      <w:rFonts w:ascii="Times New Roman" w:hAnsi="Times New Roman"/>
      <w:sz w:val="24"/>
      <w:szCs w:val="20"/>
    </w:rPr>
  </w:style>
  <w:style w:type="character" w:customStyle="1" w:styleId="PagenoChar">
    <w:name w:val="Page no. Char"/>
    <w:basedOn w:val="FooterChar"/>
    <w:link w:val="Pageno"/>
    <w:rsid w:val="00236C00"/>
    <w:rPr>
      <w:rFonts w:ascii="Arial" w:hAnsi="Arial" w:cs="Arial"/>
      <w:b/>
      <w:noProof/>
      <w:color w:val="008687"/>
      <w:lang w:eastAsia="en-AU"/>
    </w:rPr>
  </w:style>
  <w:style w:type="paragraph" w:customStyle="1" w:styleId="StyleBefore5ptAfter5pt">
    <w:name w:val="Style Before:  5 pt After:  5 pt"/>
    <w:basedOn w:val="Normal"/>
    <w:uiPriority w:val="99"/>
    <w:rsid w:val="00CA09D0"/>
    <w:pPr>
      <w:spacing w:after="0"/>
    </w:pPr>
    <w:rPr>
      <w:rFonts w:ascii="Times New Roman" w:hAnsi="Times New Roman"/>
      <w:sz w:val="24"/>
      <w:szCs w:val="20"/>
    </w:rPr>
  </w:style>
  <w:style w:type="paragraph" w:customStyle="1" w:styleId="NoList0">
    <w:name w:val="No. List"/>
    <w:basedOn w:val="agendaparagraph"/>
    <w:link w:val="NoListChar"/>
    <w:qFormat/>
    <w:rsid w:val="00CA09D0"/>
    <w:pPr>
      <w:spacing w:line="360" w:lineRule="auto"/>
      <w:ind w:right="-759"/>
    </w:pPr>
    <w:rPr>
      <w:rFonts w:asciiTheme="minorHAnsi" w:hAnsiTheme="minorHAnsi"/>
    </w:rPr>
  </w:style>
  <w:style w:type="character" w:customStyle="1" w:styleId="ListParagraphChar">
    <w:name w:val="List Paragraph Char"/>
    <w:basedOn w:val="DefaultParagraphFont"/>
    <w:link w:val="ListParagraph"/>
    <w:locked/>
    <w:rsid w:val="00ED1FB0"/>
    <w:rPr>
      <w:rFonts w:ascii="Arial" w:eastAsia="Times New Roman" w:hAnsi="Arial" w:cs="Times New Roman"/>
      <w:sz w:val="20"/>
      <w:szCs w:val="24"/>
    </w:rPr>
  </w:style>
  <w:style w:type="character" w:customStyle="1" w:styleId="agendaparagraphChar">
    <w:name w:val="agenda paragraph Char"/>
    <w:basedOn w:val="DefaultParagraphFont"/>
    <w:link w:val="agendaparagraph"/>
    <w:uiPriority w:val="99"/>
    <w:rsid w:val="00CA09D0"/>
    <w:rPr>
      <w:rFonts w:ascii="Times New Roman" w:eastAsia="Times New Roman" w:hAnsi="Times New Roman" w:cs="Times New Roman"/>
      <w:sz w:val="24"/>
      <w:szCs w:val="20"/>
    </w:rPr>
  </w:style>
  <w:style w:type="character" w:customStyle="1" w:styleId="NoListChar">
    <w:name w:val="No. List Char"/>
    <w:basedOn w:val="agendaparagraphChar"/>
    <w:link w:val="NoList0"/>
    <w:rsid w:val="00CA09D0"/>
    <w:rPr>
      <w:rFonts w:ascii="Times New Roman" w:eastAsia="Times New Roman" w:hAnsi="Times New Roman" w:cs="Times New Roman"/>
      <w:sz w:val="24"/>
      <w:szCs w:val="20"/>
    </w:rPr>
  </w:style>
  <w:style w:type="table" w:styleId="TableGrid">
    <w:name w:val="Table Grid"/>
    <w:basedOn w:val="TableNormal"/>
    <w:uiPriority w:val="59"/>
    <w:rsid w:val="00ED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ED1FB0"/>
    <w:pPr>
      <w:spacing w:after="0" w:line="240" w:lineRule="auto"/>
    </w:pPr>
    <w:tblPr>
      <w:tblStyleRowBandSize w:val="1"/>
      <w:tblStyleColBandSize w:val="1"/>
      <w:tblBorders>
        <w:top w:val="single" w:sz="4" w:space="0" w:color="204498"/>
        <w:left w:val="single" w:sz="4" w:space="0" w:color="204498"/>
        <w:bottom w:val="single" w:sz="4" w:space="0" w:color="204498"/>
        <w:right w:val="single" w:sz="4" w:space="0" w:color="204498"/>
        <w:insideH w:val="single" w:sz="4" w:space="0" w:color="204498"/>
        <w:insideV w:val="single" w:sz="4" w:space="0" w:color="204498"/>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Emphasis">
    <w:name w:val="Emphasis"/>
    <w:basedOn w:val="DefaultParagraphFont"/>
    <w:uiPriority w:val="20"/>
    <w:qFormat/>
    <w:rsid w:val="001100D7"/>
    <w:rPr>
      <w:b/>
      <w:iCs/>
      <w:color w:val="FFFFFF" w:themeColor="background1"/>
      <w:sz w:val="24"/>
    </w:rPr>
  </w:style>
  <w:style w:type="paragraph" w:styleId="BalloonText">
    <w:name w:val="Balloon Text"/>
    <w:basedOn w:val="Normal"/>
    <w:link w:val="BalloonTextChar"/>
    <w:uiPriority w:val="99"/>
    <w:semiHidden/>
    <w:unhideWhenUsed/>
    <w:rsid w:val="008D4F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F42"/>
    <w:rPr>
      <w:rFonts w:ascii="Tahoma" w:eastAsia="Times New Roman" w:hAnsi="Tahoma" w:cs="Tahoma"/>
      <w:sz w:val="16"/>
      <w:szCs w:val="16"/>
    </w:rPr>
  </w:style>
  <w:style w:type="character" w:customStyle="1" w:styleId="Heading2Char">
    <w:name w:val="Heading 2 Char"/>
    <w:basedOn w:val="DefaultParagraphFont"/>
    <w:link w:val="Heading2"/>
    <w:uiPriority w:val="9"/>
    <w:rsid w:val="00F74B51"/>
    <w:rPr>
      <w:rFonts w:eastAsiaTheme="majorEastAsia" w:cstheme="majorBidi"/>
      <w:b/>
      <w:bCs/>
      <w:sz w:val="32"/>
      <w:szCs w:val="26"/>
    </w:rPr>
  </w:style>
  <w:style w:type="character" w:styleId="PageNumber">
    <w:name w:val="page number"/>
    <w:basedOn w:val="DefaultParagraphFont"/>
    <w:rsid w:val="00F53FAB"/>
    <w:rPr>
      <w:rFonts w:ascii="Arial" w:hAnsi="Arial"/>
      <w:color w:val="FFFFFF"/>
      <w:sz w:val="26"/>
    </w:rPr>
  </w:style>
  <w:style w:type="paragraph" w:styleId="PlainText">
    <w:name w:val="Plain Text"/>
    <w:basedOn w:val="Normal"/>
    <w:link w:val="PlainTextChar"/>
    <w:uiPriority w:val="99"/>
    <w:unhideWhenUsed/>
    <w:rsid w:val="00F53FAB"/>
    <w:pPr>
      <w:spacing w:after="0"/>
    </w:pPr>
    <w:rPr>
      <w:rFonts w:ascii="Consolas" w:eastAsiaTheme="minorHAnsi" w:hAnsi="Consolas" w:cstheme="minorBidi"/>
      <w:sz w:val="24"/>
      <w:szCs w:val="22"/>
    </w:rPr>
  </w:style>
  <w:style w:type="character" w:customStyle="1" w:styleId="PlainTextChar">
    <w:name w:val="Plain Text Char"/>
    <w:basedOn w:val="DefaultParagraphFont"/>
    <w:link w:val="PlainText"/>
    <w:uiPriority w:val="99"/>
    <w:rsid w:val="00F53FAB"/>
    <w:rPr>
      <w:rFonts w:ascii="Consolas" w:hAnsi="Consolas"/>
      <w:sz w:val="24"/>
    </w:rPr>
  </w:style>
  <w:style w:type="paragraph" w:styleId="TOCHeading">
    <w:name w:val="TOC Heading"/>
    <w:basedOn w:val="Heading1"/>
    <w:next w:val="Normal"/>
    <w:uiPriority w:val="39"/>
    <w:unhideWhenUsed/>
    <w:qFormat/>
    <w:rsid w:val="00C64F9F"/>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1">
    <w:name w:val="toc 1"/>
    <w:basedOn w:val="Normal"/>
    <w:next w:val="Normal"/>
    <w:autoRedefine/>
    <w:uiPriority w:val="39"/>
    <w:unhideWhenUsed/>
    <w:rsid w:val="00C64F9F"/>
    <w:pPr>
      <w:spacing w:after="100"/>
    </w:pPr>
  </w:style>
  <w:style w:type="character" w:styleId="Hyperlink">
    <w:name w:val="Hyperlink"/>
    <w:basedOn w:val="DefaultParagraphFont"/>
    <w:uiPriority w:val="99"/>
    <w:unhideWhenUsed/>
    <w:rsid w:val="00C64F9F"/>
    <w:rPr>
      <w:color w:val="0000FF" w:themeColor="hyperlink"/>
      <w:u w:val="single"/>
    </w:rPr>
  </w:style>
  <w:style w:type="character" w:customStyle="1" w:styleId="Heading3Char">
    <w:name w:val="Heading 3 Char"/>
    <w:basedOn w:val="DefaultParagraphFont"/>
    <w:link w:val="Heading3"/>
    <w:uiPriority w:val="9"/>
    <w:rsid w:val="00F74B51"/>
    <w:rPr>
      <w:rFonts w:eastAsiaTheme="majorEastAsia" w:cstheme="majorBidi"/>
      <w:b/>
      <w:bCs/>
      <w:sz w:val="24"/>
      <w:szCs w:val="24"/>
    </w:rPr>
  </w:style>
  <w:style w:type="character" w:styleId="CommentReference">
    <w:name w:val="annotation reference"/>
    <w:basedOn w:val="DefaultParagraphFont"/>
    <w:uiPriority w:val="99"/>
    <w:semiHidden/>
    <w:unhideWhenUsed/>
    <w:rsid w:val="000F72ED"/>
    <w:rPr>
      <w:sz w:val="16"/>
      <w:szCs w:val="16"/>
    </w:rPr>
  </w:style>
  <w:style w:type="paragraph" w:styleId="CommentText">
    <w:name w:val="annotation text"/>
    <w:basedOn w:val="Normal"/>
    <w:link w:val="CommentTextChar"/>
    <w:uiPriority w:val="99"/>
    <w:semiHidden/>
    <w:unhideWhenUsed/>
    <w:rsid w:val="000F72ED"/>
    <w:rPr>
      <w:szCs w:val="20"/>
    </w:rPr>
  </w:style>
  <w:style w:type="character" w:customStyle="1" w:styleId="CommentTextChar">
    <w:name w:val="Comment Text Char"/>
    <w:basedOn w:val="DefaultParagraphFont"/>
    <w:link w:val="CommentText"/>
    <w:uiPriority w:val="99"/>
    <w:semiHidden/>
    <w:rsid w:val="000F72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F72ED"/>
    <w:rPr>
      <w:b/>
      <w:bCs/>
    </w:rPr>
  </w:style>
  <w:style w:type="character" w:customStyle="1" w:styleId="CommentSubjectChar">
    <w:name w:val="Comment Subject Char"/>
    <w:basedOn w:val="CommentTextChar"/>
    <w:link w:val="CommentSubject"/>
    <w:uiPriority w:val="99"/>
    <w:semiHidden/>
    <w:rsid w:val="000F72ED"/>
    <w:rPr>
      <w:rFonts w:ascii="Arial" w:eastAsia="Times New Roman" w:hAnsi="Arial" w:cs="Times New Roman"/>
      <w:b/>
      <w:bCs/>
      <w:sz w:val="20"/>
      <w:szCs w:val="20"/>
    </w:rPr>
  </w:style>
  <w:style w:type="paragraph" w:styleId="TOC3">
    <w:name w:val="toc 3"/>
    <w:basedOn w:val="Normal"/>
    <w:next w:val="Normal"/>
    <w:autoRedefine/>
    <w:uiPriority w:val="39"/>
    <w:unhideWhenUsed/>
    <w:rsid w:val="005F4AD3"/>
    <w:pPr>
      <w:spacing w:after="100"/>
      <w:ind w:left="400"/>
    </w:pPr>
  </w:style>
  <w:style w:type="paragraph" w:styleId="NormalWeb">
    <w:name w:val="Normal (Web)"/>
    <w:basedOn w:val="Normal"/>
    <w:uiPriority w:val="99"/>
    <w:semiHidden/>
    <w:unhideWhenUsed/>
    <w:rsid w:val="00437BDA"/>
    <w:pPr>
      <w:spacing w:before="100" w:beforeAutospacing="1" w:after="100" w:afterAutospacing="1"/>
    </w:pPr>
    <w:rPr>
      <w:rFonts w:ascii="Times New Roman" w:eastAsiaTheme="minorEastAsia" w:hAnsi="Times New Roman"/>
      <w:sz w:val="24"/>
      <w:lang w:eastAsia="en-AU"/>
    </w:rPr>
  </w:style>
  <w:style w:type="paragraph" w:styleId="TOC2">
    <w:name w:val="toc 2"/>
    <w:basedOn w:val="Normal"/>
    <w:next w:val="Normal"/>
    <w:autoRedefine/>
    <w:uiPriority w:val="39"/>
    <w:unhideWhenUsed/>
    <w:rsid w:val="00C84AE6"/>
    <w:pPr>
      <w:spacing w:after="100"/>
      <w:ind w:left="200"/>
    </w:pPr>
  </w:style>
  <w:style w:type="paragraph" w:styleId="Caption">
    <w:name w:val="caption"/>
    <w:basedOn w:val="Normal"/>
    <w:next w:val="Normal"/>
    <w:uiPriority w:val="99"/>
    <w:unhideWhenUsed/>
    <w:qFormat/>
    <w:rsid w:val="003F0BCB"/>
    <w:pPr>
      <w:spacing w:after="0"/>
    </w:pPr>
    <w:rPr>
      <w:rFonts w:ascii="Calibri" w:hAnsi="Calibri"/>
      <w:b/>
      <w:bCs/>
      <w:sz w:val="24"/>
      <w:szCs w:val="20"/>
      <w:lang w:eastAsia="en-AU"/>
    </w:rPr>
  </w:style>
  <w:style w:type="paragraph" w:styleId="EndnoteText">
    <w:name w:val="endnote text"/>
    <w:basedOn w:val="Normal"/>
    <w:link w:val="EndnoteTextChar"/>
    <w:uiPriority w:val="99"/>
    <w:unhideWhenUsed/>
    <w:rsid w:val="003F0BCB"/>
    <w:pPr>
      <w:spacing w:after="0"/>
    </w:pPr>
    <w:rPr>
      <w:rFonts w:ascii="Calibri" w:hAnsi="Calibri"/>
      <w:szCs w:val="20"/>
      <w:lang w:eastAsia="en-AU"/>
    </w:rPr>
  </w:style>
  <w:style w:type="character" w:customStyle="1" w:styleId="EndnoteTextChar">
    <w:name w:val="Endnote Text Char"/>
    <w:basedOn w:val="DefaultParagraphFont"/>
    <w:link w:val="EndnoteText"/>
    <w:uiPriority w:val="99"/>
    <w:rsid w:val="003F0BCB"/>
    <w:rPr>
      <w:rFonts w:ascii="Calibri" w:eastAsia="Times New Roman" w:hAnsi="Calibri" w:cs="Times New Roman"/>
      <w:sz w:val="20"/>
      <w:szCs w:val="20"/>
      <w:lang w:eastAsia="en-AU"/>
    </w:rPr>
  </w:style>
  <w:style w:type="character" w:styleId="EndnoteReference">
    <w:name w:val="endnote reference"/>
    <w:semiHidden/>
    <w:unhideWhenUsed/>
    <w:rsid w:val="003F0BCB"/>
    <w:rPr>
      <w:vertAlign w:val="superscript"/>
    </w:rPr>
  </w:style>
  <w:style w:type="paragraph" w:styleId="FootnoteText">
    <w:name w:val="footnote text"/>
    <w:basedOn w:val="Normal"/>
    <w:link w:val="FootnoteTextChar"/>
    <w:uiPriority w:val="99"/>
    <w:semiHidden/>
    <w:unhideWhenUsed/>
    <w:rsid w:val="00712D64"/>
    <w:pPr>
      <w:spacing w:after="0"/>
    </w:pPr>
    <w:rPr>
      <w:szCs w:val="20"/>
    </w:rPr>
  </w:style>
  <w:style w:type="character" w:customStyle="1" w:styleId="FootnoteTextChar">
    <w:name w:val="Footnote Text Char"/>
    <w:basedOn w:val="DefaultParagraphFont"/>
    <w:link w:val="FootnoteText"/>
    <w:uiPriority w:val="99"/>
    <w:semiHidden/>
    <w:rsid w:val="00712D64"/>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712D64"/>
    <w:rPr>
      <w:vertAlign w:val="superscript"/>
    </w:rPr>
  </w:style>
  <w:style w:type="paragraph" w:customStyle="1" w:styleId="TableParagraph">
    <w:name w:val="Table Paragraph"/>
    <w:basedOn w:val="Normal"/>
    <w:uiPriority w:val="1"/>
    <w:qFormat/>
    <w:rsid w:val="00975C1D"/>
    <w:pPr>
      <w:widowControl w:val="0"/>
      <w:autoSpaceDE w:val="0"/>
      <w:autoSpaceDN w:val="0"/>
      <w:spacing w:after="0" w:line="136" w:lineRule="exact"/>
      <w:ind w:left="103"/>
    </w:pPr>
    <w:rPr>
      <w:rFonts w:eastAsia="Arial" w:cs="Arial"/>
      <w:sz w:val="22"/>
      <w:szCs w:val="22"/>
      <w:lang w:val="en-US"/>
    </w:rPr>
  </w:style>
  <w:style w:type="paragraph" w:customStyle="1" w:styleId="Default">
    <w:name w:val="Default"/>
    <w:rsid w:val="0068266A"/>
    <w:pPr>
      <w:autoSpaceDE w:val="0"/>
      <w:autoSpaceDN w:val="0"/>
      <w:adjustRightInd w:val="0"/>
      <w:spacing w:after="0" w:line="240" w:lineRule="auto"/>
    </w:pPr>
    <w:rPr>
      <w:rFonts w:ascii="Arial" w:hAnsi="Arial" w:cs="Arial"/>
      <w:color w:val="000000"/>
      <w:sz w:val="24"/>
      <w:szCs w:val="24"/>
    </w:rPr>
  </w:style>
  <w:style w:type="paragraph" w:customStyle="1" w:styleId="DotPoint">
    <w:name w:val="Dot Point"/>
    <w:basedOn w:val="Normal"/>
    <w:qFormat/>
    <w:rsid w:val="004A6F34"/>
    <w:pPr>
      <w:keepLines/>
      <w:numPr>
        <w:numId w:val="10"/>
      </w:numPr>
      <w:suppressAutoHyphens/>
      <w:autoSpaceDE w:val="0"/>
      <w:autoSpaceDN w:val="0"/>
      <w:adjustRightInd w:val="0"/>
      <w:spacing w:after="0" w:line="288" w:lineRule="auto"/>
      <w:ind w:left="284" w:hanging="284"/>
    </w:pPr>
    <w:rPr>
      <w:rFonts w:ascii="Calibri" w:hAnsi="Calibri" w:cs="Calibri"/>
      <w:sz w:val="21"/>
      <w:szCs w:val="21"/>
      <w:lang w:val="en-US" w:eastAsia="en-AU"/>
    </w:rPr>
  </w:style>
  <w:style w:type="character" w:customStyle="1" w:styleId="SecondaryDotPointChar">
    <w:name w:val="Secondary Dot Point Char"/>
    <w:basedOn w:val="DefaultParagraphFont"/>
    <w:link w:val="SecondaryDotPoint"/>
    <w:uiPriority w:val="99"/>
    <w:locked/>
    <w:rsid w:val="004A6F34"/>
    <w:rPr>
      <w:rFonts w:ascii="Calibri" w:hAnsi="Calibri" w:cs="Calibri"/>
      <w:sz w:val="21"/>
      <w:szCs w:val="21"/>
      <w:lang w:val="en-US"/>
    </w:rPr>
  </w:style>
  <w:style w:type="paragraph" w:customStyle="1" w:styleId="SecondaryDotPoint">
    <w:name w:val="Secondary Dot Point"/>
    <w:basedOn w:val="DotPoint"/>
    <w:link w:val="SecondaryDotPointChar"/>
    <w:uiPriority w:val="99"/>
    <w:qFormat/>
    <w:rsid w:val="004A6F34"/>
    <w:pPr>
      <w:numPr>
        <w:ilvl w:val="1"/>
      </w:numPr>
      <w:ind w:left="614" w:hanging="284"/>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74081">
      <w:bodyDiv w:val="1"/>
      <w:marLeft w:val="0"/>
      <w:marRight w:val="0"/>
      <w:marTop w:val="0"/>
      <w:marBottom w:val="0"/>
      <w:divBdr>
        <w:top w:val="none" w:sz="0" w:space="0" w:color="auto"/>
        <w:left w:val="none" w:sz="0" w:space="0" w:color="auto"/>
        <w:bottom w:val="none" w:sz="0" w:space="0" w:color="auto"/>
        <w:right w:val="none" w:sz="0" w:space="0" w:color="auto"/>
      </w:divBdr>
    </w:div>
    <w:div w:id="196237322">
      <w:bodyDiv w:val="1"/>
      <w:marLeft w:val="0"/>
      <w:marRight w:val="0"/>
      <w:marTop w:val="0"/>
      <w:marBottom w:val="0"/>
      <w:divBdr>
        <w:top w:val="none" w:sz="0" w:space="0" w:color="auto"/>
        <w:left w:val="none" w:sz="0" w:space="0" w:color="auto"/>
        <w:bottom w:val="none" w:sz="0" w:space="0" w:color="auto"/>
        <w:right w:val="none" w:sz="0" w:space="0" w:color="auto"/>
      </w:divBdr>
    </w:div>
    <w:div w:id="475756359">
      <w:bodyDiv w:val="1"/>
      <w:marLeft w:val="0"/>
      <w:marRight w:val="0"/>
      <w:marTop w:val="0"/>
      <w:marBottom w:val="0"/>
      <w:divBdr>
        <w:top w:val="none" w:sz="0" w:space="0" w:color="auto"/>
        <w:left w:val="none" w:sz="0" w:space="0" w:color="auto"/>
        <w:bottom w:val="none" w:sz="0" w:space="0" w:color="auto"/>
        <w:right w:val="none" w:sz="0" w:space="0" w:color="auto"/>
      </w:divBdr>
    </w:div>
    <w:div w:id="583150351">
      <w:bodyDiv w:val="1"/>
      <w:marLeft w:val="0"/>
      <w:marRight w:val="0"/>
      <w:marTop w:val="0"/>
      <w:marBottom w:val="0"/>
      <w:divBdr>
        <w:top w:val="none" w:sz="0" w:space="0" w:color="auto"/>
        <w:left w:val="none" w:sz="0" w:space="0" w:color="auto"/>
        <w:bottom w:val="none" w:sz="0" w:space="0" w:color="auto"/>
        <w:right w:val="none" w:sz="0" w:space="0" w:color="auto"/>
      </w:divBdr>
    </w:div>
    <w:div w:id="682321068">
      <w:bodyDiv w:val="1"/>
      <w:marLeft w:val="0"/>
      <w:marRight w:val="0"/>
      <w:marTop w:val="0"/>
      <w:marBottom w:val="0"/>
      <w:divBdr>
        <w:top w:val="none" w:sz="0" w:space="0" w:color="auto"/>
        <w:left w:val="none" w:sz="0" w:space="0" w:color="auto"/>
        <w:bottom w:val="none" w:sz="0" w:space="0" w:color="auto"/>
        <w:right w:val="none" w:sz="0" w:space="0" w:color="auto"/>
      </w:divBdr>
    </w:div>
    <w:div w:id="806704269">
      <w:bodyDiv w:val="1"/>
      <w:marLeft w:val="0"/>
      <w:marRight w:val="0"/>
      <w:marTop w:val="0"/>
      <w:marBottom w:val="0"/>
      <w:divBdr>
        <w:top w:val="none" w:sz="0" w:space="0" w:color="auto"/>
        <w:left w:val="none" w:sz="0" w:space="0" w:color="auto"/>
        <w:bottom w:val="none" w:sz="0" w:space="0" w:color="auto"/>
        <w:right w:val="none" w:sz="0" w:space="0" w:color="auto"/>
      </w:divBdr>
    </w:div>
    <w:div w:id="807089989">
      <w:bodyDiv w:val="1"/>
      <w:marLeft w:val="0"/>
      <w:marRight w:val="0"/>
      <w:marTop w:val="0"/>
      <w:marBottom w:val="0"/>
      <w:divBdr>
        <w:top w:val="none" w:sz="0" w:space="0" w:color="auto"/>
        <w:left w:val="none" w:sz="0" w:space="0" w:color="auto"/>
        <w:bottom w:val="none" w:sz="0" w:space="0" w:color="auto"/>
        <w:right w:val="none" w:sz="0" w:space="0" w:color="auto"/>
      </w:divBdr>
    </w:div>
    <w:div w:id="831141974">
      <w:bodyDiv w:val="1"/>
      <w:marLeft w:val="0"/>
      <w:marRight w:val="0"/>
      <w:marTop w:val="0"/>
      <w:marBottom w:val="0"/>
      <w:divBdr>
        <w:top w:val="none" w:sz="0" w:space="0" w:color="auto"/>
        <w:left w:val="none" w:sz="0" w:space="0" w:color="auto"/>
        <w:bottom w:val="none" w:sz="0" w:space="0" w:color="auto"/>
        <w:right w:val="none" w:sz="0" w:space="0" w:color="auto"/>
      </w:divBdr>
    </w:div>
    <w:div w:id="862748132">
      <w:bodyDiv w:val="1"/>
      <w:marLeft w:val="0"/>
      <w:marRight w:val="0"/>
      <w:marTop w:val="0"/>
      <w:marBottom w:val="0"/>
      <w:divBdr>
        <w:top w:val="none" w:sz="0" w:space="0" w:color="auto"/>
        <w:left w:val="none" w:sz="0" w:space="0" w:color="auto"/>
        <w:bottom w:val="none" w:sz="0" w:space="0" w:color="auto"/>
        <w:right w:val="none" w:sz="0" w:space="0" w:color="auto"/>
      </w:divBdr>
    </w:div>
    <w:div w:id="940919025">
      <w:bodyDiv w:val="1"/>
      <w:marLeft w:val="0"/>
      <w:marRight w:val="0"/>
      <w:marTop w:val="0"/>
      <w:marBottom w:val="0"/>
      <w:divBdr>
        <w:top w:val="none" w:sz="0" w:space="0" w:color="auto"/>
        <w:left w:val="none" w:sz="0" w:space="0" w:color="auto"/>
        <w:bottom w:val="none" w:sz="0" w:space="0" w:color="auto"/>
        <w:right w:val="none" w:sz="0" w:space="0" w:color="auto"/>
      </w:divBdr>
    </w:div>
    <w:div w:id="1101996074">
      <w:bodyDiv w:val="1"/>
      <w:marLeft w:val="0"/>
      <w:marRight w:val="0"/>
      <w:marTop w:val="0"/>
      <w:marBottom w:val="0"/>
      <w:divBdr>
        <w:top w:val="none" w:sz="0" w:space="0" w:color="auto"/>
        <w:left w:val="none" w:sz="0" w:space="0" w:color="auto"/>
        <w:bottom w:val="none" w:sz="0" w:space="0" w:color="auto"/>
        <w:right w:val="none" w:sz="0" w:space="0" w:color="auto"/>
      </w:divBdr>
    </w:div>
    <w:div w:id="1215697793">
      <w:bodyDiv w:val="1"/>
      <w:marLeft w:val="0"/>
      <w:marRight w:val="0"/>
      <w:marTop w:val="0"/>
      <w:marBottom w:val="0"/>
      <w:divBdr>
        <w:top w:val="none" w:sz="0" w:space="0" w:color="auto"/>
        <w:left w:val="none" w:sz="0" w:space="0" w:color="auto"/>
        <w:bottom w:val="none" w:sz="0" w:space="0" w:color="auto"/>
        <w:right w:val="none" w:sz="0" w:space="0" w:color="auto"/>
      </w:divBdr>
    </w:div>
    <w:div w:id="1344865359">
      <w:bodyDiv w:val="1"/>
      <w:marLeft w:val="0"/>
      <w:marRight w:val="0"/>
      <w:marTop w:val="0"/>
      <w:marBottom w:val="0"/>
      <w:divBdr>
        <w:top w:val="none" w:sz="0" w:space="0" w:color="auto"/>
        <w:left w:val="none" w:sz="0" w:space="0" w:color="auto"/>
        <w:bottom w:val="none" w:sz="0" w:space="0" w:color="auto"/>
        <w:right w:val="none" w:sz="0" w:space="0" w:color="auto"/>
      </w:divBdr>
    </w:div>
    <w:div w:id="1368290712">
      <w:bodyDiv w:val="1"/>
      <w:marLeft w:val="0"/>
      <w:marRight w:val="0"/>
      <w:marTop w:val="0"/>
      <w:marBottom w:val="0"/>
      <w:divBdr>
        <w:top w:val="none" w:sz="0" w:space="0" w:color="auto"/>
        <w:left w:val="none" w:sz="0" w:space="0" w:color="auto"/>
        <w:bottom w:val="none" w:sz="0" w:space="0" w:color="auto"/>
        <w:right w:val="none" w:sz="0" w:space="0" w:color="auto"/>
      </w:divBdr>
    </w:div>
    <w:div w:id="1641764550">
      <w:bodyDiv w:val="1"/>
      <w:marLeft w:val="0"/>
      <w:marRight w:val="0"/>
      <w:marTop w:val="0"/>
      <w:marBottom w:val="0"/>
      <w:divBdr>
        <w:top w:val="none" w:sz="0" w:space="0" w:color="auto"/>
        <w:left w:val="none" w:sz="0" w:space="0" w:color="auto"/>
        <w:bottom w:val="none" w:sz="0" w:space="0" w:color="auto"/>
        <w:right w:val="none" w:sz="0" w:space="0" w:color="auto"/>
      </w:divBdr>
    </w:div>
    <w:div w:id="1778602960">
      <w:bodyDiv w:val="1"/>
      <w:marLeft w:val="0"/>
      <w:marRight w:val="0"/>
      <w:marTop w:val="0"/>
      <w:marBottom w:val="0"/>
      <w:divBdr>
        <w:top w:val="none" w:sz="0" w:space="0" w:color="auto"/>
        <w:left w:val="none" w:sz="0" w:space="0" w:color="auto"/>
        <w:bottom w:val="none" w:sz="0" w:space="0" w:color="auto"/>
        <w:right w:val="none" w:sz="0" w:space="0" w:color="auto"/>
      </w:divBdr>
    </w:div>
    <w:div w:id="1820069186">
      <w:bodyDiv w:val="1"/>
      <w:marLeft w:val="0"/>
      <w:marRight w:val="0"/>
      <w:marTop w:val="0"/>
      <w:marBottom w:val="0"/>
      <w:divBdr>
        <w:top w:val="none" w:sz="0" w:space="0" w:color="auto"/>
        <w:left w:val="none" w:sz="0" w:space="0" w:color="auto"/>
        <w:bottom w:val="none" w:sz="0" w:space="0" w:color="auto"/>
        <w:right w:val="none" w:sz="0" w:space="0" w:color="auto"/>
      </w:divBdr>
    </w:div>
    <w:div w:id="2029524934">
      <w:bodyDiv w:val="1"/>
      <w:marLeft w:val="0"/>
      <w:marRight w:val="0"/>
      <w:marTop w:val="0"/>
      <w:marBottom w:val="0"/>
      <w:divBdr>
        <w:top w:val="none" w:sz="0" w:space="0" w:color="auto"/>
        <w:left w:val="none" w:sz="0" w:space="0" w:color="auto"/>
        <w:bottom w:val="none" w:sz="0" w:space="0" w:color="auto"/>
        <w:right w:val="none" w:sz="0" w:space="0" w:color="auto"/>
      </w:divBdr>
    </w:div>
    <w:div w:id="2127843481">
      <w:bodyDiv w:val="1"/>
      <w:marLeft w:val="0"/>
      <w:marRight w:val="0"/>
      <w:marTop w:val="0"/>
      <w:marBottom w:val="0"/>
      <w:divBdr>
        <w:top w:val="none" w:sz="0" w:space="0" w:color="auto"/>
        <w:left w:val="none" w:sz="0" w:space="0" w:color="auto"/>
        <w:bottom w:val="none" w:sz="0" w:space="0" w:color="auto"/>
        <w:right w:val="none" w:sz="0" w:space="0" w:color="auto"/>
      </w:divBdr>
    </w:div>
    <w:div w:id="214080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ata.gov.au/dataset/visa-temporary-work-skilled/resource/2134083a-c0f0-4961-a70e-dc215bf20fe5"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docs.jobs.gov.au/system/files/doc/other/2544registerednursesnsw_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file:///\\APHA-FDS-01\K%20drive\APHA\15.%20Policy\Manager-Research%20and%20Data\APRA\APRA%20Statistical%20Trend%20data\APRA%20quarterly%20update%20document.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Net change in number of people with</a:t>
            </a:r>
            <a:r>
              <a:rPr lang="en-AU" baseline="0"/>
              <a:t> hospital cover private health insurance</a:t>
            </a:r>
            <a:r>
              <a:rPr lang="en-AU"/>
              <a:t> per quarter</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'Cover rate'!$P$147</c:f>
              <c:strCache>
                <c:ptCount val="1"/>
                <c:pt idx="0">
                  <c:v>March</c:v>
                </c:pt>
              </c:strCache>
            </c:strRef>
          </c:tx>
          <c:spPr>
            <a:solidFill>
              <a:srgbClr val="204499"/>
            </a:solidFill>
            <a:ln>
              <a:noFill/>
            </a:ln>
            <a:effectLst/>
          </c:spPr>
          <c:invertIfNegative val="0"/>
          <c:cat>
            <c:numRef>
              <c:f>'Cover rate'!$O$158:$O$166</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'Cover rate'!$P$158:$P$166</c:f>
              <c:numCache>
                <c:formatCode>#,##0</c:formatCode>
                <c:ptCount val="9"/>
                <c:pt idx="0">
                  <c:v>46686</c:v>
                </c:pt>
                <c:pt idx="1">
                  <c:v>50772</c:v>
                </c:pt>
                <c:pt idx="2">
                  <c:v>51782</c:v>
                </c:pt>
                <c:pt idx="3">
                  <c:v>52863</c:v>
                </c:pt>
                <c:pt idx="4">
                  <c:v>45845</c:v>
                </c:pt>
                <c:pt idx="5">
                  <c:v>48574</c:v>
                </c:pt>
                <c:pt idx="6">
                  <c:v>23071</c:v>
                </c:pt>
                <c:pt idx="7">
                  <c:v>26005</c:v>
                </c:pt>
                <c:pt idx="8">
                  <c:v>10481</c:v>
                </c:pt>
              </c:numCache>
            </c:numRef>
          </c:val>
          <c:extLst>
            <c:ext xmlns:c16="http://schemas.microsoft.com/office/drawing/2014/chart" uri="{C3380CC4-5D6E-409C-BE32-E72D297353CC}">
              <c16:uniqueId val="{00000000-182B-4483-9D5F-BCC608412BAE}"/>
            </c:ext>
          </c:extLst>
        </c:ser>
        <c:ser>
          <c:idx val="1"/>
          <c:order val="1"/>
          <c:tx>
            <c:strRef>
              <c:f>'Cover rate'!$Q$147</c:f>
              <c:strCache>
                <c:ptCount val="1"/>
                <c:pt idx="0">
                  <c:v>June</c:v>
                </c:pt>
              </c:strCache>
            </c:strRef>
          </c:tx>
          <c:spPr>
            <a:solidFill>
              <a:srgbClr val="E8921A"/>
            </a:solidFill>
            <a:ln>
              <a:noFill/>
            </a:ln>
            <a:effectLst/>
          </c:spPr>
          <c:invertIfNegative val="0"/>
          <c:cat>
            <c:numRef>
              <c:f>'Cover rate'!$O$158:$O$166</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'Cover rate'!$Q$158:$Q$166</c:f>
              <c:numCache>
                <c:formatCode>#,##0</c:formatCode>
                <c:ptCount val="9"/>
                <c:pt idx="0">
                  <c:v>60977</c:v>
                </c:pt>
                <c:pt idx="1">
                  <c:v>87381</c:v>
                </c:pt>
                <c:pt idx="2">
                  <c:v>132366</c:v>
                </c:pt>
                <c:pt idx="3">
                  <c:v>87045</c:v>
                </c:pt>
                <c:pt idx="4">
                  <c:v>87174</c:v>
                </c:pt>
                <c:pt idx="5">
                  <c:v>47043</c:v>
                </c:pt>
                <c:pt idx="6">
                  <c:v>-2958</c:v>
                </c:pt>
                <c:pt idx="7">
                  <c:v>-34775</c:v>
                </c:pt>
                <c:pt idx="8">
                  <c:v>-57512</c:v>
                </c:pt>
              </c:numCache>
            </c:numRef>
          </c:val>
          <c:extLst>
            <c:ext xmlns:c16="http://schemas.microsoft.com/office/drawing/2014/chart" uri="{C3380CC4-5D6E-409C-BE32-E72D297353CC}">
              <c16:uniqueId val="{00000001-182B-4483-9D5F-BCC608412BAE}"/>
            </c:ext>
          </c:extLst>
        </c:ser>
        <c:ser>
          <c:idx val="2"/>
          <c:order val="2"/>
          <c:tx>
            <c:strRef>
              <c:f>'Cover rate'!$R$147</c:f>
              <c:strCache>
                <c:ptCount val="1"/>
                <c:pt idx="0">
                  <c:v>September</c:v>
                </c:pt>
              </c:strCache>
            </c:strRef>
          </c:tx>
          <c:spPr>
            <a:solidFill>
              <a:srgbClr val="009999"/>
            </a:solidFill>
            <a:ln>
              <a:noFill/>
            </a:ln>
            <a:effectLst/>
          </c:spPr>
          <c:invertIfNegative val="0"/>
          <c:cat>
            <c:numRef>
              <c:f>'Cover rate'!$O$158:$O$166</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'Cover rate'!$R$158:$R$166</c:f>
              <c:numCache>
                <c:formatCode>#,##0</c:formatCode>
                <c:ptCount val="9"/>
                <c:pt idx="0">
                  <c:v>90179</c:v>
                </c:pt>
                <c:pt idx="1">
                  <c:v>97421</c:v>
                </c:pt>
                <c:pt idx="2">
                  <c:v>83128</c:v>
                </c:pt>
                <c:pt idx="3">
                  <c:v>76296</c:v>
                </c:pt>
                <c:pt idx="4">
                  <c:v>60796</c:v>
                </c:pt>
                <c:pt idx="5">
                  <c:v>25777</c:v>
                </c:pt>
                <c:pt idx="6">
                  <c:v>6720</c:v>
                </c:pt>
                <c:pt idx="7">
                  <c:v>-154</c:v>
                </c:pt>
                <c:pt idx="8">
                  <c:v>-5256</c:v>
                </c:pt>
              </c:numCache>
            </c:numRef>
          </c:val>
          <c:extLst>
            <c:ext xmlns:c16="http://schemas.microsoft.com/office/drawing/2014/chart" uri="{C3380CC4-5D6E-409C-BE32-E72D297353CC}">
              <c16:uniqueId val="{00000002-182B-4483-9D5F-BCC608412BAE}"/>
            </c:ext>
          </c:extLst>
        </c:ser>
        <c:ser>
          <c:idx val="3"/>
          <c:order val="3"/>
          <c:tx>
            <c:strRef>
              <c:f>'Cover rate'!$S$147</c:f>
              <c:strCache>
                <c:ptCount val="1"/>
                <c:pt idx="0">
                  <c:v>December</c:v>
                </c:pt>
              </c:strCache>
            </c:strRef>
          </c:tx>
          <c:spPr>
            <a:solidFill>
              <a:srgbClr val="C00000"/>
            </a:solidFill>
            <a:ln>
              <a:noFill/>
            </a:ln>
            <a:effectLst/>
          </c:spPr>
          <c:invertIfNegative val="0"/>
          <c:cat>
            <c:numRef>
              <c:f>'Cover rate'!$O$158:$O$166</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'Cover rate'!$S$158:$S$166</c:f>
              <c:numCache>
                <c:formatCode>#,##0</c:formatCode>
                <c:ptCount val="9"/>
                <c:pt idx="0">
                  <c:v>53479</c:v>
                </c:pt>
                <c:pt idx="1">
                  <c:v>50584</c:v>
                </c:pt>
                <c:pt idx="2">
                  <c:v>39363</c:v>
                </c:pt>
                <c:pt idx="3">
                  <c:v>31905</c:v>
                </c:pt>
                <c:pt idx="4">
                  <c:v>28468</c:v>
                </c:pt>
                <c:pt idx="5">
                  <c:v>6359</c:v>
                </c:pt>
                <c:pt idx="6">
                  <c:v>-7785</c:v>
                </c:pt>
                <c:pt idx="7">
                  <c:v>-12294</c:v>
                </c:pt>
              </c:numCache>
            </c:numRef>
          </c:val>
          <c:extLst>
            <c:ext xmlns:c16="http://schemas.microsoft.com/office/drawing/2014/chart" uri="{C3380CC4-5D6E-409C-BE32-E72D297353CC}">
              <c16:uniqueId val="{00000003-182B-4483-9D5F-BCC608412BAE}"/>
            </c:ext>
          </c:extLst>
        </c:ser>
        <c:dLbls>
          <c:showLegendKey val="0"/>
          <c:showVal val="0"/>
          <c:showCatName val="0"/>
          <c:showSerName val="0"/>
          <c:showPercent val="0"/>
          <c:showBubbleSize val="0"/>
        </c:dLbls>
        <c:gapWidth val="150"/>
        <c:axId val="338304904"/>
        <c:axId val="339425248"/>
      </c:barChart>
      <c:catAx>
        <c:axId val="338304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425248"/>
        <c:crosses val="autoZero"/>
        <c:auto val="1"/>
        <c:lblAlgn val="ctr"/>
        <c:lblOffset val="100"/>
        <c:noMultiLvlLbl val="0"/>
      </c:catAx>
      <c:valAx>
        <c:axId val="339425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304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664" ma:contentTypeDescription="" ma:contentTypeScope="" ma:versionID="0efec51d07866157077ea6209c21a3eb">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_dlc_DocId xmlns="0f563589-9cf9-4143-b1eb-fb0534803d38">2019MINS-957875958-27</_dlc_DocId>
    <TaxCatchAll xmlns="0f563589-9cf9-4143-b1eb-fb0534803d38">
      <Value>2</Value>
    </TaxCatchAll>
    <_dlc_DocIdUrl xmlns="0f563589-9cf9-4143-b1eb-fb0534803d38">
      <Url>http://tweb/sites/mins/activity/prebudget/_layouts/15/DocIdRedir.aspx?ID=2019MINS-957875958-27</Url>
      <Description>2019MINS-957875958-27</Description>
    </_dlc_DocIdUrl>
  </documentManagement>
</p:properties>
</file>

<file path=customXml/itemProps1.xml><?xml version="1.0" encoding="utf-8"?>
<ds:datastoreItem xmlns:ds="http://schemas.openxmlformats.org/officeDocument/2006/customXml" ds:itemID="{713CF2DA-6BF4-4C85-AFD6-A47F64AE4E1C}">
  <ds:schemaRefs>
    <ds:schemaRef ds:uri="http://schemas.openxmlformats.org/officeDocument/2006/bibliography"/>
  </ds:schemaRefs>
</ds:datastoreItem>
</file>

<file path=customXml/itemProps2.xml><?xml version="1.0" encoding="utf-8"?>
<ds:datastoreItem xmlns:ds="http://schemas.openxmlformats.org/officeDocument/2006/customXml" ds:itemID="{A655808A-C6F9-454D-9881-8AC3E3E3B824}"/>
</file>

<file path=customXml/itemProps3.xml><?xml version="1.0" encoding="utf-8"?>
<ds:datastoreItem xmlns:ds="http://schemas.openxmlformats.org/officeDocument/2006/customXml" ds:itemID="{F39DD60F-A98D-48EB-A66D-EF8C83421F52}"/>
</file>

<file path=customXml/itemProps4.xml><?xml version="1.0" encoding="utf-8"?>
<ds:datastoreItem xmlns:ds="http://schemas.openxmlformats.org/officeDocument/2006/customXml" ds:itemID="{65CA17EE-BA09-46FD-8032-019B1FB217DF}"/>
</file>

<file path=customXml/itemProps5.xml><?xml version="1.0" encoding="utf-8"?>
<ds:datastoreItem xmlns:ds="http://schemas.openxmlformats.org/officeDocument/2006/customXml" ds:itemID="{17F174C2-AEA9-4830-BC7D-D891FF64BA80}"/>
</file>

<file path=customXml/itemProps6.xml><?xml version="1.0" encoding="utf-8"?>
<ds:datastoreItem xmlns:ds="http://schemas.openxmlformats.org/officeDocument/2006/customXml" ds:itemID="{BE58C055-35A4-42EC-82E9-A3CEA483988E}"/>
</file>

<file path=docProps/app.xml><?xml version="1.0" encoding="utf-8"?>
<Properties xmlns="http://schemas.openxmlformats.org/officeDocument/2006/extended-properties" xmlns:vt="http://schemas.openxmlformats.org/officeDocument/2006/docPropsVTypes">
  <Template>Normal</Template>
  <TotalTime>12</TotalTime>
  <Pages>13</Pages>
  <Words>3325</Words>
  <Characters>18954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Paradigm Management Group</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Lockett</dc:creator>
  <cp:keywords/>
  <dc:description/>
  <cp:lastModifiedBy>Lucy Cheetham</cp:lastModifiedBy>
  <cp:revision>4</cp:revision>
  <cp:lastPrinted>2018-12-14T05:34:00Z</cp:lastPrinted>
  <dcterms:created xsi:type="dcterms:W3CDTF">2018-12-14T05:24:00Z</dcterms:created>
  <dcterms:modified xsi:type="dcterms:W3CDTF">2018-12-14T05:36:00Z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-1333574335</vt:i4>
  </property>
  <property fmtid="{D5CDD505-2E9C-101B-9397-08002B2CF9AE}" pid="3" name="_NewReviewCycle">
    <vt:lpwstr/>
  </property>
  <property fmtid="{D5CDD505-2E9C-101B-9397-08002B2CF9AE}" pid="4" name="_EmailSubject">
    <vt:lpwstr>Batch 1 - Pre-budget submissions for approval to publish [DLM=For-Official-Use-Only]</vt:lpwstr>
  </property>
  <property fmtid="{D5CDD505-2E9C-101B-9397-08002B2CF9AE}" pid="5" name="_AuthorEmail">
    <vt:lpwstr>Daniel.Craig@TREASURY.GOV.AU</vt:lpwstr>
  </property>
  <property fmtid="{D5CDD505-2E9C-101B-9397-08002B2CF9AE}" pid="6" name="_AuthorEmailDisplayName">
    <vt:lpwstr>Craig, Daniel</vt:lpwstr>
  </property>
  <property fmtid="{D5CDD505-2E9C-101B-9397-08002B2CF9AE}" pid="7" name="_dlc_DocIdItemGuid">
    <vt:lpwstr>d6381cb3-ea12-4871-bb42-8d289a87a66c</vt:lpwstr>
  </property>
  <property fmtid="{D5CDD505-2E9C-101B-9397-08002B2CF9AE}" pid="8" name="ContentTypeId">
    <vt:lpwstr>0x010100C1F664D0940F85469AA434981483399000F4DE3D0581DC214CAE2C0C5F81A0F4A1</vt:lpwstr>
  </property>
  <property fmtid="{D5CDD505-2E9C-101B-9397-08002B2CF9AE}" pid="9" name="TSYRecordClass">
    <vt:lpwstr>2;#TSY RA-8733 - Destroy 10 years after action completed|18609896-7c96-418c-bbc1-db3751e97ee3</vt:lpwstr>
  </property>
</Properties>
</file>