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2883F" w14:textId="77777777" w:rsidR="000E0B74" w:rsidRPr="006D0240" w:rsidRDefault="000E0B74" w:rsidP="008E6292"/>
    <w:p w14:paraId="7BD28840" w14:textId="77777777" w:rsidR="000E0B74" w:rsidRPr="006D0240" w:rsidRDefault="000E0B74" w:rsidP="00794499">
      <w:pPr>
        <w:pStyle w:val="Crest"/>
        <w:spacing w:after="3000"/>
        <w:jc w:val="right"/>
      </w:pPr>
    </w:p>
    <w:p w14:paraId="7BD28841" w14:textId="77777777" w:rsidR="000E0B74" w:rsidRPr="00A524B9" w:rsidRDefault="0020381F" w:rsidP="000E0B74">
      <w:pPr>
        <w:pStyle w:val="Title"/>
      </w:pPr>
      <w:r>
        <w:t xml:space="preserve">Retirement Income Disclosure </w:t>
      </w:r>
      <w:r w:rsidR="00CD393F">
        <w:t>Consultation</w:t>
      </w:r>
      <w:r>
        <w:t xml:space="preserve"> Paper</w:t>
      </w:r>
    </w:p>
    <w:p w14:paraId="7BD28842" w14:textId="73C92903" w:rsidR="000E0B74" w:rsidRPr="00D45AF8" w:rsidRDefault="0020381F" w:rsidP="00D45AF8">
      <w:pPr>
        <w:pStyle w:val="Subtitle"/>
      </w:pPr>
      <w:r>
        <w:t xml:space="preserve">Stage </w:t>
      </w:r>
      <w:r w:rsidR="00BC0B53">
        <w:t>T</w:t>
      </w:r>
      <w:r>
        <w:t>wo of the Retirement Income Framework</w:t>
      </w:r>
    </w:p>
    <w:p w14:paraId="7BD28843" w14:textId="51150411" w:rsidR="00056880" w:rsidRDefault="00F320EC" w:rsidP="000E0B74">
      <w:pPr>
        <w:pStyle w:val="ReportDate"/>
        <w:ind w:right="0"/>
        <w:rPr>
          <w:rFonts w:ascii="Rockwell" w:hAnsi="Rockwell"/>
          <w:sz w:val="24"/>
        </w:rPr>
      </w:pPr>
      <w:r>
        <w:rPr>
          <w:rStyle w:val="ReportDateChar"/>
        </w:rPr>
        <w:t>Decem</w:t>
      </w:r>
      <w:r w:rsidR="003203C0">
        <w:rPr>
          <w:rStyle w:val="ReportDateChar"/>
        </w:rPr>
        <w:t>ber</w:t>
      </w:r>
      <w:r w:rsidR="0020381F">
        <w:rPr>
          <w:rStyle w:val="ReportDateChar"/>
        </w:rPr>
        <w:t xml:space="preserve"> 2018</w:t>
      </w:r>
    </w:p>
    <w:p w14:paraId="7BD28844" w14:textId="77777777" w:rsidR="002F617F" w:rsidRPr="005D561D" w:rsidRDefault="002F617F" w:rsidP="00A16E03">
      <w:pPr>
        <w:pStyle w:val="Divider"/>
        <w:spacing w:after="3000"/>
      </w:pPr>
    </w:p>
    <w:p w14:paraId="7BD28845" w14:textId="77777777" w:rsidR="002F617F" w:rsidRDefault="002F617F"/>
    <w:p w14:paraId="7BD28846" w14:textId="77777777" w:rsidR="000E0B74" w:rsidRDefault="000E0B74" w:rsidP="000E0B74">
      <w:pPr>
        <w:rPr>
          <w:rFonts w:cs="Calibri"/>
          <w:sz w:val="20"/>
        </w:rPr>
      </w:pPr>
    </w:p>
    <w:p w14:paraId="7BD28847" w14:textId="77777777"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7BD28848" w14:textId="77777777" w:rsidR="000E0B74" w:rsidRDefault="000E0B74" w:rsidP="000E0B74">
      <w:pPr>
        <w:spacing w:before="240"/>
      </w:pPr>
      <w:r w:rsidRPr="00661BF0">
        <w:lastRenderedPageBreak/>
        <w:t xml:space="preserve">© Commonwealth of </w:t>
      </w:r>
      <w:r w:rsidRPr="0020381F">
        <w:t>Australia 201</w:t>
      </w:r>
      <w:r w:rsidR="0020381F" w:rsidRPr="0020381F">
        <w:t>8</w:t>
      </w:r>
    </w:p>
    <w:p w14:paraId="7BD28849" w14:textId="23AFE259"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BD2884A" w14:textId="77777777" w:rsidR="000E0B74" w:rsidRDefault="000E0B74" w:rsidP="000E0B74">
      <w:pPr>
        <w:pStyle w:val="ChartGraphic"/>
        <w:jc w:val="left"/>
      </w:pPr>
      <w:r w:rsidRPr="00E56DFB">
        <w:rPr>
          <w:noProof/>
        </w:rPr>
        <w:drawing>
          <wp:inline distT="0" distB="0" distL="0" distR="0" wp14:anchorId="7BD28955" wp14:editId="7BD2895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BD2884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BD2884C"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BD2884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BD2884E" w14:textId="50D0B886" w:rsidR="000E0B74" w:rsidRPr="00A13A11" w:rsidRDefault="000E0B74" w:rsidP="000E0B74">
      <w:pPr>
        <w:ind w:firstLine="720"/>
      </w:pPr>
      <w:r w:rsidRPr="002F1BC2">
        <w:rPr>
          <w:i/>
        </w:rPr>
        <w:t xml:space="preserve">Source: The </w:t>
      </w:r>
      <w:r w:rsidRPr="002F1BC2">
        <w:rPr>
          <w:i/>
          <w:iCs/>
        </w:rPr>
        <w:t xml:space="preserve">Australian Government the Treasury </w:t>
      </w:r>
      <w:r>
        <w:t>.</w:t>
      </w:r>
    </w:p>
    <w:p w14:paraId="7BD2884F"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BD2885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BD28851" w14:textId="2D6E6AA1" w:rsidR="000E0B74" w:rsidRPr="006627B4" w:rsidRDefault="000E0B74" w:rsidP="000E0B74">
      <w:pPr>
        <w:ind w:firstLine="720"/>
      </w:pPr>
      <w:r w:rsidRPr="002F1BC2">
        <w:rPr>
          <w:i/>
        </w:rPr>
        <w:t>Based on The Australian Government the Treasury data</w:t>
      </w:r>
      <w:r>
        <w:t>.</w:t>
      </w:r>
    </w:p>
    <w:p w14:paraId="7BD28852" w14:textId="77777777" w:rsidR="000E0B74" w:rsidRPr="006627B4" w:rsidRDefault="000E0B74" w:rsidP="000E0B74">
      <w:pPr>
        <w:spacing w:before="240"/>
        <w:rPr>
          <w:b/>
        </w:rPr>
      </w:pPr>
      <w:r w:rsidRPr="006627B4">
        <w:rPr>
          <w:b/>
        </w:rPr>
        <w:t>Use of the Coat of Arms</w:t>
      </w:r>
    </w:p>
    <w:p w14:paraId="7BD2885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4" w:history="1">
        <w:r w:rsidRPr="005A283B">
          <w:rPr>
            <w:rStyle w:val="Hyperlink"/>
          </w:rPr>
          <w:t>www.pmc.gov.au/government/commonwealth-coat-arm</w:t>
        </w:r>
      </w:hyperlink>
      <w:r w:rsidRPr="004A7BC2">
        <w:t>s).</w:t>
      </w:r>
    </w:p>
    <w:p w14:paraId="7BD28854" w14:textId="77777777" w:rsidR="000E0B74" w:rsidRPr="006627B4" w:rsidRDefault="000E0B74" w:rsidP="000E0B74">
      <w:pPr>
        <w:spacing w:before="240"/>
        <w:rPr>
          <w:b/>
        </w:rPr>
      </w:pPr>
      <w:r>
        <w:rPr>
          <w:b/>
        </w:rPr>
        <w:t>Other u</w:t>
      </w:r>
      <w:r w:rsidRPr="006627B4">
        <w:rPr>
          <w:b/>
        </w:rPr>
        <w:t>ses</w:t>
      </w:r>
    </w:p>
    <w:p w14:paraId="7BD28855" w14:textId="77777777" w:rsidR="000E0B74" w:rsidRPr="006627B4" w:rsidRDefault="000E0B74" w:rsidP="000E0B74">
      <w:r>
        <w:t>E</w:t>
      </w:r>
      <w:r w:rsidRPr="006627B4">
        <w:t>nquiries regarding this licence and any other use of this document are welcome at:</w:t>
      </w:r>
    </w:p>
    <w:p w14:paraId="7BD28856"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7BD28857" w14:textId="77777777" w:rsidR="000E0B74" w:rsidRDefault="000E0B74" w:rsidP="000E0B74">
      <w:pPr>
        <w:pStyle w:val="SingleParagraph"/>
        <w:sectPr w:rsidR="000E0B74" w:rsidSect="00475B7B">
          <w:headerReference w:type="even" r:id="rId26"/>
          <w:headerReference w:type="default" r:id="rId27"/>
          <w:footerReference w:type="even" r:id="rId28"/>
          <w:pgSz w:w="11906" w:h="16838" w:code="9"/>
          <w:pgMar w:top="1418" w:right="1418" w:bottom="1418" w:left="1418" w:header="709" w:footer="709" w:gutter="0"/>
          <w:pgNumType w:fmt="lowerRoman"/>
          <w:cols w:space="708"/>
          <w:titlePg/>
          <w:docGrid w:linePitch="360"/>
        </w:sectPr>
      </w:pPr>
    </w:p>
    <w:p w14:paraId="7BD28858" w14:textId="77777777" w:rsidR="000E0B74" w:rsidRDefault="000E0B74" w:rsidP="000E0B74">
      <w:pPr>
        <w:pStyle w:val="Heading1"/>
      </w:pPr>
      <w:bookmarkStart w:id="0" w:name="_Toc523479359"/>
      <w:bookmarkStart w:id="1" w:name="_Toc531265799"/>
      <w:r>
        <w:lastRenderedPageBreak/>
        <w:t>Contents</w:t>
      </w:r>
      <w:bookmarkEnd w:id="0"/>
      <w:bookmarkEnd w:id="1"/>
    </w:p>
    <w:p w14:paraId="7BD28859" w14:textId="77777777" w:rsidR="00093D9E" w:rsidRPr="00093D9E" w:rsidRDefault="00093D9E" w:rsidP="00093D9E"/>
    <w:p w14:paraId="2A899CDE" w14:textId="77777777" w:rsidR="001613A2"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31265799" w:history="1">
        <w:r w:rsidR="001613A2" w:rsidRPr="003979AC">
          <w:rPr>
            <w:rStyle w:val="Hyperlink"/>
          </w:rPr>
          <w:t>Contents</w:t>
        </w:r>
        <w:r w:rsidR="001613A2">
          <w:rPr>
            <w:webHidden/>
          </w:rPr>
          <w:tab/>
        </w:r>
        <w:r w:rsidR="001613A2">
          <w:rPr>
            <w:webHidden/>
          </w:rPr>
          <w:fldChar w:fldCharType="begin"/>
        </w:r>
        <w:r w:rsidR="001613A2">
          <w:rPr>
            <w:webHidden/>
          </w:rPr>
          <w:instrText xml:space="preserve"> PAGEREF _Toc531265799 \h </w:instrText>
        </w:r>
        <w:r w:rsidR="001613A2">
          <w:rPr>
            <w:webHidden/>
          </w:rPr>
        </w:r>
        <w:r w:rsidR="001613A2">
          <w:rPr>
            <w:webHidden/>
          </w:rPr>
          <w:fldChar w:fldCharType="separate"/>
        </w:r>
        <w:r w:rsidR="00F4479C">
          <w:rPr>
            <w:webHidden/>
          </w:rPr>
          <w:t>iii</w:t>
        </w:r>
        <w:r w:rsidR="001613A2">
          <w:rPr>
            <w:webHidden/>
          </w:rPr>
          <w:fldChar w:fldCharType="end"/>
        </w:r>
      </w:hyperlink>
    </w:p>
    <w:p w14:paraId="7C53ADA3" w14:textId="77777777" w:rsidR="001613A2" w:rsidRDefault="007E37A3">
      <w:pPr>
        <w:pStyle w:val="TOC1"/>
        <w:rPr>
          <w:rFonts w:asciiTheme="minorHAnsi" w:eastAsiaTheme="minorEastAsia" w:hAnsiTheme="minorHAnsi" w:cstheme="minorBidi"/>
          <w:b w:val="0"/>
          <w:color w:val="auto"/>
        </w:rPr>
      </w:pPr>
      <w:hyperlink w:anchor="_Toc531265800" w:history="1">
        <w:r w:rsidR="001613A2" w:rsidRPr="003979AC">
          <w:rPr>
            <w:rStyle w:val="Hyperlink"/>
          </w:rPr>
          <w:t>Consultation Process</w:t>
        </w:r>
        <w:r w:rsidR="001613A2">
          <w:rPr>
            <w:webHidden/>
          </w:rPr>
          <w:tab/>
        </w:r>
        <w:r w:rsidR="001613A2">
          <w:rPr>
            <w:webHidden/>
          </w:rPr>
          <w:fldChar w:fldCharType="begin"/>
        </w:r>
        <w:r w:rsidR="001613A2">
          <w:rPr>
            <w:webHidden/>
          </w:rPr>
          <w:instrText xml:space="preserve"> PAGEREF _Toc531265800 \h </w:instrText>
        </w:r>
        <w:r w:rsidR="001613A2">
          <w:rPr>
            <w:webHidden/>
          </w:rPr>
        </w:r>
        <w:r w:rsidR="001613A2">
          <w:rPr>
            <w:webHidden/>
          </w:rPr>
          <w:fldChar w:fldCharType="separate"/>
        </w:r>
        <w:r w:rsidR="00F4479C">
          <w:rPr>
            <w:webHidden/>
          </w:rPr>
          <w:t>1</w:t>
        </w:r>
        <w:r w:rsidR="001613A2">
          <w:rPr>
            <w:webHidden/>
          </w:rPr>
          <w:fldChar w:fldCharType="end"/>
        </w:r>
      </w:hyperlink>
    </w:p>
    <w:p w14:paraId="313940E0" w14:textId="77777777" w:rsidR="001613A2" w:rsidRDefault="007E37A3">
      <w:pPr>
        <w:pStyle w:val="TOC2"/>
        <w:rPr>
          <w:rFonts w:asciiTheme="minorHAnsi" w:eastAsiaTheme="minorEastAsia" w:hAnsiTheme="minorHAnsi" w:cstheme="minorBidi"/>
          <w:color w:val="auto"/>
          <w:szCs w:val="22"/>
        </w:rPr>
      </w:pPr>
      <w:hyperlink w:anchor="_Toc531265801" w:history="1">
        <w:r w:rsidR="001613A2" w:rsidRPr="003979AC">
          <w:rPr>
            <w:rStyle w:val="Hyperlink"/>
          </w:rPr>
          <w:t>Request for feedback and comments</w:t>
        </w:r>
        <w:r w:rsidR="001613A2">
          <w:rPr>
            <w:webHidden/>
          </w:rPr>
          <w:tab/>
        </w:r>
        <w:r w:rsidR="001613A2">
          <w:rPr>
            <w:webHidden/>
          </w:rPr>
          <w:fldChar w:fldCharType="begin"/>
        </w:r>
        <w:r w:rsidR="001613A2">
          <w:rPr>
            <w:webHidden/>
          </w:rPr>
          <w:instrText xml:space="preserve"> PAGEREF _Toc531265801 \h </w:instrText>
        </w:r>
        <w:r w:rsidR="001613A2">
          <w:rPr>
            <w:webHidden/>
          </w:rPr>
        </w:r>
        <w:r w:rsidR="001613A2">
          <w:rPr>
            <w:webHidden/>
          </w:rPr>
          <w:fldChar w:fldCharType="separate"/>
        </w:r>
        <w:r w:rsidR="00F4479C">
          <w:rPr>
            <w:webHidden/>
          </w:rPr>
          <w:t>1</w:t>
        </w:r>
        <w:r w:rsidR="001613A2">
          <w:rPr>
            <w:webHidden/>
          </w:rPr>
          <w:fldChar w:fldCharType="end"/>
        </w:r>
      </w:hyperlink>
    </w:p>
    <w:p w14:paraId="7C7A922F" w14:textId="77777777" w:rsidR="001613A2" w:rsidRDefault="007E37A3">
      <w:pPr>
        <w:pStyle w:val="TOC1"/>
        <w:rPr>
          <w:rFonts w:asciiTheme="minorHAnsi" w:eastAsiaTheme="minorEastAsia" w:hAnsiTheme="minorHAnsi" w:cstheme="minorBidi"/>
          <w:b w:val="0"/>
          <w:color w:val="auto"/>
        </w:rPr>
      </w:pPr>
      <w:hyperlink w:anchor="_Toc531265802" w:history="1">
        <w:r w:rsidR="001613A2" w:rsidRPr="003979AC">
          <w:rPr>
            <w:rStyle w:val="Hyperlink"/>
          </w:rPr>
          <w:t>Background</w:t>
        </w:r>
        <w:r w:rsidR="001613A2">
          <w:rPr>
            <w:webHidden/>
          </w:rPr>
          <w:tab/>
        </w:r>
        <w:r w:rsidR="001613A2">
          <w:rPr>
            <w:webHidden/>
          </w:rPr>
          <w:fldChar w:fldCharType="begin"/>
        </w:r>
        <w:r w:rsidR="001613A2">
          <w:rPr>
            <w:webHidden/>
          </w:rPr>
          <w:instrText xml:space="preserve"> PAGEREF _Toc531265802 \h </w:instrText>
        </w:r>
        <w:r w:rsidR="001613A2">
          <w:rPr>
            <w:webHidden/>
          </w:rPr>
        </w:r>
        <w:r w:rsidR="001613A2">
          <w:rPr>
            <w:webHidden/>
          </w:rPr>
          <w:fldChar w:fldCharType="separate"/>
        </w:r>
        <w:r w:rsidR="00F4479C">
          <w:rPr>
            <w:webHidden/>
          </w:rPr>
          <w:t>2</w:t>
        </w:r>
        <w:r w:rsidR="001613A2">
          <w:rPr>
            <w:webHidden/>
          </w:rPr>
          <w:fldChar w:fldCharType="end"/>
        </w:r>
      </w:hyperlink>
    </w:p>
    <w:p w14:paraId="054719DA" w14:textId="77777777" w:rsidR="001613A2" w:rsidRDefault="007E37A3">
      <w:pPr>
        <w:pStyle w:val="TOC2"/>
        <w:rPr>
          <w:rFonts w:asciiTheme="minorHAnsi" w:eastAsiaTheme="minorEastAsia" w:hAnsiTheme="minorHAnsi" w:cstheme="minorBidi"/>
          <w:color w:val="auto"/>
          <w:szCs w:val="22"/>
        </w:rPr>
      </w:pPr>
      <w:hyperlink w:anchor="_Toc531265803" w:history="1">
        <w:r w:rsidR="001613A2" w:rsidRPr="003979AC">
          <w:rPr>
            <w:rStyle w:val="Hyperlink"/>
          </w:rPr>
          <w:t>The retirement income framework</w:t>
        </w:r>
        <w:r w:rsidR="001613A2">
          <w:rPr>
            <w:webHidden/>
          </w:rPr>
          <w:tab/>
        </w:r>
        <w:r w:rsidR="001613A2">
          <w:rPr>
            <w:webHidden/>
          </w:rPr>
          <w:fldChar w:fldCharType="begin"/>
        </w:r>
        <w:r w:rsidR="001613A2">
          <w:rPr>
            <w:webHidden/>
          </w:rPr>
          <w:instrText xml:space="preserve"> PAGEREF _Toc531265803 \h </w:instrText>
        </w:r>
        <w:r w:rsidR="001613A2">
          <w:rPr>
            <w:webHidden/>
          </w:rPr>
        </w:r>
        <w:r w:rsidR="001613A2">
          <w:rPr>
            <w:webHidden/>
          </w:rPr>
          <w:fldChar w:fldCharType="separate"/>
        </w:r>
        <w:r w:rsidR="00F4479C">
          <w:rPr>
            <w:webHidden/>
          </w:rPr>
          <w:t>2</w:t>
        </w:r>
        <w:r w:rsidR="001613A2">
          <w:rPr>
            <w:webHidden/>
          </w:rPr>
          <w:fldChar w:fldCharType="end"/>
        </w:r>
      </w:hyperlink>
    </w:p>
    <w:p w14:paraId="13B76E94" w14:textId="77777777" w:rsidR="001613A2" w:rsidRDefault="007E37A3">
      <w:pPr>
        <w:pStyle w:val="TOC2"/>
        <w:rPr>
          <w:rFonts w:asciiTheme="minorHAnsi" w:eastAsiaTheme="minorEastAsia" w:hAnsiTheme="minorHAnsi" w:cstheme="minorBidi"/>
          <w:color w:val="auto"/>
          <w:szCs w:val="22"/>
        </w:rPr>
      </w:pPr>
      <w:hyperlink w:anchor="_Toc531265804" w:history="1">
        <w:r w:rsidR="001613A2" w:rsidRPr="003979AC">
          <w:rPr>
            <w:rStyle w:val="Hyperlink"/>
          </w:rPr>
          <w:t>Simplified, standardised product disclosure</w:t>
        </w:r>
        <w:r w:rsidR="001613A2">
          <w:rPr>
            <w:webHidden/>
          </w:rPr>
          <w:tab/>
        </w:r>
        <w:r w:rsidR="001613A2">
          <w:rPr>
            <w:webHidden/>
          </w:rPr>
          <w:fldChar w:fldCharType="begin"/>
        </w:r>
        <w:r w:rsidR="001613A2">
          <w:rPr>
            <w:webHidden/>
          </w:rPr>
          <w:instrText xml:space="preserve"> PAGEREF _Toc531265804 \h </w:instrText>
        </w:r>
        <w:r w:rsidR="001613A2">
          <w:rPr>
            <w:webHidden/>
          </w:rPr>
        </w:r>
        <w:r w:rsidR="001613A2">
          <w:rPr>
            <w:webHidden/>
          </w:rPr>
          <w:fldChar w:fldCharType="separate"/>
        </w:r>
        <w:r w:rsidR="00F4479C">
          <w:rPr>
            <w:webHidden/>
          </w:rPr>
          <w:t>2</w:t>
        </w:r>
        <w:r w:rsidR="001613A2">
          <w:rPr>
            <w:webHidden/>
          </w:rPr>
          <w:fldChar w:fldCharType="end"/>
        </w:r>
      </w:hyperlink>
    </w:p>
    <w:p w14:paraId="7F19E7F2" w14:textId="77777777" w:rsidR="001613A2" w:rsidRDefault="007E37A3">
      <w:pPr>
        <w:pStyle w:val="TOC1"/>
        <w:rPr>
          <w:rFonts w:asciiTheme="minorHAnsi" w:eastAsiaTheme="minorEastAsia" w:hAnsiTheme="minorHAnsi" w:cstheme="minorBidi"/>
          <w:b w:val="0"/>
          <w:color w:val="auto"/>
        </w:rPr>
      </w:pPr>
      <w:hyperlink w:anchor="_Toc531265805" w:history="1">
        <w:r w:rsidR="001613A2" w:rsidRPr="003979AC">
          <w:rPr>
            <w:rStyle w:val="Hyperlink"/>
          </w:rPr>
          <w:t>Standardised metrics</w:t>
        </w:r>
        <w:r w:rsidR="001613A2">
          <w:rPr>
            <w:webHidden/>
          </w:rPr>
          <w:tab/>
        </w:r>
        <w:r w:rsidR="001613A2">
          <w:rPr>
            <w:webHidden/>
          </w:rPr>
          <w:fldChar w:fldCharType="begin"/>
        </w:r>
        <w:r w:rsidR="001613A2">
          <w:rPr>
            <w:webHidden/>
          </w:rPr>
          <w:instrText xml:space="preserve"> PAGEREF _Toc531265805 \h </w:instrText>
        </w:r>
        <w:r w:rsidR="001613A2">
          <w:rPr>
            <w:webHidden/>
          </w:rPr>
        </w:r>
        <w:r w:rsidR="001613A2">
          <w:rPr>
            <w:webHidden/>
          </w:rPr>
          <w:fldChar w:fldCharType="separate"/>
        </w:r>
        <w:r w:rsidR="00F4479C">
          <w:rPr>
            <w:webHidden/>
          </w:rPr>
          <w:t>4</w:t>
        </w:r>
        <w:r w:rsidR="001613A2">
          <w:rPr>
            <w:webHidden/>
          </w:rPr>
          <w:fldChar w:fldCharType="end"/>
        </w:r>
      </w:hyperlink>
    </w:p>
    <w:p w14:paraId="1FE43A5C" w14:textId="77777777" w:rsidR="001613A2" w:rsidRDefault="007E37A3">
      <w:pPr>
        <w:pStyle w:val="TOC2"/>
        <w:rPr>
          <w:rFonts w:asciiTheme="minorHAnsi" w:eastAsiaTheme="minorEastAsia" w:hAnsiTheme="minorHAnsi" w:cstheme="minorBidi"/>
          <w:color w:val="auto"/>
          <w:szCs w:val="22"/>
        </w:rPr>
      </w:pPr>
      <w:hyperlink w:anchor="_Toc531265806" w:history="1">
        <w:r w:rsidR="001613A2" w:rsidRPr="003979AC">
          <w:rPr>
            <w:rStyle w:val="Hyperlink"/>
          </w:rPr>
          <w:t>Income</w:t>
        </w:r>
        <w:r w:rsidR="001613A2">
          <w:rPr>
            <w:webHidden/>
          </w:rPr>
          <w:tab/>
        </w:r>
        <w:r w:rsidR="001613A2">
          <w:rPr>
            <w:webHidden/>
          </w:rPr>
          <w:fldChar w:fldCharType="begin"/>
        </w:r>
        <w:r w:rsidR="001613A2">
          <w:rPr>
            <w:webHidden/>
          </w:rPr>
          <w:instrText xml:space="preserve"> PAGEREF _Toc531265806 \h </w:instrText>
        </w:r>
        <w:r w:rsidR="001613A2">
          <w:rPr>
            <w:webHidden/>
          </w:rPr>
        </w:r>
        <w:r w:rsidR="001613A2">
          <w:rPr>
            <w:webHidden/>
          </w:rPr>
          <w:fldChar w:fldCharType="separate"/>
        </w:r>
        <w:r w:rsidR="00F4479C">
          <w:rPr>
            <w:webHidden/>
          </w:rPr>
          <w:t>4</w:t>
        </w:r>
        <w:r w:rsidR="001613A2">
          <w:rPr>
            <w:webHidden/>
          </w:rPr>
          <w:fldChar w:fldCharType="end"/>
        </w:r>
      </w:hyperlink>
    </w:p>
    <w:p w14:paraId="119F9040" w14:textId="072A80E1" w:rsidR="001613A2" w:rsidRDefault="007E37A3">
      <w:pPr>
        <w:pStyle w:val="TOC2"/>
        <w:rPr>
          <w:rFonts w:asciiTheme="minorHAnsi" w:eastAsiaTheme="minorEastAsia" w:hAnsiTheme="minorHAnsi" w:cstheme="minorBidi"/>
          <w:color w:val="auto"/>
          <w:szCs w:val="22"/>
        </w:rPr>
      </w:pPr>
      <w:hyperlink w:anchor="_Toc531265807" w:history="1">
        <w:r w:rsidR="001613A2" w:rsidRPr="003979AC">
          <w:rPr>
            <w:rStyle w:val="Hyperlink"/>
          </w:rPr>
          <w:t>Variation in expected income</w:t>
        </w:r>
        <w:r w:rsidR="001613A2">
          <w:rPr>
            <w:webHidden/>
          </w:rPr>
          <w:tab/>
        </w:r>
        <w:r w:rsidR="001613A2">
          <w:rPr>
            <w:webHidden/>
          </w:rPr>
          <w:fldChar w:fldCharType="begin"/>
        </w:r>
        <w:r w:rsidR="001613A2">
          <w:rPr>
            <w:webHidden/>
          </w:rPr>
          <w:instrText xml:space="preserve"> PAGEREF _Toc531265807 \h </w:instrText>
        </w:r>
        <w:r w:rsidR="001613A2">
          <w:rPr>
            <w:webHidden/>
          </w:rPr>
        </w:r>
        <w:r w:rsidR="001613A2">
          <w:rPr>
            <w:webHidden/>
          </w:rPr>
          <w:fldChar w:fldCharType="separate"/>
        </w:r>
        <w:r w:rsidR="00F4479C">
          <w:rPr>
            <w:webHidden/>
          </w:rPr>
          <w:t>5</w:t>
        </w:r>
        <w:r w:rsidR="001613A2">
          <w:rPr>
            <w:webHidden/>
          </w:rPr>
          <w:fldChar w:fldCharType="end"/>
        </w:r>
      </w:hyperlink>
    </w:p>
    <w:p w14:paraId="316D9CE6" w14:textId="1A6A67E5" w:rsidR="001613A2" w:rsidRDefault="007E37A3">
      <w:pPr>
        <w:pStyle w:val="TOC2"/>
        <w:rPr>
          <w:rFonts w:asciiTheme="minorHAnsi" w:eastAsiaTheme="minorEastAsia" w:hAnsiTheme="minorHAnsi" w:cstheme="minorBidi"/>
          <w:color w:val="auto"/>
          <w:szCs w:val="22"/>
        </w:rPr>
      </w:pPr>
      <w:hyperlink w:anchor="_Toc531265808" w:history="1">
        <w:r w:rsidR="001613A2" w:rsidRPr="003979AC">
          <w:rPr>
            <w:rStyle w:val="Hyperlink"/>
          </w:rPr>
          <w:t>Access to underlying capital</w:t>
        </w:r>
        <w:r w:rsidR="001613A2">
          <w:rPr>
            <w:webHidden/>
          </w:rPr>
          <w:tab/>
        </w:r>
        <w:r w:rsidR="001613A2">
          <w:rPr>
            <w:webHidden/>
          </w:rPr>
          <w:fldChar w:fldCharType="begin"/>
        </w:r>
        <w:r w:rsidR="001613A2">
          <w:rPr>
            <w:webHidden/>
          </w:rPr>
          <w:instrText xml:space="preserve"> PAGEREF _Toc531265808 \h </w:instrText>
        </w:r>
        <w:r w:rsidR="001613A2">
          <w:rPr>
            <w:webHidden/>
          </w:rPr>
        </w:r>
        <w:r w:rsidR="001613A2">
          <w:rPr>
            <w:webHidden/>
          </w:rPr>
          <w:fldChar w:fldCharType="separate"/>
        </w:r>
        <w:r w:rsidR="00F4479C">
          <w:rPr>
            <w:webHidden/>
          </w:rPr>
          <w:t>7</w:t>
        </w:r>
        <w:r w:rsidR="001613A2">
          <w:rPr>
            <w:webHidden/>
          </w:rPr>
          <w:fldChar w:fldCharType="end"/>
        </w:r>
      </w:hyperlink>
    </w:p>
    <w:p w14:paraId="5528FF7E" w14:textId="7F206EEA" w:rsidR="001613A2" w:rsidRDefault="007E37A3">
      <w:pPr>
        <w:pStyle w:val="TOC2"/>
        <w:rPr>
          <w:rFonts w:asciiTheme="minorHAnsi" w:eastAsiaTheme="minorEastAsia" w:hAnsiTheme="minorHAnsi" w:cstheme="minorBidi"/>
          <w:color w:val="auto"/>
          <w:szCs w:val="22"/>
        </w:rPr>
      </w:pPr>
      <w:hyperlink w:anchor="_Toc531265809" w:history="1">
        <w:r w:rsidR="001613A2" w:rsidRPr="003979AC">
          <w:rPr>
            <w:rStyle w:val="Hyperlink"/>
          </w:rPr>
          <w:t>Death Benefits and Reversionary Benefits</w:t>
        </w:r>
        <w:r w:rsidR="001613A2">
          <w:rPr>
            <w:webHidden/>
          </w:rPr>
          <w:tab/>
        </w:r>
        <w:r w:rsidR="001613A2">
          <w:rPr>
            <w:webHidden/>
          </w:rPr>
          <w:fldChar w:fldCharType="begin"/>
        </w:r>
        <w:r w:rsidR="001613A2">
          <w:rPr>
            <w:webHidden/>
          </w:rPr>
          <w:instrText xml:space="preserve"> PAGEREF _Toc531265809 \h </w:instrText>
        </w:r>
        <w:r w:rsidR="001613A2">
          <w:rPr>
            <w:webHidden/>
          </w:rPr>
        </w:r>
        <w:r w:rsidR="001613A2">
          <w:rPr>
            <w:webHidden/>
          </w:rPr>
          <w:fldChar w:fldCharType="separate"/>
        </w:r>
        <w:r w:rsidR="00F4479C">
          <w:rPr>
            <w:webHidden/>
          </w:rPr>
          <w:t>9</w:t>
        </w:r>
        <w:r w:rsidR="001613A2">
          <w:rPr>
            <w:webHidden/>
          </w:rPr>
          <w:fldChar w:fldCharType="end"/>
        </w:r>
      </w:hyperlink>
    </w:p>
    <w:p w14:paraId="20DE59BF" w14:textId="1A4C0617" w:rsidR="001613A2" w:rsidRDefault="007E37A3">
      <w:pPr>
        <w:pStyle w:val="TOC2"/>
        <w:rPr>
          <w:rFonts w:asciiTheme="minorHAnsi" w:eastAsiaTheme="minorEastAsia" w:hAnsiTheme="minorHAnsi" w:cstheme="minorBidi"/>
          <w:color w:val="auto"/>
          <w:szCs w:val="22"/>
        </w:rPr>
      </w:pPr>
      <w:hyperlink w:anchor="_Toc531265810" w:history="1">
        <w:r w:rsidR="001613A2" w:rsidRPr="003979AC">
          <w:rPr>
            <w:rStyle w:val="Hyperlink"/>
          </w:rPr>
          <w:t>Future considerations</w:t>
        </w:r>
        <w:r w:rsidR="001613A2">
          <w:rPr>
            <w:webHidden/>
          </w:rPr>
          <w:tab/>
        </w:r>
        <w:r w:rsidR="001613A2">
          <w:rPr>
            <w:webHidden/>
          </w:rPr>
          <w:fldChar w:fldCharType="begin"/>
        </w:r>
        <w:r w:rsidR="001613A2">
          <w:rPr>
            <w:webHidden/>
          </w:rPr>
          <w:instrText xml:space="preserve"> PAGEREF _Toc531265810 \h </w:instrText>
        </w:r>
        <w:r w:rsidR="001613A2">
          <w:rPr>
            <w:webHidden/>
          </w:rPr>
        </w:r>
        <w:r w:rsidR="001613A2">
          <w:rPr>
            <w:webHidden/>
          </w:rPr>
          <w:fldChar w:fldCharType="separate"/>
        </w:r>
        <w:r w:rsidR="00F4479C">
          <w:rPr>
            <w:webHidden/>
          </w:rPr>
          <w:t>9</w:t>
        </w:r>
        <w:r w:rsidR="001613A2">
          <w:rPr>
            <w:webHidden/>
          </w:rPr>
          <w:fldChar w:fldCharType="end"/>
        </w:r>
      </w:hyperlink>
    </w:p>
    <w:p w14:paraId="0D25A71E" w14:textId="7192563A" w:rsidR="001613A2" w:rsidRDefault="007E37A3">
      <w:pPr>
        <w:pStyle w:val="TOC1"/>
        <w:rPr>
          <w:rFonts w:asciiTheme="minorHAnsi" w:eastAsiaTheme="minorEastAsia" w:hAnsiTheme="minorHAnsi" w:cstheme="minorBidi"/>
          <w:b w:val="0"/>
          <w:color w:val="auto"/>
        </w:rPr>
      </w:pPr>
      <w:hyperlink w:anchor="_Toc531265811" w:history="1">
        <w:r w:rsidR="001613A2" w:rsidRPr="003979AC">
          <w:rPr>
            <w:rStyle w:val="Hyperlink"/>
          </w:rPr>
          <w:t>Next steps</w:t>
        </w:r>
        <w:r w:rsidR="001613A2">
          <w:rPr>
            <w:webHidden/>
          </w:rPr>
          <w:tab/>
        </w:r>
        <w:r w:rsidR="001613A2">
          <w:rPr>
            <w:webHidden/>
          </w:rPr>
          <w:fldChar w:fldCharType="begin"/>
        </w:r>
        <w:r w:rsidR="001613A2">
          <w:rPr>
            <w:webHidden/>
          </w:rPr>
          <w:instrText xml:space="preserve"> PAGEREF _Toc531265811 \h </w:instrText>
        </w:r>
        <w:r w:rsidR="001613A2">
          <w:rPr>
            <w:webHidden/>
          </w:rPr>
        </w:r>
        <w:r w:rsidR="001613A2">
          <w:rPr>
            <w:webHidden/>
          </w:rPr>
          <w:fldChar w:fldCharType="separate"/>
        </w:r>
        <w:r w:rsidR="00F4479C">
          <w:rPr>
            <w:webHidden/>
          </w:rPr>
          <w:t>10</w:t>
        </w:r>
        <w:r w:rsidR="001613A2">
          <w:rPr>
            <w:webHidden/>
          </w:rPr>
          <w:fldChar w:fldCharType="end"/>
        </w:r>
      </w:hyperlink>
    </w:p>
    <w:p w14:paraId="7888DC3F" w14:textId="1602DFEA" w:rsidR="001613A2" w:rsidRDefault="007E37A3">
      <w:pPr>
        <w:pStyle w:val="TOC2"/>
        <w:rPr>
          <w:rFonts w:asciiTheme="minorHAnsi" w:eastAsiaTheme="minorEastAsia" w:hAnsiTheme="minorHAnsi" w:cstheme="minorBidi"/>
          <w:color w:val="auto"/>
          <w:szCs w:val="22"/>
        </w:rPr>
      </w:pPr>
      <w:hyperlink w:anchor="_Toc531265812" w:history="1">
        <w:r w:rsidR="001613A2" w:rsidRPr="003979AC">
          <w:rPr>
            <w:rStyle w:val="Hyperlink"/>
          </w:rPr>
          <w:t>Consumer Testing</w:t>
        </w:r>
        <w:r w:rsidR="001613A2">
          <w:rPr>
            <w:webHidden/>
          </w:rPr>
          <w:tab/>
        </w:r>
        <w:r w:rsidR="001613A2">
          <w:rPr>
            <w:webHidden/>
          </w:rPr>
          <w:fldChar w:fldCharType="begin"/>
        </w:r>
        <w:r w:rsidR="001613A2">
          <w:rPr>
            <w:webHidden/>
          </w:rPr>
          <w:instrText xml:space="preserve"> PAGEREF _Toc531265812 \h </w:instrText>
        </w:r>
        <w:r w:rsidR="001613A2">
          <w:rPr>
            <w:webHidden/>
          </w:rPr>
        </w:r>
        <w:r w:rsidR="001613A2">
          <w:rPr>
            <w:webHidden/>
          </w:rPr>
          <w:fldChar w:fldCharType="separate"/>
        </w:r>
        <w:r w:rsidR="00F4479C">
          <w:rPr>
            <w:webHidden/>
          </w:rPr>
          <w:t>10</w:t>
        </w:r>
        <w:r w:rsidR="001613A2">
          <w:rPr>
            <w:webHidden/>
          </w:rPr>
          <w:fldChar w:fldCharType="end"/>
        </w:r>
      </w:hyperlink>
    </w:p>
    <w:p w14:paraId="35765F7D" w14:textId="0754DC9E" w:rsidR="001613A2" w:rsidRDefault="007E37A3">
      <w:pPr>
        <w:pStyle w:val="TOC1"/>
        <w:rPr>
          <w:rFonts w:asciiTheme="minorHAnsi" w:eastAsiaTheme="minorEastAsia" w:hAnsiTheme="minorHAnsi" w:cstheme="minorBidi"/>
          <w:b w:val="0"/>
          <w:color w:val="auto"/>
        </w:rPr>
      </w:pPr>
      <w:hyperlink w:anchor="_Toc531265813" w:history="1">
        <w:r w:rsidR="001613A2" w:rsidRPr="003979AC">
          <w:rPr>
            <w:rStyle w:val="Hyperlink"/>
          </w:rPr>
          <w:t>Glossary and Acronyms</w:t>
        </w:r>
        <w:r w:rsidR="001613A2">
          <w:rPr>
            <w:webHidden/>
          </w:rPr>
          <w:tab/>
        </w:r>
        <w:r w:rsidR="001613A2">
          <w:rPr>
            <w:webHidden/>
          </w:rPr>
          <w:fldChar w:fldCharType="begin"/>
        </w:r>
        <w:r w:rsidR="001613A2">
          <w:rPr>
            <w:webHidden/>
          </w:rPr>
          <w:instrText xml:space="preserve"> PAGEREF _Toc531265813 \h </w:instrText>
        </w:r>
        <w:r w:rsidR="001613A2">
          <w:rPr>
            <w:webHidden/>
          </w:rPr>
        </w:r>
        <w:r w:rsidR="001613A2">
          <w:rPr>
            <w:webHidden/>
          </w:rPr>
          <w:fldChar w:fldCharType="separate"/>
        </w:r>
        <w:r w:rsidR="00F4479C">
          <w:rPr>
            <w:webHidden/>
          </w:rPr>
          <w:t>11</w:t>
        </w:r>
        <w:r w:rsidR="001613A2">
          <w:rPr>
            <w:webHidden/>
          </w:rPr>
          <w:fldChar w:fldCharType="end"/>
        </w:r>
      </w:hyperlink>
    </w:p>
    <w:p w14:paraId="7BD2886A"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7BD2886B" w14:textId="77777777" w:rsidR="000E0B74" w:rsidRDefault="000E0B74" w:rsidP="000E0B74">
      <w:pPr>
        <w:pStyle w:val="Heading1"/>
      </w:pPr>
      <w:bookmarkStart w:id="2" w:name="_Toc523479360"/>
      <w:bookmarkStart w:id="3" w:name="_Toc531265800"/>
      <w:bookmarkStart w:id="4" w:name="_Toc432067103"/>
      <w:r>
        <w:lastRenderedPageBreak/>
        <w:t>Consultation Process</w:t>
      </w:r>
      <w:bookmarkEnd w:id="2"/>
      <w:bookmarkEnd w:id="3"/>
    </w:p>
    <w:p w14:paraId="7BD2886C" w14:textId="77777777" w:rsidR="000E0B74" w:rsidRDefault="000E0B74" w:rsidP="000E0B74">
      <w:pPr>
        <w:pStyle w:val="Heading2"/>
      </w:pPr>
      <w:bookmarkStart w:id="5" w:name="_Toc523479361"/>
      <w:bookmarkStart w:id="6" w:name="_Toc531265801"/>
      <w:r>
        <w:t>Request for feedback and comments</w:t>
      </w:r>
      <w:bookmarkEnd w:id="5"/>
      <w:bookmarkEnd w:id="6"/>
    </w:p>
    <w:p w14:paraId="7BD2886D" w14:textId="77777777" w:rsidR="0020381F" w:rsidRPr="00074D62" w:rsidRDefault="0020381F" w:rsidP="0020381F">
      <w:r>
        <w:t xml:space="preserve">Treasury welcomes comments and feedback on the </w:t>
      </w:r>
      <w:r w:rsidRPr="009B6CAA">
        <w:t xml:space="preserve">proposed </w:t>
      </w:r>
      <w:r w:rsidR="00466915">
        <w:t xml:space="preserve">disclosure </w:t>
      </w:r>
      <w:r w:rsidR="00CB2A6A" w:rsidRPr="009B6CAA">
        <w:t>metrics, their presentation and calculation</w:t>
      </w:r>
      <w:r w:rsidRPr="009B6CAA">
        <w:t>. While submissions may be lodged electr</w:t>
      </w:r>
      <w:r w:rsidRPr="00074D62">
        <w:t>onically or by post, electronic lodgement is preferred. For accessibility reasons, please submit responses sent via email in a Word or RTF format. An additional PDF version may also be submitted.</w:t>
      </w:r>
    </w:p>
    <w:p w14:paraId="7BD2886E" w14:textId="77777777" w:rsidR="0020381F" w:rsidRDefault="0020381F" w:rsidP="0020381F">
      <w:r w:rsidRPr="00074D62">
        <w:t xml:space="preserve">All information (including name and address details) contained in submissions </w:t>
      </w:r>
      <w:r w:rsidRPr="002E6994">
        <w:rPr>
          <w:b/>
        </w:rPr>
        <w:t>will be made available to the public on the Treasury website unless you indicate that you would like all or part of your submission to remain in confidence</w:t>
      </w:r>
      <w:r w:rsidRPr="00074D62">
        <w:t>. Automatically generated confidentiality statements in emails are not sufficient for this purpose. If you would like only part of your submission to remain confidential, please provide this information clearly marked as such in a separate attachment.</w:t>
      </w:r>
    </w:p>
    <w:p w14:paraId="7BD2886F" w14:textId="77777777" w:rsidR="000E0B74" w:rsidRDefault="000E0B74" w:rsidP="000E0B74"/>
    <w:p w14:paraId="7BD28870" w14:textId="1B79E765" w:rsidR="000E0B74" w:rsidRDefault="000E0B74" w:rsidP="007274D2">
      <w:pPr>
        <w:pStyle w:val="Heading3noTOC"/>
      </w:pPr>
      <w:r>
        <w:t xml:space="preserve">Closing date for </w:t>
      </w:r>
      <w:r w:rsidRPr="007274D2">
        <w:t>submissions</w:t>
      </w:r>
      <w:r>
        <w:t xml:space="preserve">: </w:t>
      </w:r>
      <w:sdt>
        <w:sdtPr>
          <w:rPr>
            <w:rStyle w:val="Heading3Char"/>
          </w:rPr>
          <w:id w:val="1454836312"/>
          <w:placeholder>
            <w:docPart w:val="74AD449CB3794B42820E04E7CAE6973C"/>
          </w:placeholder>
          <w:date w:fullDate="2019-03-28T00:00:00Z">
            <w:dateFormat w:val="dd MMMM yyyy"/>
            <w:lid w:val="en-AU"/>
            <w:storeMappedDataAs w:val="dateTime"/>
            <w:calendar w:val="gregorian"/>
          </w:date>
        </w:sdtPr>
        <w:sdtEndPr>
          <w:rPr>
            <w:rStyle w:val="DefaultParagraphFont"/>
            <w:rFonts w:cs="Calibri"/>
          </w:rPr>
        </w:sdtEndPr>
        <w:sdtContent>
          <w:r w:rsidR="009B106E">
            <w:rPr>
              <w:rStyle w:val="Heading3Char"/>
            </w:rPr>
            <w:t>28 March 2019</w:t>
          </w:r>
        </w:sdtContent>
      </w:sdt>
    </w:p>
    <w:tbl>
      <w:tblPr>
        <w:tblStyle w:val="TableGrid"/>
        <w:tblW w:w="0" w:type="auto"/>
        <w:tblLook w:val="04A0" w:firstRow="1" w:lastRow="0" w:firstColumn="1" w:lastColumn="0" w:noHBand="0" w:noVBand="1"/>
      </w:tblPr>
      <w:tblGrid>
        <w:gridCol w:w="1526"/>
        <w:gridCol w:w="7654"/>
      </w:tblGrid>
      <w:tr w:rsidR="0020381F" w:rsidRPr="00B85F47" w14:paraId="7BD28873" w14:textId="77777777" w:rsidTr="00B85F47">
        <w:tc>
          <w:tcPr>
            <w:tcW w:w="1526" w:type="dxa"/>
            <w:shd w:val="clear" w:color="auto" w:fill="auto"/>
          </w:tcPr>
          <w:p w14:paraId="7BD28871" w14:textId="77777777" w:rsidR="0020381F" w:rsidRPr="00B85F47" w:rsidRDefault="0020381F" w:rsidP="00B03BDD">
            <w:pPr>
              <w:rPr>
                <w:sz w:val="22"/>
                <w:szCs w:val="22"/>
              </w:rPr>
            </w:pPr>
            <w:r w:rsidRPr="00B85F47">
              <w:rPr>
                <w:sz w:val="22"/>
                <w:szCs w:val="22"/>
              </w:rPr>
              <w:t>Email</w:t>
            </w:r>
          </w:p>
        </w:tc>
        <w:tc>
          <w:tcPr>
            <w:tcW w:w="7654" w:type="dxa"/>
            <w:shd w:val="clear" w:color="auto" w:fill="auto"/>
          </w:tcPr>
          <w:p w14:paraId="7BD28872" w14:textId="77777777" w:rsidR="0020381F" w:rsidRPr="00B85F47" w:rsidRDefault="007E37A3" w:rsidP="00B03BDD">
            <w:pPr>
              <w:rPr>
                <w:sz w:val="22"/>
                <w:szCs w:val="22"/>
              </w:rPr>
            </w:pPr>
            <w:hyperlink r:id="rId29" w:history="1">
              <w:r w:rsidR="0020381F" w:rsidRPr="00A72DA4">
                <w:rPr>
                  <w:rStyle w:val="Hyperlink"/>
                  <w:rFonts w:cs="Arial"/>
                  <w:color w:val="auto"/>
                  <w:sz w:val="22"/>
                  <w:szCs w:val="22"/>
                </w:rPr>
                <w:t>superannuation@treasury.gov.au</w:t>
              </w:r>
            </w:hyperlink>
          </w:p>
        </w:tc>
      </w:tr>
      <w:tr w:rsidR="0020381F" w:rsidRPr="00B85F47" w14:paraId="7BD2887C" w14:textId="77777777" w:rsidTr="00B85F47">
        <w:tc>
          <w:tcPr>
            <w:tcW w:w="1526" w:type="dxa"/>
            <w:shd w:val="clear" w:color="auto" w:fill="auto"/>
          </w:tcPr>
          <w:p w14:paraId="7BD28874" w14:textId="77777777" w:rsidR="0020381F" w:rsidRPr="00B85F47" w:rsidRDefault="0020381F" w:rsidP="00B03BDD">
            <w:pPr>
              <w:rPr>
                <w:sz w:val="22"/>
                <w:szCs w:val="22"/>
              </w:rPr>
            </w:pPr>
            <w:r w:rsidRPr="00B85F47">
              <w:rPr>
                <w:sz w:val="22"/>
                <w:szCs w:val="22"/>
              </w:rPr>
              <w:t>Mail</w:t>
            </w:r>
          </w:p>
          <w:p w14:paraId="7BD28875" w14:textId="77777777" w:rsidR="0020381F" w:rsidRPr="00B85F47" w:rsidRDefault="0020381F" w:rsidP="00B03BDD">
            <w:pPr>
              <w:rPr>
                <w:sz w:val="22"/>
                <w:szCs w:val="22"/>
              </w:rPr>
            </w:pPr>
          </w:p>
          <w:p w14:paraId="7BD28876" w14:textId="77777777" w:rsidR="0020381F" w:rsidRPr="00B85F47" w:rsidRDefault="0020381F" w:rsidP="00B03BDD">
            <w:pPr>
              <w:rPr>
                <w:sz w:val="22"/>
                <w:szCs w:val="22"/>
              </w:rPr>
            </w:pPr>
          </w:p>
        </w:tc>
        <w:tc>
          <w:tcPr>
            <w:tcW w:w="7654" w:type="dxa"/>
            <w:shd w:val="clear" w:color="auto" w:fill="auto"/>
          </w:tcPr>
          <w:p w14:paraId="7BD28877" w14:textId="77777777" w:rsidR="0020381F" w:rsidRPr="00B85F47" w:rsidRDefault="0020381F" w:rsidP="00B03BDD">
            <w:pPr>
              <w:pStyle w:val="SingleParagraph"/>
              <w:rPr>
                <w:rFonts w:cs="Arial"/>
                <w:sz w:val="22"/>
                <w:szCs w:val="22"/>
              </w:rPr>
            </w:pPr>
            <w:r w:rsidRPr="00DD79C8">
              <w:rPr>
                <w:rFonts w:cs="Arial"/>
                <w:sz w:val="22"/>
                <w:szCs w:val="22"/>
              </w:rPr>
              <w:t xml:space="preserve">Manager, </w:t>
            </w:r>
            <w:r w:rsidR="00211625">
              <w:rPr>
                <w:rFonts w:cs="Arial"/>
                <w:sz w:val="22"/>
                <w:szCs w:val="22"/>
              </w:rPr>
              <w:t>Retirement Income Framework</w:t>
            </w:r>
          </w:p>
          <w:p w14:paraId="7BD28878" w14:textId="77777777" w:rsidR="0020381F" w:rsidRPr="00B85F47" w:rsidRDefault="0020381F" w:rsidP="00B03BDD">
            <w:pPr>
              <w:pStyle w:val="SingleParagraph"/>
              <w:rPr>
                <w:rFonts w:cs="Arial"/>
                <w:sz w:val="22"/>
                <w:szCs w:val="22"/>
              </w:rPr>
            </w:pPr>
            <w:r w:rsidRPr="00DD79C8">
              <w:rPr>
                <w:rFonts w:cs="Arial"/>
                <w:sz w:val="22"/>
                <w:szCs w:val="22"/>
              </w:rPr>
              <w:t>Retirement Income Policy Division</w:t>
            </w:r>
          </w:p>
          <w:p w14:paraId="7BD28879" w14:textId="77777777" w:rsidR="0020381F" w:rsidRPr="00B85F47" w:rsidRDefault="0020381F" w:rsidP="00B03BDD">
            <w:pPr>
              <w:pStyle w:val="SingleParagraph"/>
              <w:rPr>
                <w:rFonts w:cs="Arial"/>
                <w:sz w:val="22"/>
                <w:szCs w:val="22"/>
              </w:rPr>
            </w:pPr>
            <w:r w:rsidRPr="00B85F47">
              <w:rPr>
                <w:rFonts w:cs="Arial"/>
                <w:sz w:val="22"/>
                <w:szCs w:val="22"/>
              </w:rPr>
              <w:t>The Treasury</w:t>
            </w:r>
          </w:p>
          <w:p w14:paraId="7BD2887A" w14:textId="7D9A5B0D" w:rsidR="0020381F" w:rsidRPr="00B85F47" w:rsidRDefault="0020381F" w:rsidP="00B03BDD">
            <w:pPr>
              <w:pStyle w:val="SingleParagraph"/>
              <w:rPr>
                <w:rFonts w:cs="Arial"/>
                <w:sz w:val="22"/>
                <w:szCs w:val="22"/>
              </w:rPr>
            </w:pPr>
            <w:r w:rsidRPr="00B85F47">
              <w:rPr>
                <w:rFonts w:cs="Arial"/>
                <w:sz w:val="22"/>
                <w:szCs w:val="22"/>
              </w:rPr>
              <w:t>Langton Crescent</w:t>
            </w:r>
          </w:p>
          <w:p w14:paraId="7BD2887B" w14:textId="77777777" w:rsidR="0020381F" w:rsidRPr="00B85F47" w:rsidRDefault="0020381F" w:rsidP="00B03BDD">
            <w:pPr>
              <w:pStyle w:val="SingleParagraph"/>
              <w:rPr>
                <w:sz w:val="22"/>
                <w:szCs w:val="22"/>
              </w:rPr>
            </w:pPr>
            <w:r w:rsidRPr="00B85F47">
              <w:rPr>
                <w:sz w:val="22"/>
                <w:szCs w:val="22"/>
              </w:rPr>
              <w:t>PARKES ACT 2600</w:t>
            </w:r>
          </w:p>
        </w:tc>
      </w:tr>
      <w:tr w:rsidR="0020381F" w:rsidRPr="00B85F47" w14:paraId="7BD2887F" w14:textId="77777777" w:rsidTr="00B85F47">
        <w:tc>
          <w:tcPr>
            <w:tcW w:w="1526" w:type="dxa"/>
            <w:shd w:val="clear" w:color="auto" w:fill="auto"/>
          </w:tcPr>
          <w:p w14:paraId="7BD2887D" w14:textId="77777777" w:rsidR="0020381F" w:rsidRPr="00B85F47" w:rsidRDefault="0020381F" w:rsidP="00B03BDD">
            <w:pPr>
              <w:rPr>
                <w:sz w:val="22"/>
                <w:szCs w:val="22"/>
              </w:rPr>
            </w:pPr>
            <w:r w:rsidRPr="00B85F47">
              <w:rPr>
                <w:sz w:val="22"/>
                <w:szCs w:val="22"/>
              </w:rPr>
              <w:t>Enquiries</w:t>
            </w:r>
          </w:p>
        </w:tc>
        <w:tc>
          <w:tcPr>
            <w:tcW w:w="7654" w:type="dxa"/>
            <w:shd w:val="clear" w:color="auto" w:fill="auto"/>
          </w:tcPr>
          <w:p w14:paraId="7BD2887E" w14:textId="77777777" w:rsidR="0020381F" w:rsidRPr="00B85F47" w:rsidRDefault="0020381F" w:rsidP="00B03BDD">
            <w:pPr>
              <w:rPr>
                <w:sz w:val="22"/>
                <w:szCs w:val="22"/>
              </w:rPr>
            </w:pPr>
            <w:r w:rsidRPr="00B85F47">
              <w:rPr>
                <w:rFonts w:cs="Arial"/>
                <w:sz w:val="22"/>
                <w:szCs w:val="22"/>
              </w:rPr>
              <w:t>Enquiri</w:t>
            </w:r>
            <w:r>
              <w:rPr>
                <w:rFonts w:cs="Arial"/>
                <w:sz w:val="22"/>
                <w:szCs w:val="22"/>
              </w:rPr>
              <w:t>es can be initially directed to Rebecca McCallum</w:t>
            </w:r>
          </w:p>
        </w:tc>
      </w:tr>
      <w:tr w:rsidR="0020381F" w:rsidRPr="00B85F47" w14:paraId="7BD28882" w14:textId="77777777" w:rsidTr="00B85F47">
        <w:tc>
          <w:tcPr>
            <w:tcW w:w="1526" w:type="dxa"/>
            <w:shd w:val="clear" w:color="auto" w:fill="auto"/>
          </w:tcPr>
          <w:p w14:paraId="7BD28880" w14:textId="77777777" w:rsidR="0020381F" w:rsidRPr="00B85F47" w:rsidRDefault="0020381F" w:rsidP="00B03BDD">
            <w:pPr>
              <w:rPr>
                <w:sz w:val="22"/>
                <w:szCs w:val="22"/>
              </w:rPr>
            </w:pPr>
            <w:r w:rsidRPr="00B85F47">
              <w:rPr>
                <w:sz w:val="22"/>
                <w:szCs w:val="22"/>
              </w:rPr>
              <w:t>Phone</w:t>
            </w:r>
          </w:p>
        </w:tc>
        <w:tc>
          <w:tcPr>
            <w:tcW w:w="7654" w:type="dxa"/>
            <w:shd w:val="clear" w:color="auto" w:fill="auto"/>
          </w:tcPr>
          <w:p w14:paraId="7BD28881" w14:textId="22B9A6ED" w:rsidR="0020381F" w:rsidRPr="00B85F47" w:rsidRDefault="0020381F" w:rsidP="000C524D">
            <w:pPr>
              <w:rPr>
                <w:sz w:val="22"/>
                <w:szCs w:val="22"/>
              </w:rPr>
            </w:pPr>
            <w:r>
              <w:rPr>
                <w:rFonts w:cs="Arial"/>
                <w:sz w:val="22"/>
                <w:szCs w:val="22"/>
              </w:rPr>
              <w:t>02 6263 2</w:t>
            </w:r>
            <w:r w:rsidR="000C524D">
              <w:rPr>
                <w:rFonts w:cs="Arial"/>
                <w:sz w:val="22"/>
                <w:szCs w:val="22"/>
              </w:rPr>
              <w:t>111</w:t>
            </w:r>
          </w:p>
        </w:tc>
      </w:tr>
      <w:bookmarkEnd w:id="4"/>
    </w:tbl>
    <w:p w14:paraId="7BD28883" w14:textId="77777777" w:rsidR="00E10D39" w:rsidRDefault="00E10D39" w:rsidP="0007102C"/>
    <w:p w14:paraId="7BD28884" w14:textId="77777777" w:rsidR="00A16E03" w:rsidRDefault="00A16E03" w:rsidP="00A16E03">
      <w:r>
        <w:t>The principles outlined in this paper have not received Government approval and are not yet law. As a consequence, this paper is merely a guide as to how the principles might operate.</w:t>
      </w:r>
    </w:p>
    <w:p w14:paraId="7BD28885" w14:textId="77777777" w:rsidR="008D7F38" w:rsidRPr="008D7F38" w:rsidRDefault="008D7F38" w:rsidP="008D7F38"/>
    <w:p w14:paraId="7BD28886" w14:textId="77777777" w:rsidR="00E10D39" w:rsidRDefault="00E10D39">
      <w:pPr>
        <w:spacing w:before="0" w:after="160" w:line="259" w:lineRule="auto"/>
        <w:rPr>
          <w:rFonts w:cs="Arial"/>
          <w:color w:val="004A7F"/>
          <w:kern w:val="32"/>
          <w:sz w:val="48"/>
          <w:szCs w:val="36"/>
        </w:rPr>
      </w:pPr>
      <w:r>
        <w:br w:type="page"/>
      </w:r>
    </w:p>
    <w:p w14:paraId="7BD28887" w14:textId="77777777" w:rsidR="00C64A85" w:rsidRDefault="00C64A85" w:rsidP="00C64A85">
      <w:pPr>
        <w:pStyle w:val="Heading1"/>
      </w:pPr>
      <w:bookmarkStart w:id="7" w:name="_Toc522688047"/>
      <w:bookmarkStart w:id="8" w:name="_Toc523479362"/>
      <w:bookmarkStart w:id="9" w:name="_Toc531265802"/>
      <w:bookmarkStart w:id="10" w:name="_Toc306887372"/>
      <w:bookmarkStart w:id="11" w:name="_Toc432064636"/>
      <w:r>
        <w:lastRenderedPageBreak/>
        <w:t>Background</w:t>
      </w:r>
      <w:bookmarkEnd w:id="7"/>
      <w:bookmarkEnd w:id="8"/>
      <w:bookmarkEnd w:id="9"/>
    </w:p>
    <w:p w14:paraId="7BD28888" w14:textId="77777777" w:rsidR="009D67BE" w:rsidRPr="003D721A" w:rsidRDefault="009D67BE" w:rsidP="009D67BE">
      <w:pPr>
        <w:pStyle w:val="Heading2"/>
      </w:pPr>
      <w:bookmarkStart w:id="12" w:name="_Toc531265803"/>
      <w:bookmarkStart w:id="13" w:name="_Toc522688048"/>
      <w:bookmarkStart w:id="14" w:name="_Toc523479363"/>
      <w:r w:rsidRPr="003D721A">
        <w:t>The retirement income framework</w:t>
      </w:r>
      <w:bookmarkEnd w:id="12"/>
      <w:r w:rsidRPr="003D721A">
        <w:t xml:space="preserve"> </w:t>
      </w:r>
    </w:p>
    <w:p w14:paraId="7BD28889" w14:textId="2FC5DB3E" w:rsidR="004C6AF8" w:rsidRDefault="005D3849" w:rsidP="00F617CB">
      <w:pPr>
        <w:rPr>
          <w:rFonts w:eastAsiaTheme="minorHAnsi"/>
          <w:lang w:eastAsia="en-US"/>
        </w:rPr>
      </w:pPr>
      <w:r>
        <w:rPr>
          <w:rFonts w:eastAsiaTheme="minorHAnsi"/>
          <w:lang w:eastAsia="en-US"/>
        </w:rPr>
        <w:t>The</w:t>
      </w:r>
      <w:r w:rsidR="009D67BE" w:rsidRPr="003D721A">
        <w:rPr>
          <w:rFonts w:eastAsiaTheme="minorHAnsi"/>
          <w:lang w:eastAsia="en-US"/>
        </w:rPr>
        <w:t xml:space="preserve"> retirement phase of the </w:t>
      </w:r>
      <w:r w:rsidR="0052030B">
        <w:rPr>
          <w:rFonts w:eastAsiaTheme="minorHAnsi"/>
          <w:lang w:eastAsia="en-US"/>
        </w:rPr>
        <w:t xml:space="preserve">superannuation </w:t>
      </w:r>
      <w:r w:rsidR="009D67BE" w:rsidRPr="003D721A">
        <w:rPr>
          <w:rFonts w:eastAsiaTheme="minorHAnsi"/>
          <w:lang w:eastAsia="en-US"/>
        </w:rPr>
        <w:t>system is currently under-developed and needs to be better aligned with the underlying objective of the system</w:t>
      </w:r>
      <w:r w:rsidR="00BC0B53">
        <w:rPr>
          <w:rFonts w:eastAsiaTheme="minorHAnsi"/>
          <w:lang w:eastAsia="en-US"/>
        </w:rPr>
        <w:sym w:font="Symbol" w:char="F02D"/>
      </w:r>
      <w:r w:rsidR="00BC0B53">
        <w:rPr>
          <w:rFonts w:eastAsiaTheme="minorHAnsi"/>
          <w:lang w:eastAsia="en-US"/>
        </w:rPr>
        <w:t xml:space="preserve"> to</w:t>
      </w:r>
      <w:r>
        <w:rPr>
          <w:rFonts w:eastAsiaTheme="minorHAnsi"/>
          <w:lang w:eastAsia="en-US"/>
        </w:rPr>
        <w:t xml:space="preserve"> provide income in retirement </w:t>
      </w:r>
      <w:r w:rsidR="009038B9">
        <w:rPr>
          <w:rFonts w:eastAsiaTheme="minorHAnsi"/>
          <w:lang w:eastAsia="en-US"/>
        </w:rPr>
        <w:t>as a s</w:t>
      </w:r>
      <w:r>
        <w:rPr>
          <w:rFonts w:eastAsiaTheme="minorHAnsi"/>
          <w:lang w:eastAsia="en-US"/>
        </w:rPr>
        <w:t xml:space="preserve">ubstitute or supplement </w:t>
      </w:r>
      <w:r w:rsidR="009038B9">
        <w:rPr>
          <w:rFonts w:eastAsiaTheme="minorHAnsi"/>
          <w:lang w:eastAsia="en-US"/>
        </w:rPr>
        <w:t xml:space="preserve">to </w:t>
      </w:r>
      <w:r>
        <w:rPr>
          <w:rFonts w:eastAsiaTheme="minorHAnsi"/>
          <w:lang w:eastAsia="en-US"/>
        </w:rPr>
        <w:t>the Age Pension</w:t>
      </w:r>
      <w:r w:rsidR="009D67BE" w:rsidRPr="003D721A">
        <w:rPr>
          <w:rFonts w:eastAsiaTheme="minorHAnsi"/>
          <w:lang w:eastAsia="en-US"/>
        </w:rPr>
        <w:t>.</w:t>
      </w:r>
      <w:r>
        <w:rPr>
          <w:rFonts w:eastAsiaTheme="minorHAnsi"/>
          <w:lang w:eastAsia="en-US"/>
        </w:rPr>
        <w:t xml:space="preserve"> To support this objective</w:t>
      </w:r>
      <w:r w:rsidR="00BC0B53">
        <w:rPr>
          <w:rFonts w:eastAsiaTheme="minorHAnsi"/>
          <w:lang w:eastAsia="en-US"/>
        </w:rPr>
        <w:t>, the</w:t>
      </w:r>
      <w:r>
        <w:rPr>
          <w:rFonts w:eastAsiaTheme="minorHAnsi"/>
          <w:lang w:eastAsia="en-US"/>
        </w:rPr>
        <w:t xml:space="preserve"> Government is developing a retirement income framework to </w:t>
      </w:r>
      <w:r w:rsidR="003A1C47">
        <w:rPr>
          <w:rFonts w:eastAsiaTheme="minorHAnsi"/>
          <w:lang w:eastAsia="en-US"/>
        </w:rPr>
        <w:t>support</w:t>
      </w:r>
      <w:r w:rsidR="00385986">
        <w:rPr>
          <w:rFonts w:eastAsiaTheme="minorHAnsi"/>
          <w:lang w:eastAsia="en-US"/>
        </w:rPr>
        <w:t xml:space="preserve"> consumers </w:t>
      </w:r>
      <w:r w:rsidR="003A1C47">
        <w:rPr>
          <w:rFonts w:eastAsiaTheme="minorHAnsi"/>
          <w:lang w:eastAsia="en-US"/>
        </w:rPr>
        <w:t xml:space="preserve">to </w:t>
      </w:r>
      <w:r w:rsidR="00385986">
        <w:rPr>
          <w:rFonts w:eastAsiaTheme="minorHAnsi"/>
          <w:lang w:eastAsia="en-US"/>
        </w:rPr>
        <w:t xml:space="preserve">maintain an appropriate standard of living and </w:t>
      </w:r>
      <w:r>
        <w:rPr>
          <w:rFonts w:eastAsiaTheme="minorHAnsi"/>
          <w:lang w:eastAsia="en-US"/>
        </w:rPr>
        <w:t xml:space="preserve">balance the competing objectives of high income, flexibility and risk management. </w:t>
      </w:r>
    </w:p>
    <w:p w14:paraId="7BD2888A" w14:textId="3BCF548A" w:rsidR="009D67BE" w:rsidRDefault="004C6AF8" w:rsidP="009D67BE">
      <w:pPr>
        <w:rPr>
          <w:rFonts w:eastAsiaTheme="minorHAnsi"/>
          <w:lang w:eastAsia="en-US"/>
        </w:rPr>
      </w:pPr>
      <w:r w:rsidRPr="004C6AF8">
        <w:rPr>
          <w:rFonts w:eastAsiaTheme="minorHAnsi"/>
          <w:lang w:eastAsia="en-US"/>
        </w:rPr>
        <w:t xml:space="preserve">The Financial System </w:t>
      </w:r>
      <w:r w:rsidR="003A1C47" w:rsidRPr="004C6AF8">
        <w:rPr>
          <w:rFonts w:eastAsiaTheme="minorHAnsi"/>
          <w:lang w:eastAsia="en-US"/>
        </w:rPr>
        <w:t>Inquiry</w:t>
      </w:r>
      <w:r w:rsidR="003A1C47">
        <w:rPr>
          <w:rFonts w:eastAsiaTheme="minorHAnsi"/>
          <w:lang w:eastAsia="en-US"/>
        </w:rPr>
        <w:t xml:space="preserve"> </w:t>
      </w:r>
      <w:r w:rsidR="003A1C47" w:rsidRPr="004C6AF8">
        <w:rPr>
          <w:rFonts w:eastAsiaTheme="minorHAnsi"/>
          <w:lang w:eastAsia="en-US"/>
        </w:rPr>
        <w:t>and</w:t>
      </w:r>
      <w:r w:rsidRPr="004C6AF8">
        <w:rPr>
          <w:rFonts w:eastAsiaTheme="minorHAnsi"/>
          <w:lang w:eastAsia="en-US"/>
        </w:rPr>
        <w:t xml:space="preserve"> the Productivity Commission’s Superannuation Draft Report found consumer-led competition in the superannuation market is weak due to a combination of </w:t>
      </w:r>
      <w:r w:rsidR="00BC0B53">
        <w:rPr>
          <w:rFonts w:eastAsiaTheme="minorHAnsi"/>
          <w:lang w:eastAsia="en-US"/>
        </w:rPr>
        <w:t xml:space="preserve">the </w:t>
      </w:r>
      <w:r w:rsidRPr="004C6AF8">
        <w:rPr>
          <w:rFonts w:eastAsiaTheme="minorHAnsi"/>
          <w:lang w:eastAsia="en-US"/>
        </w:rPr>
        <w:t xml:space="preserve">compulsory </w:t>
      </w:r>
      <w:r w:rsidR="00BC0B53">
        <w:rPr>
          <w:rFonts w:eastAsiaTheme="minorHAnsi"/>
          <w:lang w:eastAsia="en-US"/>
        </w:rPr>
        <w:t xml:space="preserve">nature of </w:t>
      </w:r>
      <w:r w:rsidRPr="004C6AF8">
        <w:rPr>
          <w:rFonts w:eastAsiaTheme="minorHAnsi"/>
          <w:lang w:eastAsia="en-US"/>
        </w:rPr>
        <w:t>superannuation contributions, disengaged members, complexity of the underlying decisions, and the lack of simple, relevan</w:t>
      </w:r>
      <w:r w:rsidR="003A1C47">
        <w:rPr>
          <w:rFonts w:eastAsiaTheme="minorHAnsi"/>
          <w:lang w:eastAsia="en-US"/>
        </w:rPr>
        <w:t>t information to assist members</w:t>
      </w:r>
      <w:r w:rsidR="0052030B">
        <w:rPr>
          <w:rFonts w:eastAsiaTheme="minorHAnsi"/>
          <w:lang w:eastAsia="en-US"/>
        </w:rPr>
        <w:t>.</w:t>
      </w:r>
      <w:r w:rsidR="00543176">
        <w:rPr>
          <w:rStyle w:val="FootnoteReference"/>
          <w:rFonts w:eastAsiaTheme="minorHAnsi"/>
          <w:lang w:eastAsia="en-US"/>
        </w:rPr>
        <w:footnoteReference w:id="2"/>
      </w:r>
      <w:r w:rsidR="00101C0C" w:rsidRPr="00101C0C">
        <w:rPr>
          <w:rFonts w:eastAsiaTheme="minorHAnsi"/>
          <w:vertAlign w:val="superscript"/>
          <w:lang w:eastAsia="en-US"/>
        </w:rPr>
        <w:t>,</w:t>
      </w:r>
      <w:r w:rsidR="00543176">
        <w:rPr>
          <w:rStyle w:val="FootnoteReference"/>
          <w:rFonts w:eastAsiaTheme="minorHAnsi"/>
          <w:lang w:eastAsia="en-US"/>
        </w:rPr>
        <w:footnoteReference w:id="3"/>
      </w:r>
    </w:p>
    <w:p w14:paraId="7BD2888B" w14:textId="77777777" w:rsidR="009D67BE" w:rsidRDefault="009D67BE" w:rsidP="009D67BE">
      <w:r>
        <w:rPr>
          <w:szCs w:val="22"/>
        </w:rPr>
        <w:t xml:space="preserve">As part of the Government’s </w:t>
      </w:r>
      <w:r w:rsidRPr="006B204D">
        <w:rPr>
          <w:i/>
          <w:szCs w:val="22"/>
        </w:rPr>
        <w:t>More Choices for a Longer Life Package</w:t>
      </w:r>
      <w:r>
        <w:rPr>
          <w:szCs w:val="22"/>
        </w:rPr>
        <w:t xml:space="preserve"> in the 2018-19 Budget, the Government committed to introducing a retirement income covenant as the first stage of the Government’s proposed retirement income framework. </w:t>
      </w:r>
      <w:r>
        <w:t>The Retirement Income Covenant (the Covenant) position paper was released on 16 May 2018. That paper sought community views on a retirement income covenant for superannuation funds.</w:t>
      </w:r>
    </w:p>
    <w:p w14:paraId="7BD2888C" w14:textId="1E511D7F" w:rsidR="001141EF" w:rsidRDefault="009D67BE" w:rsidP="009D67BE">
      <w:pPr>
        <w:rPr>
          <w:rFonts w:eastAsiaTheme="minorHAnsi"/>
          <w:lang w:eastAsia="en-US"/>
        </w:rPr>
      </w:pPr>
      <w:r>
        <w:t xml:space="preserve">In addition to the Covenant, the Government </w:t>
      </w:r>
      <w:r w:rsidRPr="006526A8">
        <w:rPr>
          <w:rFonts w:eastAsiaTheme="minorHAnsi"/>
          <w:lang w:eastAsia="en-US"/>
        </w:rPr>
        <w:t xml:space="preserve">also announced </w:t>
      </w:r>
      <w:r>
        <w:rPr>
          <w:rFonts w:eastAsiaTheme="minorHAnsi"/>
          <w:lang w:eastAsia="en-US"/>
        </w:rPr>
        <w:t>the next stage of the framework</w:t>
      </w:r>
      <w:r w:rsidRPr="006526A8">
        <w:rPr>
          <w:rFonts w:eastAsiaTheme="minorHAnsi"/>
          <w:lang w:eastAsia="en-US"/>
        </w:rPr>
        <w:t xml:space="preserve"> </w:t>
      </w:r>
      <w:r>
        <w:rPr>
          <w:rFonts w:eastAsiaTheme="minorHAnsi"/>
          <w:lang w:eastAsia="en-US"/>
        </w:rPr>
        <w:t>would</w:t>
      </w:r>
      <w:r w:rsidRPr="006526A8">
        <w:rPr>
          <w:rFonts w:eastAsiaTheme="minorHAnsi"/>
          <w:lang w:eastAsia="en-US"/>
        </w:rPr>
        <w:t xml:space="preserve"> </w:t>
      </w:r>
      <w:r>
        <w:rPr>
          <w:rFonts w:eastAsiaTheme="minorHAnsi"/>
          <w:lang w:eastAsia="en-US"/>
        </w:rPr>
        <w:t xml:space="preserve">be </w:t>
      </w:r>
      <w:r w:rsidRPr="006526A8">
        <w:rPr>
          <w:rFonts w:eastAsiaTheme="minorHAnsi"/>
          <w:lang w:eastAsia="en-US"/>
        </w:rPr>
        <w:t>the development of simplified, standardised metrics in product disclosure to help consumers make decisions about the most appropriate retirement income product for them</w:t>
      </w:r>
      <w:r>
        <w:rPr>
          <w:rFonts w:eastAsiaTheme="minorHAnsi"/>
          <w:lang w:eastAsia="en-US"/>
        </w:rPr>
        <w:t>.</w:t>
      </w:r>
      <w:r w:rsidR="001141EF">
        <w:rPr>
          <w:rFonts w:eastAsiaTheme="minorHAnsi"/>
          <w:lang w:eastAsia="en-US"/>
        </w:rPr>
        <w:t xml:space="preserve"> Other elements of the framework</w:t>
      </w:r>
      <w:r w:rsidR="00865001">
        <w:rPr>
          <w:rFonts w:eastAsiaTheme="minorHAnsi"/>
          <w:lang w:eastAsia="en-US"/>
        </w:rPr>
        <w:t>, outlined below,</w:t>
      </w:r>
      <w:r w:rsidR="001141EF">
        <w:rPr>
          <w:rFonts w:eastAsiaTheme="minorHAnsi"/>
          <w:lang w:eastAsia="en-US"/>
        </w:rPr>
        <w:t xml:space="preserve"> will be developed progressively. </w:t>
      </w:r>
    </w:p>
    <w:bookmarkEnd w:id="13"/>
    <w:bookmarkEnd w:id="14"/>
    <w:p w14:paraId="7BD2888D" w14:textId="77777777" w:rsidR="00955262" w:rsidRPr="006526A8" w:rsidRDefault="00955262" w:rsidP="0077676B">
      <w:pPr>
        <w:rPr>
          <w:rFonts w:eastAsiaTheme="minorHAnsi"/>
          <w:lang w:eastAsia="en-US"/>
        </w:rPr>
      </w:pPr>
    </w:p>
    <w:p w14:paraId="7BD2888E" w14:textId="77777777" w:rsidR="00C64A85" w:rsidRDefault="00C64A85" w:rsidP="00C64A85">
      <w:r>
        <w:object w:dxaOrig="10233" w:dyaOrig="1785" w14:anchorId="7BD28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78.75pt" o:ole="">
            <v:imagedata r:id="rId30" o:title=""/>
          </v:shape>
          <o:OLEObject Type="Embed" ProgID="Visio.Drawing.11" ShapeID="_x0000_i1025" DrawAspect="Content" ObjectID="_1605683296" r:id="rId31"/>
        </w:object>
      </w:r>
    </w:p>
    <w:p w14:paraId="7BD2888F" w14:textId="17F5276B" w:rsidR="004C6AF8" w:rsidRDefault="001141EF">
      <w:pPr>
        <w:spacing w:before="0" w:after="160" w:line="259" w:lineRule="auto"/>
      </w:pPr>
      <w:r>
        <w:rPr>
          <w:rFonts w:eastAsiaTheme="minorHAnsi"/>
          <w:lang w:eastAsia="en-US"/>
        </w:rPr>
        <w:t xml:space="preserve">This paper seeks to identify the key information or metrics to </w:t>
      </w:r>
      <w:r>
        <w:t>ensure consumers are supported to make informed decisions about the income, risk and flexibility associated with different retirement income products. These metrics w</w:t>
      </w:r>
      <w:r w:rsidR="0052030B">
        <w:t>ould</w:t>
      </w:r>
      <w:r>
        <w:t xml:space="preserve"> form part of the simplified standardised disclosure for retirement products. </w:t>
      </w:r>
    </w:p>
    <w:p w14:paraId="7BD28890" w14:textId="77777777" w:rsidR="00C64A85" w:rsidRDefault="00C64A85">
      <w:pPr>
        <w:pStyle w:val="Heading2"/>
      </w:pPr>
      <w:bookmarkStart w:id="15" w:name="_Toc522688049"/>
      <w:bookmarkStart w:id="16" w:name="_Toc523479364"/>
      <w:bookmarkStart w:id="17" w:name="_Toc531265804"/>
      <w:r>
        <w:t>Simplified, standardised product disclosure</w:t>
      </w:r>
      <w:bookmarkEnd w:id="15"/>
      <w:bookmarkEnd w:id="16"/>
      <w:bookmarkEnd w:id="17"/>
    </w:p>
    <w:p w14:paraId="7BD28891" w14:textId="77777777" w:rsidR="003D3CCB" w:rsidRDefault="003D3CCB" w:rsidP="003D3CCB">
      <w:pPr>
        <w:pStyle w:val="Bullet"/>
        <w:numPr>
          <w:ilvl w:val="0"/>
          <w:numId w:val="0"/>
        </w:numPr>
      </w:pPr>
      <w:r>
        <w:t xml:space="preserve">Currently, when people approach retirement they are confronted with complex legal and financial information. In almost all cases, consumers are provided with lengthy Product Disclosure Statements which focus on discharging the product issuer’s legal responsibilities. </w:t>
      </w:r>
      <w:r w:rsidR="003A1C47">
        <w:t>C</w:t>
      </w:r>
      <w:r>
        <w:t xml:space="preserve">omplex disclosure </w:t>
      </w:r>
      <w:r w:rsidR="003A1C47">
        <w:t xml:space="preserve">and a lack </w:t>
      </w:r>
      <w:r w:rsidR="003A1C47">
        <w:lastRenderedPageBreak/>
        <w:t xml:space="preserve">of simple, clear information </w:t>
      </w:r>
      <w:r>
        <w:t>can lead to people relying on behavioural biases to make decisions and choosing a default retirement product</w:t>
      </w:r>
      <w:r w:rsidR="008B0580">
        <w:t>, which may not</w:t>
      </w:r>
      <w:r>
        <w:t xml:space="preserve"> suit their circumstances.</w:t>
      </w:r>
      <w:r>
        <w:rPr>
          <w:rStyle w:val="FootnoteReference"/>
        </w:rPr>
        <w:footnoteReference w:id="4"/>
      </w:r>
    </w:p>
    <w:p w14:paraId="7BD28892" w14:textId="0346908E" w:rsidR="00FB15C0" w:rsidRDefault="003D3CCB" w:rsidP="00FB15C0">
      <w:pPr>
        <w:rPr>
          <w:rFonts w:eastAsiaTheme="minorHAnsi"/>
          <w:lang w:eastAsia="en-US"/>
        </w:rPr>
      </w:pPr>
      <w:r>
        <w:t>Choosing a</w:t>
      </w:r>
      <w:r w:rsidR="003A1C47">
        <w:t>n appropriate</w:t>
      </w:r>
      <w:r>
        <w:t xml:space="preserve"> retirement income product necessarily requires</w:t>
      </w:r>
      <w:r w:rsidR="003A1C47">
        <w:t xml:space="preserve"> consideration of</w:t>
      </w:r>
      <w:r>
        <w:t xml:space="preserve"> trade-offs between income, flexibility and risk management. However, it is rare for these trade-offs to be made explicit in product disclosure documents. </w:t>
      </w:r>
      <w:r w:rsidR="003A1C47">
        <w:t xml:space="preserve">In general, PDSs for retirement products rarely </w:t>
      </w:r>
      <w:r>
        <w:t>include information abou</w:t>
      </w:r>
      <w:r w:rsidR="003A1C47">
        <w:t>t levels</w:t>
      </w:r>
      <w:r w:rsidRPr="00CC11E3">
        <w:t xml:space="preserve"> </w:t>
      </w:r>
      <w:r w:rsidR="00EC6B3D">
        <w:t xml:space="preserve">of </w:t>
      </w:r>
      <w:r w:rsidRPr="00CC11E3">
        <w:t xml:space="preserve">expected income or cash flow in dollar terms, the likelihood of </w:t>
      </w:r>
      <w:r>
        <w:t>money</w:t>
      </w:r>
      <w:r w:rsidRPr="00CC11E3">
        <w:t xml:space="preserve"> running out under certain </w:t>
      </w:r>
      <w:r>
        <w:t xml:space="preserve">withdrawal or </w:t>
      </w:r>
      <w:r w:rsidRPr="00CC11E3">
        <w:t>drawdown strategies or the likelihood that income w</w:t>
      </w:r>
      <w:r w:rsidR="0052030B">
        <w:t>ould</w:t>
      </w:r>
      <w:r w:rsidRPr="00CC11E3">
        <w:t xml:space="preserve"> be lower than</w:t>
      </w:r>
      <w:r>
        <w:t xml:space="preserve"> expected.</w:t>
      </w:r>
      <w:r w:rsidR="00FB15C0" w:rsidRPr="00FB15C0">
        <w:rPr>
          <w:rFonts w:eastAsiaTheme="minorHAnsi"/>
          <w:lang w:eastAsia="en-US"/>
        </w:rPr>
        <w:t xml:space="preserve"> </w:t>
      </w:r>
    </w:p>
    <w:p w14:paraId="7BD28893" w14:textId="77777777" w:rsidR="00FB15C0" w:rsidRPr="00FA1286" w:rsidRDefault="00FB15C0" w:rsidP="00FB15C0">
      <w:pPr>
        <w:rPr>
          <w:rFonts w:eastAsiaTheme="minorHAnsi"/>
          <w:lang w:eastAsia="en-US"/>
        </w:rPr>
      </w:pPr>
      <w:r w:rsidRPr="00FA1286">
        <w:rPr>
          <w:rFonts w:eastAsiaTheme="minorHAnsi"/>
          <w:lang w:eastAsia="en-US"/>
        </w:rPr>
        <w:t>A more effective disclosure framework wo</w:t>
      </w:r>
      <w:r w:rsidR="003A1C47">
        <w:rPr>
          <w:rFonts w:eastAsiaTheme="minorHAnsi"/>
          <w:lang w:eastAsia="en-US"/>
        </w:rPr>
        <w:t xml:space="preserve">uld enable consumers to find and compare </w:t>
      </w:r>
      <w:r w:rsidRPr="00FA1286">
        <w:rPr>
          <w:rFonts w:eastAsiaTheme="minorHAnsi"/>
          <w:lang w:eastAsia="en-US"/>
        </w:rPr>
        <w:t xml:space="preserve">information about the income, risk and flexibility associated with different products. This should </w:t>
      </w:r>
      <w:r w:rsidR="003A1C47">
        <w:rPr>
          <w:rFonts w:eastAsiaTheme="minorHAnsi"/>
          <w:lang w:eastAsia="en-US"/>
        </w:rPr>
        <w:t>better equip</w:t>
      </w:r>
      <w:r w:rsidRPr="00FA1286">
        <w:rPr>
          <w:rFonts w:eastAsiaTheme="minorHAnsi"/>
          <w:lang w:eastAsia="en-US"/>
        </w:rPr>
        <w:t xml:space="preserve"> consumers to choose a product that best suits their preferences. </w:t>
      </w:r>
    </w:p>
    <w:p w14:paraId="7BD28894" w14:textId="764F3253" w:rsidR="004F2627" w:rsidRDefault="004F2627" w:rsidP="004F2627">
      <w:r>
        <w:t>The findings of a 2017 study by the Behavioural Economics Team of the Australi</w:t>
      </w:r>
      <w:r w:rsidR="00865001">
        <w:t>an Government </w:t>
      </w:r>
      <w:r>
        <w:t>(BETA), ‘Supporting retirees in retirement income</w:t>
      </w:r>
      <w:r w:rsidR="00470735">
        <w:t xml:space="preserve"> </w:t>
      </w:r>
      <w:r>
        <w:t>planning’</w:t>
      </w:r>
      <w:r w:rsidR="0052030B">
        <w:t>,</w:t>
      </w:r>
      <w:r>
        <w:rPr>
          <w:rStyle w:val="FootnoteReference"/>
        </w:rPr>
        <w:footnoteReference w:id="5"/>
      </w:r>
      <w:r>
        <w:t xml:space="preserve"> confirmed that presenting information in a relatively simple manner improves understanding and reduces cognitive load. Consumers are able to engage with a simplified presentation of the key considerations of different products, such as expected income throughout retirement, flexibility, investment strategy, pricing and associated risks. </w:t>
      </w:r>
    </w:p>
    <w:p w14:paraId="7BD28895" w14:textId="0BAA014B" w:rsidR="004F2627" w:rsidRDefault="004F2627" w:rsidP="004F2627">
      <w:r>
        <w:t>Drawing on the findings of the BETA study, this paper proposes a new disclosure document –</w:t>
      </w:r>
      <w:r w:rsidR="008B0580">
        <w:t xml:space="preserve"> a retirement income fact sheet. Using standardised metrics the fact</w:t>
      </w:r>
      <w:r w:rsidR="002A1783">
        <w:t xml:space="preserve"> </w:t>
      </w:r>
      <w:r w:rsidR="008B0580">
        <w:t>sheet w</w:t>
      </w:r>
      <w:r w:rsidR="0052030B">
        <w:t>ould</w:t>
      </w:r>
      <w:r>
        <w:t xml:space="preserve"> highlight the following factors:</w:t>
      </w:r>
    </w:p>
    <w:p w14:paraId="7BD28896" w14:textId="60A68E1E" w:rsidR="004F2627" w:rsidRDefault="004F2627" w:rsidP="00865001">
      <w:pPr>
        <w:ind w:left="426"/>
      </w:pPr>
      <w:r>
        <w:t>•</w:t>
      </w:r>
      <w:r>
        <w:tab/>
      </w:r>
      <w:r w:rsidR="00865001">
        <w:t>t</w:t>
      </w:r>
      <w:r>
        <w:t xml:space="preserve">he amount of </w:t>
      </w:r>
      <w:r w:rsidR="00FB15C0">
        <w:t xml:space="preserve">periodic </w:t>
      </w:r>
      <w:r>
        <w:t>income the product would be expected to provide;</w:t>
      </w:r>
    </w:p>
    <w:p w14:paraId="7BD28897" w14:textId="08D5F2F0" w:rsidR="004F2627" w:rsidRDefault="004F2627" w:rsidP="00865001">
      <w:pPr>
        <w:ind w:left="426"/>
      </w:pPr>
      <w:r>
        <w:t>•</w:t>
      </w:r>
      <w:r>
        <w:tab/>
      </w:r>
      <w:r w:rsidR="00865001">
        <w:t>t</w:t>
      </w:r>
      <w:r>
        <w:t>he likelihood that income may fall short of that expectation in a given period;</w:t>
      </w:r>
    </w:p>
    <w:p w14:paraId="7BD28898" w14:textId="0E1B134B" w:rsidR="004F2627" w:rsidRDefault="004F2627" w:rsidP="00865001">
      <w:pPr>
        <w:ind w:left="426"/>
      </w:pPr>
      <w:r>
        <w:t>•</w:t>
      </w:r>
      <w:r>
        <w:tab/>
      </w:r>
      <w:r w:rsidR="00865001">
        <w:t>t</w:t>
      </w:r>
      <w:r>
        <w:t>he degree of protection the product provides against the risk of running out of money; and</w:t>
      </w:r>
    </w:p>
    <w:p w14:paraId="7BD28899" w14:textId="1FC87559" w:rsidR="004F2627" w:rsidRDefault="004F2627" w:rsidP="00865001">
      <w:pPr>
        <w:ind w:left="426"/>
      </w:pPr>
      <w:r>
        <w:t>•</w:t>
      </w:r>
      <w:r>
        <w:tab/>
      </w:r>
      <w:r w:rsidR="00865001">
        <w:t>t</w:t>
      </w:r>
      <w:r w:rsidR="00BC0B53">
        <w:t>he level of a</w:t>
      </w:r>
      <w:r w:rsidR="003A1C47">
        <w:t>ccess to the underlying capital or for lump sum withdrawals</w:t>
      </w:r>
      <w:r>
        <w:t>.</w:t>
      </w:r>
    </w:p>
    <w:p w14:paraId="7BD2889A" w14:textId="56CE9FC7" w:rsidR="004F2627" w:rsidRDefault="007B4510" w:rsidP="004F2627">
      <w:r>
        <w:t>The f</w:t>
      </w:r>
      <w:r w:rsidR="004F2627">
        <w:t>act sheet</w:t>
      </w:r>
      <w:r>
        <w:t xml:space="preserve"> </w:t>
      </w:r>
      <w:r w:rsidR="0052030B">
        <w:t>would</w:t>
      </w:r>
      <w:r w:rsidR="004F2627">
        <w:t xml:space="preserve"> be designed to be used as </w:t>
      </w:r>
      <w:r w:rsidR="00932E0B">
        <w:t>one</w:t>
      </w:r>
      <w:r w:rsidR="004F2627">
        <w:t xml:space="preserve"> source of information. They would not replace or remove the need for funds to provid</w:t>
      </w:r>
      <w:r w:rsidR="008B0580">
        <w:t xml:space="preserve">e PDSs </w:t>
      </w:r>
      <w:r w:rsidR="00D86CBB">
        <w:t xml:space="preserve">and </w:t>
      </w:r>
      <w:r w:rsidR="0052030B">
        <w:t>would</w:t>
      </w:r>
      <w:r w:rsidR="00D86CBB">
        <w:t xml:space="preserve"> be required for all retirement products</w:t>
      </w:r>
      <w:r w:rsidR="004F2627">
        <w:t xml:space="preserve">. </w:t>
      </w:r>
    </w:p>
    <w:p w14:paraId="7BD2889B" w14:textId="2322C3C0" w:rsidR="004C6AF8" w:rsidRDefault="004F2627" w:rsidP="004F2627">
      <w:r>
        <w:t xml:space="preserve">It is proposed that </w:t>
      </w:r>
      <w:r w:rsidR="00932E0B">
        <w:t>t</w:t>
      </w:r>
      <w:r>
        <w:t>he metrics and how they are displayed w</w:t>
      </w:r>
      <w:r w:rsidR="0052030B">
        <w:t>ould</w:t>
      </w:r>
      <w:r>
        <w:t xml:space="preserve"> be designed</w:t>
      </w:r>
      <w:r w:rsidR="003A1C47">
        <w:t xml:space="preserve">, as much as possible, </w:t>
      </w:r>
      <w:r>
        <w:t xml:space="preserve">to be product-neutral </w:t>
      </w:r>
      <w:r w:rsidR="008B0580">
        <w:t>and</w:t>
      </w:r>
      <w:r w:rsidR="00BC0B53">
        <w:t xml:space="preserve"> to</w:t>
      </w:r>
      <w:r w:rsidR="008B0580">
        <w:t xml:space="preserve"> </w:t>
      </w:r>
      <w:r>
        <w:t xml:space="preserve">allow consumers to place their own value on the metrics in making their product selection. </w:t>
      </w:r>
      <w:r w:rsidR="003A1C47">
        <w:t>T</w:t>
      </w:r>
      <w:r w:rsidR="00932E0B">
        <w:t xml:space="preserve">he </w:t>
      </w:r>
      <w:r w:rsidR="007B4510">
        <w:t>fact sheet</w:t>
      </w:r>
      <w:r w:rsidR="00932E0B">
        <w:t xml:space="preserve"> </w:t>
      </w:r>
      <w:r w:rsidR="0052030B">
        <w:t>would</w:t>
      </w:r>
      <w:r w:rsidR="00932E0B">
        <w:t xml:space="preserve"> avoid lengthy portions of text, use a combination of text and graphics, and use plain English.  </w:t>
      </w:r>
    </w:p>
    <w:p w14:paraId="7BD2889C" w14:textId="0F70F69B" w:rsidR="004F2627" w:rsidRDefault="004C6AF8" w:rsidP="004F2627">
      <w:r>
        <w:t xml:space="preserve">Treasury is seeking views about whether the metrics proposed in this paper are appropriate and </w:t>
      </w:r>
      <w:r w:rsidR="0052030B">
        <w:t>would</w:t>
      </w:r>
      <w:r>
        <w:t xml:space="preserve"> achieve the aim of better informing consumers about their likely future income and potential risks.</w:t>
      </w:r>
    </w:p>
    <w:p w14:paraId="7BD2889D" w14:textId="175D56B4" w:rsidR="00C64A85" w:rsidRPr="00F37231" w:rsidRDefault="004F2627" w:rsidP="00C64A85">
      <w:pPr>
        <w:rPr>
          <w:lang w:val="en-GB"/>
        </w:rPr>
      </w:pPr>
      <w:r>
        <w:t>Following consultation, Treasury will test a range of metrics and layouts with consumers to ensure they are meaningful and helpful to consumers when making decisions about retirement income products.</w:t>
      </w:r>
      <w:r w:rsidR="00C64A85">
        <w:br w:type="page"/>
      </w:r>
    </w:p>
    <w:p w14:paraId="7BD2889E" w14:textId="77777777" w:rsidR="0092436A" w:rsidRDefault="0092436A" w:rsidP="00093D9E">
      <w:pPr>
        <w:pStyle w:val="Heading1"/>
      </w:pPr>
      <w:bookmarkStart w:id="18" w:name="_Toc522688051"/>
      <w:bookmarkStart w:id="19" w:name="_Toc523479367"/>
      <w:bookmarkStart w:id="20" w:name="_Toc531265805"/>
      <w:bookmarkEnd w:id="18"/>
      <w:r>
        <w:lastRenderedPageBreak/>
        <w:t xml:space="preserve">Standardised </w:t>
      </w:r>
      <w:r w:rsidR="00C57828">
        <w:t>m</w:t>
      </w:r>
      <w:r>
        <w:t>etric</w:t>
      </w:r>
      <w:r w:rsidR="00390D36">
        <w:t>s</w:t>
      </w:r>
      <w:bookmarkEnd w:id="19"/>
      <w:bookmarkEnd w:id="20"/>
    </w:p>
    <w:p w14:paraId="7BD2889F" w14:textId="726A8D55" w:rsidR="00640776" w:rsidRDefault="00770E2F" w:rsidP="00932E0B">
      <w:pPr>
        <w:pStyle w:val="Bullet"/>
        <w:numPr>
          <w:ilvl w:val="0"/>
          <w:numId w:val="0"/>
        </w:numPr>
      </w:pPr>
      <w:r>
        <w:t xml:space="preserve">It is proposed that the </w:t>
      </w:r>
      <w:r w:rsidR="007274D2">
        <w:t>retirement income</w:t>
      </w:r>
      <w:r w:rsidR="00CF0A06">
        <w:t xml:space="preserve"> disclosure </w:t>
      </w:r>
      <w:r w:rsidR="0048208B">
        <w:t>fact sheet</w:t>
      </w:r>
      <w:r w:rsidR="00CF0A06">
        <w:t xml:space="preserve"> </w:t>
      </w:r>
      <w:r>
        <w:t xml:space="preserve">will </w:t>
      </w:r>
      <w:r w:rsidR="0048208B">
        <w:t>include</w:t>
      </w:r>
      <w:r w:rsidR="00CF0A06">
        <w:t xml:space="preserve"> </w:t>
      </w:r>
      <w:r>
        <w:t>information on the characteristic</w:t>
      </w:r>
      <w:r w:rsidR="00CF0A06">
        <w:t xml:space="preserve">s </w:t>
      </w:r>
      <w:r w:rsidR="00BF0775">
        <w:t>of retirement income products</w:t>
      </w:r>
      <w:r>
        <w:t xml:space="preserve"> </w:t>
      </w:r>
      <w:r w:rsidR="00BC0B53">
        <w:t xml:space="preserve">that are relevant to consumers </w:t>
      </w:r>
      <w:r w:rsidR="00CF0A06">
        <w:t xml:space="preserve">when making a decision. It should </w:t>
      </w:r>
      <w:r>
        <w:t xml:space="preserve">provide </w:t>
      </w:r>
      <w:r w:rsidR="00CF0A06">
        <w:t xml:space="preserve">enough information to understand the </w:t>
      </w:r>
      <w:r w:rsidR="00BF0775">
        <w:t xml:space="preserve">core </w:t>
      </w:r>
      <w:r w:rsidR="00CF0A06">
        <w:t xml:space="preserve">trade-offs between different </w:t>
      </w:r>
      <w:r w:rsidR="00D11B76">
        <w:t xml:space="preserve">retirement income products. </w:t>
      </w:r>
      <w:r>
        <w:t xml:space="preserve">An outline of the proposed characteristics for inclusion in the </w:t>
      </w:r>
      <w:r w:rsidR="007B4510">
        <w:t>f</w:t>
      </w:r>
      <w:r>
        <w:t xml:space="preserve"> is below. </w:t>
      </w:r>
    </w:p>
    <w:p w14:paraId="7BD288A0" w14:textId="77777777" w:rsidR="002E35A5" w:rsidRDefault="006B76F8" w:rsidP="00D5027A">
      <w:pPr>
        <w:pStyle w:val="Heading2"/>
      </w:pPr>
      <w:bookmarkStart w:id="21" w:name="_Toc523479368"/>
      <w:bookmarkStart w:id="22" w:name="_Toc531265806"/>
      <w:r>
        <w:t>I</w:t>
      </w:r>
      <w:r w:rsidR="002E35A5">
        <w:t>ncome</w:t>
      </w:r>
      <w:bookmarkEnd w:id="21"/>
      <w:bookmarkEnd w:id="22"/>
    </w:p>
    <w:p w14:paraId="7BD288A1" w14:textId="6DE6C649" w:rsidR="00734127" w:rsidRDefault="002219D7" w:rsidP="00734127">
      <w:pPr>
        <w:pStyle w:val="Bullet"/>
        <w:numPr>
          <w:ilvl w:val="0"/>
          <w:numId w:val="0"/>
        </w:numPr>
      </w:pPr>
      <w:r>
        <w:t xml:space="preserve">Given the core purpose of superannuation is to provide income in retirement, </w:t>
      </w:r>
      <w:r w:rsidR="00A12754">
        <w:t>a</w:t>
      </w:r>
      <w:r>
        <w:t xml:space="preserve"> </w:t>
      </w:r>
      <w:r w:rsidR="00BF0775">
        <w:t>central consideration</w:t>
      </w:r>
      <w:r w:rsidR="00680454">
        <w:t xml:space="preserve"> for</w:t>
      </w:r>
      <w:r>
        <w:t xml:space="preserve"> consumers is</w:t>
      </w:r>
      <w:r w:rsidR="00680454">
        <w:t xml:space="preserve"> the</w:t>
      </w:r>
      <w:r w:rsidR="00BF0775">
        <w:t xml:space="preserve"> </w:t>
      </w:r>
      <w:r w:rsidR="00312985">
        <w:t xml:space="preserve">level of </w:t>
      </w:r>
      <w:r w:rsidR="002D30B7">
        <w:t>periodic income</w:t>
      </w:r>
      <w:r w:rsidR="001378DB">
        <w:t xml:space="preserve"> a product </w:t>
      </w:r>
      <w:r w:rsidR="009F22BB">
        <w:t xml:space="preserve">is expected </w:t>
      </w:r>
      <w:r w:rsidR="00EC6B3D">
        <w:t xml:space="preserve">to </w:t>
      </w:r>
      <w:r w:rsidR="001378DB">
        <w:t>provide each year.</w:t>
      </w:r>
      <w:r w:rsidR="00312985">
        <w:t xml:space="preserve"> The level of income provided </w:t>
      </w:r>
      <w:r w:rsidR="00A2311F">
        <w:t xml:space="preserve">is connected to the product design and features </w:t>
      </w:r>
      <w:r>
        <w:t xml:space="preserve">that </w:t>
      </w:r>
      <w:r w:rsidR="00A2311F">
        <w:t xml:space="preserve">ameliorate </w:t>
      </w:r>
      <w:r>
        <w:t xml:space="preserve">the </w:t>
      </w:r>
      <w:r w:rsidR="00A2311F">
        <w:t xml:space="preserve">risk of income variation. </w:t>
      </w:r>
    </w:p>
    <w:p w14:paraId="7BD288A2" w14:textId="5BE649DD" w:rsidR="00456345" w:rsidRDefault="00BF0775" w:rsidP="00456345">
      <w:pPr>
        <w:pStyle w:val="Bullet"/>
        <w:numPr>
          <w:ilvl w:val="0"/>
          <w:numId w:val="0"/>
        </w:numPr>
      </w:pPr>
      <w:r>
        <w:t xml:space="preserve">Product providers would need to report the best estimate of the expected real income level that their product can provide for a purchase price of $100,000. </w:t>
      </w:r>
      <w:r w:rsidR="00EB656D">
        <w:t xml:space="preserve">Income </w:t>
      </w:r>
      <w:r w:rsidR="00A072E7">
        <w:t>is the disbursement to</w:t>
      </w:r>
      <w:r w:rsidR="00865001">
        <w:t xml:space="preserve"> a</w:t>
      </w:r>
      <w:r w:rsidR="00A072E7">
        <w:t xml:space="preserve"> member, inclusive of </w:t>
      </w:r>
      <w:r w:rsidR="00A2311F">
        <w:t xml:space="preserve">both investment earnings and </w:t>
      </w:r>
      <w:r>
        <w:t xml:space="preserve">distributions </w:t>
      </w:r>
      <w:r w:rsidR="00A2311F">
        <w:t>of capital. Income would</w:t>
      </w:r>
      <w:r w:rsidR="00704747">
        <w:t xml:space="preserve"> be displayed</w:t>
      </w:r>
      <w:r w:rsidR="00A2311F">
        <w:t xml:space="preserve"> net of any fees and charges</w:t>
      </w:r>
      <w:r>
        <w:t xml:space="preserve"> and</w:t>
      </w:r>
      <w:r w:rsidR="00567A4A" w:rsidRPr="00AA717C">
        <w:t xml:space="preserve"> re</w:t>
      </w:r>
      <w:r w:rsidR="00A2311F">
        <w:t xml:space="preserve">ported in real terms (adjusted to expected </w:t>
      </w:r>
      <w:r w:rsidR="00685331" w:rsidRPr="00AA717C">
        <w:t>inflation</w:t>
      </w:r>
      <w:r w:rsidR="003D25CA">
        <w:t xml:space="preserve"> of 2.5 per cent</w:t>
      </w:r>
      <w:r w:rsidR="00B576E0" w:rsidRPr="00AA717C">
        <w:t>)</w:t>
      </w:r>
      <w:r w:rsidR="00456345">
        <w:t xml:space="preserve">. </w:t>
      </w:r>
    </w:p>
    <w:p w14:paraId="7BD288A3" w14:textId="6435B4EC" w:rsidR="00456345" w:rsidRDefault="00456345" w:rsidP="00456345">
      <w:pPr>
        <w:pStyle w:val="Bullet"/>
        <w:numPr>
          <w:ilvl w:val="0"/>
          <w:numId w:val="0"/>
        </w:numPr>
      </w:pPr>
      <w:r>
        <w:t xml:space="preserve">This </w:t>
      </w:r>
      <w:r w:rsidR="0052030B">
        <w:t>would</w:t>
      </w:r>
      <w:r w:rsidR="00BF0775">
        <w:t xml:space="preserve"> enable consumers to compare the level of income </w:t>
      </w:r>
      <w:r w:rsidR="00A072E7">
        <w:t>across</w:t>
      </w:r>
      <w:r w:rsidR="00BF0775">
        <w:t xml:space="preserve"> retirement products on an </w:t>
      </w:r>
      <w:r w:rsidR="009A0573" w:rsidRPr="00AA717C">
        <w:t>equivalent basis</w:t>
      </w:r>
      <w:r w:rsidR="00685331" w:rsidRPr="00AA717C">
        <w:t>.</w:t>
      </w:r>
      <w:r w:rsidR="009A0573">
        <w:t xml:space="preserve"> </w:t>
      </w:r>
    </w:p>
    <w:p w14:paraId="7BD288A4" w14:textId="77777777" w:rsidR="00A92CC1" w:rsidRDefault="002C3CAF" w:rsidP="002E35A5">
      <w:r>
        <w:t xml:space="preserve">Several options have been considered for </w:t>
      </w:r>
      <w:r w:rsidR="00CE6C1E">
        <w:t>describing</w:t>
      </w:r>
      <w:r w:rsidR="00A92CC1">
        <w:t xml:space="preserve"> the expected</w:t>
      </w:r>
      <w:r>
        <w:t xml:space="preserve"> income </w:t>
      </w:r>
      <w:r w:rsidR="00A92CC1">
        <w:t>from a product,</w:t>
      </w:r>
      <w:r>
        <w:t xml:space="preserve"> including</w:t>
      </w:r>
      <w:r w:rsidR="00A92CC1">
        <w:t>:</w:t>
      </w:r>
    </w:p>
    <w:p w14:paraId="7BD288A5" w14:textId="4421B162" w:rsidR="003A1231" w:rsidRDefault="00865001" w:rsidP="007F12A4">
      <w:pPr>
        <w:pStyle w:val="Bullet"/>
        <w:spacing w:after="0"/>
      </w:pPr>
      <w:r>
        <w:t>a</w:t>
      </w:r>
      <w:r w:rsidR="003A1231">
        <w:t xml:space="preserve">s </w:t>
      </w:r>
      <w:r w:rsidR="00224839">
        <w:t xml:space="preserve">a </w:t>
      </w:r>
      <w:r w:rsidR="003A1231">
        <w:t>single number, showing</w:t>
      </w:r>
      <w:r>
        <w:t>:</w:t>
      </w:r>
    </w:p>
    <w:p w14:paraId="7BD288A6" w14:textId="77777777" w:rsidR="00A92CC1" w:rsidRDefault="003A1231" w:rsidP="007F12A4">
      <w:pPr>
        <w:pStyle w:val="Dash"/>
        <w:spacing w:after="0"/>
      </w:pPr>
      <w:r>
        <w:t>e</w:t>
      </w:r>
      <w:r w:rsidR="00A92CC1">
        <w:t xml:space="preserve">xpected </w:t>
      </w:r>
      <w:r w:rsidR="002C3CAF">
        <w:t xml:space="preserve">income </w:t>
      </w:r>
      <w:r w:rsidR="00A92CC1">
        <w:t>in the first year;</w:t>
      </w:r>
    </w:p>
    <w:p w14:paraId="7BD288A7" w14:textId="77777777" w:rsidR="00A92CC1" w:rsidRDefault="003A1231" w:rsidP="007F12A4">
      <w:pPr>
        <w:pStyle w:val="Dash"/>
        <w:spacing w:after="0"/>
      </w:pPr>
      <w:r>
        <w:t>average</w:t>
      </w:r>
      <w:r w:rsidR="006B204D">
        <w:t xml:space="preserve"> expected</w:t>
      </w:r>
      <w:r>
        <w:t xml:space="preserve"> income over the life of the product; or</w:t>
      </w:r>
    </w:p>
    <w:p w14:paraId="7BD288A8" w14:textId="77777777" w:rsidR="00A92CC1" w:rsidRDefault="002C3CAF" w:rsidP="003A1231">
      <w:pPr>
        <w:pStyle w:val="Dash"/>
      </w:pPr>
      <w:r>
        <w:t xml:space="preserve">average </w:t>
      </w:r>
      <w:r w:rsidR="006B204D">
        <w:t xml:space="preserve">expected </w:t>
      </w:r>
      <w:r>
        <w:t>income</w:t>
      </w:r>
      <w:r w:rsidR="00A92CC1">
        <w:t xml:space="preserve"> over </w:t>
      </w:r>
      <w:r w:rsidR="003A1231">
        <w:t>a defined period of time</w:t>
      </w:r>
      <w:r>
        <w:t xml:space="preserve">. </w:t>
      </w:r>
    </w:p>
    <w:p w14:paraId="7BD288A9" w14:textId="5B9ED910" w:rsidR="003A1231" w:rsidRDefault="00865001" w:rsidP="007F12A4">
      <w:pPr>
        <w:pStyle w:val="Bullet"/>
        <w:spacing w:after="0"/>
      </w:pPr>
      <w:r>
        <w:t>a</w:t>
      </w:r>
      <w:r w:rsidR="003A1231">
        <w:t>s a chart or graph, showing</w:t>
      </w:r>
      <w:r>
        <w:t>:</w:t>
      </w:r>
    </w:p>
    <w:p w14:paraId="7BD288AA" w14:textId="77777777" w:rsidR="003A1231" w:rsidRDefault="003A1231" w:rsidP="007F12A4">
      <w:pPr>
        <w:pStyle w:val="Dash"/>
        <w:spacing w:after="0"/>
      </w:pPr>
      <w:r>
        <w:t>expected income</w:t>
      </w:r>
      <w:r w:rsidR="009F22BB">
        <w:t xml:space="preserve"> each year</w:t>
      </w:r>
      <w:r>
        <w:t xml:space="preserve"> over the life of the product; or</w:t>
      </w:r>
    </w:p>
    <w:p w14:paraId="7BD288AB" w14:textId="77777777" w:rsidR="003A1231" w:rsidRDefault="003A1231" w:rsidP="003A1231">
      <w:pPr>
        <w:pStyle w:val="Dash"/>
      </w:pPr>
      <w:r>
        <w:t xml:space="preserve">expected income </w:t>
      </w:r>
      <w:r w:rsidR="009F22BB">
        <w:t xml:space="preserve">each year </w:t>
      </w:r>
      <w:r>
        <w:t>over a defined period of time.</w:t>
      </w:r>
    </w:p>
    <w:p w14:paraId="7BD288AC" w14:textId="1E88C0D5" w:rsidR="002E35A5" w:rsidRDefault="006A5699" w:rsidP="00A92CC1">
      <w:r>
        <w:t xml:space="preserve">Reporting average income over a fixed period (proposed at this stage as </w:t>
      </w:r>
      <w:r w:rsidR="00870EDE" w:rsidRPr="00E8583B">
        <w:t>3</w:t>
      </w:r>
      <w:r w:rsidR="000D1C87" w:rsidRPr="00E8583B">
        <w:t>0</w:t>
      </w:r>
      <w:r w:rsidR="000D1C87">
        <w:t xml:space="preserve"> years) ensures product providers have incentives to design products that provide higher incomes over a longer period of time</w:t>
      </w:r>
      <w:r w:rsidR="002219D7">
        <w:t>.</w:t>
      </w:r>
      <w:r w:rsidR="002D5DCD" w:rsidRPr="002D5DCD">
        <w:t xml:space="preserve"> </w:t>
      </w:r>
      <w:r w:rsidR="002D5DCD">
        <w:t>For products with flexibility in drawdown, such as account based pensions</w:t>
      </w:r>
      <w:r w:rsidR="002A1783">
        <w:t xml:space="preserve"> (ABPs)</w:t>
      </w:r>
      <w:r w:rsidR="002D5DCD">
        <w:t xml:space="preserve">, providers would need to specify the drawdown rate for the product. </w:t>
      </w:r>
    </w:p>
    <w:tbl>
      <w:tblPr>
        <w:tblpPr w:leftFromText="180" w:rightFromText="180" w:vertAnchor="text" w:horzAnchor="margin" w:tblpY="73"/>
        <w:tblW w:w="5000" w:type="pct"/>
        <w:shd w:val="clear" w:color="auto" w:fill="E3E7F0"/>
        <w:tblLook w:val="01E0" w:firstRow="1" w:lastRow="1" w:firstColumn="1" w:lastColumn="1" w:noHBand="0" w:noVBand="0"/>
      </w:tblPr>
      <w:tblGrid>
        <w:gridCol w:w="9286"/>
      </w:tblGrid>
      <w:tr w:rsidR="00A92CC1" w14:paraId="7BD288AF" w14:textId="77777777" w:rsidTr="00A92CC1">
        <w:tc>
          <w:tcPr>
            <w:tcW w:w="5000" w:type="pct"/>
            <w:shd w:val="clear" w:color="auto" w:fill="E3E7F0"/>
          </w:tcPr>
          <w:p w14:paraId="7BD288AD" w14:textId="77777777" w:rsidR="00A92CC1" w:rsidRPr="00B576E0" w:rsidRDefault="00CE6C1E" w:rsidP="00A92CC1">
            <w:pPr>
              <w:pStyle w:val="Heading4"/>
              <w:rPr>
                <w:b/>
              </w:rPr>
            </w:pPr>
            <w:r>
              <w:t xml:space="preserve">Proposed approach: </w:t>
            </w:r>
            <w:r w:rsidR="00A92CC1" w:rsidRPr="00B576E0">
              <w:t>Expected retirement income</w:t>
            </w:r>
          </w:p>
          <w:p w14:paraId="7BD288AE" w14:textId="0564CF6D" w:rsidR="00A92CC1" w:rsidRPr="008950C5" w:rsidRDefault="00A92CC1" w:rsidP="001047C6">
            <w:pPr>
              <w:pStyle w:val="Heading5"/>
            </w:pPr>
            <w:r>
              <w:t xml:space="preserve">For all retirement income products, expected retirement income should be presented </w:t>
            </w:r>
            <w:r w:rsidR="002D30B7">
              <w:t>numerically</w:t>
            </w:r>
            <w:r w:rsidR="0038060B">
              <w:t xml:space="preserve"> and with an income graph</w:t>
            </w:r>
            <w:r w:rsidR="002D30B7">
              <w:t xml:space="preserve"> </w:t>
            </w:r>
            <w:r w:rsidR="002D5DCD">
              <w:t xml:space="preserve">using </w:t>
            </w:r>
            <w:r w:rsidR="001047C6">
              <w:t xml:space="preserve">average </w:t>
            </w:r>
            <w:r>
              <w:t xml:space="preserve">real annual income </w:t>
            </w:r>
            <w:r w:rsidR="00681CCB">
              <w:t xml:space="preserve">from a $100,000 investment, </w:t>
            </w:r>
            <w:r>
              <w:t xml:space="preserve">over the period from retirement (currently </w:t>
            </w:r>
            <w:r w:rsidR="00BC0B53">
              <w:t xml:space="preserve">age </w:t>
            </w:r>
            <w:r>
              <w:t>6</w:t>
            </w:r>
            <w:r w:rsidR="00C5565B">
              <w:t>7</w:t>
            </w:r>
            <w:r>
              <w:t xml:space="preserve">) to </w:t>
            </w:r>
            <w:r w:rsidRPr="00E8583B">
              <w:t xml:space="preserve">age </w:t>
            </w:r>
            <w:r w:rsidR="00870EDE" w:rsidRPr="00E8583B">
              <w:t>9</w:t>
            </w:r>
            <w:r w:rsidR="00C5565B" w:rsidRPr="00E8583B">
              <w:t>7</w:t>
            </w:r>
            <w:r w:rsidR="001047C6">
              <w:t>. Income presented</w:t>
            </w:r>
            <w:r w:rsidRPr="00E8583B">
              <w:t xml:space="preserve"> </w:t>
            </w:r>
            <w:r w:rsidR="00681CCB" w:rsidRPr="00E8583B">
              <w:t>should be net of fees</w:t>
            </w:r>
            <w:r w:rsidR="009F22BB" w:rsidRPr="00E8583B">
              <w:t xml:space="preserve"> </w:t>
            </w:r>
            <w:r w:rsidR="002D30B7" w:rsidRPr="00E8583B">
              <w:t xml:space="preserve">and </w:t>
            </w:r>
            <w:r w:rsidR="009F22BB" w:rsidRPr="00E8583B">
              <w:t>taxes</w:t>
            </w:r>
            <w:r w:rsidR="00681CCB" w:rsidRPr="00E8583B">
              <w:t>.</w:t>
            </w:r>
          </w:p>
        </w:tc>
      </w:tr>
    </w:tbl>
    <w:p w14:paraId="7BD288B0" w14:textId="77777777" w:rsidR="00CE6C1E" w:rsidRDefault="00CE6C1E" w:rsidP="00CE6C1E">
      <w:pPr>
        <w:pStyle w:val="Heading3noTOC"/>
      </w:pPr>
      <w:r>
        <w:t>Presentation format</w:t>
      </w:r>
      <w:r w:rsidR="008B33C2">
        <w:t>: Income</w:t>
      </w:r>
    </w:p>
    <w:p w14:paraId="7BD288B1" w14:textId="77777777" w:rsidR="009B0B06" w:rsidRDefault="00E8583B" w:rsidP="006C027F">
      <w:r>
        <w:t xml:space="preserve">A range of options could be considered for presenting income. </w:t>
      </w:r>
      <w:r w:rsidR="00681CCB">
        <w:t xml:space="preserve">Describing expected retirement income as the ‘take home pay’ from the product may make the concepts more </w:t>
      </w:r>
      <w:r w:rsidR="00C5565B">
        <w:t>user friendly for</w:t>
      </w:r>
      <w:r w:rsidR="00681CCB">
        <w:t xml:space="preserve"> consumers. This language makes it clear that the income is net of any fees</w:t>
      </w:r>
      <w:r w:rsidR="00685331">
        <w:t>.</w:t>
      </w:r>
      <w:r w:rsidR="009B0B06">
        <w:t xml:space="preserve"> However, alternative options such as ‘expected retirement income’ or ‘expected income from the product’ may be </w:t>
      </w:r>
      <w:r w:rsidR="00C5565B">
        <w:t>clearer</w:t>
      </w:r>
      <w:r w:rsidR="009B0B06">
        <w:t xml:space="preserve"> to consumers</w:t>
      </w:r>
      <w:r w:rsidR="0037137C">
        <w:t>.</w:t>
      </w:r>
      <w:r w:rsidR="009B0B06">
        <w:t xml:space="preserve"> </w:t>
      </w:r>
    </w:p>
    <w:p w14:paraId="7BD288B2" w14:textId="6E0F675C" w:rsidR="00685331" w:rsidRDefault="008F5587" w:rsidP="006C027F">
      <w:r>
        <w:t xml:space="preserve">Consideration is still being given to </w:t>
      </w:r>
      <w:r w:rsidR="00AA5EC8">
        <w:t>how best to present income.</w:t>
      </w:r>
      <w:r w:rsidR="005C5AB0">
        <w:t xml:space="preserve"> While consumers may be </w:t>
      </w:r>
      <w:r w:rsidR="00C5565B">
        <w:t>unconcerned about a</w:t>
      </w:r>
      <w:r w:rsidR="005C5AB0">
        <w:t xml:space="preserve"> difference in income of $</w:t>
      </w:r>
      <w:r w:rsidR="008D4EE5">
        <w:t xml:space="preserve">10 a week or $20 </w:t>
      </w:r>
      <w:r w:rsidR="005C5AB0">
        <w:t xml:space="preserve">a fortnight, a difference </w:t>
      </w:r>
      <w:r w:rsidR="00BC0B53">
        <w:lastRenderedPageBreak/>
        <w:t>of </w:t>
      </w:r>
      <w:r w:rsidR="005C5AB0">
        <w:t>$</w:t>
      </w:r>
      <w:r w:rsidR="008D4EE5">
        <w:t>52</w:t>
      </w:r>
      <w:r w:rsidR="005C5AB0">
        <w:t>0</w:t>
      </w:r>
      <w:r w:rsidR="00BC0B53">
        <w:t> </w:t>
      </w:r>
      <w:r w:rsidR="002219D7">
        <w:t>per</w:t>
      </w:r>
      <w:r w:rsidR="00BC0B53">
        <w:t> </w:t>
      </w:r>
      <w:r w:rsidR="002219D7">
        <w:t xml:space="preserve">annum may be considered </w:t>
      </w:r>
      <w:r w:rsidR="008D4EE5">
        <w:t>substantial</w:t>
      </w:r>
      <w:r w:rsidR="005C5AB0">
        <w:t>.</w:t>
      </w:r>
      <w:r w:rsidR="00685331">
        <w:t xml:space="preserve"> </w:t>
      </w:r>
      <w:r w:rsidR="002219D7">
        <w:t xml:space="preserve">The benefit of </w:t>
      </w:r>
      <w:r w:rsidR="00685331">
        <w:t xml:space="preserve">presenting </w:t>
      </w:r>
      <w:r w:rsidR="00374BFB">
        <w:t xml:space="preserve">fortnightly </w:t>
      </w:r>
      <w:r w:rsidR="00685331">
        <w:t xml:space="preserve">income </w:t>
      </w:r>
      <w:r w:rsidR="00374BFB">
        <w:t xml:space="preserve">is </w:t>
      </w:r>
      <w:r w:rsidR="002219D7">
        <w:t xml:space="preserve">that it is </w:t>
      </w:r>
      <w:r w:rsidR="00374BFB">
        <w:t>more likely to</w:t>
      </w:r>
      <w:r w:rsidR="00FF4A19">
        <w:t xml:space="preserve"> encourag</w:t>
      </w:r>
      <w:r w:rsidR="00374BFB">
        <w:t xml:space="preserve">e consumers to </w:t>
      </w:r>
      <w:r w:rsidR="00FF4A19">
        <w:t xml:space="preserve">think about superannuation as a replacement for regular </w:t>
      </w:r>
      <w:r w:rsidR="00374BFB">
        <w:t xml:space="preserve">wage or salary </w:t>
      </w:r>
      <w:r w:rsidR="00FF4A19">
        <w:t xml:space="preserve">income. </w:t>
      </w:r>
      <w:r w:rsidR="00AA5EC8">
        <w:t>The most useful approach may be to present both, to</w:t>
      </w:r>
      <w:r w:rsidR="00722D5B">
        <w:t xml:space="preserve"> emphasise superannuation a</w:t>
      </w:r>
      <w:r w:rsidR="00AA5EC8">
        <w:t xml:space="preserve">s a regular wage, while still highlighting </w:t>
      </w:r>
      <w:r w:rsidR="00EC6B3D">
        <w:t xml:space="preserve">the </w:t>
      </w:r>
      <w:r w:rsidR="00AA5EC8">
        <w:t>difference in annual income</w:t>
      </w:r>
      <w:r w:rsidR="00FE6399">
        <w:t xml:space="preserve">, which </w:t>
      </w:r>
      <w:r w:rsidR="00AA5EC8">
        <w:t>may be underemphasised when</w:t>
      </w:r>
      <w:r w:rsidR="00BF0775">
        <w:t xml:space="preserve"> income is</w:t>
      </w:r>
      <w:r w:rsidR="00AA5EC8">
        <w:t xml:space="preserve"> displayed as a fortnightly amount.</w:t>
      </w:r>
    </w:p>
    <w:p w14:paraId="7BD288B3" w14:textId="77777777" w:rsidR="0011775B" w:rsidRDefault="0011775B" w:rsidP="00BC4BCF">
      <w:r w:rsidRPr="00BC4BCF">
        <w:t>Some</w:t>
      </w:r>
      <w:r w:rsidR="00BC4BCF">
        <w:t xml:space="preserve"> alternative</w:t>
      </w:r>
      <w:r w:rsidR="00290484">
        <w:t xml:space="preserve"> numerical</w:t>
      </w:r>
      <w:r w:rsidR="00BC4BCF">
        <w:t xml:space="preserve"> presentations for different products are shown below.</w:t>
      </w:r>
    </w:p>
    <w:p w14:paraId="7BD288B4" w14:textId="77777777" w:rsidR="00106DFD" w:rsidRDefault="00FF4A19" w:rsidP="002458D1">
      <w:pPr>
        <w:pStyle w:val="Heading5"/>
      </w:pPr>
      <w:r w:rsidRPr="00BC4BCF">
        <w:t>Product A</w:t>
      </w:r>
    </w:p>
    <w:p w14:paraId="7BD288B5" w14:textId="77777777" w:rsidR="002458D1" w:rsidRPr="00BC4BCF" w:rsidRDefault="00FE6399" w:rsidP="00290484">
      <w:pPr>
        <w:tabs>
          <w:tab w:val="right" w:pos="9072"/>
        </w:tabs>
      </w:pPr>
      <w:r>
        <w:object w:dxaOrig="10430" w:dyaOrig="1131" w14:anchorId="7BD28958">
          <v:shape id="_x0000_i1026" type="#_x0000_t75" style="width:453pt;height:48.75pt" o:ole="">
            <v:imagedata r:id="rId32" o:title=""/>
          </v:shape>
          <o:OLEObject Type="Embed" ProgID="Visio.Drawing.11" ShapeID="_x0000_i1026" DrawAspect="Content" ObjectID="_1605683297" r:id="rId33"/>
        </w:object>
      </w:r>
    </w:p>
    <w:p w14:paraId="7BD288B6" w14:textId="77777777" w:rsidR="00FF4A19" w:rsidRPr="00BC4BCF" w:rsidRDefault="005564C6" w:rsidP="00BC4BCF">
      <w:pPr>
        <w:pStyle w:val="Heading5"/>
      </w:pPr>
      <w:r w:rsidRPr="00BC4BCF">
        <w:t>Product B</w:t>
      </w:r>
    </w:p>
    <w:p w14:paraId="7BD288B7" w14:textId="77777777" w:rsidR="00290484" w:rsidRDefault="00FE6399" w:rsidP="007F12A4">
      <w:r>
        <w:object w:dxaOrig="10430" w:dyaOrig="1131" w14:anchorId="7BD28959">
          <v:shape id="_x0000_i1027" type="#_x0000_t75" style="width:453pt;height:48.75pt" o:ole="">
            <v:imagedata r:id="rId34" o:title=""/>
          </v:shape>
          <o:OLEObject Type="Embed" ProgID="Visio.Drawing.11" ShapeID="_x0000_i1027" DrawAspect="Content" ObjectID="_1605683298" r:id="rId35"/>
        </w:object>
      </w:r>
    </w:p>
    <w:p w14:paraId="7BD288BA" w14:textId="77777777" w:rsidR="002E35A5" w:rsidRDefault="006039A6" w:rsidP="00BF7F42">
      <w:pPr>
        <w:pStyle w:val="Heading2"/>
      </w:pPr>
      <w:bookmarkStart w:id="23" w:name="_Toc523479369"/>
      <w:bookmarkStart w:id="24" w:name="_Toc531265807"/>
      <w:r>
        <w:t>V</w:t>
      </w:r>
      <w:r w:rsidR="00235C88">
        <w:t xml:space="preserve">ariation in </w:t>
      </w:r>
      <w:r>
        <w:t xml:space="preserve">expected </w:t>
      </w:r>
      <w:r w:rsidR="00235C88">
        <w:t>income</w:t>
      </w:r>
      <w:bookmarkEnd w:id="23"/>
      <w:bookmarkEnd w:id="24"/>
    </w:p>
    <w:p w14:paraId="7BD288BB" w14:textId="523574DD" w:rsidR="00273533" w:rsidRPr="0021686E" w:rsidRDefault="00722D5B" w:rsidP="00273533">
      <w:pPr>
        <w:pStyle w:val="Bullet"/>
        <w:numPr>
          <w:ilvl w:val="0"/>
          <w:numId w:val="0"/>
        </w:numPr>
      </w:pPr>
      <w:r>
        <w:t xml:space="preserve">There </w:t>
      </w:r>
      <w:r w:rsidR="00BF0775">
        <w:t>is</w:t>
      </w:r>
      <w:r>
        <w:t xml:space="preserve"> a trade-off between income and risk. </w:t>
      </w:r>
      <w:r w:rsidR="00E700D3">
        <w:t>R</w:t>
      </w:r>
      <w:r w:rsidR="008A1C3D">
        <w:t xml:space="preserve">eporting average </w:t>
      </w:r>
      <w:r w:rsidR="00E700D3">
        <w:t xml:space="preserve">retirement </w:t>
      </w:r>
      <w:r w:rsidR="008A1C3D">
        <w:t>income alone could be misleading for consumer</w:t>
      </w:r>
      <w:r w:rsidR="00E700D3">
        <w:t>s, as a</w:t>
      </w:r>
      <w:r w:rsidR="008A1C3D">
        <w:t xml:space="preserve">ll retirement products are subject to risks that could mean that </w:t>
      </w:r>
      <w:r w:rsidR="00567A4A">
        <w:t xml:space="preserve">income </w:t>
      </w:r>
      <w:r w:rsidR="0052030B">
        <w:t>would</w:t>
      </w:r>
      <w:r w:rsidR="00567A4A">
        <w:t xml:space="preserve"> vary over time</w:t>
      </w:r>
      <w:r w:rsidR="00273533">
        <w:t>.</w:t>
      </w:r>
      <w:r w:rsidR="00273533" w:rsidRPr="00273533">
        <w:t xml:space="preserve"> </w:t>
      </w:r>
      <w:r w:rsidR="00BF0775">
        <w:t xml:space="preserve">Reporting a standardised measure of risk would allow </w:t>
      </w:r>
      <w:r w:rsidR="00273533">
        <w:t xml:space="preserve">consumers to balance their risk appetite against their </w:t>
      </w:r>
      <w:r w:rsidR="00273533" w:rsidRPr="0021686E">
        <w:t>desire to maximise income.</w:t>
      </w:r>
      <w:r w:rsidR="00273533" w:rsidRPr="0021686E" w:rsidDel="00E700D3">
        <w:t xml:space="preserve"> </w:t>
      </w:r>
    </w:p>
    <w:p w14:paraId="7BD288BC" w14:textId="68BE3170" w:rsidR="00755C31" w:rsidRPr="0021686E" w:rsidRDefault="00D10ACD" w:rsidP="008C42FD">
      <w:pPr>
        <w:pStyle w:val="Bullet"/>
        <w:numPr>
          <w:ilvl w:val="0"/>
          <w:numId w:val="0"/>
        </w:numPr>
      </w:pPr>
      <w:r w:rsidRPr="0021686E">
        <w:t xml:space="preserve">The common risk measure the superannuation industry </w:t>
      </w:r>
      <w:r w:rsidR="00E71C06" w:rsidRPr="0021686E">
        <w:t>focus</w:t>
      </w:r>
      <w:r w:rsidR="00EC6B3D">
        <w:t>es</w:t>
      </w:r>
      <w:r w:rsidR="00E71C06" w:rsidRPr="0021686E">
        <w:t xml:space="preserve"> on</w:t>
      </w:r>
      <w:r w:rsidRPr="0021686E">
        <w:t xml:space="preserve"> </w:t>
      </w:r>
      <w:r w:rsidR="00EC6B3D">
        <w:t xml:space="preserve">is </w:t>
      </w:r>
      <w:r w:rsidRPr="0021686E">
        <w:t>market volatility</w:t>
      </w:r>
      <w:r w:rsidR="00BC0B53">
        <w:t>.</w:t>
      </w:r>
      <w:r w:rsidRPr="0021686E">
        <w:rPr>
          <w:rStyle w:val="FootnoteReference"/>
        </w:rPr>
        <w:footnoteReference w:id="6"/>
      </w:r>
      <w:r w:rsidRPr="0021686E">
        <w:t xml:space="preserve"> </w:t>
      </w:r>
      <w:r w:rsidR="00EB4412" w:rsidRPr="0021686E">
        <w:t xml:space="preserve">A product with </w:t>
      </w:r>
      <w:r w:rsidR="00A93546" w:rsidRPr="0021686E">
        <w:t xml:space="preserve">low </w:t>
      </w:r>
      <w:r w:rsidR="00EB4412" w:rsidRPr="0021686E">
        <w:t xml:space="preserve">volatility is measured as </w:t>
      </w:r>
      <w:r w:rsidR="00A93546" w:rsidRPr="0021686E">
        <w:t>low</w:t>
      </w:r>
      <w:r w:rsidR="00EB4412" w:rsidRPr="0021686E">
        <w:t xml:space="preserve"> risk</w:t>
      </w:r>
      <w:r w:rsidR="00A93546" w:rsidRPr="0021686E">
        <w:t>,</w:t>
      </w:r>
      <w:r w:rsidR="00EB4412" w:rsidRPr="0021686E">
        <w:t xml:space="preserve"> however</w:t>
      </w:r>
      <w:r w:rsidR="00A93546" w:rsidRPr="0021686E">
        <w:t>,</w:t>
      </w:r>
      <w:r w:rsidR="00EB4412" w:rsidRPr="0021686E">
        <w:t xml:space="preserve"> these products are likely to yield </w:t>
      </w:r>
      <w:r w:rsidR="00A93546" w:rsidRPr="0021686E">
        <w:t>low</w:t>
      </w:r>
      <w:r w:rsidR="00EB4412" w:rsidRPr="0021686E">
        <w:t xml:space="preserve"> returns </w:t>
      </w:r>
      <w:r w:rsidR="003F01D9">
        <w:t xml:space="preserve">over the </w:t>
      </w:r>
      <w:r w:rsidR="00EB4412" w:rsidRPr="0021686E">
        <w:t xml:space="preserve">long term. </w:t>
      </w:r>
      <w:r w:rsidR="00755C31" w:rsidRPr="0021686E">
        <w:t>Consumers that sele</w:t>
      </w:r>
      <w:r w:rsidR="00E71C06" w:rsidRPr="0021686E">
        <w:t>ct a low risk investment option</w:t>
      </w:r>
      <w:r w:rsidR="00755C31" w:rsidRPr="0021686E">
        <w:t xml:space="preserve">, such as cash, are likely to </w:t>
      </w:r>
      <w:r w:rsidR="00A072E7">
        <w:t>face</w:t>
      </w:r>
      <w:r w:rsidR="00755C31" w:rsidRPr="0021686E">
        <w:t xml:space="preserve"> lower </w:t>
      </w:r>
      <w:r w:rsidR="00865001" w:rsidRPr="0021686E">
        <w:t xml:space="preserve">long term </w:t>
      </w:r>
      <w:r w:rsidR="00755C31" w:rsidRPr="0021686E">
        <w:t xml:space="preserve">returns and have a higher </w:t>
      </w:r>
      <w:r w:rsidR="00A072E7">
        <w:t xml:space="preserve">probability </w:t>
      </w:r>
      <w:r w:rsidR="00755C31" w:rsidRPr="0021686E">
        <w:t>of running out of money</w:t>
      </w:r>
      <w:r w:rsidR="00E71C06" w:rsidRPr="0021686E">
        <w:t xml:space="preserve">. </w:t>
      </w:r>
      <w:r w:rsidR="00755C31" w:rsidRPr="0021686E">
        <w:t>High</w:t>
      </w:r>
      <w:r w:rsidR="00A93546" w:rsidRPr="0021686E">
        <w:t xml:space="preserve"> life expectancy </w:t>
      </w:r>
      <w:r w:rsidR="00A37726" w:rsidRPr="0021686E">
        <w:t>means</w:t>
      </w:r>
      <w:r w:rsidR="00755C31" w:rsidRPr="0021686E">
        <w:t xml:space="preserve"> </w:t>
      </w:r>
      <w:r w:rsidR="00A93546" w:rsidRPr="0021686E">
        <w:t xml:space="preserve">retirement products need to </w:t>
      </w:r>
      <w:r w:rsidR="00E71C06" w:rsidRPr="0021686E">
        <w:t xml:space="preserve">provide </w:t>
      </w:r>
      <w:r w:rsidR="00A072E7">
        <w:t xml:space="preserve">adequate </w:t>
      </w:r>
      <w:r w:rsidR="00E71C06" w:rsidRPr="0021686E">
        <w:t>returns over the</w:t>
      </w:r>
      <w:r w:rsidR="00EB4412" w:rsidRPr="0021686E">
        <w:t xml:space="preserve"> long term</w:t>
      </w:r>
      <w:r w:rsidR="00755C31" w:rsidRPr="0021686E">
        <w:t xml:space="preserve">. </w:t>
      </w:r>
      <w:r w:rsidR="00E71C06" w:rsidRPr="0021686E">
        <w:t>Therefore i</w:t>
      </w:r>
      <w:r w:rsidR="00755C31" w:rsidRPr="0021686E">
        <w:t>n isolation, investment volatility is not</w:t>
      </w:r>
      <w:r w:rsidR="00A93546" w:rsidRPr="0021686E">
        <w:t xml:space="preserve"> the best measure of risk</w:t>
      </w:r>
      <w:r w:rsidR="00755C31" w:rsidRPr="0021686E">
        <w:t xml:space="preserve"> for retirement products</w:t>
      </w:r>
      <w:r w:rsidR="00E71C06" w:rsidRPr="0021686E">
        <w:t>.</w:t>
      </w:r>
    </w:p>
    <w:p w14:paraId="7BD288BD" w14:textId="77777777" w:rsidR="008C42FD" w:rsidRPr="0021686E" w:rsidRDefault="00273533" w:rsidP="008C42FD">
      <w:pPr>
        <w:pStyle w:val="Bullet"/>
        <w:numPr>
          <w:ilvl w:val="0"/>
          <w:numId w:val="0"/>
        </w:numPr>
      </w:pPr>
      <w:r w:rsidRPr="0021686E">
        <w:t xml:space="preserve">The </w:t>
      </w:r>
      <w:r w:rsidR="00755C31" w:rsidRPr="0021686E">
        <w:t xml:space="preserve">challenge for a </w:t>
      </w:r>
      <w:r w:rsidRPr="0021686E">
        <w:t xml:space="preserve">metric </w:t>
      </w:r>
      <w:r w:rsidR="00B00E23">
        <w:t xml:space="preserve">that </w:t>
      </w:r>
      <w:r w:rsidR="00241624">
        <w:t xml:space="preserve">attempts to </w:t>
      </w:r>
      <w:r w:rsidRPr="0021686E">
        <w:t>calculat</w:t>
      </w:r>
      <w:r w:rsidR="00B00E23">
        <w:t>e</w:t>
      </w:r>
      <w:r w:rsidRPr="0021686E">
        <w:t xml:space="preserve"> income variation </w:t>
      </w:r>
      <w:r w:rsidR="00755C31" w:rsidRPr="0021686E">
        <w:t>is</w:t>
      </w:r>
      <w:r w:rsidRPr="0021686E">
        <w:t xml:space="preserve"> to capture</w:t>
      </w:r>
      <w:r w:rsidR="00755C31" w:rsidRPr="0021686E">
        <w:t xml:space="preserve"> volatility as well as</w:t>
      </w:r>
      <w:r w:rsidRPr="0021686E">
        <w:t xml:space="preserve"> underlying risks associated with longevity and inflation risk.  </w:t>
      </w:r>
      <w:r w:rsidR="00EC4CCF" w:rsidRPr="0021686E">
        <w:t>Since</w:t>
      </w:r>
      <w:r w:rsidRPr="0021686E">
        <w:t xml:space="preserve"> consumers are </w:t>
      </w:r>
      <w:r w:rsidR="00EC4CCF" w:rsidRPr="0021686E">
        <w:t xml:space="preserve">known to be </w:t>
      </w:r>
      <w:r w:rsidRPr="0021686E">
        <w:t>more sensitive to downside risk</w:t>
      </w:r>
      <w:r w:rsidR="00EC4CCF" w:rsidRPr="0021686E">
        <w:t xml:space="preserve"> than upside risk (they are loss averse)</w:t>
      </w:r>
      <w:r w:rsidRPr="0021686E">
        <w:t>, the risk metric focuses on the likelihood of negative variation from the expected income.</w:t>
      </w:r>
    </w:p>
    <w:p w14:paraId="7BD288BE" w14:textId="46531DCA" w:rsidR="009C0246" w:rsidRPr="0021686E" w:rsidRDefault="009C0246" w:rsidP="008C42FD">
      <w:pPr>
        <w:pStyle w:val="Bullet"/>
        <w:numPr>
          <w:ilvl w:val="0"/>
          <w:numId w:val="0"/>
        </w:numPr>
      </w:pPr>
      <w:r w:rsidRPr="0021686E">
        <w:t xml:space="preserve">A measure of longevity could provide an estimation of the number of years it </w:t>
      </w:r>
      <w:r w:rsidR="0052030B">
        <w:t>would</w:t>
      </w:r>
      <w:r w:rsidRPr="0021686E">
        <w:t xml:space="preserve"> take to exhaust funds or the probability of maintaining a positive account balance. However, this does not provide consumers with information regarding how their income could vary over time or the size of that positive balance. It also </w:t>
      </w:r>
      <w:r w:rsidR="00BF0775">
        <w:t>does not recognise</w:t>
      </w:r>
      <w:r w:rsidRPr="0021686E">
        <w:t xml:space="preserve"> protective factors against market volatility, which provide consumers with a level of c</w:t>
      </w:r>
      <w:r w:rsidR="00D17B5F" w:rsidRPr="0021686E">
        <w:t>onfidence</w:t>
      </w:r>
      <w:r w:rsidRPr="0021686E">
        <w:t xml:space="preserve"> around their spending power. </w:t>
      </w:r>
    </w:p>
    <w:p w14:paraId="7BD288BF" w14:textId="77777777" w:rsidR="00273533" w:rsidRPr="0021686E" w:rsidRDefault="00273533" w:rsidP="00273533">
      <w:pPr>
        <w:pStyle w:val="Bullet"/>
        <w:numPr>
          <w:ilvl w:val="0"/>
          <w:numId w:val="0"/>
        </w:numPr>
      </w:pPr>
      <w:r w:rsidRPr="0021686E">
        <w:t>Income variation could be measured as the number of times the income falls below the expected income or as the amount by which an annual payment has been reduced.</w:t>
      </w:r>
      <w:r w:rsidR="00BF0775">
        <w:t xml:space="preserve"> However, f</w:t>
      </w:r>
      <w:r w:rsidRPr="0021686E">
        <w:t xml:space="preserve">requency alone </w:t>
      </w:r>
      <w:r w:rsidR="00BF0775">
        <w:t xml:space="preserve">does </w:t>
      </w:r>
      <w:r w:rsidRPr="0021686E">
        <w:t xml:space="preserve">not take into account the size of the negative variations. </w:t>
      </w:r>
    </w:p>
    <w:p w14:paraId="7BD288C0" w14:textId="15092627" w:rsidR="00273533" w:rsidRPr="0021686E" w:rsidRDefault="00B6229E" w:rsidP="00273533">
      <w:r>
        <w:t>A measure of t</w:t>
      </w:r>
      <w:r w:rsidR="00273533" w:rsidRPr="0021686E">
        <w:t xml:space="preserve">he dispersion of decreased payments allows for the size and frequency of negative variations to be taken into account, as well as the possibility of fund exhaustion (running out of money).  This metric </w:t>
      </w:r>
      <w:r w:rsidR="0052030B">
        <w:t>would</w:t>
      </w:r>
      <w:r w:rsidR="00273533" w:rsidRPr="0021686E">
        <w:t xml:space="preserve"> take account of investment strategies, mortality variations, product rules and any protection features a product might have.</w:t>
      </w:r>
    </w:p>
    <w:p w14:paraId="7BD288C1" w14:textId="30B885DE" w:rsidR="00227C1E" w:rsidRDefault="00753FC7" w:rsidP="002565FE">
      <w:r w:rsidRPr="0021686E">
        <w:lastRenderedPageBreak/>
        <w:t>This proposed measure considers a range of risks and therefore is likely to provide a more holistic</w:t>
      </w:r>
      <w:r w:rsidR="00C64F32">
        <w:t xml:space="preserve"> and</w:t>
      </w:r>
      <w:r w:rsidRPr="0021686E">
        <w:t xml:space="preserve"> relevant indication of the risks for the consumer. </w:t>
      </w:r>
      <w:r w:rsidR="001E463B" w:rsidRPr="0021686E">
        <w:t xml:space="preserve">The </w:t>
      </w:r>
      <w:r w:rsidR="00B6229E">
        <w:t xml:space="preserve">risk </w:t>
      </w:r>
      <w:r w:rsidR="00273533" w:rsidRPr="0021686E">
        <w:t xml:space="preserve">calculation </w:t>
      </w:r>
      <w:r w:rsidR="00B6229E">
        <w:t xml:space="preserve">measures </w:t>
      </w:r>
      <w:r w:rsidR="00A072E7">
        <w:t>downside risk</w:t>
      </w:r>
      <w:r w:rsidR="009D5FD4">
        <w:t xml:space="preserve">. </w:t>
      </w:r>
      <w:r w:rsidR="00A072E7">
        <w:t xml:space="preserve">The metric captures risks to income </w:t>
      </w:r>
      <w:r w:rsidR="004E57C3">
        <w:t xml:space="preserve">that are the result of market fluctuation, </w:t>
      </w:r>
      <w:r w:rsidR="00E53C93">
        <w:t>longevity risk, and expected inflation risk</w:t>
      </w:r>
      <w:r w:rsidR="004E57C3">
        <w:t xml:space="preserve"> are included in the calculation. </w:t>
      </w:r>
      <w:r w:rsidR="001E463B">
        <w:t xml:space="preserve">The calculation uses the expected first year income as a starting point for variation as it creates a clearer distinction between products, assisting consumers to see the differences between products. </w:t>
      </w:r>
    </w:p>
    <w:p w14:paraId="7BD288C2" w14:textId="7B9EAEAE" w:rsidR="002565FE" w:rsidRDefault="008C247C" w:rsidP="002565FE">
      <w:r w:rsidRPr="000A14F5">
        <w:t xml:space="preserve">This risk metric </w:t>
      </w:r>
      <w:r w:rsidR="00237797" w:rsidRPr="000A14F5">
        <w:t xml:space="preserve">outlined </w:t>
      </w:r>
      <w:r w:rsidRPr="000A14F5">
        <w:t>applies to product income</w:t>
      </w:r>
      <w:r w:rsidR="00237797" w:rsidRPr="000A14F5">
        <w:t xml:space="preserve"> only for standardised product disclosure</w:t>
      </w:r>
      <w:r w:rsidRPr="000A14F5">
        <w:t xml:space="preserve">. However, </w:t>
      </w:r>
      <w:r w:rsidR="00237797" w:rsidRPr="000A14F5">
        <w:t>the metric</w:t>
      </w:r>
      <w:r w:rsidRPr="000A14F5">
        <w:t xml:space="preserve"> could be </w:t>
      </w:r>
      <w:r w:rsidR="00237797" w:rsidRPr="000A14F5">
        <w:t>adapted</w:t>
      </w:r>
      <w:r w:rsidRPr="000A14F5">
        <w:t xml:space="preserve"> to</w:t>
      </w:r>
      <w:r w:rsidR="00237797" w:rsidRPr="000A14F5">
        <w:t xml:space="preserve"> calculate risks</w:t>
      </w:r>
      <w:r w:rsidRPr="000A14F5">
        <w:t xml:space="preserve"> to total income (including Age Pension and other investments) should a consumer seek </w:t>
      </w:r>
      <w:r w:rsidR="00B3340A" w:rsidRPr="000A14F5">
        <w:t>personal</w:t>
      </w:r>
      <w:r w:rsidRPr="000A14F5">
        <w:t xml:space="preserve"> advice.</w:t>
      </w:r>
      <w:r>
        <w:t xml:space="preserve"> </w:t>
      </w:r>
      <w:r w:rsidR="009C4F02">
        <w:t xml:space="preserve">Technical details for </w:t>
      </w:r>
      <w:r w:rsidR="004E6BCF">
        <w:t xml:space="preserve">calculating this risk are provided </w:t>
      </w:r>
      <w:r w:rsidR="00D55897">
        <w:t>in</w:t>
      </w:r>
      <w:r w:rsidR="004E6BCF">
        <w:t xml:space="preserve"> the Australian Government Actuary</w:t>
      </w:r>
      <w:r w:rsidR="003A2AA3">
        <w:t xml:space="preserve"> (AGA)</w:t>
      </w:r>
      <w:r w:rsidR="004E6BCF">
        <w:t xml:space="preserve"> </w:t>
      </w:r>
      <w:r w:rsidR="00D55897">
        <w:t>paper</w:t>
      </w:r>
      <w:r w:rsidR="00865001">
        <w:t>:</w:t>
      </w:r>
      <w:r w:rsidR="00952681">
        <w:t xml:space="preserve"> “</w:t>
      </w:r>
      <w:r w:rsidR="00952681" w:rsidRPr="00952681">
        <w:rPr>
          <w:i/>
        </w:rPr>
        <w:t>Retirement Income Risk Measure</w:t>
      </w:r>
      <w:r w:rsidR="00952681">
        <w:t>” available o</w:t>
      </w:r>
      <w:r w:rsidR="00101C0C">
        <w:t>n</w:t>
      </w:r>
      <w:r w:rsidR="00952681">
        <w:t xml:space="preserve"> the Treasury consultation website.</w:t>
      </w:r>
      <w:r w:rsidR="00D55897">
        <w:t xml:space="preserve"> </w:t>
      </w:r>
    </w:p>
    <w:p w14:paraId="7BD288C3" w14:textId="77777777" w:rsidR="00013BA2" w:rsidRPr="005E1511" w:rsidRDefault="00013BA2" w:rsidP="00013BA2">
      <w:pPr>
        <w:rPr>
          <w:rStyle w:val="IntenseEmphasis"/>
        </w:rPr>
      </w:pPr>
      <w:r>
        <w:rPr>
          <w:rStyle w:val="IntenseEmphasis"/>
        </w:rPr>
        <w:t>For example:</w:t>
      </w:r>
    </w:p>
    <w:p w14:paraId="7BD288C4" w14:textId="3EE2C567" w:rsidR="00013BA2" w:rsidRDefault="00013BA2" w:rsidP="00013BA2">
      <w:pPr>
        <w:pStyle w:val="Bullet"/>
      </w:pPr>
      <w:r>
        <w:t xml:space="preserve">A </w:t>
      </w:r>
      <w:r w:rsidR="00A072E7">
        <w:t xml:space="preserve">regulated </w:t>
      </w:r>
      <w:r>
        <w:t xml:space="preserve">life insurance company that remains solvent providing </w:t>
      </w:r>
      <w:r w:rsidR="00B6229E">
        <w:t>a C</w:t>
      </w:r>
      <w:r w:rsidR="00BC0B53">
        <w:t>onsumer Price Index (C</w:t>
      </w:r>
      <w:r w:rsidR="00B6229E">
        <w:t>PI</w:t>
      </w:r>
      <w:r w:rsidR="00BC0B53">
        <w:t>)</w:t>
      </w:r>
      <w:r w:rsidR="00B6229E">
        <w:t xml:space="preserve"> indexed</w:t>
      </w:r>
      <w:r>
        <w:t xml:space="preserve"> life annuity should result in no payments that are below the expected </w:t>
      </w:r>
      <w:r w:rsidR="00B6229E">
        <w:t xml:space="preserve">real </w:t>
      </w:r>
      <w:r>
        <w:t xml:space="preserve">payment. So this </w:t>
      </w:r>
      <w:r w:rsidR="0052030B">
        <w:t>would</w:t>
      </w:r>
      <w:r>
        <w:t xml:space="preserve"> produce the lowest possible risk score. </w:t>
      </w:r>
    </w:p>
    <w:p w14:paraId="7BD288C5" w14:textId="4378A5C1" w:rsidR="00270330" w:rsidRDefault="00722D5B" w:rsidP="002565FE">
      <w:pPr>
        <w:pStyle w:val="Bullet"/>
      </w:pPr>
      <w:r>
        <w:t>A</w:t>
      </w:r>
      <w:r w:rsidR="00013BA2">
        <w:t xml:space="preserve"> product</w:t>
      </w:r>
      <w:r>
        <w:t xml:space="preserve"> </w:t>
      </w:r>
      <w:r w:rsidR="00013BA2">
        <w:t xml:space="preserve">that has no longevity protection </w:t>
      </w:r>
      <w:r w:rsidR="0052030B">
        <w:t>would</w:t>
      </w:r>
      <w:r w:rsidR="00013BA2">
        <w:t xml:space="preserve"> </w:t>
      </w:r>
      <w:r>
        <w:t>have</w:t>
      </w:r>
      <w:r w:rsidR="00013BA2">
        <w:t xml:space="preserve"> higher negative variances from the expected income. This type of product </w:t>
      </w:r>
      <w:r w:rsidR="0052030B">
        <w:t>would</w:t>
      </w:r>
      <w:r w:rsidR="00013BA2">
        <w:t xml:space="preserve"> have a higher risk score. </w:t>
      </w:r>
    </w:p>
    <w:p w14:paraId="7BD288C7" w14:textId="77777777" w:rsidR="002E1AEF" w:rsidRDefault="002E1AEF" w:rsidP="0036167A">
      <w:pPr>
        <w:spacing w:before="0" w:after="160" w:line="259" w:lineRule="auto"/>
      </w:pPr>
    </w:p>
    <w:tbl>
      <w:tblPr>
        <w:tblpPr w:leftFromText="180" w:rightFromText="180" w:vertAnchor="text" w:horzAnchor="margin" w:tblpY="73"/>
        <w:tblW w:w="5000" w:type="pct"/>
        <w:shd w:val="clear" w:color="auto" w:fill="E3E7F0"/>
        <w:tblLook w:val="01E0" w:firstRow="1" w:lastRow="1" w:firstColumn="1" w:lastColumn="1" w:noHBand="0" w:noVBand="0"/>
      </w:tblPr>
      <w:tblGrid>
        <w:gridCol w:w="9286"/>
      </w:tblGrid>
      <w:tr w:rsidR="001B1C7E" w14:paraId="7BD288CB" w14:textId="77777777" w:rsidTr="00645B2D">
        <w:tc>
          <w:tcPr>
            <w:tcW w:w="5000" w:type="pct"/>
            <w:shd w:val="clear" w:color="auto" w:fill="E3E7F0"/>
          </w:tcPr>
          <w:p w14:paraId="7BD288C8" w14:textId="2454702F" w:rsidR="001B1C7E" w:rsidRPr="00B576E0" w:rsidRDefault="001B1C7E" w:rsidP="00645B2D">
            <w:pPr>
              <w:pStyle w:val="Heading4"/>
              <w:rPr>
                <w:b/>
              </w:rPr>
            </w:pPr>
            <w:r>
              <w:t>Proposed approach:</w:t>
            </w:r>
            <w:r w:rsidR="001E463B">
              <w:t xml:space="preserve"> Calculating</w:t>
            </w:r>
            <w:r>
              <w:t xml:space="preserve"> </w:t>
            </w:r>
            <w:r w:rsidR="00865001">
              <w:t>i</w:t>
            </w:r>
            <w:r>
              <w:t xml:space="preserve">ncome </w:t>
            </w:r>
            <w:r w:rsidR="00865001">
              <w:t>v</w:t>
            </w:r>
            <w:r>
              <w:t>ariation</w:t>
            </w:r>
          </w:p>
          <w:p w14:paraId="7BD288C9" w14:textId="77777777" w:rsidR="00564BCB" w:rsidRDefault="001B1C7E" w:rsidP="00564BCB">
            <w:pPr>
              <w:pStyle w:val="Heading5"/>
            </w:pPr>
            <w:r>
              <w:t>For all retirement income products, income variation should</w:t>
            </w:r>
            <w:r w:rsidR="00610E6A">
              <w:t xml:space="preserve"> focus on negative</w:t>
            </w:r>
            <w:r w:rsidR="00564BCB">
              <w:t xml:space="preserve"> or downside</w:t>
            </w:r>
            <w:r w:rsidR="00610E6A">
              <w:t xml:space="preserve"> variation measured against </w:t>
            </w:r>
            <w:r w:rsidR="009C4F02">
              <w:t>expected</w:t>
            </w:r>
            <w:r w:rsidR="00564BCB">
              <w:t xml:space="preserve"> first year </w:t>
            </w:r>
            <w:r w:rsidR="00C566FB">
              <w:t xml:space="preserve">real </w:t>
            </w:r>
            <w:r w:rsidR="00610E6A">
              <w:t xml:space="preserve">income. </w:t>
            </w:r>
            <w:r w:rsidR="00610E6A" w:rsidRPr="00610E6A">
              <w:t xml:space="preserve"> The model measures downside income variations and the size of variations</w:t>
            </w:r>
            <w:r w:rsidR="00564BCB">
              <w:t xml:space="preserve">. </w:t>
            </w:r>
          </w:p>
          <w:p w14:paraId="7BD288CA" w14:textId="6612DA36" w:rsidR="001B1C7E" w:rsidRPr="008950C5" w:rsidRDefault="00564BCB" w:rsidP="00564BCB">
            <w:pPr>
              <w:pStyle w:val="Heading5"/>
            </w:pPr>
            <w:r>
              <w:t>Products with risk mitigation strategies, protection factors</w:t>
            </w:r>
            <w:r w:rsidR="00BF7F42">
              <w:t>,</w:t>
            </w:r>
            <w:r>
              <w:t xml:space="preserve"> or conservative investment strategies, create fewer downside var</w:t>
            </w:r>
            <w:r w:rsidR="004A5EAA">
              <w:t>i</w:t>
            </w:r>
            <w:r>
              <w:t>ations and therefore have lower risk scores.</w:t>
            </w:r>
            <w:r w:rsidR="00610E6A" w:rsidRPr="00610E6A">
              <w:t xml:space="preserve">  </w:t>
            </w:r>
          </w:p>
        </w:tc>
      </w:tr>
    </w:tbl>
    <w:p w14:paraId="7BD288CC" w14:textId="6B625930" w:rsidR="00F15989" w:rsidRDefault="008B33C2" w:rsidP="007274D2">
      <w:pPr>
        <w:pStyle w:val="Heading3noTOC"/>
      </w:pPr>
      <w:r>
        <w:t xml:space="preserve">Presentation </w:t>
      </w:r>
      <w:r w:rsidR="00FE6399">
        <w:t>f</w:t>
      </w:r>
      <w:r>
        <w:t xml:space="preserve">ormat: </w:t>
      </w:r>
      <w:r w:rsidR="00865001">
        <w:t>I</w:t>
      </w:r>
      <w:r w:rsidR="00F15989">
        <w:t xml:space="preserve">ncome </w:t>
      </w:r>
      <w:r w:rsidR="00FE6399">
        <w:t>v</w:t>
      </w:r>
      <w:r w:rsidR="00F15989">
        <w:t xml:space="preserve">ariation </w:t>
      </w:r>
    </w:p>
    <w:p w14:paraId="7BD288CD" w14:textId="54DA402B" w:rsidR="00F430FB" w:rsidRDefault="00F15989" w:rsidP="00722D5B">
      <w:r w:rsidRPr="00F15989">
        <w:t xml:space="preserve">Publishing a </w:t>
      </w:r>
      <w:r w:rsidR="00120F56">
        <w:t xml:space="preserve">risk measure </w:t>
      </w:r>
      <w:r w:rsidR="00302E04">
        <w:t xml:space="preserve">such as a negative semi-deviation </w:t>
      </w:r>
      <w:r w:rsidR="0035332E">
        <w:t xml:space="preserve">is likely to appear arbitrary and not </w:t>
      </w:r>
      <w:r w:rsidRPr="00F15989">
        <w:t xml:space="preserve">readily understood by </w:t>
      </w:r>
      <w:r w:rsidR="004C788F">
        <w:t>consumers</w:t>
      </w:r>
      <w:r w:rsidRPr="00F15989">
        <w:t xml:space="preserve">. </w:t>
      </w:r>
      <w:r w:rsidR="00120F56">
        <w:t xml:space="preserve">For this reason the risk measure </w:t>
      </w:r>
      <w:r w:rsidR="0052030B">
        <w:t>would</w:t>
      </w:r>
      <w:r w:rsidR="00120F56">
        <w:t xml:space="preserve"> be placed on a scale</w:t>
      </w:r>
      <w:r w:rsidR="00F25B35">
        <w:t xml:space="preserve"> of one to seven</w:t>
      </w:r>
      <w:r w:rsidR="00120F56">
        <w:t xml:space="preserve"> to make it simpler for the consumer and easier to compare products. </w:t>
      </w:r>
    </w:p>
    <w:p w14:paraId="7BD288CE" w14:textId="3E405EC4" w:rsidR="00120F56" w:rsidRDefault="00F430FB" w:rsidP="00F15989">
      <w:r>
        <w:t xml:space="preserve">The proposed presentation for the fact sheet is </w:t>
      </w:r>
      <w:r w:rsidR="00A072E7">
        <w:t xml:space="preserve">a scale of </w:t>
      </w:r>
      <w:r>
        <w:t xml:space="preserve">one to seven </w:t>
      </w:r>
      <w:r w:rsidR="00A072E7">
        <w:t xml:space="preserve">referencing </w:t>
      </w:r>
      <w:r>
        <w:t xml:space="preserve">‘income security’.  </w:t>
      </w:r>
      <w:r w:rsidR="00013BA2">
        <w:t>A high num</w:t>
      </w:r>
      <w:r w:rsidR="00722D5B">
        <w:t xml:space="preserve">ber on the scale would indicate </w:t>
      </w:r>
      <w:r w:rsidR="00013BA2">
        <w:t>expected income is stable and</w:t>
      </w:r>
      <w:r w:rsidR="00013BA2" w:rsidRPr="006A1968">
        <w:t xml:space="preserve"> </w:t>
      </w:r>
      <w:r w:rsidR="00013BA2">
        <w:t>reliable</w:t>
      </w:r>
      <w:r w:rsidR="0000518A">
        <w:t>,</w:t>
      </w:r>
      <w:r w:rsidR="00013BA2">
        <w:t xml:space="preserve"> </w:t>
      </w:r>
      <w:r w:rsidR="0000518A">
        <w:t xml:space="preserve">higher </w:t>
      </w:r>
      <w:r w:rsidR="00013BA2">
        <w:t xml:space="preserve">risk </w:t>
      </w:r>
      <w:r w:rsidR="0000518A">
        <w:t xml:space="preserve">products </w:t>
      </w:r>
      <w:r w:rsidR="00013BA2">
        <w:t>would equate to a low level of security</w:t>
      </w:r>
      <w:r w:rsidR="00A072E7">
        <w:t>, so a lower number on the scale</w:t>
      </w:r>
      <w:r w:rsidR="00013BA2">
        <w:t>.</w:t>
      </w:r>
    </w:p>
    <w:p w14:paraId="7BD288CF" w14:textId="5B61B320" w:rsidR="004E57C3" w:rsidRDefault="004E57C3" w:rsidP="004E57C3">
      <w:r>
        <w:t xml:space="preserve">Different products </w:t>
      </w:r>
      <w:r w:rsidR="0052030B">
        <w:t>would</w:t>
      </w:r>
      <w:r>
        <w:t xml:space="preserve"> have different income shapes depend</w:t>
      </w:r>
      <w:r w:rsidR="00722D5B">
        <w:t>ing on the product design. I</w:t>
      </w:r>
      <w:r>
        <w:t>t is proposed that the fact</w:t>
      </w:r>
      <w:r w:rsidR="002A1783">
        <w:t xml:space="preserve"> </w:t>
      </w:r>
      <w:r>
        <w:t>sheet also include a graph which shows simulated real income between the 5</w:t>
      </w:r>
      <w:r w:rsidRPr="00302E04">
        <w:rPr>
          <w:vertAlign w:val="superscript"/>
        </w:rPr>
        <w:t>th</w:t>
      </w:r>
      <w:r>
        <w:t xml:space="preserve"> and 95</w:t>
      </w:r>
      <w:r w:rsidRPr="00302E04">
        <w:rPr>
          <w:vertAlign w:val="superscript"/>
        </w:rPr>
        <w:t>th</w:t>
      </w:r>
      <w:r>
        <w:t xml:space="preserve"> percentile over the life of the product. </w:t>
      </w:r>
      <w:r w:rsidR="009450A4">
        <w:t>This should provide consumers with a</w:t>
      </w:r>
      <w:r w:rsidR="00A072E7">
        <w:t xml:space="preserve">n indication </w:t>
      </w:r>
      <w:r>
        <w:t xml:space="preserve">of payments </w:t>
      </w:r>
      <w:r w:rsidR="00A072E7">
        <w:t xml:space="preserve">outcomes </w:t>
      </w:r>
      <w:r>
        <w:t xml:space="preserve">over the life of the product. </w:t>
      </w:r>
    </w:p>
    <w:p w14:paraId="7BD288D0" w14:textId="587DDD4C" w:rsidR="00A46BA8" w:rsidRDefault="00387FA0" w:rsidP="00A46BA8">
      <w:r>
        <w:t xml:space="preserve">The income </w:t>
      </w:r>
      <w:r w:rsidR="00A072E7">
        <w:t xml:space="preserve">security </w:t>
      </w:r>
      <w:r>
        <w:t xml:space="preserve">measure takes account of inflation, longevity and market risk. For consumers these risks may </w:t>
      </w:r>
      <w:r w:rsidR="00BC0B53">
        <w:t>be of</w:t>
      </w:r>
      <w:r>
        <w:t xml:space="preserve"> different values. For example</w:t>
      </w:r>
      <w:r w:rsidR="00F430FB">
        <w:t>,</w:t>
      </w:r>
      <w:r>
        <w:t xml:space="preserve"> a consumer who is concerned about whether their income varies due to market forces may want to know whether the product protects them from this</w:t>
      </w:r>
      <w:r w:rsidR="003F01D9">
        <w:t xml:space="preserve"> particular risk</w:t>
      </w:r>
      <w:r>
        <w:t xml:space="preserve">. </w:t>
      </w:r>
    </w:p>
    <w:p w14:paraId="7BD288D1" w14:textId="7146A096" w:rsidR="00722D5B" w:rsidRDefault="007E416F" w:rsidP="00A46BA8">
      <w:r w:rsidRPr="001613A2">
        <w:t>A</w:t>
      </w:r>
      <w:r w:rsidR="00A46BA8" w:rsidRPr="001613A2">
        <w:t xml:space="preserve"> section </w:t>
      </w:r>
      <w:r w:rsidR="0052030B" w:rsidRPr="001613A2">
        <w:t>would</w:t>
      </w:r>
      <w:r w:rsidRPr="001613A2">
        <w:t xml:space="preserve"> also be included</w:t>
      </w:r>
      <w:r w:rsidR="00A46BA8" w:rsidRPr="001613A2">
        <w:t xml:space="preserve"> on </w:t>
      </w:r>
      <w:r w:rsidR="00983667" w:rsidRPr="001613A2">
        <w:t xml:space="preserve">the elements of the product that contribute to the ratings such as, </w:t>
      </w:r>
      <w:r w:rsidR="00387FA0" w:rsidRPr="001613A2">
        <w:t>information on inflation, longevity and market risks</w:t>
      </w:r>
      <w:r w:rsidR="00A46BA8" w:rsidRPr="001613A2">
        <w:t>, counterparty</w:t>
      </w:r>
      <w:r w:rsidR="00B772D3" w:rsidRPr="001613A2">
        <w:t xml:space="preserve"> risk</w:t>
      </w:r>
      <w:r w:rsidRPr="001613A2">
        <w:t xml:space="preserve"> and </w:t>
      </w:r>
      <w:r w:rsidR="00F430FB" w:rsidRPr="001613A2">
        <w:t>guarantee</w:t>
      </w:r>
      <w:r w:rsidR="00722D5B" w:rsidRPr="001613A2">
        <w:t>s</w:t>
      </w:r>
      <w:r w:rsidR="00F430FB" w:rsidRPr="001613A2">
        <w:t xml:space="preserve">. </w:t>
      </w:r>
      <w:r w:rsidR="00387FA0" w:rsidRPr="001613A2">
        <w:t xml:space="preserve">This should give consumers some indication of why products get certain risk rankings and allow easier product comparison. </w:t>
      </w:r>
      <w:r w:rsidR="00983667" w:rsidRPr="001613A2">
        <w:t xml:space="preserve">The elements listed, their weight and ratings </w:t>
      </w:r>
      <w:r w:rsidR="0052030B" w:rsidRPr="001613A2">
        <w:t>will</w:t>
      </w:r>
      <w:r w:rsidR="00983667" w:rsidRPr="001613A2">
        <w:t xml:space="preserve"> be developed through consultation with industry and the AGA.</w:t>
      </w:r>
    </w:p>
    <w:bookmarkStart w:id="25" w:name="_Toc523479372"/>
    <w:p w14:paraId="7BD288D2" w14:textId="05D0BA63" w:rsidR="00553E18" w:rsidRDefault="00952681" w:rsidP="00753FC7">
      <w:pPr>
        <w:rPr>
          <w:rFonts w:cs="Arial"/>
          <w:iCs/>
          <w:color w:val="004A7F"/>
          <w:kern w:val="32"/>
          <w:sz w:val="36"/>
          <w:szCs w:val="28"/>
        </w:rPr>
      </w:pPr>
      <w:r>
        <w:object w:dxaOrig="11026" w:dyaOrig="9349" w14:anchorId="4C04F461">
          <v:shape id="_x0000_i1028" type="#_x0000_t75" style="width:453pt;height:384pt" o:ole="">
            <v:imagedata r:id="rId36" o:title=""/>
          </v:shape>
          <o:OLEObject Type="Embed" ProgID="Visio.Drawing.11" ShapeID="_x0000_i1028" DrawAspect="Content" ObjectID="_1605683299" r:id="rId37"/>
        </w:object>
      </w:r>
    </w:p>
    <w:p w14:paraId="7BD288D3" w14:textId="77777777" w:rsidR="004832FE" w:rsidRDefault="004832FE" w:rsidP="00D5027A">
      <w:pPr>
        <w:pStyle w:val="Heading2"/>
      </w:pPr>
      <w:bookmarkStart w:id="26" w:name="_Toc531265808"/>
      <w:r>
        <w:t xml:space="preserve">Access to </w:t>
      </w:r>
      <w:bookmarkEnd w:id="25"/>
      <w:r w:rsidR="005A3A69">
        <w:t>underlying capital</w:t>
      </w:r>
      <w:bookmarkEnd w:id="26"/>
    </w:p>
    <w:p w14:paraId="7BD288D4" w14:textId="21C7EAEF" w:rsidR="00E45137" w:rsidRDefault="00E45137" w:rsidP="00E45137">
      <w:pPr>
        <w:pStyle w:val="Bullet"/>
        <w:numPr>
          <w:ilvl w:val="0"/>
          <w:numId w:val="0"/>
        </w:numPr>
      </w:pPr>
      <w:r>
        <w:t>Individuals with sufficient funds may wish to set aside some of their superannuation or have other assets available for planned expenses</w:t>
      </w:r>
      <w:r w:rsidR="009450A4">
        <w:t>.</w:t>
      </w:r>
      <w:r>
        <w:t xml:space="preserve"> </w:t>
      </w:r>
    </w:p>
    <w:p w14:paraId="7BD288D5" w14:textId="59AA0839" w:rsidR="00271E4E" w:rsidRDefault="007C370A" w:rsidP="007C370A">
      <w:pPr>
        <w:pStyle w:val="Bullet"/>
        <w:numPr>
          <w:ilvl w:val="0"/>
          <w:numId w:val="0"/>
        </w:numPr>
      </w:pPr>
      <w:r>
        <w:t>Accessibility of funds is</w:t>
      </w:r>
      <w:r w:rsidR="008F44CC">
        <w:t xml:space="preserve"> also</w:t>
      </w:r>
      <w:r>
        <w:t xml:space="preserve"> important</w:t>
      </w:r>
      <w:r w:rsidR="008F44CC">
        <w:t xml:space="preserve"> when selecting a product</w:t>
      </w:r>
      <w:r w:rsidR="006E15FD">
        <w:t>,</w:t>
      </w:r>
      <w:r>
        <w:t xml:space="preserve"> </w:t>
      </w:r>
      <w:r w:rsidR="008A427C">
        <w:t xml:space="preserve">particularly when </w:t>
      </w:r>
      <w:r w:rsidR="00271E4E">
        <w:t>circumstances change</w:t>
      </w:r>
      <w:r w:rsidR="008A427C">
        <w:t>, resulting in</w:t>
      </w:r>
      <w:r w:rsidR="00271E4E">
        <w:t xml:space="preserve"> people need</w:t>
      </w:r>
      <w:r w:rsidR="008A427C">
        <w:t>ing</w:t>
      </w:r>
      <w:r w:rsidR="00271E4E">
        <w:t xml:space="preserve"> large sums of money to adapt or deal with that change. This may include lump sums for home improvements</w:t>
      </w:r>
      <w:r w:rsidR="006E15FD">
        <w:t>,</w:t>
      </w:r>
      <w:r w:rsidR="00271E4E">
        <w:t xml:space="preserve"> or accessing funds for large purchases. </w:t>
      </w:r>
      <w:r w:rsidR="00E45137">
        <w:t xml:space="preserve">Having the flexibility to access emergency funds can help consumers cope </w:t>
      </w:r>
      <w:r w:rsidR="00EB4DE8">
        <w:t xml:space="preserve">with large </w:t>
      </w:r>
      <w:r w:rsidR="00E45137">
        <w:t>unexpected expenses.</w:t>
      </w:r>
    </w:p>
    <w:p w14:paraId="7BD288D6" w14:textId="223B6C6D" w:rsidR="007C370A" w:rsidRDefault="00E45137" w:rsidP="007C370A">
      <w:pPr>
        <w:pStyle w:val="Bullet"/>
        <w:numPr>
          <w:ilvl w:val="0"/>
          <w:numId w:val="0"/>
        </w:numPr>
      </w:pPr>
      <w:r>
        <w:t xml:space="preserve">Accessibility of capital in retirement </w:t>
      </w:r>
      <w:r w:rsidR="00661E35">
        <w:t xml:space="preserve">varies depending on the type </w:t>
      </w:r>
      <w:r>
        <w:t xml:space="preserve">of product. </w:t>
      </w:r>
      <w:r w:rsidR="00EB4DE8">
        <w:t xml:space="preserve">Products such as </w:t>
      </w:r>
      <w:r w:rsidR="002A1783">
        <w:t>A</w:t>
      </w:r>
      <w:r w:rsidR="007C370A">
        <w:t>BPs offer very high accessibility to funds and bequests upon death</w:t>
      </w:r>
      <w:r w:rsidR="00EB4DE8">
        <w:t>,</w:t>
      </w:r>
      <w:r w:rsidR="00EB4DE8" w:rsidRPr="00EB4DE8">
        <w:t xml:space="preserve"> </w:t>
      </w:r>
      <w:r w:rsidR="00EB4DE8">
        <w:t xml:space="preserve">whereas a product with an annuity component </w:t>
      </w:r>
      <w:r w:rsidR="0052030B">
        <w:t>would</w:t>
      </w:r>
      <w:r w:rsidR="00EB4DE8">
        <w:t xml:space="preserve"> provide less accessibility, but a more stable income.</w:t>
      </w:r>
      <w:r w:rsidR="007C370A">
        <w:t xml:space="preserve"> </w:t>
      </w:r>
      <w:r w:rsidR="008F44CC">
        <w:t>Accordingly</w:t>
      </w:r>
      <w:r w:rsidR="00865001">
        <w:t xml:space="preserve"> there is a trade</w:t>
      </w:r>
      <w:r w:rsidR="0039255B">
        <w:noBreakHyphen/>
      </w:r>
      <w:r>
        <w:t xml:space="preserve">off between that accessibility and volatility of income. </w:t>
      </w:r>
    </w:p>
    <w:p w14:paraId="7BD288D7" w14:textId="79E5F6AF" w:rsidR="00810709" w:rsidRDefault="00936D87" w:rsidP="007C370A">
      <w:pPr>
        <w:pStyle w:val="Bullet"/>
        <w:numPr>
          <w:ilvl w:val="0"/>
          <w:numId w:val="0"/>
        </w:numPr>
      </w:pPr>
      <w:r>
        <w:t xml:space="preserve">Several options have been considered when providing information </w:t>
      </w:r>
      <w:r w:rsidR="00EB4DE8">
        <w:t>regarding</w:t>
      </w:r>
      <w:r>
        <w:t xml:space="preserve"> lump sums</w:t>
      </w:r>
      <w:r w:rsidR="00865001">
        <w:t>,</w:t>
      </w:r>
      <w:r>
        <w:t xml:space="preserve"> including disclosing information on partial withdrawals and full withdrawal (commutation).</w:t>
      </w:r>
      <w:r w:rsidRPr="00936D87">
        <w:t xml:space="preserve"> </w:t>
      </w:r>
      <w:r>
        <w:t>The impact of partial withdrawals on future income and lump sums is difficult to standardise for disclosure purposes. For this reason the preferred approach is to f</w:t>
      </w:r>
      <w:r w:rsidR="00810709">
        <w:t xml:space="preserve">ocus on commutable value </w:t>
      </w:r>
      <w:r>
        <w:t>or the</w:t>
      </w:r>
      <w:r w:rsidR="008F44CC">
        <w:t xml:space="preserve"> maximum</w:t>
      </w:r>
      <w:r>
        <w:t xml:space="preserve"> amount of the purchase price a consumer could cash out as a lump sum at any period during the life of the product. </w:t>
      </w:r>
    </w:p>
    <w:p w14:paraId="7BD288D8" w14:textId="600C4645" w:rsidR="00B772D3" w:rsidRDefault="00936D87" w:rsidP="00442601">
      <w:pPr>
        <w:pStyle w:val="Bullet"/>
        <w:numPr>
          <w:ilvl w:val="0"/>
          <w:numId w:val="0"/>
        </w:numPr>
      </w:pPr>
      <w:r>
        <w:t xml:space="preserve">There is an expectation that the fund would provide </w:t>
      </w:r>
      <w:r w:rsidR="005A3A69">
        <w:t>information</w:t>
      </w:r>
      <w:r>
        <w:t xml:space="preserve"> to individual fund members if the consumer wanted to withdraw a partial amount. </w:t>
      </w:r>
      <w:r w:rsidR="004C7F5C">
        <w:t xml:space="preserve">Consumers </w:t>
      </w:r>
      <w:r w:rsidR="005A3A69">
        <w:t xml:space="preserve">would benefit from being </w:t>
      </w:r>
      <w:r w:rsidR="004C7F5C">
        <w:t xml:space="preserve">provided with information on how that specific withdrawal </w:t>
      </w:r>
      <w:r w:rsidR="0052030B">
        <w:t>would</w:t>
      </w:r>
      <w:r w:rsidR="004C7F5C">
        <w:t xml:space="preserve"> impact their </w:t>
      </w:r>
      <w:r w:rsidR="00EB4DE8">
        <w:t xml:space="preserve">income </w:t>
      </w:r>
      <w:r w:rsidR="004C7F5C">
        <w:t xml:space="preserve">and any potential future </w:t>
      </w:r>
      <w:r w:rsidR="005A3A69">
        <w:t xml:space="preserve">capital </w:t>
      </w:r>
      <w:r w:rsidR="004C7F5C">
        <w:t>withdrawals.</w:t>
      </w:r>
    </w:p>
    <w:tbl>
      <w:tblPr>
        <w:tblpPr w:leftFromText="180" w:rightFromText="180" w:vertAnchor="text" w:horzAnchor="margin" w:tblpY="73"/>
        <w:tblW w:w="5000" w:type="pct"/>
        <w:shd w:val="clear" w:color="auto" w:fill="E3E7F0"/>
        <w:tblLook w:val="01E0" w:firstRow="1" w:lastRow="1" w:firstColumn="1" w:lastColumn="1" w:noHBand="0" w:noVBand="0"/>
      </w:tblPr>
      <w:tblGrid>
        <w:gridCol w:w="9286"/>
      </w:tblGrid>
      <w:tr w:rsidR="00130C53" w14:paraId="7BD288DB" w14:textId="77777777" w:rsidTr="00645B2D">
        <w:tc>
          <w:tcPr>
            <w:tcW w:w="5000" w:type="pct"/>
            <w:shd w:val="clear" w:color="auto" w:fill="E3E7F0"/>
          </w:tcPr>
          <w:p w14:paraId="7BD288D9" w14:textId="77777777" w:rsidR="00130C53" w:rsidRPr="00B576E0" w:rsidRDefault="00130C53" w:rsidP="00645B2D">
            <w:pPr>
              <w:pStyle w:val="Heading4"/>
              <w:rPr>
                <w:b/>
              </w:rPr>
            </w:pPr>
            <w:r>
              <w:lastRenderedPageBreak/>
              <w:t>Proposed approach: Access to Capital</w:t>
            </w:r>
          </w:p>
          <w:p w14:paraId="7BD288DA" w14:textId="73B30E84" w:rsidR="00130C53" w:rsidRPr="00130C53" w:rsidRDefault="00680971" w:rsidP="00680971">
            <w:pPr>
              <w:pStyle w:val="Heading5"/>
            </w:pPr>
            <w:r>
              <w:t>For all retirement income products, c</w:t>
            </w:r>
            <w:r w:rsidR="00130C53">
              <w:t xml:space="preserve">onsumers should be presented with information on </w:t>
            </w:r>
            <w:r w:rsidR="009775AF">
              <w:t>the maximum amount they could withdraw at any time</w:t>
            </w:r>
            <w:r w:rsidR="00D86CBB">
              <w:t xml:space="preserve"> </w:t>
            </w:r>
            <w:r w:rsidR="009775AF">
              <w:t xml:space="preserve">if they wanted to stop using the product. This amount </w:t>
            </w:r>
            <w:r w:rsidR="0052030B">
              <w:t>would</w:t>
            </w:r>
            <w:r w:rsidR="009775AF">
              <w:t xml:space="preserve"> vary depending on what type of product they have purchased and </w:t>
            </w:r>
            <w:r w:rsidR="004C7F5C">
              <w:t xml:space="preserve">the capital access schedule.   </w:t>
            </w:r>
          </w:p>
        </w:tc>
      </w:tr>
    </w:tbl>
    <w:p w14:paraId="7BD288DC" w14:textId="565D36CB" w:rsidR="00442601" w:rsidRDefault="006225C1" w:rsidP="007274D2">
      <w:pPr>
        <w:pStyle w:val="Heading3noTOC"/>
      </w:pPr>
      <w:r>
        <w:t xml:space="preserve">Presentation </w:t>
      </w:r>
      <w:r w:rsidR="00FE6399">
        <w:t>f</w:t>
      </w:r>
      <w:r>
        <w:t>ormat:</w:t>
      </w:r>
      <w:r w:rsidR="008A427C">
        <w:t xml:space="preserve"> </w:t>
      </w:r>
      <w:r w:rsidR="00C05916">
        <w:t>A</w:t>
      </w:r>
      <w:r w:rsidR="008A427C">
        <w:t>ccess to capital</w:t>
      </w:r>
      <w:r>
        <w:t xml:space="preserve"> </w:t>
      </w:r>
    </w:p>
    <w:p w14:paraId="7BD288DD" w14:textId="2BAFDF40" w:rsidR="006D27D5" w:rsidRDefault="00560E4B" w:rsidP="00D46823">
      <w:r>
        <w:t xml:space="preserve">There are </w:t>
      </w:r>
      <w:r w:rsidR="006B0467">
        <w:t>two potential</w:t>
      </w:r>
      <w:r>
        <w:t xml:space="preserve"> options for how access to lump sums can be presented on a </w:t>
      </w:r>
      <w:r w:rsidR="006225C1">
        <w:t>fact</w:t>
      </w:r>
      <w:r w:rsidR="002A1783">
        <w:t xml:space="preserve"> </w:t>
      </w:r>
      <w:r w:rsidR="006225C1">
        <w:t>sheet</w:t>
      </w:r>
      <w:r>
        <w:t xml:space="preserve">, these are presented below. These could be </w:t>
      </w:r>
      <w:r w:rsidR="00EB4DE8">
        <w:t xml:space="preserve">included as illustrated, </w:t>
      </w:r>
      <w:r>
        <w:t xml:space="preserve">or in a combination </w:t>
      </w:r>
      <w:r w:rsidR="00EB4DE8">
        <w:t>with</w:t>
      </w:r>
      <w:r>
        <w:t xml:space="preserve"> text. All of these options assume a consumer has not already withdrawn money</w:t>
      </w:r>
      <w:r w:rsidR="00C5348E">
        <w:t xml:space="preserve"> and the median </w:t>
      </w:r>
      <w:r w:rsidR="00B32BE3">
        <w:t>expected</w:t>
      </w:r>
      <w:r w:rsidR="00C5348E">
        <w:t xml:space="preserve"> income has been achieved</w:t>
      </w:r>
      <w:r>
        <w:t>.</w:t>
      </w:r>
    </w:p>
    <w:p w14:paraId="7BD288DE" w14:textId="747796A4" w:rsidR="0016163A" w:rsidRDefault="0016163A" w:rsidP="00D46823">
      <w:r>
        <w:t xml:space="preserve">The </w:t>
      </w:r>
      <w:r w:rsidR="006B0467">
        <w:t>options</w:t>
      </w:r>
      <w:r>
        <w:t xml:space="preserve"> </w:t>
      </w:r>
      <w:r w:rsidR="00EB4DE8">
        <w:t xml:space="preserve">below </w:t>
      </w:r>
      <w:r>
        <w:t>assume an initial investment of $</w:t>
      </w:r>
      <w:r w:rsidR="00C05916">
        <w:t>1</w:t>
      </w:r>
      <w:r>
        <w:t>00,000 in a product that has 80</w:t>
      </w:r>
      <w:r w:rsidR="00EB4DE8">
        <w:t xml:space="preserve"> per cent</w:t>
      </w:r>
      <w:r>
        <w:t xml:space="preserve"> </w:t>
      </w:r>
      <w:r w:rsidR="002A1783">
        <w:t>ABP</w:t>
      </w:r>
      <w:r w:rsidR="00C05916">
        <w:t xml:space="preserve"> and 20</w:t>
      </w:r>
      <w:r w:rsidR="00EB4DE8">
        <w:t xml:space="preserve"> per cent</w:t>
      </w:r>
      <w:r w:rsidR="00C05916">
        <w:t xml:space="preserve"> </w:t>
      </w:r>
      <w:r w:rsidR="00EB4DE8">
        <w:t>d</w:t>
      </w:r>
      <w:r w:rsidR="00C05916">
        <w:t xml:space="preserve">eferred </w:t>
      </w:r>
      <w:r w:rsidR="00EB4DE8">
        <w:t>l</w:t>
      </w:r>
      <w:r w:rsidR="00C05916">
        <w:t xml:space="preserve">ife </w:t>
      </w:r>
      <w:r w:rsidR="00EB4DE8">
        <w:t>a</w:t>
      </w:r>
      <w:r w:rsidR="00C05916">
        <w:t>nnuity</w:t>
      </w:r>
      <w:r w:rsidR="006B0467">
        <w:t>,</w:t>
      </w:r>
      <w:r w:rsidR="00E53C93">
        <w:t xml:space="preserve"> with minimum draw down rates</w:t>
      </w:r>
      <w:r w:rsidR="006B0467">
        <w:t xml:space="preserve"> and take</w:t>
      </w:r>
      <w:r w:rsidR="00FE6399">
        <w:t xml:space="preserve"> into consideration</w:t>
      </w:r>
      <w:r w:rsidR="006B0467">
        <w:t xml:space="preserve"> the capital access schedule</w:t>
      </w:r>
      <w:r w:rsidR="00C05916">
        <w:t xml:space="preserve">. </w:t>
      </w:r>
      <w:r w:rsidR="000B17B6">
        <w:t xml:space="preserve">Option A provides a </w:t>
      </w:r>
      <w:r w:rsidR="0039255B">
        <w:t>chart</w:t>
      </w:r>
      <w:r w:rsidR="000B17B6">
        <w:t xml:space="preserve"> representing how much of the original purchase price is available as a lump sum from age 67 to age 97. </w:t>
      </w:r>
    </w:p>
    <w:p w14:paraId="7BD288DF" w14:textId="4DEB616C" w:rsidR="006D27D5" w:rsidRDefault="00560E4B" w:rsidP="00CD30CD">
      <w:pPr>
        <w:pStyle w:val="Heading5"/>
      </w:pPr>
      <w:r>
        <w:t xml:space="preserve">Option </w:t>
      </w:r>
      <w:r w:rsidR="00C05916">
        <w:t>A</w:t>
      </w:r>
      <w:r>
        <w:t xml:space="preserve"> – </w:t>
      </w:r>
      <w:r w:rsidR="0039255B">
        <w:t>Chart</w:t>
      </w:r>
      <w:r w:rsidR="0036326B">
        <w:t xml:space="preserve"> </w:t>
      </w:r>
    </w:p>
    <w:p w14:paraId="5135D6C2" w14:textId="7AB60BFA" w:rsidR="009A543D" w:rsidRDefault="007E37A3" w:rsidP="00D83E3E">
      <w:r>
        <w:object w:dxaOrig="10908" w:dyaOrig="4481" w14:anchorId="1FD05F42">
          <v:shape id="_x0000_i1033" type="#_x0000_t75" style="width:453pt;height:186pt" o:ole="">
            <v:imagedata r:id="rId38" o:title=""/>
          </v:shape>
          <o:OLEObject Type="Embed" ProgID="Visio.Drawing.11" ShapeID="_x0000_i1033" DrawAspect="Content" ObjectID="_1605683300" r:id="rId39"/>
        </w:object>
      </w:r>
    </w:p>
    <w:p w14:paraId="7BD288E0" w14:textId="197CA2E6" w:rsidR="00560E4B" w:rsidRDefault="00560E4B" w:rsidP="009A543D">
      <w:pPr>
        <w:pStyle w:val="Heading5"/>
      </w:pPr>
      <w:r>
        <w:t xml:space="preserve">Option </w:t>
      </w:r>
      <w:r w:rsidR="00D55897">
        <w:t>B</w:t>
      </w:r>
      <w:r>
        <w:t xml:space="preserve">- Table </w:t>
      </w:r>
    </w:p>
    <w:p w14:paraId="7BD288E1" w14:textId="77777777" w:rsidR="005D3849" w:rsidRDefault="00D83E3E" w:rsidP="005D3849">
      <w:r w:rsidRPr="005D3849">
        <w:object w:dxaOrig="8332" w:dyaOrig="4506" w14:anchorId="7BD2895C">
          <v:shape id="_x0000_i1030" type="#_x0000_t75" style="width:392.25pt;height:210pt" o:ole="">
            <v:imagedata r:id="rId40" o:title=""/>
          </v:shape>
          <o:OLEObject Type="Embed" ProgID="Visio.Drawing.11" ShapeID="_x0000_i1030" DrawAspect="Content" ObjectID="_1605683301" r:id="rId41"/>
        </w:object>
      </w:r>
    </w:p>
    <w:p w14:paraId="7BD288E2" w14:textId="4880738C" w:rsidR="00983667" w:rsidRPr="00DA0DD3" w:rsidRDefault="00983667" w:rsidP="005D3849">
      <w:pPr>
        <w:pStyle w:val="Heading2"/>
      </w:pPr>
      <w:bookmarkStart w:id="27" w:name="_Toc531265809"/>
      <w:r w:rsidRPr="00DA0DD3">
        <w:lastRenderedPageBreak/>
        <w:t xml:space="preserve">Death </w:t>
      </w:r>
      <w:r w:rsidR="00FE6399">
        <w:t>b</w:t>
      </w:r>
      <w:r w:rsidRPr="00DA0DD3">
        <w:t xml:space="preserve">enefits and </w:t>
      </w:r>
      <w:r w:rsidR="00FE6399">
        <w:t>r</w:t>
      </w:r>
      <w:r w:rsidRPr="00DA0DD3">
        <w:t xml:space="preserve">eversionary </w:t>
      </w:r>
      <w:r w:rsidR="00FE6399">
        <w:t>b</w:t>
      </w:r>
      <w:r w:rsidRPr="00DA0DD3">
        <w:t>enefits</w:t>
      </w:r>
      <w:bookmarkEnd w:id="27"/>
    </w:p>
    <w:p w14:paraId="7BD288E3" w14:textId="237ACE1E" w:rsidR="00983667" w:rsidRPr="00DA0DD3" w:rsidRDefault="007E416F" w:rsidP="00983667">
      <w:r w:rsidRPr="00DA0DD3">
        <w:t>Al</w:t>
      </w:r>
      <w:r w:rsidR="00D12BEE" w:rsidRPr="00DA0DD3">
        <w:t>though superannuation is accumulated on an individual basis</w:t>
      </w:r>
      <w:r w:rsidRPr="00DA0DD3">
        <w:t>,</w:t>
      </w:r>
      <w:r w:rsidR="00D12BEE" w:rsidRPr="00DA0DD3">
        <w:t xml:space="preserve"> the majority of people approach retirement as a member of a couple. </w:t>
      </w:r>
      <w:r w:rsidR="003E287D" w:rsidRPr="00DA0DD3">
        <w:t>In most cases, superannuation balance</w:t>
      </w:r>
      <w:r w:rsidR="00EC26F8" w:rsidRPr="00DA0DD3">
        <w:t>s will differ between partners</w:t>
      </w:r>
      <w:r w:rsidR="003E287D" w:rsidRPr="00DA0DD3">
        <w:t xml:space="preserve"> and </w:t>
      </w:r>
      <w:r w:rsidR="00EC26F8" w:rsidRPr="00DA0DD3">
        <w:t xml:space="preserve">the couple </w:t>
      </w:r>
      <w:r w:rsidR="0052030B" w:rsidRPr="00DA0DD3">
        <w:t>may</w:t>
      </w:r>
      <w:r w:rsidR="00EC26F8" w:rsidRPr="00DA0DD3">
        <w:t xml:space="preserve"> want to be able to plan together how to make the most of those savings</w:t>
      </w:r>
      <w:r w:rsidR="00D12BEE" w:rsidRPr="00DA0DD3">
        <w:t>. For some consumers that are a member of a couple</w:t>
      </w:r>
      <w:r w:rsidR="00CE3CF9" w:rsidRPr="00DA0DD3">
        <w:t>,</w:t>
      </w:r>
      <w:r w:rsidR="00D12BEE" w:rsidRPr="00DA0DD3">
        <w:t xml:space="preserve"> providing income for a surviving partner </w:t>
      </w:r>
      <w:r w:rsidR="008F44CC" w:rsidRPr="00DA0DD3">
        <w:t>may be</w:t>
      </w:r>
      <w:r w:rsidR="00D12BEE" w:rsidRPr="00DA0DD3">
        <w:t xml:space="preserve"> important. </w:t>
      </w:r>
    </w:p>
    <w:p w14:paraId="7BD288E4" w14:textId="39421E07" w:rsidR="00D12BEE" w:rsidRPr="00DA0DD3" w:rsidRDefault="00D12BEE" w:rsidP="00983667">
      <w:r w:rsidRPr="00DA0DD3">
        <w:t xml:space="preserve">The preferred options for disclosing this information is to provide information on ongoing income payments to a partner (reversionary benefits), remaining underlying cash balance to be paid on death (commutable value), and any lump sum death benefits (life insurance components). </w:t>
      </w:r>
      <w:r w:rsidR="00CE51E8" w:rsidRPr="00DA0DD3">
        <w:t xml:space="preserve">For example, an ABP </w:t>
      </w:r>
      <w:r w:rsidR="0052030B" w:rsidRPr="00DA0DD3">
        <w:t>would</w:t>
      </w:r>
      <w:r w:rsidR="00CE51E8" w:rsidRPr="00DA0DD3">
        <w:t xml:space="preserve"> outline the underlying cash balance remaining that can be paid to </w:t>
      </w:r>
      <w:r w:rsidR="00CE3CF9" w:rsidRPr="00DA0DD3">
        <w:t xml:space="preserve">a </w:t>
      </w:r>
      <w:r w:rsidR="00CE51E8" w:rsidRPr="00DA0DD3">
        <w:t>spouse or partner. For annuities, the percentage of reversionary benefits available for a partner or spouse</w:t>
      </w:r>
      <w:r w:rsidR="00F7444E" w:rsidRPr="00DA0DD3">
        <w:t xml:space="preserve"> can be provided</w:t>
      </w:r>
      <w:r w:rsidR="00CE51E8" w:rsidRPr="00DA0DD3">
        <w:t>.</w:t>
      </w:r>
    </w:p>
    <w:p w14:paraId="7BD288E5" w14:textId="7D7C3736" w:rsidR="00D12BEE" w:rsidRPr="00DA0DD3" w:rsidRDefault="00D12BEE" w:rsidP="00D12BEE">
      <w:pPr>
        <w:pStyle w:val="Heading3noTOC"/>
      </w:pPr>
      <w:r w:rsidRPr="00DA0DD3">
        <w:t xml:space="preserve">Presentation </w:t>
      </w:r>
      <w:r w:rsidR="00FE6399">
        <w:t>f</w:t>
      </w:r>
      <w:r w:rsidRPr="00DA0DD3">
        <w:t xml:space="preserve">ormat: Death and </w:t>
      </w:r>
      <w:r w:rsidR="00FE6399">
        <w:t>r</w:t>
      </w:r>
      <w:r w:rsidRPr="00DA0DD3">
        <w:t xml:space="preserve">eversionary </w:t>
      </w:r>
      <w:r w:rsidR="00FE6399">
        <w:t>b</w:t>
      </w:r>
      <w:r w:rsidRPr="00DA0DD3">
        <w:t>enefits</w:t>
      </w:r>
    </w:p>
    <w:p w14:paraId="7BD288E6" w14:textId="3FBF16E9" w:rsidR="00D12BEE" w:rsidRPr="00DA0DD3" w:rsidRDefault="007F1A1E" w:rsidP="003329A3">
      <w:r w:rsidRPr="00DA0DD3">
        <w:t>T</w:t>
      </w:r>
      <w:r w:rsidR="003329A3" w:rsidRPr="00DA0DD3">
        <w:t xml:space="preserve">hree components on the fact sheet could be provided to consumers, including; </w:t>
      </w:r>
      <w:r w:rsidRPr="00DA0DD3">
        <w:t>‘</w:t>
      </w:r>
      <w:r w:rsidR="007E37A3">
        <w:t>o</w:t>
      </w:r>
      <w:r w:rsidR="003329A3" w:rsidRPr="00DA0DD3">
        <w:t>ngoing income as a percentage of the average income</w:t>
      </w:r>
      <w:r w:rsidRPr="00DA0DD3">
        <w:t>’</w:t>
      </w:r>
      <w:r w:rsidR="003329A3" w:rsidRPr="00DA0DD3">
        <w:t xml:space="preserve">, any </w:t>
      </w:r>
      <w:r w:rsidRPr="00DA0DD3">
        <w:t>‘</w:t>
      </w:r>
      <w:r w:rsidR="003329A3" w:rsidRPr="00DA0DD3">
        <w:t>remaining commutable value</w:t>
      </w:r>
      <w:r w:rsidRPr="00DA0DD3">
        <w:t>’</w:t>
      </w:r>
      <w:r w:rsidR="003329A3" w:rsidRPr="00DA0DD3">
        <w:t xml:space="preserve"> and </w:t>
      </w:r>
      <w:r w:rsidRPr="00DA0DD3">
        <w:t>‘</w:t>
      </w:r>
      <w:r w:rsidR="003329A3" w:rsidRPr="00DA0DD3">
        <w:t>insurance payments</w:t>
      </w:r>
      <w:r w:rsidRPr="00DA0DD3">
        <w:t>’</w:t>
      </w:r>
      <w:r w:rsidR="003329A3" w:rsidRPr="00DA0DD3">
        <w:t xml:space="preserve">. These could be deleted </w:t>
      </w:r>
      <w:r w:rsidR="00CF4BC9" w:rsidRPr="00DA0DD3">
        <w:t xml:space="preserve">or modified </w:t>
      </w:r>
      <w:r w:rsidR="003329A3" w:rsidRPr="00DA0DD3">
        <w:t xml:space="preserve">depending on what the product provides. </w:t>
      </w:r>
    </w:p>
    <w:p w14:paraId="7BD288E7" w14:textId="77777777" w:rsidR="00D12BEE" w:rsidRDefault="00D12BEE" w:rsidP="000C76E1"/>
    <w:p w14:paraId="7BD288E8" w14:textId="77777777" w:rsidR="00D12BEE" w:rsidRDefault="007E37A3" w:rsidP="00983667">
      <w:r>
        <w:object w:dxaOrig="9438" w:dyaOrig="3570" w14:anchorId="7BD2895D">
          <v:shape id="_x0000_i1036" type="#_x0000_t75" style="width:422.25pt;height:159pt" o:ole="">
            <v:imagedata r:id="rId42" o:title=""/>
          </v:shape>
          <o:OLEObject Type="Embed" ProgID="Visio.Drawing.11" ShapeID="_x0000_i1036" DrawAspect="Content" ObjectID="_1605683302" r:id="rId43"/>
        </w:object>
      </w:r>
    </w:p>
    <w:p w14:paraId="7BD288E9" w14:textId="77777777" w:rsidR="0092436A" w:rsidRPr="00BB33F6" w:rsidRDefault="00C02E06" w:rsidP="005D3849">
      <w:pPr>
        <w:pStyle w:val="Heading2"/>
        <w:rPr>
          <w:sz w:val="48"/>
          <w:szCs w:val="36"/>
        </w:rPr>
      </w:pPr>
      <w:bookmarkStart w:id="28" w:name="_Toc531265810"/>
      <w:r>
        <w:t xml:space="preserve">Future </w:t>
      </w:r>
      <w:r w:rsidR="003122BC">
        <w:t>considerations</w:t>
      </w:r>
      <w:bookmarkEnd w:id="28"/>
    </w:p>
    <w:p w14:paraId="7BD288EA" w14:textId="31E2745F" w:rsidR="00FD0FB3" w:rsidRPr="0036167A" w:rsidRDefault="00FD0FB3" w:rsidP="00FD0FB3">
      <w:r>
        <w:t>This paper presents only one element of a full disclosure framework. There are other elements</w:t>
      </w:r>
      <w:r w:rsidR="00EB4DE8">
        <w:t xml:space="preserve"> to ensure that </w:t>
      </w:r>
      <w:r>
        <w:t>consumers stay informed through</w:t>
      </w:r>
      <w:r w:rsidR="00EB4DE8">
        <w:t>out</w:t>
      </w:r>
      <w:r>
        <w:t xml:space="preserve"> </w:t>
      </w:r>
      <w:r w:rsidRPr="0036167A">
        <w:t>their retirement. While these elements are not included in the fact sheet</w:t>
      </w:r>
      <w:r w:rsidR="00EB4DE8" w:rsidRPr="0036167A">
        <w:t xml:space="preserve">, they </w:t>
      </w:r>
      <w:r w:rsidR="008F44CC" w:rsidRPr="0036167A">
        <w:t>may</w:t>
      </w:r>
      <w:r w:rsidR="00EB4DE8" w:rsidRPr="0036167A">
        <w:t xml:space="preserve"> nonetheless form part of the retirement income framework.</w:t>
      </w:r>
      <w:r w:rsidRPr="0036167A">
        <w:t xml:space="preserve"> </w:t>
      </w:r>
      <w:r w:rsidR="00BA281F" w:rsidRPr="0036167A">
        <w:t>The matters below are being</w:t>
      </w:r>
      <w:r w:rsidR="00C02E06" w:rsidRPr="0036167A">
        <w:t xml:space="preserve"> consider</w:t>
      </w:r>
      <w:r w:rsidR="00BA281F" w:rsidRPr="0036167A">
        <w:t>ed</w:t>
      </w:r>
      <w:r w:rsidR="00C02E06" w:rsidRPr="0036167A">
        <w:t xml:space="preserve"> </w:t>
      </w:r>
      <w:r w:rsidR="008F44CC" w:rsidRPr="0036167A">
        <w:t xml:space="preserve">at a later time </w:t>
      </w:r>
      <w:r w:rsidR="00C02E06" w:rsidRPr="0036167A">
        <w:t xml:space="preserve">as a part of the </w:t>
      </w:r>
      <w:r w:rsidR="008F44CC" w:rsidRPr="0036167A">
        <w:t xml:space="preserve">broader </w:t>
      </w:r>
      <w:r w:rsidR="00C02E06" w:rsidRPr="0036167A">
        <w:t>retirement framework</w:t>
      </w:r>
      <w:r w:rsidR="00BA281F" w:rsidRPr="0036167A">
        <w:t xml:space="preserve">. </w:t>
      </w:r>
      <w:r w:rsidR="00C02E06" w:rsidRPr="0036167A">
        <w:t xml:space="preserve"> </w:t>
      </w:r>
    </w:p>
    <w:p w14:paraId="7BD288EB" w14:textId="77777777" w:rsidR="00B66170" w:rsidRPr="0036167A" w:rsidRDefault="0046099B" w:rsidP="00B66170">
      <w:pPr>
        <w:keepNext/>
        <w:spacing w:before="240"/>
        <w:outlineLvl w:val="2"/>
        <w:rPr>
          <w:rFonts w:cs="Arial"/>
          <w:color w:val="7F7F7F"/>
          <w:kern w:val="32"/>
          <w:sz w:val="28"/>
          <w:szCs w:val="26"/>
        </w:rPr>
      </w:pPr>
      <w:r w:rsidRPr="0036167A">
        <w:rPr>
          <w:rFonts w:cs="Arial"/>
          <w:color w:val="7F7F7F"/>
          <w:kern w:val="32"/>
          <w:sz w:val="28"/>
          <w:szCs w:val="26"/>
        </w:rPr>
        <w:t>Lifetime engagement</w:t>
      </w:r>
    </w:p>
    <w:p w14:paraId="7BD288EC" w14:textId="77777777" w:rsidR="00B66170" w:rsidRPr="00B66170" w:rsidRDefault="00BA281F" w:rsidP="005509DB">
      <w:r w:rsidRPr="0036167A">
        <w:t xml:space="preserve">Consideration is being given to requirements for funds to engage with members leading up to retirement to ensure consumers have a greater understanding of retirement income products and trade-offs between the metrics. </w:t>
      </w:r>
      <w:r w:rsidR="00FF6A10" w:rsidRPr="0036167A">
        <w:t>Other</w:t>
      </w:r>
      <w:r w:rsidR="00B66170" w:rsidRPr="0036167A">
        <w:t xml:space="preserve"> factors are likely to affect a consumer</w:t>
      </w:r>
      <w:r w:rsidR="00EB4DE8" w:rsidRPr="0036167A">
        <w:t>’</w:t>
      </w:r>
      <w:r w:rsidR="00B66170" w:rsidRPr="0036167A">
        <w:t>s product selection, including</w:t>
      </w:r>
      <w:r w:rsidR="005509DB" w:rsidRPr="0036167A">
        <w:t xml:space="preserve"> the ability </w:t>
      </w:r>
      <w:r w:rsidR="00B66170" w:rsidRPr="0036167A">
        <w:t xml:space="preserve">to access full or part </w:t>
      </w:r>
      <w:r w:rsidR="00525168" w:rsidRPr="0036167A">
        <w:t xml:space="preserve">of the age </w:t>
      </w:r>
      <w:r w:rsidR="00B66170" w:rsidRPr="0036167A">
        <w:t>pension</w:t>
      </w:r>
      <w:r w:rsidR="005509DB">
        <w:t>, o</w:t>
      </w:r>
      <w:r w:rsidR="00B66170" w:rsidRPr="00B66170">
        <w:t>ther investments or superannuation funds</w:t>
      </w:r>
      <w:r w:rsidR="005509DB">
        <w:t>, and home ownership.</w:t>
      </w:r>
    </w:p>
    <w:p w14:paraId="7BD288ED" w14:textId="579740F1" w:rsidR="00B66170" w:rsidRDefault="00FF6A10" w:rsidP="00B66170">
      <w:r>
        <w:t xml:space="preserve">These </w:t>
      </w:r>
      <w:r w:rsidR="00EA2587">
        <w:t xml:space="preserve">factors and the level of importance a customer places on income levels, stability and flexibility affects </w:t>
      </w:r>
      <w:r w:rsidR="00B66170" w:rsidRPr="00B66170">
        <w:t xml:space="preserve">their willingness to accept risk and their desire to have a broadly constant income. These factors can only be taken into account if </w:t>
      </w:r>
      <w:r w:rsidR="00EB4DE8">
        <w:t xml:space="preserve">a </w:t>
      </w:r>
      <w:r w:rsidR="00B66170" w:rsidRPr="00B66170">
        <w:t xml:space="preserve">fund is aware of them, which </w:t>
      </w:r>
      <w:r w:rsidR="0052030B">
        <w:t>would</w:t>
      </w:r>
      <w:r w:rsidR="00B66170" w:rsidRPr="00B66170">
        <w:t xml:space="preserve"> require earlier engagement with fund members. This early engagement will enable funds to further tailor retirement products and develop more appropriate retirement strategies. </w:t>
      </w:r>
    </w:p>
    <w:p w14:paraId="7BD288EE" w14:textId="0B37CD5E" w:rsidR="006B0467" w:rsidRPr="0092436A" w:rsidRDefault="006B0467" w:rsidP="006B0467">
      <w:pPr>
        <w:pStyle w:val="Heading3noTOC"/>
      </w:pPr>
      <w:r>
        <w:lastRenderedPageBreak/>
        <w:t xml:space="preserve">Advice </w:t>
      </w:r>
      <w:r w:rsidR="00FE6399">
        <w:t>f</w:t>
      </w:r>
      <w:r>
        <w:t>ramework</w:t>
      </w:r>
    </w:p>
    <w:p w14:paraId="7BD288EF" w14:textId="3879A932" w:rsidR="006B0467" w:rsidRPr="00E607C2" w:rsidRDefault="006B0467" w:rsidP="006B0467">
      <w:r>
        <w:t>Provision of the</w:t>
      </w:r>
      <w:r w:rsidR="00EA2587">
        <w:t xml:space="preserve"> standard</w:t>
      </w:r>
      <w:r>
        <w:t xml:space="preserve"> metrics </w:t>
      </w:r>
      <w:r w:rsidR="0052030B">
        <w:t>would</w:t>
      </w:r>
      <w:r w:rsidR="006F4872">
        <w:t xml:space="preserve"> not constitute financial advice</w:t>
      </w:r>
      <w:r>
        <w:t xml:space="preserve">. </w:t>
      </w:r>
      <w:r w:rsidR="006F4872">
        <w:t xml:space="preserve">Clarity regarding the interactions with advice will be </w:t>
      </w:r>
      <w:r>
        <w:t xml:space="preserve">addressed </w:t>
      </w:r>
      <w:r w:rsidR="002A032C">
        <w:t xml:space="preserve">as part of </w:t>
      </w:r>
      <w:r w:rsidR="006F4872">
        <w:t>the regulatory</w:t>
      </w:r>
      <w:r>
        <w:t xml:space="preserve"> framework </w:t>
      </w:r>
      <w:r w:rsidR="00EA2587">
        <w:t>of the</w:t>
      </w:r>
      <w:r>
        <w:t xml:space="preserve"> retirement income framework.  </w:t>
      </w:r>
      <w:r w:rsidR="002A032C">
        <w:t>At this stage, t</w:t>
      </w:r>
      <w:r>
        <w:t xml:space="preserve">he preferred </w:t>
      </w:r>
      <w:r w:rsidRPr="00E607C2">
        <w:t xml:space="preserve">option is for the </w:t>
      </w:r>
      <w:r w:rsidR="007B4510">
        <w:t>fact sheet</w:t>
      </w:r>
      <w:r w:rsidRPr="00E607C2">
        <w:t xml:space="preserve"> to be exempted from the advice framework, similar to the current treatment of </w:t>
      </w:r>
      <w:r w:rsidR="00FE6399">
        <w:t>PDSs</w:t>
      </w:r>
      <w:r w:rsidRPr="00E607C2">
        <w:t xml:space="preserve">. </w:t>
      </w:r>
    </w:p>
    <w:p w14:paraId="7BD288F0" w14:textId="77777777" w:rsidR="0092436A" w:rsidRDefault="00375FAE" w:rsidP="007274D2">
      <w:pPr>
        <w:pStyle w:val="Heading3noTOC"/>
      </w:pPr>
      <w:r>
        <w:t xml:space="preserve">Post </w:t>
      </w:r>
      <w:r w:rsidR="006B0467">
        <w:t>purchase</w:t>
      </w:r>
      <w:r>
        <w:t xml:space="preserve"> </w:t>
      </w:r>
      <w:r w:rsidRPr="007274D2">
        <w:t>engagement</w:t>
      </w:r>
    </w:p>
    <w:p w14:paraId="7BD288F1" w14:textId="2FB0398A" w:rsidR="00525168" w:rsidRDefault="00375FAE" w:rsidP="0092436A">
      <w:r>
        <w:t>Not all risks can be captured in the standard metrics. Some risks will change during the lifetime of the product as a result of a consumer’</w:t>
      </w:r>
      <w:r w:rsidR="00575449">
        <w:t>s life</w:t>
      </w:r>
      <w:r>
        <w:t xml:space="preserve"> expectancy, withdrawal of lump sums, </w:t>
      </w:r>
      <w:r w:rsidR="00CF4BC9">
        <w:t xml:space="preserve">changes in investment strategy, </w:t>
      </w:r>
      <w:r>
        <w:t xml:space="preserve">changes to </w:t>
      </w:r>
      <w:r w:rsidR="000B74F1">
        <w:t>consumer</w:t>
      </w:r>
      <w:r>
        <w:t xml:space="preserve">s in a pool, </w:t>
      </w:r>
      <w:r w:rsidR="00EA2587">
        <w:t>fee</w:t>
      </w:r>
      <w:r>
        <w:t xml:space="preserve"> structures and fluctuations in the market. All of these factors can affect a consumer’s </w:t>
      </w:r>
      <w:r w:rsidR="00CF4BC9">
        <w:t xml:space="preserve">potential </w:t>
      </w:r>
      <w:r>
        <w:t xml:space="preserve">cash flow. </w:t>
      </w:r>
      <w:r w:rsidR="002A032C">
        <w:t xml:space="preserve">As the retirement income framework expects </w:t>
      </w:r>
      <w:r>
        <w:t xml:space="preserve">that funds </w:t>
      </w:r>
      <w:r w:rsidR="006F4872">
        <w:t>maintain engagement with their consumers through the life of the product</w:t>
      </w:r>
      <w:r w:rsidR="002A032C">
        <w:t>, t</w:t>
      </w:r>
      <w:r w:rsidR="005509DB">
        <w:t>here</w:t>
      </w:r>
      <w:r w:rsidR="00D4397C">
        <w:t xml:space="preserve"> </w:t>
      </w:r>
      <w:r w:rsidR="008F44CC">
        <w:t xml:space="preserve">may be benefits in the provision of </w:t>
      </w:r>
      <w:r w:rsidR="005509DB">
        <w:t>additional age appropriate information</w:t>
      </w:r>
      <w:r w:rsidR="000869E5">
        <w:t xml:space="preserve"> </w:t>
      </w:r>
      <w:r w:rsidR="005509DB">
        <w:t>to consumers</w:t>
      </w:r>
      <w:r w:rsidR="008F44CC">
        <w:t>, for example</w:t>
      </w:r>
      <w:r w:rsidR="00D4397C">
        <w:t xml:space="preserve"> outlining what </w:t>
      </w:r>
      <w:r w:rsidR="000869E5">
        <w:t>changes have occurred</w:t>
      </w:r>
      <w:r w:rsidR="00D4397C">
        <w:t xml:space="preserve"> and how it </w:t>
      </w:r>
      <w:r w:rsidR="0052030B">
        <w:t>would</w:t>
      </w:r>
      <w:r w:rsidR="00D4397C">
        <w:t xml:space="preserve"> affect the consumer’s </w:t>
      </w:r>
      <w:r w:rsidR="000869E5">
        <w:t>income</w:t>
      </w:r>
      <w:r w:rsidR="00D4397C">
        <w:t>.</w:t>
      </w:r>
    </w:p>
    <w:p w14:paraId="7BD288F2" w14:textId="15C07762" w:rsidR="005E1511" w:rsidRDefault="005E1511" w:rsidP="00BB33F6">
      <w:pPr>
        <w:pStyle w:val="Heading3noTOC"/>
      </w:pPr>
      <w:bookmarkStart w:id="29" w:name="_Toc523479375"/>
      <w:r>
        <w:t xml:space="preserve">Reporting </w:t>
      </w:r>
      <w:r w:rsidR="00FE6399">
        <w:t>r</w:t>
      </w:r>
      <w:r>
        <w:t>equirements</w:t>
      </w:r>
      <w:bookmarkEnd w:id="29"/>
    </w:p>
    <w:p w14:paraId="7BD288F3" w14:textId="452650F3" w:rsidR="001C4630" w:rsidRDefault="00EA2587" w:rsidP="005E1511">
      <w:r>
        <w:t>The regulatory framework</w:t>
      </w:r>
      <w:r w:rsidR="00EE0464">
        <w:t xml:space="preserve"> </w:t>
      </w:r>
      <w:r>
        <w:t>is likely to include requirements for</w:t>
      </w:r>
      <w:r w:rsidR="00FE6399">
        <w:t xml:space="preserve"> funds to</w:t>
      </w:r>
      <w:r>
        <w:t xml:space="preserve"> report to regulator</w:t>
      </w:r>
      <w:r w:rsidR="00FA1286">
        <w:t>s</w:t>
      </w:r>
      <w:r>
        <w:t xml:space="preserve"> </w:t>
      </w:r>
      <w:r w:rsidR="00FE6399">
        <w:t>the</w:t>
      </w:r>
      <w:r w:rsidR="00CF4BC9">
        <w:t xml:space="preserve"> </w:t>
      </w:r>
      <w:r w:rsidR="008F44CC">
        <w:t>annual and</w:t>
      </w:r>
      <w:r w:rsidR="00CF4BC9">
        <w:t xml:space="preserve"> </w:t>
      </w:r>
      <w:r w:rsidR="001C4630" w:rsidRPr="001C4630">
        <w:t xml:space="preserve">average expected income on each product, average </w:t>
      </w:r>
      <w:r w:rsidR="0038060B">
        <w:t xml:space="preserve">purchase price or </w:t>
      </w:r>
      <w:r w:rsidR="001C4630" w:rsidRPr="001C4630">
        <w:t>investment, average negative semi deviation and</w:t>
      </w:r>
      <w:bookmarkStart w:id="30" w:name="_GoBack"/>
      <w:r w:rsidR="001C4630" w:rsidRPr="001C4630">
        <w:t xml:space="preserve"> </w:t>
      </w:r>
      <w:bookmarkEnd w:id="30"/>
      <w:r w:rsidR="001C4630" w:rsidRPr="001C4630">
        <w:t xml:space="preserve">risk metrics. Funds </w:t>
      </w:r>
      <w:r w:rsidR="0052030B">
        <w:t>would</w:t>
      </w:r>
      <w:r w:rsidR="001C4630" w:rsidRPr="001C4630">
        <w:t xml:space="preserve"> also be required to report the assumptions they use to calculate expected income and risk metrics. </w:t>
      </w:r>
      <w:r w:rsidR="001C4630" w:rsidRPr="00315E14">
        <w:t xml:space="preserve">This information </w:t>
      </w:r>
      <w:r w:rsidR="0052030B">
        <w:t>would</w:t>
      </w:r>
      <w:r w:rsidR="001C4630" w:rsidRPr="00315E14">
        <w:t xml:space="preserve"> be used</w:t>
      </w:r>
      <w:r w:rsidR="007C7411">
        <w:t xml:space="preserve"> and made available</w:t>
      </w:r>
      <w:r w:rsidR="001C4630" w:rsidRPr="00315E14">
        <w:t xml:space="preserve"> </w:t>
      </w:r>
      <w:r>
        <w:t>publicly</w:t>
      </w:r>
      <w:r w:rsidR="001C4630" w:rsidRPr="00315E14">
        <w:t xml:space="preserve"> to </w:t>
      </w:r>
      <w:r w:rsidR="008F44CC">
        <w:t xml:space="preserve">support the </w:t>
      </w:r>
      <w:r w:rsidR="001C4630" w:rsidRPr="00315E14">
        <w:t>develop</w:t>
      </w:r>
      <w:r w:rsidR="008F44CC">
        <w:t>ment of a</w:t>
      </w:r>
      <w:r w:rsidR="001C4630" w:rsidRPr="00315E14">
        <w:t xml:space="preserve"> comparison tool </w:t>
      </w:r>
      <w:r w:rsidR="008F44CC">
        <w:t xml:space="preserve">to enable </w:t>
      </w:r>
      <w:r w:rsidR="001C4630" w:rsidRPr="00315E14">
        <w:t xml:space="preserve">consumers </w:t>
      </w:r>
      <w:r w:rsidR="008F44CC">
        <w:t xml:space="preserve">to </w:t>
      </w:r>
      <w:r w:rsidR="001C4630" w:rsidRPr="00315E14">
        <w:t>compare products</w:t>
      </w:r>
      <w:r w:rsidR="0000518A">
        <w:t xml:space="preserve"> across the industry in one location</w:t>
      </w:r>
      <w:r w:rsidR="001C4630" w:rsidRPr="00315E14">
        <w:t xml:space="preserve">. </w:t>
      </w:r>
    </w:p>
    <w:p w14:paraId="7BD288F5" w14:textId="7D2C547F" w:rsidR="009D3E7B" w:rsidRDefault="009D3E7B" w:rsidP="009D3E7B">
      <w:pPr>
        <w:pStyle w:val="Heading3noTOC"/>
      </w:pPr>
      <w:r>
        <w:t>Intra-fund product comparisons</w:t>
      </w:r>
    </w:p>
    <w:p w14:paraId="7BD288F6" w14:textId="5413D137" w:rsidR="007C7411" w:rsidRDefault="007C7411" w:rsidP="009D3E7B">
      <w:r>
        <w:t xml:space="preserve">The provision of guidance and information by trustees to their members is also part of the Retirement Income Covenant. </w:t>
      </w:r>
      <w:r w:rsidR="002A032C">
        <w:t>I</w:t>
      </w:r>
      <w:r>
        <w:t xml:space="preserve">t is expected that funds </w:t>
      </w:r>
      <w:r w:rsidR="0052030B">
        <w:t>would</w:t>
      </w:r>
      <w:r>
        <w:t xml:space="preserve"> begin to </w:t>
      </w:r>
      <w:r w:rsidR="008F44CC">
        <w:t xml:space="preserve">provide </w:t>
      </w:r>
      <w:r>
        <w:t xml:space="preserve">comparison </w:t>
      </w:r>
      <w:r w:rsidR="00CE3CF9">
        <w:t xml:space="preserve">tools </w:t>
      </w:r>
      <w:r>
        <w:t>on their websites. This would allow existing and potential members to compare the products on offer</w:t>
      </w:r>
      <w:r w:rsidR="008F44CC">
        <w:t xml:space="preserve"> within the fund</w:t>
      </w:r>
      <w:r>
        <w:t>.</w:t>
      </w:r>
      <w:r w:rsidRPr="007C7411">
        <w:t xml:space="preserve"> </w:t>
      </w:r>
      <w:r w:rsidR="00A9170D">
        <w:t>It</w:t>
      </w:r>
      <w:r>
        <w:t xml:space="preserve"> may be beneficial to require funds to produce a one-page summary or comparison table, comparing the key metrics of all the products they offer.</w:t>
      </w:r>
    </w:p>
    <w:p w14:paraId="7BD288F7" w14:textId="20B41127" w:rsidR="00D83E3E" w:rsidRDefault="003A2AA3" w:rsidP="00DA0DD3">
      <w:pPr>
        <w:pStyle w:val="Heading3noTOC"/>
      </w:pPr>
      <w:bookmarkStart w:id="31" w:name="_Toc523479376"/>
      <w:r>
        <w:t>Income variation risk measure consultation</w:t>
      </w:r>
    </w:p>
    <w:p w14:paraId="4F337487" w14:textId="55031CA7" w:rsidR="001613A2" w:rsidRPr="001613A2" w:rsidRDefault="001613A2" w:rsidP="001613A2">
      <w:pPr>
        <w:rPr>
          <w:sz w:val="28"/>
          <w:szCs w:val="28"/>
        </w:rPr>
      </w:pPr>
      <w:r>
        <w:t xml:space="preserve">For illustrative purposes the income variation risk measure outlined in this paper utilises an </w:t>
      </w:r>
      <w:r w:rsidRPr="001613A2">
        <w:t xml:space="preserve">investment product model </w:t>
      </w:r>
      <w:r w:rsidR="00FE6399">
        <w:t>that</w:t>
      </w:r>
      <w:r w:rsidRPr="001613A2">
        <w:t xml:space="preserve"> does not incorporate a full range of asset classes. If the proposed method of calculating risk is adopted, further consultation would occur on the model to be used and associated assumptions on various asset classes, their returns, correlations and volatility; including collaboration with the AGA, industry and investment model practitioners. </w:t>
      </w:r>
    </w:p>
    <w:p w14:paraId="7BD288F8" w14:textId="76B7CADB" w:rsidR="005E1511" w:rsidRDefault="0092436A" w:rsidP="000B74F1">
      <w:pPr>
        <w:pStyle w:val="Heading1"/>
      </w:pPr>
      <w:bookmarkStart w:id="32" w:name="_Toc531265811"/>
      <w:r>
        <w:t>Next steps</w:t>
      </w:r>
      <w:bookmarkEnd w:id="31"/>
      <w:bookmarkEnd w:id="32"/>
    </w:p>
    <w:p w14:paraId="7BD288F9" w14:textId="465AC2DD" w:rsidR="001C4630" w:rsidRDefault="005E1511" w:rsidP="00A65CB2">
      <w:pPr>
        <w:pStyle w:val="Heading2"/>
      </w:pPr>
      <w:bookmarkStart w:id="33" w:name="_Toc523479377"/>
      <w:bookmarkStart w:id="34" w:name="_Toc531265812"/>
      <w:r>
        <w:t xml:space="preserve">Consumer </w:t>
      </w:r>
      <w:r w:rsidR="00FE6399">
        <w:t>t</w:t>
      </w:r>
      <w:r>
        <w:t>esting</w:t>
      </w:r>
      <w:bookmarkEnd w:id="33"/>
      <w:bookmarkEnd w:id="34"/>
    </w:p>
    <w:p w14:paraId="7BD288FA" w14:textId="34253F8F" w:rsidR="00383911" w:rsidRDefault="007C7411" w:rsidP="001C4630">
      <w:r>
        <w:t xml:space="preserve">Following </w:t>
      </w:r>
      <w:r w:rsidR="002A032C">
        <w:t xml:space="preserve">the consultation process on </w:t>
      </w:r>
      <w:r>
        <w:t>the proposed metrics</w:t>
      </w:r>
      <w:r w:rsidR="00F57853">
        <w:t>,</w:t>
      </w:r>
      <w:r>
        <w:t xml:space="preserve"> </w:t>
      </w:r>
      <w:r w:rsidR="00A65EE6">
        <w:t>Treasury</w:t>
      </w:r>
      <w:r>
        <w:t xml:space="preserve"> will undertake consumer testing. </w:t>
      </w:r>
      <w:r w:rsidR="002A032C">
        <w:t>T</w:t>
      </w:r>
      <w:r w:rsidR="00D55B16">
        <w:t xml:space="preserve">esting the design and content of </w:t>
      </w:r>
      <w:r w:rsidR="007B4510">
        <w:t>fact sheet</w:t>
      </w:r>
      <w:r w:rsidR="00383911">
        <w:t xml:space="preserve"> is an essential step in ensuring </w:t>
      </w:r>
      <w:r w:rsidR="00F57853">
        <w:t xml:space="preserve">the effectiveness of the fact sheet in assisting consumers to choose a retirement </w:t>
      </w:r>
      <w:r w:rsidR="00D55B16">
        <w:t xml:space="preserve">income product that </w:t>
      </w:r>
      <w:r w:rsidR="00326547">
        <w:t>aligns with</w:t>
      </w:r>
      <w:r w:rsidR="00D55B16">
        <w:t xml:space="preserve"> their needs and preferences.</w:t>
      </w:r>
      <w:r w:rsidR="00F57853" w:rsidRPr="00F57853">
        <w:t xml:space="preserve"> </w:t>
      </w:r>
      <w:r w:rsidR="00F57853">
        <w:t xml:space="preserve">The aim of this work will be to improve </w:t>
      </w:r>
      <w:r w:rsidR="00FE6399">
        <w:t>economic and financial decision</w:t>
      </w:r>
      <w:r w:rsidR="00FE6399">
        <w:noBreakHyphen/>
        <w:t>m</w:t>
      </w:r>
      <w:r w:rsidR="00F57853">
        <w:t>aking by consumers in relation to their retirement income.</w:t>
      </w:r>
    </w:p>
    <w:p w14:paraId="7BD2890A" w14:textId="06F66529" w:rsidR="008F44CC" w:rsidRDefault="008F44CC">
      <w:pPr>
        <w:spacing w:before="0" w:after="160" w:line="259" w:lineRule="auto"/>
      </w:pPr>
      <w:bookmarkStart w:id="35" w:name="_Toc523479379"/>
      <w:r>
        <w:br w:type="page"/>
      </w:r>
    </w:p>
    <w:p w14:paraId="7BD2890B" w14:textId="77777777" w:rsidR="00C733A3" w:rsidRDefault="00C733A3" w:rsidP="00270330">
      <w:pPr>
        <w:pStyle w:val="Heading1"/>
        <w:spacing w:after="0"/>
      </w:pPr>
      <w:bookmarkStart w:id="36" w:name="_Toc523479380"/>
      <w:bookmarkStart w:id="37" w:name="_Toc531265813"/>
      <w:bookmarkEnd w:id="35"/>
      <w:r>
        <w:lastRenderedPageBreak/>
        <w:t>Glossary</w:t>
      </w:r>
      <w:bookmarkEnd w:id="36"/>
      <w:r w:rsidR="003B0074">
        <w:t xml:space="preserve"> and Acronyms</w:t>
      </w:r>
      <w:bookmarkEnd w:id="37"/>
    </w:p>
    <w:tbl>
      <w:tblPr>
        <w:tblW w:w="9371" w:type="dxa"/>
        <w:tblInd w:w="93" w:type="dxa"/>
        <w:tblLook w:val="04A0" w:firstRow="1" w:lastRow="0" w:firstColumn="1" w:lastColumn="0" w:noHBand="0" w:noVBand="1"/>
      </w:tblPr>
      <w:tblGrid>
        <w:gridCol w:w="2042"/>
        <w:gridCol w:w="7329"/>
      </w:tblGrid>
      <w:tr w:rsidR="003B0074" w:rsidRPr="003B0074" w14:paraId="7BD2890E" w14:textId="77777777" w:rsidTr="003B0074">
        <w:trPr>
          <w:trHeight w:val="412"/>
        </w:trPr>
        <w:tc>
          <w:tcPr>
            <w:tcW w:w="2042" w:type="dxa"/>
            <w:tcBorders>
              <w:top w:val="nil"/>
              <w:left w:val="nil"/>
              <w:bottom w:val="nil"/>
              <w:right w:val="nil"/>
            </w:tcBorders>
            <w:shd w:val="clear" w:color="auto" w:fill="auto"/>
            <w:noWrap/>
            <w:vAlign w:val="center"/>
            <w:hideMark/>
          </w:tcPr>
          <w:p w14:paraId="7BD2890C"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annuity</w:t>
            </w:r>
          </w:p>
        </w:tc>
        <w:tc>
          <w:tcPr>
            <w:tcW w:w="7329" w:type="dxa"/>
            <w:tcBorders>
              <w:top w:val="nil"/>
              <w:left w:val="nil"/>
              <w:bottom w:val="nil"/>
              <w:right w:val="nil"/>
            </w:tcBorders>
            <w:shd w:val="clear" w:color="auto" w:fill="auto"/>
            <w:noWrap/>
            <w:vAlign w:val="center"/>
            <w:hideMark/>
          </w:tcPr>
          <w:p w14:paraId="7BD2890D"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rPr>
              <w:t>a</w:t>
            </w:r>
            <w:r w:rsidR="003B0074" w:rsidRPr="003B0074">
              <w:rPr>
                <w:rFonts w:asciiTheme="minorHAnsi" w:hAnsiTheme="minorHAnsi"/>
                <w:color w:val="000000"/>
                <w:szCs w:val="22"/>
              </w:rPr>
              <w:t xml:space="preserve"> regular guaranteed payment that is made to a person for life or for a fixed nu</w:t>
            </w:r>
            <w:r>
              <w:rPr>
                <w:rFonts w:asciiTheme="minorHAnsi" w:hAnsiTheme="minorHAnsi"/>
                <w:color w:val="000000"/>
                <w:szCs w:val="22"/>
              </w:rPr>
              <w:t>mber of years by a life insurer</w:t>
            </w:r>
          </w:p>
        </w:tc>
      </w:tr>
      <w:tr w:rsidR="003B0074" w:rsidRPr="003B0074" w14:paraId="7BD28911" w14:textId="77777777" w:rsidTr="003B0074">
        <w:trPr>
          <w:trHeight w:val="412"/>
        </w:trPr>
        <w:tc>
          <w:tcPr>
            <w:tcW w:w="2042" w:type="dxa"/>
            <w:tcBorders>
              <w:top w:val="nil"/>
              <w:left w:val="nil"/>
              <w:bottom w:val="nil"/>
              <w:right w:val="nil"/>
            </w:tcBorders>
            <w:shd w:val="clear" w:color="auto" w:fill="auto"/>
            <w:noWrap/>
            <w:vAlign w:val="center"/>
            <w:hideMark/>
          </w:tcPr>
          <w:p w14:paraId="7BD2890F" w14:textId="1B5B5892" w:rsidR="003B0074" w:rsidRPr="003B0074" w:rsidRDefault="00FE6399" w:rsidP="00FE6399">
            <w:pPr>
              <w:spacing w:before="0" w:after="0"/>
              <w:rPr>
                <w:rFonts w:asciiTheme="minorHAnsi" w:hAnsiTheme="minorHAnsi"/>
                <w:color w:val="000000"/>
                <w:szCs w:val="22"/>
              </w:rPr>
            </w:pPr>
            <w:r>
              <w:rPr>
                <w:rFonts w:asciiTheme="minorHAnsi" w:hAnsiTheme="minorHAnsi"/>
                <w:color w:val="000000"/>
                <w:szCs w:val="22"/>
              </w:rPr>
              <w:t>A</w:t>
            </w:r>
            <w:r w:rsidR="003B0074" w:rsidRPr="003B0074">
              <w:rPr>
                <w:rFonts w:asciiTheme="minorHAnsi" w:hAnsiTheme="minorHAnsi"/>
                <w:color w:val="000000"/>
                <w:szCs w:val="22"/>
              </w:rPr>
              <w:t xml:space="preserve">ccount </w:t>
            </w:r>
            <w:r>
              <w:rPr>
                <w:rFonts w:asciiTheme="minorHAnsi" w:hAnsiTheme="minorHAnsi"/>
                <w:color w:val="000000"/>
                <w:szCs w:val="22"/>
              </w:rPr>
              <w:t>B</w:t>
            </w:r>
            <w:r w:rsidR="003B0074" w:rsidRPr="003B0074">
              <w:rPr>
                <w:rFonts w:asciiTheme="minorHAnsi" w:hAnsiTheme="minorHAnsi"/>
                <w:color w:val="000000"/>
                <w:szCs w:val="22"/>
              </w:rPr>
              <w:t xml:space="preserve">ased </w:t>
            </w:r>
            <w:r>
              <w:rPr>
                <w:rFonts w:asciiTheme="minorHAnsi" w:hAnsiTheme="minorHAnsi"/>
                <w:color w:val="000000"/>
                <w:szCs w:val="22"/>
              </w:rPr>
              <w:t>P</w:t>
            </w:r>
            <w:r w:rsidR="003B0074" w:rsidRPr="003B0074">
              <w:rPr>
                <w:rFonts w:asciiTheme="minorHAnsi" w:hAnsiTheme="minorHAnsi"/>
                <w:color w:val="000000"/>
                <w:szCs w:val="22"/>
              </w:rPr>
              <w:t>ension</w:t>
            </w:r>
            <w:r>
              <w:rPr>
                <w:rFonts w:asciiTheme="minorHAnsi" w:hAnsiTheme="minorHAnsi"/>
                <w:color w:val="000000"/>
                <w:szCs w:val="22"/>
              </w:rPr>
              <w:t xml:space="preserve"> (ABP)</w:t>
            </w:r>
          </w:p>
        </w:tc>
        <w:tc>
          <w:tcPr>
            <w:tcW w:w="7329" w:type="dxa"/>
            <w:tcBorders>
              <w:top w:val="nil"/>
              <w:left w:val="nil"/>
              <w:bottom w:val="nil"/>
              <w:right w:val="nil"/>
            </w:tcBorders>
            <w:shd w:val="clear" w:color="auto" w:fill="auto"/>
            <w:noWrap/>
            <w:vAlign w:val="center"/>
            <w:hideMark/>
          </w:tcPr>
          <w:p w14:paraId="7BD28910"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lang w:val="en"/>
              </w:rPr>
              <w:t>a</w:t>
            </w:r>
            <w:r w:rsidR="003B0074" w:rsidRPr="003B0074">
              <w:rPr>
                <w:rFonts w:asciiTheme="minorHAnsi" w:hAnsiTheme="minorHAnsi"/>
                <w:color w:val="000000"/>
                <w:szCs w:val="22"/>
                <w:lang w:val="en"/>
              </w:rPr>
              <w:t>n individual investment account set up with superannuation benefits from which a retiree draws a regular income. Als</w:t>
            </w:r>
            <w:r>
              <w:rPr>
                <w:rFonts w:asciiTheme="minorHAnsi" w:hAnsiTheme="minorHAnsi"/>
                <w:color w:val="000000"/>
                <w:szCs w:val="22"/>
                <w:lang w:val="en"/>
              </w:rPr>
              <w:t>o known as an allocated pension</w:t>
            </w:r>
          </w:p>
        </w:tc>
      </w:tr>
      <w:tr w:rsidR="003A2AA3" w:rsidRPr="003B0074" w14:paraId="6BECF443" w14:textId="77777777" w:rsidTr="003B0074">
        <w:trPr>
          <w:trHeight w:val="412"/>
        </w:trPr>
        <w:tc>
          <w:tcPr>
            <w:tcW w:w="2042" w:type="dxa"/>
            <w:tcBorders>
              <w:top w:val="nil"/>
              <w:left w:val="nil"/>
              <w:bottom w:val="nil"/>
              <w:right w:val="nil"/>
            </w:tcBorders>
            <w:shd w:val="clear" w:color="auto" w:fill="auto"/>
            <w:noWrap/>
            <w:vAlign w:val="center"/>
          </w:tcPr>
          <w:p w14:paraId="0D0FD3D3" w14:textId="13287422" w:rsidR="003A2AA3" w:rsidRPr="003B0074" w:rsidRDefault="003A2AA3" w:rsidP="003B0074">
            <w:pPr>
              <w:spacing w:before="0" w:after="0"/>
              <w:rPr>
                <w:rFonts w:asciiTheme="minorHAnsi" w:hAnsiTheme="minorHAnsi"/>
                <w:color w:val="000000"/>
                <w:szCs w:val="22"/>
              </w:rPr>
            </w:pPr>
            <w:r>
              <w:rPr>
                <w:rFonts w:asciiTheme="minorHAnsi" w:hAnsiTheme="minorHAnsi"/>
                <w:color w:val="000000"/>
                <w:szCs w:val="22"/>
              </w:rPr>
              <w:t>AGA</w:t>
            </w:r>
          </w:p>
        </w:tc>
        <w:tc>
          <w:tcPr>
            <w:tcW w:w="7329" w:type="dxa"/>
            <w:tcBorders>
              <w:top w:val="nil"/>
              <w:left w:val="nil"/>
              <w:bottom w:val="nil"/>
              <w:right w:val="nil"/>
            </w:tcBorders>
            <w:shd w:val="clear" w:color="auto" w:fill="auto"/>
            <w:noWrap/>
            <w:vAlign w:val="center"/>
          </w:tcPr>
          <w:p w14:paraId="333DFBAD" w14:textId="11FC0124" w:rsidR="003A2AA3" w:rsidRPr="003B0074" w:rsidRDefault="003A2AA3" w:rsidP="003B0074">
            <w:pPr>
              <w:spacing w:before="0" w:after="0"/>
              <w:rPr>
                <w:rFonts w:asciiTheme="minorHAnsi" w:hAnsiTheme="minorHAnsi"/>
                <w:color w:val="000000"/>
                <w:szCs w:val="22"/>
              </w:rPr>
            </w:pPr>
            <w:r>
              <w:rPr>
                <w:rFonts w:asciiTheme="minorHAnsi" w:hAnsiTheme="minorHAnsi"/>
                <w:color w:val="000000"/>
                <w:szCs w:val="22"/>
              </w:rPr>
              <w:t xml:space="preserve">Australian Government Actuary </w:t>
            </w:r>
          </w:p>
        </w:tc>
      </w:tr>
      <w:tr w:rsidR="003B0074" w:rsidRPr="003B0074" w14:paraId="7BD28914" w14:textId="77777777" w:rsidTr="003B0074">
        <w:trPr>
          <w:trHeight w:val="412"/>
        </w:trPr>
        <w:tc>
          <w:tcPr>
            <w:tcW w:w="2042" w:type="dxa"/>
            <w:tcBorders>
              <w:top w:val="nil"/>
              <w:left w:val="nil"/>
              <w:bottom w:val="nil"/>
              <w:right w:val="nil"/>
            </w:tcBorders>
            <w:shd w:val="clear" w:color="auto" w:fill="auto"/>
            <w:noWrap/>
            <w:vAlign w:val="center"/>
            <w:hideMark/>
          </w:tcPr>
          <w:p w14:paraId="7BD28912"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BETA</w:t>
            </w:r>
          </w:p>
        </w:tc>
        <w:tc>
          <w:tcPr>
            <w:tcW w:w="7329" w:type="dxa"/>
            <w:tcBorders>
              <w:top w:val="nil"/>
              <w:left w:val="nil"/>
              <w:bottom w:val="nil"/>
              <w:right w:val="nil"/>
            </w:tcBorders>
            <w:shd w:val="clear" w:color="auto" w:fill="auto"/>
            <w:noWrap/>
            <w:vAlign w:val="center"/>
            <w:hideMark/>
          </w:tcPr>
          <w:p w14:paraId="7BD28913"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Behavioural Economics Team of the Australian Government</w:t>
            </w:r>
          </w:p>
        </w:tc>
      </w:tr>
      <w:tr w:rsidR="003B0074" w:rsidRPr="003B0074" w14:paraId="7BD28917" w14:textId="77777777" w:rsidTr="003B0074">
        <w:trPr>
          <w:trHeight w:val="412"/>
        </w:trPr>
        <w:tc>
          <w:tcPr>
            <w:tcW w:w="2042" w:type="dxa"/>
            <w:tcBorders>
              <w:top w:val="nil"/>
              <w:left w:val="nil"/>
              <w:bottom w:val="nil"/>
              <w:right w:val="nil"/>
            </w:tcBorders>
            <w:shd w:val="clear" w:color="auto" w:fill="auto"/>
            <w:noWrap/>
            <w:vAlign w:val="center"/>
            <w:hideMark/>
          </w:tcPr>
          <w:p w14:paraId="7BD28915"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cash flow</w:t>
            </w:r>
          </w:p>
        </w:tc>
        <w:tc>
          <w:tcPr>
            <w:tcW w:w="7329" w:type="dxa"/>
            <w:tcBorders>
              <w:top w:val="nil"/>
              <w:left w:val="nil"/>
              <w:bottom w:val="nil"/>
              <w:right w:val="nil"/>
            </w:tcBorders>
            <w:shd w:val="clear" w:color="auto" w:fill="auto"/>
            <w:noWrap/>
            <w:vAlign w:val="center"/>
            <w:hideMark/>
          </w:tcPr>
          <w:p w14:paraId="7BD28916" w14:textId="77777777" w:rsidR="003B0074" w:rsidRPr="003B0074" w:rsidRDefault="00D85146" w:rsidP="00D85146">
            <w:pPr>
              <w:spacing w:before="0" w:after="0"/>
              <w:rPr>
                <w:rFonts w:asciiTheme="minorHAnsi" w:hAnsiTheme="minorHAnsi"/>
                <w:color w:val="000000"/>
                <w:szCs w:val="22"/>
              </w:rPr>
            </w:pPr>
            <w:r>
              <w:t>combined investment earnings and draw down of capital that a person receives net of fees</w:t>
            </w:r>
          </w:p>
        </w:tc>
      </w:tr>
      <w:tr w:rsidR="003B0074" w:rsidRPr="003B0074" w14:paraId="7BD2891A" w14:textId="77777777" w:rsidTr="003B0074">
        <w:trPr>
          <w:trHeight w:val="412"/>
        </w:trPr>
        <w:tc>
          <w:tcPr>
            <w:tcW w:w="2042" w:type="dxa"/>
            <w:tcBorders>
              <w:top w:val="nil"/>
              <w:left w:val="nil"/>
              <w:bottom w:val="nil"/>
              <w:right w:val="nil"/>
            </w:tcBorders>
            <w:shd w:val="clear" w:color="auto" w:fill="auto"/>
            <w:noWrap/>
            <w:vAlign w:val="center"/>
            <w:hideMark/>
          </w:tcPr>
          <w:p w14:paraId="7BD28918"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CIPR</w:t>
            </w:r>
          </w:p>
        </w:tc>
        <w:tc>
          <w:tcPr>
            <w:tcW w:w="7329" w:type="dxa"/>
            <w:tcBorders>
              <w:top w:val="nil"/>
              <w:left w:val="nil"/>
              <w:bottom w:val="nil"/>
              <w:right w:val="nil"/>
            </w:tcBorders>
            <w:shd w:val="clear" w:color="auto" w:fill="auto"/>
            <w:noWrap/>
            <w:vAlign w:val="center"/>
            <w:hideMark/>
          </w:tcPr>
          <w:p w14:paraId="7BD28919"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rPr>
              <w:t>a</w:t>
            </w:r>
            <w:r w:rsidR="003B0074" w:rsidRPr="003B0074">
              <w:rPr>
                <w:rFonts w:asciiTheme="minorHAnsi" w:hAnsiTheme="minorHAnsi"/>
                <w:color w:val="000000"/>
                <w:szCs w:val="22"/>
              </w:rPr>
              <w:t xml:space="preserve"> composite retirement income product that m</w:t>
            </w:r>
            <w:r>
              <w:rPr>
                <w:rFonts w:asciiTheme="minorHAnsi" w:hAnsiTheme="minorHAnsi"/>
                <w:color w:val="000000"/>
                <w:szCs w:val="22"/>
              </w:rPr>
              <w:t>eets certification requirements</w:t>
            </w:r>
          </w:p>
        </w:tc>
      </w:tr>
      <w:tr w:rsidR="003B0074" w:rsidRPr="003B0074" w14:paraId="7BD2891D" w14:textId="77777777" w:rsidTr="003B0074">
        <w:trPr>
          <w:trHeight w:val="412"/>
        </w:trPr>
        <w:tc>
          <w:tcPr>
            <w:tcW w:w="2042" w:type="dxa"/>
            <w:tcBorders>
              <w:top w:val="nil"/>
              <w:left w:val="nil"/>
              <w:bottom w:val="nil"/>
              <w:right w:val="nil"/>
            </w:tcBorders>
            <w:shd w:val="clear" w:color="auto" w:fill="auto"/>
            <w:noWrap/>
            <w:vAlign w:val="center"/>
            <w:hideMark/>
          </w:tcPr>
          <w:p w14:paraId="7BD2891B"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commutable value</w:t>
            </w:r>
          </w:p>
        </w:tc>
        <w:tc>
          <w:tcPr>
            <w:tcW w:w="7329" w:type="dxa"/>
            <w:tcBorders>
              <w:top w:val="nil"/>
              <w:left w:val="nil"/>
              <w:bottom w:val="nil"/>
              <w:right w:val="nil"/>
            </w:tcBorders>
            <w:shd w:val="clear" w:color="auto" w:fill="auto"/>
            <w:noWrap/>
            <w:vAlign w:val="center"/>
            <w:hideMark/>
          </w:tcPr>
          <w:p w14:paraId="7BD2891C"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the amount of cash a consumer could receive if they convert their pension into a lump sum</w:t>
            </w:r>
          </w:p>
        </w:tc>
      </w:tr>
      <w:tr w:rsidR="003B0074" w:rsidRPr="003B0074" w14:paraId="7BD28920" w14:textId="77777777" w:rsidTr="003B0074">
        <w:trPr>
          <w:trHeight w:val="412"/>
        </w:trPr>
        <w:tc>
          <w:tcPr>
            <w:tcW w:w="2042" w:type="dxa"/>
            <w:tcBorders>
              <w:top w:val="nil"/>
              <w:left w:val="nil"/>
              <w:bottom w:val="nil"/>
              <w:right w:val="nil"/>
            </w:tcBorders>
            <w:shd w:val="clear" w:color="auto" w:fill="auto"/>
            <w:noWrap/>
            <w:vAlign w:val="center"/>
            <w:hideMark/>
          </w:tcPr>
          <w:p w14:paraId="7BD2891E"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commutation</w:t>
            </w:r>
          </w:p>
        </w:tc>
        <w:tc>
          <w:tcPr>
            <w:tcW w:w="7329" w:type="dxa"/>
            <w:tcBorders>
              <w:top w:val="nil"/>
              <w:left w:val="nil"/>
              <w:bottom w:val="nil"/>
              <w:right w:val="nil"/>
            </w:tcBorders>
            <w:shd w:val="clear" w:color="auto" w:fill="auto"/>
            <w:noWrap/>
            <w:vAlign w:val="center"/>
            <w:hideMark/>
          </w:tcPr>
          <w:p w14:paraId="7BD2891F" w14:textId="141A15CF" w:rsidR="003B0074" w:rsidRPr="003B0074" w:rsidRDefault="00270330" w:rsidP="006D650C">
            <w:pPr>
              <w:spacing w:before="0" w:after="0"/>
              <w:rPr>
                <w:rFonts w:asciiTheme="minorHAnsi" w:hAnsiTheme="minorHAnsi"/>
                <w:color w:val="000000"/>
                <w:szCs w:val="22"/>
              </w:rPr>
            </w:pPr>
            <w:r>
              <w:rPr>
                <w:rFonts w:asciiTheme="minorHAnsi" w:hAnsiTheme="minorHAnsi"/>
                <w:color w:val="000000"/>
                <w:szCs w:val="22"/>
              </w:rPr>
              <w:t xml:space="preserve">the </w:t>
            </w:r>
            <w:r w:rsidR="003B0074" w:rsidRPr="003B0074">
              <w:rPr>
                <w:rFonts w:asciiTheme="minorHAnsi" w:hAnsiTheme="minorHAnsi"/>
                <w:color w:val="000000"/>
                <w:szCs w:val="22"/>
              </w:rPr>
              <w:t xml:space="preserve">process of converting part or all of a pension product </w:t>
            </w:r>
            <w:r w:rsidR="006D650C">
              <w:rPr>
                <w:rFonts w:asciiTheme="minorHAnsi" w:hAnsiTheme="minorHAnsi"/>
                <w:color w:val="000000"/>
                <w:szCs w:val="22"/>
              </w:rPr>
              <w:t>into</w:t>
            </w:r>
            <w:r w:rsidR="006D650C" w:rsidRPr="003B0074">
              <w:rPr>
                <w:rFonts w:asciiTheme="minorHAnsi" w:hAnsiTheme="minorHAnsi"/>
                <w:color w:val="000000"/>
                <w:szCs w:val="22"/>
              </w:rPr>
              <w:t xml:space="preserve"> </w:t>
            </w:r>
            <w:r w:rsidR="003B0074" w:rsidRPr="003B0074">
              <w:rPr>
                <w:rFonts w:asciiTheme="minorHAnsi" w:hAnsiTheme="minorHAnsi"/>
                <w:color w:val="000000"/>
                <w:szCs w:val="22"/>
              </w:rPr>
              <w:t>a lump sum</w:t>
            </w:r>
          </w:p>
        </w:tc>
      </w:tr>
      <w:tr w:rsidR="003B0074" w:rsidRPr="003B0074" w14:paraId="7BD28923" w14:textId="77777777" w:rsidTr="003B0074">
        <w:trPr>
          <w:trHeight w:val="412"/>
        </w:trPr>
        <w:tc>
          <w:tcPr>
            <w:tcW w:w="2042" w:type="dxa"/>
            <w:tcBorders>
              <w:top w:val="nil"/>
              <w:left w:val="nil"/>
              <w:bottom w:val="nil"/>
              <w:right w:val="nil"/>
            </w:tcBorders>
            <w:shd w:val="clear" w:color="auto" w:fill="auto"/>
            <w:noWrap/>
            <w:vAlign w:val="center"/>
            <w:hideMark/>
          </w:tcPr>
          <w:p w14:paraId="7BD28921"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death benefits</w:t>
            </w:r>
          </w:p>
        </w:tc>
        <w:tc>
          <w:tcPr>
            <w:tcW w:w="7329" w:type="dxa"/>
            <w:tcBorders>
              <w:top w:val="nil"/>
              <w:left w:val="nil"/>
              <w:bottom w:val="nil"/>
              <w:right w:val="nil"/>
            </w:tcBorders>
            <w:shd w:val="clear" w:color="auto" w:fill="auto"/>
            <w:noWrap/>
            <w:vAlign w:val="center"/>
            <w:hideMark/>
          </w:tcPr>
          <w:p w14:paraId="7BD28922" w14:textId="77777777" w:rsidR="003B0074" w:rsidRPr="003B0074" w:rsidRDefault="003B0074" w:rsidP="003B0074">
            <w:pPr>
              <w:spacing w:before="0" w:after="0"/>
              <w:rPr>
                <w:rFonts w:asciiTheme="minorHAnsi" w:hAnsiTheme="minorHAnsi" w:cs="Arial"/>
                <w:color w:val="222222"/>
                <w:szCs w:val="22"/>
              </w:rPr>
            </w:pPr>
            <w:r w:rsidRPr="003B0074">
              <w:rPr>
                <w:rFonts w:asciiTheme="minorHAnsi" w:hAnsiTheme="minorHAnsi" w:cs="Arial"/>
                <w:color w:val="222222"/>
                <w:szCs w:val="22"/>
              </w:rPr>
              <w:t xml:space="preserve">lump </w:t>
            </w:r>
            <w:r w:rsidR="006D650C">
              <w:rPr>
                <w:rFonts w:asciiTheme="minorHAnsi" w:hAnsiTheme="minorHAnsi" w:cs="Arial"/>
                <w:color w:val="222222"/>
                <w:szCs w:val="22"/>
              </w:rPr>
              <w:t xml:space="preserve">sum </w:t>
            </w:r>
            <w:r w:rsidRPr="003B0074">
              <w:rPr>
                <w:rFonts w:asciiTheme="minorHAnsi" w:hAnsiTheme="minorHAnsi" w:cs="Arial"/>
                <w:color w:val="222222"/>
                <w:szCs w:val="22"/>
              </w:rPr>
              <w:t xml:space="preserve">payment made from a super fund to a beneficiary when </w:t>
            </w:r>
            <w:r w:rsidR="00D85146">
              <w:rPr>
                <w:rFonts w:asciiTheme="minorHAnsi" w:hAnsiTheme="minorHAnsi" w:cs="Arial"/>
                <w:color w:val="222222"/>
                <w:szCs w:val="22"/>
              </w:rPr>
              <w:t>you die</w:t>
            </w:r>
          </w:p>
        </w:tc>
      </w:tr>
      <w:tr w:rsidR="003B0074" w:rsidRPr="003B0074" w14:paraId="7BD28926" w14:textId="77777777" w:rsidTr="003B0074">
        <w:trPr>
          <w:trHeight w:val="412"/>
        </w:trPr>
        <w:tc>
          <w:tcPr>
            <w:tcW w:w="2042" w:type="dxa"/>
            <w:tcBorders>
              <w:top w:val="nil"/>
              <w:left w:val="nil"/>
              <w:bottom w:val="nil"/>
              <w:right w:val="nil"/>
            </w:tcBorders>
            <w:shd w:val="clear" w:color="auto" w:fill="auto"/>
            <w:noWrap/>
            <w:vAlign w:val="center"/>
            <w:hideMark/>
          </w:tcPr>
          <w:p w14:paraId="7BD28924"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deferred life annuity</w:t>
            </w:r>
          </w:p>
        </w:tc>
        <w:tc>
          <w:tcPr>
            <w:tcW w:w="7329" w:type="dxa"/>
            <w:tcBorders>
              <w:top w:val="nil"/>
              <w:left w:val="nil"/>
              <w:bottom w:val="nil"/>
              <w:right w:val="nil"/>
            </w:tcBorders>
            <w:shd w:val="clear" w:color="auto" w:fill="auto"/>
            <w:noWrap/>
            <w:vAlign w:val="center"/>
            <w:hideMark/>
          </w:tcPr>
          <w:p w14:paraId="7BD28925"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rPr>
              <w:t>a</w:t>
            </w:r>
            <w:r w:rsidR="003B0074" w:rsidRPr="003B0074">
              <w:rPr>
                <w:rFonts w:asciiTheme="minorHAnsi" w:hAnsiTheme="minorHAnsi"/>
                <w:color w:val="000000"/>
                <w:szCs w:val="22"/>
              </w:rPr>
              <w:t xml:space="preserve"> form of annuity where the commencement of payments is delayed for a se</w:t>
            </w:r>
            <w:r>
              <w:rPr>
                <w:rFonts w:asciiTheme="minorHAnsi" w:hAnsiTheme="minorHAnsi"/>
                <w:color w:val="000000"/>
                <w:szCs w:val="22"/>
              </w:rPr>
              <w:t>t amount of time after purchase</w:t>
            </w:r>
          </w:p>
        </w:tc>
      </w:tr>
      <w:tr w:rsidR="003B0074" w:rsidRPr="003B0074" w14:paraId="7BD28929" w14:textId="77777777" w:rsidTr="003B0074">
        <w:trPr>
          <w:trHeight w:val="412"/>
        </w:trPr>
        <w:tc>
          <w:tcPr>
            <w:tcW w:w="2042" w:type="dxa"/>
            <w:tcBorders>
              <w:top w:val="nil"/>
              <w:left w:val="nil"/>
              <w:bottom w:val="nil"/>
              <w:right w:val="nil"/>
            </w:tcBorders>
            <w:shd w:val="clear" w:color="auto" w:fill="auto"/>
            <w:noWrap/>
            <w:vAlign w:val="center"/>
            <w:hideMark/>
          </w:tcPr>
          <w:p w14:paraId="7BD28927"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dispersion</w:t>
            </w:r>
          </w:p>
        </w:tc>
        <w:tc>
          <w:tcPr>
            <w:tcW w:w="7329" w:type="dxa"/>
            <w:tcBorders>
              <w:top w:val="nil"/>
              <w:left w:val="nil"/>
              <w:bottom w:val="nil"/>
              <w:right w:val="nil"/>
            </w:tcBorders>
            <w:shd w:val="clear" w:color="auto" w:fill="auto"/>
            <w:noWrap/>
            <w:vAlign w:val="center"/>
            <w:hideMark/>
          </w:tcPr>
          <w:p w14:paraId="7BD28928" w14:textId="34CD77B5" w:rsidR="003B0074" w:rsidRPr="003B0074" w:rsidRDefault="003B0074" w:rsidP="001613A2">
            <w:pPr>
              <w:spacing w:before="0" w:after="0"/>
              <w:rPr>
                <w:rFonts w:asciiTheme="minorHAnsi" w:hAnsiTheme="minorHAnsi"/>
                <w:color w:val="000000"/>
                <w:szCs w:val="22"/>
              </w:rPr>
            </w:pPr>
            <w:r w:rsidRPr="003B0074">
              <w:rPr>
                <w:rFonts w:asciiTheme="minorHAnsi" w:hAnsiTheme="minorHAnsi"/>
                <w:color w:val="000000"/>
                <w:szCs w:val="22"/>
              </w:rPr>
              <w:t xml:space="preserve">in this context </w:t>
            </w:r>
            <w:r w:rsidR="00AA5161">
              <w:rPr>
                <w:rFonts w:asciiTheme="minorHAnsi" w:hAnsiTheme="minorHAnsi"/>
                <w:color w:val="000000"/>
                <w:szCs w:val="22"/>
              </w:rPr>
              <w:t xml:space="preserve">refers to </w:t>
            </w:r>
            <w:r w:rsidR="001613A2">
              <w:rPr>
                <w:rFonts w:asciiTheme="minorHAnsi" w:hAnsiTheme="minorHAnsi"/>
                <w:color w:val="000000"/>
                <w:szCs w:val="22"/>
              </w:rPr>
              <w:t>the</w:t>
            </w:r>
            <w:r w:rsidR="00AA5161" w:rsidRPr="003B0074">
              <w:rPr>
                <w:rFonts w:asciiTheme="minorHAnsi" w:hAnsiTheme="minorHAnsi"/>
                <w:color w:val="000000"/>
                <w:szCs w:val="22"/>
              </w:rPr>
              <w:t xml:space="preserve"> </w:t>
            </w:r>
            <w:r w:rsidR="006D650C">
              <w:rPr>
                <w:rFonts w:asciiTheme="minorHAnsi" w:hAnsiTheme="minorHAnsi"/>
                <w:color w:val="000000"/>
                <w:szCs w:val="22"/>
              </w:rPr>
              <w:t>range of possible</w:t>
            </w:r>
            <w:r w:rsidR="001613A2">
              <w:rPr>
                <w:rFonts w:asciiTheme="minorHAnsi" w:hAnsiTheme="minorHAnsi"/>
                <w:color w:val="000000"/>
                <w:szCs w:val="22"/>
              </w:rPr>
              <w:t xml:space="preserve"> income</w:t>
            </w:r>
            <w:r w:rsidR="006D650C">
              <w:rPr>
                <w:rFonts w:asciiTheme="minorHAnsi" w:hAnsiTheme="minorHAnsi"/>
                <w:color w:val="000000"/>
                <w:szCs w:val="22"/>
              </w:rPr>
              <w:t xml:space="preserve"> </w:t>
            </w:r>
            <w:r w:rsidR="00AA5161">
              <w:rPr>
                <w:rFonts w:asciiTheme="minorHAnsi" w:hAnsiTheme="minorHAnsi"/>
                <w:color w:val="000000"/>
                <w:szCs w:val="22"/>
              </w:rPr>
              <w:t>outcomes</w:t>
            </w:r>
          </w:p>
        </w:tc>
      </w:tr>
      <w:tr w:rsidR="003B0074" w:rsidRPr="003B0074" w14:paraId="7BD2892C" w14:textId="77777777" w:rsidTr="003B0074">
        <w:trPr>
          <w:trHeight w:val="412"/>
        </w:trPr>
        <w:tc>
          <w:tcPr>
            <w:tcW w:w="2042" w:type="dxa"/>
            <w:tcBorders>
              <w:top w:val="nil"/>
              <w:left w:val="nil"/>
              <w:bottom w:val="nil"/>
              <w:right w:val="nil"/>
            </w:tcBorders>
            <w:shd w:val="clear" w:color="auto" w:fill="auto"/>
            <w:noWrap/>
            <w:vAlign w:val="center"/>
            <w:hideMark/>
          </w:tcPr>
          <w:p w14:paraId="7BD2892A"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exhaustion</w:t>
            </w:r>
          </w:p>
        </w:tc>
        <w:tc>
          <w:tcPr>
            <w:tcW w:w="7329" w:type="dxa"/>
            <w:tcBorders>
              <w:top w:val="nil"/>
              <w:left w:val="nil"/>
              <w:bottom w:val="nil"/>
              <w:right w:val="nil"/>
            </w:tcBorders>
            <w:shd w:val="clear" w:color="auto" w:fill="auto"/>
            <w:noWrap/>
            <w:vAlign w:val="center"/>
            <w:hideMark/>
          </w:tcPr>
          <w:p w14:paraId="7BD2892B"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 this context refers to retirement income products running out of money</w:t>
            </w:r>
          </w:p>
        </w:tc>
      </w:tr>
      <w:tr w:rsidR="003B0074" w:rsidRPr="003B0074" w14:paraId="7BD2892F" w14:textId="77777777" w:rsidTr="003B0074">
        <w:trPr>
          <w:trHeight w:val="412"/>
        </w:trPr>
        <w:tc>
          <w:tcPr>
            <w:tcW w:w="2042" w:type="dxa"/>
            <w:tcBorders>
              <w:top w:val="nil"/>
              <w:left w:val="nil"/>
              <w:bottom w:val="nil"/>
              <w:right w:val="nil"/>
            </w:tcBorders>
            <w:shd w:val="clear" w:color="auto" w:fill="auto"/>
            <w:noWrap/>
            <w:vAlign w:val="center"/>
            <w:hideMark/>
          </w:tcPr>
          <w:p w14:paraId="7BD2892D"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expected inflation</w:t>
            </w:r>
          </w:p>
        </w:tc>
        <w:tc>
          <w:tcPr>
            <w:tcW w:w="7329" w:type="dxa"/>
            <w:tcBorders>
              <w:top w:val="nil"/>
              <w:left w:val="nil"/>
              <w:bottom w:val="nil"/>
              <w:right w:val="nil"/>
            </w:tcBorders>
            <w:shd w:val="clear" w:color="auto" w:fill="auto"/>
            <w:noWrap/>
            <w:vAlign w:val="center"/>
            <w:hideMark/>
          </w:tcPr>
          <w:p w14:paraId="7BD2892E"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 xml:space="preserve">the </w:t>
            </w:r>
            <w:r w:rsidR="005038B2">
              <w:rPr>
                <w:rFonts w:asciiTheme="minorHAnsi" w:hAnsiTheme="minorHAnsi"/>
                <w:color w:val="000000"/>
                <w:szCs w:val="22"/>
              </w:rPr>
              <w:t xml:space="preserve">expected </w:t>
            </w:r>
            <w:r w:rsidRPr="003B0074">
              <w:rPr>
                <w:rFonts w:asciiTheme="minorHAnsi" w:hAnsiTheme="minorHAnsi"/>
                <w:color w:val="000000"/>
                <w:szCs w:val="22"/>
              </w:rPr>
              <w:t>percentage increase in the level of prices</w:t>
            </w:r>
            <w:r w:rsidR="005038B2">
              <w:rPr>
                <w:rFonts w:asciiTheme="minorHAnsi" w:hAnsiTheme="minorHAnsi"/>
                <w:color w:val="000000"/>
                <w:szCs w:val="22"/>
              </w:rPr>
              <w:t xml:space="preserve"> for a basket of selected goods and services</w:t>
            </w:r>
            <w:r w:rsidRPr="003B0074">
              <w:rPr>
                <w:rFonts w:asciiTheme="minorHAnsi" w:hAnsiTheme="minorHAnsi"/>
                <w:color w:val="000000"/>
                <w:szCs w:val="22"/>
              </w:rPr>
              <w:t xml:space="preserve"> over a given period </w:t>
            </w:r>
          </w:p>
        </w:tc>
      </w:tr>
      <w:tr w:rsidR="003B0074" w:rsidRPr="003B0074" w14:paraId="7BD28932" w14:textId="77777777" w:rsidTr="003B0074">
        <w:trPr>
          <w:trHeight w:val="412"/>
        </w:trPr>
        <w:tc>
          <w:tcPr>
            <w:tcW w:w="2042" w:type="dxa"/>
            <w:tcBorders>
              <w:top w:val="nil"/>
              <w:left w:val="nil"/>
              <w:bottom w:val="nil"/>
              <w:right w:val="nil"/>
            </w:tcBorders>
            <w:shd w:val="clear" w:color="auto" w:fill="auto"/>
            <w:noWrap/>
            <w:vAlign w:val="center"/>
            <w:hideMark/>
          </w:tcPr>
          <w:p w14:paraId="7BD28930"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indexed life annuity</w:t>
            </w:r>
          </w:p>
        </w:tc>
        <w:tc>
          <w:tcPr>
            <w:tcW w:w="7329" w:type="dxa"/>
            <w:tcBorders>
              <w:top w:val="nil"/>
              <w:left w:val="nil"/>
              <w:bottom w:val="nil"/>
              <w:right w:val="nil"/>
            </w:tcBorders>
            <w:shd w:val="clear" w:color="auto" w:fill="auto"/>
            <w:noWrap/>
            <w:vAlign w:val="center"/>
            <w:hideMark/>
          </w:tcPr>
          <w:p w14:paraId="7BD28931" w14:textId="37AA242C" w:rsidR="003B0074" w:rsidRPr="003B0074" w:rsidRDefault="003B0074" w:rsidP="005038B2">
            <w:pPr>
              <w:spacing w:before="0" w:after="0"/>
              <w:rPr>
                <w:rFonts w:asciiTheme="minorHAnsi" w:hAnsiTheme="minorHAnsi"/>
                <w:color w:val="000000"/>
                <w:szCs w:val="22"/>
              </w:rPr>
            </w:pPr>
            <w:r w:rsidRPr="003B0074">
              <w:rPr>
                <w:rFonts w:asciiTheme="minorHAnsi" w:hAnsiTheme="minorHAnsi"/>
                <w:color w:val="000000"/>
                <w:szCs w:val="22"/>
              </w:rPr>
              <w:t>an annuity</w:t>
            </w:r>
            <w:r w:rsidR="005038B2">
              <w:rPr>
                <w:rFonts w:asciiTheme="minorHAnsi" w:hAnsiTheme="minorHAnsi"/>
                <w:color w:val="000000"/>
                <w:szCs w:val="22"/>
              </w:rPr>
              <w:t xml:space="preserve"> with payments that increase in line with an external index such as CPI</w:t>
            </w:r>
            <w:r w:rsidRPr="003B0074">
              <w:rPr>
                <w:rFonts w:asciiTheme="minorHAnsi" w:hAnsiTheme="minorHAnsi"/>
                <w:color w:val="000000"/>
                <w:szCs w:val="22"/>
              </w:rPr>
              <w:t xml:space="preserve"> </w:t>
            </w:r>
          </w:p>
        </w:tc>
      </w:tr>
      <w:tr w:rsidR="003B0074" w:rsidRPr="003B0074" w14:paraId="7BD28935" w14:textId="77777777" w:rsidTr="003B0074">
        <w:trPr>
          <w:trHeight w:val="412"/>
        </w:trPr>
        <w:tc>
          <w:tcPr>
            <w:tcW w:w="2042" w:type="dxa"/>
            <w:tcBorders>
              <w:top w:val="nil"/>
              <w:left w:val="nil"/>
              <w:bottom w:val="nil"/>
              <w:right w:val="nil"/>
            </w:tcBorders>
            <w:shd w:val="clear" w:color="auto" w:fill="auto"/>
            <w:noWrap/>
            <w:vAlign w:val="center"/>
            <w:hideMark/>
          </w:tcPr>
          <w:p w14:paraId="7BD28933"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inflation risk</w:t>
            </w:r>
          </w:p>
        </w:tc>
        <w:tc>
          <w:tcPr>
            <w:tcW w:w="7329" w:type="dxa"/>
            <w:tcBorders>
              <w:top w:val="nil"/>
              <w:left w:val="nil"/>
              <w:bottom w:val="nil"/>
              <w:right w:val="nil"/>
            </w:tcBorders>
            <w:shd w:val="clear" w:color="auto" w:fill="auto"/>
            <w:noWrap/>
            <w:vAlign w:val="center"/>
            <w:hideMark/>
          </w:tcPr>
          <w:p w14:paraId="7BD28934"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rPr>
              <w:t>t</w:t>
            </w:r>
            <w:r w:rsidR="003B0074" w:rsidRPr="003B0074">
              <w:rPr>
                <w:rFonts w:asciiTheme="minorHAnsi" w:hAnsiTheme="minorHAnsi"/>
                <w:color w:val="000000"/>
                <w:szCs w:val="22"/>
              </w:rPr>
              <w:t>he risk that inflation will undermine the pu</w:t>
            </w:r>
            <w:r>
              <w:rPr>
                <w:rFonts w:asciiTheme="minorHAnsi" w:hAnsiTheme="minorHAnsi"/>
                <w:color w:val="000000"/>
                <w:szCs w:val="22"/>
              </w:rPr>
              <w:t>rchasing power of future income</w:t>
            </w:r>
          </w:p>
        </w:tc>
      </w:tr>
      <w:tr w:rsidR="003B0074" w:rsidRPr="003B0074" w14:paraId="7BD28938" w14:textId="77777777" w:rsidTr="003B0074">
        <w:trPr>
          <w:trHeight w:val="412"/>
        </w:trPr>
        <w:tc>
          <w:tcPr>
            <w:tcW w:w="2042" w:type="dxa"/>
            <w:tcBorders>
              <w:top w:val="nil"/>
              <w:left w:val="nil"/>
              <w:bottom w:val="nil"/>
              <w:right w:val="nil"/>
            </w:tcBorders>
            <w:shd w:val="clear" w:color="auto" w:fill="auto"/>
            <w:noWrap/>
            <w:vAlign w:val="center"/>
            <w:hideMark/>
          </w:tcPr>
          <w:p w14:paraId="7BD28936"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longevity risk</w:t>
            </w:r>
          </w:p>
        </w:tc>
        <w:tc>
          <w:tcPr>
            <w:tcW w:w="7329" w:type="dxa"/>
            <w:tcBorders>
              <w:top w:val="nil"/>
              <w:left w:val="nil"/>
              <w:bottom w:val="nil"/>
              <w:right w:val="nil"/>
            </w:tcBorders>
            <w:shd w:val="clear" w:color="auto" w:fill="auto"/>
            <w:noWrap/>
            <w:vAlign w:val="center"/>
            <w:hideMark/>
          </w:tcPr>
          <w:p w14:paraId="7BD28937" w14:textId="77777777" w:rsidR="003B0074" w:rsidRPr="003B0074" w:rsidRDefault="00D85146" w:rsidP="003B0074">
            <w:pPr>
              <w:spacing w:before="0" w:after="0"/>
              <w:rPr>
                <w:rFonts w:asciiTheme="minorHAnsi" w:hAnsiTheme="minorHAnsi"/>
                <w:color w:val="000000"/>
                <w:szCs w:val="22"/>
              </w:rPr>
            </w:pPr>
            <w:r>
              <w:rPr>
                <w:rFonts w:asciiTheme="minorHAnsi" w:hAnsiTheme="minorHAnsi"/>
                <w:color w:val="000000"/>
                <w:szCs w:val="22"/>
                <w:lang w:val="en"/>
              </w:rPr>
              <w:t>t</w:t>
            </w:r>
            <w:r w:rsidR="003B0074" w:rsidRPr="003B0074">
              <w:rPr>
                <w:rFonts w:asciiTheme="minorHAnsi" w:hAnsiTheme="minorHAnsi"/>
                <w:color w:val="000000"/>
                <w:szCs w:val="22"/>
                <w:lang w:val="en"/>
              </w:rPr>
              <w:t xml:space="preserve">he uncertainty about how long an individual will live. For an individual, it is the </w:t>
            </w:r>
            <w:r>
              <w:rPr>
                <w:rFonts w:asciiTheme="minorHAnsi" w:hAnsiTheme="minorHAnsi"/>
                <w:color w:val="000000"/>
                <w:szCs w:val="22"/>
                <w:lang w:val="en"/>
              </w:rPr>
              <w:t>risk of outliving their savings</w:t>
            </w:r>
          </w:p>
        </w:tc>
      </w:tr>
      <w:tr w:rsidR="003B0074" w:rsidRPr="003B0074" w14:paraId="7BD2893B" w14:textId="77777777" w:rsidTr="003B0074">
        <w:trPr>
          <w:trHeight w:val="282"/>
        </w:trPr>
        <w:tc>
          <w:tcPr>
            <w:tcW w:w="2042" w:type="dxa"/>
            <w:tcBorders>
              <w:top w:val="nil"/>
              <w:left w:val="nil"/>
              <w:bottom w:val="nil"/>
              <w:right w:val="nil"/>
            </w:tcBorders>
            <w:shd w:val="clear" w:color="auto" w:fill="auto"/>
            <w:noWrap/>
            <w:vAlign w:val="center"/>
            <w:hideMark/>
          </w:tcPr>
          <w:p w14:paraId="7BD28939"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market volatility</w:t>
            </w:r>
          </w:p>
        </w:tc>
        <w:tc>
          <w:tcPr>
            <w:tcW w:w="7329" w:type="dxa"/>
            <w:tcBorders>
              <w:top w:val="nil"/>
              <w:left w:val="nil"/>
              <w:bottom w:val="nil"/>
              <w:right w:val="nil"/>
            </w:tcBorders>
            <w:shd w:val="clear" w:color="auto" w:fill="auto"/>
            <w:noWrap/>
            <w:vAlign w:val="center"/>
            <w:hideMark/>
          </w:tcPr>
          <w:p w14:paraId="7BD2893A"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measure of the dispersion of returns from the market</w:t>
            </w:r>
          </w:p>
        </w:tc>
      </w:tr>
      <w:tr w:rsidR="003B0074" w:rsidRPr="003B0074" w14:paraId="7BD2893E" w14:textId="77777777" w:rsidTr="003B0074">
        <w:trPr>
          <w:trHeight w:val="412"/>
        </w:trPr>
        <w:tc>
          <w:tcPr>
            <w:tcW w:w="2042" w:type="dxa"/>
            <w:tcBorders>
              <w:top w:val="nil"/>
              <w:left w:val="nil"/>
              <w:bottom w:val="nil"/>
              <w:right w:val="nil"/>
            </w:tcBorders>
            <w:shd w:val="clear" w:color="auto" w:fill="auto"/>
            <w:noWrap/>
            <w:vAlign w:val="center"/>
            <w:hideMark/>
          </w:tcPr>
          <w:p w14:paraId="7BD2893C"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mortality variations</w:t>
            </w:r>
          </w:p>
        </w:tc>
        <w:tc>
          <w:tcPr>
            <w:tcW w:w="7329" w:type="dxa"/>
            <w:tcBorders>
              <w:top w:val="nil"/>
              <w:left w:val="nil"/>
              <w:bottom w:val="nil"/>
              <w:right w:val="nil"/>
            </w:tcBorders>
            <w:shd w:val="clear" w:color="auto" w:fill="auto"/>
            <w:noWrap/>
            <w:vAlign w:val="center"/>
            <w:hideMark/>
          </w:tcPr>
          <w:p w14:paraId="7BD2893D" w14:textId="3EB8BD2A" w:rsidR="003B0074" w:rsidRPr="003B0074" w:rsidRDefault="003B0074" w:rsidP="005038B2">
            <w:pPr>
              <w:spacing w:before="0" w:after="0"/>
              <w:rPr>
                <w:rFonts w:asciiTheme="minorHAnsi" w:hAnsiTheme="minorHAnsi"/>
                <w:color w:val="000000"/>
                <w:szCs w:val="22"/>
              </w:rPr>
            </w:pPr>
            <w:r w:rsidRPr="003B0074">
              <w:rPr>
                <w:rFonts w:asciiTheme="minorHAnsi" w:hAnsiTheme="minorHAnsi"/>
                <w:color w:val="000000"/>
                <w:szCs w:val="22"/>
              </w:rPr>
              <w:t xml:space="preserve">where the number of deaths each year </w:t>
            </w:r>
            <w:r w:rsidR="005038B2">
              <w:rPr>
                <w:rFonts w:asciiTheme="minorHAnsi" w:hAnsiTheme="minorHAnsi"/>
                <w:color w:val="000000"/>
                <w:szCs w:val="22"/>
              </w:rPr>
              <w:t>is</w:t>
            </w:r>
            <w:r w:rsidRPr="003B0074">
              <w:rPr>
                <w:rFonts w:asciiTheme="minorHAnsi" w:hAnsiTheme="minorHAnsi"/>
                <w:color w:val="000000"/>
                <w:szCs w:val="22"/>
              </w:rPr>
              <w:t xml:space="preserve"> more or les</w:t>
            </w:r>
            <w:r w:rsidR="00D85146">
              <w:rPr>
                <w:rFonts w:asciiTheme="minorHAnsi" w:hAnsiTheme="minorHAnsi"/>
                <w:color w:val="000000"/>
                <w:szCs w:val="22"/>
              </w:rPr>
              <w:t>s than expected</w:t>
            </w:r>
          </w:p>
        </w:tc>
      </w:tr>
      <w:tr w:rsidR="003B0074" w:rsidRPr="003B0074" w14:paraId="7BD28941" w14:textId="77777777" w:rsidTr="003B0074">
        <w:trPr>
          <w:trHeight w:val="412"/>
        </w:trPr>
        <w:tc>
          <w:tcPr>
            <w:tcW w:w="2042" w:type="dxa"/>
            <w:tcBorders>
              <w:top w:val="nil"/>
              <w:left w:val="nil"/>
              <w:bottom w:val="nil"/>
              <w:right w:val="nil"/>
            </w:tcBorders>
            <w:shd w:val="clear" w:color="auto" w:fill="auto"/>
            <w:noWrap/>
            <w:vAlign w:val="center"/>
            <w:hideMark/>
          </w:tcPr>
          <w:p w14:paraId="7BD2893F"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 xml:space="preserve">negative semi deviation/negative variation </w:t>
            </w:r>
          </w:p>
        </w:tc>
        <w:tc>
          <w:tcPr>
            <w:tcW w:w="7329" w:type="dxa"/>
            <w:tcBorders>
              <w:top w:val="nil"/>
              <w:left w:val="nil"/>
              <w:bottom w:val="nil"/>
              <w:right w:val="nil"/>
            </w:tcBorders>
            <w:shd w:val="clear" w:color="auto" w:fill="auto"/>
            <w:noWrap/>
            <w:vAlign w:val="center"/>
            <w:hideMark/>
          </w:tcPr>
          <w:p w14:paraId="7BD28940" w14:textId="7689A679" w:rsidR="003B0074" w:rsidRPr="003B0074" w:rsidRDefault="003B0074" w:rsidP="005038B2">
            <w:pPr>
              <w:spacing w:before="0" w:after="0"/>
              <w:rPr>
                <w:rFonts w:asciiTheme="minorHAnsi" w:hAnsiTheme="minorHAnsi"/>
                <w:color w:val="000000"/>
                <w:szCs w:val="22"/>
              </w:rPr>
            </w:pPr>
            <w:r w:rsidRPr="003B0074">
              <w:rPr>
                <w:rFonts w:asciiTheme="minorHAnsi" w:hAnsiTheme="minorHAnsi"/>
                <w:color w:val="000000"/>
                <w:szCs w:val="22"/>
              </w:rPr>
              <w:t>measure of the number and size of deviation</w:t>
            </w:r>
            <w:r w:rsidR="001928AC">
              <w:rPr>
                <w:rFonts w:asciiTheme="minorHAnsi" w:hAnsiTheme="minorHAnsi"/>
                <w:color w:val="000000"/>
                <w:szCs w:val="22"/>
              </w:rPr>
              <w:t>s</w:t>
            </w:r>
            <w:r w:rsidRPr="003B0074">
              <w:rPr>
                <w:rFonts w:asciiTheme="minorHAnsi" w:hAnsiTheme="minorHAnsi"/>
                <w:color w:val="000000"/>
                <w:szCs w:val="22"/>
              </w:rPr>
              <w:t xml:space="preserve"> below the mean</w:t>
            </w:r>
            <w:r w:rsidR="001613A2">
              <w:rPr>
                <w:rFonts w:asciiTheme="minorHAnsi" w:hAnsiTheme="minorHAnsi"/>
                <w:color w:val="000000"/>
                <w:szCs w:val="22"/>
              </w:rPr>
              <w:t xml:space="preserve"> </w:t>
            </w:r>
            <w:r w:rsidR="005038B2">
              <w:rPr>
                <w:rFonts w:asciiTheme="minorHAnsi" w:hAnsiTheme="minorHAnsi"/>
                <w:color w:val="000000"/>
                <w:szCs w:val="22"/>
              </w:rPr>
              <w:t>payment</w:t>
            </w:r>
          </w:p>
        </w:tc>
      </w:tr>
      <w:tr w:rsidR="003B0074" w:rsidRPr="003B0074" w14:paraId="7BD28944" w14:textId="77777777" w:rsidTr="003B0074">
        <w:trPr>
          <w:trHeight w:val="412"/>
        </w:trPr>
        <w:tc>
          <w:tcPr>
            <w:tcW w:w="2042" w:type="dxa"/>
            <w:tcBorders>
              <w:top w:val="nil"/>
              <w:left w:val="nil"/>
              <w:bottom w:val="nil"/>
              <w:right w:val="nil"/>
            </w:tcBorders>
            <w:shd w:val="clear" w:color="auto" w:fill="auto"/>
            <w:noWrap/>
            <w:vAlign w:val="center"/>
            <w:hideMark/>
          </w:tcPr>
          <w:p w14:paraId="7BD28942"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periodic income</w:t>
            </w:r>
          </w:p>
        </w:tc>
        <w:tc>
          <w:tcPr>
            <w:tcW w:w="7329" w:type="dxa"/>
            <w:tcBorders>
              <w:top w:val="nil"/>
              <w:left w:val="nil"/>
              <w:bottom w:val="nil"/>
              <w:right w:val="nil"/>
            </w:tcBorders>
            <w:shd w:val="clear" w:color="auto" w:fill="auto"/>
            <w:noWrap/>
            <w:vAlign w:val="center"/>
            <w:hideMark/>
          </w:tcPr>
          <w:p w14:paraId="7BD28943"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income received on a regular basis</w:t>
            </w:r>
          </w:p>
        </w:tc>
      </w:tr>
      <w:tr w:rsidR="003B0074" w:rsidRPr="003B0074" w14:paraId="7BD28947" w14:textId="77777777" w:rsidTr="003B0074">
        <w:trPr>
          <w:trHeight w:val="412"/>
        </w:trPr>
        <w:tc>
          <w:tcPr>
            <w:tcW w:w="2042" w:type="dxa"/>
            <w:tcBorders>
              <w:top w:val="nil"/>
              <w:left w:val="nil"/>
              <w:bottom w:val="nil"/>
              <w:right w:val="nil"/>
            </w:tcBorders>
            <w:shd w:val="clear" w:color="auto" w:fill="auto"/>
            <w:noWrap/>
            <w:vAlign w:val="center"/>
            <w:hideMark/>
          </w:tcPr>
          <w:p w14:paraId="7BD28945"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pool</w:t>
            </w:r>
          </w:p>
        </w:tc>
        <w:tc>
          <w:tcPr>
            <w:tcW w:w="7329" w:type="dxa"/>
            <w:tcBorders>
              <w:top w:val="nil"/>
              <w:left w:val="nil"/>
              <w:bottom w:val="nil"/>
              <w:right w:val="nil"/>
            </w:tcBorders>
            <w:shd w:val="clear" w:color="auto" w:fill="auto"/>
            <w:noWrap/>
            <w:vAlign w:val="center"/>
            <w:hideMark/>
          </w:tcPr>
          <w:p w14:paraId="7BD28946"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 this instance a pool refers to a group of people that collectively invest in the same pr</w:t>
            </w:r>
            <w:r w:rsidR="00D85146">
              <w:rPr>
                <w:rFonts w:asciiTheme="minorHAnsi" w:hAnsiTheme="minorHAnsi"/>
                <w:color w:val="000000"/>
                <w:szCs w:val="22"/>
              </w:rPr>
              <w:t>oduct to share returns and risk</w:t>
            </w:r>
          </w:p>
        </w:tc>
      </w:tr>
      <w:tr w:rsidR="003B0074" w:rsidRPr="003B0074" w14:paraId="7BD2894A" w14:textId="77777777" w:rsidTr="003B0074">
        <w:trPr>
          <w:trHeight w:val="412"/>
        </w:trPr>
        <w:tc>
          <w:tcPr>
            <w:tcW w:w="2042" w:type="dxa"/>
            <w:tcBorders>
              <w:top w:val="nil"/>
              <w:left w:val="nil"/>
              <w:bottom w:val="nil"/>
              <w:right w:val="nil"/>
            </w:tcBorders>
            <w:shd w:val="clear" w:color="auto" w:fill="auto"/>
            <w:noWrap/>
            <w:vAlign w:val="center"/>
            <w:hideMark/>
          </w:tcPr>
          <w:p w14:paraId="7BD28948"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Product Disclosure statement (PDS)</w:t>
            </w:r>
          </w:p>
        </w:tc>
        <w:tc>
          <w:tcPr>
            <w:tcW w:w="7329" w:type="dxa"/>
            <w:tcBorders>
              <w:top w:val="nil"/>
              <w:left w:val="nil"/>
              <w:bottom w:val="nil"/>
              <w:right w:val="nil"/>
            </w:tcBorders>
            <w:shd w:val="clear" w:color="auto" w:fill="auto"/>
            <w:noWrap/>
            <w:vAlign w:val="center"/>
            <w:hideMark/>
          </w:tcPr>
          <w:p w14:paraId="7BD28949"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 xml:space="preserve">Information provided by the person making or selling the financial product for consumers to make a decision on </w:t>
            </w:r>
            <w:r w:rsidR="00026849">
              <w:rPr>
                <w:rFonts w:asciiTheme="minorHAnsi" w:hAnsiTheme="minorHAnsi"/>
                <w:color w:val="000000"/>
                <w:szCs w:val="22"/>
              </w:rPr>
              <w:t xml:space="preserve">the </w:t>
            </w:r>
            <w:r w:rsidRPr="003B0074">
              <w:rPr>
                <w:rFonts w:asciiTheme="minorHAnsi" w:hAnsiTheme="minorHAnsi"/>
                <w:color w:val="000000"/>
                <w:szCs w:val="22"/>
              </w:rPr>
              <w:t xml:space="preserve">suitability of </w:t>
            </w:r>
            <w:r w:rsidR="00026849">
              <w:rPr>
                <w:rFonts w:asciiTheme="minorHAnsi" w:hAnsiTheme="minorHAnsi"/>
                <w:color w:val="000000"/>
                <w:szCs w:val="22"/>
              </w:rPr>
              <w:t xml:space="preserve">the </w:t>
            </w:r>
            <w:r w:rsidRPr="003B0074">
              <w:rPr>
                <w:rFonts w:asciiTheme="minorHAnsi" w:hAnsiTheme="minorHAnsi"/>
                <w:color w:val="000000"/>
                <w:szCs w:val="22"/>
              </w:rPr>
              <w:t>product</w:t>
            </w:r>
          </w:p>
        </w:tc>
      </w:tr>
      <w:tr w:rsidR="003B0074" w:rsidRPr="003B0074" w14:paraId="7BD2894D" w14:textId="77777777" w:rsidTr="003B0074">
        <w:trPr>
          <w:trHeight w:val="412"/>
        </w:trPr>
        <w:tc>
          <w:tcPr>
            <w:tcW w:w="2042" w:type="dxa"/>
            <w:tcBorders>
              <w:top w:val="nil"/>
              <w:left w:val="nil"/>
              <w:bottom w:val="nil"/>
              <w:right w:val="nil"/>
            </w:tcBorders>
            <w:shd w:val="clear" w:color="auto" w:fill="auto"/>
            <w:noWrap/>
            <w:vAlign w:val="center"/>
            <w:hideMark/>
          </w:tcPr>
          <w:p w14:paraId="7BD2894B"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purchase price</w:t>
            </w:r>
          </w:p>
        </w:tc>
        <w:tc>
          <w:tcPr>
            <w:tcW w:w="7329" w:type="dxa"/>
            <w:tcBorders>
              <w:top w:val="nil"/>
              <w:left w:val="nil"/>
              <w:bottom w:val="nil"/>
              <w:right w:val="nil"/>
            </w:tcBorders>
            <w:shd w:val="clear" w:color="auto" w:fill="auto"/>
            <w:noWrap/>
            <w:vAlign w:val="center"/>
            <w:hideMark/>
          </w:tcPr>
          <w:p w14:paraId="7BD2894C"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the total amount invested in a product</w:t>
            </w:r>
          </w:p>
        </w:tc>
      </w:tr>
      <w:tr w:rsidR="003B0074" w:rsidRPr="003B0074" w14:paraId="7BD28950" w14:textId="77777777" w:rsidTr="003B0074">
        <w:trPr>
          <w:trHeight w:val="412"/>
        </w:trPr>
        <w:tc>
          <w:tcPr>
            <w:tcW w:w="2042" w:type="dxa"/>
            <w:tcBorders>
              <w:top w:val="nil"/>
              <w:left w:val="nil"/>
              <w:bottom w:val="nil"/>
              <w:right w:val="nil"/>
            </w:tcBorders>
            <w:shd w:val="clear" w:color="auto" w:fill="auto"/>
            <w:noWrap/>
            <w:vAlign w:val="center"/>
            <w:hideMark/>
          </w:tcPr>
          <w:p w14:paraId="7BD2894E"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retirement phase</w:t>
            </w:r>
          </w:p>
        </w:tc>
        <w:tc>
          <w:tcPr>
            <w:tcW w:w="7329" w:type="dxa"/>
            <w:tcBorders>
              <w:top w:val="nil"/>
              <w:left w:val="nil"/>
              <w:bottom w:val="nil"/>
              <w:right w:val="nil"/>
            </w:tcBorders>
            <w:shd w:val="clear" w:color="auto" w:fill="auto"/>
            <w:noWrap/>
            <w:vAlign w:val="center"/>
            <w:hideMark/>
          </w:tcPr>
          <w:p w14:paraId="7BD2894F"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the period where investors start to withdraw from their savings and superannuation</w:t>
            </w:r>
          </w:p>
        </w:tc>
      </w:tr>
      <w:tr w:rsidR="003B0074" w:rsidRPr="003B0074" w14:paraId="7BD28953" w14:textId="77777777" w:rsidTr="003B0074">
        <w:trPr>
          <w:trHeight w:val="275"/>
        </w:trPr>
        <w:tc>
          <w:tcPr>
            <w:tcW w:w="2042" w:type="dxa"/>
            <w:tcBorders>
              <w:top w:val="nil"/>
              <w:left w:val="nil"/>
              <w:bottom w:val="nil"/>
              <w:right w:val="nil"/>
            </w:tcBorders>
            <w:shd w:val="clear" w:color="auto" w:fill="auto"/>
            <w:noWrap/>
            <w:vAlign w:val="center"/>
            <w:hideMark/>
          </w:tcPr>
          <w:p w14:paraId="7BD28951"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reversionary benefit</w:t>
            </w:r>
          </w:p>
        </w:tc>
        <w:tc>
          <w:tcPr>
            <w:tcW w:w="7329" w:type="dxa"/>
            <w:tcBorders>
              <w:top w:val="nil"/>
              <w:left w:val="nil"/>
              <w:bottom w:val="nil"/>
              <w:right w:val="nil"/>
            </w:tcBorders>
            <w:shd w:val="clear" w:color="auto" w:fill="auto"/>
            <w:noWrap/>
            <w:vAlign w:val="center"/>
            <w:hideMark/>
          </w:tcPr>
          <w:p w14:paraId="7BD28952" w14:textId="77777777" w:rsidR="003B0074" w:rsidRPr="003B0074" w:rsidRDefault="003B0074" w:rsidP="003B0074">
            <w:pPr>
              <w:spacing w:before="0" w:after="0"/>
              <w:rPr>
                <w:rFonts w:asciiTheme="minorHAnsi" w:hAnsiTheme="minorHAnsi"/>
                <w:color w:val="000000"/>
                <w:szCs w:val="22"/>
              </w:rPr>
            </w:pPr>
            <w:r w:rsidRPr="003B0074">
              <w:rPr>
                <w:rFonts w:asciiTheme="minorHAnsi" w:hAnsiTheme="minorHAnsi"/>
                <w:color w:val="000000"/>
                <w:szCs w:val="22"/>
              </w:rPr>
              <w:t>income paid to a surviving spouse, partner or beneficiary upon death of the primary product owner</w:t>
            </w:r>
          </w:p>
        </w:tc>
      </w:tr>
      <w:bookmarkEnd w:id="10"/>
      <w:bookmarkEnd w:id="11"/>
    </w:tbl>
    <w:p w14:paraId="7BD28954" w14:textId="77777777" w:rsidR="00C733A3" w:rsidRDefault="00C733A3" w:rsidP="00270330">
      <w:pPr>
        <w:rPr>
          <w:rFonts w:cs="Arial"/>
          <w:color w:val="004A7F"/>
          <w:kern w:val="32"/>
          <w:sz w:val="48"/>
          <w:szCs w:val="36"/>
        </w:rPr>
      </w:pPr>
    </w:p>
    <w:sectPr w:rsidR="00C733A3" w:rsidSect="00865001">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BF7AD" w14:textId="77777777" w:rsidR="004849E4" w:rsidRDefault="004849E4">
      <w:pPr>
        <w:spacing w:before="0" w:after="0"/>
      </w:pPr>
      <w:r>
        <w:separator/>
      </w:r>
    </w:p>
  </w:endnote>
  <w:endnote w:type="continuationSeparator" w:id="0">
    <w:p w14:paraId="76121C3F" w14:textId="77777777" w:rsidR="004849E4" w:rsidRDefault="004849E4">
      <w:pPr>
        <w:spacing w:before="0" w:after="0"/>
      </w:pPr>
      <w:r>
        <w:continuationSeparator/>
      </w:r>
    </w:p>
  </w:endnote>
  <w:endnote w:type="continuationNotice" w:id="1">
    <w:p w14:paraId="39B6DD02" w14:textId="77777777" w:rsidR="004849E4" w:rsidRDefault="004849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rcu">
    <w:altName w:val="Aperc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6D" w14:textId="77777777" w:rsidR="004849E4" w:rsidRDefault="00484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6E" w14:textId="77777777" w:rsidR="004849E4" w:rsidRPr="00E1136B" w:rsidRDefault="004849E4" w:rsidP="00E1136B">
    <w:pPr>
      <w:pStyle w:val="Footer"/>
    </w:pPr>
    <w:r>
      <w:rPr>
        <w:noProof/>
      </w:rPr>
      <w:drawing>
        <wp:anchor distT="0" distB="0" distL="114300" distR="114300" simplePos="0" relativeHeight="251658241" behindDoc="1" locked="0" layoutInCell="1" allowOverlap="1" wp14:anchorId="7BD2897C" wp14:editId="7BD2897D">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7E37A3">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0" w14:textId="77777777" w:rsidR="004849E4" w:rsidRDefault="004849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3" w14:textId="77777777" w:rsidR="004849E4" w:rsidRPr="00E77C89" w:rsidRDefault="004849E4"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6" w14:textId="77777777" w:rsidR="004849E4" w:rsidRPr="00E77C89" w:rsidRDefault="004849E4"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7" w14:textId="77777777" w:rsidR="004849E4" w:rsidRPr="00E1136B" w:rsidRDefault="004849E4" w:rsidP="00E1136B">
    <w:pPr>
      <w:pStyle w:val="Footer"/>
    </w:pPr>
    <w:r>
      <w:fldChar w:fldCharType="begin"/>
    </w:r>
    <w:r>
      <w:instrText xml:space="preserve"> PAGE   \* MERGEFORMAT </w:instrText>
    </w:r>
    <w:r>
      <w:fldChar w:fldCharType="separate"/>
    </w:r>
    <w:r w:rsidR="007E37A3">
      <w:rPr>
        <w:noProof/>
      </w:rPr>
      <w:t>9</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9" w14:textId="77777777" w:rsidR="004849E4" w:rsidRDefault="00484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A0727" w14:textId="77777777" w:rsidR="004849E4" w:rsidRDefault="004849E4">
      <w:pPr>
        <w:spacing w:before="0" w:after="0"/>
      </w:pPr>
      <w:r>
        <w:separator/>
      </w:r>
    </w:p>
  </w:footnote>
  <w:footnote w:type="continuationSeparator" w:id="0">
    <w:p w14:paraId="5C9C1E12" w14:textId="77777777" w:rsidR="004849E4" w:rsidRDefault="004849E4">
      <w:pPr>
        <w:spacing w:before="0" w:after="0"/>
      </w:pPr>
      <w:r>
        <w:continuationSeparator/>
      </w:r>
    </w:p>
  </w:footnote>
  <w:footnote w:type="continuationNotice" w:id="1">
    <w:p w14:paraId="19B89F9C" w14:textId="77777777" w:rsidR="004849E4" w:rsidRDefault="004849E4">
      <w:pPr>
        <w:spacing w:before="0" w:after="0"/>
      </w:pPr>
    </w:p>
  </w:footnote>
  <w:footnote w:id="2">
    <w:p w14:paraId="7BD2897F" w14:textId="77777777" w:rsidR="004849E4" w:rsidRDefault="004849E4">
      <w:pPr>
        <w:pStyle w:val="FootnoteText"/>
      </w:pPr>
      <w:r>
        <w:rPr>
          <w:rStyle w:val="FootnoteReference"/>
        </w:rPr>
        <w:footnoteRef/>
      </w:r>
      <w:r>
        <w:t xml:space="preserve"> Commonwealth of Australia (2014), </w:t>
      </w:r>
      <w:r>
        <w:rPr>
          <w:i/>
        </w:rPr>
        <w:t>Financial System Inquiry: Final Report</w:t>
      </w:r>
      <w:r>
        <w:t>, Canberra.</w:t>
      </w:r>
    </w:p>
  </w:footnote>
  <w:footnote w:id="3">
    <w:p w14:paraId="7BD28980" w14:textId="35819F28" w:rsidR="004849E4" w:rsidRDefault="004849E4">
      <w:pPr>
        <w:pStyle w:val="FootnoteText"/>
      </w:pPr>
      <w:r>
        <w:rPr>
          <w:rStyle w:val="FootnoteReference"/>
        </w:rPr>
        <w:footnoteRef/>
      </w:r>
      <w:r>
        <w:t xml:space="preserve"> Productivity Commission (</w:t>
      </w:r>
      <w:r>
        <w:rPr>
          <w:rFonts w:eastAsia="Calibri"/>
          <w:lang w:eastAsia="en-US"/>
        </w:rPr>
        <w:t xml:space="preserve">2018), </w:t>
      </w:r>
      <w:r w:rsidRPr="00BC0B53">
        <w:rPr>
          <w:rFonts w:eastAsia="Calibri"/>
          <w:i/>
          <w:lang w:eastAsia="en-US"/>
        </w:rPr>
        <w:t xml:space="preserve">Superannuation: Assessing Efficiency and Competitiveness: </w:t>
      </w:r>
      <w:r w:rsidR="00865001">
        <w:rPr>
          <w:rFonts w:eastAsia="Calibri"/>
          <w:i/>
          <w:lang w:eastAsia="en-US"/>
        </w:rPr>
        <w:t xml:space="preserve">Stage 3 </w:t>
      </w:r>
      <w:r w:rsidRPr="00BC0B53">
        <w:rPr>
          <w:rFonts w:eastAsia="Calibri"/>
          <w:i/>
          <w:lang w:eastAsia="en-US"/>
        </w:rPr>
        <w:t>Draft Report</w:t>
      </w:r>
      <w:r>
        <w:t>.</w:t>
      </w:r>
    </w:p>
  </w:footnote>
  <w:footnote w:id="4">
    <w:p w14:paraId="7BD28981" w14:textId="77777777" w:rsidR="004849E4" w:rsidRDefault="004849E4" w:rsidP="003D3CCB">
      <w:pPr>
        <w:pStyle w:val="FootnoteText"/>
      </w:pPr>
      <w:r>
        <w:rPr>
          <w:rStyle w:val="FootnoteReference"/>
        </w:rPr>
        <w:footnoteRef/>
      </w:r>
      <w:r>
        <w:t xml:space="preserve"> Hiscox, M., Hobman, E., Daffey, M. &amp; Reeson, A (2017) </w:t>
      </w:r>
      <w:r>
        <w:rPr>
          <w:i/>
        </w:rPr>
        <w:t xml:space="preserve">Behavioural Economics Team of Australian Government: Supporting retirees in retirement income planning. </w:t>
      </w:r>
      <w:r>
        <w:t xml:space="preserve">Canberra: Australian Government.  </w:t>
      </w:r>
      <w:r>
        <w:rPr>
          <w:i/>
        </w:rPr>
        <w:t xml:space="preserve"> </w:t>
      </w:r>
    </w:p>
  </w:footnote>
  <w:footnote w:id="5">
    <w:p w14:paraId="7BD28982" w14:textId="77777777" w:rsidR="004849E4" w:rsidRDefault="004849E4" w:rsidP="004F2627">
      <w:pPr>
        <w:pStyle w:val="FootnoteText"/>
      </w:pPr>
      <w:r>
        <w:rPr>
          <w:rStyle w:val="FootnoteReference"/>
        </w:rPr>
        <w:footnoteRef/>
      </w:r>
      <w:r>
        <w:t xml:space="preserve"> </w:t>
      </w:r>
      <w:r>
        <w:rPr>
          <w:sz w:val="18"/>
          <w:szCs w:val="18"/>
        </w:rPr>
        <w:t>Ibid.</w:t>
      </w:r>
    </w:p>
  </w:footnote>
  <w:footnote w:id="6">
    <w:p w14:paraId="7BD28983" w14:textId="77777777" w:rsidR="004849E4" w:rsidRDefault="004849E4">
      <w:pPr>
        <w:pStyle w:val="FootnoteText"/>
      </w:pPr>
      <w:r>
        <w:rPr>
          <w:rStyle w:val="FootnoteReference"/>
        </w:rPr>
        <w:footnoteRef/>
      </w:r>
      <w:r>
        <w:t xml:space="preserve"> Ringrose, K. (2018) ‘</w:t>
      </w:r>
      <w:r w:rsidRPr="00BC0B53">
        <w:rPr>
          <w:i/>
        </w:rPr>
        <w:t>The Real Risk’</w:t>
      </w:r>
      <w:r>
        <w:t xml:space="preserve">, </w:t>
      </w:r>
      <w:r w:rsidRPr="00BC0B53">
        <w:t>Superfunds Magazine</w:t>
      </w:r>
      <w:r>
        <w:t>, February.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6B" w14:textId="77777777" w:rsidR="004849E4" w:rsidRDefault="00484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6C" w14:textId="77777777" w:rsidR="004849E4" w:rsidRDefault="004849E4">
    <w:pPr>
      <w:pStyle w:val="Header"/>
    </w:pPr>
    <w:r>
      <w:rPr>
        <w:noProof/>
      </w:rPr>
      <w:drawing>
        <wp:anchor distT="0" distB="0" distL="114300" distR="114300" simplePos="0" relativeHeight="251658240" behindDoc="1" locked="0" layoutInCell="1" allowOverlap="1" wp14:anchorId="7BD2897A" wp14:editId="7BD2897B">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6F" w14:textId="77777777" w:rsidR="004849E4" w:rsidRDefault="004849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1" w14:textId="77777777" w:rsidR="004849E4" w:rsidRPr="001F3912" w:rsidRDefault="004849E4"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2" w14:textId="77777777" w:rsidR="004849E4" w:rsidRPr="001F3912" w:rsidRDefault="004849E4"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4" w14:textId="77777777" w:rsidR="004849E4" w:rsidRPr="001F3912" w:rsidRDefault="004849E4"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5" w14:textId="21BA1CA4" w:rsidR="004849E4" w:rsidRPr="001F3912" w:rsidRDefault="007E37A3" w:rsidP="001606CF">
    <w:pPr>
      <w:pStyle w:val="Header"/>
    </w:pPr>
    <w:r>
      <w:fldChar w:fldCharType="begin"/>
    </w:r>
    <w:r>
      <w:instrText xml:space="preserve"> STYLEREF  Title  \* MERGEFORMAT </w:instrText>
    </w:r>
    <w:r>
      <w:fldChar w:fldCharType="separate"/>
    </w:r>
    <w:r>
      <w:rPr>
        <w:noProof/>
      </w:rPr>
      <w:t>Retirement Income Disclosure Consultation Paper</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8978" w14:textId="77777777" w:rsidR="004849E4" w:rsidRDefault="00484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440C8B"/>
    <w:multiLevelType w:val="multilevel"/>
    <w:tmpl w:val="1E028B5A"/>
    <w:lvl w:ilvl="0">
      <w:start w:val="1"/>
      <w:numFmt w:val="bullet"/>
      <w:lvlText w:val="•"/>
      <w:lvlJc w:val="left"/>
      <w:pPr>
        <w:tabs>
          <w:tab w:val="num" w:pos="520"/>
        </w:tabs>
        <w:ind w:left="520" w:hanging="520"/>
      </w:pPr>
      <w:rPr>
        <w:rFonts w:ascii="Times New Roman" w:hAnsi="Times New Roman" w:cs="Times New Roman" w:hint="default"/>
        <w:b w:val="0"/>
        <w:i w:val="0"/>
      </w:rPr>
    </w:lvl>
    <w:lvl w:ilvl="1">
      <w:start w:val="1"/>
      <w:numFmt w:val="bullet"/>
      <w:lvlText w:val="–"/>
      <w:lvlJc w:val="left"/>
      <w:pPr>
        <w:tabs>
          <w:tab w:val="num" w:pos="1040"/>
        </w:tabs>
        <w:ind w:left="1040" w:hanging="520"/>
      </w:pPr>
      <w:rPr>
        <w:rFonts w:ascii="Times New Roman" w:hAnsi="Times New Roman" w:cs="Times New Roman" w:hint="default"/>
        <w:b w:val="0"/>
        <w:i w:val="0"/>
      </w:rPr>
    </w:lvl>
    <w:lvl w:ilvl="2">
      <w:start w:val="1"/>
      <w:numFmt w:val="bulle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5058"/>
        </w:tabs>
        <w:ind w:left="5058" w:hanging="360"/>
      </w:pPr>
      <w:rPr>
        <w:rFonts w:hint="default"/>
        <w:b w:val="0"/>
        <w:i w:val="0"/>
      </w:rPr>
    </w:lvl>
    <w:lvl w:ilvl="4">
      <w:start w:val="1"/>
      <w:numFmt w:val="lowerLetter"/>
      <w:lvlText w:val="(%5)"/>
      <w:lvlJc w:val="left"/>
      <w:pPr>
        <w:tabs>
          <w:tab w:val="num" w:pos="5418"/>
        </w:tabs>
        <w:ind w:left="5418" w:hanging="360"/>
      </w:pPr>
      <w:rPr>
        <w:rFonts w:hint="default"/>
        <w:b w:val="0"/>
        <w:i w:val="0"/>
      </w:rPr>
    </w:lvl>
    <w:lvl w:ilvl="5">
      <w:start w:val="1"/>
      <w:numFmt w:val="lowerRoman"/>
      <w:lvlText w:val="(%6)"/>
      <w:lvlJc w:val="left"/>
      <w:pPr>
        <w:tabs>
          <w:tab w:val="num" w:pos="5778"/>
        </w:tabs>
        <w:ind w:left="5778" w:hanging="360"/>
      </w:pPr>
      <w:rPr>
        <w:rFonts w:hint="default"/>
        <w:b w:val="0"/>
        <w:i w:val="0"/>
      </w:rPr>
    </w:lvl>
    <w:lvl w:ilvl="6">
      <w:start w:val="1"/>
      <w:numFmt w:val="decimal"/>
      <w:lvlText w:val="%7."/>
      <w:lvlJc w:val="left"/>
      <w:pPr>
        <w:tabs>
          <w:tab w:val="num" w:pos="6138"/>
        </w:tabs>
        <w:ind w:left="6138" w:hanging="360"/>
      </w:pPr>
      <w:rPr>
        <w:rFonts w:hint="default"/>
        <w:b w:val="0"/>
        <w:i w:val="0"/>
      </w:rPr>
    </w:lvl>
    <w:lvl w:ilvl="7">
      <w:start w:val="1"/>
      <w:numFmt w:val="lowerLetter"/>
      <w:lvlText w:val="%8."/>
      <w:lvlJc w:val="left"/>
      <w:pPr>
        <w:tabs>
          <w:tab w:val="num" w:pos="6498"/>
        </w:tabs>
        <w:ind w:left="6498" w:hanging="360"/>
      </w:pPr>
      <w:rPr>
        <w:rFonts w:hint="default"/>
        <w:b w:val="0"/>
        <w:i w:val="0"/>
      </w:rPr>
    </w:lvl>
    <w:lvl w:ilvl="8">
      <w:start w:val="1"/>
      <w:numFmt w:val="lowerRoman"/>
      <w:lvlText w:val="%9."/>
      <w:lvlJc w:val="left"/>
      <w:pPr>
        <w:tabs>
          <w:tab w:val="num" w:pos="6858"/>
        </w:tabs>
        <w:ind w:left="6858" w:hanging="360"/>
      </w:pPr>
      <w:rPr>
        <w:rFonts w:hint="default"/>
        <w:b w:val="0"/>
        <w:i w:val="0"/>
      </w:rPr>
    </w:lvl>
  </w:abstractNum>
  <w:abstractNum w:abstractNumId="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DC446C6"/>
    <w:multiLevelType w:val="multilevel"/>
    <w:tmpl w:val="A606E8A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E7D665C"/>
    <w:multiLevelType w:val="hybridMultilevel"/>
    <w:tmpl w:val="36F6DC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4F083297"/>
    <w:multiLevelType w:val="multilevel"/>
    <w:tmpl w:val="2236C4C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0D2021"/>
    <w:multiLevelType w:val="multilevel"/>
    <w:tmpl w:val="72F8140E"/>
    <w:numStyleLink w:val="OutlineList"/>
  </w:abstractNum>
  <w:abstractNum w:abstractNumId="15">
    <w:nsid w:val="70E24D53"/>
    <w:multiLevelType w:val="hybridMultilevel"/>
    <w:tmpl w:val="35CA13EA"/>
    <w:name w:val="OneLevelNumberedParagraphList22"/>
    <w:lvl w:ilvl="0" w:tplc="38A45292">
      <w:start w:val="1"/>
      <w:numFmt w:val="decimal"/>
      <w:pStyle w:val="BoxNumbering"/>
      <w:lvlText w:val="%1. "/>
      <w:lvlJc w:val="left"/>
      <w:pPr>
        <w:tabs>
          <w:tab w:val="num" w:pos="425"/>
        </w:tabs>
        <w:ind w:left="425" w:hanging="425"/>
      </w:pPr>
      <w:rPr>
        <w:rFonts w:ascii="Arial" w:hAnsi="Arial" w:cs="Arial"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1"/>
  </w:num>
  <w:num w:numId="3">
    <w:abstractNumId w:val="10"/>
  </w:num>
  <w:num w:numId="4">
    <w:abstractNumId w:val="3"/>
  </w:num>
  <w:num w:numId="5">
    <w:abstractNumId w:val="4"/>
  </w:num>
  <w:num w:numId="6">
    <w:abstractNumId w:val="14"/>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16"/>
  </w:num>
  <w:num w:numId="12">
    <w:abstractNumId w:val="14"/>
  </w:num>
  <w:num w:numId="13">
    <w:abstractNumId w:val="7"/>
  </w:num>
  <w:num w:numId="14">
    <w:abstractNumId w:val="9"/>
  </w:num>
  <w:num w:numId="15">
    <w:abstractNumId w:val="13"/>
  </w:num>
  <w:num w:numId="16">
    <w:abstractNumId w:val="6"/>
  </w:num>
  <w:num w:numId="17">
    <w:abstractNumId w:val="15"/>
  </w:num>
  <w:num w:numId="18">
    <w:abstractNumId w:val="0"/>
  </w:num>
  <w:num w:numId="19">
    <w:abstractNumId w:val="1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1F"/>
    <w:rsid w:val="0000518A"/>
    <w:rsid w:val="00011725"/>
    <w:rsid w:val="00012547"/>
    <w:rsid w:val="00012C62"/>
    <w:rsid w:val="00013BA2"/>
    <w:rsid w:val="000164A1"/>
    <w:rsid w:val="00017C2A"/>
    <w:rsid w:val="00022C7C"/>
    <w:rsid w:val="0002544D"/>
    <w:rsid w:val="00025896"/>
    <w:rsid w:val="0002603B"/>
    <w:rsid w:val="00026849"/>
    <w:rsid w:val="000325FC"/>
    <w:rsid w:val="00037FE4"/>
    <w:rsid w:val="00040F02"/>
    <w:rsid w:val="00041A8B"/>
    <w:rsid w:val="0004274D"/>
    <w:rsid w:val="00044C0A"/>
    <w:rsid w:val="000452D9"/>
    <w:rsid w:val="000467C6"/>
    <w:rsid w:val="00056880"/>
    <w:rsid w:val="000675D1"/>
    <w:rsid w:val="0007102C"/>
    <w:rsid w:val="00073443"/>
    <w:rsid w:val="00073521"/>
    <w:rsid w:val="00076D40"/>
    <w:rsid w:val="000775DE"/>
    <w:rsid w:val="000776F5"/>
    <w:rsid w:val="00077FF6"/>
    <w:rsid w:val="000807E4"/>
    <w:rsid w:val="000858F2"/>
    <w:rsid w:val="000869E5"/>
    <w:rsid w:val="000873E0"/>
    <w:rsid w:val="00087FAF"/>
    <w:rsid w:val="00093D9E"/>
    <w:rsid w:val="000A14F5"/>
    <w:rsid w:val="000A1539"/>
    <w:rsid w:val="000A548A"/>
    <w:rsid w:val="000B17B6"/>
    <w:rsid w:val="000B5E47"/>
    <w:rsid w:val="000B68CC"/>
    <w:rsid w:val="000B74F1"/>
    <w:rsid w:val="000C524D"/>
    <w:rsid w:val="000C5F40"/>
    <w:rsid w:val="000C76E1"/>
    <w:rsid w:val="000D1C87"/>
    <w:rsid w:val="000D422A"/>
    <w:rsid w:val="000E0B74"/>
    <w:rsid w:val="000E7502"/>
    <w:rsid w:val="000F0BF8"/>
    <w:rsid w:val="000F1CB7"/>
    <w:rsid w:val="000F4477"/>
    <w:rsid w:val="000F7517"/>
    <w:rsid w:val="00101C0C"/>
    <w:rsid w:val="00102080"/>
    <w:rsid w:val="00103D75"/>
    <w:rsid w:val="001047C6"/>
    <w:rsid w:val="00106DFD"/>
    <w:rsid w:val="001141EF"/>
    <w:rsid w:val="0011775B"/>
    <w:rsid w:val="00120F56"/>
    <w:rsid w:val="00121310"/>
    <w:rsid w:val="001223A1"/>
    <w:rsid w:val="001307F2"/>
    <w:rsid w:val="00130C53"/>
    <w:rsid w:val="0013289E"/>
    <w:rsid w:val="00136D9E"/>
    <w:rsid w:val="001378DB"/>
    <w:rsid w:val="0014091C"/>
    <w:rsid w:val="00142ECB"/>
    <w:rsid w:val="00146971"/>
    <w:rsid w:val="00154DEF"/>
    <w:rsid w:val="001606CF"/>
    <w:rsid w:val="0016128D"/>
    <w:rsid w:val="001613A2"/>
    <w:rsid w:val="0016163A"/>
    <w:rsid w:val="00162204"/>
    <w:rsid w:val="001661DB"/>
    <w:rsid w:val="0017089D"/>
    <w:rsid w:val="00172B7D"/>
    <w:rsid w:val="00174FA2"/>
    <w:rsid w:val="0018013B"/>
    <w:rsid w:val="001809D2"/>
    <w:rsid w:val="00183067"/>
    <w:rsid w:val="0018366A"/>
    <w:rsid w:val="001838B0"/>
    <w:rsid w:val="0018472F"/>
    <w:rsid w:val="0018596B"/>
    <w:rsid w:val="001862A6"/>
    <w:rsid w:val="00190545"/>
    <w:rsid w:val="0019101A"/>
    <w:rsid w:val="001928AC"/>
    <w:rsid w:val="001970C4"/>
    <w:rsid w:val="001A7CC2"/>
    <w:rsid w:val="001B1C7E"/>
    <w:rsid w:val="001B37C5"/>
    <w:rsid w:val="001C358D"/>
    <w:rsid w:val="001C4630"/>
    <w:rsid w:val="001D2CC3"/>
    <w:rsid w:val="001D3DBF"/>
    <w:rsid w:val="001D6CD3"/>
    <w:rsid w:val="001D6FCD"/>
    <w:rsid w:val="001E3DFE"/>
    <w:rsid w:val="001E463B"/>
    <w:rsid w:val="001E4C44"/>
    <w:rsid w:val="001F44AE"/>
    <w:rsid w:val="001F49C4"/>
    <w:rsid w:val="001F4A62"/>
    <w:rsid w:val="00200911"/>
    <w:rsid w:val="0020244D"/>
    <w:rsid w:val="0020381F"/>
    <w:rsid w:val="002108BB"/>
    <w:rsid w:val="00211124"/>
    <w:rsid w:val="00211218"/>
    <w:rsid w:val="00211625"/>
    <w:rsid w:val="00213DD5"/>
    <w:rsid w:val="002150FE"/>
    <w:rsid w:val="0021686E"/>
    <w:rsid w:val="00220E96"/>
    <w:rsid w:val="0022190E"/>
    <w:rsid w:val="002219D7"/>
    <w:rsid w:val="00224839"/>
    <w:rsid w:val="0022489A"/>
    <w:rsid w:val="00227C1E"/>
    <w:rsid w:val="00227E8B"/>
    <w:rsid w:val="00231049"/>
    <w:rsid w:val="002311B6"/>
    <w:rsid w:val="002314D2"/>
    <w:rsid w:val="00235C88"/>
    <w:rsid w:val="002372A6"/>
    <w:rsid w:val="00237797"/>
    <w:rsid w:val="00241624"/>
    <w:rsid w:val="00241D1C"/>
    <w:rsid w:val="002458D1"/>
    <w:rsid w:val="002565FE"/>
    <w:rsid w:val="00257AEE"/>
    <w:rsid w:val="002610F1"/>
    <w:rsid w:val="00263B6C"/>
    <w:rsid w:val="00263C93"/>
    <w:rsid w:val="00266619"/>
    <w:rsid w:val="00270330"/>
    <w:rsid w:val="00270EBA"/>
    <w:rsid w:val="00271E4E"/>
    <w:rsid w:val="00273533"/>
    <w:rsid w:val="0027590B"/>
    <w:rsid w:val="00276E63"/>
    <w:rsid w:val="00285969"/>
    <w:rsid w:val="00290484"/>
    <w:rsid w:val="002919CE"/>
    <w:rsid w:val="002940EC"/>
    <w:rsid w:val="00297981"/>
    <w:rsid w:val="002A032C"/>
    <w:rsid w:val="002A1783"/>
    <w:rsid w:val="002A3D44"/>
    <w:rsid w:val="002A6CCB"/>
    <w:rsid w:val="002A79C1"/>
    <w:rsid w:val="002B3829"/>
    <w:rsid w:val="002B5C39"/>
    <w:rsid w:val="002B5DC7"/>
    <w:rsid w:val="002C3781"/>
    <w:rsid w:val="002C3CAF"/>
    <w:rsid w:val="002D30B7"/>
    <w:rsid w:val="002D488F"/>
    <w:rsid w:val="002D5DCD"/>
    <w:rsid w:val="002E1AEF"/>
    <w:rsid w:val="002E35A5"/>
    <w:rsid w:val="002E544D"/>
    <w:rsid w:val="002E5CB5"/>
    <w:rsid w:val="002F617F"/>
    <w:rsid w:val="002F6FC1"/>
    <w:rsid w:val="00302E04"/>
    <w:rsid w:val="0030371E"/>
    <w:rsid w:val="003122BC"/>
    <w:rsid w:val="003122F4"/>
    <w:rsid w:val="00312985"/>
    <w:rsid w:val="00314FCC"/>
    <w:rsid w:val="003152EC"/>
    <w:rsid w:val="00315E14"/>
    <w:rsid w:val="003177EF"/>
    <w:rsid w:val="003203C0"/>
    <w:rsid w:val="0032092E"/>
    <w:rsid w:val="0032518A"/>
    <w:rsid w:val="00326547"/>
    <w:rsid w:val="003268D5"/>
    <w:rsid w:val="00327920"/>
    <w:rsid w:val="003329A3"/>
    <w:rsid w:val="00335DBA"/>
    <w:rsid w:val="00337F29"/>
    <w:rsid w:val="00344779"/>
    <w:rsid w:val="00352A72"/>
    <w:rsid w:val="0035332E"/>
    <w:rsid w:val="00354D27"/>
    <w:rsid w:val="003550D7"/>
    <w:rsid w:val="00361024"/>
    <w:rsid w:val="0036167A"/>
    <w:rsid w:val="0036326B"/>
    <w:rsid w:val="00363D5B"/>
    <w:rsid w:val="00364269"/>
    <w:rsid w:val="0036466A"/>
    <w:rsid w:val="0036614B"/>
    <w:rsid w:val="0037137C"/>
    <w:rsid w:val="00374BFB"/>
    <w:rsid w:val="00375FAE"/>
    <w:rsid w:val="00376A8A"/>
    <w:rsid w:val="0038060B"/>
    <w:rsid w:val="00383911"/>
    <w:rsid w:val="003839F0"/>
    <w:rsid w:val="00384792"/>
    <w:rsid w:val="003858A6"/>
    <w:rsid w:val="00385986"/>
    <w:rsid w:val="00386D51"/>
    <w:rsid w:val="00387F9F"/>
    <w:rsid w:val="00387FA0"/>
    <w:rsid w:val="00390AEC"/>
    <w:rsid w:val="00390D36"/>
    <w:rsid w:val="0039255B"/>
    <w:rsid w:val="00392DCC"/>
    <w:rsid w:val="003A1231"/>
    <w:rsid w:val="003A1C47"/>
    <w:rsid w:val="003A2AA3"/>
    <w:rsid w:val="003A3C08"/>
    <w:rsid w:val="003A74E1"/>
    <w:rsid w:val="003B0074"/>
    <w:rsid w:val="003C0FC5"/>
    <w:rsid w:val="003C139E"/>
    <w:rsid w:val="003C56C0"/>
    <w:rsid w:val="003C651D"/>
    <w:rsid w:val="003D25CA"/>
    <w:rsid w:val="003D3CCB"/>
    <w:rsid w:val="003D3E32"/>
    <w:rsid w:val="003E287D"/>
    <w:rsid w:val="003E44DF"/>
    <w:rsid w:val="003E4D87"/>
    <w:rsid w:val="003E625D"/>
    <w:rsid w:val="003F01D9"/>
    <w:rsid w:val="003F4F40"/>
    <w:rsid w:val="003F71F2"/>
    <w:rsid w:val="004069EA"/>
    <w:rsid w:val="00406C95"/>
    <w:rsid w:val="004114B8"/>
    <w:rsid w:val="00416762"/>
    <w:rsid w:val="00423DFF"/>
    <w:rsid w:val="0043150C"/>
    <w:rsid w:val="00434BC9"/>
    <w:rsid w:val="00441BD3"/>
    <w:rsid w:val="00442601"/>
    <w:rsid w:val="004441D7"/>
    <w:rsid w:val="00445265"/>
    <w:rsid w:val="00446BC9"/>
    <w:rsid w:val="00446C5D"/>
    <w:rsid w:val="00455394"/>
    <w:rsid w:val="004559CE"/>
    <w:rsid w:val="00456345"/>
    <w:rsid w:val="0046099B"/>
    <w:rsid w:val="00463FBE"/>
    <w:rsid w:val="00466915"/>
    <w:rsid w:val="00470735"/>
    <w:rsid w:val="00472D8F"/>
    <w:rsid w:val="00475B7B"/>
    <w:rsid w:val="00475F4D"/>
    <w:rsid w:val="0048208B"/>
    <w:rsid w:val="00482AD1"/>
    <w:rsid w:val="00483049"/>
    <w:rsid w:val="004832FE"/>
    <w:rsid w:val="0048364F"/>
    <w:rsid w:val="004849E4"/>
    <w:rsid w:val="00492FCB"/>
    <w:rsid w:val="004938D1"/>
    <w:rsid w:val="00494657"/>
    <w:rsid w:val="004951A8"/>
    <w:rsid w:val="00495890"/>
    <w:rsid w:val="00495F5C"/>
    <w:rsid w:val="004A4363"/>
    <w:rsid w:val="004A5EAA"/>
    <w:rsid w:val="004A7BC2"/>
    <w:rsid w:val="004B2D76"/>
    <w:rsid w:val="004B3707"/>
    <w:rsid w:val="004C0E36"/>
    <w:rsid w:val="004C6AF8"/>
    <w:rsid w:val="004C788F"/>
    <w:rsid w:val="004C7CD8"/>
    <w:rsid w:val="004C7F5C"/>
    <w:rsid w:val="004D29FE"/>
    <w:rsid w:val="004D3BE5"/>
    <w:rsid w:val="004D5695"/>
    <w:rsid w:val="004E4333"/>
    <w:rsid w:val="004E57C3"/>
    <w:rsid w:val="004E6BCF"/>
    <w:rsid w:val="004F1164"/>
    <w:rsid w:val="004F2627"/>
    <w:rsid w:val="004F703E"/>
    <w:rsid w:val="00501D26"/>
    <w:rsid w:val="00501EC7"/>
    <w:rsid w:val="005038B2"/>
    <w:rsid w:val="0050455F"/>
    <w:rsid w:val="00513A01"/>
    <w:rsid w:val="00516553"/>
    <w:rsid w:val="00516785"/>
    <w:rsid w:val="00516C8E"/>
    <w:rsid w:val="00517321"/>
    <w:rsid w:val="0052030B"/>
    <w:rsid w:val="0052419D"/>
    <w:rsid w:val="00524FF3"/>
    <w:rsid w:val="00525168"/>
    <w:rsid w:val="005301F8"/>
    <w:rsid w:val="00530208"/>
    <w:rsid w:val="005312FC"/>
    <w:rsid w:val="005346CD"/>
    <w:rsid w:val="005353CF"/>
    <w:rsid w:val="0053603D"/>
    <w:rsid w:val="00536B94"/>
    <w:rsid w:val="005379CE"/>
    <w:rsid w:val="00541977"/>
    <w:rsid w:val="00543176"/>
    <w:rsid w:val="00546B96"/>
    <w:rsid w:val="005509DB"/>
    <w:rsid w:val="00553E18"/>
    <w:rsid w:val="0055464F"/>
    <w:rsid w:val="005564C6"/>
    <w:rsid w:val="00560E4B"/>
    <w:rsid w:val="00564BCB"/>
    <w:rsid w:val="00566841"/>
    <w:rsid w:val="0056686D"/>
    <w:rsid w:val="00567A4A"/>
    <w:rsid w:val="00575449"/>
    <w:rsid w:val="00583A6D"/>
    <w:rsid w:val="005868DE"/>
    <w:rsid w:val="00587368"/>
    <w:rsid w:val="00587FB8"/>
    <w:rsid w:val="005A39CC"/>
    <w:rsid w:val="005A3A69"/>
    <w:rsid w:val="005A3BE1"/>
    <w:rsid w:val="005B4790"/>
    <w:rsid w:val="005C07B1"/>
    <w:rsid w:val="005C0801"/>
    <w:rsid w:val="005C20DA"/>
    <w:rsid w:val="005C2A50"/>
    <w:rsid w:val="005C49BD"/>
    <w:rsid w:val="005C5AB0"/>
    <w:rsid w:val="005D0958"/>
    <w:rsid w:val="005D25BE"/>
    <w:rsid w:val="005D3849"/>
    <w:rsid w:val="005E1511"/>
    <w:rsid w:val="005E324D"/>
    <w:rsid w:val="005F7F34"/>
    <w:rsid w:val="00601219"/>
    <w:rsid w:val="006039A6"/>
    <w:rsid w:val="00604EE3"/>
    <w:rsid w:val="0060595B"/>
    <w:rsid w:val="00605AFD"/>
    <w:rsid w:val="00607C7C"/>
    <w:rsid w:val="0061056A"/>
    <w:rsid w:val="00610E6A"/>
    <w:rsid w:val="006123D4"/>
    <w:rsid w:val="006170F9"/>
    <w:rsid w:val="006179F9"/>
    <w:rsid w:val="00620074"/>
    <w:rsid w:val="006222D5"/>
    <w:rsid w:val="006225C1"/>
    <w:rsid w:val="00624BE6"/>
    <w:rsid w:val="006266DA"/>
    <w:rsid w:val="00630186"/>
    <w:rsid w:val="00632D26"/>
    <w:rsid w:val="00636730"/>
    <w:rsid w:val="00637C14"/>
    <w:rsid w:val="006403D3"/>
    <w:rsid w:val="00640776"/>
    <w:rsid w:val="006420EA"/>
    <w:rsid w:val="0064393E"/>
    <w:rsid w:val="00644A18"/>
    <w:rsid w:val="00645B2D"/>
    <w:rsid w:val="00651AD0"/>
    <w:rsid w:val="006526A8"/>
    <w:rsid w:val="00652B27"/>
    <w:rsid w:val="00656356"/>
    <w:rsid w:val="00661E35"/>
    <w:rsid w:val="0066274E"/>
    <w:rsid w:val="006629AA"/>
    <w:rsid w:val="00662BB0"/>
    <w:rsid w:val="006755BF"/>
    <w:rsid w:val="00677394"/>
    <w:rsid w:val="006774E8"/>
    <w:rsid w:val="00680454"/>
    <w:rsid w:val="00680971"/>
    <w:rsid w:val="00681CCB"/>
    <w:rsid w:val="006831A2"/>
    <w:rsid w:val="00685331"/>
    <w:rsid w:val="0068558E"/>
    <w:rsid w:val="00685E74"/>
    <w:rsid w:val="00686165"/>
    <w:rsid w:val="00691CB5"/>
    <w:rsid w:val="00696678"/>
    <w:rsid w:val="006A1968"/>
    <w:rsid w:val="006A2D5A"/>
    <w:rsid w:val="006A5699"/>
    <w:rsid w:val="006A6EE1"/>
    <w:rsid w:val="006B0467"/>
    <w:rsid w:val="006B204D"/>
    <w:rsid w:val="006B4EB3"/>
    <w:rsid w:val="006B5E7C"/>
    <w:rsid w:val="006B76F8"/>
    <w:rsid w:val="006B787B"/>
    <w:rsid w:val="006C027F"/>
    <w:rsid w:val="006C1BEF"/>
    <w:rsid w:val="006C3047"/>
    <w:rsid w:val="006C5441"/>
    <w:rsid w:val="006C645D"/>
    <w:rsid w:val="006D1BEA"/>
    <w:rsid w:val="006D27D5"/>
    <w:rsid w:val="006D42C7"/>
    <w:rsid w:val="006D650C"/>
    <w:rsid w:val="006E15FD"/>
    <w:rsid w:val="006E3CC3"/>
    <w:rsid w:val="006F4872"/>
    <w:rsid w:val="006F4DE4"/>
    <w:rsid w:val="006F512A"/>
    <w:rsid w:val="006F656C"/>
    <w:rsid w:val="00700AE6"/>
    <w:rsid w:val="00702F04"/>
    <w:rsid w:val="00703EFE"/>
    <w:rsid w:val="00704747"/>
    <w:rsid w:val="00707014"/>
    <w:rsid w:val="0071101F"/>
    <w:rsid w:val="007123CE"/>
    <w:rsid w:val="007129D0"/>
    <w:rsid w:val="00713392"/>
    <w:rsid w:val="00713467"/>
    <w:rsid w:val="00720287"/>
    <w:rsid w:val="00722D5B"/>
    <w:rsid w:val="007231BC"/>
    <w:rsid w:val="007274D2"/>
    <w:rsid w:val="00730473"/>
    <w:rsid w:val="00732744"/>
    <w:rsid w:val="00734127"/>
    <w:rsid w:val="007413D9"/>
    <w:rsid w:val="00745A87"/>
    <w:rsid w:val="00753F9F"/>
    <w:rsid w:val="00753FC7"/>
    <w:rsid w:val="00755185"/>
    <w:rsid w:val="00755C31"/>
    <w:rsid w:val="00761695"/>
    <w:rsid w:val="007647F2"/>
    <w:rsid w:val="00770E2F"/>
    <w:rsid w:val="007711AE"/>
    <w:rsid w:val="00771F14"/>
    <w:rsid w:val="007764B2"/>
    <w:rsid w:val="0077676B"/>
    <w:rsid w:val="0078509F"/>
    <w:rsid w:val="007906FA"/>
    <w:rsid w:val="00794499"/>
    <w:rsid w:val="00795169"/>
    <w:rsid w:val="00796D9A"/>
    <w:rsid w:val="007A00AF"/>
    <w:rsid w:val="007A1935"/>
    <w:rsid w:val="007A2958"/>
    <w:rsid w:val="007A797F"/>
    <w:rsid w:val="007B1453"/>
    <w:rsid w:val="007B4510"/>
    <w:rsid w:val="007B4ADB"/>
    <w:rsid w:val="007B4EE6"/>
    <w:rsid w:val="007C0FF8"/>
    <w:rsid w:val="007C1113"/>
    <w:rsid w:val="007C370A"/>
    <w:rsid w:val="007C4438"/>
    <w:rsid w:val="007C7411"/>
    <w:rsid w:val="007D1061"/>
    <w:rsid w:val="007D5AA6"/>
    <w:rsid w:val="007D66CA"/>
    <w:rsid w:val="007E2AB9"/>
    <w:rsid w:val="007E37A3"/>
    <w:rsid w:val="007E416F"/>
    <w:rsid w:val="007E6456"/>
    <w:rsid w:val="007F0FC1"/>
    <w:rsid w:val="007F12A4"/>
    <w:rsid w:val="007F1A1E"/>
    <w:rsid w:val="007F7DE4"/>
    <w:rsid w:val="0080373A"/>
    <w:rsid w:val="00810709"/>
    <w:rsid w:val="00810BDE"/>
    <w:rsid w:val="00817B19"/>
    <w:rsid w:val="0082262C"/>
    <w:rsid w:val="00825A20"/>
    <w:rsid w:val="00834243"/>
    <w:rsid w:val="00837DD6"/>
    <w:rsid w:val="0085540F"/>
    <w:rsid w:val="00855618"/>
    <w:rsid w:val="00857969"/>
    <w:rsid w:val="00860311"/>
    <w:rsid w:val="00865001"/>
    <w:rsid w:val="00870EDE"/>
    <w:rsid w:val="00881BD7"/>
    <w:rsid w:val="00885C2A"/>
    <w:rsid w:val="008927C0"/>
    <w:rsid w:val="00894035"/>
    <w:rsid w:val="00894BC1"/>
    <w:rsid w:val="008A1187"/>
    <w:rsid w:val="008A1C3D"/>
    <w:rsid w:val="008A427C"/>
    <w:rsid w:val="008B0580"/>
    <w:rsid w:val="008B1499"/>
    <w:rsid w:val="008B2AC0"/>
    <w:rsid w:val="008B33C2"/>
    <w:rsid w:val="008B6C10"/>
    <w:rsid w:val="008C247C"/>
    <w:rsid w:val="008C3194"/>
    <w:rsid w:val="008C37F7"/>
    <w:rsid w:val="008C42FD"/>
    <w:rsid w:val="008D339F"/>
    <w:rsid w:val="008D4EE5"/>
    <w:rsid w:val="008D57F9"/>
    <w:rsid w:val="008D7F38"/>
    <w:rsid w:val="008E6292"/>
    <w:rsid w:val="008F0831"/>
    <w:rsid w:val="008F44CC"/>
    <w:rsid w:val="008F5587"/>
    <w:rsid w:val="008F5F84"/>
    <w:rsid w:val="0090211E"/>
    <w:rsid w:val="009038B9"/>
    <w:rsid w:val="00906D5F"/>
    <w:rsid w:val="00911813"/>
    <w:rsid w:val="00914F97"/>
    <w:rsid w:val="009174D4"/>
    <w:rsid w:val="00923D07"/>
    <w:rsid w:val="0092436A"/>
    <w:rsid w:val="00925AA5"/>
    <w:rsid w:val="00932E0B"/>
    <w:rsid w:val="00936D87"/>
    <w:rsid w:val="0094019D"/>
    <w:rsid w:val="00942C11"/>
    <w:rsid w:val="009450A4"/>
    <w:rsid w:val="00946592"/>
    <w:rsid w:val="00952681"/>
    <w:rsid w:val="00955262"/>
    <w:rsid w:val="00961DE5"/>
    <w:rsid w:val="00971A20"/>
    <w:rsid w:val="00971DC6"/>
    <w:rsid w:val="009732EC"/>
    <w:rsid w:val="00974985"/>
    <w:rsid w:val="00974A78"/>
    <w:rsid w:val="009775AF"/>
    <w:rsid w:val="009821CE"/>
    <w:rsid w:val="00983667"/>
    <w:rsid w:val="009852CF"/>
    <w:rsid w:val="009934E7"/>
    <w:rsid w:val="009A0573"/>
    <w:rsid w:val="009A2475"/>
    <w:rsid w:val="009A543D"/>
    <w:rsid w:val="009A658F"/>
    <w:rsid w:val="009A668A"/>
    <w:rsid w:val="009A6C4D"/>
    <w:rsid w:val="009B0B06"/>
    <w:rsid w:val="009B106E"/>
    <w:rsid w:val="009B23EF"/>
    <w:rsid w:val="009B32D7"/>
    <w:rsid w:val="009B5739"/>
    <w:rsid w:val="009B6CAA"/>
    <w:rsid w:val="009C0246"/>
    <w:rsid w:val="009C360F"/>
    <w:rsid w:val="009C4C9C"/>
    <w:rsid w:val="009C4F02"/>
    <w:rsid w:val="009C592A"/>
    <w:rsid w:val="009D0E94"/>
    <w:rsid w:val="009D3277"/>
    <w:rsid w:val="009D3E7B"/>
    <w:rsid w:val="009D5FD4"/>
    <w:rsid w:val="009D67BE"/>
    <w:rsid w:val="009E0F9E"/>
    <w:rsid w:val="009E364F"/>
    <w:rsid w:val="009E43C3"/>
    <w:rsid w:val="009F206E"/>
    <w:rsid w:val="009F22BB"/>
    <w:rsid w:val="009F31C5"/>
    <w:rsid w:val="009F3A2B"/>
    <w:rsid w:val="00A05359"/>
    <w:rsid w:val="00A06882"/>
    <w:rsid w:val="00A072E7"/>
    <w:rsid w:val="00A12754"/>
    <w:rsid w:val="00A133B5"/>
    <w:rsid w:val="00A168F6"/>
    <w:rsid w:val="00A16E03"/>
    <w:rsid w:val="00A2311F"/>
    <w:rsid w:val="00A260CD"/>
    <w:rsid w:val="00A27F7C"/>
    <w:rsid w:val="00A33291"/>
    <w:rsid w:val="00A345A1"/>
    <w:rsid w:val="00A35A5A"/>
    <w:rsid w:val="00A3749B"/>
    <w:rsid w:val="00A37726"/>
    <w:rsid w:val="00A40CF3"/>
    <w:rsid w:val="00A42EAE"/>
    <w:rsid w:val="00A46BA8"/>
    <w:rsid w:val="00A4709E"/>
    <w:rsid w:val="00A55C47"/>
    <w:rsid w:val="00A62E42"/>
    <w:rsid w:val="00A64A71"/>
    <w:rsid w:val="00A65CB2"/>
    <w:rsid w:val="00A65EE6"/>
    <w:rsid w:val="00A718D3"/>
    <w:rsid w:val="00A7614F"/>
    <w:rsid w:val="00A76EB5"/>
    <w:rsid w:val="00A9170D"/>
    <w:rsid w:val="00A919FC"/>
    <w:rsid w:val="00A92CC1"/>
    <w:rsid w:val="00A93546"/>
    <w:rsid w:val="00A968F1"/>
    <w:rsid w:val="00AA0695"/>
    <w:rsid w:val="00AA5161"/>
    <w:rsid w:val="00AA5EC8"/>
    <w:rsid w:val="00AA66F7"/>
    <w:rsid w:val="00AA717C"/>
    <w:rsid w:val="00AB554E"/>
    <w:rsid w:val="00AC4AE9"/>
    <w:rsid w:val="00AC4B12"/>
    <w:rsid w:val="00AC7D21"/>
    <w:rsid w:val="00AD0C5E"/>
    <w:rsid w:val="00AD1707"/>
    <w:rsid w:val="00AD2D77"/>
    <w:rsid w:val="00AD5AB5"/>
    <w:rsid w:val="00AE2F90"/>
    <w:rsid w:val="00AE6C04"/>
    <w:rsid w:val="00AF5CF2"/>
    <w:rsid w:val="00B00020"/>
    <w:rsid w:val="00B00E23"/>
    <w:rsid w:val="00B02444"/>
    <w:rsid w:val="00B03BDD"/>
    <w:rsid w:val="00B0577B"/>
    <w:rsid w:val="00B05DF2"/>
    <w:rsid w:val="00B06FA5"/>
    <w:rsid w:val="00B14322"/>
    <w:rsid w:val="00B15C23"/>
    <w:rsid w:val="00B26C58"/>
    <w:rsid w:val="00B3149D"/>
    <w:rsid w:val="00B32BE3"/>
    <w:rsid w:val="00B3340A"/>
    <w:rsid w:val="00B3359B"/>
    <w:rsid w:val="00B37B20"/>
    <w:rsid w:val="00B43E65"/>
    <w:rsid w:val="00B45E18"/>
    <w:rsid w:val="00B47209"/>
    <w:rsid w:val="00B576E0"/>
    <w:rsid w:val="00B6229E"/>
    <w:rsid w:val="00B62FDF"/>
    <w:rsid w:val="00B66170"/>
    <w:rsid w:val="00B67ADB"/>
    <w:rsid w:val="00B73464"/>
    <w:rsid w:val="00B770FF"/>
    <w:rsid w:val="00B772D3"/>
    <w:rsid w:val="00B80F9B"/>
    <w:rsid w:val="00B82EF9"/>
    <w:rsid w:val="00B85F47"/>
    <w:rsid w:val="00B87927"/>
    <w:rsid w:val="00B92619"/>
    <w:rsid w:val="00B97542"/>
    <w:rsid w:val="00BA281F"/>
    <w:rsid w:val="00BA4C30"/>
    <w:rsid w:val="00BB33F6"/>
    <w:rsid w:val="00BB380D"/>
    <w:rsid w:val="00BC0B53"/>
    <w:rsid w:val="00BC1437"/>
    <w:rsid w:val="00BC4BCF"/>
    <w:rsid w:val="00BC5746"/>
    <w:rsid w:val="00BD3364"/>
    <w:rsid w:val="00BD48C2"/>
    <w:rsid w:val="00BD5650"/>
    <w:rsid w:val="00BD6BA0"/>
    <w:rsid w:val="00BE38CF"/>
    <w:rsid w:val="00BF053A"/>
    <w:rsid w:val="00BF0775"/>
    <w:rsid w:val="00BF7DA8"/>
    <w:rsid w:val="00BF7F42"/>
    <w:rsid w:val="00C00B63"/>
    <w:rsid w:val="00C01077"/>
    <w:rsid w:val="00C02E06"/>
    <w:rsid w:val="00C034E1"/>
    <w:rsid w:val="00C05916"/>
    <w:rsid w:val="00C0654E"/>
    <w:rsid w:val="00C07392"/>
    <w:rsid w:val="00C20DA0"/>
    <w:rsid w:val="00C268D6"/>
    <w:rsid w:val="00C30297"/>
    <w:rsid w:val="00C34B7A"/>
    <w:rsid w:val="00C3698D"/>
    <w:rsid w:val="00C417C3"/>
    <w:rsid w:val="00C44D3C"/>
    <w:rsid w:val="00C47A4E"/>
    <w:rsid w:val="00C5348E"/>
    <w:rsid w:val="00C54E4E"/>
    <w:rsid w:val="00C55422"/>
    <w:rsid w:val="00C5565B"/>
    <w:rsid w:val="00C5582F"/>
    <w:rsid w:val="00C566FB"/>
    <w:rsid w:val="00C57828"/>
    <w:rsid w:val="00C6083F"/>
    <w:rsid w:val="00C62E77"/>
    <w:rsid w:val="00C64A85"/>
    <w:rsid w:val="00C64F32"/>
    <w:rsid w:val="00C65A23"/>
    <w:rsid w:val="00C663AB"/>
    <w:rsid w:val="00C668E8"/>
    <w:rsid w:val="00C733A3"/>
    <w:rsid w:val="00C76600"/>
    <w:rsid w:val="00C77912"/>
    <w:rsid w:val="00C77FE3"/>
    <w:rsid w:val="00C85314"/>
    <w:rsid w:val="00C96B04"/>
    <w:rsid w:val="00CA2A47"/>
    <w:rsid w:val="00CA3211"/>
    <w:rsid w:val="00CA33C6"/>
    <w:rsid w:val="00CA36FD"/>
    <w:rsid w:val="00CA4668"/>
    <w:rsid w:val="00CA46D6"/>
    <w:rsid w:val="00CA4BC0"/>
    <w:rsid w:val="00CA6C8D"/>
    <w:rsid w:val="00CB0A2E"/>
    <w:rsid w:val="00CB2A6A"/>
    <w:rsid w:val="00CB2DF3"/>
    <w:rsid w:val="00CB4BD1"/>
    <w:rsid w:val="00CC0BF3"/>
    <w:rsid w:val="00CC11E3"/>
    <w:rsid w:val="00CC559D"/>
    <w:rsid w:val="00CC7191"/>
    <w:rsid w:val="00CC75C1"/>
    <w:rsid w:val="00CD1B31"/>
    <w:rsid w:val="00CD30CD"/>
    <w:rsid w:val="00CD393F"/>
    <w:rsid w:val="00CD50D2"/>
    <w:rsid w:val="00CD654B"/>
    <w:rsid w:val="00CD6BD4"/>
    <w:rsid w:val="00CE06FE"/>
    <w:rsid w:val="00CE223E"/>
    <w:rsid w:val="00CE3C80"/>
    <w:rsid w:val="00CE3CF9"/>
    <w:rsid w:val="00CE4C19"/>
    <w:rsid w:val="00CE51E8"/>
    <w:rsid w:val="00CE6C1E"/>
    <w:rsid w:val="00CE6E93"/>
    <w:rsid w:val="00CE7608"/>
    <w:rsid w:val="00CF0A06"/>
    <w:rsid w:val="00CF19AD"/>
    <w:rsid w:val="00CF3082"/>
    <w:rsid w:val="00CF3BD9"/>
    <w:rsid w:val="00CF4BC9"/>
    <w:rsid w:val="00D018FA"/>
    <w:rsid w:val="00D02B7A"/>
    <w:rsid w:val="00D05785"/>
    <w:rsid w:val="00D05D33"/>
    <w:rsid w:val="00D10ACD"/>
    <w:rsid w:val="00D10B1F"/>
    <w:rsid w:val="00D11B76"/>
    <w:rsid w:val="00D12BEE"/>
    <w:rsid w:val="00D145F5"/>
    <w:rsid w:val="00D17B5F"/>
    <w:rsid w:val="00D34497"/>
    <w:rsid w:val="00D355F0"/>
    <w:rsid w:val="00D36DDB"/>
    <w:rsid w:val="00D4005F"/>
    <w:rsid w:val="00D4397C"/>
    <w:rsid w:val="00D44C4C"/>
    <w:rsid w:val="00D45992"/>
    <w:rsid w:val="00D45AF8"/>
    <w:rsid w:val="00D46823"/>
    <w:rsid w:val="00D46B5C"/>
    <w:rsid w:val="00D5027A"/>
    <w:rsid w:val="00D50E0B"/>
    <w:rsid w:val="00D51C05"/>
    <w:rsid w:val="00D546D0"/>
    <w:rsid w:val="00D55897"/>
    <w:rsid w:val="00D55B16"/>
    <w:rsid w:val="00D604BF"/>
    <w:rsid w:val="00D65104"/>
    <w:rsid w:val="00D65E90"/>
    <w:rsid w:val="00D67657"/>
    <w:rsid w:val="00D76930"/>
    <w:rsid w:val="00D80B02"/>
    <w:rsid w:val="00D82B17"/>
    <w:rsid w:val="00D83BD9"/>
    <w:rsid w:val="00D83E3E"/>
    <w:rsid w:val="00D84450"/>
    <w:rsid w:val="00D85146"/>
    <w:rsid w:val="00D86CBB"/>
    <w:rsid w:val="00D8788E"/>
    <w:rsid w:val="00D942D5"/>
    <w:rsid w:val="00D95FB9"/>
    <w:rsid w:val="00DA0DD3"/>
    <w:rsid w:val="00DA2739"/>
    <w:rsid w:val="00DA686B"/>
    <w:rsid w:val="00DB4350"/>
    <w:rsid w:val="00DB7F09"/>
    <w:rsid w:val="00DC00E8"/>
    <w:rsid w:val="00DC0328"/>
    <w:rsid w:val="00DC2CC1"/>
    <w:rsid w:val="00DC5C09"/>
    <w:rsid w:val="00DC673A"/>
    <w:rsid w:val="00DD19CE"/>
    <w:rsid w:val="00DD1C41"/>
    <w:rsid w:val="00DD3F40"/>
    <w:rsid w:val="00DE1119"/>
    <w:rsid w:val="00DE4CBE"/>
    <w:rsid w:val="00DF1EA8"/>
    <w:rsid w:val="00E04652"/>
    <w:rsid w:val="00E0624D"/>
    <w:rsid w:val="00E10D39"/>
    <w:rsid w:val="00E1136B"/>
    <w:rsid w:val="00E170A2"/>
    <w:rsid w:val="00E22D51"/>
    <w:rsid w:val="00E259EA"/>
    <w:rsid w:val="00E27C86"/>
    <w:rsid w:val="00E34F3E"/>
    <w:rsid w:val="00E34FC5"/>
    <w:rsid w:val="00E35FA1"/>
    <w:rsid w:val="00E37AC1"/>
    <w:rsid w:val="00E45137"/>
    <w:rsid w:val="00E45C1D"/>
    <w:rsid w:val="00E47B9D"/>
    <w:rsid w:val="00E5084B"/>
    <w:rsid w:val="00E50E7C"/>
    <w:rsid w:val="00E51545"/>
    <w:rsid w:val="00E52AD8"/>
    <w:rsid w:val="00E53C93"/>
    <w:rsid w:val="00E55326"/>
    <w:rsid w:val="00E56269"/>
    <w:rsid w:val="00E57747"/>
    <w:rsid w:val="00E607C2"/>
    <w:rsid w:val="00E64E97"/>
    <w:rsid w:val="00E6512F"/>
    <w:rsid w:val="00E66424"/>
    <w:rsid w:val="00E700D3"/>
    <w:rsid w:val="00E711D7"/>
    <w:rsid w:val="00E71C06"/>
    <w:rsid w:val="00E72A08"/>
    <w:rsid w:val="00E836E8"/>
    <w:rsid w:val="00E8583B"/>
    <w:rsid w:val="00E902B0"/>
    <w:rsid w:val="00E902E8"/>
    <w:rsid w:val="00E93729"/>
    <w:rsid w:val="00E97B67"/>
    <w:rsid w:val="00EA2587"/>
    <w:rsid w:val="00EA49C6"/>
    <w:rsid w:val="00EA52A9"/>
    <w:rsid w:val="00EA681F"/>
    <w:rsid w:val="00EA7BD7"/>
    <w:rsid w:val="00EB030F"/>
    <w:rsid w:val="00EB4412"/>
    <w:rsid w:val="00EB4DE8"/>
    <w:rsid w:val="00EB656D"/>
    <w:rsid w:val="00EC26F8"/>
    <w:rsid w:val="00EC4CCF"/>
    <w:rsid w:val="00EC6B16"/>
    <w:rsid w:val="00EC6B3D"/>
    <w:rsid w:val="00EC74AA"/>
    <w:rsid w:val="00ED1654"/>
    <w:rsid w:val="00ED22B3"/>
    <w:rsid w:val="00ED5641"/>
    <w:rsid w:val="00EE0464"/>
    <w:rsid w:val="00EE1A4E"/>
    <w:rsid w:val="00EE677F"/>
    <w:rsid w:val="00EE7FD8"/>
    <w:rsid w:val="00EF0DF3"/>
    <w:rsid w:val="00F0082D"/>
    <w:rsid w:val="00F056D5"/>
    <w:rsid w:val="00F07C90"/>
    <w:rsid w:val="00F13A64"/>
    <w:rsid w:val="00F15989"/>
    <w:rsid w:val="00F16FF6"/>
    <w:rsid w:val="00F20469"/>
    <w:rsid w:val="00F21C4E"/>
    <w:rsid w:val="00F22A6A"/>
    <w:rsid w:val="00F24802"/>
    <w:rsid w:val="00F25B35"/>
    <w:rsid w:val="00F320EC"/>
    <w:rsid w:val="00F32938"/>
    <w:rsid w:val="00F37231"/>
    <w:rsid w:val="00F403C5"/>
    <w:rsid w:val="00F430FB"/>
    <w:rsid w:val="00F4479C"/>
    <w:rsid w:val="00F44A1F"/>
    <w:rsid w:val="00F536D5"/>
    <w:rsid w:val="00F55FA8"/>
    <w:rsid w:val="00F565FE"/>
    <w:rsid w:val="00F57853"/>
    <w:rsid w:val="00F6060E"/>
    <w:rsid w:val="00F615F4"/>
    <w:rsid w:val="00F617CB"/>
    <w:rsid w:val="00F62A5D"/>
    <w:rsid w:val="00F66B9F"/>
    <w:rsid w:val="00F71A0E"/>
    <w:rsid w:val="00F7444E"/>
    <w:rsid w:val="00F83AFC"/>
    <w:rsid w:val="00F859E9"/>
    <w:rsid w:val="00F92279"/>
    <w:rsid w:val="00F93C12"/>
    <w:rsid w:val="00F94586"/>
    <w:rsid w:val="00FA1286"/>
    <w:rsid w:val="00FA5EF3"/>
    <w:rsid w:val="00FB057C"/>
    <w:rsid w:val="00FB1229"/>
    <w:rsid w:val="00FB15C0"/>
    <w:rsid w:val="00FB64AA"/>
    <w:rsid w:val="00FC1452"/>
    <w:rsid w:val="00FC427B"/>
    <w:rsid w:val="00FC5F7B"/>
    <w:rsid w:val="00FC6ADA"/>
    <w:rsid w:val="00FD0FB3"/>
    <w:rsid w:val="00FE43C4"/>
    <w:rsid w:val="00FE5B24"/>
    <w:rsid w:val="00FE6399"/>
    <w:rsid w:val="00FF0BFF"/>
    <w:rsid w:val="00FF1FB2"/>
    <w:rsid w:val="00FF2916"/>
    <w:rsid w:val="00FF4A19"/>
    <w:rsid w:val="00FF69AD"/>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2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B576E0"/>
    <w:pPr>
      <w:spacing w:before="120"/>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B576E0"/>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rsid w:val="0060595B"/>
    <w:pPr>
      <w:spacing w:before="0" w:after="0"/>
    </w:pPr>
    <w:rPr>
      <w:sz w:val="20"/>
    </w:rPr>
  </w:style>
  <w:style w:type="character" w:customStyle="1" w:styleId="FootnoteTextChar">
    <w:name w:val="Footnote Text Char"/>
    <w:basedOn w:val="DefaultParagraphFont"/>
    <w:link w:val="FootnoteText"/>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363D5B"/>
    <w:pPr>
      <w:autoSpaceDE w:val="0"/>
      <w:autoSpaceDN w:val="0"/>
      <w:adjustRightInd w:val="0"/>
      <w:spacing w:after="0" w:line="240" w:lineRule="auto"/>
    </w:pPr>
    <w:rPr>
      <w:rFonts w:ascii="Apercu" w:hAnsi="Apercu" w:cs="Apercu"/>
      <w:color w:val="000000"/>
      <w:sz w:val="24"/>
      <w:szCs w:val="24"/>
    </w:rPr>
  </w:style>
  <w:style w:type="character" w:customStyle="1" w:styleId="BulletChar">
    <w:name w:val="Bullet Char"/>
    <w:aliases w:val="b Char,b + line Char Char,b Char Char,b1 Char,b + line Char,Body Char,level 1 Char"/>
    <w:basedOn w:val="DefaultParagraphFont"/>
    <w:link w:val="Bullet"/>
    <w:rsid w:val="00363D5B"/>
    <w:rPr>
      <w:rFonts w:ascii="Calibri" w:eastAsia="Times New Roman" w:hAnsi="Calibri" w:cs="Times New Roman"/>
      <w:szCs w:val="20"/>
      <w:lang w:eastAsia="en-AU"/>
    </w:rPr>
  </w:style>
  <w:style w:type="character" w:customStyle="1" w:styleId="DashChar">
    <w:name w:val="Dash Char"/>
    <w:basedOn w:val="DefaultParagraphFont"/>
    <w:link w:val="Dash"/>
    <w:rsid w:val="005E1511"/>
    <w:rPr>
      <w:rFonts w:ascii="Calibri" w:eastAsia="Times New Roman" w:hAnsi="Calibri" w:cs="Times New Roman"/>
      <w:szCs w:val="20"/>
      <w:lang w:eastAsia="en-AU"/>
    </w:rPr>
  </w:style>
  <w:style w:type="paragraph" w:customStyle="1" w:styleId="BoxNumbering">
    <w:name w:val="Box Numbering"/>
    <w:basedOn w:val="Normal"/>
    <w:rsid w:val="005E1511"/>
    <w:pPr>
      <w:numPr>
        <w:numId w:val="17"/>
      </w:numPr>
      <w:spacing w:line="260" w:lineRule="exact"/>
    </w:pPr>
    <w:rPr>
      <w:rFonts w:ascii="Arial" w:hAnsi="Arial"/>
      <w:color w:val="000000"/>
      <w:sz w:val="21"/>
      <w:szCs w:val="21"/>
    </w:rPr>
  </w:style>
  <w:style w:type="character" w:styleId="IntenseEmphasis">
    <w:name w:val="Intense Emphasis"/>
    <w:basedOn w:val="DefaultParagraphFont"/>
    <w:uiPriority w:val="21"/>
    <w:qFormat/>
    <w:rsid w:val="005E1511"/>
    <w:rPr>
      <w:b/>
      <w:bCs/>
      <w:i/>
      <w:iCs/>
      <w:color w:val="5B9BD5" w:themeColor="accent1"/>
    </w:rPr>
  </w:style>
  <w:style w:type="table" w:styleId="LightList-Accent5">
    <w:name w:val="Light List Accent 5"/>
    <w:basedOn w:val="TableNormal"/>
    <w:uiPriority w:val="61"/>
    <w:rsid w:val="001C463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Emphasis">
    <w:name w:val="Emphasis"/>
    <w:basedOn w:val="DefaultParagraphFont"/>
    <w:uiPriority w:val="20"/>
    <w:qFormat/>
    <w:rsid w:val="00FF4A19"/>
    <w:rPr>
      <w:i/>
      <w:iCs/>
    </w:rPr>
  </w:style>
  <w:style w:type="paragraph" w:styleId="TOCHeading">
    <w:name w:val="TOC Heading"/>
    <w:basedOn w:val="Heading1"/>
    <w:next w:val="Normal"/>
    <w:uiPriority w:val="39"/>
    <w:semiHidden/>
    <w:unhideWhenUsed/>
    <w:qFormat/>
    <w:rsid w:val="00093D9E"/>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 w:type="character" w:styleId="CommentReference">
    <w:name w:val="annotation reference"/>
    <w:basedOn w:val="DefaultParagraphFont"/>
    <w:uiPriority w:val="99"/>
    <w:semiHidden/>
    <w:unhideWhenUsed/>
    <w:rsid w:val="003F4F40"/>
    <w:rPr>
      <w:sz w:val="16"/>
      <w:szCs w:val="16"/>
    </w:rPr>
  </w:style>
  <w:style w:type="paragraph" w:styleId="CommentText">
    <w:name w:val="annotation text"/>
    <w:basedOn w:val="Normal"/>
    <w:link w:val="CommentTextChar"/>
    <w:uiPriority w:val="99"/>
    <w:semiHidden/>
    <w:unhideWhenUsed/>
    <w:rsid w:val="003F4F40"/>
    <w:rPr>
      <w:sz w:val="20"/>
    </w:rPr>
  </w:style>
  <w:style w:type="character" w:customStyle="1" w:styleId="CommentTextChar">
    <w:name w:val="Comment Text Char"/>
    <w:basedOn w:val="DefaultParagraphFont"/>
    <w:link w:val="CommentText"/>
    <w:uiPriority w:val="99"/>
    <w:semiHidden/>
    <w:rsid w:val="003F4F40"/>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4F40"/>
    <w:rPr>
      <w:b/>
      <w:bCs/>
    </w:rPr>
  </w:style>
  <w:style w:type="character" w:customStyle="1" w:styleId="CommentSubjectChar">
    <w:name w:val="Comment Subject Char"/>
    <w:basedOn w:val="CommentTextChar"/>
    <w:link w:val="CommentSubject"/>
    <w:uiPriority w:val="99"/>
    <w:semiHidden/>
    <w:rsid w:val="003F4F40"/>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F6060E"/>
    <w:rPr>
      <w:color w:val="954F72" w:themeColor="followedHyperlink"/>
      <w:u w:val="single"/>
    </w:rPr>
  </w:style>
  <w:style w:type="paragraph" w:styleId="Revision">
    <w:name w:val="Revision"/>
    <w:hidden/>
    <w:uiPriority w:val="99"/>
    <w:semiHidden/>
    <w:rsid w:val="00D65E90"/>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BC4BCF"/>
    <w:rPr>
      <w:i/>
      <w:iCs/>
      <w:color w:val="000000" w:themeColor="text1"/>
    </w:rPr>
  </w:style>
  <w:style w:type="character" w:customStyle="1" w:styleId="QuoteChar">
    <w:name w:val="Quote Char"/>
    <w:basedOn w:val="DefaultParagraphFont"/>
    <w:link w:val="Quote"/>
    <w:uiPriority w:val="29"/>
    <w:rsid w:val="00BC4BCF"/>
    <w:rPr>
      <w:rFonts w:ascii="Calibri" w:eastAsia="Times New Roman" w:hAnsi="Calibri" w:cs="Times New Roman"/>
      <w:i/>
      <w:iCs/>
      <w:color w:val="000000" w:themeColor="text1"/>
      <w:szCs w:val="20"/>
      <w:lang w:eastAsia="en-AU"/>
    </w:rPr>
  </w:style>
  <w:style w:type="paragraph" w:styleId="ListParagraph">
    <w:name w:val="List Paragraph"/>
    <w:basedOn w:val="Normal"/>
    <w:uiPriority w:val="34"/>
    <w:qFormat/>
    <w:rsid w:val="00315E14"/>
    <w:pPr>
      <w:spacing w:before="0" w:after="0"/>
      <w:ind w:left="7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B576E0"/>
    <w:pPr>
      <w:spacing w:before="120"/>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B576E0"/>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rsid w:val="0060595B"/>
    <w:pPr>
      <w:spacing w:before="0" w:after="0"/>
    </w:pPr>
    <w:rPr>
      <w:sz w:val="20"/>
    </w:rPr>
  </w:style>
  <w:style w:type="character" w:customStyle="1" w:styleId="FootnoteTextChar">
    <w:name w:val="Footnote Text Char"/>
    <w:basedOn w:val="DefaultParagraphFont"/>
    <w:link w:val="FootnoteText"/>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363D5B"/>
    <w:pPr>
      <w:autoSpaceDE w:val="0"/>
      <w:autoSpaceDN w:val="0"/>
      <w:adjustRightInd w:val="0"/>
      <w:spacing w:after="0" w:line="240" w:lineRule="auto"/>
    </w:pPr>
    <w:rPr>
      <w:rFonts w:ascii="Apercu" w:hAnsi="Apercu" w:cs="Apercu"/>
      <w:color w:val="000000"/>
      <w:sz w:val="24"/>
      <w:szCs w:val="24"/>
    </w:rPr>
  </w:style>
  <w:style w:type="character" w:customStyle="1" w:styleId="BulletChar">
    <w:name w:val="Bullet Char"/>
    <w:aliases w:val="b Char,b + line Char Char,b Char Char,b1 Char,b + line Char,Body Char,level 1 Char"/>
    <w:basedOn w:val="DefaultParagraphFont"/>
    <w:link w:val="Bullet"/>
    <w:rsid w:val="00363D5B"/>
    <w:rPr>
      <w:rFonts w:ascii="Calibri" w:eastAsia="Times New Roman" w:hAnsi="Calibri" w:cs="Times New Roman"/>
      <w:szCs w:val="20"/>
      <w:lang w:eastAsia="en-AU"/>
    </w:rPr>
  </w:style>
  <w:style w:type="character" w:customStyle="1" w:styleId="DashChar">
    <w:name w:val="Dash Char"/>
    <w:basedOn w:val="DefaultParagraphFont"/>
    <w:link w:val="Dash"/>
    <w:rsid w:val="005E1511"/>
    <w:rPr>
      <w:rFonts w:ascii="Calibri" w:eastAsia="Times New Roman" w:hAnsi="Calibri" w:cs="Times New Roman"/>
      <w:szCs w:val="20"/>
      <w:lang w:eastAsia="en-AU"/>
    </w:rPr>
  </w:style>
  <w:style w:type="paragraph" w:customStyle="1" w:styleId="BoxNumbering">
    <w:name w:val="Box Numbering"/>
    <w:basedOn w:val="Normal"/>
    <w:rsid w:val="005E1511"/>
    <w:pPr>
      <w:numPr>
        <w:numId w:val="17"/>
      </w:numPr>
      <w:spacing w:line="260" w:lineRule="exact"/>
    </w:pPr>
    <w:rPr>
      <w:rFonts w:ascii="Arial" w:hAnsi="Arial"/>
      <w:color w:val="000000"/>
      <w:sz w:val="21"/>
      <w:szCs w:val="21"/>
    </w:rPr>
  </w:style>
  <w:style w:type="character" w:styleId="IntenseEmphasis">
    <w:name w:val="Intense Emphasis"/>
    <w:basedOn w:val="DefaultParagraphFont"/>
    <w:uiPriority w:val="21"/>
    <w:qFormat/>
    <w:rsid w:val="005E1511"/>
    <w:rPr>
      <w:b/>
      <w:bCs/>
      <w:i/>
      <w:iCs/>
      <w:color w:val="5B9BD5" w:themeColor="accent1"/>
    </w:rPr>
  </w:style>
  <w:style w:type="table" w:styleId="LightList-Accent5">
    <w:name w:val="Light List Accent 5"/>
    <w:basedOn w:val="TableNormal"/>
    <w:uiPriority w:val="61"/>
    <w:rsid w:val="001C463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Emphasis">
    <w:name w:val="Emphasis"/>
    <w:basedOn w:val="DefaultParagraphFont"/>
    <w:uiPriority w:val="20"/>
    <w:qFormat/>
    <w:rsid w:val="00FF4A19"/>
    <w:rPr>
      <w:i/>
      <w:iCs/>
    </w:rPr>
  </w:style>
  <w:style w:type="paragraph" w:styleId="TOCHeading">
    <w:name w:val="TOC Heading"/>
    <w:basedOn w:val="Heading1"/>
    <w:next w:val="Normal"/>
    <w:uiPriority w:val="39"/>
    <w:semiHidden/>
    <w:unhideWhenUsed/>
    <w:qFormat/>
    <w:rsid w:val="00093D9E"/>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 w:type="character" w:styleId="CommentReference">
    <w:name w:val="annotation reference"/>
    <w:basedOn w:val="DefaultParagraphFont"/>
    <w:uiPriority w:val="99"/>
    <w:semiHidden/>
    <w:unhideWhenUsed/>
    <w:rsid w:val="003F4F40"/>
    <w:rPr>
      <w:sz w:val="16"/>
      <w:szCs w:val="16"/>
    </w:rPr>
  </w:style>
  <w:style w:type="paragraph" w:styleId="CommentText">
    <w:name w:val="annotation text"/>
    <w:basedOn w:val="Normal"/>
    <w:link w:val="CommentTextChar"/>
    <w:uiPriority w:val="99"/>
    <w:semiHidden/>
    <w:unhideWhenUsed/>
    <w:rsid w:val="003F4F40"/>
    <w:rPr>
      <w:sz w:val="20"/>
    </w:rPr>
  </w:style>
  <w:style w:type="character" w:customStyle="1" w:styleId="CommentTextChar">
    <w:name w:val="Comment Text Char"/>
    <w:basedOn w:val="DefaultParagraphFont"/>
    <w:link w:val="CommentText"/>
    <w:uiPriority w:val="99"/>
    <w:semiHidden/>
    <w:rsid w:val="003F4F40"/>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4F40"/>
    <w:rPr>
      <w:b/>
      <w:bCs/>
    </w:rPr>
  </w:style>
  <w:style w:type="character" w:customStyle="1" w:styleId="CommentSubjectChar">
    <w:name w:val="Comment Subject Char"/>
    <w:basedOn w:val="CommentTextChar"/>
    <w:link w:val="CommentSubject"/>
    <w:uiPriority w:val="99"/>
    <w:semiHidden/>
    <w:rsid w:val="003F4F40"/>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F6060E"/>
    <w:rPr>
      <w:color w:val="954F72" w:themeColor="followedHyperlink"/>
      <w:u w:val="single"/>
    </w:rPr>
  </w:style>
  <w:style w:type="paragraph" w:styleId="Revision">
    <w:name w:val="Revision"/>
    <w:hidden/>
    <w:uiPriority w:val="99"/>
    <w:semiHidden/>
    <w:rsid w:val="00D65E90"/>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BC4BCF"/>
    <w:rPr>
      <w:i/>
      <w:iCs/>
      <w:color w:val="000000" w:themeColor="text1"/>
    </w:rPr>
  </w:style>
  <w:style w:type="character" w:customStyle="1" w:styleId="QuoteChar">
    <w:name w:val="Quote Char"/>
    <w:basedOn w:val="DefaultParagraphFont"/>
    <w:link w:val="Quote"/>
    <w:uiPriority w:val="29"/>
    <w:rsid w:val="00BC4BCF"/>
    <w:rPr>
      <w:rFonts w:ascii="Calibri" w:eastAsia="Times New Roman" w:hAnsi="Calibri" w:cs="Times New Roman"/>
      <w:i/>
      <w:iCs/>
      <w:color w:val="000000" w:themeColor="text1"/>
      <w:szCs w:val="20"/>
      <w:lang w:eastAsia="en-AU"/>
    </w:rPr>
  </w:style>
  <w:style w:type="paragraph" w:styleId="ListParagraph">
    <w:name w:val="List Paragraph"/>
    <w:basedOn w:val="Normal"/>
    <w:uiPriority w:val="34"/>
    <w:qFormat/>
    <w:rsid w:val="00315E14"/>
    <w:pPr>
      <w:spacing w:before="0" w:after="0"/>
      <w:ind w:left="7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82433">
      <w:bodyDiv w:val="1"/>
      <w:marLeft w:val="0"/>
      <w:marRight w:val="0"/>
      <w:marTop w:val="0"/>
      <w:marBottom w:val="0"/>
      <w:divBdr>
        <w:top w:val="none" w:sz="0" w:space="0" w:color="auto"/>
        <w:left w:val="none" w:sz="0" w:space="0" w:color="auto"/>
        <w:bottom w:val="none" w:sz="0" w:space="0" w:color="auto"/>
        <w:right w:val="none" w:sz="0" w:space="0" w:color="auto"/>
      </w:divBdr>
    </w:div>
    <w:div w:id="449131415">
      <w:bodyDiv w:val="1"/>
      <w:marLeft w:val="0"/>
      <w:marRight w:val="0"/>
      <w:marTop w:val="0"/>
      <w:marBottom w:val="0"/>
      <w:divBdr>
        <w:top w:val="none" w:sz="0" w:space="0" w:color="auto"/>
        <w:left w:val="none" w:sz="0" w:space="0" w:color="auto"/>
        <w:bottom w:val="none" w:sz="0" w:space="0" w:color="auto"/>
        <w:right w:val="none" w:sz="0" w:space="0" w:color="auto"/>
      </w:divBdr>
    </w:div>
    <w:div w:id="465703556">
      <w:bodyDiv w:val="1"/>
      <w:marLeft w:val="0"/>
      <w:marRight w:val="0"/>
      <w:marTop w:val="0"/>
      <w:marBottom w:val="0"/>
      <w:divBdr>
        <w:top w:val="none" w:sz="0" w:space="0" w:color="auto"/>
        <w:left w:val="none" w:sz="0" w:space="0" w:color="auto"/>
        <w:bottom w:val="none" w:sz="0" w:space="0" w:color="auto"/>
        <w:right w:val="none" w:sz="0" w:space="0" w:color="auto"/>
      </w:divBdr>
    </w:div>
    <w:div w:id="492449429">
      <w:bodyDiv w:val="1"/>
      <w:marLeft w:val="0"/>
      <w:marRight w:val="0"/>
      <w:marTop w:val="0"/>
      <w:marBottom w:val="0"/>
      <w:divBdr>
        <w:top w:val="none" w:sz="0" w:space="0" w:color="auto"/>
        <w:left w:val="none" w:sz="0" w:space="0" w:color="auto"/>
        <w:bottom w:val="none" w:sz="0" w:space="0" w:color="auto"/>
        <w:right w:val="none" w:sz="0" w:space="0" w:color="auto"/>
      </w:divBdr>
    </w:div>
    <w:div w:id="828131905">
      <w:bodyDiv w:val="1"/>
      <w:marLeft w:val="0"/>
      <w:marRight w:val="0"/>
      <w:marTop w:val="0"/>
      <w:marBottom w:val="0"/>
      <w:divBdr>
        <w:top w:val="none" w:sz="0" w:space="0" w:color="auto"/>
        <w:left w:val="none" w:sz="0" w:space="0" w:color="auto"/>
        <w:bottom w:val="none" w:sz="0" w:space="0" w:color="auto"/>
        <w:right w:val="none" w:sz="0" w:space="0" w:color="auto"/>
      </w:divBdr>
    </w:div>
    <w:div w:id="913513175">
      <w:bodyDiv w:val="1"/>
      <w:marLeft w:val="0"/>
      <w:marRight w:val="0"/>
      <w:marTop w:val="0"/>
      <w:marBottom w:val="0"/>
      <w:divBdr>
        <w:top w:val="none" w:sz="0" w:space="0" w:color="auto"/>
        <w:left w:val="none" w:sz="0" w:space="0" w:color="auto"/>
        <w:bottom w:val="none" w:sz="0" w:space="0" w:color="auto"/>
        <w:right w:val="none" w:sz="0" w:space="0" w:color="auto"/>
      </w:divBdr>
    </w:div>
    <w:div w:id="1187795724">
      <w:bodyDiv w:val="1"/>
      <w:marLeft w:val="0"/>
      <w:marRight w:val="0"/>
      <w:marTop w:val="0"/>
      <w:marBottom w:val="0"/>
      <w:divBdr>
        <w:top w:val="none" w:sz="0" w:space="0" w:color="auto"/>
        <w:left w:val="none" w:sz="0" w:space="0" w:color="auto"/>
        <w:bottom w:val="none" w:sz="0" w:space="0" w:color="auto"/>
        <w:right w:val="none" w:sz="0" w:space="0" w:color="auto"/>
      </w:divBdr>
    </w:div>
    <w:div w:id="1332832433">
      <w:bodyDiv w:val="1"/>
      <w:marLeft w:val="0"/>
      <w:marRight w:val="0"/>
      <w:marTop w:val="0"/>
      <w:marBottom w:val="0"/>
      <w:divBdr>
        <w:top w:val="none" w:sz="0" w:space="0" w:color="auto"/>
        <w:left w:val="none" w:sz="0" w:space="0" w:color="auto"/>
        <w:bottom w:val="none" w:sz="0" w:space="0" w:color="auto"/>
        <w:right w:val="none" w:sz="0" w:space="0" w:color="auto"/>
      </w:divBdr>
    </w:div>
    <w:div w:id="1543859489">
      <w:bodyDiv w:val="1"/>
      <w:marLeft w:val="0"/>
      <w:marRight w:val="0"/>
      <w:marTop w:val="0"/>
      <w:marBottom w:val="0"/>
      <w:divBdr>
        <w:top w:val="none" w:sz="0" w:space="0" w:color="auto"/>
        <w:left w:val="none" w:sz="0" w:space="0" w:color="auto"/>
        <w:bottom w:val="none" w:sz="0" w:space="0" w:color="auto"/>
        <w:right w:val="none" w:sz="0" w:space="0" w:color="auto"/>
      </w:divBdr>
    </w:div>
    <w:div w:id="1741369376">
      <w:bodyDiv w:val="1"/>
      <w:marLeft w:val="0"/>
      <w:marRight w:val="0"/>
      <w:marTop w:val="0"/>
      <w:marBottom w:val="0"/>
      <w:divBdr>
        <w:top w:val="none" w:sz="0" w:space="0" w:color="auto"/>
        <w:left w:val="none" w:sz="0" w:space="0" w:color="auto"/>
        <w:bottom w:val="none" w:sz="0" w:space="0" w:color="auto"/>
        <w:right w:val="none" w:sz="0" w:space="0" w:color="auto"/>
      </w:divBdr>
    </w:div>
    <w:div w:id="1860849633">
      <w:bodyDiv w:val="1"/>
      <w:marLeft w:val="0"/>
      <w:marRight w:val="0"/>
      <w:marTop w:val="0"/>
      <w:marBottom w:val="0"/>
      <w:divBdr>
        <w:top w:val="none" w:sz="0" w:space="0" w:color="auto"/>
        <w:left w:val="none" w:sz="0" w:space="0" w:color="auto"/>
        <w:bottom w:val="none" w:sz="0" w:space="0" w:color="auto"/>
        <w:right w:val="none" w:sz="0" w:space="0" w:color="auto"/>
      </w:divBdr>
    </w:div>
    <w:div w:id="1897668922">
      <w:bodyDiv w:val="1"/>
      <w:marLeft w:val="0"/>
      <w:marRight w:val="0"/>
      <w:marTop w:val="0"/>
      <w:marBottom w:val="0"/>
      <w:divBdr>
        <w:top w:val="none" w:sz="0" w:space="0" w:color="auto"/>
        <w:left w:val="none" w:sz="0" w:space="0" w:color="auto"/>
        <w:bottom w:val="none" w:sz="0" w:space="0" w:color="auto"/>
        <w:right w:val="none" w:sz="0" w:space="0" w:color="auto"/>
      </w:divBdr>
    </w:div>
    <w:div w:id="1942178940">
      <w:bodyDiv w:val="1"/>
      <w:marLeft w:val="0"/>
      <w:marRight w:val="0"/>
      <w:marTop w:val="0"/>
      <w:marBottom w:val="0"/>
      <w:divBdr>
        <w:top w:val="none" w:sz="0" w:space="0" w:color="auto"/>
        <w:left w:val="none" w:sz="0" w:space="0" w:color="auto"/>
        <w:bottom w:val="none" w:sz="0" w:space="0" w:color="auto"/>
        <w:right w:val="none" w:sz="0" w:space="0" w:color="auto"/>
      </w:divBdr>
    </w:div>
    <w:div w:id="19805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image" Target="media/image6.emf"/><Relationship Id="rId42" Type="http://schemas.openxmlformats.org/officeDocument/2006/relationships/image" Target="media/image10.emf"/><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oleObject" Target="embeddings/oleObject2.bin"/><Relationship Id="rId38" Type="http://schemas.openxmlformats.org/officeDocument/2006/relationships/image" Target="media/image8.emf"/><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yperlink" Target="mailto:superannuation@treasury.gov.au" TargetMode="External"/><Relationship Id="rId41"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 TargetMode="External"/><Relationship Id="rId32" Type="http://schemas.openxmlformats.org/officeDocument/2006/relationships/image" Target="media/image5.emf"/><Relationship Id="rId37" Type="http://schemas.openxmlformats.org/officeDocument/2006/relationships/oleObject" Target="embeddings/oleObject4.bin"/><Relationship Id="rId40" Type="http://schemas.openxmlformats.org/officeDocument/2006/relationships/image" Target="media/image9.emf"/><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image" Target="media/image7.emf"/><Relationship Id="rId49"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oleObject" Target="embeddings/oleObject1.bin"/><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image" Target="media/image4.emf"/><Relationship Id="rId35" Type="http://schemas.openxmlformats.org/officeDocument/2006/relationships/oleObject" Target="embeddings/oleObject3.bin"/><Relationship Id="rId43" Type="http://schemas.openxmlformats.org/officeDocument/2006/relationships/oleObject" Target="embeddings/oleObject7.bin"/><Relationship Id="rId48" Type="http://schemas.openxmlformats.org/officeDocument/2006/relationships/header" Target="header8.xml"/><Relationship Id="rId8" Type="http://schemas.openxmlformats.org/officeDocument/2006/relationships/styles" Target="styles.xml"/><Relationship Id="rId5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AD449CB3794B42820E04E7CAE6973C"/>
        <w:category>
          <w:name w:val="General"/>
          <w:gallery w:val="placeholder"/>
        </w:category>
        <w:types>
          <w:type w:val="bbPlcHdr"/>
        </w:types>
        <w:behaviors>
          <w:behavior w:val="content"/>
        </w:behaviors>
        <w:guid w:val="{7A4AC7E4-A2CC-4BCF-B735-F2D0302DD0DB}"/>
      </w:docPartPr>
      <w:docPartBody>
        <w:p w14:paraId="134A83E1" w14:textId="77777777" w:rsidR="00D843E8" w:rsidRDefault="00D843E8">
          <w:pPr>
            <w:pStyle w:val="74AD449CB3794B42820E04E7CAE6973C"/>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rcu">
    <w:altName w:val="Aperc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E8"/>
    <w:rsid w:val="00000938"/>
    <w:rsid w:val="000613A9"/>
    <w:rsid w:val="001735D3"/>
    <w:rsid w:val="00232A5D"/>
    <w:rsid w:val="002744EB"/>
    <w:rsid w:val="00293719"/>
    <w:rsid w:val="00317FE0"/>
    <w:rsid w:val="003205E0"/>
    <w:rsid w:val="00416037"/>
    <w:rsid w:val="00424471"/>
    <w:rsid w:val="00464BCD"/>
    <w:rsid w:val="00541E67"/>
    <w:rsid w:val="00566C81"/>
    <w:rsid w:val="005F2E91"/>
    <w:rsid w:val="00672D7F"/>
    <w:rsid w:val="00780441"/>
    <w:rsid w:val="007C2195"/>
    <w:rsid w:val="008C429C"/>
    <w:rsid w:val="00A73190"/>
    <w:rsid w:val="00CC2DF7"/>
    <w:rsid w:val="00CF64A0"/>
    <w:rsid w:val="00D26DF7"/>
    <w:rsid w:val="00D84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4A83E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3496C617B420F8FEB3C6C7AD6E750">
    <w:name w:val="4FD3496C617B420F8FEB3C6C7AD6E750"/>
  </w:style>
  <w:style w:type="character" w:styleId="PlaceholderText">
    <w:name w:val="Placeholder Text"/>
    <w:basedOn w:val="DefaultParagraphFont"/>
    <w:uiPriority w:val="99"/>
    <w:semiHidden/>
    <w:rPr>
      <w:color w:val="808080"/>
    </w:rPr>
  </w:style>
  <w:style w:type="paragraph" w:customStyle="1" w:styleId="74AD449CB3794B42820E04E7CAE6973C">
    <w:name w:val="74AD449CB3794B42820E04E7CAE6973C"/>
  </w:style>
  <w:style w:type="paragraph" w:customStyle="1" w:styleId="F7FFB9AA8DB44204A490F65AF853E4E2">
    <w:name w:val="F7FFB9AA8DB44204A490F65AF853E4E2"/>
    <w:rsid w:val="00D26DF7"/>
  </w:style>
  <w:style w:type="paragraph" w:customStyle="1" w:styleId="6F94948D5CA94B03BBB63D5C02432C34">
    <w:name w:val="6F94948D5CA94B03BBB63D5C02432C34"/>
    <w:rsid w:val="00D26DF7"/>
  </w:style>
  <w:style w:type="paragraph" w:customStyle="1" w:styleId="773F4EE9E9BF41009B1EC543742095C2">
    <w:name w:val="773F4EE9E9BF41009B1EC543742095C2"/>
    <w:rsid w:val="00D26DF7"/>
  </w:style>
  <w:style w:type="paragraph" w:customStyle="1" w:styleId="ADEB49F9A32C448EBD771A0F40D7EAF1">
    <w:name w:val="ADEB49F9A32C448EBD771A0F40D7EAF1"/>
    <w:rsid w:val="00D26DF7"/>
  </w:style>
  <w:style w:type="paragraph" w:customStyle="1" w:styleId="9545A3AB85154955A821AC2E6AE53355">
    <w:name w:val="9545A3AB85154955A821AC2E6AE53355"/>
    <w:rsid w:val="00D26DF7"/>
  </w:style>
  <w:style w:type="paragraph" w:customStyle="1" w:styleId="F5F7A7BC2884401A988A03D9FEA8136F">
    <w:name w:val="F5F7A7BC2884401A988A03D9FEA8136F"/>
    <w:rsid w:val="00D26D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3496C617B420F8FEB3C6C7AD6E750">
    <w:name w:val="4FD3496C617B420F8FEB3C6C7AD6E750"/>
  </w:style>
  <w:style w:type="character" w:styleId="PlaceholderText">
    <w:name w:val="Placeholder Text"/>
    <w:basedOn w:val="DefaultParagraphFont"/>
    <w:uiPriority w:val="99"/>
    <w:semiHidden/>
    <w:rPr>
      <w:color w:val="808080"/>
    </w:rPr>
  </w:style>
  <w:style w:type="paragraph" w:customStyle="1" w:styleId="74AD449CB3794B42820E04E7CAE6973C">
    <w:name w:val="74AD449CB3794B42820E04E7CAE6973C"/>
  </w:style>
  <w:style w:type="paragraph" w:customStyle="1" w:styleId="F7FFB9AA8DB44204A490F65AF853E4E2">
    <w:name w:val="F7FFB9AA8DB44204A490F65AF853E4E2"/>
    <w:rsid w:val="00D26DF7"/>
  </w:style>
  <w:style w:type="paragraph" w:customStyle="1" w:styleId="6F94948D5CA94B03BBB63D5C02432C34">
    <w:name w:val="6F94948D5CA94B03BBB63D5C02432C34"/>
    <w:rsid w:val="00D26DF7"/>
  </w:style>
  <w:style w:type="paragraph" w:customStyle="1" w:styleId="773F4EE9E9BF41009B1EC543742095C2">
    <w:name w:val="773F4EE9E9BF41009B1EC543742095C2"/>
    <w:rsid w:val="00D26DF7"/>
  </w:style>
  <w:style w:type="paragraph" w:customStyle="1" w:styleId="ADEB49F9A32C448EBD771A0F40D7EAF1">
    <w:name w:val="ADEB49F9A32C448EBD771A0F40D7EAF1"/>
    <w:rsid w:val="00D26DF7"/>
  </w:style>
  <w:style w:type="paragraph" w:customStyle="1" w:styleId="9545A3AB85154955A821AC2E6AE53355">
    <w:name w:val="9545A3AB85154955A821AC2E6AE53355"/>
    <w:rsid w:val="00D26DF7"/>
  </w:style>
  <w:style w:type="paragraph" w:customStyle="1" w:styleId="F5F7A7BC2884401A988A03D9FEA8136F">
    <w:name w:val="F5F7A7BC2884401A988A03D9FEA8136F"/>
    <w:rsid w:val="00D26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2018FG-583247893-281</_dlc_DocId>
    <_dlc_DocIdUrl xmlns="0f563589-9cf9-4143-b1eb-fb0534803d38">
      <Url>http://tweb/sites/fg/ripd/ciprs/_layouts/15/DocIdRedir.aspx?ID=2018FG-583247893-281</Url>
      <Description>2018FG-583247893-281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6084" ma:contentTypeDescription="" ma:contentTypeScope="" ma:versionID="40423f4d6333561d30f6dfe987c63a1a">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19E-2EBF-4F5C-87A6-42F4CFC0D29B}">
  <ds:schemaRefs>
    <ds:schemaRef ds:uri="http://schemas.microsoft.com/sharepoint/v3/contenttype/forms"/>
  </ds:schemaRefs>
</ds:datastoreItem>
</file>

<file path=customXml/itemProps2.xml><?xml version="1.0" encoding="utf-8"?>
<ds:datastoreItem xmlns:ds="http://schemas.openxmlformats.org/officeDocument/2006/customXml" ds:itemID="{CCCF956B-2B7A-425C-8682-55FAC8FBDFD4}">
  <ds:schemaRefs>
    <ds:schemaRef ds:uri="office.server.policy"/>
  </ds:schemaRefs>
</ds:datastoreItem>
</file>

<file path=customXml/itemProps3.xml><?xml version="1.0" encoding="utf-8"?>
<ds:datastoreItem xmlns:ds="http://schemas.openxmlformats.org/officeDocument/2006/customXml" ds:itemID="{55CA9D0D-CAA4-4D49-84D8-C430F3327692}">
  <ds:schemaRefs>
    <ds:schemaRef ds:uri="http://schemas.microsoft.com/sharepoint/events"/>
  </ds:schemaRefs>
</ds:datastoreItem>
</file>

<file path=customXml/itemProps4.xml><?xml version="1.0" encoding="utf-8"?>
<ds:datastoreItem xmlns:ds="http://schemas.openxmlformats.org/officeDocument/2006/customXml" ds:itemID="{33A891AF-CEB6-4D6E-95DF-4F86A0284DD3}">
  <ds:schemaRefs>
    <ds:schemaRef ds:uri="http://purl.org/dc/dcmitype/"/>
    <ds:schemaRef ds:uri="http://purl.org/dc/terms/"/>
    <ds:schemaRef ds:uri="http://schemas.microsoft.com/office/2006/documentManagement/types"/>
    <ds:schemaRef ds:uri="e544e5cc-ab70-42e1-849e-1a0f8bb1f4ef"/>
    <ds:schemaRef ds:uri="http://schemas.microsoft.com/office/infopath/2007/PartnerControls"/>
    <ds:schemaRef ds:uri="http://schemas.openxmlformats.org/package/2006/metadata/core-properties"/>
    <ds:schemaRef ds:uri="0f563589-9cf9-4143-b1eb-fb0534803d38"/>
    <ds:schemaRef ds:uri="http://schemas.microsoft.com/sharepoint/v3"/>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C7A72368-6730-4881-ACAF-A69AD7ED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E22CD9-1B62-4ED5-91DF-FAE95633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14</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McCormack, Penny</dc:creator>
  <cp:lastModifiedBy>McCormack, Penny</cp:lastModifiedBy>
  <cp:revision>2</cp:revision>
  <cp:lastPrinted>2018-12-05T23:23:00Z</cp:lastPrinted>
  <dcterms:created xsi:type="dcterms:W3CDTF">2018-12-06T23:21:00Z</dcterms:created>
  <dcterms:modified xsi:type="dcterms:W3CDTF">2018-12-06T23:21:00Z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0x010100348D01E61E107C4DA4B97E380EA20D470038C6F54242556948B6F04600E4F98FD4</vt:lpwstr>
  </property>
  <property fmtid="{D5CDD505-2E9C-101B-9397-08002B2CF9AE}" pid="3" name="TSYRecordClass">
    <vt:lpwstr>19;#TSY RA-9241 - Retain as national archives|f92f0150-6021-43b5-a30c-415e02490674</vt:lpwstr>
  </property>
  <property fmtid="{D5CDD505-2E9C-101B-9397-08002B2CF9AE}" pid="4" name="RecordPoint_WorkflowType">
    <vt:lpwstr>ActiveSubmitStub</vt:lpwstr>
  </property>
  <property fmtid="{D5CDD505-2E9C-101B-9397-08002B2CF9AE}" pid="5" name="RecordPoint_ActiveItemSiteId">
    <vt:lpwstr>{a3a280d1-e8f1-4ce7-94f0-aaa2322da0dd}</vt:lpwstr>
  </property>
  <property fmtid="{D5CDD505-2E9C-101B-9397-08002B2CF9AE}" pid="6" name="RecordPoint_ActiveItemListId">
    <vt:lpwstr>{543ec58f-cf1c-4c47-b9a9-4790f566cc05}</vt:lpwstr>
  </property>
  <property fmtid="{D5CDD505-2E9C-101B-9397-08002B2CF9AE}" pid="7" name="RecordPoint_ActiveItemWebId">
    <vt:lpwstr>{a0c3d890-6f79-4a7e-8da7-95dd64dcbd27}</vt:lpwstr>
  </property>
  <property fmtid="{D5CDD505-2E9C-101B-9397-08002B2CF9AE}" pid="8" name="RecordPoint_SubmissionDate">
    <vt:lpwstr/>
  </property>
  <property fmtid="{D5CDD505-2E9C-101B-9397-08002B2CF9AE}" pid="9" name="RecordPoint_ActiveItemMoved">
    <vt:lpwstr/>
  </property>
  <property fmtid="{D5CDD505-2E9C-101B-9397-08002B2CF9AE}" pid="10" name="RecordPoint_RecordFormat">
    <vt:lpwstr/>
  </property>
  <property fmtid="{D5CDD505-2E9C-101B-9397-08002B2CF9AE}" pid="11" name="_AdHocReviewCycleID">
    <vt:i4>-1371318846</vt:i4>
  </property>
  <property fmtid="{D5CDD505-2E9C-101B-9397-08002B2CF9AE}" pid="12" name="_NewReviewCycle">
    <vt:lpwstr/>
  </property>
  <property fmtid="{D5CDD505-2E9C-101B-9397-08002B2CF9AE}" pid="13" name="_EmailSubject">
    <vt:lpwstr>Update - Consultation &amp; Discussions Papers Request #S83902 [SEC=UNCLASSIFIED]</vt:lpwstr>
  </property>
  <property fmtid="{D5CDD505-2E9C-101B-9397-08002B2CF9AE}" pid="14" name="_AuthorEmail">
    <vt:lpwstr>Penny.McCormack@TREASURY.GOV.AU</vt:lpwstr>
  </property>
  <property fmtid="{D5CDD505-2E9C-101B-9397-08002B2CF9AE}" pid="15" name="_AuthorEmailDisplayName">
    <vt:lpwstr>McCormack, Penny</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_dlc_DocIdItemGuid">
    <vt:lpwstr>1724bda4-25fe-446c-a70e-c6e5967d460e</vt:lpwstr>
  </property>
  <property fmtid="{D5CDD505-2E9C-101B-9397-08002B2CF9AE}" pid="20" name="RecordPoint_ActiveItemUniqueId">
    <vt:lpwstr>{17bb63c1-c5cb-4a06-8320-cf1b53610f9b}</vt:lpwstr>
  </property>
  <property fmtid="{D5CDD505-2E9C-101B-9397-08002B2CF9AE}" pid="21" name="_PreviousAdHocReviewCycleID">
    <vt:i4>-1042903793</vt:i4>
  </property>
</Properties>
</file>