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7CD38" w14:textId="158F1275" w:rsidR="000E0B74" w:rsidRPr="004D18CC" w:rsidRDefault="00263794" w:rsidP="00A7062E">
      <w:pPr>
        <w:pStyle w:val="Title"/>
      </w:pPr>
      <w:bookmarkStart w:id="0" w:name="_GoBack"/>
      <w:bookmarkEnd w:id="0"/>
      <w:r w:rsidRPr="004D18CC">
        <w:t xml:space="preserve">Combatting </w:t>
      </w:r>
      <w:r w:rsidR="001C21DD" w:rsidRPr="004D18CC">
        <w:t xml:space="preserve">Illegal </w:t>
      </w:r>
      <w:r w:rsidRPr="004D18CC">
        <w:t>Phoenixing</w:t>
      </w:r>
    </w:p>
    <w:p w14:paraId="7AA2A584" w14:textId="5118FE84" w:rsidR="000E0B74" w:rsidRDefault="00AB650B" w:rsidP="004D18CC">
      <w:pPr>
        <w:pStyle w:val="Subtitle"/>
        <w:rPr>
          <w:rFonts w:cs="Calibri"/>
          <w:sz w:val="20"/>
        </w:rPr>
      </w:pPr>
      <w:r>
        <w:rPr>
          <w:rStyle w:val="ReportDateChar"/>
          <w:rFonts w:eastAsiaTheme="majorEastAsia"/>
        </w:rPr>
        <w:t xml:space="preserve"> September 2017</w:t>
      </w:r>
    </w:p>
    <w:p w14:paraId="4CB4BBDA" w14:textId="77777777" w:rsidR="000E0B74" w:rsidRDefault="000E0B74" w:rsidP="004D18CC">
      <w:pPr>
        <w:pStyle w:val="Subtitle"/>
        <w:sectPr w:rsidR="000E0B74" w:rsidSect="004D18CC">
          <w:headerReference w:type="default" r:id="rId14"/>
          <w:footerReference w:type="default" r:id="rId15"/>
          <w:headerReference w:type="first" r:id="rId16"/>
          <w:pgSz w:w="11906" w:h="16838" w:code="277"/>
          <w:pgMar w:top="1418" w:right="1418" w:bottom="1418" w:left="1418" w:header="709" w:footer="709" w:gutter="0"/>
          <w:pgNumType w:fmt="lowerRoman" w:start="1"/>
          <w:cols w:space="720"/>
          <w:vAlign w:val="center"/>
          <w:titlePg/>
          <w:docGrid w:linePitch="299"/>
        </w:sectPr>
      </w:pPr>
    </w:p>
    <w:p w14:paraId="4C97809F" w14:textId="35158F4F" w:rsidR="000E0B74" w:rsidRDefault="000E0B74" w:rsidP="004D18CC">
      <w:r w:rsidRPr="00661BF0">
        <w:lastRenderedPageBreak/>
        <w:t xml:space="preserve">© Commonwealth of Australia </w:t>
      </w:r>
      <w:r w:rsidR="00CF37B1" w:rsidRPr="00770F35">
        <w:t>2017</w:t>
      </w:r>
    </w:p>
    <w:p w14:paraId="6B2E3936" w14:textId="46E8F3A1" w:rsidR="000E0B74" w:rsidRPr="00086F82" w:rsidRDefault="000E0B74" w:rsidP="004D18CC">
      <w:pPr>
        <w:rPr>
          <w:rFonts w:cstheme="minorBidi"/>
          <w:sz w:val="24"/>
          <w:szCs w:val="24"/>
        </w:rPr>
      </w:pPr>
      <w:r w:rsidRPr="002F1BC2">
        <w:t>This publication is available for your use under a</w:t>
      </w:r>
      <w:r w:rsidRPr="00476F09">
        <w:rPr>
          <w:rFonts w:cstheme="minorHAnsi"/>
          <w:sz w:val="24"/>
          <w:szCs w:val="24"/>
        </w:rPr>
        <w:t xml:space="preserve"> </w:t>
      </w:r>
      <w:hyperlink r:id="rId17"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8" w:history="1">
        <w:r w:rsidRPr="00D45AF8">
          <w:rPr>
            <w:rStyle w:val="Hyperlink"/>
          </w:rPr>
          <w:t>http://creativecommons.org/licenses/by/3.0/au/legalcode</w:t>
        </w:r>
      </w:hyperlink>
      <w:r w:rsidRPr="006627B4">
        <w:rPr>
          <w:rStyle w:val="Hyperlink"/>
        </w:rPr>
        <w:t>.</w:t>
      </w:r>
    </w:p>
    <w:p w14:paraId="6755CA92" w14:textId="77777777" w:rsidR="000E0B74" w:rsidRDefault="000E0B74" w:rsidP="004D18CC">
      <w:pPr>
        <w:pStyle w:val="TableGraphic"/>
        <w:spacing w:after="180"/>
      </w:pPr>
      <w:r w:rsidRPr="004D18CC">
        <w:rPr>
          <w:noProof/>
        </w:rPr>
        <w:drawing>
          <wp:inline distT="0" distB="0" distL="0" distR="0" wp14:anchorId="060148C7" wp14:editId="7A51AAEB">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14929EA" w14:textId="77777777" w:rsidR="000E0B74" w:rsidRPr="006627B4" w:rsidRDefault="000E0B74" w:rsidP="004D18CC">
      <w:r w:rsidRPr="006627B4">
        <w:t>Use of Treasury material under a</w:t>
      </w:r>
      <w:r w:rsidRPr="00476F09">
        <w:rPr>
          <w:rFonts w:cstheme="minorHAnsi"/>
          <w:sz w:val="24"/>
          <w:szCs w:val="24"/>
        </w:rPr>
        <w:t xml:space="preserve"> </w:t>
      </w:r>
      <w:hyperlink r:id="rId20"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4ED9DEE8" w14:textId="77777777" w:rsidR="000E0B74" w:rsidRPr="004D18CC" w:rsidRDefault="000E0B74" w:rsidP="004D18CC">
      <w:pPr>
        <w:ind w:left="567"/>
        <w:rPr>
          <w:i/>
        </w:rPr>
      </w:pPr>
      <w:r w:rsidRPr="004D18CC">
        <w:rPr>
          <w:i/>
        </w:rPr>
        <w:t>Treasury material used ‘as supplied’.</w:t>
      </w:r>
    </w:p>
    <w:p w14:paraId="17494F83" w14:textId="77777777" w:rsidR="000E0B74" w:rsidRPr="00476F09" w:rsidRDefault="000E0B74" w:rsidP="004D18CC">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727C1746" w14:textId="62679C00" w:rsidR="000E0B74" w:rsidRPr="004D18CC" w:rsidRDefault="000E0B74" w:rsidP="004D18CC">
      <w:pPr>
        <w:ind w:left="567"/>
        <w:rPr>
          <w:i/>
        </w:rPr>
      </w:pPr>
      <w:r w:rsidRPr="004D18CC">
        <w:rPr>
          <w:i/>
        </w:rPr>
        <w:t>Source: The Australian Government the Treasury.</w:t>
      </w:r>
    </w:p>
    <w:p w14:paraId="1D95CB99" w14:textId="77777777" w:rsidR="000E0B74" w:rsidRPr="004D18CC" w:rsidRDefault="000E0B74" w:rsidP="004D18CC">
      <w:pPr>
        <w:rPr>
          <w:b/>
        </w:rPr>
      </w:pPr>
      <w:r w:rsidRPr="004D18CC">
        <w:rPr>
          <w:b/>
        </w:rPr>
        <w:t>Derivative material</w:t>
      </w:r>
    </w:p>
    <w:p w14:paraId="16B0671B" w14:textId="77777777" w:rsidR="000E0B74" w:rsidRPr="006627B4" w:rsidRDefault="000E0B74" w:rsidP="004D18CC">
      <w:r w:rsidRPr="006627B4">
        <w:t xml:space="preserve">If you have modified or transformed Treasury material, or derived new material from those of the Treasury in any way, then Treasury prefers the following attribution: </w:t>
      </w:r>
    </w:p>
    <w:p w14:paraId="087024F8" w14:textId="6961558A" w:rsidR="000E0B74" w:rsidRPr="004D18CC" w:rsidRDefault="000E0B74" w:rsidP="004D18CC">
      <w:pPr>
        <w:ind w:left="567"/>
        <w:rPr>
          <w:i/>
        </w:rPr>
      </w:pPr>
      <w:r w:rsidRPr="004D18CC">
        <w:rPr>
          <w:i/>
        </w:rPr>
        <w:t>Based on The Australian Government the Treasury data.</w:t>
      </w:r>
    </w:p>
    <w:p w14:paraId="5146ED5F" w14:textId="77777777" w:rsidR="000E0B74" w:rsidRPr="004D18CC" w:rsidRDefault="000E0B74" w:rsidP="004D18CC">
      <w:pPr>
        <w:rPr>
          <w:b/>
        </w:rPr>
      </w:pPr>
      <w:r w:rsidRPr="004D18CC">
        <w:rPr>
          <w:b/>
        </w:rPr>
        <w:t>Use of the Coat of Arms</w:t>
      </w:r>
    </w:p>
    <w:p w14:paraId="290D46F4" w14:textId="77777777" w:rsidR="000E0B74" w:rsidRPr="006627B4" w:rsidRDefault="000E0B74" w:rsidP="004D18CC">
      <w:r w:rsidRPr="006627B4">
        <w:t xml:space="preserve">The terms under which the Coat of Arms can be used are set out on the It’s an Honour website (see </w:t>
      </w:r>
      <w:hyperlink r:id="rId21" w:history="1">
        <w:r w:rsidRPr="00D45AF8">
          <w:rPr>
            <w:rStyle w:val="Hyperlink"/>
          </w:rPr>
          <w:t>www.itsanhonour.gov.au</w:t>
        </w:r>
      </w:hyperlink>
      <w:r w:rsidRPr="006627B4">
        <w:t>)</w:t>
      </w:r>
      <w:r>
        <w:t>.</w:t>
      </w:r>
    </w:p>
    <w:p w14:paraId="7D67D8A0" w14:textId="77777777" w:rsidR="000E0B74" w:rsidRPr="004D18CC" w:rsidRDefault="000E0B74" w:rsidP="004D18CC">
      <w:pPr>
        <w:rPr>
          <w:b/>
        </w:rPr>
      </w:pPr>
      <w:r w:rsidRPr="004D18CC">
        <w:rPr>
          <w:b/>
        </w:rPr>
        <w:t>Other uses</w:t>
      </w:r>
    </w:p>
    <w:p w14:paraId="13EE781A" w14:textId="77777777" w:rsidR="000E0B74" w:rsidRPr="006627B4" w:rsidRDefault="000E0B74" w:rsidP="004D18CC">
      <w:r>
        <w:t>E</w:t>
      </w:r>
      <w:r w:rsidRPr="006627B4">
        <w:t>nquiries regarding this licence and any other use of this document are welcome at:</w:t>
      </w:r>
    </w:p>
    <w:p w14:paraId="3E82283B" w14:textId="77777777" w:rsidR="000E0B74" w:rsidRDefault="000E0B74" w:rsidP="004D18CC">
      <w:pPr>
        <w:ind w:left="567"/>
        <w:jc w:val="left"/>
        <w:rPr>
          <w:rStyle w:val="Hyperlink"/>
        </w:rPr>
      </w:pPr>
      <w:r w:rsidRPr="003D6A43">
        <w:t>Manager</w:t>
      </w:r>
      <w:r w:rsidRPr="003D6A43">
        <w:br/>
        <w:t>Editorial, Media and Speeches Unit</w:t>
      </w:r>
      <w:r w:rsidRPr="003D6A43">
        <w:br/>
        <w:t>The Treasury</w:t>
      </w:r>
      <w:r w:rsidRPr="003D6A43">
        <w:br/>
        <w:t xml:space="preserve">Langton Crescent </w:t>
      </w:r>
      <w:r w:rsidRPr="003D6A43">
        <w:br/>
        <w:t>Parkes  ACT  2600</w:t>
      </w:r>
      <w:r w:rsidRPr="003D6A43">
        <w:br/>
        <w:t xml:space="preserve">Email: </w:t>
      </w:r>
      <w:hyperlink r:id="rId22" w:history="1">
        <w:r w:rsidRPr="003D6A43">
          <w:rPr>
            <w:rStyle w:val="Hyperlink"/>
          </w:rPr>
          <w:t>medialiaison@treasury.gov.au</w:t>
        </w:r>
      </w:hyperlink>
    </w:p>
    <w:p w14:paraId="13BDD1C2" w14:textId="77777777" w:rsidR="00A7062E" w:rsidRDefault="00A7062E" w:rsidP="004D18CC">
      <w:pPr>
        <w:rPr>
          <w:rStyle w:val="Hyperlink"/>
        </w:rPr>
      </w:pPr>
    </w:p>
    <w:p w14:paraId="7424B3D9" w14:textId="77777777" w:rsidR="00A7062E" w:rsidRPr="002F1BC2" w:rsidRDefault="00A7062E" w:rsidP="004D18CC">
      <w:pPr>
        <w:rPr>
          <w:rStyle w:val="Hyperlink"/>
        </w:rPr>
      </w:pPr>
    </w:p>
    <w:p w14:paraId="224E2E69" w14:textId="77777777" w:rsidR="000E0B74" w:rsidRDefault="000E0B74" w:rsidP="004D18CC">
      <w:pPr>
        <w:sectPr w:rsidR="000E0B74" w:rsidSect="004D18CC">
          <w:headerReference w:type="even" r:id="rId23"/>
          <w:headerReference w:type="default" r:id="rId24"/>
          <w:footerReference w:type="even" r:id="rId25"/>
          <w:headerReference w:type="first" r:id="rId26"/>
          <w:footerReference w:type="first" r:id="rId27"/>
          <w:pgSz w:w="11906" w:h="16838" w:code="9"/>
          <w:pgMar w:top="1418" w:right="1418" w:bottom="1418" w:left="1418" w:header="709" w:footer="709" w:gutter="0"/>
          <w:pgNumType w:fmt="lowerRoman"/>
          <w:cols w:space="708"/>
          <w:titlePg/>
          <w:docGrid w:linePitch="360"/>
        </w:sectPr>
      </w:pPr>
    </w:p>
    <w:p w14:paraId="2C5736DB" w14:textId="77777777" w:rsidR="000E0B74" w:rsidRPr="004D18CC" w:rsidRDefault="000E0B74" w:rsidP="004D18CC">
      <w:pPr>
        <w:pStyle w:val="Heading1-NoTOC"/>
      </w:pPr>
      <w:bookmarkStart w:id="1" w:name="_Toc493772754"/>
      <w:r w:rsidRPr="004D18CC">
        <w:lastRenderedPageBreak/>
        <w:t>Contents</w:t>
      </w:r>
      <w:bookmarkEnd w:id="1"/>
    </w:p>
    <w:p w14:paraId="7DD7C43F" w14:textId="718430EC" w:rsidR="00641258" w:rsidRDefault="00D350A9">
      <w:pPr>
        <w:pStyle w:val="TOC1"/>
        <w:rPr>
          <w:rFonts w:asciiTheme="minorHAnsi" w:eastAsiaTheme="minorEastAsia" w:hAnsiTheme="minorHAnsi" w:cstheme="minorBidi"/>
          <w:b w:val="0"/>
          <w:caps w:val="0"/>
          <w:color w:val="auto"/>
        </w:rPr>
      </w:pPr>
      <w:r>
        <w:fldChar w:fldCharType="begin"/>
      </w:r>
      <w:r>
        <w:instrText xml:space="preserve"> TOC \o "1-2" \h \z \u </w:instrText>
      </w:r>
      <w:r>
        <w:fldChar w:fldCharType="separate"/>
      </w:r>
      <w:hyperlink w:anchor="_Toc494212611" w:history="1">
        <w:r w:rsidR="00641258" w:rsidRPr="00450BC8">
          <w:rPr>
            <w:rStyle w:val="Hyperlink"/>
          </w:rPr>
          <w:t>Consultation Process</w:t>
        </w:r>
        <w:r w:rsidR="00641258">
          <w:rPr>
            <w:webHidden/>
          </w:rPr>
          <w:tab/>
        </w:r>
        <w:r w:rsidR="00F47D9E">
          <w:rPr>
            <w:caps w:val="0"/>
            <w:webHidden/>
          </w:rPr>
          <w:t>iv</w:t>
        </w:r>
      </w:hyperlink>
    </w:p>
    <w:p w14:paraId="599092CE" w14:textId="7E225342" w:rsidR="00641258" w:rsidRDefault="00894B95" w:rsidP="004D18CC">
      <w:pPr>
        <w:pStyle w:val="TOC2"/>
        <w:rPr>
          <w:rFonts w:asciiTheme="minorHAnsi" w:eastAsiaTheme="minorEastAsia" w:hAnsiTheme="minorHAnsi" w:cstheme="minorBidi"/>
          <w:color w:val="auto"/>
          <w:szCs w:val="22"/>
        </w:rPr>
      </w:pPr>
      <w:hyperlink w:anchor="_Toc494212612" w:history="1">
        <w:r w:rsidR="00641258" w:rsidRPr="00450BC8">
          <w:rPr>
            <w:rStyle w:val="Hyperlink"/>
          </w:rPr>
          <w:t>Request for feedback and comments</w:t>
        </w:r>
        <w:r w:rsidR="00641258">
          <w:rPr>
            <w:webHidden/>
          </w:rPr>
          <w:tab/>
        </w:r>
        <w:r w:rsidR="00F47D9E">
          <w:rPr>
            <w:webHidden/>
          </w:rPr>
          <w:t>iv</w:t>
        </w:r>
      </w:hyperlink>
    </w:p>
    <w:p w14:paraId="1A5CD4A9" w14:textId="6169EB7E" w:rsidR="00641258" w:rsidRDefault="00894B95">
      <w:pPr>
        <w:pStyle w:val="TOC1"/>
        <w:rPr>
          <w:rFonts w:asciiTheme="minorHAnsi" w:eastAsiaTheme="minorEastAsia" w:hAnsiTheme="minorHAnsi" w:cstheme="minorBidi"/>
          <w:b w:val="0"/>
          <w:caps w:val="0"/>
          <w:color w:val="auto"/>
        </w:rPr>
      </w:pPr>
      <w:hyperlink w:anchor="_Toc494212613" w:history="1">
        <w:r w:rsidR="00641258" w:rsidRPr="00450BC8">
          <w:rPr>
            <w:rStyle w:val="Hyperlink"/>
          </w:rPr>
          <w:t>Foreword</w:t>
        </w:r>
        <w:r w:rsidR="00641258">
          <w:rPr>
            <w:webHidden/>
          </w:rPr>
          <w:tab/>
        </w:r>
        <w:r w:rsidR="00EA0C81">
          <w:rPr>
            <w:caps w:val="0"/>
            <w:webHidden/>
          </w:rPr>
          <w:t>v</w:t>
        </w:r>
      </w:hyperlink>
    </w:p>
    <w:p w14:paraId="7657197A" w14:textId="77777777" w:rsidR="00641258" w:rsidRDefault="00894B95">
      <w:pPr>
        <w:pStyle w:val="TOC1"/>
        <w:rPr>
          <w:rFonts w:asciiTheme="minorHAnsi" w:eastAsiaTheme="minorEastAsia" w:hAnsiTheme="minorHAnsi" w:cstheme="minorBidi"/>
          <w:b w:val="0"/>
          <w:caps w:val="0"/>
          <w:color w:val="auto"/>
        </w:rPr>
      </w:pPr>
      <w:hyperlink w:anchor="_Toc494212614" w:history="1">
        <w:r w:rsidR="00641258" w:rsidRPr="00450BC8">
          <w:rPr>
            <w:rStyle w:val="Hyperlink"/>
          </w:rPr>
          <w:t>Background</w:t>
        </w:r>
        <w:r w:rsidR="00641258">
          <w:rPr>
            <w:webHidden/>
          </w:rPr>
          <w:tab/>
        </w:r>
        <w:r w:rsidR="00641258">
          <w:rPr>
            <w:webHidden/>
          </w:rPr>
          <w:fldChar w:fldCharType="begin"/>
        </w:r>
        <w:r w:rsidR="00641258">
          <w:rPr>
            <w:webHidden/>
          </w:rPr>
          <w:instrText xml:space="preserve"> PAGEREF _Toc494212614 \h </w:instrText>
        </w:r>
        <w:r w:rsidR="00641258">
          <w:rPr>
            <w:webHidden/>
          </w:rPr>
        </w:r>
        <w:r w:rsidR="00641258">
          <w:rPr>
            <w:webHidden/>
          </w:rPr>
          <w:fldChar w:fldCharType="separate"/>
        </w:r>
        <w:r w:rsidR="00786D5E">
          <w:rPr>
            <w:webHidden/>
          </w:rPr>
          <w:t>1</w:t>
        </w:r>
        <w:r w:rsidR="00641258">
          <w:rPr>
            <w:webHidden/>
          </w:rPr>
          <w:fldChar w:fldCharType="end"/>
        </w:r>
      </w:hyperlink>
    </w:p>
    <w:p w14:paraId="06796578" w14:textId="77777777" w:rsidR="00641258" w:rsidRDefault="00894B95" w:rsidP="004D18CC">
      <w:pPr>
        <w:pStyle w:val="TOC2"/>
        <w:rPr>
          <w:rFonts w:asciiTheme="minorHAnsi" w:eastAsiaTheme="minorEastAsia" w:hAnsiTheme="minorHAnsi" w:cstheme="minorBidi"/>
          <w:color w:val="auto"/>
          <w:szCs w:val="22"/>
        </w:rPr>
      </w:pPr>
      <w:hyperlink w:anchor="_Toc494212615" w:history="1">
        <w:r w:rsidR="00641258" w:rsidRPr="00450BC8">
          <w:rPr>
            <w:rStyle w:val="Hyperlink"/>
          </w:rPr>
          <w:t>What is illegal phoenix activity?</w:t>
        </w:r>
        <w:r w:rsidR="00641258">
          <w:rPr>
            <w:webHidden/>
          </w:rPr>
          <w:tab/>
        </w:r>
        <w:r w:rsidR="00641258">
          <w:rPr>
            <w:webHidden/>
          </w:rPr>
          <w:fldChar w:fldCharType="begin"/>
        </w:r>
        <w:r w:rsidR="00641258">
          <w:rPr>
            <w:webHidden/>
          </w:rPr>
          <w:instrText xml:space="preserve"> PAGEREF _Toc494212615 \h </w:instrText>
        </w:r>
        <w:r w:rsidR="00641258">
          <w:rPr>
            <w:webHidden/>
          </w:rPr>
        </w:r>
        <w:r w:rsidR="00641258">
          <w:rPr>
            <w:webHidden/>
          </w:rPr>
          <w:fldChar w:fldCharType="separate"/>
        </w:r>
        <w:r w:rsidR="00786D5E">
          <w:rPr>
            <w:webHidden/>
          </w:rPr>
          <w:t>1</w:t>
        </w:r>
        <w:r w:rsidR="00641258">
          <w:rPr>
            <w:webHidden/>
          </w:rPr>
          <w:fldChar w:fldCharType="end"/>
        </w:r>
      </w:hyperlink>
    </w:p>
    <w:p w14:paraId="7A3661B7" w14:textId="77777777" w:rsidR="00641258" w:rsidRDefault="00894B95" w:rsidP="004D18CC">
      <w:pPr>
        <w:pStyle w:val="TOC2"/>
        <w:rPr>
          <w:rFonts w:asciiTheme="minorHAnsi" w:eastAsiaTheme="minorEastAsia" w:hAnsiTheme="minorHAnsi" w:cstheme="minorBidi"/>
          <w:color w:val="auto"/>
          <w:szCs w:val="22"/>
        </w:rPr>
      </w:pPr>
      <w:hyperlink w:anchor="_Toc494212616" w:history="1">
        <w:r w:rsidR="00641258" w:rsidRPr="00450BC8">
          <w:rPr>
            <w:rStyle w:val="Hyperlink"/>
          </w:rPr>
          <w:t>The impact of illegal phoenixing</w:t>
        </w:r>
        <w:r w:rsidR="00641258">
          <w:rPr>
            <w:webHidden/>
          </w:rPr>
          <w:tab/>
        </w:r>
        <w:r w:rsidR="00641258">
          <w:rPr>
            <w:webHidden/>
          </w:rPr>
          <w:fldChar w:fldCharType="begin"/>
        </w:r>
        <w:r w:rsidR="00641258">
          <w:rPr>
            <w:webHidden/>
          </w:rPr>
          <w:instrText xml:space="preserve"> PAGEREF _Toc494212616 \h </w:instrText>
        </w:r>
        <w:r w:rsidR="00641258">
          <w:rPr>
            <w:webHidden/>
          </w:rPr>
        </w:r>
        <w:r w:rsidR="00641258">
          <w:rPr>
            <w:webHidden/>
          </w:rPr>
          <w:fldChar w:fldCharType="separate"/>
        </w:r>
        <w:r w:rsidR="00786D5E">
          <w:rPr>
            <w:webHidden/>
          </w:rPr>
          <w:t>2</w:t>
        </w:r>
        <w:r w:rsidR="00641258">
          <w:rPr>
            <w:webHidden/>
          </w:rPr>
          <w:fldChar w:fldCharType="end"/>
        </w:r>
      </w:hyperlink>
    </w:p>
    <w:p w14:paraId="134FA15E" w14:textId="77777777" w:rsidR="00641258" w:rsidRDefault="00894B95" w:rsidP="004D18CC">
      <w:pPr>
        <w:pStyle w:val="TOC2"/>
        <w:rPr>
          <w:rFonts w:asciiTheme="minorHAnsi" w:eastAsiaTheme="minorEastAsia" w:hAnsiTheme="minorHAnsi" w:cstheme="minorBidi"/>
          <w:color w:val="auto"/>
          <w:szCs w:val="22"/>
        </w:rPr>
      </w:pPr>
      <w:hyperlink w:anchor="_Toc494212617" w:history="1">
        <w:r w:rsidR="00641258" w:rsidRPr="00450BC8">
          <w:rPr>
            <w:rStyle w:val="Hyperlink"/>
          </w:rPr>
          <w:t>Illegal phoenixing is evolving</w:t>
        </w:r>
        <w:r w:rsidR="00641258">
          <w:rPr>
            <w:webHidden/>
          </w:rPr>
          <w:tab/>
        </w:r>
        <w:r w:rsidR="00641258">
          <w:rPr>
            <w:webHidden/>
          </w:rPr>
          <w:fldChar w:fldCharType="begin"/>
        </w:r>
        <w:r w:rsidR="00641258">
          <w:rPr>
            <w:webHidden/>
          </w:rPr>
          <w:instrText xml:space="preserve"> PAGEREF _Toc494212617 \h </w:instrText>
        </w:r>
        <w:r w:rsidR="00641258">
          <w:rPr>
            <w:webHidden/>
          </w:rPr>
        </w:r>
        <w:r w:rsidR="00641258">
          <w:rPr>
            <w:webHidden/>
          </w:rPr>
          <w:fldChar w:fldCharType="separate"/>
        </w:r>
        <w:r w:rsidR="00786D5E">
          <w:rPr>
            <w:webHidden/>
          </w:rPr>
          <w:t>2</w:t>
        </w:r>
        <w:r w:rsidR="00641258">
          <w:rPr>
            <w:webHidden/>
          </w:rPr>
          <w:fldChar w:fldCharType="end"/>
        </w:r>
      </w:hyperlink>
    </w:p>
    <w:p w14:paraId="70EE5E99" w14:textId="5060598F" w:rsidR="00641258" w:rsidRDefault="00894B95" w:rsidP="004D18CC">
      <w:pPr>
        <w:pStyle w:val="TOC2"/>
        <w:rPr>
          <w:rFonts w:asciiTheme="minorHAnsi" w:eastAsiaTheme="minorEastAsia" w:hAnsiTheme="minorHAnsi" w:cstheme="minorBidi"/>
          <w:color w:val="auto"/>
          <w:szCs w:val="22"/>
        </w:rPr>
      </w:pPr>
      <w:hyperlink w:anchor="_Toc494212618" w:history="1">
        <w:r w:rsidR="00641258" w:rsidRPr="00450BC8">
          <w:rPr>
            <w:rStyle w:val="Hyperlink"/>
          </w:rPr>
          <w:t>Illegal phoenixing is getting more sophisticated</w:t>
        </w:r>
        <w:r w:rsidR="00641258">
          <w:rPr>
            <w:webHidden/>
          </w:rPr>
          <w:tab/>
        </w:r>
        <w:r w:rsidR="00641258">
          <w:rPr>
            <w:webHidden/>
          </w:rPr>
          <w:fldChar w:fldCharType="begin"/>
        </w:r>
        <w:r w:rsidR="00641258">
          <w:rPr>
            <w:webHidden/>
          </w:rPr>
          <w:instrText xml:space="preserve"> PAGEREF _Toc494212618 \h </w:instrText>
        </w:r>
        <w:r w:rsidR="00641258">
          <w:rPr>
            <w:webHidden/>
          </w:rPr>
        </w:r>
        <w:r w:rsidR="00641258">
          <w:rPr>
            <w:webHidden/>
          </w:rPr>
          <w:fldChar w:fldCharType="separate"/>
        </w:r>
        <w:r w:rsidR="00786D5E">
          <w:rPr>
            <w:webHidden/>
          </w:rPr>
          <w:t>3</w:t>
        </w:r>
        <w:r w:rsidR="00641258">
          <w:rPr>
            <w:webHidden/>
          </w:rPr>
          <w:fldChar w:fldCharType="end"/>
        </w:r>
      </w:hyperlink>
    </w:p>
    <w:p w14:paraId="03B0106B" w14:textId="77777777" w:rsidR="00641258" w:rsidRDefault="00894B95" w:rsidP="004D18CC">
      <w:pPr>
        <w:pStyle w:val="TOC2"/>
        <w:rPr>
          <w:rFonts w:asciiTheme="minorHAnsi" w:eastAsiaTheme="minorEastAsia" w:hAnsiTheme="minorHAnsi" w:cstheme="minorBidi"/>
          <w:color w:val="auto"/>
          <w:szCs w:val="22"/>
        </w:rPr>
      </w:pPr>
      <w:hyperlink w:anchor="_Toc494212619" w:history="1">
        <w:r w:rsidR="00641258" w:rsidRPr="00450BC8">
          <w:rPr>
            <w:rStyle w:val="Hyperlink"/>
          </w:rPr>
          <w:t>Current responses to phoenixing</w:t>
        </w:r>
        <w:r w:rsidR="00641258">
          <w:rPr>
            <w:webHidden/>
          </w:rPr>
          <w:tab/>
        </w:r>
        <w:r w:rsidR="00641258">
          <w:rPr>
            <w:webHidden/>
          </w:rPr>
          <w:fldChar w:fldCharType="begin"/>
        </w:r>
        <w:r w:rsidR="00641258">
          <w:rPr>
            <w:webHidden/>
          </w:rPr>
          <w:instrText xml:space="preserve"> PAGEREF _Toc494212619 \h </w:instrText>
        </w:r>
        <w:r w:rsidR="00641258">
          <w:rPr>
            <w:webHidden/>
          </w:rPr>
        </w:r>
        <w:r w:rsidR="00641258">
          <w:rPr>
            <w:webHidden/>
          </w:rPr>
          <w:fldChar w:fldCharType="separate"/>
        </w:r>
        <w:r w:rsidR="00786D5E">
          <w:rPr>
            <w:webHidden/>
          </w:rPr>
          <w:t>4</w:t>
        </w:r>
        <w:r w:rsidR="00641258">
          <w:rPr>
            <w:webHidden/>
          </w:rPr>
          <w:fldChar w:fldCharType="end"/>
        </w:r>
      </w:hyperlink>
    </w:p>
    <w:p w14:paraId="14727D84" w14:textId="77777777" w:rsidR="00641258" w:rsidRDefault="00894B95" w:rsidP="004D18CC">
      <w:pPr>
        <w:pStyle w:val="TOC2"/>
        <w:rPr>
          <w:rFonts w:asciiTheme="minorHAnsi" w:eastAsiaTheme="minorEastAsia" w:hAnsiTheme="minorHAnsi" w:cstheme="minorBidi"/>
          <w:color w:val="auto"/>
          <w:szCs w:val="22"/>
        </w:rPr>
      </w:pPr>
      <w:hyperlink w:anchor="_Toc494212620" w:history="1">
        <w:r w:rsidR="00641258" w:rsidRPr="00450BC8">
          <w:rPr>
            <w:rStyle w:val="Hyperlink"/>
          </w:rPr>
          <w:t>The Government’s Taskforces</w:t>
        </w:r>
        <w:r w:rsidR="00641258">
          <w:rPr>
            <w:webHidden/>
          </w:rPr>
          <w:tab/>
        </w:r>
        <w:r w:rsidR="00641258">
          <w:rPr>
            <w:webHidden/>
          </w:rPr>
          <w:fldChar w:fldCharType="begin"/>
        </w:r>
        <w:r w:rsidR="00641258">
          <w:rPr>
            <w:webHidden/>
          </w:rPr>
          <w:instrText xml:space="preserve"> PAGEREF _Toc494212620 \h </w:instrText>
        </w:r>
        <w:r w:rsidR="00641258">
          <w:rPr>
            <w:webHidden/>
          </w:rPr>
        </w:r>
        <w:r w:rsidR="00641258">
          <w:rPr>
            <w:webHidden/>
          </w:rPr>
          <w:fldChar w:fldCharType="separate"/>
        </w:r>
        <w:r w:rsidR="00786D5E">
          <w:rPr>
            <w:webHidden/>
          </w:rPr>
          <w:t>4</w:t>
        </w:r>
        <w:r w:rsidR="00641258">
          <w:rPr>
            <w:webHidden/>
          </w:rPr>
          <w:fldChar w:fldCharType="end"/>
        </w:r>
      </w:hyperlink>
    </w:p>
    <w:p w14:paraId="0745DD9D" w14:textId="77777777" w:rsidR="00641258" w:rsidRDefault="00894B95" w:rsidP="004D18CC">
      <w:pPr>
        <w:pStyle w:val="TOC2"/>
        <w:rPr>
          <w:rFonts w:asciiTheme="minorHAnsi" w:eastAsiaTheme="minorEastAsia" w:hAnsiTheme="minorHAnsi" w:cstheme="minorBidi"/>
          <w:color w:val="auto"/>
          <w:szCs w:val="22"/>
        </w:rPr>
      </w:pPr>
      <w:hyperlink w:anchor="_Toc494212621" w:history="1">
        <w:r w:rsidR="00641258" w:rsidRPr="00450BC8">
          <w:rPr>
            <w:rStyle w:val="Hyperlink"/>
          </w:rPr>
          <w:t>Why we are consulting</w:t>
        </w:r>
        <w:r w:rsidR="00641258">
          <w:rPr>
            <w:webHidden/>
          </w:rPr>
          <w:tab/>
        </w:r>
        <w:r w:rsidR="00641258">
          <w:rPr>
            <w:webHidden/>
          </w:rPr>
          <w:fldChar w:fldCharType="begin"/>
        </w:r>
        <w:r w:rsidR="00641258">
          <w:rPr>
            <w:webHidden/>
          </w:rPr>
          <w:instrText xml:space="preserve"> PAGEREF _Toc494212621 \h </w:instrText>
        </w:r>
        <w:r w:rsidR="00641258">
          <w:rPr>
            <w:webHidden/>
          </w:rPr>
        </w:r>
        <w:r w:rsidR="00641258">
          <w:rPr>
            <w:webHidden/>
          </w:rPr>
          <w:fldChar w:fldCharType="separate"/>
        </w:r>
        <w:r w:rsidR="00786D5E">
          <w:rPr>
            <w:webHidden/>
          </w:rPr>
          <w:t>5</w:t>
        </w:r>
        <w:r w:rsidR="00641258">
          <w:rPr>
            <w:webHidden/>
          </w:rPr>
          <w:fldChar w:fldCharType="end"/>
        </w:r>
      </w:hyperlink>
    </w:p>
    <w:p w14:paraId="1E538D67" w14:textId="77777777" w:rsidR="00641258" w:rsidRDefault="00894B95" w:rsidP="004D18CC">
      <w:pPr>
        <w:pStyle w:val="TOC2"/>
        <w:rPr>
          <w:rFonts w:asciiTheme="minorHAnsi" w:eastAsiaTheme="minorEastAsia" w:hAnsiTheme="minorHAnsi" w:cstheme="minorBidi"/>
          <w:color w:val="auto"/>
          <w:szCs w:val="22"/>
        </w:rPr>
      </w:pPr>
      <w:hyperlink w:anchor="_Toc494212622" w:history="1">
        <w:r w:rsidR="00641258" w:rsidRPr="00450BC8">
          <w:rPr>
            <w:rStyle w:val="Hyperlink"/>
          </w:rPr>
          <w:t>The aim of the proposed reforms</w:t>
        </w:r>
        <w:r w:rsidR="00641258">
          <w:rPr>
            <w:webHidden/>
          </w:rPr>
          <w:tab/>
        </w:r>
        <w:r w:rsidR="00641258">
          <w:rPr>
            <w:webHidden/>
          </w:rPr>
          <w:fldChar w:fldCharType="begin"/>
        </w:r>
        <w:r w:rsidR="00641258">
          <w:rPr>
            <w:webHidden/>
          </w:rPr>
          <w:instrText xml:space="preserve"> PAGEREF _Toc494212622 \h </w:instrText>
        </w:r>
        <w:r w:rsidR="00641258">
          <w:rPr>
            <w:webHidden/>
          </w:rPr>
        </w:r>
        <w:r w:rsidR="00641258">
          <w:rPr>
            <w:webHidden/>
          </w:rPr>
          <w:fldChar w:fldCharType="separate"/>
        </w:r>
        <w:r w:rsidR="00786D5E">
          <w:rPr>
            <w:webHidden/>
          </w:rPr>
          <w:t>5</w:t>
        </w:r>
        <w:r w:rsidR="00641258">
          <w:rPr>
            <w:webHidden/>
          </w:rPr>
          <w:fldChar w:fldCharType="end"/>
        </w:r>
      </w:hyperlink>
    </w:p>
    <w:p w14:paraId="06647932" w14:textId="77777777" w:rsidR="00641258" w:rsidRDefault="00894B95">
      <w:pPr>
        <w:pStyle w:val="TOC1"/>
        <w:rPr>
          <w:rFonts w:asciiTheme="minorHAnsi" w:eastAsiaTheme="minorEastAsia" w:hAnsiTheme="minorHAnsi" w:cstheme="minorBidi"/>
          <w:b w:val="0"/>
          <w:caps w:val="0"/>
          <w:color w:val="auto"/>
        </w:rPr>
      </w:pPr>
      <w:hyperlink w:anchor="_Toc494212623" w:history="1">
        <w:r w:rsidR="00641258" w:rsidRPr="00450BC8">
          <w:rPr>
            <w:rStyle w:val="Hyperlink"/>
          </w:rPr>
          <w:t>Part One – Broad Reforms</w:t>
        </w:r>
        <w:r w:rsidR="00641258">
          <w:rPr>
            <w:webHidden/>
          </w:rPr>
          <w:tab/>
        </w:r>
        <w:r w:rsidR="00641258">
          <w:rPr>
            <w:webHidden/>
          </w:rPr>
          <w:fldChar w:fldCharType="begin"/>
        </w:r>
        <w:r w:rsidR="00641258">
          <w:rPr>
            <w:webHidden/>
          </w:rPr>
          <w:instrText xml:space="preserve"> PAGEREF _Toc494212623 \h </w:instrText>
        </w:r>
        <w:r w:rsidR="00641258">
          <w:rPr>
            <w:webHidden/>
          </w:rPr>
        </w:r>
        <w:r w:rsidR="00641258">
          <w:rPr>
            <w:webHidden/>
          </w:rPr>
          <w:fldChar w:fldCharType="separate"/>
        </w:r>
        <w:r w:rsidR="00786D5E">
          <w:rPr>
            <w:webHidden/>
          </w:rPr>
          <w:t>7</w:t>
        </w:r>
        <w:r w:rsidR="00641258">
          <w:rPr>
            <w:webHidden/>
          </w:rPr>
          <w:fldChar w:fldCharType="end"/>
        </w:r>
      </w:hyperlink>
    </w:p>
    <w:p w14:paraId="578A1F4C" w14:textId="77777777" w:rsidR="00641258" w:rsidRDefault="00894B95" w:rsidP="004D18CC">
      <w:pPr>
        <w:pStyle w:val="TOC2"/>
        <w:rPr>
          <w:rFonts w:asciiTheme="minorHAnsi" w:eastAsiaTheme="minorEastAsia" w:hAnsiTheme="minorHAnsi" w:cstheme="minorBidi"/>
          <w:color w:val="auto"/>
          <w:szCs w:val="22"/>
        </w:rPr>
      </w:pPr>
      <w:hyperlink w:anchor="_Toc494212624" w:history="1">
        <w:r w:rsidR="00641258" w:rsidRPr="00450BC8">
          <w:rPr>
            <w:rStyle w:val="Hyperlink"/>
          </w:rPr>
          <w:t>1.</w:t>
        </w:r>
        <w:r w:rsidR="00641258">
          <w:rPr>
            <w:rFonts w:asciiTheme="minorHAnsi" w:eastAsiaTheme="minorEastAsia" w:hAnsiTheme="minorHAnsi" w:cstheme="minorBidi"/>
            <w:color w:val="auto"/>
            <w:szCs w:val="22"/>
          </w:rPr>
          <w:tab/>
        </w:r>
        <w:r w:rsidR="00641258" w:rsidRPr="00450BC8">
          <w:rPr>
            <w:rStyle w:val="Hyperlink"/>
          </w:rPr>
          <w:t>Identifying illegal phoenix activity – a Phoenix Hotline</w:t>
        </w:r>
        <w:r w:rsidR="00641258">
          <w:rPr>
            <w:webHidden/>
          </w:rPr>
          <w:tab/>
        </w:r>
        <w:r w:rsidR="00641258">
          <w:rPr>
            <w:webHidden/>
          </w:rPr>
          <w:fldChar w:fldCharType="begin"/>
        </w:r>
        <w:r w:rsidR="00641258">
          <w:rPr>
            <w:webHidden/>
          </w:rPr>
          <w:instrText xml:space="preserve"> PAGEREF _Toc494212624 \h </w:instrText>
        </w:r>
        <w:r w:rsidR="00641258">
          <w:rPr>
            <w:webHidden/>
          </w:rPr>
        </w:r>
        <w:r w:rsidR="00641258">
          <w:rPr>
            <w:webHidden/>
          </w:rPr>
          <w:fldChar w:fldCharType="separate"/>
        </w:r>
        <w:r w:rsidR="00786D5E">
          <w:rPr>
            <w:webHidden/>
          </w:rPr>
          <w:t>7</w:t>
        </w:r>
        <w:r w:rsidR="00641258">
          <w:rPr>
            <w:webHidden/>
          </w:rPr>
          <w:fldChar w:fldCharType="end"/>
        </w:r>
      </w:hyperlink>
    </w:p>
    <w:p w14:paraId="613B6E5A" w14:textId="1B787533" w:rsidR="00641258" w:rsidRPr="004D18CC" w:rsidRDefault="00894B95" w:rsidP="004D18CC">
      <w:pPr>
        <w:pStyle w:val="TOC2"/>
        <w:rPr>
          <w:rFonts w:eastAsiaTheme="minorEastAsia"/>
        </w:rPr>
      </w:pPr>
      <w:hyperlink w:anchor="_Toc494212625" w:history="1">
        <w:r w:rsidR="00641258" w:rsidRPr="004D18CC">
          <w:rPr>
            <w:rStyle w:val="Hyperlink"/>
            <w:b w:val="0"/>
          </w:rPr>
          <w:t>2.</w:t>
        </w:r>
      </w:hyperlink>
      <w:r w:rsidR="00641258" w:rsidRPr="004D18CC">
        <w:rPr>
          <w:rStyle w:val="Hyperlink"/>
          <w:b w:val="0"/>
        </w:rPr>
        <w:tab/>
      </w:r>
      <w:hyperlink w:anchor="_Toc494212626" w:history="1">
        <w:r w:rsidR="00641258" w:rsidRPr="004D18CC">
          <w:rPr>
            <w:rStyle w:val="Hyperlink"/>
            <w:b w:val="0"/>
          </w:rPr>
          <w:t>A phoenixing offence</w:t>
        </w:r>
        <w:r w:rsidR="00641258" w:rsidRPr="004D18CC">
          <w:rPr>
            <w:webHidden/>
          </w:rPr>
          <w:tab/>
        </w:r>
        <w:r w:rsidR="00641258" w:rsidRPr="004D18CC">
          <w:rPr>
            <w:webHidden/>
          </w:rPr>
          <w:fldChar w:fldCharType="begin"/>
        </w:r>
        <w:r w:rsidR="00641258" w:rsidRPr="004D18CC">
          <w:rPr>
            <w:webHidden/>
          </w:rPr>
          <w:instrText xml:space="preserve"> PAGEREF _Toc494212626 \h </w:instrText>
        </w:r>
        <w:r w:rsidR="00641258" w:rsidRPr="004D18CC">
          <w:rPr>
            <w:webHidden/>
          </w:rPr>
        </w:r>
        <w:r w:rsidR="00641258" w:rsidRPr="004D18CC">
          <w:rPr>
            <w:webHidden/>
          </w:rPr>
          <w:fldChar w:fldCharType="separate"/>
        </w:r>
        <w:r w:rsidR="00786D5E">
          <w:rPr>
            <w:webHidden/>
          </w:rPr>
          <w:t>8</w:t>
        </w:r>
        <w:r w:rsidR="00641258" w:rsidRPr="004D18CC">
          <w:rPr>
            <w:webHidden/>
          </w:rPr>
          <w:fldChar w:fldCharType="end"/>
        </w:r>
      </w:hyperlink>
    </w:p>
    <w:p w14:paraId="2A97646E" w14:textId="0342550D" w:rsidR="00641258" w:rsidRDefault="00894B95" w:rsidP="004D18CC">
      <w:pPr>
        <w:pStyle w:val="TOC2"/>
        <w:rPr>
          <w:rFonts w:asciiTheme="minorHAnsi" w:eastAsiaTheme="minorEastAsia" w:hAnsiTheme="minorHAnsi" w:cstheme="minorBidi"/>
          <w:color w:val="auto"/>
          <w:szCs w:val="22"/>
        </w:rPr>
      </w:pPr>
      <w:hyperlink w:anchor="_Toc494212627" w:history="1">
        <w:r w:rsidR="00641258" w:rsidRPr="00450BC8">
          <w:rPr>
            <w:rStyle w:val="Hyperlink"/>
          </w:rPr>
          <w:t>3.</w:t>
        </w:r>
      </w:hyperlink>
      <w:r w:rsidR="00641258">
        <w:rPr>
          <w:rStyle w:val="Hyperlink"/>
        </w:rPr>
        <w:tab/>
      </w:r>
      <w:hyperlink w:anchor="_Toc494212628" w:history="1">
        <w:r w:rsidR="00641258" w:rsidRPr="00450BC8">
          <w:rPr>
            <w:rStyle w:val="Hyperlink"/>
          </w:rPr>
          <w:t>Addressing issues with directorships</w:t>
        </w:r>
        <w:r w:rsidR="00641258">
          <w:rPr>
            <w:webHidden/>
          </w:rPr>
          <w:tab/>
        </w:r>
        <w:r w:rsidR="00641258">
          <w:rPr>
            <w:webHidden/>
          </w:rPr>
          <w:fldChar w:fldCharType="begin"/>
        </w:r>
        <w:r w:rsidR="00641258">
          <w:rPr>
            <w:webHidden/>
          </w:rPr>
          <w:instrText xml:space="preserve"> PAGEREF _Toc494212628 \h </w:instrText>
        </w:r>
        <w:r w:rsidR="00641258">
          <w:rPr>
            <w:webHidden/>
          </w:rPr>
        </w:r>
        <w:r w:rsidR="00641258">
          <w:rPr>
            <w:webHidden/>
          </w:rPr>
          <w:fldChar w:fldCharType="separate"/>
        </w:r>
        <w:r w:rsidR="00786D5E">
          <w:rPr>
            <w:webHidden/>
          </w:rPr>
          <w:t>12</w:t>
        </w:r>
        <w:r w:rsidR="00641258">
          <w:rPr>
            <w:webHidden/>
          </w:rPr>
          <w:fldChar w:fldCharType="end"/>
        </w:r>
      </w:hyperlink>
    </w:p>
    <w:p w14:paraId="1CF87F20" w14:textId="22C58241" w:rsidR="00641258" w:rsidRDefault="00894B95" w:rsidP="004D18CC">
      <w:pPr>
        <w:pStyle w:val="TOC2"/>
        <w:rPr>
          <w:rFonts w:asciiTheme="minorHAnsi" w:eastAsiaTheme="minorEastAsia" w:hAnsiTheme="minorHAnsi" w:cstheme="minorBidi"/>
          <w:color w:val="auto"/>
          <w:szCs w:val="22"/>
        </w:rPr>
      </w:pPr>
      <w:hyperlink w:anchor="_Toc494212629" w:history="1">
        <w:r w:rsidR="00641258" w:rsidRPr="00450BC8">
          <w:rPr>
            <w:rStyle w:val="Hyperlink"/>
          </w:rPr>
          <w:t>4.</w:t>
        </w:r>
        <w:r w:rsidR="00641258">
          <w:rPr>
            <w:webHidden/>
          </w:rPr>
          <w:tab/>
        </w:r>
      </w:hyperlink>
      <w:hyperlink w:anchor="_Toc494212630" w:history="1">
        <w:r w:rsidR="00641258" w:rsidRPr="00450BC8">
          <w:rPr>
            <w:rStyle w:val="Hyperlink"/>
          </w:rPr>
          <w:t>Restrictions on voting rights</w:t>
        </w:r>
        <w:r w:rsidR="00641258">
          <w:rPr>
            <w:webHidden/>
          </w:rPr>
          <w:tab/>
        </w:r>
        <w:r w:rsidR="00641258">
          <w:rPr>
            <w:webHidden/>
          </w:rPr>
          <w:fldChar w:fldCharType="begin"/>
        </w:r>
        <w:r w:rsidR="00641258">
          <w:rPr>
            <w:webHidden/>
          </w:rPr>
          <w:instrText xml:space="preserve"> PAGEREF _Toc494212630 \h </w:instrText>
        </w:r>
        <w:r w:rsidR="00641258">
          <w:rPr>
            <w:webHidden/>
          </w:rPr>
        </w:r>
        <w:r w:rsidR="00641258">
          <w:rPr>
            <w:webHidden/>
          </w:rPr>
          <w:fldChar w:fldCharType="separate"/>
        </w:r>
        <w:r w:rsidR="00786D5E">
          <w:rPr>
            <w:webHidden/>
          </w:rPr>
          <w:t>15</w:t>
        </w:r>
        <w:r w:rsidR="00641258">
          <w:rPr>
            <w:webHidden/>
          </w:rPr>
          <w:fldChar w:fldCharType="end"/>
        </w:r>
      </w:hyperlink>
    </w:p>
    <w:p w14:paraId="0431C266" w14:textId="0E22C9BE" w:rsidR="00641258" w:rsidRDefault="00894B95" w:rsidP="004D18CC">
      <w:pPr>
        <w:pStyle w:val="TOC2"/>
        <w:rPr>
          <w:rFonts w:asciiTheme="minorHAnsi" w:eastAsiaTheme="minorEastAsia" w:hAnsiTheme="minorHAnsi" w:cstheme="minorBidi"/>
          <w:color w:val="auto"/>
          <w:szCs w:val="22"/>
        </w:rPr>
      </w:pPr>
      <w:hyperlink w:anchor="_Toc494212631" w:history="1">
        <w:r w:rsidR="00641258" w:rsidRPr="00450BC8">
          <w:rPr>
            <w:rStyle w:val="Hyperlink"/>
          </w:rPr>
          <w:t>5.</w:t>
        </w:r>
        <w:r w:rsidR="00641258">
          <w:rPr>
            <w:rFonts w:asciiTheme="minorHAnsi" w:eastAsiaTheme="minorEastAsia" w:hAnsiTheme="minorHAnsi" w:cstheme="minorBidi"/>
            <w:color w:val="auto"/>
            <w:szCs w:val="22"/>
          </w:rPr>
          <w:tab/>
        </w:r>
        <w:r w:rsidR="00641258" w:rsidRPr="00450BC8">
          <w:rPr>
            <w:rStyle w:val="Hyperlink"/>
          </w:rPr>
          <w:t>Promoter penalties</w:t>
        </w:r>
        <w:r w:rsidR="00641258">
          <w:rPr>
            <w:webHidden/>
          </w:rPr>
          <w:tab/>
        </w:r>
        <w:r w:rsidR="00641258">
          <w:rPr>
            <w:webHidden/>
          </w:rPr>
          <w:fldChar w:fldCharType="begin"/>
        </w:r>
        <w:r w:rsidR="00641258">
          <w:rPr>
            <w:webHidden/>
          </w:rPr>
          <w:instrText xml:space="preserve"> PAGEREF _Toc494212631 \h </w:instrText>
        </w:r>
        <w:r w:rsidR="00641258">
          <w:rPr>
            <w:webHidden/>
          </w:rPr>
        </w:r>
        <w:r w:rsidR="00641258">
          <w:rPr>
            <w:webHidden/>
          </w:rPr>
          <w:fldChar w:fldCharType="separate"/>
        </w:r>
        <w:r w:rsidR="00786D5E">
          <w:rPr>
            <w:webHidden/>
          </w:rPr>
          <w:t>17</w:t>
        </w:r>
        <w:r w:rsidR="00641258">
          <w:rPr>
            <w:webHidden/>
          </w:rPr>
          <w:fldChar w:fldCharType="end"/>
        </w:r>
      </w:hyperlink>
    </w:p>
    <w:p w14:paraId="616C4C29" w14:textId="67A22522" w:rsidR="00641258" w:rsidRDefault="00894B95" w:rsidP="004D18CC">
      <w:pPr>
        <w:pStyle w:val="TOC2"/>
        <w:rPr>
          <w:rFonts w:asciiTheme="minorHAnsi" w:eastAsiaTheme="minorEastAsia" w:hAnsiTheme="minorHAnsi" w:cstheme="minorBidi"/>
          <w:color w:val="auto"/>
          <w:szCs w:val="22"/>
        </w:rPr>
      </w:pPr>
      <w:hyperlink w:anchor="_Toc494212632" w:history="1">
        <w:r w:rsidR="00641258" w:rsidRPr="00450BC8">
          <w:rPr>
            <w:rStyle w:val="Hyperlink"/>
          </w:rPr>
          <w:t>6.</w:t>
        </w:r>
        <w:r w:rsidR="00641258">
          <w:rPr>
            <w:webHidden/>
          </w:rPr>
          <w:tab/>
        </w:r>
      </w:hyperlink>
      <w:hyperlink w:anchor="_Toc494212633" w:history="1">
        <w:r w:rsidR="00641258" w:rsidRPr="00450BC8">
          <w:rPr>
            <w:rStyle w:val="Hyperlink"/>
          </w:rPr>
          <w:t>Extending the Director Penalty Notice Regime to GST</w:t>
        </w:r>
        <w:r w:rsidR="00641258">
          <w:rPr>
            <w:webHidden/>
          </w:rPr>
          <w:tab/>
        </w:r>
        <w:r w:rsidR="00641258">
          <w:rPr>
            <w:webHidden/>
          </w:rPr>
          <w:fldChar w:fldCharType="begin"/>
        </w:r>
        <w:r w:rsidR="00641258">
          <w:rPr>
            <w:webHidden/>
          </w:rPr>
          <w:instrText xml:space="preserve"> PAGEREF _Toc494212633 \h </w:instrText>
        </w:r>
        <w:r w:rsidR="00641258">
          <w:rPr>
            <w:webHidden/>
          </w:rPr>
        </w:r>
        <w:r w:rsidR="00641258">
          <w:rPr>
            <w:webHidden/>
          </w:rPr>
          <w:fldChar w:fldCharType="separate"/>
        </w:r>
        <w:r w:rsidR="00786D5E">
          <w:rPr>
            <w:webHidden/>
          </w:rPr>
          <w:t>19</w:t>
        </w:r>
        <w:r w:rsidR="00641258">
          <w:rPr>
            <w:webHidden/>
          </w:rPr>
          <w:fldChar w:fldCharType="end"/>
        </w:r>
      </w:hyperlink>
    </w:p>
    <w:p w14:paraId="6E1CB3F6" w14:textId="52778283" w:rsidR="00641258" w:rsidRDefault="00894B95" w:rsidP="004D18CC">
      <w:pPr>
        <w:pStyle w:val="TOC2"/>
        <w:rPr>
          <w:rFonts w:asciiTheme="minorHAnsi" w:eastAsiaTheme="minorEastAsia" w:hAnsiTheme="minorHAnsi" w:cstheme="minorBidi"/>
          <w:color w:val="auto"/>
          <w:szCs w:val="22"/>
        </w:rPr>
      </w:pPr>
      <w:hyperlink w:anchor="_Toc494212634" w:history="1">
        <w:r w:rsidR="00641258" w:rsidRPr="00450BC8">
          <w:rPr>
            <w:rStyle w:val="Hyperlink"/>
          </w:rPr>
          <w:t>7.</w:t>
        </w:r>
        <w:r w:rsidR="00641258">
          <w:rPr>
            <w:webHidden/>
          </w:rPr>
          <w:tab/>
        </w:r>
      </w:hyperlink>
      <w:hyperlink w:anchor="_Toc494212635" w:history="1">
        <w:r w:rsidR="00641258" w:rsidRPr="00450BC8">
          <w:rPr>
            <w:rStyle w:val="Hyperlink"/>
          </w:rPr>
          <w:t>Security deposits</w:t>
        </w:r>
        <w:r w:rsidR="00641258">
          <w:rPr>
            <w:webHidden/>
          </w:rPr>
          <w:tab/>
        </w:r>
        <w:r w:rsidR="00641258">
          <w:rPr>
            <w:webHidden/>
          </w:rPr>
          <w:fldChar w:fldCharType="begin"/>
        </w:r>
        <w:r w:rsidR="00641258">
          <w:rPr>
            <w:webHidden/>
          </w:rPr>
          <w:instrText xml:space="preserve"> PAGEREF _Toc494212635 \h </w:instrText>
        </w:r>
        <w:r w:rsidR="00641258">
          <w:rPr>
            <w:webHidden/>
          </w:rPr>
        </w:r>
        <w:r w:rsidR="00641258">
          <w:rPr>
            <w:webHidden/>
          </w:rPr>
          <w:fldChar w:fldCharType="separate"/>
        </w:r>
        <w:r w:rsidR="00786D5E">
          <w:rPr>
            <w:webHidden/>
          </w:rPr>
          <w:t>20</w:t>
        </w:r>
        <w:r w:rsidR="00641258">
          <w:rPr>
            <w:webHidden/>
          </w:rPr>
          <w:fldChar w:fldCharType="end"/>
        </w:r>
      </w:hyperlink>
    </w:p>
    <w:p w14:paraId="5E30C3C0" w14:textId="4DD6AA6A" w:rsidR="00641258" w:rsidRDefault="00894B95">
      <w:pPr>
        <w:pStyle w:val="TOC1"/>
        <w:rPr>
          <w:rFonts w:asciiTheme="minorHAnsi" w:eastAsiaTheme="minorEastAsia" w:hAnsiTheme="minorHAnsi" w:cstheme="minorBidi"/>
          <w:b w:val="0"/>
          <w:caps w:val="0"/>
          <w:color w:val="auto"/>
        </w:rPr>
      </w:pPr>
      <w:hyperlink w:anchor="_Toc494212636" w:history="1">
        <w:r w:rsidR="00641258" w:rsidRPr="00450BC8">
          <w:rPr>
            <w:rStyle w:val="Hyperlink"/>
          </w:rPr>
          <w:t>Part Two - Dealing with Higher Risk Entities</w:t>
        </w:r>
        <w:r w:rsidR="00641258">
          <w:rPr>
            <w:webHidden/>
          </w:rPr>
          <w:tab/>
        </w:r>
        <w:r w:rsidR="00641258">
          <w:rPr>
            <w:webHidden/>
          </w:rPr>
          <w:fldChar w:fldCharType="begin"/>
        </w:r>
        <w:r w:rsidR="00641258">
          <w:rPr>
            <w:webHidden/>
          </w:rPr>
          <w:instrText xml:space="preserve"> PAGEREF _Toc494212636 \h </w:instrText>
        </w:r>
        <w:r w:rsidR="00641258">
          <w:rPr>
            <w:webHidden/>
          </w:rPr>
        </w:r>
        <w:r w:rsidR="00641258">
          <w:rPr>
            <w:webHidden/>
          </w:rPr>
          <w:fldChar w:fldCharType="separate"/>
        </w:r>
        <w:r w:rsidR="00786D5E">
          <w:rPr>
            <w:webHidden/>
          </w:rPr>
          <w:t>23</w:t>
        </w:r>
        <w:r w:rsidR="00641258">
          <w:rPr>
            <w:webHidden/>
          </w:rPr>
          <w:fldChar w:fldCharType="end"/>
        </w:r>
      </w:hyperlink>
    </w:p>
    <w:p w14:paraId="0FD27F6F" w14:textId="3F5481A5" w:rsidR="00641258" w:rsidRDefault="00894B95" w:rsidP="004D18CC">
      <w:pPr>
        <w:pStyle w:val="TOC2"/>
        <w:rPr>
          <w:rFonts w:asciiTheme="minorHAnsi" w:eastAsiaTheme="minorEastAsia" w:hAnsiTheme="minorHAnsi" w:cstheme="minorBidi"/>
          <w:color w:val="auto"/>
          <w:szCs w:val="22"/>
        </w:rPr>
      </w:pPr>
      <w:hyperlink w:anchor="_Toc494212637" w:history="1">
        <w:r w:rsidR="00641258" w:rsidRPr="00450BC8">
          <w:rPr>
            <w:rStyle w:val="Hyperlink"/>
          </w:rPr>
          <w:t>8.</w:t>
        </w:r>
        <w:r w:rsidR="00641258">
          <w:rPr>
            <w:rFonts w:asciiTheme="minorHAnsi" w:eastAsiaTheme="minorEastAsia" w:hAnsiTheme="minorHAnsi" w:cstheme="minorBidi"/>
            <w:color w:val="auto"/>
            <w:szCs w:val="22"/>
          </w:rPr>
          <w:tab/>
        </w:r>
        <w:r w:rsidR="00641258" w:rsidRPr="00450BC8">
          <w:rPr>
            <w:rStyle w:val="Hyperlink"/>
          </w:rPr>
          <w:t>Targeting higher risk entities</w:t>
        </w:r>
        <w:r w:rsidR="00641258">
          <w:rPr>
            <w:webHidden/>
          </w:rPr>
          <w:tab/>
        </w:r>
        <w:r w:rsidR="00641258">
          <w:rPr>
            <w:webHidden/>
          </w:rPr>
          <w:fldChar w:fldCharType="begin"/>
        </w:r>
        <w:r w:rsidR="00641258">
          <w:rPr>
            <w:webHidden/>
          </w:rPr>
          <w:instrText xml:space="preserve"> PAGEREF _Toc494212637 \h </w:instrText>
        </w:r>
        <w:r w:rsidR="00641258">
          <w:rPr>
            <w:webHidden/>
          </w:rPr>
        </w:r>
        <w:r w:rsidR="00641258">
          <w:rPr>
            <w:webHidden/>
          </w:rPr>
          <w:fldChar w:fldCharType="separate"/>
        </w:r>
        <w:r w:rsidR="00786D5E">
          <w:rPr>
            <w:webHidden/>
          </w:rPr>
          <w:t>23</w:t>
        </w:r>
        <w:r w:rsidR="00641258">
          <w:rPr>
            <w:webHidden/>
          </w:rPr>
          <w:fldChar w:fldCharType="end"/>
        </w:r>
      </w:hyperlink>
    </w:p>
    <w:p w14:paraId="65BEF387" w14:textId="27FE6851" w:rsidR="00641258" w:rsidRDefault="00894B95" w:rsidP="004D18CC">
      <w:pPr>
        <w:pStyle w:val="TOC2"/>
        <w:rPr>
          <w:rFonts w:asciiTheme="minorHAnsi" w:eastAsiaTheme="minorEastAsia" w:hAnsiTheme="minorHAnsi" w:cstheme="minorBidi"/>
          <w:color w:val="auto"/>
          <w:szCs w:val="22"/>
        </w:rPr>
      </w:pPr>
      <w:hyperlink w:anchor="_Toc494212638" w:history="1">
        <w:r w:rsidR="00641258" w:rsidRPr="00450BC8">
          <w:rPr>
            <w:rStyle w:val="Hyperlink"/>
          </w:rPr>
          <w:t>9.</w:t>
        </w:r>
        <w:r w:rsidR="00641258">
          <w:rPr>
            <w:webHidden/>
          </w:rPr>
          <w:tab/>
        </w:r>
      </w:hyperlink>
      <w:hyperlink w:anchor="_Toc494212639" w:history="1">
        <w:r w:rsidR="00641258" w:rsidRPr="00450BC8">
          <w:rPr>
            <w:rStyle w:val="Hyperlink"/>
          </w:rPr>
          <w:t>Appointing liquidators on a cab rank basis</w:t>
        </w:r>
        <w:r w:rsidR="00641258">
          <w:rPr>
            <w:webHidden/>
          </w:rPr>
          <w:tab/>
        </w:r>
        <w:r w:rsidR="00641258">
          <w:rPr>
            <w:webHidden/>
          </w:rPr>
          <w:fldChar w:fldCharType="begin"/>
        </w:r>
        <w:r w:rsidR="00641258">
          <w:rPr>
            <w:webHidden/>
          </w:rPr>
          <w:instrText xml:space="preserve"> PAGEREF _Toc494212639 \h </w:instrText>
        </w:r>
        <w:r w:rsidR="00641258">
          <w:rPr>
            <w:webHidden/>
          </w:rPr>
        </w:r>
        <w:r w:rsidR="00641258">
          <w:rPr>
            <w:webHidden/>
          </w:rPr>
          <w:fldChar w:fldCharType="separate"/>
        </w:r>
        <w:r w:rsidR="00786D5E">
          <w:rPr>
            <w:webHidden/>
          </w:rPr>
          <w:t>26</w:t>
        </w:r>
        <w:r w:rsidR="00641258">
          <w:rPr>
            <w:webHidden/>
          </w:rPr>
          <w:fldChar w:fldCharType="end"/>
        </w:r>
      </w:hyperlink>
    </w:p>
    <w:p w14:paraId="0D612685" w14:textId="65F4A8F1" w:rsidR="00641258" w:rsidRDefault="00894B95" w:rsidP="004D18CC">
      <w:pPr>
        <w:pStyle w:val="TOC2"/>
        <w:rPr>
          <w:rFonts w:asciiTheme="minorHAnsi" w:eastAsiaTheme="minorEastAsia" w:hAnsiTheme="minorHAnsi" w:cstheme="minorBidi"/>
          <w:color w:val="auto"/>
          <w:szCs w:val="22"/>
        </w:rPr>
      </w:pPr>
      <w:hyperlink w:anchor="_Toc494212640" w:history="1">
        <w:r w:rsidR="00641258" w:rsidRPr="00450BC8">
          <w:rPr>
            <w:rStyle w:val="Hyperlink"/>
          </w:rPr>
          <w:t>10.</w:t>
        </w:r>
        <w:r w:rsidR="00641258">
          <w:rPr>
            <w:webHidden/>
          </w:rPr>
          <w:tab/>
        </w:r>
      </w:hyperlink>
      <w:hyperlink w:anchor="_Toc494212641" w:history="1">
        <w:r w:rsidR="00641258" w:rsidRPr="00450BC8">
          <w:rPr>
            <w:rStyle w:val="Hyperlink"/>
          </w:rPr>
          <w:t>Removing the 21 day waiting period for a DPN</w:t>
        </w:r>
        <w:r w:rsidR="00641258">
          <w:rPr>
            <w:webHidden/>
          </w:rPr>
          <w:tab/>
        </w:r>
        <w:r w:rsidR="00641258">
          <w:rPr>
            <w:webHidden/>
          </w:rPr>
          <w:fldChar w:fldCharType="begin"/>
        </w:r>
        <w:r w:rsidR="00641258">
          <w:rPr>
            <w:webHidden/>
          </w:rPr>
          <w:instrText xml:space="preserve"> PAGEREF _Toc494212641 \h </w:instrText>
        </w:r>
        <w:r w:rsidR="00641258">
          <w:rPr>
            <w:webHidden/>
          </w:rPr>
        </w:r>
        <w:r w:rsidR="00641258">
          <w:rPr>
            <w:webHidden/>
          </w:rPr>
          <w:fldChar w:fldCharType="separate"/>
        </w:r>
        <w:r w:rsidR="00786D5E">
          <w:rPr>
            <w:webHidden/>
          </w:rPr>
          <w:t>30</w:t>
        </w:r>
        <w:r w:rsidR="00641258">
          <w:rPr>
            <w:webHidden/>
          </w:rPr>
          <w:fldChar w:fldCharType="end"/>
        </w:r>
      </w:hyperlink>
    </w:p>
    <w:p w14:paraId="63BEDF37" w14:textId="76020442" w:rsidR="00641258" w:rsidRDefault="00894B95" w:rsidP="004D18CC">
      <w:pPr>
        <w:pStyle w:val="TOC2"/>
        <w:rPr>
          <w:rFonts w:asciiTheme="minorHAnsi" w:eastAsiaTheme="minorEastAsia" w:hAnsiTheme="minorHAnsi" w:cstheme="minorBidi"/>
          <w:color w:val="auto"/>
          <w:szCs w:val="22"/>
        </w:rPr>
      </w:pPr>
      <w:hyperlink w:anchor="_Toc494212642" w:history="1">
        <w:r w:rsidR="00641258" w:rsidRPr="00450BC8">
          <w:rPr>
            <w:rStyle w:val="Hyperlink"/>
          </w:rPr>
          <w:t>11.</w:t>
        </w:r>
        <w:r w:rsidR="00641258">
          <w:rPr>
            <w:webHidden/>
          </w:rPr>
          <w:tab/>
        </w:r>
      </w:hyperlink>
      <w:hyperlink w:anchor="_Toc494212643" w:history="1">
        <w:r w:rsidR="00641258" w:rsidRPr="00450BC8">
          <w:rPr>
            <w:rStyle w:val="Hyperlink"/>
          </w:rPr>
          <w:t>Providing the ATO with the power to retain refunds</w:t>
        </w:r>
        <w:r w:rsidR="00641258">
          <w:rPr>
            <w:webHidden/>
          </w:rPr>
          <w:tab/>
        </w:r>
        <w:r w:rsidR="00641258">
          <w:rPr>
            <w:webHidden/>
          </w:rPr>
          <w:fldChar w:fldCharType="begin"/>
        </w:r>
        <w:r w:rsidR="00641258">
          <w:rPr>
            <w:webHidden/>
          </w:rPr>
          <w:instrText xml:space="preserve"> PAGEREF _Toc494212643 \h </w:instrText>
        </w:r>
        <w:r w:rsidR="00641258">
          <w:rPr>
            <w:webHidden/>
          </w:rPr>
        </w:r>
        <w:r w:rsidR="00641258">
          <w:rPr>
            <w:webHidden/>
          </w:rPr>
          <w:fldChar w:fldCharType="separate"/>
        </w:r>
        <w:r w:rsidR="00786D5E">
          <w:rPr>
            <w:webHidden/>
          </w:rPr>
          <w:t>31</w:t>
        </w:r>
        <w:r w:rsidR="00641258">
          <w:rPr>
            <w:webHidden/>
          </w:rPr>
          <w:fldChar w:fldCharType="end"/>
        </w:r>
      </w:hyperlink>
    </w:p>
    <w:p w14:paraId="11550AED" w14:textId="5651FF4A" w:rsidR="000E0B74" w:rsidRDefault="00D350A9" w:rsidP="00656356">
      <w:pPr>
        <w:pStyle w:val="SingleParagraph"/>
        <w:tabs>
          <w:tab w:val="right" w:leader="dot" w:pos="9072"/>
        </w:tabs>
        <w:ind w:right="-2"/>
        <w:rPr>
          <w:noProof/>
          <w:color w:val="004A7F"/>
          <w:szCs w:val="22"/>
        </w:rPr>
      </w:pPr>
      <w:r>
        <w:rPr>
          <w:noProof/>
          <w:color w:val="004A7F"/>
          <w:szCs w:val="22"/>
        </w:rPr>
        <w:fldChar w:fldCharType="end"/>
      </w:r>
    </w:p>
    <w:p w14:paraId="079E309A" w14:textId="77777777" w:rsidR="00A7062E" w:rsidRPr="004D18CC" w:rsidRDefault="00A7062E" w:rsidP="004D18CC"/>
    <w:p w14:paraId="0738251D" w14:textId="77777777" w:rsidR="00A7062E" w:rsidRPr="004D18CC" w:rsidRDefault="00A7062E" w:rsidP="004D18CC"/>
    <w:p w14:paraId="4F30885D" w14:textId="77777777" w:rsidR="00A7062E" w:rsidRPr="004D18CC" w:rsidRDefault="00A7062E" w:rsidP="004D18CC">
      <w:pPr>
        <w:sectPr w:rsidR="00A7062E" w:rsidRPr="004D18CC" w:rsidSect="004D18CC">
          <w:footerReference w:type="first" r:id="rId28"/>
          <w:pgSz w:w="11906" w:h="16838" w:code="9"/>
          <w:pgMar w:top="1418" w:right="1418" w:bottom="1418" w:left="1418" w:header="709" w:footer="709" w:gutter="0"/>
          <w:pgNumType w:fmt="lowerRoman"/>
          <w:cols w:space="708"/>
          <w:titlePg/>
          <w:docGrid w:linePitch="360"/>
        </w:sectPr>
      </w:pPr>
    </w:p>
    <w:p w14:paraId="0690D0A9" w14:textId="77777777" w:rsidR="000E0B74" w:rsidRPr="004D18CC" w:rsidRDefault="000E0B74" w:rsidP="004D18CC">
      <w:pPr>
        <w:pStyle w:val="Heading1"/>
      </w:pPr>
      <w:bookmarkStart w:id="2" w:name="_Toc493772755"/>
      <w:bookmarkStart w:id="3" w:name="_Toc494212611"/>
      <w:bookmarkStart w:id="4" w:name="_Toc432067103"/>
      <w:r w:rsidRPr="004D18CC">
        <w:t>Consultation Process</w:t>
      </w:r>
      <w:bookmarkEnd w:id="2"/>
      <w:bookmarkEnd w:id="3"/>
    </w:p>
    <w:p w14:paraId="7CA19D76" w14:textId="77777777" w:rsidR="000E0B74" w:rsidRDefault="000E0B74" w:rsidP="004D18CC">
      <w:pPr>
        <w:pStyle w:val="Heading2"/>
      </w:pPr>
      <w:bookmarkStart w:id="5" w:name="_Toc493772756"/>
      <w:bookmarkStart w:id="6" w:name="_Toc494212612"/>
      <w:r>
        <w:t>Request for feedback and comments</w:t>
      </w:r>
      <w:bookmarkEnd w:id="5"/>
      <w:bookmarkEnd w:id="6"/>
    </w:p>
    <w:p w14:paraId="72E9AA97" w14:textId="2DB05C2C" w:rsidR="00A21DC9" w:rsidRDefault="00A21DC9" w:rsidP="004D18CC">
      <w:r>
        <w:t>The questions in this consultation paper aim to frame discussion however, they are not intended to limit consideration of related and relevant matters.</w:t>
      </w:r>
    </w:p>
    <w:p w14:paraId="04B43C73" w14:textId="61CCC1E0" w:rsidR="00A21DC9" w:rsidRDefault="00A21DC9" w:rsidP="004D18CC">
      <w:r>
        <w:t xml:space="preserve">Non-confidential submissions may be made available on the Treasury website. Submissions made in confidence will not be published. A request for access to a confidential submission will be determined in accordance with the </w:t>
      </w:r>
      <w:r w:rsidRPr="00770F35">
        <w:rPr>
          <w:i/>
        </w:rPr>
        <w:t>Freedom of Information Act 1982</w:t>
      </w:r>
      <w:r>
        <w:t xml:space="preserve"> (Cth).</w:t>
      </w:r>
    </w:p>
    <w:p w14:paraId="5F22AF4D" w14:textId="117FADC5" w:rsidR="000E0B74" w:rsidRDefault="00A21DC9" w:rsidP="004D18CC">
      <w:r>
        <w:t>In the absence of a clear indication that a submission is intended to be confidential, a submission will be treated as non-confidential.</w:t>
      </w:r>
    </w:p>
    <w:p w14:paraId="50AC0B57" w14:textId="671AE165" w:rsidR="000E0B74" w:rsidRPr="004D18CC" w:rsidRDefault="000E0B74" w:rsidP="004D18CC">
      <w:pPr>
        <w:pStyle w:val="Heading3noTOC"/>
      </w:pPr>
      <w:r w:rsidRPr="004D18CC">
        <w:t xml:space="preserve">Closing date for submissions: </w:t>
      </w:r>
      <w:sdt>
        <w:sdtPr>
          <w:rPr>
            <w:rStyle w:val="Heading3Char"/>
            <w:rFonts w:cs="Calibri"/>
          </w:rPr>
          <w:id w:val="1454836312"/>
          <w:placeholder>
            <w:docPart w:val="1B903A4E222D45E1ABC2387D34D238C6"/>
          </w:placeholder>
          <w:date w:fullDate="2017-10-27T00:00:00Z">
            <w:dateFormat w:val="dd MMMM yyyy"/>
            <w:lid w:val="en-AU"/>
            <w:storeMappedDataAs w:val="dateTime"/>
            <w:calendar w:val="gregorian"/>
          </w:date>
        </w:sdtPr>
        <w:sdtEndPr>
          <w:rPr>
            <w:rStyle w:val="DefaultParagraphFont"/>
            <w:b/>
          </w:rPr>
        </w:sdtEndPr>
        <w:sdtContent>
          <w:r w:rsidR="00846EEF" w:rsidRPr="00846EEF">
            <w:rPr>
              <w:rStyle w:val="Heading3Char"/>
              <w:rFonts w:cs="Calibri"/>
            </w:rPr>
            <w:t>27 October 2017</w:t>
          </w:r>
        </w:sdtContent>
      </w:sdt>
    </w:p>
    <w:tbl>
      <w:tblPr>
        <w:tblStyle w:val="TableGrid"/>
        <w:tblW w:w="0" w:type="auto"/>
        <w:tblLook w:val="04A0" w:firstRow="1" w:lastRow="0" w:firstColumn="1" w:lastColumn="0" w:noHBand="0" w:noVBand="1"/>
      </w:tblPr>
      <w:tblGrid>
        <w:gridCol w:w="1526"/>
        <w:gridCol w:w="7544"/>
      </w:tblGrid>
      <w:tr w:rsidR="000E0B74" w14:paraId="7779654B" w14:textId="77777777" w:rsidTr="004D18CC">
        <w:tc>
          <w:tcPr>
            <w:tcW w:w="1526" w:type="dxa"/>
            <w:shd w:val="clear" w:color="auto" w:fill="auto"/>
          </w:tcPr>
          <w:p w14:paraId="733BF7CC" w14:textId="77777777" w:rsidR="000E0B74" w:rsidRPr="004D18CC" w:rsidRDefault="000E0B74" w:rsidP="0017089D">
            <w:pPr>
              <w:rPr>
                <w:b/>
              </w:rPr>
            </w:pPr>
            <w:r w:rsidRPr="004D18CC">
              <w:rPr>
                <w:b/>
              </w:rPr>
              <w:t>Email</w:t>
            </w:r>
          </w:p>
        </w:tc>
        <w:tc>
          <w:tcPr>
            <w:tcW w:w="7544" w:type="dxa"/>
            <w:shd w:val="clear" w:color="auto" w:fill="auto"/>
          </w:tcPr>
          <w:p w14:paraId="5E9E3C3A" w14:textId="6EEE0EEC" w:rsidR="000E0B74" w:rsidRPr="004D18CC" w:rsidRDefault="00894B95" w:rsidP="004D18CC">
            <w:pPr>
              <w:jc w:val="left"/>
              <w:rPr>
                <w:rStyle w:val="Hyperlink"/>
              </w:rPr>
            </w:pPr>
            <w:hyperlink r:id="rId29" w:history="1">
              <w:r w:rsidR="00AA2574" w:rsidRPr="004D18CC">
                <w:rPr>
                  <w:rStyle w:val="Hyperlink"/>
                </w:rPr>
                <w:t>phoenixing@treasury.gov.au</w:t>
              </w:r>
            </w:hyperlink>
          </w:p>
        </w:tc>
      </w:tr>
      <w:tr w:rsidR="000E0B74" w14:paraId="47354F18" w14:textId="77777777" w:rsidTr="004D18CC">
        <w:tc>
          <w:tcPr>
            <w:tcW w:w="1526" w:type="dxa"/>
            <w:shd w:val="clear" w:color="auto" w:fill="auto"/>
          </w:tcPr>
          <w:p w14:paraId="072FE17D" w14:textId="77777777" w:rsidR="000E0B74" w:rsidRPr="004D18CC" w:rsidRDefault="000E0B74" w:rsidP="0017089D">
            <w:pPr>
              <w:rPr>
                <w:b/>
              </w:rPr>
            </w:pPr>
            <w:r w:rsidRPr="004D18CC">
              <w:rPr>
                <w:b/>
              </w:rPr>
              <w:t>Mail</w:t>
            </w:r>
          </w:p>
          <w:p w14:paraId="52EA39D2" w14:textId="77777777" w:rsidR="008D7F38" w:rsidRPr="004D18CC" w:rsidRDefault="008D7F38" w:rsidP="0017089D">
            <w:pPr>
              <w:rPr>
                <w:b/>
              </w:rPr>
            </w:pPr>
          </w:p>
          <w:p w14:paraId="7EB91D14" w14:textId="77777777" w:rsidR="008D7F38" w:rsidRPr="004D18CC" w:rsidRDefault="008D7F38" w:rsidP="0017089D">
            <w:pPr>
              <w:rPr>
                <w:b/>
              </w:rPr>
            </w:pPr>
          </w:p>
        </w:tc>
        <w:tc>
          <w:tcPr>
            <w:tcW w:w="7544" w:type="dxa"/>
            <w:shd w:val="clear" w:color="auto" w:fill="auto"/>
          </w:tcPr>
          <w:p w14:paraId="29A8AE59" w14:textId="18E2A051" w:rsidR="000E0B74" w:rsidRDefault="00AA2574" w:rsidP="004D18CC">
            <w:pPr>
              <w:jc w:val="left"/>
            </w:pPr>
            <w:r>
              <w:t>James Mason</w:t>
            </w:r>
            <w:r w:rsidR="00A7062E">
              <w:br/>
            </w:r>
            <w:r>
              <w:t>Financial System Division</w:t>
            </w:r>
            <w:r w:rsidR="00A7062E">
              <w:br/>
            </w:r>
            <w:r w:rsidR="000E0B74">
              <w:t>The Treasury</w:t>
            </w:r>
            <w:r w:rsidR="00A7062E">
              <w:br/>
            </w:r>
            <w:r w:rsidR="000E0B74">
              <w:t>Langton Crescent</w:t>
            </w:r>
            <w:r w:rsidR="00A7062E">
              <w:br/>
            </w:r>
            <w:r w:rsidR="000E0B74">
              <w:t>PARKES ACT 2600</w:t>
            </w:r>
          </w:p>
        </w:tc>
      </w:tr>
      <w:tr w:rsidR="000E0B74" w14:paraId="407E1C02" w14:textId="77777777" w:rsidTr="004D18CC">
        <w:tc>
          <w:tcPr>
            <w:tcW w:w="1526" w:type="dxa"/>
            <w:shd w:val="clear" w:color="auto" w:fill="auto"/>
          </w:tcPr>
          <w:p w14:paraId="63281F7D" w14:textId="77777777" w:rsidR="000E0B74" w:rsidRPr="004D18CC" w:rsidRDefault="000E0B74" w:rsidP="0017089D">
            <w:pPr>
              <w:rPr>
                <w:b/>
              </w:rPr>
            </w:pPr>
            <w:r w:rsidRPr="004D18CC">
              <w:rPr>
                <w:b/>
              </w:rPr>
              <w:t>Enquiries</w:t>
            </w:r>
          </w:p>
        </w:tc>
        <w:tc>
          <w:tcPr>
            <w:tcW w:w="7544" w:type="dxa"/>
            <w:shd w:val="clear" w:color="auto" w:fill="auto"/>
          </w:tcPr>
          <w:p w14:paraId="154CDB19" w14:textId="188012DB" w:rsidR="000E0B74" w:rsidRDefault="000E0B74" w:rsidP="004D18CC">
            <w:pPr>
              <w:jc w:val="left"/>
            </w:pPr>
            <w:r>
              <w:t xml:space="preserve">Enquiries can be initially directed to </w:t>
            </w:r>
            <w:r w:rsidR="00AA2574">
              <w:t>James Mason.</w:t>
            </w:r>
          </w:p>
        </w:tc>
      </w:tr>
      <w:tr w:rsidR="000E0B74" w14:paraId="12F292F9" w14:textId="77777777" w:rsidTr="004D18CC">
        <w:tc>
          <w:tcPr>
            <w:tcW w:w="1526" w:type="dxa"/>
            <w:shd w:val="clear" w:color="auto" w:fill="auto"/>
          </w:tcPr>
          <w:p w14:paraId="41054EF8" w14:textId="77777777" w:rsidR="000E0B74" w:rsidRPr="004D18CC" w:rsidRDefault="000E0B74" w:rsidP="0017089D">
            <w:pPr>
              <w:rPr>
                <w:b/>
              </w:rPr>
            </w:pPr>
            <w:r w:rsidRPr="004D18CC">
              <w:rPr>
                <w:b/>
              </w:rPr>
              <w:t>Phone</w:t>
            </w:r>
          </w:p>
        </w:tc>
        <w:tc>
          <w:tcPr>
            <w:tcW w:w="7544" w:type="dxa"/>
            <w:shd w:val="clear" w:color="auto" w:fill="auto"/>
          </w:tcPr>
          <w:p w14:paraId="03B35C8F" w14:textId="5316C211" w:rsidR="000E0B74" w:rsidRDefault="004654E3" w:rsidP="004D18CC">
            <w:pPr>
              <w:jc w:val="left"/>
            </w:pPr>
            <w:r>
              <w:t>(</w:t>
            </w:r>
            <w:r w:rsidR="000E0B74">
              <w:t>02</w:t>
            </w:r>
            <w:r>
              <w:t>)</w:t>
            </w:r>
            <w:r w:rsidR="000E0B74">
              <w:t xml:space="preserve"> 6263 </w:t>
            </w:r>
            <w:r w:rsidR="00AA2574">
              <w:t>4405.</w:t>
            </w:r>
          </w:p>
        </w:tc>
      </w:tr>
    </w:tbl>
    <w:bookmarkEnd w:id="4"/>
    <w:p w14:paraId="4D13D46B" w14:textId="77777777" w:rsidR="006E48F0" w:rsidRDefault="006E48F0" w:rsidP="004D18CC">
      <w:r>
        <w:t>The principles outlined in this paper have not received Government approval and are not yet law. As a consequence, this paper is merely a guide as to how the principles might operate.</w:t>
      </w:r>
    </w:p>
    <w:p w14:paraId="4E5CAC5D" w14:textId="77777777" w:rsidR="008D7F38" w:rsidRPr="008D7F38" w:rsidRDefault="008D7F38" w:rsidP="008D7F38"/>
    <w:p w14:paraId="485B261C" w14:textId="77777777" w:rsidR="00A7062E" w:rsidRDefault="00A7062E">
      <w:pPr>
        <w:spacing w:after="160" w:line="259" w:lineRule="auto"/>
      </w:pPr>
    </w:p>
    <w:p w14:paraId="6BD95FF1" w14:textId="77777777" w:rsidR="00A7062E" w:rsidRDefault="00A7062E">
      <w:pPr>
        <w:spacing w:after="160" w:line="259" w:lineRule="auto"/>
        <w:sectPr w:rsidR="00A7062E" w:rsidSect="004D18CC">
          <w:footerReference w:type="first" r:id="rId30"/>
          <w:pgSz w:w="11906" w:h="16838" w:code="9"/>
          <w:pgMar w:top="1418" w:right="1418" w:bottom="1418" w:left="1418" w:header="709" w:footer="709" w:gutter="0"/>
          <w:cols w:space="708"/>
          <w:titlePg/>
          <w:docGrid w:linePitch="360"/>
        </w:sectPr>
      </w:pPr>
    </w:p>
    <w:p w14:paraId="7977F593" w14:textId="007C7680" w:rsidR="0098383C" w:rsidRDefault="0098383C" w:rsidP="004D18CC">
      <w:pPr>
        <w:pStyle w:val="Heading1"/>
      </w:pPr>
      <w:bookmarkStart w:id="7" w:name="_Toc493772757"/>
      <w:bookmarkStart w:id="8" w:name="_Toc494212613"/>
      <w:bookmarkStart w:id="9" w:name="_Toc306887371"/>
      <w:bookmarkStart w:id="10" w:name="_Toc432064635"/>
      <w:r>
        <w:t>Foreword</w:t>
      </w:r>
      <w:bookmarkEnd w:id="7"/>
      <w:bookmarkEnd w:id="8"/>
    </w:p>
    <w:p w14:paraId="79480B8E" w14:textId="16DFFC66" w:rsidR="005F1987" w:rsidRPr="000D35A8" w:rsidRDefault="00DC3AFE" w:rsidP="004D18CC">
      <w:pPr>
        <w:pStyle w:val="Normal-Foreward"/>
      </w:pPr>
      <w:r w:rsidRPr="000D35A8">
        <w:rPr>
          <w:noProof/>
          <w:color w:val="000000"/>
        </w:rPr>
        <w:drawing>
          <wp:anchor distT="0" distB="0" distL="114300" distR="114300" simplePos="0" relativeHeight="251658752" behindDoc="0" locked="0" layoutInCell="1" allowOverlap="1" wp14:anchorId="2D01F12D" wp14:editId="412FDC2D">
            <wp:simplePos x="0" y="0"/>
            <wp:positionH relativeFrom="column">
              <wp:posOffset>13970</wp:posOffset>
            </wp:positionH>
            <wp:positionV relativeFrom="paragraph">
              <wp:posOffset>61595</wp:posOffset>
            </wp:positionV>
            <wp:extent cx="1538605" cy="1707515"/>
            <wp:effectExtent l="0" t="0" r="4445" b="6985"/>
            <wp:wrapSquare wrapText="bothSides"/>
            <wp:docPr id="4" name="Picture 4" descr="Photo of the Minister for Revenue and Financial Services - Kelly O'Dwyer MP." title="Photo of Min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gins - kelly odwyer - 160503.jpg"/>
                    <pic:cNvPicPr/>
                  </pic:nvPicPr>
                  <pic:blipFill rotWithShape="1">
                    <a:blip r:embed="rId31" cstate="print">
                      <a:extLst>
                        <a:ext uri="{28A0092B-C50C-407E-A947-70E740481C1C}">
                          <a14:useLocalDpi xmlns:a14="http://schemas.microsoft.com/office/drawing/2010/main" val="0"/>
                        </a:ext>
                      </a:extLst>
                    </a:blip>
                    <a:srcRect l="5466" r="3281"/>
                    <a:stretch/>
                  </pic:blipFill>
                  <pic:spPr bwMode="auto">
                    <a:xfrm>
                      <a:off x="0" y="0"/>
                      <a:ext cx="1538605" cy="1707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CC0" w:rsidRPr="000D35A8">
        <w:t>Phoenixing</w:t>
      </w:r>
      <w:r w:rsidR="00470BE8">
        <w:t xml:space="preserve"> involves</w:t>
      </w:r>
      <w:r w:rsidR="00A30CC0" w:rsidRPr="000D35A8">
        <w:t xml:space="preserve"> the stripping and transfer of assets from </w:t>
      </w:r>
      <w:r w:rsidR="00A7062E" w:rsidRPr="000D35A8">
        <w:t>one</w:t>
      </w:r>
      <w:r w:rsidR="00A7062E">
        <w:t> </w:t>
      </w:r>
      <w:r w:rsidR="00A30CC0" w:rsidRPr="000D35A8">
        <w:t>company to another to avoid paying liabilities</w:t>
      </w:r>
      <w:r w:rsidR="00470BE8">
        <w:t xml:space="preserve">. </w:t>
      </w:r>
      <w:r w:rsidR="00A30CC0" w:rsidRPr="000D35A8">
        <w:t>It hurts all Australians, including employees, creditors, competing businesses and taxpayers</w:t>
      </w:r>
      <w:r w:rsidR="00470BE8">
        <w:t xml:space="preserve">, and </w:t>
      </w:r>
      <w:r w:rsidR="00470BE8" w:rsidRPr="00470BE8">
        <w:t>has been a problem for successive governments over many decades</w:t>
      </w:r>
      <w:r w:rsidR="00A30CC0" w:rsidRPr="000D35A8">
        <w:t>.</w:t>
      </w:r>
    </w:p>
    <w:p w14:paraId="45D75D6D" w14:textId="7C0D9735" w:rsidR="000B3202" w:rsidRPr="000D35A8" w:rsidRDefault="000B3202" w:rsidP="004D18CC">
      <w:pPr>
        <w:pStyle w:val="Normal-Foreward"/>
        <w:rPr>
          <w:i/>
        </w:rPr>
      </w:pPr>
      <w:r w:rsidRPr="000D35A8">
        <w:t>Phoenixing has a significant financial impact – in 2012</w:t>
      </w:r>
      <w:r w:rsidR="007F083D">
        <w:t xml:space="preserve">, the </w:t>
      </w:r>
      <w:r w:rsidR="00A7062E">
        <w:t>Fair </w:t>
      </w:r>
      <w:r w:rsidR="007F083D">
        <w:t>Work Ombudsman and</w:t>
      </w:r>
      <w:r w:rsidRPr="000D35A8">
        <w:t xml:space="preserve"> PwC estimated the cost of phoenixing to the Australian economy to be as high as $3.2 billion annually.</w:t>
      </w:r>
      <w:r w:rsidR="003E5328">
        <w:t xml:space="preserve"> </w:t>
      </w:r>
      <w:r w:rsidR="00A7062E">
        <w:t>I</w:t>
      </w:r>
      <w:r w:rsidR="00A7062E" w:rsidRPr="000D35A8">
        <w:t>t</w:t>
      </w:r>
      <w:r w:rsidR="00A7062E">
        <w:t> </w:t>
      </w:r>
      <w:r w:rsidRPr="000D35A8">
        <w:t>also undermines business</w:t>
      </w:r>
      <w:r w:rsidR="00441327">
        <w:t>’</w:t>
      </w:r>
      <w:r w:rsidRPr="000D35A8">
        <w:t xml:space="preserve"> and </w:t>
      </w:r>
      <w:r w:rsidR="003E5328">
        <w:t xml:space="preserve">the </w:t>
      </w:r>
      <w:r w:rsidRPr="000D35A8">
        <w:t>public</w:t>
      </w:r>
      <w:r w:rsidR="003E5328">
        <w:t>’s</w:t>
      </w:r>
      <w:r w:rsidRPr="000D35A8">
        <w:t xml:space="preserve"> confidence in the corporate and insolvency sectors and the broader economy.</w:t>
      </w:r>
    </w:p>
    <w:p w14:paraId="33BE36A7" w14:textId="753B7A4A" w:rsidR="00A7782A" w:rsidRPr="000D35A8" w:rsidRDefault="00A7782A" w:rsidP="004D18CC">
      <w:pPr>
        <w:pStyle w:val="Normal-Foreward"/>
      </w:pPr>
      <w:r w:rsidRPr="000D35A8">
        <w:t>C</w:t>
      </w:r>
      <w:r w:rsidR="00DA34F4" w:rsidRPr="000D35A8">
        <w:t xml:space="preserve">ompanies </w:t>
      </w:r>
      <w:r w:rsidRPr="000D35A8">
        <w:t>fail for many</w:t>
      </w:r>
      <w:r w:rsidR="00DA34F4" w:rsidRPr="000D35A8">
        <w:t xml:space="preserve"> different reasons, and it can be difficult to distinguish between those who are engaging in illegal phoenix activity and </w:t>
      </w:r>
      <w:r w:rsidR="00470BE8">
        <w:t>those</w:t>
      </w:r>
      <w:r w:rsidR="00DA34F4" w:rsidRPr="000D35A8">
        <w:t xml:space="preserve"> who are simply involved in a failed company. </w:t>
      </w:r>
      <w:r w:rsidR="003E5328">
        <w:t xml:space="preserve"> We are committed to helping honest and diligent entrepreneurs who drive Australia’s productivity, but we won’t tolerate those who misuse the corporate f</w:t>
      </w:r>
      <w:r w:rsidR="00470BE8">
        <w:t>o</w:t>
      </w:r>
      <w:r w:rsidR="004B79F8">
        <w:t xml:space="preserve">rm, to defeat creditors and rip </w:t>
      </w:r>
      <w:r w:rsidR="00470BE8">
        <w:t>off all Australians</w:t>
      </w:r>
      <w:r w:rsidR="003E5328">
        <w:t>.</w:t>
      </w:r>
    </w:p>
    <w:p w14:paraId="4F180CE9" w14:textId="009207A8" w:rsidR="000B3202" w:rsidRPr="000D35A8" w:rsidRDefault="00DA34F4" w:rsidP="004D18CC">
      <w:pPr>
        <w:pStyle w:val="Normal-Foreward"/>
      </w:pPr>
      <w:r w:rsidRPr="000D35A8">
        <w:t xml:space="preserve">Phoenixing behaviour is becoming increasingly sophisticated and difficult to detect and </w:t>
      </w:r>
      <w:r w:rsidR="00470BE8">
        <w:t>deter</w:t>
      </w:r>
      <w:r w:rsidRPr="000D35A8">
        <w:t xml:space="preserve"> </w:t>
      </w:r>
      <w:r w:rsidR="003E5328">
        <w:t>with</w:t>
      </w:r>
      <w:r w:rsidR="00470BE8">
        <w:t>in</w:t>
      </w:r>
      <w:r w:rsidR="003E5328">
        <w:t xml:space="preserve"> the existing legal and regulatory </w:t>
      </w:r>
      <w:r w:rsidR="00470BE8">
        <w:t>framework</w:t>
      </w:r>
      <w:r w:rsidRPr="000D35A8">
        <w:t>.</w:t>
      </w:r>
    </w:p>
    <w:p w14:paraId="6F80227F" w14:textId="1367FB38" w:rsidR="00E82664" w:rsidRPr="000D35A8" w:rsidRDefault="00E31253" w:rsidP="004D18CC">
      <w:pPr>
        <w:pStyle w:val="Normal-Foreward"/>
      </w:pPr>
      <w:r w:rsidRPr="000D35A8">
        <w:t>To address th</w:t>
      </w:r>
      <w:r w:rsidR="00F326BC">
        <w:t>is</w:t>
      </w:r>
      <w:r w:rsidRPr="000D35A8">
        <w:t>, the Government is consulting on options for implementing a range of measures to deter and disrupt the core behaviours of phoenix operators, including non-directors such as facilitators and advisers.</w:t>
      </w:r>
      <w:r w:rsidR="003E5328">
        <w:t xml:space="preserve"> </w:t>
      </w:r>
      <w:r w:rsidR="00484A28">
        <w:t xml:space="preserve">These are based on the recommendations of the Government’s Phoenix Taskforce. </w:t>
      </w:r>
      <w:r w:rsidR="00E82664" w:rsidRPr="000D35A8">
        <w:t>The Government recognises the need for carefully targeted reforms which minimise any impact on legitimate business</w:t>
      </w:r>
      <w:r w:rsidR="00F326BC">
        <w:t xml:space="preserve"> activities</w:t>
      </w:r>
      <w:r w:rsidR="00E82664" w:rsidRPr="000D35A8">
        <w:t xml:space="preserve"> and honest business restructuring.</w:t>
      </w:r>
    </w:p>
    <w:p w14:paraId="18C917D0" w14:textId="76CC229B" w:rsidR="007675B0" w:rsidRPr="000D35A8" w:rsidRDefault="004B7FFB" w:rsidP="004D18CC">
      <w:pPr>
        <w:pStyle w:val="Normal-Foreward"/>
      </w:pPr>
      <w:r w:rsidRPr="000D35A8">
        <w:t>The</w:t>
      </w:r>
      <w:r w:rsidR="003E5328">
        <w:t xml:space="preserve">se </w:t>
      </w:r>
      <w:r w:rsidR="007675B0" w:rsidRPr="000D35A8">
        <w:t xml:space="preserve">reforms </w:t>
      </w:r>
      <w:r w:rsidR="00A54344" w:rsidRPr="000D35A8">
        <w:t>will</w:t>
      </w:r>
      <w:r w:rsidR="007675B0" w:rsidRPr="000D35A8">
        <w:t xml:space="preserve"> complement other Government action</w:t>
      </w:r>
      <w:r w:rsidR="00484A28">
        <w:t xml:space="preserve"> we have already taken</w:t>
      </w:r>
      <w:r w:rsidR="007675B0" w:rsidRPr="000D35A8">
        <w:t>, including:</w:t>
      </w:r>
    </w:p>
    <w:p w14:paraId="75A34E6A" w14:textId="7C959CDD" w:rsidR="007675B0" w:rsidRPr="004D18CC" w:rsidRDefault="007675B0" w:rsidP="004D18CC">
      <w:pPr>
        <w:pStyle w:val="Bullet-Foreward"/>
      </w:pPr>
      <w:r w:rsidRPr="004D18CC">
        <w:t>instituting the Phoenix, Black Economy and Serious Financial Crime Taskforces;</w:t>
      </w:r>
    </w:p>
    <w:p w14:paraId="15044022" w14:textId="12AFCC83" w:rsidR="007675B0" w:rsidRDefault="007675B0" w:rsidP="004D18CC">
      <w:pPr>
        <w:pStyle w:val="Bullet-Foreward"/>
      </w:pPr>
      <w:r w:rsidRPr="004D18CC">
        <w:t>strengthening disciplinary rules for insolvency practitioners;</w:t>
      </w:r>
    </w:p>
    <w:p w14:paraId="4DF69E1F" w14:textId="45E87549" w:rsidR="00470BE8" w:rsidRDefault="005A0006" w:rsidP="004D18CC">
      <w:pPr>
        <w:pStyle w:val="Bullet-Foreward"/>
      </w:pPr>
      <w:r>
        <w:t>legislating to</w:t>
      </w:r>
      <w:r w:rsidR="00470BE8">
        <w:t xml:space="preserve"> improve information sharing between key regulatory agencies;</w:t>
      </w:r>
    </w:p>
    <w:p w14:paraId="2CCC9369" w14:textId="3DAB2E8C" w:rsidR="00470BE8" w:rsidRPr="004D18CC" w:rsidRDefault="00470BE8">
      <w:pPr>
        <w:pStyle w:val="Bullet-Foreward"/>
      </w:pPr>
      <w:r>
        <w:t>reviewing and enhancing ASIC’s powers and enforcement tools;</w:t>
      </w:r>
    </w:p>
    <w:p w14:paraId="18158B3B" w14:textId="2361D060" w:rsidR="007675B0" w:rsidRPr="004D18CC" w:rsidRDefault="007675B0" w:rsidP="004D18CC">
      <w:pPr>
        <w:pStyle w:val="Bullet-Foreward"/>
      </w:pPr>
      <w:r w:rsidRPr="004D18CC">
        <w:t xml:space="preserve">consulting on law reform initiatives to curb the excessive drain on the taxpayer funded </w:t>
      </w:r>
      <w:r w:rsidR="00A7062E" w:rsidRPr="004D18CC">
        <w:t>Fair</w:t>
      </w:r>
      <w:r w:rsidR="00A7062E">
        <w:t> </w:t>
      </w:r>
      <w:r w:rsidRPr="004D18CC">
        <w:t>Entitlement Guarantee scheme, which covers employees’ entitlements left outstanding as a result of failed business enterprises;</w:t>
      </w:r>
    </w:p>
    <w:p w14:paraId="0D8B1EE5" w14:textId="4E4B31B4" w:rsidR="007675B0" w:rsidRDefault="007675B0" w:rsidP="004D18CC">
      <w:pPr>
        <w:pStyle w:val="Bullet-Foreward"/>
      </w:pPr>
      <w:r w:rsidRPr="004D18CC">
        <w:t>improving the collection of GST on</w:t>
      </w:r>
      <w:r w:rsidR="00470BE8">
        <w:t xml:space="preserve"> new residential premises and residential subdivision</w:t>
      </w:r>
      <w:r w:rsidRPr="004D18CC">
        <w:t xml:space="preserve"> transactions from 1 July 2018</w:t>
      </w:r>
      <w:r w:rsidR="005F525A">
        <w:t>;</w:t>
      </w:r>
    </w:p>
    <w:p w14:paraId="693D5926" w14:textId="23A6B22A" w:rsidR="00470BE8" w:rsidRDefault="00470BE8" w:rsidP="004D18CC">
      <w:pPr>
        <w:pStyle w:val="Bullet-Foreward"/>
      </w:pPr>
      <w:r>
        <w:t>p</w:t>
      </w:r>
      <w:r w:rsidR="00491A31">
        <w:t>hasing in near real-</w:t>
      </w:r>
      <w:r>
        <w:t xml:space="preserve">time reporting by employers of payroll and superannuation information to the ATO through the single touch payroll reporting </w:t>
      </w:r>
      <w:r w:rsidR="00283E16">
        <w:t>framework</w:t>
      </w:r>
      <w:r>
        <w:t xml:space="preserve">, giving the ATO improved </w:t>
      </w:r>
      <w:r w:rsidR="00283E16">
        <w:t>visibility</w:t>
      </w:r>
      <w:r>
        <w:t xml:space="preserve"> over employers’ compliance with their tax obligations including the superannuation guarantee;</w:t>
      </w:r>
    </w:p>
    <w:p w14:paraId="07FE79F7" w14:textId="2DD33C28" w:rsidR="00470BE8" w:rsidRDefault="00470BE8" w:rsidP="004D18CC">
      <w:pPr>
        <w:pStyle w:val="Bullet-Foreward"/>
      </w:pPr>
      <w:r>
        <w:t>consulting on a register of beneficial ownership for companies, to be made available to key regulators for enforcement purposes; and</w:t>
      </w:r>
    </w:p>
    <w:p w14:paraId="5B89ACD8" w14:textId="6F2F61EC" w:rsidR="00470BE8" w:rsidRPr="004D18CC" w:rsidRDefault="00470BE8" w:rsidP="004D18CC">
      <w:pPr>
        <w:pStyle w:val="Bullet-Foreward"/>
      </w:pPr>
      <w:r>
        <w:t>developing and improving legislation to encourage and protect whistleblowers.</w:t>
      </w:r>
    </w:p>
    <w:p w14:paraId="4372A6EE" w14:textId="7A83C7B1" w:rsidR="00E31253" w:rsidRPr="000D35A8" w:rsidRDefault="00E31253" w:rsidP="004D18CC">
      <w:pPr>
        <w:pStyle w:val="Normal-Foreward"/>
      </w:pPr>
      <w:r w:rsidRPr="000D35A8">
        <w:t xml:space="preserve">As part of its anti-phoenixing agenda, the Government </w:t>
      </w:r>
      <w:r w:rsidR="00484A28">
        <w:t>is engaging with key stakeholders</w:t>
      </w:r>
      <w:r w:rsidRPr="000D35A8">
        <w:t xml:space="preserve"> on the introduction of a Director Identification Number (DIN). A DIN will allow enforcement agencies to verify and track the current and historical relationships between directors and the entities they are associated with.</w:t>
      </w:r>
    </w:p>
    <w:p w14:paraId="47486618" w14:textId="77777777" w:rsidR="0098383C" w:rsidRPr="004D18CC" w:rsidRDefault="00E31253" w:rsidP="004D18CC">
      <w:pPr>
        <w:pStyle w:val="Normal-Foreward"/>
        <w:rPr>
          <w:color w:val="1F497D"/>
          <w:sz w:val="20"/>
        </w:rPr>
      </w:pPr>
      <w:r w:rsidRPr="000D35A8">
        <w:t xml:space="preserve">The Government seeks your views on the options for </w:t>
      </w:r>
      <w:r w:rsidR="00484A28">
        <w:t>law</w:t>
      </w:r>
      <w:r w:rsidRPr="000D35A8">
        <w:t xml:space="preserve"> reform outlined in this paper and encourages you to participate in the consultation process.</w:t>
      </w:r>
    </w:p>
    <w:p w14:paraId="0B1D2E62" w14:textId="4CEDC2AF" w:rsidR="0098383C" w:rsidRPr="0098383C" w:rsidRDefault="0098383C" w:rsidP="004D18CC">
      <w:pPr>
        <w:pStyle w:val="TableGraphic"/>
        <w:spacing w:after="120"/>
        <w:rPr>
          <w:sz w:val="48"/>
        </w:rPr>
      </w:pPr>
      <w:r w:rsidRPr="0098383C">
        <w:rPr>
          <w:noProof/>
        </w:rPr>
        <w:drawing>
          <wp:inline distT="0" distB="0" distL="0" distR="0" wp14:anchorId="196EDEA4" wp14:editId="1449A6A1">
            <wp:extent cx="1404000" cy="667949"/>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 Odwyer_Signature.tif"/>
                    <pic:cNvPicPr/>
                  </pic:nvPicPr>
                  <pic:blipFill rotWithShape="1">
                    <a:blip r:embed="rId32" cstate="print">
                      <a:extLst>
                        <a:ext uri="{28A0092B-C50C-407E-A947-70E740481C1C}">
                          <a14:useLocalDpi xmlns:a14="http://schemas.microsoft.com/office/drawing/2010/main" val="0"/>
                        </a:ext>
                      </a:extLst>
                    </a:blip>
                    <a:srcRect l="4623" t="12286" r="3596" b="13129"/>
                    <a:stretch/>
                  </pic:blipFill>
                  <pic:spPr bwMode="auto">
                    <a:xfrm>
                      <a:off x="0" y="0"/>
                      <a:ext cx="1404000" cy="667949"/>
                    </a:xfrm>
                    <a:prstGeom prst="rect">
                      <a:avLst/>
                    </a:prstGeom>
                    <a:ln>
                      <a:noFill/>
                    </a:ln>
                    <a:extLst>
                      <a:ext uri="{53640926-AAD7-44D8-BBD7-CCE9431645EC}">
                        <a14:shadowObscured xmlns:a14="http://schemas.microsoft.com/office/drawing/2010/main"/>
                      </a:ext>
                    </a:extLst>
                  </pic:spPr>
                </pic:pic>
              </a:graphicData>
            </a:graphic>
          </wp:inline>
        </w:drawing>
      </w:r>
    </w:p>
    <w:p w14:paraId="79890AC3" w14:textId="74D0CD1B" w:rsidR="0098383C" w:rsidRPr="000D35A8" w:rsidRDefault="0098383C" w:rsidP="004D18CC">
      <w:pPr>
        <w:pStyle w:val="Normal-Foreward"/>
        <w:spacing w:after="0"/>
        <w:jc w:val="left"/>
        <w:sectPr w:rsidR="0098383C" w:rsidRPr="000D35A8" w:rsidSect="004D18CC">
          <w:footerReference w:type="first" r:id="rId33"/>
          <w:type w:val="oddPage"/>
          <w:pgSz w:w="11906" w:h="16838" w:code="9"/>
          <w:pgMar w:top="1418" w:right="1418" w:bottom="1418" w:left="1418" w:header="709" w:footer="709" w:gutter="0"/>
          <w:cols w:space="708"/>
          <w:titlePg/>
          <w:docGrid w:linePitch="360"/>
        </w:sectPr>
      </w:pPr>
      <w:r w:rsidRPr="000D35A8">
        <w:t>The Hon Kelly O’Dwyer MP</w:t>
      </w:r>
      <w:r w:rsidRPr="000D35A8">
        <w:br/>
        <w:t>Minister for Revenue and Financial Services</w:t>
      </w:r>
    </w:p>
    <w:p w14:paraId="54269B46" w14:textId="759BA0FC" w:rsidR="00883AC0" w:rsidRDefault="00883AC0" w:rsidP="004D18CC">
      <w:pPr>
        <w:pStyle w:val="Heading1"/>
      </w:pPr>
      <w:bookmarkStart w:id="11" w:name="_Toc493772758"/>
      <w:bookmarkStart w:id="12" w:name="_Toc494212614"/>
      <w:r>
        <w:t>Background</w:t>
      </w:r>
      <w:bookmarkEnd w:id="11"/>
      <w:bookmarkEnd w:id="12"/>
    </w:p>
    <w:bookmarkEnd w:id="9"/>
    <w:bookmarkEnd w:id="10"/>
    <w:p w14:paraId="13943B43" w14:textId="37C83F4F" w:rsidR="00A64CF0" w:rsidRPr="004D18CC" w:rsidRDefault="00263794" w:rsidP="004D18CC">
      <w:r w:rsidRPr="004D18CC">
        <w:t xml:space="preserve">The Australian Government has committed to ongoing reform </w:t>
      </w:r>
      <w:r w:rsidR="002A3278" w:rsidRPr="004D18CC">
        <w:t>of</w:t>
      </w:r>
      <w:r w:rsidRPr="004D18CC">
        <w:t xml:space="preserve"> Australia’s corporate insolvency regime</w:t>
      </w:r>
      <w:r w:rsidR="00A21DC9" w:rsidRPr="004D18CC">
        <w:t>. T</w:t>
      </w:r>
      <w:r w:rsidR="00A64CF0" w:rsidRPr="004D18CC">
        <w:t xml:space="preserve">his paper is seeking feedback on a package of measures </w:t>
      </w:r>
      <w:r w:rsidR="00A21DC9" w:rsidRPr="004D18CC">
        <w:t>aimed at countering illegal phoenixing</w:t>
      </w:r>
      <w:r w:rsidR="00B5674A" w:rsidRPr="004D18CC">
        <w:t>,</w:t>
      </w:r>
      <w:r w:rsidR="00A21DC9" w:rsidRPr="004D18CC">
        <w:t xml:space="preserve"> </w:t>
      </w:r>
      <w:r w:rsidR="00D91E1B">
        <w:t xml:space="preserve">and </w:t>
      </w:r>
      <w:r w:rsidR="00A64CF0" w:rsidRPr="004D18CC">
        <w:t xml:space="preserve">which </w:t>
      </w:r>
      <w:r w:rsidR="00B5674A" w:rsidRPr="004D18CC">
        <w:t>are intended to</w:t>
      </w:r>
      <w:r w:rsidR="00A64CF0" w:rsidRPr="004D18CC">
        <w:t xml:space="preserve"> </w:t>
      </w:r>
      <w:r w:rsidR="00A21DC9" w:rsidRPr="004D18CC">
        <w:t>form</w:t>
      </w:r>
      <w:r w:rsidR="00A64CF0" w:rsidRPr="004D18CC">
        <w:t xml:space="preserve"> the Government’s third tranche of </w:t>
      </w:r>
      <w:r w:rsidR="006F2A1F" w:rsidRPr="004D18CC">
        <w:t xml:space="preserve">insolvency </w:t>
      </w:r>
      <w:r w:rsidR="00D91E1B">
        <w:t xml:space="preserve">law </w:t>
      </w:r>
      <w:r w:rsidR="00A64CF0" w:rsidRPr="004D18CC">
        <w:t>reforms.</w:t>
      </w:r>
    </w:p>
    <w:p w14:paraId="26233E07" w14:textId="6C32B352" w:rsidR="00263794" w:rsidRPr="004D18CC" w:rsidRDefault="00263794" w:rsidP="004D18CC">
      <w:r w:rsidRPr="004D18CC">
        <w:t>The first tranche</w:t>
      </w:r>
      <w:r w:rsidR="00D91E1B">
        <w:t>, contained in</w:t>
      </w:r>
      <w:r w:rsidRPr="004D18CC">
        <w:t xml:space="preserve"> the </w:t>
      </w:r>
      <w:r w:rsidRPr="00CE378E">
        <w:rPr>
          <w:i/>
        </w:rPr>
        <w:t>Insolvency Law Reform Act 2016</w:t>
      </w:r>
      <w:r w:rsidR="00B3203C">
        <w:rPr>
          <w:i/>
        </w:rPr>
        <w:t>,</w:t>
      </w:r>
      <w:r w:rsidRPr="004D18CC">
        <w:t xml:space="preserve"> modernised the corporate reorganisation framework around the registration, remuneration and regulation of insolvency pr</w:t>
      </w:r>
      <w:r w:rsidR="00F16B71" w:rsidRPr="004D18CC">
        <w:t>actitioners</w:t>
      </w:r>
      <w:r w:rsidRPr="004D18CC">
        <w:t xml:space="preserve"> to improve confidence in the corporate insolvency regime and reduce </w:t>
      </w:r>
      <w:r w:rsidR="002409BC" w:rsidRPr="004D18CC">
        <w:t xml:space="preserve">associated </w:t>
      </w:r>
      <w:r w:rsidRPr="004D18CC">
        <w:t>costs</w:t>
      </w:r>
      <w:r w:rsidR="002409BC" w:rsidRPr="004D18CC">
        <w:t>.</w:t>
      </w:r>
    </w:p>
    <w:p w14:paraId="310F5DEC" w14:textId="488EACF5" w:rsidR="00263794" w:rsidRPr="004D18CC" w:rsidRDefault="000F66DE" w:rsidP="004D18CC">
      <w:pPr>
        <w:rPr>
          <w:rFonts w:eastAsiaTheme="minorHAnsi"/>
        </w:rPr>
      </w:pPr>
      <w:r w:rsidRPr="004D18CC">
        <w:rPr>
          <w:rFonts w:eastAsiaTheme="minorHAnsi"/>
        </w:rPr>
        <w:t>The second tranche, introduced a</w:t>
      </w:r>
      <w:r w:rsidR="00263794" w:rsidRPr="004D18CC">
        <w:rPr>
          <w:rFonts w:eastAsiaTheme="minorHAnsi"/>
        </w:rPr>
        <w:t>s part of the National Innovation and Science Agenda (NISA)</w:t>
      </w:r>
      <w:r w:rsidRPr="004D18CC">
        <w:rPr>
          <w:rFonts w:eastAsiaTheme="minorHAnsi"/>
        </w:rPr>
        <w:t xml:space="preserve">, focussed on supporting honest business restructuring. The </w:t>
      </w:r>
      <w:r w:rsidRPr="004D18CC">
        <w:rPr>
          <w:rFonts w:eastAsiaTheme="minorHAnsi"/>
          <w:i/>
        </w:rPr>
        <w:t>Treasury Laws Amendment (</w:t>
      </w:r>
      <w:r w:rsidR="00B914C5" w:rsidRPr="004D18CC">
        <w:rPr>
          <w:rFonts w:eastAsiaTheme="minorHAnsi"/>
          <w:i/>
        </w:rPr>
        <w:t>2017</w:t>
      </w:r>
      <w:r w:rsidR="00B914C5">
        <w:rPr>
          <w:rFonts w:eastAsiaTheme="minorHAnsi"/>
          <w:i/>
        </w:rPr>
        <w:t> </w:t>
      </w:r>
      <w:r w:rsidRPr="004D18CC">
        <w:rPr>
          <w:rFonts w:eastAsiaTheme="minorHAnsi"/>
          <w:i/>
        </w:rPr>
        <w:t>Enterprise Incentives No.2) 2017 Act</w:t>
      </w:r>
      <w:r w:rsidRPr="004D18CC">
        <w:rPr>
          <w:rFonts w:eastAsiaTheme="minorHAnsi"/>
        </w:rPr>
        <w:t xml:space="preserve"> introduced a safe harbour for directors from personal </w:t>
      </w:r>
      <w:r w:rsidR="00A1054F" w:rsidRPr="004D18CC">
        <w:rPr>
          <w:rFonts w:eastAsiaTheme="minorHAnsi"/>
        </w:rPr>
        <w:t>liability for insolvent trading</w:t>
      </w:r>
      <w:r w:rsidRPr="004D18CC">
        <w:rPr>
          <w:rFonts w:eastAsiaTheme="minorHAnsi"/>
        </w:rPr>
        <w:t xml:space="preserve"> if the company is undertaking a restructure outside formal insolvency</w:t>
      </w:r>
      <w:r w:rsidR="00A1054F" w:rsidRPr="004D18CC">
        <w:rPr>
          <w:rFonts w:eastAsiaTheme="minorHAnsi"/>
        </w:rPr>
        <w:t xml:space="preserve">. </w:t>
      </w:r>
      <w:r w:rsidR="00895785" w:rsidRPr="004D18CC">
        <w:rPr>
          <w:rFonts w:eastAsiaTheme="minorHAnsi"/>
        </w:rPr>
        <w:t xml:space="preserve">From </w:t>
      </w:r>
      <w:r w:rsidR="007A42A2" w:rsidRPr="004D18CC">
        <w:rPr>
          <w:rFonts w:eastAsiaTheme="minorHAnsi"/>
        </w:rPr>
        <w:t>1</w:t>
      </w:r>
      <w:r w:rsidR="007A42A2">
        <w:rPr>
          <w:rFonts w:eastAsiaTheme="minorHAnsi"/>
        </w:rPr>
        <w:t> </w:t>
      </w:r>
      <w:r w:rsidR="00895785" w:rsidRPr="004D18CC">
        <w:rPr>
          <w:rFonts w:eastAsiaTheme="minorHAnsi"/>
        </w:rPr>
        <w:t>July 2018, i</w:t>
      </w:r>
      <w:r w:rsidR="00A1054F" w:rsidRPr="004D18CC">
        <w:rPr>
          <w:rFonts w:eastAsiaTheme="minorHAnsi"/>
        </w:rPr>
        <w:t xml:space="preserve">t </w:t>
      </w:r>
      <w:r w:rsidR="00895785" w:rsidRPr="004D18CC">
        <w:rPr>
          <w:rFonts w:eastAsiaTheme="minorHAnsi"/>
        </w:rPr>
        <w:t>will also</w:t>
      </w:r>
      <w:r w:rsidRPr="004D18CC">
        <w:rPr>
          <w:rFonts w:eastAsiaTheme="minorHAnsi"/>
        </w:rPr>
        <w:t xml:space="preserve"> </w:t>
      </w:r>
      <w:r w:rsidR="00B5674A" w:rsidRPr="004D18CC">
        <w:rPr>
          <w:rFonts w:eastAsiaTheme="minorHAnsi"/>
        </w:rPr>
        <w:t>make</w:t>
      </w:r>
      <w:r w:rsidRPr="004D18CC">
        <w:rPr>
          <w:rFonts w:eastAsiaTheme="minorHAnsi"/>
        </w:rPr>
        <w:t xml:space="preserve"> ipso facto clauses </w:t>
      </w:r>
      <w:r w:rsidR="00093199" w:rsidRPr="004D18CC">
        <w:rPr>
          <w:rFonts w:eastAsiaTheme="minorHAnsi"/>
        </w:rPr>
        <w:t>(</w:t>
      </w:r>
      <w:r w:rsidRPr="004D18CC">
        <w:rPr>
          <w:rFonts w:eastAsiaTheme="minorHAnsi"/>
        </w:rPr>
        <w:t>that allow contracting parties to immediately terminate agreements with a company when</w:t>
      </w:r>
      <w:r w:rsidR="00A1054F" w:rsidRPr="004D18CC">
        <w:rPr>
          <w:rFonts w:eastAsiaTheme="minorHAnsi"/>
        </w:rPr>
        <w:t xml:space="preserve"> an insolvency event occurs</w:t>
      </w:r>
      <w:r w:rsidR="00093199" w:rsidRPr="004D18CC">
        <w:rPr>
          <w:rFonts w:eastAsiaTheme="minorHAnsi"/>
        </w:rPr>
        <w:t>)</w:t>
      </w:r>
      <w:r w:rsidRPr="004D18CC">
        <w:rPr>
          <w:rFonts w:eastAsiaTheme="minorHAnsi"/>
        </w:rPr>
        <w:t xml:space="preserve"> unenforceable if the company is undertaking a formal restructure.</w:t>
      </w:r>
    </w:p>
    <w:p w14:paraId="703FB359" w14:textId="54AA65CA" w:rsidR="00D40B6B" w:rsidRPr="004D18CC" w:rsidRDefault="00D40B6B" w:rsidP="004D18CC">
      <w:pPr>
        <w:rPr>
          <w:rFonts w:eastAsiaTheme="minorHAnsi"/>
        </w:rPr>
      </w:pPr>
      <w:r w:rsidRPr="004D18CC">
        <w:rPr>
          <w:rFonts w:eastAsiaTheme="minorHAnsi"/>
        </w:rPr>
        <w:t xml:space="preserve">The </w:t>
      </w:r>
      <w:r w:rsidR="002F0ED7" w:rsidRPr="004D18CC">
        <w:rPr>
          <w:rFonts w:eastAsiaTheme="minorHAnsi"/>
        </w:rPr>
        <w:t xml:space="preserve">measures </w:t>
      </w:r>
      <w:r w:rsidRPr="004D18CC">
        <w:rPr>
          <w:rFonts w:eastAsiaTheme="minorHAnsi"/>
        </w:rPr>
        <w:t xml:space="preserve">which are the subject of this Consultation Paper build on </w:t>
      </w:r>
      <w:r w:rsidR="00DC3DEC" w:rsidRPr="004D18CC">
        <w:rPr>
          <w:rFonts w:eastAsiaTheme="minorHAnsi"/>
        </w:rPr>
        <w:t xml:space="preserve">other action </w:t>
      </w:r>
      <w:r w:rsidR="00D91E1B">
        <w:rPr>
          <w:rFonts w:eastAsiaTheme="minorHAnsi"/>
        </w:rPr>
        <w:t>taken by</w:t>
      </w:r>
      <w:r w:rsidR="00DC3DEC" w:rsidRPr="004D18CC">
        <w:rPr>
          <w:rFonts w:eastAsiaTheme="minorHAnsi"/>
        </w:rPr>
        <w:t xml:space="preserve"> the</w:t>
      </w:r>
      <w:r w:rsidRPr="004D18CC">
        <w:rPr>
          <w:rFonts w:eastAsiaTheme="minorHAnsi"/>
        </w:rPr>
        <w:t xml:space="preserve"> Government to combat crime and fraud occurring in the economy, including strengthening disciplinary rules for insolvency practitioners and legislating to enable information sharing between key regulatory agencies. </w:t>
      </w:r>
      <w:r w:rsidR="0046368B" w:rsidRPr="004D18CC">
        <w:rPr>
          <w:rFonts w:eastAsiaTheme="minorHAnsi"/>
        </w:rPr>
        <w:t>The proposed measures also compliment the recently announced package of reforms that target employers who fail to meet their superannuation guarantee obligations.</w:t>
      </w:r>
    </w:p>
    <w:p w14:paraId="6D549C91" w14:textId="54B4D36E" w:rsidR="00A21DC9" w:rsidRDefault="006F0AB7" w:rsidP="004D18CC">
      <w:pPr>
        <w:pStyle w:val="Heading2"/>
      </w:pPr>
      <w:bookmarkStart w:id="13" w:name="_Toc493772759"/>
      <w:bookmarkStart w:id="14" w:name="_Toc494212615"/>
      <w:r>
        <w:t>What is illegal phoenix activity</w:t>
      </w:r>
      <w:r w:rsidR="00F319F4">
        <w:t>?</w:t>
      </w:r>
      <w:bookmarkEnd w:id="13"/>
      <w:bookmarkEnd w:id="14"/>
    </w:p>
    <w:p w14:paraId="5BE9C258" w14:textId="6D983EDF" w:rsidR="008E1D90" w:rsidRPr="008E1D90" w:rsidRDefault="008E1D90" w:rsidP="004D18CC">
      <w:r w:rsidRPr="008E1D90">
        <w:t xml:space="preserve">Phoenix activity is not defined in legislation and can encompass </w:t>
      </w:r>
      <w:r w:rsidR="00D91E1B">
        <w:t xml:space="preserve">both </w:t>
      </w:r>
      <w:r w:rsidRPr="008E1D90">
        <w:t>legitimate business rescue activities</w:t>
      </w:r>
      <w:r w:rsidR="00D91E1B">
        <w:t xml:space="preserve"> and the use of</w:t>
      </w:r>
      <w:r w:rsidRPr="008E1D90">
        <w:t xml:space="preserve"> serial insolvency as a business model to avoid debts and </w:t>
      </w:r>
      <w:r w:rsidR="00D91E1B">
        <w:t xml:space="preserve">even in some cases to facilitate </w:t>
      </w:r>
      <w:r w:rsidRPr="008E1D90">
        <w:t>money laundering.</w:t>
      </w:r>
    </w:p>
    <w:p w14:paraId="078411A3" w14:textId="77AE944C" w:rsidR="00E41647" w:rsidRDefault="00E41647" w:rsidP="004D18CC">
      <w:r>
        <w:t xml:space="preserve">For </w:t>
      </w:r>
      <w:r w:rsidR="00D06C1F">
        <w:t>ease of reference</w:t>
      </w:r>
      <w:r>
        <w:t>, this paper will refer to leg</w:t>
      </w:r>
      <w:r w:rsidR="00D06C1F">
        <w:t>itimate</w:t>
      </w:r>
      <w:r>
        <w:t xml:space="preserve"> phoenix activity as “</w:t>
      </w:r>
      <w:r w:rsidR="00D06C1F">
        <w:t xml:space="preserve">honest </w:t>
      </w:r>
      <w:r>
        <w:t xml:space="preserve">business rescue”.  </w:t>
      </w:r>
      <w:r w:rsidR="00D06C1F">
        <w:t>Honest b</w:t>
      </w:r>
      <w:r>
        <w:t xml:space="preserve">usiness rescue is a legitimate use of the corporate form, whereas illegal phoenixing is </w:t>
      </w:r>
      <w:r w:rsidRPr="00895785">
        <w:t xml:space="preserve">a </w:t>
      </w:r>
      <w:r>
        <w:t>misuse</w:t>
      </w:r>
      <w:r w:rsidRPr="00895785">
        <w:t xml:space="preserve"> of the corporate form</w:t>
      </w:r>
      <w:r w:rsidR="00D06C1F">
        <w:t>,</w:t>
      </w:r>
      <w:r>
        <w:t xml:space="preserve"> which</w:t>
      </w:r>
      <w:r w:rsidR="00D06C1F">
        <w:t xml:space="preserve"> seeks to</w:t>
      </w:r>
      <w:r>
        <w:t xml:space="preserve"> exploit the </w:t>
      </w:r>
      <w:r w:rsidRPr="00895785">
        <w:t>privilege of limited liability.</w:t>
      </w:r>
    </w:p>
    <w:p w14:paraId="40CE37B2" w14:textId="79DA1D44" w:rsidR="004A3043" w:rsidRDefault="00E41647" w:rsidP="004D18CC">
      <w:r>
        <w:t>While t</w:t>
      </w:r>
      <w:r w:rsidR="003F6B2B">
        <w:t xml:space="preserve">he scale of illegal phoenixing ranges from the opportunistic to the systemic, its common </w:t>
      </w:r>
      <w:r w:rsidR="003F6B2B" w:rsidRPr="00E302FE">
        <w:t xml:space="preserve">characteristic </w:t>
      </w:r>
      <w:r w:rsidR="003F6B2B">
        <w:t>is</w:t>
      </w:r>
      <w:r w:rsidR="003F6B2B" w:rsidRPr="00E302FE">
        <w:t xml:space="preserve"> that when a company is</w:t>
      </w:r>
      <w:r w:rsidR="003F6B2B" w:rsidRPr="000340CE">
        <w:t xml:space="preserve"> unable to pay its debts</w:t>
      </w:r>
      <w:r w:rsidR="003F6B2B" w:rsidRPr="00E302FE">
        <w:t>, its controll</w:t>
      </w:r>
      <w:r w:rsidR="003F6B2B">
        <w:t>ing</w:t>
      </w:r>
      <w:r w:rsidR="003F6B2B" w:rsidRPr="00E302FE">
        <w:t xml:space="preserve"> </w:t>
      </w:r>
      <w:r w:rsidR="003F6B2B" w:rsidRPr="000340CE">
        <w:t xml:space="preserve">directors act in a manner which denies creditors access to the entity's assets </w:t>
      </w:r>
      <w:r w:rsidR="003F6B2B" w:rsidRPr="00E302FE">
        <w:t xml:space="preserve">to meet </w:t>
      </w:r>
      <w:r w:rsidR="003F6B2B">
        <w:t xml:space="preserve">the </w:t>
      </w:r>
      <w:r w:rsidR="003F6B2B" w:rsidRPr="00E302FE">
        <w:t>unpaid debts</w:t>
      </w:r>
      <w:r w:rsidR="003F6B2B">
        <w:t>.</w:t>
      </w:r>
    </w:p>
    <w:p w14:paraId="4B7DBA0A" w14:textId="77777777" w:rsidR="007A42A2" w:rsidRDefault="007A42A2">
      <w:pPr>
        <w:spacing w:after="160" w:line="259" w:lineRule="auto"/>
        <w:jc w:val="left"/>
        <w:rPr>
          <w:rFonts w:cs="Arial"/>
          <w:b/>
          <w:iCs/>
          <w:smallCaps/>
          <w:color w:val="004A7F"/>
          <w:kern w:val="32"/>
          <w:sz w:val="36"/>
          <w:szCs w:val="28"/>
        </w:rPr>
      </w:pPr>
      <w:bookmarkStart w:id="15" w:name="_Toc493772760"/>
      <w:r>
        <w:br w:type="page"/>
      </w:r>
    </w:p>
    <w:p w14:paraId="650E0416" w14:textId="5BFB1C68" w:rsidR="00180905" w:rsidRDefault="00180905" w:rsidP="004D18CC">
      <w:pPr>
        <w:pStyle w:val="Heading2"/>
      </w:pPr>
      <w:bookmarkStart w:id="16" w:name="_Toc494212616"/>
      <w:r>
        <w:t>The impact of illegal phoenixing</w:t>
      </w:r>
      <w:bookmarkEnd w:id="15"/>
      <w:bookmarkEnd w:id="16"/>
    </w:p>
    <w:p w14:paraId="65BFB780" w14:textId="5AB0F57B" w:rsidR="00180905" w:rsidRPr="004D18CC" w:rsidRDefault="00180905" w:rsidP="004D18CC">
      <w:r w:rsidRPr="004D18CC">
        <w:t>Historically, quantifying the impact of phoenixing has been problematic. The ‘Phoenix Project’ led by Professor Helen Anderson as a joint research project of the University of Melbourne and the Monash Business School has noted that “[i]llegal phoenix activity is not subject to precise modelling…"</w:t>
      </w:r>
      <w:r w:rsidRPr="004D18CC">
        <w:rPr>
          <w:rStyle w:val="FootnoteReference"/>
        </w:rPr>
        <w:footnoteReference w:id="2"/>
      </w:r>
      <w:r w:rsidRPr="004D18CC">
        <w:t xml:space="preserve"> and that “…at present, the inconsistencies and gaps in datasets relating to the incidence, cost, and enforcement of laws tackling illegal phoenix activity render its accurate quantification impossible</w:t>
      </w:r>
      <w:r w:rsidR="00A73DFC">
        <w:t>.</w:t>
      </w:r>
      <w:r w:rsidRPr="004D18CC">
        <w:t>”</w:t>
      </w:r>
      <w:r w:rsidRPr="004D18CC">
        <w:rPr>
          <w:rStyle w:val="FootnoteReference"/>
        </w:rPr>
        <w:footnoteReference w:id="3"/>
      </w:r>
    </w:p>
    <w:p w14:paraId="06EF9ED7" w14:textId="40F522C1" w:rsidR="00180905" w:rsidRPr="004D18CC" w:rsidRDefault="00180905" w:rsidP="004D18CC">
      <w:r w:rsidRPr="004D18CC">
        <w:t xml:space="preserve">While it is difficult to quantify its impact, according to the Fair Work Ombudsman and PwC, in 2012, the cost of illegal </w:t>
      </w:r>
      <w:r w:rsidR="008F41EE" w:rsidRPr="004D18CC">
        <w:t>p</w:t>
      </w:r>
      <w:r w:rsidRPr="004D18CC">
        <w:t>hoenix activity was estimated to be in the range of $1.8 to $3.2 billion per year.</w:t>
      </w:r>
      <w:r w:rsidRPr="004D18CC">
        <w:rPr>
          <w:rStyle w:val="FootnoteReference"/>
        </w:rPr>
        <w:footnoteReference w:id="4"/>
      </w:r>
    </w:p>
    <w:p w14:paraId="31AD62D1" w14:textId="2BBD9953" w:rsidR="00180905" w:rsidRPr="004D18CC" w:rsidRDefault="00180905" w:rsidP="004D18CC">
      <w:r w:rsidRPr="004D18CC">
        <w:t>Those affected by illegal phoenix activity include employees of the original failed company, other businesses</w:t>
      </w:r>
      <w:r w:rsidR="00F2372B">
        <w:t xml:space="preserve"> and contractors</w:t>
      </w:r>
      <w:r w:rsidRPr="004D18CC">
        <w:t xml:space="preserve"> </w:t>
      </w:r>
      <w:r w:rsidR="00F2372B">
        <w:t>who</w:t>
      </w:r>
      <w:r w:rsidRPr="004D18CC">
        <w:t xml:space="preserve"> are owed money because they have supplied goods and services and statutory bodies like the Australian Taxation Office (ATO). Non-payment of employee entitlements </w:t>
      </w:r>
      <w:r w:rsidR="00F2372B">
        <w:t xml:space="preserve">and company tax </w:t>
      </w:r>
      <w:r w:rsidRPr="004D18CC">
        <w:t xml:space="preserve">hurts not only the affected employees, but </w:t>
      </w:r>
      <w:r w:rsidR="00F2372B">
        <w:t>all Australian</w:t>
      </w:r>
      <w:r w:rsidRPr="004D18CC">
        <w:t xml:space="preserve"> taxpayer</w:t>
      </w:r>
      <w:r w:rsidR="00F2372B">
        <w:t>s</w:t>
      </w:r>
      <w:r w:rsidRPr="004D18CC">
        <w:t xml:space="preserve"> via resulting Fair Entitlement Guarantee payouts</w:t>
      </w:r>
      <w:r w:rsidR="00F2372B">
        <w:t>, and increased taxes for the general population</w:t>
      </w:r>
      <w:r w:rsidRPr="004D18CC">
        <w:t xml:space="preserve">. </w:t>
      </w:r>
      <w:r w:rsidR="004D0139" w:rsidRPr="004D18CC">
        <w:t xml:space="preserve">It also gives phoenix companies an unfair advantage over </w:t>
      </w:r>
      <w:r w:rsidR="00F326BC">
        <w:t>their</w:t>
      </w:r>
      <w:r w:rsidR="004D0139" w:rsidRPr="004D18CC">
        <w:t xml:space="preserve"> competitors.</w:t>
      </w:r>
    </w:p>
    <w:p w14:paraId="63B4B50E" w14:textId="384C4323" w:rsidR="00180905" w:rsidRPr="004D18CC" w:rsidRDefault="00180905" w:rsidP="004D18CC">
      <w:r w:rsidRPr="004D18CC">
        <w:t>What is known is that illegal phoenix activity has a widespread impact through:</w:t>
      </w:r>
    </w:p>
    <w:p w14:paraId="2692BEB7" w14:textId="23AFD64D" w:rsidR="00180905" w:rsidRPr="004D18CC" w:rsidRDefault="00D76D17" w:rsidP="004D18CC">
      <w:pPr>
        <w:pStyle w:val="Bullet"/>
      </w:pPr>
      <w:r>
        <w:t>a</w:t>
      </w:r>
      <w:r w:rsidR="00180905" w:rsidRPr="004D18CC">
        <w:t>voidance of debts to creditors (particularly unsecured creditors)</w:t>
      </w:r>
      <w:r w:rsidR="008B58B3">
        <w:t>;</w:t>
      </w:r>
    </w:p>
    <w:p w14:paraId="66AB4A25" w14:textId="2BBD16F3" w:rsidR="00180905" w:rsidRPr="004D18CC" w:rsidRDefault="00D76D17" w:rsidP="004D18CC">
      <w:pPr>
        <w:pStyle w:val="Bullet"/>
      </w:pPr>
      <w:r>
        <w:t>u</w:t>
      </w:r>
      <w:r w:rsidR="00180905" w:rsidRPr="004D18CC">
        <w:t>nfair profit and contract/tender winning advantage over other businesses</w:t>
      </w:r>
      <w:r w:rsidR="008B58B3">
        <w:t>;</w:t>
      </w:r>
    </w:p>
    <w:p w14:paraId="54485B36" w14:textId="10262CFD" w:rsidR="00180905" w:rsidRPr="004D18CC" w:rsidRDefault="00D76D17" w:rsidP="004D18CC">
      <w:pPr>
        <w:pStyle w:val="Bullet"/>
      </w:pPr>
      <w:r>
        <w:t>l</w:t>
      </w:r>
      <w:r w:rsidR="00180905" w:rsidRPr="004D18CC">
        <w:t>oss of market integrity and confidence in corporation law regime</w:t>
      </w:r>
      <w:r w:rsidR="008B58B3">
        <w:t>;</w:t>
      </w:r>
    </w:p>
    <w:p w14:paraId="76E0046D" w14:textId="2398AF0B" w:rsidR="00180905" w:rsidRPr="004D18CC" w:rsidRDefault="00D76D17" w:rsidP="004D18CC">
      <w:pPr>
        <w:pStyle w:val="Bullet"/>
      </w:pPr>
      <w:r>
        <w:t>a</w:t>
      </w:r>
      <w:r w:rsidR="00180905" w:rsidRPr="004D18CC">
        <w:t>voidance of employee entitlements including wages, superannuation, accrued leave</w:t>
      </w:r>
      <w:r w:rsidR="008B58B3">
        <w:t>;</w:t>
      </w:r>
    </w:p>
    <w:p w14:paraId="0B16B353" w14:textId="337FF743" w:rsidR="00180905" w:rsidRPr="004D18CC" w:rsidRDefault="00D76D17" w:rsidP="004D18CC">
      <w:pPr>
        <w:pStyle w:val="Bullet"/>
      </w:pPr>
      <w:r>
        <w:t>m</w:t>
      </w:r>
      <w:r w:rsidR="00180905" w:rsidRPr="004D18CC">
        <w:t>isuse of the Fair Entitlements Guarantee Scheme</w:t>
      </w:r>
      <w:r w:rsidR="008B58B3">
        <w:t>;</w:t>
      </w:r>
    </w:p>
    <w:p w14:paraId="00EA3605" w14:textId="09BD1D23" w:rsidR="00180905" w:rsidRPr="004D18CC" w:rsidRDefault="00D76D17" w:rsidP="00F2372B">
      <w:pPr>
        <w:pStyle w:val="Bullet"/>
      </w:pPr>
      <w:r>
        <w:t>n</w:t>
      </w:r>
      <w:r w:rsidR="00180905" w:rsidRPr="004D18CC">
        <w:t xml:space="preserve">on-remittance of </w:t>
      </w:r>
      <w:r w:rsidR="00F2372B" w:rsidRPr="00F2372B">
        <w:t xml:space="preserve">pay-as-you-go withholding </w:t>
      </w:r>
      <w:r w:rsidR="00F2372B">
        <w:t>(</w:t>
      </w:r>
      <w:r w:rsidR="00180905" w:rsidRPr="004D18CC">
        <w:t>PAYG</w:t>
      </w:r>
      <w:r w:rsidR="00F2372B">
        <w:t>W)</w:t>
      </w:r>
      <w:r w:rsidR="00180905" w:rsidRPr="004D18CC">
        <w:t xml:space="preserve"> and GST</w:t>
      </w:r>
      <w:r w:rsidR="008B58B3">
        <w:t xml:space="preserve"> payments</w:t>
      </w:r>
      <w:r w:rsidR="00180905" w:rsidRPr="004D18CC">
        <w:t>, and avoidance of income, pay-roll and other taxes</w:t>
      </w:r>
      <w:r w:rsidR="008B58B3">
        <w:t>;</w:t>
      </w:r>
    </w:p>
    <w:p w14:paraId="34272081" w14:textId="37137F2A" w:rsidR="00180905" w:rsidRPr="004D18CC" w:rsidRDefault="00D76D17" w:rsidP="004D18CC">
      <w:pPr>
        <w:pStyle w:val="Bullet"/>
      </w:pPr>
      <w:r>
        <w:t>i</w:t>
      </w:r>
      <w:r w:rsidR="00180905" w:rsidRPr="004D18CC">
        <w:t>ncreased costs to regulators</w:t>
      </w:r>
      <w:r w:rsidR="008B58B3">
        <w:t>; and</w:t>
      </w:r>
    </w:p>
    <w:p w14:paraId="42367FC6" w14:textId="0202319F" w:rsidR="00180905" w:rsidRPr="004D18CC" w:rsidRDefault="00D76D17" w:rsidP="004D18CC">
      <w:pPr>
        <w:pStyle w:val="Bullet"/>
      </w:pPr>
      <w:r>
        <w:t>n</w:t>
      </w:r>
      <w:r w:rsidR="00180905" w:rsidRPr="004D18CC">
        <w:t>egative economic and social impacts, particularly at a local and regional level</w:t>
      </w:r>
      <w:r w:rsidR="008B58B3">
        <w:t>.</w:t>
      </w:r>
    </w:p>
    <w:p w14:paraId="2F144C6B" w14:textId="0CF8C880" w:rsidR="004A3043" w:rsidRDefault="00372BC6" w:rsidP="004D18CC">
      <w:pPr>
        <w:pStyle w:val="Heading2"/>
      </w:pPr>
      <w:bookmarkStart w:id="17" w:name="_Toc493772761"/>
      <w:bookmarkStart w:id="18" w:name="_Toc494212617"/>
      <w:r>
        <w:t>Illegal p</w:t>
      </w:r>
      <w:r w:rsidR="004A3043">
        <w:t>hoenixing is evolving</w:t>
      </w:r>
      <w:bookmarkEnd w:id="17"/>
      <w:bookmarkEnd w:id="18"/>
    </w:p>
    <w:p w14:paraId="56186A25" w14:textId="1F0C8737" w:rsidR="005A0121" w:rsidRDefault="006F4866" w:rsidP="004D18CC">
      <w:r w:rsidRPr="006F4866">
        <w:t>Illegal phoenix activity is a learned and sometimes facilitated behaviour</w:t>
      </w:r>
      <w:r w:rsidR="005A0121">
        <w:t xml:space="preserve">, and </w:t>
      </w:r>
      <w:r w:rsidR="009F318B">
        <w:t xml:space="preserve">its </w:t>
      </w:r>
      <w:r w:rsidR="005A0121">
        <w:t>nature is constantly changing.</w:t>
      </w:r>
    </w:p>
    <w:p w14:paraId="2C296B05" w14:textId="230F7698" w:rsidR="006F4866" w:rsidRDefault="00C21F10" w:rsidP="004D18CC">
      <w:r>
        <w:t xml:space="preserve">In some instances, </w:t>
      </w:r>
      <w:r w:rsidR="002C3084">
        <w:t xml:space="preserve">illegal </w:t>
      </w:r>
      <w:r>
        <w:t xml:space="preserve">phoenixing may be opportunistic, where the </w:t>
      </w:r>
      <w:r w:rsidR="00A21DC9" w:rsidRPr="00A21DC9">
        <w:t>intention to avoid debts</w:t>
      </w:r>
      <w:r>
        <w:t xml:space="preserve"> is only</w:t>
      </w:r>
      <w:r w:rsidR="00A21DC9" w:rsidRPr="00A21DC9">
        <w:t xml:space="preserve"> formed as the company starts to fail</w:t>
      </w:r>
      <w:r>
        <w:t xml:space="preserve">. </w:t>
      </w:r>
      <w:r w:rsidR="00FA1D40">
        <w:t>In other cases, phoenix operators may set up businesses with the intention that they</w:t>
      </w:r>
      <w:r w:rsidR="00AF3CC7">
        <w:t xml:space="preserve"> will</w:t>
      </w:r>
      <w:r w:rsidR="00FA1D40">
        <w:t xml:space="preserve"> ultimately fail, and use complex corporate structures to </w:t>
      </w:r>
      <w:r w:rsidR="00B174C6">
        <w:t>facilitate</w:t>
      </w:r>
      <w:r w:rsidR="00FA1D40">
        <w:t xml:space="preserve"> their plans.</w:t>
      </w:r>
    </w:p>
    <w:p w14:paraId="6450A2E0" w14:textId="69A10CE4" w:rsidR="005A0121" w:rsidRDefault="005A0121" w:rsidP="004D18CC">
      <w:r>
        <w:t xml:space="preserve">Two particular trends have been the focus of </w:t>
      </w:r>
      <w:r w:rsidR="00844DF1">
        <w:t>regulators and agencies</w:t>
      </w:r>
      <w:r>
        <w:t>:</w:t>
      </w:r>
    </w:p>
    <w:p w14:paraId="218B5E5D" w14:textId="29365F8E" w:rsidR="005A0121" w:rsidRPr="004D18CC" w:rsidRDefault="009F318B" w:rsidP="004D18CC">
      <w:pPr>
        <w:pStyle w:val="OutlineNumbered1"/>
      </w:pPr>
      <w:r w:rsidRPr="004D18CC">
        <w:t xml:space="preserve">The facilitation of illegal phoenix activity by dishonest </w:t>
      </w:r>
      <w:r w:rsidR="00AF3CC7">
        <w:t>and predatory pre-insolvency</w:t>
      </w:r>
      <w:r w:rsidRPr="004D18CC">
        <w:t xml:space="preserve"> advisers; </w:t>
      </w:r>
      <w:r w:rsidR="005A0121" w:rsidRPr="004D18CC">
        <w:t>and</w:t>
      </w:r>
    </w:p>
    <w:p w14:paraId="4A14051B" w14:textId="570A5304" w:rsidR="005A0121" w:rsidRPr="005A0121" w:rsidRDefault="009F318B" w:rsidP="004D18CC">
      <w:pPr>
        <w:pStyle w:val="OutlineNumbered1"/>
      </w:pPr>
      <w:r w:rsidRPr="005A0121">
        <w:t>The increasing use of sophisticated structures where phoenixing becomes part of the business model</w:t>
      </w:r>
      <w:r w:rsidR="005A0121" w:rsidRPr="005A0121">
        <w:t>.</w:t>
      </w:r>
    </w:p>
    <w:p w14:paraId="5B233393" w14:textId="30725994" w:rsidR="00BC6033" w:rsidRPr="004D18CC" w:rsidRDefault="00BC6033" w:rsidP="004D18CC">
      <w:pPr>
        <w:pStyle w:val="Heading3"/>
      </w:pPr>
      <w:r w:rsidRPr="004D18CC">
        <w:t>Pre-insolvency advisers facilitate illegal phoenix activity</w:t>
      </w:r>
    </w:p>
    <w:p w14:paraId="11FAADE1" w14:textId="7200C225" w:rsidR="006B4AB4" w:rsidRDefault="006B4AB4" w:rsidP="004D18CC">
      <w:r w:rsidRPr="006B4AB4">
        <w:t>A well-functioning financial system should provide directors of distressed companies</w:t>
      </w:r>
      <w:r w:rsidR="00BB75F9">
        <w:t xml:space="preserve"> with</w:t>
      </w:r>
      <w:r w:rsidRPr="006B4AB4">
        <w:t xml:space="preserve"> easy access to </w:t>
      </w:r>
      <w:r w:rsidR="000C31DD" w:rsidRPr="006B4AB4">
        <w:t>advi</w:t>
      </w:r>
      <w:r w:rsidR="000C31DD">
        <w:t>ce</w:t>
      </w:r>
      <w:r w:rsidR="000C31DD" w:rsidRPr="006B4AB4">
        <w:t xml:space="preserve"> </w:t>
      </w:r>
      <w:r w:rsidRPr="006B4AB4">
        <w:t xml:space="preserve">to assist them </w:t>
      </w:r>
      <w:r w:rsidR="008F0D30">
        <w:t xml:space="preserve">to </w:t>
      </w:r>
      <w:r w:rsidRPr="006B4AB4">
        <w:t>make critical decisions about the future of their company.</w:t>
      </w:r>
    </w:p>
    <w:p w14:paraId="707E8037" w14:textId="2703A4A7" w:rsidR="00BC6033" w:rsidRDefault="00BC6033" w:rsidP="004D18CC">
      <w:r w:rsidRPr="00BC6033">
        <w:t xml:space="preserve">The adviser market has grown substantially </w:t>
      </w:r>
      <w:r w:rsidR="00FA1D40">
        <w:t xml:space="preserve">over the past decade </w:t>
      </w:r>
      <w:r w:rsidRPr="00BC6033">
        <w:t>and evidence show</w:t>
      </w:r>
      <w:r w:rsidR="00FA1D40">
        <w:t>s</w:t>
      </w:r>
      <w:r w:rsidR="00BB75F9">
        <w:t xml:space="preserve"> that</w:t>
      </w:r>
      <w:r w:rsidRPr="00BC6033">
        <w:t xml:space="preserve"> advisers </w:t>
      </w:r>
      <w:r w:rsidR="00BB75F9">
        <w:t xml:space="preserve">other than professionals, such as lawyers and registered liquidators, </w:t>
      </w:r>
      <w:r w:rsidR="00FA1D40">
        <w:t xml:space="preserve">are increasingly </w:t>
      </w:r>
      <w:r w:rsidRPr="00BC6033">
        <w:t>undertaking work</w:t>
      </w:r>
      <w:r w:rsidR="00EC6DC8">
        <w:t xml:space="preserve"> in the Small &amp; Medium Enterprise</w:t>
      </w:r>
      <w:r w:rsidRPr="00BC6033">
        <w:t xml:space="preserve"> </w:t>
      </w:r>
      <w:r w:rsidR="00EC6DC8">
        <w:t>(SME) space</w:t>
      </w:r>
      <w:r w:rsidR="00BB75F9">
        <w:t>.</w:t>
      </w:r>
      <w:r w:rsidR="00EC6DC8">
        <w:t xml:space="preserve"> </w:t>
      </w:r>
      <w:r w:rsidR="00BB75F9">
        <w:t>T</w:t>
      </w:r>
      <w:r w:rsidRPr="00BC6033">
        <w:t>raditionally</w:t>
      </w:r>
      <w:r w:rsidR="00BB75F9">
        <w:t>, professionally qualified people who are subject to legislative requirements and disciplinary action by regulators and relevant professional bodies undertook the bulk of this work.</w:t>
      </w:r>
      <w:r w:rsidRPr="00BC6033">
        <w:t xml:space="preserve"> </w:t>
      </w:r>
    </w:p>
    <w:p w14:paraId="5514D86A" w14:textId="42636FCF" w:rsidR="00DD5414" w:rsidRPr="00BC6033" w:rsidRDefault="00DD5414" w:rsidP="004D18CC">
      <w:r w:rsidRPr="006652BF">
        <w:rPr>
          <w:color w:val="000000"/>
          <w:shd w:val="clear" w:color="auto" w:fill="FFFFFF"/>
        </w:rPr>
        <w:t xml:space="preserve">Many </w:t>
      </w:r>
      <w:r w:rsidR="00EC6DC8" w:rsidRPr="006652BF">
        <w:rPr>
          <w:color w:val="000000"/>
          <w:shd w:val="clear" w:color="auto" w:fill="FFFFFF"/>
        </w:rPr>
        <w:t xml:space="preserve">SME </w:t>
      </w:r>
      <w:r w:rsidRPr="006652BF">
        <w:rPr>
          <w:color w:val="000000"/>
          <w:shd w:val="clear" w:color="auto" w:fill="FFFFFF"/>
        </w:rPr>
        <w:t>advisers provide appropriate and valuable assistance to directors when the</w:t>
      </w:r>
      <w:r w:rsidR="000A594F">
        <w:rPr>
          <w:color w:val="000000"/>
          <w:shd w:val="clear" w:color="auto" w:fill="FFFFFF"/>
        </w:rPr>
        <w:t>ir companies</w:t>
      </w:r>
      <w:r w:rsidRPr="006652BF">
        <w:rPr>
          <w:color w:val="000000"/>
          <w:shd w:val="clear" w:color="auto" w:fill="FFFFFF"/>
        </w:rPr>
        <w:t xml:space="preserve"> are in financial difficulty</w:t>
      </w:r>
      <w:r w:rsidR="00EC6DC8" w:rsidRPr="006652BF">
        <w:rPr>
          <w:color w:val="000000"/>
          <w:shd w:val="clear" w:color="auto" w:fill="FFFFFF"/>
        </w:rPr>
        <w:t>, and can help turnaround a business in difficulty.</w:t>
      </w:r>
    </w:p>
    <w:p w14:paraId="66FF6286" w14:textId="41170841" w:rsidR="00FA1D40" w:rsidRDefault="00EC6DC8" w:rsidP="004D18CC">
      <w:r>
        <w:t>However, w</w:t>
      </w:r>
      <w:r w:rsidR="00FA1D40">
        <w:t>hile</w:t>
      </w:r>
      <w:r w:rsidR="006B4AB4">
        <w:t xml:space="preserve"> </w:t>
      </w:r>
      <w:r w:rsidR="000A594F">
        <w:t>most</w:t>
      </w:r>
      <w:r w:rsidR="006B4AB4">
        <w:t xml:space="preserve"> advisers are qualified and reputable, </w:t>
      </w:r>
      <w:r w:rsidR="000A594F">
        <w:t>some</w:t>
      </w:r>
      <w:r w:rsidR="006B4AB4">
        <w:t xml:space="preserve"> </w:t>
      </w:r>
      <w:r w:rsidR="00FA1D40">
        <w:t>‘pre-</w:t>
      </w:r>
      <w:r w:rsidR="00283E16">
        <w:t>insolvency</w:t>
      </w:r>
      <w:r w:rsidR="00FA1D40">
        <w:t xml:space="preserve"> advisers’ are </w:t>
      </w:r>
      <w:r w:rsidR="000A594F">
        <w:t xml:space="preserve">not, and this is compounded by the fact that most are </w:t>
      </w:r>
      <w:r w:rsidR="00FA1D40">
        <w:t xml:space="preserve">unregulated and </w:t>
      </w:r>
      <w:r w:rsidR="000A594F">
        <w:t>unlicensed</w:t>
      </w:r>
      <w:r w:rsidR="00FA1D40">
        <w:t xml:space="preserve">. </w:t>
      </w:r>
    </w:p>
    <w:p w14:paraId="5BE088D7" w14:textId="2CAB95BF" w:rsidR="006B4AB4" w:rsidRDefault="006B4AB4" w:rsidP="004D18CC">
      <w:r w:rsidRPr="006B4AB4">
        <w:t xml:space="preserve">A director, concerned about </w:t>
      </w:r>
      <w:r w:rsidR="000A594F">
        <w:t>his or her</w:t>
      </w:r>
      <w:r w:rsidRPr="006B4AB4">
        <w:t xml:space="preserve"> company's financial position can easily access</w:t>
      </w:r>
      <w:r w:rsidR="000A594F">
        <w:t xml:space="preserve"> a range of</w:t>
      </w:r>
      <w:r w:rsidRPr="006B4AB4">
        <w:t xml:space="preserve"> parties </w:t>
      </w:r>
      <w:r w:rsidR="00F11DA8" w:rsidRPr="006B4AB4">
        <w:t>offering</w:t>
      </w:r>
      <w:r w:rsidR="002B4D58">
        <w:t xml:space="preserve"> </w:t>
      </w:r>
      <w:r w:rsidRPr="006B4AB4">
        <w:t>pre-insolvency advice</w:t>
      </w:r>
      <w:r w:rsidR="000A594F">
        <w:t>, and these directo</w:t>
      </w:r>
      <w:r w:rsidR="00770A04">
        <w:t>r</w:t>
      </w:r>
      <w:r w:rsidR="000A594F">
        <w:t>s are often</w:t>
      </w:r>
      <w:r w:rsidR="000A594F" w:rsidRPr="000A594F">
        <w:t xml:space="preserve"> vulnerable to offers </w:t>
      </w:r>
      <w:r w:rsidR="000A594F">
        <w:t>of assistance from predatory</w:t>
      </w:r>
      <w:r w:rsidR="000A594F" w:rsidRPr="000A594F">
        <w:t xml:space="preserve"> advisers</w:t>
      </w:r>
      <w:r w:rsidR="000A594F">
        <w:t>.</w:t>
      </w:r>
    </w:p>
    <w:p w14:paraId="2B752334" w14:textId="291C34E6" w:rsidR="00FA1D40" w:rsidRDefault="00FA1D40" w:rsidP="004D18CC">
      <w:r>
        <w:t>The Phoenix Taskforce has reported that increasingly pre-insolvency advisers may approach the directors of a company in financial difficulty and suggest phoenix</w:t>
      </w:r>
      <w:r w:rsidR="000A594F">
        <w:t xml:space="preserve"> </w:t>
      </w:r>
      <w:r w:rsidR="00770A04">
        <w:t>activities</w:t>
      </w:r>
      <w:r>
        <w:t xml:space="preserve"> as a way to save the </w:t>
      </w:r>
      <w:r w:rsidR="00593930">
        <w:t xml:space="preserve">underlying </w:t>
      </w:r>
      <w:r>
        <w:t>business. The</w:t>
      </w:r>
      <w:r w:rsidR="009A7AAE">
        <w:t>se advisers</w:t>
      </w:r>
      <w:r>
        <w:t xml:space="preserve"> then conduct asset sales or restructures </w:t>
      </w:r>
      <w:r w:rsidRPr="00BC6033">
        <w:t>aimed at defeating creditors’ interests</w:t>
      </w:r>
      <w:r w:rsidR="000A594F">
        <w:t>,</w:t>
      </w:r>
      <w:r w:rsidRPr="00BC6033">
        <w:t xml:space="preserve"> </w:t>
      </w:r>
      <w:r w:rsidR="00DE1756">
        <w:t xml:space="preserve">thus </w:t>
      </w:r>
      <w:r w:rsidRPr="00BC6033">
        <w:t xml:space="preserve">leaving an assetless company for </w:t>
      </w:r>
      <w:r w:rsidR="000A594F">
        <w:t>the subsequently appointed</w:t>
      </w:r>
      <w:r w:rsidRPr="00BC6033">
        <w:t xml:space="preserve"> liquidator to </w:t>
      </w:r>
      <w:r w:rsidR="00AE590D">
        <w:t>wind up</w:t>
      </w:r>
      <w:r w:rsidRPr="00BC6033">
        <w:t>.</w:t>
      </w:r>
    </w:p>
    <w:p w14:paraId="461B9863" w14:textId="06133F7B" w:rsidR="00FA1D40" w:rsidRDefault="00AE590D" w:rsidP="004D18CC">
      <w:r>
        <w:t>T</w:t>
      </w:r>
      <w:r w:rsidR="00FA1D40">
        <w:t>he actions of these</w:t>
      </w:r>
      <w:r>
        <w:t xml:space="preserve"> unscrupulous, rogue</w:t>
      </w:r>
      <w:r w:rsidR="00FA1D40">
        <w:t xml:space="preserve"> advisers robs creditors and employees of their due claims </w:t>
      </w:r>
      <w:r w:rsidR="00B047DF">
        <w:t>and</w:t>
      </w:r>
      <w:r w:rsidR="00FA1D40">
        <w:t xml:space="preserve"> can expose unwitting directors to claims for breaches of their</w:t>
      </w:r>
      <w:r>
        <w:t xml:space="preserve"> directors’</w:t>
      </w:r>
      <w:r w:rsidR="00FA1D40">
        <w:t xml:space="preserve"> duties.</w:t>
      </w:r>
    </w:p>
    <w:p w14:paraId="705A3B06" w14:textId="1CEC4496" w:rsidR="00BC6033" w:rsidRDefault="00BC6033" w:rsidP="004D18CC">
      <w:pPr>
        <w:pStyle w:val="Heading2"/>
      </w:pPr>
      <w:bookmarkStart w:id="19" w:name="_Toc494212618"/>
      <w:r>
        <w:t>Illegal phoenixing is getting more sophisticated</w:t>
      </w:r>
      <w:bookmarkEnd w:id="19"/>
    </w:p>
    <w:p w14:paraId="564D1415" w14:textId="48A13CF5" w:rsidR="00A21DC9" w:rsidRDefault="006F4866" w:rsidP="004D18CC">
      <w:r>
        <w:t xml:space="preserve">In more sophisticated cases, </w:t>
      </w:r>
      <w:r w:rsidR="00A21DC9" w:rsidRPr="00A21DC9">
        <w:t xml:space="preserve">phoenix activity </w:t>
      </w:r>
      <w:r w:rsidR="00AE590D">
        <w:t>is</w:t>
      </w:r>
      <w:r w:rsidR="00372BC6">
        <w:t xml:space="preserve"> </w:t>
      </w:r>
      <w:r>
        <w:t xml:space="preserve">adopted as a business model, where companies are formed with the intention that </w:t>
      </w:r>
      <w:r w:rsidR="00AE590D">
        <w:t xml:space="preserve">the company’s </w:t>
      </w:r>
      <w:r>
        <w:t xml:space="preserve">debts </w:t>
      </w:r>
      <w:r w:rsidR="00372BC6">
        <w:t xml:space="preserve">will </w:t>
      </w:r>
      <w:r>
        <w:t>never be paid</w:t>
      </w:r>
      <w:r w:rsidR="00AE590D">
        <w:t>, and</w:t>
      </w:r>
      <w:r>
        <w:t xml:space="preserve"> </w:t>
      </w:r>
      <w:r w:rsidR="00AE590D">
        <w:t>the company’s</w:t>
      </w:r>
      <w:r>
        <w:t xml:space="preserve"> assets will be transferred to another company</w:t>
      </w:r>
      <w:r w:rsidR="00AE590D">
        <w:t>, in due course</w:t>
      </w:r>
      <w:r>
        <w:t>.</w:t>
      </w:r>
    </w:p>
    <w:p w14:paraId="3167C8F8" w14:textId="2D4A06EF" w:rsidR="00DE72F2" w:rsidRPr="00DE72F2" w:rsidRDefault="00DE72F2" w:rsidP="004D18CC">
      <w:r>
        <w:t>Common</w:t>
      </w:r>
      <w:r w:rsidR="00AE590D">
        <w:t xml:space="preserve"> illegal</w:t>
      </w:r>
      <w:r>
        <w:t xml:space="preserve"> </w:t>
      </w:r>
      <w:r w:rsidR="00AE590D">
        <w:t>p</w:t>
      </w:r>
      <w:r w:rsidRPr="00DE72F2">
        <w:t>hoenix</w:t>
      </w:r>
      <w:r w:rsidR="00AE590D">
        <w:t xml:space="preserve"> activities</w:t>
      </w:r>
      <w:r w:rsidRPr="00DE72F2">
        <w:t xml:space="preserve"> include:</w:t>
      </w:r>
    </w:p>
    <w:p w14:paraId="7595B047" w14:textId="60FF2D12" w:rsidR="00DE72F2" w:rsidRPr="004D18CC" w:rsidRDefault="00D76D17" w:rsidP="00AE590D">
      <w:pPr>
        <w:pStyle w:val="Bullet"/>
      </w:pPr>
      <w:r>
        <w:t>l</w:t>
      </w:r>
      <w:r w:rsidR="00DE72F2" w:rsidRPr="004D18CC">
        <w:t>odgement of Business Activity Statements (BAS)</w:t>
      </w:r>
      <w:r w:rsidR="00AE590D">
        <w:t xml:space="preserve"> after the company becomes insolvent</w:t>
      </w:r>
      <w:r w:rsidR="00C75D3F" w:rsidRPr="004D18CC">
        <w:t xml:space="preserve"> </w:t>
      </w:r>
      <w:r w:rsidR="00DE72F2" w:rsidRPr="004D18CC">
        <w:t>to obtain a refund of GST input credits, where expenses precede receipts.</w:t>
      </w:r>
      <w:r w:rsidR="00AE590D" w:rsidRPr="00AE590D">
        <w:t xml:space="preserve"> </w:t>
      </w:r>
      <w:r w:rsidR="00AE590D">
        <w:t xml:space="preserve">This activity is </w:t>
      </w:r>
      <w:r w:rsidR="00AE590D" w:rsidRPr="00AE590D">
        <w:t xml:space="preserve">common </w:t>
      </w:r>
      <w:r w:rsidR="00AE590D">
        <w:t>in certain industries, such as</w:t>
      </w:r>
      <w:r w:rsidR="00AE590D" w:rsidRPr="00AE590D">
        <w:t xml:space="preserve"> property construction</w:t>
      </w:r>
      <w:r w:rsidR="00AE590D">
        <w:t>;</w:t>
      </w:r>
    </w:p>
    <w:p w14:paraId="0A987A00" w14:textId="616F65A1" w:rsidR="00DE72F2" w:rsidRPr="004D18CC" w:rsidRDefault="00D76D17" w:rsidP="004D18CC">
      <w:pPr>
        <w:pStyle w:val="Bullet"/>
      </w:pPr>
      <w:r>
        <w:t>n</w:t>
      </w:r>
      <w:r w:rsidR="00DE72F2" w:rsidRPr="004D18CC">
        <w:t>on-lodgement and non-payment of BAS and income tax returns</w:t>
      </w:r>
      <w:r w:rsidR="00AE590D">
        <w:t>;</w:t>
      </w:r>
    </w:p>
    <w:p w14:paraId="168CFC30" w14:textId="0EC53A84" w:rsidR="00DE72F2" w:rsidRPr="004D18CC" w:rsidRDefault="00D76D17" w:rsidP="004D18CC">
      <w:pPr>
        <w:pStyle w:val="Bullet"/>
      </w:pPr>
      <w:r>
        <w:t>n</w:t>
      </w:r>
      <w:r w:rsidR="00DE72F2" w:rsidRPr="004D18CC">
        <w:t>on-payment of certain unsecured creditors</w:t>
      </w:r>
      <w:r w:rsidR="00AE590D">
        <w:t>;</w:t>
      </w:r>
    </w:p>
    <w:p w14:paraId="39B37B07" w14:textId="457EE81D" w:rsidR="00DE72F2" w:rsidRPr="004D18CC" w:rsidRDefault="00D76D17" w:rsidP="004D18CC">
      <w:pPr>
        <w:pStyle w:val="Bullet"/>
      </w:pPr>
      <w:r>
        <w:t>n</w:t>
      </w:r>
      <w:r w:rsidR="00DE72F2" w:rsidRPr="004D18CC">
        <w:t>on-payment or manipulation of employee entitlements, including Superannuation Guarantee payments</w:t>
      </w:r>
      <w:r w:rsidR="00AE590D">
        <w:t>;</w:t>
      </w:r>
    </w:p>
    <w:p w14:paraId="3583A139" w14:textId="559BDE9A" w:rsidR="00DE72F2" w:rsidRPr="004D18CC" w:rsidRDefault="00D76D17" w:rsidP="004D18CC">
      <w:pPr>
        <w:pStyle w:val="Bullet"/>
      </w:pPr>
      <w:r>
        <w:t>n</w:t>
      </w:r>
      <w:r w:rsidR="00DE72F2" w:rsidRPr="004D18CC">
        <w:t>on-payment of ASIC fees</w:t>
      </w:r>
      <w:r w:rsidR="00AE590D">
        <w:t>; and</w:t>
      </w:r>
    </w:p>
    <w:p w14:paraId="409150D2" w14:textId="387F59C3" w:rsidR="00DE72F2" w:rsidRPr="004D18CC" w:rsidRDefault="00D76D17" w:rsidP="004D18CC">
      <w:pPr>
        <w:pStyle w:val="Bullet"/>
      </w:pPr>
      <w:r>
        <w:t>u</w:t>
      </w:r>
      <w:r w:rsidR="00DE72F2" w:rsidRPr="004D18CC">
        <w:t>nde</w:t>
      </w:r>
      <w:r w:rsidR="00AE590D">
        <w:t>r-</w:t>
      </w:r>
      <w:r w:rsidR="00DE72F2" w:rsidRPr="004D18CC">
        <w:t>declaration of staff numbers</w:t>
      </w:r>
      <w:r w:rsidR="00C07D22" w:rsidRPr="004D18CC">
        <w:t xml:space="preserve"> or </w:t>
      </w:r>
      <w:r w:rsidR="00DE72F2" w:rsidRPr="004D18CC">
        <w:t>payments to state regulators (</w:t>
      </w:r>
      <w:r w:rsidR="00A125D7" w:rsidRPr="004D18CC">
        <w:t>p</w:t>
      </w:r>
      <w:r w:rsidR="00DE72F2" w:rsidRPr="004D18CC">
        <w:t>ayroll</w:t>
      </w:r>
      <w:r w:rsidR="00AE590D">
        <w:t xml:space="preserve"> tax</w:t>
      </w:r>
      <w:r w:rsidR="00DE72F2" w:rsidRPr="004D18CC">
        <w:t>, workers</w:t>
      </w:r>
      <w:r w:rsidR="00A125D7" w:rsidRPr="004D18CC">
        <w:t>’</w:t>
      </w:r>
      <w:r w:rsidR="00DE72F2" w:rsidRPr="004D18CC">
        <w:t xml:space="preserve"> compensation).</w:t>
      </w:r>
    </w:p>
    <w:p w14:paraId="3CC02727" w14:textId="581133A8" w:rsidR="00982D1F" w:rsidRDefault="00982D1F" w:rsidP="004D18CC">
      <w:r>
        <w:t xml:space="preserve">Phoenix operators may </w:t>
      </w:r>
      <w:r w:rsidR="008C1F54">
        <w:t xml:space="preserve">also </w:t>
      </w:r>
      <w:r>
        <w:t>create</w:t>
      </w:r>
      <w:r w:rsidR="00AE590D">
        <w:t xml:space="preserve"> complex</w:t>
      </w:r>
      <w:r>
        <w:t xml:space="preserve"> corporate </w:t>
      </w:r>
      <w:r w:rsidR="00AE590D">
        <w:t>structures to group</w:t>
      </w:r>
      <w:r>
        <w:t xml:space="preserve"> assets </w:t>
      </w:r>
      <w:r w:rsidR="008D5489">
        <w:t>in certain subsidiaries</w:t>
      </w:r>
      <w:r w:rsidR="00AE590D">
        <w:t>, whilst siphoning</w:t>
      </w:r>
      <w:r>
        <w:t xml:space="preserve"> liabilities into </w:t>
      </w:r>
      <w:r w:rsidR="00A125D7">
        <w:t>other</w:t>
      </w:r>
      <w:r>
        <w:t xml:space="preserve"> subsidiaries</w:t>
      </w:r>
      <w:r w:rsidR="00AE590D">
        <w:t>,</w:t>
      </w:r>
      <w:r>
        <w:t xml:space="preserve"> which can</w:t>
      </w:r>
      <w:r w:rsidR="00AE590D">
        <w:t xml:space="preserve"> subsequently be placed into liquidation</w:t>
      </w:r>
      <w:r>
        <w:t>.</w:t>
      </w:r>
    </w:p>
    <w:p w14:paraId="272E0804" w14:textId="46A9B019" w:rsidR="000340CE" w:rsidRDefault="004A3043" w:rsidP="004D18CC">
      <w:pPr>
        <w:pStyle w:val="Heading2"/>
      </w:pPr>
      <w:bookmarkStart w:id="20" w:name="_Toc493772762"/>
      <w:bookmarkStart w:id="21" w:name="_Toc494212619"/>
      <w:r>
        <w:t>Current responses to phoenixing</w:t>
      </w:r>
      <w:bookmarkEnd w:id="20"/>
      <w:bookmarkEnd w:id="21"/>
    </w:p>
    <w:p w14:paraId="76D57DD4" w14:textId="5BBF6616" w:rsidR="004A3043" w:rsidRDefault="004A3043" w:rsidP="004D18CC">
      <w:r>
        <w:t>Historically, illegal phoenixing has been tackled on an ad</w:t>
      </w:r>
      <w:r w:rsidR="0028030A">
        <w:t>-</w:t>
      </w:r>
      <w:r>
        <w:t xml:space="preserve">hoc basis by individual regulators.  This has delivered only </w:t>
      </w:r>
      <w:r w:rsidRPr="004A3043">
        <w:t xml:space="preserve">limited success because, even </w:t>
      </w:r>
      <w:r w:rsidR="00C26256">
        <w:t>where</w:t>
      </w:r>
      <w:r w:rsidRPr="004A3043">
        <w:t xml:space="preserve"> enforcement action is successful, </w:t>
      </w:r>
      <w:r w:rsidR="00C26256">
        <w:t xml:space="preserve">individual </w:t>
      </w:r>
      <w:r w:rsidRPr="004A3043">
        <w:t>regulator</w:t>
      </w:r>
      <w:r w:rsidR="006B51E6">
        <w:t>s</w:t>
      </w:r>
      <w:r w:rsidR="000F1AB2">
        <w:t xml:space="preserve"> are not adequately equipped, on an individual level,</w:t>
      </w:r>
      <w:r w:rsidRPr="004A3043">
        <w:t xml:space="preserve"> to address the</w:t>
      </w:r>
      <w:r w:rsidR="000F1AB2">
        <w:t xml:space="preserve"> problem of illegal phoenix activity</w:t>
      </w:r>
      <w:r w:rsidRPr="004A3043">
        <w:t>.</w:t>
      </w:r>
    </w:p>
    <w:p w14:paraId="7CA6EE2C" w14:textId="42D599B5" w:rsidR="004A3043" w:rsidRPr="004A3043" w:rsidRDefault="000F1AB2" w:rsidP="004D18CC">
      <w:r>
        <w:t>In order to develop</w:t>
      </w:r>
      <w:r w:rsidR="00286592">
        <w:t xml:space="preserve"> an effective, whole-of-g</w:t>
      </w:r>
      <w:r>
        <w:t xml:space="preserve">overnment response to the illegal </w:t>
      </w:r>
      <w:r w:rsidR="0080689E">
        <w:t>p</w:t>
      </w:r>
      <w:r>
        <w:t xml:space="preserve">hoenixing problem, </w:t>
      </w:r>
      <w:r w:rsidR="004A3043">
        <w:t>the Governmen</w:t>
      </w:r>
      <w:r>
        <w:t>t</w:t>
      </w:r>
      <w:r w:rsidR="004A3043">
        <w:t xml:space="preserve"> established a number of taskforces to </w:t>
      </w:r>
      <w:r w:rsidR="00810B03">
        <w:t>facilitate</w:t>
      </w:r>
      <w:r w:rsidR="004A3043">
        <w:t xml:space="preserve"> cross-agency co-operation and enforcement.</w:t>
      </w:r>
    </w:p>
    <w:p w14:paraId="36E1FF3B" w14:textId="01295297" w:rsidR="00A21DC9" w:rsidRDefault="00C21F10" w:rsidP="004D18CC">
      <w:pPr>
        <w:pStyle w:val="Heading2"/>
      </w:pPr>
      <w:bookmarkStart w:id="22" w:name="_Toc493772763"/>
      <w:bookmarkStart w:id="23" w:name="_Toc494212620"/>
      <w:r>
        <w:t xml:space="preserve">The </w:t>
      </w:r>
      <w:r w:rsidR="006F4866">
        <w:t>Government’s</w:t>
      </w:r>
      <w:r>
        <w:t xml:space="preserve"> Taskforce</w:t>
      </w:r>
      <w:r w:rsidR="006F4866">
        <w:t>s</w:t>
      </w:r>
      <w:bookmarkEnd w:id="22"/>
      <w:bookmarkEnd w:id="23"/>
    </w:p>
    <w:p w14:paraId="2385AE92" w14:textId="39C7D4B6" w:rsidR="00D40B6B" w:rsidRDefault="00D40B6B" w:rsidP="004D18CC">
      <w:r w:rsidRPr="00D40B6B">
        <w:t xml:space="preserve">The Government established </w:t>
      </w:r>
      <w:r>
        <w:t>the</w:t>
      </w:r>
      <w:r w:rsidRPr="00D40B6B">
        <w:t xml:space="preserve"> Phoenix Taskforce in 2014, and </w:t>
      </w:r>
      <w:r w:rsidR="00C268B2">
        <w:t xml:space="preserve">the </w:t>
      </w:r>
      <w:r w:rsidRPr="00D40B6B">
        <w:t xml:space="preserve">Serious Financial Crimes and Black Economy Taskforces </w:t>
      </w:r>
      <w:r>
        <w:t xml:space="preserve">in 2015 and 2016 respectively. The Taskforces have each focussed on combatting </w:t>
      </w:r>
      <w:r w:rsidR="00810B03">
        <w:t xml:space="preserve">illegal </w:t>
      </w:r>
      <w:r>
        <w:t>phoenixing and have provided extensive advice to Government.</w:t>
      </w:r>
    </w:p>
    <w:p w14:paraId="761E66C8" w14:textId="0D7AF103" w:rsidR="00D40B6B" w:rsidRDefault="00D40B6B" w:rsidP="004D18CC">
      <w:pPr>
        <w:pStyle w:val="Heading3"/>
      </w:pPr>
      <w:r>
        <w:t>Serious Financial Crimes Taskforce</w:t>
      </w:r>
    </w:p>
    <w:p w14:paraId="29521113" w14:textId="30380530" w:rsidR="006F4866" w:rsidRPr="006F4866" w:rsidRDefault="006F4866" w:rsidP="004D18CC">
      <w:r w:rsidRPr="006F4866">
        <w:t xml:space="preserve">The Serious Financial Crime Taskforce (SFCT) is part of the </w:t>
      </w:r>
      <w:r w:rsidR="00D23273">
        <w:t>Australian Federal Police</w:t>
      </w:r>
      <w:r w:rsidRPr="006F4866">
        <w:t xml:space="preserve">-led Fraud and Anti-Corruption Centre. The Taskforce, which includes </w:t>
      </w:r>
      <w:r w:rsidR="00ED1462">
        <w:t xml:space="preserve">the Australian Securities and </w:t>
      </w:r>
      <w:r w:rsidR="00172616">
        <w:t>I</w:t>
      </w:r>
      <w:r w:rsidR="00ED1462">
        <w:t>nvestments Commission</w:t>
      </w:r>
      <w:r w:rsidRPr="006F4866">
        <w:t xml:space="preserve"> </w:t>
      </w:r>
      <w:r w:rsidR="00ED1462">
        <w:t>(</w:t>
      </w:r>
      <w:r w:rsidRPr="006F4866">
        <w:t>ASIC</w:t>
      </w:r>
      <w:r w:rsidR="00ED1462">
        <w:t>)</w:t>
      </w:r>
      <w:r w:rsidRPr="006F4866">
        <w:t xml:space="preserve">, </w:t>
      </w:r>
      <w:r w:rsidR="00ED1462">
        <w:t>the Australian Transaction Reports and Analysis Centre (</w:t>
      </w:r>
      <w:r w:rsidRPr="006F4866">
        <w:t>AUSTRAC</w:t>
      </w:r>
      <w:r w:rsidR="00ED1462">
        <w:t>)</w:t>
      </w:r>
      <w:r w:rsidRPr="006F4866">
        <w:t xml:space="preserve">, the ATO and other Commonwealth agencies, is responsible for investigations and prosecutions for serious and complex financial crimes </w:t>
      </w:r>
      <w:r w:rsidR="00C26256">
        <w:t>including</w:t>
      </w:r>
      <w:r w:rsidRPr="006F4866">
        <w:t xml:space="preserve"> </w:t>
      </w:r>
      <w:r w:rsidR="003F6B2B">
        <w:t>illegal</w:t>
      </w:r>
      <w:r w:rsidR="003F6B2B" w:rsidRPr="006F4866">
        <w:t xml:space="preserve"> </w:t>
      </w:r>
      <w:r w:rsidRPr="006F4866">
        <w:t>phoenix activity.</w:t>
      </w:r>
    </w:p>
    <w:p w14:paraId="672C249E" w14:textId="407CBCB5" w:rsidR="00D40B6B" w:rsidRDefault="00D40B6B" w:rsidP="004D18CC">
      <w:pPr>
        <w:pStyle w:val="Heading3"/>
      </w:pPr>
      <w:r>
        <w:t>Black Economy Taskforce</w:t>
      </w:r>
    </w:p>
    <w:p w14:paraId="1100674B" w14:textId="7673DA92" w:rsidR="00D40B6B" w:rsidRPr="00D40B6B" w:rsidRDefault="00D40B6B" w:rsidP="004D18CC">
      <w:r w:rsidRPr="00D40B6B">
        <w:t>The Government established the Black Economy Taskforce to develop an innovative, forward-looking</w:t>
      </w:r>
      <w:r w:rsidR="00CA7DA4">
        <w:t xml:space="preserve"> and</w:t>
      </w:r>
      <w:r w:rsidRPr="00D40B6B">
        <w:t xml:space="preserve"> whole-of-government policy response to combat the black economy in Australia. The Taskforce is chaired by Mr Michael Andrew AO, former global head of KPMG and current Chair of the Board of Taxation.</w:t>
      </w:r>
    </w:p>
    <w:p w14:paraId="7329E98B" w14:textId="7B521955" w:rsidR="00FF051B" w:rsidRDefault="00D40B6B" w:rsidP="004D18CC">
      <w:r w:rsidRPr="00D40B6B">
        <w:t>The Black Economy Taskforce has been considering the phoenixing problem in its review.</w:t>
      </w:r>
    </w:p>
    <w:p w14:paraId="0C604393" w14:textId="33EB3E2A" w:rsidR="00D40B6B" w:rsidRPr="00D40B6B" w:rsidRDefault="00D40B6B" w:rsidP="004D18CC">
      <w:r w:rsidRPr="00D40B6B">
        <w:t xml:space="preserve">The Taskforce canvassed a number of reforms in its </w:t>
      </w:r>
      <w:r w:rsidRPr="00FF051B">
        <w:rPr>
          <w:i/>
        </w:rPr>
        <w:t>Interim Report and Additional Policy Ideas</w:t>
      </w:r>
      <w:r w:rsidRPr="00D40B6B">
        <w:t xml:space="preserve"> consultation paper to help counter the phoenixing problem</w:t>
      </w:r>
      <w:r w:rsidR="00494E7C">
        <w:t>,</w:t>
      </w:r>
      <w:r w:rsidRPr="00D40B6B">
        <w:t xml:space="preserve"> including identity related initiatives, reforms to the Australian Business Number system and government procurement. The Taskforce's final report is due to </w:t>
      </w:r>
      <w:r w:rsidR="00A50208">
        <w:t>the</w:t>
      </w:r>
      <w:r w:rsidRPr="00D40B6B">
        <w:t xml:space="preserve"> </w:t>
      </w:r>
      <w:r w:rsidR="00A50208">
        <w:t>G</w:t>
      </w:r>
      <w:r w:rsidRPr="00D40B6B">
        <w:t>overnment by the end of October.</w:t>
      </w:r>
    </w:p>
    <w:p w14:paraId="640D0D61" w14:textId="5778AC3A" w:rsidR="00D40B6B" w:rsidRPr="00D40B6B" w:rsidRDefault="00FF051B" w:rsidP="004D18CC">
      <w:pPr>
        <w:pStyle w:val="Heading3"/>
      </w:pPr>
      <w:r>
        <w:t>Phoenix Taskf</w:t>
      </w:r>
      <w:r w:rsidR="00D40B6B">
        <w:t>o</w:t>
      </w:r>
      <w:r>
        <w:t>r</w:t>
      </w:r>
      <w:r w:rsidR="00D40B6B">
        <w:t>ce</w:t>
      </w:r>
    </w:p>
    <w:p w14:paraId="21526069" w14:textId="3DA69AD9" w:rsidR="00D40B6B" w:rsidRDefault="00FF051B" w:rsidP="004D18CC">
      <w:r w:rsidRPr="00FF051B">
        <w:t xml:space="preserve">The Government’s on-going Phoenix </w:t>
      </w:r>
      <w:r w:rsidR="00D40B6B" w:rsidRPr="00D40B6B">
        <w:t>Taskforce comprises over 20 Federal, State and Territory government agencies and provides a whole-of-government approach to combatting illegal phoenix activity.</w:t>
      </w:r>
    </w:p>
    <w:p w14:paraId="6B32255E" w14:textId="67411C9F" w:rsidR="00C875EA" w:rsidRDefault="00FF051B" w:rsidP="004D18CC">
      <w:r>
        <w:t xml:space="preserve">The Phoenix </w:t>
      </w:r>
      <w:r w:rsidRPr="00FF051B">
        <w:t>Taskforce is a crucial player in countering</w:t>
      </w:r>
      <w:r w:rsidR="00810B03">
        <w:t xml:space="preserve"> illegal</w:t>
      </w:r>
      <w:r w:rsidRPr="00FF051B">
        <w:t xml:space="preserve"> phoenix activity</w:t>
      </w:r>
      <w:r w:rsidR="007353E9">
        <w:t>,</w:t>
      </w:r>
      <w:r w:rsidR="00797283">
        <w:t xml:space="preserve"> and</w:t>
      </w:r>
      <w:r w:rsidR="00C875EA">
        <w:t xml:space="preserve"> has provided a confidential report to the Government</w:t>
      </w:r>
      <w:r w:rsidR="00C875EA" w:rsidRPr="007F7393">
        <w:t xml:space="preserve"> </w:t>
      </w:r>
      <w:r w:rsidR="00C875EA">
        <w:t>which shows that t</w:t>
      </w:r>
      <w:r w:rsidR="00C875EA" w:rsidRPr="007F7393">
        <w:t>he detection, deterrence and disruption activities undertaken by Phoenix Taskforce agencies are starting to have an impact on the problem</w:t>
      </w:r>
      <w:r w:rsidR="00C875EA">
        <w:t>. However, the Phoenix Taskforce has also concluded that there is scope for the existing laws to be amended to better address phoenix activity.</w:t>
      </w:r>
    </w:p>
    <w:p w14:paraId="590255B8" w14:textId="5D92F3AA" w:rsidR="000E0B74" w:rsidRDefault="00937BA1" w:rsidP="004D18CC">
      <w:pPr>
        <w:pStyle w:val="Heading2"/>
      </w:pPr>
      <w:bookmarkStart w:id="24" w:name="_Toc493772764"/>
      <w:bookmarkStart w:id="25" w:name="_Toc494212621"/>
      <w:r>
        <w:t>Why we are consulting</w:t>
      </w:r>
      <w:bookmarkEnd w:id="24"/>
      <w:bookmarkEnd w:id="25"/>
    </w:p>
    <w:p w14:paraId="64F2C2BF" w14:textId="5C94AE23" w:rsidR="00E302FE" w:rsidRPr="00D81060" w:rsidRDefault="003D421C" w:rsidP="004D18CC">
      <w:r>
        <w:t>T</w:t>
      </w:r>
      <w:r w:rsidR="00DF1B47">
        <w:t>he steps</w:t>
      </w:r>
      <w:r w:rsidR="00810B03">
        <w:t xml:space="preserve"> involved</w:t>
      </w:r>
      <w:r w:rsidR="00DF1B47">
        <w:t xml:space="preserve"> in illegal phoenix</w:t>
      </w:r>
      <w:r w:rsidR="0032555E">
        <w:t>ing</w:t>
      </w:r>
      <w:r w:rsidR="00DF1B47">
        <w:t xml:space="preserve"> may be largely identical to those</w:t>
      </w:r>
      <w:r w:rsidR="00810B03">
        <w:t xml:space="preserve"> involved</w:t>
      </w:r>
      <w:r w:rsidR="00DF1B47">
        <w:t xml:space="preserve"> in </w:t>
      </w:r>
      <w:r w:rsidR="00810B03">
        <w:t>honest</w:t>
      </w:r>
      <w:r w:rsidR="00DF1B47">
        <w:t xml:space="preserve"> business rescue</w:t>
      </w:r>
      <w:r>
        <w:t>.</w:t>
      </w:r>
      <w:r w:rsidR="00DF1B47">
        <w:t xml:space="preserve"> </w:t>
      </w:r>
      <w:r>
        <w:t>T</w:t>
      </w:r>
      <w:r w:rsidR="00E302FE">
        <w:t>he difference between illegal phoenixing and</w:t>
      </w:r>
      <w:r w:rsidR="00BE1F32">
        <w:t xml:space="preserve"> honest</w:t>
      </w:r>
      <w:r w:rsidR="00E302FE">
        <w:t xml:space="preserve"> business rescue (or restructure)</w:t>
      </w:r>
      <w:r w:rsidR="005D3DAC">
        <w:t xml:space="preserve"> activities</w:t>
      </w:r>
      <w:r w:rsidR="00E302FE">
        <w:t xml:space="preserve"> largely hinges on the question of </w:t>
      </w:r>
      <w:r>
        <w:t>whether</w:t>
      </w:r>
      <w:r w:rsidR="005D3DAC">
        <w:t xml:space="preserve"> the</w:t>
      </w:r>
      <w:r>
        <w:t xml:space="preserve"> company</w:t>
      </w:r>
      <w:r w:rsidR="005D3DAC">
        <w:t>’s</w:t>
      </w:r>
      <w:r>
        <w:t xml:space="preserve"> controllers’ intent is</w:t>
      </w:r>
      <w:r w:rsidR="005D3DAC">
        <w:t xml:space="preserve"> genuine and</w:t>
      </w:r>
      <w:r>
        <w:t xml:space="preserve"> honest or </w:t>
      </w:r>
      <w:r w:rsidR="00D600A0">
        <w:t xml:space="preserve">illegitimate – </w:t>
      </w:r>
      <w:r w:rsidR="005D3DAC">
        <w:t>namely to avoid payment of liabilities</w:t>
      </w:r>
      <w:r>
        <w:t>. This</w:t>
      </w:r>
      <w:r w:rsidR="00E302FE">
        <w:t xml:space="preserve"> </w:t>
      </w:r>
      <w:r w:rsidR="00DF1B47">
        <w:t xml:space="preserve">is difficult to prove to the </w:t>
      </w:r>
      <w:r w:rsidR="00E302FE">
        <w:t xml:space="preserve">requisite </w:t>
      </w:r>
      <w:r w:rsidR="00DF1B47">
        <w:t xml:space="preserve">legal </w:t>
      </w:r>
      <w:r w:rsidR="00E302FE">
        <w:t>standard.</w:t>
      </w:r>
    </w:p>
    <w:p w14:paraId="1AC1BFC6" w14:textId="38EDA63E" w:rsidR="00033192" w:rsidRDefault="00033192" w:rsidP="004D18CC">
      <w:r w:rsidRPr="00033192">
        <w:t>Historically</w:t>
      </w:r>
      <w:r>
        <w:t>, a</w:t>
      </w:r>
      <w:r w:rsidRPr="00033192">
        <w:t>ttempts to define ‘illegal phoenix activity’ have proved either too narrow and thus easily avoided, or too wide, thus capturing legitimate business rescues</w:t>
      </w:r>
      <w:r>
        <w:t>.</w:t>
      </w:r>
    </w:p>
    <w:p w14:paraId="525742C3" w14:textId="27C64580" w:rsidR="00E302FE" w:rsidRDefault="00E302FE" w:rsidP="004D18CC">
      <w:r w:rsidRPr="00D81060">
        <w:t xml:space="preserve">Current legislation lacks the strategic design to effectively deter and combat increasingly sophisticated phoenix activity. The existing regulatory toolkit is resource intensive and inefficient and focuses too heavily on enforcement and prosecution </w:t>
      </w:r>
      <w:r w:rsidR="003D421C">
        <w:t>rather than</w:t>
      </w:r>
      <w:r w:rsidRPr="00D81060">
        <w:t xml:space="preserve"> </w:t>
      </w:r>
      <w:r>
        <w:t>deterrence</w:t>
      </w:r>
      <w:r w:rsidRPr="00D81060">
        <w:t>.</w:t>
      </w:r>
    </w:p>
    <w:p w14:paraId="208AD23C" w14:textId="4EE96256" w:rsidR="005A0121" w:rsidRDefault="005A0121" w:rsidP="004D18CC">
      <w:r>
        <w:t xml:space="preserve">New tools are needed to combat phoenixing in an efficient and timely manner to protect creditors, competitors, employees and </w:t>
      </w:r>
      <w:r w:rsidR="00416AA6">
        <w:t>Australian</w:t>
      </w:r>
      <w:r>
        <w:t xml:space="preserve"> taxpayer</w:t>
      </w:r>
      <w:r w:rsidR="00416AA6">
        <w:t>s</w:t>
      </w:r>
      <w:r>
        <w:t>.</w:t>
      </w:r>
    </w:p>
    <w:p w14:paraId="47E111AF" w14:textId="7C6518BC" w:rsidR="00937BA1" w:rsidRDefault="003D421C" w:rsidP="004D18CC">
      <w:pPr>
        <w:pStyle w:val="Heading2"/>
      </w:pPr>
      <w:bookmarkStart w:id="26" w:name="_Toc493772765"/>
      <w:bookmarkStart w:id="27" w:name="_Toc494212622"/>
      <w:r>
        <w:t>The aim of the p</w:t>
      </w:r>
      <w:r w:rsidR="00937BA1">
        <w:t>roposed reforms</w:t>
      </w:r>
      <w:bookmarkEnd w:id="26"/>
      <w:bookmarkEnd w:id="27"/>
    </w:p>
    <w:p w14:paraId="6A151B20" w14:textId="6130A0C0" w:rsidR="00E302FE" w:rsidRDefault="00166563" w:rsidP="004D18CC">
      <w:r w:rsidRPr="00D81060">
        <w:t>This Consultation Paper seeks feedback on a number of law reform proposals</w:t>
      </w:r>
      <w:r w:rsidR="00416AA6">
        <w:t xml:space="preserve"> which are</w:t>
      </w:r>
      <w:r w:rsidR="005A0121">
        <w:t xml:space="preserve"> </w:t>
      </w:r>
      <w:r w:rsidRPr="00D81060">
        <w:t>based on recommendations made by the Government’s Phoenix and Black Economy Taskforces.</w:t>
      </w:r>
    </w:p>
    <w:p w14:paraId="28F84780" w14:textId="6A6E4D1D" w:rsidR="003D421C" w:rsidRPr="007F7393" w:rsidRDefault="003D421C" w:rsidP="004D18CC">
      <w:r>
        <w:t xml:space="preserve">The aim of the reforms is to deter and disrupt illegal phoenix activity and </w:t>
      </w:r>
      <w:r w:rsidRPr="00895785">
        <w:t xml:space="preserve">remove the unfair competitive advantage that </w:t>
      </w:r>
      <w:r w:rsidR="00416AA6">
        <w:t>flows from this</w:t>
      </w:r>
      <w:r w:rsidRPr="00895785">
        <w:t>, while minimising any unintended impacts on legitimate businesses and honest restructuring.</w:t>
      </w:r>
    </w:p>
    <w:p w14:paraId="7050CEC9" w14:textId="73D769E7" w:rsidR="00E302FE" w:rsidRDefault="00E302FE" w:rsidP="004D18CC">
      <w:r>
        <w:t xml:space="preserve">The </w:t>
      </w:r>
      <w:r w:rsidR="002E621F">
        <w:t>measures</w:t>
      </w:r>
      <w:r>
        <w:t xml:space="preserve"> we are consulting on propose certain changes to assist</w:t>
      </w:r>
      <w:r w:rsidR="00416AA6">
        <w:t xml:space="preserve"> the</w:t>
      </w:r>
      <w:r>
        <w:t xml:space="preserve"> </w:t>
      </w:r>
      <w:r w:rsidRPr="00895785">
        <w:t xml:space="preserve">regulators </w:t>
      </w:r>
      <w:r>
        <w:t>to</w:t>
      </w:r>
      <w:r w:rsidRPr="00895785">
        <w:t xml:space="preserve"> better target those who repeatedly misuse corporate structures</w:t>
      </w:r>
      <w:r w:rsidR="00416AA6">
        <w:t>,</w:t>
      </w:r>
      <w:r w:rsidRPr="00895785">
        <w:t xml:space="preserve"> and </w:t>
      </w:r>
      <w:r w:rsidR="00416AA6">
        <w:t xml:space="preserve">to </w:t>
      </w:r>
      <w:r w:rsidRPr="00895785">
        <w:t xml:space="preserve">enable </w:t>
      </w:r>
      <w:r>
        <w:t>them</w:t>
      </w:r>
      <w:r w:rsidRPr="00895785">
        <w:t xml:space="preserve"> to take stronger action against those individuals</w:t>
      </w:r>
      <w:r>
        <w:t>.</w:t>
      </w:r>
    </w:p>
    <w:p w14:paraId="3A1438DC" w14:textId="6BF19AAD" w:rsidR="00D81060" w:rsidRDefault="00D81060" w:rsidP="004D18CC">
      <w:r w:rsidRPr="00FD7C51">
        <w:t xml:space="preserve">The paper sets out a number of possible changes to the current </w:t>
      </w:r>
      <w:r w:rsidR="004202FE">
        <w:t>corporations and taxation laws to support the Government’s anti-phoenixing agenda.</w:t>
      </w:r>
    </w:p>
    <w:p w14:paraId="2FE4A7D3" w14:textId="5D02F5D7" w:rsidR="00D81060" w:rsidRDefault="00D81060" w:rsidP="004D18CC">
      <w:r w:rsidRPr="00D81060">
        <w:t xml:space="preserve">The paper </w:t>
      </w:r>
      <w:r w:rsidR="00416AA6">
        <w:t>seeks</w:t>
      </w:r>
      <w:r w:rsidRPr="00D81060">
        <w:t xml:space="preserve"> submissions on whether these changes should be adopted wholly</w:t>
      </w:r>
      <w:r w:rsidR="00416AA6">
        <w:t>,</w:t>
      </w:r>
      <w:r w:rsidRPr="00D81060">
        <w:t xml:space="preserve"> or </w:t>
      </w:r>
      <w:r w:rsidR="00416AA6">
        <w:t xml:space="preserve">in </w:t>
      </w:r>
      <w:r w:rsidRPr="00D81060">
        <w:t xml:space="preserve">part, or if other changes </w:t>
      </w:r>
      <w:r>
        <w:t>are necessary or desirable to better address the problem of illegal phoenixing.</w:t>
      </w:r>
    </w:p>
    <w:p w14:paraId="49DAB898" w14:textId="2693B4E4" w:rsidR="00D81060" w:rsidRDefault="003D421C" w:rsidP="004D18CC">
      <w:r>
        <w:t>The</w:t>
      </w:r>
      <w:r w:rsidR="00D81060" w:rsidRPr="006E4583">
        <w:t xml:space="preserve"> amendments proposed to the law </w:t>
      </w:r>
      <w:r w:rsidR="00D81060">
        <w:t>target</w:t>
      </w:r>
      <w:r w:rsidR="00416AA6">
        <w:t xml:space="preserve"> illegal</w:t>
      </w:r>
      <w:r w:rsidR="00D81060">
        <w:t xml:space="preserve"> phoenix</w:t>
      </w:r>
      <w:r w:rsidR="00416AA6">
        <w:t xml:space="preserve"> activity, both those who engage in it</w:t>
      </w:r>
      <w:r w:rsidR="00D81060">
        <w:t xml:space="preserve"> and those who facilitate it.  The reforms set out in this paper are intended to comple</w:t>
      </w:r>
      <w:r w:rsidR="00D81060" w:rsidRPr="00F954AC">
        <w:t>ment and support other</w:t>
      </w:r>
      <w:r w:rsidR="00D81060">
        <w:t xml:space="preserve"> </w:t>
      </w:r>
      <w:r w:rsidR="00D81060" w:rsidRPr="00F954AC">
        <w:t xml:space="preserve">Government </w:t>
      </w:r>
      <w:r w:rsidR="00416AA6">
        <w:t>actions in this area</w:t>
      </w:r>
      <w:r w:rsidR="00D81060">
        <w:t>, and strike an appropriate balance between deterring and disrupting illegal behaviour</w:t>
      </w:r>
      <w:r w:rsidR="00416AA6">
        <w:t>, whilst supporting innovation and entrepreneurialism</w:t>
      </w:r>
      <w:r w:rsidR="00D81060">
        <w:t>.</w:t>
      </w:r>
    </w:p>
    <w:p w14:paraId="7219F537" w14:textId="2A4CA0E2" w:rsidR="00F11DA8" w:rsidRDefault="000A5E18" w:rsidP="004D18CC">
      <w:r w:rsidRPr="00CE378E">
        <w:t xml:space="preserve">Accordingly, while some of the law reform proposals in this paper will impact the entire corporate </w:t>
      </w:r>
      <w:r w:rsidR="00416AA6" w:rsidRPr="00CE378E">
        <w:t xml:space="preserve">and taxation </w:t>
      </w:r>
      <w:r w:rsidRPr="00CE378E">
        <w:t>framework</w:t>
      </w:r>
      <w:r w:rsidR="003D421C" w:rsidRPr="00CE378E">
        <w:t xml:space="preserve"> (Part One)</w:t>
      </w:r>
      <w:r w:rsidRPr="00CE378E">
        <w:t xml:space="preserve">, there are a number of law reforms which will be tightly targeted at only </w:t>
      </w:r>
      <w:r w:rsidR="00564A8A" w:rsidRPr="00CE378E">
        <w:t xml:space="preserve">those involved in </w:t>
      </w:r>
      <w:r w:rsidRPr="00CE378E">
        <w:t>the most egregious phoenix activity</w:t>
      </w:r>
      <w:r w:rsidR="00D23273" w:rsidRPr="00CE378E">
        <w:t xml:space="preserve"> (Part Two)</w:t>
      </w:r>
      <w:r w:rsidR="00865A90" w:rsidRPr="00CE378E">
        <w:t>.</w:t>
      </w:r>
    </w:p>
    <w:p w14:paraId="636D5C2C" w14:textId="6FAA5D64" w:rsidR="000A5E18" w:rsidRPr="004D18CC" w:rsidRDefault="000A5E18" w:rsidP="004D18CC"/>
    <w:p w14:paraId="1D668D25" w14:textId="77777777" w:rsidR="00F11DA8" w:rsidRPr="004D18CC" w:rsidRDefault="00F11DA8" w:rsidP="004D18CC">
      <w:bookmarkStart w:id="28" w:name="_Toc493772766"/>
    </w:p>
    <w:p w14:paraId="024178F8" w14:textId="77777777" w:rsidR="00F11DA8" w:rsidRPr="004D18CC" w:rsidRDefault="00F11DA8" w:rsidP="004D18CC">
      <w:pPr>
        <w:sectPr w:rsidR="00F11DA8" w:rsidRPr="004D18CC" w:rsidSect="004D18CC">
          <w:headerReference w:type="even" r:id="rId34"/>
          <w:headerReference w:type="default" r:id="rId35"/>
          <w:footerReference w:type="even" r:id="rId36"/>
          <w:headerReference w:type="first" r:id="rId37"/>
          <w:footerReference w:type="first" r:id="rId38"/>
          <w:type w:val="oddPage"/>
          <w:pgSz w:w="11906" w:h="16838" w:code="9"/>
          <w:pgMar w:top="1418" w:right="1418" w:bottom="1418" w:left="1418" w:header="709" w:footer="709" w:gutter="0"/>
          <w:pgNumType w:start="1"/>
          <w:cols w:space="708"/>
          <w:titlePg/>
          <w:docGrid w:linePitch="360"/>
        </w:sectPr>
      </w:pPr>
    </w:p>
    <w:p w14:paraId="6143476A" w14:textId="2275D484" w:rsidR="008C1F54" w:rsidRDefault="0072420F" w:rsidP="004D18CC">
      <w:pPr>
        <w:pStyle w:val="Heading1"/>
      </w:pPr>
      <w:bookmarkStart w:id="29" w:name="_Toc494212623"/>
      <w:r>
        <w:t xml:space="preserve">Part One – Broad </w:t>
      </w:r>
      <w:r w:rsidR="008C1F54">
        <w:t>Reforms</w:t>
      </w:r>
      <w:bookmarkEnd w:id="28"/>
      <w:bookmarkEnd w:id="29"/>
    </w:p>
    <w:p w14:paraId="7D25B75E" w14:textId="07F2FDDC" w:rsidR="003327BB" w:rsidRPr="004D18CC" w:rsidRDefault="00F11DA8" w:rsidP="004D18CC">
      <w:pPr>
        <w:pStyle w:val="Heading2"/>
      </w:pPr>
      <w:bookmarkStart w:id="30" w:name="_Toc493772767"/>
      <w:bookmarkStart w:id="31" w:name="_Toc494212624"/>
      <w:r w:rsidRPr="004D18CC">
        <w:t>1.</w:t>
      </w:r>
      <w:r w:rsidRPr="004D18CC">
        <w:tab/>
      </w:r>
      <w:r w:rsidR="00577EA2" w:rsidRPr="004D18CC">
        <w:t>Identifying illegal phoenix activity</w:t>
      </w:r>
      <w:r w:rsidR="003327BB" w:rsidRPr="004D18CC">
        <w:t xml:space="preserve"> – a Phoenix Hotline</w:t>
      </w:r>
      <w:bookmarkEnd w:id="30"/>
      <w:bookmarkEnd w:id="31"/>
    </w:p>
    <w:p w14:paraId="68779635" w14:textId="60A1A624" w:rsidR="00667814" w:rsidRDefault="00667814" w:rsidP="004D18CC">
      <w:pPr>
        <w:pStyle w:val="Heading3"/>
      </w:pPr>
      <w:r>
        <w:t xml:space="preserve">Current </w:t>
      </w:r>
      <w:r w:rsidR="000E3214" w:rsidRPr="004D18CC">
        <w:t>s</w:t>
      </w:r>
      <w:r w:rsidRPr="004D18CC">
        <w:t>ituation</w:t>
      </w:r>
    </w:p>
    <w:p w14:paraId="78E8FE3F" w14:textId="3324D120" w:rsidR="003327BB" w:rsidRPr="003327BB" w:rsidRDefault="003327BB" w:rsidP="004D18CC">
      <w:r w:rsidRPr="003327BB">
        <w:t xml:space="preserve">Several agencies such as ASIC and the ATO operate ‘hotlines’ or similar systems that allow the public to communicate concerns, including in relation to </w:t>
      </w:r>
      <w:r w:rsidR="00416AA6">
        <w:t xml:space="preserve">illegal </w:t>
      </w:r>
      <w:r w:rsidRPr="003327BB">
        <w:t>phoenix</w:t>
      </w:r>
      <w:r>
        <w:t xml:space="preserve"> activity</w:t>
      </w:r>
      <w:r w:rsidRPr="003327BB">
        <w:t>.</w:t>
      </w:r>
    </w:p>
    <w:p w14:paraId="5C8E81DD" w14:textId="0B8F599C" w:rsidR="003327BB" w:rsidRDefault="003327BB" w:rsidP="004D18CC">
      <w:r w:rsidRPr="003327BB">
        <w:t>While there are increasing levels of co-ordination between agencies, it is possible that information reported by members of the public, employees, or creditors is not well matched with a report about the same phoenix operator from a different source reported to another agency.</w:t>
      </w:r>
    </w:p>
    <w:p w14:paraId="1D6EC148" w14:textId="6218EF33" w:rsidR="003327BB" w:rsidRPr="003327BB" w:rsidRDefault="003327BB" w:rsidP="004D18CC">
      <w:r w:rsidRPr="003327BB">
        <w:t>Further, even if two agencies do match independent reports of information, there is not necessarily a strong mechanism to ensure that other relevant agencies with an interest in the information will receive a copy of the information.</w:t>
      </w:r>
    </w:p>
    <w:p w14:paraId="274B4A89" w14:textId="346F9E3A" w:rsidR="00667814" w:rsidRPr="003327BB" w:rsidRDefault="00FC0516" w:rsidP="004D18CC">
      <w:pPr>
        <w:pStyle w:val="Heading3"/>
      </w:pPr>
      <w:r>
        <w:t xml:space="preserve">Proposed </w:t>
      </w:r>
      <w:r w:rsidR="000E3214">
        <w:t>r</w:t>
      </w:r>
      <w:r w:rsidR="00667814">
        <w:t>eform</w:t>
      </w:r>
    </w:p>
    <w:p w14:paraId="3CF9AD84" w14:textId="156D73CA" w:rsidR="003327BB" w:rsidRPr="003327BB" w:rsidRDefault="003327BB" w:rsidP="004D18CC">
      <w:r w:rsidRPr="003327BB">
        <w:t xml:space="preserve">The Phoenix Taskforce </w:t>
      </w:r>
      <w:r>
        <w:t>ha</w:t>
      </w:r>
      <w:r w:rsidR="00416AA6">
        <w:t>s</w:t>
      </w:r>
      <w:r>
        <w:t xml:space="preserve"> developed a </w:t>
      </w:r>
      <w:r w:rsidRPr="003327BB">
        <w:t xml:space="preserve">robust distribution mechanism </w:t>
      </w:r>
      <w:r>
        <w:t>to</w:t>
      </w:r>
      <w:r w:rsidRPr="003327BB">
        <w:t xml:space="preserve"> allow for information from the members of the Taskforce to be collated and shared.</w:t>
      </w:r>
    </w:p>
    <w:p w14:paraId="518269EF" w14:textId="4BC5E62F" w:rsidR="003327BB" w:rsidRPr="003327BB" w:rsidRDefault="00F30202" w:rsidP="004D18CC">
      <w:r w:rsidRPr="00CE378E">
        <w:t>T</w:t>
      </w:r>
      <w:r w:rsidR="003327BB" w:rsidRPr="00CE378E">
        <w:t>o help in the collation</w:t>
      </w:r>
      <w:r w:rsidR="00416AA6" w:rsidRPr="00CE378E">
        <w:t xml:space="preserve"> and distribution</w:t>
      </w:r>
      <w:r w:rsidR="003327BB" w:rsidRPr="00CE378E">
        <w:t xml:space="preserve"> of information, the</w:t>
      </w:r>
      <w:r w:rsidR="00377A36" w:rsidRPr="00CE378E">
        <w:t xml:space="preserve"> ATO, or whichever agency is best placed to do so</w:t>
      </w:r>
      <w:r w:rsidR="003327BB" w:rsidRPr="00CE378E">
        <w:t>, could operate a singular ‘phoenix hotline’ such that any information reported by the community about phoenix concerns could be shared with all members of the Taskforce.</w:t>
      </w:r>
    </w:p>
    <w:p w14:paraId="1326CC85" w14:textId="2E80EAE7" w:rsidR="003327BB" w:rsidRPr="003327BB" w:rsidRDefault="003327BB" w:rsidP="004D18CC">
      <w:r w:rsidRPr="003327BB">
        <w:t>The ‘hotline’ itself may be one or more of many channels</w:t>
      </w:r>
      <w:r w:rsidR="007174CF">
        <w:t>, including</w:t>
      </w:r>
      <w:r w:rsidRPr="003327BB">
        <w:t xml:space="preserve"> telephon</w:t>
      </w:r>
      <w:r w:rsidR="007174CF">
        <w:t>e</w:t>
      </w:r>
      <w:r w:rsidRPr="003327BB">
        <w:t xml:space="preserve">, e-mail, smartphone application </w:t>
      </w:r>
      <w:r w:rsidR="007174CF">
        <w:t>and</w:t>
      </w:r>
      <w:r w:rsidRPr="003327BB">
        <w:t xml:space="preserve"> physical mail to accommodate </w:t>
      </w:r>
      <w:r w:rsidR="00A86D24">
        <w:t>the</w:t>
      </w:r>
      <w:r w:rsidR="007174CF">
        <w:t xml:space="preserve"> entire</w:t>
      </w:r>
      <w:r w:rsidRPr="003327BB">
        <w:t xml:space="preserve"> community.</w:t>
      </w:r>
    </w:p>
    <w:p w14:paraId="5280C3DC" w14:textId="22C0690D" w:rsidR="003327BB" w:rsidRDefault="003327BB" w:rsidP="004D18CC">
      <w:r w:rsidRPr="003327BB">
        <w:t xml:space="preserve">Best practice would </w:t>
      </w:r>
      <w:r w:rsidR="007174CF">
        <w:t>mean</w:t>
      </w:r>
      <w:r w:rsidRPr="003327BB">
        <w:t xml:space="preserve"> that persons providing information to the ‘hotline’ could do so anonymously </w:t>
      </w:r>
      <w:r w:rsidRPr="004D18CC">
        <w:t>if they wished.</w:t>
      </w:r>
    </w:p>
    <w:p w14:paraId="174D2359" w14:textId="676220B7" w:rsidR="00E9773B" w:rsidRPr="004D18CC" w:rsidRDefault="00E9773B" w:rsidP="004D18CC">
      <w:r w:rsidRPr="00CE378E">
        <w:t>Transparency and public confidence could be improved through public reporting on information provided through the hotline.</w:t>
      </w:r>
      <w:r w:rsidRPr="00E9773B">
        <w:t xml:space="preserve"> </w:t>
      </w:r>
    </w:p>
    <w:p w14:paraId="2D93C1A9" w14:textId="4B402293" w:rsidR="003327BB" w:rsidRDefault="003327BB" w:rsidP="004D18CC">
      <w:r w:rsidRPr="004D18CC">
        <w:t>Most typically</w:t>
      </w:r>
      <w:r w:rsidR="00622D64" w:rsidRPr="004D18CC">
        <w:t>,</w:t>
      </w:r>
      <w:r w:rsidRPr="004D18CC">
        <w:t xml:space="preserve"> the operational protocols of the various members of the Phoenix Taskforce would not allow a person who provided information to be informed about how or when </w:t>
      </w:r>
      <w:r w:rsidR="007174CF">
        <w:t>such information</w:t>
      </w:r>
      <w:r w:rsidRPr="004D18CC">
        <w:t xml:space="preserve"> was used, and, if the information was provided anonymously, there would be no capacity to do so.</w:t>
      </w:r>
    </w:p>
    <w:p w14:paraId="458DC0DD" w14:textId="29C7D56E" w:rsidR="00377A36" w:rsidRPr="004D18CC" w:rsidRDefault="00377A36" w:rsidP="004D18CC"/>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F11DA8" w14:paraId="28FBBACE" w14:textId="77777777" w:rsidTr="004D18CC">
        <w:tc>
          <w:tcPr>
            <w:tcW w:w="9286" w:type="dxa"/>
            <w:shd w:val="clear" w:color="auto" w:fill="DEEAF6" w:themeFill="accent1" w:themeFillTint="33"/>
          </w:tcPr>
          <w:p w14:paraId="3E066F1A" w14:textId="77777777" w:rsidR="00F11DA8" w:rsidRDefault="00F11DA8" w:rsidP="004D18CC">
            <w:pPr>
              <w:pStyle w:val="BoxHeading"/>
            </w:pPr>
            <w:r>
              <w:t>Questions</w:t>
            </w:r>
          </w:p>
          <w:p w14:paraId="4A4C9B1D" w14:textId="77777777" w:rsidR="00F11DA8" w:rsidRPr="004D18CC" w:rsidRDefault="00F11DA8" w:rsidP="004D18CC">
            <w:pPr>
              <w:pStyle w:val="BoxNumbering"/>
            </w:pPr>
            <w:r w:rsidRPr="004D18CC">
              <w:t>On a scale of one to ten, where one is ‘ineffective’ and ten is ‘highly effective’, please rate how well you think this measure will operate to deter and disrupt illegal phoenix activity.</w:t>
            </w:r>
          </w:p>
          <w:p w14:paraId="77E772AF" w14:textId="77777777" w:rsidR="00F11DA8" w:rsidRPr="004D18CC" w:rsidRDefault="00F11DA8" w:rsidP="004D18CC">
            <w:pPr>
              <w:pStyle w:val="BoxNumbering"/>
            </w:pPr>
            <w:r w:rsidRPr="004D18CC">
              <w:t>Are there any other reporting mechanisms which you think would assist people to report suspected illegal phoenix activity?</w:t>
            </w:r>
          </w:p>
          <w:p w14:paraId="557C140A" w14:textId="77777777" w:rsidR="00F11DA8" w:rsidRDefault="00F11DA8" w:rsidP="004D18CC">
            <w:pPr>
              <w:pStyle w:val="BoxNumbering"/>
            </w:pPr>
            <w:r w:rsidRPr="004D18CC">
              <w:t>What are the benefits and risks of a ‘phoenix hotline’?</w:t>
            </w:r>
          </w:p>
          <w:p w14:paraId="4798191B" w14:textId="12D460D0" w:rsidR="00E9773B" w:rsidRPr="00CE378E" w:rsidRDefault="00E9773B" w:rsidP="004D18CC">
            <w:pPr>
              <w:pStyle w:val="BoxNumbering"/>
            </w:pPr>
            <w:r w:rsidRPr="00CE378E">
              <w:t xml:space="preserve">Which </w:t>
            </w:r>
            <w:r w:rsidR="00BF2D9F" w:rsidRPr="00CE378E">
              <w:t>agency</w:t>
            </w:r>
            <w:r w:rsidRPr="00CE378E">
              <w:t xml:space="preserve"> do you believe would be best placed to operate such a hotline?</w:t>
            </w:r>
          </w:p>
          <w:p w14:paraId="796168BB" w14:textId="0C245227" w:rsidR="00377A36" w:rsidRDefault="00E9773B" w:rsidP="00E9773B">
            <w:pPr>
              <w:pStyle w:val="BoxNumbering"/>
            </w:pPr>
            <w:r w:rsidRPr="00CE378E">
              <w:t>What</w:t>
            </w:r>
            <w:r w:rsidR="00377A36" w:rsidRPr="00CE378E">
              <w:t xml:space="preserve"> public reporting</w:t>
            </w:r>
            <w:r w:rsidRPr="00CE378E">
              <w:t xml:space="preserve"> would</w:t>
            </w:r>
            <w:r w:rsidR="005F7B13" w:rsidRPr="00CE378E">
              <w:t xml:space="preserve"> be appropriate to ensure</w:t>
            </w:r>
            <w:r w:rsidRPr="00CE378E">
              <w:t xml:space="preserve"> transparency</w:t>
            </w:r>
            <w:r w:rsidR="00377A36" w:rsidRPr="00CE378E">
              <w:t>? What other mechanism could be considered?</w:t>
            </w:r>
          </w:p>
        </w:tc>
      </w:tr>
    </w:tbl>
    <w:p w14:paraId="3C8E8344" w14:textId="77777777" w:rsidR="00F11DA8" w:rsidRPr="004D18CC" w:rsidRDefault="00F11DA8" w:rsidP="004D18CC"/>
    <w:p w14:paraId="424E96D4" w14:textId="77777777" w:rsidR="00F11DA8" w:rsidRPr="004D18CC" w:rsidRDefault="00F11DA8" w:rsidP="004D18CC"/>
    <w:p w14:paraId="63667F4B" w14:textId="7CCAD05C" w:rsidR="0045083A" w:rsidRPr="004D18CC" w:rsidRDefault="00104E3A" w:rsidP="004D18CC">
      <w:pPr>
        <w:pStyle w:val="Heading2"/>
      </w:pPr>
      <w:bookmarkStart w:id="32" w:name="_Toc494212625"/>
      <w:r w:rsidRPr="004D18CC">
        <w:t>2.</w:t>
      </w:r>
      <w:bookmarkEnd w:id="32"/>
      <w:r w:rsidRPr="004D18CC">
        <w:tab/>
      </w:r>
      <w:bookmarkStart w:id="33" w:name="_Ref493257834"/>
      <w:bookmarkStart w:id="34" w:name="_Toc493772768"/>
      <w:bookmarkStart w:id="35" w:name="_Toc494212626"/>
      <w:r w:rsidR="0045083A" w:rsidRPr="004D18CC">
        <w:t>A phoenixing offence</w:t>
      </w:r>
      <w:bookmarkEnd w:id="33"/>
      <w:bookmarkEnd w:id="34"/>
      <w:bookmarkEnd w:id="35"/>
    </w:p>
    <w:p w14:paraId="6E2E59DA" w14:textId="29A84657" w:rsidR="0045083A" w:rsidRDefault="007174CF" w:rsidP="004D18CC">
      <w:r>
        <w:t>L</w:t>
      </w:r>
      <w:r w:rsidR="0045083A">
        <w:t>imited liability</w:t>
      </w:r>
      <w:r>
        <w:t xml:space="preserve"> is a cornerstone principle of corporate law in Australia, and many other foreign jurisdictions. It is crucial to the economy by playing an important role in</w:t>
      </w:r>
      <w:r w:rsidR="0045083A">
        <w:t xml:space="preserve"> encouraging productive risk</w:t>
      </w:r>
      <w:r>
        <w:noBreakHyphen/>
      </w:r>
      <w:r w:rsidR="0045083A">
        <w:t>taking and</w:t>
      </w:r>
      <w:r>
        <w:t xml:space="preserve"> fostering</w:t>
      </w:r>
      <w:r w:rsidR="0045083A">
        <w:t xml:space="preserve"> entrepreneurialism.</w:t>
      </w:r>
    </w:p>
    <w:p w14:paraId="0339F8D5" w14:textId="20ED380C" w:rsidR="0045083A" w:rsidRDefault="0045083A" w:rsidP="004D18CC">
      <w:r>
        <w:t xml:space="preserve">The steps involved in </w:t>
      </w:r>
      <w:r w:rsidR="00BA0D63">
        <w:t>the illegal</w:t>
      </w:r>
      <w:r>
        <w:t xml:space="preserve"> </w:t>
      </w:r>
      <w:r w:rsidR="00BA0D63">
        <w:t>phoenixing of</w:t>
      </w:r>
      <w:r>
        <w:t xml:space="preserve"> a company</w:t>
      </w:r>
      <w:r w:rsidR="00CB5FBA">
        <w:t xml:space="preserve"> –</w:t>
      </w:r>
      <w:r w:rsidR="00347348">
        <w:t xml:space="preserve"> </w:t>
      </w:r>
      <w:r>
        <w:t>for example the formation and liquidation of a company and the transfer of assets to another entity</w:t>
      </w:r>
      <w:r w:rsidR="00347348">
        <w:t xml:space="preserve"> </w:t>
      </w:r>
      <w:r w:rsidR="00CB5FBA">
        <w:t>–</w:t>
      </w:r>
      <w:r>
        <w:t xml:space="preserve"> are largely identical </w:t>
      </w:r>
      <w:r w:rsidR="00474EB6">
        <w:t>to</w:t>
      </w:r>
      <w:r>
        <w:t xml:space="preserve"> those involved in the honest rescue of a business.</w:t>
      </w:r>
    </w:p>
    <w:p w14:paraId="620BC7C9" w14:textId="61EB03B6" w:rsidR="0045083A" w:rsidRDefault="003F6B2B" w:rsidP="004D18CC">
      <w:r>
        <w:t>It is</w:t>
      </w:r>
      <w:r w:rsidR="007174CF">
        <w:t xml:space="preserve"> the</w:t>
      </w:r>
      <w:r>
        <w:t xml:space="preserve"> avoid</w:t>
      </w:r>
      <w:r w:rsidR="007174CF">
        <w:t>ance of</w:t>
      </w:r>
      <w:r w:rsidR="0045083A">
        <w:t xml:space="preserve"> paying creditors</w:t>
      </w:r>
      <w:r w:rsidR="007174CF">
        <w:t>,</w:t>
      </w:r>
      <w:r w:rsidR="0045083A">
        <w:t xml:space="preserve"> tax and employee obligations</w:t>
      </w:r>
      <w:r>
        <w:t>, particularly where there is dishonesty,</w:t>
      </w:r>
      <w:r w:rsidR="0045083A">
        <w:t xml:space="preserve"> that distinguishes </w:t>
      </w:r>
      <w:r w:rsidR="00347348">
        <w:t xml:space="preserve">illegal or fraudulent </w:t>
      </w:r>
      <w:r w:rsidR="00F306C0">
        <w:t>phoenix</w:t>
      </w:r>
      <w:r w:rsidR="007174CF">
        <w:t xml:space="preserve"> activity</w:t>
      </w:r>
      <w:r w:rsidR="00347348">
        <w:t xml:space="preserve"> </w:t>
      </w:r>
      <w:r w:rsidR="0045083A">
        <w:t xml:space="preserve">from </w:t>
      </w:r>
      <w:r w:rsidR="00347348">
        <w:t>honest business rescue</w:t>
      </w:r>
      <w:r w:rsidR="0045083A">
        <w:t>.</w:t>
      </w:r>
    </w:p>
    <w:p w14:paraId="75EC2957" w14:textId="219E7234" w:rsidR="00347348" w:rsidRDefault="00FC0516" w:rsidP="004D18CC">
      <w:pPr>
        <w:pStyle w:val="Heading3"/>
      </w:pPr>
      <w:r>
        <w:t xml:space="preserve">Current </w:t>
      </w:r>
      <w:r w:rsidR="00431DDF">
        <w:t>s</w:t>
      </w:r>
      <w:r w:rsidR="00347348">
        <w:t>ituation</w:t>
      </w:r>
    </w:p>
    <w:p w14:paraId="78FC6401" w14:textId="111D5882" w:rsidR="0045083A" w:rsidRDefault="0045083A" w:rsidP="004D18CC">
      <w:r>
        <w:t xml:space="preserve">Currently there is no specific offence for </w:t>
      </w:r>
      <w:r w:rsidR="007174CF">
        <w:t xml:space="preserve">illegal </w:t>
      </w:r>
      <w:r>
        <w:t>phoenix a</w:t>
      </w:r>
      <w:r w:rsidR="007174CF">
        <w:t>ctivity</w:t>
      </w:r>
      <w:r>
        <w:t xml:space="preserve">, but conduct which constitutes illegal phoenix behaviour is generally a </w:t>
      </w:r>
      <w:r w:rsidR="002B3858">
        <w:t xml:space="preserve">civil and or </w:t>
      </w:r>
      <w:r>
        <w:t>criminal breach of a director’s statutory duties.</w:t>
      </w:r>
    </w:p>
    <w:p w14:paraId="0595601F" w14:textId="77777777" w:rsidR="0045083A" w:rsidRDefault="0045083A" w:rsidP="004D18CC">
      <w:r>
        <w:t>The issue of introducing a specific offence for phoenixing has been the subject of much debate, largely centred around the problem of clearly delineating the offence so that it does not inadvertently capture legitimate transactions and business restructures.</w:t>
      </w:r>
    </w:p>
    <w:p w14:paraId="03C55163" w14:textId="025A8EC7" w:rsidR="00D23273" w:rsidRDefault="00D23273" w:rsidP="004D18CC">
      <w:r>
        <w:t xml:space="preserve">Rather than attempting </w:t>
      </w:r>
      <w:r w:rsidR="007174CF">
        <w:t>to</w:t>
      </w:r>
      <w:r>
        <w:t xml:space="preserve"> defin</w:t>
      </w:r>
      <w:r w:rsidR="007174CF">
        <w:t xml:space="preserve">e </w:t>
      </w:r>
      <w:r>
        <w:t>a phoenixing offence, the Government is seeking to target certain common</w:t>
      </w:r>
      <w:r w:rsidR="007174CF">
        <w:t xml:space="preserve"> illegal</w:t>
      </w:r>
      <w:r>
        <w:t xml:space="preserve"> phoenix behaviour.</w:t>
      </w:r>
    </w:p>
    <w:p w14:paraId="194CA746" w14:textId="67241672" w:rsidR="0045083A" w:rsidRDefault="00347348" w:rsidP="004D18CC">
      <w:pPr>
        <w:pStyle w:val="Heading3"/>
      </w:pPr>
      <w:r>
        <w:t xml:space="preserve">Proposed </w:t>
      </w:r>
      <w:r w:rsidR="00D23273">
        <w:t>r</w:t>
      </w:r>
      <w:r>
        <w:t>eform</w:t>
      </w:r>
      <w:r w:rsidR="00D23273">
        <w:t xml:space="preserve"> – </w:t>
      </w:r>
      <w:r w:rsidR="00BE1F32">
        <w:t>a</w:t>
      </w:r>
      <w:r w:rsidR="0045083A">
        <w:t xml:space="preserve"> </w:t>
      </w:r>
      <w:r w:rsidR="000E3214">
        <w:t>s</w:t>
      </w:r>
      <w:r w:rsidR="0045083A">
        <w:t xml:space="preserve">pecific </w:t>
      </w:r>
      <w:r w:rsidR="000E3214">
        <w:t>p</w:t>
      </w:r>
      <w:r w:rsidR="0045083A">
        <w:t xml:space="preserve">hoenix </w:t>
      </w:r>
      <w:r w:rsidR="000E3214">
        <w:t>o</w:t>
      </w:r>
      <w:r w:rsidR="0045083A">
        <w:t>ffence</w:t>
      </w:r>
    </w:p>
    <w:p w14:paraId="68160A8E" w14:textId="6E7E0F6C" w:rsidR="00D23273" w:rsidRDefault="00D23273" w:rsidP="004D18CC">
      <w:r>
        <w:t xml:space="preserve">This proposal seeks to target the common illegal phoenix behaviour </w:t>
      </w:r>
      <w:r w:rsidR="00555319">
        <w:t>of</w:t>
      </w:r>
      <w:r w:rsidR="007174CF">
        <w:t xml:space="preserve"> transferring</w:t>
      </w:r>
      <w:r w:rsidR="00084A32">
        <w:t xml:space="preserve"> a company</w:t>
      </w:r>
      <w:r w:rsidR="007174CF">
        <w:t>’s</w:t>
      </w:r>
      <w:r>
        <w:t xml:space="preserve"> assets</w:t>
      </w:r>
      <w:r w:rsidR="007174CF">
        <w:t xml:space="preserve"> to a new entity,</w:t>
      </w:r>
      <w:r w:rsidR="00084A32">
        <w:t xml:space="preserve"> with the intention or effect of</w:t>
      </w:r>
      <w:r>
        <w:t xml:space="preserve"> defeat</w:t>
      </w:r>
      <w:r w:rsidR="00084A32">
        <w:t>ing</w:t>
      </w:r>
      <w:r>
        <w:t xml:space="preserve"> the claims of creditors</w:t>
      </w:r>
      <w:r w:rsidR="007174CF">
        <w:t xml:space="preserve"> of the original company</w:t>
      </w:r>
      <w:r>
        <w:t>.</w:t>
      </w:r>
    </w:p>
    <w:p w14:paraId="2CB9D9E2" w14:textId="68EF9BA7" w:rsidR="0045083A" w:rsidRDefault="00D23273" w:rsidP="004D18CC">
      <w:r>
        <w:t>It is proposed to amend</w:t>
      </w:r>
      <w:r w:rsidR="0045083A">
        <w:t xml:space="preserve"> the </w:t>
      </w:r>
      <w:r w:rsidR="0045083A" w:rsidRPr="00912838">
        <w:rPr>
          <w:i/>
        </w:rPr>
        <w:t xml:space="preserve">Corporations Act </w:t>
      </w:r>
      <w:r w:rsidR="00912838" w:rsidRPr="00912838">
        <w:rPr>
          <w:i/>
        </w:rPr>
        <w:t>2001</w:t>
      </w:r>
      <w:r w:rsidR="0045083A">
        <w:t xml:space="preserve"> </w:t>
      </w:r>
      <w:r w:rsidR="00912838">
        <w:t xml:space="preserve">(Corporations Act) </w:t>
      </w:r>
      <w:r w:rsidR="0045083A">
        <w:t xml:space="preserve">to specifically prohibit the transfer of property from </w:t>
      </w:r>
      <w:r w:rsidR="00DF400C">
        <w:t>C</w:t>
      </w:r>
      <w:r w:rsidR="0045083A">
        <w:t xml:space="preserve">ompany </w:t>
      </w:r>
      <w:r>
        <w:t xml:space="preserve">A </w:t>
      </w:r>
      <w:r w:rsidR="0045083A">
        <w:t xml:space="preserve">to </w:t>
      </w:r>
      <w:r w:rsidR="00DF400C">
        <w:t>C</w:t>
      </w:r>
      <w:r w:rsidR="0045083A">
        <w:t xml:space="preserve">ompany </w:t>
      </w:r>
      <w:r>
        <w:t xml:space="preserve">B </w:t>
      </w:r>
      <w:r w:rsidR="0045083A">
        <w:t xml:space="preserve">if the main purpose of the transfer was to prevent, hinder or delay the process of that property becoming available for division among the </w:t>
      </w:r>
      <w:r w:rsidR="00B914C5">
        <w:t>first </w:t>
      </w:r>
      <w:r w:rsidR="0045083A">
        <w:t>company’s creditors.</w:t>
      </w:r>
    </w:p>
    <w:p w14:paraId="70E88871" w14:textId="4B3338DF" w:rsidR="0045083A" w:rsidRPr="00CE7DA1" w:rsidRDefault="0045083A" w:rsidP="004D18CC">
      <w:r>
        <w:t xml:space="preserve">This </w:t>
      </w:r>
      <w:r w:rsidR="006F2914">
        <w:t>c</w:t>
      </w:r>
      <w:r>
        <w:t>ould operate in a similar manner to the provision set out in s</w:t>
      </w:r>
      <w:r w:rsidR="0062046F">
        <w:t xml:space="preserve">ection </w:t>
      </w:r>
      <w:r>
        <w:t xml:space="preserve">121(1) of the </w:t>
      </w:r>
      <w:r>
        <w:rPr>
          <w:i/>
        </w:rPr>
        <w:t>Bankruptcy Act 1966</w:t>
      </w:r>
      <w:r>
        <w:t xml:space="preserve">, which states </w:t>
      </w:r>
      <w:r w:rsidRPr="00CE7DA1">
        <w:t xml:space="preserve">that the main purpose in making the transfer will be taken to be the prescribed purpose, </w:t>
      </w:r>
      <w:r w:rsidRPr="00CE7DA1">
        <w:rPr>
          <w:i/>
        </w:rPr>
        <w:t>"if it can reasonably be inferred from all the circumstances that, at the time of the transfer, the transferor was, or was about to become, insolvent".</w:t>
      </w:r>
    </w:p>
    <w:p w14:paraId="30C751A8" w14:textId="5A3E316E" w:rsidR="0045083A" w:rsidRDefault="0045083A" w:rsidP="004D18CC">
      <w:r w:rsidRPr="00CE7DA1">
        <w:t>Rebuttable presumptions of insolvency would apply</w:t>
      </w:r>
      <w:r w:rsidR="00D23273">
        <w:t xml:space="preserve">, and </w:t>
      </w:r>
      <w:r w:rsidRPr="00CE7DA1">
        <w:t xml:space="preserve">such a transaction </w:t>
      </w:r>
      <w:r w:rsidR="006F2914">
        <w:t>w</w:t>
      </w:r>
      <w:r w:rsidR="006F2914" w:rsidRPr="00CE7DA1">
        <w:t xml:space="preserve">ould </w:t>
      </w:r>
      <w:r w:rsidRPr="00CE7DA1">
        <w:t xml:space="preserve">be void against a liquidator (so that the assets can be clawed back </w:t>
      </w:r>
      <w:r w:rsidR="006F2914">
        <w:t>in liquidation</w:t>
      </w:r>
      <w:r w:rsidRPr="00CE7DA1">
        <w:t>).</w:t>
      </w:r>
    </w:p>
    <w:p w14:paraId="7FD1DC4F" w14:textId="7C2D9AC9" w:rsidR="0045083A" w:rsidRDefault="0045083A" w:rsidP="004D18CC">
      <w:r>
        <w:t>The offence would give rise to a right in creditors</w:t>
      </w:r>
      <w:r w:rsidR="00FC0516">
        <w:t xml:space="preserve"> and</w:t>
      </w:r>
      <w:r>
        <w:t xml:space="preserve"> liquidators </w:t>
      </w:r>
      <w:r w:rsidR="00FC0516">
        <w:t>(</w:t>
      </w:r>
      <w:r>
        <w:t>and ASIC</w:t>
      </w:r>
      <w:r w:rsidR="00FC0516">
        <w:t>)</w:t>
      </w:r>
      <w:r>
        <w:t xml:space="preserve"> to sue for compensation </w:t>
      </w:r>
      <w:r w:rsidR="00FC0516">
        <w:t>for the loss caused by the conduct</w:t>
      </w:r>
      <w:r>
        <w:t xml:space="preserve"> </w:t>
      </w:r>
      <w:r w:rsidR="00E829FA">
        <w:t>of</w:t>
      </w:r>
      <w:r>
        <w:t xml:space="preserve"> those who engage in the prescribed conduct </w:t>
      </w:r>
      <w:r w:rsidR="00FC0516">
        <w:t xml:space="preserve">as well as </w:t>
      </w:r>
      <w:r>
        <w:t>those who are knowingly involved in that conduct under s</w:t>
      </w:r>
      <w:r w:rsidR="002C7482">
        <w:t>ection</w:t>
      </w:r>
      <w:r>
        <w:t xml:space="preserve"> 79 of the Corporations Act.</w:t>
      </w:r>
    </w:p>
    <w:p w14:paraId="30FDBDBC" w14:textId="7C981B09" w:rsidR="0045083A" w:rsidRPr="00CE7DA1" w:rsidRDefault="0045083A" w:rsidP="004D18CC">
      <w:r w:rsidRPr="00CE7DA1">
        <w:t>Similar defences to those available under s</w:t>
      </w:r>
      <w:r w:rsidR="0062046F">
        <w:t>ection</w:t>
      </w:r>
      <w:r w:rsidRPr="00CE7DA1">
        <w:t xml:space="preserve"> 121(4) of the Bankruptcy Act </w:t>
      </w:r>
      <w:r w:rsidR="00FC0516">
        <w:t>w</w:t>
      </w:r>
      <w:r w:rsidR="00FC0516" w:rsidRPr="00CE7DA1">
        <w:t xml:space="preserve">ould </w:t>
      </w:r>
      <w:r w:rsidRPr="00CE7DA1">
        <w:t>be available (regarding payment for the property, knowledge of the main purpose of the transfer and inability to infer that the transferor was or was about to become insolvent at the time of the transfer)</w:t>
      </w:r>
      <w:r w:rsidR="00BD07AA">
        <w:t>.</w:t>
      </w:r>
    </w:p>
    <w:p w14:paraId="11649284" w14:textId="7252186F" w:rsidR="0045083A" w:rsidRPr="00CE7DA1" w:rsidRDefault="0045083A" w:rsidP="004D18CC">
      <w:r w:rsidRPr="00CE7DA1">
        <w:t xml:space="preserve">One of the significant difficulties in bringing an action against directors in relation to illegal phoenix activity (for both ASIC and for liquidators) is demonstrating that the transferred assets were in fact originally the property of Company A, and that Company B </w:t>
      </w:r>
      <w:r w:rsidR="00726160">
        <w:t>di</w:t>
      </w:r>
      <w:r w:rsidR="00E760D4">
        <w:t>d</w:t>
      </w:r>
      <w:r w:rsidR="00726160">
        <w:t xml:space="preserve"> not</w:t>
      </w:r>
      <w:r w:rsidRPr="00CE7DA1">
        <w:t xml:space="preserve"> pa</w:t>
      </w:r>
      <w:r w:rsidR="00726160">
        <w:t>y</w:t>
      </w:r>
      <w:r w:rsidRPr="00CE7DA1">
        <w:t xml:space="preserve"> proper consideration for them.</w:t>
      </w:r>
    </w:p>
    <w:p w14:paraId="5A5594CA" w14:textId="66266A03" w:rsidR="0045083A" w:rsidRPr="00CE7DA1" w:rsidRDefault="0045083A" w:rsidP="004D18CC">
      <w:r w:rsidRPr="00CE7DA1">
        <w:t>Section 139ZQ of the Bankruptcy Act allows the Official Receiver to send a notice to a person who the Official Receiver considers has received property in contravention of s</w:t>
      </w:r>
      <w:r w:rsidR="00BE714F">
        <w:t>ection</w:t>
      </w:r>
      <w:r w:rsidR="00810442">
        <w:t> </w:t>
      </w:r>
      <w:r w:rsidRPr="00CE7DA1">
        <w:t>121, demanding payment of money for the value of the property received. The notice is required to set out the facts and circumstances pursuant to which the Official Receiver considers that the transaction is void against the trustee.</w:t>
      </w:r>
    </w:p>
    <w:p w14:paraId="2039E420" w14:textId="75228450" w:rsidR="0045083A" w:rsidRDefault="006A17B8" w:rsidP="004D18CC">
      <w:r>
        <w:t>It is proposed that w</w:t>
      </w:r>
      <w:r w:rsidR="0045083A" w:rsidRPr="00CE7DA1">
        <w:t>here ASIC (or a liquidator) suspects that illegal phoenix activity has</w:t>
      </w:r>
      <w:r w:rsidR="0045083A">
        <w:t xml:space="preserve"> </w:t>
      </w:r>
      <w:r w:rsidR="0045083A" w:rsidRPr="00CE7DA1">
        <w:t xml:space="preserve">occurred and that assets of Company A have been transferred to </w:t>
      </w:r>
      <w:r w:rsidR="00720C5B">
        <w:t>Company</w:t>
      </w:r>
      <w:r w:rsidR="0045083A" w:rsidRPr="00CE7DA1">
        <w:t xml:space="preserve"> B</w:t>
      </w:r>
      <w:r w:rsidR="0045083A">
        <w:t xml:space="preserve"> </w:t>
      </w:r>
      <w:r w:rsidR="0045083A" w:rsidRPr="00CE7DA1">
        <w:t xml:space="preserve">for no </w:t>
      </w:r>
      <w:r w:rsidR="0045083A">
        <w:t>or less than their market value:</w:t>
      </w:r>
    </w:p>
    <w:p w14:paraId="67F151D3" w14:textId="16F35EB7" w:rsidR="0045083A" w:rsidRPr="00510E4A" w:rsidRDefault="0045083A" w:rsidP="004D18CC">
      <w:pPr>
        <w:pStyle w:val="Bullet"/>
      </w:pPr>
      <w:r w:rsidRPr="00510E4A">
        <w:t xml:space="preserve">ASIC may issue a notice upon </w:t>
      </w:r>
      <w:r w:rsidR="00720C5B">
        <w:t>Company</w:t>
      </w:r>
      <w:r w:rsidRPr="00510E4A">
        <w:t xml:space="preserve"> B (either on ASIC's behalf or at the request of a liquidator who is able to satisfy ASIC as to the matters above</w:t>
      </w:r>
      <w:r w:rsidR="00FC0516">
        <w:t>)</w:t>
      </w:r>
      <w:r w:rsidRPr="00510E4A">
        <w:t xml:space="preserve"> requiring that </w:t>
      </w:r>
      <w:r w:rsidR="00720C5B">
        <w:t>Company</w:t>
      </w:r>
      <w:r w:rsidRPr="00510E4A">
        <w:t xml:space="preserve"> B deliver up property or monies' worth, along the lines of the regime in place under s</w:t>
      </w:r>
      <w:r w:rsidR="00995B71">
        <w:t>ection</w:t>
      </w:r>
      <w:r w:rsidRPr="00510E4A">
        <w:t xml:space="preserve"> 139ZQ of the </w:t>
      </w:r>
      <w:r w:rsidR="00104E3A" w:rsidRPr="00510E4A">
        <w:t>Bankruptcy</w:t>
      </w:r>
      <w:r w:rsidR="00104E3A">
        <w:t> </w:t>
      </w:r>
      <w:r w:rsidRPr="00510E4A">
        <w:t>Act; and</w:t>
      </w:r>
    </w:p>
    <w:p w14:paraId="2FDD0051" w14:textId="77777777" w:rsidR="0045083A" w:rsidRPr="00510E4A" w:rsidRDefault="0045083A" w:rsidP="004D18CC">
      <w:pPr>
        <w:pStyle w:val="Bullet"/>
      </w:pPr>
      <w:r w:rsidRPr="00510E4A">
        <w:t>the recipient of the notice would have the right to apply to court to set aside the notice.</w:t>
      </w:r>
    </w:p>
    <w:p w14:paraId="0047425A" w14:textId="77777777" w:rsidR="00104E3A" w:rsidRDefault="0045083A" w:rsidP="004D18CC">
      <w:r w:rsidRPr="00CE7DA1">
        <w:t xml:space="preserve">Such a regime </w:t>
      </w:r>
      <w:r>
        <w:t xml:space="preserve">may </w:t>
      </w:r>
      <w:r w:rsidRPr="00CE7DA1">
        <w:t>significantly assist in pursuing illegal phoenix activity because it would greatly</w:t>
      </w:r>
      <w:r>
        <w:t xml:space="preserve"> </w:t>
      </w:r>
      <w:r w:rsidRPr="00CE7DA1">
        <w:t xml:space="preserve">reduce the cost of either taking action to recover the property or </w:t>
      </w:r>
      <w:r w:rsidR="008F2805">
        <w:t>to seek</w:t>
      </w:r>
      <w:r w:rsidRPr="00CE7DA1">
        <w:t xml:space="preserve"> compensation</w:t>
      </w:r>
      <w:r>
        <w:t xml:space="preserve"> </w:t>
      </w:r>
      <w:r w:rsidRPr="00CE7DA1">
        <w:t>for the loss suffered.</w:t>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104E3A" w14:paraId="089E5D97" w14:textId="77777777" w:rsidTr="004D18CC">
        <w:tc>
          <w:tcPr>
            <w:tcW w:w="9286" w:type="dxa"/>
            <w:shd w:val="clear" w:color="auto" w:fill="DEEAF6" w:themeFill="accent1" w:themeFillTint="33"/>
          </w:tcPr>
          <w:p w14:paraId="4B9AEA0C" w14:textId="77777777" w:rsidR="00104E3A" w:rsidRDefault="00104E3A" w:rsidP="004D18CC">
            <w:pPr>
              <w:pStyle w:val="BoxHeading"/>
            </w:pPr>
            <w:r>
              <w:t>Questions</w:t>
            </w:r>
          </w:p>
          <w:p w14:paraId="5B464A76" w14:textId="42520B18" w:rsidR="00104E3A" w:rsidRDefault="00104E3A" w:rsidP="004D18CC">
            <w:pPr>
              <w:pStyle w:val="BoxNumbering"/>
            </w:pPr>
            <w:r w:rsidRPr="00204274">
              <w:t>On a scale of one to ten, where one is ‘ineffective’ and ten is ‘highly effective’, please rate how well you think this measure will operate to deter and disrupt illegal phoenix activity.</w:t>
            </w:r>
          </w:p>
          <w:p w14:paraId="32A36636" w14:textId="77777777" w:rsidR="00104E3A" w:rsidRDefault="00104E3A" w:rsidP="004D18CC">
            <w:pPr>
              <w:pStyle w:val="BoxNumbering"/>
            </w:pPr>
            <w:r w:rsidRPr="00DC64F0">
              <w:t>What are the benefits and risks of this approach?</w:t>
            </w:r>
          </w:p>
          <w:p w14:paraId="4194FB2F" w14:textId="608064AB" w:rsidR="00104E3A" w:rsidRDefault="00104E3A" w:rsidP="004D18CC">
            <w:pPr>
              <w:pStyle w:val="BoxNumbering"/>
            </w:pPr>
            <w:r w:rsidRPr="00073CD6">
              <w:t>Should ASIC retain control of the issuing of such notices to ensure that they are not issued inappropriately?</w:t>
            </w:r>
          </w:p>
          <w:p w14:paraId="0B75248D" w14:textId="1185400A" w:rsidR="00104E3A" w:rsidRPr="00073CD6" w:rsidRDefault="00104E3A" w:rsidP="004D18CC">
            <w:pPr>
              <w:pStyle w:val="BoxNumbering"/>
            </w:pPr>
            <w:r w:rsidRPr="00073CD6">
              <w:t>Are there other regulators who should also be able to issue such notices (for example the Fair Entitlement Guarantee Recovery Program)?</w:t>
            </w:r>
          </w:p>
          <w:p w14:paraId="2807ECF9" w14:textId="38A2E2DE" w:rsidR="00104E3A" w:rsidRDefault="00104E3A" w:rsidP="004D18CC">
            <w:pPr>
              <w:pStyle w:val="BoxNumbering"/>
            </w:pPr>
            <w:r w:rsidRPr="00073CD6">
              <w:t xml:space="preserve">Should </w:t>
            </w:r>
            <w:r>
              <w:t>l</w:t>
            </w:r>
            <w:r w:rsidRPr="00073CD6">
              <w:t>iquidators have the ability to independently issue such notices in cases where they suspect that illegal phoenixing has taken place?</w:t>
            </w:r>
          </w:p>
          <w:p w14:paraId="531AC554" w14:textId="77777777" w:rsidR="00104E3A" w:rsidRDefault="00104E3A" w:rsidP="004D18CC">
            <w:pPr>
              <w:pStyle w:val="BoxNumbering"/>
            </w:pPr>
            <w:r>
              <w:t>How long should the law allow for the recipient to respond?</w:t>
            </w:r>
          </w:p>
          <w:p w14:paraId="4510FC2F" w14:textId="77777777" w:rsidR="00104E3A" w:rsidRDefault="00104E3A" w:rsidP="004D18CC">
            <w:pPr>
              <w:pStyle w:val="BoxNumbering"/>
            </w:pPr>
            <w:r>
              <w:t>What course of action should be pursued where the recipient fails to comply with a notice?</w:t>
            </w:r>
          </w:p>
          <w:p w14:paraId="37A77AA8" w14:textId="77777777" w:rsidR="00104E3A" w:rsidRDefault="00104E3A" w:rsidP="004D18CC">
            <w:pPr>
              <w:pStyle w:val="BoxNumbering"/>
            </w:pPr>
            <w:r>
              <w:t>What are the some of the challenges ASIC is likely to face in seeking compliance with the notice?</w:t>
            </w:r>
          </w:p>
          <w:p w14:paraId="4568DAA6" w14:textId="77777777" w:rsidR="00104E3A" w:rsidRDefault="00104E3A" w:rsidP="004D18CC">
            <w:pPr>
              <w:pStyle w:val="BoxNumbering"/>
            </w:pPr>
            <w:r>
              <w:t>Do you think that such an arrangement will reduce the cost of taking recovery action or seeking compensation for the loss suffered?</w:t>
            </w:r>
          </w:p>
          <w:p w14:paraId="6C8F45DB" w14:textId="77777777" w:rsidR="00104E3A" w:rsidRDefault="00104E3A" w:rsidP="00104E3A">
            <w:pPr>
              <w:pStyle w:val="BoxNumbering"/>
            </w:pPr>
            <w:r>
              <w:t>Are there safeguards which should be implemented in respect of the proposal?</w:t>
            </w:r>
          </w:p>
          <w:p w14:paraId="6DFC7195" w14:textId="2C84CE6F" w:rsidR="00104E3A" w:rsidRDefault="00104E3A" w:rsidP="004D18CC">
            <w:pPr>
              <w:pStyle w:val="BoxNumbering"/>
            </w:pPr>
            <w:r>
              <w:t>If such a provision were to be introduced, should any of the existing voidable transaction provisions be amended or repealed?</w:t>
            </w:r>
          </w:p>
        </w:tc>
      </w:tr>
    </w:tbl>
    <w:p w14:paraId="735EA622" w14:textId="77777777" w:rsidR="00104E3A" w:rsidRPr="004D18CC" w:rsidRDefault="00104E3A" w:rsidP="004D18CC">
      <w:r w:rsidRPr="004D18CC">
        <w:br w:type="page"/>
      </w:r>
    </w:p>
    <w:p w14:paraId="6AAB4D09" w14:textId="77777777" w:rsidR="0045083A" w:rsidRDefault="0045083A" w:rsidP="004D18CC">
      <w:pPr>
        <w:pStyle w:val="Heading3"/>
      </w:pPr>
      <w:r>
        <w:t>Remedies</w:t>
      </w:r>
    </w:p>
    <w:p w14:paraId="48B74B0E" w14:textId="650FB94B" w:rsidR="0045083A" w:rsidRDefault="0045083A" w:rsidP="004D18CC">
      <w:r w:rsidRPr="00E17FE5">
        <w:t>Any amendment to the legislation to provide clearer and more effective laws</w:t>
      </w:r>
      <w:r>
        <w:t xml:space="preserve"> </w:t>
      </w:r>
      <w:r w:rsidRPr="00E17FE5">
        <w:t>against illegal phoenix activity should also include the introduction of</w:t>
      </w:r>
      <w:r>
        <w:t xml:space="preserve"> </w:t>
      </w:r>
      <w:r w:rsidRPr="00E17FE5">
        <w:t>appropriate remedies and penalties</w:t>
      </w:r>
      <w:r>
        <w:t>.</w:t>
      </w:r>
    </w:p>
    <w:p w14:paraId="3AC72A6F" w14:textId="77777777" w:rsidR="0045083A" w:rsidRDefault="0045083A" w:rsidP="004D18CC">
      <w:r>
        <w:t>Currently, ASIC may bring action against directors who breach their directors’ duties, as well as those who have been knowingly involved in the breaches. Civil penalties apply to such breaches, in addition to banning orders, and ASIC has the ability to seek compensation in some circumstances.</w:t>
      </w:r>
    </w:p>
    <w:p w14:paraId="05B3AFB5" w14:textId="42C10475" w:rsidR="0045083A" w:rsidRDefault="0045083A" w:rsidP="004D18CC">
      <w:r>
        <w:t xml:space="preserve">However, banning orders, on their own, are unlikely to operate as a significant deterrent </w:t>
      </w:r>
      <w:r w:rsidR="00B46684">
        <w:t>for</w:t>
      </w:r>
      <w:r>
        <w:t xml:space="preserve"> persons who facilitate</w:t>
      </w:r>
      <w:r w:rsidR="006F24A3">
        <w:t xml:space="preserve"> illegal</w:t>
      </w:r>
      <w:r>
        <w:t xml:space="preserve"> phoenix activity unless they manage corporations, and may not have much of an effect on some directors (who </w:t>
      </w:r>
      <w:r w:rsidR="00C23EFF">
        <w:t>can</w:t>
      </w:r>
      <w:r>
        <w:t xml:space="preserve"> go on to manage corporations through other persons).</w:t>
      </w:r>
    </w:p>
    <w:p w14:paraId="59685BE3" w14:textId="77777777" w:rsidR="0045083A" w:rsidRDefault="0045083A" w:rsidP="004D18CC">
      <w:r>
        <w:t>Furthermore, compensation orders and civil penalty orders may not be a significant deterrent in circumstances where persons who typically engage in and facilitate illegal phoenix activity often have few assets in their own names.</w:t>
      </w:r>
    </w:p>
    <w:p w14:paraId="139A08F5" w14:textId="77777777" w:rsidR="0045083A" w:rsidRPr="00E17FE5" w:rsidRDefault="0045083A" w:rsidP="004D18CC">
      <w:r>
        <w:t>In implementing the above offence, the Government is considering whether</w:t>
      </w:r>
      <w:r w:rsidRPr="00E17FE5">
        <w:t>:</w:t>
      </w:r>
    </w:p>
    <w:p w14:paraId="17564B4A" w14:textId="77777777" w:rsidR="0045083A" w:rsidRPr="004D18CC" w:rsidRDefault="0045083A" w:rsidP="004D18CC">
      <w:pPr>
        <w:pStyle w:val="Bullet"/>
      </w:pPr>
      <w:r w:rsidRPr="004D18CC">
        <w:t>both liquidators and ASIC should be able to claw back assets or compensation from the transferee;</w:t>
      </w:r>
    </w:p>
    <w:p w14:paraId="649316C5" w14:textId="2551B5BE" w:rsidR="0045083A" w:rsidRPr="004D18CC" w:rsidRDefault="0045083A" w:rsidP="004D18CC">
      <w:pPr>
        <w:pStyle w:val="Bullet"/>
      </w:pPr>
      <w:r w:rsidRPr="004D18CC">
        <w:t xml:space="preserve">liquidators, ASIC and creditors should be able to pursue compensation for the loss caused by illegal phoenix activity from directors of the transferor, the </w:t>
      </w:r>
      <w:r w:rsidR="002507DB" w:rsidRPr="004D18CC">
        <w:t>transferee</w:t>
      </w:r>
      <w:r w:rsidRPr="004D18CC">
        <w:t xml:space="preserve">, and from </w:t>
      </w:r>
      <w:r w:rsidR="001724AF" w:rsidRPr="004D18CC">
        <w:t>others</w:t>
      </w:r>
      <w:r w:rsidRPr="004D18CC">
        <w:t xml:space="preserve"> who are knowingly involved in the illegal phoenix activity; and</w:t>
      </w:r>
    </w:p>
    <w:p w14:paraId="79DD68F1" w14:textId="77777777" w:rsidR="0045083A" w:rsidRDefault="0045083A" w:rsidP="004D18CC">
      <w:pPr>
        <w:pStyle w:val="Bullet"/>
      </w:pPr>
      <w:r w:rsidRPr="004D18CC">
        <w:t>civil and criminal penalties should apply to illegal phoenix activity, including against those who are knowingly involved in illegal phoenix activity.</w:t>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104E3A" w14:paraId="1AD4D8BE" w14:textId="77777777" w:rsidTr="004D18CC">
        <w:tc>
          <w:tcPr>
            <w:tcW w:w="9286" w:type="dxa"/>
            <w:shd w:val="clear" w:color="auto" w:fill="DEEAF6" w:themeFill="accent1" w:themeFillTint="33"/>
          </w:tcPr>
          <w:p w14:paraId="624B0F97" w14:textId="77777777" w:rsidR="00104E3A" w:rsidRDefault="00104E3A" w:rsidP="004D18CC">
            <w:pPr>
              <w:pStyle w:val="BoxHeading"/>
            </w:pPr>
            <w:r>
              <w:t>Questions</w:t>
            </w:r>
          </w:p>
          <w:p w14:paraId="44D1A1F8" w14:textId="77777777" w:rsidR="00104E3A" w:rsidRDefault="00104E3A" w:rsidP="004D18CC">
            <w:pPr>
              <w:pStyle w:val="BoxNumbering"/>
            </w:pPr>
            <w:r>
              <w:t>Are these remedies appropriate?  Are there further remedies or penalties we should consider?</w:t>
            </w:r>
          </w:p>
          <w:p w14:paraId="393F7BEA" w14:textId="77777777" w:rsidR="00104E3A" w:rsidRDefault="00104E3A" w:rsidP="004D18CC">
            <w:pPr>
              <w:pStyle w:val="BoxNumbering"/>
            </w:pPr>
            <w:r>
              <w:t>If</w:t>
            </w:r>
            <w:r w:rsidRPr="009C2F0D">
              <w:t xml:space="preserve"> the above amendments </w:t>
            </w:r>
            <w:r>
              <w:t>are</w:t>
            </w:r>
            <w:r w:rsidRPr="009C2F0D">
              <w:t xml:space="preserve"> made, should the law also be amended to include a specific provision to the effect that knowing involvement in a contravention of the provision will itself constitute a contravention of the provision (as per s</w:t>
            </w:r>
            <w:r>
              <w:t>ections</w:t>
            </w:r>
            <w:r w:rsidRPr="009C2F0D">
              <w:t xml:space="preserve"> 181 — 183 of the Act)</w:t>
            </w:r>
            <w:r>
              <w:t>?</w:t>
            </w:r>
          </w:p>
          <w:p w14:paraId="0E38244A" w14:textId="54AF10BC" w:rsidR="00104E3A" w:rsidRDefault="00104E3A" w:rsidP="004D18CC">
            <w:pPr>
              <w:pStyle w:val="BoxNumbering"/>
            </w:pPr>
            <w:r w:rsidRPr="009C2F0D">
              <w:t>What tests can be applied to determine if a person has been involved in the facilitation of illegal phoenix activity?</w:t>
            </w:r>
          </w:p>
        </w:tc>
      </w:tr>
    </w:tbl>
    <w:p w14:paraId="1118638F" w14:textId="77777777" w:rsidR="00104E3A" w:rsidRPr="004D18CC" w:rsidRDefault="00104E3A" w:rsidP="004D18CC">
      <w:pPr>
        <w:pStyle w:val="SingleParagraph"/>
      </w:pPr>
    </w:p>
    <w:p w14:paraId="32181961" w14:textId="3FF683E5" w:rsidR="0045083A" w:rsidRDefault="006A17B8" w:rsidP="004D18CC">
      <w:pPr>
        <w:pStyle w:val="Heading3"/>
      </w:pPr>
      <w:r>
        <w:t xml:space="preserve">Proposed reform </w:t>
      </w:r>
      <w:r w:rsidR="0045083A">
        <w:t xml:space="preserve">– </w:t>
      </w:r>
      <w:r w:rsidR="00BE1F32">
        <w:t>d</w:t>
      </w:r>
      <w:r w:rsidR="0045083A">
        <w:t xml:space="preserve">esignating </w:t>
      </w:r>
      <w:r w:rsidR="000E3214">
        <w:t>breaches of existing provisions as phoenix offences</w:t>
      </w:r>
    </w:p>
    <w:p w14:paraId="6192645F" w14:textId="0831B753" w:rsidR="0045083A" w:rsidRDefault="0045083A" w:rsidP="004D18CC">
      <w:r w:rsidRPr="00331180">
        <w:t xml:space="preserve">The Corporations Act </w:t>
      </w:r>
      <w:r>
        <w:t>contains numerous offences which are commonly breached by those involved in phoenix activity.</w:t>
      </w:r>
    </w:p>
    <w:p w14:paraId="48216AF3" w14:textId="365620EE" w:rsidR="0045083A" w:rsidRPr="00B9107E" w:rsidRDefault="0045083A" w:rsidP="004D18CC">
      <w:r w:rsidRPr="00B9107E">
        <w:t>Fo</w:t>
      </w:r>
      <w:r>
        <w:t xml:space="preserve">r example, </w:t>
      </w:r>
      <w:r w:rsidRPr="00B9107E">
        <w:t>s</w:t>
      </w:r>
      <w:r w:rsidR="00AB4B6F">
        <w:t xml:space="preserve">ection </w:t>
      </w:r>
      <w:r w:rsidRPr="00B9107E">
        <w:t>286(1) states that a company must keep written financial records that:</w:t>
      </w:r>
    </w:p>
    <w:p w14:paraId="4510CF55" w14:textId="77777777" w:rsidR="0045083A" w:rsidRPr="004D18CC" w:rsidRDefault="0045083A" w:rsidP="004D18CC">
      <w:pPr>
        <w:pStyle w:val="Bullet"/>
      </w:pPr>
      <w:r w:rsidRPr="004D18CC">
        <w:t>correctly record and explain its transactions and financial position and performance, and</w:t>
      </w:r>
    </w:p>
    <w:p w14:paraId="30EECEAA" w14:textId="77777777" w:rsidR="0045083A" w:rsidRPr="004D18CC" w:rsidRDefault="0045083A" w:rsidP="004D18CC">
      <w:pPr>
        <w:pStyle w:val="Bullet"/>
      </w:pPr>
      <w:r w:rsidRPr="004D18CC">
        <w:t>would enable true and fair financial statements to be prepared and audited.</w:t>
      </w:r>
    </w:p>
    <w:p w14:paraId="692853B1" w14:textId="76528DB1" w:rsidR="001A7666" w:rsidRDefault="001A7666" w:rsidP="004D18CC">
      <w:r w:rsidRPr="001A7666">
        <w:t>The Corporations Act also imposes obligations to assist an administrator, liquidator or controller in a formal insolvency.</w:t>
      </w:r>
    </w:p>
    <w:p w14:paraId="547B20FB" w14:textId="5812B563" w:rsidR="0045083A" w:rsidRDefault="001A7666" w:rsidP="004D18CC">
      <w:r>
        <w:t>A key element of most illegal phoenix activity is the failure to maintain adequate books and records, and failure to provide them to an insolvency practitioner in a formal insolvency.</w:t>
      </w:r>
    </w:p>
    <w:p w14:paraId="12AD1321" w14:textId="60C57AFE" w:rsidR="0045083A" w:rsidRDefault="000E3214" w:rsidP="004D18CC">
      <w:r>
        <w:t>It is proposed that</w:t>
      </w:r>
      <w:r w:rsidR="0045083A">
        <w:t xml:space="preserve"> breaches of </w:t>
      </w:r>
      <w:r w:rsidR="001A7666">
        <w:t xml:space="preserve">these </w:t>
      </w:r>
      <w:r w:rsidR="0045083A">
        <w:t xml:space="preserve">provisions </w:t>
      </w:r>
      <w:r>
        <w:t>w</w:t>
      </w:r>
      <w:r w:rsidR="0045083A">
        <w:t xml:space="preserve">ould be made ‘designated phoenix offences’, where instances of </w:t>
      </w:r>
      <w:r w:rsidR="00E954CC">
        <w:t>a breach</w:t>
      </w:r>
      <w:r w:rsidR="0045083A">
        <w:t xml:space="preserve"> could result in a director of a company being deemed a </w:t>
      </w:r>
      <w:r w:rsidR="00E954CC">
        <w:t xml:space="preserve">Higher Risk </w:t>
      </w:r>
      <w:r w:rsidR="00E954CC" w:rsidRPr="00E954CC">
        <w:t>Entity</w:t>
      </w:r>
      <w:r w:rsidR="0045083A" w:rsidRPr="00E954CC">
        <w:t xml:space="preserve"> </w:t>
      </w:r>
      <w:r w:rsidR="0045083A" w:rsidRPr="00DD43F1">
        <w:t>(</w:t>
      </w:r>
      <w:r w:rsidR="00104E3A" w:rsidRPr="00DD43F1">
        <w:t>see</w:t>
      </w:r>
      <w:r w:rsidR="00104E3A">
        <w:t> </w:t>
      </w:r>
      <w:r w:rsidR="0045083A" w:rsidRPr="00DD43F1">
        <w:t xml:space="preserve">section </w:t>
      </w:r>
      <w:r w:rsidR="00865464">
        <w:t>8</w:t>
      </w:r>
      <w:r w:rsidR="0045083A" w:rsidRPr="00DD43F1">
        <w:t>)</w:t>
      </w:r>
      <w:r w:rsidR="0045083A" w:rsidRPr="00E954CC">
        <w:t>.</w:t>
      </w:r>
    </w:p>
    <w:p w14:paraId="14C39994" w14:textId="49C4100F" w:rsidR="0045083A" w:rsidRDefault="000E3214" w:rsidP="004D18CC">
      <w:r>
        <w:t>I</w:t>
      </w:r>
      <w:r w:rsidR="001A7666">
        <w:t>t is also proposed</w:t>
      </w:r>
      <w:r>
        <w:t xml:space="preserve"> that the law be amended so that</w:t>
      </w:r>
      <w:r w:rsidR="0045083A" w:rsidRPr="001B1426">
        <w:t xml:space="preserve"> knowing involvement in a contravention of </w:t>
      </w:r>
      <w:r>
        <w:t>a phoenixing provision</w:t>
      </w:r>
      <w:r w:rsidR="0045083A" w:rsidRPr="001B1426">
        <w:t xml:space="preserve"> will itself constitute a contravention of the provision</w:t>
      </w:r>
      <w:r w:rsidR="0045083A">
        <w:t>.</w:t>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104E3A" w14:paraId="732B5741" w14:textId="77777777" w:rsidTr="004D18CC">
        <w:tc>
          <w:tcPr>
            <w:tcW w:w="9286" w:type="dxa"/>
            <w:shd w:val="clear" w:color="auto" w:fill="DEEAF6" w:themeFill="accent1" w:themeFillTint="33"/>
          </w:tcPr>
          <w:p w14:paraId="1C30199C" w14:textId="77777777" w:rsidR="00104E3A" w:rsidRDefault="00104E3A" w:rsidP="004D18CC">
            <w:pPr>
              <w:pStyle w:val="BoxHeading"/>
            </w:pPr>
            <w:r>
              <w:t>Questions</w:t>
            </w:r>
          </w:p>
          <w:p w14:paraId="5B83A40B" w14:textId="77777777" w:rsidR="00104E3A" w:rsidRPr="001078D8" w:rsidRDefault="00104E3A" w:rsidP="004D18CC">
            <w:pPr>
              <w:pStyle w:val="BoxNumbering"/>
            </w:pPr>
            <w:r w:rsidRPr="00204274">
              <w:t>On a scale of one to ten, where one is ‘ineffective’ and ten is ‘highly effective’, please rate how well you think this measure will operate to deter and disrupt illegal phoenix activity.</w:t>
            </w:r>
          </w:p>
          <w:p w14:paraId="7902956C" w14:textId="079F59FF" w:rsidR="00104E3A" w:rsidRDefault="00104E3A" w:rsidP="004D18CC">
            <w:pPr>
              <w:pStyle w:val="BoxNumbering"/>
            </w:pPr>
            <w:r>
              <w:t>Which existing breaches of the law, if any, should be designated as phoenix offences?</w:t>
            </w:r>
          </w:p>
        </w:tc>
      </w:tr>
    </w:tbl>
    <w:p w14:paraId="1BF70B4F" w14:textId="77777777" w:rsidR="00104E3A" w:rsidRPr="004D18CC" w:rsidRDefault="00104E3A" w:rsidP="004D18CC">
      <w:pPr>
        <w:pStyle w:val="SingleParagraph"/>
      </w:pPr>
    </w:p>
    <w:p w14:paraId="2BE91647" w14:textId="3DEE0F45" w:rsidR="00D052DE" w:rsidRPr="004D18CC" w:rsidRDefault="00104E3A" w:rsidP="004D18CC">
      <w:pPr>
        <w:pStyle w:val="Heading2"/>
      </w:pPr>
      <w:bookmarkStart w:id="36" w:name="_Toc494212627"/>
      <w:r>
        <w:t>3.</w:t>
      </w:r>
      <w:bookmarkEnd w:id="36"/>
      <w:r>
        <w:tab/>
      </w:r>
      <w:bookmarkStart w:id="37" w:name="_Toc493772769"/>
      <w:bookmarkStart w:id="38" w:name="_Toc494212628"/>
      <w:r w:rsidR="00D052DE" w:rsidRPr="004D18CC">
        <w:t>Addressing issues with directorships</w:t>
      </w:r>
      <w:bookmarkEnd w:id="37"/>
      <w:bookmarkEnd w:id="38"/>
    </w:p>
    <w:p w14:paraId="709D2CDF" w14:textId="1B3CF71A" w:rsidR="00736621" w:rsidRDefault="00736621" w:rsidP="004D18CC">
      <w:pPr>
        <w:pStyle w:val="Heading3"/>
      </w:pPr>
      <w:r>
        <w:t xml:space="preserve">Current </w:t>
      </w:r>
      <w:r w:rsidR="001C0DCC">
        <w:t>s</w:t>
      </w:r>
      <w:r>
        <w:t>ituation</w:t>
      </w:r>
      <w:r w:rsidR="00FC0516">
        <w:t xml:space="preserve"> – </w:t>
      </w:r>
      <w:r w:rsidR="000E3214">
        <w:t>a</w:t>
      </w:r>
      <w:r w:rsidR="00FC0516">
        <w:t xml:space="preserve">ppointment and </w:t>
      </w:r>
      <w:r w:rsidR="000E3214">
        <w:t>r</w:t>
      </w:r>
      <w:r w:rsidR="00FC0516">
        <w:t>esignation</w:t>
      </w:r>
    </w:p>
    <w:p w14:paraId="19CF3BB7" w14:textId="70CCA746" w:rsidR="001464EA" w:rsidRPr="004D18CC" w:rsidRDefault="001464EA" w:rsidP="004D18CC">
      <w:r w:rsidRPr="004D18CC">
        <w:t>Currently under the law, a proprietary company must have at least one appointed director that ordinarily resides in Australia and is at least 18 years of age, and a public company must have at least three appointed director</w:t>
      </w:r>
      <w:r w:rsidR="00056C0B" w:rsidRPr="004D18CC">
        <w:t>s</w:t>
      </w:r>
      <w:r w:rsidRPr="004D18CC">
        <w:t xml:space="preserve"> of which two must ordinarily reside in Australia.</w:t>
      </w:r>
    </w:p>
    <w:p w14:paraId="34F39B0E" w14:textId="5E2BBE6C" w:rsidR="001464EA" w:rsidRPr="004D18CC" w:rsidRDefault="001464EA" w:rsidP="004D18CC">
      <w:r w:rsidRPr="004D18CC">
        <w:t xml:space="preserve">Generally a director may resign by giving notice of the resignation to the company. Director resignation is unilateral, and the </w:t>
      </w:r>
      <w:r w:rsidR="00444D95" w:rsidRPr="004D18CC">
        <w:t>c</w:t>
      </w:r>
      <w:r w:rsidRPr="004D18CC">
        <w:t xml:space="preserve">ompany does not need to </w:t>
      </w:r>
      <w:r w:rsidR="000E3214" w:rsidRPr="004D18CC">
        <w:t xml:space="preserve">agree to </w:t>
      </w:r>
      <w:r w:rsidRPr="004D18CC">
        <w:t>the resignation</w:t>
      </w:r>
      <w:r w:rsidR="000E3214" w:rsidRPr="004D18CC">
        <w:t xml:space="preserve"> for it to be effective</w:t>
      </w:r>
      <w:r w:rsidRPr="004D18CC">
        <w:t>.</w:t>
      </w:r>
    </w:p>
    <w:p w14:paraId="10C62421" w14:textId="5B94A3B6" w:rsidR="007E4483" w:rsidRPr="004D18CC" w:rsidRDefault="00097E3C" w:rsidP="004D18CC">
      <w:r w:rsidRPr="004D18CC">
        <w:t xml:space="preserve">The resignation of a director </w:t>
      </w:r>
      <w:r w:rsidR="002A2032" w:rsidRPr="004D18CC">
        <w:t>is generally a matter dealt with by the company’</w:t>
      </w:r>
      <w:r w:rsidR="007E4483" w:rsidRPr="004D18CC">
        <w:t>s constitution, which most commonly stipulates that a director</w:t>
      </w:r>
      <w:r w:rsidR="000568BF">
        <w:t xml:space="preserve"> must</w:t>
      </w:r>
      <w:r w:rsidR="007E4483" w:rsidRPr="004D18CC">
        <w:t xml:space="preserve"> resign in writing.</w:t>
      </w:r>
    </w:p>
    <w:p w14:paraId="6DF6D37F" w14:textId="2C1515BE" w:rsidR="007E4483" w:rsidRPr="004D18CC" w:rsidRDefault="007E4483" w:rsidP="004D18CC">
      <w:r w:rsidRPr="004D18CC">
        <w:t>Currently under the Corporations Act a company has the responsibility of lodging a notice with ASIC informing them of a director’s appointment or resignation within 28 days of it occurring.</w:t>
      </w:r>
      <w:r w:rsidR="000E3214" w:rsidRPr="004D18CC">
        <w:t xml:space="preserve"> Although the Corporations Act provides discretion for directors to lodge notice of retirement with ASIC, it does not stipulate a time period within which a director must notify the company of their retirement or resignation.</w:t>
      </w:r>
    </w:p>
    <w:p w14:paraId="61871C03" w14:textId="130A1BE3" w:rsidR="0087238E" w:rsidRPr="004D18CC" w:rsidRDefault="00D0003C" w:rsidP="004D18CC">
      <w:r w:rsidRPr="004D18CC">
        <w:t>The lodgement of a notice with ASIC that a director has resigned by necessity occurs after the fact</w:t>
      </w:r>
      <w:r w:rsidR="0087238E" w:rsidRPr="004D18CC">
        <w:t>, and a discrepancy can arise where a director alleges that a resignation notice was provided to the company, but the company has not communicated this to ASIC, as it is the company, not its former director, who has liability for proper record keeping and making necessary ASIC lodgements.</w:t>
      </w:r>
    </w:p>
    <w:p w14:paraId="39B76737" w14:textId="77777777" w:rsidR="00987C7D" w:rsidRPr="004D18CC" w:rsidRDefault="00987C7D" w:rsidP="004D18CC">
      <w:r w:rsidRPr="004D18CC">
        <w:br w:type="page"/>
      </w:r>
    </w:p>
    <w:p w14:paraId="7F180862" w14:textId="6F2EADDF" w:rsidR="00736621" w:rsidRDefault="00736621" w:rsidP="004D18CC">
      <w:pPr>
        <w:pStyle w:val="Heading3"/>
      </w:pPr>
      <w:r>
        <w:t xml:space="preserve">How </w:t>
      </w:r>
      <w:r w:rsidR="000568BF">
        <w:t>p</w:t>
      </w:r>
      <w:r>
        <w:t xml:space="preserve">hoenix operators </w:t>
      </w:r>
      <w:r w:rsidR="00CB715D">
        <w:t>exploit</w:t>
      </w:r>
      <w:r>
        <w:t xml:space="preserve"> the current </w:t>
      </w:r>
      <w:r w:rsidR="00B10DCF">
        <w:t>law</w:t>
      </w:r>
    </w:p>
    <w:p w14:paraId="69139369" w14:textId="2FFC2330" w:rsidR="00FB66E6" w:rsidRPr="004D18CC" w:rsidRDefault="0087238E" w:rsidP="004D18CC">
      <w:r w:rsidRPr="004D18CC">
        <w:t xml:space="preserve">Illegal </w:t>
      </w:r>
      <w:r w:rsidR="00FB66E6" w:rsidRPr="004D18CC">
        <w:t xml:space="preserve">phoenix operators </w:t>
      </w:r>
      <w:r w:rsidRPr="004D18CC">
        <w:t xml:space="preserve">exploit the current law by ensuring that </w:t>
      </w:r>
      <w:r w:rsidR="00FB66E6" w:rsidRPr="004D18CC">
        <w:t>the company (electronically or via paper copy, through an agent or directly) lodges the appropriate ASIC form noting a change of director, but the notice backdates the director’s resignation so that the director cannot be held liable for offences committed after that time.</w:t>
      </w:r>
    </w:p>
    <w:p w14:paraId="623BD7DC" w14:textId="56E79C78" w:rsidR="00FB66E6" w:rsidRPr="004D18CC" w:rsidRDefault="00FB66E6" w:rsidP="004D18CC">
      <w:r w:rsidRPr="004D18CC">
        <w:t>Similarly, a company may backdate the commencement of a different</w:t>
      </w:r>
      <w:r w:rsidR="008D3F6E" w:rsidRPr="004D18CC">
        <w:t xml:space="preserve"> ‘dummy’</w:t>
      </w:r>
      <w:r w:rsidRPr="004D18CC">
        <w:t xml:space="preserve"> director prior to the period where some offending conduct has occurred</w:t>
      </w:r>
      <w:r w:rsidR="008D3F6E" w:rsidRPr="004D18CC">
        <w:t>, to shield the real controller of the company</w:t>
      </w:r>
      <w:r w:rsidRPr="004D18CC">
        <w:t>.</w:t>
      </w:r>
      <w:r w:rsidR="00DE72F2" w:rsidRPr="004D18CC">
        <w:t xml:space="preserve"> </w:t>
      </w:r>
      <w:r w:rsidR="00B914C5" w:rsidRPr="004D18CC">
        <w:t>In</w:t>
      </w:r>
      <w:r w:rsidR="00B914C5">
        <w:t> </w:t>
      </w:r>
      <w:r w:rsidR="00DE72F2" w:rsidRPr="004D18CC">
        <w:t>some cases, this dummy director may be a fictitious, deceased, or transient person who cannot be found, and/or a person who has no financial means.</w:t>
      </w:r>
    </w:p>
    <w:p w14:paraId="57CDBE10" w14:textId="3DF7EDA8" w:rsidR="007E4483" w:rsidRDefault="0082766D" w:rsidP="004D18CC">
      <w:pPr>
        <w:pStyle w:val="Heading3"/>
        <w:rPr>
          <w:rFonts w:eastAsiaTheme="minorHAnsi"/>
        </w:rPr>
      </w:pPr>
      <w:r>
        <w:rPr>
          <w:rFonts w:eastAsiaTheme="minorHAnsi"/>
        </w:rPr>
        <w:t>Proposed reform</w:t>
      </w:r>
      <w:r w:rsidR="00736621">
        <w:rPr>
          <w:rFonts w:eastAsiaTheme="minorHAnsi"/>
        </w:rPr>
        <w:t xml:space="preserve">: </w:t>
      </w:r>
      <w:r w:rsidR="000E3214">
        <w:rPr>
          <w:rFonts w:eastAsiaTheme="minorHAnsi"/>
        </w:rPr>
        <w:t>l</w:t>
      </w:r>
      <w:r w:rsidR="00BA217A">
        <w:rPr>
          <w:rFonts w:eastAsiaTheme="minorHAnsi"/>
        </w:rPr>
        <w:t>imiting backda</w:t>
      </w:r>
      <w:r w:rsidR="00736621">
        <w:rPr>
          <w:rFonts w:eastAsiaTheme="minorHAnsi"/>
        </w:rPr>
        <w:t>ting of director appointments and</w:t>
      </w:r>
      <w:r w:rsidR="00BA217A">
        <w:rPr>
          <w:rFonts w:eastAsiaTheme="minorHAnsi"/>
        </w:rPr>
        <w:t xml:space="preserve"> resignations</w:t>
      </w:r>
    </w:p>
    <w:p w14:paraId="5712173B" w14:textId="0E6A8FAC" w:rsidR="00D34538" w:rsidRPr="004D18CC" w:rsidRDefault="00D34538" w:rsidP="004D18CC">
      <w:r w:rsidRPr="004D18CC">
        <w:t>This proposal would involve amending the Corporations Act to impose</w:t>
      </w:r>
      <w:r w:rsidR="007E4483" w:rsidRPr="004D18CC">
        <w:t xml:space="preserve"> a rebuttable presumption that </w:t>
      </w:r>
      <w:r w:rsidRPr="004D18CC">
        <w:t xml:space="preserve">where </w:t>
      </w:r>
      <w:r w:rsidR="007E4483" w:rsidRPr="004D18CC">
        <w:t xml:space="preserve">a change in director notice </w:t>
      </w:r>
      <w:r w:rsidRPr="004D18CC">
        <w:t xml:space="preserve">is </w:t>
      </w:r>
      <w:r w:rsidR="007E4483" w:rsidRPr="004D18CC">
        <w:t xml:space="preserve">lodged more than </w:t>
      </w:r>
      <w:r w:rsidR="00060082" w:rsidRPr="004D18CC">
        <w:t xml:space="preserve">28 </w:t>
      </w:r>
      <w:r w:rsidR="007E4483" w:rsidRPr="004D18CC">
        <w:t>days (or another suitable period) after the date of the director’s re</w:t>
      </w:r>
      <w:r w:rsidR="00FB66E6" w:rsidRPr="004D18CC">
        <w:t>s</w:t>
      </w:r>
      <w:r w:rsidR="007E4483" w:rsidRPr="004D18CC">
        <w:t>i</w:t>
      </w:r>
      <w:r w:rsidR="00FB66E6" w:rsidRPr="004D18CC">
        <w:t>g</w:t>
      </w:r>
      <w:r w:rsidR="007E4483" w:rsidRPr="004D18CC">
        <w:t>nation</w:t>
      </w:r>
      <w:r w:rsidRPr="004D18CC">
        <w:t>, the director could still be held liable for misconduct that had occurred up to the point of lodgement.</w:t>
      </w:r>
    </w:p>
    <w:p w14:paraId="0B0162BA" w14:textId="0C1EEA1E" w:rsidR="007E4483" w:rsidRPr="004D18CC" w:rsidRDefault="007E4483" w:rsidP="004D18CC">
      <w:r w:rsidRPr="004D18CC">
        <w:t>The presumption could be overturned on application to the court or at the provision of appropriate information to the satisfaction of ASIC.</w:t>
      </w:r>
    </w:p>
    <w:p w14:paraId="4E812C3E" w14:textId="4215A0D0" w:rsidR="007E4483" w:rsidRPr="004D18CC" w:rsidRDefault="007E4483" w:rsidP="004D18CC">
      <w:r w:rsidRPr="004D18CC">
        <w:t xml:space="preserve">Additionally, the onus for reporting director resignations </w:t>
      </w:r>
      <w:r w:rsidR="00FB66E6" w:rsidRPr="004D18CC">
        <w:t>could be shif</w:t>
      </w:r>
      <w:r w:rsidRPr="004D18CC">
        <w:t>ted from the company to the individual resigning director.</w:t>
      </w:r>
    </w:p>
    <w:p w14:paraId="6F939743" w14:textId="26C5C2BD" w:rsidR="007E4483" w:rsidRDefault="007E4483" w:rsidP="004D18CC">
      <w:r w:rsidRPr="004D18CC">
        <w:t>This would ensure that the responsibility attaches to the resigning director so the director can’t abrogate this to</w:t>
      </w:r>
      <w:r w:rsidR="006F24A3">
        <w:t xml:space="preserve"> the company, which may be nothing more than</w:t>
      </w:r>
      <w:r w:rsidRPr="004D18CC">
        <w:t xml:space="preserve"> an empty corporate shell.</w:t>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104E3A" w14:paraId="46BFC68D" w14:textId="77777777" w:rsidTr="004D18CC">
        <w:tc>
          <w:tcPr>
            <w:tcW w:w="9286" w:type="dxa"/>
            <w:shd w:val="clear" w:color="auto" w:fill="DEEAF6" w:themeFill="accent1" w:themeFillTint="33"/>
          </w:tcPr>
          <w:p w14:paraId="389A857B" w14:textId="77777777" w:rsidR="00104E3A" w:rsidRPr="00D0003C" w:rsidRDefault="00104E3A" w:rsidP="004D18CC">
            <w:pPr>
              <w:pStyle w:val="BoxHeading"/>
            </w:pPr>
            <w:r>
              <w:t>Questions</w:t>
            </w:r>
          </w:p>
          <w:p w14:paraId="77BBADA6" w14:textId="77777777" w:rsidR="00104E3A" w:rsidRPr="007F4F56" w:rsidRDefault="00104E3A" w:rsidP="004D18CC">
            <w:pPr>
              <w:pStyle w:val="BoxNumbering"/>
              <w:rPr>
                <w:rFonts w:eastAsiaTheme="minorHAnsi"/>
              </w:rPr>
            </w:pPr>
            <w:r w:rsidRPr="00204274">
              <w:rPr>
                <w:rFonts w:eastAsiaTheme="minorHAnsi"/>
              </w:rPr>
              <w:t>On a scale of one to ten, where one is ‘ineffective’ and ten is ‘highly effective’, please rate how well you think this measure will operate to deter and disrupt illegal phoenix activity.</w:t>
            </w:r>
          </w:p>
          <w:p w14:paraId="7601C2DF" w14:textId="3C9034DD" w:rsidR="00104E3A" w:rsidRPr="007F4F56" w:rsidRDefault="00104E3A" w:rsidP="004D18CC">
            <w:pPr>
              <w:pStyle w:val="BoxNumbering"/>
              <w:rPr>
                <w:rFonts w:eastAsiaTheme="minorHAnsi"/>
              </w:rPr>
            </w:pPr>
            <w:r w:rsidRPr="007F4F56">
              <w:rPr>
                <w:rFonts w:eastAsiaTheme="minorHAnsi"/>
              </w:rPr>
              <w:t>Do you agree that there should be a rebuttable presumption that a director should still be held responsible for misconduct if the required notice is not lodged with ASIC in a timely way?</w:t>
            </w:r>
          </w:p>
          <w:p w14:paraId="4BFF7D59" w14:textId="77777777" w:rsidR="00987C7D" w:rsidRDefault="00104E3A" w:rsidP="004D18CC">
            <w:pPr>
              <w:pStyle w:val="BoxNumbering"/>
              <w:rPr>
                <w:rFonts w:eastAsiaTheme="minorHAnsi" w:cstheme="minorBidi"/>
                <w:iCs/>
                <w:szCs w:val="22"/>
                <w:lang w:eastAsia="en-US"/>
              </w:rPr>
            </w:pPr>
            <w:r w:rsidRPr="008A3644">
              <w:rPr>
                <w:rFonts w:eastAsiaTheme="minorHAnsi" w:cstheme="minorBidi"/>
                <w:iCs/>
                <w:szCs w:val="22"/>
                <w:lang w:eastAsia="en-US"/>
              </w:rPr>
              <w:t>What are the benefits and risks of this approach?</w:t>
            </w:r>
          </w:p>
          <w:p w14:paraId="68B4881B" w14:textId="77777777" w:rsidR="00987C7D" w:rsidRPr="00C603FB" w:rsidRDefault="00987C7D" w:rsidP="00987C7D">
            <w:pPr>
              <w:pStyle w:val="BoxNumbering"/>
              <w:rPr>
                <w:rFonts w:eastAsiaTheme="minorHAnsi"/>
                <w:lang w:eastAsia="en-US"/>
              </w:rPr>
            </w:pPr>
            <w:r w:rsidRPr="00D34538">
              <w:rPr>
                <w:rFonts w:eastAsiaTheme="minorHAnsi" w:cstheme="minorBidi"/>
                <w:iCs/>
                <w:szCs w:val="22"/>
                <w:lang w:eastAsia="en-US"/>
              </w:rPr>
              <w:t xml:space="preserve">What is a reasonable period to allow for the requisite notice </w:t>
            </w:r>
            <w:r>
              <w:rPr>
                <w:rFonts w:eastAsiaTheme="minorHAnsi" w:cstheme="minorBidi"/>
                <w:iCs/>
                <w:szCs w:val="22"/>
                <w:lang w:eastAsia="en-US"/>
              </w:rPr>
              <w:t xml:space="preserve">to be lodged </w:t>
            </w:r>
            <w:r w:rsidRPr="00D34538">
              <w:rPr>
                <w:rFonts w:eastAsiaTheme="minorHAnsi" w:cstheme="minorBidi"/>
                <w:iCs/>
                <w:szCs w:val="22"/>
                <w:lang w:eastAsia="en-US"/>
              </w:rPr>
              <w:t>with ASIC?</w:t>
            </w:r>
          </w:p>
          <w:p w14:paraId="70D66FF6" w14:textId="77777777" w:rsidR="00987C7D" w:rsidRPr="00DD43F1" w:rsidRDefault="00987C7D" w:rsidP="00987C7D">
            <w:pPr>
              <w:pStyle w:val="BoxNumbering"/>
              <w:rPr>
                <w:rFonts w:eastAsiaTheme="minorHAnsi"/>
                <w:lang w:eastAsia="en-US"/>
              </w:rPr>
            </w:pPr>
            <w:r w:rsidRPr="008A3644">
              <w:rPr>
                <w:rFonts w:eastAsiaTheme="minorHAnsi"/>
                <w:lang w:eastAsia="en-US"/>
              </w:rPr>
              <w:t>Should the onus for reporting to ASIC be placed on the individual director, rather than the company?</w:t>
            </w:r>
            <w:r>
              <w:rPr>
                <w:rFonts w:eastAsiaTheme="minorHAnsi"/>
                <w:lang w:eastAsia="en-US"/>
              </w:rPr>
              <w:t xml:space="preserve"> If so, would this constitute a significant compliance burden?</w:t>
            </w:r>
          </w:p>
          <w:p w14:paraId="417BD5A4" w14:textId="1970DF82" w:rsidR="00104E3A" w:rsidRDefault="00987C7D" w:rsidP="004D18CC">
            <w:pPr>
              <w:pStyle w:val="BoxNumbering"/>
            </w:pPr>
            <w:r w:rsidRPr="00DD43F1">
              <w:rPr>
                <w:rFonts w:eastAsiaTheme="minorHAnsi"/>
                <w:lang w:eastAsia="en-US"/>
              </w:rPr>
              <w:t>How should the ab</w:t>
            </w:r>
            <w:r w:rsidRPr="00C471C4">
              <w:rPr>
                <w:rFonts w:eastAsiaTheme="minorHAnsi"/>
                <w:lang w:eastAsia="en-US"/>
              </w:rPr>
              <w:t xml:space="preserve">ove measure be enforced? </w:t>
            </w:r>
            <w:r>
              <w:rPr>
                <w:rFonts w:eastAsiaTheme="minorHAnsi"/>
                <w:lang w:eastAsia="en-US"/>
              </w:rPr>
              <w:t>For example,</w:t>
            </w:r>
            <w:r w:rsidRPr="00C471C4">
              <w:rPr>
                <w:rFonts w:eastAsiaTheme="minorHAnsi"/>
                <w:lang w:eastAsia="en-US"/>
              </w:rPr>
              <w:t xml:space="preserve"> </w:t>
            </w:r>
            <w:r>
              <w:rPr>
                <w:rFonts w:eastAsiaTheme="minorHAnsi"/>
                <w:lang w:eastAsia="en-US"/>
              </w:rPr>
              <w:t>by</w:t>
            </w:r>
            <w:r w:rsidRPr="00DD43F1">
              <w:rPr>
                <w:rFonts w:eastAsiaTheme="minorHAnsi"/>
                <w:lang w:eastAsia="en-US"/>
              </w:rPr>
              <w:t xml:space="preserve"> application to court or ASIC taking other administrative action?</w:t>
            </w:r>
          </w:p>
        </w:tc>
      </w:tr>
    </w:tbl>
    <w:p w14:paraId="0DB493AA" w14:textId="77777777" w:rsidR="00104E3A" w:rsidRPr="004D18CC" w:rsidRDefault="00104E3A" w:rsidP="004D18CC">
      <w:pPr>
        <w:pStyle w:val="SingleParagraph"/>
      </w:pPr>
    </w:p>
    <w:p w14:paraId="5CE3FB95" w14:textId="1C14F43A" w:rsidR="00BA217A" w:rsidRDefault="00FC0516" w:rsidP="004D18CC">
      <w:pPr>
        <w:pStyle w:val="Heading3"/>
        <w:rPr>
          <w:rFonts w:eastAsiaTheme="minorHAnsi"/>
          <w:lang w:eastAsia="en-US"/>
        </w:rPr>
      </w:pPr>
      <w:r>
        <w:rPr>
          <w:rFonts w:eastAsiaTheme="minorHAnsi"/>
          <w:lang w:eastAsia="en-US"/>
        </w:rPr>
        <w:t xml:space="preserve">Current </w:t>
      </w:r>
      <w:r w:rsidR="001C0DCC">
        <w:rPr>
          <w:rFonts w:eastAsiaTheme="minorHAnsi"/>
          <w:lang w:eastAsia="en-US"/>
        </w:rPr>
        <w:t>s</w:t>
      </w:r>
      <w:r>
        <w:rPr>
          <w:rFonts w:eastAsiaTheme="minorHAnsi"/>
          <w:lang w:eastAsia="en-US"/>
        </w:rPr>
        <w:t xml:space="preserve">ituation - </w:t>
      </w:r>
      <w:r w:rsidR="00BC7C6F">
        <w:rPr>
          <w:rFonts w:eastAsiaTheme="minorHAnsi"/>
          <w:lang w:eastAsia="en-US"/>
        </w:rPr>
        <w:t>a</w:t>
      </w:r>
      <w:r w:rsidR="00BA217A">
        <w:rPr>
          <w:rFonts w:eastAsiaTheme="minorHAnsi"/>
          <w:lang w:eastAsia="en-US"/>
        </w:rPr>
        <w:t xml:space="preserve">bandoning a </w:t>
      </w:r>
      <w:r w:rsidR="00BC7C6F">
        <w:rPr>
          <w:rFonts w:eastAsiaTheme="minorHAnsi"/>
          <w:lang w:eastAsia="en-US"/>
        </w:rPr>
        <w:t>c</w:t>
      </w:r>
      <w:r w:rsidR="00BA217A">
        <w:rPr>
          <w:rFonts w:eastAsiaTheme="minorHAnsi"/>
          <w:lang w:eastAsia="en-US"/>
        </w:rPr>
        <w:t>ompany</w:t>
      </w:r>
    </w:p>
    <w:p w14:paraId="658BC825" w14:textId="1A3B3334" w:rsidR="000601DC" w:rsidRPr="009D53B4" w:rsidRDefault="00D0003C" w:rsidP="004D18CC">
      <w:r w:rsidRPr="009D53B4">
        <w:t>Because a director can resign unilaterally, t</w:t>
      </w:r>
      <w:r w:rsidR="001464EA" w:rsidRPr="009D53B4">
        <w:t xml:space="preserve">his can lead to a situation </w:t>
      </w:r>
      <w:r w:rsidR="00FD7C51" w:rsidRPr="009D53B4">
        <w:t>w</w:t>
      </w:r>
      <w:r w:rsidR="001464EA" w:rsidRPr="009D53B4">
        <w:t>here a sole director resigns from their directorship but does not advise ASIC of their resignation and the company is left without a natural person's oversight.</w:t>
      </w:r>
    </w:p>
    <w:p w14:paraId="0090412E" w14:textId="6C281579" w:rsidR="001464EA" w:rsidRPr="009D53B4" w:rsidRDefault="001464EA" w:rsidP="004D18CC">
      <w:r w:rsidRPr="009D53B4">
        <w:t xml:space="preserve">As a result, the company may not make the necessary director resignation lodgements with ASIC, and nor can it appoint a replacement director. The company is thus abandoned until such time it is placed into external administration by a creditor via court proceedings or is deregistered </w:t>
      </w:r>
      <w:r w:rsidR="002B3858">
        <w:t xml:space="preserve">or administratively wound up </w:t>
      </w:r>
      <w:r w:rsidRPr="009D53B4">
        <w:t>by ASIC.</w:t>
      </w:r>
    </w:p>
    <w:p w14:paraId="198A26E1" w14:textId="792F10E7" w:rsidR="008654BD" w:rsidRPr="009D53B4" w:rsidRDefault="008654BD" w:rsidP="004D18CC">
      <w:pPr>
        <w:pStyle w:val="Heading3"/>
      </w:pPr>
      <w:r>
        <w:t xml:space="preserve">How </w:t>
      </w:r>
      <w:r w:rsidR="00BC7C6F">
        <w:t>p</w:t>
      </w:r>
      <w:r>
        <w:t xml:space="preserve">hoenix operators </w:t>
      </w:r>
      <w:r w:rsidR="00C80362">
        <w:t>exploit the current law</w:t>
      </w:r>
    </w:p>
    <w:p w14:paraId="39213410" w14:textId="60E8F4C4" w:rsidR="001464EA" w:rsidRPr="009D53B4" w:rsidRDefault="00F7396B" w:rsidP="004D18CC">
      <w:r>
        <w:t>A</w:t>
      </w:r>
      <w:r w:rsidR="001464EA" w:rsidRPr="009D53B4">
        <w:t xml:space="preserve"> phoenix operator may undertake trading for a period of time</w:t>
      </w:r>
      <w:r>
        <w:t xml:space="preserve"> with no directors in place</w:t>
      </w:r>
      <w:r w:rsidR="001464EA" w:rsidRPr="009D53B4">
        <w:t>, strip the company of any assets, leave behind unpaid debts, and place the company into external administration.</w:t>
      </w:r>
    </w:p>
    <w:p w14:paraId="49D7260D" w14:textId="58CCBD04" w:rsidR="001464EA" w:rsidRPr="009D53B4" w:rsidRDefault="001464EA" w:rsidP="004D18CC">
      <w:r w:rsidRPr="009D53B4">
        <w:t xml:space="preserve">Although ASIC may deregister a dormant company if it believes the company has ceased trading or has outstanding fees and penalties, there </w:t>
      </w:r>
      <w:r w:rsidR="005E1057">
        <w:t>is currently a significant</w:t>
      </w:r>
      <w:r w:rsidRPr="009D53B4">
        <w:t xml:space="preserve"> time delay which can be exploited by phoenix operators to avoid the heightened scrutiny of an investigation by an administrator or liquidator.</w:t>
      </w:r>
    </w:p>
    <w:p w14:paraId="27D35667" w14:textId="32AAACC4" w:rsidR="0082766D" w:rsidRDefault="0082766D" w:rsidP="004D18CC">
      <w:pPr>
        <w:pStyle w:val="Heading3"/>
      </w:pPr>
      <w:r>
        <w:t xml:space="preserve">Proposed </w:t>
      </w:r>
      <w:r w:rsidR="000E3214">
        <w:t>r</w:t>
      </w:r>
      <w:r>
        <w:t>eform</w:t>
      </w:r>
    </w:p>
    <w:p w14:paraId="45A9DEB0" w14:textId="417C183F" w:rsidR="00710CEA" w:rsidRDefault="001464EA" w:rsidP="004D18CC">
      <w:r w:rsidRPr="009D53B4">
        <w:t xml:space="preserve">The Government intends to limit a sole director's ability to resign from office without either </w:t>
      </w:r>
      <w:r w:rsidR="00B914C5" w:rsidRPr="009D53B4">
        <w:t>first</w:t>
      </w:r>
      <w:r w:rsidR="00B914C5">
        <w:t> </w:t>
      </w:r>
      <w:r w:rsidRPr="009D53B4">
        <w:t>finding a replacement director or winding up the company’s affairs</w:t>
      </w:r>
      <w:r w:rsidR="008654BD">
        <w:t xml:space="preserve"> by a</w:t>
      </w:r>
      <w:r w:rsidR="00710CEA">
        <w:t>mend</w:t>
      </w:r>
      <w:r w:rsidR="008654BD">
        <w:t>ing</w:t>
      </w:r>
      <w:r w:rsidR="00710CEA">
        <w:t xml:space="preserve"> the Corporations Act to deem such a resignation ineffective.</w:t>
      </w:r>
    </w:p>
    <w:p w14:paraId="16F8190B" w14:textId="62276342" w:rsidR="00710CEA" w:rsidRDefault="00710CEA" w:rsidP="004D18CC">
      <w:r>
        <w:t>In circumstances where a company has more than one director who simultaneously (or nearly simultaneously) resign and abandon a company, similar restrictions would apply.</w:t>
      </w:r>
    </w:p>
    <w:p w14:paraId="6C086F64" w14:textId="55358183" w:rsidR="00BC7C6F" w:rsidRDefault="00BC7C6F" w:rsidP="004D18CC">
      <w:r>
        <w:t>Alternatively, abandoning a company in this manner could be made an offence.</w:t>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104E3A" w14:paraId="39521D1B" w14:textId="77777777" w:rsidTr="004D18CC">
        <w:tc>
          <w:tcPr>
            <w:tcW w:w="9286" w:type="dxa"/>
            <w:shd w:val="clear" w:color="auto" w:fill="DEEAF6" w:themeFill="accent1" w:themeFillTint="33"/>
          </w:tcPr>
          <w:p w14:paraId="3F648A2D" w14:textId="77777777" w:rsidR="00104E3A" w:rsidRPr="00D0003C" w:rsidRDefault="00104E3A" w:rsidP="004D18CC">
            <w:pPr>
              <w:pStyle w:val="BoxHeading"/>
            </w:pPr>
            <w:r>
              <w:t>Questions</w:t>
            </w:r>
          </w:p>
          <w:p w14:paraId="0535D40D" w14:textId="77777777" w:rsidR="00104E3A" w:rsidRPr="004D18CC" w:rsidRDefault="00104E3A" w:rsidP="004D18CC">
            <w:pPr>
              <w:pStyle w:val="BoxNumbering"/>
              <w:rPr>
                <w:rFonts w:eastAsiaTheme="minorHAnsi"/>
              </w:rPr>
            </w:pPr>
            <w:r w:rsidRPr="004D18CC">
              <w:rPr>
                <w:rFonts w:eastAsiaTheme="minorHAnsi"/>
              </w:rPr>
              <w:t>On a scale of one to ten, where one is ‘ineffective’ and ten is ‘highly effective’, please rate how well you think this measure will operate to deter and disrupt illegal phoenix activity.</w:t>
            </w:r>
          </w:p>
          <w:p w14:paraId="2581947A" w14:textId="6229240E" w:rsidR="00987C7D" w:rsidRPr="004D18CC" w:rsidRDefault="00104E3A" w:rsidP="004D18CC">
            <w:pPr>
              <w:pStyle w:val="BoxNumbering"/>
              <w:rPr>
                <w:rFonts w:eastAsiaTheme="minorHAnsi"/>
              </w:rPr>
            </w:pPr>
            <w:r w:rsidRPr="004D18CC">
              <w:rPr>
                <w:rFonts w:eastAsiaTheme="minorHAnsi"/>
              </w:rPr>
              <w:t>Should sole directors be able to resign without appointing a liquidator or deregistering the company?</w:t>
            </w:r>
          </w:p>
          <w:p w14:paraId="1C28783C" w14:textId="77777777" w:rsidR="00987C7D" w:rsidRPr="004D18CC" w:rsidRDefault="00987C7D" w:rsidP="004D18CC">
            <w:pPr>
              <w:pStyle w:val="BoxNumbering"/>
              <w:rPr>
                <w:rFonts w:eastAsiaTheme="minorHAnsi"/>
              </w:rPr>
            </w:pPr>
            <w:r w:rsidRPr="004D18CC">
              <w:rPr>
                <w:rFonts w:eastAsiaTheme="minorHAnsi"/>
              </w:rPr>
              <w:t>What are the benefits and risks of this approach?</w:t>
            </w:r>
          </w:p>
          <w:p w14:paraId="579959AE" w14:textId="77777777" w:rsidR="00987C7D" w:rsidRPr="004D18CC" w:rsidRDefault="00987C7D" w:rsidP="004D18CC">
            <w:pPr>
              <w:pStyle w:val="BoxNumbering"/>
              <w:rPr>
                <w:rFonts w:eastAsiaTheme="minorHAnsi"/>
              </w:rPr>
            </w:pPr>
            <w:r w:rsidRPr="004D18CC">
              <w:rPr>
                <w:rFonts w:eastAsiaTheme="minorHAnsi"/>
              </w:rPr>
              <w:t>Should abandoning a company instead be an offence?</w:t>
            </w:r>
          </w:p>
          <w:p w14:paraId="311257C8" w14:textId="77777777" w:rsidR="00987C7D" w:rsidRPr="004D18CC" w:rsidRDefault="00987C7D" w:rsidP="004D18CC">
            <w:pPr>
              <w:pStyle w:val="BoxNumbering"/>
              <w:rPr>
                <w:rFonts w:eastAsiaTheme="minorHAnsi"/>
              </w:rPr>
            </w:pPr>
            <w:r w:rsidRPr="004D18CC">
              <w:rPr>
                <w:rFonts w:eastAsiaTheme="minorHAnsi"/>
              </w:rPr>
              <w:t>Should a company with no director for a prescribed period be automatically deregistered? If so, what would be an appropriate period before deregistration should commence?</w:t>
            </w:r>
          </w:p>
          <w:p w14:paraId="111A4EEA" w14:textId="0CAB215F" w:rsidR="00104E3A" w:rsidRDefault="00987C7D" w:rsidP="004D18CC">
            <w:pPr>
              <w:pStyle w:val="BoxNumbering"/>
            </w:pPr>
            <w:r w:rsidRPr="004D18CC">
              <w:rPr>
                <w:rFonts w:eastAsiaTheme="minorHAnsi"/>
              </w:rPr>
              <w:t>What other options are available for consideration?</w:t>
            </w:r>
          </w:p>
        </w:tc>
      </w:tr>
    </w:tbl>
    <w:p w14:paraId="3595C549" w14:textId="77777777" w:rsidR="00104E3A" w:rsidRPr="004D18CC" w:rsidRDefault="00104E3A" w:rsidP="004D18CC"/>
    <w:p w14:paraId="1B1FE2B5" w14:textId="77777777" w:rsidR="00B914C5" w:rsidRPr="004D18CC" w:rsidRDefault="00B914C5" w:rsidP="004D18CC">
      <w:r w:rsidRPr="004D18CC">
        <w:br w:type="page"/>
      </w:r>
    </w:p>
    <w:p w14:paraId="4DCB7F4D" w14:textId="159C85D5" w:rsidR="00256440" w:rsidRPr="004D18CC" w:rsidRDefault="00987C7D" w:rsidP="004D18CC">
      <w:pPr>
        <w:pStyle w:val="Heading2"/>
      </w:pPr>
      <w:bookmarkStart w:id="39" w:name="_Toc494212629"/>
      <w:r>
        <w:t>4.</w:t>
      </w:r>
      <w:bookmarkEnd w:id="39"/>
      <w:r>
        <w:tab/>
      </w:r>
      <w:bookmarkStart w:id="40" w:name="_Toc493772770"/>
      <w:bookmarkStart w:id="41" w:name="_Toc494212630"/>
      <w:r w:rsidR="00256440" w:rsidRPr="004D18CC">
        <w:t>Restrictions on voting rights</w:t>
      </w:r>
      <w:bookmarkEnd w:id="40"/>
      <w:bookmarkEnd w:id="41"/>
    </w:p>
    <w:p w14:paraId="2983E38B" w14:textId="6D43AF50" w:rsidR="00FE3DF6" w:rsidRPr="00B101C7" w:rsidRDefault="00FE3DF6" w:rsidP="004D18CC">
      <w:pPr>
        <w:pStyle w:val="Heading3"/>
      </w:pPr>
      <w:r>
        <w:t xml:space="preserve">Current </w:t>
      </w:r>
      <w:r w:rsidR="000E3214">
        <w:t>s</w:t>
      </w:r>
      <w:r>
        <w:t>ituation</w:t>
      </w:r>
    </w:p>
    <w:p w14:paraId="49AD0068" w14:textId="2C5FC821" w:rsidR="002514EB" w:rsidRDefault="002514EB" w:rsidP="004D18CC">
      <w:r w:rsidRPr="002514EB">
        <w:t>Directors initiate most external administration appointments and decide which registered liquidator is appointed as</w:t>
      </w:r>
      <w:r w:rsidR="00004F28">
        <w:t xml:space="preserve"> the</w:t>
      </w:r>
      <w:r w:rsidRPr="002514EB">
        <w:t xml:space="preserve"> e</w:t>
      </w:r>
      <w:r w:rsidR="00BC7C6F">
        <w:t>x</w:t>
      </w:r>
      <w:r w:rsidRPr="002514EB">
        <w:t>ternal administrator of the company.</w:t>
      </w:r>
    </w:p>
    <w:p w14:paraId="1BEBE41E" w14:textId="6CD1415D" w:rsidR="00A10762" w:rsidRPr="00A10762" w:rsidRDefault="00A10762" w:rsidP="004D18CC">
      <w:r w:rsidRPr="00A10762">
        <w:t>Depending on the type of appointment, the external administrator i</w:t>
      </w:r>
      <w:r w:rsidR="00F7396B">
        <w:t>s</w:t>
      </w:r>
      <w:r w:rsidRPr="00A10762">
        <w:t xml:space="preserve"> obligated to hold creditor</w:t>
      </w:r>
      <w:r w:rsidR="00883E9D">
        <w:t>s’</w:t>
      </w:r>
      <w:r w:rsidRPr="00A10762">
        <w:t xml:space="preserve"> meetings in which various resolutions pertaining to the company's affairs are </w:t>
      </w:r>
      <w:r w:rsidR="00004F28">
        <w:t>passed</w:t>
      </w:r>
      <w:r w:rsidRPr="00A10762">
        <w:t xml:space="preserve">, including a resolution confirming </w:t>
      </w:r>
      <w:r w:rsidR="00F7396B">
        <w:t>their</w:t>
      </w:r>
      <w:r w:rsidRPr="00A10762">
        <w:t xml:space="preserve"> appointment.</w:t>
      </w:r>
    </w:p>
    <w:p w14:paraId="316DC5AA" w14:textId="77777777" w:rsidR="002514EB" w:rsidRPr="002514EB" w:rsidRDefault="002514EB" w:rsidP="004D18CC">
      <w:r w:rsidRPr="002514EB">
        <w:t>It is fundamental that creditors can remove and replace an external administrator if they are concerned that the external administrator chosen by the director will not act in their interests.</w:t>
      </w:r>
    </w:p>
    <w:p w14:paraId="3A877C00" w14:textId="72FEAF20" w:rsidR="007547DD" w:rsidRDefault="002514EB" w:rsidP="004D18CC">
      <w:r w:rsidRPr="002514EB">
        <w:t>Where creditors are concerned about the external administrator’s independence</w:t>
      </w:r>
      <w:r w:rsidR="007547DD">
        <w:t xml:space="preserve"> they may</w:t>
      </w:r>
      <w:r w:rsidRPr="002514EB">
        <w:t xml:space="preserve"> pass a resolution to remove and replace the external administrator</w:t>
      </w:r>
      <w:r w:rsidR="00985CA5">
        <w:t>.</w:t>
      </w:r>
    </w:p>
    <w:p w14:paraId="2E38466F" w14:textId="49C2D01F" w:rsidR="002514EB" w:rsidRPr="002514EB" w:rsidRDefault="002514EB" w:rsidP="004D18CC">
      <w:r w:rsidRPr="002514EB">
        <w:t>Before a creditor can vote at a meeting, they must provide details of their claim</w:t>
      </w:r>
      <w:r w:rsidR="007547DD">
        <w:t xml:space="preserve"> to the external administrator. </w:t>
      </w:r>
      <w:r w:rsidRPr="002514EB">
        <w:t>The</w:t>
      </w:r>
      <w:r w:rsidR="007547DD">
        <w:t xml:space="preserve"> </w:t>
      </w:r>
      <w:r w:rsidR="001B515E">
        <w:t>Corporations</w:t>
      </w:r>
      <w:r w:rsidRPr="002514EB">
        <w:t xml:space="preserve"> Act does not prescribe the level of proof required before the person presiding at the meeting may admit a claim for voting purposes. As a result, claims are not scrutinised as much as they are when the external administrator pays a dividend.</w:t>
      </w:r>
    </w:p>
    <w:p w14:paraId="63C66DAC" w14:textId="7AA8C196" w:rsidR="002514EB" w:rsidRPr="002514EB" w:rsidRDefault="00C471C4" w:rsidP="004D18CC">
      <w:r>
        <w:t>A</w:t>
      </w:r>
      <w:r w:rsidR="002514EB" w:rsidRPr="002514EB">
        <w:t xml:space="preserve"> resolution put to the creditors’ meeting to remove and replace the external administrator is decided on the voices. Alternatively, a poll may be demanded.  If a poll is demanded, the resolution is passed if the majority in both number and value of creditors present vote in favour of the resolution. If there is not a majority in number and value, the person presiding at the meeting may only exercise a casting vo</w:t>
      </w:r>
      <w:r>
        <w:t xml:space="preserve">te in favour of their removal. </w:t>
      </w:r>
      <w:r w:rsidR="002514EB" w:rsidRPr="002514EB">
        <w:t>However, the person presiding can also choose not to exercise their casting vote</w:t>
      </w:r>
      <w:r w:rsidR="00C241CA">
        <w:t>,</w:t>
      </w:r>
      <w:r w:rsidR="002514EB" w:rsidRPr="002514EB">
        <w:t xml:space="preserve"> ensuring the resolution fails.</w:t>
      </w:r>
    </w:p>
    <w:p w14:paraId="0A37CA8F" w14:textId="7B294936" w:rsidR="002514EB" w:rsidRPr="002514EB" w:rsidRDefault="002514EB" w:rsidP="004D18CC">
      <w:r w:rsidRPr="002514EB">
        <w:t xml:space="preserve">The </w:t>
      </w:r>
      <w:r w:rsidR="00CA073B">
        <w:t xml:space="preserve">Corporations </w:t>
      </w:r>
      <w:r w:rsidRPr="002514EB">
        <w:t>Act defines, “related creditor”.  However, its scope is complex and the external administrator may have difficulty identifying whether a creditor is a related creditor (and the amount of the claim) if the company</w:t>
      </w:r>
      <w:r w:rsidR="00DF24F8">
        <w:t>’s</w:t>
      </w:r>
      <w:r w:rsidRPr="002514EB">
        <w:t xml:space="preserve"> books and records are incomplete; and particularly for voting at a creditors’ meeting if the claim is made at the meeting.</w:t>
      </w:r>
    </w:p>
    <w:p w14:paraId="6A832D33" w14:textId="6C21C9DA" w:rsidR="00A10762" w:rsidRDefault="002514EB" w:rsidP="004D18CC">
      <w:r w:rsidRPr="002514EB">
        <w:t>Although the</w:t>
      </w:r>
      <w:r w:rsidR="00CA073B">
        <w:t xml:space="preserve"> Corporations</w:t>
      </w:r>
      <w:r w:rsidRPr="002514EB">
        <w:t xml:space="preserve"> Act provides creditors power to remove and replace the external administrator, and apply to court for orders if the outcome is decided by related creditors, it does not prevent related creditors influencing the conduct of the external administration and frustrating the interests of creditors not related to the director or the company.</w:t>
      </w:r>
    </w:p>
    <w:p w14:paraId="740EBF35" w14:textId="6749A4A2" w:rsidR="00A10762" w:rsidRDefault="00E31A6B" w:rsidP="004D18CC">
      <w:pPr>
        <w:pStyle w:val="Heading3"/>
      </w:pPr>
      <w:r>
        <w:t xml:space="preserve">How </w:t>
      </w:r>
      <w:r w:rsidR="00464D2C">
        <w:t>phoenix operators exploit the current law</w:t>
      </w:r>
    </w:p>
    <w:p w14:paraId="2C8E37C0" w14:textId="624D2D0D" w:rsidR="00A10762" w:rsidRDefault="00E31A6B" w:rsidP="004D18CC">
      <w:r>
        <w:t>T</w:t>
      </w:r>
      <w:r w:rsidR="00A10762" w:rsidRPr="00E31A6B">
        <w:t xml:space="preserve">he current regime allows phoenix operators to "stack" votes in a creditors meeting whereby they are able to exert their influence through voting power of related creditors. Through this channel the phoenix operator can </w:t>
      </w:r>
      <w:r w:rsidR="00FE3DF6">
        <w:t>influence</w:t>
      </w:r>
      <w:r w:rsidR="00FE3DF6" w:rsidRPr="00E31A6B">
        <w:t xml:space="preserve"> </w:t>
      </w:r>
      <w:r w:rsidR="00A10762" w:rsidRPr="00E31A6B">
        <w:t>the outcome of proposed resolutions.</w:t>
      </w:r>
    </w:p>
    <w:p w14:paraId="4CBC99E8" w14:textId="45C6475B" w:rsidR="002514EB" w:rsidRDefault="002514EB" w:rsidP="004D18CC">
      <w:r w:rsidRPr="002514EB">
        <w:t>The concern that related creditors can frustrate investigations into suspected illegal phoenix activity is heightened where the external administrator’s relationship with the pre-insolvency advis</w:t>
      </w:r>
      <w:r w:rsidR="00F23627">
        <w:t>e</w:t>
      </w:r>
      <w:r w:rsidRPr="002514EB">
        <w:t>r or director might result in an actual conflict or the reasonable apprehension that the external administrator might not bring an impartial mind to the administration of the company’s affairs.</w:t>
      </w:r>
    </w:p>
    <w:p w14:paraId="70A45A5C" w14:textId="19C2FDD6" w:rsidR="00E31A6B" w:rsidRDefault="00E31A6B" w:rsidP="004D18CC">
      <w:pPr>
        <w:pStyle w:val="Heading3"/>
      </w:pPr>
      <w:r>
        <w:t>Proposed reform</w:t>
      </w:r>
    </w:p>
    <w:p w14:paraId="0D54F2E5" w14:textId="3DD05F1F" w:rsidR="002514EB" w:rsidRPr="00DD43F1" w:rsidRDefault="00E31A6B" w:rsidP="004D18CC">
      <w:r w:rsidRPr="00E31A6B">
        <w:rPr>
          <w:rFonts w:cs="Arial"/>
        </w:rPr>
        <w:t xml:space="preserve">The Government is considering legislative reform </w:t>
      </w:r>
      <w:r w:rsidR="002514EB">
        <w:rPr>
          <w:rFonts w:cs="Arial"/>
        </w:rPr>
        <w:t xml:space="preserve">to </w:t>
      </w:r>
      <w:r w:rsidR="002514EB" w:rsidRPr="00DD43F1">
        <w:t>restrict the rights of related creditors to vote at creditors’ meetings.</w:t>
      </w:r>
    </w:p>
    <w:p w14:paraId="3234A789" w14:textId="747F3764" w:rsidR="002514EB" w:rsidRPr="00DD43F1" w:rsidRDefault="002514EB" w:rsidP="004D18CC">
      <w:r>
        <w:rPr>
          <w:rFonts w:cs="Arial"/>
        </w:rPr>
        <w:t>The</w:t>
      </w:r>
      <w:r w:rsidRPr="00DD43F1">
        <w:t xml:space="preserve"> aim </w:t>
      </w:r>
      <w:r>
        <w:rPr>
          <w:rFonts w:cs="Arial"/>
        </w:rPr>
        <w:t xml:space="preserve">is </w:t>
      </w:r>
      <w:r w:rsidRPr="00DD43F1">
        <w:t>to minimise the risk that related creditors, with or without the assistance of the external administrator, can frustrate unrelated creditors – particularly where a resolution is proposed to remove and replace the external administrator.</w:t>
      </w:r>
    </w:p>
    <w:p w14:paraId="4FE05DB1" w14:textId="77777777" w:rsidR="00987C7D" w:rsidRDefault="00A10762" w:rsidP="004D18CC">
      <w:pPr>
        <w:rPr>
          <w:rFonts w:cs="Arial"/>
        </w:rPr>
      </w:pPr>
      <w:r w:rsidRPr="00E31A6B">
        <w:rPr>
          <w:rFonts w:cs="Arial"/>
        </w:rPr>
        <w:t xml:space="preserve">Under this proposed measure the external administrator will be required to </w:t>
      </w:r>
      <w:r w:rsidR="00A421DF">
        <w:rPr>
          <w:rFonts w:cs="Arial"/>
        </w:rPr>
        <w:t xml:space="preserve">disregard </w:t>
      </w:r>
      <w:r w:rsidRPr="00E31A6B">
        <w:rPr>
          <w:rFonts w:cs="Arial"/>
        </w:rPr>
        <w:t xml:space="preserve">"related creditor" votes received in relation to </w:t>
      </w:r>
      <w:r w:rsidR="00A421DF">
        <w:rPr>
          <w:rFonts w:cs="Arial"/>
        </w:rPr>
        <w:t>a</w:t>
      </w:r>
      <w:r w:rsidR="00A421DF" w:rsidRPr="00E31A6B">
        <w:rPr>
          <w:rFonts w:cs="Arial"/>
        </w:rPr>
        <w:t xml:space="preserve"> </w:t>
      </w:r>
      <w:r w:rsidRPr="00E31A6B">
        <w:rPr>
          <w:rFonts w:cs="Arial"/>
        </w:rPr>
        <w:t xml:space="preserve">resolution </w:t>
      </w:r>
      <w:r w:rsidR="002C2D83">
        <w:rPr>
          <w:rFonts w:cs="Arial"/>
        </w:rPr>
        <w:t xml:space="preserve">remove and </w:t>
      </w:r>
      <w:r w:rsidR="00A421DF">
        <w:rPr>
          <w:rFonts w:cs="Arial"/>
        </w:rPr>
        <w:t>replace an external administrator</w:t>
      </w:r>
      <w:r w:rsidRPr="00E31A6B">
        <w:rPr>
          <w:rFonts w:cs="Arial"/>
        </w:rPr>
        <w:t>.</w:t>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987C7D" w14:paraId="59253FD6" w14:textId="77777777" w:rsidTr="004D18CC">
        <w:tc>
          <w:tcPr>
            <w:tcW w:w="9286" w:type="dxa"/>
            <w:shd w:val="clear" w:color="auto" w:fill="DEEAF6" w:themeFill="accent1" w:themeFillTint="33"/>
          </w:tcPr>
          <w:p w14:paraId="133EB853" w14:textId="77777777" w:rsidR="00987C7D" w:rsidRDefault="00987C7D" w:rsidP="004D18CC">
            <w:pPr>
              <w:pStyle w:val="BoxHeading"/>
            </w:pPr>
            <w:r>
              <w:t>Questions</w:t>
            </w:r>
          </w:p>
          <w:p w14:paraId="5644472F" w14:textId="77777777" w:rsidR="00987C7D" w:rsidRPr="007F4F56" w:rsidRDefault="00987C7D" w:rsidP="004D18CC">
            <w:pPr>
              <w:pStyle w:val="BoxNumbering"/>
            </w:pPr>
            <w:r w:rsidRPr="009250D8">
              <w:t>On a scale of one to ten, where one</w:t>
            </w:r>
            <w:r w:rsidRPr="007F4F56">
              <w:t xml:space="preserve"> is ‘ineffective’ and ten is ‘highly effective’, please rate how well you think this measure will operate to deter and disrupt illegal phoenix activity.</w:t>
            </w:r>
          </w:p>
          <w:p w14:paraId="146BC56C" w14:textId="77777777" w:rsidR="00987C7D" w:rsidRDefault="00987C7D" w:rsidP="004D18CC">
            <w:pPr>
              <w:pStyle w:val="BoxNumbering"/>
            </w:pPr>
            <w:r w:rsidRPr="000A6474">
              <w:t>What are the benefits and risks of this approach?</w:t>
            </w:r>
          </w:p>
          <w:p w14:paraId="05817091" w14:textId="77777777" w:rsidR="00987C7D" w:rsidRPr="00A0744F" w:rsidRDefault="00987C7D" w:rsidP="004D18CC">
            <w:pPr>
              <w:pStyle w:val="BoxNumbering"/>
            </w:pPr>
            <w:r w:rsidRPr="00A0744F">
              <w:t>Is the current definition of "related creditor" too broad for this purpose? If so, how should “related creditor' be defined?</w:t>
            </w:r>
          </w:p>
          <w:p w14:paraId="51C82438" w14:textId="77777777" w:rsidR="00987C7D" w:rsidRPr="00A0744F" w:rsidRDefault="00987C7D" w:rsidP="004D18CC">
            <w:pPr>
              <w:pStyle w:val="BoxNumbering"/>
            </w:pPr>
            <w:r w:rsidRPr="00A0744F">
              <w:t>Should related creditors that were company employees be subjected to a different treatment than, say, if they were directors? Why or why not?</w:t>
            </w:r>
          </w:p>
          <w:p w14:paraId="0622655E" w14:textId="77777777" w:rsidR="00987C7D" w:rsidRPr="00A0744F" w:rsidRDefault="00987C7D" w:rsidP="004D18CC">
            <w:pPr>
              <w:pStyle w:val="BoxNumbering"/>
            </w:pPr>
            <w:r w:rsidRPr="00A0744F">
              <w:t>What level of evidence should be imposed on related creditors to substantiate their respective debts?</w:t>
            </w:r>
          </w:p>
          <w:p w14:paraId="709785A3" w14:textId="77777777" w:rsidR="00987C7D" w:rsidRPr="00A0744F" w:rsidRDefault="00987C7D" w:rsidP="004D18CC">
            <w:pPr>
              <w:pStyle w:val="BoxNumbering"/>
            </w:pPr>
            <w:r w:rsidRPr="00A0744F">
              <w:t>Should restrictions on related creditor voting be extended to all resolutions proposed in an external administration? Why or why not?</w:t>
            </w:r>
          </w:p>
          <w:p w14:paraId="7FEEAAC8" w14:textId="77777777" w:rsidR="00987C7D" w:rsidRPr="00A0744F" w:rsidRDefault="00987C7D" w:rsidP="004D18CC">
            <w:pPr>
              <w:pStyle w:val="BoxNumbering"/>
            </w:pPr>
            <w:r w:rsidRPr="00A0744F">
              <w:t>Will limiting related</w:t>
            </w:r>
            <w:r>
              <w:t xml:space="preserve"> creditor</w:t>
            </w:r>
            <w:r w:rsidRPr="00A0744F">
              <w:t xml:space="preserve"> voting participation in a creditors</w:t>
            </w:r>
            <w:r>
              <w:t>’</w:t>
            </w:r>
            <w:r w:rsidRPr="00A0744F">
              <w:t xml:space="preserve"> meeting add additional complexities to proceedings? For example quorum requirements in order to validly hold a creditors</w:t>
            </w:r>
            <w:r>
              <w:t>’</w:t>
            </w:r>
            <w:r w:rsidRPr="00A0744F">
              <w:t xml:space="preserve"> meeting.</w:t>
            </w:r>
          </w:p>
          <w:p w14:paraId="021AC281" w14:textId="3618C24F" w:rsidR="00987C7D" w:rsidRPr="00A0744F" w:rsidRDefault="00987C7D" w:rsidP="004D18CC">
            <w:pPr>
              <w:pStyle w:val="BoxNumbering"/>
            </w:pPr>
            <w:r w:rsidRPr="00A0744F">
              <w:t xml:space="preserve"> Should the above rule apply to a particular size or type of external administrations or liquidations?</w:t>
            </w:r>
          </w:p>
          <w:p w14:paraId="57A48E7A" w14:textId="77777777" w:rsidR="00987C7D" w:rsidRPr="00A0744F" w:rsidRDefault="00987C7D" w:rsidP="004D18CC">
            <w:pPr>
              <w:pStyle w:val="BoxNumbering"/>
            </w:pPr>
            <w:r w:rsidRPr="00A0744F">
              <w:t>Should the court have the power to overturn this restriction?</w:t>
            </w:r>
          </w:p>
          <w:p w14:paraId="5EFAC054" w14:textId="77777777" w:rsidR="00987C7D" w:rsidRPr="00A0744F" w:rsidRDefault="00987C7D" w:rsidP="004D18CC">
            <w:pPr>
              <w:pStyle w:val="BoxNumbering"/>
            </w:pPr>
            <w:r w:rsidRPr="00A0744F">
              <w:t>Should this restriction only be applied to certain type</w:t>
            </w:r>
            <w:r>
              <w:t>s</w:t>
            </w:r>
            <w:r w:rsidRPr="00A0744F">
              <w:t xml:space="preserve"> of companies, for example small proprietary companies?</w:t>
            </w:r>
          </w:p>
          <w:p w14:paraId="54B13779" w14:textId="77777777" w:rsidR="00987C7D" w:rsidRPr="00A0744F" w:rsidRDefault="00987C7D" w:rsidP="004D18CC">
            <w:pPr>
              <w:pStyle w:val="BoxNumbering"/>
            </w:pPr>
            <w:r w:rsidRPr="00A0744F">
              <w:t>Are there circumstances where this restriction should not apply?</w:t>
            </w:r>
          </w:p>
          <w:p w14:paraId="2DA9F872" w14:textId="77777777" w:rsidR="00987C7D" w:rsidRDefault="00987C7D" w:rsidP="004D18CC">
            <w:pPr>
              <w:pStyle w:val="BoxNumbering"/>
            </w:pPr>
            <w:r w:rsidRPr="00A0744F">
              <w:t>What are some of the ways a related creditor might attempt to circumvent the above measure?</w:t>
            </w:r>
          </w:p>
          <w:p w14:paraId="009B1946" w14:textId="4505D42F" w:rsidR="00987C7D" w:rsidRDefault="00987C7D" w:rsidP="004D18CC">
            <w:pPr>
              <w:pStyle w:val="BoxNumbering"/>
            </w:pPr>
            <w:r w:rsidRPr="00A0744F">
              <w:t>What other measures c</w:t>
            </w:r>
            <w:r>
              <w:t>ould</w:t>
            </w:r>
            <w:r w:rsidRPr="00A0744F">
              <w:t xml:space="preserve"> be considered to avoid collusion</w:t>
            </w:r>
            <w:r>
              <w:t xml:space="preserve"> between</w:t>
            </w:r>
            <w:r w:rsidRPr="00A0744F">
              <w:t xml:space="preserve"> liquidators and related creditors?</w:t>
            </w:r>
          </w:p>
        </w:tc>
      </w:tr>
    </w:tbl>
    <w:p w14:paraId="11CAE0B9" w14:textId="77777777" w:rsidR="00987C7D" w:rsidRPr="004D18CC" w:rsidRDefault="00987C7D" w:rsidP="004D18CC"/>
    <w:p w14:paraId="158DF51C" w14:textId="0BA9E971" w:rsidR="00A10762" w:rsidRPr="004D18CC" w:rsidRDefault="00A10762" w:rsidP="004D18CC"/>
    <w:p w14:paraId="1BC4AAF1" w14:textId="77777777" w:rsidR="008C7F51" w:rsidRPr="004D18CC" w:rsidRDefault="008C7F51" w:rsidP="004D18CC"/>
    <w:p w14:paraId="4B957468" w14:textId="180413D2" w:rsidR="008A3644" w:rsidRPr="004D18CC" w:rsidRDefault="00987C7D" w:rsidP="004D18CC">
      <w:pPr>
        <w:pStyle w:val="Heading2"/>
      </w:pPr>
      <w:bookmarkStart w:id="42" w:name="_Toc493772771"/>
      <w:bookmarkStart w:id="43" w:name="_Toc494212631"/>
      <w:r>
        <w:t>5.</w:t>
      </w:r>
      <w:r>
        <w:tab/>
      </w:r>
      <w:r w:rsidR="004C7818" w:rsidRPr="004D18CC">
        <w:t>P</w:t>
      </w:r>
      <w:r w:rsidR="00033192" w:rsidRPr="004D18CC">
        <w:t>romoter penalties</w:t>
      </w:r>
      <w:bookmarkEnd w:id="42"/>
      <w:bookmarkEnd w:id="43"/>
    </w:p>
    <w:p w14:paraId="17A56314" w14:textId="60AAA187" w:rsidR="0000049F" w:rsidRPr="00033192" w:rsidRDefault="0000049F" w:rsidP="004D18CC">
      <w:pPr>
        <w:pStyle w:val="Heading3"/>
      </w:pPr>
      <w:r w:rsidRPr="00033192">
        <w:t xml:space="preserve">The current </w:t>
      </w:r>
      <w:r w:rsidR="00C471C4">
        <w:t>situation</w:t>
      </w:r>
    </w:p>
    <w:p w14:paraId="3ED6C3F7" w14:textId="106D49C7" w:rsidR="0000049F" w:rsidRPr="00033192" w:rsidRDefault="0000049F" w:rsidP="004D18CC">
      <w:r w:rsidRPr="00033192">
        <w:t>The promoter penalty laws were introduced in 2006 to deter the promotion of tax avoidance and evasion schemes. In essence, the laws seek to hold accountable a person or persons who may not implement a tax avoidance scheme themselves, but who aid and abet others to do so.</w:t>
      </w:r>
    </w:p>
    <w:p w14:paraId="5028C26E" w14:textId="77777777" w:rsidR="0000049F" w:rsidRPr="00033192" w:rsidRDefault="0000049F" w:rsidP="004D18CC">
      <w:r w:rsidRPr="00033192">
        <w:t>The law also provides guidance on how to deal with potential breaches of the provisions. The ATO has the flexibility to seek from the Federal Court an enforceable voluntary undertaking, an injunction, or civil penalty against the promoter.</w:t>
      </w:r>
    </w:p>
    <w:p w14:paraId="4AFD3BE3" w14:textId="5F17DF28" w:rsidR="00033192" w:rsidRDefault="00033192" w:rsidP="004D18CC">
      <w:r w:rsidRPr="00033192">
        <w:t xml:space="preserve">There are parties that do not undertake illegal phoenix activities themselves, but who </w:t>
      </w:r>
      <w:r w:rsidR="00390035" w:rsidRPr="00CE378E">
        <w:t xml:space="preserve">facilitate or encourage </w:t>
      </w:r>
      <w:r w:rsidRPr="00CE378E">
        <w:t>those who undertake such activities.</w:t>
      </w:r>
    </w:p>
    <w:p w14:paraId="755AB0A4" w14:textId="7EDA84CB" w:rsidR="0000049F" w:rsidRPr="00033192" w:rsidRDefault="00C471C4" w:rsidP="004D18CC">
      <w:pPr>
        <w:pStyle w:val="Heading3"/>
      </w:pPr>
      <w:r>
        <w:t>How phoenix operators exploit the current law</w:t>
      </w:r>
    </w:p>
    <w:p w14:paraId="3337716D" w14:textId="1BA0E5D0" w:rsidR="0000049F" w:rsidRPr="00033192" w:rsidRDefault="0000049F" w:rsidP="004D18CC">
      <w:r w:rsidRPr="00033192">
        <w:t xml:space="preserve">The current promoter penalty regime relies on the existence of a tax exploitation scheme, where a scheme benefit must be derived. </w:t>
      </w:r>
      <w:r w:rsidR="00C471C4">
        <w:t>T</w:t>
      </w:r>
      <w:r w:rsidRPr="00033192">
        <w:t xml:space="preserve">he existing promoter penalty law is very technical and </w:t>
      </w:r>
      <w:r w:rsidR="00247A00">
        <w:t>will not always</w:t>
      </w:r>
      <w:r w:rsidRPr="00033192">
        <w:t xml:space="preserve"> apply to those who aid or abet others to be involved in phoenix activity.</w:t>
      </w:r>
    </w:p>
    <w:p w14:paraId="5A7812FC" w14:textId="21A31626" w:rsidR="00C471C4" w:rsidRDefault="00C471C4" w:rsidP="004D18CC">
      <w:pPr>
        <w:pStyle w:val="Heading3"/>
      </w:pPr>
      <w:r>
        <w:t>Proposed reform</w:t>
      </w:r>
    </w:p>
    <w:p w14:paraId="5AA538F3" w14:textId="5669C997" w:rsidR="00033192" w:rsidRPr="00033192" w:rsidRDefault="00033192" w:rsidP="004D18CC">
      <w:r w:rsidRPr="00033192">
        <w:t>Extending the promoter penalt</w:t>
      </w:r>
      <w:r w:rsidR="00EC7A3A">
        <w:t>y</w:t>
      </w:r>
      <w:r w:rsidRPr="00033192">
        <w:t xml:space="preserve"> laws to apply to promoters or facilitators of illegal phoenix activity will assist in disrupting the phoenix business model and in particular facilitators who advise or aid and abet illegal phoenix activity. The targets of these provisions may include those advis</w:t>
      </w:r>
      <w:r w:rsidR="003A2480">
        <w:t>e</w:t>
      </w:r>
      <w:r w:rsidRPr="00033192">
        <w:t>rs closely involved in the design, marketing or implementation of illegal</w:t>
      </w:r>
      <w:r w:rsidR="004C7818">
        <w:t xml:space="preserve"> phoenix arrangements, such as </w:t>
      </w:r>
      <w:r w:rsidRPr="00033192">
        <w:t>unscrupulous pre-insolvency advis</w:t>
      </w:r>
      <w:r w:rsidR="003A2480">
        <w:t>e</w:t>
      </w:r>
      <w:r w:rsidRPr="00033192">
        <w:t>rs, business consultants and repeat shadow directors.</w:t>
      </w:r>
    </w:p>
    <w:p w14:paraId="103AF6F5" w14:textId="31D8EABB" w:rsidR="00C471C4" w:rsidRDefault="00E51C7C" w:rsidP="004D18CC">
      <w:r>
        <w:t>T</w:t>
      </w:r>
      <w:r w:rsidR="00033192" w:rsidRPr="00033192">
        <w:t>h</w:t>
      </w:r>
      <w:r w:rsidR="00C471C4">
        <w:t xml:space="preserve">is change would allow </w:t>
      </w:r>
      <w:r w:rsidR="00033192" w:rsidRPr="00033192">
        <w:t xml:space="preserve">promoter penalty provisions </w:t>
      </w:r>
      <w:r w:rsidR="00004F28">
        <w:t>to</w:t>
      </w:r>
      <w:r w:rsidR="00033192" w:rsidRPr="00033192">
        <w:t xml:space="preserve"> be used proactively to deter illegal phoenix activity – for example through enforceable voluntary undertakings where </w:t>
      </w:r>
      <w:r w:rsidR="00574177">
        <w:t>adviser</w:t>
      </w:r>
      <w:r w:rsidR="00033192" w:rsidRPr="00033192">
        <w:t>s undertake to provide full disclosure of their activities and to ensure their advice complies with the law.</w:t>
      </w:r>
    </w:p>
    <w:p w14:paraId="371626EF" w14:textId="248C41FC" w:rsidR="00C471C4" w:rsidRPr="00033192" w:rsidRDefault="00C471C4" w:rsidP="004D18CC">
      <w:r w:rsidRPr="00033192">
        <w:t>The current promoter penalty regime could be expanded in a number of ways so that it applies to promoters of illegal phoenix activity.</w:t>
      </w:r>
    </w:p>
    <w:p w14:paraId="580681C6" w14:textId="77777777" w:rsidR="00033192" w:rsidRPr="00033192" w:rsidRDefault="00033192" w:rsidP="004D18CC">
      <w:pPr>
        <w:pStyle w:val="Heading3"/>
      </w:pPr>
      <w:r w:rsidRPr="00033192">
        <w:t>Option</w:t>
      </w:r>
      <w:r w:rsidR="00247A00">
        <w:t xml:space="preserve"> one</w:t>
      </w:r>
      <w:r w:rsidR="00C471C4">
        <w:t xml:space="preserve"> </w:t>
      </w:r>
      <w:r w:rsidR="00247A00">
        <w:t>– broadening the current definition</w:t>
      </w:r>
    </w:p>
    <w:p w14:paraId="03F6A2C4" w14:textId="33CC282E" w:rsidR="00C471C4" w:rsidRDefault="00033192" w:rsidP="004D18CC">
      <w:r w:rsidRPr="00033192">
        <w:t>One option would be to expand the scope of the promoter penalty law to apply not just to a ‘tax exploitation scheme’ to also apply to activities designed to avoid taxation obligations, including by rendering a company unable to pay its obligations.</w:t>
      </w:r>
    </w:p>
    <w:p w14:paraId="02262F18" w14:textId="3A2E3910" w:rsidR="00C471C4" w:rsidRDefault="00033192" w:rsidP="004D18CC">
      <w:r w:rsidRPr="00033192">
        <w:t xml:space="preserve">Feedback on previous proposals to expand the definition of what constitutes a ‘tax exploitation scheme’ raised concerns that a broad definition could potentially affect innocent </w:t>
      </w:r>
      <w:r w:rsidR="00574177">
        <w:t>adviser</w:t>
      </w:r>
      <w:r w:rsidRPr="00033192">
        <w:t xml:space="preserve">s involved in legitimate business </w:t>
      </w:r>
      <w:r w:rsidR="00CA2B6A">
        <w:t xml:space="preserve">rescue and </w:t>
      </w:r>
      <w:r w:rsidRPr="00033192">
        <w:t>restructuring.</w:t>
      </w:r>
    </w:p>
    <w:p w14:paraId="0025BC57" w14:textId="02B7A2E2" w:rsidR="00033192" w:rsidRPr="00033192" w:rsidRDefault="00033192" w:rsidP="004D18CC">
      <w:r w:rsidRPr="00CE378E">
        <w:t xml:space="preserve">These concerns could potentially be addressed by allowing a defence that mere advice provided </w:t>
      </w:r>
      <w:r w:rsidR="00390035" w:rsidRPr="00CE378E">
        <w:t>for legitimate purposes is a protection for advisers</w:t>
      </w:r>
      <w:r w:rsidRPr="00CE378E">
        <w:t>.</w:t>
      </w:r>
    </w:p>
    <w:p w14:paraId="1D57F967" w14:textId="2C0C1BBB" w:rsidR="00C471C4" w:rsidRDefault="00247A00" w:rsidP="004D18CC">
      <w:pPr>
        <w:pStyle w:val="Heading3"/>
      </w:pPr>
      <w:r>
        <w:t>Option two – adding a new limb to the test</w:t>
      </w:r>
    </w:p>
    <w:p w14:paraId="728A76FA" w14:textId="08F09644" w:rsidR="00C471C4" w:rsidRDefault="00C471C4" w:rsidP="004D18CC">
      <w:r>
        <w:t>As an alternative to the above option,</w:t>
      </w:r>
      <w:r w:rsidR="00033192" w:rsidRPr="00033192">
        <w:t xml:space="preserve"> an independent limb or third limb could be added to the promoter penalty provisions</w:t>
      </w:r>
      <w:r w:rsidR="00033192" w:rsidRPr="00033192">
        <w:rPr>
          <w:vertAlign w:val="superscript"/>
        </w:rPr>
        <w:footnoteReference w:id="5"/>
      </w:r>
      <w:r w:rsidR="00033192" w:rsidRPr="00033192">
        <w:t xml:space="preserve"> providing that an entity must not engage in conduct that results in that or another entity being a facilitator of “illegal phoenix activity”</w:t>
      </w:r>
      <w:r w:rsidR="00E51C7C">
        <w:t xml:space="preserve"> where the same test is applied as for the proposed Phoenix Offence</w:t>
      </w:r>
      <w:r w:rsidR="003F3D32">
        <w:t>: the transfer of property from one company to another where the main purpose of the transfer is to prevent, hinder or delay the payment of existing or expected liabilities including tax liabilities, employee entitlements and debts to creditors</w:t>
      </w:r>
      <w:r w:rsidR="00033192" w:rsidRPr="00033192">
        <w:t>.</w:t>
      </w:r>
    </w:p>
    <w:p w14:paraId="42B6FF1E" w14:textId="74703E17" w:rsidR="00033192" w:rsidRPr="00033192" w:rsidRDefault="00CA2B6A" w:rsidP="004D18CC">
      <w:r>
        <w:t>A</w:t>
      </w:r>
      <w:r w:rsidR="00033192" w:rsidRPr="00033192">
        <w:t>s with the existing promoter penalty laws, the proposed new limb would also apply where the arrangements were not actually implemented but would have been if not for regulatory intervention.</w:t>
      </w:r>
    </w:p>
    <w:p w14:paraId="62EC6446" w14:textId="2717E1E3" w:rsidR="00C471C4" w:rsidRDefault="00247A00" w:rsidP="004D18CC">
      <w:pPr>
        <w:pStyle w:val="Heading3"/>
      </w:pPr>
      <w:r>
        <w:t>Option three – creating a new provision</w:t>
      </w:r>
    </w:p>
    <w:p w14:paraId="0165ED82" w14:textId="1B9A79C7" w:rsidR="00033192" w:rsidRDefault="00C471C4" w:rsidP="004D18CC">
      <w:r>
        <w:t>A third option is</w:t>
      </w:r>
      <w:r w:rsidR="00033192" w:rsidRPr="00033192">
        <w:t xml:space="preserve"> the creation of a new provision outside of the existing promoter penalty laws similar to the provision on the promotion of illegal early release of superannuation benefits.</w:t>
      </w:r>
      <w:r w:rsidR="00033192" w:rsidRPr="00033192">
        <w:rPr>
          <w:vertAlign w:val="superscript"/>
        </w:rPr>
        <w:footnoteReference w:id="6"/>
      </w:r>
      <w:r w:rsidR="000A4686" w:rsidRPr="000A4686">
        <w:t xml:space="preserve"> This provision applies to promoters of schemes that incorrectly offer people early release from their preserved superannuation benefits prior to retirement without meeting the statutory conditions for such </w:t>
      </w:r>
      <w:r w:rsidR="000A4686" w:rsidRPr="00CE378E">
        <w:t xml:space="preserve">release. </w:t>
      </w:r>
      <w:r w:rsidR="00390035" w:rsidRPr="00CE378E">
        <w:t xml:space="preserve">Offences can attract civil penalties or criminal prosecution. </w:t>
      </w:r>
      <w:r w:rsidR="000A4686" w:rsidRPr="00CE378E">
        <w:t>This</w:t>
      </w:r>
      <w:r w:rsidR="000A4686" w:rsidRPr="000A4686">
        <w:t xml:space="preserve"> activity undermines the Government's retirement income policy and exploits vulnerable people within the community.</w:t>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987C7D" w14:paraId="51F79577" w14:textId="77777777" w:rsidTr="004D18CC">
        <w:tc>
          <w:tcPr>
            <w:tcW w:w="9286" w:type="dxa"/>
            <w:shd w:val="clear" w:color="auto" w:fill="DEEAF6" w:themeFill="accent1" w:themeFillTint="33"/>
          </w:tcPr>
          <w:p w14:paraId="4972BE76" w14:textId="77777777" w:rsidR="00987C7D" w:rsidRPr="00033192" w:rsidRDefault="00987C7D" w:rsidP="004D18CC">
            <w:pPr>
              <w:pStyle w:val="BoxHeading"/>
            </w:pPr>
            <w:r>
              <w:t>Questions</w:t>
            </w:r>
          </w:p>
          <w:p w14:paraId="3E116965" w14:textId="77777777" w:rsidR="00987C7D" w:rsidRPr="00A9781E" w:rsidRDefault="00987C7D" w:rsidP="004D18CC">
            <w:pPr>
              <w:pStyle w:val="BoxNumbering"/>
            </w:pPr>
            <w:r w:rsidRPr="009250D8">
              <w:t>On a scale of one to ten, where one is ‘ineffective’ and</w:t>
            </w:r>
            <w:r w:rsidRPr="0067754A">
              <w:t xml:space="preserve"> ten is ‘highly effective’, please rate how well you think this measure will operate to deter and disrupt illegal phoenix activity.</w:t>
            </w:r>
          </w:p>
          <w:p w14:paraId="3D051578" w14:textId="77777777" w:rsidR="00987C7D" w:rsidRPr="004C7818" w:rsidRDefault="00987C7D" w:rsidP="004D18CC">
            <w:pPr>
              <w:pStyle w:val="BoxNumbering"/>
              <w:rPr>
                <w:rFonts w:cs="Arial"/>
                <w:szCs w:val="22"/>
              </w:rPr>
            </w:pPr>
            <w:r w:rsidRPr="004C7818">
              <w:rPr>
                <w:rFonts w:cs="Arial"/>
                <w:szCs w:val="22"/>
              </w:rPr>
              <w:t>Should the promoter penalty laws be expanded to apply to promoters or facilitators of illegal phoenix activity?</w:t>
            </w:r>
          </w:p>
          <w:p w14:paraId="071564E7" w14:textId="60225118" w:rsidR="00987C7D" w:rsidRPr="004C7818" w:rsidRDefault="00987C7D" w:rsidP="004D18CC">
            <w:pPr>
              <w:pStyle w:val="BoxNumbering"/>
              <w:rPr>
                <w:rFonts w:cs="Arial"/>
                <w:szCs w:val="22"/>
              </w:rPr>
            </w:pPr>
            <w:r w:rsidRPr="004C7818">
              <w:rPr>
                <w:rFonts w:cs="Arial"/>
                <w:szCs w:val="22"/>
              </w:rPr>
              <w:t xml:space="preserve">What are the benefits and risks of this </w:t>
            </w:r>
            <w:r>
              <w:rPr>
                <w:rFonts w:cs="Arial"/>
                <w:szCs w:val="22"/>
              </w:rPr>
              <w:t>approach</w:t>
            </w:r>
            <w:r w:rsidRPr="004C7818">
              <w:rPr>
                <w:rFonts w:cs="Arial"/>
                <w:szCs w:val="22"/>
              </w:rPr>
              <w:t>?</w:t>
            </w:r>
          </w:p>
          <w:p w14:paraId="5ACCB042" w14:textId="1F8DFCEF" w:rsidR="00987C7D" w:rsidRPr="004C7818" w:rsidRDefault="00987C7D" w:rsidP="004D18CC">
            <w:pPr>
              <w:pStyle w:val="BoxNumbering"/>
              <w:rPr>
                <w:rFonts w:cs="Arial"/>
                <w:szCs w:val="22"/>
              </w:rPr>
            </w:pPr>
            <w:r w:rsidRPr="004C7818">
              <w:rPr>
                <w:rFonts w:cs="Arial"/>
                <w:szCs w:val="22"/>
              </w:rPr>
              <w:t>If the promoter penalty laws are expanded to illegal phoenix activity, how would they best be structured? For example by adding a new limb to the existing provisions or creating a separate new provision?</w:t>
            </w:r>
          </w:p>
          <w:p w14:paraId="7992B29C" w14:textId="1531F89A" w:rsidR="00987C7D" w:rsidRPr="00CE378E" w:rsidRDefault="00987C7D" w:rsidP="004B4682">
            <w:pPr>
              <w:pStyle w:val="BoxNumbering"/>
            </w:pPr>
            <w:r w:rsidRPr="00CE378E">
              <w:t xml:space="preserve">Are there additional safeguards that would be needed to ensure innocent advisers are not caught by the provisions? </w:t>
            </w:r>
            <w:r w:rsidR="004B4682">
              <w:rPr>
                <w:rFonts w:cs="Arial"/>
                <w:szCs w:val="22"/>
              </w:rPr>
              <w:t>S</w:t>
            </w:r>
            <w:r w:rsidR="004B4682" w:rsidRPr="004B4682">
              <w:rPr>
                <w:rFonts w:cs="Arial"/>
                <w:szCs w:val="22"/>
              </w:rPr>
              <w:t>hould the adviser have to corroborate that they acted as mere adviser and not as a promoter?</w:t>
            </w:r>
          </w:p>
          <w:p w14:paraId="0BDAF453" w14:textId="4CC8CC4A" w:rsidR="00987C7D" w:rsidRPr="00CE378E" w:rsidRDefault="00987C7D" w:rsidP="004D18CC">
            <w:pPr>
              <w:pStyle w:val="BoxNumbering"/>
              <w:rPr>
                <w:rFonts w:cs="Arial"/>
                <w:szCs w:val="22"/>
              </w:rPr>
            </w:pPr>
            <w:r w:rsidRPr="00CE378E">
              <w:rPr>
                <w:rFonts w:cs="Arial"/>
                <w:szCs w:val="22"/>
              </w:rPr>
              <w:t>If promoter penalties are expanded to apply to promoters of illegal phoenix activity, do the existing sanctions provide sufficient deterrent?</w:t>
            </w:r>
          </w:p>
          <w:p w14:paraId="103E9A8B" w14:textId="4B89C718" w:rsidR="00390035" w:rsidRPr="00CE378E" w:rsidRDefault="00390035" w:rsidP="004D18CC">
            <w:pPr>
              <w:pStyle w:val="BoxNumbering"/>
              <w:rPr>
                <w:rFonts w:cs="Arial"/>
                <w:szCs w:val="22"/>
              </w:rPr>
            </w:pPr>
            <w:r w:rsidRPr="00CE378E">
              <w:rPr>
                <w:rFonts w:cs="Arial"/>
                <w:szCs w:val="22"/>
              </w:rPr>
              <w:t xml:space="preserve">Are the offences of civil penalty and criminal prosecution available under section 202 </w:t>
            </w:r>
            <w:r w:rsidR="00F03BE2" w:rsidRPr="00CE378E">
              <w:rPr>
                <w:rFonts w:cs="Arial"/>
                <w:szCs w:val="22"/>
              </w:rPr>
              <w:t xml:space="preserve">the </w:t>
            </w:r>
            <w:r w:rsidR="00F03BE2" w:rsidRPr="00CE378E">
              <w:rPr>
                <w:rFonts w:cs="Arial"/>
                <w:i/>
                <w:szCs w:val="22"/>
              </w:rPr>
              <w:t>Superannuation Industry (Supervision) ACT 1993</w:t>
            </w:r>
            <w:r w:rsidR="00F03BE2" w:rsidRPr="00CE378E">
              <w:rPr>
                <w:rFonts w:cs="Arial"/>
                <w:szCs w:val="22"/>
              </w:rPr>
              <w:t xml:space="preserve"> preferred to the promoter penalty options above?</w:t>
            </w:r>
          </w:p>
          <w:p w14:paraId="32326273" w14:textId="07EFE7CE" w:rsidR="00987C7D" w:rsidRDefault="00987C7D" w:rsidP="004D18CC">
            <w:pPr>
              <w:pStyle w:val="BoxNumbering"/>
            </w:pPr>
            <w:r>
              <w:rPr>
                <w:rFonts w:cs="Arial"/>
                <w:szCs w:val="22"/>
              </w:rPr>
              <w:t xml:space="preserve">An </w:t>
            </w:r>
            <w:r w:rsidRPr="00CA2B6A">
              <w:rPr>
                <w:rFonts w:cs="Arial"/>
                <w:szCs w:val="22"/>
              </w:rPr>
              <w:t>alternat</w:t>
            </w:r>
            <w:r w:rsidR="00004F28">
              <w:rPr>
                <w:rFonts w:cs="Arial"/>
                <w:szCs w:val="22"/>
              </w:rPr>
              <w:t>ive</w:t>
            </w:r>
            <w:r w:rsidRPr="00CA2B6A">
              <w:rPr>
                <w:rFonts w:cs="Arial"/>
                <w:szCs w:val="22"/>
              </w:rPr>
              <w:t xml:space="preserve"> approach to stop the promotion or facilitation of illegal phoenix activity may be a Court order to require specific performance of some action, for example, submitting a company liquidation proposal for consideration by ASIC. Is</w:t>
            </w:r>
            <w:r w:rsidRPr="004C7818">
              <w:rPr>
                <w:rFonts w:cs="Arial"/>
                <w:szCs w:val="22"/>
              </w:rPr>
              <w:t xml:space="preserve"> there </w:t>
            </w:r>
            <w:r w:rsidRPr="00CA2B6A">
              <w:rPr>
                <w:rFonts w:cs="Arial"/>
                <w:szCs w:val="22"/>
              </w:rPr>
              <w:t>merit in this or alternate</w:t>
            </w:r>
            <w:r w:rsidRPr="004C7818">
              <w:rPr>
                <w:rFonts w:cs="Arial"/>
                <w:szCs w:val="22"/>
              </w:rPr>
              <w:t xml:space="preserve"> approaches to effectively deter those who promote or facilitate illegal phoenix activity?</w:t>
            </w:r>
          </w:p>
        </w:tc>
      </w:tr>
    </w:tbl>
    <w:p w14:paraId="6F791D2D" w14:textId="77777777" w:rsidR="00987C7D" w:rsidRPr="004D18CC" w:rsidRDefault="00987C7D" w:rsidP="004D18CC"/>
    <w:p w14:paraId="146148E7" w14:textId="77777777" w:rsidR="00987C7D" w:rsidRPr="004D18CC" w:rsidRDefault="00987C7D" w:rsidP="004D18CC"/>
    <w:p w14:paraId="486B7AFC" w14:textId="59B3C1E5" w:rsidR="00550A00" w:rsidRPr="004D18CC" w:rsidRDefault="00987C7D" w:rsidP="004D18CC">
      <w:pPr>
        <w:pStyle w:val="Heading2"/>
      </w:pPr>
      <w:bookmarkStart w:id="44" w:name="_Toc494212632"/>
      <w:r>
        <w:t>6.</w:t>
      </w:r>
      <w:bookmarkEnd w:id="44"/>
      <w:r>
        <w:tab/>
      </w:r>
      <w:bookmarkStart w:id="45" w:name="_Toc493772772"/>
      <w:bookmarkStart w:id="46" w:name="_Toc494212633"/>
      <w:r w:rsidR="00550A00" w:rsidRPr="004D18CC">
        <w:t>Extending the Director Penalty Notice Regime to GST</w:t>
      </w:r>
      <w:bookmarkEnd w:id="45"/>
      <w:bookmarkEnd w:id="46"/>
    </w:p>
    <w:p w14:paraId="39D77AB5" w14:textId="2366FF54" w:rsidR="00550A00" w:rsidRDefault="00E94A26" w:rsidP="004D18CC">
      <w:pPr>
        <w:pStyle w:val="Heading3"/>
      </w:pPr>
      <w:r>
        <w:t xml:space="preserve">Current </w:t>
      </w:r>
      <w:r w:rsidR="00EC0422">
        <w:t>s</w:t>
      </w:r>
      <w:r>
        <w:t>ituation</w:t>
      </w:r>
    </w:p>
    <w:p w14:paraId="1A8B4B25" w14:textId="415DF4C9" w:rsidR="00550A00" w:rsidRPr="006D1095" w:rsidRDefault="00550A00" w:rsidP="004D18CC">
      <w:r w:rsidRPr="006D1095">
        <w:t>Currently, the D</w:t>
      </w:r>
      <w:r>
        <w:t>irector Penalty Notice (DPN)</w:t>
      </w:r>
      <w:r w:rsidRPr="006D1095">
        <w:t xml:space="preserve"> regime only applies to </w:t>
      </w:r>
      <w:r w:rsidR="00630013" w:rsidRPr="00630013">
        <w:t xml:space="preserve">pay-as-you-go withholding </w:t>
      </w:r>
      <w:r w:rsidR="00630013">
        <w:t>(</w:t>
      </w:r>
      <w:r w:rsidRPr="006D1095">
        <w:t>PAYGW</w:t>
      </w:r>
      <w:r w:rsidR="00630013">
        <w:t>)</w:t>
      </w:r>
      <w:r w:rsidRPr="006D1095">
        <w:t xml:space="preserve"> and to compulsory superannuation contributions (through the collection of </w:t>
      </w:r>
      <w:r w:rsidR="00584524">
        <w:t>super guarantee charge</w:t>
      </w:r>
      <w:r w:rsidRPr="006D1095">
        <w:t xml:space="preserve"> </w:t>
      </w:r>
      <w:r w:rsidR="00584524">
        <w:t>(</w:t>
      </w:r>
      <w:r w:rsidRPr="006D1095">
        <w:t>SGC</w:t>
      </w:r>
      <w:r w:rsidR="00584524">
        <w:t>)</w:t>
      </w:r>
      <w:r w:rsidRPr="006D1095">
        <w:t>). It does not apply to a company’s unpaid GST liabilities.</w:t>
      </w:r>
    </w:p>
    <w:p w14:paraId="7B1F19BA" w14:textId="646B5D6F" w:rsidR="00E94A26" w:rsidRPr="006D1095" w:rsidRDefault="00E94A26" w:rsidP="004D18CC">
      <w:pPr>
        <w:pStyle w:val="Heading3"/>
      </w:pPr>
      <w:r>
        <w:t xml:space="preserve">How phoenix operators </w:t>
      </w:r>
      <w:r w:rsidR="00CF6D50">
        <w:t>exploit</w:t>
      </w:r>
      <w:r>
        <w:t xml:space="preserve"> the current law</w:t>
      </w:r>
    </w:p>
    <w:p w14:paraId="5D858EA0" w14:textId="1C856E26" w:rsidR="00E94A26" w:rsidRDefault="00550A00" w:rsidP="004D18CC">
      <w:r w:rsidRPr="006D1095">
        <w:t>Companies can fall behind in paying GST to the ATO, and directors can deliberately exploit the time between collecting GST and the due date for paying it to the ATO. Non-compliant businesses</w:t>
      </w:r>
      <w:r w:rsidR="004526A1">
        <w:t>, i</w:t>
      </w:r>
      <w:r w:rsidR="00A9124E">
        <w:t>ncluding those that are engaged</w:t>
      </w:r>
      <w:r w:rsidR="004526A1">
        <w:t xml:space="preserve"> in</w:t>
      </w:r>
      <w:r w:rsidRPr="006D1095">
        <w:t xml:space="preserve"> phoenixing,</w:t>
      </w:r>
      <w:r w:rsidR="004526A1">
        <w:t xml:space="preserve"> claim GST input tax credits for their costs and expenses,</w:t>
      </w:r>
      <w:r w:rsidRPr="006D1095">
        <w:t xml:space="preserve"> collect GST from customers, </w:t>
      </w:r>
      <w:r w:rsidR="004526A1">
        <w:t xml:space="preserve">do </w:t>
      </w:r>
      <w:r w:rsidRPr="006D1095">
        <w:t>not report their liability to the ATO and then liquidate the company pocketing the GST for personal gain. Compliant companies are at a competitive disadvantage with non-compliant companies, which are able to undercut prices knowing that GST collected will not be paid to the ATO.</w:t>
      </w:r>
    </w:p>
    <w:p w14:paraId="4E4A5F85" w14:textId="4C84907F" w:rsidR="00E94A26" w:rsidRDefault="00E94A26" w:rsidP="004D18CC">
      <w:pPr>
        <w:pStyle w:val="Heading3"/>
      </w:pPr>
      <w:r>
        <w:t xml:space="preserve">Proposed </w:t>
      </w:r>
      <w:r w:rsidR="00EC0422">
        <w:t>r</w:t>
      </w:r>
      <w:r>
        <w:t>eform</w:t>
      </w:r>
    </w:p>
    <w:p w14:paraId="64E5D40B" w14:textId="77777777" w:rsidR="00987C7D" w:rsidRDefault="00550A00" w:rsidP="004D18CC">
      <w:r w:rsidRPr="006D1095">
        <w:t xml:space="preserve">Extending the DPN regime to include companies’ outstanding GST obligations will allow the ATO </w:t>
      </w:r>
      <w:r w:rsidR="005C0FD2">
        <w:t>to</w:t>
      </w:r>
      <w:r w:rsidRPr="006D1095">
        <w:t xml:space="preserve"> recover penalty amounts equivalent to the GST.  Directors of these companies would be personally liable to pay a penalty equivalent to the amount of unpaid GST. The proposed expansion would apply to all directors. The penalty would be discharged in accordance with same rules that apply to PAYGW and SGC penalties as outlined above.</w:t>
      </w:r>
    </w:p>
    <w:p w14:paraId="5C1B8D61" w14:textId="57116EFE" w:rsidR="00987C7D" w:rsidRDefault="00550A00" w:rsidP="004D18CC">
      <w:r w:rsidRPr="006D1095">
        <w:t xml:space="preserve">This proposal is designed to act as a financial disincentive to engage in </w:t>
      </w:r>
      <w:r w:rsidR="00494781">
        <w:t>illegal</w:t>
      </w:r>
      <w:r w:rsidRPr="006D1095">
        <w:t xml:space="preserve"> phoenix</w:t>
      </w:r>
      <w:r w:rsidR="00494781">
        <w:t>ing</w:t>
      </w:r>
      <w:r w:rsidRPr="006D1095">
        <w:t xml:space="preserve"> behaviour. The proposal complements other phoenixing measures to remove pathways by which phoenix operators seek to obtain an unfair personal advantage. This proposal also assists to level the playing field with compliant companies competing with companies run by phoenix operators, removing </w:t>
      </w:r>
      <w:r w:rsidR="00FD2A2E" w:rsidRPr="006D1095">
        <w:t>one</w:t>
      </w:r>
      <w:r w:rsidR="00FD2A2E">
        <w:t> </w:t>
      </w:r>
      <w:r w:rsidRPr="006D1095">
        <w:t>tool such companies use to reduce prices.</w:t>
      </w:r>
    </w:p>
    <w:p w14:paraId="6CCE98AA" w14:textId="40EF79A7" w:rsidR="00550A00" w:rsidRDefault="00550A00" w:rsidP="004D18CC">
      <w:r w:rsidRPr="006D1095">
        <w:t xml:space="preserve">The proposal complements and builds on other Government action to strengthen GST compliance – namely, requiring purchasers of newly constructed residential properties or new subdivisions to </w:t>
      </w:r>
      <w:r w:rsidR="003F3D32">
        <w:t>with</w:t>
      </w:r>
      <w:r w:rsidR="004526A1">
        <w:t>h</w:t>
      </w:r>
      <w:r w:rsidR="003F3D32">
        <w:t>old</w:t>
      </w:r>
      <w:r w:rsidR="003F3D32" w:rsidRPr="006D1095">
        <w:t xml:space="preserve"> </w:t>
      </w:r>
      <w:r w:rsidRPr="006D1095">
        <w:t>GST.</w:t>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987C7D" w14:paraId="1483AB4A" w14:textId="77777777" w:rsidTr="004D18CC">
        <w:tc>
          <w:tcPr>
            <w:tcW w:w="9286" w:type="dxa"/>
            <w:shd w:val="clear" w:color="auto" w:fill="DEEAF6" w:themeFill="accent1" w:themeFillTint="33"/>
          </w:tcPr>
          <w:p w14:paraId="480BCC13" w14:textId="77777777" w:rsidR="00987C7D" w:rsidRPr="00E94A26" w:rsidRDefault="00987C7D" w:rsidP="004D18CC">
            <w:pPr>
              <w:pStyle w:val="BoxHeading"/>
            </w:pPr>
            <w:r>
              <w:t>Questions</w:t>
            </w:r>
          </w:p>
          <w:p w14:paraId="5877E33C" w14:textId="77777777" w:rsidR="00987C7D" w:rsidRPr="007162FD" w:rsidRDefault="00987C7D" w:rsidP="004D18CC">
            <w:pPr>
              <w:pStyle w:val="BoxNumbering"/>
            </w:pPr>
            <w:r w:rsidRPr="00204274">
              <w:t>On a scale of one to ten, where one is ‘ineffective’ and ten is ‘highly effective’, please rate how well you think this measure will operate to deter and disrupt illegal phoenix activity.</w:t>
            </w:r>
          </w:p>
          <w:p w14:paraId="0A554726" w14:textId="77777777" w:rsidR="00987C7D" w:rsidRPr="00E34F89" w:rsidRDefault="00987C7D" w:rsidP="004D18CC">
            <w:pPr>
              <w:pStyle w:val="BoxNumbering"/>
            </w:pPr>
            <w:r w:rsidRPr="00430D2D">
              <w:t xml:space="preserve">What are the benefits and risks of this </w:t>
            </w:r>
            <w:r>
              <w:t>approach</w:t>
            </w:r>
            <w:r w:rsidRPr="00430D2D">
              <w:t>?</w:t>
            </w:r>
          </w:p>
          <w:p w14:paraId="049721D3" w14:textId="58B726B2" w:rsidR="00987C7D" w:rsidRPr="00430D2D" w:rsidRDefault="00987C7D" w:rsidP="004D18CC">
            <w:pPr>
              <w:pStyle w:val="BoxNumbering"/>
            </w:pPr>
            <w:r w:rsidRPr="00430D2D">
              <w:t>Should the DPN regime be expanded to cover GST for all directors</w:t>
            </w:r>
            <w:r>
              <w:t>,</w:t>
            </w:r>
            <w:r w:rsidRPr="00430D2D">
              <w:t xml:space="preserve"> </w:t>
            </w:r>
            <w:r>
              <w:t>or be restricted to t</w:t>
            </w:r>
            <w:r w:rsidRPr="00430D2D">
              <w:t xml:space="preserve">hose identified as </w:t>
            </w:r>
            <w:r>
              <w:t>H</w:t>
            </w:r>
            <w:r w:rsidRPr="00430D2D">
              <w:t xml:space="preserve">igh </w:t>
            </w:r>
            <w:r>
              <w:t>R</w:t>
            </w:r>
            <w:r w:rsidRPr="00430D2D">
              <w:t xml:space="preserve">isk </w:t>
            </w:r>
            <w:r>
              <w:t>P</w:t>
            </w:r>
            <w:r w:rsidRPr="00430D2D">
              <w:t>hoenix</w:t>
            </w:r>
            <w:r>
              <w:t xml:space="preserve"> O</w:t>
            </w:r>
            <w:r w:rsidRPr="00430D2D">
              <w:t>perators</w:t>
            </w:r>
            <w:r>
              <w:t xml:space="preserve"> (see Part Two)</w:t>
            </w:r>
            <w:r w:rsidRPr="00430D2D">
              <w:t>?</w:t>
            </w:r>
          </w:p>
          <w:p w14:paraId="59A470AE" w14:textId="4E50E317" w:rsidR="00987C7D" w:rsidRDefault="00987C7D" w:rsidP="004D18CC">
            <w:pPr>
              <w:pStyle w:val="BoxNumbering"/>
            </w:pPr>
            <w:r w:rsidRPr="00430D2D">
              <w:t>Are there alternative approaches to securing outstanding payment of GST from companies and their directors?</w:t>
            </w:r>
          </w:p>
        </w:tc>
      </w:tr>
    </w:tbl>
    <w:p w14:paraId="39A4DF74" w14:textId="77777777" w:rsidR="00987C7D" w:rsidRPr="006D1095" w:rsidRDefault="00987C7D" w:rsidP="004D18CC"/>
    <w:p w14:paraId="1841A1C5" w14:textId="54B9030F" w:rsidR="00ED53CB" w:rsidRPr="004D18CC" w:rsidRDefault="00FD2A2E" w:rsidP="004D18CC">
      <w:pPr>
        <w:pStyle w:val="Heading2"/>
      </w:pPr>
      <w:bookmarkStart w:id="47" w:name="_Toc494212634"/>
      <w:r>
        <w:t>7.</w:t>
      </w:r>
      <w:bookmarkEnd w:id="47"/>
      <w:r>
        <w:tab/>
      </w:r>
      <w:bookmarkStart w:id="48" w:name="_Toc493760809"/>
      <w:bookmarkStart w:id="49" w:name="_Toc493760880"/>
      <w:bookmarkStart w:id="50" w:name="_Toc493760959"/>
      <w:bookmarkStart w:id="51" w:name="_Toc493761166"/>
      <w:bookmarkStart w:id="52" w:name="_Toc493761237"/>
      <w:bookmarkStart w:id="53" w:name="_Toc493761733"/>
      <w:bookmarkStart w:id="54" w:name="_Toc493762553"/>
      <w:bookmarkStart w:id="55" w:name="_Toc493763133"/>
      <w:bookmarkStart w:id="56" w:name="_Toc493763162"/>
      <w:bookmarkStart w:id="57" w:name="_Toc493763267"/>
      <w:bookmarkStart w:id="58" w:name="_Toc493763305"/>
      <w:bookmarkStart w:id="59" w:name="_Toc493763695"/>
      <w:bookmarkStart w:id="60" w:name="_Toc493764416"/>
      <w:bookmarkStart w:id="61" w:name="_Toc493764529"/>
      <w:bookmarkStart w:id="62" w:name="_Toc493764812"/>
      <w:bookmarkStart w:id="63" w:name="_Toc493765904"/>
      <w:bookmarkStart w:id="64" w:name="_Toc493762310"/>
      <w:bookmarkStart w:id="65" w:name="_Toc493763457"/>
      <w:bookmarkStart w:id="66" w:name="_Toc493766009"/>
      <w:bookmarkStart w:id="67" w:name="_Toc493766293"/>
      <w:bookmarkStart w:id="68" w:name="_Toc493767826"/>
      <w:bookmarkStart w:id="69" w:name="_Toc493770656"/>
      <w:bookmarkStart w:id="70" w:name="_Toc493770953"/>
      <w:bookmarkStart w:id="71" w:name="_Toc493771140"/>
      <w:bookmarkStart w:id="72" w:name="_Toc493771353"/>
      <w:bookmarkStart w:id="73" w:name="_Toc493771506"/>
      <w:bookmarkStart w:id="74" w:name="_Toc493771533"/>
      <w:bookmarkStart w:id="75" w:name="_Toc493771683"/>
      <w:bookmarkStart w:id="76" w:name="_Toc493771752"/>
      <w:bookmarkStart w:id="77" w:name="_Toc493772065"/>
      <w:bookmarkStart w:id="78" w:name="_Toc493772347"/>
      <w:bookmarkStart w:id="79" w:name="_Toc493772450"/>
      <w:bookmarkStart w:id="80" w:name="_Toc493768317"/>
      <w:bookmarkStart w:id="81" w:name="_Toc493772477"/>
      <w:bookmarkStart w:id="82" w:name="_Toc493772566"/>
      <w:bookmarkStart w:id="83" w:name="_Toc493772593"/>
      <w:bookmarkStart w:id="84" w:name="_Toc493772645"/>
      <w:bookmarkStart w:id="85" w:name="_Toc493772707"/>
      <w:bookmarkStart w:id="86" w:name="_Toc493772734"/>
      <w:bookmarkStart w:id="87" w:name="_Toc493772773"/>
      <w:bookmarkStart w:id="88" w:name="_Toc493772800"/>
      <w:bookmarkStart w:id="89" w:name="_Toc493773185"/>
      <w:bookmarkStart w:id="90" w:name="_Toc493773396"/>
      <w:bookmarkStart w:id="91" w:name="_Toc493773444"/>
      <w:bookmarkStart w:id="92" w:name="_Toc493759942"/>
      <w:bookmarkStart w:id="93" w:name="_Toc493760810"/>
      <w:bookmarkStart w:id="94" w:name="_Toc493760881"/>
      <w:bookmarkStart w:id="95" w:name="_Toc493760960"/>
      <w:bookmarkStart w:id="96" w:name="_Toc493761167"/>
      <w:bookmarkStart w:id="97" w:name="_Toc493761238"/>
      <w:bookmarkStart w:id="98" w:name="_Toc493761734"/>
      <w:bookmarkStart w:id="99" w:name="_Toc493762554"/>
      <w:bookmarkStart w:id="100" w:name="_Toc493763134"/>
      <w:bookmarkStart w:id="101" w:name="_Toc493763163"/>
      <w:bookmarkStart w:id="102" w:name="_Toc493763268"/>
      <w:bookmarkStart w:id="103" w:name="_Toc493763306"/>
      <w:bookmarkStart w:id="104" w:name="_Toc493763696"/>
      <w:bookmarkStart w:id="105" w:name="_Toc493764417"/>
      <w:bookmarkStart w:id="106" w:name="_Toc493764530"/>
      <w:bookmarkStart w:id="107" w:name="_Toc493764813"/>
      <w:bookmarkStart w:id="108" w:name="_Toc493765905"/>
      <w:bookmarkStart w:id="109" w:name="_Toc493762311"/>
      <w:bookmarkStart w:id="110" w:name="_Toc493763458"/>
      <w:bookmarkStart w:id="111" w:name="_Toc493766010"/>
      <w:bookmarkStart w:id="112" w:name="_Toc493766294"/>
      <w:bookmarkStart w:id="113" w:name="_Toc493767827"/>
      <w:bookmarkStart w:id="114" w:name="_Toc493770657"/>
      <w:bookmarkStart w:id="115" w:name="_Toc493770954"/>
      <w:bookmarkStart w:id="116" w:name="_Toc493771141"/>
      <w:bookmarkStart w:id="117" w:name="_Toc493771354"/>
      <w:bookmarkStart w:id="118" w:name="_Toc493771507"/>
      <w:bookmarkStart w:id="119" w:name="_Toc493771534"/>
      <w:bookmarkStart w:id="120" w:name="_Toc493771684"/>
      <w:bookmarkStart w:id="121" w:name="_Toc493771753"/>
      <w:bookmarkStart w:id="122" w:name="_Toc493772066"/>
      <w:bookmarkStart w:id="123" w:name="_Toc493772348"/>
      <w:bookmarkStart w:id="124" w:name="_Toc493772451"/>
      <w:bookmarkStart w:id="125" w:name="_Toc493768318"/>
      <w:bookmarkStart w:id="126" w:name="_Toc493772478"/>
      <w:bookmarkStart w:id="127" w:name="_Toc493772567"/>
      <w:bookmarkStart w:id="128" w:name="_Toc493772594"/>
      <w:bookmarkStart w:id="129" w:name="_Toc493772646"/>
      <w:bookmarkStart w:id="130" w:name="_Toc493772708"/>
      <w:bookmarkStart w:id="131" w:name="_Toc493772735"/>
      <w:bookmarkStart w:id="132" w:name="_Toc493772774"/>
      <w:bookmarkStart w:id="133" w:name="_Toc493772801"/>
      <w:bookmarkStart w:id="134" w:name="_Toc493773186"/>
      <w:bookmarkStart w:id="135" w:name="_Toc493773397"/>
      <w:bookmarkStart w:id="136" w:name="_Toc493773445"/>
      <w:bookmarkStart w:id="137" w:name="_Toc493772775"/>
      <w:bookmarkStart w:id="138" w:name="_Toc49421263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00ED53CB" w:rsidRPr="004D18CC">
        <w:t>Security deposits</w:t>
      </w:r>
      <w:bookmarkEnd w:id="137"/>
      <w:bookmarkEnd w:id="138"/>
    </w:p>
    <w:p w14:paraId="7179A1FC" w14:textId="16BAC250" w:rsidR="00B0166B" w:rsidRDefault="00B0166B" w:rsidP="004D18CC">
      <w:pPr>
        <w:pStyle w:val="Heading3"/>
      </w:pPr>
      <w:r>
        <w:t>Current situation</w:t>
      </w:r>
    </w:p>
    <w:p w14:paraId="1E0D7137" w14:textId="1024D1E2" w:rsidR="003D6A43" w:rsidRDefault="006672C1" w:rsidP="004D18CC">
      <w:r w:rsidRPr="00DD43F1">
        <w:t>Under the tax law, the ATO can require a bond or other security from a business for existing or future tax liabilities that are at high risk of not being paid</w:t>
      </w:r>
      <w:r w:rsidRPr="00DD43F1">
        <w:rPr>
          <w:rStyle w:val="FootnoteReference"/>
          <w:rFonts w:ascii="Arial" w:hAnsi="Arial"/>
          <w:sz w:val="22"/>
        </w:rPr>
        <w:footnoteReference w:id="7"/>
      </w:r>
      <w:r w:rsidRPr="00DD43F1">
        <w:t>. High risk situations are those where the ATO believes that the taxpayer will carry on an enterprise for a limited time only, or that is otherwise appropriate to request a security.</w:t>
      </w:r>
    </w:p>
    <w:p w14:paraId="5FD5BE36" w14:textId="517C3D74" w:rsidR="00ED53CB" w:rsidRPr="00DD43F1" w:rsidRDefault="006672C1" w:rsidP="004D18CC">
      <w:r w:rsidRPr="00DD43F1">
        <w:t xml:space="preserve">The ATO may consider a number of relevant factors </w:t>
      </w:r>
      <w:r w:rsidR="003D6A43">
        <w:t>before requesting security</w:t>
      </w:r>
      <w:r w:rsidRPr="00DD43F1">
        <w:t>, including the nature of the enterprise and the taxpayer’s current or future tax liabilities, compliance and payment history, other financial liabilities and debtor arrangements and ability to pay.</w:t>
      </w:r>
      <w:r w:rsidRPr="00DD43F1">
        <w:rPr>
          <w:rStyle w:val="FootnoteReference"/>
          <w:rFonts w:ascii="Arial" w:hAnsi="Arial"/>
          <w:sz w:val="22"/>
        </w:rPr>
        <w:footnoteReference w:id="8"/>
      </w:r>
    </w:p>
    <w:p w14:paraId="44F9A888" w14:textId="24141DF6" w:rsidR="006672C1" w:rsidRPr="00B0166B" w:rsidRDefault="006672C1" w:rsidP="004D18CC">
      <w:r w:rsidRPr="00DD43F1">
        <w:t>Examples of high risk situations include businesses</w:t>
      </w:r>
      <w:r w:rsidR="00BA1DAD">
        <w:t>, their directors and associates,</w:t>
      </w:r>
      <w:r w:rsidRPr="00DD43F1">
        <w:t xml:space="preserve"> with a history of non-compliance</w:t>
      </w:r>
      <w:r w:rsidR="00BA1DAD">
        <w:t xml:space="preserve"> or past phoenixing</w:t>
      </w:r>
      <w:r w:rsidRPr="00DD43F1">
        <w:t xml:space="preserve">, </w:t>
      </w:r>
      <w:r w:rsidR="00BA1DAD">
        <w:t xml:space="preserve">and </w:t>
      </w:r>
      <w:r w:rsidRPr="00DD43F1">
        <w:t>businesses created in Australia by foreign business people who plan to leave the business with unpaid tax debts.</w:t>
      </w:r>
    </w:p>
    <w:p w14:paraId="4127604C" w14:textId="6C52B081" w:rsidR="003D6A43" w:rsidRPr="004D18CC" w:rsidRDefault="003D6A43" w:rsidP="004D18CC">
      <w:pPr>
        <w:pStyle w:val="Heading3"/>
      </w:pPr>
      <w:r>
        <w:t>How phoenix operators exploit the current law</w:t>
      </w:r>
    </w:p>
    <w:p w14:paraId="38C34844" w14:textId="2BD5B632" w:rsidR="006672C1" w:rsidRPr="00DD43F1" w:rsidRDefault="006672C1" w:rsidP="004D18CC">
      <w:r w:rsidRPr="00DD43F1">
        <w:t>Although the security could be in any form, the ATO usually demands a charge</w:t>
      </w:r>
      <w:r w:rsidRPr="008C25E1">
        <w:rPr>
          <w:rFonts w:cs="Arial"/>
          <w:szCs w:val="22"/>
        </w:rPr>
        <w:t>,</w:t>
      </w:r>
      <w:r w:rsidRPr="00DD43F1">
        <w:t xml:space="preserve"> lien or a mortgage over an asset. The security provided will secure the tax debt that is owing or likely to be owed in the future. Refusing to provide the requested security is a criminal offence, subject to a maximum penalty of $21,000.</w:t>
      </w:r>
    </w:p>
    <w:p w14:paraId="36B830E5" w14:textId="40BB75C7" w:rsidR="006672C1" w:rsidRPr="00DD43F1" w:rsidRDefault="006672C1" w:rsidP="004D18CC">
      <w:r w:rsidRPr="00DD43F1">
        <w:t>Where the ATO demands a security that is of a higher value than the penalty, there is no incentive for the taxpayer to provide that security. This situation creates an incentive for the taxpayer to risk having to pay the penalty rather than provide the security requested. Furthermore, pursuing a Court penalty decision can take time, giving a business the opportunity to enter voluntary administration and phoenix. To address this issue, the Government has announced, as part of changes to superannuation guarantee</w:t>
      </w:r>
      <w:r w:rsidR="00783826">
        <w:t>,</w:t>
      </w:r>
      <w:r w:rsidRPr="00DD43F1">
        <w:rPr>
          <w:rStyle w:val="FootnoteReference"/>
          <w:rFonts w:ascii="Arial" w:hAnsi="Arial"/>
          <w:sz w:val="22"/>
        </w:rPr>
        <w:footnoteReference w:id="9"/>
      </w:r>
      <w:r w:rsidRPr="00DD43F1">
        <w:t xml:space="preserve"> a change to the tax law to improve the effectiveness of security deposits. This amendment will apply to all applicable tax liabilities for consistent administration and collection.</w:t>
      </w:r>
    </w:p>
    <w:p w14:paraId="17E4C127" w14:textId="27907950" w:rsidR="006672C1" w:rsidRDefault="00B0166B" w:rsidP="004D18CC">
      <w:pPr>
        <w:pStyle w:val="Heading3"/>
      </w:pPr>
      <w:r>
        <w:t xml:space="preserve">Proposed </w:t>
      </w:r>
      <w:r w:rsidR="00EC0422">
        <w:t>r</w:t>
      </w:r>
      <w:r>
        <w:t>eform</w:t>
      </w:r>
    </w:p>
    <w:p w14:paraId="151689B8" w14:textId="3104CBB4" w:rsidR="00421EF6" w:rsidRDefault="006672C1" w:rsidP="004D18CC">
      <w:r w:rsidRPr="006672C1">
        <w:t xml:space="preserve">The Government intends to further strengthen the effectiveness of the security deposit power </w:t>
      </w:r>
      <w:r w:rsidR="00B0166B">
        <w:t>to</w:t>
      </w:r>
      <w:r w:rsidR="00B0166B" w:rsidRPr="006672C1">
        <w:t xml:space="preserve"> </w:t>
      </w:r>
      <w:r w:rsidR="00126562">
        <w:t>targe</w:t>
      </w:r>
      <w:r w:rsidRPr="006672C1">
        <w:t>t illegal phoenix</w:t>
      </w:r>
      <w:r w:rsidR="00B0166B">
        <w:t>ing</w:t>
      </w:r>
      <w:r w:rsidRPr="006672C1">
        <w:t>. Combat</w:t>
      </w:r>
      <w:r w:rsidR="002B00B1">
        <w:t>t</w:t>
      </w:r>
      <w:r w:rsidRPr="006672C1">
        <w:t>ing phoenix operators protects the integrity of the tax system, provides a level playing field for business and protects employees.</w:t>
      </w:r>
    </w:p>
    <w:p w14:paraId="7AC9C9E1" w14:textId="17F1B766" w:rsidR="006672C1" w:rsidRPr="006672C1" w:rsidRDefault="006672C1" w:rsidP="004D18CC">
      <w:r w:rsidRPr="006672C1">
        <w:t>Currently, any security bond requested by the ATO is unable to be recovered under third party debt collection provisions. These provisions</w:t>
      </w:r>
      <w:r w:rsidRPr="006672C1">
        <w:rPr>
          <w:rStyle w:val="FootnoteReference"/>
          <w:rFonts w:ascii="Arial" w:hAnsi="Arial" w:cs="Arial"/>
          <w:sz w:val="22"/>
          <w:szCs w:val="22"/>
        </w:rPr>
        <w:footnoteReference w:id="10"/>
      </w:r>
      <w:r w:rsidRPr="006672C1">
        <w:t xml:space="preserve"> , known as the statutory garnishee power, are limited in that they apply to tax-related liabilities. As a security deposit is not presently a tax-related liability, the garnishee power cannot apply in relation to the security deposit demands. It is proposed that the ATO should be able to use the garnishee power to garnishee an amount from a third party to cover, in full or part, the amount of requested security</w:t>
      </w:r>
      <w:r w:rsidR="00AE6817">
        <w:t>.</w:t>
      </w:r>
    </w:p>
    <w:p w14:paraId="2A52AC75" w14:textId="2A978669" w:rsidR="006672C1" w:rsidRPr="006672C1" w:rsidRDefault="006672C1" w:rsidP="004D18CC">
      <w:r w:rsidRPr="006672C1">
        <w:t xml:space="preserve">As security deposits can be requested for either a current or an expected future tax liability, the use of garnishee powers from third parties will include amounts that are not yet due. This extension to the garnishee powers will be strictly limited to the circumstances of security deposits. This change will disrupt and deter businesses that </w:t>
      </w:r>
      <w:r w:rsidR="00BE5795">
        <w:t>are suspected of</w:t>
      </w:r>
      <w:r w:rsidRPr="006672C1">
        <w:t xml:space="preserve"> phoenix behaviour or are otherwise requested to provide security bonds by the ATO.</w:t>
      </w:r>
    </w:p>
    <w:p w14:paraId="2522F6E7" w14:textId="2FDE45C9" w:rsidR="006672C1" w:rsidRDefault="006672C1" w:rsidP="004D18CC">
      <w:pPr>
        <w:rPr>
          <w:color w:val="1F497D"/>
        </w:rPr>
      </w:pPr>
      <w:r w:rsidRPr="006672C1">
        <w:t xml:space="preserve">This proposal does not prevent a business from continuing to be able to seek a judicial review </w:t>
      </w:r>
      <w:r w:rsidR="00563078">
        <w:t>of any</w:t>
      </w:r>
      <w:r w:rsidRPr="006672C1">
        <w:t xml:space="preserve"> garnishee order</w:t>
      </w:r>
      <w:r w:rsidRPr="006672C1">
        <w:rPr>
          <w:color w:val="1F497D"/>
        </w:rPr>
        <w:t>.</w:t>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FD2A2E" w14:paraId="47DBB2DC" w14:textId="77777777" w:rsidTr="004D18CC">
        <w:tc>
          <w:tcPr>
            <w:tcW w:w="9286" w:type="dxa"/>
            <w:shd w:val="clear" w:color="auto" w:fill="DEEAF6" w:themeFill="accent1" w:themeFillTint="33"/>
          </w:tcPr>
          <w:p w14:paraId="78A39D48" w14:textId="77777777" w:rsidR="00FD2A2E" w:rsidRDefault="00FD2A2E" w:rsidP="004D18CC">
            <w:pPr>
              <w:pStyle w:val="BoxHeading"/>
            </w:pPr>
            <w:r>
              <w:t>Questions</w:t>
            </w:r>
          </w:p>
          <w:p w14:paraId="6B8B9A66" w14:textId="77777777" w:rsidR="00FD2A2E" w:rsidRPr="00544383" w:rsidRDefault="00FD2A2E" w:rsidP="004D18CC">
            <w:pPr>
              <w:pStyle w:val="BoxNumbering"/>
            </w:pPr>
            <w:r w:rsidRPr="00204274">
              <w:t>On a scale of one to ten, where one is ‘ineffective’ and ten is ‘highly effective’, please rate how well you think this measure will operate to deter and disrupt illegal phoenix activity.</w:t>
            </w:r>
          </w:p>
          <w:p w14:paraId="65AF1E2F" w14:textId="77777777" w:rsidR="00FD2A2E" w:rsidRPr="006672C1" w:rsidRDefault="00FD2A2E" w:rsidP="004D18CC">
            <w:pPr>
              <w:pStyle w:val="BoxNumbering"/>
            </w:pPr>
            <w:r w:rsidRPr="006672C1">
              <w:rPr>
                <w:rFonts w:eastAsia="Calibri"/>
              </w:rPr>
              <w:t>What are the benefits and risks of this approach?</w:t>
            </w:r>
          </w:p>
          <w:p w14:paraId="0A25D6E8" w14:textId="4BCBE97D" w:rsidR="00FD2A2E" w:rsidRPr="006672C1" w:rsidRDefault="00FD2A2E" w:rsidP="004D18CC">
            <w:pPr>
              <w:pStyle w:val="BoxNumbering"/>
            </w:pPr>
            <w:r w:rsidRPr="006672C1">
              <w:rPr>
                <w:rFonts w:eastAsia="Calibri"/>
              </w:rPr>
              <w:t xml:space="preserve">Would improvements to the garnishee provisions adequately address the proposal to </w:t>
            </w:r>
            <w:r w:rsidRPr="006672C1">
              <w:t>strengthen the effectiveness of the security deposit power</w:t>
            </w:r>
            <w:r w:rsidRPr="006672C1">
              <w:rPr>
                <w:rFonts w:eastAsia="Calibri"/>
              </w:rPr>
              <w:t>?</w:t>
            </w:r>
          </w:p>
          <w:p w14:paraId="68B22FFC" w14:textId="120C2737" w:rsidR="00FD2A2E" w:rsidRPr="006672C1" w:rsidRDefault="00FD2A2E" w:rsidP="004D18CC">
            <w:pPr>
              <w:pStyle w:val="BoxNumbering"/>
            </w:pPr>
            <w:r w:rsidRPr="006672C1">
              <w:rPr>
                <w:rFonts w:eastAsia="Calibri"/>
              </w:rPr>
              <w:t xml:space="preserve">Should the proposal be limited to businesses </w:t>
            </w:r>
            <w:r w:rsidR="00283E16">
              <w:rPr>
                <w:rFonts w:eastAsia="Calibri"/>
              </w:rPr>
              <w:t>that</w:t>
            </w:r>
            <w:r w:rsidRPr="006672C1">
              <w:rPr>
                <w:rFonts w:eastAsia="Calibri"/>
              </w:rPr>
              <w:t xml:space="preserve"> have been identified as </w:t>
            </w:r>
            <w:r>
              <w:rPr>
                <w:rFonts w:eastAsia="Calibri"/>
              </w:rPr>
              <w:t>H</w:t>
            </w:r>
            <w:r w:rsidRPr="006672C1">
              <w:rPr>
                <w:rFonts w:eastAsia="Calibri"/>
              </w:rPr>
              <w:t xml:space="preserve">igh </w:t>
            </w:r>
            <w:r>
              <w:rPr>
                <w:rFonts w:eastAsia="Calibri"/>
              </w:rPr>
              <w:t>R</w:t>
            </w:r>
            <w:r w:rsidRPr="006672C1">
              <w:rPr>
                <w:rFonts w:eastAsia="Calibri"/>
              </w:rPr>
              <w:t xml:space="preserve">isk </w:t>
            </w:r>
            <w:r>
              <w:rPr>
                <w:rFonts w:eastAsia="Calibri"/>
              </w:rPr>
              <w:t>P</w:t>
            </w:r>
            <w:r w:rsidRPr="006672C1">
              <w:rPr>
                <w:rFonts w:eastAsia="Calibri"/>
              </w:rPr>
              <w:t xml:space="preserve">hoenix </w:t>
            </w:r>
            <w:r>
              <w:rPr>
                <w:rFonts w:eastAsia="Calibri"/>
              </w:rPr>
              <w:t>O</w:t>
            </w:r>
            <w:r w:rsidRPr="006672C1">
              <w:rPr>
                <w:rFonts w:eastAsia="Calibri"/>
              </w:rPr>
              <w:t>perators</w:t>
            </w:r>
            <w:r>
              <w:rPr>
                <w:rFonts w:eastAsia="Calibri"/>
              </w:rPr>
              <w:t xml:space="preserve"> (see Part Two)</w:t>
            </w:r>
            <w:r w:rsidRPr="006672C1">
              <w:rPr>
                <w:rFonts w:eastAsia="Calibri"/>
              </w:rPr>
              <w:t>?</w:t>
            </w:r>
          </w:p>
          <w:p w14:paraId="16E7CF1C" w14:textId="77777777" w:rsidR="00FD2A2E" w:rsidRPr="006672C1" w:rsidRDefault="00FD2A2E" w:rsidP="004D18CC">
            <w:pPr>
              <w:pStyle w:val="BoxNumbering"/>
            </w:pPr>
            <w:r w:rsidRPr="006672C1">
              <w:t xml:space="preserve">Are there concerns or practical issues that would need to be addressed with expanding the garnishee power generally for </w:t>
            </w:r>
            <w:r w:rsidRPr="006672C1">
              <w:rPr>
                <w:i/>
              </w:rPr>
              <w:t>future</w:t>
            </w:r>
            <w:r w:rsidRPr="006672C1">
              <w:t xml:space="preserve"> tax liabilities?</w:t>
            </w:r>
          </w:p>
          <w:p w14:paraId="5601229D" w14:textId="0A8D3DC5" w:rsidR="00FD2A2E" w:rsidRPr="006672C1" w:rsidRDefault="00FD2A2E" w:rsidP="004D18CC">
            <w:pPr>
              <w:pStyle w:val="BoxNumbering"/>
            </w:pPr>
            <w:r w:rsidRPr="006672C1">
              <w:t>Are there any further concerns if this were achieved through amending the definition of</w:t>
            </w:r>
            <w:r w:rsidR="00B914C5">
              <w:br/>
            </w:r>
            <w:r w:rsidRPr="006672C1">
              <w:t xml:space="preserve">‘tax-related liability’ to include the amount of an anticipated </w:t>
            </w:r>
            <w:r w:rsidRPr="006672C1">
              <w:rPr>
                <w:i/>
              </w:rPr>
              <w:t>future</w:t>
            </w:r>
            <w:r w:rsidRPr="006672C1">
              <w:t xml:space="preserve"> tax liability which is the subject of a security deposit demand?</w:t>
            </w:r>
          </w:p>
          <w:p w14:paraId="0499B8C8" w14:textId="77777777" w:rsidR="00FD2A2E" w:rsidRPr="006672C1" w:rsidRDefault="00FD2A2E" w:rsidP="004D18CC">
            <w:pPr>
              <w:pStyle w:val="BoxNumbering"/>
            </w:pPr>
            <w:r w:rsidRPr="006672C1">
              <w:t>Are there any issues with the existing garnishee processes that should be considered?</w:t>
            </w:r>
          </w:p>
          <w:p w14:paraId="185278AC" w14:textId="67876F87" w:rsidR="00FD2A2E" w:rsidRPr="006672C1" w:rsidRDefault="00FD2A2E" w:rsidP="004D18CC">
            <w:pPr>
              <w:pStyle w:val="BoxNumbering"/>
            </w:pPr>
            <w:r w:rsidRPr="006672C1">
              <w:t>Should the Government consider additional measures to prevent circumvention of the provisions by transferring, disposing or encumbering assets where a request is issued?</w:t>
            </w:r>
          </w:p>
          <w:p w14:paraId="633A1F9D" w14:textId="45242250" w:rsidR="00FD2A2E" w:rsidRPr="004D18CC" w:rsidRDefault="00FD2A2E" w:rsidP="004D18CC">
            <w:pPr>
              <w:pStyle w:val="BoxNumbering"/>
              <w:rPr>
                <w:color w:val="1F497D"/>
              </w:rPr>
            </w:pPr>
            <w:r w:rsidRPr="006672C1">
              <w:t>Should the penalties for not complying with a security deposit request be increased to improve compliance?</w:t>
            </w:r>
          </w:p>
        </w:tc>
      </w:tr>
    </w:tbl>
    <w:p w14:paraId="7C217A8F" w14:textId="77777777" w:rsidR="00FD2A2E" w:rsidRPr="004D18CC" w:rsidRDefault="00FD2A2E" w:rsidP="004D18CC"/>
    <w:p w14:paraId="3156FFEE" w14:textId="77777777" w:rsidR="007A42A2" w:rsidRPr="004D18CC" w:rsidRDefault="007A42A2" w:rsidP="004D18CC"/>
    <w:p w14:paraId="6449B007" w14:textId="77777777" w:rsidR="007A42A2" w:rsidRPr="004D18CC" w:rsidRDefault="007A42A2" w:rsidP="004D18CC">
      <w:pPr>
        <w:sectPr w:rsidR="007A42A2" w:rsidRPr="004D18CC" w:rsidSect="004D18CC">
          <w:headerReference w:type="first" r:id="rId39"/>
          <w:type w:val="oddPage"/>
          <w:pgSz w:w="11906" w:h="16838" w:code="9"/>
          <w:pgMar w:top="1418" w:right="1418" w:bottom="1418" w:left="1418" w:header="709" w:footer="709" w:gutter="0"/>
          <w:cols w:space="708"/>
          <w:titlePg/>
          <w:docGrid w:linePitch="360"/>
        </w:sectPr>
      </w:pPr>
    </w:p>
    <w:p w14:paraId="74EC17A1" w14:textId="77777777" w:rsidR="00F10D20" w:rsidRDefault="0072420F" w:rsidP="004D18CC">
      <w:pPr>
        <w:pStyle w:val="Heading1"/>
      </w:pPr>
      <w:bookmarkStart w:id="139" w:name="_Toc493772776"/>
      <w:bookmarkStart w:id="140" w:name="_Toc494212636"/>
      <w:r>
        <w:t xml:space="preserve">Part Two - </w:t>
      </w:r>
      <w:r w:rsidR="006D1095">
        <w:t>Dealing with High</w:t>
      </w:r>
      <w:r w:rsidR="008C58F4">
        <w:t>er</w:t>
      </w:r>
      <w:r w:rsidR="006D1095">
        <w:t xml:space="preserve"> Risk </w:t>
      </w:r>
      <w:r w:rsidR="008C58F4">
        <w:t>Entities</w:t>
      </w:r>
      <w:bookmarkEnd w:id="139"/>
      <w:bookmarkEnd w:id="140"/>
    </w:p>
    <w:p w14:paraId="5AF2F546" w14:textId="0CA69D45" w:rsidR="003D6A43" w:rsidRPr="004D18CC" w:rsidRDefault="003D6A43" w:rsidP="004D18CC">
      <w:bookmarkStart w:id="141" w:name="_Ref493243726"/>
      <w:r w:rsidRPr="004D18CC">
        <w:t>Part Two of this paper sets out reforms which target the most egregious illegal phoenix operators who have adopted phoenixing into their business model, or who are active facilitators of illegal phoenix activity.</w:t>
      </w:r>
    </w:p>
    <w:p w14:paraId="35228E32" w14:textId="77777777" w:rsidR="003D6A43" w:rsidRPr="004D18CC" w:rsidRDefault="003D6A43" w:rsidP="004D18CC">
      <w:r w:rsidRPr="004D18CC">
        <w:t>The Government has determined that in order to prevent phoenix activity from occurring, new preventative and early intervention measures are required.</w:t>
      </w:r>
    </w:p>
    <w:p w14:paraId="09B5EC35" w14:textId="77491DE0" w:rsidR="003D6A43" w:rsidRPr="004D18CC" w:rsidRDefault="003D6A43" w:rsidP="004D18CC">
      <w:r w:rsidRPr="004D18CC">
        <w:t>However, it also acknowledges that it is important that any measures which have the potential to interfere with standard business practices are targeted as much as possible to entities which present the highest risk.</w:t>
      </w:r>
    </w:p>
    <w:p w14:paraId="33B20B6F" w14:textId="2CEA02DA" w:rsidR="003D6A43" w:rsidRPr="004D18CC" w:rsidRDefault="003D6A43" w:rsidP="004D18CC">
      <w:r w:rsidRPr="004D18CC">
        <w:t>This Part sets out a mechanism for identifying those who present the highest risk of ongoing phoenix activity, and three specific reforms aimed at curbing their activities.</w:t>
      </w:r>
    </w:p>
    <w:p w14:paraId="6A643839" w14:textId="762008D4" w:rsidR="00026164" w:rsidRPr="004D18CC" w:rsidRDefault="00FD2A2E" w:rsidP="004D18CC">
      <w:pPr>
        <w:pStyle w:val="Heading2"/>
        <w:rPr>
          <w:rFonts w:eastAsiaTheme="minorHAnsi"/>
        </w:rPr>
      </w:pPr>
      <w:bookmarkStart w:id="142" w:name="_Toc493772777"/>
      <w:bookmarkStart w:id="143" w:name="_Toc494212637"/>
      <w:r>
        <w:t>8.</w:t>
      </w:r>
      <w:r>
        <w:tab/>
      </w:r>
      <w:r w:rsidR="004E1F25" w:rsidRPr="004D18CC">
        <w:t>Targeting</w:t>
      </w:r>
      <w:r w:rsidR="00026164" w:rsidRPr="004D18CC">
        <w:t xml:space="preserve"> high</w:t>
      </w:r>
      <w:r w:rsidR="008C58F4" w:rsidRPr="004D18CC">
        <w:t>er</w:t>
      </w:r>
      <w:r w:rsidR="00026164" w:rsidRPr="004D18CC">
        <w:t xml:space="preserve"> risk entities</w:t>
      </w:r>
      <w:bookmarkEnd w:id="141"/>
      <w:bookmarkEnd w:id="142"/>
      <w:bookmarkEnd w:id="143"/>
    </w:p>
    <w:p w14:paraId="3F3F912E" w14:textId="49E6AB67" w:rsidR="003D6A43" w:rsidRDefault="003D6A43" w:rsidP="004D18CC">
      <w:pPr>
        <w:pStyle w:val="Heading3"/>
      </w:pPr>
      <w:r>
        <w:t>Current situation</w:t>
      </w:r>
    </w:p>
    <w:p w14:paraId="7664DEE0" w14:textId="1835C5D9" w:rsidR="004A4055" w:rsidRDefault="00F10D20" w:rsidP="004D18CC">
      <w:r>
        <w:t xml:space="preserve">Regulators largely rely on enforcement as a mechanism to deal with those </w:t>
      </w:r>
      <w:r w:rsidR="00D96DEC">
        <w:t xml:space="preserve">who </w:t>
      </w:r>
      <w:r w:rsidR="00193274">
        <w:t>engage in</w:t>
      </w:r>
      <w:r>
        <w:t xml:space="preserve"> </w:t>
      </w:r>
      <w:r w:rsidR="005C4032">
        <w:t xml:space="preserve">illegal </w:t>
      </w:r>
      <w:r>
        <w:t>p</w:t>
      </w:r>
      <w:r w:rsidR="004A4055">
        <w:t>hoenixing as a business model. W</w:t>
      </w:r>
      <w:r w:rsidR="004A4055" w:rsidRPr="005C4032">
        <w:t xml:space="preserve">here there are clear criminal or fraudulent actions, criminal </w:t>
      </w:r>
      <w:r w:rsidR="00C46915">
        <w:t>charges</w:t>
      </w:r>
      <w:r w:rsidR="004A4055" w:rsidRPr="005C4032">
        <w:t xml:space="preserve"> may be available. These are expensive and time consuming for all parties. Criminal </w:t>
      </w:r>
      <w:r w:rsidR="00C46915">
        <w:t>charges</w:t>
      </w:r>
      <w:r w:rsidR="004A4055" w:rsidRPr="005C4032">
        <w:t xml:space="preserve"> are also applied ‘after the fact’ when the phoenix activity has already been carried out.</w:t>
      </w:r>
    </w:p>
    <w:p w14:paraId="5F155205" w14:textId="77777777" w:rsidR="003D6A43" w:rsidRDefault="003D6A43" w:rsidP="004D18CC">
      <w:pPr>
        <w:pStyle w:val="Heading3"/>
      </w:pPr>
      <w:r>
        <w:t>How phoenix operators exploit the current law</w:t>
      </w:r>
    </w:p>
    <w:p w14:paraId="08173AAF" w14:textId="0AACA34B" w:rsidR="00F10D20" w:rsidRDefault="003D6A43" w:rsidP="004D18CC">
      <w:r>
        <w:t>There</w:t>
      </w:r>
      <w:r w:rsidR="00F10D20" w:rsidRPr="008A1277">
        <w:t xml:space="preserve"> are presently no special compliance measures</w:t>
      </w:r>
      <w:r w:rsidR="00F10D20">
        <w:t xml:space="preserve"> applied</w:t>
      </w:r>
      <w:r w:rsidR="00F10D20" w:rsidRPr="008A1277">
        <w:t xml:space="preserve"> </w:t>
      </w:r>
      <w:r w:rsidR="004A4055">
        <w:t>to entities or individuals who present a</w:t>
      </w:r>
      <w:r w:rsidR="00F10D20" w:rsidRPr="008A1277">
        <w:t xml:space="preserve"> high </w:t>
      </w:r>
      <w:r w:rsidR="00F10D20">
        <w:t>risk</w:t>
      </w:r>
      <w:r w:rsidR="004A4055">
        <w:t xml:space="preserve"> of engaging in illegal phoenix activity</w:t>
      </w:r>
      <w:r w:rsidR="00F10D20" w:rsidRPr="008A1277">
        <w:t>.</w:t>
      </w:r>
    </w:p>
    <w:p w14:paraId="11DA144D" w14:textId="4B0C23B8" w:rsidR="00F10D20" w:rsidRDefault="00F10D20" w:rsidP="004D18CC">
      <w:r>
        <w:t>The absence</w:t>
      </w:r>
      <w:r w:rsidR="00C46915">
        <w:t xml:space="preserve"> of effective</w:t>
      </w:r>
      <w:r>
        <w:t xml:space="preserve"> preventative or early intervention measures </w:t>
      </w:r>
      <w:r w:rsidR="00C46915">
        <w:t xml:space="preserve">which disrupt phoenix activity </w:t>
      </w:r>
      <w:r>
        <w:t xml:space="preserve">can make it difficult for regulators to prevent phoenix activity from occurring, even when the entities being targeted have </w:t>
      </w:r>
      <w:r w:rsidR="00E05198">
        <w:t xml:space="preserve">previously been </w:t>
      </w:r>
      <w:r>
        <w:t>determined to be high risk.</w:t>
      </w:r>
    </w:p>
    <w:p w14:paraId="5595C25F" w14:textId="2BC321BC" w:rsidR="00F10D20" w:rsidRDefault="00F10D20" w:rsidP="004D18CC">
      <w:r w:rsidRPr="008A1277">
        <w:t xml:space="preserve">Experienced phoenix operators will continue to cause </w:t>
      </w:r>
      <w:r w:rsidR="00B639C2">
        <w:t>loss</w:t>
      </w:r>
      <w:r w:rsidRPr="008A1277">
        <w:t xml:space="preserve"> to their employees, creditors, the revenue system and ultimately the Australian economy unless they are prevented from phoenixing further businesses.</w:t>
      </w:r>
    </w:p>
    <w:p w14:paraId="45CA6C06" w14:textId="511028D2" w:rsidR="00E05198" w:rsidRDefault="00E05198" w:rsidP="004D18CC">
      <w:r>
        <w:t>For example taxpayers</w:t>
      </w:r>
      <w:r w:rsidRPr="008A1277">
        <w:t xml:space="preserve"> who are suspected of posing a higher level of risk to the tax system </w:t>
      </w:r>
      <w:r>
        <w:t>(</w:t>
      </w:r>
      <w:r w:rsidRPr="008A1277">
        <w:t>as well as employees and other creditors</w:t>
      </w:r>
      <w:r>
        <w:t>)</w:t>
      </w:r>
      <w:r w:rsidRPr="008A1277">
        <w:t>, remain entitled to privileges of the self-assessment tax system</w:t>
      </w:r>
      <w:r>
        <w:t>,</w:t>
      </w:r>
      <w:r w:rsidRPr="008A1277">
        <w:t xml:space="preserve"> which they are able to </w:t>
      </w:r>
      <w:r w:rsidR="00602830">
        <w:t>exploit</w:t>
      </w:r>
      <w:r w:rsidRPr="008A1277">
        <w:t xml:space="preserve"> to their advantage.</w:t>
      </w:r>
    </w:p>
    <w:p w14:paraId="019F0BE8" w14:textId="73FAEB82" w:rsidR="00E05198" w:rsidRDefault="00E05198" w:rsidP="004D18CC">
      <w:r w:rsidRPr="008A1277">
        <w:t xml:space="preserve">The self-assessment tax system relies largely on voluntary compliance, where taxpayers are trusted to do the right thing until investigations establish otherwise. However, high risk phoenix operators </w:t>
      </w:r>
      <w:r w:rsidR="00B90021">
        <w:t>exploit</w:t>
      </w:r>
      <w:r w:rsidRPr="008A1277">
        <w:t xml:space="preserve"> these privileges, and follow up compliance action may do little to deter them from repeating their behaviour.</w:t>
      </w:r>
    </w:p>
    <w:p w14:paraId="560B8E16" w14:textId="14A2C28B" w:rsidR="00C46915" w:rsidRPr="00C46915" w:rsidRDefault="00C46915" w:rsidP="004D18CC">
      <w:r w:rsidRPr="00C46915">
        <w:t xml:space="preserve">Phoenix operators exploit </w:t>
      </w:r>
      <w:r>
        <w:t>the s</w:t>
      </w:r>
      <w:r w:rsidR="00320EB4">
        <w:t>et</w:t>
      </w:r>
      <w:r>
        <w:t>tings</w:t>
      </w:r>
      <w:r w:rsidRPr="00C46915">
        <w:t xml:space="preserve"> in regulatory regimes to their advantage. For example, under the current law, suspected phoenix operators</w:t>
      </w:r>
      <w:r>
        <w:t xml:space="preserve"> may still</w:t>
      </w:r>
      <w:r w:rsidRPr="00C46915">
        <w:t>:</w:t>
      </w:r>
    </w:p>
    <w:p w14:paraId="6092D37A" w14:textId="66D8F55C" w:rsidR="002C2D83" w:rsidRPr="004D18CC" w:rsidRDefault="00C46915" w:rsidP="004D18CC">
      <w:pPr>
        <w:pStyle w:val="Bullet"/>
        <w:rPr>
          <w:rFonts w:cs="Arial"/>
        </w:rPr>
      </w:pPr>
      <w:r w:rsidRPr="00C46915">
        <w:t>select their own liquidator</w:t>
      </w:r>
      <w:r>
        <w:t>, allowing them to engage a dishonest or conflicted liquidator</w:t>
      </w:r>
      <w:r w:rsidR="004074BC">
        <w:t>;</w:t>
      </w:r>
    </w:p>
    <w:p w14:paraId="7025451C" w14:textId="2C49B831" w:rsidR="00C46915" w:rsidRPr="00C46915" w:rsidRDefault="00C46915" w:rsidP="004D18CC">
      <w:pPr>
        <w:pStyle w:val="Bullet"/>
      </w:pPr>
      <w:r w:rsidRPr="00C46915">
        <w:t>seek tax refunds while being overdue on forms that give rise to tax liabilities</w:t>
      </w:r>
      <w:r>
        <w:t>, for example by</w:t>
      </w:r>
      <w:r w:rsidRPr="00C46915">
        <w:t xml:space="preserve"> hastening lodgement of their Business Activity Statements to ensure they receive GST refunds while delaying lodgement of income tax returns which will result in a tax liability</w:t>
      </w:r>
      <w:r w:rsidR="004074BC">
        <w:t>; and</w:t>
      </w:r>
    </w:p>
    <w:p w14:paraId="0BC2EFB3" w14:textId="64ADF1BE" w:rsidR="00D21427" w:rsidRDefault="00B90021" w:rsidP="004D18CC">
      <w:pPr>
        <w:pStyle w:val="Bullet"/>
      </w:pPr>
      <w:r>
        <w:t>exploit</w:t>
      </w:r>
      <w:r w:rsidR="00C46915" w:rsidRPr="00C46915">
        <w:t xml:space="preserve"> </w:t>
      </w:r>
      <w:r w:rsidR="00C46915">
        <w:t>the</w:t>
      </w:r>
      <w:r w:rsidR="00C46915" w:rsidRPr="00C46915">
        <w:t xml:space="preserve"> 21 day notice period under a Director Penalty Notice</w:t>
      </w:r>
      <w:r w:rsidR="000D7251">
        <w:t xml:space="preserve"> </w:t>
      </w:r>
      <w:r w:rsidR="00C46915">
        <w:t>(</w:t>
      </w:r>
      <w:r w:rsidR="00C46915" w:rsidRPr="00C46915">
        <w:t>which is intended to provide directors with a reasonable time to comply with their obligations such as remitting amounts withheld under the PAYG</w:t>
      </w:r>
      <w:r w:rsidR="009A0D37">
        <w:t>W</w:t>
      </w:r>
      <w:r w:rsidR="00C46915" w:rsidRPr="00C46915">
        <w:t xml:space="preserve"> system or payment of their employees’ Superannuation Guarantee amounts</w:t>
      </w:r>
      <w:r w:rsidR="00C46915">
        <w:t xml:space="preserve">) </w:t>
      </w:r>
      <w:r w:rsidR="00C46915" w:rsidRPr="00C46915">
        <w:t xml:space="preserve">to dispose </w:t>
      </w:r>
      <w:r w:rsidR="00C46915">
        <w:t xml:space="preserve">of </w:t>
      </w:r>
      <w:r w:rsidR="00C46915" w:rsidRPr="00C46915">
        <w:t>or transfer assets</w:t>
      </w:r>
      <w:r w:rsidR="003D6A43">
        <w:t>.</w:t>
      </w:r>
    </w:p>
    <w:p w14:paraId="3C1F19AC" w14:textId="1ACE031F" w:rsidR="00684388" w:rsidRDefault="003D6A43" w:rsidP="004D18CC">
      <w:pPr>
        <w:pStyle w:val="Heading3"/>
      </w:pPr>
      <w:r>
        <w:t>Proposed reform</w:t>
      </w:r>
      <w:r w:rsidR="00D21427">
        <w:t xml:space="preserve"> –</w:t>
      </w:r>
      <w:r w:rsidR="00FD2A2E">
        <w:t xml:space="preserve"> </w:t>
      </w:r>
      <w:r w:rsidR="009E4431">
        <w:t>a</w:t>
      </w:r>
      <w:r w:rsidR="00684388">
        <w:t xml:space="preserve"> two</w:t>
      </w:r>
      <w:r w:rsidR="009E4431">
        <w:t>-</w:t>
      </w:r>
      <w:r w:rsidR="00684388">
        <w:t>tier</w:t>
      </w:r>
      <w:r w:rsidR="009E4431">
        <w:t>ed</w:t>
      </w:r>
      <w:r w:rsidR="008C58F4">
        <w:t xml:space="preserve"> approach</w:t>
      </w:r>
    </w:p>
    <w:p w14:paraId="665E6DCA" w14:textId="6C130365" w:rsidR="003D6A43" w:rsidRDefault="003D6A43" w:rsidP="004D18CC">
      <w:r>
        <w:t>A definitional approach to identifying those at highest risk of conducting illegal phoenixing faces the same challenges as defining “illegal phoenixing”</w:t>
      </w:r>
      <w:r w:rsidR="00C17C99">
        <w:t>:</w:t>
      </w:r>
      <w:r>
        <w:t xml:space="preserve"> any definition is likely to be either too narrow, and thus ineffective, or too wide, and thus impact on legitimate businesses.</w:t>
      </w:r>
    </w:p>
    <w:p w14:paraId="3D69D554" w14:textId="30761ED9" w:rsidR="003D6A43" w:rsidRDefault="003D6A43" w:rsidP="004D18CC">
      <w:r>
        <w:t>Additionally, s</w:t>
      </w:r>
      <w:r w:rsidRPr="00D21427">
        <w:t>ome academic researchers have noted that it is difficult to provide a definition of high risk that is sufficiently inclusive of what might be described as the most egregious phoenix activity without also capturing some business rescue activities or other more accidental activities</w:t>
      </w:r>
      <w:r w:rsidR="00B914C5">
        <w:t>.</w:t>
      </w:r>
      <w:r w:rsidRPr="00D21427">
        <w:rPr>
          <w:rStyle w:val="FootnoteReference"/>
          <w:rFonts w:ascii="Arial" w:hAnsi="Arial" w:cs="Arial"/>
          <w:sz w:val="22"/>
          <w:szCs w:val="22"/>
        </w:rPr>
        <w:footnoteReference w:id="11"/>
      </w:r>
      <w:r w:rsidRPr="00D21427">
        <w:t xml:space="preserve"> Regulators and administrators note that those involved in phoenix activity exploit existing legislative provisions and are adept at circumventing black letter law, </w:t>
      </w:r>
      <w:r>
        <w:t xml:space="preserve">for example </w:t>
      </w:r>
      <w:r w:rsidRPr="00D21427">
        <w:t>inserting unsuspecting “dummy” or “straw” directors into corporate structures and sometimes placing themselves outside of a recognised legal relationship with the businesses they control.</w:t>
      </w:r>
      <w:r>
        <w:t xml:space="preserve"> There is a risk that a statutory definition would not adequately capture these individuals.</w:t>
      </w:r>
    </w:p>
    <w:p w14:paraId="7C5AB97F" w14:textId="5F5153C1" w:rsidR="00684388" w:rsidRDefault="00D45412" w:rsidP="004D18CC">
      <w:r>
        <w:t xml:space="preserve">Rather than taking a definitional approach, the Government is proposing a mechanism </w:t>
      </w:r>
      <w:r w:rsidR="00684388">
        <w:t xml:space="preserve">for identifying and targeting the most egregious phoenix operators who have adopted phoenixing as a business model. </w:t>
      </w:r>
      <w:r w:rsidR="00B101C7">
        <w:t xml:space="preserve">This mechanism </w:t>
      </w:r>
      <w:r w:rsidR="0092056C">
        <w:t>leverages off</w:t>
      </w:r>
      <w:r w:rsidR="00B101C7">
        <w:t xml:space="preserve"> common phoenix behaviour</w:t>
      </w:r>
      <w:r w:rsidR="0092056C">
        <w:t>.</w:t>
      </w:r>
    </w:p>
    <w:p w14:paraId="5BF9618F" w14:textId="3E8A268D" w:rsidR="00684388" w:rsidRDefault="00684388" w:rsidP="004D18CC">
      <w:r>
        <w:t xml:space="preserve">This mechanism involves </w:t>
      </w:r>
      <w:r w:rsidR="004E1F25">
        <w:t>a two-step process</w:t>
      </w:r>
      <w:r>
        <w:t>:</w:t>
      </w:r>
    </w:p>
    <w:p w14:paraId="0BC32065" w14:textId="4E070321" w:rsidR="00684388" w:rsidRPr="00DD43F1" w:rsidRDefault="0026421C" w:rsidP="004D18CC">
      <w:pPr>
        <w:pStyle w:val="OutlineNumbered1"/>
        <w:numPr>
          <w:ilvl w:val="0"/>
          <w:numId w:val="46"/>
        </w:numPr>
      </w:pPr>
      <w:r>
        <w:t>d</w:t>
      </w:r>
      <w:r w:rsidR="00684388" w:rsidRPr="00DD43F1">
        <w:t xml:space="preserve">esignation as a “Higher Risk Entity” </w:t>
      </w:r>
      <w:r w:rsidR="0072420F" w:rsidRPr="004D18CC">
        <w:rPr>
          <w:rFonts w:cs="Arial"/>
        </w:rPr>
        <w:t>(HRE)</w:t>
      </w:r>
      <w:r w:rsidRPr="004D18CC">
        <w:rPr>
          <w:rFonts w:cs="Arial"/>
        </w:rPr>
        <w:t>;</w:t>
      </w:r>
      <w:r w:rsidR="0072420F" w:rsidRPr="004D18CC">
        <w:rPr>
          <w:rFonts w:cs="Arial"/>
        </w:rPr>
        <w:t xml:space="preserve"> </w:t>
      </w:r>
      <w:r w:rsidR="00684388" w:rsidRPr="00DD43F1">
        <w:t>and</w:t>
      </w:r>
    </w:p>
    <w:p w14:paraId="5E1B8404" w14:textId="7E0FF807" w:rsidR="0072420F" w:rsidRDefault="0026421C" w:rsidP="004D18CC">
      <w:pPr>
        <w:pStyle w:val="OutlineNumbered1"/>
      </w:pPr>
      <w:bookmarkStart w:id="144" w:name="_Ref493681905"/>
      <w:r>
        <w:rPr>
          <w:rFonts w:cs="Arial"/>
        </w:rPr>
        <w:t>b</w:t>
      </w:r>
      <w:r w:rsidR="00B101C7">
        <w:rPr>
          <w:rFonts w:cs="Arial"/>
        </w:rPr>
        <w:t>eing declared to be</w:t>
      </w:r>
      <w:r w:rsidR="00B101C7" w:rsidRPr="0047183D">
        <w:t xml:space="preserve"> a </w:t>
      </w:r>
      <w:r w:rsidR="00684388" w:rsidRPr="00DD43F1">
        <w:t xml:space="preserve">“High Risk Phoenix Operator” </w:t>
      </w:r>
      <w:r w:rsidR="0072420F">
        <w:rPr>
          <w:rFonts w:cs="Arial"/>
        </w:rPr>
        <w:t>(HRPO)</w:t>
      </w:r>
      <w:r w:rsidR="00B101C7">
        <w:rPr>
          <w:rFonts w:cs="Arial"/>
        </w:rPr>
        <w:t xml:space="preserve"> by the Commissioner of Taxation, </w:t>
      </w:r>
      <w:r w:rsidR="00684388" w:rsidRPr="00DD43F1">
        <w:t xml:space="preserve">which would enliven </w:t>
      </w:r>
      <w:r w:rsidR="00B101C7">
        <w:rPr>
          <w:rFonts w:cs="Arial"/>
        </w:rPr>
        <w:t>the</w:t>
      </w:r>
      <w:r w:rsidR="00684388" w:rsidRPr="00DD43F1">
        <w:t xml:space="preserve"> early intervention and prevention laws</w:t>
      </w:r>
      <w:r w:rsidR="00B101C7">
        <w:rPr>
          <w:rFonts w:cs="Arial"/>
        </w:rPr>
        <w:t xml:space="preserve"> set out in this Part</w:t>
      </w:r>
      <w:r w:rsidR="00684388" w:rsidRPr="00DD43F1">
        <w:t>.</w:t>
      </w:r>
      <w:bookmarkEnd w:id="144"/>
    </w:p>
    <w:p w14:paraId="3D4B23EC" w14:textId="54F5C025" w:rsidR="00B101C7" w:rsidRPr="004D18CC" w:rsidRDefault="007F03A5" w:rsidP="004D18CC">
      <w:r w:rsidRPr="004D18CC">
        <w:t>D</w:t>
      </w:r>
      <w:r w:rsidR="004E1F25" w:rsidRPr="004D18CC">
        <w:t>esignation</w:t>
      </w:r>
      <w:r w:rsidR="0072420F" w:rsidRPr="004D18CC">
        <w:t xml:space="preserve"> as an HRE </w:t>
      </w:r>
      <w:r w:rsidR="00B101C7" w:rsidRPr="004D18CC">
        <w:t>is a pre-requisite to being declared to be an HRPO</w:t>
      </w:r>
      <w:r w:rsidR="0072420F" w:rsidRPr="004D18CC">
        <w:t>.</w:t>
      </w:r>
    </w:p>
    <w:p w14:paraId="7A148313" w14:textId="45AB2C17" w:rsidR="00B101C7" w:rsidRPr="004D18CC" w:rsidRDefault="00B101C7" w:rsidP="004D18CC">
      <w:r w:rsidRPr="004D18CC">
        <w:t xml:space="preserve">Designation as a HRE will not automatically result in that </w:t>
      </w:r>
      <w:r w:rsidR="0065490A" w:rsidRPr="004D18CC">
        <w:t>individual</w:t>
      </w:r>
      <w:r w:rsidRPr="004D18CC">
        <w:t xml:space="preserve"> being subjected to the exercise of the new powers proposed in this Part, nor any other powers which do not already apply.</w:t>
      </w:r>
    </w:p>
    <w:p w14:paraId="148D738C" w14:textId="72D92BDF" w:rsidR="0072420F" w:rsidRPr="004D18CC" w:rsidRDefault="00B101C7" w:rsidP="004D18CC">
      <w:r w:rsidRPr="004D18CC">
        <w:t xml:space="preserve">Regardless of how a HRE is designated, the designation has no automatic or material impact on the activities of the </w:t>
      </w:r>
      <w:r w:rsidR="001C1DE0" w:rsidRPr="004D18CC">
        <w:t>individual</w:t>
      </w:r>
      <w:r w:rsidRPr="004D18CC">
        <w:t xml:space="preserve"> or their associated entities.</w:t>
      </w:r>
    </w:p>
    <w:p w14:paraId="5508874E" w14:textId="670CD9D8" w:rsidR="008C58F4" w:rsidRPr="008C58F4" w:rsidRDefault="008C430C" w:rsidP="004D18CC">
      <w:pPr>
        <w:pStyle w:val="Heading3"/>
      </w:pPr>
      <w:r>
        <w:t>Step one</w:t>
      </w:r>
      <w:r w:rsidR="00215E42">
        <w:t xml:space="preserve"> –</w:t>
      </w:r>
      <w:r>
        <w:t xml:space="preserve"> the o</w:t>
      </w:r>
      <w:r w:rsidR="008C58F4">
        <w:t>bjective test</w:t>
      </w:r>
    </w:p>
    <w:p w14:paraId="6467A9BC" w14:textId="77777777" w:rsidR="00AA52DA" w:rsidRDefault="0072420F" w:rsidP="004D18CC">
      <w:r w:rsidRPr="00DD43F1">
        <w:t>Designation as an HRE would be based on certain objective threshold tests.</w:t>
      </w:r>
    </w:p>
    <w:p w14:paraId="23AD65AB" w14:textId="73C560C8" w:rsidR="0072420F" w:rsidRPr="00DD43F1" w:rsidRDefault="00AB5D7C" w:rsidP="004D18CC">
      <w:r>
        <w:t>I</w:t>
      </w:r>
      <w:r w:rsidR="0072420F" w:rsidRPr="00DD43F1">
        <w:t>ndividuals would automatically be designated HREs once the threshold had been met.</w:t>
      </w:r>
    </w:p>
    <w:p w14:paraId="28161EC2" w14:textId="21C6961C" w:rsidR="004E1F25" w:rsidRPr="00DD43F1" w:rsidRDefault="00FB1845" w:rsidP="004D18CC">
      <w:r w:rsidRPr="006E5F2A">
        <w:rPr>
          <w:rFonts w:cs="Arial"/>
        </w:rPr>
        <w:t>The Government is proposing to designate</w:t>
      </w:r>
      <w:r w:rsidR="004E1F25" w:rsidRPr="006E5F2A">
        <w:t xml:space="preserve"> an </w:t>
      </w:r>
      <w:r w:rsidR="004E1F25" w:rsidRPr="00A57A27">
        <w:t>individual</w:t>
      </w:r>
      <w:r w:rsidR="004E1F25" w:rsidRPr="006E5F2A">
        <w:t xml:space="preserve"> an HRE where:</w:t>
      </w:r>
    </w:p>
    <w:p w14:paraId="24E4F469" w14:textId="4261B207" w:rsidR="004E1F25" w:rsidRPr="006E5F2A" w:rsidRDefault="004E1F25" w:rsidP="004D18CC">
      <w:pPr>
        <w:pStyle w:val="Bullet"/>
      </w:pPr>
      <w:r w:rsidRPr="006E5F2A">
        <w:t>They have previously been disqualified from managing a corporation</w:t>
      </w:r>
      <w:r w:rsidR="00E41F99">
        <w:t>;</w:t>
      </w:r>
      <w:r w:rsidRPr="006E5F2A">
        <w:t xml:space="preserve"> or</w:t>
      </w:r>
    </w:p>
    <w:p w14:paraId="4CE612A7" w14:textId="681A1F09" w:rsidR="00FB1845" w:rsidRPr="006E5F2A" w:rsidRDefault="004E1F25" w:rsidP="004D18CC">
      <w:pPr>
        <w:pStyle w:val="Bullet"/>
      </w:pPr>
      <w:r w:rsidRPr="006E5F2A">
        <w:t xml:space="preserve">They have been an officer of </w:t>
      </w:r>
      <w:r w:rsidR="00153907" w:rsidRPr="006E5F2A">
        <w:t>two</w:t>
      </w:r>
      <w:r w:rsidRPr="006E5F2A">
        <w:t xml:space="preserve"> companies which </w:t>
      </w:r>
      <w:r w:rsidR="00FB1845" w:rsidRPr="00DD43F1">
        <w:t>have entered liquidation in the previous seven years (or other appropriate period)</w:t>
      </w:r>
      <w:r w:rsidR="00A807AB">
        <w:rPr>
          <w:rFonts w:cs="Arial"/>
        </w:rPr>
        <w:t xml:space="preserve"> and</w:t>
      </w:r>
      <w:r w:rsidR="00153907" w:rsidRPr="006E5F2A">
        <w:t xml:space="preserve"> where:</w:t>
      </w:r>
    </w:p>
    <w:p w14:paraId="0DA6E4B2" w14:textId="48222D6C" w:rsidR="00153907" w:rsidRPr="004D18CC" w:rsidRDefault="00153907" w:rsidP="004D18CC">
      <w:pPr>
        <w:pStyle w:val="Dash"/>
      </w:pPr>
      <w:r w:rsidRPr="004D18CC">
        <w:t>there has been a failure to provide adequate books and records to an insolvency practitioner, or</w:t>
      </w:r>
    </w:p>
    <w:p w14:paraId="3CB9CB06" w14:textId="761EC7D9" w:rsidR="00153907" w:rsidRPr="006E5F2A" w:rsidRDefault="00153907" w:rsidP="004D18CC">
      <w:pPr>
        <w:pStyle w:val="Dash"/>
      </w:pPr>
      <w:r w:rsidRPr="006E5F2A">
        <w:t>an insolvency practitioner has lodged a report under s</w:t>
      </w:r>
      <w:r w:rsidR="002D154C">
        <w:t xml:space="preserve">ection </w:t>
      </w:r>
      <w:r w:rsidRPr="006E5F2A">
        <w:t>533(1) of the Corporations Act in respect of the company</w:t>
      </w:r>
      <w:r w:rsidR="006E5F2A">
        <w:t>,</w:t>
      </w:r>
      <w:r w:rsidRPr="006E5F2A">
        <w:t xml:space="preserve"> or</w:t>
      </w:r>
    </w:p>
    <w:p w14:paraId="7E9D1208" w14:textId="653ABB46" w:rsidR="004E1F25" w:rsidRPr="00DD43F1" w:rsidRDefault="004E1F25" w:rsidP="004D18CC">
      <w:pPr>
        <w:pStyle w:val="Bullet"/>
      </w:pPr>
      <w:r w:rsidRPr="006E5F2A">
        <w:t xml:space="preserve">They have been </w:t>
      </w:r>
      <w:r w:rsidR="00153907" w:rsidRPr="006E5F2A">
        <w:t xml:space="preserve">found to have </w:t>
      </w:r>
      <w:r w:rsidR="00B101C7" w:rsidRPr="00DD43F1">
        <w:t>committed</w:t>
      </w:r>
      <w:r w:rsidRPr="006E5F2A">
        <w:t xml:space="preserve"> a Phoenix Offence </w:t>
      </w:r>
      <w:r w:rsidR="006E5F2A">
        <w:t>(</w:t>
      </w:r>
      <w:r w:rsidRPr="006E5F2A">
        <w:t>if one is introduced (</w:t>
      </w:r>
      <w:r w:rsidR="00FD2A2E" w:rsidRPr="006E5F2A">
        <w:t>See</w:t>
      </w:r>
      <w:r w:rsidR="00FD2A2E">
        <w:t> </w:t>
      </w:r>
      <w:r w:rsidR="00FD2A2E" w:rsidRPr="006E5F2A">
        <w:t>section</w:t>
      </w:r>
      <w:r w:rsidR="00FD2A2E">
        <w:t> </w:t>
      </w:r>
      <w:r w:rsidRPr="006E5F2A">
        <w:fldChar w:fldCharType="begin"/>
      </w:r>
      <w:r w:rsidRPr="006E5F2A">
        <w:instrText xml:space="preserve"> REF _Ref493257834 \r \h </w:instrText>
      </w:r>
      <w:r w:rsidR="00153907" w:rsidRPr="00DD43F1">
        <w:instrText xml:space="preserve"> \* MERGEFORMAT </w:instrText>
      </w:r>
      <w:r w:rsidRPr="006E5F2A">
        <w:fldChar w:fldCharType="separate"/>
      </w:r>
      <w:r w:rsidR="00786D5E">
        <w:t>0</w:t>
      </w:r>
      <w:r w:rsidRPr="006E5F2A">
        <w:fldChar w:fldCharType="end"/>
      </w:r>
      <w:r w:rsidRPr="006E5F2A">
        <w:t>)</w:t>
      </w:r>
      <w:r w:rsidR="006E5F2A">
        <w:t>)</w:t>
      </w:r>
      <w:r w:rsidR="002475B1">
        <w:t xml:space="preserve"> or </w:t>
      </w:r>
      <w:r w:rsidR="00F323D9">
        <w:t>the subject of p</w:t>
      </w:r>
      <w:r w:rsidR="002475B1">
        <w:t>romoter penalt</w:t>
      </w:r>
      <w:r w:rsidR="00F323D9">
        <w:t>y</w:t>
      </w:r>
      <w:r w:rsidR="00B639C2">
        <w:t xml:space="preserve"> sanctions</w:t>
      </w:r>
      <w:r w:rsidR="00292047">
        <w:t>;</w:t>
      </w:r>
      <w:r w:rsidR="00153907" w:rsidRPr="006E5F2A">
        <w:t xml:space="preserve"> or</w:t>
      </w:r>
    </w:p>
    <w:p w14:paraId="1E37DB8B" w14:textId="744AEE2D" w:rsidR="00AF0D02" w:rsidRPr="00DD43F1" w:rsidRDefault="00DD43F1" w:rsidP="004D18CC">
      <w:pPr>
        <w:pStyle w:val="Bullet"/>
      </w:pPr>
      <w:r>
        <w:t xml:space="preserve">They </w:t>
      </w:r>
      <w:r w:rsidR="0034580E">
        <w:t xml:space="preserve">are an officer of an entity which has </w:t>
      </w:r>
      <w:r>
        <w:t>a p</w:t>
      </w:r>
      <w:r w:rsidR="009964BC" w:rsidRPr="009964BC">
        <w:t>oor regulatory compliance history that is consistent with suspected illegal phoenix activity</w:t>
      </w:r>
      <w:r w:rsidR="00AF0D02">
        <w:t xml:space="preserve">, </w:t>
      </w:r>
      <w:r w:rsidR="00AF0D02" w:rsidRPr="00CD398F">
        <w:t>and they are provided</w:t>
      </w:r>
      <w:r w:rsidR="00AF0D02">
        <w:t xml:space="preserve"> with notice of their designation </w:t>
      </w:r>
      <w:r w:rsidR="00AF0D02" w:rsidRPr="006E5F2A">
        <w:t>by the ATO (or another appropriate regulator, such as ASIC).</w:t>
      </w:r>
    </w:p>
    <w:p w14:paraId="339A6EE5" w14:textId="2FEB4F70" w:rsidR="00F323D9" w:rsidRPr="00F323D9" w:rsidRDefault="009964BC" w:rsidP="004D18CC">
      <w:pPr>
        <w:pStyle w:val="Dash"/>
      </w:pPr>
      <w:r w:rsidRPr="009964BC">
        <w:t xml:space="preserve">This may include involvement in past liquidations where claims have been made to the </w:t>
      </w:r>
      <w:r w:rsidR="00B914C5" w:rsidRPr="009964BC">
        <w:t>Fair</w:t>
      </w:r>
      <w:r w:rsidR="00B914C5">
        <w:t> </w:t>
      </w:r>
      <w:r w:rsidRPr="009964BC">
        <w:t>Entitlements Guarantee Scheme, repeated failure to lodge required forms and returns in the lead up to liquidations, or repeated failure to keep records relating to the transfe</w:t>
      </w:r>
      <w:r w:rsidR="00AF0D02">
        <w:t>r of assets to related entities</w:t>
      </w:r>
      <w:r w:rsidR="00F323D9">
        <w:t>.</w:t>
      </w:r>
    </w:p>
    <w:p w14:paraId="7CCB0493" w14:textId="7FFB8085" w:rsidR="00D21427" w:rsidRPr="00D21427" w:rsidRDefault="008C430C" w:rsidP="004D18CC">
      <w:pPr>
        <w:pStyle w:val="Heading3"/>
      </w:pPr>
      <w:r>
        <w:t>Step two</w:t>
      </w:r>
      <w:r w:rsidR="00D21427">
        <w:t xml:space="preserve"> – </w:t>
      </w:r>
      <w:r w:rsidR="00215E42">
        <w:t>an a</w:t>
      </w:r>
      <w:r w:rsidR="00D21427">
        <w:t xml:space="preserve">dministrative </w:t>
      </w:r>
      <w:r w:rsidR="00B101C7">
        <w:t>declaration</w:t>
      </w:r>
    </w:p>
    <w:p w14:paraId="187CD37A" w14:textId="7153451D" w:rsidR="007F03A5" w:rsidRPr="00BF1823" w:rsidRDefault="007F03A5" w:rsidP="004D18CC">
      <w:r w:rsidRPr="00BF1823">
        <w:t xml:space="preserve">It is accepted that </w:t>
      </w:r>
      <w:r>
        <w:t xml:space="preserve">the pool of HREs may capture instances of honest business failure, and that those </w:t>
      </w:r>
      <w:r w:rsidRPr="009250D8">
        <w:t>individuals</w:t>
      </w:r>
      <w:r>
        <w:t xml:space="preserve"> should not be punished for their behaviour.</w:t>
      </w:r>
    </w:p>
    <w:p w14:paraId="30E36092" w14:textId="16D0B7DB" w:rsidR="007F03A5" w:rsidRDefault="007F03A5" w:rsidP="004D18CC">
      <w:r>
        <w:t>That is</w:t>
      </w:r>
      <w:r w:rsidR="00F96455">
        <w:t xml:space="preserve"> why</w:t>
      </w:r>
      <w:r>
        <w:t xml:space="preserve"> a second step before the new powers can be imposed</w:t>
      </w:r>
      <w:r w:rsidR="00C93B14">
        <w:t xml:space="preserve"> is proposed</w:t>
      </w:r>
      <w:r>
        <w:t>.</w:t>
      </w:r>
    </w:p>
    <w:p w14:paraId="3FA20511" w14:textId="6029FBB0" w:rsidR="00153907" w:rsidRDefault="00153907" w:rsidP="004D18CC">
      <w:r>
        <w:t xml:space="preserve">Once an </w:t>
      </w:r>
      <w:r w:rsidR="00617769" w:rsidRPr="001078D8">
        <w:t>individual</w:t>
      </w:r>
      <w:r>
        <w:t xml:space="preserve"> is identified as an HRE, the Commissioner of Taxation would have the power to </w:t>
      </w:r>
      <w:r w:rsidR="00B101C7">
        <w:t>declare</w:t>
      </w:r>
      <w:r>
        <w:t xml:space="preserve"> them </w:t>
      </w:r>
      <w:r w:rsidR="00B101C7">
        <w:t xml:space="preserve">to be </w:t>
      </w:r>
      <w:r>
        <w:t xml:space="preserve">an HRPO, and </w:t>
      </w:r>
      <w:r w:rsidR="00B101C7">
        <w:t xml:space="preserve">consequentially </w:t>
      </w:r>
      <w:r>
        <w:t>to apply the HRPO measures set out in this Part.</w:t>
      </w:r>
    </w:p>
    <w:p w14:paraId="5F4C08EA" w14:textId="333C6C11" w:rsidR="00153907" w:rsidRDefault="00153907" w:rsidP="004D18CC">
      <w:pPr>
        <w:rPr>
          <w:szCs w:val="22"/>
        </w:rPr>
      </w:pPr>
      <w:r w:rsidRPr="00026164">
        <w:rPr>
          <w:szCs w:val="22"/>
        </w:rPr>
        <w:t>Decis</w:t>
      </w:r>
      <w:r w:rsidR="00B101C7">
        <w:rPr>
          <w:szCs w:val="22"/>
        </w:rPr>
        <w:t>ions to apply the</w:t>
      </w:r>
      <w:r w:rsidRPr="00026164">
        <w:rPr>
          <w:szCs w:val="22"/>
        </w:rPr>
        <w:t>se powers w</w:t>
      </w:r>
      <w:r w:rsidR="007F03A5">
        <w:rPr>
          <w:szCs w:val="22"/>
        </w:rPr>
        <w:t>ould</w:t>
      </w:r>
      <w:r w:rsidRPr="00026164">
        <w:rPr>
          <w:szCs w:val="22"/>
        </w:rPr>
        <w:t xml:space="preserve"> be made on a case by case basis taking into account the surrounding circumstances, and rights of review continue </w:t>
      </w:r>
      <w:r w:rsidR="007F03A5">
        <w:rPr>
          <w:szCs w:val="22"/>
        </w:rPr>
        <w:t>to attach to the exercise of th</w:t>
      </w:r>
      <w:r w:rsidRPr="00026164">
        <w:rPr>
          <w:szCs w:val="22"/>
        </w:rPr>
        <w:t>e powers.</w:t>
      </w:r>
    </w:p>
    <w:p w14:paraId="1722CE9C" w14:textId="279EA2B4" w:rsidR="0047183D" w:rsidRDefault="00BC35DB" w:rsidP="004D18CC">
      <w:r>
        <w:t>Where an HRPO is an officer of a company, or has recently been an officer of the company, the Commissioner of Taxation will have the discretion to declare that company to also be an HRPO.</w:t>
      </w:r>
    </w:p>
    <w:p w14:paraId="11F05A00" w14:textId="28033C8E" w:rsidR="0047183D" w:rsidRPr="003703DB" w:rsidRDefault="0047183D" w:rsidP="004D18CC">
      <w:pPr>
        <w:pStyle w:val="Heading4"/>
      </w:pPr>
      <w:r w:rsidRPr="008C25E1">
        <w:rPr>
          <w:rFonts w:eastAsiaTheme="minorHAnsi"/>
        </w:rPr>
        <w:t xml:space="preserve">Notification and </w:t>
      </w:r>
      <w:r w:rsidRPr="003703DB">
        <w:t>Safeguards</w:t>
      </w:r>
    </w:p>
    <w:p w14:paraId="4EDAD0BF" w14:textId="0BD49EFF" w:rsidR="00F52758" w:rsidRPr="003703DB" w:rsidRDefault="00F52758" w:rsidP="004D18CC">
      <w:r w:rsidRPr="003703DB">
        <w:t xml:space="preserve">It is proposed that the Commissioner would be required to provide notification of their decision to declare an individual a HRPO, and that the declaration be subject to </w:t>
      </w:r>
      <w:r w:rsidR="00AF0D02">
        <w:t>review</w:t>
      </w:r>
      <w:r w:rsidRPr="003703DB">
        <w:t>.</w:t>
      </w:r>
    </w:p>
    <w:p w14:paraId="392A843C" w14:textId="76E45AAD" w:rsidR="0047183D" w:rsidRPr="003703DB" w:rsidRDefault="00F52758" w:rsidP="004D18CC">
      <w:r w:rsidRPr="003703DB">
        <w:t>However, o</w:t>
      </w:r>
      <w:r w:rsidR="00684388" w:rsidRPr="003703DB">
        <w:t xml:space="preserve">n occasion it may be necessary for action to be taken swiftly by regulators against </w:t>
      </w:r>
      <w:r w:rsidRPr="003703DB">
        <w:t>an entity</w:t>
      </w:r>
      <w:r w:rsidR="00684388" w:rsidRPr="003703DB">
        <w:t xml:space="preserve"> to apply preventative measures (such as retaining tax refunds) where there is an imminent risk of phoenix activity occurring.</w:t>
      </w:r>
    </w:p>
    <w:p w14:paraId="394E5564" w14:textId="1145CB51" w:rsidR="00684388" w:rsidRPr="00B92B9D" w:rsidRDefault="00684388" w:rsidP="004D18CC">
      <w:r w:rsidRPr="003703DB">
        <w:t xml:space="preserve">If an extensive merits review process were to attach to the designation as a HRPO, the review process could delay the application of these preventative measures. Such delay </w:t>
      </w:r>
      <w:r w:rsidR="0047183D" w:rsidRPr="003703DB">
        <w:t>may</w:t>
      </w:r>
      <w:r w:rsidRPr="003703DB">
        <w:t xml:space="preserve"> undermine the effectiveness of these new measures in protecting employee entitlements, trade creditors and revenue.</w:t>
      </w:r>
    </w:p>
    <w:p w14:paraId="11D1CC0C" w14:textId="31F73087" w:rsidR="003703DB" w:rsidRPr="00DD43F1" w:rsidRDefault="003703DB" w:rsidP="004D18CC">
      <w:r w:rsidRPr="00DD43F1">
        <w:t xml:space="preserve">One option could be for </w:t>
      </w:r>
      <w:r w:rsidR="0078392E">
        <w:t>individuals</w:t>
      </w:r>
      <w:r w:rsidRPr="00DD43F1">
        <w:t xml:space="preserve"> designated as HRPOs to be entitled to request a statement of reasons for the designation, and given an opportunity to put forward contentions as to why the designation should be cancelled and supporting evidence of improved business practices. However this process would not suspend the use of the new preventative measures.</w:t>
      </w:r>
    </w:p>
    <w:p w14:paraId="0D2EA56A" w14:textId="5B00CCB8" w:rsidR="00684388" w:rsidRDefault="003703DB" w:rsidP="004D18CC">
      <w:r w:rsidRPr="007071B3">
        <w:t>Cancellation of a determination could also occur unilaterally where the operator demonstrates a behavioural change.</w:t>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FD2A2E" w14:paraId="031F8855" w14:textId="77777777" w:rsidTr="004D18CC">
        <w:tc>
          <w:tcPr>
            <w:tcW w:w="9286" w:type="dxa"/>
            <w:shd w:val="clear" w:color="auto" w:fill="DEEAF6" w:themeFill="accent1" w:themeFillTint="33"/>
          </w:tcPr>
          <w:p w14:paraId="2C5B4052" w14:textId="77777777" w:rsidR="00FD2A2E" w:rsidRDefault="00FD2A2E" w:rsidP="004D18CC">
            <w:pPr>
              <w:pStyle w:val="BoxHeading"/>
            </w:pPr>
            <w:r>
              <w:t>Questions</w:t>
            </w:r>
          </w:p>
          <w:p w14:paraId="06866754" w14:textId="77777777" w:rsidR="00FD2A2E" w:rsidRPr="00A23947" w:rsidRDefault="00FD2A2E" w:rsidP="004D18CC">
            <w:pPr>
              <w:pStyle w:val="BoxNumbering"/>
            </w:pPr>
            <w:r w:rsidRPr="009250D8">
              <w:t xml:space="preserve">On a scale of one to ten, where one is ‘ineffective’ and ten is ‘highly </w:t>
            </w:r>
            <w:r w:rsidRPr="00A23947">
              <w:t>effective’, please rate how well you think this measure will operate to deter and disrupt illegal phoenix activity.</w:t>
            </w:r>
          </w:p>
          <w:p w14:paraId="6D36B4EA" w14:textId="77777777" w:rsidR="00FD2A2E" w:rsidRDefault="00FD2A2E" w:rsidP="004D18CC">
            <w:pPr>
              <w:pStyle w:val="BoxNumbering"/>
              <w:rPr>
                <w:rFonts w:cs="Arial"/>
              </w:rPr>
            </w:pPr>
            <w:r w:rsidRPr="00DD43F1">
              <w:t>W</w:t>
            </w:r>
            <w:r>
              <w:rPr>
                <w:rFonts w:cs="Arial"/>
              </w:rPr>
              <w:t>hat are the benefits and risks of this approach?</w:t>
            </w:r>
          </w:p>
          <w:p w14:paraId="66C76613" w14:textId="77777777" w:rsidR="00FD2A2E" w:rsidRPr="003703DB" w:rsidRDefault="00FD2A2E" w:rsidP="004D18CC">
            <w:pPr>
              <w:pStyle w:val="BoxNumbering"/>
              <w:rPr>
                <w:rFonts w:cs="Arial"/>
              </w:rPr>
            </w:pPr>
            <w:r w:rsidRPr="003703DB">
              <w:rPr>
                <w:rFonts w:cs="Arial"/>
              </w:rPr>
              <w:t>Are the safeguards for designating HRPO sufficient? Can you suggest any alternative safeguards that would still allow for swift preventative action to be taken to prevent phoenix activity from occurring?</w:t>
            </w:r>
          </w:p>
          <w:p w14:paraId="0AA3C47E" w14:textId="77777777" w:rsidR="00FD2A2E" w:rsidRPr="003703DB" w:rsidRDefault="00FD2A2E" w:rsidP="004D18CC">
            <w:pPr>
              <w:pStyle w:val="BoxNumbering"/>
              <w:rPr>
                <w:rFonts w:cs="Arial"/>
              </w:rPr>
            </w:pPr>
            <w:r>
              <w:rPr>
                <w:rFonts w:cs="Arial"/>
              </w:rPr>
              <w:t>W</w:t>
            </w:r>
            <w:r w:rsidRPr="003703DB">
              <w:rPr>
                <w:rFonts w:cs="Arial"/>
              </w:rPr>
              <w:t>hat safeguards would be required to ensure that the measure is appropriately targeted?</w:t>
            </w:r>
          </w:p>
          <w:p w14:paraId="47B5C43B" w14:textId="3515052B" w:rsidR="00FD2A2E" w:rsidRPr="004A7F3F" w:rsidRDefault="00FD2A2E" w:rsidP="004D18CC">
            <w:pPr>
              <w:pStyle w:val="BoxNumbering"/>
            </w:pPr>
            <w:r w:rsidRPr="001078D8">
              <w:t>Should</w:t>
            </w:r>
            <w:r w:rsidRPr="004A7F3F">
              <w:t xml:space="preserve"> the Commissioner of Taxation have a discretion to declare a company of which </w:t>
            </w:r>
            <w:r w:rsidRPr="001078D8">
              <w:t>a</w:t>
            </w:r>
            <w:r w:rsidRPr="004A7F3F">
              <w:t xml:space="preserve"> HRPO is, or has recently been, an officer to also be a HRPO? Should this be extended to other individuals or entities which are associates of the HRPO?</w:t>
            </w:r>
          </w:p>
          <w:p w14:paraId="5F2E026A" w14:textId="17A67C88" w:rsidR="00FD2A2E" w:rsidRPr="004D18CC" w:rsidRDefault="00FD2A2E" w:rsidP="004D18CC">
            <w:pPr>
              <w:pStyle w:val="BoxNumbering"/>
              <w:rPr>
                <w:szCs w:val="22"/>
              </w:rPr>
            </w:pPr>
            <w:r>
              <w:t>Should “associate” be defined or determined administratively?</w:t>
            </w:r>
          </w:p>
        </w:tc>
      </w:tr>
    </w:tbl>
    <w:p w14:paraId="05DEA65E" w14:textId="77777777" w:rsidR="00FD2A2E" w:rsidRPr="00026164" w:rsidRDefault="00FD2A2E" w:rsidP="004D18CC">
      <w:pPr>
        <w:pStyle w:val="SingleParagraph"/>
      </w:pPr>
    </w:p>
    <w:p w14:paraId="606B4A90" w14:textId="0B64CCE4" w:rsidR="00550A00" w:rsidRPr="004D18CC" w:rsidRDefault="00FD2A2E" w:rsidP="004D18CC">
      <w:pPr>
        <w:pStyle w:val="Heading2"/>
      </w:pPr>
      <w:bookmarkStart w:id="145" w:name="_Toc494212638"/>
      <w:r>
        <w:t>9.</w:t>
      </w:r>
      <w:bookmarkEnd w:id="145"/>
      <w:r>
        <w:tab/>
      </w:r>
      <w:bookmarkStart w:id="146" w:name="_Toc493772778"/>
      <w:bookmarkStart w:id="147" w:name="_Toc494212639"/>
      <w:r w:rsidR="00550A00" w:rsidRPr="004D18CC">
        <w:t>Appointing liquidators on a cab rank basis</w:t>
      </w:r>
      <w:bookmarkEnd w:id="146"/>
      <w:bookmarkEnd w:id="147"/>
    </w:p>
    <w:p w14:paraId="0F184D62" w14:textId="77777777" w:rsidR="00550A00" w:rsidRDefault="00550A00" w:rsidP="004D18CC">
      <w:pPr>
        <w:pStyle w:val="Heading3"/>
      </w:pPr>
      <w:r>
        <w:t>The current situation</w:t>
      </w:r>
    </w:p>
    <w:p w14:paraId="325D5EA0" w14:textId="01ADC9BA" w:rsidR="00550A00" w:rsidRPr="00914E07" w:rsidRDefault="00550A00" w:rsidP="004D18CC">
      <w:r w:rsidRPr="006B4AB4">
        <w:t xml:space="preserve">A well-functioning financial system should provide an efficient process for the external administration </w:t>
      </w:r>
      <w:r w:rsidR="00117C38">
        <w:t>of insolvent or financially distressed</w:t>
      </w:r>
      <w:r w:rsidRPr="006B4AB4">
        <w:t xml:space="preserve"> companies which builds confidence, </w:t>
      </w:r>
      <w:r w:rsidR="00E12BBB">
        <w:t>pr</w:t>
      </w:r>
      <w:r w:rsidR="001F2441">
        <w:t>o</w:t>
      </w:r>
      <w:r w:rsidR="00E12BBB">
        <w:t>tects</w:t>
      </w:r>
      <w:r w:rsidR="00E12BBB" w:rsidRPr="006B4AB4">
        <w:t xml:space="preserve"> </w:t>
      </w:r>
      <w:r w:rsidRPr="006B4AB4">
        <w:t>against misconduct, and promotes self-regulation and competition.</w:t>
      </w:r>
      <w:r>
        <w:t xml:space="preserve"> </w:t>
      </w:r>
      <w:r w:rsidRPr="00914E07">
        <w:t xml:space="preserve">Insolvency </w:t>
      </w:r>
      <w:r w:rsidR="00CD52B5">
        <w:t>p</w:t>
      </w:r>
      <w:r w:rsidRPr="00914E07">
        <w:t xml:space="preserve">ractitioners </w:t>
      </w:r>
      <w:r>
        <w:t xml:space="preserve">thus </w:t>
      </w:r>
      <w:r w:rsidRPr="00914E07">
        <w:t>play a</w:t>
      </w:r>
      <w:r>
        <w:t xml:space="preserve"> crucial role in the financial system.</w:t>
      </w:r>
    </w:p>
    <w:p w14:paraId="4303F88A" w14:textId="38DD2BD0" w:rsidR="00550A00" w:rsidRPr="001E5FCB" w:rsidRDefault="00550A00" w:rsidP="004D18CC">
      <w:r w:rsidRPr="001E5FCB">
        <w:t>A registered liquidator may be appointed</w:t>
      </w:r>
      <w:r w:rsidR="00117C38">
        <w:t xml:space="preserve"> as an</w:t>
      </w:r>
      <w:r w:rsidRPr="001E5FCB">
        <w:t xml:space="preserve"> external administrator of a company in the following capacities:</w:t>
      </w:r>
    </w:p>
    <w:p w14:paraId="0A62ACDD" w14:textId="77777777" w:rsidR="00550A00" w:rsidRPr="001E5FCB" w:rsidRDefault="00550A00" w:rsidP="004D18CC">
      <w:pPr>
        <w:pStyle w:val="Bullet"/>
      </w:pPr>
      <w:r w:rsidRPr="001E5FCB">
        <w:t>as voluntary administrator of the company;</w:t>
      </w:r>
    </w:p>
    <w:p w14:paraId="068E4EE3" w14:textId="529C5B6A" w:rsidR="00550A00" w:rsidRPr="001E5FCB" w:rsidRDefault="00550A00" w:rsidP="004D18CC">
      <w:pPr>
        <w:pStyle w:val="Bullet"/>
      </w:pPr>
      <w:r w:rsidRPr="001E5FCB">
        <w:t>as administrator of a deed of company arrangement entered into in relation to the company;</w:t>
      </w:r>
    </w:p>
    <w:p w14:paraId="1C752193" w14:textId="77777777" w:rsidR="00550A00" w:rsidRPr="001E5FCB" w:rsidRDefault="00550A00" w:rsidP="004D18CC">
      <w:pPr>
        <w:pStyle w:val="Bullet"/>
      </w:pPr>
      <w:r w:rsidRPr="001E5FCB">
        <w:t>as liquidator of the company (appointed by members or the court); or</w:t>
      </w:r>
    </w:p>
    <w:p w14:paraId="5495C657" w14:textId="77777777" w:rsidR="00550A00" w:rsidRPr="001E5FCB" w:rsidRDefault="00550A00" w:rsidP="004D18CC">
      <w:pPr>
        <w:pStyle w:val="Bullet"/>
      </w:pPr>
      <w:r w:rsidRPr="001E5FCB">
        <w:t>as provisional liquidator of the company.</w:t>
      </w:r>
    </w:p>
    <w:p w14:paraId="10E6CB74" w14:textId="77777777" w:rsidR="00550A00" w:rsidRPr="001E5FCB" w:rsidRDefault="00550A00" w:rsidP="004D18CC">
      <w:r w:rsidRPr="001E5FCB">
        <w:t>Company directors initiate most of these appointments.</w:t>
      </w:r>
    </w:p>
    <w:p w14:paraId="0117DE70" w14:textId="7357121A" w:rsidR="00550A00" w:rsidRPr="001E5FCB" w:rsidRDefault="00550A00" w:rsidP="004D18CC">
      <w:r w:rsidRPr="001E5FCB">
        <w:t xml:space="preserve">Before an appointment occurs, a registered liquidator must be approached to consent to act as external administrator of the company.  In most instances, those approaches are made as a result of a referral by a lawyer, accountant or other pre-insolvency </w:t>
      </w:r>
      <w:r w:rsidR="00574177">
        <w:t>adviser</w:t>
      </w:r>
      <w:r w:rsidRPr="001E5FCB">
        <w:t>.</w:t>
      </w:r>
    </w:p>
    <w:p w14:paraId="0BBD1222" w14:textId="69041DE2" w:rsidR="00550A00" w:rsidRPr="001E5FCB" w:rsidRDefault="00550A00" w:rsidP="004D18CC">
      <w:r w:rsidRPr="001E5FCB">
        <w:t>In order to compete for work, a registered liquidator forms, and builds on, relationships with lawyers, accountants and other pre-insolvency advisers who might refer work to them.</w:t>
      </w:r>
    </w:p>
    <w:p w14:paraId="65A397A2" w14:textId="64B18ED0" w:rsidR="0050595C" w:rsidRDefault="0050595C" w:rsidP="00CE378E">
      <w:pPr>
        <w:pStyle w:val="Heading3"/>
      </w:pPr>
      <w:r>
        <w:t>How phoenix operators exploit the current law</w:t>
      </w:r>
    </w:p>
    <w:p w14:paraId="6F6D529B" w14:textId="77777777" w:rsidR="00550A00" w:rsidRDefault="00550A00" w:rsidP="004D18CC">
      <w:r w:rsidRPr="00914E07">
        <w:t>Registered liquidators act in a fiduciary capacity and, in some cases they are officers of the court. They are required to maintain professionalism, independence, impartiality, honesty and ethics in the performance of their functions and duties.</w:t>
      </w:r>
    </w:p>
    <w:p w14:paraId="30D65C05" w14:textId="5DFB54F2" w:rsidR="00384B69" w:rsidRDefault="00550A00" w:rsidP="004D18CC">
      <w:r w:rsidRPr="00914E07">
        <w:t xml:space="preserve">However, as phoenixing becomes more sophisticated, the Phoenix Taskforce has identified cases where facilitators will </w:t>
      </w:r>
      <w:r>
        <w:t xml:space="preserve">cultivate a relationship with an individual </w:t>
      </w:r>
      <w:r w:rsidRPr="00914E07">
        <w:t>registered liquidator who will facilitate their client’s interests to the detriment of creditors.</w:t>
      </w:r>
    </w:p>
    <w:p w14:paraId="341BE724" w14:textId="2A94EB22" w:rsidR="00550A00" w:rsidRPr="006B4AB4" w:rsidRDefault="00550A00" w:rsidP="004D18CC">
      <w:r w:rsidRPr="00914E07">
        <w:t xml:space="preserve">An incentive exists for these registered liquidators not to ‘bite the hand that feeds them’, which can undermine their independence or lead to a conflict of interest. </w:t>
      </w:r>
      <w:r>
        <w:t>T</w:t>
      </w:r>
      <w:r w:rsidRPr="006B4AB4">
        <w:t xml:space="preserve">he current referral model potentially facilitates and provides opportunities for </w:t>
      </w:r>
      <w:r>
        <w:t xml:space="preserve">a dishonest </w:t>
      </w:r>
      <w:r w:rsidRPr="006B4AB4">
        <w:t>registered liquidator</w:t>
      </w:r>
      <w:r>
        <w:t xml:space="preserve"> </w:t>
      </w:r>
      <w:r w:rsidRPr="006B4AB4">
        <w:t>to exercise "wilful blindness" and act in other ways which facilitate misconduct, including illegal phoenix activity.</w:t>
      </w:r>
    </w:p>
    <w:p w14:paraId="2D7F1E4E" w14:textId="1C6A08EC" w:rsidR="00550A00" w:rsidRPr="006B4AB4" w:rsidRDefault="00550A00" w:rsidP="004D18CC">
      <w:r w:rsidRPr="006B4AB4">
        <w:t xml:space="preserve">In these circumstances, referral relationships between pre-insolvency </w:t>
      </w:r>
      <w:r w:rsidR="00574177">
        <w:t>adviser</w:t>
      </w:r>
      <w:r w:rsidRPr="006B4AB4">
        <w:t xml:space="preserve">s and </w:t>
      </w:r>
      <w:r>
        <w:t xml:space="preserve">a dishonest registered liquidator </w:t>
      </w:r>
      <w:r w:rsidRPr="006B4AB4">
        <w:t>can result in illegal phoenix activity occurring and not being adequately investigated.</w:t>
      </w:r>
      <w:r>
        <w:t xml:space="preserve"> Even the actions of a single individual can </w:t>
      </w:r>
      <w:r w:rsidRPr="006B4AB4">
        <w:t>undermine market confidence</w:t>
      </w:r>
      <w:r>
        <w:t>.</w:t>
      </w:r>
    </w:p>
    <w:p w14:paraId="00BA6218" w14:textId="16D5C471" w:rsidR="00550A00" w:rsidRPr="006B4AB4" w:rsidRDefault="00550A00" w:rsidP="004D18CC">
      <w:r w:rsidRPr="006B4AB4">
        <w:t>These circumstances provide an unfair advantage over other registered liquidators competing in the market for insolvency services who strive to ensure they meet their statutory and fiduciary obligation</w:t>
      </w:r>
      <w:r w:rsidR="008752BE">
        <w:t>s</w:t>
      </w:r>
      <w:r w:rsidRPr="006B4AB4">
        <w:t xml:space="preserve"> and properly perform their duties and functions.</w:t>
      </w:r>
    </w:p>
    <w:p w14:paraId="0951D856" w14:textId="2AE4FBD6" w:rsidR="00550A00" w:rsidRPr="00CE2F7D" w:rsidRDefault="00550A00" w:rsidP="004D18CC">
      <w:r w:rsidRPr="00CE2F7D">
        <w:t>Appropriate measures to address actual or perceived</w:t>
      </w:r>
      <w:r w:rsidR="00A57497" w:rsidRPr="00A57497">
        <w:t xml:space="preserve"> concerns</w:t>
      </w:r>
      <w:r w:rsidR="00A57497">
        <w:t xml:space="preserve"> regarding</w:t>
      </w:r>
      <w:r w:rsidRPr="00CE2F7D">
        <w:t xml:space="preserve"> independence arising from the current referral system for the appointment of external administrators are central to combatting illegal phoenix activity.</w:t>
      </w:r>
    </w:p>
    <w:p w14:paraId="23E515C4" w14:textId="20839073" w:rsidR="00550A00" w:rsidRPr="00CE2F7D" w:rsidRDefault="00550A00" w:rsidP="004D18CC">
      <w:r w:rsidRPr="00914E07">
        <w:t xml:space="preserve">A </w:t>
      </w:r>
      <w:r w:rsidR="00247F62">
        <w:t>c</w:t>
      </w:r>
      <w:r w:rsidRPr="00914E07">
        <w:t xml:space="preserve">ab </w:t>
      </w:r>
      <w:r w:rsidR="00247F62">
        <w:t>r</w:t>
      </w:r>
      <w:r w:rsidRPr="00914E07">
        <w:t xml:space="preserve">ank model </w:t>
      </w:r>
      <w:r>
        <w:t>has been recommended as</w:t>
      </w:r>
      <w:r w:rsidRPr="00914E07">
        <w:t xml:space="preserve"> one method of addressing issue</w:t>
      </w:r>
      <w:r w:rsidR="00AF0AA7">
        <w:t>s</w:t>
      </w:r>
      <w:r w:rsidRPr="00914E07">
        <w:t xml:space="preserve"> of </w:t>
      </w:r>
      <w:r w:rsidR="00C40973">
        <w:t>r</w:t>
      </w:r>
      <w:r w:rsidRPr="00914E07">
        <w:t xml:space="preserve">egistered </w:t>
      </w:r>
      <w:r w:rsidR="00C40973">
        <w:t>l</w:t>
      </w:r>
      <w:r w:rsidRPr="00914E07">
        <w:t>iquidator independence, facilitator referrals and director misconduct that underpin some illegal phoenix activity</w:t>
      </w:r>
      <w:r>
        <w:t xml:space="preserve"> by</w:t>
      </w:r>
      <w:r w:rsidRPr="00CE2F7D">
        <w:t>:</w:t>
      </w:r>
    </w:p>
    <w:p w14:paraId="2680B9DD" w14:textId="4136FD49" w:rsidR="00550A00" w:rsidRPr="00CE2F7D" w:rsidRDefault="00FB214A" w:rsidP="004D18CC">
      <w:pPr>
        <w:pStyle w:val="Bullet"/>
      </w:pPr>
      <w:r>
        <w:t>m</w:t>
      </w:r>
      <w:r w:rsidR="00550A00" w:rsidRPr="00CE2F7D">
        <w:t xml:space="preserve">inimising the risk that the registered liquidator is subject to any influence that might lead </w:t>
      </w:r>
      <w:r w:rsidR="00C2592F">
        <w:t>them to</w:t>
      </w:r>
      <w:r w:rsidR="00550A00" w:rsidRPr="00CE2F7D">
        <w:t xml:space="preserve"> not bring an impartial mind to the conduct of the external administration</w:t>
      </w:r>
      <w:r>
        <w:t>;</w:t>
      </w:r>
    </w:p>
    <w:p w14:paraId="33671137" w14:textId="0952A9D3" w:rsidR="00550A00" w:rsidRPr="00CE2F7D" w:rsidRDefault="00FB214A" w:rsidP="004D18CC">
      <w:pPr>
        <w:pStyle w:val="Bullet"/>
      </w:pPr>
      <w:r>
        <w:t>r</w:t>
      </w:r>
      <w:r w:rsidR="00550A00">
        <w:t>educing</w:t>
      </w:r>
      <w:r w:rsidR="00550A00" w:rsidRPr="00CE2F7D">
        <w:t xml:space="preserve"> the ability for untrustworthy </w:t>
      </w:r>
      <w:r w:rsidR="00574177">
        <w:t>adviser</w:t>
      </w:r>
      <w:r w:rsidR="00550A00" w:rsidRPr="00CE2F7D">
        <w:t>s to collude with registered liquidators to operate to defeat the interests of creditors</w:t>
      </w:r>
      <w:r>
        <w:t>; and</w:t>
      </w:r>
    </w:p>
    <w:p w14:paraId="140C3679" w14:textId="4349B807" w:rsidR="00550A00" w:rsidRPr="00CE2F7D" w:rsidRDefault="00FB214A" w:rsidP="004D18CC">
      <w:pPr>
        <w:pStyle w:val="Bullet"/>
      </w:pPr>
      <w:r>
        <w:t>i</w:t>
      </w:r>
      <w:r w:rsidR="00550A00" w:rsidRPr="00CE2F7D">
        <w:t>ncreas</w:t>
      </w:r>
      <w:r w:rsidR="00C951BB">
        <w:t>ing</w:t>
      </w:r>
      <w:r w:rsidR="00550A00" w:rsidRPr="00CE2F7D">
        <w:t xml:space="preserve"> the prospect of illegal phoenix activity being detected and investigated</w:t>
      </w:r>
      <w:r w:rsidR="00467D11">
        <w:t>.</w:t>
      </w:r>
    </w:p>
    <w:p w14:paraId="174769B3" w14:textId="7E25BD1B" w:rsidR="00550A00" w:rsidRDefault="0050595C" w:rsidP="004D18CC">
      <w:pPr>
        <w:pStyle w:val="Heading3"/>
      </w:pPr>
      <w:r>
        <w:t>Proposed reform – w</w:t>
      </w:r>
      <w:r w:rsidR="00550A00">
        <w:t xml:space="preserve">hat is a </w:t>
      </w:r>
      <w:r w:rsidR="00A64641">
        <w:t>c</w:t>
      </w:r>
      <w:r w:rsidR="00550A00">
        <w:t xml:space="preserve">ab </w:t>
      </w:r>
      <w:r w:rsidR="00A64641">
        <w:t>r</w:t>
      </w:r>
      <w:r w:rsidR="00550A00">
        <w:t>ank system?</w:t>
      </w:r>
    </w:p>
    <w:p w14:paraId="29AEA4E0" w14:textId="0DF6ACB2" w:rsidR="00550A00" w:rsidRDefault="00550A00" w:rsidP="004D18CC">
      <w:r>
        <w:t>The idea of a cab rank system is to</w:t>
      </w:r>
      <w:r w:rsidRPr="00CE2F7D">
        <w:t xml:space="preserve"> provide a director with access to an independent registered liquidator who can provide advice on the options available to the director to deal with the company's financial position.</w:t>
      </w:r>
    </w:p>
    <w:p w14:paraId="2BF7E0FB" w14:textId="4B4BE7E7" w:rsidR="00550A00" w:rsidRDefault="00550A00" w:rsidP="004D18CC">
      <w:r w:rsidRPr="00914E07">
        <w:t>Under a cab rank system, a registered li</w:t>
      </w:r>
      <w:r>
        <w:t xml:space="preserve">quidator would be chosen from a panel </w:t>
      </w:r>
      <w:r w:rsidRPr="00914E07">
        <w:t xml:space="preserve">on </w:t>
      </w:r>
      <w:r w:rsidR="00FD2A2E" w:rsidRPr="00914E07">
        <w:t>a</w:t>
      </w:r>
      <w:r w:rsidR="00FD2A2E">
        <w:br/>
      </w:r>
      <w:r w:rsidRPr="00914E07">
        <w:t>“next-cab-off-the-rank” b</w:t>
      </w:r>
      <w:r>
        <w:t>asis in certain circumstances.</w:t>
      </w:r>
    </w:p>
    <w:p w14:paraId="5F7ED6D5" w14:textId="77777777" w:rsidR="00550A00" w:rsidRDefault="00550A00" w:rsidP="004D18CC">
      <w:r>
        <w:t>Panels would be regionally based, and panel liquidators would retain the right to refuse an appointment, for example because of a conflict of interest, time constraints or if they considered that they lacked the requisite experience to properly carry out the administration or liquidation.</w:t>
      </w:r>
    </w:p>
    <w:p w14:paraId="2004A32D" w14:textId="08D4A97A" w:rsidR="00550A00" w:rsidRDefault="00384B69" w:rsidP="004D18CC">
      <w:r w:rsidRPr="004D18CC">
        <w:t xml:space="preserve">When dealing with instances of low or no-asset companies, </w:t>
      </w:r>
      <w:r w:rsidRPr="001078D8">
        <w:t>t</w:t>
      </w:r>
      <w:r w:rsidR="00550A00" w:rsidRPr="00384B69">
        <w:t>he</w:t>
      </w:r>
      <w:r w:rsidR="00550A00">
        <w:t xml:space="preserve"> activities of panel-appointed liquidators would need to be fund</w:t>
      </w:r>
      <w:r w:rsidR="006D6378">
        <w:t>ed</w:t>
      </w:r>
      <w:r w:rsidR="00550A00">
        <w:t xml:space="preserve">, for example </w:t>
      </w:r>
      <w:r w:rsidR="00550A00" w:rsidRPr="00914E07">
        <w:t>via a component of the industry levy on corporations</w:t>
      </w:r>
      <w:r w:rsidR="00550A00">
        <w:t>, to ensure that matters were</w:t>
      </w:r>
      <w:r w:rsidR="00550A00" w:rsidRPr="00BD15A9">
        <w:t xml:space="preserve"> </w:t>
      </w:r>
      <w:r w:rsidR="00550A00" w:rsidRPr="00914E07">
        <w:t xml:space="preserve">investigated </w:t>
      </w:r>
      <w:r w:rsidR="00550A00">
        <w:t>and properly reported to both the creditors and to ASIC</w:t>
      </w:r>
      <w:r w:rsidR="00550A00" w:rsidRPr="00914E07">
        <w:t>.</w:t>
      </w:r>
    </w:p>
    <w:p w14:paraId="6CF4C5E5" w14:textId="77777777" w:rsidR="00550A00" w:rsidRDefault="00550A00" w:rsidP="004D18CC">
      <w:r w:rsidRPr="00914E07">
        <w:t xml:space="preserve">The funding would finance </w:t>
      </w:r>
      <w:r>
        <w:t>registered liquidators</w:t>
      </w:r>
      <w:r w:rsidRPr="00914E07">
        <w:t>’ basic investigations and reporting</w:t>
      </w:r>
      <w:r>
        <w:t xml:space="preserve">, and would replace </w:t>
      </w:r>
      <w:r w:rsidRPr="00914E07">
        <w:t xml:space="preserve">the current widespread practice of directors indemnifying </w:t>
      </w:r>
      <w:r>
        <w:t xml:space="preserve">registered liquidators </w:t>
      </w:r>
      <w:r w:rsidRPr="00914E07">
        <w:t>for their costs</w:t>
      </w:r>
      <w:r>
        <w:t>.</w:t>
      </w:r>
    </w:p>
    <w:p w14:paraId="0558C626" w14:textId="617659C0" w:rsidR="00550A00" w:rsidRDefault="00550A00" w:rsidP="004D18CC">
      <w:r>
        <w:t xml:space="preserve">Most </w:t>
      </w:r>
      <w:r w:rsidRPr="002B7C81">
        <w:t xml:space="preserve">external administration appointments do not result from a referral where </w:t>
      </w:r>
      <w:r w:rsidR="00FD2A2E" w:rsidRPr="002B7C81">
        <w:t>improper</w:t>
      </w:r>
      <w:r w:rsidR="00FD2A2E">
        <w:br/>
      </w:r>
      <w:r w:rsidRPr="002B7C81">
        <w:t xml:space="preserve">pre-insolvency advice has been provided and where illegal phoenix activity is suspected. </w:t>
      </w:r>
      <w:r>
        <w:t>I</w:t>
      </w:r>
      <w:r w:rsidRPr="00914E07">
        <w:t xml:space="preserve">t is </w:t>
      </w:r>
      <w:r>
        <w:t xml:space="preserve">thus </w:t>
      </w:r>
      <w:r w:rsidRPr="00914E07">
        <w:t xml:space="preserve">important that any mechanism aimed at curbing illegal phoenixing is not detrimental to the overwhelming majority of </w:t>
      </w:r>
      <w:r w:rsidR="00B2147A">
        <w:t>r</w:t>
      </w:r>
      <w:r w:rsidRPr="00914E07">
        <w:t xml:space="preserve">egistered </w:t>
      </w:r>
      <w:r w:rsidR="00B2147A">
        <w:t>l</w:t>
      </w:r>
      <w:r w:rsidRPr="00914E07">
        <w:t>iquidators who have done</w:t>
      </w:r>
      <w:r w:rsidR="00FB214A">
        <w:t xml:space="preserve"> the right thing</w:t>
      </w:r>
      <w:r w:rsidRPr="00914E07">
        <w:t>.</w:t>
      </w:r>
    </w:p>
    <w:p w14:paraId="39B65F1F" w14:textId="73C35B1D" w:rsidR="00550A00" w:rsidRDefault="00550A00" w:rsidP="004D18CC">
      <w:pPr>
        <w:pStyle w:val="Heading3"/>
      </w:pPr>
      <w:r>
        <w:t>Option 1</w:t>
      </w:r>
      <w:r w:rsidR="00A64832">
        <w:t xml:space="preserve"> – High Risk Phoenix Operators</w:t>
      </w:r>
    </w:p>
    <w:p w14:paraId="25798AF5" w14:textId="683C59E4" w:rsidR="00485E81" w:rsidRDefault="00485E81" w:rsidP="004D18CC">
      <w:r>
        <w:t xml:space="preserve">Under this proposal, </w:t>
      </w:r>
      <w:r w:rsidR="00550A00" w:rsidRPr="006A78BD">
        <w:t>the cab</w:t>
      </w:r>
      <w:r w:rsidR="00BF2A5D">
        <w:t xml:space="preserve"> </w:t>
      </w:r>
      <w:r w:rsidR="00550A00" w:rsidRPr="006A78BD">
        <w:t>rank</w:t>
      </w:r>
      <w:r w:rsidR="004542FE">
        <w:t xml:space="preserve"> rule</w:t>
      </w:r>
      <w:r w:rsidR="00550A00" w:rsidRPr="006A78BD">
        <w:t xml:space="preserve"> </w:t>
      </w:r>
      <w:r>
        <w:t>would</w:t>
      </w:r>
      <w:r w:rsidR="00550A00" w:rsidRPr="006A78BD">
        <w:t xml:space="preserve"> apply only to a company </w:t>
      </w:r>
      <w:r w:rsidR="00CD7C31">
        <w:t>where an officer of the company is, or was during a prescribed period prior to the appointment of an external administrator, an</w:t>
      </w:r>
      <w:r w:rsidR="00550A00">
        <w:t xml:space="preserve"> </w:t>
      </w:r>
      <w:r w:rsidR="00FA1B50">
        <w:t>HRPO</w:t>
      </w:r>
      <w:r w:rsidR="00550A00">
        <w:t xml:space="preserve"> (section </w:t>
      </w:r>
      <w:r w:rsidR="00E14678">
        <w:fldChar w:fldCharType="begin"/>
      </w:r>
      <w:r w:rsidR="00E14678">
        <w:instrText xml:space="preserve"> REF _Ref493681905 \r \h </w:instrText>
      </w:r>
      <w:r w:rsidR="00FD2A2E">
        <w:instrText xml:space="preserve"> \* MERGEFORMAT </w:instrText>
      </w:r>
      <w:r w:rsidR="00E14678">
        <w:fldChar w:fldCharType="separate"/>
      </w:r>
      <w:r w:rsidR="00786D5E">
        <w:t>2</w:t>
      </w:r>
      <w:r w:rsidR="00E14678">
        <w:fldChar w:fldCharType="end"/>
      </w:r>
      <w:r w:rsidR="00550A00">
        <w:t>)</w:t>
      </w:r>
      <w:r w:rsidR="00550A00" w:rsidRPr="006A78BD">
        <w:t>.</w:t>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B914C5" w14:paraId="76C3568A" w14:textId="77777777" w:rsidTr="004D18CC">
        <w:tc>
          <w:tcPr>
            <w:tcW w:w="9286" w:type="dxa"/>
            <w:shd w:val="clear" w:color="auto" w:fill="DEEAF6" w:themeFill="accent1" w:themeFillTint="33"/>
          </w:tcPr>
          <w:p w14:paraId="5656BF1A" w14:textId="77777777" w:rsidR="00B914C5" w:rsidRPr="004D18CC" w:rsidRDefault="00B914C5" w:rsidP="004D18CC">
            <w:pPr>
              <w:pStyle w:val="BoxHeading"/>
            </w:pPr>
            <w:r w:rsidRPr="004D18CC">
              <w:t>Questions</w:t>
            </w:r>
          </w:p>
          <w:p w14:paraId="58EE29C7" w14:textId="77777777" w:rsidR="00B914C5" w:rsidRPr="004D18CC" w:rsidRDefault="00B914C5" w:rsidP="004D18CC">
            <w:pPr>
              <w:pStyle w:val="BoxNumbering"/>
            </w:pPr>
            <w:r w:rsidRPr="004D18CC">
              <w:t>On a scale of one to ten, where one is ‘ineffective’ and ten is ‘highly effective’, please rate how well you think this measure will operate to deter and disrupt illegal phoenix activity.</w:t>
            </w:r>
          </w:p>
          <w:p w14:paraId="43C58F42" w14:textId="77777777" w:rsidR="00B914C5" w:rsidRPr="004D18CC" w:rsidRDefault="00B914C5" w:rsidP="004D18CC">
            <w:pPr>
              <w:pStyle w:val="BoxNumbering"/>
            </w:pPr>
            <w:r w:rsidRPr="004D18CC">
              <w:t>Are there alternate measures that would be more effective? If so, please provide an outline of what you think would work.</w:t>
            </w:r>
          </w:p>
          <w:p w14:paraId="0D15BA43" w14:textId="77777777" w:rsidR="00B914C5" w:rsidRPr="004D18CC" w:rsidRDefault="00B914C5" w:rsidP="004D18CC">
            <w:pPr>
              <w:pStyle w:val="BoxNumbering"/>
            </w:pPr>
            <w:r w:rsidRPr="004D18CC">
              <w:t>Currently, it is intended that the cab rank be restricted to circumstances where an HRPO is or has recently been an officer of the company.</w:t>
            </w:r>
          </w:p>
          <w:p w14:paraId="6FCF1772" w14:textId="717F49DC" w:rsidR="00B914C5" w:rsidRDefault="00B914C5" w:rsidP="004D18CC">
            <w:pPr>
              <w:pStyle w:val="BoxNumbering"/>
            </w:pPr>
            <w:r w:rsidRPr="004D18CC">
              <w:t>Should a cab rank apply to all external administration appointments?</w:t>
            </w:r>
          </w:p>
        </w:tc>
      </w:tr>
    </w:tbl>
    <w:p w14:paraId="054DAAED" w14:textId="77777777" w:rsidR="00B914C5" w:rsidRDefault="00B914C5" w:rsidP="004D18CC"/>
    <w:p w14:paraId="0FA2F980" w14:textId="77777777" w:rsidR="00B914C5" w:rsidRDefault="00B914C5" w:rsidP="004D18CC"/>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FD2A2E" w14:paraId="23F7DC33" w14:textId="77777777" w:rsidTr="004D18CC">
        <w:tc>
          <w:tcPr>
            <w:tcW w:w="9286" w:type="dxa"/>
            <w:shd w:val="clear" w:color="auto" w:fill="DEEAF6" w:themeFill="accent1" w:themeFillTint="33"/>
          </w:tcPr>
          <w:p w14:paraId="153F7457" w14:textId="579B66B4" w:rsidR="00FD2A2E" w:rsidRPr="004D18CC" w:rsidRDefault="00FD2A2E" w:rsidP="004D18CC">
            <w:pPr>
              <w:pStyle w:val="BoxHeading"/>
              <w:rPr>
                <w:rFonts w:ascii="Arial" w:hAnsi="Arial" w:cs="Arial"/>
              </w:rPr>
            </w:pPr>
            <w:r>
              <w:t>Questions</w:t>
            </w:r>
            <w:r w:rsidR="00B914C5">
              <w:t xml:space="preserve"> (continued)</w:t>
            </w:r>
          </w:p>
          <w:p w14:paraId="662AB5CE" w14:textId="77777777" w:rsidR="00FD2A2E" w:rsidRDefault="00FD2A2E" w:rsidP="004D18CC">
            <w:pPr>
              <w:pStyle w:val="BoxNumbering"/>
            </w:pPr>
            <w:r>
              <w:t xml:space="preserve">Should it be applied more widely, but </w:t>
            </w:r>
            <w:r w:rsidRPr="00550A00">
              <w:t>be limited to specified types of external administration appointments</w:t>
            </w:r>
            <w:r>
              <w:t xml:space="preserve"> where certain criteria are met? For example:</w:t>
            </w:r>
          </w:p>
          <w:p w14:paraId="1DEFDF3D" w14:textId="77777777" w:rsidR="00FD2A2E" w:rsidRPr="004D18CC" w:rsidRDefault="00FD2A2E" w:rsidP="004D18CC">
            <w:pPr>
              <w:pStyle w:val="BoxBullet"/>
            </w:pPr>
            <w:r w:rsidRPr="004D18CC">
              <w:t>whether it was a director initiated creditors' voluntary liquidation and/or the appointment of a liquidator following a voluntary administration</w:t>
            </w:r>
          </w:p>
          <w:p w14:paraId="1653DDB6" w14:textId="77777777" w:rsidR="00FD2A2E" w:rsidRPr="004D18CC" w:rsidRDefault="00FD2A2E" w:rsidP="004D18CC">
            <w:pPr>
              <w:pStyle w:val="BoxBullet"/>
            </w:pPr>
            <w:r w:rsidRPr="004D18CC">
              <w:t>industry sector</w:t>
            </w:r>
          </w:p>
          <w:p w14:paraId="2A6D4B96" w14:textId="77777777" w:rsidR="00FD2A2E" w:rsidRPr="004D18CC" w:rsidRDefault="00FD2A2E" w:rsidP="004D18CC">
            <w:pPr>
              <w:pStyle w:val="BoxBullet"/>
            </w:pPr>
            <w:r w:rsidRPr="004D18CC">
              <w:t>whether pre-insolvency advice was received</w:t>
            </w:r>
          </w:p>
          <w:p w14:paraId="3DF9835F" w14:textId="77777777" w:rsidR="00FD2A2E" w:rsidRPr="004D18CC" w:rsidRDefault="00FD2A2E" w:rsidP="004D18CC">
            <w:pPr>
              <w:pStyle w:val="BoxBullet"/>
            </w:pPr>
            <w:r w:rsidRPr="004D18CC">
              <w:t>prescribed criteria on the company's financial affairs</w:t>
            </w:r>
          </w:p>
          <w:p w14:paraId="2831B119" w14:textId="77777777" w:rsidR="00FD2A2E" w:rsidRPr="004D18CC" w:rsidRDefault="00FD2A2E" w:rsidP="004D18CC">
            <w:pPr>
              <w:pStyle w:val="BoxBullet"/>
            </w:pPr>
            <w:r w:rsidRPr="004D18CC">
              <w:t>when there has been a recent transfer identified for some or all the companies assets</w:t>
            </w:r>
          </w:p>
          <w:p w14:paraId="1563E0E7" w14:textId="77777777" w:rsidR="00FD2A2E" w:rsidRPr="004D18CC" w:rsidRDefault="00FD2A2E" w:rsidP="004D18CC">
            <w:pPr>
              <w:pStyle w:val="BoxBullet"/>
            </w:pPr>
            <w:r w:rsidRPr="004D18CC">
              <w:t>where there has been a change of directors within a prescribed period.</w:t>
            </w:r>
          </w:p>
          <w:p w14:paraId="798367B0" w14:textId="77777777" w:rsidR="00FD2A2E" w:rsidRPr="004D18CC" w:rsidRDefault="00FD2A2E" w:rsidP="004D18CC">
            <w:pPr>
              <w:pStyle w:val="BoxText-Indent"/>
            </w:pPr>
            <w:r w:rsidRPr="004D18CC">
              <w:t>If the cab rank applies only to those companies where specified criteria are met what should those criteria be? Please specify your reasons.</w:t>
            </w:r>
          </w:p>
          <w:p w14:paraId="455CEFC5" w14:textId="77777777" w:rsidR="00FD2A2E" w:rsidRDefault="00FD2A2E" w:rsidP="004D18CC">
            <w:pPr>
              <w:pStyle w:val="BoxNumbering"/>
            </w:pPr>
            <w:r w:rsidRPr="009E006E">
              <w:t>Who should administer the cab</w:t>
            </w:r>
            <w:r>
              <w:t xml:space="preserve"> </w:t>
            </w:r>
            <w:r w:rsidRPr="009E006E">
              <w:t>rank and how should it be administered?  Please explain your reasoning</w:t>
            </w:r>
            <w:r>
              <w:t>.</w:t>
            </w:r>
          </w:p>
          <w:p w14:paraId="7C60ADC8" w14:textId="0EBFFB3D" w:rsidR="00FD2A2E" w:rsidRDefault="00FD2A2E" w:rsidP="004D18CC">
            <w:pPr>
              <w:pStyle w:val="BoxNumbering"/>
            </w:pPr>
            <w:r>
              <w:t>How do you think such a system should be funded?</w:t>
            </w:r>
          </w:p>
        </w:tc>
      </w:tr>
    </w:tbl>
    <w:p w14:paraId="615054BB" w14:textId="77777777" w:rsidR="00FD2A2E" w:rsidRPr="004D18CC" w:rsidRDefault="00FD2A2E" w:rsidP="004D18CC">
      <w:pPr>
        <w:pStyle w:val="SingleParagraph"/>
      </w:pPr>
    </w:p>
    <w:p w14:paraId="1EB01759" w14:textId="145E0FF1" w:rsidR="00550A00" w:rsidRPr="004D18CC" w:rsidRDefault="00550A00" w:rsidP="004D18CC">
      <w:pPr>
        <w:pStyle w:val="Heading3"/>
      </w:pPr>
      <w:r w:rsidRPr="004D18CC">
        <w:t xml:space="preserve">Option </w:t>
      </w:r>
      <w:r w:rsidR="00A0744F" w:rsidRPr="004D18CC">
        <w:t>2</w:t>
      </w:r>
      <w:r w:rsidR="00A64832" w:rsidRPr="004D18CC">
        <w:t xml:space="preserve"> – </w:t>
      </w:r>
      <w:r w:rsidR="00C2592F">
        <w:t>a</w:t>
      </w:r>
      <w:r w:rsidR="00A64832" w:rsidRPr="004D18CC">
        <w:t xml:space="preserve"> Government Liquidator</w:t>
      </w:r>
    </w:p>
    <w:p w14:paraId="7B9FD01F" w14:textId="710AF874" w:rsidR="00AA52DA" w:rsidRDefault="00550A00">
      <w:r>
        <w:t>Another option is to establish a</w:t>
      </w:r>
      <w:r w:rsidRPr="002247A6">
        <w:t xml:space="preserve"> "government liquidator" to conduct a streamlined external administration of small-to-medium size enterprises</w:t>
      </w:r>
      <w:r>
        <w:t xml:space="preserve"> with the option</w:t>
      </w:r>
      <w:r w:rsidRPr="002247A6">
        <w:t xml:space="preserve"> to appoint a private registered liquidator if circumstances warranted it</w:t>
      </w:r>
      <w:r>
        <w:t>.  A similar system currently operates in personal insolvency.</w:t>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FD2A2E" w14:paraId="58FCBEF5" w14:textId="77777777" w:rsidTr="004D18CC">
        <w:tc>
          <w:tcPr>
            <w:tcW w:w="9286" w:type="dxa"/>
            <w:shd w:val="clear" w:color="auto" w:fill="DEEAF6" w:themeFill="accent1" w:themeFillTint="33"/>
          </w:tcPr>
          <w:p w14:paraId="56044E91" w14:textId="59FA8A7D" w:rsidR="00FD2A2E" w:rsidRDefault="00FD2A2E" w:rsidP="004D18CC">
            <w:pPr>
              <w:pStyle w:val="BoxHeading"/>
            </w:pPr>
            <w:r>
              <w:t>Questions</w:t>
            </w:r>
          </w:p>
          <w:p w14:paraId="1666F3C0" w14:textId="77777777" w:rsidR="00FD2A2E" w:rsidRPr="004D18CC" w:rsidRDefault="00FD2A2E" w:rsidP="004D18CC">
            <w:pPr>
              <w:pStyle w:val="BoxNumbering"/>
            </w:pPr>
            <w:r w:rsidRPr="004D18CC">
              <w:t>On a scale of one to ten, where one is ‘ineffective’ and ten is ‘highly effective’, please rate how well you think this measure will operate to deter and disrupt illegal phoenix activity.</w:t>
            </w:r>
          </w:p>
          <w:p w14:paraId="4CEA6031" w14:textId="387240B4" w:rsidR="00AA52DA" w:rsidRPr="004D18CC" w:rsidRDefault="00FD2A2E" w:rsidP="004D18CC">
            <w:pPr>
              <w:pStyle w:val="BoxNumbering"/>
            </w:pPr>
            <w:r w:rsidRPr="004D18CC">
              <w:t>Should consideration be given to establishing a government liquidator to conduct</w:t>
            </w:r>
            <w:r w:rsidR="00B914C5" w:rsidRPr="004D18CC">
              <w:br/>
            </w:r>
            <w:r w:rsidRPr="004D18CC">
              <w:t>small-to-medium external administrations? Please provide your reasons.</w:t>
            </w:r>
          </w:p>
          <w:p w14:paraId="201E91C5" w14:textId="77777777" w:rsidR="00B914C5" w:rsidRPr="004D18CC" w:rsidRDefault="00AA52DA" w:rsidP="004D18CC">
            <w:pPr>
              <w:pStyle w:val="BoxNumbering"/>
            </w:pPr>
            <w:r w:rsidRPr="004D18CC">
              <w:t>What are the benefits and risks of this approach?</w:t>
            </w:r>
          </w:p>
          <w:p w14:paraId="34363664" w14:textId="77777777" w:rsidR="00B914C5" w:rsidRPr="004D18CC" w:rsidRDefault="00B914C5" w:rsidP="004D18CC">
            <w:pPr>
              <w:pStyle w:val="BoxNumbering"/>
            </w:pPr>
            <w:r w:rsidRPr="004D18CC">
              <w:t>If a government liquidator is created, what external administrations should they conduct? Please provide your reasons.</w:t>
            </w:r>
          </w:p>
          <w:p w14:paraId="0AA437C9" w14:textId="14CE0B68" w:rsidR="00FD2A2E" w:rsidRPr="004D18CC" w:rsidRDefault="00B914C5" w:rsidP="004D18CC">
            <w:pPr>
              <w:pStyle w:val="BoxNumbering"/>
              <w:rPr>
                <w:rFonts w:ascii="Arial" w:hAnsi="Arial" w:cs="Arial"/>
                <w:szCs w:val="22"/>
              </w:rPr>
            </w:pPr>
            <w:r w:rsidRPr="004D18CC">
              <w:t>How do you believe a government liquidator should be funded?</w:t>
            </w:r>
          </w:p>
        </w:tc>
      </w:tr>
    </w:tbl>
    <w:p w14:paraId="4739F73E" w14:textId="77777777" w:rsidR="00B914C5" w:rsidRPr="004D18CC" w:rsidRDefault="00B914C5" w:rsidP="004D18CC"/>
    <w:p w14:paraId="4C9701D3" w14:textId="77777777" w:rsidR="00AA52DA" w:rsidRPr="004D18CC" w:rsidRDefault="00AA52DA" w:rsidP="004D18CC">
      <w:r w:rsidRPr="004D18CC">
        <w:br w:type="page"/>
      </w:r>
    </w:p>
    <w:p w14:paraId="4A5E5F1D" w14:textId="454CB98B" w:rsidR="00276CD2" w:rsidRPr="004D18CC" w:rsidRDefault="00AA52DA" w:rsidP="004D18CC">
      <w:pPr>
        <w:pStyle w:val="Heading2"/>
      </w:pPr>
      <w:bookmarkStart w:id="148" w:name="_Toc494212640"/>
      <w:r>
        <w:t>10.</w:t>
      </w:r>
      <w:bookmarkEnd w:id="148"/>
      <w:r>
        <w:tab/>
      </w:r>
      <w:bookmarkStart w:id="149" w:name="_Toc493772779"/>
      <w:bookmarkStart w:id="150" w:name="_Toc494212641"/>
      <w:r w:rsidR="00334690" w:rsidRPr="004D18CC">
        <w:t xml:space="preserve">Removing the 21 day waiting period for a </w:t>
      </w:r>
      <w:r w:rsidR="00F832D5" w:rsidRPr="004D18CC">
        <w:t>DPN</w:t>
      </w:r>
      <w:bookmarkEnd w:id="149"/>
      <w:bookmarkEnd w:id="150"/>
    </w:p>
    <w:p w14:paraId="3E7199B6" w14:textId="4335161F" w:rsidR="005818CC" w:rsidRDefault="005818CC" w:rsidP="00CE378E">
      <w:pPr>
        <w:pStyle w:val="Heading3"/>
      </w:pPr>
      <w:r>
        <w:t>Current situation</w:t>
      </w:r>
    </w:p>
    <w:p w14:paraId="4252956E" w14:textId="683A3760" w:rsidR="006D1095" w:rsidRPr="006D1095" w:rsidRDefault="006D1095" w:rsidP="004D18CC">
      <w:r>
        <w:t>Currently, w</w:t>
      </w:r>
      <w:r w:rsidRPr="006D1095">
        <w:t>here a company has not met certain tax obligations, the company’s directors are personally liable to pay the ATO a penalty equivalent to the unpaid tax liability. Currently, this power is only applicable to PAYGW and SGC</w:t>
      </w:r>
      <w:r w:rsidR="00D426BA">
        <w:t xml:space="preserve"> (but could be extended to include GST, see section 6)</w:t>
      </w:r>
      <w:r w:rsidRPr="006D1095">
        <w:t>.</w:t>
      </w:r>
    </w:p>
    <w:p w14:paraId="79D2E38E" w14:textId="1C6B5577" w:rsidR="006D1095" w:rsidRDefault="006D1095" w:rsidP="004D18CC">
      <w:r w:rsidRPr="006D1095">
        <w:t xml:space="preserve">To recover the penalty, the ATO must </w:t>
      </w:r>
      <w:r w:rsidR="00F832D5">
        <w:t xml:space="preserve">issue a </w:t>
      </w:r>
      <w:r w:rsidR="00367948">
        <w:t>DPN</w:t>
      </w:r>
      <w:r w:rsidR="00F832D5">
        <w:t>.</w:t>
      </w:r>
      <w:r w:rsidRPr="00F832D5">
        <w:rPr>
          <w:vertAlign w:val="superscript"/>
        </w:rPr>
        <w:footnoteReference w:id="12"/>
      </w:r>
      <w:r w:rsidR="008370D2">
        <w:t xml:space="preserve"> </w:t>
      </w:r>
      <w:r w:rsidRPr="006D1095">
        <w:t xml:space="preserve">Once the DPN is issued, the directors have </w:t>
      </w:r>
      <w:r w:rsidR="00AA52DA" w:rsidRPr="006D1095">
        <w:t>21</w:t>
      </w:r>
      <w:r w:rsidR="00AA52DA">
        <w:t> </w:t>
      </w:r>
      <w:r w:rsidRPr="006D1095">
        <w:t>days to take corrective action. There are three options available to the directors in this situation: ensure their company pays the outstanding amounts, pay the penalty specified in the notice, or ensure their company enters voluntary administration or is placed into liquidation. This third option is not available to the directors if the company’s PAYGW or SGC liability is not reported to the ATO within 3 months of the due day</w:t>
      </w:r>
      <w:r>
        <w:t>.</w:t>
      </w:r>
    </w:p>
    <w:p w14:paraId="27CCF5A0" w14:textId="5CBA65CF" w:rsidR="00276CD2" w:rsidRDefault="006D1095" w:rsidP="004D18CC">
      <w:r w:rsidRPr="006D1095">
        <w:t>If the directors take no action within the 21 days, then the ATO may commence proceedings to compel the directors to pay the penalty.</w:t>
      </w:r>
    </w:p>
    <w:p w14:paraId="4F950B78" w14:textId="44F9AAAC" w:rsidR="006D1095" w:rsidRDefault="006D1095" w:rsidP="004D18CC">
      <w:r w:rsidRPr="006D1095">
        <w:t xml:space="preserve">The use of the director penalty is a powerful tool in the collection of outstanding tax obligations, however some directors have found ways to exploit certain aspects of the DPN provisions in order to escape personal liability. To help counter this behaviour, the Government announced on </w:t>
      </w:r>
      <w:r w:rsidR="00AA52DA" w:rsidRPr="006D1095">
        <w:t>29</w:t>
      </w:r>
      <w:r w:rsidR="00AA52DA">
        <w:t> </w:t>
      </w:r>
      <w:r w:rsidR="00AA52DA" w:rsidRPr="006D1095">
        <w:t>August</w:t>
      </w:r>
      <w:r w:rsidR="00AA52DA">
        <w:t> </w:t>
      </w:r>
      <w:r w:rsidRPr="006D1095">
        <w:t>2017 proposals to strengthen the DPN regime as part of a package of measures to strengthen employer compliance with superannuation guarantee obligations. The Government has further proposals to strengthen the DPN regime as part of the phoenixing package, which are set out below.</w:t>
      </w:r>
    </w:p>
    <w:p w14:paraId="254CC35E" w14:textId="51EDEAF4" w:rsidR="006D1095" w:rsidRDefault="006D1095" w:rsidP="004D18CC">
      <w:pPr>
        <w:pStyle w:val="Heading3"/>
      </w:pPr>
      <w:r>
        <w:t>How phoenix operators exploit the current law</w:t>
      </w:r>
    </w:p>
    <w:p w14:paraId="486271C6" w14:textId="391569AB" w:rsidR="006D1095" w:rsidRPr="006D1095" w:rsidRDefault="006D1095" w:rsidP="004D18CC">
      <w:r w:rsidRPr="006D1095">
        <w:t>Directors of high risk phoenix businesses having received a DPN are known to dispose of their personal assets before the expiration of the 21 day notice period, preventing the ATO from acquiring those assets to discharge the penalty. For such directors, the DPN is effectively a signal to take steps to frustrate the ATO’s attempts to recover unpaid PAYGW and SGC.</w:t>
      </w:r>
    </w:p>
    <w:p w14:paraId="56D086D8" w14:textId="5B3B0C86" w:rsidR="006D1095" w:rsidRPr="00BB4D90" w:rsidRDefault="006D1095" w:rsidP="004D18CC">
      <w:pPr>
        <w:pStyle w:val="Heading3"/>
      </w:pPr>
      <w:r>
        <w:t>Propos</w:t>
      </w:r>
      <w:r w:rsidR="00C2592F">
        <w:t>ed reform</w:t>
      </w:r>
    </w:p>
    <w:p w14:paraId="12D57F79" w14:textId="77777777" w:rsidR="00AA52DA" w:rsidRDefault="006D1095" w:rsidP="004D18CC">
      <w:r w:rsidRPr="006D1095">
        <w:t>By removing the 21 day period for those directors identified as HRPOs, the ATO will be able to commence recovery of the penalty as soon as the DPN is issued.</w:t>
      </w:r>
    </w:p>
    <w:p w14:paraId="643622D6" w14:textId="0765ADA7" w:rsidR="00AA52DA" w:rsidRDefault="004542FE" w:rsidP="004D18CC">
      <w:r>
        <w:t>D</w:t>
      </w:r>
      <w:r w:rsidR="006D1095" w:rsidRPr="006D1095">
        <w:t>irectors</w:t>
      </w:r>
      <w:r>
        <w:t xml:space="preserve"> who are</w:t>
      </w:r>
      <w:r w:rsidR="006D1095" w:rsidRPr="006D1095">
        <w:t xml:space="preserve"> not designated as HRPO</w:t>
      </w:r>
      <w:r w:rsidR="000C2AB2">
        <w:t>s</w:t>
      </w:r>
      <w:r w:rsidR="006D1095" w:rsidRPr="006D1095">
        <w:t xml:space="preserve"> will still be entitled to 21 days’ notice from the date a DPN is given.</w:t>
      </w:r>
    </w:p>
    <w:p w14:paraId="2C13D369" w14:textId="23179054" w:rsidR="00AA52DA" w:rsidRDefault="006D1095" w:rsidP="004D18CC">
      <w:r w:rsidRPr="006D1095">
        <w:t xml:space="preserve">This proposal is designed to act as a behavioural and financial disincentive for phoenix activity. It removes a time period in which HRPOs can dissipate their personal assets. It will contribute to the collection of outstanding superannuation payments owing to employees of companies that have been subjected to phoenixing behaviour, as well as the collection of PAYGW and GST </w:t>
      </w:r>
      <w:r w:rsidRPr="00461828">
        <w:t xml:space="preserve">(if </w:t>
      </w:r>
      <w:r w:rsidR="001B2BCA">
        <w:t xml:space="preserve">the </w:t>
      </w:r>
      <w:r w:rsidRPr="00461828">
        <w:t xml:space="preserve">proposal </w:t>
      </w:r>
      <w:r w:rsidR="001B2BCA">
        <w:t>at section 6</w:t>
      </w:r>
      <w:r w:rsidR="00C17743" w:rsidRPr="00461828">
        <w:t xml:space="preserve"> </w:t>
      </w:r>
      <w:r w:rsidR="004165A2">
        <w:t>above</w:t>
      </w:r>
      <w:r w:rsidR="00C17743" w:rsidRPr="00461828">
        <w:t xml:space="preserve"> </w:t>
      </w:r>
      <w:r w:rsidRPr="00461828">
        <w:t>progresses)</w:t>
      </w:r>
      <w:r w:rsidRPr="006D1095">
        <w:t>.</w:t>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AA52DA" w14:paraId="668E7506" w14:textId="77777777" w:rsidTr="004D18CC">
        <w:tc>
          <w:tcPr>
            <w:tcW w:w="9286" w:type="dxa"/>
            <w:shd w:val="clear" w:color="auto" w:fill="DEEAF6" w:themeFill="accent1" w:themeFillTint="33"/>
          </w:tcPr>
          <w:p w14:paraId="630D35A0" w14:textId="77777777" w:rsidR="00AA52DA" w:rsidRDefault="00AA52DA" w:rsidP="004D18CC">
            <w:pPr>
              <w:pStyle w:val="BoxHeading"/>
            </w:pPr>
            <w:r>
              <w:t>Questions</w:t>
            </w:r>
          </w:p>
          <w:p w14:paraId="1CEB8F47" w14:textId="77777777" w:rsidR="00AA52DA" w:rsidRPr="008B7A79" w:rsidRDefault="00AA52DA" w:rsidP="004D18CC">
            <w:pPr>
              <w:pStyle w:val="BoxNumbering"/>
            </w:pPr>
            <w:r w:rsidRPr="00204274">
              <w:t>On a scale of one to ten, where one is ‘ineffective’ and ten is ‘highly effective’, please rate how well you think this measure will operate to deter and disrupt illegal phoenix activity.</w:t>
            </w:r>
          </w:p>
          <w:p w14:paraId="76823B10" w14:textId="77777777" w:rsidR="00AA52DA" w:rsidRPr="006D1095" w:rsidRDefault="00AA52DA" w:rsidP="004D18CC">
            <w:pPr>
              <w:pStyle w:val="BoxNumbering"/>
            </w:pPr>
            <w:r w:rsidRPr="006D1095">
              <w:t>Should the 21 day notice period be removed where a director has been designated as a HRPO?</w:t>
            </w:r>
          </w:p>
          <w:p w14:paraId="7D20C726" w14:textId="77777777" w:rsidR="00AA52DA" w:rsidRPr="006D1095" w:rsidRDefault="00AA52DA" w:rsidP="004D18CC">
            <w:pPr>
              <w:pStyle w:val="BoxNumbering"/>
            </w:pPr>
            <w:r w:rsidRPr="006D1095">
              <w:t xml:space="preserve">What are the benefits and risks of this </w:t>
            </w:r>
            <w:r>
              <w:t>approach</w:t>
            </w:r>
            <w:r w:rsidRPr="006D1095">
              <w:t>?</w:t>
            </w:r>
          </w:p>
          <w:p w14:paraId="6D85040C" w14:textId="77777777" w:rsidR="00AA52DA" w:rsidRPr="006D1095" w:rsidRDefault="00AA52DA" w:rsidP="004D18CC">
            <w:pPr>
              <w:pStyle w:val="BoxNumbering"/>
            </w:pPr>
            <w:r w:rsidRPr="006D1095">
              <w:t>Should further safeguards attach to DPNs issued to HRPOs in addition to the existing legal rights and safeguards that currently apply to DPNs?</w:t>
            </w:r>
          </w:p>
          <w:p w14:paraId="1E45605C" w14:textId="76186839" w:rsidR="00AA52DA" w:rsidRDefault="00AA52DA" w:rsidP="004D18CC">
            <w:pPr>
              <w:pStyle w:val="BoxNumbering"/>
            </w:pPr>
            <w:r w:rsidRPr="006D1095">
              <w:t>Are there alternative approaches to stop a designated HRPO from disposing of their personal assets once they are aware they are required to pay a director penalty?</w:t>
            </w:r>
          </w:p>
        </w:tc>
      </w:tr>
    </w:tbl>
    <w:p w14:paraId="78DA9BAB" w14:textId="77777777" w:rsidR="00AA52DA" w:rsidRPr="004D18CC" w:rsidRDefault="00AA52DA" w:rsidP="004D18CC">
      <w:pPr>
        <w:pStyle w:val="SingleParagraph"/>
      </w:pPr>
    </w:p>
    <w:p w14:paraId="60A03CEF" w14:textId="01209505" w:rsidR="00550A00" w:rsidRPr="004D18CC" w:rsidRDefault="00AA52DA" w:rsidP="004D18CC">
      <w:pPr>
        <w:pStyle w:val="Heading2"/>
      </w:pPr>
      <w:bookmarkStart w:id="151" w:name="_Toc494212642"/>
      <w:r>
        <w:t>11.</w:t>
      </w:r>
      <w:bookmarkEnd w:id="151"/>
      <w:r>
        <w:tab/>
      </w:r>
      <w:bookmarkStart w:id="152" w:name="_Toc493772780"/>
      <w:bookmarkStart w:id="153" w:name="_Toc494212643"/>
      <w:r w:rsidR="00550A00" w:rsidRPr="004D18CC">
        <w:t>Provid</w:t>
      </w:r>
      <w:r w:rsidR="002F2B00" w:rsidRPr="004D18CC">
        <w:t>ing</w:t>
      </w:r>
      <w:r w:rsidR="00550A00" w:rsidRPr="004D18CC">
        <w:t xml:space="preserve"> the ATO with the power to retain refunds</w:t>
      </w:r>
      <w:bookmarkEnd w:id="152"/>
      <w:bookmarkEnd w:id="153"/>
    </w:p>
    <w:p w14:paraId="7E4E790F" w14:textId="77777777" w:rsidR="00550A00" w:rsidRPr="004A4055" w:rsidRDefault="00550A00" w:rsidP="004D18CC">
      <w:pPr>
        <w:pStyle w:val="Heading3"/>
      </w:pPr>
      <w:r>
        <w:t>The current situation</w:t>
      </w:r>
    </w:p>
    <w:p w14:paraId="2387254B" w14:textId="1C57F3EF" w:rsidR="00550A00" w:rsidRPr="004A4055" w:rsidRDefault="00550A00" w:rsidP="004D18CC">
      <w:r w:rsidRPr="004A4055">
        <w:t>The ATO can only retain refunds in specific circumstances:</w:t>
      </w:r>
    </w:p>
    <w:p w14:paraId="12AE76DB" w14:textId="77777777" w:rsidR="00550A00" w:rsidRPr="004A4055" w:rsidRDefault="00550A00" w:rsidP="004D18CC">
      <w:pPr>
        <w:pStyle w:val="OutlineNumbered1"/>
        <w:numPr>
          <w:ilvl w:val="0"/>
          <w:numId w:val="47"/>
        </w:numPr>
      </w:pPr>
      <w:r w:rsidRPr="004A4055">
        <w:t>Any refund where the business has not provided a notification under the Business Activity Statement (BAS) provisions or Petroleum Resource Rent Tax (PRRT) provisions.</w:t>
      </w:r>
      <w:r w:rsidRPr="004A4055">
        <w:rPr>
          <w:rStyle w:val="FootnoteReference"/>
          <w:rFonts w:ascii="Arial" w:hAnsi="Arial" w:cs="Arial"/>
        </w:rPr>
        <w:footnoteReference w:id="13"/>
      </w:r>
    </w:p>
    <w:p w14:paraId="3E7C814C" w14:textId="29405AA0" w:rsidR="00550A00" w:rsidRPr="004A4055" w:rsidRDefault="00550A00" w:rsidP="004D18CC">
      <w:pPr>
        <w:pStyle w:val="OutlineNumbered1"/>
      </w:pPr>
      <w:r w:rsidRPr="004A4055">
        <w:t>Any refund where information is being verified by the ATO, where it would be reasonable to do so and relates to the amount that the ATO would otherwise have to refund. This power applies equally to BAS notifications and income tax lodgements.</w:t>
      </w:r>
      <w:r w:rsidRPr="004A4055">
        <w:rPr>
          <w:rStyle w:val="FootnoteReference"/>
          <w:rFonts w:ascii="Arial" w:hAnsi="Arial" w:cs="Arial"/>
        </w:rPr>
        <w:footnoteReference w:id="14"/>
      </w:r>
    </w:p>
    <w:p w14:paraId="42D0C3CA" w14:textId="77777777" w:rsidR="00550A00" w:rsidRPr="004A4055" w:rsidRDefault="00550A00" w:rsidP="004D18CC">
      <w:pPr>
        <w:pStyle w:val="OutlineNumbered1"/>
      </w:pPr>
      <w:r w:rsidRPr="004A4055">
        <w:t>Any refund where the ATO reasonably believes the business has not notified the ATO under the single touch payroll reporting provisions (where they apply).</w:t>
      </w:r>
      <w:r w:rsidRPr="004A4055">
        <w:rPr>
          <w:rStyle w:val="FootnoteReference"/>
          <w:rFonts w:ascii="Arial" w:hAnsi="Arial" w:cs="Arial"/>
        </w:rPr>
        <w:footnoteReference w:id="15"/>
      </w:r>
    </w:p>
    <w:p w14:paraId="74398EDE" w14:textId="77777777" w:rsidR="00550A00" w:rsidRPr="004A4055" w:rsidRDefault="00550A00" w:rsidP="004D18CC">
      <w:pPr>
        <w:pStyle w:val="OutlineNumbered1"/>
      </w:pPr>
      <w:r w:rsidRPr="004A4055">
        <w:t>Refunds of a running balance account (RBA) surplus only (not income tax refunds) where financial institution account details have not been provided.</w:t>
      </w:r>
      <w:r w:rsidRPr="004A4055">
        <w:rPr>
          <w:rStyle w:val="FootnoteReference"/>
          <w:rFonts w:ascii="Arial" w:hAnsi="Arial" w:cs="Arial"/>
        </w:rPr>
        <w:footnoteReference w:id="16"/>
      </w:r>
    </w:p>
    <w:p w14:paraId="5F2AC4E5" w14:textId="7C0B0892" w:rsidR="00550A00" w:rsidRPr="004A4055" w:rsidRDefault="00550A00" w:rsidP="004D18CC">
      <w:pPr>
        <w:pStyle w:val="Heading3"/>
      </w:pPr>
      <w:r w:rsidRPr="004A4055">
        <w:t xml:space="preserve">How phoenix operators </w:t>
      </w:r>
      <w:r w:rsidR="00A33432">
        <w:t>exploit</w:t>
      </w:r>
      <w:r w:rsidR="00A33432" w:rsidRPr="004A4055">
        <w:t xml:space="preserve"> </w:t>
      </w:r>
      <w:r w:rsidRPr="004A4055">
        <w:t>the current law</w:t>
      </w:r>
    </w:p>
    <w:p w14:paraId="06D074C3" w14:textId="2B4606A6" w:rsidR="00550A00" w:rsidRPr="004A4055" w:rsidRDefault="00550A00" w:rsidP="004D18CC">
      <w:r w:rsidRPr="004A4055">
        <w:t xml:space="preserve">Phoenix operators </w:t>
      </w:r>
      <w:r>
        <w:t>are</w:t>
      </w:r>
      <w:r w:rsidRPr="004A4055">
        <w:t xml:space="preserve"> known to arrange the timing of their lodgements to ensure that they receive their refunds as soon as possible, but delay or avoid lodgement of any returns which are expected to result in a liability.</w:t>
      </w:r>
    </w:p>
    <w:p w14:paraId="13EC1BB9" w14:textId="77777777" w:rsidR="00B914C5" w:rsidRPr="004D18CC" w:rsidRDefault="00B914C5" w:rsidP="004D18CC">
      <w:r w:rsidRPr="004D18CC">
        <w:br w:type="page"/>
      </w:r>
    </w:p>
    <w:p w14:paraId="061C2214" w14:textId="3BF728FC" w:rsidR="00550A00" w:rsidRPr="004A4055" w:rsidRDefault="00550A00" w:rsidP="004D18CC">
      <w:r w:rsidRPr="004A4055">
        <w:t>Where a business has lodged a BAS resulting in a refund/RBA surplus, but has failed to lodge their overdue income tax return, the ATO is currently obligated to refund the credit even where that taxpayer is suspected of seeking to engage in phoenix activity. Due to the lodgement cycles, there can also be many months gap between the due date for lodgement of notifications that may result in a refund (for example a BAS) and notifications that may result in a liability (for example an income tax return). Phoenix operators have been known to exploit this timing difference by stripping assets from the entity that they intend to be left with the debts.</w:t>
      </w:r>
    </w:p>
    <w:p w14:paraId="00540674" w14:textId="3879EB71" w:rsidR="00550A00" w:rsidRPr="004A4055" w:rsidRDefault="00550A00" w:rsidP="004D18CC">
      <w:r w:rsidRPr="004A4055">
        <w:t>Administrative penalties for late lodgement of returns do apply</w:t>
      </w:r>
      <w:r w:rsidRPr="004A4055">
        <w:rPr>
          <w:rStyle w:val="FootnoteReference"/>
          <w:rFonts w:ascii="Arial" w:hAnsi="Arial" w:cs="Arial"/>
        </w:rPr>
        <w:footnoteReference w:id="17"/>
      </w:r>
      <w:r w:rsidRPr="004A4055">
        <w:t xml:space="preserve">, however these penalties are for relatively small amounts when compared to the cost of </w:t>
      </w:r>
      <w:r w:rsidR="000A3E58">
        <w:t xml:space="preserve">illegal </w:t>
      </w:r>
      <w:r w:rsidRPr="004A4055">
        <w:t>phoenix activity and are unlikely to deter phoenix operators who may also end up avoiding payment of the penalties where the company is stripped of its assets and liquidated.</w:t>
      </w:r>
    </w:p>
    <w:p w14:paraId="3288318F" w14:textId="32373F6F" w:rsidR="00550A00" w:rsidRPr="004A4055" w:rsidRDefault="00550A00" w:rsidP="004D18CC">
      <w:pPr>
        <w:pStyle w:val="Heading3"/>
      </w:pPr>
      <w:r w:rsidRPr="004A4055">
        <w:t xml:space="preserve">Proposed </w:t>
      </w:r>
      <w:r w:rsidR="00EC0422">
        <w:t>reform</w:t>
      </w:r>
    </w:p>
    <w:p w14:paraId="2DE2153E" w14:textId="2DD322FB" w:rsidR="00550A00" w:rsidRPr="004A4055" w:rsidRDefault="00550A00" w:rsidP="004D18CC">
      <w:r w:rsidRPr="004A4055">
        <w:t>Where a person has been designated as a HRPO, it is proposed that the law be expanded to allow the Commissioner to retain a refund</w:t>
      </w:r>
      <w:r w:rsidRPr="004A4055">
        <w:rPr>
          <w:rStyle w:val="FootnoteReference"/>
          <w:rFonts w:ascii="Arial" w:hAnsi="Arial" w:cs="Arial"/>
        </w:rPr>
        <w:footnoteReference w:id="18"/>
      </w:r>
      <w:r w:rsidRPr="004A4055">
        <w:t xml:space="preserve"> that otherwise would have been refunded to the HRPO in circumstances where the HRPO has an</w:t>
      </w:r>
      <w:r w:rsidR="00B14D72">
        <w:t xml:space="preserve"> overdue</w:t>
      </w:r>
      <w:r w:rsidRPr="004A4055">
        <w:t xml:space="preserve"> </w:t>
      </w:r>
      <w:r w:rsidR="00B14D72">
        <w:t>lodgement</w:t>
      </w:r>
      <w:r w:rsidR="00535F8B">
        <w:t xml:space="preserve"> or</w:t>
      </w:r>
      <w:r w:rsidRPr="004A4055">
        <w:t xml:space="preserve"> notification capable of affecting a tax liability. HRPOs will therefore be required to lodge all outstanding notifications that are capable of affecting their tax liability before a refund is issued. This will help to disrupt the phoenix business model and protect tax revenue, while still ensuring legitimate businesses can operate in a commercial setting.</w:t>
      </w:r>
    </w:p>
    <w:p w14:paraId="5555A8AA" w14:textId="77777777" w:rsidR="00550A00" w:rsidRDefault="00550A00" w:rsidP="004D18CC">
      <w:r w:rsidRPr="008A3644">
        <w:t>Note that if the ATO’s power to retain refunds is expanded in relation to HRPOs who have notifications outstanding, interest on the refund would not commence until the 14</w:t>
      </w:r>
      <w:r w:rsidRPr="008A3644">
        <w:rPr>
          <w:vertAlign w:val="superscript"/>
        </w:rPr>
        <w:t>th</w:t>
      </w:r>
      <w:r w:rsidRPr="008A3644">
        <w:t xml:space="preserve"> day after any such notification were given by the HRPO.</w:t>
      </w:r>
      <w:r w:rsidRPr="008A3644">
        <w:rPr>
          <w:rStyle w:val="FootnoteReference"/>
          <w:rFonts w:ascii="Arial" w:hAnsi="Arial" w:cs="Arial"/>
        </w:rPr>
        <w:footnoteReference w:id="19"/>
      </w:r>
    </w:p>
    <w:tbl>
      <w:tblPr>
        <w:tblW w:w="0" w:type="auto"/>
        <w:tblBorders>
          <w:top w:val="single" w:sz="4" w:space="0" w:color="004A7F"/>
          <w:left w:val="single" w:sz="4" w:space="0" w:color="004A7F"/>
          <w:bottom w:val="single" w:sz="4" w:space="0" w:color="004A7F"/>
          <w:right w:val="single" w:sz="4" w:space="0" w:color="004A7F"/>
        </w:tblBorders>
        <w:shd w:val="clear" w:color="auto" w:fill="DEEAF6" w:themeFill="accent1" w:themeFillTint="33"/>
        <w:tblLook w:val="04A0" w:firstRow="1" w:lastRow="0" w:firstColumn="1" w:lastColumn="0" w:noHBand="0" w:noVBand="1"/>
      </w:tblPr>
      <w:tblGrid>
        <w:gridCol w:w="9286"/>
      </w:tblGrid>
      <w:tr w:rsidR="00AA52DA" w14:paraId="51C0B712" w14:textId="77777777" w:rsidTr="004D18CC">
        <w:tc>
          <w:tcPr>
            <w:tcW w:w="9286" w:type="dxa"/>
            <w:shd w:val="clear" w:color="auto" w:fill="DEEAF6" w:themeFill="accent1" w:themeFillTint="33"/>
          </w:tcPr>
          <w:p w14:paraId="65E6DF64" w14:textId="77777777" w:rsidR="00AA52DA" w:rsidRPr="008A3644" w:rsidRDefault="00AA52DA" w:rsidP="004D18CC">
            <w:pPr>
              <w:pStyle w:val="BoxHeading"/>
            </w:pPr>
            <w:r>
              <w:t>Questions</w:t>
            </w:r>
          </w:p>
          <w:p w14:paraId="248ECD78" w14:textId="77777777" w:rsidR="00AA52DA" w:rsidRPr="001C7EB4" w:rsidRDefault="00AA52DA" w:rsidP="004D18CC">
            <w:pPr>
              <w:pStyle w:val="BoxNumbering"/>
            </w:pPr>
            <w:r w:rsidRPr="00204274">
              <w:t>On a scale of one to ten, where one is ‘ineffective’ and ten is ‘highly effective’, please rate how well you think this measure will operate to deter and disrupt illegal phoenix activity.</w:t>
            </w:r>
          </w:p>
          <w:p w14:paraId="156D302A" w14:textId="77777777" w:rsidR="00AA52DA" w:rsidRDefault="00AA52DA" w:rsidP="004D18CC">
            <w:pPr>
              <w:pStyle w:val="BoxNumbering"/>
            </w:pPr>
            <w:r w:rsidRPr="008A3644">
              <w:t>Should the ATO’s power to retain refunds be broadened in respect of HRPO</w:t>
            </w:r>
            <w:r>
              <w:t>s</w:t>
            </w:r>
            <w:r w:rsidRPr="008A3644">
              <w:t xml:space="preserve"> who have failed to provide other notifications/lodgements capable of affecting their tax liability?</w:t>
            </w:r>
          </w:p>
          <w:p w14:paraId="63F04951" w14:textId="5791A2AB" w:rsidR="00B914C5" w:rsidRPr="008A3644" w:rsidRDefault="00AA52DA" w:rsidP="004D18CC">
            <w:pPr>
              <w:pStyle w:val="BoxNumbering"/>
            </w:pPr>
            <w:r w:rsidRPr="00B843F3">
              <w:t>What are the benefits and risks of this approach?</w:t>
            </w:r>
          </w:p>
          <w:p w14:paraId="6E7320DD" w14:textId="0289B160" w:rsidR="00AA52DA" w:rsidRDefault="00B914C5" w:rsidP="004D18CC">
            <w:pPr>
              <w:pStyle w:val="BoxNumbering"/>
            </w:pPr>
            <w:r w:rsidRPr="008A3644">
              <w:t>Should this proposed power be broadened further where notifications are not yet due but will become due in the next reporting cycle? For example where lodgement of an income tax return by the HRPO is not due for some months but is expected to result in a significant liability, should the ATO be able to retain a refund presently owed?</w:t>
            </w:r>
          </w:p>
        </w:tc>
      </w:tr>
    </w:tbl>
    <w:p w14:paraId="61FF65CC" w14:textId="77777777" w:rsidR="00AA52DA" w:rsidRPr="004D18CC" w:rsidRDefault="00AA52DA" w:rsidP="004D18CC"/>
    <w:p w14:paraId="2178B59D" w14:textId="376E258A" w:rsidR="00430D2D" w:rsidRPr="004D18CC" w:rsidRDefault="00430D2D" w:rsidP="004D18CC"/>
    <w:sectPr w:rsidR="00430D2D" w:rsidRPr="004D18CC" w:rsidSect="004D18CC">
      <w:headerReference w:type="default" r:id="rId40"/>
      <w:headerReference w:type="first" r:id="rId41"/>
      <w:type w:val="oddPage"/>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8A77D" w14:textId="77777777" w:rsidR="00ED228C" w:rsidRDefault="00ED228C">
      <w:pPr>
        <w:spacing w:after="0"/>
      </w:pPr>
      <w:r>
        <w:separator/>
      </w:r>
    </w:p>
  </w:endnote>
  <w:endnote w:type="continuationSeparator" w:id="0">
    <w:p w14:paraId="2E8D1BEF" w14:textId="77777777" w:rsidR="00ED228C" w:rsidRDefault="00ED228C">
      <w:pPr>
        <w:spacing w:after="0"/>
      </w:pPr>
      <w:r>
        <w:continuationSeparator/>
      </w:r>
    </w:p>
  </w:endnote>
  <w:endnote w:type="continuationNotice" w:id="1">
    <w:p w14:paraId="12846F0C" w14:textId="77777777" w:rsidR="00ED228C" w:rsidRDefault="00ED22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554CA" w14:textId="05D52F7D" w:rsidR="00ED228C" w:rsidRPr="00E1136B" w:rsidRDefault="00ED228C" w:rsidP="004D18CC">
    <w:pPr>
      <w:pStyle w:val="FooterOdd"/>
    </w:pPr>
    <w:r>
      <w:t xml:space="preserve">Page </w:t>
    </w:r>
    <w:r>
      <w:fldChar w:fldCharType="begin"/>
    </w:r>
    <w:r>
      <w:instrText xml:space="preserve"> PAGE   \* MERGEFORMAT </w:instrText>
    </w:r>
    <w:r>
      <w:fldChar w:fldCharType="separate"/>
    </w:r>
    <w:r w:rsidR="00894B95">
      <w:rPr>
        <w:noProof/>
      </w:rPr>
      <w:t>17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DC9E6" w14:textId="77777777" w:rsidR="00ED228C" w:rsidRPr="00E77C89" w:rsidRDefault="00ED228C" w:rsidP="0017089D">
    <w:r>
      <w:fldChar w:fldCharType="begin"/>
    </w:r>
    <w:r>
      <w:instrText xml:space="preserve"> PAGE  \* Arabic  \* MERGEFORMAT </w:instrText>
    </w:r>
    <w:r>
      <w:fldChar w:fldCharType="separate"/>
    </w:r>
    <w:r w:rsidR="00894B95">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AB4B1" w14:textId="49177B0E" w:rsidR="00ED228C" w:rsidRPr="004D18CC" w:rsidRDefault="00ED228C" w:rsidP="004D18C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97354" w14:textId="77777777" w:rsidR="00ED228C" w:rsidRPr="004D18CC" w:rsidRDefault="00ED228C" w:rsidP="004D18CC">
    <w:pPr>
      <w:pStyle w:val="FooterOdd"/>
    </w:pPr>
    <w:r w:rsidRPr="00CE25B6">
      <w:t xml:space="preserve">Page </w:t>
    </w:r>
    <w:r>
      <w:rPr>
        <w:rStyle w:val="PageNumber"/>
        <w:rFonts w:ascii="Century Gothic" w:hAnsi="Century Gothic"/>
      </w:rPr>
      <w:fldChar w:fldCharType="begin"/>
    </w:r>
    <w:r>
      <w:rPr>
        <w:rStyle w:val="PageNumber"/>
        <w:rFonts w:ascii="Century Gothic" w:hAnsi="Century Gothic"/>
      </w:rPr>
      <w:instrText xml:space="preserve"> PAGE  \* roman </w:instrText>
    </w:r>
    <w:r>
      <w:rPr>
        <w:rStyle w:val="PageNumber"/>
        <w:rFonts w:ascii="Century Gothic" w:hAnsi="Century Gothic"/>
      </w:rPr>
      <w:fldChar w:fldCharType="separate"/>
    </w:r>
    <w:r w:rsidR="00894B95">
      <w:rPr>
        <w:rStyle w:val="PageNumber"/>
        <w:rFonts w:ascii="Century Gothic" w:hAnsi="Century Gothic"/>
        <w:noProof/>
      </w:rPr>
      <w:t>iii</w:t>
    </w:r>
    <w:r>
      <w:rPr>
        <w:rStyle w:val="PageNumber"/>
        <w:rFonts w:ascii="Century Gothic" w:hAnsi="Century Gothic"/>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16221" w14:textId="77777777" w:rsidR="00ED228C" w:rsidRPr="00CE25B6" w:rsidRDefault="00ED228C" w:rsidP="004D18CC">
    <w:pPr>
      <w:pStyle w:val="FooterEven"/>
      <w:rPr>
        <w:rStyle w:val="PageNumber"/>
        <w:rFonts w:ascii="Century Gothic" w:hAnsi="Century Gothic"/>
      </w:rPr>
    </w:pPr>
    <w:r w:rsidRPr="00CE25B6">
      <w:t xml:space="preserve">Page </w:t>
    </w:r>
    <w:r>
      <w:rPr>
        <w:rStyle w:val="PageNumber"/>
        <w:rFonts w:ascii="Century Gothic" w:hAnsi="Century Gothic"/>
      </w:rPr>
      <w:fldChar w:fldCharType="begin"/>
    </w:r>
    <w:r>
      <w:rPr>
        <w:rStyle w:val="PageNumber"/>
        <w:rFonts w:ascii="Century Gothic" w:hAnsi="Century Gothic"/>
      </w:rPr>
      <w:instrText xml:space="preserve"> PAGE  \* roman </w:instrText>
    </w:r>
    <w:r>
      <w:rPr>
        <w:rStyle w:val="PageNumber"/>
        <w:rFonts w:ascii="Century Gothic" w:hAnsi="Century Gothic"/>
      </w:rPr>
      <w:fldChar w:fldCharType="separate"/>
    </w:r>
    <w:r w:rsidR="00894B95">
      <w:rPr>
        <w:rStyle w:val="PageNumber"/>
        <w:rFonts w:ascii="Century Gothic" w:hAnsi="Century Gothic"/>
      </w:rPr>
      <w:t>iv</w:t>
    </w:r>
    <w:r>
      <w:rPr>
        <w:rStyle w:val="PageNumber"/>
        <w:rFonts w:ascii="Century Gothic" w:hAnsi="Century Gothic"/>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C0B6" w14:textId="77777777" w:rsidR="00ED228C" w:rsidRPr="00CE25B6" w:rsidRDefault="00ED228C" w:rsidP="004D18CC">
    <w:pPr>
      <w:pStyle w:val="FooterOdd"/>
      <w:rPr>
        <w:rStyle w:val="PageNumber"/>
        <w:rFonts w:ascii="Century Gothic" w:hAnsi="Century Gothic"/>
      </w:rPr>
    </w:pPr>
    <w:r w:rsidRPr="00CE25B6">
      <w:t xml:space="preserve">Page </w:t>
    </w:r>
    <w:r>
      <w:rPr>
        <w:rStyle w:val="PageNumber"/>
        <w:rFonts w:ascii="Century Gothic" w:hAnsi="Century Gothic"/>
      </w:rPr>
      <w:fldChar w:fldCharType="begin"/>
    </w:r>
    <w:r>
      <w:rPr>
        <w:rStyle w:val="PageNumber"/>
        <w:rFonts w:ascii="Century Gothic" w:hAnsi="Century Gothic"/>
      </w:rPr>
      <w:instrText xml:space="preserve"> PAGE  \* roman </w:instrText>
    </w:r>
    <w:r>
      <w:rPr>
        <w:rStyle w:val="PageNumber"/>
        <w:rFonts w:ascii="Century Gothic" w:hAnsi="Century Gothic"/>
      </w:rPr>
      <w:fldChar w:fldCharType="separate"/>
    </w:r>
    <w:r w:rsidR="00894B95">
      <w:rPr>
        <w:rStyle w:val="PageNumber"/>
        <w:rFonts w:ascii="Century Gothic" w:hAnsi="Century Gothic"/>
        <w:noProof/>
      </w:rPr>
      <w:t>v</w:t>
    </w:r>
    <w:r>
      <w:rPr>
        <w:rStyle w:val="PageNumber"/>
        <w:rFonts w:ascii="Century Gothic" w:hAnsi="Century Gothic"/>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545C9" w14:textId="620C82E6" w:rsidR="00ED228C" w:rsidRPr="00DA35F5" w:rsidRDefault="00ED228C" w:rsidP="004D18CC">
    <w:pPr>
      <w:pStyle w:val="FooterEven"/>
    </w:pPr>
    <w:r w:rsidRPr="00CE25B6">
      <w:t xml:space="preserve">Page </w:t>
    </w:r>
    <w:r>
      <w:rPr>
        <w:rStyle w:val="PageNumber"/>
        <w:rFonts w:ascii="Century Gothic" w:hAnsi="Century Gothic"/>
      </w:rPr>
      <w:fldChar w:fldCharType="begin"/>
    </w:r>
    <w:r>
      <w:rPr>
        <w:rStyle w:val="PageNumber"/>
        <w:rFonts w:ascii="Century Gothic" w:hAnsi="Century Gothic"/>
      </w:rPr>
      <w:instrText xml:space="preserve"> PAGE  \* Arabic </w:instrText>
    </w:r>
    <w:r>
      <w:rPr>
        <w:rStyle w:val="PageNumber"/>
        <w:rFonts w:ascii="Century Gothic" w:hAnsi="Century Gothic"/>
      </w:rPr>
      <w:fldChar w:fldCharType="separate"/>
    </w:r>
    <w:r w:rsidR="00894B95">
      <w:rPr>
        <w:rStyle w:val="PageNumber"/>
        <w:rFonts w:ascii="Century Gothic" w:hAnsi="Century Gothic"/>
      </w:rPr>
      <w:t>18</w:t>
    </w:r>
    <w:r>
      <w:rPr>
        <w:rStyle w:val="PageNumber"/>
        <w:rFonts w:ascii="Century Gothic" w:hAnsi="Century Gothic"/>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C8F97" w14:textId="44DBB6F7" w:rsidR="00ED228C" w:rsidRPr="004D18CC" w:rsidRDefault="00ED228C" w:rsidP="004D18CC">
    <w:pPr>
      <w:pStyle w:val="FooterOdd"/>
    </w:pPr>
    <w:r w:rsidRPr="00CE25B6">
      <w:t xml:space="preserve">Page </w:t>
    </w:r>
    <w:r>
      <w:rPr>
        <w:rStyle w:val="PageNumber"/>
        <w:rFonts w:ascii="Century Gothic" w:hAnsi="Century Gothic"/>
      </w:rPr>
      <w:fldChar w:fldCharType="begin"/>
    </w:r>
    <w:r>
      <w:rPr>
        <w:rStyle w:val="PageNumber"/>
        <w:rFonts w:ascii="Century Gothic" w:hAnsi="Century Gothic"/>
      </w:rPr>
      <w:instrText xml:space="preserve"> PAGE  \* Arabic </w:instrText>
    </w:r>
    <w:r>
      <w:rPr>
        <w:rStyle w:val="PageNumber"/>
        <w:rFonts w:ascii="Century Gothic" w:hAnsi="Century Gothic"/>
      </w:rPr>
      <w:fldChar w:fldCharType="separate"/>
    </w:r>
    <w:r w:rsidR="00894B95">
      <w:rPr>
        <w:rStyle w:val="PageNumber"/>
        <w:rFonts w:ascii="Century Gothic" w:hAnsi="Century Gothic"/>
        <w:noProof/>
      </w:rPr>
      <w:t>23</w:t>
    </w:r>
    <w:r>
      <w:rPr>
        <w:rStyle w:val="PageNumber"/>
        <w:rFonts w:ascii="Century Gothic" w:hAnsi="Century Gothi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B7C1F" w14:textId="77777777" w:rsidR="00ED228C" w:rsidRDefault="00ED228C">
      <w:pPr>
        <w:spacing w:after="0"/>
      </w:pPr>
      <w:r>
        <w:separator/>
      </w:r>
    </w:p>
  </w:footnote>
  <w:footnote w:type="continuationSeparator" w:id="0">
    <w:p w14:paraId="41FE27B0" w14:textId="77777777" w:rsidR="00ED228C" w:rsidRDefault="00ED228C">
      <w:pPr>
        <w:spacing w:after="0"/>
      </w:pPr>
      <w:r>
        <w:continuationSeparator/>
      </w:r>
    </w:p>
  </w:footnote>
  <w:footnote w:type="continuationNotice" w:id="1">
    <w:p w14:paraId="59A7BBE6" w14:textId="77777777" w:rsidR="00ED228C" w:rsidRDefault="00ED228C">
      <w:pPr>
        <w:spacing w:after="0"/>
      </w:pPr>
    </w:p>
  </w:footnote>
  <w:footnote w:id="2">
    <w:p w14:paraId="70108310" w14:textId="2629CC1C" w:rsidR="00ED228C" w:rsidRPr="00AA52DA" w:rsidRDefault="00ED228C" w:rsidP="00AA52DA">
      <w:pPr>
        <w:pStyle w:val="FootnoteText"/>
      </w:pPr>
      <w:r w:rsidRPr="00AA52DA">
        <w:rPr>
          <w:rStyle w:val="FootnoteReference"/>
          <w:sz w:val="18"/>
          <w:vertAlign w:val="baseline"/>
        </w:rPr>
        <w:footnoteRef/>
      </w:r>
      <w:r w:rsidRPr="00AA52DA">
        <w:t xml:space="preserve"> </w:t>
      </w:r>
      <w:r>
        <w:tab/>
      </w:r>
      <w:r w:rsidRPr="00AA52DA">
        <w:t>“Defining and Profiling Phoenix Activity”, Helen Anderson, Ann O’Connell, Ian Ramsay, Michelle Welsh and Hannah Withers, (Research Report, Centre for Corporate Law and Securities Regulation, The University of Melbourne, December 2014, p2).</w:t>
      </w:r>
    </w:p>
  </w:footnote>
  <w:footnote w:id="3">
    <w:p w14:paraId="4480FF6A" w14:textId="7ABF4199" w:rsidR="00ED228C" w:rsidRPr="004D18CC" w:rsidRDefault="00ED228C" w:rsidP="004D18CC">
      <w:pPr>
        <w:pStyle w:val="FootnoteText"/>
      </w:pPr>
      <w:r w:rsidRPr="004D18CC">
        <w:rPr>
          <w:rStyle w:val="FootnoteReference"/>
          <w:sz w:val="18"/>
          <w:vertAlign w:val="baseline"/>
        </w:rPr>
        <w:footnoteRef/>
      </w:r>
      <w:r w:rsidRPr="004D18CC">
        <w:t xml:space="preserve"> </w:t>
      </w:r>
      <w:r>
        <w:tab/>
      </w:r>
      <w:r w:rsidRPr="004D18CC">
        <w:t xml:space="preserve">Helen Anderson, Ann O'Connell, Ian Ramsay, Michelle Welsh and Hannah Withers, </w:t>
      </w:r>
      <w:r w:rsidRPr="004D18CC">
        <w:rPr>
          <w:i/>
        </w:rPr>
        <w:t>Quantifying Phoenix Activity: Incidence, Cost, Enforcement</w:t>
      </w:r>
      <w:r w:rsidRPr="004D18CC">
        <w:t xml:space="preserve"> (Melbourne Law School and Monash Business School, October 2015), p. 84.</w:t>
      </w:r>
    </w:p>
  </w:footnote>
  <w:footnote w:id="4">
    <w:p w14:paraId="23D35010" w14:textId="16448039" w:rsidR="00ED228C" w:rsidRPr="004D18CC" w:rsidRDefault="00ED228C" w:rsidP="004D18CC">
      <w:pPr>
        <w:pStyle w:val="FootnoteText"/>
      </w:pPr>
      <w:r w:rsidRPr="004D18CC">
        <w:rPr>
          <w:rStyle w:val="FootnoteReference"/>
          <w:sz w:val="18"/>
          <w:vertAlign w:val="baseline"/>
        </w:rPr>
        <w:footnoteRef/>
      </w:r>
      <w:r w:rsidRPr="004D18CC">
        <w:t xml:space="preserve"> </w:t>
      </w:r>
      <w:r>
        <w:tab/>
      </w:r>
      <w:r w:rsidRPr="004D18CC">
        <w:t>“Phoenix activity: Sizing the problem and matching solutions” PWC and Fair Work Ombudsman, page 15, June 2012</w:t>
      </w:r>
    </w:p>
  </w:footnote>
  <w:footnote w:id="5">
    <w:p w14:paraId="238BA4A2" w14:textId="5FC858DA" w:rsidR="00ED228C" w:rsidRPr="004D18CC" w:rsidRDefault="00ED228C" w:rsidP="004D18CC">
      <w:pPr>
        <w:pStyle w:val="FootnoteText"/>
      </w:pPr>
      <w:r w:rsidRPr="004D18CC">
        <w:rPr>
          <w:rStyle w:val="FootnoteReference"/>
          <w:sz w:val="18"/>
          <w:vertAlign w:val="baseline"/>
        </w:rPr>
        <w:footnoteRef/>
      </w:r>
      <w:r w:rsidRPr="004D18CC">
        <w:t xml:space="preserve"> </w:t>
      </w:r>
      <w:r>
        <w:tab/>
      </w:r>
      <w:r w:rsidRPr="004D18CC">
        <w:t xml:space="preserve">In Division 290 of Schedule 1 to the </w:t>
      </w:r>
      <w:r w:rsidRPr="004D18CC">
        <w:rPr>
          <w:i/>
        </w:rPr>
        <w:t>Taxation Administration Act 1953</w:t>
      </w:r>
      <w:r w:rsidRPr="004D18CC">
        <w:t>.</w:t>
      </w:r>
    </w:p>
  </w:footnote>
  <w:footnote w:id="6">
    <w:p w14:paraId="3F37AEB2" w14:textId="284A971C" w:rsidR="00ED228C" w:rsidRPr="004D18CC" w:rsidRDefault="00ED228C" w:rsidP="004D18CC">
      <w:pPr>
        <w:pStyle w:val="FootnoteText"/>
      </w:pPr>
      <w:r w:rsidRPr="004D18CC">
        <w:rPr>
          <w:rStyle w:val="FootnoteReference"/>
          <w:sz w:val="18"/>
          <w:vertAlign w:val="baseline"/>
        </w:rPr>
        <w:footnoteRef/>
      </w:r>
      <w:r w:rsidRPr="004D18CC">
        <w:t xml:space="preserve"> </w:t>
      </w:r>
      <w:r>
        <w:tab/>
      </w:r>
      <w:r w:rsidRPr="004D18CC">
        <w:t xml:space="preserve">See section 68B of the </w:t>
      </w:r>
      <w:r w:rsidRPr="004D18CC">
        <w:rPr>
          <w:i/>
        </w:rPr>
        <w:t>Superannuation Industry (Supervision) Act 1993</w:t>
      </w:r>
      <w:r w:rsidRPr="004D18CC">
        <w:t>.</w:t>
      </w:r>
    </w:p>
  </w:footnote>
  <w:footnote w:id="7">
    <w:p w14:paraId="6625D3DE" w14:textId="5129DCC4" w:rsidR="00ED228C" w:rsidRPr="004D18CC" w:rsidRDefault="00ED228C" w:rsidP="004D18CC">
      <w:pPr>
        <w:pStyle w:val="FootnoteText"/>
      </w:pPr>
      <w:r w:rsidRPr="004D18CC">
        <w:rPr>
          <w:rStyle w:val="FootnoteReference"/>
          <w:sz w:val="18"/>
          <w:vertAlign w:val="baseline"/>
        </w:rPr>
        <w:footnoteRef/>
      </w:r>
      <w:r w:rsidRPr="004D18CC">
        <w:t xml:space="preserve"> </w:t>
      </w:r>
      <w:r>
        <w:tab/>
      </w:r>
      <w:r w:rsidRPr="004D18CC">
        <w:t xml:space="preserve">Section 255-100 of Schedule 1 to the </w:t>
      </w:r>
      <w:r w:rsidRPr="004D18CC">
        <w:rPr>
          <w:i/>
        </w:rPr>
        <w:t>Taxation Administration Act 1953</w:t>
      </w:r>
      <w:r w:rsidRPr="004D18CC">
        <w:t>.</w:t>
      </w:r>
    </w:p>
  </w:footnote>
  <w:footnote w:id="8">
    <w:p w14:paraId="543DCB8E" w14:textId="180C5817" w:rsidR="00ED228C" w:rsidRPr="004D18CC" w:rsidRDefault="00ED228C" w:rsidP="004D18CC">
      <w:pPr>
        <w:pStyle w:val="FootnoteText"/>
      </w:pPr>
      <w:r w:rsidRPr="004D18CC">
        <w:rPr>
          <w:rStyle w:val="FootnoteReference"/>
          <w:sz w:val="18"/>
          <w:vertAlign w:val="baseline"/>
        </w:rPr>
        <w:footnoteRef/>
      </w:r>
      <w:r w:rsidRPr="004D18CC">
        <w:t xml:space="preserve"> </w:t>
      </w:r>
      <w:r>
        <w:tab/>
      </w:r>
      <w:r w:rsidRPr="004D18CC">
        <w:t>Law Administration Practice Statement PS LA 2011/14 General debt collection powers and principles,</w:t>
      </w:r>
      <w:r>
        <w:br/>
      </w:r>
      <w:r w:rsidRPr="004D18CC">
        <w:t>paragraphs</w:t>
      </w:r>
      <w:r>
        <w:t> </w:t>
      </w:r>
      <w:r w:rsidRPr="004D18CC">
        <w:t>98-105.</w:t>
      </w:r>
    </w:p>
  </w:footnote>
  <w:footnote w:id="9">
    <w:p w14:paraId="53389303" w14:textId="6131DB5F" w:rsidR="00ED228C" w:rsidRPr="004D18CC" w:rsidRDefault="00ED228C" w:rsidP="004D18CC">
      <w:pPr>
        <w:pStyle w:val="FootnoteText"/>
      </w:pPr>
      <w:r w:rsidRPr="004D18CC">
        <w:rPr>
          <w:rStyle w:val="FootnoteReference"/>
          <w:sz w:val="18"/>
          <w:vertAlign w:val="baseline"/>
        </w:rPr>
        <w:footnoteRef/>
      </w:r>
      <w:r w:rsidRPr="004D18CC">
        <w:t xml:space="preserve"> </w:t>
      </w:r>
      <w:r>
        <w:tab/>
        <w:t xml:space="preserve">The Hon Kelly O’Dwyer, </w:t>
      </w:r>
      <w:hyperlink r:id="rId1" w:history="1">
        <w:r w:rsidRPr="00B76247">
          <w:rPr>
            <w:rStyle w:val="Hyperlink"/>
            <w:i/>
          </w:rPr>
          <w:t>Turnbull Government backs workers on superannuation</w:t>
        </w:r>
      </w:hyperlink>
      <w:r>
        <w:rPr>
          <w:i/>
        </w:rPr>
        <w:t xml:space="preserve">, </w:t>
      </w:r>
      <w:r w:rsidRPr="00B76247">
        <w:t>29 August 2017</w:t>
      </w:r>
      <w:r>
        <w:t>.</w:t>
      </w:r>
    </w:p>
  </w:footnote>
  <w:footnote w:id="10">
    <w:p w14:paraId="0E97B306" w14:textId="0D8CFC7E" w:rsidR="00ED228C" w:rsidRPr="004D18CC" w:rsidRDefault="00ED228C" w:rsidP="004D18CC">
      <w:pPr>
        <w:pStyle w:val="FootnoteText"/>
      </w:pPr>
      <w:r w:rsidRPr="004D18CC">
        <w:rPr>
          <w:rStyle w:val="FootnoteReference"/>
          <w:sz w:val="18"/>
          <w:vertAlign w:val="baseline"/>
        </w:rPr>
        <w:footnoteRef/>
      </w:r>
      <w:r w:rsidRPr="004D18CC">
        <w:t xml:space="preserve"> </w:t>
      </w:r>
      <w:r>
        <w:tab/>
      </w:r>
      <w:r w:rsidRPr="004D18CC">
        <w:t xml:space="preserve">Subdivision 260-A of the </w:t>
      </w:r>
      <w:r w:rsidRPr="004D18CC">
        <w:rPr>
          <w:i/>
        </w:rPr>
        <w:t>Taxation Administration Act 1953</w:t>
      </w:r>
      <w:r w:rsidRPr="004D18CC">
        <w:t>.</w:t>
      </w:r>
    </w:p>
  </w:footnote>
  <w:footnote w:id="11">
    <w:p w14:paraId="4B2CA669" w14:textId="2C9C222E" w:rsidR="00ED228C" w:rsidRPr="004D18CC" w:rsidRDefault="00ED228C" w:rsidP="004D18CC">
      <w:pPr>
        <w:pStyle w:val="FootnoteText"/>
      </w:pPr>
      <w:r w:rsidRPr="004D18CC">
        <w:rPr>
          <w:rStyle w:val="FootnoteReference"/>
          <w:sz w:val="18"/>
          <w:vertAlign w:val="baseline"/>
        </w:rPr>
        <w:footnoteRef/>
      </w:r>
      <w:r w:rsidRPr="004D18CC">
        <w:t xml:space="preserve"> </w:t>
      </w:r>
      <w:r>
        <w:tab/>
      </w:r>
      <w:r w:rsidRPr="004D18CC">
        <w:t>Helen Anderson, Ann O’Connell, Ian Ramsay, Michelle Welsh and Jasper Hedges, ‘Phoenix Activity: Recommendations on Detection, Disruption and Enforcement’, The University of Melbourne, February 2017.</w:t>
      </w:r>
    </w:p>
  </w:footnote>
  <w:footnote w:id="12">
    <w:p w14:paraId="0682BA0D" w14:textId="4E50D1C9" w:rsidR="00ED228C" w:rsidRPr="004D18CC" w:rsidRDefault="00ED228C" w:rsidP="004D18CC">
      <w:pPr>
        <w:pStyle w:val="FootnoteText"/>
      </w:pPr>
      <w:r w:rsidRPr="004D18CC">
        <w:rPr>
          <w:rStyle w:val="FootnoteReference"/>
          <w:sz w:val="18"/>
          <w:vertAlign w:val="baseline"/>
        </w:rPr>
        <w:footnoteRef/>
      </w:r>
      <w:r w:rsidRPr="004D18CC">
        <w:t xml:space="preserve"> </w:t>
      </w:r>
      <w:r>
        <w:tab/>
      </w:r>
      <w:r w:rsidRPr="004D18CC">
        <w:t xml:space="preserve">DPN provisions are located in Division 269 of Schedule 1 to the </w:t>
      </w:r>
      <w:r w:rsidRPr="004D18CC">
        <w:rPr>
          <w:i/>
        </w:rPr>
        <w:t>Taxation Administration Act 1953</w:t>
      </w:r>
      <w:r w:rsidRPr="004D18CC">
        <w:t>.</w:t>
      </w:r>
    </w:p>
  </w:footnote>
  <w:footnote w:id="13">
    <w:p w14:paraId="4BEBDEEF" w14:textId="74BF1389" w:rsidR="00ED228C" w:rsidRPr="004D18CC" w:rsidRDefault="00ED228C" w:rsidP="004D18CC">
      <w:pPr>
        <w:pStyle w:val="FootnoteText"/>
      </w:pPr>
      <w:r w:rsidRPr="004D18CC">
        <w:rPr>
          <w:rStyle w:val="FootnoteReference"/>
          <w:sz w:val="18"/>
          <w:vertAlign w:val="baseline"/>
        </w:rPr>
        <w:footnoteRef/>
      </w:r>
      <w:r w:rsidRPr="004D18CC">
        <w:t xml:space="preserve"> </w:t>
      </w:r>
      <w:r>
        <w:tab/>
      </w:r>
      <w:r w:rsidRPr="004D18CC">
        <w:t xml:space="preserve">Section 8AAZLG of the </w:t>
      </w:r>
      <w:r w:rsidRPr="004D18CC">
        <w:rPr>
          <w:i/>
        </w:rPr>
        <w:t>Taxation Administration Act 1953</w:t>
      </w:r>
      <w:r>
        <w:t>.</w:t>
      </w:r>
    </w:p>
  </w:footnote>
  <w:footnote w:id="14">
    <w:p w14:paraId="32D4633F" w14:textId="615D5D96" w:rsidR="00ED228C" w:rsidRPr="004D18CC" w:rsidRDefault="00ED228C" w:rsidP="004D18CC">
      <w:pPr>
        <w:pStyle w:val="FootnoteText"/>
      </w:pPr>
      <w:r w:rsidRPr="004D18CC">
        <w:rPr>
          <w:rStyle w:val="FootnoteReference"/>
          <w:sz w:val="18"/>
          <w:vertAlign w:val="baseline"/>
        </w:rPr>
        <w:footnoteRef/>
      </w:r>
      <w:r w:rsidRPr="004D18CC">
        <w:t xml:space="preserve"> </w:t>
      </w:r>
      <w:r>
        <w:tab/>
      </w:r>
      <w:r w:rsidRPr="004D18CC">
        <w:t xml:space="preserve">Section 8AAZLGA of the </w:t>
      </w:r>
      <w:r w:rsidRPr="004D18CC">
        <w:rPr>
          <w:i/>
        </w:rPr>
        <w:t>Taxation Administration Act 1953</w:t>
      </w:r>
      <w:r>
        <w:t>.</w:t>
      </w:r>
    </w:p>
  </w:footnote>
  <w:footnote w:id="15">
    <w:p w14:paraId="18F03B5C" w14:textId="55DC3635" w:rsidR="00ED228C" w:rsidRPr="004D18CC" w:rsidRDefault="00ED228C" w:rsidP="004D18CC">
      <w:pPr>
        <w:pStyle w:val="FootnoteText"/>
      </w:pPr>
      <w:r w:rsidRPr="004D18CC">
        <w:rPr>
          <w:rStyle w:val="FootnoteReference"/>
          <w:sz w:val="18"/>
          <w:vertAlign w:val="baseline"/>
        </w:rPr>
        <w:footnoteRef/>
      </w:r>
      <w:r w:rsidRPr="004D18CC">
        <w:t xml:space="preserve"> </w:t>
      </w:r>
      <w:r>
        <w:tab/>
      </w:r>
      <w:r w:rsidRPr="004D18CC">
        <w:t xml:space="preserve">Section 8AAZLGB of the </w:t>
      </w:r>
      <w:r w:rsidRPr="004D18CC">
        <w:rPr>
          <w:i/>
        </w:rPr>
        <w:t>Taxation Administration Act 1953</w:t>
      </w:r>
      <w:r>
        <w:t>.</w:t>
      </w:r>
    </w:p>
  </w:footnote>
  <w:footnote w:id="16">
    <w:p w14:paraId="5321F93C" w14:textId="7CD8158D" w:rsidR="00ED228C" w:rsidRPr="004D18CC" w:rsidRDefault="00ED228C" w:rsidP="004D18CC">
      <w:pPr>
        <w:pStyle w:val="FootnoteText"/>
      </w:pPr>
      <w:r w:rsidRPr="004D18CC">
        <w:rPr>
          <w:rStyle w:val="FootnoteReference"/>
          <w:sz w:val="18"/>
          <w:vertAlign w:val="baseline"/>
        </w:rPr>
        <w:footnoteRef/>
      </w:r>
      <w:r w:rsidRPr="004D18CC">
        <w:t xml:space="preserve"> </w:t>
      </w:r>
      <w:r>
        <w:tab/>
      </w:r>
      <w:r w:rsidRPr="004D18CC">
        <w:t xml:space="preserve">Subsection 8AAZLH(4) of the </w:t>
      </w:r>
      <w:r w:rsidRPr="004D18CC">
        <w:rPr>
          <w:i/>
        </w:rPr>
        <w:t>Taxation Administration Act 1953</w:t>
      </w:r>
      <w:r w:rsidRPr="004D18CC">
        <w:t>.</w:t>
      </w:r>
    </w:p>
  </w:footnote>
  <w:footnote w:id="17">
    <w:p w14:paraId="59635135" w14:textId="08BFB012" w:rsidR="00ED228C" w:rsidRPr="004D18CC" w:rsidRDefault="00ED228C" w:rsidP="004D18CC">
      <w:pPr>
        <w:pStyle w:val="FootnoteText"/>
      </w:pPr>
      <w:r w:rsidRPr="004D18CC">
        <w:rPr>
          <w:rStyle w:val="FootnoteReference"/>
          <w:sz w:val="18"/>
          <w:vertAlign w:val="baseline"/>
        </w:rPr>
        <w:footnoteRef/>
      </w:r>
      <w:r w:rsidRPr="004D18CC">
        <w:t xml:space="preserve"> </w:t>
      </w:r>
      <w:r>
        <w:tab/>
      </w:r>
      <w:r w:rsidRPr="004D18CC">
        <w:t>Failure to Lodge penalty is calculated at the rate of one penalty unit (currently $210) for each period of 28 days that the return is overdue, up to a maximum of five penalty units ($1050). Higher penalty amounts apply for larger entities.</w:t>
      </w:r>
    </w:p>
  </w:footnote>
  <w:footnote w:id="18">
    <w:p w14:paraId="522F32FF" w14:textId="74CD2FD8" w:rsidR="00ED228C" w:rsidRPr="004D18CC" w:rsidRDefault="00ED228C" w:rsidP="004D18CC">
      <w:pPr>
        <w:pStyle w:val="FootnoteText"/>
      </w:pPr>
      <w:r w:rsidRPr="004D18CC">
        <w:rPr>
          <w:rStyle w:val="FootnoteReference"/>
          <w:sz w:val="18"/>
          <w:vertAlign w:val="baseline"/>
        </w:rPr>
        <w:footnoteRef/>
      </w:r>
      <w:r w:rsidRPr="004D18CC">
        <w:t xml:space="preserve"> </w:t>
      </w:r>
      <w:r>
        <w:tab/>
      </w:r>
      <w:r w:rsidRPr="004D18CC">
        <w:t>An RBA surplus or non-RBA credit</w:t>
      </w:r>
      <w:r>
        <w:t>.</w:t>
      </w:r>
    </w:p>
  </w:footnote>
  <w:footnote w:id="19">
    <w:p w14:paraId="77C44B2F" w14:textId="3B5CDE69" w:rsidR="00ED228C" w:rsidRPr="004D18CC" w:rsidRDefault="00ED228C" w:rsidP="004D18CC">
      <w:pPr>
        <w:pStyle w:val="FootnoteText"/>
      </w:pPr>
      <w:r w:rsidRPr="004D18CC">
        <w:rPr>
          <w:rStyle w:val="FootnoteReference"/>
          <w:sz w:val="18"/>
          <w:vertAlign w:val="baseline"/>
        </w:rPr>
        <w:footnoteRef/>
      </w:r>
      <w:r w:rsidRPr="004D18CC">
        <w:t xml:space="preserve"> </w:t>
      </w:r>
      <w:r>
        <w:tab/>
      </w:r>
      <w:r w:rsidRPr="004D18CC">
        <w:rPr>
          <w:i/>
        </w:rPr>
        <w:t>Taxation (Interest on Overpayments and Early Payments) Act 1983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99D3F" w14:textId="497C5E9C" w:rsidR="00ED228C" w:rsidRDefault="00ED228C" w:rsidP="004D18CC">
    <w:pPr>
      <w:pStyle w:val="ChartGraphic"/>
    </w:pPr>
    <w:r>
      <w:rPr>
        <w:noProof/>
      </w:rPr>
      <w:drawing>
        <wp:inline distT="0" distB="0" distL="0" distR="0" wp14:anchorId="43466DB3" wp14:editId="7FEB3C7F">
          <wp:extent cx="2023654" cy="1016169"/>
          <wp:effectExtent l="0" t="0" r="0" b="0"/>
          <wp:docPr id="6" name="Picture 6"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731CD" w14:textId="225631FC" w:rsidR="00ED228C" w:rsidRPr="001F3912" w:rsidRDefault="004B4682" w:rsidP="004D18CC">
    <w:pPr>
      <w:pStyle w:val="Header-Odd"/>
    </w:pPr>
    <w:fldSimple w:instr=" TITLE   \* MERGEFORMAT ">
      <w:r w:rsidR="00786D5E">
        <w:t>Combatting Illegal Phoenixing</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7C83" w14:textId="77777777" w:rsidR="00ED228C" w:rsidRDefault="00ED22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8F3E9" w14:textId="166399EC" w:rsidR="00ED228C" w:rsidRDefault="00ED228C" w:rsidP="004D18CC">
    <w:pPr>
      <w:pStyle w:val="ChartGraphic"/>
    </w:pPr>
    <w:r w:rsidRPr="004D18CC">
      <w:rPr>
        <w:noProof/>
      </w:rPr>
      <w:drawing>
        <wp:inline distT="0" distB="0" distL="0" distR="0" wp14:anchorId="0614BF8A" wp14:editId="6504CB93">
          <wp:extent cx="2023654" cy="1016169"/>
          <wp:effectExtent l="0" t="0" r="0" b="0"/>
          <wp:docPr id="7" name="Picture 7"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A14EE" w14:textId="2629C521" w:rsidR="00ED228C" w:rsidRPr="001F3912" w:rsidRDefault="00ED228C"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63148" w14:textId="77777777" w:rsidR="00ED228C" w:rsidRPr="001F3912" w:rsidRDefault="00ED228C" w:rsidP="0017089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A0A8F" w14:textId="70DBCFD8" w:rsidR="00ED228C" w:rsidRDefault="00ED228C" w:rsidP="004D18C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A0D01" w14:textId="2BE53665" w:rsidR="00ED228C" w:rsidRPr="004D18CC" w:rsidRDefault="004B4682" w:rsidP="004D18CC">
    <w:pPr>
      <w:pStyle w:val="Header-Even"/>
    </w:pPr>
    <w:fldSimple w:instr=" TITLE   \* MERGEFORMAT ">
      <w:r w:rsidR="00786D5E">
        <w:t>Combatting Illegal Phoenixing</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749CE" w14:textId="1653A7B9" w:rsidR="00ED228C" w:rsidRPr="001F3912" w:rsidRDefault="004B4682" w:rsidP="004D18CC">
    <w:pPr>
      <w:pStyle w:val="Header-Odd"/>
    </w:pPr>
    <w:fldSimple w:instr=" TITLE   \* MERGEFORMAT ">
      <w:r w:rsidR="00786D5E">
        <w:t>Combatting Illegal Phoenixing</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7F20F" w14:textId="77777777" w:rsidR="00ED228C" w:rsidRDefault="00ED228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99716" w14:textId="77777777" w:rsidR="00ED228C" w:rsidRDefault="00ED22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D4BA62"/>
    <w:lvl w:ilvl="0">
      <w:start w:val="1"/>
      <w:numFmt w:val="decimal"/>
      <w:lvlText w:val="%1."/>
      <w:lvlJc w:val="left"/>
      <w:pPr>
        <w:tabs>
          <w:tab w:val="num" w:pos="1492"/>
        </w:tabs>
        <w:ind w:left="1492" w:hanging="360"/>
      </w:pPr>
    </w:lvl>
  </w:abstractNum>
  <w:abstractNum w:abstractNumId="1">
    <w:nsid w:val="FFFFFF7D"/>
    <w:multiLevelType w:val="singleLevel"/>
    <w:tmpl w:val="AF32853C"/>
    <w:lvl w:ilvl="0">
      <w:start w:val="1"/>
      <w:numFmt w:val="decimal"/>
      <w:lvlText w:val="%1."/>
      <w:lvlJc w:val="left"/>
      <w:pPr>
        <w:tabs>
          <w:tab w:val="num" w:pos="1209"/>
        </w:tabs>
        <w:ind w:left="1209" w:hanging="360"/>
      </w:pPr>
    </w:lvl>
  </w:abstractNum>
  <w:abstractNum w:abstractNumId="2">
    <w:nsid w:val="FFFFFF7E"/>
    <w:multiLevelType w:val="singleLevel"/>
    <w:tmpl w:val="40FEBAB2"/>
    <w:lvl w:ilvl="0">
      <w:start w:val="1"/>
      <w:numFmt w:val="decimal"/>
      <w:lvlText w:val="%1."/>
      <w:lvlJc w:val="left"/>
      <w:pPr>
        <w:tabs>
          <w:tab w:val="num" w:pos="926"/>
        </w:tabs>
        <w:ind w:left="926" w:hanging="360"/>
      </w:pPr>
    </w:lvl>
  </w:abstractNum>
  <w:abstractNum w:abstractNumId="3">
    <w:nsid w:val="FFFFFF7F"/>
    <w:multiLevelType w:val="singleLevel"/>
    <w:tmpl w:val="4CA6DDF2"/>
    <w:lvl w:ilvl="0">
      <w:start w:val="1"/>
      <w:numFmt w:val="decimal"/>
      <w:lvlText w:val="%1."/>
      <w:lvlJc w:val="left"/>
      <w:pPr>
        <w:tabs>
          <w:tab w:val="num" w:pos="643"/>
        </w:tabs>
        <w:ind w:left="643" w:hanging="360"/>
      </w:pPr>
    </w:lvl>
  </w:abstractNum>
  <w:abstractNum w:abstractNumId="4">
    <w:nsid w:val="FFFFFF80"/>
    <w:multiLevelType w:val="singleLevel"/>
    <w:tmpl w:val="79FC5C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D6AD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68DF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DD4CC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508C6A"/>
    <w:lvl w:ilvl="0">
      <w:start w:val="1"/>
      <w:numFmt w:val="decimal"/>
      <w:lvlText w:val="%1."/>
      <w:lvlJc w:val="left"/>
      <w:pPr>
        <w:tabs>
          <w:tab w:val="num" w:pos="360"/>
        </w:tabs>
        <w:ind w:left="360" w:hanging="360"/>
      </w:pPr>
    </w:lvl>
  </w:abstractNum>
  <w:abstractNum w:abstractNumId="9">
    <w:nsid w:val="FFFFFF89"/>
    <w:multiLevelType w:val="singleLevel"/>
    <w:tmpl w:val="EB1C42A8"/>
    <w:lvl w:ilvl="0">
      <w:start w:val="1"/>
      <w:numFmt w:val="bullet"/>
      <w:lvlText w:val=""/>
      <w:lvlJc w:val="left"/>
      <w:pPr>
        <w:tabs>
          <w:tab w:val="num" w:pos="360"/>
        </w:tabs>
        <w:ind w:left="360" w:hanging="360"/>
      </w:pPr>
      <w:rPr>
        <w:rFonts w:ascii="Symbol" w:hAnsi="Symbol" w:hint="default"/>
      </w:rPr>
    </w:lvl>
  </w:abstractNum>
  <w:abstractNum w:abstractNumId="10">
    <w:nsid w:val="07ED3FC7"/>
    <w:multiLevelType w:val="multilevel"/>
    <w:tmpl w:val="F1AA95BC"/>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nsid w:val="091E719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C6E059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D7E467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DCD31F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4F76963"/>
    <w:multiLevelType w:val="hybridMultilevel"/>
    <w:tmpl w:val="580407F0"/>
    <w:lvl w:ilvl="0" w:tplc="0C090005">
      <w:start w:val="1"/>
      <w:numFmt w:val="bullet"/>
      <w:lvlText w:val=""/>
      <w:lvlJc w:val="left"/>
      <w:pPr>
        <w:ind w:left="775" w:hanging="360"/>
      </w:pPr>
      <w:rPr>
        <w:rFonts w:ascii="Wingdings" w:hAnsi="Wingdings"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7">
    <w:nsid w:val="153C51A6"/>
    <w:multiLevelType w:val="hybridMultilevel"/>
    <w:tmpl w:val="2D78C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6404BF8"/>
    <w:multiLevelType w:val="hybridMultilevel"/>
    <w:tmpl w:val="6E6209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16CC4E5D"/>
    <w:multiLevelType w:val="multilevel"/>
    <w:tmpl w:val="D10E9CF6"/>
    <w:numStyleLink w:val="OneLevelList"/>
  </w:abstractNum>
  <w:abstractNum w:abstractNumId="2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2BC4DE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5BA7B3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95D0765"/>
    <w:multiLevelType w:val="multilevel"/>
    <w:tmpl w:val="0C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2D2A6386"/>
    <w:multiLevelType w:val="hybridMultilevel"/>
    <w:tmpl w:val="A34E5560"/>
    <w:lvl w:ilvl="0" w:tplc="9CDE5AC4">
      <w:start w:val="1"/>
      <w:numFmt w:val="bullet"/>
      <w:lvlText w:val=""/>
      <w:lvlJc w:val="left"/>
      <w:pPr>
        <w:ind w:left="720" w:hanging="360"/>
      </w:pPr>
      <w:rPr>
        <w:rFonts w:ascii="Symbol" w:hAnsi="Symbo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F8D612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08C2710"/>
    <w:multiLevelType w:val="multilevel"/>
    <w:tmpl w:val="9724D700"/>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8">
    <w:nsid w:val="3238442C"/>
    <w:multiLevelType w:val="multilevel"/>
    <w:tmpl w:val="FEB87FB6"/>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4B1239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36005A68"/>
    <w:multiLevelType w:val="hybridMultilevel"/>
    <w:tmpl w:val="B66CC72C"/>
    <w:lvl w:ilvl="0" w:tplc="54D6F80E">
      <w:start w:val="1"/>
      <w:numFmt w:val="decimal"/>
      <w:pStyle w:val="BoxNumbering"/>
      <w:lvlText w:val="%1."/>
      <w:lvlJc w:val="left"/>
      <w:pPr>
        <w:ind w:left="720" w:hanging="360"/>
      </w:pPr>
      <w:rPr>
        <w:rFonts w:ascii="Calibri" w:hAnsi="Calibri"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39C865F0"/>
    <w:multiLevelType w:val="hybridMultilevel"/>
    <w:tmpl w:val="D682DDC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B400F83"/>
    <w:multiLevelType w:val="multilevel"/>
    <w:tmpl w:val="F0EE9C22"/>
    <w:name w:val="StandardBulletedList"/>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C74469E"/>
    <w:multiLevelType w:val="multilevel"/>
    <w:tmpl w:val="CDB42222"/>
    <w:lvl w:ilvl="0">
      <w:start w:val="1"/>
      <w:numFmt w:val="decimal"/>
      <w:lvlText w:val="%1)"/>
      <w:lvlJc w:val="left"/>
      <w:pPr>
        <w:tabs>
          <w:tab w:val="num" w:pos="283"/>
        </w:tabs>
        <w:ind w:left="283" w:hanging="283"/>
      </w:pPr>
      <w:rPr>
        <w:rFonts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5">
    <w:nsid w:val="4EE02532"/>
    <w:multiLevelType w:val="hybridMultilevel"/>
    <w:tmpl w:val="7416061E"/>
    <w:lvl w:ilvl="0" w:tplc="9CDE5AC4">
      <w:start w:val="1"/>
      <w:numFmt w:val="bullet"/>
      <w:lvlText w:val=""/>
      <w:lvlJc w:val="left"/>
      <w:pPr>
        <w:ind w:left="1440" w:hanging="360"/>
      </w:pPr>
      <w:rPr>
        <w:rFonts w:ascii="Symbol" w:hAnsi="Symbol" w:hint="default"/>
        <w:color w:val="auto"/>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nsid w:val="510D2021"/>
    <w:multiLevelType w:val="multilevel"/>
    <w:tmpl w:val="B00C4436"/>
    <w:lvl w:ilvl="0">
      <w:start w:val="1"/>
      <w:numFmt w:val="decimal"/>
      <w:pStyle w:val="OutlineNumbered1"/>
      <w:lvlText w:val="%1."/>
      <w:lvlJc w:val="left"/>
      <w:pPr>
        <w:tabs>
          <w:tab w:val="num" w:pos="425"/>
        </w:tabs>
        <w:ind w:left="425" w:hanging="425"/>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35B03C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9A2767F"/>
    <w:multiLevelType w:val="hybridMultilevel"/>
    <w:tmpl w:val="7EE244C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09F71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0BC52E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B725163"/>
    <w:multiLevelType w:val="hybridMultilevel"/>
    <w:tmpl w:val="0966D578"/>
    <w:styleLink w:val="ChartandTableFootnoteAlphaList"/>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E86691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006624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0"/>
  </w:num>
  <w:num w:numId="3">
    <w:abstractNumId w:val="29"/>
  </w:num>
  <w:num w:numId="4">
    <w:abstractNumId w:val="15"/>
  </w:num>
  <w:num w:numId="5">
    <w:abstractNumId w:val="19"/>
  </w:num>
  <w:num w:numId="6">
    <w:abstractNumId w:val="36"/>
  </w:num>
  <w:num w:numId="7">
    <w:abstractNumId w:val="2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20"/>
  </w:num>
  <w:num w:numId="9">
    <w:abstractNumId w:val="23"/>
  </w:num>
  <w:num w:numId="10">
    <w:abstractNumId w:val="38"/>
  </w:num>
  <w:num w:numId="11">
    <w:abstractNumId w:val="21"/>
  </w:num>
  <w:num w:numId="12">
    <w:abstractNumId w:val="34"/>
  </w:num>
  <w:num w:numId="13">
    <w:abstractNumId w:val="41"/>
  </w:num>
  <w:num w:numId="14">
    <w:abstractNumId w:val="17"/>
  </w:num>
  <w:num w:numId="15">
    <w:abstractNumId w:val="14"/>
  </w:num>
  <w:num w:numId="16">
    <w:abstractNumId w:val="13"/>
  </w:num>
  <w:num w:numId="17">
    <w:abstractNumId w:val="28"/>
  </w:num>
  <w:num w:numId="18">
    <w:abstractNumId w:val="16"/>
  </w:num>
  <w:num w:numId="19">
    <w:abstractNumId w:val="39"/>
  </w:num>
  <w:num w:numId="20">
    <w:abstractNumId w:val="43"/>
  </w:num>
  <w:num w:numId="21">
    <w:abstractNumId w:val="32"/>
  </w:num>
  <w:num w:numId="22">
    <w:abstractNumId w:val="30"/>
  </w:num>
  <w:num w:numId="23">
    <w:abstractNumId w:val="18"/>
  </w:num>
  <w:num w:numId="24">
    <w:abstractNumId w:val="35"/>
  </w:num>
  <w:num w:numId="25">
    <w:abstractNumId w:val="11"/>
  </w:num>
  <w:num w:numId="26">
    <w:abstractNumId w:val="26"/>
  </w:num>
  <w:num w:numId="27">
    <w:abstractNumId w:val="40"/>
  </w:num>
  <w:num w:numId="28">
    <w:abstractNumId w:val="24"/>
  </w:num>
  <w:num w:numId="29">
    <w:abstractNumId w:val="12"/>
  </w:num>
  <w:num w:numId="30">
    <w:abstractNumId w:val="25"/>
  </w:num>
  <w:num w:numId="31">
    <w:abstractNumId w:val="42"/>
  </w:num>
  <w:num w:numId="32">
    <w:abstractNumId w:val="22"/>
  </w:num>
  <w:num w:numId="33">
    <w:abstractNumId w:val="37"/>
  </w:num>
  <w:num w:numId="34">
    <w:abstractNumId w:val="27"/>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31"/>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720"/>
  <w:evenAndOddHeaders/>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794"/>
    <w:rsid w:val="0000049F"/>
    <w:rsid w:val="00002C1D"/>
    <w:rsid w:val="00004F28"/>
    <w:rsid w:val="00006F2A"/>
    <w:rsid w:val="00010237"/>
    <w:rsid w:val="00011725"/>
    <w:rsid w:val="00012C62"/>
    <w:rsid w:val="0001376D"/>
    <w:rsid w:val="000139B3"/>
    <w:rsid w:val="00013F21"/>
    <w:rsid w:val="00014326"/>
    <w:rsid w:val="00016155"/>
    <w:rsid w:val="00020DF6"/>
    <w:rsid w:val="0002544D"/>
    <w:rsid w:val="00026164"/>
    <w:rsid w:val="00026DCC"/>
    <w:rsid w:val="00026F65"/>
    <w:rsid w:val="0003281C"/>
    <w:rsid w:val="00033192"/>
    <w:rsid w:val="000340CE"/>
    <w:rsid w:val="000349E5"/>
    <w:rsid w:val="00034F9D"/>
    <w:rsid w:val="0003738C"/>
    <w:rsid w:val="00037CDD"/>
    <w:rsid w:val="00041A8B"/>
    <w:rsid w:val="0004274D"/>
    <w:rsid w:val="000431E9"/>
    <w:rsid w:val="00043E33"/>
    <w:rsid w:val="000446FD"/>
    <w:rsid w:val="00044C0A"/>
    <w:rsid w:val="00046555"/>
    <w:rsid w:val="000529CD"/>
    <w:rsid w:val="00052C24"/>
    <w:rsid w:val="00054558"/>
    <w:rsid w:val="00056880"/>
    <w:rsid w:val="000568BF"/>
    <w:rsid w:val="00056A3D"/>
    <w:rsid w:val="00056C0B"/>
    <w:rsid w:val="00060082"/>
    <w:rsid w:val="000601DC"/>
    <w:rsid w:val="00063EFE"/>
    <w:rsid w:val="000675D1"/>
    <w:rsid w:val="0007029E"/>
    <w:rsid w:val="0007102C"/>
    <w:rsid w:val="00073521"/>
    <w:rsid w:val="00073CD6"/>
    <w:rsid w:val="000743E2"/>
    <w:rsid w:val="000775DE"/>
    <w:rsid w:val="00082D8D"/>
    <w:rsid w:val="00084A32"/>
    <w:rsid w:val="000858F2"/>
    <w:rsid w:val="000869E4"/>
    <w:rsid w:val="000877EC"/>
    <w:rsid w:val="00087FAF"/>
    <w:rsid w:val="00093199"/>
    <w:rsid w:val="0009449A"/>
    <w:rsid w:val="00096E50"/>
    <w:rsid w:val="00097492"/>
    <w:rsid w:val="00097E3C"/>
    <w:rsid w:val="000A2DF0"/>
    <w:rsid w:val="000A3E58"/>
    <w:rsid w:val="000A4686"/>
    <w:rsid w:val="000A4BC2"/>
    <w:rsid w:val="000A594F"/>
    <w:rsid w:val="000A5E18"/>
    <w:rsid w:val="000A6474"/>
    <w:rsid w:val="000B0D49"/>
    <w:rsid w:val="000B1AEA"/>
    <w:rsid w:val="000B3202"/>
    <w:rsid w:val="000C1EE3"/>
    <w:rsid w:val="000C1F5A"/>
    <w:rsid w:val="000C2AB2"/>
    <w:rsid w:val="000C31DD"/>
    <w:rsid w:val="000C5B38"/>
    <w:rsid w:val="000C5F40"/>
    <w:rsid w:val="000C6404"/>
    <w:rsid w:val="000C7FF0"/>
    <w:rsid w:val="000D125F"/>
    <w:rsid w:val="000D1453"/>
    <w:rsid w:val="000D35A8"/>
    <w:rsid w:val="000D4732"/>
    <w:rsid w:val="000D4E1F"/>
    <w:rsid w:val="000D4F64"/>
    <w:rsid w:val="000D5E1C"/>
    <w:rsid w:val="000D7251"/>
    <w:rsid w:val="000D7B28"/>
    <w:rsid w:val="000E0408"/>
    <w:rsid w:val="000E0B74"/>
    <w:rsid w:val="000E3214"/>
    <w:rsid w:val="000F0044"/>
    <w:rsid w:val="000F0BF8"/>
    <w:rsid w:val="000F1AB2"/>
    <w:rsid w:val="000F47ED"/>
    <w:rsid w:val="000F66DE"/>
    <w:rsid w:val="000F7517"/>
    <w:rsid w:val="00100AB7"/>
    <w:rsid w:val="001028FE"/>
    <w:rsid w:val="00104E3A"/>
    <w:rsid w:val="0010694D"/>
    <w:rsid w:val="00107807"/>
    <w:rsid w:val="001078D8"/>
    <w:rsid w:val="00110203"/>
    <w:rsid w:val="001102E4"/>
    <w:rsid w:val="00110DC7"/>
    <w:rsid w:val="001128FE"/>
    <w:rsid w:val="00114627"/>
    <w:rsid w:val="00114B2B"/>
    <w:rsid w:val="001152CC"/>
    <w:rsid w:val="00116F07"/>
    <w:rsid w:val="00117346"/>
    <w:rsid w:val="00117C38"/>
    <w:rsid w:val="00120326"/>
    <w:rsid w:val="00123F5C"/>
    <w:rsid w:val="00124E77"/>
    <w:rsid w:val="00125C9C"/>
    <w:rsid w:val="00126562"/>
    <w:rsid w:val="00130385"/>
    <w:rsid w:val="001303F8"/>
    <w:rsid w:val="00131B51"/>
    <w:rsid w:val="001325D9"/>
    <w:rsid w:val="00133CB9"/>
    <w:rsid w:val="00134BDD"/>
    <w:rsid w:val="001374F5"/>
    <w:rsid w:val="001379B7"/>
    <w:rsid w:val="00140E18"/>
    <w:rsid w:val="00143075"/>
    <w:rsid w:val="00143C77"/>
    <w:rsid w:val="001464EA"/>
    <w:rsid w:val="00151881"/>
    <w:rsid w:val="00152C81"/>
    <w:rsid w:val="00153907"/>
    <w:rsid w:val="00156579"/>
    <w:rsid w:val="00157D11"/>
    <w:rsid w:val="00157D7C"/>
    <w:rsid w:val="001606CF"/>
    <w:rsid w:val="0016128D"/>
    <w:rsid w:val="00162C46"/>
    <w:rsid w:val="00163815"/>
    <w:rsid w:val="00164654"/>
    <w:rsid w:val="00166563"/>
    <w:rsid w:val="00166DCF"/>
    <w:rsid w:val="0017089D"/>
    <w:rsid w:val="00170FE7"/>
    <w:rsid w:val="001724AF"/>
    <w:rsid w:val="00172616"/>
    <w:rsid w:val="0017540E"/>
    <w:rsid w:val="001764FE"/>
    <w:rsid w:val="001769E6"/>
    <w:rsid w:val="00180905"/>
    <w:rsid w:val="00186CD3"/>
    <w:rsid w:val="0019101A"/>
    <w:rsid w:val="001923FE"/>
    <w:rsid w:val="00192FF4"/>
    <w:rsid w:val="00193274"/>
    <w:rsid w:val="00194179"/>
    <w:rsid w:val="00195681"/>
    <w:rsid w:val="001956C5"/>
    <w:rsid w:val="00197D1A"/>
    <w:rsid w:val="001A007A"/>
    <w:rsid w:val="001A09EE"/>
    <w:rsid w:val="001A2FB7"/>
    <w:rsid w:val="001A68A9"/>
    <w:rsid w:val="001A7666"/>
    <w:rsid w:val="001B1426"/>
    <w:rsid w:val="001B2BCA"/>
    <w:rsid w:val="001B4B5A"/>
    <w:rsid w:val="001B515E"/>
    <w:rsid w:val="001C05E2"/>
    <w:rsid w:val="001C0DCC"/>
    <w:rsid w:val="001C1DE0"/>
    <w:rsid w:val="001C21DD"/>
    <w:rsid w:val="001C358D"/>
    <w:rsid w:val="001C65BA"/>
    <w:rsid w:val="001C6B09"/>
    <w:rsid w:val="001D038B"/>
    <w:rsid w:val="001D1296"/>
    <w:rsid w:val="001D3552"/>
    <w:rsid w:val="001D3959"/>
    <w:rsid w:val="001D4797"/>
    <w:rsid w:val="001D5D34"/>
    <w:rsid w:val="001D79C6"/>
    <w:rsid w:val="001E15C4"/>
    <w:rsid w:val="001E34FD"/>
    <w:rsid w:val="001E5FCB"/>
    <w:rsid w:val="001E64FE"/>
    <w:rsid w:val="001F0404"/>
    <w:rsid w:val="001F11D4"/>
    <w:rsid w:val="001F1BE7"/>
    <w:rsid w:val="001F2441"/>
    <w:rsid w:val="001F2AC7"/>
    <w:rsid w:val="001F388D"/>
    <w:rsid w:val="001F7498"/>
    <w:rsid w:val="001F7501"/>
    <w:rsid w:val="002011E0"/>
    <w:rsid w:val="00204274"/>
    <w:rsid w:val="00210866"/>
    <w:rsid w:val="002117BA"/>
    <w:rsid w:val="0021382A"/>
    <w:rsid w:val="0021383E"/>
    <w:rsid w:val="00215854"/>
    <w:rsid w:val="00215E42"/>
    <w:rsid w:val="002161C7"/>
    <w:rsid w:val="00220B42"/>
    <w:rsid w:val="0022190E"/>
    <w:rsid w:val="00221FCA"/>
    <w:rsid w:val="002226C6"/>
    <w:rsid w:val="00222BC5"/>
    <w:rsid w:val="00222C7B"/>
    <w:rsid w:val="002247A6"/>
    <w:rsid w:val="00226578"/>
    <w:rsid w:val="002269AB"/>
    <w:rsid w:val="00231049"/>
    <w:rsid w:val="002314D2"/>
    <w:rsid w:val="00233FAE"/>
    <w:rsid w:val="002372A6"/>
    <w:rsid w:val="002409BC"/>
    <w:rsid w:val="00241A06"/>
    <w:rsid w:val="00241DAB"/>
    <w:rsid w:val="002461A5"/>
    <w:rsid w:val="0024665F"/>
    <w:rsid w:val="002475B1"/>
    <w:rsid w:val="00247A00"/>
    <w:rsid w:val="00247F62"/>
    <w:rsid w:val="002507DB"/>
    <w:rsid w:val="00250E8A"/>
    <w:rsid w:val="00251300"/>
    <w:rsid w:val="002514EB"/>
    <w:rsid w:val="002516D5"/>
    <w:rsid w:val="0025197F"/>
    <w:rsid w:val="00255E50"/>
    <w:rsid w:val="00256440"/>
    <w:rsid w:val="00257AEE"/>
    <w:rsid w:val="00263794"/>
    <w:rsid w:val="00263B6C"/>
    <w:rsid w:val="0026421C"/>
    <w:rsid w:val="00270AE9"/>
    <w:rsid w:val="00272AE5"/>
    <w:rsid w:val="00273B14"/>
    <w:rsid w:val="00273E84"/>
    <w:rsid w:val="0027590B"/>
    <w:rsid w:val="00276541"/>
    <w:rsid w:val="00276CD2"/>
    <w:rsid w:val="00277C89"/>
    <w:rsid w:val="0028030A"/>
    <w:rsid w:val="00280D49"/>
    <w:rsid w:val="00281965"/>
    <w:rsid w:val="00283E16"/>
    <w:rsid w:val="00283F7E"/>
    <w:rsid w:val="0028524E"/>
    <w:rsid w:val="00285969"/>
    <w:rsid w:val="00286592"/>
    <w:rsid w:val="002877D2"/>
    <w:rsid w:val="00292047"/>
    <w:rsid w:val="00293BD4"/>
    <w:rsid w:val="002940EC"/>
    <w:rsid w:val="002950BC"/>
    <w:rsid w:val="00296418"/>
    <w:rsid w:val="002A04D7"/>
    <w:rsid w:val="002A06AC"/>
    <w:rsid w:val="002A2032"/>
    <w:rsid w:val="002A3278"/>
    <w:rsid w:val="002A37EB"/>
    <w:rsid w:val="002A5BDB"/>
    <w:rsid w:val="002B00B1"/>
    <w:rsid w:val="002B3829"/>
    <w:rsid w:val="002B3858"/>
    <w:rsid w:val="002B4D58"/>
    <w:rsid w:val="002B5C39"/>
    <w:rsid w:val="002B6827"/>
    <w:rsid w:val="002B7C81"/>
    <w:rsid w:val="002C2D83"/>
    <w:rsid w:val="002C3084"/>
    <w:rsid w:val="002C533E"/>
    <w:rsid w:val="002C6D58"/>
    <w:rsid w:val="002C7482"/>
    <w:rsid w:val="002D0290"/>
    <w:rsid w:val="002D154C"/>
    <w:rsid w:val="002D294D"/>
    <w:rsid w:val="002D40C1"/>
    <w:rsid w:val="002D469A"/>
    <w:rsid w:val="002D488F"/>
    <w:rsid w:val="002D63D5"/>
    <w:rsid w:val="002D66EA"/>
    <w:rsid w:val="002D6806"/>
    <w:rsid w:val="002E0751"/>
    <w:rsid w:val="002E4BD7"/>
    <w:rsid w:val="002E4FB7"/>
    <w:rsid w:val="002E621F"/>
    <w:rsid w:val="002F0017"/>
    <w:rsid w:val="002F0ED7"/>
    <w:rsid w:val="002F1931"/>
    <w:rsid w:val="002F1EFE"/>
    <w:rsid w:val="002F2B00"/>
    <w:rsid w:val="002F3284"/>
    <w:rsid w:val="002F617F"/>
    <w:rsid w:val="002F7D83"/>
    <w:rsid w:val="00305191"/>
    <w:rsid w:val="003069FF"/>
    <w:rsid w:val="003105D2"/>
    <w:rsid w:val="0031166D"/>
    <w:rsid w:val="00311DE4"/>
    <w:rsid w:val="003122F4"/>
    <w:rsid w:val="00312826"/>
    <w:rsid w:val="00312EF7"/>
    <w:rsid w:val="003164BD"/>
    <w:rsid w:val="00317E16"/>
    <w:rsid w:val="00320017"/>
    <w:rsid w:val="00320C1F"/>
    <w:rsid w:val="00320EB4"/>
    <w:rsid w:val="00321D7E"/>
    <w:rsid w:val="003254EF"/>
    <w:rsid w:val="0032555E"/>
    <w:rsid w:val="003268D5"/>
    <w:rsid w:val="00327918"/>
    <w:rsid w:val="00331180"/>
    <w:rsid w:val="00331A63"/>
    <w:rsid w:val="00332310"/>
    <w:rsid w:val="003327BB"/>
    <w:rsid w:val="00333CA1"/>
    <w:rsid w:val="00334690"/>
    <w:rsid w:val="00336FF2"/>
    <w:rsid w:val="00337F73"/>
    <w:rsid w:val="00341E3E"/>
    <w:rsid w:val="0034382B"/>
    <w:rsid w:val="00344779"/>
    <w:rsid w:val="00344C83"/>
    <w:rsid w:val="00344FBB"/>
    <w:rsid w:val="0034580E"/>
    <w:rsid w:val="00345E7B"/>
    <w:rsid w:val="00347176"/>
    <w:rsid w:val="00347348"/>
    <w:rsid w:val="003475AD"/>
    <w:rsid w:val="0035058A"/>
    <w:rsid w:val="00353A56"/>
    <w:rsid w:val="00354957"/>
    <w:rsid w:val="003549DA"/>
    <w:rsid w:val="00354D27"/>
    <w:rsid w:val="00355ACF"/>
    <w:rsid w:val="00355C14"/>
    <w:rsid w:val="00360445"/>
    <w:rsid w:val="00364A54"/>
    <w:rsid w:val="00366FA6"/>
    <w:rsid w:val="00367657"/>
    <w:rsid w:val="00367948"/>
    <w:rsid w:val="00367BFC"/>
    <w:rsid w:val="003701F6"/>
    <w:rsid w:val="003703DB"/>
    <w:rsid w:val="003704CB"/>
    <w:rsid w:val="003710A2"/>
    <w:rsid w:val="0037297A"/>
    <w:rsid w:val="00372BC6"/>
    <w:rsid w:val="0037426D"/>
    <w:rsid w:val="0037428D"/>
    <w:rsid w:val="003744C5"/>
    <w:rsid w:val="003751B0"/>
    <w:rsid w:val="00375B82"/>
    <w:rsid w:val="003776BB"/>
    <w:rsid w:val="00377A36"/>
    <w:rsid w:val="00382452"/>
    <w:rsid w:val="00383417"/>
    <w:rsid w:val="003839F0"/>
    <w:rsid w:val="00384B69"/>
    <w:rsid w:val="003858A6"/>
    <w:rsid w:val="00385924"/>
    <w:rsid w:val="00387B9E"/>
    <w:rsid w:val="00390035"/>
    <w:rsid w:val="00392904"/>
    <w:rsid w:val="00392DCC"/>
    <w:rsid w:val="0039633E"/>
    <w:rsid w:val="00397D32"/>
    <w:rsid w:val="003A2480"/>
    <w:rsid w:val="003A28F5"/>
    <w:rsid w:val="003A3129"/>
    <w:rsid w:val="003A4984"/>
    <w:rsid w:val="003A4BD5"/>
    <w:rsid w:val="003A572F"/>
    <w:rsid w:val="003A671A"/>
    <w:rsid w:val="003A6940"/>
    <w:rsid w:val="003A73CC"/>
    <w:rsid w:val="003A7D15"/>
    <w:rsid w:val="003B2103"/>
    <w:rsid w:val="003B33A6"/>
    <w:rsid w:val="003B751E"/>
    <w:rsid w:val="003B7D4D"/>
    <w:rsid w:val="003C2495"/>
    <w:rsid w:val="003C2B9B"/>
    <w:rsid w:val="003C2D7A"/>
    <w:rsid w:val="003C5B38"/>
    <w:rsid w:val="003D13C9"/>
    <w:rsid w:val="003D3241"/>
    <w:rsid w:val="003D421C"/>
    <w:rsid w:val="003D5BBA"/>
    <w:rsid w:val="003D63FE"/>
    <w:rsid w:val="003D6434"/>
    <w:rsid w:val="003D6A43"/>
    <w:rsid w:val="003E01C0"/>
    <w:rsid w:val="003E0419"/>
    <w:rsid w:val="003E0791"/>
    <w:rsid w:val="003E13DA"/>
    <w:rsid w:val="003E4D87"/>
    <w:rsid w:val="003E4F25"/>
    <w:rsid w:val="003E5328"/>
    <w:rsid w:val="003F253A"/>
    <w:rsid w:val="003F3D32"/>
    <w:rsid w:val="003F3DBA"/>
    <w:rsid w:val="003F402C"/>
    <w:rsid w:val="003F5EC0"/>
    <w:rsid w:val="003F628A"/>
    <w:rsid w:val="003F67EC"/>
    <w:rsid w:val="003F6B2B"/>
    <w:rsid w:val="004006C4"/>
    <w:rsid w:val="00405D4F"/>
    <w:rsid w:val="00405E1F"/>
    <w:rsid w:val="00406664"/>
    <w:rsid w:val="004074BC"/>
    <w:rsid w:val="00414A57"/>
    <w:rsid w:val="0041545C"/>
    <w:rsid w:val="004165A2"/>
    <w:rsid w:val="00416762"/>
    <w:rsid w:val="00416AA6"/>
    <w:rsid w:val="00416AE9"/>
    <w:rsid w:val="004202FE"/>
    <w:rsid w:val="00421EF6"/>
    <w:rsid w:val="00422137"/>
    <w:rsid w:val="00422FFF"/>
    <w:rsid w:val="00427327"/>
    <w:rsid w:val="004276A7"/>
    <w:rsid w:val="00427D0E"/>
    <w:rsid w:val="00430883"/>
    <w:rsid w:val="00430D2D"/>
    <w:rsid w:val="00431DDF"/>
    <w:rsid w:val="00437059"/>
    <w:rsid w:val="00441327"/>
    <w:rsid w:val="00444114"/>
    <w:rsid w:val="00444D95"/>
    <w:rsid w:val="00445030"/>
    <w:rsid w:val="00445265"/>
    <w:rsid w:val="004458B4"/>
    <w:rsid w:val="00445BBD"/>
    <w:rsid w:val="00445E7B"/>
    <w:rsid w:val="00446A72"/>
    <w:rsid w:val="0045083A"/>
    <w:rsid w:val="004526A1"/>
    <w:rsid w:val="004533EE"/>
    <w:rsid w:val="004542FE"/>
    <w:rsid w:val="004553C9"/>
    <w:rsid w:val="004559CE"/>
    <w:rsid w:val="004610EB"/>
    <w:rsid w:val="00461828"/>
    <w:rsid w:val="00462821"/>
    <w:rsid w:val="0046368B"/>
    <w:rsid w:val="00464D2C"/>
    <w:rsid w:val="004654E3"/>
    <w:rsid w:val="00467D11"/>
    <w:rsid w:val="00470BE8"/>
    <w:rsid w:val="00471008"/>
    <w:rsid w:val="0047183D"/>
    <w:rsid w:val="00471D44"/>
    <w:rsid w:val="00474EB6"/>
    <w:rsid w:val="00475667"/>
    <w:rsid w:val="00476DDD"/>
    <w:rsid w:val="00477129"/>
    <w:rsid w:val="00481E7E"/>
    <w:rsid w:val="00482AD1"/>
    <w:rsid w:val="00483049"/>
    <w:rsid w:val="00484337"/>
    <w:rsid w:val="004847D6"/>
    <w:rsid w:val="004849FF"/>
    <w:rsid w:val="00484A28"/>
    <w:rsid w:val="00485850"/>
    <w:rsid w:val="00485E81"/>
    <w:rsid w:val="00491A31"/>
    <w:rsid w:val="00491B06"/>
    <w:rsid w:val="00492FCB"/>
    <w:rsid w:val="004938D1"/>
    <w:rsid w:val="00494781"/>
    <w:rsid w:val="00494E7C"/>
    <w:rsid w:val="004951A8"/>
    <w:rsid w:val="004957BE"/>
    <w:rsid w:val="0049602D"/>
    <w:rsid w:val="004A14C5"/>
    <w:rsid w:val="004A2F44"/>
    <w:rsid w:val="004A3043"/>
    <w:rsid w:val="004A4055"/>
    <w:rsid w:val="004A5C7C"/>
    <w:rsid w:val="004A6760"/>
    <w:rsid w:val="004A7F3F"/>
    <w:rsid w:val="004B1CDE"/>
    <w:rsid w:val="004B4682"/>
    <w:rsid w:val="004B541A"/>
    <w:rsid w:val="004B5AB0"/>
    <w:rsid w:val="004B5F42"/>
    <w:rsid w:val="004B79F8"/>
    <w:rsid w:val="004B7FFB"/>
    <w:rsid w:val="004C0008"/>
    <w:rsid w:val="004C2425"/>
    <w:rsid w:val="004C26CB"/>
    <w:rsid w:val="004C4744"/>
    <w:rsid w:val="004C4FB0"/>
    <w:rsid w:val="004C5CC2"/>
    <w:rsid w:val="004C643C"/>
    <w:rsid w:val="004C7189"/>
    <w:rsid w:val="004C7818"/>
    <w:rsid w:val="004D0139"/>
    <w:rsid w:val="004D128F"/>
    <w:rsid w:val="004D18CC"/>
    <w:rsid w:val="004D1EE3"/>
    <w:rsid w:val="004D4D86"/>
    <w:rsid w:val="004D55DB"/>
    <w:rsid w:val="004D5917"/>
    <w:rsid w:val="004D5C5A"/>
    <w:rsid w:val="004D5E0A"/>
    <w:rsid w:val="004D7988"/>
    <w:rsid w:val="004E17D8"/>
    <w:rsid w:val="004E1F25"/>
    <w:rsid w:val="004E43C5"/>
    <w:rsid w:val="004E4BA3"/>
    <w:rsid w:val="004F1164"/>
    <w:rsid w:val="004F1E24"/>
    <w:rsid w:val="004F29D3"/>
    <w:rsid w:val="004F4AFC"/>
    <w:rsid w:val="004F5F45"/>
    <w:rsid w:val="004F79B3"/>
    <w:rsid w:val="005034E6"/>
    <w:rsid w:val="00503CF5"/>
    <w:rsid w:val="00504971"/>
    <w:rsid w:val="0050595C"/>
    <w:rsid w:val="00510016"/>
    <w:rsid w:val="00510E4A"/>
    <w:rsid w:val="00512FA0"/>
    <w:rsid w:val="00516735"/>
    <w:rsid w:val="00516748"/>
    <w:rsid w:val="00516785"/>
    <w:rsid w:val="00520335"/>
    <w:rsid w:val="00522F6B"/>
    <w:rsid w:val="0052419D"/>
    <w:rsid w:val="005301F8"/>
    <w:rsid w:val="00530276"/>
    <w:rsid w:val="005312FC"/>
    <w:rsid w:val="00532BA6"/>
    <w:rsid w:val="00533271"/>
    <w:rsid w:val="00535C28"/>
    <w:rsid w:val="00535F8B"/>
    <w:rsid w:val="0053603D"/>
    <w:rsid w:val="0053684C"/>
    <w:rsid w:val="00541340"/>
    <w:rsid w:val="005418F6"/>
    <w:rsid w:val="00541B48"/>
    <w:rsid w:val="00544B8E"/>
    <w:rsid w:val="00550A00"/>
    <w:rsid w:val="00552D31"/>
    <w:rsid w:val="00553F12"/>
    <w:rsid w:val="00554CE7"/>
    <w:rsid w:val="00555319"/>
    <w:rsid w:val="00555378"/>
    <w:rsid w:val="0055687B"/>
    <w:rsid w:val="005568A9"/>
    <w:rsid w:val="0056074D"/>
    <w:rsid w:val="00560BC9"/>
    <w:rsid w:val="00561649"/>
    <w:rsid w:val="00561F8E"/>
    <w:rsid w:val="00563078"/>
    <w:rsid w:val="00564A8A"/>
    <w:rsid w:val="00567632"/>
    <w:rsid w:val="0057007C"/>
    <w:rsid w:val="005717D9"/>
    <w:rsid w:val="00571D01"/>
    <w:rsid w:val="00574177"/>
    <w:rsid w:val="0057475A"/>
    <w:rsid w:val="00577EA2"/>
    <w:rsid w:val="005818CC"/>
    <w:rsid w:val="005843BF"/>
    <w:rsid w:val="00584524"/>
    <w:rsid w:val="005868DE"/>
    <w:rsid w:val="00590872"/>
    <w:rsid w:val="005922E1"/>
    <w:rsid w:val="00592AE7"/>
    <w:rsid w:val="00593930"/>
    <w:rsid w:val="005A0006"/>
    <w:rsid w:val="005A0121"/>
    <w:rsid w:val="005A07BF"/>
    <w:rsid w:val="005A6AF8"/>
    <w:rsid w:val="005A6D98"/>
    <w:rsid w:val="005A77ED"/>
    <w:rsid w:val="005B2531"/>
    <w:rsid w:val="005B2D8C"/>
    <w:rsid w:val="005B7694"/>
    <w:rsid w:val="005B78A5"/>
    <w:rsid w:val="005C0FD2"/>
    <w:rsid w:val="005C166B"/>
    <w:rsid w:val="005C20D7"/>
    <w:rsid w:val="005C2407"/>
    <w:rsid w:val="005C2B66"/>
    <w:rsid w:val="005C4032"/>
    <w:rsid w:val="005C4F13"/>
    <w:rsid w:val="005C5494"/>
    <w:rsid w:val="005C54DA"/>
    <w:rsid w:val="005D3DAC"/>
    <w:rsid w:val="005D592E"/>
    <w:rsid w:val="005D787B"/>
    <w:rsid w:val="005D7A6B"/>
    <w:rsid w:val="005E1057"/>
    <w:rsid w:val="005E448D"/>
    <w:rsid w:val="005E54CA"/>
    <w:rsid w:val="005F0E07"/>
    <w:rsid w:val="005F1987"/>
    <w:rsid w:val="005F3D23"/>
    <w:rsid w:val="005F4707"/>
    <w:rsid w:val="005F51DA"/>
    <w:rsid w:val="005F525A"/>
    <w:rsid w:val="005F7833"/>
    <w:rsid w:val="005F7B13"/>
    <w:rsid w:val="005F7CF5"/>
    <w:rsid w:val="006000F2"/>
    <w:rsid w:val="00601F11"/>
    <w:rsid w:val="00602830"/>
    <w:rsid w:val="006039CB"/>
    <w:rsid w:val="00603AA6"/>
    <w:rsid w:val="0060595B"/>
    <w:rsid w:val="00605AFD"/>
    <w:rsid w:val="0060612E"/>
    <w:rsid w:val="00607C7C"/>
    <w:rsid w:val="00611737"/>
    <w:rsid w:val="00611C6D"/>
    <w:rsid w:val="0061223D"/>
    <w:rsid w:val="006123D4"/>
    <w:rsid w:val="00614105"/>
    <w:rsid w:val="00617769"/>
    <w:rsid w:val="00617AA6"/>
    <w:rsid w:val="0062046F"/>
    <w:rsid w:val="006219C0"/>
    <w:rsid w:val="00621F63"/>
    <w:rsid w:val="00622807"/>
    <w:rsid w:val="00622C7F"/>
    <w:rsid w:val="00622D64"/>
    <w:rsid w:val="00623665"/>
    <w:rsid w:val="00630013"/>
    <w:rsid w:val="0063021D"/>
    <w:rsid w:val="00632DB2"/>
    <w:rsid w:val="00633F23"/>
    <w:rsid w:val="006341CF"/>
    <w:rsid w:val="0063569E"/>
    <w:rsid w:val="00636A13"/>
    <w:rsid w:val="00637C14"/>
    <w:rsid w:val="00641258"/>
    <w:rsid w:val="00642DA9"/>
    <w:rsid w:val="006444C1"/>
    <w:rsid w:val="006456DA"/>
    <w:rsid w:val="00646794"/>
    <w:rsid w:val="00650682"/>
    <w:rsid w:val="00650D4D"/>
    <w:rsid w:val="00651FD8"/>
    <w:rsid w:val="0065490A"/>
    <w:rsid w:val="00656356"/>
    <w:rsid w:val="00657A94"/>
    <w:rsid w:val="006652BF"/>
    <w:rsid w:val="00665C2E"/>
    <w:rsid w:val="006672C1"/>
    <w:rsid w:val="00667814"/>
    <w:rsid w:val="0066791C"/>
    <w:rsid w:val="006712C8"/>
    <w:rsid w:val="00671E1C"/>
    <w:rsid w:val="00674DA0"/>
    <w:rsid w:val="006755BF"/>
    <w:rsid w:val="00675E36"/>
    <w:rsid w:val="00677127"/>
    <w:rsid w:val="0067754A"/>
    <w:rsid w:val="00684388"/>
    <w:rsid w:val="00686165"/>
    <w:rsid w:val="00687A53"/>
    <w:rsid w:val="00687DCA"/>
    <w:rsid w:val="00691CB5"/>
    <w:rsid w:val="00692287"/>
    <w:rsid w:val="00692D6E"/>
    <w:rsid w:val="006946C9"/>
    <w:rsid w:val="006A0062"/>
    <w:rsid w:val="006A11CD"/>
    <w:rsid w:val="006A15CB"/>
    <w:rsid w:val="006A17B8"/>
    <w:rsid w:val="006A1CF0"/>
    <w:rsid w:val="006A3C0D"/>
    <w:rsid w:val="006A6EE1"/>
    <w:rsid w:val="006A78BD"/>
    <w:rsid w:val="006B16BF"/>
    <w:rsid w:val="006B4080"/>
    <w:rsid w:val="006B4AB4"/>
    <w:rsid w:val="006B51E6"/>
    <w:rsid w:val="006B5E7C"/>
    <w:rsid w:val="006B63EB"/>
    <w:rsid w:val="006C0D42"/>
    <w:rsid w:val="006C1014"/>
    <w:rsid w:val="006C3EA3"/>
    <w:rsid w:val="006C4575"/>
    <w:rsid w:val="006C5F9C"/>
    <w:rsid w:val="006C645D"/>
    <w:rsid w:val="006C6ED9"/>
    <w:rsid w:val="006D1095"/>
    <w:rsid w:val="006D2106"/>
    <w:rsid w:val="006D3DA1"/>
    <w:rsid w:val="006D42C7"/>
    <w:rsid w:val="006D4553"/>
    <w:rsid w:val="006D46A5"/>
    <w:rsid w:val="006D6378"/>
    <w:rsid w:val="006E1488"/>
    <w:rsid w:val="006E1815"/>
    <w:rsid w:val="006E1E61"/>
    <w:rsid w:val="006E23F1"/>
    <w:rsid w:val="006E2CDF"/>
    <w:rsid w:val="006E3CC3"/>
    <w:rsid w:val="006E48F0"/>
    <w:rsid w:val="006E4FA9"/>
    <w:rsid w:val="006E5F2A"/>
    <w:rsid w:val="006E6BB4"/>
    <w:rsid w:val="006E7E85"/>
    <w:rsid w:val="006F0AB7"/>
    <w:rsid w:val="006F0BEA"/>
    <w:rsid w:val="006F0C9F"/>
    <w:rsid w:val="006F24A3"/>
    <w:rsid w:val="006F2914"/>
    <w:rsid w:val="006F2A1F"/>
    <w:rsid w:val="006F4463"/>
    <w:rsid w:val="006F4866"/>
    <w:rsid w:val="006F53E0"/>
    <w:rsid w:val="006F656C"/>
    <w:rsid w:val="00701580"/>
    <w:rsid w:val="00702320"/>
    <w:rsid w:val="00706BBE"/>
    <w:rsid w:val="00707014"/>
    <w:rsid w:val="007070D6"/>
    <w:rsid w:val="007071B3"/>
    <w:rsid w:val="0070771B"/>
    <w:rsid w:val="00710CEA"/>
    <w:rsid w:val="00711C81"/>
    <w:rsid w:val="00714F23"/>
    <w:rsid w:val="007174CF"/>
    <w:rsid w:val="00717EAA"/>
    <w:rsid w:val="00720C5B"/>
    <w:rsid w:val="0072303E"/>
    <w:rsid w:val="0072420F"/>
    <w:rsid w:val="00725315"/>
    <w:rsid w:val="00726160"/>
    <w:rsid w:val="00730E46"/>
    <w:rsid w:val="007353E9"/>
    <w:rsid w:val="00735FFD"/>
    <w:rsid w:val="00736621"/>
    <w:rsid w:val="00736B84"/>
    <w:rsid w:val="0073796E"/>
    <w:rsid w:val="00741F27"/>
    <w:rsid w:val="0074205B"/>
    <w:rsid w:val="00743D74"/>
    <w:rsid w:val="00743FF2"/>
    <w:rsid w:val="00746307"/>
    <w:rsid w:val="00750FC0"/>
    <w:rsid w:val="007523B1"/>
    <w:rsid w:val="007547DD"/>
    <w:rsid w:val="0075502E"/>
    <w:rsid w:val="007567E2"/>
    <w:rsid w:val="007637FB"/>
    <w:rsid w:val="007640BF"/>
    <w:rsid w:val="007675B0"/>
    <w:rsid w:val="00767C91"/>
    <w:rsid w:val="00770A04"/>
    <w:rsid w:val="00770F35"/>
    <w:rsid w:val="00773CF4"/>
    <w:rsid w:val="007744E5"/>
    <w:rsid w:val="007805F7"/>
    <w:rsid w:val="00780E2D"/>
    <w:rsid w:val="00783826"/>
    <w:rsid w:val="0078392E"/>
    <w:rsid w:val="00784D5A"/>
    <w:rsid w:val="0078509F"/>
    <w:rsid w:val="00786D5E"/>
    <w:rsid w:val="0079027B"/>
    <w:rsid w:val="0079028A"/>
    <w:rsid w:val="00790C51"/>
    <w:rsid w:val="0079297A"/>
    <w:rsid w:val="00792AE7"/>
    <w:rsid w:val="007949AF"/>
    <w:rsid w:val="00795E9E"/>
    <w:rsid w:val="00797283"/>
    <w:rsid w:val="007A3C75"/>
    <w:rsid w:val="007A42A2"/>
    <w:rsid w:val="007A4FA1"/>
    <w:rsid w:val="007A59EA"/>
    <w:rsid w:val="007A5FC3"/>
    <w:rsid w:val="007A77E8"/>
    <w:rsid w:val="007B3EED"/>
    <w:rsid w:val="007B522D"/>
    <w:rsid w:val="007B5861"/>
    <w:rsid w:val="007B6FD2"/>
    <w:rsid w:val="007C48F2"/>
    <w:rsid w:val="007C4C90"/>
    <w:rsid w:val="007C5F55"/>
    <w:rsid w:val="007D0A6F"/>
    <w:rsid w:val="007D1396"/>
    <w:rsid w:val="007D1BD2"/>
    <w:rsid w:val="007D1C72"/>
    <w:rsid w:val="007D37D6"/>
    <w:rsid w:val="007D462E"/>
    <w:rsid w:val="007D5AA6"/>
    <w:rsid w:val="007D7EEC"/>
    <w:rsid w:val="007E1CDE"/>
    <w:rsid w:val="007E22C0"/>
    <w:rsid w:val="007E274B"/>
    <w:rsid w:val="007E2AB9"/>
    <w:rsid w:val="007E4483"/>
    <w:rsid w:val="007E6456"/>
    <w:rsid w:val="007E738E"/>
    <w:rsid w:val="007F03A5"/>
    <w:rsid w:val="007F083D"/>
    <w:rsid w:val="007F24CC"/>
    <w:rsid w:val="007F3800"/>
    <w:rsid w:val="007F38B7"/>
    <w:rsid w:val="007F44E2"/>
    <w:rsid w:val="007F4F56"/>
    <w:rsid w:val="007F50D8"/>
    <w:rsid w:val="007F61C9"/>
    <w:rsid w:val="008011F6"/>
    <w:rsid w:val="00802F37"/>
    <w:rsid w:val="00803ECE"/>
    <w:rsid w:val="00805935"/>
    <w:rsid w:val="00805A7E"/>
    <w:rsid w:val="0080689E"/>
    <w:rsid w:val="00810442"/>
    <w:rsid w:val="00810B03"/>
    <w:rsid w:val="00810D74"/>
    <w:rsid w:val="00812E55"/>
    <w:rsid w:val="008205E2"/>
    <w:rsid w:val="008207A6"/>
    <w:rsid w:val="00820A77"/>
    <w:rsid w:val="0082450C"/>
    <w:rsid w:val="0082459F"/>
    <w:rsid w:val="008255CB"/>
    <w:rsid w:val="00825EF2"/>
    <w:rsid w:val="0082766D"/>
    <w:rsid w:val="00827D44"/>
    <w:rsid w:val="00830276"/>
    <w:rsid w:val="0083226B"/>
    <w:rsid w:val="0083363A"/>
    <w:rsid w:val="00834243"/>
    <w:rsid w:val="00834A03"/>
    <w:rsid w:val="008370D2"/>
    <w:rsid w:val="00841319"/>
    <w:rsid w:val="00841ED6"/>
    <w:rsid w:val="00844DF1"/>
    <w:rsid w:val="008451FC"/>
    <w:rsid w:val="00846EEF"/>
    <w:rsid w:val="00847225"/>
    <w:rsid w:val="00854FAE"/>
    <w:rsid w:val="00855618"/>
    <w:rsid w:val="00857969"/>
    <w:rsid w:val="00857F45"/>
    <w:rsid w:val="00864621"/>
    <w:rsid w:val="00864B0A"/>
    <w:rsid w:val="00865464"/>
    <w:rsid w:val="008654BD"/>
    <w:rsid w:val="00865A90"/>
    <w:rsid w:val="00867305"/>
    <w:rsid w:val="008711DA"/>
    <w:rsid w:val="0087175C"/>
    <w:rsid w:val="0087238E"/>
    <w:rsid w:val="00872AF1"/>
    <w:rsid w:val="00874E3F"/>
    <w:rsid w:val="00874FAA"/>
    <w:rsid w:val="008752BE"/>
    <w:rsid w:val="00875A42"/>
    <w:rsid w:val="00883AC0"/>
    <w:rsid w:val="00883E9D"/>
    <w:rsid w:val="00884913"/>
    <w:rsid w:val="00886190"/>
    <w:rsid w:val="008865A3"/>
    <w:rsid w:val="008866C0"/>
    <w:rsid w:val="00886905"/>
    <w:rsid w:val="008900FC"/>
    <w:rsid w:val="008905A9"/>
    <w:rsid w:val="00891742"/>
    <w:rsid w:val="00893839"/>
    <w:rsid w:val="00894B95"/>
    <w:rsid w:val="00895785"/>
    <w:rsid w:val="008A1187"/>
    <w:rsid w:val="008A1277"/>
    <w:rsid w:val="008A1B2F"/>
    <w:rsid w:val="008A3644"/>
    <w:rsid w:val="008A4A86"/>
    <w:rsid w:val="008A5D61"/>
    <w:rsid w:val="008A6EEB"/>
    <w:rsid w:val="008A7233"/>
    <w:rsid w:val="008B01DE"/>
    <w:rsid w:val="008B1499"/>
    <w:rsid w:val="008B58B3"/>
    <w:rsid w:val="008B6C6A"/>
    <w:rsid w:val="008B7E38"/>
    <w:rsid w:val="008C1F54"/>
    <w:rsid w:val="008C1FDD"/>
    <w:rsid w:val="008C25E1"/>
    <w:rsid w:val="008C430C"/>
    <w:rsid w:val="008C58F4"/>
    <w:rsid w:val="008C778A"/>
    <w:rsid w:val="008C7F51"/>
    <w:rsid w:val="008D15E0"/>
    <w:rsid w:val="008D25B6"/>
    <w:rsid w:val="008D339F"/>
    <w:rsid w:val="008D368E"/>
    <w:rsid w:val="008D3F6E"/>
    <w:rsid w:val="008D4890"/>
    <w:rsid w:val="008D4AAC"/>
    <w:rsid w:val="008D5489"/>
    <w:rsid w:val="008D7854"/>
    <w:rsid w:val="008D7F38"/>
    <w:rsid w:val="008E1D90"/>
    <w:rsid w:val="008E26D3"/>
    <w:rsid w:val="008E3FB5"/>
    <w:rsid w:val="008E45B8"/>
    <w:rsid w:val="008E6292"/>
    <w:rsid w:val="008E6642"/>
    <w:rsid w:val="008E732C"/>
    <w:rsid w:val="008E7A9A"/>
    <w:rsid w:val="008E7ED9"/>
    <w:rsid w:val="008F0D30"/>
    <w:rsid w:val="008F2805"/>
    <w:rsid w:val="008F2D56"/>
    <w:rsid w:val="008F41EE"/>
    <w:rsid w:val="008F55EB"/>
    <w:rsid w:val="008F56EE"/>
    <w:rsid w:val="008F5CB7"/>
    <w:rsid w:val="008F5F84"/>
    <w:rsid w:val="008F74C9"/>
    <w:rsid w:val="009003F4"/>
    <w:rsid w:val="00903FCD"/>
    <w:rsid w:val="009045C9"/>
    <w:rsid w:val="00906A81"/>
    <w:rsid w:val="00912838"/>
    <w:rsid w:val="00914BFB"/>
    <w:rsid w:val="00914E07"/>
    <w:rsid w:val="009158D1"/>
    <w:rsid w:val="00916BDD"/>
    <w:rsid w:val="0092056C"/>
    <w:rsid w:val="009214C9"/>
    <w:rsid w:val="0092370D"/>
    <w:rsid w:val="00924477"/>
    <w:rsid w:val="009250D8"/>
    <w:rsid w:val="00925820"/>
    <w:rsid w:val="00925AA5"/>
    <w:rsid w:val="00931922"/>
    <w:rsid w:val="00932C8E"/>
    <w:rsid w:val="00934E27"/>
    <w:rsid w:val="00934EE6"/>
    <w:rsid w:val="0093715E"/>
    <w:rsid w:val="00937BA1"/>
    <w:rsid w:val="00940176"/>
    <w:rsid w:val="0094019D"/>
    <w:rsid w:val="009402E2"/>
    <w:rsid w:val="00941268"/>
    <w:rsid w:val="00941536"/>
    <w:rsid w:val="00942C11"/>
    <w:rsid w:val="00944139"/>
    <w:rsid w:val="00944E09"/>
    <w:rsid w:val="009507CD"/>
    <w:rsid w:val="00951844"/>
    <w:rsid w:val="00955BCA"/>
    <w:rsid w:val="00960449"/>
    <w:rsid w:val="009616D7"/>
    <w:rsid w:val="0096170E"/>
    <w:rsid w:val="00962679"/>
    <w:rsid w:val="00971623"/>
    <w:rsid w:val="009732EC"/>
    <w:rsid w:val="00973622"/>
    <w:rsid w:val="0097594D"/>
    <w:rsid w:val="009821CE"/>
    <w:rsid w:val="00982D1F"/>
    <w:rsid w:val="00982E11"/>
    <w:rsid w:val="0098383C"/>
    <w:rsid w:val="009852CF"/>
    <w:rsid w:val="00985403"/>
    <w:rsid w:val="00985CA5"/>
    <w:rsid w:val="00985ECE"/>
    <w:rsid w:val="00987C7D"/>
    <w:rsid w:val="00994735"/>
    <w:rsid w:val="00995B71"/>
    <w:rsid w:val="00995D39"/>
    <w:rsid w:val="009964BC"/>
    <w:rsid w:val="00997EEA"/>
    <w:rsid w:val="009A0D37"/>
    <w:rsid w:val="009A284E"/>
    <w:rsid w:val="009A568F"/>
    <w:rsid w:val="009A658F"/>
    <w:rsid w:val="009A7674"/>
    <w:rsid w:val="009A7AAE"/>
    <w:rsid w:val="009B093E"/>
    <w:rsid w:val="009B0D15"/>
    <w:rsid w:val="009B124C"/>
    <w:rsid w:val="009B2E59"/>
    <w:rsid w:val="009B31A9"/>
    <w:rsid w:val="009B6946"/>
    <w:rsid w:val="009B7565"/>
    <w:rsid w:val="009C0393"/>
    <w:rsid w:val="009C2F0D"/>
    <w:rsid w:val="009C3FFD"/>
    <w:rsid w:val="009C450A"/>
    <w:rsid w:val="009C4620"/>
    <w:rsid w:val="009C7CA9"/>
    <w:rsid w:val="009D0C4F"/>
    <w:rsid w:val="009D2A76"/>
    <w:rsid w:val="009D3DFB"/>
    <w:rsid w:val="009D53B4"/>
    <w:rsid w:val="009D6426"/>
    <w:rsid w:val="009E006E"/>
    <w:rsid w:val="009E4431"/>
    <w:rsid w:val="009E6162"/>
    <w:rsid w:val="009E64BF"/>
    <w:rsid w:val="009F1BB0"/>
    <w:rsid w:val="009F318B"/>
    <w:rsid w:val="009F6605"/>
    <w:rsid w:val="009F67C8"/>
    <w:rsid w:val="009F726A"/>
    <w:rsid w:val="00A00C00"/>
    <w:rsid w:val="00A01C8F"/>
    <w:rsid w:val="00A01C99"/>
    <w:rsid w:val="00A02701"/>
    <w:rsid w:val="00A0621C"/>
    <w:rsid w:val="00A07000"/>
    <w:rsid w:val="00A0744F"/>
    <w:rsid w:val="00A1054F"/>
    <w:rsid w:val="00A10762"/>
    <w:rsid w:val="00A125D7"/>
    <w:rsid w:val="00A12833"/>
    <w:rsid w:val="00A140B8"/>
    <w:rsid w:val="00A147F7"/>
    <w:rsid w:val="00A17F3D"/>
    <w:rsid w:val="00A21DC9"/>
    <w:rsid w:val="00A22B63"/>
    <w:rsid w:val="00A23947"/>
    <w:rsid w:val="00A23CCD"/>
    <w:rsid w:val="00A23EB3"/>
    <w:rsid w:val="00A245F2"/>
    <w:rsid w:val="00A260CD"/>
    <w:rsid w:val="00A261E9"/>
    <w:rsid w:val="00A27EB2"/>
    <w:rsid w:val="00A30CC0"/>
    <w:rsid w:val="00A33432"/>
    <w:rsid w:val="00A34B9A"/>
    <w:rsid w:val="00A36819"/>
    <w:rsid w:val="00A3749B"/>
    <w:rsid w:val="00A37A0A"/>
    <w:rsid w:val="00A40E4D"/>
    <w:rsid w:val="00A41A5C"/>
    <w:rsid w:val="00A421DF"/>
    <w:rsid w:val="00A42E7F"/>
    <w:rsid w:val="00A44157"/>
    <w:rsid w:val="00A44A3F"/>
    <w:rsid w:val="00A45691"/>
    <w:rsid w:val="00A47B66"/>
    <w:rsid w:val="00A47E2D"/>
    <w:rsid w:val="00A50208"/>
    <w:rsid w:val="00A5096A"/>
    <w:rsid w:val="00A525E2"/>
    <w:rsid w:val="00A54344"/>
    <w:rsid w:val="00A54A2B"/>
    <w:rsid w:val="00A54C89"/>
    <w:rsid w:val="00A55FC7"/>
    <w:rsid w:val="00A56B7A"/>
    <w:rsid w:val="00A57497"/>
    <w:rsid w:val="00A57A27"/>
    <w:rsid w:val="00A57D76"/>
    <w:rsid w:val="00A625FC"/>
    <w:rsid w:val="00A62E42"/>
    <w:rsid w:val="00A64641"/>
    <w:rsid w:val="00A64832"/>
    <w:rsid w:val="00A64A71"/>
    <w:rsid w:val="00A64CF0"/>
    <w:rsid w:val="00A66899"/>
    <w:rsid w:val="00A7062E"/>
    <w:rsid w:val="00A70AA3"/>
    <w:rsid w:val="00A71F0F"/>
    <w:rsid w:val="00A73DFC"/>
    <w:rsid w:val="00A75096"/>
    <w:rsid w:val="00A76F31"/>
    <w:rsid w:val="00A7782A"/>
    <w:rsid w:val="00A807AB"/>
    <w:rsid w:val="00A81272"/>
    <w:rsid w:val="00A82EFF"/>
    <w:rsid w:val="00A833B6"/>
    <w:rsid w:val="00A835C9"/>
    <w:rsid w:val="00A8565C"/>
    <w:rsid w:val="00A86D24"/>
    <w:rsid w:val="00A87197"/>
    <w:rsid w:val="00A87A78"/>
    <w:rsid w:val="00A9124E"/>
    <w:rsid w:val="00A9238E"/>
    <w:rsid w:val="00A93C04"/>
    <w:rsid w:val="00A94A4B"/>
    <w:rsid w:val="00AA0813"/>
    <w:rsid w:val="00AA2574"/>
    <w:rsid w:val="00AA293B"/>
    <w:rsid w:val="00AA52DA"/>
    <w:rsid w:val="00AA547B"/>
    <w:rsid w:val="00AA54A6"/>
    <w:rsid w:val="00AA6280"/>
    <w:rsid w:val="00AB0B3D"/>
    <w:rsid w:val="00AB16CB"/>
    <w:rsid w:val="00AB23D2"/>
    <w:rsid w:val="00AB4B6F"/>
    <w:rsid w:val="00AB52A9"/>
    <w:rsid w:val="00AB5D7C"/>
    <w:rsid w:val="00AB6427"/>
    <w:rsid w:val="00AB650B"/>
    <w:rsid w:val="00AB7433"/>
    <w:rsid w:val="00AC033F"/>
    <w:rsid w:val="00AC2E6D"/>
    <w:rsid w:val="00AC52F2"/>
    <w:rsid w:val="00AD0639"/>
    <w:rsid w:val="00AD07CF"/>
    <w:rsid w:val="00AD6A42"/>
    <w:rsid w:val="00AE146D"/>
    <w:rsid w:val="00AE29D6"/>
    <w:rsid w:val="00AE2F90"/>
    <w:rsid w:val="00AE490A"/>
    <w:rsid w:val="00AE590D"/>
    <w:rsid w:val="00AE5DDE"/>
    <w:rsid w:val="00AE6817"/>
    <w:rsid w:val="00AF0AA7"/>
    <w:rsid w:val="00AF0D02"/>
    <w:rsid w:val="00AF1A7F"/>
    <w:rsid w:val="00AF25E4"/>
    <w:rsid w:val="00AF3CC7"/>
    <w:rsid w:val="00B00781"/>
    <w:rsid w:val="00B0166B"/>
    <w:rsid w:val="00B0181B"/>
    <w:rsid w:val="00B018E4"/>
    <w:rsid w:val="00B025FD"/>
    <w:rsid w:val="00B047DF"/>
    <w:rsid w:val="00B05958"/>
    <w:rsid w:val="00B101C7"/>
    <w:rsid w:val="00B10B2B"/>
    <w:rsid w:val="00B10DCF"/>
    <w:rsid w:val="00B1133A"/>
    <w:rsid w:val="00B14D72"/>
    <w:rsid w:val="00B16570"/>
    <w:rsid w:val="00B174C6"/>
    <w:rsid w:val="00B2147A"/>
    <w:rsid w:val="00B2522D"/>
    <w:rsid w:val="00B27F7B"/>
    <w:rsid w:val="00B3149D"/>
    <w:rsid w:val="00B32025"/>
    <w:rsid w:val="00B3203C"/>
    <w:rsid w:val="00B34C28"/>
    <w:rsid w:val="00B3658F"/>
    <w:rsid w:val="00B36EA1"/>
    <w:rsid w:val="00B40125"/>
    <w:rsid w:val="00B411F9"/>
    <w:rsid w:val="00B42543"/>
    <w:rsid w:val="00B439FC"/>
    <w:rsid w:val="00B459EE"/>
    <w:rsid w:val="00B46684"/>
    <w:rsid w:val="00B46BF1"/>
    <w:rsid w:val="00B51FC3"/>
    <w:rsid w:val="00B5218A"/>
    <w:rsid w:val="00B5674A"/>
    <w:rsid w:val="00B56C33"/>
    <w:rsid w:val="00B60F7B"/>
    <w:rsid w:val="00B629D4"/>
    <w:rsid w:val="00B639C2"/>
    <w:rsid w:val="00B65C5D"/>
    <w:rsid w:val="00B731E9"/>
    <w:rsid w:val="00B733A1"/>
    <w:rsid w:val="00B7577C"/>
    <w:rsid w:val="00B758ED"/>
    <w:rsid w:val="00B75A83"/>
    <w:rsid w:val="00B75D2A"/>
    <w:rsid w:val="00B76247"/>
    <w:rsid w:val="00B76A71"/>
    <w:rsid w:val="00B770FF"/>
    <w:rsid w:val="00B77A70"/>
    <w:rsid w:val="00B82069"/>
    <w:rsid w:val="00B82EF9"/>
    <w:rsid w:val="00B843F3"/>
    <w:rsid w:val="00B878B1"/>
    <w:rsid w:val="00B87927"/>
    <w:rsid w:val="00B90021"/>
    <w:rsid w:val="00B90184"/>
    <w:rsid w:val="00B9107E"/>
    <w:rsid w:val="00B914C5"/>
    <w:rsid w:val="00B917D8"/>
    <w:rsid w:val="00B91CCF"/>
    <w:rsid w:val="00B92619"/>
    <w:rsid w:val="00B92B9D"/>
    <w:rsid w:val="00BA0B97"/>
    <w:rsid w:val="00BA0D63"/>
    <w:rsid w:val="00BA1DAD"/>
    <w:rsid w:val="00BA1F00"/>
    <w:rsid w:val="00BA217A"/>
    <w:rsid w:val="00BA2432"/>
    <w:rsid w:val="00BA388D"/>
    <w:rsid w:val="00BA4B35"/>
    <w:rsid w:val="00BA4D22"/>
    <w:rsid w:val="00BA4D8E"/>
    <w:rsid w:val="00BA5425"/>
    <w:rsid w:val="00BA768A"/>
    <w:rsid w:val="00BB1AEF"/>
    <w:rsid w:val="00BB2145"/>
    <w:rsid w:val="00BB2DDD"/>
    <w:rsid w:val="00BB2EFD"/>
    <w:rsid w:val="00BB75F9"/>
    <w:rsid w:val="00BC21FE"/>
    <w:rsid w:val="00BC35DB"/>
    <w:rsid w:val="00BC4F1E"/>
    <w:rsid w:val="00BC6033"/>
    <w:rsid w:val="00BC76E4"/>
    <w:rsid w:val="00BC7C6F"/>
    <w:rsid w:val="00BD07AA"/>
    <w:rsid w:val="00BD15A9"/>
    <w:rsid w:val="00BD19A4"/>
    <w:rsid w:val="00BD354A"/>
    <w:rsid w:val="00BD3E91"/>
    <w:rsid w:val="00BD5129"/>
    <w:rsid w:val="00BD5650"/>
    <w:rsid w:val="00BD5C01"/>
    <w:rsid w:val="00BD5CE8"/>
    <w:rsid w:val="00BD7616"/>
    <w:rsid w:val="00BE0F06"/>
    <w:rsid w:val="00BE135C"/>
    <w:rsid w:val="00BE1F32"/>
    <w:rsid w:val="00BE393C"/>
    <w:rsid w:val="00BE5795"/>
    <w:rsid w:val="00BE65A0"/>
    <w:rsid w:val="00BE67A8"/>
    <w:rsid w:val="00BE714F"/>
    <w:rsid w:val="00BF2A5D"/>
    <w:rsid w:val="00BF2D9F"/>
    <w:rsid w:val="00BF376D"/>
    <w:rsid w:val="00BF48B4"/>
    <w:rsid w:val="00BF4AB8"/>
    <w:rsid w:val="00BF6A91"/>
    <w:rsid w:val="00C00C56"/>
    <w:rsid w:val="00C07D22"/>
    <w:rsid w:val="00C11241"/>
    <w:rsid w:val="00C132E0"/>
    <w:rsid w:val="00C154AF"/>
    <w:rsid w:val="00C158BE"/>
    <w:rsid w:val="00C1769D"/>
    <w:rsid w:val="00C17743"/>
    <w:rsid w:val="00C177D6"/>
    <w:rsid w:val="00C177F1"/>
    <w:rsid w:val="00C17C99"/>
    <w:rsid w:val="00C2068B"/>
    <w:rsid w:val="00C21F10"/>
    <w:rsid w:val="00C2273E"/>
    <w:rsid w:val="00C23EFF"/>
    <w:rsid w:val="00C241CA"/>
    <w:rsid w:val="00C2500F"/>
    <w:rsid w:val="00C2592F"/>
    <w:rsid w:val="00C26256"/>
    <w:rsid w:val="00C268B2"/>
    <w:rsid w:val="00C30297"/>
    <w:rsid w:val="00C31759"/>
    <w:rsid w:val="00C31A99"/>
    <w:rsid w:val="00C338EB"/>
    <w:rsid w:val="00C33CA1"/>
    <w:rsid w:val="00C342C1"/>
    <w:rsid w:val="00C34870"/>
    <w:rsid w:val="00C363EC"/>
    <w:rsid w:val="00C37BC8"/>
    <w:rsid w:val="00C37F38"/>
    <w:rsid w:val="00C40973"/>
    <w:rsid w:val="00C40B58"/>
    <w:rsid w:val="00C43647"/>
    <w:rsid w:val="00C4598A"/>
    <w:rsid w:val="00C46915"/>
    <w:rsid w:val="00C471C4"/>
    <w:rsid w:val="00C5092D"/>
    <w:rsid w:val="00C52F06"/>
    <w:rsid w:val="00C539E3"/>
    <w:rsid w:val="00C54427"/>
    <w:rsid w:val="00C54BCA"/>
    <w:rsid w:val="00C54E4E"/>
    <w:rsid w:val="00C54F66"/>
    <w:rsid w:val="00C55218"/>
    <w:rsid w:val="00C55D5F"/>
    <w:rsid w:val="00C55E22"/>
    <w:rsid w:val="00C56F4C"/>
    <w:rsid w:val="00C62FBB"/>
    <w:rsid w:val="00C64EAB"/>
    <w:rsid w:val="00C663AB"/>
    <w:rsid w:val="00C6757E"/>
    <w:rsid w:val="00C71230"/>
    <w:rsid w:val="00C72B31"/>
    <w:rsid w:val="00C75D3F"/>
    <w:rsid w:val="00C802B0"/>
    <w:rsid w:val="00C80362"/>
    <w:rsid w:val="00C81D77"/>
    <w:rsid w:val="00C844C9"/>
    <w:rsid w:val="00C84BAF"/>
    <w:rsid w:val="00C85314"/>
    <w:rsid w:val="00C85702"/>
    <w:rsid w:val="00C85B39"/>
    <w:rsid w:val="00C864C8"/>
    <w:rsid w:val="00C867BA"/>
    <w:rsid w:val="00C875EA"/>
    <w:rsid w:val="00C9158E"/>
    <w:rsid w:val="00C93B14"/>
    <w:rsid w:val="00C951BB"/>
    <w:rsid w:val="00C95BFB"/>
    <w:rsid w:val="00CA073B"/>
    <w:rsid w:val="00CA2B6A"/>
    <w:rsid w:val="00CA46D6"/>
    <w:rsid w:val="00CA4BC0"/>
    <w:rsid w:val="00CA7DA4"/>
    <w:rsid w:val="00CB030A"/>
    <w:rsid w:val="00CB2970"/>
    <w:rsid w:val="00CB2E61"/>
    <w:rsid w:val="00CB5A2C"/>
    <w:rsid w:val="00CB5FBA"/>
    <w:rsid w:val="00CB616F"/>
    <w:rsid w:val="00CB715D"/>
    <w:rsid w:val="00CC001E"/>
    <w:rsid w:val="00CC1998"/>
    <w:rsid w:val="00CC4E72"/>
    <w:rsid w:val="00CC52AB"/>
    <w:rsid w:val="00CC559D"/>
    <w:rsid w:val="00CD1F97"/>
    <w:rsid w:val="00CD398F"/>
    <w:rsid w:val="00CD52B5"/>
    <w:rsid w:val="00CD654B"/>
    <w:rsid w:val="00CD6BD4"/>
    <w:rsid w:val="00CD7C31"/>
    <w:rsid w:val="00CE11CB"/>
    <w:rsid w:val="00CE223E"/>
    <w:rsid w:val="00CE2F7D"/>
    <w:rsid w:val="00CE378E"/>
    <w:rsid w:val="00CE4BE6"/>
    <w:rsid w:val="00CE775A"/>
    <w:rsid w:val="00CE7DA1"/>
    <w:rsid w:val="00CF12CB"/>
    <w:rsid w:val="00CF16CA"/>
    <w:rsid w:val="00CF37B1"/>
    <w:rsid w:val="00CF6D50"/>
    <w:rsid w:val="00CF706B"/>
    <w:rsid w:val="00CF7967"/>
    <w:rsid w:val="00D0003C"/>
    <w:rsid w:val="00D0527E"/>
    <w:rsid w:val="00D052DE"/>
    <w:rsid w:val="00D06C1F"/>
    <w:rsid w:val="00D07551"/>
    <w:rsid w:val="00D12BAC"/>
    <w:rsid w:val="00D145F5"/>
    <w:rsid w:val="00D17F25"/>
    <w:rsid w:val="00D21427"/>
    <w:rsid w:val="00D23273"/>
    <w:rsid w:val="00D24217"/>
    <w:rsid w:val="00D24E30"/>
    <w:rsid w:val="00D25396"/>
    <w:rsid w:val="00D27B17"/>
    <w:rsid w:val="00D31DF5"/>
    <w:rsid w:val="00D32454"/>
    <w:rsid w:val="00D33987"/>
    <w:rsid w:val="00D33ABE"/>
    <w:rsid w:val="00D33CC9"/>
    <w:rsid w:val="00D34538"/>
    <w:rsid w:val="00D34B3E"/>
    <w:rsid w:val="00D35022"/>
    <w:rsid w:val="00D350A9"/>
    <w:rsid w:val="00D355F0"/>
    <w:rsid w:val="00D40ADE"/>
    <w:rsid w:val="00D40B6B"/>
    <w:rsid w:val="00D426BA"/>
    <w:rsid w:val="00D42F76"/>
    <w:rsid w:val="00D44150"/>
    <w:rsid w:val="00D45412"/>
    <w:rsid w:val="00D45AF8"/>
    <w:rsid w:val="00D46EC7"/>
    <w:rsid w:val="00D4763B"/>
    <w:rsid w:val="00D51C05"/>
    <w:rsid w:val="00D57F6A"/>
    <w:rsid w:val="00D600A0"/>
    <w:rsid w:val="00D624C6"/>
    <w:rsid w:val="00D72A6B"/>
    <w:rsid w:val="00D737DA"/>
    <w:rsid w:val="00D73A0C"/>
    <w:rsid w:val="00D76C90"/>
    <w:rsid w:val="00D76D17"/>
    <w:rsid w:val="00D76F97"/>
    <w:rsid w:val="00D80AD4"/>
    <w:rsid w:val="00D81060"/>
    <w:rsid w:val="00D81789"/>
    <w:rsid w:val="00D83BD9"/>
    <w:rsid w:val="00D87BAA"/>
    <w:rsid w:val="00D90B24"/>
    <w:rsid w:val="00D91E1B"/>
    <w:rsid w:val="00D95FB9"/>
    <w:rsid w:val="00D96DEC"/>
    <w:rsid w:val="00DA012E"/>
    <w:rsid w:val="00DA1AE7"/>
    <w:rsid w:val="00DA34F4"/>
    <w:rsid w:val="00DA35F5"/>
    <w:rsid w:val="00DA4615"/>
    <w:rsid w:val="00DA5E5C"/>
    <w:rsid w:val="00DA67D8"/>
    <w:rsid w:val="00DA686B"/>
    <w:rsid w:val="00DB0885"/>
    <w:rsid w:val="00DB24BD"/>
    <w:rsid w:val="00DB439A"/>
    <w:rsid w:val="00DB5484"/>
    <w:rsid w:val="00DB5C60"/>
    <w:rsid w:val="00DB7636"/>
    <w:rsid w:val="00DB7F09"/>
    <w:rsid w:val="00DC00E8"/>
    <w:rsid w:val="00DC303F"/>
    <w:rsid w:val="00DC3AFE"/>
    <w:rsid w:val="00DC3DEC"/>
    <w:rsid w:val="00DC5D7D"/>
    <w:rsid w:val="00DC64F0"/>
    <w:rsid w:val="00DC6984"/>
    <w:rsid w:val="00DC6CB2"/>
    <w:rsid w:val="00DD3811"/>
    <w:rsid w:val="00DD43F1"/>
    <w:rsid w:val="00DD4537"/>
    <w:rsid w:val="00DD48B8"/>
    <w:rsid w:val="00DD5414"/>
    <w:rsid w:val="00DD6CD8"/>
    <w:rsid w:val="00DE033E"/>
    <w:rsid w:val="00DE045D"/>
    <w:rsid w:val="00DE1756"/>
    <w:rsid w:val="00DE3AF3"/>
    <w:rsid w:val="00DE4D7C"/>
    <w:rsid w:val="00DE5658"/>
    <w:rsid w:val="00DE72F2"/>
    <w:rsid w:val="00DF0199"/>
    <w:rsid w:val="00DF1B47"/>
    <w:rsid w:val="00DF24F8"/>
    <w:rsid w:val="00DF3737"/>
    <w:rsid w:val="00DF3D0D"/>
    <w:rsid w:val="00DF400C"/>
    <w:rsid w:val="00DF4F5E"/>
    <w:rsid w:val="00E04F03"/>
    <w:rsid w:val="00E05198"/>
    <w:rsid w:val="00E10D39"/>
    <w:rsid w:val="00E1136B"/>
    <w:rsid w:val="00E1288A"/>
    <w:rsid w:val="00E12BBB"/>
    <w:rsid w:val="00E14678"/>
    <w:rsid w:val="00E15DF6"/>
    <w:rsid w:val="00E17FE5"/>
    <w:rsid w:val="00E20D4D"/>
    <w:rsid w:val="00E2108D"/>
    <w:rsid w:val="00E219D6"/>
    <w:rsid w:val="00E22D51"/>
    <w:rsid w:val="00E249EE"/>
    <w:rsid w:val="00E27BE8"/>
    <w:rsid w:val="00E302FE"/>
    <w:rsid w:val="00E304C3"/>
    <w:rsid w:val="00E31253"/>
    <w:rsid w:val="00E31A6B"/>
    <w:rsid w:val="00E339B9"/>
    <w:rsid w:val="00E344DE"/>
    <w:rsid w:val="00E34F89"/>
    <w:rsid w:val="00E35FA1"/>
    <w:rsid w:val="00E37306"/>
    <w:rsid w:val="00E41647"/>
    <w:rsid w:val="00E41F99"/>
    <w:rsid w:val="00E50D97"/>
    <w:rsid w:val="00E50E66"/>
    <w:rsid w:val="00E50E7C"/>
    <w:rsid w:val="00E51545"/>
    <w:rsid w:val="00E51C7C"/>
    <w:rsid w:val="00E521BA"/>
    <w:rsid w:val="00E55326"/>
    <w:rsid w:val="00E55A85"/>
    <w:rsid w:val="00E6051B"/>
    <w:rsid w:val="00E6063F"/>
    <w:rsid w:val="00E62EF0"/>
    <w:rsid w:val="00E647E5"/>
    <w:rsid w:val="00E64FAB"/>
    <w:rsid w:val="00E7048F"/>
    <w:rsid w:val="00E711D7"/>
    <w:rsid w:val="00E7191B"/>
    <w:rsid w:val="00E72765"/>
    <w:rsid w:val="00E729CA"/>
    <w:rsid w:val="00E742C7"/>
    <w:rsid w:val="00E75ADF"/>
    <w:rsid w:val="00E75F33"/>
    <w:rsid w:val="00E760D4"/>
    <w:rsid w:val="00E76884"/>
    <w:rsid w:val="00E77AD0"/>
    <w:rsid w:val="00E82664"/>
    <w:rsid w:val="00E829FA"/>
    <w:rsid w:val="00E836B7"/>
    <w:rsid w:val="00E86DDC"/>
    <w:rsid w:val="00E877FF"/>
    <w:rsid w:val="00E902B0"/>
    <w:rsid w:val="00E902E8"/>
    <w:rsid w:val="00E92453"/>
    <w:rsid w:val="00E94A26"/>
    <w:rsid w:val="00E94D69"/>
    <w:rsid w:val="00E954CC"/>
    <w:rsid w:val="00E96169"/>
    <w:rsid w:val="00E9773B"/>
    <w:rsid w:val="00EA0C81"/>
    <w:rsid w:val="00EA56E7"/>
    <w:rsid w:val="00EA7CB6"/>
    <w:rsid w:val="00EB0014"/>
    <w:rsid w:val="00EB030F"/>
    <w:rsid w:val="00EB1D82"/>
    <w:rsid w:val="00EB3931"/>
    <w:rsid w:val="00EB5AF8"/>
    <w:rsid w:val="00EB5BD3"/>
    <w:rsid w:val="00EC00E1"/>
    <w:rsid w:val="00EC0422"/>
    <w:rsid w:val="00EC0FFC"/>
    <w:rsid w:val="00EC21FB"/>
    <w:rsid w:val="00EC4B89"/>
    <w:rsid w:val="00EC5E5D"/>
    <w:rsid w:val="00EC6B16"/>
    <w:rsid w:val="00EC6DC8"/>
    <w:rsid w:val="00EC79AB"/>
    <w:rsid w:val="00EC7A3A"/>
    <w:rsid w:val="00ED1462"/>
    <w:rsid w:val="00ED228C"/>
    <w:rsid w:val="00ED4E5B"/>
    <w:rsid w:val="00ED53CB"/>
    <w:rsid w:val="00EE1941"/>
    <w:rsid w:val="00EE19AA"/>
    <w:rsid w:val="00EE1A79"/>
    <w:rsid w:val="00EE30E6"/>
    <w:rsid w:val="00EE333D"/>
    <w:rsid w:val="00EE5118"/>
    <w:rsid w:val="00EE567D"/>
    <w:rsid w:val="00EE677F"/>
    <w:rsid w:val="00EF04C4"/>
    <w:rsid w:val="00EF0661"/>
    <w:rsid w:val="00EF462A"/>
    <w:rsid w:val="00EF4FAE"/>
    <w:rsid w:val="00EF50A7"/>
    <w:rsid w:val="00EF5DE8"/>
    <w:rsid w:val="00EF6ACB"/>
    <w:rsid w:val="00F0082D"/>
    <w:rsid w:val="00F03BE2"/>
    <w:rsid w:val="00F0518D"/>
    <w:rsid w:val="00F07C90"/>
    <w:rsid w:val="00F10D20"/>
    <w:rsid w:val="00F11DA8"/>
    <w:rsid w:val="00F12855"/>
    <w:rsid w:val="00F12C49"/>
    <w:rsid w:val="00F14319"/>
    <w:rsid w:val="00F16B71"/>
    <w:rsid w:val="00F20469"/>
    <w:rsid w:val="00F2156E"/>
    <w:rsid w:val="00F23627"/>
    <w:rsid w:val="00F2372B"/>
    <w:rsid w:val="00F30202"/>
    <w:rsid w:val="00F306C0"/>
    <w:rsid w:val="00F319F4"/>
    <w:rsid w:val="00F31B0A"/>
    <w:rsid w:val="00F323D9"/>
    <w:rsid w:val="00F32499"/>
    <w:rsid w:val="00F326BC"/>
    <w:rsid w:val="00F35C5D"/>
    <w:rsid w:val="00F3648A"/>
    <w:rsid w:val="00F36840"/>
    <w:rsid w:val="00F37EFF"/>
    <w:rsid w:val="00F42BF2"/>
    <w:rsid w:val="00F456ED"/>
    <w:rsid w:val="00F45ACE"/>
    <w:rsid w:val="00F4632F"/>
    <w:rsid w:val="00F47D9E"/>
    <w:rsid w:val="00F51B88"/>
    <w:rsid w:val="00F52758"/>
    <w:rsid w:val="00F561A0"/>
    <w:rsid w:val="00F56BD4"/>
    <w:rsid w:val="00F61402"/>
    <w:rsid w:val="00F65796"/>
    <w:rsid w:val="00F66B9F"/>
    <w:rsid w:val="00F70AEF"/>
    <w:rsid w:val="00F71A0E"/>
    <w:rsid w:val="00F737B7"/>
    <w:rsid w:val="00F7396B"/>
    <w:rsid w:val="00F75914"/>
    <w:rsid w:val="00F75A35"/>
    <w:rsid w:val="00F81874"/>
    <w:rsid w:val="00F82BEF"/>
    <w:rsid w:val="00F832D5"/>
    <w:rsid w:val="00F8503B"/>
    <w:rsid w:val="00F91F85"/>
    <w:rsid w:val="00F92279"/>
    <w:rsid w:val="00F92ABB"/>
    <w:rsid w:val="00F937E2"/>
    <w:rsid w:val="00F9497E"/>
    <w:rsid w:val="00F95390"/>
    <w:rsid w:val="00F96455"/>
    <w:rsid w:val="00F967CF"/>
    <w:rsid w:val="00FA023E"/>
    <w:rsid w:val="00FA02F7"/>
    <w:rsid w:val="00FA08CF"/>
    <w:rsid w:val="00FA1B50"/>
    <w:rsid w:val="00FA1D40"/>
    <w:rsid w:val="00FA359F"/>
    <w:rsid w:val="00FA3947"/>
    <w:rsid w:val="00FA4850"/>
    <w:rsid w:val="00FB0B69"/>
    <w:rsid w:val="00FB1845"/>
    <w:rsid w:val="00FB20A8"/>
    <w:rsid w:val="00FB214A"/>
    <w:rsid w:val="00FB4A8C"/>
    <w:rsid w:val="00FB5A4C"/>
    <w:rsid w:val="00FB64AA"/>
    <w:rsid w:val="00FB66E6"/>
    <w:rsid w:val="00FB723B"/>
    <w:rsid w:val="00FB7988"/>
    <w:rsid w:val="00FC0516"/>
    <w:rsid w:val="00FC2BD9"/>
    <w:rsid w:val="00FC378D"/>
    <w:rsid w:val="00FC5ACF"/>
    <w:rsid w:val="00FC6ADA"/>
    <w:rsid w:val="00FD195C"/>
    <w:rsid w:val="00FD1D8E"/>
    <w:rsid w:val="00FD289D"/>
    <w:rsid w:val="00FD2A2E"/>
    <w:rsid w:val="00FD3818"/>
    <w:rsid w:val="00FD3908"/>
    <w:rsid w:val="00FD401F"/>
    <w:rsid w:val="00FD46C8"/>
    <w:rsid w:val="00FD58DF"/>
    <w:rsid w:val="00FD7A2D"/>
    <w:rsid w:val="00FD7AB4"/>
    <w:rsid w:val="00FD7C51"/>
    <w:rsid w:val="00FE2C00"/>
    <w:rsid w:val="00FE3DF6"/>
    <w:rsid w:val="00FE3E95"/>
    <w:rsid w:val="00FE6B58"/>
    <w:rsid w:val="00FF051B"/>
    <w:rsid w:val="00FF07C1"/>
    <w:rsid w:val="00FF7A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759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2E"/>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A7062E"/>
    <w:pPr>
      <w:pBdr>
        <w:bottom w:val="single" w:sz="8" w:space="10" w:color="004A7F"/>
      </w:pBdr>
      <w:spacing w:after="480"/>
      <w:outlineLvl w:val="0"/>
    </w:pPr>
    <w:rPr>
      <w:b/>
      <w:bCs w:val="0"/>
      <w:caps/>
      <w:sz w:val="40"/>
    </w:rPr>
  </w:style>
  <w:style w:type="paragraph" w:styleId="Heading2">
    <w:name w:val="heading 2"/>
    <w:basedOn w:val="HeadingBase"/>
    <w:next w:val="Normal"/>
    <w:link w:val="Heading2Char"/>
    <w:qFormat/>
    <w:rsid w:val="00DA35F5"/>
    <w:pPr>
      <w:tabs>
        <w:tab w:val="left" w:pos="567"/>
      </w:tabs>
      <w:spacing w:before="240" w:after="240"/>
      <w:ind w:left="567" w:hanging="567"/>
      <w:outlineLvl w:val="1"/>
    </w:pPr>
    <w:rPr>
      <w:b/>
      <w:bCs w:val="0"/>
      <w:iCs/>
      <w:smallCaps/>
      <w:sz w:val="36"/>
      <w:szCs w:val="28"/>
    </w:rPr>
  </w:style>
  <w:style w:type="paragraph" w:styleId="Heading3">
    <w:name w:val="heading 3"/>
    <w:basedOn w:val="HeadingBase"/>
    <w:next w:val="Normal"/>
    <w:link w:val="Heading3Char"/>
    <w:qFormat/>
    <w:rsid w:val="00104E3A"/>
    <w:pPr>
      <w:spacing w:before="240" w:after="180"/>
      <w:outlineLvl w:val="2"/>
    </w:pPr>
    <w:rPr>
      <w:b/>
      <w:bCs w:val="0"/>
      <w:sz w:val="30"/>
      <w:szCs w:val="26"/>
    </w:rPr>
  </w:style>
  <w:style w:type="paragraph" w:styleId="Heading4">
    <w:name w:val="heading 4"/>
    <w:basedOn w:val="HeadingBase"/>
    <w:next w:val="Normal"/>
    <w:link w:val="Heading4Char"/>
    <w:qFormat/>
    <w:rsid w:val="00AE6817"/>
    <w:pPr>
      <w:spacing w:before="180" w:after="180"/>
      <w:outlineLvl w:val="3"/>
    </w:pPr>
    <w:rPr>
      <w:b/>
      <w:bCs w:val="0"/>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62E"/>
    <w:rPr>
      <w:rFonts w:ascii="Calibri" w:eastAsia="Times New Roman" w:hAnsi="Calibri" w:cs="Arial"/>
      <w:b/>
      <w:caps/>
      <w:color w:val="004A7F"/>
      <w:kern w:val="32"/>
      <w:sz w:val="40"/>
      <w:szCs w:val="36"/>
      <w:lang w:eastAsia="en-AU"/>
    </w:rPr>
  </w:style>
  <w:style w:type="character" w:customStyle="1" w:styleId="Heading2Char">
    <w:name w:val="Heading 2 Char"/>
    <w:basedOn w:val="DefaultParagraphFont"/>
    <w:link w:val="Heading2"/>
    <w:rsid w:val="00DA35F5"/>
    <w:rPr>
      <w:rFonts w:ascii="Calibri" w:eastAsia="Times New Roman" w:hAnsi="Calibri" w:cs="Arial"/>
      <w:b/>
      <w:iCs/>
      <w:smallCaps/>
      <w:color w:val="004A7F"/>
      <w:kern w:val="32"/>
      <w:sz w:val="36"/>
      <w:szCs w:val="28"/>
      <w:lang w:eastAsia="en-AU"/>
    </w:rPr>
  </w:style>
  <w:style w:type="character" w:customStyle="1" w:styleId="Heading3Char">
    <w:name w:val="Heading 3 Char"/>
    <w:basedOn w:val="DefaultParagraphFont"/>
    <w:link w:val="Heading3"/>
    <w:rsid w:val="00104E3A"/>
    <w:rPr>
      <w:rFonts w:ascii="Calibri" w:eastAsia="Times New Roman" w:hAnsi="Calibri" w:cs="Arial"/>
      <w:b/>
      <w:color w:val="004A7F"/>
      <w:kern w:val="32"/>
      <w:sz w:val="30"/>
      <w:szCs w:val="26"/>
      <w:lang w:eastAsia="en-AU"/>
    </w:rPr>
  </w:style>
  <w:style w:type="character" w:customStyle="1" w:styleId="Heading4Char">
    <w:name w:val="Heading 4 Char"/>
    <w:basedOn w:val="DefaultParagraphFont"/>
    <w:link w:val="Heading4"/>
    <w:rsid w:val="00AE6817"/>
    <w:rPr>
      <w:rFonts w:ascii="Calibri" w:eastAsia="Times New Roman" w:hAnsi="Calibri" w:cs="Arial"/>
      <w:b/>
      <w:color w:val="004A7F"/>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AE6817"/>
    <w:pPr>
      <w:keepNext/>
      <w:spacing w:after="0" w:line="240" w:lineRule="auto"/>
      <w:jc w:val="center"/>
    </w:pPr>
    <w:rPr>
      <w:color w:val="004A7F"/>
      <w:sz w:val="20"/>
    </w:rPr>
  </w:style>
  <w:style w:type="paragraph" w:customStyle="1" w:styleId="AlphaParagraph">
    <w:name w:val="Alpha Paragraph"/>
    <w:basedOn w:val="Normal"/>
    <w:qFormat/>
    <w:rsid w:val="000E0B74"/>
    <w:pPr>
      <w:numPr>
        <w:ilvl w:val="1"/>
        <w:numId w:val="9"/>
      </w:numPr>
    </w:pPr>
  </w:style>
  <w:style w:type="paragraph" w:customStyle="1" w:styleId="BoxBullet">
    <w:name w:val="Box Bullet"/>
    <w:basedOn w:val="Normal"/>
    <w:rsid w:val="00AE6817"/>
    <w:pPr>
      <w:numPr>
        <w:numId w:val="2"/>
      </w:numPr>
      <w:tabs>
        <w:tab w:val="clear" w:pos="283"/>
        <w:tab w:val="num" w:pos="851"/>
      </w:tabs>
      <w:ind w:left="850" w:right="57" w:hanging="425"/>
    </w:pPr>
  </w:style>
  <w:style w:type="paragraph" w:customStyle="1" w:styleId="BoxDash">
    <w:name w:val="Box Dash"/>
    <w:basedOn w:val="Normal"/>
    <w:rsid w:val="000E0B74"/>
    <w:pPr>
      <w:numPr>
        <w:ilvl w:val="1"/>
        <w:numId w:val="2"/>
      </w:numPr>
      <w:ind w:left="568"/>
    </w:pPr>
  </w:style>
  <w:style w:type="paragraph" w:customStyle="1" w:styleId="BoxDoubleDot">
    <w:name w:val="Box Double Dot"/>
    <w:basedOn w:val="Normal"/>
    <w:rsid w:val="000E0B74"/>
    <w:pPr>
      <w:numPr>
        <w:ilvl w:val="2"/>
        <w:numId w:val="2"/>
      </w:numPr>
      <w:ind w:left="851" w:hanging="284"/>
    </w:pPr>
  </w:style>
  <w:style w:type="paragraph" w:customStyle="1" w:styleId="BoxHeading">
    <w:name w:val="Box Heading"/>
    <w:basedOn w:val="Normal"/>
    <w:next w:val="Normal"/>
    <w:rsid w:val="00F11DA8"/>
    <w:pPr>
      <w:keepNext/>
      <w:spacing w:before="120" w:after="120" w:line="240" w:lineRule="auto"/>
      <w:jc w:val="left"/>
    </w:pPr>
    <w:rPr>
      <w:b/>
      <w:caps/>
      <w:color w:val="004A7F"/>
      <w:sz w:val="24"/>
      <w:szCs w:val="26"/>
    </w:rPr>
  </w:style>
  <w:style w:type="paragraph" w:customStyle="1" w:styleId="BoxText">
    <w:name w:val="Box Text"/>
    <w:basedOn w:val="Normal"/>
    <w:rsid w:val="000E0B74"/>
  </w:style>
  <w:style w:type="paragraph" w:customStyle="1" w:styleId="Bullet">
    <w:name w:val="Bullet"/>
    <w:aliases w:val="b,b1,b + line,Body,level 1,Bullet + line"/>
    <w:basedOn w:val="Normal"/>
    <w:link w:val="BulletChar"/>
    <w:qFormat/>
    <w:rsid w:val="00A7062E"/>
    <w:pPr>
      <w:numPr>
        <w:numId w:val="1"/>
      </w:numPr>
      <w:tabs>
        <w:tab w:val="clear" w:pos="283"/>
        <w:tab w:val="num" w:pos="425"/>
      </w:tabs>
      <w:ind w:left="425" w:hanging="425"/>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after="360"/>
      <w:ind w:right="139"/>
      <w:jc w:val="right"/>
    </w:pPr>
    <w:rPr>
      <w:color w:val="004A7F"/>
      <w:sz w:val="44"/>
    </w:rPr>
  </w:style>
  <w:style w:type="paragraph" w:customStyle="1" w:styleId="Dash">
    <w:name w:val="Dash"/>
    <w:basedOn w:val="Normal"/>
    <w:uiPriority w:val="99"/>
    <w:qFormat/>
    <w:rsid w:val="00FD2A2E"/>
    <w:pPr>
      <w:numPr>
        <w:ilvl w:val="1"/>
        <w:numId w:val="1"/>
      </w:numPr>
      <w:tabs>
        <w:tab w:val="clear" w:pos="567"/>
        <w:tab w:val="num" w:pos="851"/>
      </w:tabs>
      <w:ind w:left="851" w:hanging="425"/>
    </w:pPr>
  </w:style>
  <w:style w:type="paragraph" w:customStyle="1" w:styleId="DoubleDot">
    <w:name w:val="Double Dot"/>
    <w:basedOn w:val="Normal"/>
    <w:uiPriority w:val="99"/>
    <w:qFormat/>
    <w:rsid w:val="000E0B74"/>
    <w:pPr>
      <w:numPr>
        <w:ilvl w:val="2"/>
        <w:numId w:val="1"/>
      </w:numPr>
      <w:ind w:left="851" w:hanging="284"/>
    </w:pPr>
  </w:style>
  <w:style w:type="paragraph" w:customStyle="1" w:styleId="TableMainHeading">
    <w:name w:val="Table Main Heading"/>
    <w:basedOn w:val="Heading3"/>
    <w:next w:val="Normal"/>
    <w:rsid w:val="000E0B74"/>
    <w:pPr>
      <w:spacing w:before="120" w:after="0"/>
    </w:pPr>
    <w:rPr>
      <w:b w:val="0"/>
    </w:rPr>
  </w:style>
  <w:style w:type="paragraph" w:customStyle="1" w:styleId="FooterEven">
    <w:name w:val="Footer Even"/>
    <w:basedOn w:val="Footer"/>
    <w:rsid w:val="00DA35F5"/>
    <w:pPr>
      <w:keepNext/>
      <w:tabs>
        <w:tab w:val="clear" w:pos="4513"/>
        <w:tab w:val="clear" w:pos="9026"/>
      </w:tabs>
      <w:spacing w:line="240" w:lineRule="auto"/>
      <w:jc w:val="left"/>
    </w:pPr>
    <w:rPr>
      <w:noProof/>
    </w:rPr>
  </w:style>
  <w:style w:type="paragraph" w:customStyle="1" w:styleId="FooterOdd">
    <w:name w:val="Footer Odd"/>
    <w:basedOn w:val="Footer"/>
    <w:rsid w:val="00DA35F5"/>
    <w:pPr>
      <w:keepNext/>
      <w:tabs>
        <w:tab w:val="clear" w:pos="4513"/>
        <w:tab w:val="clear" w:pos="9026"/>
      </w:tabs>
      <w:spacing w:line="240" w:lineRule="auto"/>
      <w:jc w:val="right"/>
    </w:pPr>
  </w:style>
  <w:style w:type="character" w:styleId="Hyperlink">
    <w:name w:val="Hyperlink"/>
    <w:basedOn w:val="DefaultParagraphFont"/>
    <w:uiPriority w:val="99"/>
    <w:rsid w:val="00A7062E"/>
    <w:rPr>
      <w:b/>
      <w:color w:val="004A7F"/>
      <w:u w:val="none"/>
    </w:rPr>
  </w:style>
  <w:style w:type="paragraph" w:customStyle="1" w:styleId="OutlineNumbered1">
    <w:name w:val="Outline Numbered 1"/>
    <w:basedOn w:val="Normal"/>
    <w:rsid w:val="00F11DA8"/>
    <w:pPr>
      <w:numPr>
        <w:numId w:val="6"/>
      </w:numPr>
    </w:pPr>
  </w:style>
  <w:style w:type="paragraph" w:customStyle="1" w:styleId="OneLevelNumberedParagraph">
    <w:name w:val="One Level Numbered Paragraph"/>
    <w:basedOn w:val="Normal"/>
    <w:rsid w:val="000E0B74"/>
    <w:pPr>
      <w:numPr>
        <w:numId w:val="5"/>
      </w:numPr>
    </w:pPr>
  </w:style>
  <w:style w:type="paragraph" w:customStyle="1" w:styleId="OutlineNumbered2">
    <w:name w:val="Outline Numbered 2"/>
    <w:basedOn w:val="Normal"/>
    <w:rsid w:val="000E0B74"/>
    <w:pPr>
      <w:numPr>
        <w:ilvl w:val="1"/>
        <w:numId w:val="6"/>
      </w:numPr>
    </w:pPr>
  </w:style>
  <w:style w:type="paragraph" w:customStyle="1" w:styleId="OutlineNumbered3">
    <w:name w:val="Outline Numbered 3"/>
    <w:basedOn w:val="Normal"/>
    <w:rsid w:val="000E0B74"/>
    <w:pPr>
      <w:numPr>
        <w:ilvl w:val="2"/>
        <w:numId w:val="6"/>
      </w:numPr>
    </w:pPr>
  </w:style>
  <w:style w:type="paragraph" w:customStyle="1" w:styleId="Romannumeral">
    <w:name w:val="Roman numeral"/>
    <w:basedOn w:val="Normal"/>
    <w:rsid w:val="00E35FA1"/>
    <w:pPr>
      <w:numPr>
        <w:numId w:val="9"/>
      </w:numPr>
      <w:tabs>
        <w:tab w:val="clear" w:pos="720"/>
        <w:tab w:val="left" w:pos="851"/>
      </w:tabs>
      <w:ind w:left="851" w:hanging="851"/>
    </w:pPr>
  </w:style>
  <w:style w:type="paragraph" w:customStyle="1" w:styleId="SingleParagraph">
    <w:name w:val="Single Paragraph"/>
    <w:basedOn w:val="Normal"/>
    <w:link w:val="SingleParagraphChar"/>
    <w:rsid w:val="000E0B74"/>
    <w:pPr>
      <w:spacing w:after="0"/>
    </w:pPr>
  </w:style>
  <w:style w:type="paragraph" w:customStyle="1" w:styleId="TableSecondHeading">
    <w:name w:val="Table Second Heading"/>
    <w:basedOn w:val="Normal"/>
    <w:next w:val="Normal"/>
    <w:rsid w:val="000E0B74"/>
    <w:pPr>
      <w:keepNext/>
      <w:spacing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D350A9"/>
    <w:pPr>
      <w:keepNext/>
      <w:tabs>
        <w:tab w:val="right" w:leader="dot" w:pos="9072"/>
      </w:tabs>
      <w:spacing w:before="180" w:after="0"/>
      <w:ind w:right="-2"/>
    </w:pPr>
    <w:rPr>
      <w:b/>
      <w:caps/>
      <w:noProof/>
      <w:color w:val="004A7F"/>
      <w:szCs w:val="22"/>
    </w:rPr>
  </w:style>
  <w:style w:type="paragraph" w:styleId="TOC2">
    <w:name w:val="toc 2"/>
    <w:basedOn w:val="Normal"/>
    <w:next w:val="Normal"/>
    <w:uiPriority w:val="39"/>
    <w:qFormat/>
    <w:rsid w:val="00641258"/>
    <w:pPr>
      <w:keepNext/>
      <w:tabs>
        <w:tab w:val="left" w:pos="709"/>
        <w:tab w:val="right" w:leader="dot" w:pos="9072"/>
      </w:tabs>
      <w:spacing w:before="40" w:after="20"/>
      <w:ind w:left="284"/>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3"/>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A7062E"/>
    <w:pPr>
      <w:pBdr>
        <w:bottom w:val="single" w:sz="18" w:space="16" w:color="004A7F"/>
      </w:pBdr>
      <w:spacing w:after="360" w:line="240" w:lineRule="auto"/>
      <w:contextualSpacing/>
      <w:jc w:val="center"/>
    </w:pPr>
    <w:rPr>
      <w:rFonts w:eastAsiaTheme="majorEastAsia" w:cstheme="majorBidi"/>
      <w:b/>
      <w:caps/>
      <w:color w:val="004A7F"/>
      <w:spacing w:val="5"/>
      <w:kern w:val="28"/>
      <w:sz w:val="52"/>
      <w:szCs w:val="52"/>
    </w:rPr>
  </w:style>
  <w:style w:type="character" w:customStyle="1" w:styleId="TitleChar">
    <w:name w:val="Title Char"/>
    <w:basedOn w:val="DefaultParagraphFont"/>
    <w:link w:val="Title"/>
    <w:uiPriority w:val="10"/>
    <w:rsid w:val="00A7062E"/>
    <w:rPr>
      <w:rFonts w:ascii="Calibri" w:eastAsiaTheme="majorEastAsia" w:hAnsi="Calibri" w:cstheme="majorBidi"/>
      <w:b/>
      <w:caps/>
      <w:color w:val="004A7F"/>
      <w:spacing w:val="5"/>
      <w:kern w:val="28"/>
      <w:sz w:val="52"/>
      <w:szCs w:val="52"/>
      <w:lang w:eastAsia="en-AU"/>
    </w:rPr>
  </w:style>
  <w:style w:type="paragraph" w:styleId="Subtitle">
    <w:name w:val="Subtitle"/>
    <w:basedOn w:val="Normal"/>
    <w:next w:val="Normal"/>
    <w:link w:val="SubtitleChar"/>
    <w:uiPriority w:val="11"/>
    <w:qFormat/>
    <w:rsid w:val="00A7062E"/>
    <w:pPr>
      <w:numPr>
        <w:ilvl w:val="1"/>
      </w:numPr>
      <w:spacing w:before="240" w:after="0" w:line="240" w:lineRule="auto"/>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A7062E"/>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nhideWhenUsed/>
    <w:rsid w:val="001606CF"/>
    <w:pPr>
      <w:keepNext/>
      <w:spacing w:after="0"/>
      <w:jc w:val="right"/>
    </w:pPr>
    <w:rPr>
      <w:color w:val="004A7F"/>
      <w:sz w:val="20"/>
    </w:rPr>
  </w:style>
  <w:style w:type="character" w:customStyle="1" w:styleId="HeaderChar">
    <w:name w:val="Header Char"/>
    <w:basedOn w:val="DefaultParagraphFont"/>
    <w:link w:val="Header"/>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AA52DA"/>
    <w:pPr>
      <w:tabs>
        <w:tab w:val="left" w:pos="340"/>
      </w:tabs>
      <w:spacing w:after="0" w:line="240" w:lineRule="auto"/>
      <w:ind w:left="340" w:hanging="340"/>
    </w:pPr>
    <w:rPr>
      <w:sz w:val="18"/>
    </w:rPr>
  </w:style>
  <w:style w:type="character" w:customStyle="1" w:styleId="FootnoteTextChar">
    <w:name w:val="Footnote Text Char"/>
    <w:basedOn w:val="DefaultParagraphFont"/>
    <w:link w:val="FootnoteText"/>
    <w:uiPriority w:val="99"/>
    <w:rsid w:val="00AA52DA"/>
    <w:rPr>
      <w:rFonts w:ascii="Calibri" w:eastAsia="Times New Roman" w:hAnsi="Calibri" w:cs="Times New Roman"/>
      <w:sz w:val="18"/>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2637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794"/>
    <w:rPr>
      <w:rFonts w:ascii="Tahoma" w:eastAsia="Times New Roman" w:hAnsi="Tahoma" w:cs="Tahoma"/>
      <w:sz w:val="16"/>
      <w:szCs w:val="16"/>
      <w:lang w:eastAsia="en-AU"/>
    </w:rPr>
  </w:style>
  <w:style w:type="paragraph" w:styleId="BodyText">
    <w:name w:val="Body Text"/>
    <w:aliases w:val="CAB - Body Text,Body Text Cab"/>
    <w:link w:val="BodyTextChar"/>
    <w:rsid w:val="00263794"/>
    <w:pPr>
      <w:spacing w:before="120" w:after="0" w:line="240" w:lineRule="auto"/>
    </w:pPr>
    <w:rPr>
      <w:rFonts w:ascii="Arial" w:hAnsi="Arial"/>
    </w:rPr>
  </w:style>
  <w:style w:type="character" w:customStyle="1" w:styleId="BodyTextChar">
    <w:name w:val="Body Text Char"/>
    <w:aliases w:val="CAB - Body Text Char,Body Text Cab Char"/>
    <w:basedOn w:val="DefaultParagraphFont"/>
    <w:link w:val="BodyText"/>
    <w:rsid w:val="00263794"/>
    <w:rPr>
      <w:rFonts w:ascii="Arial" w:hAnsi="Arial"/>
    </w:rPr>
  </w:style>
  <w:style w:type="character" w:customStyle="1" w:styleId="BulletChar">
    <w:name w:val="Bullet Char"/>
    <w:aliases w:val="b Char,b Char Char,b + line Char Char"/>
    <w:basedOn w:val="DefaultParagraphFont"/>
    <w:link w:val="Bullet"/>
    <w:rsid w:val="00A7062E"/>
    <w:rPr>
      <w:rFonts w:ascii="Calibri" w:eastAsia="Times New Roman" w:hAnsi="Calibri" w:cs="Times New Roman"/>
      <w:szCs w:val="20"/>
      <w:lang w:eastAsia="en-AU"/>
    </w:rPr>
  </w:style>
  <w:style w:type="paragraph" w:customStyle="1" w:styleId="MinuteNumber">
    <w:name w:val="Minute Number"/>
    <w:basedOn w:val="Header"/>
    <w:rsid w:val="00C21F10"/>
    <w:pPr>
      <w:keepNext w:val="0"/>
      <w:pBdr>
        <w:bottom w:val="double" w:sz="6" w:space="6" w:color="auto"/>
      </w:pBdr>
      <w:tabs>
        <w:tab w:val="right" w:pos="8222"/>
      </w:tabs>
      <w:spacing w:before="120" w:after="120"/>
    </w:pPr>
    <w:rPr>
      <w:rFonts w:ascii="Times New Roman" w:hAnsi="Times New Roman"/>
      <w:color w:val="auto"/>
      <w:kern w:val="16"/>
      <w:sz w:val="24"/>
      <w:szCs w:val="24"/>
    </w:rPr>
  </w:style>
  <w:style w:type="paragraph" w:customStyle="1" w:styleId="SecurityClassificationFooter">
    <w:name w:val="Security Classification Footer"/>
    <w:link w:val="SecurityClassificationFooterChar"/>
    <w:rsid w:val="00C21F10"/>
    <w:pPr>
      <w:spacing w:before="60" w:after="120" w:line="240" w:lineRule="auto"/>
      <w:jc w:val="center"/>
    </w:pPr>
    <w:rPr>
      <w:rFonts w:ascii="Times New Roman" w:eastAsia="Times New Roman" w:hAnsi="Times New Roman" w:cs="Times New Roman"/>
      <w:b/>
      <w:caps/>
      <w:color w:val="004A7F"/>
      <w:sz w:val="20"/>
      <w:szCs w:val="28"/>
      <w:lang w:eastAsia="en-AU"/>
    </w:rPr>
  </w:style>
  <w:style w:type="character" w:customStyle="1" w:styleId="SecurityClassificationFooterChar">
    <w:name w:val="Security Classification Footer Char"/>
    <w:basedOn w:val="HeaderChar"/>
    <w:link w:val="SecurityClassificationFooter"/>
    <w:rsid w:val="00C21F10"/>
    <w:rPr>
      <w:rFonts w:ascii="Times New Roman" w:eastAsia="Times New Roman" w:hAnsi="Times New Roman" w:cs="Times New Roman"/>
      <w:b/>
      <w:caps/>
      <w:color w:val="004A7F"/>
      <w:sz w:val="20"/>
      <w:szCs w:val="28"/>
      <w:lang w:eastAsia="en-AU"/>
    </w:rPr>
  </w:style>
  <w:style w:type="paragraph" w:customStyle="1" w:styleId="SecurityClassificationHeader">
    <w:name w:val="Security Classification Header"/>
    <w:link w:val="SecurityClassificationHeaderChar"/>
    <w:rsid w:val="00C21F10"/>
    <w:pPr>
      <w:spacing w:before="120" w:after="60" w:line="240" w:lineRule="auto"/>
      <w:jc w:val="center"/>
    </w:pPr>
    <w:rPr>
      <w:rFonts w:ascii="Times New Roman" w:eastAsia="Times New Roman" w:hAnsi="Times New Roman" w:cs="Times New Roman"/>
      <w:b/>
      <w:caps/>
      <w:color w:val="004A7F"/>
      <w:sz w:val="20"/>
      <w:szCs w:val="28"/>
      <w:lang w:eastAsia="en-AU"/>
    </w:rPr>
  </w:style>
  <w:style w:type="character" w:customStyle="1" w:styleId="SecurityClassificationHeaderChar">
    <w:name w:val="Security Classification Header Char"/>
    <w:basedOn w:val="HeaderChar"/>
    <w:link w:val="SecurityClassificationHeader"/>
    <w:rsid w:val="00C21F10"/>
    <w:rPr>
      <w:rFonts w:ascii="Times New Roman" w:eastAsia="Times New Roman" w:hAnsi="Times New Roman" w:cs="Times New Roman"/>
      <w:b/>
      <w:caps/>
      <w:color w:val="004A7F"/>
      <w:sz w:val="20"/>
      <w:szCs w:val="28"/>
      <w:lang w:eastAsia="en-AU"/>
    </w:rPr>
  </w:style>
  <w:style w:type="character" w:styleId="Strong">
    <w:name w:val="Strong"/>
    <w:basedOn w:val="DefaultParagraphFont"/>
    <w:uiPriority w:val="22"/>
    <w:qFormat/>
    <w:rsid w:val="00B9107E"/>
    <w:rPr>
      <w:b/>
      <w:bCs/>
    </w:rPr>
  </w:style>
  <w:style w:type="paragraph" w:styleId="NormalWeb">
    <w:name w:val="Normal (Web)"/>
    <w:basedOn w:val="Normal"/>
    <w:uiPriority w:val="99"/>
    <w:unhideWhenUsed/>
    <w:rsid w:val="00B9107E"/>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B9107E"/>
    <w:rPr>
      <w:i/>
      <w:iCs/>
    </w:rPr>
  </w:style>
  <w:style w:type="character" w:styleId="CommentReference">
    <w:name w:val="annotation reference"/>
    <w:basedOn w:val="DefaultParagraphFont"/>
    <w:uiPriority w:val="99"/>
    <w:semiHidden/>
    <w:unhideWhenUsed/>
    <w:rsid w:val="006F0C9F"/>
    <w:rPr>
      <w:sz w:val="16"/>
      <w:szCs w:val="16"/>
    </w:rPr>
  </w:style>
  <w:style w:type="paragraph" w:styleId="CommentText">
    <w:name w:val="annotation text"/>
    <w:basedOn w:val="Normal"/>
    <w:link w:val="CommentTextChar"/>
    <w:uiPriority w:val="99"/>
    <w:unhideWhenUsed/>
    <w:rsid w:val="006F0C9F"/>
    <w:rPr>
      <w:sz w:val="20"/>
    </w:rPr>
  </w:style>
  <w:style w:type="character" w:customStyle="1" w:styleId="CommentTextChar">
    <w:name w:val="Comment Text Char"/>
    <w:basedOn w:val="DefaultParagraphFont"/>
    <w:link w:val="CommentText"/>
    <w:uiPriority w:val="99"/>
    <w:rsid w:val="006F0C9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F0C9F"/>
    <w:rPr>
      <w:b/>
      <w:bCs/>
    </w:rPr>
  </w:style>
  <w:style w:type="character" w:customStyle="1" w:styleId="CommentSubjectChar">
    <w:name w:val="Comment Subject Char"/>
    <w:basedOn w:val="CommentTextChar"/>
    <w:link w:val="CommentSubject"/>
    <w:uiPriority w:val="99"/>
    <w:semiHidden/>
    <w:rsid w:val="006F0C9F"/>
    <w:rPr>
      <w:rFonts w:ascii="Calibri" w:eastAsia="Times New Roman" w:hAnsi="Calibri" w:cs="Times New Roman"/>
      <w:b/>
      <w:bCs/>
      <w:sz w:val="20"/>
      <w:szCs w:val="20"/>
      <w:lang w:eastAsia="en-AU"/>
    </w:rPr>
  </w:style>
  <w:style w:type="character" w:styleId="PageNumber">
    <w:name w:val="page number"/>
    <w:basedOn w:val="DefaultParagraphFont"/>
    <w:rsid w:val="00EE30E6"/>
    <w:rPr>
      <w:rFonts w:ascii="Book Antiqua" w:hAnsi="Book Antiqua"/>
      <w:sz w:val="18"/>
    </w:rPr>
  </w:style>
  <w:style w:type="paragraph" w:styleId="ListParagraph">
    <w:name w:val="List Paragraph"/>
    <w:basedOn w:val="Normal"/>
    <w:uiPriority w:val="34"/>
    <w:qFormat/>
    <w:rsid w:val="003327BB"/>
    <w:pPr>
      <w:ind w:left="720"/>
      <w:contextualSpacing/>
    </w:pPr>
  </w:style>
  <w:style w:type="paragraph" w:styleId="Revision">
    <w:name w:val="Revision"/>
    <w:hidden/>
    <w:uiPriority w:val="99"/>
    <w:semiHidden/>
    <w:rsid w:val="00B40125"/>
    <w:pPr>
      <w:spacing w:after="0" w:line="240" w:lineRule="auto"/>
    </w:pPr>
    <w:rPr>
      <w:rFonts w:ascii="Calibri" w:eastAsia="Times New Roman" w:hAnsi="Calibri" w:cs="Times New Roman"/>
      <w:szCs w:val="20"/>
      <w:lang w:eastAsia="en-AU"/>
    </w:rPr>
  </w:style>
  <w:style w:type="paragraph" w:customStyle="1" w:styleId="Heading1-NoTOC">
    <w:name w:val="Heading 1 - No TOC"/>
    <w:basedOn w:val="Heading1"/>
    <w:rsid w:val="00A7062E"/>
    <w:pPr>
      <w:outlineLvl w:val="9"/>
    </w:pPr>
  </w:style>
  <w:style w:type="paragraph" w:customStyle="1" w:styleId="Normal-Foreward">
    <w:name w:val="Normal - Foreward"/>
    <w:basedOn w:val="Normal"/>
    <w:rsid w:val="00F11DA8"/>
    <w:pPr>
      <w:spacing w:after="160" w:line="260" w:lineRule="exact"/>
    </w:pPr>
    <w:rPr>
      <w:rFonts w:asciiTheme="minorHAnsi" w:hAnsiTheme="minorHAnsi"/>
    </w:rPr>
  </w:style>
  <w:style w:type="paragraph" w:customStyle="1" w:styleId="Bullet-Foreward">
    <w:name w:val="Bullet - Foreward"/>
    <w:basedOn w:val="Bullet"/>
    <w:rsid w:val="00A7062E"/>
    <w:pPr>
      <w:spacing w:after="180" w:line="260" w:lineRule="exact"/>
    </w:pPr>
  </w:style>
  <w:style w:type="paragraph" w:customStyle="1" w:styleId="BoxNumbering">
    <w:name w:val="Box Numbering"/>
    <w:basedOn w:val="BoxText"/>
    <w:rsid w:val="00104E3A"/>
    <w:pPr>
      <w:numPr>
        <w:numId w:val="45"/>
      </w:numPr>
      <w:tabs>
        <w:tab w:val="left" w:pos="425"/>
      </w:tabs>
      <w:spacing w:before="120" w:after="120"/>
      <w:ind w:left="425" w:right="57" w:hanging="425"/>
    </w:pPr>
  </w:style>
  <w:style w:type="paragraph" w:customStyle="1" w:styleId="BoxText-Indent">
    <w:name w:val="Box Text - Indent"/>
    <w:basedOn w:val="BoxText"/>
    <w:rsid w:val="00AE6817"/>
    <w:pPr>
      <w:ind w:left="425" w:right="57"/>
    </w:pPr>
  </w:style>
  <w:style w:type="paragraph" w:customStyle="1" w:styleId="Header-Odd">
    <w:name w:val="Header - Odd"/>
    <w:basedOn w:val="Header"/>
    <w:rsid w:val="00DA35F5"/>
    <w:pPr>
      <w:spacing w:line="240" w:lineRule="auto"/>
    </w:pPr>
  </w:style>
  <w:style w:type="paragraph" w:customStyle="1" w:styleId="Header-Even">
    <w:name w:val="Header - Even"/>
    <w:basedOn w:val="Header-Odd"/>
    <w:rsid w:val="00641258"/>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2E"/>
    <w:pPr>
      <w:spacing w:after="240" w:line="280" w:lineRule="exact"/>
      <w:jc w:val="both"/>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A7062E"/>
    <w:pPr>
      <w:pBdr>
        <w:bottom w:val="single" w:sz="8" w:space="10" w:color="004A7F"/>
      </w:pBdr>
      <w:spacing w:after="480"/>
      <w:outlineLvl w:val="0"/>
    </w:pPr>
    <w:rPr>
      <w:b/>
      <w:bCs w:val="0"/>
      <w:caps/>
      <w:sz w:val="40"/>
    </w:rPr>
  </w:style>
  <w:style w:type="paragraph" w:styleId="Heading2">
    <w:name w:val="heading 2"/>
    <w:basedOn w:val="HeadingBase"/>
    <w:next w:val="Normal"/>
    <w:link w:val="Heading2Char"/>
    <w:qFormat/>
    <w:rsid w:val="00DA35F5"/>
    <w:pPr>
      <w:tabs>
        <w:tab w:val="left" w:pos="567"/>
      </w:tabs>
      <w:spacing w:before="240" w:after="240"/>
      <w:ind w:left="567" w:hanging="567"/>
      <w:outlineLvl w:val="1"/>
    </w:pPr>
    <w:rPr>
      <w:b/>
      <w:bCs w:val="0"/>
      <w:iCs/>
      <w:smallCaps/>
      <w:sz w:val="36"/>
      <w:szCs w:val="28"/>
    </w:rPr>
  </w:style>
  <w:style w:type="paragraph" w:styleId="Heading3">
    <w:name w:val="heading 3"/>
    <w:basedOn w:val="HeadingBase"/>
    <w:next w:val="Normal"/>
    <w:link w:val="Heading3Char"/>
    <w:qFormat/>
    <w:rsid w:val="00104E3A"/>
    <w:pPr>
      <w:spacing w:before="240" w:after="180"/>
      <w:outlineLvl w:val="2"/>
    </w:pPr>
    <w:rPr>
      <w:b/>
      <w:bCs w:val="0"/>
      <w:sz w:val="30"/>
      <w:szCs w:val="26"/>
    </w:rPr>
  </w:style>
  <w:style w:type="paragraph" w:styleId="Heading4">
    <w:name w:val="heading 4"/>
    <w:basedOn w:val="HeadingBase"/>
    <w:next w:val="Normal"/>
    <w:link w:val="Heading4Char"/>
    <w:qFormat/>
    <w:rsid w:val="00AE6817"/>
    <w:pPr>
      <w:spacing w:before="180" w:after="180"/>
      <w:outlineLvl w:val="3"/>
    </w:pPr>
    <w:rPr>
      <w:b/>
      <w:bCs w:val="0"/>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62E"/>
    <w:rPr>
      <w:rFonts w:ascii="Calibri" w:eastAsia="Times New Roman" w:hAnsi="Calibri" w:cs="Arial"/>
      <w:b/>
      <w:caps/>
      <w:color w:val="004A7F"/>
      <w:kern w:val="32"/>
      <w:sz w:val="40"/>
      <w:szCs w:val="36"/>
      <w:lang w:eastAsia="en-AU"/>
    </w:rPr>
  </w:style>
  <w:style w:type="character" w:customStyle="1" w:styleId="Heading2Char">
    <w:name w:val="Heading 2 Char"/>
    <w:basedOn w:val="DefaultParagraphFont"/>
    <w:link w:val="Heading2"/>
    <w:rsid w:val="00DA35F5"/>
    <w:rPr>
      <w:rFonts w:ascii="Calibri" w:eastAsia="Times New Roman" w:hAnsi="Calibri" w:cs="Arial"/>
      <w:b/>
      <w:iCs/>
      <w:smallCaps/>
      <w:color w:val="004A7F"/>
      <w:kern w:val="32"/>
      <w:sz w:val="36"/>
      <w:szCs w:val="28"/>
      <w:lang w:eastAsia="en-AU"/>
    </w:rPr>
  </w:style>
  <w:style w:type="character" w:customStyle="1" w:styleId="Heading3Char">
    <w:name w:val="Heading 3 Char"/>
    <w:basedOn w:val="DefaultParagraphFont"/>
    <w:link w:val="Heading3"/>
    <w:rsid w:val="00104E3A"/>
    <w:rPr>
      <w:rFonts w:ascii="Calibri" w:eastAsia="Times New Roman" w:hAnsi="Calibri" w:cs="Arial"/>
      <w:b/>
      <w:color w:val="004A7F"/>
      <w:kern w:val="32"/>
      <w:sz w:val="30"/>
      <w:szCs w:val="26"/>
      <w:lang w:eastAsia="en-AU"/>
    </w:rPr>
  </w:style>
  <w:style w:type="character" w:customStyle="1" w:styleId="Heading4Char">
    <w:name w:val="Heading 4 Char"/>
    <w:basedOn w:val="DefaultParagraphFont"/>
    <w:link w:val="Heading4"/>
    <w:rsid w:val="00AE6817"/>
    <w:rPr>
      <w:rFonts w:ascii="Calibri" w:eastAsia="Times New Roman" w:hAnsi="Calibri" w:cs="Arial"/>
      <w:b/>
      <w:color w:val="004A7F"/>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AE6817"/>
    <w:pPr>
      <w:keepNext/>
      <w:spacing w:after="0" w:line="240" w:lineRule="auto"/>
      <w:jc w:val="center"/>
    </w:pPr>
    <w:rPr>
      <w:color w:val="004A7F"/>
      <w:sz w:val="20"/>
    </w:rPr>
  </w:style>
  <w:style w:type="paragraph" w:customStyle="1" w:styleId="AlphaParagraph">
    <w:name w:val="Alpha Paragraph"/>
    <w:basedOn w:val="Normal"/>
    <w:qFormat/>
    <w:rsid w:val="000E0B74"/>
    <w:pPr>
      <w:numPr>
        <w:ilvl w:val="1"/>
        <w:numId w:val="9"/>
      </w:numPr>
    </w:pPr>
  </w:style>
  <w:style w:type="paragraph" w:customStyle="1" w:styleId="BoxBullet">
    <w:name w:val="Box Bullet"/>
    <w:basedOn w:val="Normal"/>
    <w:rsid w:val="00AE6817"/>
    <w:pPr>
      <w:numPr>
        <w:numId w:val="2"/>
      </w:numPr>
      <w:tabs>
        <w:tab w:val="clear" w:pos="283"/>
        <w:tab w:val="num" w:pos="851"/>
      </w:tabs>
      <w:ind w:left="850" w:right="57" w:hanging="425"/>
    </w:pPr>
  </w:style>
  <w:style w:type="paragraph" w:customStyle="1" w:styleId="BoxDash">
    <w:name w:val="Box Dash"/>
    <w:basedOn w:val="Normal"/>
    <w:rsid w:val="000E0B74"/>
    <w:pPr>
      <w:numPr>
        <w:ilvl w:val="1"/>
        <w:numId w:val="2"/>
      </w:numPr>
      <w:ind w:left="568"/>
    </w:pPr>
  </w:style>
  <w:style w:type="paragraph" w:customStyle="1" w:styleId="BoxDoubleDot">
    <w:name w:val="Box Double Dot"/>
    <w:basedOn w:val="Normal"/>
    <w:rsid w:val="000E0B74"/>
    <w:pPr>
      <w:numPr>
        <w:ilvl w:val="2"/>
        <w:numId w:val="2"/>
      </w:numPr>
      <w:ind w:left="851" w:hanging="284"/>
    </w:pPr>
  </w:style>
  <w:style w:type="paragraph" w:customStyle="1" w:styleId="BoxHeading">
    <w:name w:val="Box Heading"/>
    <w:basedOn w:val="Normal"/>
    <w:next w:val="Normal"/>
    <w:rsid w:val="00F11DA8"/>
    <w:pPr>
      <w:keepNext/>
      <w:spacing w:before="120" w:after="120" w:line="240" w:lineRule="auto"/>
      <w:jc w:val="left"/>
    </w:pPr>
    <w:rPr>
      <w:b/>
      <w:caps/>
      <w:color w:val="004A7F"/>
      <w:sz w:val="24"/>
      <w:szCs w:val="26"/>
    </w:rPr>
  </w:style>
  <w:style w:type="paragraph" w:customStyle="1" w:styleId="BoxText">
    <w:name w:val="Box Text"/>
    <w:basedOn w:val="Normal"/>
    <w:rsid w:val="000E0B74"/>
  </w:style>
  <w:style w:type="paragraph" w:customStyle="1" w:styleId="Bullet">
    <w:name w:val="Bullet"/>
    <w:aliases w:val="b,b1,b + line,Body,level 1,Bullet + line"/>
    <w:basedOn w:val="Normal"/>
    <w:link w:val="BulletChar"/>
    <w:qFormat/>
    <w:rsid w:val="00A7062E"/>
    <w:pPr>
      <w:numPr>
        <w:numId w:val="1"/>
      </w:numPr>
      <w:tabs>
        <w:tab w:val="clear" w:pos="283"/>
        <w:tab w:val="num" w:pos="425"/>
      </w:tabs>
      <w:ind w:left="425" w:hanging="425"/>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after="360"/>
      <w:ind w:right="139"/>
      <w:jc w:val="right"/>
    </w:pPr>
    <w:rPr>
      <w:color w:val="004A7F"/>
      <w:sz w:val="44"/>
    </w:rPr>
  </w:style>
  <w:style w:type="paragraph" w:customStyle="1" w:styleId="Dash">
    <w:name w:val="Dash"/>
    <w:basedOn w:val="Normal"/>
    <w:uiPriority w:val="99"/>
    <w:qFormat/>
    <w:rsid w:val="00FD2A2E"/>
    <w:pPr>
      <w:numPr>
        <w:ilvl w:val="1"/>
        <w:numId w:val="1"/>
      </w:numPr>
      <w:tabs>
        <w:tab w:val="clear" w:pos="567"/>
        <w:tab w:val="num" w:pos="851"/>
      </w:tabs>
      <w:ind w:left="851" w:hanging="425"/>
    </w:pPr>
  </w:style>
  <w:style w:type="paragraph" w:customStyle="1" w:styleId="DoubleDot">
    <w:name w:val="Double Dot"/>
    <w:basedOn w:val="Normal"/>
    <w:uiPriority w:val="99"/>
    <w:qFormat/>
    <w:rsid w:val="000E0B74"/>
    <w:pPr>
      <w:numPr>
        <w:ilvl w:val="2"/>
        <w:numId w:val="1"/>
      </w:numPr>
      <w:ind w:left="851" w:hanging="284"/>
    </w:pPr>
  </w:style>
  <w:style w:type="paragraph" w:customStyle="1" w:styleId="TableMainHeading">
    <w:name w:val="Table Main Heading"/>
    <w:basedOn w:val="Heading3"/>
    <w:next w:val="Normal"/>
    <w:rsid w:val="000E0B74"/>
    <w:pPr>
      <w:spacing w:before="120" w:after="0"/>
    </w:pPr>
    <w:rPr>
      <w:b w:val="0"/>
    </w:rPr>
  </w:style>
  <w:style w:type="paragraph" w:customStyle="1" w:styleId="FooterEven">
    <w:name w:val="Footer Even"/>
    <w:basedOn w:val="Footer"/>
    <w:rsid w:val="00DA35F5"/>
    <w:pPr>
      <w:keepNext/>
      <w:tabs>
        <w:tab w:val="clear" w:pos="4513"/>
        <w:tab w:val="clear" w:pos="9026"/>
      </w:tabs>
      <w:spacing w:line="240" w:lineRule="auto"/>
      <w:jc w:val="left"/>
    </w:pPr>
    <w:rPr>
      <w:noProof/>
    </w:rPr>
  </w:style>
  <w:style w:type="paragraph" w:customStyle="1" w:styleId="FooterOdd">
    <w:name w:val="Footer Odd"/>
    <w:basedOn w:val="Footer"/>
    <w:rsid w:val="00DA35F5"/>
    <w:pPr>
      <w:keepNext/>
      <w:tabs>
        <w:tab w:val="clear" w:pos="4513"/>
        <w:tab w:val="clear" w:pos="9026"/>
      </w:tabs>
      <w:spacing w:line="240" w:lineRule="auto"/>
      <w:jc w:val="right"/>
    </w:pPr>
  </w:style>
  <w:style w:type="character" w:styleId="Hyperlink">
    <w:name w:val="Hyperlink"/>
    <w:basedOn w:val="DefaultParagraphFont"/>
    <w:uiPriority w:val="99"/>
    <w:rsid w:val="00A7062E"/>
    <w:rPr>
      <w:b/>
      <w:color w:val="004A7F"/>
      <w:u w:val="none"/>
    </w:rPr>
  </w:style>
  <w:style w:type="paragraph" w:customStyle="1" w:styleId="OutlineNumbered1">
    <w:name w:val="Outline Numbered 1"/>
    <w:basedOn w:val="Normal"/>
    <w:rsid w:val="00F11DA8"/>
    <w:pPr>
      <w:numPr>
        <w:numId w:val="6"/>
      </w:numPr>
    </w:pPr>
  </w:style>
  <w:style w:type="paragraph" w:customStyle="1" w:styleId="OneLevelNumberedParagraph">
    <w:name w:val="One Level Numbered Paragraph"/>
    <w:basedOn w:val="Normal"/>
    <w:rsid w:val="000E0B74"/>
    <w:pPr>
      <w:numPr>
        <w:numId w:val="5"/>
      </w:numPr>
    </w:pPr>
  </w:style>
  <w:style w:type="paragraph" w:customStyle="1" w:styleId="OutlineNumbered2">
    <w:name w:val="Outline Numbered 2"/>
    <w:basedOn w:val="Normal"/>
    <w:rsid w:val="000E0B74"/>
    <w:pPr>
      <w:numPr>
        <w:ilvl w:val="1"/>
        <w:numId w:val="6"/>
      </w:numPr>
    </w:pPr>
  </w:style>
  <w:style w:type="paragraph" w:customStyle="1" w:styleId="OutlineNumbered3">
    <w:name w:val="Outline Numbered 3"/>
    <w:basedOn w:val="Normal"/>
    <w:rsid w:val="000E0B74"/>
    <w:pPr>
      <w:numPr>
        <w:ilvl w:val="2"/>
        <w:numId w:val="6"/>
      </w:numPr>
    </w:pPr>
  </w:style>
  <w:style w:type="paragraph" w:customStyle="1" w:styleId="Romannumeral">
    <w:name w:val="Roman numeral"/>
    <w:basedOn w:val="Normal"/>
    <w:rsid w:val="00E35FA1"/>
    <w:pPr>
      <w:numPr>
        <w:numId w:val="9"/>
      </w:numPr>
      <w:tabs>
        <w:tab w:val="clear" w:pos="720"/>
        <w:tab w:val="left" w:pos="851"/>
      </w:tabs>
      <w:ind w:left="851" w:hanging="851"/>
    </w:pPr>
  </w:style>
  <w:style w:type="paragraph" w:customStyle="1" w:styleId="SingleParagraph">
    <w:name w:val="Single Paragraph"/>
    <w:basedOn w:val="Normal"/>
    <w:link w:val="SingleParagraphChar"/>
    <w:rsid w:val="000E0B74"/>
    <w:pPr>
      <w:spacing w:after="0"/>
    </w:pPr>
  </w:style>
  <w:style w:type="paragraph" w:customStyle="1" w:styleId="TableSecondHeading">
    <w:name w:val="Table Second Heading"/>
    <w:basedOn w:val="Normal"/>
    <w:next w:val="Normal"/>
    <w:rsid w:val="000E0B74"/>
    <w:pPr>
      <w:keepNext/>
      <w:spacing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D350A9"/>
    <w:pPr>
      <w:keepNext/>
      <w:tabs>
        <w:tab w:val="right" w:leader="dot" w:pos="9072"/>
      </w:tabs>
      <w:spacing w:before="180" w:after="0"/>
      <w:ind w:right="-2"/>
    </w:pPr>
    <w:rPr>
      <w:b/>
      <w:caps/>
      <w:noProof/>
      <w:color w:val="004A7F"/>
      <w:szCs w:val="22"/>
    </w:rPr>
  </w:style>
  <w:style w:type="paragraph" w:styleId="TOC2">
    <w:name w:val="toc 2"/>
    <w:basedOn w:val="Normal"/>
    <w:next w:val="Normal"/>
    <w:uiPriority w:val="39"/>
    <w:qFormat/>
    <w:rsid w:val="00641258"/>
    <w:pPr>
      <w:keepNext/>
      <w:tabs>
        <w:tab w:val="left" w:pos="709"/>
        <w:tab w:val="right" w:leader="dot" w:pos="9072"/>
      </w:tabs>
      <w:spacing w:before="40" w:after="20"/>
      <w:ind w:left="284"/>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3"/>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A7062E"/>
    <w:pPr>
      <w:pBdr>
        <w:bottom w:val="single" w:sz="18" w:space="16" w:color="004A7F"/>
      </w:pBdr>
      <w:spacing w:after="360" w:line="240" w:lineRule="auto"/>
      <w:contextualSpacing/>
      <w:jc w:val="center"/>
    </w:pPr>
    <w:rPr>
      <w:rFonts w:eastAsiaTheme="majorEastAsia" w:cstheme="majorBidi"/>
      <w:b/>
      <w:caps/>
      <w:color w:val="004A7F"/>
      <w:spacing w:val="5"/>
      <w:kern w:val="28"/>
      <w:sz w:val="52"/>
      <w:szCs w:val="52"/>
    </w:rPr>
  </w:style>
  <w:style w:type="character" w:customStyle="1" w:styleId="TitleChar">
    <w:name w:val="Title Char"/>
    <w:basedOn w:val="DefaultParagraphFont"/>
    <w:link w:val="Title"/>
    <w:uiPriority w:val="10"/>
    <w:rsid w:val="00A7062E"/>
    <w:rPr>
      <w:rFonts w:ascii="Calibri" w:eastAsiaTheme="majorEastAsia" w:hAnsi="Calibri" w:cstheme="majorBidi"/>
      <w:b/>
      <w:caps/>
      <w:color w:val="004A7F"/>
      <w:spacing w:val="5"/>
      <w:kern w:val="28"/>
      <w:sz w:val="52"/>
      <w:szCs w:val="52"/>
      <w:lang w:eastAsia="en-AU"/>
    </w:rPr>
  </w:style>
  <w:style w:type="paragraph" w:styleId="Subtitle">
    <w:name w:val="Subtitle"/>
    <w:basedOn w:val="Normal"/>
    <w:next w:val="Normal"/>
    <w:link w:val="SubtitleChar"/>
    <w:uiPriority w:val="11"/>
    <w:qFormat/>
    <w:rsid w:val="00A7062E"/>
    <w:pPr>
      <w:numPr>
        <w:ilvl w:val="1"/>
      </w:numPr>
      <w:spacing w:before="240" w:after="0" w:line="240" w:lineRule="auto"/>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A7062E"/>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nhideWhenUsed/>
    <w:rsid w:val="001606CF"/>
    <w:pPr>
      <w:keepNext/>
      <w:spacing w:after="0"/>
      <w:jc w:val="right"/>
    </w:pPr>
    <w:rPr>
      <w:color w:val="004A7F"/>
      <w:sz w:val="20"/>
    </w:rPr>
  </w:style>
  <w:style w:type="character" w:customStyle="1" w:styleId="HeaderChar">
    <w:name w:val="Header Char"/>
    <w:basedOn w:val="DefaultParagraphFont"/>
    <w:link w:val="Header"/>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AA52DA"/>
    <w:pPr>
      <w:tabs>
        <w:tab w:val="left" w:pos="340"/>
      </w:tabs>
      <w:spacing w:after="0" w:line="240" w:lineRule="auto"/>
      <w:ind w:left="340" w:hanging="340"/>
    </w:pPr>
    <w:rPr>
      <w:sz w:val="18"/>
    </w:rPr>
  </w:style>
  <w:style w:type="character" w:customStyle="1" w:styleId="FootnoteTextChar">
    <w:name w:val="Footnote Text Char"/>
    <w:basedOn w:val="DefaultParagraphFont"/>
    <w:link w:val="FootnoteText"/>
    <w:uiPriority w:val="99"/>
    <w:rsid w:val="00AA52DA"/>
    <w:rPr>
      <w:rFonts w:ascii="Calibri" w:eastAsia="Times New Roman" w:hAnsi="Calibri" w:cs="Times New Roman"/>
      <w:sz w:val="18"/>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2637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794"/>
    <w:rPr>
      <w:rFonts w:ascii="Tahoma" w:eastAsia="Times New Roman" w:hAnsi="Tahoma" w:cs="Tahoma"/>
      <w:sz w:val="16"/>
      <w:szCs w:val="16"/>
      <w:lang w:eastAsia="en-AU"/>
    </w:rPr>
  </w:style>
  <w:style w:type="paragraph" w:styleId="BodyText">
    <w:name w:val="Body Text"/>
    <w:aliases w:val="CAB - Body Text,Body Text Cab"/>
    <w:link w:val="BodyTextChar"/>
    <w:rsid w:val="00263794"/>
    <w:pPr>
      <w:spacing w:before="120" w:after="0" w:line="240" w:lineRule="auto"/>
    </w:pPr>
    <w:rPr>
      <w:rFonts w:ascii="Arial" w:hAnsi="Arial"/>
    </w:rPr>
  </w:style>
  <w:style w:type="character" w:customStyle="1" w:styleId="BodyTextChar">
    <w:name w:val="Body Text Char"/>
    <w:aliases w:val="CAB - Body Text Char,Body Text Cab Char"/>
    <w:basedOn w:val="DefaultParagraphFont"/>
    <w:link w:val="BodyText"/>
    <w:rsid w:val="00263794"/>
    <w:rPr>
      <w:rFonts w:ascii="Arial" w:hAnsi="Arial"/>
    </w:rPr>
  </w:style>
  <w:style w:type="character" w:customStyle="1" w:styleId="BulletChar">
    <w:name w:val="Bullet Char"/>
    <w:aliases w:val="b Char,b Char Char,b + line Char Char"/>
    <w:basedOn w:val="DefaultParagraphFont"/>
    <w:link w:val="Bullet"/>
    <w:rsid w:val="00A7062E"/>
    <w:rPr>
      <w:rFonts w:ascii="Calibri" w:eastAsia="Times New Roman" w:hAnsi="Calibri" w:cs="Times New Roman"/>
      <w:szCs w:val="20"/>
      <w:lang w:eastAsia="en-AU"/>
    </w:rPr>
  </w:style>
  <w:style w:type="paragraph" w:customStyle="1" w:styleId="MinuteNumber">
    <w:name w:val="Minute Number"/>
    <w:basedOn w:val="Header"/>
    <w:rsid w:val="00C21F10"/>
    <w:pPr>
      <w:keepNext w:val="0"/>
      <w:pBdr>
        <w:bottom w:val="double" w:sz="6" w:space="6" w:color="auto"/>
      </w:pBdr>
      <w:tabs>
        <w:tab w:val="right" w:pos="8222"/>
      </w:tabs>
      <w:spacing w:before="120" w:after="120"/>
    </w:pPr>
    <w:rPr>
      <w:rFonts w:ascii="Times New Roman" w:hAnsi="Times New Roman"/>
      <w:color w:val="auto"/>
      <w:kern w:val="16"/>
      <w:sz w:val="24"/>
      <w:szCs w:val="24"/>
    </w:rPr>
  </w:style>
  <w:style w:type="paragraph" w:customStyle="1" w:styleId="SecurityClassificationFooter">
    <w:name w:val="Security Classification Footer"/>
    <w:link w:val="SecurityClassificationFooterChar"/>
    <w:rsid w:val="00C21F10"/>
    <w:pPr>
      <w:spacing w:before="60" w:after="120" w:line="240" w:lineRule="auto"/>
      <w:jc w:val="center"/>
    </w:pPr>
    <w:rPr>
      <w:rFonts w:ascii="Times New Roman" w:eastAsia="Times New Roman" w:hAnsi="Times New Roman" w:cs="Times New Roman"/>
      <w:b/>
      <w:caps/>
      <w:color w:val="004A7F"/>
      <w:sz w:val="20"/>
      <w:szCs w:val="28"/>
      <w:lang w:eastAsia="en-AU"/>
    </w:rPr>
  </w:style>
  <w:style w:type="character" w:customStyle="1" w:styleId="SecurityClassificationFooterChar">
    <w:name w:val="Security Classification Footer Char"/>
    <w:basedOn w:val="HeaderChar"/>
    <w:link w:val="SecurityClassificationFooter"/>
    <w:rsid w:val="00C21F10"/>
    <w:rPr>
      <w:rFonts w:ascii="Times New Roman" w:eastAsia="Times New Roman" w:hAnsi="Times New Roman" w:cs="Times New Roman"/>
      <w:b/>
      <w:caps/>
      <w:color w:val="004A7F"/>
      <w:sz w:val="20"/>
      <w:szCs w:val="28"/>
      <w:lang w:eastAsia="en-AU"/>
    </w:rPr>
  </w:style>
  <w:style w:type="paragraph" w:customStyle="1" w:styleId="SecurityClassificationHeader">
    <w:name w:val="Security Classification Header"/>
    <w:link w:val="SecurityClassificationHeaderChar"/>
    <w:rsid w:val="00C21F10"/>
    <w:pPr>
      <w:spacing w:before="120" w:after="60" w:line="240" w:lineRule="auto"/>
      <w:jc w:val="center"/>
    </w:pPr>
    <w:rPr>
      <w:rFonts w:ascii="Times New Roman" w:eastAsia="Times New Roman" w:hAnsi="Times New Roman" w:cs="Times New Roman"/>
      <w:b/>
      <w:caps/>
      <w:color w:val="004A7F"/>
      <w:sz w:val="20"/>
      <w:szCs w:val="28"/>
      <w:lang w:eastAsia="en-AU"/>
    </w:rPr>
  </w:style>
  <w:style w:type="character" w:customStyle="1" w:styleId="SecurityClassificationHeaderChar">
    <w:name w:val="Security Classification Header Char"/>
    <w:basedOn w:val="HeaderChar"/>
    <w:link w:val="SecurityClassificationHeader"/>
    <w:rsid w:val="00C21F10"/>
    <w:rPr>
      <w:rFonts w:ascii="Times New Roman" w:eastAsia="Times New Roman" w:hAnsi="Times New Roman" w:cs="Times New Roman"/>
      <w:b/>
      <w:caps/>
      <w:color w:val="004A7F"/>
      <w:sz w:val="20"/>
      <w:szCs w:val="28"/>
      <w:lang w:eastAsia="en-AU"/>
    </w:rPr>
  </w:style>
  <w:style w:type="character" w:styleId="Strong">
    <w:name w:val="Strong"/>
    <w:basedOn w:val="DefaultParagraphFont"/>
    <w:uiPriority w:val="22"/>
    <w:qFormat/>
    <w:rsid w:val="00B9107E"/>
    <w:rPr>
      <w:b/>
      <w:bCs/>
    </w:rPr>
  </w:style>
  <w:style w:type="paragraph" w:styleId="NormalWeb">
    <w:name w:val="Normal (Web)"/>
    <w:basedOn w:val="Normal"/>
    <w:uiPriority w:val="99"/>
    <w:unhideWhenUsed/>
    <w:rsid w:val="00B9107E"/>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B9107E"/>
    <w:rPr>
      <w:i/>
      <w:iCs/>
    </w:rPr>
  </w:style>
  <w:style w:type="character" w:styleId="CommentReference">
    <w:name w:val="annotation reference"/>
    <w:basedOn w:val="DefaultParagraphFont"/>
    <w:uiPriority w:val="99"/>
    <w:semiHidden/>
    <w:unhideWhenUsed/>
    <w:rsid w:val="006F0C9F"/>
    <w:rPr>
      <w:sz w:val="16"/>
      <w:szCs w:val="16"/>
    </w:rPr>
  </w:style>
  <w:style w:type="paragraph" w:styleId="CommentText">
    <w:name w:val="annotation text"/>
    <w:basedOn w:val="Normal"/>
    <w:link w:val="CommentTextChar"/>
    <w:uiPriority w:val="99"/>
    <w:unhideWhenUsed/>
    <w:rsid w:val="006F0C9F"/>
    <w:rPr>
      <w:sz w:val="20"/>
    </w:rPr>
  </w:style>
  <w:style w:type="character" w:customStyle="1" w:styleId="CommentTextChar">
    <w:name w:val="Comment Text Char"/>
    <w:basedOn w:val="DefaultParagraphFont"/>
    <w:link w:val="CommentText"/>
    <w:uiPriority w:val="99"/>
    <w:rsid w:val="006F0C9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F0C9F"/>
    <w:rPr>
      <w:b/>
      <w:bCs/>
    </w:rPr>
  </w:style>
  <w:style w:type="character" w:customStyle="1" w:styleId="CommentSubjectChar">
    <w:name w:val="Comment Subject Char"/>
    <w:basedOn w:val="CommentTextChar"/>
    <w:link w:val="CommentSubject"/>
    <w:uiPriority w:val="99"/>
    <w:semiHidden/>
    <w:rsid w:val="006F0C9F"/>
    <w:rPr>
      <w:rFonts w:ascii="Calibri" w:eastAsia="Times New Roman" w:hAnsi="Calibri" w:cs="Times New Roman"/>
      <w:b/>
      <w:bCs/>
      <w:sz w:val="20"/>
      <w:szCs w:val="20"/>
      <w:lang w:eastAsia="en-AU"/>
    </w:rPr>
  </w:style>
  <w:style w:type="character" w:styleId="PageNumber">
    <w:name w:val="page number"/>
    <w:basedOn w:val="DefaultParagraphFont"/>
    <w:rsid w:val="00EE30E6"/>
    <w:rPr>
      <w:rFonts w:ascii="Book Antiqua" w:hAnsi="Book Antiqua"/>
      <w:sz w:val="18"/>
    </w:rPr>
  </w:style>
  <w:style w:type="paragraph" w:styleId="ListParagraph">
    <w:name w:val="List Paragraph"/>
    <w:basedOn w:val="Normal"/>
    <w:uiPriority w:val="34"/>
    <w:qFormat/>
    <w:rsid w:val="003327BB"/>
    <w:pPr>
      <w:ind w:left="720"/>
      <w:contextualSpacing/>
    </w:pPr>
  </w:style>
  <w:style w:type="paragraph" w:styleId="Revision">
    <w:name w:val="Revision"/>
    <w:hidden/>
    <w:uiPriority w:val="99"/>
    <w:semiHidden/>
    <w:rsid w:val="00B40125"/>
    <w:pPr>
      <w:spacing w:after="0" w:line="240" w:lineRule="auto"/>
    </w:pPr>
    <w:rPr>
      <w:rFonts w:ascii="Calibri" w:eastAsia="Times New Roman" w:hAnsi="Calibri" w:cs="Times New Roman"/>
      <w:szCs w:val="20"/>
      <w:lang w:eastAsia="en-AU"/>
    </w:rPr>
  </w:style>
  <w:style w:type="paragraph" w:customStyle="1" w:styleId="Heading1-NoTOC">
    <w:name w:val="Heading 1 - No TOC"/>
    <w:basedOn w:val="Heading1"/>
    <w:rsid w:val="00A7062E"/>
    <w:pPr>
      <w:outlineLvl w:val="9"/>
    </w:pPr>
  </w:style>
  <w:style w:type="paragraph" w:customStyle="1" w:styleId="Normal-Foreward">
    <w:name w:val="Normal - Foreward"/>
    <w:basedOn w:val="Normal"/>
    <w:rsid w:val="00F11DA8"/>
    <w:pPr>
      <w:spacing w:after="160" w:line="260" w:lineRule="exact"/>
    </w:pPr>
    <w:rPr>
      <w:rFonts w:asciiTheme="minorHAnsi" w:hAnsiTheme="minorHAnsi"/>
    </w:rPr>
  </w:style>
  <w:style w:type="paragraph" w:customStyle="1" w:styleId="Bullet-Foreward">
    <w:name w:val="Bullet - Foreward"/>
    <w:basedOn w:val="Bullet"/>
    <w:rsid w:val="00A7062E"/>
    <w:pPr>
      <w:spacing w:after="180" w:line="260" w:lineRule="exact"/>
    </w:pPr>
  </w:style>
  <w:style w:type="paragraph" w:customStyle="1" w:styleId="BoxNumbering">
    <w:name w:val="Box Numbering"/>
    <w:basedOn w:val="BoxText"/>
    <w:rsid w:val="00104E3A"/>
    <w:pPr>
      <w:numPr>
        <w:numId w:val="45"/>
      </w:numPr>
      <w:tabs>
        <w:tab w:val="left" w:pos="425"/>
      </w:tabs>
      <w:spacing w:before="120" w:after="120"/>
      <w:ind w:left="425" w:right="57" w:hanging="425"/>
    </w:pPr>
  </w:style>
  <w:style w:type="paragraph" w:customStyle="1" w:styleId="BoxText-Indent">
    <w:name w:val="Box Text - Indent"/>
    <w:basedOn w:val="BoxText"/>
    <w:rsid w:val="00AE6817"/>
    <w:pPr>
      <w:ind w:left="425" w:right="57"/>
    </w:pPr>
  </w:style>
  <w:style w:type="paragraph" w:customStyle="1" w:styleId="Header-Odd">
    <w:name w:val="Header - Odd"/>
    <w:basedOn w:val="Header"/>
    <w:rsid w:val="00DA35F5"/>
    <w:pPr>
      <w:spacing w:line="240" w:lineRule="auto"/>
    </w:pPr>
  </w:style>
  <w:style w:type="paragraph" w:customStyle="1" w:styleId="Header-Even">
    <w:name w:val="Header - Even"/>
    <w:basedOn w:val="Header-Odd"/>
    <w:rsid w:val="00641258"/>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0006">
      <w:bodyDiv w:val="1"/>
      <w:marLeft w:val="0"/>
      <w:marRight w:val="0"/>
      <w:marTop w:val="0"/>
      <w:marBottom w:val="0"/>
      <w:divBdr>
        <w:top w:val="none" w:sz="0" w:space="0" w:color="auto"/>
        <w:left w:val="none" w:sz="0" w:space="0" w:color="auto"/>
        <w:bottom w:val="none" w:sz="0" w:space="0" w:color="auto"/>
        <w:right w:val="none" w:sz="0" w:space="0" w:color="auto"/>
      </w:divBdr>
    </w:div>
    <w:div w:id="333535744">
      <w:bodyDiv w:val="1"/>
      <w:marLeft w:val="0"/>
      <w:marRight w:val="0"/>
      <w:marTop w:val="0"/>
      <w:marBottom w:val="0"/>
      <w:divBdr>
        <w:top w:val="none" w:sz="0" w:space="0" w:color="auto"/>
        <w:left w:val="none" w:sz="0" w:space="0" w:color="auto"/>
        <w:bottom w:val="none" w:sz="0" w:space="0" w:color="auto"/>
        <w:right w:val="none" w:sz="0" w:space="0" w:color="auto"/>
      </w:divBdr>
    </w:div>
    <w:div w:id="418909399">
      <w:bodyDiv w:val="1"/>
      <w:marLeft w:val="0"/>
      <w:marRight w:val="0"/>
      <w:marTop w:val="0"/>
      <w:marBottom w:val="0"/>
      <w:divBdr>
        <w:top w:val="none" w:sz="0" w:space="0" w:color="auto"/>
        <w:left w:val="none" w:sz="0" w:space="0" w:color="auto"/>
        <w:bottom w:val="none" w:sz="0" w:space="0" w:color="auto"/>
        <w:right w:val="none" w:sz="0" w:space="0" w:color="auto"/>
      </w:divBdr>
    </w:div>
    <w:div w:id="551230938">
      <w:bodyDiv w:val="1"/>
      <w:marLeft w:val="0"/>
      <w:marRight w:val="0"/>
      <w:marTop w:val="0"/>
      <w:marBottom w:val="0"/>
      <w:divBdr>
        <w:top w:val="none" w:sz="0" w:space="0" w:color="auto"/>
        <w:left w:val="none" w:sz="0" w:space="0" w:color="auto"/>
        <w:bottom w:val="none" w:sz="0" w:space="0" w:color="auto"/>
        <w:right w:val="none" w:sz="0" w:space="0" w:color="auto"/>
      </w:divBdr>
    </w:div>
    <w:div w:id="608390857">
      <w:bodyDiv w:val="1"/>
      <w:marLeft w:val="0"/>
      <w:marRight w:val="0"/>
      <w:marTop w:val="0"/>
      <w:marBottom w:val="0"/>
      <w:divBdr>
        <w:top w:val="none" w:sz="0" w:space="0" w:color="auto"/>
        <w:left w:val="none" w:sz="0" w:space="0" w:color="auto"/>
        <w:bottom w:val="none" w:sz="0" w:space="0" w:color="auto"/>
        <w:right w:val="none" w:sz="0" w:space="0" w:color="auto"/>
      </w:divBdr>
      <w:divsChild>
        <w:div w:id="694842817">
          <w:marLeft w:val="0"/>
          <w:marRight w:val="0"/>
          <w:marTop w:val="0"/>
          <w:marBottom w:val="0"/>
          <w:divBdr>
            <w:top w:val="none" w:sz="0" w:space="0" w:color="auto"/>
            <w:left w:val="none" w:sz="0" w:space="0" w:color="auto"/>
            <w:bottom w:val="none" w:sz="0" w:space="0" w:color="auto"/>
            <w:right w:val="none" w:sz="0" w:space="0" w:color="auto"/>
          </w:divBdr>
          <w:divsChild>
            <w:div w:id="1090857097">
              <w:marLeft w:val="0"/>
              <w:marRight w:val="0"/>
              <w:marTop w:val="0"/>
              <w:marBottom w:val="0"/>
              <w:divBdr>
                <w:top w:val="none" w:sz="0" w:space="0" w:color="auto"/>
                <w:left w:val="none" w:sz="0" w:space="0" w:color="auto"/>
                <w:bottom w:val="none" w:sz="0" w:space="0" w:color="auto"/>
                <w:right w:val="none" w:sz="0" w:space="0" w:color="auto"/>
              </w:divBdr>
              <w:divsChild>
                <w:div w:id="1597638691">
                  <w:marLeft w:val="0"/>
                  <w:marRight w:val="0"/>
                  <w:marTop w:val="100"/>
                  <w:marBottom w:val="100"/>
                  <w:divBdr>
                    <w:top w:val="none" w:sz="0" w:space="0" w:color="auto"/>
                    <w:left w:val="none" w:sz="0" w:space="0" w:color="auto"/>
                    <w:bottom w:val="none" w:sz="0" w:space="0" w:color="auto"/>
                    <w:right w:val="none" w:sz="0" w:space="0" w:color="auto"/>
                  </w:divBdr>
                  <w:divsChild>
                    <w:div w:id="758913131">
                      <w:marLeft w:val="1"/>
                      <w:marRight w:val="1"/>
                      <w:marTop w:val="0"/>
                      <w:marBottom w:val="0"/>
                      <w:divBdr>
                        <w:top w:val="none" w:sz="0" w:space="0" w:color="auto"/>
                        <w:left w:val="none" w:sz="0" w:space="0" w:color="auto"/>
                        <w:bottom w:val="none" w:sz="0" w:space="0" w:color="auto"/>
                        <w:right w:val="none" w:sz="0" w:space="0" w:color="auto"/>
                      </w:divBdr>
                      <w:divsChild>
                        <w:div w:id="1519657330">
                          <w:marLeft w:val="-1"/>
                          <w:marRight w:val="-1"/>
                          <w:marTop w:val="0"/>
                          <w:marBottom w:val="0"/>
                          <w:divBdr>
                            <w:top w:val="none" w:sz="0" w:space="0" w:color="auto"/>
                            <w:left w:val="none" w:sz="0" w:space="0" w:color="auto"/>
                            <w:bottom w:val="none" w:sz="0" w:space="0" w:color="auto"/>
                            <w:right w:val="none" w:sz="0" w:space="0" w:color="auto"/>
                          </w:divBdr>
                          <w:divsChild>
                            <w:div w:id="1480538448">
                              <w:marLeft w:val="0"/>
                              <w:marRight w:val="0"/>
                              <w:marTop w:val="0"/>
                              <w:marBottom w:val="600"/>
                              <w:divBdr>
                                <w:top w:val="none" w:sz="0" w:space="0" w:color="auto"/>
                                <w:left w:val="none" w:sz="0" w:space="0" w:color="auto"/>
                                <w:bottom w:val="none" w:sz="0" w:space="0" w:color="auto"/>
                                <w:right w:val="none" w:sz="0" w:space="0" w:color="auto"/>
                              </w:divBdr>
                              <w:divsChild>
                                <w:div w:id="983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556359">
      <w:bodyDiv w:val="1"/>
      <w:marLeft w:val="0"/>
      <w:marRight w:val="0"/>
      <w:marTop w:val="0"/>
      <w:marBottom w:val="0"/>
      <w:divBdr>
        <w:top w:val="none" w:sz="0" w:space="0" w:color="auto"/>
        <w:left w:val="none" w:sz="0" w:space="0" w:color="auto"/>
        <w:bottom w:val="none" w:sz="0" w:space="0" w:color="auto"/>
        <w:right w:val="none" w:sz="0" w:space="0" w:color="auto"/>
      </w:divBdr>
    </w:div>
    <w:div w:id="1224559221">
      <w:bodyDiv w:val="1"/>
      <w:marLeft w:val="0"/>
      <w:marRight w:val="0"/>
      <w:marTop w:val="0"/>
      <w:marBottom w:val="0"/>
      <w:divBdr>
        <w:top w:val="none" w:sz="0" w:space="0" w:color="auto"/>
        <w:left w:val="none" w:sz="0" w:space="0" w:color="auto"/>
        <w:bottom w:val="none" w:sz="0" w:space="0" w:color="auto"/>
        <w:right w:val="none" w:sz="0" w:space="0" w:color="auto"/>
      </w:divBdr>
    </w:div>
    <w:div w:id="1496602636">
      <w:bodyDiv w:val="1"/>
      <w:marLeft w:val="0"/>
      <w:marRight w:val="0"/>
      <w:marTop w:val="0"/>
      <w:marBottom w:val="0"/>
      <w:divBdr>
        <w:top w:val="none" w:sz="0" w:space="0" w:color="auto"/>
        <w:left w:val="none" w:sz="0" w:space="0" w:color="auto"/>
        <w:bottom w:val="none" w:sz="0" w:space="0" w:color="auto"/>
        <w:right w:val="none" w:sz="0" w:space="0" w:color="auto"/>
      </w:divBdr>
    </w:div>
    <w:div w:id="1565330744">
      <w:bodyDiv w:val="1"/>
      <w:marLeft w:val="0"/>
      <w:marRight w:val="0"/>
      <w:marTop w:val="0"/>
      <w:marBottom w:val="0"/>
      <w:divBdr>
        <w:top w:val="none" w:sz="0" w:space="0" w:color="auto"/>
        <w:left w:val="none" w:sz="0" w:space="0" w:color="auto"/>
        <w:bottom w:val="none" w:sz="0" w:space="0" w:color="auto"/>
        <w:right w:val="none" w:sz="0" w:space="0" w:color="auto"/>
      </w:divBdr>
    </w:div>
    <w:div w:id="1657683149">
      <w:bodyDiv w:val="1"/>
      <w:marLeft w:val="0"/>
      <w:marRight w:val="0"/>
      <w:marTop w:val="0"/>
      <w:marBottom w:val="0"/>
      <w:divBdr>
        <w:top w:val="none" w:sz="0" w:space="0" w:color="auto"/>
        <w:left w:val="none" w:sz="0" w:space="0" w:color="auto"/>
        <w:bottom w:val="none" w:sz="0" w:space="0" w:color="auto"/>
        <w:right w:val="none" w:sz="0" w:space="0" w:color="auto"/>
      </w:divBdr>
    </w:div>
    <w:div w:id="214515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creativecommons.org/licenses/by/3.0/au/legalcode" TargetMode="External"/><Relationship Id="rId26" Type="http://schemas.openxmlformats.org/officeDocument/2006/relationships/header" Target="header5.xml"/><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itsanhonour.gov.au" TargetMode="External"/><Relationship Id="rId34" Type="http://schemas.openxmlformats.org/officeDocument/2006/relationships/header" Target="header6.xm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deed.en" TargetMode="External"/><Relationship Id="rId25" Type="http://schemas.openxmlformats.org/officeDocument/2006/relationships/footer" Target="footer2.xml"/><Relationship Id="rId33" Type="http://schemas.openxmlformats.org/officeDocument/2006/relationships/footer" Target="footer6.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creativecommons.org/licenses/by/3.0/au/deed.en" TargetMode="External"/><Relationship Id="rId29" Type="http://schemas.openxmlformats.org/officeDocument/2006/relationships/hyperlink" Target="mailto:phoenixing@treasury.gov.au" TargetMode="Externa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image" Target="media/image4.tiff"/><Relationship Id="rId37" Type="http://schemas.openxmlformats.org/officeDocument/2006/relationships/header" Target="header8.xml"/><Relationship Id="rId40"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4.xml"/><Relationship Id="rId36"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image" Target="media/image2.wmf"/><Relationship Id="rId31" Type="http://schemas.openxmlformats.org/officeDocument/2006/relationships/image" Target="media/image3.jpeg"/><Relationship Id="rId44"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mailto:medialiaison@treasury.gov.au" TargetMode="Externa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header" Target="header7.xml"/><Relationship Id="rId43"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kmo.ministers.treasury.gov.au/media-release/093-2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B903A4E222D45E1ABC2387D34D238C6"/>
        <w:category>
          <w:name w:val="General"/>
          <w:gallery w:val="placeholder"/>
        </w:category>
        <w:types>
          <w:type w:val="bbPlcHdr"/>
        </w:types>
        <w:behaviors>
          <w:behavior w:val="content"/>
        </w:behaviors>
        <w:guid w:val="{20AA4BE6-95CB-4145-A072-EB13ECF85909}"/>
      </w:docPartPr>
      <w:docPartBody>
        <w:p w14:paraId="73652558" w14:textId="388605C0" w:rsidR="00D30486" w:rsidRDefault="006476CB">
          <w:pPr>
            <w:pStyle w:val="1B903A4E222D45E1ABC2387D34D238C6"/>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4AC"/>
    <w:rsid w:val="001D64E4"/>
    <w:rsid w:val="002A4191"/>
    <w:rsid w:val="006476CB"/>
    <w:rsid w:val="007173B1"/>
    <w:rsid w:val="0075465B"/>
    <w:rsid w:val="00793E9F"/>
    <w:rsid w:val="008F44AC"/>
    <w:rsid w:val="009B465C"/>
    <w:rsid w:val="009C6C32"/>
    <w:rsid w:val="00AC134D"/>
    <w:rsid w:val="00D30486"/>
    <w:rsid w:val="00E879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BAADA9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49A1686ACA47E9BD9DDEF8B5E8857F">
    <w:name w:val="6349A1686ACA47E9BD9DDEF8B5E8857F"/>
  </w:style>
  <w:style w:type="character" w:styleId="PlaceholderText">
    <w:name w:val="Placeholder Text"/>
    <w:basedOn w:val="DefaultParagraphFont"/>
    <w:uiPriority w:val="99"/>
    <w:semiHidden/>
    <w:rsid w:val="006476CB"/>
    <w:rPr>
      <w:color w:val="808080"/>
    </w:rPr>
  </w:style>
  <w:style w:type="paragraph" w:customStyle="1" w:styleId="3DBE7A2C3DD64E2E8F06ADD47F86B593">
    <w:name w:val="3DBE7A2C3DD64E2E8F06ADD47F86B593"/>
  </w:style>
  <w:style w:type="paragraph" w:customStyle="1" w:styleId="44886C9D028E4A63A88A2930A7233559">
    <w:name w:val="44886C9D028E4A63A88A2930A7233559"/>
    <w:rsid w:val="006476CB"/>
  </w:style>
  <w:style w:type="paragraph" w:customStyle="1" w:styleId="1B903A4E222D45E1ABC2387D34D238C6">
    <w:name w:val="1B903A4E222D45E1ABC2387D34D238C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49A1686ACA47E9BD9DDEF8B5E8857F">
    <w:name w:val="6349A1686ACA47E9BD9DDEF8B5E8857F"/>
  </w:style>
  <w:style w:type="character" w:styleId="PlaceholderText">
    <w:name w:val="Placeholder Text"/>
    <w:basedOn w:val="DefaultParagraphFont"/>
    <w:uiPriority w:val="99"/>
    <w:semiHidden/>
    <w:rsid w:val="006476CB"/>
    <w:rPr>
      <w:color w:val="808080"/>
    </w:rPr>
  </w:style>
  <w:style w:type="paragraph" w:customStyle="1" w:styleId="3DBE7A2C3DD64E2E8F06ADD47F86B593">
    <w:name w:val="3DBE7A2C3DD64E2E8F06ADD47F86B593"/>
  </w:style>
  <w:style w:type="paragraph" w:customStyle="1" w:styleId="44886C9D028E4A63A88A2930A7233559">
    <w:name w:val="44886C9D028E4A63A88A2930A7233559"/>
    <w:rsid w:val="006476CB"/>
  </w:style>
  <w:style w:type="paragraph" w:customStyle="1" w:styleId="1B903A4E222D45E1ABC2387D34D238C6">
    <w:name w:val="1B903A4E222D45E1ABC2387D34D238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dd4adf-ddb3-46a3-8d7c-fab3fb2a6bc7">
      <Value>20</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RA-9049 - Retain as national archives</TermName>
          <TermId xmlns="http://schemas.microsoft.com/office/infopath/2007/PartnerControls">c7a196f8-aab8-4135-b264-b5edf8684786</TermId>
        </TermInfo>
      </Terms>
    </lb508a4dc5e84436a0fe496b536466aa>
    <_dlc_DocId xmlns="d4dd4adf-ddb3-46a3-8d7c-fab3fb2a6bc7">2017MG-193500472-34</_dlc_DocId>
    <_dlc_DocIdUrl xmlns="d4dd4adf-ddb3-46a3-8d7c-fab3fb2a6bc7">
      <Url>http://tweb/sites/mg/fsd/_layouts/15/DocIdRedir.aspx?ID=2017MG-193500472-34</Url>
      <Description>2017MG-193500472-34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1EA7D499AA5A0A41A47CE11FAF68C0A3" ma:contentTypeVersion="5750" ma:contentTypeDescription="" ma:contentTypeScope="" ma:versionID="1d9588f81c70d68295bcda9336a6fb2e">
  <xsd:schema xmlns:xsd="http://www.w3.org/2001/XMLSchema" xmlns:xs="http://www.w3.org/2001/XMLSchema" xmlns:p="http://schemas.microsoft.com/office/2006/metadata/properties" xmlns:ns1="http://schemas.microsoft.com/sharepoint/v3" xmlns:ns2="d4dd4adf-ddb3-46a3-8d7c-fab3fb2a6bc7" targetNamespace="http://schemas.microsoft.com/office/2006/metadata/properties" ma:root="true" ma:fieldsID="db7d1d680ee31d519cf4f64225441ec5" ns1:_="" ns2:_="">
    <xsd:import namespace="http://schemas.microsoft.com/sharepoint/v3"/>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0;#TSY RA-9049 - Retain as national archives|c7a196f8-aab8-4135-b264-b5edf868478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B309A-CBFC-464D-87E3-58CA643C070D}">
  <ds:schemaRefs>
    <ds:schemaRef ds:uri="office.server.policy"/>
  </ds:schemaRefs>
</ds:datastoreItem>
</file>

<file path=customXml/itemProps2.xml><?xml version="1.0" encoding="utf-8"?>
<ds:datastoreItem xmlns:ds="http://schemas.openxmlformats.org/officeDocument/2006/customXml" ds:itemID="{9CDFCFE4-7925-45F8-A963-AA262A6BA9B2}">
  <ds:schemaRefs>
    <ds:schemaRef ds:uri="http://schemas.microsoft.com/sharepoint/v3/contenttype/forms"/>
  </ds:schemaRefs>
</ds:datastoreItem>
</file>

<file path=customXml/itemProps3.xml><?xml version="1.0" encoding="utf-8"?>
<ds:datastoreItem xmlns:ds="http://schemas.openxmlformats.org/officeDocument/2006/customXml" ds:itemID="{9B664680-82BA-438C-A1F3-FC9F8EDDE724}">
  <ds:schemaRefs>
    <ds:schemaRef ds:uri="http://purl.org/dc/elements/1.1/"/>
    <ds:schemaRef ds:uri="http://schemas.microsoft.com/sharepoint/v3"/>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d4dd4adf-ddb3-46a3-8d7c-fab3fb2a6bc7"/>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D0685448-E841-4527-B6AF-AF0AD6CE2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AC3E1B-71DB-41CB-89A3-D0348CB03C9D}">
  <ds:schemaRefs>
    <ds:schemaRef ds:uri="http://schemas.microsoft.com/sharepoint/events"/>
  </ds:schemaRefs>
</ds:datastoreItem>
</file>

<file path=customXml/itemProps6.xml><?xml version="1.0" encoding="utf-8"?>
<ds:datastoreItem xmlns:ds="http://schemas.openxmlformats.org/officeDocument/2006/customXml" ds:itemID="{4780CBA2-4DDB-40DB-AA8F-17B8ED862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4</TotalTime>
  <Pages>38</Pages>
  <Words>12406</Words>
  <Characters>70718</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Combatting Illegal Phoenixing</vt:lpstr>
    </vt:vector>
  </TitlesOfParts>
  <Company>Australian Government - The Treasury</Company>
  <LinksUpToDate>false</LinksUpToDate>
  <CharactersWithSpaces>82959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Combatting Illegal Phoenixing</dc:title>
  <dc:creator>James Mason</dc:creator>
  <cp:lastModifiedBy>Irwin, Zoe</cp:lastModifiedBy>
  <cp:revision>6</cp:revision>
  <cp:lastPrinted>2017-09-28T03:10:00Z</cp:lastPrinted>
  <dcterms:created xsi:type="dcterms:W3CDTF">2017-09-28T00:01:00Z</dcterms:created>
  <dcterms:modified xsi:type="dcterms:W3CDTF">2017-09-28T03:12:00Z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0x010100E95D40E5DFEA714B90E88DB5CE07A6B5001EA7D499AA5A0A41A47CE11FAF68C0A3</vt:lpwstr>
  </property>
  <property fmtid="{D5CDD505-2E9C-101B-9397-08002B2CF9AE}" pid="3" name="_dlc_DocIdItemGuid">
    <vt:lpwstr>7ebc2116-723b-455e-b8c3-201f44c4e0ec</vt:lpwstr>
  </property>
  <property fmtid="{D5CDD505-2E9C-101B-9397-08002B2CF9AE}" pid="4" name="RecordPoint_WorkflowType">
    <vt:lpwstr>ActiveSubmitStub</vt:lpwstr>
  </property>
  <property fmtid="{D5CDD505-2E9C-101B-9397-08002B2CF9AE}" pid="5" name="RecordPoint_ActiveItemSiteId">
    <vt:lpwstr>{08cedf7d-7ad2-4b81-a81f-47e3ec332c41}</vt:lpwstr>
  </property>
  <property fmtid="{D5CDD505-2E9C-101B-9397-08002B2CF9AE}" pid="6" name="RecordPoint_ActiveItemListId">
    <vt:lpwstr>{ea61c89b-9327-4e79-ad19-4a45b4e2286b}</vt:lpwstr>
  </property>
  <property fmtid="{D5CDD505-2E9C-101B-9397-08002B2CF9AE}" pid="7" name="RecordPoint_ActiveItemUniqueId">
    <vt:lpwstr>{7ebc2116-723b-455e-b8c3-201f44c4e0ec}</vt:lpwstr>
  </property>
  <property fmtid="{D5CDD505-2E9C-101B-9397-08002B2CF9AE}" pid="8" name="RecordPoint_ActiveItemWebId">
    <vt:lpwstr>{f6874c22-392b-4813-808f-a2deae4c7b5a}</vt:lpwstr>
  </property>
  <property fmtid="{D5CDD505-2E9C-101B-9397-08002B2CF9AE}" pid="9" name="RecordPoint_RecordNumberSubmitted">
    <vt:lpwstr>R0001437345</vt:lpwstr>
  </property>
  <property fmtid="{D5CDD505-2E9C-101B-9397-08002B2CF9AE}" pid="10" name="TSYRecordClass">
    <vt:lpwstr>20;#TSY RA-9049 - Retain as national archives|c7a196f8-aab8-4135-b264-b5edf8684786</vt:lpwstr>
  </property>
  <property fmtid="{D5CDD505-2E9C-101B-9397-08002B2CF9AE}" pid="11" name="_AdHocReviewCycleID">
    <vt:i4>-2070583922</vt:i4>
  </property>
  <property fmtid="{D5CDD505-2E9C-101B-9397-08002B2CF9AE}" pid="12" name="_NewReviewCycle">
    <vt:lpwstr/>
  </property>
  <property fmtid="{D5CDD505-2E9C-101B-9397-08002B2CF9AE}" pid="13" name="_EmailSubject">
    <vt:lpwstr>Urgent: Update - Consultation &amp; Discussions Papers Request #S52306 [SEC=UNCLASSIFIED]</vt:lpwstr>
  </property>
  <property fmtid="{D5CDD505-2E9C-101B-9397-08002B2CF9AE}" pid="14" name="_AuthorEmail">
    <vt:lpwstr>Zoe.Irwin@TREASURY.GOV.AU</vt:lpwstr>
  </property>
  <property fmtid="{D5CDD505-2E9C-101B-9397-08002B2CF9AE}" pid="15" name="_AuthorEmailDisplayName">
    <vt:lpwstr>Irwin, Zoe</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RecordPoint_SubmissionCompleted">
    <vt:lpwstr>2017-09-28T13:06:41.4371525+10:00</vt:lpwstr>
  </property>
  <property fmtid="{D5CDD505-2E9C-101B-9397-08002B2CF9AE}" pid="21" name="_PreviousAdHocReviewCycleID">
    <vt:i4>-1946123903</vt:i4>
  </property>
</Properties>
</file>