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3.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quickStyle3.xml" ContentType="application/vnd.openxmlformats-officedocument.drawingml.diagramStyle+xml"/>
  <Override PartName="/word/diagrams/drawing2.xml" ContentType="application/vnd.ms-office.drawingml.diagramDrawing+xml"/>
  <Override PartName="/word/diagrams/drawing3.xml" ContentType="application/vnd.ms-office.drawingml.diagramDrawing+xml"/>
  <Override PartName="/word/theme/theme1.xml" ContentType="application/vnd.openxmlformats-officedocument.theme+xml"/>
  <Override PartName="/word/diagrams/colors2.xml" ContentType="application/vnd.openxmlformats-officedocument.drawingml.diagramColors+xml"/>
  <Override PartName="/word/diagrams/layout3.xml" ContentType="application/vnd.openxmlformats-officedocument.drawingml.diagramLayout+xml"/>
  <Override PartName="/word/diagrams/colors3.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508C" w14:textId="47EDF1F2" w:rsidR="008B782F" w:rsidRDefault="00E35F07" w:rsidP="0022780E">
      <w:pPr>
        <w:pStyle w:val="Date"/>
        <w:spacing w:after="0" w:line="240" w:lineRule="auto"/>
        <w:rPr>
          <w:rFonts w:cs="Arial"/>
        </w:rPr>
      </w:pPr>
      <w:r>
        <w:rPr>
          <w:rFonts w:cs="Arial"/>
        </w:rPr>
        <w:t>20 December</w:t>
      </w:r>
      <w:r w:rsidR="000C178F">
        <w:rPr>
          <w:rFonts w:cs="Arial"/>
        </w:rPr>
        <w:t xml:space="preserve"> 2019</w:t>
      </w:r>
    </w:p>
    <w:p w14:paraId="7F523A65" w14:textId="2DFF553C" w:rsidR="00E35F07" w:rsidRDefault="00E35F07" w:rsidP="0022780E">
      <w:pPr>
        <w:spacing w:before="0"/>
      </w:pPr>
    </w:p>
    <w:p w14:paraId="37759EF0" w14:textId="365F233F" w:rsidR="00FE0505" w:rsidRDefault="00FE0505" w:rsidP="0022780E">
      <w:pPr>
        <w:spacing w:before="0"/>
      </w:pPr>
    </w:p>
    <w:p w14:paraId="7AD7FB5B" w14:textId="77777777" w:rsidR="00FE0505" w:rsidRPr="00E35F07" w:rsidRDefault="00FE0505" w:rsidP="0022780E">
      <w:pPr>
        <w:spacing w:before="0"/>
      </w:pPr>
    </w:p>
    <w:p w14:paraId="00A576C4" w14:textId="77777777" w:rsidR="00EE5648" w:rsidRPr="00816596" w:rsidRDefault="00EE5648" w:rsidP="0022780E">
      <w:pPr>
        <w:spacing w:before="0" w:after="0"/>
        <w:rPr>
          <w:rFonts w:cs="Arial"/>
        </w:rPr>
      </w:pPr>
      <w:r w:rsidRPr="00816596">
        <w:rPr>
          <w:rFonts w:cs="Arial"/>
        </w:rPr>
        <w:t>The Honourable Michael Sukkar MP</w:t>
      </w:r>
    </w:p>
    <w:p w14:paraId="66C9F506" w14:textId="77777777" w:rsidR="00EE5648" w:rsidRPr="00816596" w:rsidRDefault="00EE5648" w:rsidP="0022780E">
      <w:pPr>
        <w:spacing w:before="0" w:after="0"/>
        <w:rPr>
          <w:rFonts w:cs="Arial"/>
        </w:rPr>
      </w:pPr>
      <w:r>
        <w:rPr>
          <w:rFonts w:cs="Arial"/>
        </w:rPr>
        <w:t>Assistant Treasurer and Minister for Housing</w:t>
      </w:r>
    </w:p>
    <w:p w14:paraId="480B9B10" w14:textId="77777777" w:rsidR="00DC1475" w:rsidRDefault="00DC1475" w:rsidP="004513FB">
      <w:pPr>
        <w:spacing w:before="0" w:after="0"/>
        <w:rPr>
          <w:rFonts w:cs="Arial"/>
          <w:color w:val="313131"/>
          <w:shd w:val="clear" w:color="auto" w:fill="FFFFFF"/>
        </w:rPr>
      </w:pPr>
      <w:r>
        <w:rPr>
          <w:rFonts w:cs="Arial"/>
          <w:color w:val="313131"/>
          <w:shd w:val="clear" w:color="auto" w:fill="FFFFFF"/>
        </w:rPr>
        <w:t>The Treasury</w:t>
      </w:r>
    </w:p>
    <w:p w14:paraId="31B41D96" w14:textId="77777777" w:rsidR="00DC1475" w:rsidRPr="00370CBF" w:rsidRDefault="00DC1475" w:rsidP="004513FB">
      <w:pPr>
        <w:spacing w:before="0" w:after="0"/>
        <w:rPr>
          <w:rFonts w:cs="Arial"/>
          <w:color w:val="auto"/>
          <w:shd w:val="clear" w:color="auto" w:fill="FFFFFF"/>
        </w:rPr>
      </w:pPr>
      <w:r>
        <w:rPr>
          <w:rFonts w:cs="Arial"/>
          <w:color w:val="313131"/>
          <w:shd w:val="clear" w:color="auto" w:fill="FFFFFF"/>
        </w:rPr>
        <w:t xml:space="preserve">Langton </w:t>
      </w:r>
      <w:r w:rsidRPr="00370CBF">
        <w:rPr>
          <w:rFonts w:cs="Arial"/>
          <w:color w:val="auto"/>
          <w:shd w:val="clear" w:color="auto" w:fill="FFFFFF"/>
        </w:rPr>
        <w:t>Crescent</w:t>
      </w:r>
    </w:p>
    <w:p w14:paraId="0E106274" w14:textId="77777777" w:rsidR="00DC1475" w:rsidRPr="00370CBF" w:rsidRDefault="00DC1475" w:rsidP="004513FB">
      <w:pPr>
        <w:spacing w:before="0" w:after="0"/>
        <w:rPr>
          <w:rFonts w:cs="Arial"/>
          <w:color w:val="auto"/>
          <w:shd w:val="clear" w:color="auto" w:fill="FFFFFF"/>
        </w:rPr>
      </w:pPr>
      <w:r w:rsidRPr="00370CBF">
        <w:rPr>
          <w:rFonts w:cs="Arial"/>
          <w:color w:val="auto"/>
          <w:shd w:val="clear" w:color="auto" w:fill="FFFFFF"/>
        </w:rPr>
        <w:t>PARKES ACT 2600</w:t>
      </w:r>
    </w:p>
    <w:p w14:paraId="2E83A545" w14:textId="77777777" w:rsidR="00DC1475" w:rsidRDefault="00DC1475" w:rsidP="00FE0505">
      <w:pPr>
        <w:spacing w:before="0" w:after="0"/>
        <w:rPr>
          <w:rFonts w:cs="Arial"/>
        </w:rPr>
      </w:pPr>
    </w:p>
    <w:p w14:paraId="33D6D7ED" w14:textId="259DB709" w:rsidR="004513FB" w:rsidRDefault="002128AB" w:rsidP="00FE0505">
      <w:pPr>
        <w:spacing w:before="0" w:after="0"/>
        <w:rPr>
          <w:rFonts w:cs="Arial"/>
        </w:rPr>
      </w:pPr>
      <w:r>
        <w:rPr>
          <w:rFonts w:cs="Arial"/>
        </w:rPr>
        <w:t xml:space="preserve">Via email: </w:t>
      </w:r>
      <w:hyperlink r:id="rId8" w:history="1">
        <w:r w:rsidR="00EE7755" w:rsidRPr="005D2BA4">
          <w:rPr>
            <w:rStyle w:val="Hyperlink"/>
            <w:rFonts w:cs="Arial"/>
          </w:rPr>
          <w:t>prebudgetsubs@treasury.gov.au</w:t>
        </w:r>
      </w:hyperlink>
      <w:r w:rsidR="00EE7755">
        <w:rPr>
          <w:rFonts w:cs="Arial"/>
        </w:rPr>
        <w:t xml:space="preserve"> </w:t>
      </w:r>
    </w:p>
    <w:p w14:paraId="5FE3E46C" w14:textId="77777777" w:rsidR="004513FB" w:rsidRDefault="004513FB" w:rsidP="00FE0505">
      <w:pPr>
        <w:spacing w:before="0" w:after="0"/>
        <w:rPr>
          <w:rFonts w:cs="Arial"/>
        </w:rPr>
      </w:pPr>
    </w:p>
    <w:p w14:paraId="6C3EF086" w14:textId="77777777" w:rsidR="004513FB" w:rsidRDefault="004513FB" w:rsidP="00FE0505">
      <w:pPr>
        <w:spacing w:before="0" w:after="0"/>
        <w:rPr>
          <w:rFonts w:cs="Arial"/>
        </w:rPr>
      </w:pPr>
    </w:p>
    <w:p w14:paraId="63104BEB" w14:textId="77777777" w:rsidR="004513FB" w:rsidRDefault="004513FB" w:rsidP="00FE0505">
      <w:pPr>
        <w:spacing w:before="0" w:after="0"/>
        <w:rPr>
          <w:rFonts w:cs="Arial"/>
        </w:rPr>
      </w:pPr>
    </w:p>
    <w:p w14:paraId="771AA5AF" w14:textId="23F1EEE2" w:rsidR="00EE5648" w:rsidRDefault="00EE5648" w:rsidP="00FE0505">
      <w:pPr>
        <w:spacing w:before="0" w:after="0"/>
        <w:rPr>
          <w:rFonts w:cs="Arial"/>
        </w:rPr>
      </w:pPr>
      <w:r w:rsidRPr="00816596">
        <w:rPr>
          <w:rFonts w:cs="Arial"/>
        </w:rPr>
        <w:t>Dear Minister</w:t>
      </w:r>
    </w:p>
    <w:p w14:paraId="0129CDFD" w14:textId="77777777" w:rsidR="00FE0505" w:rsidRDefault="00FE0505" w:rsidP="00FE0505">
      <w:pPr>
        <w:spacing w:before="0" w:after="0"/>
        <w:rPr>
          <w:rFonts w:cs="Arial"/>
        </w:rPr>
      </w:pPr>
    </w:p>
    <w:p w14:paraId="2ECCE3B1" w14:textId="55F5BC58" w:rsidR="00860483" w:rsidRDefault="00E57E30" w:rsidP="00FE0505">
      <w:pPr>
        <w:spacing w:before="0" w:after="0"/>
        <w:rPr>
          <w:rFonts w:cs="Arial"/>
          <w:b/>
          <w:bCs/>
        </w:rPr>
      </w:pPr>
      <w:r>
        <w:rPr>
          <w:rFonts w:cs="Arial"/>
          <w:b/>
          <w:bCs/>
        </w:rPr>
        <w:t xml:space="preserve">The </w:t>
      </w:r>
      <w:r w:rsidR="00860483" w:rsidRPr="00860483">
        <w:rPr>
          <w:rFonts w:cs="Arial"/>
          <w:b/>
          <w:bCs/>
        </w:rPr>
        <w:t xml:space="preserve">Government’s 2020-21 Pre-Budget </w:t>
      </w:r>
      <w:r w:rsidR="002128AB">
        <w:rPr>
          <w:rFonts w:cs="Arial"/>
          <w:b/>
          <w:bCs/>
        </w:rPr>
        <w:t>Submission Process</w:t>
      </w:r>
    </w:p>
    <w:p w14:paraId="02D761FD" w14:textId="77777777" w:rsidR="00FE0505" w:rsidRDefault="00FE0505" w:rsidP="00FE0505">
      <w:pPr>
        <w:spacing w:before="0" w:after="0"/>
        <w:rPr>
          <w:rFonts w:cs="Arial"/>
        </w:rPr>
      </w:pPr>
    </w:p>
    <w:p w14:paraId="545329BA" w14:textId="7B2718C3" w:rsidR="00EE5648" w:rsidRDefault="00EE5648" w:rsidP="00FE0505">
      <w:pPr>
        <w:spacing w:before="0" w:after="0"/>
        <w:rPr>
          <w:rFonts w:cs="Arial"/>
        </w:rPr>
      </w:pPr>
      <w:r>
        <w:rPr>
          <w:rFonts w:cs="Arial"/>
        </w:rPr>
        <w:t xml:space="preserve">COBA welcomes the opportunity to make a submission </w:t>
      </w:r>
      <w:r w:rsidR="00266ECA">
        <w:rPr>
          <w:rFonts w:cs="Arial"/>
        </w:rPr>
        <w:t xml:space="preserve">to </w:t>
      </w:r>
      <w:r>
        <w:rPr>
          <w:rFonts w:cs="Arial"/>
        </w:rPr>
        <w:t xml:space="preserve">the Government’s </w:t>
      </w:r>
      <w:r w:rsidR="00E35F07">
        <w:rPr>
          <w:rFonts w:cs="Arial"/>
        </w:rPr>
        <w:t xml:space="preserve">2020-21 </w:t>
      </w:r>
      <w:r>
        <w:rPr>
          <w:rFonts w:cs="Arial"/>
        </w:rPr>
        <w:t>Pre-Budget process.</w:t>
      </w:r>
    </w:p>
    <w:p w14:paraId="1E174789" w14:textId="77777777" w:rsidR="00FE0505" w:rsidRDefault="00FE0505" w:rsidP="00FE0505">
      <w:pPr>
        <w:spacing w:before="0" w:after="0"/>
        <w:rPr>
          <w:rFonts w:cs="Arial"/>
        </w:rPr>
      </w:pPr>
    </w:p>
    <w:p w14:paraId="58E295BB" w14:textId="6AD5DC3B" w:rsidR="00EE7755" w:rsidRDefault="00EE5648" w:rsidP="00FE0505">
      <w:pPr>
        <w:pStyle w:val="IncreasedSpace"/>
        <w:spacing w:before="0" w:after="0"/>
      </w:pPr>
      <w:bookmarkStart w:id="0" w:name="_Hlk27726644"/>
      <w:r w:rsidRPr="00DC1475">
        <w:t>Credit unions, mutual banks and building societies together lend more than $</w:t>
      </w:r>
      <w:r w:rsidR="008129BF" w:rsidRPr="00DC1475">
        <w:t>9</w:t>
      </w:r>
      <w:r w:rsidR="00E17E72" w:rsidRPr="00DC1475">
        <w:t>0</w:t>
      </w:r>
      <w:r w:rsidRPr="00DC1475">
        <w:t xml:space="preserve"> billion for housing, of which around 80 per cent is to owner-occupiers. Collectively, the mutual sector is the fifth largest housing lender.</w:t>
      </w:r>
      <w:r>
        <w:t xml:space="preserve"> </w:t>
      </w:r>
    </w:p>
    <w:bookmarkEnd w:id="0"/>
    <w:p w14:paraId="49D41D45" w14:textId="77777777" w:rsidR="00EE7755" w:rsidRDefault="00EE7755" w:rsidP="00FE0505">
      <w:pPr>
        <w:pStyle w:val="IncreasedSpace"/>
        <w:spacing w:before="0" w:after="0"/>
      </w:pPr>
    </w:p>
    <w:p w14:paraId="1574A7DA" w14:textId="23720971" w:rsidR="00EE5648" w:rsidRPr="00332AC0" w:rsidRDefault="00EE5648" w:rsidP="00FE0505">
      <w:pPr>
        <w:pStyle w:val="IncreasedSpace"/>
        <w:spacing w:before="0" w:after="0"/>
      </w:pPr>
      <w:r>
        <w:t>Our point of difference is our model – our cust</w:t>
      </w:r>
      <w:bookmarkStart w:id="1" w:name="_GoBack"/>
      <w:bookmarkEnd w:id="1"/>
      <w:r>
        <w:t xml:space="preserve">omers are also the owners of our institutions. </w:t>
      </w:r>
      <w:r w:rsidR="00EE7755">
        <w:t xml:space="preserve"> </w:t>
      </w:r>
      <w:r>
        <w:t xml:space="preserve">Our focus on the customer over external owners removes the temptation to put ‘profit before people’, something that is inherent in the investor-owned model. The </w:t>
      </w:r>
      <w:r w:rsidR="00DC1475">
        <w:t xml:space="preserve">Financial Services </w:t>
      </w:r>
      <w:r>
        <w:t xml:space="preserve">Royal Commission included a lengthy discussion on these issues. Given </w:t>
      </w:r>
      <w:r w:rsidR="00DC1475">
        <w:t>that our sector is</w:t>
      </w:r>
      <w:r>
        <w:t xml:space="preserve"> funded primarily by household deposits, at its simplest</w:t>
      </w:r>
      <w:r w:rsidRPr="00332AC0">
        <w:t>, customer</w:t>
      </w:r>
      <w:r w:rsidR="00332AC0" w:rsidRPr="00332AC0">
        <w:t xml:space="preserve"> </w:t>
      </w:r>
      <w:r w:rsidRPr="00332AC0">
        <w:t xml:space="preserve">owned banks </w:t>
      </w:r>
      <w:r w:rsidR="00582B3B" w:rsidRPr="00332AC0">
        <w:t xml:space="preserve">look after </w:t>
      </w:r>
      <w:r w:rsidRPr="00332AC0">
        <w:t xml:space="preserve">Australians’ </w:t>
      </w:r>
      <w:r w:rsidR="00582B3B" w:rsidRPr="00332AC0">
        <w:t xml:space="preserve">savings </w:t>
      </w:r>
      <w:r w:rsidRPr="00332AC0">
        <w:t>and lend them to other Australians to reach their dreams of homeownership.</w:t>
      </w:r>
    </w:p>
    <w:p w14:paraId="76BCA522" w14:textId="3E18123F" w:rsidR="00456B6D" w:rsidRPr="00332AC0" w:rsidRDefault="00456B6D" w:rsidP="00FE0505">
      <w:pPr>
        <w:pStyle w:val="IncreasedSpace"/>
        <w:spacing w:before="0" w:after="0"/>
      </w:pPr>
    </w:p>
    <w:p w14:paraId="3C80CF55" w14:textId="1A8030CA" w:rsidR="00456B6D" w:rsidRDefault="00456B6D" w:rsidP="00FE0505">
      <w:pPr>
        <w:pStyle w:val="IncreasedSpace"/>
        <w:spacing w:before="0" w:after="0"/>
      </w:pPr>
      <w:r w:rsidRPr="00332AC0">
        <w:t>Our objective in making this submission is to empower consumers to drive a more competitive home mortgage market.</w:t>
      </w:r>
      <w:r w:rsidR="00257B7D" w:rsidRPr="00332AC0">
        <w:t xml:space="preserve"> Our motive is to support our sector’s capacity to win new customers and promote the customer</w:t>
      </w:r>
      <w:r w:rsidR="00332AC0" w:rsidRPr="00332AC0">
        <w:t xml:space="preserve"> </w:t>
      </w:r>
      <w:r w:rsidR="00257B7D" w:rsidRPr="00332AC0">
        <w:t>owned</w:t>
      </w:r>
      <w:r w:rsidR="00257B7D">
        <w:t xml:space="preserve"> model. Our focus is on the home loan market because buying a home is the most significant financial commitment people make and the price of a home loan is huge</w:t>
      </w:r>
      <w:r w:rsidR="005F42C8">
        <w:t xml:space="preserve"> factor in the</w:t>
      </w:r>
      <w:r w:rsidR="00257B7D">
        <w:t xml:space="preserve"> cost</w:t>
      </w:r>
      <w:r w:rsidR="005F42C8">
        <w:t xml:space="preserve"> </w:t>
      </w:r>
      <w:r w:rsidR="00257B7D">
        <w:t>of</w:t>
      </w:r>
      <w:r w:rsidR="005F42C8">
        <w:t xml:space="preserve"> </w:t>
      </w:r>
      <w:r w:rsidR="00257B7D">
        <w:t>living</w:t>
      </w:r>
      <w:r w:rsidR="00320B91">
        <w:t xml:space="preserve"> for many Australians.</w:t>
      </w:r>
    </w:p>
    <w:p w14:paraId="5BD6671E" w14:textId="4B3EDEF0" w:rsidR="00257B7D" w:rsidRDefault="00257B7D" w:rsidP="00FE0505">
      <w:pPr>
        <w:pStyle w:val="IncreasedSpace"/>
        <w:spacing w:before="0" w:after="0"/>
      </w:pPr>
    </w:p>
    <w:p w14:paraId="74B201D1" w14:textId="50D03260" w:rsidR="00FE19EA" w:rsidRDefault="00E64A5B" w:rsidP="00FE0505">
      <w:pPr>
        <w:pStyle w:val="IncreasedSpace"/>
        <w:spacing w:before="0" w:after="0"/>
      </w:pPr>
      <w:r>
        <w:t xml:space="preserve">COBA’s proposal is for the Government to </w:t>
      </w:r>
      <w:r w:rsidRPr="00073510">
        <w:rPr>
          <w:b/>
          <w:bCs/>
        </w:rPr>
        <w:t>establish and fund a Consumer Mortgage Taskforce</w:t>
      </w:r>
      <w:r>
        <w:t xml:space="preserve"> to tackle consumer inertia in the home loan market by recommending</w:t>
      </w:r>
      <w:r w:rsidR="00E17E72">
        <w:t xml:space="preserve"> and piloting</w:t>
      </w:r>
      <w:r>
        <w:t xml:space="preserve"> </w:t>
      </w:r>
      <w:r w:rsidR="005F42C8">
        <w:t xml:space="preserve">specific measures </w:t>
      </w:r>
      <w:r>
        <w:t xml:space="preserve">to empower consumers to get </w:t>
      </w:r>
      <w:r w:rsidR="005F42C8">
        <w:t>better</w:t>
      </w:r>
      <w:r>
        <w:t xml:space="preserve"> deal</w:t>
      </w:r>
      <w:r w:rsidR="005F42C8">
        <w:t>s</w:t>
      </w:r>
      <w:r>
        <w:t xml:space="preserve">. </w:t>
      </w:r>
    </w:p>
    <w:p w14:paraId="575E9C2A" w14:textId="77777777" w:rsidR="00FE19EA" w:rsidRDefault="00FE19EA" w:rsidP="00FE0505">
      <w:pPr>
        <w:pStyle w:val="IncreasedSpace"/>
        <w:spacing w:before="0" w:after="0"/>
      </w:pPr>
    </w:p>
    <w:p w14:paraId="6834753A" w14:textId="4480C582" w:rsidR="005F42C8" w:rsidRDefault="00FE19EA" w:rsidP="00FE0505">
      <w:pPr>
        <w:pStyle w:val="IncreasedSpace"/>
        <w:spacing w:before="0" w:after="0"/>
      </w:pPr>
      <w:r>
        <w:t>I</w:t>
      </w:r>
      <w:r w:rsidR="00E64A5B">
        <w:t>nject</w:t>
      </w:r>
      <w:r>
        <w:t>ing</w:t>
      </w:r>
      <w:r w:rsidR="00E64A5B">
        <w:t xml:space="preserve"> a new </w:t>
      </w:r>
      <w:r>
        <w:t xml:space="preserve">demand-side </w:t>
      </w:r>
      <w:r w:rsidR="00E64A5B">
        <w:t>dynamic into the home loan market</w:t>
      </w:r>
      <w:r w:rsidR="005F42C8">
        <w:t xml:space="preserve"> </w:t>
      </w:r>
      <w:r>
        <w:t xml:space="preserve">will magnify </w:t>
      </w:r>
      <w:r w:rsidR="005F42C8">
        <w:t>the effect of</w:t>
      </w:r>
      <w:r w:rsidR="00E64A5B">
        <w:t xml:space="preserve"> </w:t>
      </w:r>
      <w:r w:rsidR="005F42C8">
        <w:t>related developments</w:t>
      </w:r>
      <w:r>
        <w:t>, such as</w:t>
      </w:r>
      <w:r w:rsidR="00E17E72">
        <w:t xml:space="preserve"> the</w:t>
      </w:r>
      <w:r w:rsidR="005F42C8">
        <w:t xml:space="preserve">: </w:t>
      </w:r>
    </w:p>
    <w:p w14:paraId="1B25F6DA" w14:textId="77777777" w:rsidR="005E2367" w:rsidRDefault="005E2367" w:rsidP="00FE0505">
      <w:pPr>
        <w:pStyle w:val="IncreasedSpace"/>
        <w:spacing w:before="0" w:after="0"/>
      </w:pPr>
    </w:p>
    <w:p w14:paraId="2AA53EC8" w14:textId="66E7ECB1" w:rsidR="005F42C8" w:rsidRDefault="005F42C8" w:rsidP="005F42C8">
      <w:pPr>
        <w:pStyle w:val="IncreasedSpace"/>
        <w:numPr>
          <w:ilvl w:val="0"/>
          <w:numId w:val="52"/>
        </w:numPr>
        <w:spacing w:before="0" w:after="0"/>
      </w:pPr>
      <w:r>
        <w:t xml:space="preserve">ACCC’s </w:t>
      </w:r>
      <w:r w:rsidR="00FE19EA">
        <w:t>identification</w:t>
      </w:r>
      <w:r>
        <w:t xml:space="preserve"> of barriers to mortgage switching</w:t>
      </w:r>
    </w:p>
    <w:p w14:paraId="799AE7CF" w14:textId="0B6BFA26" w:rsidR="005F42C8" w:rsidRDefault="009A58F8" w:rsidP="005F42C8">
      <w:pPr>
        <w:pStyle w:val="IncreasedSpace"/>
        <w:numPr>
          <w:ilvl w:val="0"/>
          <w:numId w:val="52"/>
        </w:numPr>
        <w:spacing w:before="0" w:after="0"/>
      </w:pPr>
      <w:r>
        <w:t xml:space="preserve">commencement of </w:t>
      </w:r>
      <w:r w:rsidR="00E64A5B">
        <w:t>Open Banking</w:t>
      </w:r>
    </w:p>
    <w:p w14:paraId="5C64090D" w14:textId="77777777" w:rsidR="00E17E72" w:rsidRDefault="009A58F8" w:rsidP="005F42C8">
      <w:pPr>
        <w:pStyle w:val="IncreasedSpace"/>
        <w:numPr>
          <w:ilvl w:val="0"/>
          <w:numId w:val="52"/>
        </w:numPr>
        <w:spacing w:before="0" w:after="0"/>
      </w:pPr>
      <w:r>
        <w:t xml:space="preserve">introduction of an </w:t>
      </w:r>
      <w:r w:rsidR="005F42C8">
        <w:t>o</w:t>
      </w:r>
      <w:r w:rsidR="00E64A5B">
        <w:t xml:space="preserve">nline mortgage pricing comparison </w:t>
      </w:r>
      <w:r w:rsidR="00E17E72">
        <w:t>tool</w:t>
      </w:r>
    </w:p>
    <w:p w14:paraId="25C58CA1" w14:textId="04BC2A97" w:rsidR="005F42C8" w:rsidRDefault="00E17E72" w:rsidP="005F42C8">
      <w:pPr>
        <w:pStyle w:val="IncreasedSpace"/>
        <w:numPr>
          <w:ilvl w:val="0"/>
          <w:numId w:val="52"/>
        </w:numPr>
        <w:spacing w:before="0" w:after="0"/>
      </w:pPr>
      <w:r>
        <w:t>licensing</w:t>
      </w:r>
      <w:r w:rsidR="005F42C8">
        <w:t xml:space="preserve"> of neo-banks</w:t>
      </w:r>
      <w:r w:rsidR="00FE19EA">
        <w:t>, and</w:t>
      </w:r>
    </w:p>
    <w:p w14:paraId="10F02409" w14:textId="54F04EF3" w:rsidR="00363C2A" w:rsidRPr="00E17E72" w:rsidRDefault="00320B91" w:rsidP="00CE12D9">
      <w:pPr>
        <w:pStyle w:val="IncreasedSpace"/>
        <w:numPr>
          <w:ilvl w:val="0"/>
          <w:numId w:val="52"/>
        </w:numPr>
        <w:spacing w:before="0" w:after="0"/>
      </w:pPr>
      <w:r>
        <w:t xml:space="preserve">evolution </w:t>
      </w:r>
      <w:r w:rsidR="00FE19EA">
        <w:t>of</w:t>
      </w:r>
      <w:r>
        <w:t xml:space="preserve"> the</w:t>
      </w:r>
      <w:r w:rsidR="00FE19EA">
        <w:t xml:space="preserve"> fintech </w:t>
      </w:r>
      <w:r>
        <w:t>ecosystem</w:t>
      </w:r>
      <w:r w:rsidR="00FE19EA">
        <w:t>.</w:t>
      </w:r>
    </w:p>
    <w:p w14:paraId="7BC6C78B" w14:textId="77777777" w:rsidR="00363C2A" w:rsidRDefault="00363C2A" w:rsidP="00CE12D9">
      <w:pPr>
        <w:pStyle w:val="IncreasedSpace"/>
        <w:spacing w:before="0" w:after="0"/>
        <w:rPr>
          <w:rFonts w:cs="Arial"/>
        </w:rPr>
      </w:pPr>
    </w:p>
    <w:p w14:paraId="1FF5440B" w14:textId="384E4F69" w:rsidR="00D35168" w:rsidRDefault="00A8086E" w:rsidP="00CE12D9">
      <w:pPr>
        <w:pStyle w:val="IncreasedSpace"/>
        <w:spacing w:before="0" w:after="0"/>
      </w:pPr>
      <w:r>
        <w:rPr>
          <w:rFonts w:cs="Arial"/>
        </w:rPr>
        <w:t xml:space="preserve">It is widely accepted that a significant proportion of home loan </w:t>
      </w:r>
      <w:r w:rsidR="00E17E72">
        <w:rPr>
          <w:rFonts w:cs="Arial"/>
        </w:rPr>
        <w:t>borrowers are</w:t>
      </w:r>
      <w:r w:rsidR="00CE12D9">
        <w:rPr>
          <w:rFonts w:cs="Arial"/>
        </w:rPr>
        <w:t xml:space="preserve"> paying</w:t>
      </w:r>
      <w:r w:rsidR="00FE19EA">
        <w:rPr>
          <w:rFonts w:cs="Arial"/>
        </w:rPr>
        <w:t xml:space="preserve"> a higher </w:t>
      </w:r>
      <w:r w:rsidR="00E17E72">
        <w:rPr>
          <w:rFonts w:cs="Arial"/>
        </w:rPr>
        <w:t>price than</w:t>
      </w:r>
      <w:r w:rsidR="00CE12D9">
        <w:rPr>
          <w:rFonts w:cs="Arial"/>
        </w:rPr>
        <w:t xml:space="preserve"> necessary on their mortgages</w:t>
      </w:r>
      <w:r w:rsidR="00142A5D">
        <w:rPr>
          <w:rFonts w:cs="Arial"/>
        </w:rPr>
        <w:t xml:space="preserve"> </w:t>
      </w:r>
      <w:r w:rsidR="00CE12D9">
        <w:rPr>
          <w:rFonts w:cs="Arial"/>
        </w:rPr>
        <w:t>This unnecessarily increases</w:t>
      </w:r>
      <w:r w:rsidR="00A972A8">
        <w:rPr>
          <w:rFonts w:cs="Arial"/>
        </w:rPr>
        <w:t xml:space="preserve"> the</w:t>
      </w:r>
      <w:r w:rsidR="00CE12D9">
        <w:rPr>
          <w:rFonts w:cs="Arial"/>
        </w:rPr>
        <w:t xml:space="preserve"> cost of living pressures on </w:t>
      </w:r>
      <w:r w:rsidR="00CE12D9">
        <w:rPr>
          <w:rFonts w:cs="Arial"/>
        </w:rPr>
        <w:lastRenderedPageBreak/>
        <w:t>Australian</w:t>
      </w:r>
      <w:r w:rsidR="00F6374C">
        <w:rPr>
          <w:rFonts w:cs="Arial"/>
        </w:rPr>
        <w:t>s</w:t>
      </w:r>
      <w:r w:rsidR="00CE12D9">
        <w:rPr>
          <w:rFonts w:cs="Arial"/>
        </w:rPr>
        <w:t>. Th</w:t>
      </w:r>
      <w:r>
        <w:rPr>
          <w:rFonts w:cs="Arial"/>
        </w:rPr>
        <w:t>e proposed</w:t>
      </w:r>
      <w:r w:rsidR="00CE12D9">
        <w:rPr>
          <w:rFonts w:cs="Arial"/>
        </w:rPr>
        <w:t xml:space="preserve"> </w:t>
      </w:r>
      <w:r w:rsidR="00142A5D">
        <w:rPr>
          <w:rFonts w:cs="Arial"/>
        </w:rPr>
        <w:t>Taskforce would</w:t>
      </w:r>
      <w:r w:rsidR="00CE12D9">
        <w:rPr>
          <w:rFonts w:cs="Arial"/>
        </w:rPr>
        <w:t xml:space="preserve"> look at </w:t>
      </w:r>
      <w:r w:rsidR="00FE19EA">
        <w:rPr>
          <w:rFonts w:cs="Arial"/>
        </w:rPr>
        <w:t xml:space="preserve">the behaviours, perceptions and other factors that create </w:t>
      </w:r>
      <w:r w:rsidR="00E17E72">
        <w:rPr>
          <w:rFonts w:cs="Arial"/>
        </w:rPr>
        <w:t xml:space="preserve">friction </w:t>
      </w:r>
      <w:r w:rsidR="00E17E72" w:rsidRPr="00D57C26">
        <w:t>in</w:t>
      </w:r>
      <w:r w:rsidR="00CE12D9" w:rsidRPr="00D57C26">
        <w:t xml:space="preserve"> the consumer journey to </w:t>
      </w:r>
      <w:r w:rsidR="00E17E72">
        <w:t>get</w:t>
      </w:r>
      <w:r w:rsidR="00E17E72" w:rsidRPr="00D57C26">
        <w:t xml:space="preserve"> </w:t>
      </w:r>
      <w:r w:rsidR="00CE12D9" w:rsidRPr="00D57C26">
        <w:t>a better deal</w:t>
      </w:r>
      <w:r w:rsidR="00FE19EA">
        <w:t xml:space="preserve">. The </w:t>
      </w:r>
      <w:r w:rsidR="00E17E72">
        <w:t>T</w:t>
      </w:r>
      <w:r w:rsidR="00FE19EA">
        <w:t>askforce would be able to draw on an extensive body of</w:t>
      </w:r>
      <w:r w:rsidR="00D35168">
        <w:t xml:space="preserve"> existing</w:t>
      </w:r>
      <w:r w:rsidR="00E17E72">
        <w:t xml:space="preserve"> Australian and</w:t>
      </w:r>
      <w:r w:rsidR="00FE19EA">
        <w:t xml:space="preserve"> </w:t>
      </w:r>
      <w:r w:rsidR="00DC1475">
        <w:t xml:space="preserve">international </w:t>
      </w:r>
      <w:r w:rsidR="00FE19EA">
        <w:t>evidence to design measures to address these factors. These measures could be temporary or permanent and could be trialled as pilot programs</w:t>
      </w:r>
      <w:r w:rsidR="00E17E72">
        <w:t xml:space="preserve"> (as ‘actionable research’)</w:t>
      </w:r>
      <w:r w:rsidR="00FE19EA">
        <w:t xml:space="preserve"> to test their effectiveness.</w:t>
      </w:r>
      <w:r w:rsidR="00E17E72">
        <w:t xml:space="preserve"> These pilots should be ready to go within 12 months</w:t>
      </w:r>
      <w:r w:rsidR="00E60031">
        <w:t xml:space="preserve"> to create momentum</w:t>
      </w:r>
      <w:r w:rsidR="00E17E72">
        <w:t>.</w:t>
      </w:r>
      <w:r w:rsidR="00511CDD">
        <w:t xml:space="preserve"> Measures </w:t>
      </w:r>
      <w:r w:rsidR="0082105F">
        <w:t xml:space="preserve">do not </w:t>
      </w:r>
      <w:r w:rsidR="00511CDD">
        <w:t xml:space="preserve">need </w:t>
      </w:r>
      <w:r w:rsidR="00DC1475">
        <w:t xml:space="preserve">to </w:t>
      </w:r>
      <w:r w:rsidR="00511CDD">
        <w:t>be permanent to have a permanent impact on the market.</w:t>
      </w:r>
      <w:r w:rsidR="00FE19EA">
        <w:t xml:space="preserve"> The critical issue is to </w:t>
      </w:r>
      <w:r w:rsidR="0082105F">
        <w:t>act</w:t>
      </w:r>
      <w:r>
        <w:t xml:space="preserve"> promptly</w:t>
      </w:r>
      <w:r w:rsidR="00FE19EA">
        <w:t xml:space="preserve"> </w:t>
      </w:r>
      <w:r w:rsidR="00D455BA">
        <w:t>to optimise the opportunity presented by the constellation of</w:t>
      </w:r>
      <w:r w:rsidR="00FE19EA">
        <w:t xml:space="preserve"> related development</w:t>
      </w:r>
      <w:r w:rsidR="0082105F">
        <w:t>s</w:t>
      </w:r>
      <w:r w:rsidR="00FE19EA">
        <w:t xml:space="preserve"> listed above</w:t>
      </w:r>
      <w:r w:rsidR="00D455BA">
        <w:t>.</w:t>
      </w:r>
    </w:p>
    <w:p w14:paraId="7A654931" w14:textId="77777777" w:rsidR="00D35168" w:rsidRDefault="00D35168" w:rsidP="00CE12D9">
      <w:pPr>
        <w:pStyle w:val="IncreasedSpace"/>
        <w:spacing w:before="0" w:after="0"/>
      </w:pPr>
    </w:p>
    <w:p w14:paraId="56A73607" w14:textId="732996E6" w:rsidR="00D35168" w:rsidRDefault="00D35168" w:rsidP="00CE12D9">
      <w:pPr>
        <w:pStyle w:val="IncreasedSpace"/>
        <w:spacing w:before="0" w:after="0"/>
      </w:pPr>
      <w:r>
        <w:t xml:space="preserve">COBA </w:t>
      </w:r>
      <w:r w:rsidR="0082105F">
        <w:t xml:space="preserve">strongly prefers </w:t>
      </w:r>
      <w:r>
        <w:t xml:space="preserve">measures to empower consumers </w:t>
      </w:r>
      <w:r w:rsidR="0082105F">
        <w:t>compared to</w:t>
      </w:r>
      <w:r>
        <w:t xml:space="preserve"> imposing additional regulatory requirements on lenders. Increasing the regulatory compliance burden on lenders </w:t>
      </w:r>
      <w:r w:rsidR="00A8086E">
        <w:t>may not</w:t>
      </w:r>
      <w:r>
        <w:t xml:space="preserve"> address consumer inertia but will increase costs and reduce the competitive capacity of smaller players. </w:t>
      </w:r>
      <w:r w:rsidR="0082105F">
        <w:t xml:space="preserve">This is counterproductive to the Government’s pro-competitive reforms. </w:t>
      </w:r>
      <w:r>
        <w:t xml:space="preserve">Banking institutions and other lenders are currently digesting a large </w:t>
      </w:r>
      <w:r w:rsidR="00A8086E">
        <w:t>volume</w:t>
      </w:r>
      <w:r>
        <w:t xml:space="preserve"> of new regulation and additional regulation is becoming increasingly counterproductive</w:t>
      </w:r>
      <w:r w:rsidR="0082105F">
        <w:t xml:space="preserve"> (i.e. detracting from strategic priorities)</w:t>
      </w:r>
      <w:r>
        <w:t>.</w:t>
      </w:r>
      <w:r w:rsidR="0082105F">
        <w:t xml:space="preserve"> </w:t>
      </w:r>
    </w:p>
    <w:p w14:paraId="47EEB8B1" w14:textId="77777777" w:rsidR="00D35168" w:rsidRDefault="00D35168" w:rsidP="00CE12D9">
      <w:pPr>
        <w:pStyle w:val="IncreasedSpace"/>
        <w:spacing w:before="0" w:after="0"/>
      </w:pPr>
    </w:p>
    <w:p w14:paraId="3E4F4CD4" w14:textId="5EBDCC51" w:rsidR="00CE12D9" w:rsidRDefault="00142A5D" w:rsidP="00CE12D9">
      <w:pPr>
        <w:pStyle w:val="IncreasedSpace"/>
        <w:spacing w:before="0" w:after="0"/>
      </w:pPr>
      <w:r>
        <w:t xml:space="preserve">The Taskforce would be </w:t>
      </w:r>
      <w:r w:rsidRPr="00073510">
        <w:rPr>
          <w:b/>
          <w:bCs/>
        </w:rPr>
        <w:t>funded from t</w:t>
      </w:r>
      <w:r w:rsidR="00CE12D9" w:rsidRPr="00073510">
        <w:rPr>
          <w:b/>
          <w:bCs/>
        </w:rPr>
        <w:t xml:space="preserve">he </w:t>
      </w:r>
      <w:r w:rsidR="00F6374C" w:rsidRPr="00073510">
        <w:rPr>
          <w:b/>
          <w:bCs/>
        </w:rPr>
        <w:t>M</w:t>
      </w:r>
      <w:r w:rsidR="00CE12D9" w:rsidRPr="00073510">
        <w:rPr>
          <w:b/>
          <w:bCs/>
        </w:rPr>
        <w:t xml:space="preserve">ajor </w:t>
      </w:r>
      <w:r w:rsidR="00F6374C" w:rsidRPr="00073510">
        <w:rPr>
          <w:b/>
          <w:bCs/>
        </w:rPr>
        <w:t>B</w:t>
      </w:r>
      <w:r w:rsidR="00CE12D9" w:rsidRPr="00073510">
        <w:rPr>
          <w:b/>
          <w:bCs/>
        </w:rPr>
        <w:t xml:space="preserve">ank </w:t>
      </w:r>
      <w:r w:rsidR="00F6374C" w:rsidRPr="00073510">
        <w:rPr>
          <w:b/>
          <w:bCs/>
        </w:rPr>
        <w:t>L</w:t>
      </w:r>
      <w:r w:rsidR="00CE12D9" w:rsidRPr="00073510">
        <w:rPr>
          <w:b/>
          <w:bCs/>
        </w:rPr>
        <w:t>evy</w:t>
      </w:r>
      <w:r w:rsidR="00CE12D9" w:rsidRPr="00D57C26">
        <w:t xml:space="preserve"> to </w:t>
      </w:r>
      <w:r w:rsidR="00A8086E">
        <w:t xml:space="preserve">avoid a new call on </w:t>
      </w:r>
      <w:r w:rsidR="0082105F">
        <w:t>the Government’s b</w:t>
      </w:r>
      <w:r w:rsidR="00A8086E">
        <w:t>udget resources</w:t>
      </w:r>
      <w:r>
        <w:t>. COBA believe</w:t>
      </w:r>
      <w:r w:rsidR="00F6374C">
        <w:t>s</w:t>
      </w:r>
      <w:r>
        <w:t xml:space="preserve"> this is fair given that the major banks are likely to have </w:t>
      </w:r>
      <w:r w:rsidR="0082105F">
        <w:t>been</w:t>
      </w:r>
      <w:r>
        <w:t xml:space="preserve"> significant </w:t>
      </w:r>
      <w:r w:rsidR="0082105F">
        <w:t xml:space="preserve">beneficiaries of </w:t>
      </w:r>
      <w:r>
        <w:t>consumer inertia.</w:t>
      </w:r>
      <w:r w:rsidR="00CE12D9" w:rsidRPr="00D57C26">
        <w:t xml:space="preserve"> </w:t>
      </w:r>
      <w:r w:rsidR="00A8086E">
        <w:t xml:space="preserve">The ACCC has looked closely at the major banks’ </w:t>
      </w:r>
      <w:r w:rsidR="008414B9">
        <w:t>home loan</w:t>
      </w:r>
      <w:r w:rsidR="00A8086E">
        <w:t xml:space="preserve"> pricing strategies and </w:t>
      </w:r>
      <w:r w:rsidR="008414B9">
        <w:t>was “surprised” at the extent to which</w:t>
      </w:r>
      <w:r w:rsidR="00A8086E">
        <w:t xml:space="preserve"> the major banks build into their </w:t>
      </w:r>
      <w:r w:rsidR="008414B9">
        <w:t>business models assumptions about consumer inertia</w:t>
      </w:r>
      <w:r w:rsidR="0082105F">
        <w:t>.</w:t>
      </w:r>
      <w:r w:rsidR="008414B9">
        <w:rPr>
          <w:rStyle w:val="FootnoteReference"/>
        </w:rPr>
        <w:footnoteReference w:id="1"/>
      </w:r>
    </w:p>
    <w:p w14:paraId="14208307" w14:textId="77777777" w:rsidR="00CE12D9" w:rsidRDefault="00CE12D9" w:rsidP="00FE0505">
      <w:pPr>
        <w:pStyle w:val="IncreasedSpace"/>
        <w:spacing w:before="0" w:after="0"/>
      </w:pPr>
    </w:p>
    <w:p w14:paraId="37582386" w14:textId="7230267E" w:rsidR="00EE5648" w:rsidRDefault="00EE5648" w:rsidP="00FE0505">
      <w:pPr>
        <w:spacing w:before="0" w:after="0"/>
        <w:rPr>
          <w:rFonts w:cs="Arial"/>
        </w:rPr>
      </w:pPr>
      <w:r w:rsidRPr="00B311CE">
        <w:rPr>
          <w:rFonts w:cs="Arial"/>
        </w:rPr>
        <w:t xml:space="preserve">Consumer inertia is the tendency of some customers to </w:t>
      </w:r>
      <w:r w:rsidR="008414B9">
        <w:rPr>
          <w:rFonts w:cs="Arial"/>
        </w:rPr>
        <w:t xml:space="preserve">stick with </w:t>
      </w:r>
      <w:r w:rsidRPr="00B311CE">
        <w:rPr>
          <w:rFonts w:cs="Arial"/>
        </w:rPr>
        <w:t xml:space="preserve">a product, even when </w:t>
      </w:r>
      <w:r>
        <w:rPr>
          <w:rFonts w:cs="Arial"/>
        </w:rPr>
        <w:t xml:space="preserve">there are </w:t>
      </w:r>
      <w:r w:rsidRPr="00B311CE">
        <w:rPr>
          <w:rFonts w:cs="Arial"/>
        </w:rPr>
        <w:t>superior options</w:t>
      </w:r>
      <w:r w:rsidR="00E35F07">
        <w:rPr>
          <w:rFonts w:cs="Arial"/>
        </w:rPr>
        <w:t xml:space="preserve"> available to that consumer</w:t>
      </w:r>
      <w:r>
        <w:rPr>
          <w:rFonts w:cs="Arial"/>
        </w:rPr>
        <w:t>.</w:t>
      </w:r>
      <w:r w:rsidR="00E35F07">
        <w:rPr>
          <w:rFonts w:cs="Arial"/>
        </w:rPr>
        <w:t xml:space="preserve"> </w:t>
      </w:r>
      <w:r w:rsidR="0024391D">
        <w:rPr>
          <w:rFonts w:cs="Arial"/>
        </w:rPr>
        <w:t xml:space="preserve"> </w:t>
      </w:r>
      <w:r w:rsidR="00E35F07">
        <w:rPr>
          <w:rFonts w:cs="Arial"/>
        </w:rPr>
        <w:t>Ultimately, consumers should be making an informed decision about who they bank with and not relying on the ‘default’ option of one of the four major banks</w:t>
      </w:r>
      <w:r w:rsidR="008E064D">
        <w:rPr>
          <w:rFonts w:cs="Arial"/>
        </w:rPr>
        <w:t>, particularly the one they banked with as a child</w:t>
      </w:r>
      <w:r w:rsidR="00E35F07">
        <w:rPr>
          <w:rFonts w:cs="Arial"/>
        </w:rPr>
        <w:t>.</w:t>
      </w:r>
      <w:r>
        <w:rPr>
          <w:rFonts w:cs="Arial"/>
        </w:rPr>
        <w:t xml:space="preserve"> </w:t>
      </w:r>
      <w:r w:rsidR="008E064D">
        <w:rPr>
          <w:rFonts w:cs="Arial"/>
        </w:rPr>
        <w:t xml:space="preserve">There is truth to the saying that you are ‘more likely to get divorced than break up with your bank’. </w:t>
      </w:r>
      <w:r w:rsidR="008414B9">
        <w:rPr>
          <w:rFonts w:cs="Arial"/>
        </w:rPr>
        <w:t>Consumer</w:t>
      </w:r>
      <w:r>
        <w:rPr>
          <w:rFonts w:cs="Arial"/>
        </w:rPr>
        <w:t xml:space="preserve"> inertia is costing </w:t>
      </w:r>
      <w:r w:rsidR="008414B9">
        <w:rPr>
          <w:rFonts w:cs="Arial"/>
        </w:rPr>
        <w:t>individual borrowers</w:t>
      </w:r>
      <w:r>
        <w:rPr>
          <w:rFonts w:cs="Arial"/>
        </w:rPr>
        <w:t xml:space="preserve"> </w:t>
      </w:r>
      <w:r w:rsidR="00EF3CD4">
        <w:rPr>
          <w:rFonts w:cs="Arial"/>
        </w:rPr>
        <w:t>hundreds</w:t>
      </w:r>
      <w:r w:rsidR="008414B9">
        <w:rPr>
          <w:rFonts w:cs="Arial"/>
        </w:rPr>
        <w:t xml:space="preserve"> or </w:t>
      </w:r>
      <w:r w:rsidR="00DC1475">
        <w:rPr>
          <w:rFonts w:cs="Arial"/>
        </w:rPr>
        <w:t xml:space="preserve">even </w:t>
      </w:r>
      <w:r w:rsidR="008414B9">
        <w:rPr>
          <w:rFonts w:cs="Arial"/>
        </w:rPr>
        <w:t>thousands of dollars</w:t>
      </w:r>
      <w:r w:rsidR="00EF3CD4">
        <w:rPr>
          <w:rFonts w:cs="Arial"/>
        </w:rPr>
        <w:t xml:space="preserve"> in additional interest per year</w:t>
      </w:r>
      <w:r>
        <w:rPr>
          <w:rFonts w:cs="Arial"/>
        </w:rPr>
        <w:t xml:space="preserve"> that could be much better spent on </w:t>
      </w:r>
      <w:r w:rsidR="00CF3239">
        <w:rPr>
          <w:rFonts w:cs="Arial"/>
        </w:rPr>
        <w:t>coping with</w:t>
      </w:r>
      <w:r>
        <w:rPr>
          <w:rFonts w:cs="Arial"/>
        </w:rPr>
        <w:t xml:space="preserve"> the rising cost of living.</w:t>
      </w:r>
      <w:r w:rsidR="00E35F07">
        <w:rPr>
          <w:rFonts w:cs="Arial"/>
        </w:rPr>
        <w:t xml:space="preserve"> </w:t>
      </w:r>
    </w:p>
    <w:p w14:paraId="0FA9CAC6" w14:textId="6CA4983B" w:rsidR="00EE7755" w:rsidRDefault="00EE7755" w:rsidP="00FE0505">
      <w:pPr>
        <w:spacing w:before="0" w:after="0"/>
        <w:rPr>
          <w:rFonts w:cs="Arial"/>
        </w:rPr>
      </w:pPr>
    </w:p>
    <w:p w14:paraId="017113C3" w14:textId="6629E715" w:rsidR="00CF3239" w:rsidRDefault="00CF3239" w:rsidP="00FE0505">
      <w:pPr>
        <w:spacing w:before="0" w:after="0"/>
        <w:rPr>
          <w:rFonts w:cs="Arial"/>
        </w:rPr>
      </w:pPr>
      <w:r>
        <w:rPr>
          <w:rFonts w:cs="Arial"/>
        </w:rPr>
        <w:t>The Productivity Commission found in 2018 that the major banks’ market power is reinforced by consumer inertia.</w:t>
      </w:r>
    </w:p>
    <w:p w14:paraId="2A23B16F" w14:textId="77777777" w:rsidR="00CF3239" w:rsidRDefault="00CF3239" w:rsidP="00FE0505">
      <w:pPr>
        <w:spacing w:before="0" w:after="0"/>
        <w:rPr>
          <w:rFonts w:cs="Arial"/>
        </w:rPr>
      </w:pPr>
    </w:p>
    <w:p w14:paraId="7AE8AA94" w14:textId="0FED353D" w:rsidR="00CF3239" w:rsidRDefault="00CF3239" w:rsidP="00073510">
      <w:pPr>
        <w:spacing w:before="0" w:after="0"/>
        <w:ind w:left="720"/>
        <w:rPr>
          <w:rFonts w:cs="Arial"/>
        </w:rPr>
      </w:pPr>
      <w:r>
        <w:t xml:space="preserve">“Little switching occurs — one in two people still bank with their first-ever bank, only one in three have considered switching banks in the past two years, </w:t>
      </w:r>
      <w:r w:rsidRPr="00073510">
        <w:rPr>
          <w:u w:val="single"/>
        </w:rPr>
        <w:t>with switching least likely among those who have a home loan with a major bank</w:t>
      </w:r>
      <w:r>
        <w:t>. Low levels of consumer switching and a general disengagement of consumers from financial services are a clear sign that current information provision (by regulators, advisers and brokers) is failing.”</w:t>
      </w:r>
      <w:r w:rsidR="00231FCC">
        <w:rPr>
          <w:rStyle w:val="FootnoteReference"/>
        </w:rPr>
        <w:footnoteReference w:id="2"/>
      </w:r>
    </w:p>
    <w:p w14:paraId="4DAB59D6" w14:textId="77777777" w:rsidR="00CF3239" w:rsidRDefault="00CF3239" w:rsidP="00FE0505">
      <w:pPr>
        <w:spacing w:before="0" w:after="0"/>
        <w:rPr>
          <w:rFonts w:cs="Arial"/>
        </w:rPr>
      </w:pPr>
    </w:p>
    <w:p w14:paraId="074C87DD" w14:textId="6DEE7549" w:rsidR="00716156" w:rsidRDefault="00716156" w:rsidP="00FE0505">
      <w:pPr>
        <w:spacing w:before="0" w:after="0"/>
        <w:rPr>
          <w:rFonts w:cs="Arial"/>
        </w:rPr>
      </w:pPr>
      <w:r>
        <w:rPr>
          <w:rFonts w:cs="Arial"/>
        </w:rPr>
        <w:t xml:space="preserve">APRA </w:t>
      </w:r>
      <w:r w:rsidR="008E064D">
        <w:rPr>
          <w:rFonts w:cs="Arial"/>
        </w:rPr>
        <w:t>C</w:t>
      </w:r>
      <w:r>
        <w:rPr>
          <w:rFonts w:cs="Arial"/>
        </w:rPr>
        <w:t>hair Wayne Byres has also reflected on this issue, noting recently that any discussion about competition in the Australian banking system inevitably focuses on the market dominance of the major banks.</w:t>
      </w:r>
    </w:p>
    <w:p w14:paraId="1A53D652" w14:textId="1D51C083" w:rsidR="00716156" w:rsidRDefault="00716156" w:rsidP="00FE0505">
      <w:pPr>
        <w:spacing w:before="0" w:after="0"/>
        <w:rPr>
          <w:rFonts w:cs="Arial"/>
        </w:rPr>
      </w:pPr>
    </w:p>
    <w:p w14:paraId="64532852" w14:textId="44C8ACB8" w:rsidR="00716156" w:rsidRDefault="00716156" w:rsidP="00073510">
      <w:pPr>
        <w:spacing w:before="0" w:after="0"/>
        <w:ind w:left="720"/>
        <w:rPr>
          <w:rFonts w:cs="Arial"/>
        </w:rPr>
      </w:pPr>
      <w:r>
        <w:rPr>
          <w:rFonts w:cs="Arial"/>
        </w:rPr>
        <w:t xml:space="preserve">“Their sheer scale and brand recognition, coupled with significant customer inertia, is difficult for smaller banks to overcome. This is </w:t>
      </w:r>
      <w:proofErr w:type="gramStart"/>
      <w:r>
        <w:rPr>
          <w:rFonts w:cs="Arial"/>
        </w:rPr>
        <w:t>despite the fact that</w:t>
      </w:r>
      <w:proofErr w:type="gramEnd"/>
      <w:r>
        <w:rPr>
          <w:rFonts w:cs="Arial"/>
        </w:rPr>
        <w:t>, in many cases, their product offerings are superior in pricing to the big four."</w:t>
      </w:r>
      <w:r w:rsidR="00231FCC">
        <w:rPr>
          <w:rStyle w:val="FootnoteReference"/>
          <w:rFonts w:cs="Arial"/>
        </w:rPr>
        <w:footnoteReference w:id="3"/>
      </w:r>
    </w:p>
    <w:p w14:paraId="3DA11EFA" w14:textId="77777777" w:rsidR="00716156" w:rsidRDefault="00716156" w:rsidP="00FE0505">
      <w:pPr>
        <w:spacing w:before="0" w:after="0"/>
        <w:rPr>
          <w:rFonts w:cs="Arial"/>
        </w:rPr>
      </w:pPr>
    </w:p>
    <w:p w14:paraId="4586145A" w14:textId="62D49171" w:rsidR="00FE0505" w:rsidRDefault="00E35F07" w:rsidP="00FE0505">
      <w:pPr>
        <w:spacing w:before="0" w:after="0"/>
        <w:rPr>
          <w:rFonts w:cs="Arial"/>
        </w:rPr>
      </w:pPr>
      <w:r>
        <w:rPr>
          <w:rFonts w:cs="Arial"/>
        </w:rPr>
        <w:t>We recognise</w:t>
      </w:r>
      <w:r w:rsidR="006275B3">
        <w:rPr>
          <w:rFonts w:cs="Arial"/>
        </w:rPr>
        <w:t xml:space="preserve"> and applaud action</w:t>
      </w:r>
      <w:r w:rsidR="00EE5648">
        <w:rPr>
          <w:rFonts w:cs="Arial"/>
        </w:rPr>
        <w:t xml:space="preserve"> by th</w:t>
      </w:r>
      <w:r w:rsidR="002E67D4">
        <w:rPr>
          <w:rFonts w:cs="Arial"/>
        </w:rPr>
        <w:t>e</w:t>
      </w:r>
      <w:r w:rsidR="00EE5648">
        <w:rPr>
          <w:rFonts w:cs="Arial"/>
        </w:rPr>
        <w:t xml:space="preserve"> Government to promote competition in the banking space.</w:t>
      </w:r>
      <w:r>
        <w:rPr>
          <w:rFonts w:cs="Arial"/>
        </w:rPr>
        <w:t xml:space="preserve"> </w:t>
      </w:r>
      <w:r w:rsidR="00EE7755">
        <w:rPr>
          <w:rFonts w:cs="Arial"/>
        </w:rPr>
        <w:t>These measures have increased smaller lenders’ ability to compete with the major banks</w:t>
      </w:r>
      <w:r w:rsidR="003E568C">
        <w:rPr>
          <w:rFonts w:cs="Arial"/>
        </w:rPr>
        <w:t>.</w:t>
      </w:r>
    </w:p>
    <w:p w14:paraId="5C5501DF" w14:textId="77777777" w:rsidR="00FE0505" w:rsidRDefault="00FE0505" w:rsidP="00FE0505">
      <w:pPr>
        <w:spacing w:before="0" w:after="0"/>
        <w:rPr>
          <w:rFonts w:cs="Arial"/>
        </w:rPr>
      </w:pPr>
    </w:p>
    <w:p w14:paraId="4B57908A" w14:textId="0FDC937D" w:rsidR="00EE5648" w:rsidRDefault="00EF3CD4" w:rsidP="00FE0505">
      <w:pPr>
        <w:spacing w:before="0" w:after="0"/>
        <w:rPr>
          <w:rFonts w:cs="Arial"/>
        </w:rPr>
      </w:pPr>
      <w:r>
        <w:rPr>
          <w:rFonts w:cs="Arial"/>
        </w:rPr>
        <w:t>However</w:t>
      </w:r>
      <w:r w:rsidR="00E35F07">
        <w:rPr>
          <w:rFonts w:cs="Arial"/>
        </w:rPr>
        <w:t xml:space="preserve">, </w:t>
      </w:r>
      <w:r>
        <w:rPr>
          <w:rFonts w:cs="Arial"/>
        </w:rPr>
        <w:t>this ambitious agenda</w:t>
      </w:r>
      <w:r w:rsidR="00E35F07">
        <w:rPr>
          <w:rFonts w:cs="Arial"/>
        </w:rPr>
        <w:t xml:space="preserve"> may </w:t>
      </w:r>
      <w:r w:rsidR="00716156">
        <w:rPr>
          <w:rFonts w:cs="Arial"/>
        </w:rPr>
        <w:t>not deliver on its objectives</w:t>
      </w:r>
      <w:r w:rsidR="00E35F07">
        <w:rPr>
          <w:rFonts w:cs="Arial"/>
        </w:rPr>
        <w:t xml:space="preserve"> if there </w:t>
      </w:r>
      <w:r w:rsidR="008E064D">
        <w:rPr>
          <w:rFonts w:cs="Arial"/>
        </w:rPr>
        <w:t>is not a</w:t>
      </w:r>
      <w:r w:rsidR="00E35F07">
        <w:rPr>
          <w:rFonts w:cs="Arial"/>
        </w:rPr>
        <w:t xml:space="preserve"> corresponding demand-side</w:t>
      </w:r>
      <w:r w:rsidR="003E568C">
        <w:rPr>
          <w:rFonts w:cs="Arial"/>
        </w:rPr>
        <w:t xml:space="preserve"> consumer respon</w:t>
      </w:r>
      <w:r w:rsidR="00716156">
        <w:rPr>
          <w:rFonts w:cs="Arial"/>
        </w:rPr>
        <w:t>s</w:t>
      </w:r>
      <w:r w:rsidR="003E568C">
        <w:rPr>
          <w:rFonts w:cs="Arial"/>
        </w:rPr>
        <w:t>e</w:t>
      </w:r>
      <w:r w:rsidR="00E35F07">
        <w:rPr>
          <w:rFonts w:cs="Arial"/>
        </w:rPr>
        <w:t xml:space="preserve">. </w:t>
      </w:r>
      <w:r w:rsidR="00716156">
        <w:rPr>
          <w:rFonts w:cs="Arial"/>
        </w:rPr>
        <w:t xml:space="preserve">Increased choice </w:t>
      </w:r>
      <w:r w:rsidR="00F27C9C">
        <w:rPr>
          <w:rFonts w:cs="Arial"/>
        </w:rPr>
        <w:t xml:space="preserve">in products and offerings means little if </w:t>
      </w:r>
      <w:r w:rsidR="00F27C9C">
        <w:rPr>
          <w:rFonts w:cs="Arial"/>
        </w:rPr>
        <w:lastRenderedPageBreak/>
        <w:t xml:space="preserve">consumers are disengaged and there is not enough competitive pressure (e.g. the threat of switching) </w:t>
      </w:r>
      <w:r w:rsidR="008E064D">
        <w:rPr>
          <w:rFonts w:cs="Arial"/>
        </w:rPr>
        <w:t>on lenders</w:t>
      </w:r>
      <w:r w:rsidR="00F27C9C">
        <w:rPr>
          <w:rFonts w:cs="Arial"/>
        </w:rPr>
        <w:t>.</w:t>
      </w:r>
      <w:r w:rsidR="00E35F07">
        <w:rPr>
          <w:rFonts w:cs="Arial"/>
        </w:rPr>
        <w:t xml:space="preserve"> </w:t>
      </w:r>
      <w:r w:rsidR="00F27C9C">
        <w:rPr>
          <w:rFonts w:cs="Arial"/>
        </w:rPr>
        <w:t>Active and engaged consumers will help bring the benefits of competition to all Australians.</w:t>
      </w:r>
      <w:r w:rsidR="004C379D">
        <w:rPr>
          <w:rFonts w:cs="Arial"/>
        </w:rPr>
        <w:t xml:space="preserve"> It will ensure that </w:t>
      </w:r>
      <w:r w:rsidR="008E064D">
        <w:rPr>
          <w:rFonts w:cs="Arial"/>
        </w:rPr>
        <w:t xml:space="preserve">industry and Government </w:t>
      </w:r>
      <w:r w:rsidR="004C379D">
        <w:rPr>
          <w:rFonts w:cs="Arial"/>
        </w:rPr>
        <w:t>investments in</w:t>
      </w:r>
      <w:r w:rsidR="00716156">
        <w:rPr>
          <w:rFonts w:cs="Arial"/>
        </w:rPr>
        <w:t xml:space="preserve"> potentially game-chan</w:t>
      </w:r>
      <w:r w:rsidR="00231FCC">
        <w:rPr>
          <w:rFonts w:cs="Arial"/>
        </w:rPr>
        <w:t>g</w:t>
      </w:r>
      <w:r w:rsidR="00716156">
        <w:rPr>
          <w:rFonts w:cs="Arial"/>
        </w:rPr>
        <w:t>ing</w:t>
      </w:r>
      <w:r w:rsidR="004C379D">
        <w:rPr>
          <w:rFonts w:cs="Arial"/>
        </w:rPr>
        <w:t xml:space="preserve"> reforms such as Open Banking do not go to waste.</w:t>
      </w:r>
    </w:p>
    <w:p w14:paraId="0BE9C57A" w14:textId="77777777" w:rsidR="00D57C26" w:rsidRPr="00D57C26" w:rsidRDefault="00D57C26" w:rsidP="00D57C26">
      <w:pPr>
        <w:pStyle w:val="IncreasedSpace"/>
        <w:spacing w:before="0" w:after="0"/>
      </w:pPr>
    </w:p>
    <w:p w14:paraId="555AA67F" w14:textId="1309CA83" w:rsidR="00EE5648" w:rsidRDefault="004C379D" w:rsidP="00D57C26">
      <w:pPr>
        <w:pStyle w:val="IncreasedSpace"/>
        <w:spacing w:before="0" w:after="0"/>
      </w:pPr>
      <w:r>
        <w:t xml:space="preserve">Competition and active consumers also play an important part in addressing misconduct. </w:t>
      </w:r>
      <w:r w:rsidR="00EE5648" w:rsidRPr="00D57C26">
        <w:t xml:space="preserve">While the Royal Commission has </w:t>
      </w:r>
      <w:r w:rsidR="007A752A" w:rsidRPr="00D57C26">
        <w:t>shone</w:t>
      </w:r>
      <w:r w:rsidR="00EE5648" w:rsidRPr="00D57C26">
        <w:t xml:space="preserve"> a light on misconduct, ultimately </w:t>
      </w:r>
      <w:r w:rsidR="00716156">
        <w:t xml:space="preserve">the willingness of </w:t>
      </w:r>
      <w:r w:rsidR="00EE5648" w:rsidRPr="00D57C26">
        <w:t>consumer</w:t>
      </w:r>
      <w:r>
        <w:t>s</w:t>
      </w:r>
      <w:r w:rsidR="00EE5648" w:rsidRPr="00D57C26">
        <w:t xml:space="preserve"> to vote with their feet will do much more </w:t>
      </w:r>
      <w:r w:rsidR="00716156">
        <w:t>to prevent</w:t>
      </w:r>
      <w:r w:rsidR="00EE5648" w:rsidRPr="00D57C26">
        <w:t xml:space="preserve"> misconduct </w:t>
      </w:r>
      <w:r w:rsidR="00E17E72" w:rsidRPr="00D57C26">
        <w:t>tha</w:t>
      </w:r>
      <w:r w:rsidR="00E17E72">
        <w:t xml:space="preserve">n </w:t>
      </w:r>
      <w:r w:rsidR="00E17E72" w:rsidRPr="00D57C26">
        <w:t>attempts</w:t>
      </w:r>
      <w:r w:rsidR="00EE5648" w:rsidRPr="00D57C26">
        <w:t xml:space="preserve"> by APRA or ASIC to regulate culture. </w:t>
      </w:r>
      <w:r w:rsidR="00910BCF">
        <w:t>Competition</w:t>
      </w:r>
      <w:r w:rsidR="00716156">
        <w:t>, driven by informed and empowered consumers,</w:t>
      </w:r>
      <w:r w:rsidR="00910BCF">
        <w:t xml:space="preserve"> is the </w:t>
      </w:r>
      <w:r w:rsidR="00716156">
        <w:t xml:space="preserve">enduring </w:t>
      </w:r>
      <w:r w:rsidR="00910BCF">
        <w:t xml:space="preserve">solution to poor conduct. </w:t>
      </w:r>
    </w:p>
    <w:p w14:paraId="10F064D6" w14:textId="715916BE" w:rsidR="009D7967" w:rsidRDefault="009D7967" w:rsidP="00D57C26">
      <w:pPr>
        <w:pStyle w:val="IncreasedSpace"/>
        <w:spacing w:before="0" w:after="0"/>
      </w:pPr>
    </w:p>
    <w:p w14:paraId="7D783973" w14:textId="7FAB2A4A" w:rsidR="00CE12D9" w:rsidRDefault="00231FCC" w:rsidP="00CE12D9">
      <w:pPr>
        <w:pStyle w:val="IncreasedSpace"/>
        <w:spacing w:before="0" w:after="0"/>
      </w:pPr>
      <w:r>
        <w:t>N</w:t>
      </w:r>
      <w:r w:rsidR="00CE12D9" w:rsidRPr="00D57C26">
        <w:t>ow</w:t>
      </w:r>
      <w:r>
        <w:t xml:space="preserve"> is the right</w:t>
      </w:r>
      <w:r w:rsidR="00CE12D9" w:rsidRPr="00D57C26">
        <w:t xml:space="preserve"> time for</w:t>
      </w:r>
      <w:r>
        <w:t xml:space="preserve"> a focused</w:t>
      </w:r>
      <w:r w:rsidR="00CE12D9" w:rsidRPr="00D57C26">
        <w:t xml:space="preserve"> taskforce to </w:t>
      </w:r>
      <w:r>
        <w:t xml:space="preserve">assess the problem of consumer inertia and recommend a range of measures to </w:t>
      </w:r>
      <w:r w:rsidR="00CE12D9" w:rsidRPr="00D57C26">
        <w:t xml:space="preserve">ensure that when banks offer a good deal, consumers are willing and able to get </w:t>
      </w:r>
      <w:r w:rsidR="008E064D">
        <w:t>this</w:t>
      </w:r>
      <w:r w:rsidR="008E064D" w:rsidRPr="00D57C26">
        <w:t xml:space="preserve"> </w:t>
      </w:r>
      <w:r w:rsidR="00CE12D9" w:rsidRPr="00D57C26">
        <w:t xml:space="preserve">better deal. </w:t>
      </w:r>
      <w:r w:rsidR="003E568C">
        <w:t>This will ensure that the benefits of competition are brought to as many Australians as possible.</w:t>
      </w:r>
      <w:r w:rsidR="00D84224">
        <w:t xml:space="preserve"> The more that consumer engagement increases, the more that banks will be motivated to keep prices down and develop better products for </w:t>
      </w:r>
      <w:r w:rsidR="00D84224" w:rsidRPr="00A7267F">
        <w:rPr>
          <w:i/>
          <w:iCs/>
        </w:rPr>
        <w:t>all</w:t>
      </w:r>
      <w:r w:rsidR="00D84224">
        <w:t xml:space="preserve"> their customers – not just new customers.</w:t>
      </w:r>
    </w:p>
    <w:p w14:paraId="6BC0307E" w14:textId="47113547" w:rsidR="00511CDD" w:rsidRDefault="00511CDD" w:rsidP="00CE12D9">
      <w:pPr>
        <w:pStyle w:val="IncreasedSpace"/>
        <w:spacing w:before="0" w:after="0"/>
      </w:pPr>
    </w:p>
    <w:p w14:paraId="7A35C705" w14:textId="0D1DFD9B" w:rsidR="00511CDD" w:rsidRDefault="00511CDD" w:rsidP="00CE12D9">
      <w:pPr>
        <w:pStyle w:val="IncreasedSpace"/>
        <w:spacing w:before="0" w:after="0"/>
      </w:pPr>
      <w:r>
        <w:t>Attachment 1 to this submission addresses the Taskforce itself, Attachment 2 addresses consumer inertia</w:t>
      </w:r>
      <w:r w:rsidR="00A22108">
        <w:t>, Attachment 3 outlines related policy developments</w:t>
      </w:r>
      <w:r>
        <w:t xml:space="preserve"> and Attachment </w:t>
      </w:r>
      <w:r w:rsidR="00A22108">
        <w:t>4</w:t>
      </w:r>
      <w:r>
        <w:t xml:space="preserve"> provides some illustrative example of potential measures.</w:t>
      </w:r>
    </w:p>
    <w:p w14:paraId="5D7F7354" w14:textId="77777777" w:rsidR="00CE12D9" w:rsidRPr="00D57C26" w:rsidRDefault="00CE12D9" w:rsidP="00D57C26">
      <w:pPr>
        <w:pStyle w:val="IncreasedSpace"/>
        <w:spacing w:before="0" w:after="0"/>
      </w:pPr>
    </w:p>
    <w:p w14:paraId="51FC7413" w14:textId="25246241" w:rsidR="00D57C26" w:rsidRPr="00D57C26" w:rsidRDefault="00D57C26" w:rsidP="00D57C26">
      <w:pPr>
        <w:pStyle w:val="IncreasedSpace"/>
        <w:spacing w:before="0" w:after="0"/>
      </w:pPr>
      <w:r w:rsidRPr="00D57C26">
        <w:t>Thank you for the opportunity to provide a submission</w:t>
      </w:r>
      <w:r w:rsidR="00D071C1">
        <w:t>. P</w:t>
      </w:r>
      <w:r w:rsidRPr="00D57C26">
        <w:t>lease contact Luke Lawler</w:t>
      </w:r>
      <w:r w:rsidR="00BF3D05">
        <w:t xml:space="preserve">, Director </w:t>
      </w:r>
      <w:r w:rsidR="00D071C1">
        <w:t>–</w:t>
      </w:r>
      <w:r w:rsidR="00BF3D05">
        <w:t xml:space="preserve"> Policy</w:t>
      </w:r>
      <w:r w:rsidR="00D071C1">
        <w:t>,</w:t>
      </w:r>
      <w:r w:rsidRPr="00D57C26">
        <w:t xml:space="preserve"> on 02 8035 8448</w:t>
      </w:r>
      <w:r w:rsidR="00D071C1">
        <w:t xml:space="preserve"> or Mark Nguyen, Senior Policy Manager,</w:t>
      </w:r>
      <w:r w:rsidRPr="00D57C26">
        <w:t xml:space="preserve"> </w:t>
      </w:r>
      <w:r w:rsidR="00D071C1">
        <w:t xml:space="preserve">on 02 8035 8443 </w:t>
      </w:r>
      <w:r w:rsidRPr="00D57C26">
        <w:t xml:space="preserve">if you have </w:t>
      </w:r>
      <w:r w:rsidR="00073510" w:rsidRPr="00D57C26">
        <w:t>any questions</w:t>
      </w:r>
      <w:r w:rsidRPr="00D57C26">
        <w:t>.</w:t>
      </w:r>
    </w:p>
    <w:p w14:paraId="44839EA1" w14:textId="77777777" w:rsidR="00D57C26" w:rsidRDefault="00D57C26" w:rsidP="00D57C26">
      <w:pPr>
        <w:pStyle w:val="IncreasedSpace"/>
        <w:spacing w:before="0" w:after="0"/>
      </w:pPr>
    </w:p>
    <w:p w14:paraId="7EE11938" w14:textId="225EA523" w:rsidR="00EE5648" w:rsidRPr="00D57C26" w:rsidRDefault="00434EFA" w:rsidP="00D57C26">
      <w:pPr>
        <w:pStyle w:val="IncreasedSpace"/>
        <w:spacing w:before="0" w:after="0"/>
      </w:pPr>
      <w:r>
        <w:t>Your sincerely</w:t>
      </w:r>
    </w:p>
    <w:p w14:paraId="1C916731" w14:textId="300F1D4A" w:rsidR="00EE5648" w:rsidRDefault="00EE5648" w:rsidP="0022780E">
      <w:pPr>
        <w:spacing w:before="0"/>
        <w:rPr>
          <w:rFonts w:cs="Arial"/>
        </w:rPr>
      </w:pPr>
    </w:p>
    <w:p w14:paraId="1130815E" w14:textId="3DE3F4B1" w:rsidR="00EE5648" w:rsidRDefault="00332AC0" w:rsidP="0022780E">
      <w:pPr>
        <w:spacing w:before="0"/>
        <w:rPr>
          <w:rFonts w:cs="Arial"/>
        </w:rPr>
      </w:pPr>
      <w:r>
        <w:rPr>
          <w:rFonts w:cs="Arial"/>
          <w:noProof/>
        </w:rPr>
        <w:drawing>
          <wp:inline distT="0" distB="0" distL="0" distR="0" wp14:anchorId="6D2F0D0E" wp14:editId="27EBB2E4">
            <wp:extent cx="1965960" cy="6035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ke Lawr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960" cy="603504"/>
                    </a:xfrm>
                    <a:prstGeom prst="rect">
                      <a:avLst/>
                    </a:prstGeom>
                  </pic:spPr>
                </pic:pic>
              </a:graphicData>
            </a:graphic>
          </wp:inline>
        </w:drawing>
      </w:r>
    </w:p>
    <w:p w14:paraId="0CDFC054" w14:textId="77777777" w:rsidR="00EE5648" w:rsidRPr="00E35F07" w:rsidRDefault="00EE5648" w:rsidP="0022780E">
      <w:pPr>
        <w:spacing w:before="0" w:after="0"/>
        <w:rPr>
          <w:rFonts w:cs="Arial"/>
          <w:b/>
          <w:bCs/>
        </w:rPr>
      </w:pPr>
      <w:r w:rsidRPr="00E35F07">
        <w:rPr>
          <w:rFonts w:cs="Arial"/>
          <w:b/>
          <w:bCs/>
        </w:rPr>
        <w:t>MICHAEL LAWRENCE</w:t>
      </w:r>
    </w:p>
    <w:p w14:paraId="7EE20D6F" w14:textId="423FCC0F" w:rsidR="00860483" w:rsidRDefault="00EE5648" w:rsidP="0022780E">
      <w:pPr>
        <w:spacing w:before="0" w:after="0"/>
        <w:rPr>
          <w:rFonts w:cs="Arial"/>
          <w:b/>
          <w:bCs/>
        </w:rPr>
      </w:pPr>
      <w:r w:rsidRPr="00E35F07">
        <w:rPr>
          <w:rFonts w:cs="Arial"/>
          <w:b/>
          <w:bCs/>
        </w:rPr>
        <w:t>Chief Executive Officer</w:t>
      </w:r>
    </w:p>
    <w:p w14:paraId="24843344" w14:textId="77777777" w:rsidR="009C3489" w:rsidRDefault="009C3489" w:rsidP="0022780E">
      <w:pPr>
        <w:spacing w:before="0" w:after="0"/>
        <w:rPr>
          <w:rFonts w:cs="Arial"/>
          <w:b/>
          <w:bCs/>
        </w:rPr>
      </w:pPr>
    </w:p>
    <w:p w14:paraId="4A63D1D8" w14:textId="77777777" w:rsidR="00FE0505" w:rsidRDefault="00FE0505" w:rsidP="0022780E">
      <w:pPr>
        <w:spacing w:before="0" w:after="0"/>
      </w:pPr>
    </w:p>
    <w:p w14:paraId="359CC1E8" w14:textId="79675DD5" w:rsidR="00860483" w:rsidRDefault="00860483" w:rsidP="0022780E">
      <w:pPr>
        <w:pStyle w:val="Boxed1Heading"/>
        <w:spacing w:before="0"/>
      </w:pPr>
      <w:r>
        <w:t>Recommendation 1</w:t>
      </w:r>
    </w:p>
    <w:p w14:paraId="59C7B3DA" w14:textId="326A6167" w:rsidR="00860483" w:rsidRDefault="007A752A" w:rsidP="0022780E">
      <w:pPr>
        <w:pStyle w:val="Boxed1Text"/>
        <w:spacing w:before="0"/>
      </w:pPr>
      <w:r>
        <w:t xml:space="preserve">The Government should convene a </w:t>
      </w:r>
      <w:r w:rsidR="00073510">
        <w:t>two</w:t>
      </w:r>
      <w:r w:rsidR="00332AC0">
        <w:t>-</w:t>
      </w:r>
      <w:r>
        <w:t xml:space="preserve">year taskforce to address consumer inertia in </w:t>
      </w:r>
      <w:r w:rsidR="00BC7393">
        <w:t xml:space="preserve">residential </w:t>
      </w:r>
      <w:r>
        <w:t xml:space="preserve">mortgage markets. This should include Government bodies (Treasury &amp; PM&amp;C), regulators (ASIC &amp; ACCC) and industry stakeholders (consumer &amp; industry associations). </w:t>
      </w:r>
    </w:p>
    <w:p w14:paraId="11D7F247" w14:textId="14696E6B" w:rsidR="00EE5648" w:rsidRDefault="00EE5648" w:rsidP="0022780E">
      <w:pPr>
        <w:spacing w:before="0"/>
        <w:rPr>
          <w:rFonts w:cs="Arial"/>
        </w:rPr>
      </w:pPr>
    </w:p>
    <w:p w14:paraId="2AC58B99" w14:textId="151158CA" w:rsidR="00860483" w:rsidRDefault="00860483" w:rsidP="0022780E">
      <w:pPr>
        <w:pStyle w:val="Boxed1Heading"/>
        <w:spacing w:before="0"/>
      </w:pPr>
      <w:r>
        <w:t>Recommendation 2</w:t>
      </w:r>
    </w:p>
    <w:p w14:paraId="77892347" w14:textId="6E308DAB" w:rsidR="00860483" w:rsidRDefault="007A752A" w:rsidP="0022780E">
      <w:pPr>
        <w:pStyle w:val="Boxed1Text"/>
        <w:spacing w:before="0"/>
      </w:pPr>
      <w:r>
        <w:t xml:space="preserve">The Government should fund the participation of the regulators in this </w:t>
      </w:r>
      <w:r w:rsidR="00BC7393">
        <w:t>T</w:t>
      </w:r>
      <w:r>
        <w:t>askforce, and any resultant measures</w:t>
      </w:r>
      <w:r w:rsidR="00716156">
        <w:t>,</w:t>
      </w:r>
      <w:r>
        <w:t xml:space="preserve"> from the Major Bank Levy</w:t>
      </w:r>
      <w:r w:rsidR="00512073">
        <w:t>.</w:t>
      </w:r>
    </w:p>
    <w:p w14:paraId="6975B654" w14:textId="77777777" w:rsidR="00EE5648" w:rsidRPr="00AB7CE1" w:rsidRDefault="00EE5648" w:rsidP="0022780E">
      <w:pPr>
        <w:spacing w:before="0"/>
      </w:pPr>
    </w:p>
    <w:p w14:paraId="63E0A2F5" w14:textId="796E2E60" w:rsidR="00EE5648" w:rsidRDefault="008238CC" w:rsidP="0022780E">
      <w:pPr>
        <w:pStyle w:val="Heading1"/>
      </w:pPr>
      <w:bookmarkStart w:id="2" w:name="_Toc20904439"/>
      <w:r>
        <w:lastRenderedPageBreak/>
        <w:t>Attachment 1:</w:t>
      </w:r>
      <w:r w:rsidR="00E14A0F">
        <w:t xml:space="preserve"> </w:t>
      </w:r>
      <w:r w:rsidR="00EE5648">
        <w:t xml:space="preserve">Consumer </w:t>
      </w:r>
      <w:r w:rsidR="00E14A0F">
        <w:t>Mortgage</w:t>
      </w:r>
      <w:r w:rsidR="00EE5648">
        <w:t xml:space="preserve"> Taskforce</w:t>
      </w:r>
      <w:bookmarkEnd w:id="2"/>
    </w:p>
    <w:p w14:paraId="57140BD6" w14:textId="08DB3DA5" w:rsidR="004513FB" w:rsidRPr="005E2367" w:rsidRDefault="00EE5648" w:rsidP="004513FB">
      <w:pPr>
        <w:pStyle w:val="Heading2"/>
        <w:spacing w:before="0" w:after="0"/>
        <w:rPr>
          <w:b w:val="0"/>
          <w:bCs/>
        </w:rPr>
      </w:pPr>
      <w:bookmarkStart w:id="3" w:name="_Toc20904440"/>
      <w:r w:rsidRPr="005E2367">
        <w:rPr>
          <w:b w:val="0"/>
          <w:bCs/>
        </w:rPr>
        <w:t>Purpose</w:t>
      </w:r>
      <w:bookmarkEnd w:id="3"/>
    </w:p>
    <w:p w14:paraId="087BA63A" w14:textId="77777777" w:rsidR="004513FB" w:rsidRDefault="004513FB" w:rsidP="004513FB">
      <w:pPr>
        <w:spacing w:before="0" w:after="0"/>
      </w:pPr>
    </w:p>
    <w:p w14:paraId="7CC64141" w14:textId="2EAB9B90" w:rsidR="00EE5648" w:rsidRPr="004778AF" w:rsidRDefault="00EE5648" w:rsidP="004513FB">
      <w:pPr>
        <w:spacing w:before="0" w:after="0"/>
      </w:pPr>
      <w:r w:rsidRPr="004778AF">
        <w:t>Take action to ensure that consumers are empowered to get a better deal on their mortgage</w:t>
      </w:r>
      <w:r w:rsidR="004513FB">
        <w:t>.</w:t>
      </w:r>
    </w:p>
    <w:p w14:paraId="6C9048F3" w14:textId="77777777" w:rsidR="004513FB" w:rsidRPr="005E2367" w:rsidRDefault="004513FB" w:rsidP="004513FB">
      <w:pPr>
        <w:pStyle w:val="Heading2"/>
        <w:spacing w:before="0" w:after="0"/>
        <w:rPr>
          <w:b w:val="0"/>
          <w:bCs/>
        </w:rPr>
      </w:pPr>
      <w:bookmarkStart w:id="4" w:name="_Toc20904441"/>
    </w:p>
    <w:p w14:paraId="5CC24323" w14:textId="0AA4BA6B" w:rsidR="00EE5648" w:rsidRPr="005E2367" w:rsidRDefault="00EE5648" w:rsidP="004513FB">
      <w:pPr>
        <w:pStyle w:val="Heading2"/>
        <w:spacing w:before="0" w:after="0"/>
        <w:rPr>
          <w:b w:val="0"/>
          <w:bCs/>
        </w:rPr>
      </w:pPr>
      <w:r w:rsidRPr="005E2367">
        <w:rPr>
          <w:b w:val="0"/>
          <w:bCs/>
        </w:rPr>
        <w:t>Funding</w:t>
      </w:r>
      <w:bookmarkEnd w:id="4"/>
    </w:p>
    <w:p w14:paraId="4A92FDC6" w14:textId="77777777" w:rsidR="004513FB" w:rsidRDefault="004513FB" w:rsidP="004513FB">
      <w:pPr>
        <w:spacing w:before="0" w:after="0"/>
      </w:pPr>
    </w:p>
    <w:p w14:paraId="23967E8B" w14:textId="5170134B" w:rsidR="00EE5648" w:rsidRDefault="00EE5648" w:rsidP="004513FB">
      <w:pPr>
        <w:spacing w:before="0" w:after="0"/>
      </w:pPr>
      <w:r>
        <w:t xml:space="preserve">This </w:t>
      </w:r>
      <w:r w:rsidR="00142A5D">
        <w:t>T</w:t>
      </w:r>
      <w:r>
        <w:t xml:space="preserve">askforce is likely to need funding </w:t>
      </w:r>
      <w:r w:rsidR="004A1FCD">
        <w:t xml:space="preserve">to </w:t>
      </w:r>
      <w:r w:rsidR="00AF667A">
        <w:t>prioritise</w:t>
      </w:r>
      <w:r w:rsidR="004A1FCD">
        <w:t xml:space="preserve"> participation by </w:t>
      </w:r>
      <w:r>
        <w:t>regulators and policymakers</w:t>
      </w:r>
      <w:r w:rsidR="004A1FCD">
        <w:t>, to obtain external expertise,</w:t>
      </w:r>
      <w:r w:rsidR="00AF667A">
        <w:t xml:space="preserve"> </w:t>
      </w:r>
      <w:r w:rsidR="004A1FCD">
        <w:t>to conduct research about potential measures</w:t>
      </w:r>
      <w:r w:rsidR="00AF667A">
        <w:t xml:space="preserve"> and</w:t>
      </w:r>
      <w:r w:rsidR="00AF667A" w:rsidRPr="00AF667A">
        <w:t xml:space="preserve"> </w:t>
      </w:r>
      <w:r w:rsidR="00AF667A">
        <w:t>to design potential measures.</w:t>
      </w:r>
      <w:r>
        <w:t xml:space="preserve"> </w:t>
      </w:r>
      <w:r w:rsidR="004A1FCD">
        <w:t>This funding should come from the Major Bank Levy.</w:t>
      </w:r>
    </w:p>
    <w:p w14:paraId="04A7C4F9" w14:textId="77777777" w:rsidR="004513FB" w:rsidRPr="004778AF" w:rsidRDefault="004513FB" w:rsidP="004513FB">
      <w:pPr>
        <w:spacing w:before="0" w:after="0"/>
      </w:pPr>
    </w:p>
    <w:p w14:paraId="5F815264" w14:textId="77777777" w:rsidR="00EE5648" w:rsidRPr="005E2367" w:rsidRDefault="00EE5648" w:rsidP="004513FB">
      <w:pPr>
        <w:pStyle w:val="Heading2"/>
        <w:spacing w:before="0" w:after="0"/>
        <w:rPr>
          <w:b w:val="0"/>
          <w:bCs/>
        </w:rPr>
      </w:pPr>
      <w:bookmarkStart w:id="5" w:name="_Toc20904442"/>
      <w:r w:rsidRPr="005E2367">
        <w:rPr>
          <w:b w:val="0"/>
          <w:bCs/>
        </w:rPr>
        <w:t>Participants</w:t>
      </w:r>
      <w:bookmarkEnd w:id="5"/>
    </w:p>
    <w:p w14:paraId="7F42B37F" w14:textId="172C2900" w:rsidR="00EE5648" w:rsidRPr="005E2367" w:rsidRDefault="00EE5648" w:rsidP="0022780E">
      <w:pPr>
        <w:spacing w:before="0"/>
        <w:rPr>
          <w:rFonts w:cs="Arial"/>
          <w:bCs/>
          <w:lang w:val="en-US"/>
        </w:rPr>
      </w:pPr>
    </w:p>
    <w:p w14:paraId="142D9136" w14:textId="3544736B" w:rsidR="00DE016B" w:rsidRDefault="00DE016B" w:rsidP="0022780E">
      <w:pPr>
        <w:spacing w:before="0"/>
        <w:rPr>
          <w:rFonts w:cs="Arial"/>
          <w:lang w:val="en-US"/>
        </w:rPr>
      </w:pPr>
      <w:r>
        <w:rPr>
          <w:rFonts w:cs="Arial"/>
          <w:noProof/>
          <w:lang w:val="en-US"/>
        </w:rPr>
        <w:drawing>
          <wp:inline distT="0" distB="0" distL="0" distR="0" wp14:anchorId="1E0CA089" wp14:editId="183AA468">
            <wp:extent cx="5486400" cy="3296093"/>
            <wp:effectExtent l="0" t="0" r="1905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69C46E3" w14:textId="77777777" w:rsidR="00EE5648" w:rsidRDefault="00EE5648" w:rsidP="0022780E">
      <w:pPr>
        <w:spacing w:before="0"/>
      </w:pPr>
    </w:p>
    <w:p w14:paraId="308A17FD" w14:textId="75089BF9" w:rsidR="00EE5648" w:rsidRPr="005E2367" w:rsidRDefault="004513FB" w:rsidP="00FE594B">
      <w:pPr>
        <w:pStyle w:val="Heading2"/>
        <w:spacing w:before="0" w:after="0"/>
        <w:rPr>
          <w:b w:val="0"/>
          <w:bCs/>
        </w:rPr>
      </w:pPr>
      <w:bookmarkStart w:id="6" w:name="_Toc20904443"/>
      <w:r w:rsidRPr="005E2367">
        <w:rPr>
          <w:b w:val="0"/>
          <w:bCs/>
        </w:rPr>
        <w:t xml:space="preserve">Key points of </w:t>
      </w:r>
      <w:r w:rsidR="00EE5648" w:rsidRPr="005E2367">
        <w:rPr>
          <w:b w:val="0"/>
          <w:bCs/>
        </w:rPr>
        <w:t>Terms of Reference</w:t>
      </w:r>
      <w:bookmarkEnd w:id="6"/>
    </w:p>
    <w:p w14:paraId="3CC71CBA" w14:textId="77777777" w:rsidR="00EE5648" w:rsidRDefault="00EE5648" w:rsidP="0022780E">
      <w:pPr>
        <w:spacing w:before="0"/>
      </w:pPr>
    </w:p>
    <w:p w14:paraId="209D3572" w14:textId="616BAD3C" w:rsidR="004513FB" w:rsidRDefault="004A1FCD" w:rsidP="00FE2AD9">
      <w:pPr>
        <w:pStyle w:val="ListParagraph"/>
        <w:numPr>
          <w:ilvl w:val="0"/>
          <w:numId w:val="48"/>
        </w:numPr>
        <w:spacing w:before="0"/>
      </w:pPr>
      <w:r>
        <w:t>Conceptualise and design measures to overcome customer inertia in the residential mortgage market</w:t>
      </w:r>
    </w:p>
    <w:p w14:paraId="3DA5E0EA" w14:textId="5FB1DA42" w:rsidR="00EE5648" w:rsidRDefault="00EE5648" w:rsidP="00FE2AD9">
      <w:pPr>
        <w:pStyle w:val="ListParagraph"/>
        <w:numPr>
          <w:ilvl w:val="0"/>
          <w:numId w:val="48"/>
        </w:numPr>
        <w:spacing w:before="0"/>
      </w:pPr>
      <w:r>
        <w:t xml:space="preserve">Seek behavioural change </w:t>
      </w:r>
      <w:r w:rsidR="004A1FCD">
        <w:t xml:space="preserve">by consumers, </w:t>
      </w:r>
      <w:r>
        <w:t xml:space="preserve">not </w:t>
      </w:r>
      <w:r w:rsidR="004A1FCD">
        <w:t xml:space="preserve">new </w:t>
      </w:r>
      <w:r>
        <w:t>regulation</w:t>
      </w:r>
      <w:r w:rsidR="004A1FCD">
        <w:t xml:space="preserve"> of lenders</w:t>
      </w:r>
    </w:p>
    <w:p w14:paraId="64364235" w14:textId="77777777" w:rsidR="004A1FCD" w:rsidRDefault="004A1FCD" w:rsidP="00FE2AD9">
      <w:pPr>
        <w:pStyle w:val="ListParagraph"/>
        <w:numPr>
          <w:ilvl w:val="0"/>
          <w:numId w:val="48"/>
        </w:numPr>
        <w:spacing w:before="0"/>
      </w:pPr>
      <w:r>
        <w:t>Target consumers by segment and recognise there is no ‘one size fits all’ solution</w:t>
      </w:r>
    </w:p>
    <w:p w14:paraId="29AF9227" w14:textId="01D5DCC3" w:rsidR="004A1FCD" w:rsidRDefault="004A1FCD" w:rsidP="00FE2AD9">
      <w:pPr>
        <w:pStyle w:val="ListParagraph"/>
        <w:numPr>
          <w:ilvl w:val="0"/>
          <w:numId w:val="48"/>
        </w:numPr>
        <w:spacing w:before="0"/>
      </w:pPr>
      <w:r>
        <w:t>Integrate potential measures with related developments such as Open Banking and the online mortgage price comparison tool</w:t>
      </w:r>
    </w:p>
    <w:p w14:paraId="0482E2CF" w14:textId="02411551" w:rsidR="00073510" w:rsidRPr="00A7267F" w:rsidRDefault="00EF1D75" w:rsidP="00FE2AD9">
      <w:pPr>
        <w:pStyle w:val="ListParagraph"/>
        <w:numPr>
          <w:ilvl w:val="0"/>
          <w:numId w:val="48"/>
        </w:numPr>
        <w:spacing w:before="0"/>
      </w:pPr>
      <w:r w:rsidRPr="00A7267F">
        <w:t>Take action to bring p</w:t>
      </w:r>
      <w:r w:rsidR="00073510" w:rsidRPr="00A7267F">
        <w:t xml:space="preserve">ilot measures </w:t>
      </w:r>
      <w:r w:rsidRPr="00A7267F">
        <w:t>to</w:t>
      </w:r>
      <w:r w:rsidR="00073510" w:rsidRPr="00A7267F">
        <w:t xml:space="preserve"> market within 12 months</w:t>
      </w:r>
    </w:p>
    <w:p w14:paraId="629C205A" w14:textId="57FF60A8" w:rsidR="001C0248" w:rsidRDefault="004A1FCD" w:rsidP="00FE2AD9">
      <w:pPr>
        <w:pStyle w:val="ListParagraph"/>
        <w:numPr>
          <w:ilvl w:val="0"/>
          <w:numId w:val="48"/>
        </w:numPr>
        <w:spacing w:before="0"/>
      </w:pPr>
      <w:r>
        <w:t xml:space="preserve">Limit project to </w:t>
      </w:r>
      <w:r w:rsidR="005E2367">
        <w:t>two year</w:t>
      </w:r>
      <w:r w:rsidR="004138ED">
        <w:t>:</w:t>
      </w:r>
      <w:r w:rsidR="005E2367">
        <w:t xml:space="preserve"> </w:t>
      </w:r>
      <w:r w:rsidR="004138ED">
        <w:t>1 July 2020</w:t>
      </w:r>
      <w:r w:rsidR="00073510">
        <w:t xml:space="preserve"> to </w:t>
      </w:r>
      <w:r w:rsidR="004138ED">
        <w:t>30 June 202</w:t>
      </w:r>
      <w:r w:rsidR="00073510">
        <w:t>2</w:t>
      </w:r>
    </w:p>
    <w:p w14:paraId="65F89CEC" w14:textId="4F68B36C" w:rsidR="008238CC" w:rsidRDefault="008238CC" w:rsidP="0022780E">
      <w:pPr>
        <w:pStyle w:val="Heading1"/>
      </w:pPr>
      <w:bookmarkStart w:id="7" w:name="_Toc20904444"/>
      <w:r>
        <w:lastRenderedPageBreak/>
        <w:t xml:space="preserve">Attachment 2: </w:t>
      </w:r>
      <w:r w:rsidR="00FE0505">
        <w:t>Consumer Inertia</w:t>
      </w:r>
    </w:p>
    <w:p w14:paraId="082ADEA3" w14:textId="1DDDEDCD" w:rsidR="00EE5648" w:rsidRPr="005E2367" w:rsidRDefault="00EE5648" w:rsidP="00332AC0">
      <w:pPr>
        <w:pStyle w:val="Address"/>
        <w:spacing w:before="0" w:after="0" w:line="240" w:lineRule="auto"/>
        <w:rPr>
          <w:rFonts w:eastAsiaTheme="majorEastAsia" w:cstheme="majorBidi"/>
          <w:bCs/>
          <w:color w:val="006182" w:themeColor="accent1"/>
          <w:sz w:val="30"/>
          <w:szCs w:val="26"/>
          <w:lang w:val="en-GB"/>
        </w:rPr>
      </w:pPr>
      <w:r w:rsidRPr="005E2367">
        <w:rPr>
          <w:rFonts w:eastAsiaTheme="majorEastAsia" w:cstheme="majorBidi"/>
          <w:bCs/>
          <w:color w:val="006182" w:themeColor="accent1"/>
          <w:sz w:val="30"/>
          <w:szCs w:val="26"/>
          <w:lang w:val="en-GB"/>
        </w:rPr>
        <w:t>Consumer inertia in Australia</w:t>
      </w:r>
      <w:bookmarkEnd w:id="7"/>
    </w:p>
    <w:p w14:paraId="49B912FA" w14:textId="77777777" w:rsidR="00332AC0" w:rsidRDefault="00332AC0" w:rsidP="00332AC0">
      <w:pPr>
        <w:spacing w:before="0" w:after="0" w:line="240" w:lineRule="auto"/>
        <w:rPr>
          <w:rFonts w:cs="Arial"/>
        </w:rPr>
      </w:pPr>
      <w:bookmarkStart w:id="8" w:name="_Toc20904446"/>
    </w:p>
    <w:p w14:paraId="77331C6A" w14:textId="65BE1F06" w:rsidR="002C1320" w:rsidRDefault="0089777C" w:rsidP="00332AC0">
      <w:pPr>
        <w:spacing w:before="0" w:after="0" w:line="240" w:lineRule="auto"/>
        <w:rPr>
          <w:rFonts w:cs="Arial"/>
        </w:rPr>
      </w:pPr>
      <w:r w:rsidRPr="00B311CE">
        <w:rPr>
          <w:rFonts w:cs="Arial"/>
        </w:rPr>
        <w:t xml:space="preserve">Consumer inertia is the tendency of some customers to </w:t>
      </w:r>
      <w:r w:rsidR="00120CEB">
        <w:rPr>
          <w:rFonts w:cs="Arial"/>
        </w:rPr>
        <w:t>stick with</w:t>
      </w:r>
      <w:r w:rsidR="00120CEB" w:rsidRPr="00B311CE">
        <w:rPr>
          <w:rFonts w:cs="Arial"/>
        </w:rPr>
        <w:t xml:space="preserve"> </w:t>
      </w:r>
      <w:r w:rsidRPr="00B311CE">
        <w:rPr>
          <w:rFonts w:cs="Arial"/>
        </w:rPr>
        <w:t xml:space="preserve">a product, even when </w:t>
      </w:r>
      <w:r>
        <w:rPr>
          <w:rFonts w:cs="Arial"/>
        </w:rPr>
        <w:t xml:space="preserve">there are </w:t>
      </w:r>
      <w:r w:rsidRPr="00B311CE">
        <w:rPr>
          <w:rFonts w:cs="Arial"/>
        </w:rPr>
        <w:t>superior options</w:t>
      </w:r>
      <w:r>
        <w:rPr>
          <w:rFonts w:cs="Arial"/>
        </w:rPr>
        <w:t xml:space="preserve"> available to that consumer</w:t>
      </w:r>
      <w:r w:rsidR="001C0248">
        <w:rPr>
          <w:rFonts w:cs="Arial"/>
        </w:rPr>
        <w:t>.</w:t>
      </w:r>
      <w:r w:rsidR="001C0248">
        <w:rPr>
          <w:rStyle w:val="FootnoteReference"/>
          <w:rFonts w:cs="Arial"/>
        </w:rPr>
        <w:footnoteReference w:id="4"/>
      </w:r>
    </w:p>
    <w:p w14:paraId="5723DC1B" w14:textId="77777777" w:rsidR="00332AC0" w:rsidRDefault="00332AC0" w:rsidP="00332AC0">
      <w:pPr>
        <w:spacing w:before="0" w:after="0" w:line="240" w:lineRule="auto"/>
        <w:rPr>
          <w:rFonts w:cs="Arial"/>
        </w:rPr>
      </w:pPr>
    </w:p>
    <w:p w14:paraId="12DAE200" w14:textId="15BFCE81" w:rsidR="0025011B" w:rsidRDefault="00EB2BB8" w:rsidP="00332AC0">
      <w:pPr>
        <w:spacing w:before="0" w:after="0" w:line="240" w:lineRule="auto"/>
        <w:rPr>
          <w:rFonts w:cs="Arial"/>
        </w:rPr>
      </w:pPr>
      <w:r>
        <w:rPr>
          <w:rFonts w:cs="Arial"/>
        </w:rPr>
        <w:t xml:space="preserve">In </w:t>
      </w:r>
      <w:r w:rsidR="00655A2E">
        <w:rPr>
          <w:rFonts w:cs="Arial"/>
        </w:rPr>
        <w:t>the Australian</w:t>
      </w:r>
      <w:r>
        <w:rPr>
          <w:rFonts w:cs="Arial"/>
        </w:rPr>
        <w:t xml:space="preserve"> mortgage market, </w:t>
      </w:r>
      <w:r w:rsidR="003B50A1">
        <w:rPr>
          <w:rFonts w:cs="Arial"/>
        </w:rPr>
        <w:t xml:space="preserve">there is evidence that </w:t>
      </w:r>
      <w:r w:rsidR="00655A2E">
        <w:rPr>
          <w:rFonts w:cs="Arial"/>
        </w:rPr>
        <w:t xml:space="preserve">not all </w:t>
      </w:r>
      <w:r w:rsidR="0089777C">
        <w:rPr>
          <w:rFonts w:cs="Arial"/>
        </w:rPr>
        <w:t xml:space="preserve">Australian consumers </w:t>
      </w:r>
      <w:r w:rsidR="001C0248">
        <w:rPr>
          <w:rFonts w:cs="Arial"/>
        </w:rPr>
        <w:t>are</w:t>
      </w:r>
      <w:r w:rsidR="00655A2E">
        <w:rPr>
          <w:rFonts w:cs="Arial"/>
        </w:rPr>
        <w:t xml:space="preserve"> getting the best deal possible and that there </w:t>
      </w:r>
      <w:r w:rsidR="0089777C">
        <w:rPr>
          <w:rFonts w:cs="Arial"/>
        </w:rPr>
        <w:t xml:space="preserve">are superior </w:t>
      </w:r>
      <w:r w:rsidR="00655A2E">
        <w:rPr>
          <w:rFonts w:cs="Arial"/>
        </w:rPr>
        <w:t xml:space="preserve">mortgage </w:t>
      </w:r>
      <w:r w:rsidR="0089777C">
        <w:rPr>
          <w:rFonts w:cs="Arial"/>
        </w:rPr>
        <w:t xml:space="preserve">options for </w:t>
      </w:r>
      <w:r w:rsidR="00D74A5F">
        <w:rPr>
          <w:rFonts w:cs="Arial"/>
        </w:rPr>
        <w:t>these consumers</w:t>
      </w:r>
      <w:r w:rsidR="0089777C">
        <w:rPr>
          <w:rFonts w:cs="Arial"/>
        </w:rPr>
        <w:t xml:space="preserve">, including with the customer owned banking institutions. </w:t>
      </w:r>
    </w:p>
    <w:p w14:paraId="7A61E468" w14:textId="77777777" w:rsidR="00332AC0" w:rsidRDefault="00332AC0" w:rsidP="00332AC0">
      <w:pPr>
        <w:spacing w:before="0" w:after="0" w:line="240" w:lineRule="auto"/>
        <w:rPr>
          <w:rFonts w:cs="Arial"/>
        </w:rPr>
      </w:pPr>
    </w:p>
    <w:p w14:paraId="2390A779" w14:textId="188456CE" w:rsidR="002C1320" w:rsidRDefault="0089777C" w:rsidP="00332AC0">
      <w:pPr>
        <w:spacing w:before="0" w:after="0" w:line="240" w:lineRule="auto"/>
        <w:rPr>
          <w:rFonts w:cs="Arial"/>
        </w:rPr>
      </w:pPr>
      <w:r>
        <w:rPr>
          <w:rFonts w:cs="Arial"/>
        </w:rPr>
        <w:t>Ultimately, consumers should be making an informed decision about who they bank with and</w:t>
      </w:r>
      <w:r w:rsidR="00120CEB">
        <w:rPr>
          <w:rFonts w:cs="Arial"/>
        </w:rPr>
        <w:t xml:space="preserve"> should</w:t>
      </w:r>
      <w:r>
        <w:rPr>
          <w:rFonts w:cs="Arial"/>
        </w:rPr>
        <w:t xml:space="preserve"> not rely on the ‘default’ option of one of the four major banks</w:t>
      </w:r>
      <w:r w:rsidR="003B50A1">
        <w:rPr>
          <w:rFonts w:cs="Arial"/>
        </w:rPr>
        <w:t xml:space="preserve"> (or even their first bank)</w:t>
      </w:r>
      <w:r w:rsidR="0025011B">
        <w:rPr>
          <w:rFonts w:cs="Arial"/>
        </w:rPr>
        <w:t xml:space="preserve"> or being ‘trapped</w:t>
      </w:r>
      <w:r w:rsidR="00073510">
        <w:rPr>
          <w:rFonts w:cs="Arial"/>
        </w:rPr>
        <w:t>’ due</w:t>
      </w:r>
      <w:r w:rsidR="00120CEB">
        <w:rPr>
          <w:rFonts w:cs="Arial"/>
        </w:rPr>
        <w:t xml:space="preserve"> to</w:t>
      </w:r>
      <w:r w:rsidR="0025011B">
        <w:rPr>
          <w:rFonts w:cs="Arial"/>
        </w:rPr>
        <w:t xml:space="preserve"> their behavioural bias</w:t>
      </w:r>
      <w:r w:rsidR="00120CEB">
        <w:rPr>
          <w:rFonts w:cs="Arial"/>
        </w:rPr>
        <w:t>es</w:t>
      </w:r>
      <w:r w:rsidR="0025011B">
        <w:rPr>
          <w:rFonts w:cs="Arial"/>
        </w:rPr>
        <w:t>.</w:t>
      </w:r>
      <w:r>
        <w:rPr>
          <w:rFonts w:cs="Arial"/>
        </w:rPr>
        <w:t xml:space="preserve"> </w:t>
      </w:r>
    </w:p>
    <w:p w14:paraId="2802DB67" w14:textId="77777777" w:rsidR="00332AC0" w:rsidRDefault="00332AC0" w:rsidP="00332AC0">
      <w:pPr>
        <w:spacing w:before="0" w:after="0" w:line="240" w:lineRule="auto"/>
        <w:rPr>
          <w:rFonts w:cs="Arial"/>
        </w:rPr>
      </w:pPr>
    </w:p>
    <w:p w14:paraId="7D47EAB1" w14:textId="10A7CB99" w:rsidR="0089777C" w:rsidRDefault="00120CEB" w:rsidP="00332AC0">
      <w:pPr>
        <w:spacing w:before="0" w:after="0" w:line="240" w:lineRule="auto"/>
        <w:rPr>
          <w:rFonts w:cs="Arial"/>
        </w:rPr>
      </w:pPr>
      <w:r>
        <w:rPr>
          <w:rFonts w:cs="Arial"/>
        </w:rPr>
        <w:t>This</w:t>
      </w:r>
      <w:r w:rsidR="0089777C">
        <w:rPr>
          <w:rFonts w:cs="Arial"/>
        </w:rPr>
        <w:t xml:space="preserve"> ‘inertia’ is costing Australian consumers additional interest that could be much better spent on</w:t>
      </w:r>
      <w:r w:rsidR="002C1320">
        <w:rPr>
          <w:rFonts w:cs="Arial"/>
        </w:rPr>
        <w:t xml:space="preserve"> other things such as </w:t>
      </w:r>
      <w:r>
        <w:rPr>
          <w:rFonts w:cs="Arial"/>
        </w:rPr>
        <w:t xml:space="preserve">coping with </w:t>
      </w:r>
      <w:r w:rsidR="0089777C">
        <w:rPr>
          <w:rFonts w:cs="Arial"/>
        </w:rPr>
        <w:t>the rising cost of living</w:t>
      </w:r>
      <w:r w:rsidR="002C1320">
        <w:rPr>
          <w:rFonts w:cs="Arial"/>
        </w:rPr>
        <w:t xml:space="preserve"> or</w:t>
      </w:r>
      <w:r>
        <w:rPr>
          <w:rFonts w:cs="Arial"/>
        </w:rPr>
        <w:t xml:space="preserve"> a family</w:t>
      </w:r>
      <w:r w:rsidR="002C1320">
        <w:rPr>
          <w:rFonts w:cs="Arial"/>
        </w:rPr>
        <w:t xml:space="preserve"> holiday</w:t>
      </w:r>
      <w:r>
        <w:rPr>
          <w:rFonts w:cs="Arial"/>
        </w:rPr>
        <w:t>.</w:t>
      </w:r>
    </w:p>
    <w:p w14:paraId="103A6382" w14:textId="77777777" w:rsidR="00332AC0" w:rsidRDefault="00332AC0" w:rsidP="00332AC0">
      <w:pPr>
        <w:spacing w:before="0" w:after="0" w:line="240" w:lineRule="auto"/>
        <w:rPr>
          <w:rFonts w:cs="Arial"/>
        </w:rPr>
      </w:pPr>
    </w:p>
    <w:bookmarkEnd w:id="8"/>
    <w:p w14:paraId="68A378AA" w14:textId="10FF9A4D" w:rsidR="00C53A5C" w:rsidRDefault="00EE6CBA" w:rsidP="00332AC0">
      <w:pPr>
        <w:spacing w:before="0" w:after="0" w:line="240" w:lineRule="auto"/>
        <w:rPr>
          <w:rFonts w:cs="Arial"/>
        </w:rPr>
      </w:pPr>
      <w:r>
        <w:rPr>
          <w:rFonts w:cs="Arial"/>
        </w:rPr>
        <w:t xml:space="preserve">The </w:t>
      </w:r>
      <w:r w:rsidR="00C53A5C" w:rsidRPr="0078207D">
        <w:rPr>
          <w:rFonts w:cs="Arial"/>
        </w:rPr>
        <w:t>ACCC</w:t>
      </w:r>
      <w:r w:rsidR="00341580" w:rsidRPr="0078207D">
        <w:rPr>
          <w:rFonts w:cs="Arial"/>
        </w:rPr>
        <w:t xml:space="preserve"> Residential </w:t>
      </w:r>
      <w:r w:rsidR="0078207D">
        <w:rPr>
          <w:rFonts w:cs="Arial"/>
        </w:rPr>
        <w:t>M</w:t>
      </w:r>
      <w:r w:rsidR="00341580" w:rsidRPr="0078207D">
        <w:rPr>
          <w:rFonts w:cs="Arial"/>
        </w:rPr>
        <w:t xml:space="preserve">ortgage </w:t>
      </w:r>
      <w:r w:rsidR="0078207D">
        <w:rPr>
          <w:rFonts w:cs="Arial"/>
        </w:rPr>
        <w:t>P</w:t>
      </w:r>
      <w:r w:rsidR="00341580" w:rsidRPr="0078207D">
        <w:rPr>
          <w:rFonts w:cs="Arial"/>
        </w:rPr>
        <w:t xml:space="preserve">roducts </w:t>
      </w:r>
      <w:r w:rsidR="0078207D">
        <w:rPr>
          <w:rFonts w:cs="Arial"/>
        </w:rPr>
        <w:t>P</w:t>
      </w:r>
      <w:r w:rsidR="00341580" w:rsidRPr="0078207D">
        <w:rPr>
          <w:rFonts w:cs="Arial"/>
        </w:rPr>
        <w:t xml:space="preserve">rice </w:t>
      </w:r>
      <w:r w:rsidR="0078207D">
        <w:rPr>
          <w:rFonts w:cs="Arial"/>
        </w:rPr>
        <w:t>I</w:t>
      </w:r>
      <w:r w:rsidR="00341580" w:rsidRPr="0078207D">
        <w:rPr>
          <w:rFonts w:cs="Arial"/>
        </w:rPr>
        <w:t>nquiry</w:t>
      </w:r>
      <w:r w:rsidR="0078207D">
        <w:rPr>
          <w:rStyle w:val="FootnoteReference"/>
          <w:rFonts w:cs="Arial"/>
        </w:rPr>
        <w:footnoteReference w:id="5"/>
      </w:r>
      <w:r w:rsidR="00341580" w:rsidRPr="00341580">
        <w:rPr>
          <w:rFonts w:cs="Arial"/>
        </w:rPr>
        <w:t xml:space="preserve"> </w:t>
      </w:r>
      <w:r w:rsidR="00341580">
        <w:rPr>
          <w:rFonts w:cs="Arial"/>
        </w:rPr>
        <w:t>highlights these</w:t>
      </w:r>
      <w:r>
        <w:rPr>
          <w:rFonts w:cs="Arial"/>
        </w:rPr>
        <w:t xml:space="preserve"> ‘consumer inertia’</w:t>
      </w:r>
      <w:r w:rsidR="00341580">
        <w:rPr>
          <w:rFonts w:cs="Arial"/>
        </w:rPr>
        <w:t xml:space="preserve"> issues (i.e. the </w:t>
      </w:r>
      <w:r w:rsidR="00E73A6B">
        <w:rPr>
          <w:rFonts w:cs="Arial"/>
        </w:rPr>
        <w:t>‘</w:t>
      </w:r>
      <w:r w:rsidR="00341580">
        <w:rPr>
          <w:rFonts w:cs="Arial"/>
        </w:rPr>
        <w:t>loyalty tax</w:t>
      </w:r>
      <w:r w:rsidR="00E73A6B">
        <w:rPr>
          <w:rFonts w:cs="Arial"/>
        </w:rPr>
        <w:t>’</w:t>
      </w:r>
      <w:r w:rsidR="00341580">
        <w:rPr>
          <w:rFonts w:cs="Arial"/>
        </w:rPr>
        <w:t>):</w:t>
      </w:r>
    </w:p>
    <w:p w14:paraId="38CF25A3" w14:textId="77777777" w:rsidR="00332AC0" w:rsidRDefault="00332AC0" w:rsidP="00332AC0">
      <w:pPr>
        <w:spacing w:before="0" w:after="0" w:line="240" w:lineRule="auto"/>
        <w:rPr>
          <w:rFonts w:cs="Arial"/>
        </w:rPr>
      </w:pPr>
    </w:p>
    <w:p w14:paraId="20DE956F" w14:textId="7A1B3039" w:rsidR="00EE6CBA" w:rsidRDefault="00C53A5C" w:rsidP="00332AC0">
      <w:pPr>
        <w:spacing w:before="0" w:after="0" w:line="240" w:lineRule="auto"/>
        <w:ind w:left="720"/>
      </w:pPr>
      <w:r>
        <w:rPr>
          <w:rFonts w:cs="Arial"/>
        </w:rPr>
        <w:t>“</w:t>
      </w:r>
      <w:r w:rsidR="00120CEB">
        <w:t>T</w:t>
      </w:r>
      <w:r>
        <w:t>here are many existing borrowers who remain with a lender that does not offer them the best deal and earns higher profits as a result of the loyalty of those borrowers. Lenders do not need to compete vigorously on price to retain the business of such borrowers; offering lower prices to them is simply giving up margin.”</w:t>
      </w:r>
    </w:p>
    <w:p w14:paraId="0015FA8A" w14:textId="77777777" w:rsidR="00332AC0" w:rsidRDefault="00332AC0" w:rsidP="00332AC0">
      <w:pPr>
        <w:spacing w:before="0" w:after="0" w:line="240" w:lineRule="auto"/>
        <w:ind w:left="720"/>
      </w:pPr>
    </w:p>
    <w:p w14:paraId="4E61EFA7" w14:textId="66392F1C" w:rsidR="00EE6CBA" w:rsidRDefault="00EE6CBA" w:rsidP="00332AC0">
      <w:pPr>
        <w:spacing w:before="0" w:after="0" w:line="240" w:lineRule="auto"/>
      </w:pPr>
      <w:r>
        <w:t xml:space="preserve">The ACCC </w:t>
      </w:r>
      <w:r w:rsidR="00707523">
        <w:t>estimates the potential cost to an</w:t>
      </w:r>
      <w:r>
        <w:t xml:space="preserve"> </w:t>
      </w:r>
      <w:r w:rsidR="00707523">
        <w:t>individual household</w:t>
      </w:r>
      <w:r>
        <w:t xml:space="preserve"> suggest</w:t>
      </w:r>
      <w:r w:rsidR="00341580">
        <w:t>ing</w:t>
      </w:r>
      <w:r>
        <w:t xml:space="preserve"> </w:t>
      </w:r>
      <w:r w:rsidR="00707523">
        <w:t>this additional interest could cost a household with</w:t>
      </w:r>
      <w:r>
        <w:t xml:space="preserve"> an </w:t>
      </w:r>
      <w:r w:rsidR="00341580">
        <w:t>average-sized residential mortgage up</w:t>
      </w:r>
      <w:r>
        <w:t xml:space="preserve"> to $850</w:t>
      </w:r>
      <w:r w:rsidR="00341580">
        <w:t xml:space="preserve"> a year. This amount is roughly equivalent to 2 to 3 weeks’ worth of </w:t>
      </w:r>
      <w:r w:rsidR="00707523">
        <w:t>groceries</w:t>
      </w:r>
      <w:r w:rsidR="00341580">
        <w:t xml:space="preserve"> for Australian families.</w:t>
      </w:r>
      <w:r w:rsidR="003B50A1">
        <w:rPr>
          <w:rStyle w:val="FootnoteReference"/>
        </w:rPr>
        <w:footnoteReference w:id="6"/>
      </w:r>
    </w:p>
    <w:p w14:paraId="3AD1411B" w14:textId="77777777" w:rsidR="00332AC0" w:rsidRDefault="00332AC0" w:rsidP="00332AC0">
      <w:pPr>
        <w:spacing w:before="0" w:after="0" w:line="240" w:lineRule="auto"/>
      </w:pPr>
    </w:p>
    <w:p w14:paraId="6C39138D" w14:textId="08BB7A8F" w:rsidR="00525A55" w:rsidRDefault="00C53A5C" w:rsidP="00332AC0">
      <w:pPr>
        <w:spacing w:before="0" w:after="0" w:line="240" w:lineRule="auto"/>
        <w:ind w:left="720"/>
        <w:rPr>
          <w:rFonts w:cs="Arial"/>
        </w:rPr>
      </w:pPr>
      <w:r>
        <w:t>“Existing borrowers who do not actively shop around for a better deal on a regular basis are the main losers from opaque discretionary pricing. They have paid interest rates at the Inquiry Banks that, depending on the category of residential mortgage, were up to 32</w:t>
      </w:r>
      <w:r w:rsidR="00120CEB">
        <w:t xml:space="preserve"> </w:t>
      </w:r>
      <w:r>
        <w:t>basis points higher on average than those paid by new borrowers, as at 30 June 2018. An existing borrower with an average-sized residential mortgage who negotiated to pay the same interest rate as the average new borrower from 30 June 2018 could initially save up to $850 a year in interest (depending on the category of residential mortgage).</w:t>
      </w:r>
      <w:r w:rsidR="00525A55">
        <w:t>”</w:t>
      </w:r>
      <w:r w:rsidR="00707523" w:rsidRPr="00707523">
        <w:rPr>
          <w:rStyle w:val="FootnoteReference"/>
          <w:rFonts w:cs="Arial"/>
        </w:rPr>
        <w:t xml:space="preserve"> </w:t>
      </w:r>
      <w:r w:rsidR="00707523">
        <w:rPr>
          <w:rStyle w:val="FootnoteReference"/>
          <w:rFonts w:cs="Arial"/>
        </w:rPr>
        <w:footnoteReference w:id="7"/>
      </w:r>
    </w:p>
    <w:p w14:paraId="1B5979F2" w14:textId="77777777" w:rsidR="00332AC0" w:rsidRDefault="00332AC0" w:rsidP="00332AC0">
      <w:pPr>
        <w:spacing w:before="0" w:after="0" w:line="240" w:lineRule="auto"/>
        <w:ind w:left="720"/>
      </w:pPr>
    </w:p>
    <w:p w14:paraId="035F2AD6" w14:textId="0D548EB6" w:rsidR="003D3725" w:rsidRDefault="009747C4" w:rsidP="00332AC0">
      <w:pPr>
        <w:pStyle w:val="Address"/>
        <w:spacing w:before="0" w:after="0" w:line="240" w:lineRule="auto"/>
      </w:pPr>
      <w:r>
        <w:t>The RBA confirm</w:t>
      </w:r>
      <w:r w:rsidR="00747DA3">
        <w:t>s</w:t>
      </w:r>
      <w:r>
        <w:t xml:space="preserve"> this</w:t>
      </w:r>
      <w:r w:rsidR="00747DA3">
        <w:t xml:space="preserve"> loyalty </w:t>
      </w:r>
      <w:r w:rsidR="003B50A1">
        <w:t xml:space="preserve">tax </w:t>
      </w:r>
      <w:r w:rsidR="001A5799">
        <w:t>noting that “</w:t>
      </w:r>
      <w:r w:rsidR="00525A55">
        <w:t>o</w:t>
      </w:r>
      <w:r w:rsidR="001A5799">
        <w:t>n average, new borrowers receive a further discount of around 30 basis points on owner-occupier variable-rate mortgages.”</w:t>
      </w:r>
      <w:r w:rsidR="001A5799">
        <w:rPr>
          <w:rStyle w:val="FootnoteReference"/>
        </w:rPr>
        <w:footnoteReference w:id="8"/>
      </w:r>
    </w:p>
    <w:p w14:paraId="5D5960A0" w14:textId="77777777" w:rsidR="003D3725" w:rsidRDefault="003D3725" w:rsidP="00332AC0">
      <w:pPr>
        <w:pStyle w:val="Address"/>
        <w:spacing w:before="0" w:after="0" w:line="240" w:lineRule="auto"/>
      </w:pPr>
    </w:p>
    <w:p w14:paraId="4F651568" w14:textId="430FAC7D" w:rsidR="004A6600" w:rsidRDefault="00341580" w:rsidP="00332AC0">
      <w:pPr>
        <w:pStyle w:val="Address"/>
        <w:spacing w:before="0" w:after="0" w:line="240" w:lineRule="auto"/>
      </w:pPr>
      <w:r>
        <w:rPr>
          <w:rFonts w:cs="Arial"/>
        </w:rPr>
        <w:t>Uno Home Loan</w:t>
      </w:r>
      <w:r w:rsidR="00707523">
        <w:rPr>
          <w:rFonts w:cs="Arial"/>
        </w:rPr>
        <w:t>’s Household Financial Waste Report estimates that across Australia this aggregate amount could be up to $4.2 billion a year.</w:t>
      </w:r>
      <w:r w:rsidR="003D3725">
        <w:rPr>
          <w:rStyle w:val="FootnoteReference"/>
          <w:rFonts w:cs="Arial"/>
        </w:rPr>
        <w:footnoteReference w:id="9"/>
      </w:r>
      <w:r w:rsidR="00707523">
        <w:rPr>
          <w:rFonts w:cs="Arial"/>
        </w:rPr>
        <w:t xml:space="preserve"> </w:t>
      </w:r>
      <w:r w:rsidR="003D3725">
        <w:t>Marketplace lender Lendi</w:t>
      </w:r>
      <w:r w:rsidR="00624A38">
        <w:t xml:space="preserve"> notes that this could be as much as $6 billion per year.</w:t>
      </w:r>
      <w:r w:rsidR="00707523">
        <w:t xml:space="preserve"> Lendi notes that: “</w:t>
      </w:r>
      <w:r w:rsidR="00624A38">
        <w:t>While the figure moves around, a 79 basis point loyalty tax could mean as much as $6 billion to the big four banks, which last year made a combined profit of $27 billion.</w:t>
      </w:r>
      <w:r w:rsidR="00707523">
        <w:t>”</w:t>
      </w:r>
      <w:r w:rsidR="00447E53" w:rsidRPr="00447E53">
        <w:rPr>
          <w:rStyle w:val="FootnoteReference"/>
        </w:rPr>
        <w:t xml:space="preserve"> </w:t>
      </w:r>
      <w:r w:rsidR="00447E53">
        <w:rPr>
          <w:rStyle w:val="FootnoteReference"/>
        </w:rPr>
        <w:footnoteReference w:id="10"/>
      </w:r>
      <w:r w:rsidR="00707523">
        <w:t xml:space="preserve"> </w:t>
      </w:r>
      <w:r w:rsidR="004A6600">
        <w:t xml:space="preserve">At an individual level, </w:t>
      </w:r>
      <w:r w:rsidR="00707523">
        <w:t xml:space="preserve">Lendi estimates that these </w:t>
      </w:r>
      <w:r w:rsidR="004A6600">
        <w:t>could</w:t>
      </w:r>
      <w:r w:rsidR="00707523">
        <w:t xml:space="preserve"> for those with larger mortgages could </w:t>
      </w:r>
      <w:r w:rsidR="00707523">
        <w:lastRenderedPageBreak/>
        <w:t>be quite significant:</w:t>
      </w:r>
      <w:r w:rsidR="003B50A1">
        <w:t xml:space="preserve"> “</w:t>
      </w:r>
      <w:r w:rsidR="003B50A1" w:rsidRPr="004A6600">
        <w:t>On Lendi’s data, a borrower with a $760,000 mortgage is being slugged with an additional $328 a month in repayments, or close to $4,000 a year.</w:t>
      </w:r>
      <w:r w:rsidR="003B50A1">
        <w:t>”</w:t>
      </w:r>
      <w:r w:rsidR="00514CD5">
        <w:rPr>
          <w:rStyle w:val="FootnoteReference"/>
        </w:rPr>
        <w:footnoteReference w:id="11"/>
      </w:r>
    </w:p>
    <w:p w14:paraId="7053BC2F" w14:textId="57674F68" w:rsidR="004A6600" w:rsidRDefault="004A6600" w:rsidP="00332AC0">
      <w:pPr>
        <w:pStyle w:val="Address"/>
        <w:spacing w:before="0" w:after="0" w:line="240" w:lineRule="auto"/>
      </w:pPr>
    </w:p>
    <w:p w14:paraId="4A3D2634" w14:textId="299CD779" w:rsidR="00707523" w:rsidRDefault="00207049" w:rsidP="00332AC0">
      <w:pPr>
        <w:pStyle w:val="Address"/>
        <w:spacing w:before="0" w:after="0" w:line="240" w:lineRule="auto"/>
      </w:pPr>
      <w:r>
        <w:t xml:space="preserve">It is clear that whatever estimates are used </w:t>
      </w:r>
      <w:r w:rsidR="00707523">
        <w:t xml:space="preserve">that there is </w:t>
      </w:r>
      <w:r w:rsidR="00A7267F">
        <w:t>considerable</w:t>
      </w:r>
      <w:r w:rsidR="00707523">
        <w:t xml:space="preserve"> potential for consumers to save money if they are more active.</w:t>
      </w:r>
    </w:p>
    <w:p w14:paraId="28869335" w14:textId="656B1189" w:rsidR="00514CD5" w:rsidRDefault="00707523" w:rsidP="00332AC0">
      <w:pPr>
        <w:pStyle w:val="Address"/>
        <w:spacing w:before="0" w:after="0" w:line="240" w:lineRule="auto"/>
      </w:pPr>
      <w:r>
        <w:t xml:space="preserve"> </w:t>
      </w:r>
    </w:p>
    <w:p w14:paraId="578CAA42" w14:textId="6CC5A7F1" w:rsidR="00447E53" w:rsidRDefault="00447E53" w:rsidP="00332AC0">
      <w:pPr>
        <w:pStyle w:val="Address"/>
        <w:spacing w:before="0" w:after="0" w:line="240" w:lineRule="auto"/>
      </w:pPr>
      <w:r>
        <w:t>More broadly, consumer inertia may create an unfair</w:t>
      </w:r>
      <w:r w:rsidR="00397867">
        <w:t xml:space="preserve"> competitive</w:t>
      </w:r>
      <w:r>
        <w:t xml:space="preserve"> advantage for those</w:t>
      </w:r>
      <w:r w:rsidR="003B50A1">
        <w:t xml:space="preserve"> lenders</w:t>
      </w:r>
      <w:r>
        <w:t xml:space="preserve"> with</w:t>
      </w:r>
      <w:r w:rsidR="003B50A1">
        <w:t xml:space="preserve"> a large number of</w:t>
      </w:r>
      <w:r>
        <w:t xml:space="preserve"> ‘inert’ consumers. ASIC </w:t>
      </w:r>
      <w:r w:rsidR="00397867">
        <w:t>outlines how this could occur:</w:t>
      </w:r>
      <w:r>
        <w:t xml:space="preserve"> “In some markets, new customers may be subsidised by higher prices paid by existing or ongoing customers”</w:t>
      </w:r>
      <w:r w:rsidRPr="00447E53">
        <w:rPr>
          <w:rStyle w:val="FootnoteReference"/>
        </w:rPr>
        <w:t xml:space="preserve"> </w:t>
      </w:r>
      <w:r>
        <w:rPr>
          <w:rStyle w:val="FootnoteReference"/>
        </w:rPr>
        <w:footnoteReference w:id="12"/>
      </w:r>
      <w:r>
        <w:t>. It is not clear how much this occurs in the mortgage market, but it is something that is likely to become clear</w:t>
      </w:r>
      <w:r w:rsidR="00397867">
        <w:t>er</w:t>
      </w:r>
      <w:r>
        <w:t xml:space="preserve"> once the </w:t>
      </w:r>
      <w:r w:rsidR="00A7267F">
        <w:t xml:space="preserve">current </w:t>
      </w:r>
      <w:r>
        <w:t xml:space="preserve">ACCC inquiry delivers its findings. </w:t>
      </w:r>
      <w:r w:rsidR="00397867">
        <w:t>In its Electricity Pricing Inquiry, the ACCC found that</w:t>
      </w:r>
      <w:r w:rsidR="00120CEB">
        <w:t>:</w:t>
      </w:r>
      <w:r w:rsidR="00397867">
        <w:t xml:space="preserve"> “It appears that large retailers have the financial means to offer such aggressive retention offers by cross-subsidising these offers from the higher profits they are earning from their significant number of sticky high value customers.”</w:t>
      </w:r>
      <w:r w:rsidR="00397867">
        <w:rPr>
          <w:rStyle w:val="FootnoteReference"/>
        </w:rPr>
        <w:footnoteReference w:id="13"/>
      </w:r>
      <w:r w:rsidR="003B50A1">
        <w:t xml:space="preserve"> This would not be an ideal outcome for competition and consumers.</w:t>
      </w:r>
    </w:p>
    <w:p w14:paraId="5EC5CD59" w14:textId="6BAD4FE7" w:rsidR="00514CD5" w:rsidRDefault="00514CD5" w:rsidP="001C0248">
      <w:pPr>
        <w:pStyle w:val="Address"/>
        <w:spacing w:before="0"/>
      </w:pPr>
    </w:p>
    <w:p w14:paraId="63B008A0" w14:textId="048A2286" w:rsidR="00B14EE9" w:rsidRPr="005E2367" w:rsidRDefault="00FE0505" w:rsidP="00B14EE9">
      <w:pPr>
        <w:pStyle w:val="Address"/>
        <w:spacing w:before="0"/>
        <w:rPr>
          <w:bCs/>
        </w:rPr>
      </w:pPr>
      <w:r w:rsidRPr="005E2367">
        <w:rPr>
          <w:rFonts w:eastAsiaTheme="majorEastAsia" w:cstheme="majorBidi"/>
          <w:bCs/>
          <w:color w:val="006182" w:themeColor="accent1"/>
          <w:sz w:val="30"/>
          <w:szCs w:val="26"/>
          <w:lang w:val="en-GB"/>
        </w:rPr>
        <w:t xml:space="preserve">Dealing with consumer inertia – </w:t>
      </w:r>
      <w:r w:rsidR="00514CD5" w:rsidRPr="005E2367">
        <w:rPr>
          <w:rFonts w:eastAsiaTheme="majorEastAsia" w:cstheme="majorBidi"/>
          <w:bCs/>
          <w:color w:val="006182" w:themeColor="accent1"/>
          <w:sz w:val="30"/>
          <w:szCs w:val="26"/>
          <w:lang w:val="en-GB"/>
        </w:rPr>
        <w:t>suggestions to ‘shop around’</w:t>
      </w:r>
    </w:p>
    <w:p w14:paraId="25A33AA2" w14:textId="77777777" w:rsidR="00B14EE9" w:rsidRDefault="00B14EE9" w:rsidP="00332AC0">
      <w:pPr>
        <w:pStyle w:val="Address"/>
        <w:spacing w:before="0" w:after="0" w:line="240" w:lineRule="auto"/>
      </w:pPr>
    </w:p>
    <w:p w14:paraId="3C935FED" w14:textId="3ECFE230" w:rsidR="00120CEB" w:rsidRDefault="00210F19" w:rsidP="00332AC0">
      <w:pPr>
        <w:pStyle w:val="Address"/>
        <w:spacing w:before="0" w:after="0" w:line="240" w:lineRule="auto"/>
        <w:rPr>
          <w:lang w:val="en-US"/>
        </w:rPr>
      </w:pPr>
      <w:r>
        <w:rPr>
          <w:lang w:val="en-US"/>
        </w:rPr>
        <w:t xml:space="preserve">The recent RBA rate cuts have </w:t>
      </w:r>
      <w:r w:rsidR="00120CEB">
        <w:rPr>
          <w:lang w:val="en-US"/>
        </w:rPr>
        <w:t>sparked debate</w:t>
      </w:r>
      <w:r>
        <w:rPr>
          <w:lang w:val="en-US"/>
        </w:rPr>
        <w:t xml:space="preserve"> about whether existing customers are paying too much for their mortgages compared to newer customers. </w:t>
      </w:r>
      <w:r w:rsidR="00E73A6B">
        <w:rPr>
          <w:lang w:val="en-US"/>
        </w:rPr>
        <w:t xml:space="preserve">Responding to these </w:t>
      </w:r>
      <w:r w:rsidR="00207049">
        <w:rPr>
          <w:lang w:val="en-US"/>
        </w:rPr>
        <w:t>‘loyalty tax’</w:t>
      </w:r>
      <w:r w:rsidR="00E73A6B">
        <w:rPr>
          <w:lang w:val="en-US"/>
        </w:rPr>
        <w:t xml:space="preserve"> concerns</w:t>
      </w:r>
      <w:r w:rsidR="00207049">
        <w:rPr>
          <w:lang w:val="en-US"/>
        </w:rPr>
        <w:t>, po</w:t>
      </w:r>
      <w:r w:rsidR="00FE0505">
        <w:rPr>
          <w:lang w:val="en-US"/>
        </w:rPr>
        <w:t xml:space="preserve">licy makers, regulators and politicians </w:t>
      </w:r>
      <w:r>
        <w:rPr>
          <w:lang w:val="en-US"/>
        </w:rPr>
        <w:t xml:space="preserve">continue to </w:t>
      </w:r>
      <w:r w:rsidR="001E388C">
        <w:rPr>
          <w:lang w:val="en-US"/>
        </w:rPr>
        <w:t>tell</w:t>
      </w:r>
      <w:r w:rsidR="00FE0505">
        <w:rPr>
          <w:lang w:val="en-US"/>
        </w:rPr>
        <w:t xml:space="preserve"> customers </w:t>
      </w:r>
      <w:r w:rsidR="001E388C">
        <w:rPr>
          <w:lang w:val="en-US"/>
        </w:rPr>
        <w:t xml:space="preserve">that they </w:t>
      </w:r>
      <w:r w:rsidR="00FE0505">
        <w:rPr>
          <w:lang w:val="en-US"/>
        </w:rPr>
        <w:t xml:space="preserve">should ‘ask their lender’ and ‘shop around’. </w:t>
      </w:r>
      <w:r>
        <w:rPr>
          <w:lang w:val="en-US"/>
        </w:rPr>
        <w:t xml:space="preserve">COBA agrees that ‘shopping around’ is the correct course of </w:t>
      </w:r>
      <w:proofErr w:type="gramStart"/>
      <w:r>
        <w:rPr>
          <w:lang w:val="en-US"/>
        </w:rPr>
        <w:t>action, and</w:t>
      </w:r>
      <w:proofErr w:type="gramEnd"/>
      <w:r>
        <w:rPr>
          <w:lang w:val="en-US"/>
        </w:rPr>
        <w:t xml:space="preserve"> is </w:t>
      </w:r>
      <w:r w:rsidR="00120CEB">
        <w:rPr>
          <w:lang w:val="en-US"/>
        </w:rPr>
        <w:t xml:space="preserve">certainly </w:t>
      </w:r>
      <w:r>
        <w:rPr>
          <w:lang w:val="en-US"/>
        </w:rPr>
        <w:t>preferable to heavy</w:t>
      </w:r>
      <w:r w:rsidR="00E73A6B">
        <w:rPr>
          <w:lang w:val="en-US"/>
        </w:rPr>
        <w:t>-</w:t>
      </w:r>
      <w:r>
        <w:rPr>
          <w:lang w:val="en-US"/>
        </w:rPr>
        <w:t xml:space="preserve">handed price regulation. </w:t>
      </w:r>
    </w:p>
    <w:p w14:paraId="6968D1D6" w14:textId="60AF34FF" w:rsidR="00120CEB" w:rsidRDefault="00120CEB" w:rsidP="00332AC0">
      <w:pPr>
        <w:pStyle w:val="Address"/>
        <w:spacing w:before="0" w:after="0" w:line="240" w:lineRule="auto"/>
        <w:rPr>
          <w:lang w:val="en-US"/>
        </w:rPr>
      </w:pPr>
    </w:p>
    <w:p w14:paraId="21F3E77E" w14:textId="77777777" w:rsidR="002525F3" w:rsidRDefault="002525F3" w:rsidP="00332AC0">
      <w:pPr>
        <w:pStyle w:val="Address"/>
        <w:spacing w:before="0" w:after="0" w:line="240" w:lineRule="auto"/>
        <w:rPr>
          <w:rFonts w:cs="Arial"/>
        </w:rPr>
      </w:pPr>
      <w:r>
        <w:rPr>
          <w:rFonts w:cs="Arial"/>
        </w:rPr>
        <w:t xml:space="preserve">The </w:t>
      </w:r>
      <w:r w:rsidRPr="0078207D">
        <w:rPr>
          <w:rFonts w:cs="Arial"/>
        </w:rPr>
        <w:t xml:space="preserve">ACCC Residential </w:t>
      </w:r>
      <w:r>
        <w:rPr>
          <w:rFonts w:cs="Arial"/>
        </w:rPr>
        <w:t>M</w:t>
      </w:r>
      <w:r w:rsidRPr="0078207D">
        <w:rPr>
          <w:rFonts w:cs="Arial"/>
        </w:rPr>
        <w:t xml:space="preserve">ortgage </w:t>
      </w:r>
      <w:r>
        <w:rPr>
          <w:rFonts w:cs="Arial"/>
        </w:rPr>
        <w:t>P</w:t>
      </w:r>
      <w:r w:rsidRPr="0078207D">
        <w:rPr>
          <w:rFonts w:cs="Arial"/>
        </w:rPr>
        <w:t xml:space="preserve">roducts </w:t>
      </w:r>
      <w:r>
        <w:rPr>
          <w:rFonts w:cs="Arial"/>
        </w:rPr>
        <w:t>P</w:t>
      </w:r>
      <w:r w:rsidRPr="0078207D">
        <w:rPr>
          <w:rFonts w:cs="Arial"/>
        </w:rPr>
        <w:t xml:space="preserve">rice </w:t>
      </w:r>
      <w:r>
        <w:rPr>
          <w:rFonts w:cs="Arial"/>
        </w:rPr>
        <w:t>I</w:t>
      </w:r>
      <w:r w:rsidRPr="0078207D">
        <w:rPr>
          <w:rFonts w:cs="Arial"/>
        </w:rPr>
        <w:t>nquiry</w:t>
      </w:r>
      <w:r>
        <w:rPr>
          <w:rStyle w:val="FootnoteReference"/>
          <w:rFonts w:cs="Arial"/>
        </w:rPr>
        <w:footnoteReference w:id="14"/>
      </w:r>
      <w:r w:rsidRPr="00341580">
        <w:rPr>
          <w:rFonts w:cs="Arial"/>
        </w:rPr>
        <w:t xml:space="preserve"> </w:t>
      </w:r>
      <w:r>
        <w:rPr>
          <w:rFonts w:cs="Arial"/>
        </w:rPr>
        <w:t>summarises the options for consumers to get a better deal:</w:t>
      </w:r>
    </w:p>
    <w:p w14:paraId="25048BA4" w14:textId="77777777" w:rsidR="002525F3" w:rsidRDefault="002525F3" w:rsidP="00332AC0">
      <w:pPr>
        <w:pStyle w:val="Address"/>
        <w:spacing w:before="0" w:after="0" w:line="240" w:lineRule="auto"/>
        <w:ind w:left="720"/>
        <w:rPr>
          <w:rFonts w:cs="Arial"/>
        </w:rPr>
      </w:pPr>
    </w:p>
    <w:p w14:paraId="3A6DD544" w14:textId="1BA2D152" w:rsidR="002525F3" w:rsidRDefault="002525F3" w:rsidP="00332AC0">
      <w:pPr>
        <w:pStyle w:val="Address"/>
        <w:spacing w:before="0" w:after="0" w:line="240" w:lineRule="auto"/>
        <w:ind w:left="720"/>
      </w:pPr>
      <w:r>
        <w:rPr>
          <w:lang w:val="en-US"/>
        </w:rPr>
        <w:t>“</w:t>
      </w:r>
      <w:r>
        <w:t>Many residential mortgage borrowers might achieve significant savings by regularly reviewing the interest rates they are paying, asking their lender for a better rate, switching to a cheaper product as the same lender or switching residential mortgage providers to take up the best available offers.”</w:t>
      </w:r>
    </w:p>
    <w:p w14:paraId="3C910184" w14:textId="401AA309" w:rsidR="002525F3" w:rsidRDefault="002525F3" w:rsidP="00332AC0">
      <w:pPr>
        <w:pStyle w:val="Address"/>
        <w:spacing w:before="0" w:after="0" w:line="240" w:lineRule="auto"/>
        <w:rPr>
          <w:lang w:val="en-US"/>
        </w:rPr>
      </w:pPr>
    </w:p>
    <w:p w14:paraId="58ED6A08" w14:textId="78BC28AD" w:rsidR="002525F3" w:rsidRDefault="002525F3" w:rsidP="00332AC0">
      <w:pPr>
        <w:pStyle w:val="Address"/>
        <w:spacing w:before="0" w:after="0" w:line="240" w:lineRule="auto"/>
        <w:rPr>
          <w:lang w:val="en-US"/>
        </w:rPr>
      </w:pPr>
      <w:r>
        <w:rPr>
          <w:lang w:val="en-US"/>
        </w:rPr>
        <w:t>There is no shortage of this type of advice</w:t>
      </w:r>
      <w:r w:rsidR="00E73A6B">
        <w:rPr>
          <w:lang w:val="en-US"/>
        </w:rPr>
        <w:t xml:space="preserve"> </w:t>
      </w:r>
      <w:r w:rsidR="00E73A6B" w:rsidRPr="00DC1475">
        <w:rPr>
          <w:b/>
          <w:bCs/>
          <w:u w:val="single"/>
          <w:lang w:val="en-US"/>
        </w:rPr>
        <w:t>(COBA emphasis)</w:t>
      </w:r>
      <w:r>
        <w:rPr>
          <w:lang w:val="en-US"/>
        </w:rPr>
        <w:t>.</w:t>
      </w:r>
    </w:p>
    <w:p w14:paraId="1811C7BC" w14:textId="2D295D6A" w:rsidR="00151781" w:rsidRDefault="00151781" w:rsidP="00332AC0">
      <w:pPr>
        <w:pStyle w:val="Address"/>
        <w:spacing w:before="0" w:after="0" w:line="240" w:lineRule="auto"/>
        <w:rPr>
          <w:lang w:val="en-US"/>
        </w:rPr>
      </w:pPr>
    </w:p>
    <w:p w14:paraId="0969CAE3" w14:textId="6B8DA880" w:rsidR="00151781" w:rsidRDefault="00151781" w:rsidP="00332AC0">
      <w:pPr>
        <w:pStyle w:val="Address"/>
        <w:spacing w:before="0" w:after="0" w:line="240" w:lineRule="auto"/>
        <w:ind w:left="720"/>
        <w:rPr>
          <w:lang w:val="en-US"/>
        </w:rPr>
      </w:pPr>
      <w:r w:rsidRPr="00E763E5">
        <w:rPr>
          <w:lang w:val="en-US"/>
        </w:rPr>
        <w:t xml:space="preserve">“I encourage more people to </w:t>
      </w:r>
      <w:r w:rsidRPr="00167580">
        <w:rPr>
          <w:b/>
          <w:bCs/>
          <w:u w:val="single"/>
          <w:lang w:val="en-US"/>
        </w:rPr>
        <w:t>ask their lender</w:t>
      </w:r>
      <w:r w:rsidRPr="00E763E5">
        <w:rPr>
          <w:b/>
          <w:bCs/>
          <w:lang w:val="en-US"/>
        </w:rPr>
        <w:t xml:space="preserve"> </w:t>
      </w:r>
      <w:r w:rsidRPr="00E763E5">
        <w:rPr>
          <w:lang w:val="en-US"/>
        </w:rPr>
        <w:t xml:space="preserve">whether they are getting the lowest possible interest rates for their residential mortgage and, as they do so, </w:t>
      </w:r>
      <w:r w:rsidRPr="00167580">
        <w:rPr>
          <w:b/>
          <w:bCs/>
          <w:u w:val="single"/>
          <w:lang w:val="en-US"/>
        </w:rPr>
        <w:t>be ready to threaten to switch to another lender</w:t>
      </w:r>
      <w:r w:rsidRPr="00E763E5">
        <w:rPr>
          <w:lang w:val="en-US"/>
        </w:rPr>
        <w:t xml:space="preserve">” </w:t>
      </w:r>
      <w:r w:rsidR="001A2503">
        <w:rPr>
          <w:lang w:val="en-US"/>
        </w:rPr>
        <w:t xml:space="preserve"> - </w:t>
      </w:r>
      <w:r w:rsidRPr="00E763E5">
        <w:rPr>
          <w:lang w:val="en-US"/>
        </w:rPr>
        <w:t>ACCC Chair Rod Sims, 11 December 2018 (</w:t>
      </w:r>
      <w:hyperlink r:id="rId15" w:history="1">
        <w:r w:rsidRPr="00E763E5">
          <w:rPr>
            <w:rStyle w:val="Hyperlink"/>
            <w:lang w:val="en-US"/>
          </w:rPr>
          <w:t>ACCC Media Release</w:t>
        </w:r>
      </w:hyperlink>
      <w:r w:rsidRPr="00E763E5">
        <w:rPr>
          <w:lang w:val="en-US"/>
        </w:rPr>
        <w:t>)</w:t>
      </w:r>
    </w:p>
    <w:p w14:paraId="21083A90" w14:textId="77777777" w:rsidR="002525F3" w:rsidRDefault="002525F3" w:rsidP="00332AC0">
      <w:pPr>
        <w:pStyle w:val="Address"/>
        <w:spacing w:before="0" w:after="0" w:line="240" w:lineRule="auto"/>
        <w:ind w:left="720"/>
        <w:rPr>
          <w:lang w:val="en-US"/>
        </w:rPr>
      </w:pPr>
    </w:p>
    <w:p w14:paraId="169B798A" w14:textId="0BB2764B" w:rsidR="00151781" w:rsidRDefault="00151781" w:rsidP="00332AC0">
      <w:pPr>
        <w:pStyle w:val="Address"/>
        <w:spacing w:before="0" w:after="0" w:line="240" w:lineRule="auto"/>
        <w:ind w:left="720"/>
        <w:rPr>
          <w:lang w:val="en-US"/>
        </w:rPr>
      </w:pPr>
      <w:r w:rsidRPr="00E763E5">
        <w:t xml:space="preserve">“With the market for home loans so competitive, Australian </w:t>
      </w:r>
      <w:r w:rsidRPr="00167580">
        <w:rPr>
          <w:b/>
          <w:bCs/>
          <w:u w:val="single"/>
        </w:rPr>
        <w:t>bank customers should contact their bank and shop around</w:t>
      </w:r>
      <w:r w:rsidRPr="00E763E5">
        <w:t>.”</w:t>
      </w:r>
      <w:r w:rsidR="001A2503">
        <w:t xml:space="preserve"> - </w:t>
      </w:r>
      <w:r w:rsidRPr="00E763E5">
        <w:rPr>
          <w:lang w:val="en-US"/>
        </w:rPr>
        <w:t>ABA Spokesperson, 7 October 2019 (</w:t>
      </w:r>
      <w:hyperlink r:id="rId16" w:history="1">
        <w:r w:rsidRPr="00E763E5">
          <w:rPr>
            <w:rStyle w:val="Hyperlink"/>
            <w:lang w:val="en-US"/>
          </w:rPr>
          <w:t>AFR Article</w:t>
        </w:r>
      </w:hyperlink>
      <w:r w:rsidRPr="00E763E5">
        <w:rPr>
          <w:lang w:val="en-US"/>
        </w:rPr>
        <w:t>)</w:t>
      </w:r>
    </w:p>
    <w:p w14:paraId="3D222D0A" w14:textId="77777777" w:rsidR="00151781" w:rsidRDefault="00151781" w:rsidP="00332AC0">
      <w:pPr>
        <w:pStyle w:val="Address"/>
        <w:spacing w:before="0" w:after="0" w:line="240" w:lineRule="auto"/>
        <w:ind w:left="720"/>
        <w:rPr>
          <w:lang w:val="en-US"/>
        </w:rPr>
      </w:pPr>
    </w:p>
    <w:p w14:paraId="08B4A003" w14:textId="374D1626" w:rsidR="00151781" w:rsidRDefault="00151781" w:rsidP="00332AC0">
      <w:pPr>
        <w:pStyle w:val="Address"/>
        <w:spacing w:before="0" w:after="0" w:line="240" w:lineRule="auto"/>
        <w:ind w:left="720"/>
        <w:rPr>
          <w:rStyle w:val="Hyperlink"/>
          <w:lang w:val="en-US"/>
        </w:rPr>
      </w:pPr>
      <w:r w:rsidRPr="00E763E5">
        <w:rPr>
          <w:lang w:val="en-US"/>
        </w:rPr>
        <w:t xml:space="preserve">“Well, we continue to put pressure on the banks and ultimately it's the customers who can vote with their feet. And I would encourage your viewers to go to their banks, </w:t>
      </w:r>
      <w:r w:rsidRPr="00167580">
        <w:rPr>
          <w:b/>
          <w:bCs/>
          <w:u w:val="single"/>
          <w:lang w:val="en-US"/>
        </w:rPr>
        <w:t>seek the best possible deal and if not, take their business elsewhere</w:t>
      </w:r>
      <w:r w:rsidRPr="00E763E5">
        <w:rPr>
          <w:lang w:val="en-US"/>
        </w:rPr>
        <w:t>.”</w:t>
      </w:r>
      <w:r w:rsidR="001A2503">
        <w:rPr>
          <w:lang w:val="en-US"/>
        </w:rPr>
        <w:t xml:space="preserve"> - </w:t>
      </w:r>
      <w:r w:rsidRPr="00E763E5">
        <w:rPr>
          <w:lang w:val="en-US"/>
        </w:rPr>
        <w:t>Treasurer Josh Frydenberg, 3 October 2019 (</w:t>
      </w:r>
      <w:hyperlink r:id="rId17" w:history="1">
        <w:r w:rsidRPr="00E763E5">
          <w:rPr>
            <w:rStyle w:val="Hyperlink"/>
            <w:lang w:val="en-US"/>
          </w:rPr>
          <w:t>ABC 730 Report</w:t>
        </w:r>
      </w:hyperlink>
      <w:r w:rsidR="00D33380">
        <w:rPr>
          <w:rStyle w:val="Hyperlink"/>
          <w:lang w:val="en-US"/>
        </w:rPr>
        <w:t>)</w:t>
      </w:r>
    </w:p>
    <w:p w14:paraId="04CE20D8" w14:textId="72CEA3DB" w:rsidR="00151781" w:rsidRDefault="00151781" w:rsidP="00332AC0">
      <w:pPr>
        <w:pStyle w:val="Address"/>
        <w:spacing w:before="0" w:after="0" w:line="240" w:lineRule="auto"/>
        <w:ind w:left="720"/>
        <w:rPr>
          <w:rStyle w:val="Hyperlink"/>
          <w:lang w:val="en-US"/>
        </w:rPr>
      </w:pPr>
    </w:p>
    <w:p w14:paraId="5712286E" w14:textId="538224BD" w:rsidR="00151781" w:rsidRPr="00514CD5" w:rsidRDefault="00FB3DA7" w:rsidP="00332AC0">
      <w:pPr>
        <w:pStyle w:val="Address"/>
        <w:spacing w:before="0" w:after="0" w:line="240" w:lineRule="auto"/>
        <w:ind w:left="720"/>
        <w:rPr>
          <w:rFonts w:cs="Arial"/>
        </w:rPr>
      </w:pPr>
      <w:r>
        <w:rPr>
          <w:lang w:val="en-US"/>
        </w:rPr>
        <w:t>“</w:t>
      </w:r>
      <w:r w:rsidR="00151781" w:rsidRPr="00FB3DA7">
        <w:rPr>
          <w:lang w:val="en-US"/>
        </w:rPr>
        <w:t xml:space="preserve">If, as a community, we feel uncomfortable that the financial sector has products and services that </w:t>
      </w:r>
      <w:r w:rsidR="00151781" w:rsidRPr="00167580">
        <w:rPr>
          <w:b/>
          <w:bCs/>
          <w:u w:val="single"/>
          <w:lang w:val="en-US"/>
        </w:rPr>
        <w:t>profit from apathy and inertia</w:t>
      </w:r>
      <w:r w:rsidR="00151781" w:rsidRPr="00FB3DA7">
        <w:rPr>
          <w:lang w:val="en-US"/>
        </w:rPr>
        <w:t xml:space="preserve"> – which it certainly does – then the best response by customers is to be engaged and active. </w:t>
      </w:r>
      <w:r w:rsidR="00151781" w:rsidRPr="00167580">
        <w:rPr>
          <w:b/>
          <w:bCs/>
          <w:u w:val="single"/>
          <w:lang w:val="en-US"/>
        </w:rPr>
        <w:t>Shop around, exercise choice</w:t>
      </w:r>
      <w:r w:rsidR="00151781" w:rsidRPr="00FB3DA7">
        <w:rPr>
          <w:lang w:val="en-US"/>
        </w:rPr>
        <w:t xml:space="preserve"> – or dare I say it, </w:t>
      </w:r>
      <w:r w:rsidR="00151781" w:rsidRPr="00514CD5">
        <w:rPr>
          <w:rFonts w:cs="Arial"/>
          <w:lang w:val="en-US"/>
        </w:rPr>
        <w:t xml:space="preserve">don’t just get mad, get even. There’s no better way to align community and commercial </w:t>
      </w:r>
      <w:r w:rsidR="00151781" w:rsidRPr="00514CD5">
        <w:rPr>
          <w:rFonts w:cs="Arial"/>
          <w:lang w:val="en-US"/>
        </w:rPr>
        <w:lastRenderedPageBreak/>
        <w:t xml:space="preserve">interests than to make the community’s voice evident </w:t>
      </w:r>
      <w:r w:rsidR="00151781" w:rsidRPr="00DC1475">
        <w:rPr>
          <w:rFonts w:cs="Arial"/>
          <w:b/>
          <w:bCs/>
          <w:u w:val="single"/>
          <w:lang w:val="en-US"/>
        </w:rPr>
        <w:t xml:space="preserve">through </w:t>
      </w:r>
      <w:r w:rsidR="00151781" w:rsidRPr="00E73A6B">
        <w:rPr>
          <w:rFonts w:cs="Arial"/>
          <w:b/>
          <w:bCs/>
          <w:u w:val="single"/>
          <w:lang w:val="en-US"/>
        </w:rPr>
        <w:t>a</w:t>
      </w:r>
      <w:r w:rsidR="00151781" w:rsidRPr="00167580">
        <w:rPr>
          <w:rFonts w:cs="Arial"/>
          <w:b/>
          <w:bCs/>
          <w:u w:val="single"/>
          <w:lang w:val="en-US"/>
        </w:rPr>
        <w:t>ction</w:t>
      </w:r>
      <w:r w:rsidR="00151781" w:rsidRPr="00514CD5">
        <w:rPr>
          <w:rFonts w:cs="Arial"/>
          <w:lang w:val="en-US"/>
        </w:rPr>
        <w:t>.</w:t>
      </w:r>
      <w:r w:rsidRPr="00514CD5">
        <w:rPr>
          <w:rFonts w:cs="Arial"/>
          <w:lang w:val="en-US"/>
        </w:rPr>
        <w:t>”</w:t>
      </w:r>
      <w:r w:rsidR="001A2503">
        <w:rPr>
          <w:rFonts w:cs="Arial"/>
          <w:lang w:val="en-US"/>
        </w:rPr>
        <w:t xml:space="preserve"> - </w:t>
      </w:r>
      <w:r w:rsidR="00151781" w:rsidRPr="00514CD5">
        <w:rPr>
          <w:rFonts w:cs="Arial"/>
          <w:color w:val="000000"/>
        </w:rPr>
        <w:t>APRA</w:t>
      </w:r>
      <w:r w:rsidR="00BC4182" w:rsidRPr="00514CD5">
        <w:rPr>
          <w:rFonts w:cs="Arial"/>
          <w:color w:val="000000"/>
        </w:rPr>
        <w:t xml:space="preserve"> Chair Wayne Byres</w:t>
      </w:r>
      <w:r w:rsidR="007552A0">
        <w:rPr>
          <w:rFonts w:cs="Arial"/>
          <w:color w:val="000000"/>
        </w:rPr>
        <w:t>, 8 August 2019 (</w:t>
      </w:r>
      <w:hyperlink r:id="rId18" w:history="1">
        <w:r w:rsidR="007552A0" w:rsidRPr="00076789">
          <w:rPr>
            <w:rStyle w:val="Hyperlink"/>
            <w:rFonts w:cs="Arial"/>
          </w:rPr>
          <w:t>BFO Conference</w:t>
        </w:r>
      </w:hyperlink>
      <w:r w:rsidR="007552A0">
        <w:rPr>
          <w:rFonts w:cs="Arial"/>
          <w:color w:val="000000"/>
        </w:rPr>
        <w:t>)</w:t>
      </w:r>
    </w:p>
    <w:p w14:paraId="776F1716" w14:textId="2D62D436" w:rsidR="00151781" w:rsidRDefault="00151781" w:rsidP="00332AC0">
      <w:pPr>
        <w:pStyle w:val="Address"/>
        <w:spacing w:before="0" w:after="0" w:line="240" w:lineRule="auto"/>
        <w:rPr>
          <w:lang w:val="en-US"/>
        </w:rPr>
      </w:pPr>
    </w:p>
    <w:p w14:paraId="6C21D4D9" w14:textId="34BC5C6C" w:rsidR="002525F3" w:rsidRDefault="002525F3" w:rsidP="00332AC0">
      <w:pPr>
        <w:pStyle w:val="Address"/>
        <w:spacing w:before="0" w:after="0" w:line="240" w:lineRule="auto"/>
        <w:rPr>
          <w:lang w:val="en-US"/>
        </w:rPr>
      </w:pPr>
      <w:r>
        <w:rPr>
          <w:lang w:val="en-US"/>
        </w:rPr>
        <w:t xml:space="preserve">The impact of this </w:t>
      </w:r>
      <w:proofErr w:type="gramStart"/>
      <w:r>
        <w:rPr>
          <w:lang w:val="en-US"/>
        </w:rPr>
        <w:t>frequently-provided</w:t>
      </w:r>
      <w:proofErr w:type="gramEnd"/>
      <w:r>
        <w:rPr>
          <w:lang w:val="en-US"/>
        </w:rPr>
        <w:t xml:space="preserve"> advice to shop around is questionable. While it is the lowest-cost response to consumer inertia, it does not address why consumer do </w:t>
      </w:r>
      <w:r w:rsidRPr="00DC1475">
        <w:rPr>
          <w:i/>
          <w:iCs/>
          <w:lang w:val="en-US"/>
        </w:rPr>
        <w:t>not</w:t>
      </w:r>
      <w:r>
        <w:rPr>
          <w:lang w:val="en-US"/>
        </w:rPr>
        <w:t xml:space="preserve"> shop around.</w:t>
      </w:r>
    </w:p>
    <w:p w14:paraId="6DF4CA33" w14:textId="7E9C2586" w:rsidR="002525F3" w:rsidRDefault="002525F3" w:rsidP="00332AC0">
      <w:pPr>
        <w:pStyle w:val="Address"/>
        <w:spacing w:before="0" w:after="0" w:line="240" w:lineRule="auto"/>
        <w:rPr>
          <w:rFonts w:cs="Arial"/>
        </w:rPr>
      </w:pPr>
    </w:p>
    <w:p w14:paraId="1D672C0C" w14:textId="7D229D45" w:rsidR="00E92E05" w:rsidRDefault="00E92E05" w:rsidP="00332AC0">
      <w:pPr>
        <w:pStyle w:val="Address"/>
        <w:spacing w:before="0" w:after="0" w:line="240" w:lineRule="auto"/>
      </w:pPr>
      <w:r>
        <w:rPr>
          <w:rFonts w:cs="Arial"/>
        </w:rPr>
        <w:t>A recent paper by Deloitte</w:t>
      </w:r>
      <w:r>
        <w:rPr>
          <w:rStyle w:val="FootnoteReference"/>
          <w:rFonts w:cs="Arial"/>
        </w:rPr>
        <w:footnoteReference w:id="15"/>
      </w:r>
      <w:r>
        <w:rPr>
          <w:rFonts w:cs="Arial"/>
        </w:rPr>
        <w:t xml:space="preserve"> reported survey findings that p</w:t>
      </w:r>
      <w:r>
        <w:t xml:space="preserve">eople are not actively gathering information on alternative banking products. </w:t>
      </w:r>
    </w:p>
    <w:p w14:paraId="33F848F8" w14:textId="77777777" w:rsidR="00332AC0" w:rsidRDefault="00332AC0" w:rsidP="00332AC0">
      <w:pPr>
        <w:pStyle w:val="Address"/>
        <w:spacing w:before="0" w:after="0" w:line="240" w:lineRule="auto"/>
      </w:pPr>
    </w:p>
    <w:p w14:paraId="65BCC42F" w14:textId="76A84282" w:rsidR="00E92E05" w:rsidRDefault="00E92E05" w:rsidP="00332AC0">
      <w:pPr>
        <w:spacing w:before="0" w:line="240" w:lineRule="auto"/>
        <w:ind w:left="720"/>
      </w:pPr>
      <w:r>
        <w:t xml:space="preserve">“For two-thirds of the banking product relationships, people had not undertaken any activity to gather information about other banking products or offerings in the last three years. </w:t>
      </w:r>
      <w:proofErr w:type="gramStart"/>
      <w:r>
        <w:t>The majority of</w:t>
      </w:r>
      <w:proofErr w:type="gramEnd"/>
      <w:r>
        <w:t xml:space="preserve"> Australians are satisfied with their current banking products and providers, or at least not dissatisfied enough to gather information about other banking products or offerings (let alone to make a decision to change banks). In a separate survey we found that around four in five (79%) of transaction account holders are either ‘satisfied’ or ‘very satisfied’ with their existing provider. Similarly, three quarters of credit card holders and two thirds of mortgage owners reported being ‘satisfied’. Conversely, only 5% to 9% of account holders said that they were dissatisfied with their account. </w:t>
      </w:r>
    </w:p>
    <w:p w14:paraId="647C6500" w14:textId="18F26AA3" w:rsidR="00E92E05" w:rsidRDefault="00E92E05" w:rsidP="00332AC0">
      <w:pPr>
        <w:ind w:left="720"/>
      </w:pPr>
      <w:r>
        <w:t>“</w:t>
      </w:r>
      <w:proofErr w:type="gramStart"/>
      <w:r>
        <w:t>So</w:t>
      </w:r>
      <w:proofErr w:type="gramEnd"/>
      <w:r>
        <w:t xml:space="preserve"> we end up going in a circle. Because customers perceive that they are satisfied with their current banking product or provider, they do not gather information about other banking products or offerings. And because they have not gathered information, they are not aware of the benefits of these alternative financial services products from other providers, and so lack the information to re-assess their level of satisfaction with their current provider.”</w:t>
      </w:r>
    </w:p>
    <w:p w14:paraId="1FE52D8D" w14:textId="57ADFB62" w:rsidR="00CE4EED" w:rsidRDefault="00CE4EED" w:rsidP="00332AC0">
      <w:pPr>
        <w:ind w:left="720"/>
        <w:rPr>
          <w:rFonts w:cs="Arial"/>
        </w:rPr>
      </w:pPr>
      <w:r>
        <w:t>“To be actively engaged in the competitive process by gathering information, or to make informed choices about financial products, and to be able to choose to change providers, consumers need to be able to understand the differences in financial value between different products. They need to be financially literate. However overall financial literacy in Australia is low. In a recent study by Deloitte less than half of Australians met the basic threshold for financial literacy.”</w:t>
      </w:r>
    </w:p>
    <w:p w14:paraId="73EBC921" w14:textId="62149782" w:rsidR="00F35EE2" w:rsidRPr="005E2367" w:rsidRDefault="00253149" w:rsidP="008238CC">
      <w:pPr>
        <w:pStyle w:val="Heading2"/>
        <w:rPr>
          <w:b w:val="0"/>
          <w:bCs/>
        </w:rPr>
      </w:pPr>
      <w:bookmarkStart w:id="9" w:name="_Toc20904449"/>
      <w:r w:rsidRPr="005E2367">
        <w:rPr>
          <w:b w:val="0"/>
          <w:bCs/>
        </w:rPr>
        <w:t>Connecting a c</w:t>
      </w:r>
      <w:r w:rsidR="00F35EE2" w:rsidRPr="005E2367">
        <w:rPr>
          <w:b w:val="0"/>
          <w:bCs/>
        </w:rPr>
        <w:t xml:space="preserve">onsumer </w:t>
      </w:r>
      <w:r w:rsidRPr="005E2367">
        <w:rPr>
          <w:b w:val="0"/>
          <w:bCs/>
        </w:rPr>
        <w:t>‘</w:t>
      </w:r>
      <w:r w:rsidR="004A6600" w:rsidRPr="005E2367">
        <w:rPr>
          <w:b w:val="0"/>
          <w:bCs/>
        </w:rPr>
        <w:t>shopping’</w:t>
      </w:r>
      <w:r w:rsidRPr="005E2367">
        <w:rPr>
          <w:b w:val="0"/>
          <w:bCs/>
        </w:rPr>
        <w:t xml:space="preserve"> j</w:t>
      </w:r>
      <w:r w:rsidR="00F35EE2" w:rsidRPr="005E2367">
        <w:rPr>
          <w:b w:val="0"/>
          <w:bCs/>
        </w:rPr>
        <w:t>ourney</w:t>
      </w:r>
    </w:p>
    <w:p w14:paraId="3FED850B" w14:textId="67ED94E3" w:rsidR="00CD208F" w:rsidRDefault="00CD208F" w:rsidP="008238CC">
      <w:pPr>
        <w:spacing w:before="0" w:after="0"/>
      </w:pPr>
    </w:p>
    <w:p w14:paraId="314BDB64" w14:textId="0E036FDD" w:rsidR="004A6600" w:rsidRDefault="00955A26" w:rsidP="008238CC">
      <w:pPr>
        <w:spacing w:before="0" w:after="0"/>
      </w:pPr>
      <w:r>
        <w:t>COBA agrees that t</w:t>
      </w:r>
      <w:r w:rsidR="004A6600">
        <w:t xml:space="preserve">he ultimate solution to the </w:t>
      </w:r>
      <w:r>
        <w:t>‘</w:t>
      </w:r>
      <w:r w:rsidR="004A6600">
        <w:t>loyalty tax</w:t>
      </w:r>
      <w:r>
        <w:t>’</w:t>
      </w:r>
      <w:r w:rsidR="004A6600">
        <w:t xml:space="preserve"> is engaged consumers who shop around. However, it is not clear to what extent this process </w:t>
      </w:r>
      <w:r>
        <w:t>has been examined by policymakers</w:t>
      </w:r>
      <w:r w:rsidR="004A6600">
        <w:t xml:space="preserve"> as a </w:t>
      </w:r>
      <w:r w:rsidR="00E73A6B">
        <w:t xml:space="preserve">single </w:t>
      </w:r>
      <w:r w:rsidR="004A6600">
        <w:t xml:space="preserve">journey. </w:t>
      </w:r>
    </w:p>
    <w:p w14:paraId="4ED7AD3B" w14:textId="77777777" w:rsidR="004A6600" w:rsidRDefault="004A6600" w:rsidP="008238CC">
      <w:pPr>
        <w:spacing w:before="0" w:after="0"/>
      </w:pPr>
    </w:p>
    <w:p w14:paraId="70585C57" w14:textId="72A98891" w:rsidR="008238CC" w:rsidRDefault="00F35EE2" w:rsidP="008238CC">
      <w:pPr>
        <w:spacing w:before="0" w:after="0"/>
      </w:pPr>
      <w:r>
        <w:t>The Social Market Foundation</w:t>
      </w:r>
      <w:r w:rsidR="00E73A6B">
        <w:rPr>
          <w:rStyle w:val="FootnoteReference"/>
        </w:rPr>
        <w:footnoteReference w:id="16"/>
      </w:r>
      <w:r>
        <w:t xml:space="preserve"> outlines</w:t>
      </w:r>
      <w:r w:rsidR="00346B5A">
        <w:t xml:space="preserve"> a</w:t>
      </w:r>
      <w:r>
        <w:t xml:space="preserve"> consumer decision making</w:t>
      </w:r>
      <w:r w:rsidR="004A6600">
        <w:t xml:space="preserve"> </w:t>
      </w:r>
      <w:r w:rsidR="0075496D">
        <w:t>process in</w:t>
      </w:r>
      <w:r>
        <w:t xml:space="preserve"> four stages </w:t>
      </w:r>
      <w:r w:rsidR="004A6600">
        <w:t xml:space="preserve">– motivate, access, assess and act </w:t>
      </w:r>
      <w:r>
        <w:t>(see below). For a consumer to be fully engaged they need to be able to go through these stages without ‘</w:t>
      </w:r>
      <w:r w:rsidR="00346B5A">
        <w:t>falling</w:t>
      </w:r>
      <w:r>
        <w:t xml:space="preserve"> out’. </w:t>
      </w:r>
      <w:r w:rsidR="00253149">
        <w:t>These stages are</w:t>
      </w:r>
      <w:r w:rsidR="00346B5A">
        <w:t>:</w:t>
      </w:r>
      <w:r w:rsidR="00253149">
        <w:t xml:space="preserve"> being motivated to look for a better deal (want to shop around), able to access the various market offers (able to shop around), able to assess these offers for their circumstances (able to shop around and </w:t>
      </w:r>
      <w:r w:rsidR="00346B5A">
        <w:t>assess</w:t>
      </w:r>
      <w:r w:rsidR="00253149">
        <w:t xml:space="preserve"> </w:t>
      </w:r>
      <w:r w:rsidR="00346B5A">
        <w:t>alternatives</w:t>
      </w:r>
      <w:r w:rsidR="00253149">
        <w:t xml:space="preserve"> in a meaningful way for that consumer) and finally being able to act on this finding (. able to </w:t>
      </w:r>
      <w:proofErr w:type="gramStart"/>
      <w:r w:rsidR="00253149">
        <w:t>actually change</w:t>
      </w:r>
      <w:proofErr w:type="gramEnd"/>
      <w:r w:rsidR="00253149">
        <w:t xml:space="preserve"> to this new provider if there is a better deal, or alternatively able to use it to get a better deal from their existing provider). </w:t>
      </w:r>
    </w:p>
    <w:p w14:paraId="66B09308" w14:textId="77777777" w:rsidR="008238CC" w:rsidRDefault="008238CC" w:rsidP="008238CC">
      <w:pPr>
        <w:spacing w:before="0" w:after="0"/>
      </w:pPr>
    </w:p>
    <w:p w14:paraId="1BF8A33B" w14:textId="29F967D7" w:rsidR="00A323BD" w:rsidRDefault="00F35EE2" w:rsidP="008238CC">
      <w:pPr>
        <w:spacing w:before="0" w:after="0"/>
      </w:pPr>
      <w:r>
        <w:t xml:space="preserve">Failing to make it to the end of </w:t>
      </w:r>
      <w:r w:rsidR="002525F3">
        <w:t>all stages of this</w:t>
      </w:r>
      <w:r>
        <w:t xml:space="preserve"> process means that a consumer </w:t>
      </w:r>
      <w:r w:rsidR="002525F3">
        <w:t xml:space="preserve">becomes the victim of inertia and the ability of consumers generally to drive effective competition is harmed. </w:t>
      </w:r>
    </w:p>
    <w:p w14:paraId="511B69FF" w14:textId="77777777" w:rsidR="0094734F" w:rsidRDefault="0094734F" w:rsidP="008238CC">
      <w:pPr>
        <w:spacing w:before="0" w:after="0"/>
      </w:pPr>
    </w:p>
    <w:p w14:paraId="73F795C7" w14:textId="6011681D" w:rsidR="00655A2E" w:rsidRDefault="00655A2E" w:rsidP="008238CC">
      <w:pPr>
        <w:spacing w:before="0" w:after="0"/>
      </w:pPr>
      <w:r>
        <w:lastRenderedPageBreak/>
        <w:t xml:space="preserve">The </w:t>
      </w:r>
      <w:r w:rsidR="00346B5A">
        <w:t>Productivity Commission</w:t>
      </w:r>
      <w:r>
        <w:t xml:space="preserve"> outlines a similar process</w:t>
      </w:r>
      <w:r w:rsidR="002525F3">
        <w:t>,</w:t>
      </w:r>
      <w:r>
        <w:t xml:space="preserve"> noting</w:t>
      </w:r>
      <w:r w:rsidR="002525F3">
        <w:t>:</w:t>
      </w:r>
      <w:r>
        <w:t xml:space="preserve"> “For competitive processes to work, it is essential that consumers are able to search for, identify and switch to products or providers that are suitable for them with relative ease. However, it is not necessary that consumers switch per se. This is because a credible threat of switching can induce providers to compete with each other to retain their existing customers.”</w:t>
      </w:r>
      <w:r>
        <w:rPr>
          <w:rStyle w:val="FootnoteReference"/>
        </w:rPr>
        <w:footnoteReference w:id="17"/>
      </w:r>
      <w:r w:rsidR="008129BF">
        <w:t xml:space="preserve">  ASIC outlines a similar</w:t>
      </w:r>
      <w:r w:rsidR="00482130">
        <w:t xml:space="preserve"> three-step</w:t>
      </w:r>
      <w:r w:rsidR="008129BF">
        <w:t xml:space="preserve"> model </w:t>
      </w:r>
      <w:r w:rsidR="00482130">
        <w:t xml:space="preserve">where consumer must access information, be able to assess products and be able to </w:t>
      </w:r>
      <w:r w:rsidR="00CC4A37">
        <w:t>take</w:t>
      </w:r>
      <w:r w:rsidR="00482130">
        <w:t xml:space="preserve"> action.</w:t>
      </w:r>
      <w:r w:rsidR="008129BF">
        <w:rPr>
          <w:rStyle w:val="FootnoteReference"/>
        </w:rPr>
        <w:footnoteReference w:id="18"/>
      </w:r>
    </w:p>
    <w:p w14:paraId="3C5C02C4" w14:textId="77777777" w:rsidR="008238CC" w:rsidRDefault="008238CC" w:rsidP="008238CC">
      <w:pPr>
        <w:spacing w:before="0" w:after="0"/>
      </w:pPr>
    </w:p>
    <w:p w14:paraId="6B41EE4A" w14:textId="77777777" w:rsidR="00E73A6B" w:rsidRDefault="002525F3" w:rsidP="008238CC">
      <w:pPr>
        <w:spacing w:before="0" w:after="0"/>
      </w:pPr>
      <w:r>
        <w:t>The Consumer Mortgage Taskforce should focus on where and why</w:t>
      </w:r>
      <w:r w:rsidR="00A323BD">
        <w:t xml:space="preserve"> consumers fall out of the process</w:t>
      </w:r>
      <w:r w:rsidR="00073510">
        <w:t xml:space="preserve"> </w:t>
      </w:r>
      <w:r w:rsidR="00A323BD">
        <w:t>and identif</w:t>
      </w:r>
      <w:r>
        <w:t>y solutions.</w:t>
      </w:r>
      <w:r w:rsidR="00A323BD">
        <w:t xml:space="preserve"> </w:t>
      </w:r>
      <w:r>
        <w:t>It should be recognised</w:t>
      </w:r>
      <w:r w:rsidR="00F9773E">
        <w:t xml:space="preserve"> that there is no ‘one size fits all’ solution</w:t>
      </w:r>
      <w:r>
        <w:t xml:space="preserve">. Different consumer segments may tend to “fall out” at different stages </w:t>
      </w:r>
      <w:r w:rsidR="00A323BD">
        <w:t>(for example, parents may struggle to find the time to even get to the ‘motivate’ stage).</w:t>
      </w:r>
      <w:r w:rsidR="008129BF">
        <w:t xml:space="preserve"> </w:t>
      </w:r>
    </w:p>
    <w:p w14:paraId="7AF97F37" w14:textId="77777777" w:rsidR="00E73A6B" w:rsidRDefault="00E73A6B" w:rsidP="008238CC">
      <w:pPr>
        <w:spacing w:before="0" w:after="0"/>
      </w:pPr>
    </w:p>
    <w:p w14:paraId="4BB37B62" w14:textId="5B5F8837" w:rsidR="00A323BD" w:rsidRDefault="002525F3" w:rsidP="008238CC">
      <w:pPr>
        <w:spacing w:before="0" w:after="0"/>
      </w:pPr>
      <w:r>
        <w:t>The</w:t>
      </w:r>
      <w:r w:rsidR="00073510">
        <w:t xml:space="preserve"> </w:t>
      </w:r>
      <w:r w:rsidR="00F9773E">
        <w:t>Taskforce should examine</w:t>
      </w:r>
      <w:r w:rsidR="008129BF">
        <w:t xml:space="preserve"> this ‘four-stage’ process, as it cannot be assumed that all consumers have the motivation to </w:t>
      </w:r>
      <w:r>
        <w:t>embark on the journey</w:t>
      </w:r>
      <w:r w:rsidR="008129BF">
        <w:t>.</w:t>
      </w:r>
    </w:p>
    <w:p w14:paraId="6400CCA0" w14:textId="77777777" w:rsidR="008129BF" w:rsidRDefault="008129BF" w:rsidP="00F35EE2">
      <w:pPr>
        <w:spacing w:before="0"/>
      </w:pPr>
    </w:p>
    <w:p w14:paraId="415446CC" w14:textId="560864D6" w:rsidR="0067738B" w:rsidRDefault="008129BF" w:rsidP="00F35EE2">
      <w:pPr>
        <w:spacing w:before="0"/>
        <w:rPr>
          <w:rStyle w:val="Heading4Char"/>
        </w:rPr>
      </w:pPr>
      <w:r w:rsidRPr="0067738B">
        <w:rPr>
          <w:rStyle w:val="Heading4Char"/>
        </w:rPr>
        <w:t>A f</w:t>
      </w:r>
      <w:r w:rsidR="00E77841" w:rsidRPr="0067738B">
        <w:rPr>
          <w:rStyle w:val="Heading4Char"/>
        </w:rPr>
        <w:t>our</w:t>
      </w:r>
      <w:r w:rsidRPr="0067738B">
        <w:rPr>
          <w:rStyle w:val="Heading4Char"/>
        </w:rPr>
        <w:t>-</w:t>
      </w:r>
      <w:r w:rsidR="00E77841" w:rsidRPr="0067738B">
        <w:rPr>
          <w:rStyle w:val="Heading4Char"/>
        </w:rPr>
        <w:t>stage consumer decision</w:t>
      </w:r>
      <w:r w:rsidRPr="0067738B">
        <w:rPr>
          <w:rStyle w:val="Heading4Char"/>
        </w:rPr>
        <w:t xml:space="preserve"> making</w:t>
      </w:r>
      <w:r w:rsidR="00E77841" w:rsidRPr="0067738B">
        <w:rPr>
          <w:rStyle w:val="Heading4Char"/>
        </w:rPr>
        <w:t xml:space="preserve"> framework</w:t>
      </w:r>
      <w:r w:rsidR="00E77841">
        <w:rPr>
          <w:rStyle w:val="FootnoteReference"/>
        </w:rPr>
        <w:footnoteReference w:id="19"/>
      </w:r>
    </w:p>
    <w:p w14:paraId="1B113C49" w14:textId="77777777" w:rsidR="0067738B" w:rsidRDefault="0067738B" w:rsidP="00F35EE2">
      <w:pPr>
        <w:spacing w:before="0"/>
      </w:pPr>
    </w:p>
    <w:p w14:paraId="289B11FC" w14:textId="0B39D3BA" w:rsidR="0067738B" w:rsidRDefault="0067738B" w:rsidP="00F35EE2">
      <w:pPr>
        <w:spacing w:before="0"/>
      </w:pPr>
      <w:r>
        <w:rPr>
          <w:noProof/>
        </w:rPr>
        <w:drawing>
          <wp:inline distT="0" distB="0" distL="0" distR="0" wp14:anchorId="447C4822" wp14:editId="558591C6">
            <wp:extent cx="5486400" cy="4699591"/>
            <wp:effectExtent l="19050" t="0" r="19050" b="635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B63BD10" w14:textId="7F428E7D" w:rsidR="00AB1130" w:rsidRPr="005E2367" w:rsidRDefault="00AB1130" w:rsidP="00AB1130">
      <w:pPr>
        <w:pStyle w:val="Heading2"/>
        <w:rPr>
          <w:b w:val="0"/>
          <w:bCs/>
        </w:rPr>
      </w:pPr>
      <w:r w:rsidRPr="005E2367">
        <w:rPr>
          <w:b w:val="0"/>
          <w:bCs/>
        </w:rPr>
        <w:lastRenderedPageBreak/>
        <w:t xml:space="preserve">Potential </w:t>
      </w:r>
      <w:r w:rsidR="00F4286C" w:rsidRPr="005E2367">
        <w:rPr>
          <w:b w:val="0"/>
          <w:bCs/>
        </w:rPr>
        <w:t>b</w:t>
      </w:r>
      <w:r w:rsidRPr="005E2367">
        <w:rPr>
          <w:b w:val="0"/>
          <w:bCs/>
        </w:rPr>
        <w:t>ehavioural bias</w:t>
      </w:r>
      <w:r w:rsidR="00B504F8" w:rsidRPr="005E2367">
        <w:rPr>
          <w:b w:val="0"/>
          <w:bCs/>
        </w:rPr>
        <w:t>es</w:t>
      </w:r>
    </w:p>
    <w:p w14:paraId="1C59032E" w14:textId="77777777" w:rsidR="00AB1130" w:rsidRDefault="00AB1130" w:rsidP="00AB1130">
      <w:pPr>
        <w:spacing w:before="0" w:after="0"/>
      </w:pPr>
    </w:p>
    <w:p w14:paraId="1DDBB290" w14:textId="2E93C760" w:rsidR="00AB1130" w:rsidRDefault="002525F3" w:rsidP="00AB1130">
      <w:pPr>
        <w:spacing w:before="0" w:after="0"/>
      </w:pPr>
      <w:r>
        <w:t>It is well established that various</w:t>
      </w:r>
      <w:r w:rsidR="00AB1130" w:rsidRPr="00E77841">
        <w:t xml:space="preserve"> behavioural bias</w:t>
      </w:r>
      <w:r>
        <w:t xml:space="preserve">es </w:t>
      </w:r>
      <w:r w:rsidR="00A22108">
        <w:t>block</w:t>
      </w:r>
      <w:r w:rsidR="00AB1130" w:rsidRPr="00E77841">
        <w:t xml:space="preserve"> </w:t>
      </w:r>
      <w:r w:rsidR="00AB1130">
        <w:t>consumers</w:t>
      </w:r>
      <w:r w:rsidR="00AB1130" w:rsidRPr="00E77841">
        <w:t xml:space="preserve"> from looking for a better</w:t>
      </w:r>
      <w:r w:rsidR="00AB1130">
        <w:t xml:space="preserve"> deal</w:t>
      </w:r>
      <w:r w:rsidR="00AB1130" w:rsidRPr="00E77841">
        <w:t xml:space="preserve">, and if necessary, changing to a better provider. </w:t>
      </w:r>
      <w:r w:rsidR="00AB1130">
        <w:t xml:space="preserve">We list some examples in the box below. Action needs to be </w:t>
      </w:r>
      <w:r w:rsidR="00F4286C">
        <w:t>taken</w:t>
      </w:r>
      <w:r w:rsidR="00AB1130">
        <w:t xml:space="preserve"> to address these bias</w:t>
      </w:r>
      <w:r w:rsidR="00A22108">
        <w:t>es</w:t>
      </w:r>
      <w:r w:rsidR="00AB1130">
        <w:t>.</w:t>
      </w:r>
    </w:p>
    <w:p w14:paraId="105DF04B" w14:textId="77777777" w:rsidR="00AB1130" w:rsidRDefault="00AB1130" w:rsidP="00AB1130">
      <w:pPr>
        <w:spacing w:before="0" w:after="0"/>
      </w:pPr>
    </w:p>
    <w:p w14:paraId="7ED826A3" w14:textId="6E6B6B3E" w:rsidR="00AB1130" w:rsidRDefault="00B504F8" w:rsidP="00AB1130">
      <w:pPr>
        <w:spacing w:before="0" w:after="0"/>
      </w:pPr>
      <w:r>
        <w:t>E</w:t>
      </w:r>
      <w:r w:rsidR="00AB1130">
        <w:t>mpowering consumers and addressing these bias</w:t>
      </w:r>
      <w:r w:rsidR="009A0A47">
        <w:t>es</w:t>
      </w:r>
      <w:r w:rsidR="00AB1130">
        <w:t xml:space="preserve"> is not </w:t>
      </w:r>
      <w:r w:rsidR="00F4286C">
        <w:t>a “</w:t>
      </w:r>
      <w:r w:rsidR="00AB1130">
        <w:t>one size fits all</w:t>
      </w:r>
      <w:r w:rsidR="00F4286C">
        <w:t>”</w:t>
      </w:r>
      <w:r w:rsidR="00AB1130">
        <w:t xml:space="preserve"> exercise. Different consumers will </w:t>
      </w:r>
      <w:r w:rsidR="00A22108">
        <w:t xml:space="preserve">need different solutions. </w:t>
      </w:r>
      <w:r w:rsidR="009A0A47">
        <w:t>Considerations for identifying d</w:t>
      </w:r>
      <w:r w:rsidR="00A22108">
        <w:t xml:space="preserve">ifferent </w:t>
      </w:r>
      <w:r w:rsidR="009A0A47">
        <w:t xml:space="preserve">consumer </w:t>
      </w:r>
      <w:r w:rsidR="00A22108">
        <w:t xml:space="preserve">segments </w:t>
      </w:r>
      <w:r w:rsidR="00073510">
        <w:t xml:space="preserve">could include </w:t>
      </w:r>
      <w:r w:rsidR="00073510" w:rsidRPr="00E77841">
        <w:t>gender</w:t>
      </w:r>
      <w:r w:rsidR="00A22108">
        <w:t>,</w:t>
      </w:r>
      <w:r w:rsidR="00AB1130" w:rsidRPr="00E77841">
        <w:t xml:space="preserve"> first home buyer</w:t>
      </w:r>
      <w:r w:rsidR="009A0A47">
        <w:t xml:space="preserve"> </w:t>
      </w:r>
      <w:r w:rsidR="007F51B3">
        <w:t>status, young</w:t>
      </w:r>
      <w:r w:rsidR="00AB1130">
        <w:t xml:space="preserve"> parents</w:t>
      </w:r>
      <w:r w:rsidR="00073510">
        <w:t>, those from cultural and linguistically diverse backgrounds</w:t>
      </w:r>
      <w:r w:rsidR="00AB1130" w:rsidRPr="00E77841">
        <w:t xml:space="preserve"> and soc</w:t>
      </w:r>
      <w:r w:rsidR="00A22108">
        <w:t>io-</w:t>
      </w:r>
      <w:r w:rsidR="00AB1130" w:rsidRPr="00E77841">
        <w:t xml:space="preserve">economic </w:t>
      </w:r>
      <w:r w:rsidR="00073510">
        <w:t>status</w:t>
      </w:r>
      <w:r w:rsidR="00AB1130" w:rsidRPr="00E77841">
        <w:t>.</w:t>
      </w:r>
      <w:r w:rsidR="00AB1130">
        <w:t xml:space="preserve"> </w:t>
      </w:r>
    </w:p>
    <w:p w14:paraId="454F40AA" w14:textId="77777777" w:rsidR="00AB1130" w:rsidRDefault="00AB1130" w:rsidP="00AB1130">
      <w:pPr>
        <w:spacing w:before="0" w:after="0"/>
      </w:pPr>
    </w:p>
    <w:p w14:paraId="0C708092" w14:textId="416E067F" w:rsidR="00AB1130" w:rsidRDefault="00AB1130" w:rsidP="00AB1130">
      <w:pPr>
        <w:spacing w:before="0" w:after="0"/>
      </w:pPr>
      <w:r>
        <w:t>COBA believe</w:t>
      </w:r>
      <w:r w:rsidR="00F4286C">
        <w:t>s</w:t>
      </w:r>
      <w:r>
        <w:t xml:space="preserve"> more focus should now be placed on behaviour bias</w:t>
      </w:r>
      <w:r w:rsidR="009A0A47">
        <w:t>es that are handicapping consumers and stunting competition. Now</w:t>
      </w:r>
      <w:r>
        <w:t xml:space="preserve"> is</w:t>
      </w:r>
      <w:r w:rsidR="009A0A47">
        <w:t xml:space="preserve"> the</w:t>
      </w:r>
      <w:r>
        <w:t xml:space="preserve"> time to have a closer a look at them to ensure that the Government’s significant pro-competitive reform agenda (Attachment 3) generates tangible benefits for all Australians. </w:t>
      </w:r>
    </w:p>
    <w:p w14:paraId="5301071A" w14:textId="77777777" w:rsidR="00AB1130" w:rsidRDefault="00AB1130" w:rsidP="00AB1130">
      <w:pPr>
        <w:spacing w:before="0" w:after="0"/>
      </w:pPr>
    </w:p>
    <w:p w14:paraId="1D4E050A" w14:textId="77777777" w:rsidR="00E73A6B" w:rsidRDefault="00AB1130" w:rsidP="00AB1130">
      <w:pPr>
        <w:spacing w:before="0" w:after="0"/>
      </w:pPr>
      <w:r>
        <w:t xml:space="preserve">The Productivity Commission’s Inquiry into Competition the Financial Services sector </w:t>
      </w:r>
      <w:r w:rsidR="00C973DE">
        <w:t xml:space="preserve">found </w:t>
      </w:r>
      <w:r>
        <w:t xml:space="preserve">that </w:t>
      </w:r>
      <w:r w:rsidR="00C973DE">
        <w:t>r</w:t>
      </w:r>
      <w:r>
        <w:t>ecent demand-side reforms to improve consumer engagement have largely focused on lowering the cost of switching products held</w:t>
      </w:r>
      <w:r w:rsidR="00C973DE">
        <w:t xml:space="preserve"> but t</w:t>
      </w:r>
      <w:r>
        <w:t xml:space="preserve">hese reforms have only partly addressed the problem. </w:t>
      </w:r>
    </w:p>
    <w:p w14:paraId="61BE77D8" w14:textId="77777777" w:rsidR="00E73A6B" w:rsidRDefault="00E73A6B" w:rsidP="00AB1130">
      <w:pPr>
        <w:spacing w:before="0" w:after="0"/>
      </w:pPr>
    </w:p>
    <w:p w14:paraId="37F941D6" w14:textId="06B3DF10" w:rsidR="00E73A6B" w:rsidRDefault="00AB1130" w:rsidP="00AB1130">
      <w:pPr>
        <w:spacing w:before="0" w:after="0"/>
      </w:pPr>
      <w:r>
        <w:t>While rational consumers are more likely to switch if the</w:t>
      </w:r>
      <w:r w:rsidR="00250C73">
        <w:t xml:space="preserve"> perceived</w:t>
      </w:r>
      <w:r>
        <w:t xml:space="preserve"> </w:t>
      </w:r>
      <w:r w:rsidR="00250C73">
        <w:t>benefits exceed the costs</w:t>
      </w:r>
      <w:r>
        <w:t>, consumers are less likely to shop around if they are impacted by bias</w:t>
      </w:r>
      <w:r w:rsidR="00C973DE">
        <w:t>es</w:t>
      </w:r>
      <w:r>
        <w:t xml:space="preserve"> which </w:t>
      </w:r>
      <w:r w:rsidR="00A3759C">
        <w:t xml:space="preserve">reduce their capacity to be </w:t>
      </w:r>
      <w:r>
        <w:t>a rational decision</w:t>
      </w:r>
      <w:r w:rsidR="00C973DE">
        <w:t>-maker</w:t>
      </w:r>
      <w:r>
        <w:t xml:space="preserve">. </w:t>
      </w:r>
    </w:p>
    <w:p w14:paraId="1AA03DF8" w14:textId="77777777" w:rsidR="00E73A6B" w:rsidRDefault="00E73A6B" w:rsidP="00AB1130">
      <w:pPr>
        <w:spacing w:before="0" w:after="0"/>
      </w:pPr>
    </w:p>
    <w:p w14:paraId="697A54C6" w14:textId="705F7F36" w:rsidR="00AB1130" w:rsidRDefault="00AB1130" w:rsidP="00AB1130">
      <w:pPr>
        <w:spacing w:before="0" w:after="0"/>
      </w:pPr>
      <w:r>
        <w:t>Further</w:t>
      </w:r>
      <w:r w:rsidR="00250C73">
        <w:t xml:space="preserve"> </w:t>
      </w:r>
      <w:r>
        <w:t xml:space="preserve">demand-side reforms </w:t>
      </w:r>
      <w:r w:rsidR="00C973DE">
        <w:t xml:space="preserve">must </w:t>
      </w:r>
      <w:r>
        <w:t xml:space="preserve">consider the consumer journey and how to </w:t>
      </w:r>
      <w:r w:rsidR="00250C73">
        <w:t>help consumers make better decisions.</w:t>
      </w:r>
    </w:p>
    <w:p w14:paraId="15131217" w14:textId="77777777" w:rsidR="00AB1130" w:rsidRDefault="00AB1130" w:rsidP="00AB1130">
      <w:pPr>
        <w:spacing w:before="0" w:after="0"/>
      </w:pPr>
    </w:p>
    <w:p w14:paraId="17A9ADE3" w14:textId="7740B110" w:rsidR="00AB1130" w:rsidRDefault="00AB1130" w:rsidP="00AB1130">
      <w:pPr>
        <w:spacing w:before="0" w:after="0"/>
      </w:pPr>
      <w:r>
        <w:t xml:space="preserve">The </w:t>
      </w:r>
      <w:r w:rsidR="00250C73">
        <w:t>Productivity Commission</w:t>
      </w:r>
      <w:r w:rsidR="00C973DE">
        <w:t xml:space="preserve"> noted:</w:t>
      </w:r>
    </w:p>
    <w:p w14:paraId="63809369" w14:textId="77777777" w:rsidR="00AB1130" w:rsidRDefault="00AB1130" w:rsidP="00AB1130">
      <w:pPr>
        <w:spacing w:before="0" w:after="0"/>
        <w:rPr>
          <w:rFonts w:ascii="OpenSans" w:hAnsi="OpenSans" w:cs="OpenSans"/>
          <w:color w:val="auto"/>
          <w:lang w:val="en-AU"/>
        </w:rPr>
      </w:pPr>
    </w:p>
    <w:p w14:paraId="56A41AF4" w14:textId="1019A8AD" w:rsidR="00AB1130" w:rsidRDefault="00AB1130" w:rsidP="00AB1130">
      <w:pPr>
        <w:spacing w:before="0" w:after="0"/>
        <w:ind w:left="720"/>
      </w:pPr>
      <w:r>
        <w:t>“To date, policy efforts to revitalise consumer switching in financial services markets have acknowledged the existence of behavioural barriers. But, on the part of policymakers, efforts to address behavioural barriers are relatively new and, as a result, have been limited. Moreover, it can take time for initiatives to flow through to implementation. In part, this stems from the fact that it can be costly, both in terms of time and resources, to design solutions in this space. Consumer testing, monitoring and evaluation are essential to behavioural solutions, because it can be difficult to predict how consumers will respond to specific interventions.”</w:t>
      </w:r>
      <w:r>
        <w:rPr>
          <w:rStyle w:val="FootnoteReference"/>
        </w:rPr>
        <w:footnoteReference w:id="20"/>
      </w:r>
    </w:p>
    <w:p w14:paraId="70AAED7C" w14:textId="77777777" w:rsidR="00AB1130" w:rsidRDefault="00AB1130" w:rsidP="00AB1130">
      <w:pPr>
        <w:spacing w:before="0" w:after="0"/>
        <w:ind w:left="720"/>
      </w:pPr>
    </w:p>
    <w:p w14:paraId="6865AEFF" w14:textId="62717281" w:rsidR="00AB1130" w:rsidRDefault="00AB1130" w:rsidP="00AB1130">
      <w:pPr>
        <w:spacing w:before="0" w:after="0"/>
        <w:rPr>
          <w:lang w:val="en-US"/>
        </w:rPr>
      </w:pPr>
      <w:r>
        <w:rPr>
          <w:lang w:val="en-US"/>
        </w:rPr>
        <w:t xml:space="preserve">While developments such as </w:t>
      </w:r>
      <w:r w:rsidR="00F4286C">
        <w:rPr>
          <w:lang w:val="en-US"/>
        </w:rPr>
        <w:t>O</w:t>
      </w:r>
      <w:r>
        <w:rPr>
          <w:lang w:val="en-US"/>
        </w:rPr>
        <w:t xml:space="preserve">pen </w:t>
      </w:r>
      <w:r w:rsidR="00F4286C">
        <w:rPr>
          <w:lang w:val="en-US"/>
        </w:rPr>
        <w:t>B</w:t>
      </w:r>
      <w:r>
        <w:rPr>
          <w:lang w:val="en-US"/>
        </w:rPr>
        <w:t xml:space="preserve">anking and </w:t>
      </w:r>
      <w:r w:rsidR="00F4286C">
        <w:rPr>
          <w:lang w:val="en-US"/>
        </w:rPr>
        <w:t xml:space="preserve">ASIC’s </w:t>
      </w:r>
      <w:r>
        <w:rPr>
          <w:lang w:val="en-US"/>
        </w:rPr>
        <w:t>mortgage comparison calculator</w:t>
      </w:r>
      <w:r w:rsidR="00C973DE">
        <w:rPr>
          <w:lang w:val="en-US"/>
        </w:rPr>
        <w:t xml:space="preserve"> will</w:t>
      </w:r>
      <w:r>
        <w:rPr>
          <w:lang w:val="en-US"/>
        </w:rPr>
        <w:t xml:space="preserve"> decrease the information deficit (i.e. a consumers’ ability to access information), there may still be a ‘behavioral deficit’ where the consumer does not undertake the ideal ‘shopping around’ </w:t>
      </w:r>
      <w:r w:rsidR="00C973DE">
        <w:rPr>
          <w:lang w:val="en-US"/>
        </w:rPr>
        <w:t xml:space="preserve">behaviors </w:t>
      </w:r>
      <w:r>
        <w:rPr>
          <w:lang w:val="en-US"/>
        </w:rPr>
        <w:t>despite the presence of this information. Addressing consumer behavioral bias</w:t>
      </w:r>
      <w:r w:rsidR="005E2367">
        <w:rPr>
          <w:lang w:val="en-US"/>
        </w:rPr>
        <w:t>es</w:t>
      </w:r>
      <w:r>
        <w:rPr>
          <w:lang w:val="en-US"/>
        </w:rPr>
        <w:t xml:space="preserve"> will </w:t>
      </w:r>
      <w:r w:rsidR="00C973DE">
        <w:rPr>
          <w:lang w:val="en-US"/>
        </w:rPr>
        <w:t xml:space="preserve">turbocharge </w:t>
      </w:r>
      <w:r>
        <w:rPr>
          <w:lang w:val="en-US"/>
        </w:rPr>
        <w:t>the</w:t>
      </w:r>
      <w:r w:rsidR="00C973DE">
        <w:rPr>
          <w:lang w:val="en-US"/>
        </w:rPr>
        <w:t xml:space="preserve"> impact</w:t>
      </w:r>
      <w:r>
        <w:rPr>
          <w:lang w:val="en-US"/>
        </w:rPr>
        <w:t xml:space="preserve"> of reforms such as </w:t>
      </w:r>
      <w:r w:rsidR="008164C8">
        <w:rPr>
          <w:lang w:val="en-US"/>
        </w:rPr>
        <w:t>O</w:t>
      </w:r>
      <w:r>
        <w:rPr>
          <w:lang w:val="en-US"/>
        </w:rPr>
        <w:t xml:space="preserve">pen </w:t>
      </w:r>
      <w:r w:rsidR="008164C8">
        <w:rPr>
          <w:lang w:val="en-US"/>
        </w:rPr>
        <w:t>B</w:t>
      </w:r>
      <w:r>
        <w:rPr>
          <w:lang w:val="en-US"/>
        </w:rPr>
        <w:t>anking.</w:t>
      </w:r>
    </w:p>
    <w:p w14:paraId="1FF75DB5" w14:textId="77777777" w:rsidR="00AB1130" w:rsidRDefault="00AB1130" w:rsidP="00AB1130">
      <w:pPr>
        <w:spacing w:before="0" w:after="0"/>
        <w:rPr>
          <w:lang w:val="en-US"/>
        </w:rPr>
      </w:pPr>
    </w:p>
    <w:p w14:paraId="6FD29FE6" w14:textId="55CD6C06" w:rsidR="00AB1130" w:rsidRPr="00073510" w:rsidRDefault="00AB1130" w:rsidP="00AB1130">
      <w:pPr>
        <w:spacing w:before="0" w:after="0"/>
      </w:pPr>
      <w:r w:rsidRPr="00073510">
        <w:t xml:space="preserve">This does not imply that consumers are incapable of understanding the important features of a product, or that they are apathetic. Rather, these actions are quite normal when faced with </w:t>
      </w:r>
      <w:r w:rsidR="00C973DE">
        <w:t xml:space="preserve">perceived </w:t>
      </w:r>
      <w:r w:rsidRPr="00073510">
        <w:t xml:space="preserve">large costs (in terms of effort, time and fees) or when consumers are </w:t>
      </w:r>
      <w:proofErr w:type="gramStart"/>
      <w:r w:rsidRPr="00073510">
        <w:t>time</w:t>
      </w:r>
      <w:r w:rsidR="00E73A6B">
        <w:t>-</w:t>
      </w:r>
      <w:r w:rsidRPr="00073510">
        <w:t>constrained</w:t>
      </w:r>
      <w:proofErr w:type="gramEnd"/>
      <w:r w:rsidR="00E73A6B">
        <w:t>.</w:t>
      </w:r>
      <w:r w:rsidRPr="00073510">
        <w:t xml:space="preserve"> Consumers will vary in the extent to which they exhibit these various biases, and the impact of these biases will also vary according to the context. </w:t>
      </w:r>
      <w:r w:rsidR="00C973DE">
        <w:t>S</w:t>
      </w:r>
      <w:r w:rsidR="00C973DE" w:rsidRPr="00971100">
        <w:t>uch biases do not imply stupidity or laziness</w:t>
      </w:r>
      <w:r w:rsidR="00C973DE">
        <w:t>.</w:t>
      </w:r>
    </w:p>
    <w:p w14:paraId="7E4D2EC4" w14:textId="77777777" w:rsidR="00AB1130" w:rsidRPr="00073510" w:rsidRDefault="00AB1130" w:rsidP="00AB1130">
      <w:pPr>
        <w:spacing w:before="0" w:after="0"/>
      </w:pPr>
    </w:p>
    <w:p w14:paraId="08141AC9" w14:textId="77777777" w:rsidR="00AB1130" w:rsidRDefault="00AB1130" w:rsidP="00AB1130">
      <w:pPr>
        <w:pStyle w:val="Boxed1Heading"/>
        <w:spacing w:before="0"/>
      </w:pPr>
      <w:r>
        <w:lastRenderedPageBreak/>
        <w:t>Box 1: Potential Behavioural Bias</w:t>
      </w:r>
    </w:p>
    <w:p w14:paraId="06545402" w14:textId="33D51705" w:rsidR="00AB1130" w:rsidRDefault="00AB1130" w:rsidP="00AB1130">
      <w:pPr>
        <w:pStyle w:val="Boxed1Text"/>
        <w:spacing w:before="0"/>
      </w:pPr>
      <w:r>
        <w:t>Here are some potential bias</w:t>
      </w:r>
      <w:r w:rsidR="00C973DE">
        <w:t>es</w:t>
      </w:r>
      <w:r>
        <w:t xml:space="preserve"> that could prevent consumers from searching</w:t>
      </w:r>
      <w:r w:rsidR="00C973DE">
        <w:t xml:space="preserve"> for a better deal, asking for a better deal or switching</w:t>
      </w:r>
      <w:r>
        <w:t xml:space="preserve"> providers:</w:t>
      </w:r>
    </w:p>
    <w:p w14:paraId="6C279309" w14:textId="77777777" w:rsidR="00AB1130" w:rsidRDefault="00AB1130" w:rsidP="00AB1130">
      <w:pPr>
        <w:pStyle w:val="Boxed1Text"/>
        <w:spacing w:before="0"/>
      </w:pPr>
    </w:p>
    <w:p w14:paraId="4540B6F5" w14:textId="1A1889CF" w:rsidR="00AB1130" w:rsidRDefault="00AB1130" w:rsidP="00AB1130">
      <w:pPr>
        <w:pStyle w:val="Boxed1Text"/>
        <w:spacing w:before="0"/>
        <w:ind w:left="720" w:hanging="436"/>
      </w:pPr>
      <w:r>
        <w:t>•</w:t>
      </w:r>
      <w:r>
        <w:tab/>
      </w:r>
      <w:r w:rsidRPr="007F51B3">
        <w:rPr>
          <w:b/>
          <w:bCs/>
        </w:rPr>
        <w:t>Loss aversion effect</w:t>
      </w:r>
      <w:r>
        <w:t>: People put a higher weight on what they’ll lose in giving up an existing product compared with the perceived value of what they gain from a new product.</w:t>
      </w:r>
    </w:p>
    <w:p w14:paraId="5EB7A40D" w14:textId="3A6B7835" w:rsidR="00AB1130" w:rsidRDefault="00AB1130" w:rsidP="00AB1130">
      <w:pPr>
        <w:pStyle w:val="Boxed1Text"/>
        <w:spacing w:before="0"/>
        <w:ind w:left="720" w:hanging="436"/>
      </w:pPr>
      <w:r>
        <w:t>•</w:t>
      </w:r>
      <w:r>
        <w:tab/>
      </w:r>
      <w:r w:rsidRPr="007F51B3">
        <w:rPr>
          <w:b/>
          <w:bCs/>
        </w:rPr>
        <w:t>Endowment effect</w:t>
      </w:r>
      <w:r>
        <w:t>: People tend to value products they already possess more than those they don’t have.</w:t>
      </w:r>
      <w:r w:rsidRPr="005219BF">
        <w:rPr>
          <w:rStyle w:val="FootnoteReference"/>
        </w:rPr>
        <w:t xml:space="preserve"> </w:t>
      </w:r>
    </w:p>
    <w:p w14:paraId="461D78C3" w14:textId="47EF50F6" w:rsidR="00AB1130" w:rsidRDefault="00AB1130" w:rsidP="00AB1130">
      <w:pPr>
        <w:pStyle w:val="Boxed1Text"/>
        <w:spacing w:before="0"/>
      </w:pPr>
      <w:r>
        <w:t>•</w:t>
      </w:r>
      <w:r>
        <w:tab/>
      </w:r>
      <w:r w:rsidRPr="007F51B3">
        <w:rPr>
          <w:b/>
          <w:bCs/>
        </w:rPr>
        <w:t>Status quo bias:</w:t>
      </w:r>
      <w:r>
        <w:t xml:space="preserve"> People tend to stick to what they have even if a better alternative exists.</w:t>
      </w:r>
      <w:r w:rsidRPr="005219BF">
        <w:rPr>
          <w:rStyle w:val="FootnoteReference"/>
        </w:rPr>
        <w:t xml:space="preserve"> </w:t>
      </w:r>
    </w:p>
    <w:p w14:paraId="73AEBC36" w14:textId="77777777" w:rsidR="00AB1130" w:rsidRDefault="00AB1130" w:rsidP="00AB1130">
      <w:pPr>
        <w:pStyle w:val="Boxed1Text"/>
        <w:spacing w:before="0"/>
        <w:ind w:left="720" w:hanging="436"/>
      </w:pPr>
      <w:r>
        <w:t>•</w:t>
      </w:r>
      <w:r>
        <w:tab/>
      </w:r>
      <w:r w:rsidRPr="007F51B3">
        <w:rPr>
          <w:b/>
          <w:bCs/>
        </w:rPr>
        <w:t>Time discounting/uncertainty</w:t>
      </w:r>
      <w:r>
        <w:t>: Consumers may not be willing to undertake a search due to the future nature of any benefits and the likelihood that they are in the future</w:t>
      </w:r>
    </w:p>
    <w:p w14:paraId="117748A0" w14:textId="3549F92E" w:rsidR="00AB1130" w:rsidRDefault="00AB1130" w:rsidP="00AB1130">
      <w:pPr>
        <w:pStyle w:val="Boxed1Text"/>
        <w:spacing w:before="0"/>
        <w:ind w:left="720" w:hanging="436"/>
      </w:pPr>
      <w:r>
        <w:t>•</w:t>
      </w:r>
      <w:r>
        <w:tab/>
      </w:r>
      <w:r w:rsidRPr="007F51B3">
        <w:rPr>
          <w:b/>
          <w:bCs/>
        </w:rPr>
        <w:t>Conditioned on conflated previous experiences</w:t>
      </w:r>
      <w:r w:rsidR="007F51B3" w:rsidRPr="007F51B3">
        <w:rPr>
          <w:b/>
          <w:bCs/>
        </w:rPr>
        <w:t>:</w:t>
      </w:r>
      <w:r w:rsidRPr="005219BF">
        <w:t xml:space="preserve"> </w:t>
      </w:r>
      <w:r>
        <w:t xml:space="preserve">Consumers may be conflating the ‘refinancing’ process with their first home buyer experience. The FHB experience is like to be significantly different to a ‘refinancing’ process and involve moving to a new house, dealing with Government and a house search. Therefore, consumers could be turned off refinancing due to previous experience of a much broader and more difficult experience. </w:t>
      </w:r>
    </w:p>
    <w:p w14:paraId="2829CFE8" w14:textId="0852D5AB" w:rsidR="00AB1130" w:rsidRDefault="00AB1130" w:rsidP="00AB1130">
      <w:pPr>
        <w:pStyle w:val="Boxed1Text"/>
        <w:spacing w:before="0"/>
        <w:ind w:left="720" w:hanging="436"/>
      </w:pPr>
      <w:r>
        <w:t>•</w:t>
      </w:r>
      <w:r>
        <w:tab/>
      </w:r>
      <w:r w:rsidRPr="007F51B3">
        <w:rPr>
          <w:b/>
          <w:bCs/>
        </w:rPr>
        <w:t>Ostrich effect:</w:t>
      </w:r>
      <w:r>
        <w:t xml:space="preserve"> Consumers may not want to search for a better as they do not want to know if they have bad deal (head in the sand approach)</w:t>
      </w:r>
    </w:p>
    <w:p w14:paraId="6CDBBFAF" w14:textId="681292D4" w:rsidR="00167580" w:rsidRDefault="00167580" w:rsidP="00AB1130">
      <w:pPr>
        <w:pStyle w:val="Boxed1Text"/>
        <w:spacing w:before="0"/>
        <w:ind w:left="720" w:hanging="436"/>
      </w:pPr>
      <w:r>
        <w:t>•</w:t>
      </w:r>
      <w:r>
        <w:tab/>
      </w:r>
      <w:r w:rsidRPr="007F51B3">
        <w:rPr>
          <w:b/>
          <w:bCs/>
        </w:rPr>
        <w:t>Impact of emotion</w:t>
      </w:r>
      <w:r w:rsidR="002A16D9">
        <w:t>: Consumers may worry about their ability to understand the new mortgage let alone compare it to their existing mortgage. Furthermore, finance is an inherently emotional and difficult area for many people.</w:t>
      </w:r>
    </w:p>
    <w:p w14:paraId="6719D072" w14:textId="7B8BFC94" w:rsidR="00AB1130" w:rsidRDefault="00AB1130" w:rsidP="00AB1130">
      <w:pPr>
        <w:pStyle w:val="Boxed1Text"/>
        <w:spacing w:before="0"/>
        <w:ind w:left="720" w:hanging="436"/>
      </w:pPr>
      <w:r>
        <w:t>•</w:t>
      </w:r>
      <w:r>
        <w:tab/>
      </w:r>
      <w:r w:rsidRPr="007F51B3">
        <w:rPr>
          <w:b/>
          <w:bCs/>
        </w:rPr>
        <w:t>Too much information/choice</w:t>
      </w:r>
      <w:r>
        <w:t xml:space="preserve">: Consumers may be overwhelmed by the amount of choice. There are </w:t>
      </w:r>
      <w:r w:rsidR="00E73A6B" w:rsidRPr="00E73A6B">
        <w:t>around 5</w:t>
      </w:r>
      <w:r w:rsidRPr="00E73A6B">
        <w:t xml:space="preserve">,000 </w:t>
      </w:r>
      <w:r w:rsidR="00E73A6B" w:rsidRPr="00E73A6B">
        <w:t xml:space="preserve">home loan </w:t>
      </w:r>
      <w:r w:rsidRPr="00E73A6B">
        <w:t>products in the</w:t>
      </w:r>
      <w:r>
        <w:t xml:space="preserve"> market. This overwhelming choice may push the consumer to inaction</w:t>
      </w:r>
      <w:r w:rsidR="002A16D9">
        <w:t xml:space="preserve"> (analysis paralysis)</w:t>
      </w:r>
      <w:r>
        <w:t>.</w:t>
      </w:r>
      <w:r w:rsidRPr="00E14A0F">
        <w:t xml:space="preserve"> </w:t>
      </w:r>
    </w:p>
    <w:p w14:paraId="52093A54" w14:textId="5148FFE9" w:rsidR="00A22108" w:rsidRDefault="00A22108">
      <w:pPr>
        <w:spacing w:before="180"/>
        <w:rPr>
          <w:rFonts w:eastAsiaTheme="majorEastAsia" w:cstheme="majorBidi"/>
          <w:b/>
          <w:color w:val="006182" w:themeColor="accent1"/>
          <w:sz w:val="30"/>
          <w:szCs w:val="26"/>
        </w:rPr>
      </w:pPr>
      <w:r>
        <w:rPr>
          <w:rFonts w:eastAsiaTheme="majorEastAsia" w:cstheme="majorBidi"/>
          <w:b/>
          <w:color w:val="006182" w:themeColor="accent1"/>
          <w:sz w:val="30"/>
          <w:szCs w:val="26"/>
        </w:rPr>
        <w:br w:type="page"/>
      </w:r>
    </w:p>
    <w:p w14:paraId="08056038" w14:textId="71001345" w:rsidR="00A22108" w:rsidRDefault="00A22108" w:rsidP="00A22108">
      <w:pPr>
        <w:pStyle w:val="Heading1"/>
      </w:pPr>
      <w:r>
        <w:lastRenderedPageBreak/>
        <w:t xml:space="preserve">Attachment 3: Related </w:t>
      </w:r>
      <w:r w:rsidR="003B50A1">
        <w:t xml:space="preserve">policy </w:t>
      </w:r>
      <w:r>
        <w:t>developments</w:t>
      </w:r>
    </w:p>
    <w:p w14:paraId="70E3C6D8" w14:textId="1A477E07" w:rsidR="00EE5648" w:rsidRPr="005E2367" w:rsidRDefault="00F35EE2" w:rsidP="00A85E2B">
      <w:pPr>
        <w:spacing w:before="180"/>
        <w:rPr>
          <w:rFonts w:eastAsiaTheme="majorEastAsia" w:cstheme="majorBidi"/>
          <w:bCs/>
          <w:color w:val="006182" w:themeColor="accent1"/>
          <w:sz w:val="30"/>
          <w:szCs w:val="26"/>
        </w:rPr>
      </w:pPr>
      <w:r w:rsidRPr="005E2367">
        <w:rPr>
          <w:rFonts w:eastAsiaTheme="majorEastAsia" w:cstheme="majorBidi"/>
          <w:bCs/>
          <w:noProof/>
          <w:color w:val="006182" w:themeColor="accent1"/>
          <w:sz w:val="30"/>
          <w:szCs w:val="26"/>
        </w:rPr>
        <mc:AlternateContent>
          <mc:Choice Requires="wps">
            <w:drawing>
              <wp:anchor distT="0" distB="0" distL="114300" distR="114300" simplePos="0" relativeHeight="251659264" behindDoc="0" locked="0" layoutInCell="1" allowOverlap="1" wp14:anchorId="76312B83" wp14:editId="575F3AF2">
                <wp:simplePos x="0" y="0"/>
                <wp:positionH relativeFrom="column">
                  <wp:posOffset>831850</wp:posOffset>
                </wp:positionH>
                <wp:positionV relativeFrom="paragraph">
                  <wp:posOffset>1972310</wp:posOffset>
                </wp:positionV>
                <wp:extent cx="2571750" cy="1477010"/>
                <wp:effectExtent l="0" t="0" r="0" b="0"/>
                <wp:wrapNone/>
                <wp:docPr id="10" name="TextBox 9">
                  <a:extLst xmlns:a="http://schemas.openxmlformats.org/drawingml/2006/main">
                    <a:ext uri="{FF2B5EF4-FFF2-40B4-BE49-F238E27FC236}">
                      <a16:creationId xmlns:a16="http://schemas.microsoft.com/office/drawing/2014/main" id="{8F297E2B-848F-4C5E-B2B4-C1A519A0623F}"/>
                    </a:ext>
                  </a:extLst>
                </wp:docPr>
                <wp:cNvGraphicFramePr/>
                <a:graphic xmlns:a="http://schemas.openxmlformats.org/drawingml/2006/main">
                  <a:graphicData uri="http://schemas.microsoft.com/office/word/2010/wordprocessingShape">
                    <wps:wsp>
                      <wps:cNvSpPr txBox="1"/>
                      <wps:spPr>
                        <a:xfrm>
                          <a:off x="0" y="0"/>
                          <a:ext cx="2571750" cy="1477010"/>
                        </a:xfrm>
                        <a:prstGeom prst="rect">
                          <a:avLst/>
                        </a:prstGeom>
                        <a:noFill/>
                      </wps:spPr>
                      <wps:txbx>
                        <w:txbxContent>
                          <w:p w14:paraId="12C39304" w14:textId="77777777" w:rsidR="00066E06" w:rsidRDefault="00066E06" w:rsidP="00F35EE2">
                            <w:pPr>
                              <w:rPr>
                                <w:sz w:val="24"/>
                                <w:szCs w:val="24"/>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76312B83" id="_x0000_t202" coordsize="21600,21600" o:spt="202" path="m,l,21600r21600,l21600,xe">
                <v:stroke joinstyle="miter"/>
                <v:path gradientshapeok="t" o:connecttype="rect"/>
              </v:shapetype>
              <v:shape id="TextBox 9" o:spid="_x0000_s1026" type="#_x0000_t202" style="position:absolute;margin-left:65.5pt;margin-top:155.3pt;width:202.5pt;height:1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" filled="f" stroked="f">
                <v:textbox style="mso-fit-shape-to-text:t">
                  <w:txbxContent>
                    <w:p w14:paraId="12C39304" w14:textId="77777777" w:rsidR="00066E06" w:rsidRDefault="00066E06" w:rsidP="00F35EE2">
                      <w:pPr>
                        <w:rPr>
                          <w:sz w:val="24"/>
                          <w:szCs w:val="24"/>
                        </w:rPr>
                      </w:pPr>
                    </w:p>
                  </w:txbxContent>
                </v:textbox>
              </v:shape>
            </w:pict>
          </mc:Fallback>
        </mc:AlternateContent>
      </w:r>
      <w:bookmarkEnd w:id="9"/>
      <w:r w:rsidR="00A85E2B" w:rsidRPr="005E2367">
        <w:rPr>
          <w:rFonts w:eastAsiaTheme="majorEastAsia" w:cstheme="majorBidi"/>
          <w:bCs/>
          <w:color w:val="006182" w:themeColor="accent1"/>
          <w:sz w:val="30"/>
          <w:szCs w:val="26"/>
        </w:rPr>
        <w:t>Activating the benefits of a si</w:t>
      </w:r>
      <w:r w:rsidR="00D33380" w:rsidRPr="005E2367">
        <w:rPr>
          <w:rFonts w:eastAsiaTheme="majorEastAsia" w:cstheme="majorBidi"/>
          <w:bCs/>
          <w:color w:val="006182" w:themeColor="accent1"/>
          <w:sz w:val="30"/>
          <w:szCs w:val="26"/>
        </w:rPr>
        <w:t>gnificant banking reform</w:t>
      </w:r>
      <w:r w:rsidR="00A85E2B" w:rsidRPr="005E2367">
        <w:rPr>
          <w:rFonts w:eastAsiaTheme="majorEastAsia" w:cstheme="majorBidi"/>
          <w:bCs/>
          <w:color w:val="006182" w:themeColor="accent1"/>
          <w:sz w:val="30"/>
          <w:szCs w:val="26"/>
        </w:rPr>
        <w:t xml:space="preserve"> agenda</w:t>
      </w:r>
    </w:p>
    <w:p w14:paraId="0B04DFDE" w14:textId="1BAD477C" w:rsidR="008238CC" w:rsidRDefault="003724B1" w:rsidP="00332AC0">
      <w:pPr>
        <w:spacing w:before="0" w:after="0" w:line="240" w:lineRule="auto"/>
      </w:pPr>
      <w:bookmarkStart w:id="10" w:name="_Toc20904450"/>
      <w:r>
        <w:t xml:space="preserve">COBA strongly endorses the Government’s pro-competitive agenda for banking. </w:t>
      </w:r>
      <w:r w:rsidR="000C0A0B">
        <w:t>S</w:t>
      </w:r>
      <w:r w:rsidR="00D33380">
        <w:t>ignificant reforms</w:t>
      </w:r>
      <w:r w:rsidR="006A0834">
        <w:t xml:space="preserve"> </w:t>
      </w:r>
      <w:r w:rsidR="000C0A0B">
        <w:t>in recent</w:t>
      </w:r>
      <w:r w:rsidR="002128AB">
        <w:t xml:space="preserve"> years </w:t>
      </w:r>
      <w:r w:rsidR="002360CA">
        <w:t>to improve the</w:t>
      </w:r>
      <w:r w:rsidR="002128AB">
        <w:t xml:space="preserve"> competitive environment in the banking </w:t>
      </w:r>
      <w:r w:rsidR="00901587">
        <w:t>sector</w:t>
      </w:r>
      <w:r w:rsidR="000C0A0B">
        <w:t xml:space="preserve"> are outlined below</w:t>
      </w:r>
      <w:r w:rsidR="00901587">
        <w:t>.</w:t>
      </w:r>
      <w:r w:rsidR="002128AB">
        <w:t xml:space="preserve"> </w:t>
      </w:r>
    </w:p>
    <w:p w14:paraId="0F0EDADF" w14:textId="2E6BAAE6" w:rsidR="00981C23" w:rsidRDefault="00981C23" w:rsidP="0022780E">
      <w:pPr>
        <w:pStyle w:val="Address"/>
        <w:spacing w:before="0"/>
      </w:pPr>
    </w:p>
    <w:p w14:paraId="73880E5F" w14:textId="459C4407" w:rsidR="00981C23" w:rsidRDefault="00981C23" w:rsidP="0022780E">
      <w:pPr>
        <w:pStyle w:val="Address"/>
        <w:spacing w:before="0"/>
      </w:pPr>
      <w:r w:rsidRPr="0089777C">
        <w:rPr>
          <w:noProof/>
        </w:rPr>
        <w:drawing>
          <wp:inline distT="0" distB="0" distL="0" distR="0" wp14:anchorId="16EAA194" wp14:editId="5C25E5B1">
            <wp:extent cx="5229225" cy="1974215"/>
            <wp:effectExtent l="0" t="0" r="0" b="26035"/>
            <wp:docPr id="5" name="Diagram 5">
              <a:extLst xmlns:a="http://schemas.openxmlformats.org/drawingml/2006/main">
                <a:ext uri="{FF2B5EF4-FFF2-40B4-BE49-F238E27FC236}">
                  <a16:creationId xmlns:a16="http://schemas.microsoft.com/office/drawing/2014/main" id="{CAF8EC8F-A061-48DB-B9F9-0F9489CD8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5E1B4AF" w14:textId="56FEA86B" w:rsidR="00D33380" w:rsidRDefault="008238CC" w:rsidP="00332AC0">
      <w:pPr>
        <w:spacing w:before="0" w:after="0" w:line="240" w:lineRule="auto"/>
      </w:pPr>
      <w:r>
        <w:t>T</w:t>
      </w:r>
      <w:r w:rsidR="006A0834">
        <w:t xml:space="preserve">he success of these </w:t>
      </w:r>
      <w:r w:rsidR="004F33C4">
        <w:t>reforms</w:t>
      </w:r>
      <w:r w:rsidR="006A0834">
        <w:t xml:space="preserve">, and their </w:t>
      </w:r>
      <w:r w:rsidR="002128AB">
        <w:t xml:space="preserve">ability </w:t>
      </w:r>
      <w:r w:rsidR="006A0834">
        <w:t>t</w:t>
      </w:r>
      <w:r w:rsidR="002128AB">
        <w:t xml:space="preserve">o provide the benefits of competition to </w:t>
      </w:r>
      <w:r w:rsidR="00825044">
        <w:t xml:space="preserve">all </w:t>
      </w:r>
      <w:r w:rsidR="002128AB">
        <w:t>Australia</w:t>
      </w:r>
      <w:r w:rsidR="006A0834">
        <w:t>n</w:t>
      </w:r>
      <w:r w:rsidR="002128AB">
        <w:t xml:space="preserve"> consumers</w:t>
      </w:r>
      <w:r w:rsidR="002E31D8">
        <w:t>,</w:t>
      </w:r>
      <w:r w:rsidR="002128AB">
        <w:t xml:space="preserve"> </w:t>
      </w:r>
      <w:r w:rsidR="006A0834">
        <w:t xml:space="preserve">will </w:t>
      </w:r>
      <w:r w:rsidR="002128AB">
        <w:t>remain limited if consumers are not able and willing to</w:t>
      </w:r>
      <w:r w:rsidR="00825044">
        <w:t xml:space="preserve"> complete the process of</w:t>
      </w:r>
      <w:r w:rsidR="002128AB">
        <w:t xml:space="preserve"> ‘shop</w:t>
      </w:r>
      <w:r w:rsidR="00825044">
        <w:t>ping</w:t>
      </w:r>
      <w:r w:rsidR="002128AB">
        <w:t xml:space="preserve"> around’</w:t>
      </w:r>
      <w:r w:rsidR="00981C23">
        <w:t xml:space="preserve"> outlined in </w:t>
      </w:r>
      <w:r w:rsidR="00981C23" w:rsidRPr="00EB4848">
        <w:t>Attachment 2</w:t>
      </w:r>
      <w:r w:rsidR="002128AB" w:rsidRPr="00EB4848">
        <w:t>.</w:t>
      </w:r>
      <w:r w:rsidR="002360CA">
        <w:t xml:space="preserve"> </w:t>
      </w:r>
      <w:r w:rsidR="00655A2E">
        <w:t xml:space="preserve"> </w:t>
      </w:r>
    </w:p>
    <w:p w14:paraId="136B75F7" w14:textId="77777777" w:rsidR="00D33380" w:rsidRDefault="00D33380" w:rsidP="00332AC0">
      <w:pPr>
        <w:spacing w:before="0" w:after="0" w:line="240" w:lineRule="auto"/>
      </w:pPr>
    </w:p>
    <w:p w14:paraId="3594F409" w14:textId="349251D3" w:rsidR="00EB2BB8" w:rsidRDefault="002E31D8" w:rsidP="00332AC0">
      <w:pPr>
        <w:spacing w:before="0" w:after="0" w:line="240" w:lineRule="auto"/>
      </w:pPr>
      <w:r>
        <w:t>The Consumer</w:t>
      </w:r>
      <w:r w:rsidR="00825044">
        <w:t xml:space="preserve"> </w:t>
      </w:r>
      <w:r>
        <w:t>M</w:t>
      </w:r>
      <w:r w:rsidR="00825044">
        <w:t xml:space="preserve">ortgage </w:t>
      </w:r>
      <w:r>
        <w:t>T</w:t>
      </w:r>
      <w:r w:rsidR="00655A2E">
        <w:t>askforce is</w:t>
      </w:r>
      <w:r>
        <w:t xml:space="preserve"> needed</w:t>
      </w:r>
      <w:r w:rsidR="00655A2E">
        <w:t xml:space="preserve"> to ensure that the potential of these reforms is </w:t>
      </w:r>
      <w:r>
        <w:t>delivered</w:t>
      </w:r>
      <w:r w:rsidR="00655A2E">
        <w:t>.</w:t>
      </w:r>
      <w:r w:rsidR="00C91E07">
        <w:t xml:space="preserve"> This taskforce would undertake a </w:t>
      </w:r>
      <w:r w:rsidR="002360CA">
        <w:t xml:space="preserve">whole-of-system approach to ensure that </w:t>
      </w:r>
      <w:r>
        <w:t xml:space="preserve">the above policy developments are integrated with consumer empowerment measures to achieve </w:t>
      </w:r>
      <w:r w:rsidR="002360CA">
        <w:t>more competition and choice for Australian consumers</w:t>
      </w:r>
      <w:r w:rsidR="00C91E07">
        <w:t>.</w:t>
      </w:r>
    </w:p>
    <w:p w14:paraId="2D15A374" w14:textId="77777777" w:rsidR="009747C4" w:rsidRDefault="009747C4" w:rsidP="00332AC0">
      <w:pPr>
        <w:spacing w:before="0" w:after="0" w:line="240" w:lineRule="auto"/>
      </w:pPr>
    </w:p>
    <w:p w14:paraId="63BCC2D8" w14:textId="1CBA823D" w:rsidR="00C91E07" w:rsidRDefault="00C91E07" w:rsidP="00332AC0">
      <w:pPr>
        <w:spacing w:before="0" w:after="0" w:line="240" w:lineRule="auto"/>
        <w:rPr>
          <w:b/>
          <w:bCs/>
        </w:rPr>
      </w:pPr>
      <w:r w:rsidRPr="00981C23">
        <w:rPr>
          <w:b/>
          <w:bCs/>
        </w:rPr>
        <w:t>Royal Commission</w:t>
      </w:r>
      <w:r w:rsidR="00054A8E">
        <w:rPr>
          <w:b/>
          <w:bCs/>
        </w:rPr>
        <w:t xml:space="preserve"> – active consumers will punish misconduct</w:t>
      </w:r>
    </w:p>
    <w:p w14:paraId="3A231A2E" w14:textId="77777777" w:rsidR="00332AC0" w:rsidRPr="00981C23" w:rsidRDefault="00332AC0" w:rsidP="00332AC0">
      <w:pPr>
        <w:spacing w:before="0" w:after="0" w:line="240" w:lineRule="auto"/>
        <w:rPr>
          <w:b/>
          <w:bCs/>
        </w:rPr>
      </w:pPr>
    </w:p>
    <w:p w14:paraId="3263C838" w14:textId="77777777" w:rsidR="006806B2" w:rsidRDefault="006A0834" w:rsidP="00332AC0">
      <w:pPr>
        <w:spacing w:before="0" w:after="0" w:line="240" w:lineRule="auto"/>
      </w:pPr>
      <w:r>
        <w:t xml:space="preserve">The Final Report </w:t>
      </w:r>
      <w:r w:rsidR="00054A8E">
        <w:t>of the</w:t>
      </w:r>
      <w:r w:rsidR="00D33380">
        <w:t xml:space="preserve"> </w:t>
      </w:r>
      <w:r w:rsidR="002E31D8">
        <w:t xml:space="preserve">Financial Services </w:t>
      </w:r>
      <w:r w:rsidR="00054A8E">
        <w:t>Royal Commission found</w:t>
      </w:r>
      <w:r>
        <w:t xml:space="preserve"> misconduct that was detrimental to the </w:t>
      </w:r>
      <w:r w:rsidR="00F73E31">
        <w:t>community</w:t>
      </w:r>
      <w:r w:rsidR="002E31D8">
        <w:t>,</w:t>
      </w:r>
      <w:r w:rsidR="00F73E31">
        <w:t xml:space="preserve"> noting</w:t>
      </w:r>
      <w:r w:rsidR="002E31D8">
        <w:t>:</w:t>
      </w:r>
      <w:r w:rsidR="00F73E31">
        <w:t xml:space="preserve"> “</w:t>
      </w:r>
      <w:r>
        <w:t>As we have heard, too often the conduct within our financial institutions has been in breach of existing laws and fallen well below community expectations. The price paid by our community has been immense and goes beyond just the financial</w:t>
      </w:r>
      <w:r w:rsidR="002E31D8">
        <w:t>.</w:t>
      </w:r>
      <w:r w:rsidR="00E11849">
        <w:t>”</w:t>
      </w:r>
    </w:p>
    <w:p w14:paraId="0A337F71" w14:textId="77777777" w:rsidR="006806B2" w:rsidRDefault="006806B2" w:rsidP="00332AC0">
      <w:pPr>
        <w:spacing w:before="0" w:after="0" w:line="240" w:lineRule="auto"/>
      </w:pPr>
    </w:p>
    <w:p w14:paraId="0CAB1ED6" w14:textId="3904DA32" w:rsidR="002100F4" w:rsidRDefault="006A0834" w:rsidP="00332AC0">
      <w:pPr>
        <w:spacing w:before="0" w:after="0" w:line="240" w:lineRule="auto"/>
      </w:pPr>
      <w:r w:rsidRPr="006A0834">
        <w:t>COBA</w:t>
      </w:r>
      <w:r w:rsidR="00514CD5">
        <w:t xml:space="preserve"> </w:t>
      </w:r>
      <w:r w:rsidR="00054A8E">
        <w:t>believes that s</w:t>
      </w:r>
      <w:r w:rsidRPr="006A0834">
        <w:t xml:space="preserve">tronger competition leads to better customer outcomes. The cure to misconduct is to create a more competitive market where customers </w:t>
      </w:r>
      <w:r w:rsidR="002E31D8">
        <w:t>are ready and willing to move if their bank</w:t>
      </w:r>
      <w:r w:rsidRPr="006A0834">
        <w:t xml:space="preserve"> fail</w:t>
      </w:r>
      <w:r w:rsidR="002E31D8">
        <w:t>s</w:t>
      </w:r>
      <w:r w:rsidRPr="006A0834">
        <w:t xml:space="preserve"> to meet expectations.</w:t>
      </w:r>
      <w:r w:rsidR="00514CD5">
        <w:t xml:space="preserve"> </w:t>
      </w:r>
      <w:r>
        <w:t xml:space="preserve">ASIC recognises this as well noting in </w:t>
      </w:r>
      <w:r w:rsidR="00E73A6B">
        <w:t xml:space="preserve">its </w:t>
      </w:r>
      <w:r>
        <w:t>2019-2023 Corporate plan</w:t>
      </w:r>
      <w:r w:rsidR="00981C23">
        <w:rPr>
          <w:rStyle w:val="FootnoteReference"/>
        </w:rPr>
        <w:footnoteReference w:id="21"/>
      </w:r>
      <w:r>
        <w:t xml:space="preserve"> that</w:t>
      </w:r>
      <w:r w:rsidR="00514CD5">
        <w:t xml:space="preserve"> one of the key drivers of consumer harm is</w:t>
      </w:r>
      <w:r>
        <w:t>:</w:t>
      </w:r>
      <w:r w:rsidR="00514CD5">
        <w:t xml:space="preserve"> </w:t>
      </w:r>
      <w:r w:rsidR="002128AB">
        <w:t>“Poor conduct in financial markets driven by lack of competition, structural challenges or conflicts of interest</w:t>
      </w:r>
      <w:r w:rsidR="002E31D8">
        <w:t>.</w:t>
      </w:r>
      <w:r w:rsidR="002128AB">
        <w:t>”</w:t>
      </w:r>
      <w:r w:rsidR="00514CD5">
        <w:t xml:space="preserve"> </w:t>
      </w:r>
      <w:bookmarkEnd w:id="10"/>
      <w:r w:rsidR="002100F4">
        <w:br w:type="page"/>
      </w:r>
    </w:p>
    <w:p w14:paraId="1B060714" w14:textId="0425BFDD" w:rsidR="002100F4" w:rsidRDefault="002100F4" w:rsidP="002100F4">
      <w:pPr>
        <w:pStyle w:val="Heading1"/>
      </w:pPr>
      <w:r>
        <w:lastRenderedPageBreak/>
        <w:t xml:space="preserve">Attachment </w:t>
      </w:r>
      <w:r w:rsidR="00A22108">
        <w:t>4</w:t>
      </w:r>
      <w:r>
        <w:t>: Examples of</w:t>
      </w:r>
      <w:r w:rsidR="003B50A1">
        <w:t xml:space="preserve"> potential</w:t>
      </w:r>
      <w:r>
        <w:t xml:space="preserve"> measures</w:t>
      </w:r>
    </w:p>
    <w:p w14:paraId="273D5887" w14:textId="5BC08CD6" w:rsidR="002100F4" w:rsidRDefault="002100F4" w:rsidP="00332AC0">
      <w:pPr>
        <w:shd w:val="clear" w:color="auto" w:fill="FFFFFF"/>
        <w:spacing w:before="0" w:after="0" w:line="240" w:lineRule="auto"/>
        <w:rPr>
          <w:rFonts w:eastAsia="Times New Roman" w:cs="Arial"/>
          <w:lang w:eastAsia="en-AU"/>
        </w:rPr>
      </w:pPr>
      <w:r w:rsidRPr="00332AC0">
        <w:rPr>
          <w:rFonts w:eastAsia="Times New Roman" w:cs="Arial" w:hint="cs"/>
          <w:lang w:eastAsia="en-AU"/>
        </w:rPr>
        <w:t xml:space="preserve">COBA does not endorse any </w:t>
      </w:r>
      <w:proofErr w:type="gramStart"/>
      <w:r w:rsidRPr="00332AC0">
        <w:rPr>
          <w:rFonts w:eastAsia="Times New Roman" w:cs="Arial" w:hint="cs"/>
          <w:lang w:eastAsia="en-AU"/>
        </w:rPr>
        <w:t>particular approaches</w:t>
      </w:r>
      <w:proofErr w:type="gramEnd"/>
      <w:r w:rsidRPr="00332AC0">
        <w:rPr>
          <w:rFonts w:eastAsia="Times New Roman" w:cs="Arial" w:hint="cs"/>
          <w:lang w:eastAsia="en-AU"/>
        </w:rPr>
        <w:t xml:space="preserve">, noting our strong preference </w:t>
      </w:r>
      <w:r w:rsidR="00FF7428" w:rsidRPr="00332AC0">
        <w:rPr>
          <w:rFonts w:eastAsia="Times New Roman" w:cs="Arial"/>
          <w:lang w:eastAsia="en-AU"/>
        </w:rPr>
        <w:t xml:space="preserve">is </w:t>
      </w:r>
      <w:r w:rsidRPr="00332AC0">
        <w:rPr>
          <w:rFonts w:eastAsia="Times New Roman" w:cs="Arial" w:hint="cs"/>
          <w:lang w:eastAsia="en-AU"/>
        </w:rPr>
        <w:t>to reduce</w:t>
      </w:r>
      <w:r w:rsidR="00FF7428" w:rsidRPr="00332AC0">
        <w:rPr>
          <w:rFonts w:eastAsia="Times New Roman" w:cs="Arial"/>
          <w:lang w:eastAsia="en-AU"/>
        </w:rPr>
        <w:t>, not increase,</w:t>
      </w:r>
      <w:r w:rsidRPr="00332AC0">
        <w:rPr>
          <w:rFonts w:eastAsia="Times New Roman" w:cs="Arial" w:hint="cs"/>
          <w:lang w:eastAsia="en-AU"/>
        </w:rPr>
        <w:t xml:space="preserve"> costs on industry</w:t>
      </w:r>
      <w:r w:rsidR="00FF7428" w:rsidRPr="00332AC0">
        <w:rPr>
          <w:rFonts w:eastAsia="Times New Roman" w:cs="Arial"/>
          <w:lang w:eastAsia="en-AU"/>
        </w:rPr>
        <w:t xml:space="preserve">. We provide these as </w:t>
      </w:r>
      <w:r w:rsidR="00EB4848" w:rsidRPr="00332AC0">
        <w:rPr>
          <w:rFonts w:eastAsia="Times New Roman" w:cs="Arial"/>
          <w:lang w:eastAsia="en-AU"/>
        </w:rPr>
        <w:t>illustrative examples</w:t>
      </w:r>
      <w:r w:rsidRPr="00332AC0">
        <w:rPr>
          <w:rFonts w:eastAsia="Times New Roman" w:cs="Arial" w:hint="cs"/>
          <w:lang w:eastAsia="en-AU"/>
        </w:rPr>
        <w:t>.</w:t>
      </w:r>
    </w:p>
    <w:p w14:paraId="04E7E123" w14:textId="77777777" w:rsidR="00332AC0" w:rsidRPr="00332AC0" w:rsidRDefault="00332AC0" w:rsidP="00332AC0">
      <w:pPr>
        <w:shd w:val="clear" w:color="auto" w:fill="FFFFFF"/>
        <w:spacing w:before="0" w:after="0" w:line="240" w:lineRule="auto"/>
        <w:rPr>
          <w:rFonts w:eastAsia="Times New Roman" w:cs="Arial"/>
          <w:lang w:eastAsia="en-AU"/>
        </w:rPr>
      </w:pPr>
    </w:p>
    <w:p w14:paraId="7779FC2C" w14:textId="4EB4A4B3" w:rsidR="002100F4" w:rsidRDefault="002100F4" w:rsidP="00332AC0">
      <w:pPr>
        <w:shd w:val="clear" w:color="auto" w:fill="FFFFFF"/>
        <w:spacing w:before="0" w:after="0" w:line="240" w:lineRule="auto"/>
        <w:rPr>
          <w:rFonts w:eastAsia="Times New Roman" w:cs="Arial"/>
          <w:b/>
          <w:bCs/>
          <w:lang w:eastAsia="en-AU"/>
        </w:rPr>
      </w:pPr>
      <w:r w:rsidRPr="00332AC0">
        <w:rPr>
          <w:rFonts w:eastAsia="Times New Roman" w:cs="Arial" w:hint="cs"/>
          <w:b/>
          <w:bCs/>
          <w:lang w:eastAsia="en-AU"/>
        </w:rPr>
        <w:t>UK Ofgem: Cheaper Market Offers Letter Trial – creating a prompt</w:t>
      </w:r>
    </w:p>
    <w:p w14:paraId="031F4E95" w14:textId="77777777" w:rsidR="00332AC0" w:rsidRPr="00332AC0" w:rsidRDefault="00332AC0" w:rsidP="00332AC0">
      <w:pPr>
        <w:shd w:val="clear" w:color="auto" w:fill="FFFFFF"/>
        <w:spacing w:before="0" w:after="0" w:line="240" w:lineRule="auto"/>
        <w:rPr>
          <w:rFonts w:eastAsia="Times New Roman" w:cs="Arial"/>
          <w:b/>
          <w:bCs/>
          <w:lang w:eastAsia="en-AU"/>
        </w:rPr>
      </w:pPr>
    </w:p>
    <w:p w14:paraId="1DCC089E" w14:textId="63165EA7" w:rsidR="002100F4" w:rsidRDefault="002100F4" w:rsidP="00332AC0">
      <w:pPr>
        <w:shd w:val="clear" w:color="auto" w:fill="FFFFFF"/>
        <w:spacing w:before="0" w:after="0" w:line="240" w:lineRule="auto"/>
        <w:rPr>
          <w:rFonts w:eastAsia="Times New Roman" w:cs="Arial"/>
          <w:lang w:eastAsia="en-AU"/>
        </w:rPr>
      </w:pPr>
      <w:r w:rsidRPr="00332AC0">
        <w:rPr>
          <w:rFonts w:eastAsia="Times New Roman" w:cs="Arial" w:hint="cs"/>
          <w:lang w:eastAsia="en-AU"/>
        </w:rPr>
        <w:t>The UK Office of Gas and Electricity Markets (Ofgem) carried out the Cheaper Market Offers Letter trial between June and August 2017.</w:t>
      </w:r>
      <w:r w:rsidR="00E132A7" w:rsidRPr="00332AC0">
        <w:rPr>
          <w:rStyle w:val="FootnoteReference"/>
          <w:rFonts w:eastAsia="Times New Roman" w:cs="Arial" w:hint="cs"/>
          <w:b/>
          <w:bCs/>
          <w:lang w:eastAsia="en-AU"/>
        </w:rPr>
        <w:t xml:space="preserve"> </w:t>
      </w:r>
      <w:r w:rsidR="00E132A7" w:rsidRPr="00332AC0">
        <w:rPr>
          <w:rStyle w:val="FootnoteReference"/>
          <w:rFonts w:eastAsia="Times New Roman" w:cs="Arial" w:hint="cs"/>
          <w:b/>
          <w:bCs/>
          <w:lang w:eastAsia="en-AU"/>
        </w:rPr>
        <w:footnoteReference w:id="22"/>
      </w:r>
      <w:r w:rsidRPr="00332AC0">
        <w:rPr>
          <w:rFonts w:eastAsia="Times New Roman" w:cs="Arial" w:hint="cs"/>
          <w:lang w:eastAsia="en-AU"/>
        </w:rPr>
        <w:t xml:space="preserve"> This was its first large-scale randomised controlled trial and was done with two domestic energy suppliers. Around 150,000 customers participated in this trial.</w:t>
      </w:r>
    </w:p>
    <w:p w14:paraId="6C3A132B" w14:textId="77777777" w:rsidR="00332AC0" w:rsidRPr="00332AC0" w:rsidRDefault="00332AC0" w:rsidP="00332AC0">
      <w:pPr>
        <w:shd w:val="clear" w:color="auto" w:fill="FFFFFF"/>
        <w:spacing w:before="0" w:after="0" w:line="240" w:lineRule="auto"/>
        <w:rPr>
          <w:rFonts w:eastAsia="Times New Roman" w:cs="Arial"/>
          <w:lang w:eastAsia="en-AU"/>
        </w:rPr>
      </w:pPr>
    </w:p>
    <w:p w14:paraId="377346C7" w14:textId="77777777" w:rsidR="002100F4" w:rsidRPr="00332AC0" w:rsidRDefault="002100F4" w:rsidP="00332AC0">
      <w:pPr>
        <w:shd w:val="clear" w:color="auto" w:fill="FFFFFF"/>
        <w:spacing w:before="0" w:after="0" w:line="240" w:lineRule="auto"/>
        <w:rPr>
          <w:rFonts w:eastAsia="Times New Roman" w:cs="Arial"/>
          <w:lang w:eastAsia="en-AU"/>
        </w:rPr>
      </w:pPr>
      <w:r w:rsidRPr="00332AC0">
        <w:rPr>
          <w:rFonts w:eastAsia="Times New Roman" w:cs="Arial" w:hint="cs"/>
          <w:lang w:eastAsia="en-AU"/>
        </w:rPr>
        <w:t>The CMOL was done using a prompt via a single letter detailing three cheaper tariffs that the customer could switch to. These tariffs were based on customers’ historic consumption and were personalised in line with how customers already pay and manage their energy account.</w:t>
      </w:r>
    </w:p>
    <w:p w14:paraId="5C6F0EAB" w14:textId="0AFE5C0D" w:rsidR="002100F4" w:rsidRDefault="002100F4" w:rsidP="00332AC0">
      <w:pPr>
        <w:shd w:val="clear" w:color="auto" w:fill="FFFFFF"/>
        <w:spacing w:before="0" w:after="0" w:line="240" w:lineRule="auto"/>
        <w:rPr>
          <w:rFonts w:eastAsia="Times New Roman" w:cs="Arial"/>
          <w:lang w:eastAsia="en-AU"/>
        </w:rPr>
      </w:pPr>
      <w:r w:rsidRPr="00332AC0">
        <w:rPr>
          <w:rFonts w:eastAsia="Times New Roman" w:cs="Arial" w:hint="cs"/>
          <w:lang w:eastAsia="en-AU"/>
        </w:rPr>
        <w:t>The Ofgem randomly assigned customers to one of three trial groups, and received either: a supplier-branded letter, am Ofgem-brand letter or received no letter (control group). The primary outcome measure was the switching rate (switching tariff or supplier) in the 30 days after the letters were sent.</w:t>
      </w:r>
    </w:p>
    <w:p w14:paraId="5B1E02E9" w14:textId="77777777" w:rsidR="00332AC0" w:rsidRPr="00332AC0" w:rsidRDefault="00332AC0" w:rsidP="00332AC0">
      <w:pPr>
        <w:shd w:val="clear" w:color="auto" w:fill="FFFFFF"/>
        <w:spacing w:before="0" w:after="0" w:line="240" w:lineRule="auto"/>
        <w:rPr>
          <w:rFonts w:eastAsia="Times New Roman" w:cs="Arial"/>
          <w:lang w:eastAsia="en-AU"/>
        </w:rPr>
      </w:pPr>
    </w:p>
    <w:p w14:paraId="2B928FD0" w14:textId="29629A95" w:rsidR="002100F4" w:rsidRDefault="002100F4" w:rsidP="00332AC0">
      <w:pPr>
        <w:shd w:val="clear" w:color="auto" w:fill="FFFFFF"/>
        <w:spacing w:before="0" w:after="0" w:line="240" w:lineRule="auto"/>
        <w:rPr>
          <w:rFonts w:eastAsia="Times New Roman" w:cs="Arial"/>
          <w:lang w:eastAsia="en-AU"/>
        </w:rPr>
      </w:pPr>
      <w:r w:rsidRPr="00332AC0">
        <w:rPr>
          <w:rFonts w:eastAsia="Times New Roman" w:cs="Arial" w:hint="cs"/>
          <w:lang w:eastAsia="en-AU"/>
        </w:rPr>
        <w:t xml:space="preserve">The letter receiving groups had a likelihood of requesting a switch within 30 days of 2.4 per cent (Ofgem-branded) and 3.4 per cent (Supplier-branded) respectively. This compares to the control group switching rate of 1 per cent. </w:t>
      </w:r>
    </w:p>
    <w:p w14:paraId="46D11C39" w14:textId="77777777" w:rsidR="00332AC0" w:rsidRPr="00332AC0" w:rsidRDefault="00332AC0" w:rsidP="00332AC0">
      <w:pPr>
        <w:shd w:val="clear" w:color="auto" w:fill="FFFFFF"/>
        <w:spacing w:before="0" w:after="0" w:line="240" w:lineRule="auto"/>
        <w:rPr>
          <w:rFonts w:eastAsia="Times New Roman" w:cs="Arial"/>
          <w:lang w:eastAsia="en-AU"/>
        </w:rPr>
      </w:pPr>
    </w:p>
    <w:p w14:paraId="30A3E24D" w14:textId="03F8A2FA" w:rsidR="002100F4" w:rsidRDefault="002100F4" w:rsidP="00332AC0">
      <w:pPr>
        <w:shd w:val="clear" w:color="auto" w:fill="FFFFFF"/>
        <w:spacing w:before="0" w:after="0" w:line="240" w:lineRule="auto"/>
        <w:outlineLvl w:val="0"/>
        <w:rPr>
          <w:rFonts w:cs="Arial"/>
          <w:b/>
          <w:bCs/>
        </w:rPr>
      </w:pPr>
      <w:r w:rsidRPr="00332AC0">
        <w:rPr>
          <w:rFonts w:eastAsia="Times New Roman" w:cs="Arial" w:hint="cs"/>
          <w:b/>
          <w:bCs/>
          <w:lang w:eastAsia="en-AU"/>
        </w:rPr>
        <w:t xml:space="preserve">UK Ofgem: </w:t>
      </w:r>
      <w:r w:rsidRPr="00332AC0">
        <w:rPr>
          <w:rFonts w:cs="Arial" w:hint="cs"/>
          <w:b/>
          <w:bCs/>
        </w:rPr>
        <w:t xml:space="preserve">Active Choice Collective Switch Trial – </w:t>
      </w:r>
      <w:r w:rsidRPr="00332AC0">
        <w:rPr>
          <w:rFonts w:eastAsia="Times New Roman" w:cs="Arial" w:hint="cs"/>
          <w:b/>
          <w:bCs/>
          <w:lang w:eastAsia="en-AU"/>
        </w:rPr>
        <w:t>creating a prompt</w:t>
      </w:r>
      <w:r w:rsidRPr="00332AC0">
        <w:rPr>
          <w:rStyle w:val="FootnoteReference"/>
          <w:rFonts w:cs="Arial" w:hint="cs"/>
          <w:b/>
          <w:bCs/>
        </w:rPr>
        <w:t xml:space="preserve"> </w:t>
      </w:r>
      <w:r w:rsidRPr="00332AC0">
        <w:rPr>
          <w:rFonts w:cs="Arial" w:hint="cs"/>
          <w:b/>
          <w:bCs/>
        </w:rPr>
        <w:t>&amp; helping to compare</w:t>
      </w:r>
    </w:p>
    <w:p w14:paraId="749111B5" w14:textId="77777777" w:rsidR="00332AC0" w:rsidRPr="00332AC0" w:rsidRDefault="00332AC0" w:rsidP="00332AC0">
      <w:pPr>
        <w:shd w:val="clear" w:color="auto" w:fill="FFFFFF"/>
        <w:spacing w:before="0" w:after="0" w:line="240" w:lineRule="auto"/>
        <w:outlineLvl w:val="0"/>
        <w:rPr>
          <w:rFonts w:cs="Arial"/>
          <w:b/>
          <w:bCs/>
        </w:rPr>
      </w:pPr>
    </w:p>
    <w:p w14:paraId="1A2D5F3E" w14:textId="5F34853B" w:rsidR="002100F4" w:rsidRDefault="002100F4" w:rsidP="00332AC0">
      <w:pPr>
        <w:shd w:val="clear" w:color="auto" w:fill="FFFFFF"/>
        <w:spacing w:before="0" w:after="0" w:line="240" w:lineRule="auto"/>
        <w:outlineLvl w:val="0"/>
        <w:rPr>
          <w:rFonts w:eastAsia="Times New Roman" w:cs="Arial"/>
          <w:lang w:eastAsia="en-AU"/>
        </w:rPr>
      </w:pPr>
      <w:r w:rsidRPr="00332AC0">
        <w:rPr>
          <w:rFonts w:eastAsia="Times New Roman" w:cs="Arial" w:hint="cs"/>
          <w:lang w:eastAsia="en-AU"/>
        </w:rPr>
        <w:t>The Ofgem also carried out the Active Choice Collective Switch Trial from February to April 2018.</w:t>
      </w:r>
      <w:r w:rsidR="00E132A7" w:rsidRPr="00332AC0">
        <w:rPr>
          <w:rStyle w:val="FootnoteReference"/>
          <w:rFonts w:cs="Arial" w:hint="cs"/>
          <w:b/>
          <w:bCs/>
        </w:rPr>
        <w:t xml:space="preserve"> </w:t>
      </w:r>
      <w:r w:rsidR="00E132A7" w:rsidRPr="00332AC0">
        <w:rPr>
          <w:rStyle w:val="FootnoteReference"/>
          <w:rFonts w:cs="Arial" w:hint="cs"/>
          <w:b/>
          <w:bCs/>
        </w:rPr>
        <w:footnoteReference w:id="23"/>
      </w:r>
      <w:r w:rsidRPr="00332AC0">
        <w:rPr>
          <w:rFonts w:eastAsia="Times New Roman" w:cs="Arial" w:hint="cs"/>
          <w:lang w:eastAsia="en-AU"/>
        </w:rPr>
        <w:t> This trial was designed for disengaged customers who “find it difficult or do not feel confident enough to navigate the complex range of tariffs available in the open market.” It aimed to gives them a ‘helping hand’, with the addition of a third-party consumer partner. Around 50,000 customers participated in this trial.</w:t>
      </w:r>
    </w:p>
    <w:p w14:paraId="7CE8100E" w14:textId="77777777" w:rsidR="00332AC0" w:rsidRPr="00332AC0" w:rsidRDefault="00332AC0" w:rsidP="00332AC0">
      <w:pPr>
        <w:shd w:val="clear" w:color="auto" w:fill="FFFFFF"/>
        <w:spacing w:before="0" w:after="0" w:line="240" w:lineRule="auto"/>
        <w:outlineLvl w:val="0"/>
        <w:rPr>
          <w:rFonts w:eastAsia="Times New Roman" w:cs="Arial"/>
          <w:lang w:eastAsia="en-AU"/>
        </w:rPr>
      </w:pPr>
    </w:p>
    <w:p w14:paraId="59AB9B00" w14:textId="6DBCF14E" w:rsidR="002100F4" w:rsidRDefault="002100F4" w:rsidP="00332AC0">
      <w:pPr>
        <w:shd w:val="clear" w:color="auto" w:fill="FFFFFF"/>
        <w:spacing w:before="0" w:after="0" w:line="240" w:lineRule="auto"/>
        <w:outlineLvl w:val="0"/>
        <w:rPr>
          <w:rFonts w:eastAsia="Times New Roman" w:cs="Arial"/>
          <w:lang w:eastAsia="en-AU"/>
        </w:rPr>
      </w:pPr>
      <w:r w:rsidRPr="00332AC0">
        <w:rPr>
          <w:rFonts w:eastAsia="Times New Roman" w:cs="Arial" w:hint="cs"/>
          <w:lang w:eastAsia="en-AU"/>
        </w:rPr>
        <w:t>This trial involved a series of letters offering disengaged energy customers an exclusive tariff negotiated by a third-party consumer partner. Over seven weeks the consumers involved received:</w:t>
      </w:r>
    </w:p>
    <w:p w14:paraId="04821FDF" w14:textId="77777777" w:rsidR="00332AC0" w:rsidRPr="00332AC0" w:rsidRDefault="00332AC0" w:rsidP="00332AC0">
      <w:pPr>
        <w:shd w:val="clear" w:color="auto" w:fill="FFFFFF"/>
        <w:spacing w:before="0" w:after="0" w:line="240" w:lineRule="auto"/>
        <w:outlineLvl w:val="0"/>
        <w:rPr>
          <w:rFonts w:eastAsia="Times New Roman" w:cs="Arial"/>
          <w:lang w:eastAsia="en-AU"/>
        </w:rPr>
      </w:pPr>
    </w:p>
    <w:p w14:paraId="276621CC" w14:textId="77777777" w:rsidR="002100F4" w:rsidRPr="00332AC0" w:rsidRDefault="002100F4" w:rsidP="00332AC0">
      <w:pPr>
        <w:pStyle w:val="ListParagraph"/>
        <w:numPr>
          <w:ilvl w:val="0"/>
          <w:numId w:val="50"/>
        </w:numPr>
        <w:shd w:val="clear" w:color="auto" w:fill="FFFFFF"/>
        <w:spacing w:before="0" w:after="0" w:line="240" w:lineRule="auto"/>
        <w:outlineLvl w:val="0"/>
        <w:rPr>
          <w:rFonts w:eastAsia="Times New Roman" w:cs="Arial"/>
          <w:lang w:eastAsia="en-AU"/>
        </w:rPr>
      </w:pPr>
      <w:r w:rsidRPr="00332AC0">
        <w:rPr>
          <w:rFonts w:eastAsia="Times New Roman" w:cs="Arial" w:hint="cs"/>
          <w:lang w:eastAsia="en-AU"/>
        </w:rPr>
        <w:t xml:space="preserve">An initial letter announcing a forthcoming exclusive tariff plus </w:t>
      </w:r>
      <w:r w:rsidRPr="00332AC0">
        <w:rPr>
          <w:rFonts w:eastAsia="Times New Roman" w:cs="Arial"/>
          <w:lang w:eastAsia="en-AU"/>
        </w:rPr>
        <w:t xml:space="preserve">an </w:t>
      </w:r>
      <w:r w:rsidRPr="00332AC0">
        <w:rPr>
          <w:rFonts w:eastAsia="Times New Roman" w:cs="Arial" w:hint="cs"/>
          <w:lang w:eastAsia="en-AU"/>
        </w:rPr>
        <w:t xml:space="preserve">opt-out option  </w:t>
      </w:r>
    </w:p>
    <w:p w14:paraId="142B5DF0" w14:textId="77777777" w:rsidR="002100F4" w:rsidRPr="00332AC0" w:rsidRDefault="002100F4" w:rsidP="00332AC0">
      <w:pPr>
        <w:pStyle w:val="ListParagraph"/>
        <w:numPr>
          <w:ilvl w:val="0"/>
          <w:numId w:val="50"/>
        </w:numPr>
        <w:shd w:val="clear" w:color="auto" w:fill="FFFFFF"/>
        <w:spacing w:before="0" w:after="0" w:line="240" w:lineRule="auto"/>
        <w:outlineLvl w:val="0"/>
        <w:rPr>
          <w:rFonts w:eastAsia="Times New Roman" w:cs="Arial"/>
          <w:lang w:eastAsia="en-AU"/>
        </w:rPr>
      </w:pPr>
      <w:r w:rsidRPr="00332AC0">
        <w:rPr>
          <w:rFonts w:eastAsia="Times New Roman" w:cs="Arial" w:hint="cs"/>
          <w:lang w:eastAsia="en-AU"/>
        </w:rPr>
        <w:t>A follow-up letter outlining projected saving with the exclusive tariff, suggesting customers contact the third-party consumer partner for full results</w:t>
      </w:r>
    </w:p>
    <w:p w14:paraId="5EBF76F5" w14:textId="77777777" w:rsidR="002100F4" w:rsidRPr="00332AC0" w:rsidRDefault="002100F4" w:rsidP="00332AC0">
      <w:pPr>
        <w:pStyle w:val="ListParagraph"/>
        <w:numPr>
          <w:ilvl w:val="0"/>
          <w:numId w:val="50"/>
        </w:numPr>
        <w:shd w:val="clear" w:color="auto" w:fill="FFFFFF"/>
        <w:spacing w:before="0" w:after="0" w:line="240" w:lineRule="auto"/>
        <w:outlineLvl w:val="0"/>
        <w:rPr>
          <w:rFonts w:eastAsia="Times New Roman" w:cs="Arial"/>
          <w:lang w:eastAsia="en-AU"/>
        </w:rPr>
      </w:pPr>
      <w:r w:rsidRPr="00332AC0">
        <w:rPr>
          <w:rFonts w:eastAsia="Times New Roman" w:cs="Arial" w:hint="cs"/>
          <w:lang w:eastAsia="en-AU"/>
        </w:rPr>
        <w:t>A final reminder letter with projected saving emphasising</w:t>
      </w:r>
      <w:r w:rsidRPr="00332AC0">
        <w:rPr>
          <w:rFonts w:eastAsia="Times New Roman" w:cs="Arial"/>
          <w:lang w:eastAsia="en-AU"/>
        </w:rPr>
        <w:t xml:space="preserve"> a</w:t>
      </w:r>
      <w:r w:rsidRPr="00332AC0">
        <w:rPr>
          <w:rFonts w:eastAsia="Times New Roman" w:cs="Arial" w:hint="cs"/>
          <w:lang w:eastAsia="en-AU"/>
        </w:rPr>
        <w:t xml:space="preserve"> closing date</w:t>
      </w:r>
    </w:p>
    <w:p w14:paraId="5E2A3C71" w14:textId="77777777" w:rsidR="00332AC0" w:rsidRDefault="00332AC0" w:rsidP="00332AC0">
      <w:pPr>
        <w:shd w:val="clear" w:color="auto" w:fill="FFFFFF"/>
        <w:spacing w:before="0" w:after="0" w:line="240" w:lineRule="auto"/>
        <w:outlineLvl w:val="0"/>
        <w:rPr>
          <w:rFonts w:eastAsia="Times New Roman" w:cs="Arial"/>
          <w:lang w:eastAsia="en-AU"/>
        </w:rPr>
      </w:pPr>
    </w:p>
    <w:p w14:paraId="0C4D29EB" w14:textId="31C498E4" w:rsidR="00AE1675" w:rsidRDefault="002100F4" w:rsidP="00332AC0">
      <w:pPr>
        <w:shd w:val="clear" w:color="auto" w:fill="FFFFFF"/>
        <w:spacing w:before="0" w:after="0" w:line="240" w:lineRule="auto"/>
        <w:outlineLvl w:val="0"/>
        <w:rPr>
          <w:rFonts w:eastAsia="Times New Roman" w:cs="Arial"/>
          <w:lang w:eastAsia="en-AU"/>
        </w:rPr>
      </w:pPr>
      <w:r w:rsidRPr="00332AC0">
        <w:rPr>
          <w:rFonts w:eastAsia="Times New Roman" w:cs="Arial" w:hint="cs"/>
          <w:lang w:eastAsia="en-AU"/>
        </w:rPr>
        <w:t xml:space="preserve">This trial was a success with 22.4 per cent of trial participates switch their energy trial. This is eight times higher than the switching rate of 2.4 per cent for control group. </w:t>
      </w:r>
    </w:p>
    <w:p w14:paraId="0E92D366" w14:textId="77777777" w:rsidR="00332AC0" w:rsidRPr="00332AC0" w:rsidRDefault="00332AC0" w:rsidP="00332AC0">
      <w:pPr>
        <w:shd w:val="clear" w:color="auto" w:fill="FFFFFF"/>
        <w:spacing w:before="0" w:after="0" w:line="240" w:lineRule="auto"/>
        <w:outlineLvl w:val="0"/>
        <w:rPr>
          <w:rFonts w:eastAsia="Times New Roman" w:cs="Arial"/>
          <w:lang w:eastAsia="en-AU"/>
        </w:rPr>
      </w:pPr>
    </w:p>
    <w:p w14:paraId="247B128B" w14:textId="155D9E2F" w:rsidR="002100F4" w:rsidRDefault="002100F4" w:rsidP="00332AC0">
      <w:pPr>
        <w:shd w:val="clear" w:color="auto" w:fill="FFFFFF"/>
        <w:spacing w:before="0" w:after="0" w:line="240" w:lineRule="auto"/>
        <w:outlineLvl w:val="0"/>
        <w:rPr>
          <w:rFonts w:eastAsiaTheme="minorHAnsi" w:cs="Arial"/>
          <w:b/>
        </w:rPr>
      </w:pPr>
      <w:r w:rsidRPr="00332AC0">
        <w:rPr>
          <w:rFonts w:eastAsiaTheme="minorHAnsi" w:cs="Arial" w:hint="cs"/>
          <w:b/>
        </w:rPr>
        <w:t>Victorian government: Victorian $50 Power Saving Bonus – creating motivation to compare</w:t>
      </w:r>
    </w:p>
    <w:p w14:paraId="438A3077" w14:textId="77777777" w:rsidR="00332AC0" w:rsidRPr="00332AC0" w:rsidRDefault="00332AC0" w:rsidP="00332AC0">
      <w:pPr>
        <w:shd w:val="clear" w:color="auto" w:fill="FFFFFF"/>
        <w:spacing w:before="0" w:after="0" w:line="240" w:lineRule="auto"/>
        <w:outlineLvl w:val="0"/>
        <w:rPr>
          <w:rFonts w:eastAsiaTheme="minorHAnsi" w:cs="Arial"/>
          <w:b/>
        </w:rPr>
      </w:pPr>
    </w:p>
    <w:p w14:paraId="208316EB" w14:textId="27721255" w:rsidR="002100F4" w:rsidRDefault="002100F4" w:rsidP="00332AC0">
      <w:pPr>
        <w:spacing w:before="0" w:after="0" w:line="240" w:lineRule="auto"/>
        <w:rPr>
          <w:rFonts w:cs="Arial"/>
        </w:rPr>
      </w:pPr>
      <w:r w:rsidRPr="00332AC0">
        <w:rPr>
          <w:rFonts w:eastAsia="Times New Roman" w:cs="Arial" w:hint="cs"/>
          <w:lang w:eastAsia="en-AU"/>
        </w:rPr>
        <w:t>In the 2018-19 Budget, the Victorian Government introduced the $50 Power Saving Bonus with $48 million in funding. This program aimed to</w:t>
      </w:r>
      <w:r w:rsidRPr="00332AC0">
        <w:rPr>
          <w:rFonts w:cs="Arial" w:hint="cs"/>
        </w:rPr>
        <w:t xml:space="preserve"> ensure that all Victorians were getting the best possible deal on their electricity bills. An estimated 1 million households are eligible for this bonus.</w:t>
      </w:r>
    </w:p>
    <w:p w14:paraId="5E361D32" w14:textId="77777777" w:rsidR="00332AC0" w:rsidRPr="00332AC0" w:rsidRDefault="00332AC0" w:rsidP="00332AC0">
      <w:pPr>
        <w:spacing w:before="0" w:after="0" w:line="240" w:lineRule="auto"/>
        <w:rPr>
          <w:rFonts w:cs="Arial"/>
        </w:rPr>
      </w:pPr>
    </w:p>
    <w:p w14:paraId="60130697" w14:textId="77777777" w:rsidR="002100F4" w:rsidRPr="00332AC0" w:rsidRDefault="002100F4" w:rsidP="00332AC0">
      <w:pPr>
        <w:spacing w:before="0" w:after="0" w:line="240" w:lineRule="auto"/>
        <w:rPr>
          <w:rFonts w:cs="Arial"/>
        </w:rPr>
      </w:pPr>
      <w:r w:rsidRPr="00332AC0">
        <w:rPr>
          <w:rFonts w:cs="Arial" w:hint="cs"/>
        </w:rPr>
        <w:t xml:space="preserve">This program incentivised Victorian households to use the </w:t>
      </w:r>
      <w:hyperlink r:id="rId29" w:history="1">
        <w:r w:rsidRPr="00B17A87">
          <w:rPr>
            <w:rStyle w:val="Hyperlink"/>
            <w:rFonts w:cs="Arial" w:hint="cs"/>
          </w:rPr>
          <w:t>Victorian Energy Compare website</w:t>
        </w:r>
      </w:hyperlink>
      <w:r w:rsidRPr="00B17A87">
        <w:rPr>
          <w:rFonts w:cs="Arial" w:hint="cs"/>
        </w:rPr>
        <w:t xml:space="preserve"> </w:t>
      </w:r>
      <w:r w:rsidRPr="00332AC0">
        <w:rPr>
          <w:rFonts w:cs="Arial" w:hint="cs"/>
        </w:rPr>
        <w:t xml:space="preserve">to search for the cheapest electricity plan. Households were not required to take up an offer or switch </w:t>
      </w:r>
      <w:r w:rsidRPr="00332AC0">
        <w:rPr>
          <w:rFonts w:cs="Arial" w:hint="cs"/>
        </w:rPr>
        <w:lastRenderedPageBreak/>
        <w:t>power plans to receive the bonus. This meant the bonus rewarded the behaviour of ‘searching’ and ‘comparing’. A behaviour that would be ideal in mortgage markets.</w:t>
      </w:r>
    </w:p>
    <w:p w14:paraId="54F0CB29" w14:textId="5498E543" w:rsidR="002100F4" w:rsidRDefault="002100F4" w:rsidP="00332AC0">
      <w:pPr>
        <w:spacing w:before="0" w:after="0" w:line="240" w:lineRule="auto"/>
        <w:rPr>
          <w:rFonts w:cs="Arial"/>
        </w:rPr>
      </w:pPr>
      <w:r w:rsidRPr="00332AC0">
        <w:rPr>
          <w:rFonts w:cs="Arial" w:hint="cs"/>
        </w:rPr>
        <w:t xml:space="preserve">On average, the Victorian Government estimates that Victorians who use the independent comparison website save $330 on their energy bills in the first year alone – with seven out of 10 finding a better deal by switching retail offers. </w:t>
      </w:r>
    </w:p>
    <w:p w14:paraId="08A02764" w14:textId="77777777" w:rsidR="00332AC0" w:rsidRPr="00332AC0" w:rsidRDefault="00332AC0" w:rsidP="00332AC0">
      <w:pPr>
        <w:spacing w:before="0" w:after="0" w:line="240" w:lineRule="auto"/>
        <w:rPr>
          <w:rFonts w:cs="Arial"/>
        </w:rPr>
      </w:pPr>
    </w:p>
    <w:p w14:paraId="34AECAD9" w14:textId="7FC916BE" w:rsidR="002100F4" w:rsidRDefault="002100F4" w:rsidP="00332AC0">
      <w:pPr>
        <w:spacing w:before="0" w:after="0" w:line="240" w:lineRule="auto"/>
        <w:ind w:left="720"/>
        <w:rPr>
          <w:rFonts w:cs="Arial"/>
        </w:rPr>
      </w:pPr>
      <w:r w:rsidRPr="00332AC0">
        <w:rPr>
          <w:rFonts w:cs="Arial" w:hint="cs"/>
        </w:rPr>
        <w:t xml:space="preserve">“Speaker, this Government recognises Victorians are increasingly burdened by cost-of-living pressures. </w:t>
      </w:r>
    </w:p>
    <w:p w14:paraId="607A72F4" w14:textId="77777777" w:rsidR="00332AC0" w:rsidRPr="00332AC0" w:rsidRDefault="00332AC0" w:rsidP="00332AC0">
      <w:pPr>
        <w:spacing w:before="0" w:after="0" w:line="240" w:lineRule="auto"/>
        <w:ind w:left="720"/>
        <w:rPr>
          <w:rFonts w:cs="Arial"/>
        </w:rPr>
      </w:pPr>
    </w:p>
    <w:p w14:paraId="30A8B057" w14:textId="7370E5A9" w:rsidR="002100F4" w:rsidRDefault="002100F4" w:rsidP="00332AC0">
      <w:pPr>
        <w:spacing w:before="0" w:after="0" w:line="240" w:lineRule="auto"/>
        <w:ind w:left="720"/>
        <w:rPr>
          <w:rFonts w:cs="Arial"/>
        </w:rPr>
      </w:pPr>
      <w:r w:rsidRPr="00332AC0">
        <w:rPr>
          <w:rFonts w:cs="Arial" w:hint="cs"/>
        </w:rPr>
        <w:t xml:space="preserve">It’s why we’re investing $48 million in the Power Saving Bonus to encourage and assist Victorian households to get a better deal from electricity providers. </w:t>
      </w:r>
    </w:p>
    <w:p w14:paraId="4D278293" w14:textId="77777777" w:rsidR="00332AC0" w:rsidRPr="00332AC0" w:rsidRDefault="00332AC0" w:rsidP="00332AC0">
      <w:pPr>
        <w:spacing w:before="0" w:after="0" w:line="240" w:lineRule="auto"/>
        <w:ind w:left="720"/>
        <w:rPr>
          <w:rFonts w:cs="Arial"/>
        </w:rPr>
      </w:pPr>
    </w:p>
    <w:p w14:paraId="5281B459" w14:textId="5D0AEA98" w:rsidR="002100F4" w:rsidRDefault="002100F4" w:rsidP="00332AC0">
      <w:pPr>
        <w:spacing w:before="0" w:after="0" w:line="240" w:lineRule="auto"/>
        <w:ind w:left="720"/>
        <w:rPr>
          <w:rFonts w:cs="Arial"/>
        </w:rPr>
      </w:pPr>
      <w:r w:rsidRPr="00332AC0">
        <w:rPr>
          <w:rFonts w:cs="Arial" w:hint="cs"/>
        </w:rPr>
        <w:t>Not only will they receive a $50 bonus for using our Energy Compare website, they could save hundreds of dollars a year off their electricity bills”</w:t>
      </w:r>
      <w:r w:rsidRPr="00332AC0">
        <w:rPr>
          <w:rStyle w:val="FootnoteReference"/>
          <w:rFonts w:cs="Arial" w:hint="cs"/>
        </w:rPr>
        <w:footnoteReference w:id="24"/>
      </w:r>
    </w:p>
    <w:p w14:paraId="06D6A47C" w14:textId="77777777" w:rsidR="00332AC0" w:rsidRPr="00332AC0" w:rsidRDefault="00332AC0" w:rsidP="00332AC0">
      <w:pPr>
        <w:spacing w:before="0" w:after="0" w:line="240" w:lineRule="auto"/>
        <w:ind w:left="720"/>
        <w:rPr>
          <w:rFonts w:cs="Arial"/>
        </w:rPr>
      </w:pPr>
    </w:p>
    <w:p w14:paraId="54F0A3C1" w14:textId="0313D7F6" w:rsidR="002100F4" w:rsidRDefault="002100F4" w:rsidP="00332AC0">
      <w:pPr>
        <w:spacing w:before="0" w:after="0" w:line="240" w:lineRule="auto"/>
        <w:rPr>
          <w:rFonts w:cs="Arial"/>
        </w:rPr>
      </w:pPr>
      <w:r w:rsidRPr="00332AC0">
        <w:rPr>
          <w:rFonts w:cs="Arial" w:hint="cs"/>
        </w:rPr>
        <w:t>The scheme commenced in July 2018 and it is estimated that in the first month 300,000 Victorians had visited the website with about 77,000 claiming the bonus.</w:t>
      </w:r>
      <w:r w:rsidRPr="00332AC0">
        <w:rPr>
          <w:rStyle w:val="FootnoteReference"/>
          <w:rFonts w:cs="Arial" w:hint="cs"/>
        </w:rPr>
        <w:footnoteReference w:id="25"/>
      </w:r>
      <w:r w:rsidRPr="00332AC0">
        <w:rPr>
          <w:rFonts w:cs="Arial" w:hint="cs"/>
        </w:rPr>
        <w:t xml:space="preserve"> The Victorian Government also undertook an advertising campaign to promote the scheme.</w:t>
      </w:r>
    </w:p>
    <w:p w14:paraId="2B50A76C" w14:textId="77777777" w:rsidR="00332AC0" w:rsidRPr="00332AC0" w:rsidRDefault="00332AC0" w:rsidP="00332AC0">
      <w:pPr>
        <w:spacing w:before="0" w:after="0" w:line="240" w:lineRule="auto"/>
        <w:rPr>
          <w:rFonts w:cs="Arial"/>
        </w:rPr>
      </w:pPr>
    </w:p>
    <w:p w14:paraId="2EC712C2" w14:textId="5033B6C6" w:rsidR="002100F4" w:rsidRDefault="002100F4" w:rsidP="00332AC0">
      <w:pPr>
        <w:spacing w:before="0" w:after="0" w:line="240" w:lineRule="auto"/>
        <w:rPr>
          <w:rFonts w:cs="Arial"/>
        </w:rPr>
      </w:pPr>
      <w:r w:rsidRPr="00332AC0">
        <w:rPr>
          <w:rFonts w:cs="Arial" w:hint="cs"/>
        </w:rPr>
        <w:t xml:space="preserve">The Victorian Government has since extended the existing Power Saving Bonus to 30 June 2020. </w:t>
      </w:r>
    </w:p>
    <w:p w14:paraId="6AF7A0EB" w14:textId="77777777" w:rsidR="00332AC0" w:rsidRPr="00332AC0" w:rsidRDefault="00332AC0" w:rsidP="00332AC0">
      <w:pPr>
        <w:spacing w:before="0" w:after="0" w:line="240" w:lineRule="auto"/>
        <w:rPr>
          <w:rFonts w:eastAsia="Times New Roman" w:cs="Arial"/>
          <w:lang w:eastAsia="en-AU"/>
        </w:rPr>
      </w:pPr>
    </w:p>
    <w:p w14:paraId="262768AE" w14:textId="38E55327" w:rsidR="002100F4" w:rsidRDefault="002100F4" w:rsidP="00332AC0">
      <w:pPr>
        <w:spacing w:before="0" w:after="0" w:line="240" w:lineRule="auto"/>
        <w:rPr>
          <w:rFonts w:cs="Arial"/>
          <w:b/>
          <w:bCs/>
        </w:rPr>
      </w:pPr>
      <w:r w:rsidRPr="00332AC0">
        <w:rPr>
          <w:rFonts w:cs="Arial" w:hint="cs"/>
          <w:b/>
          <w:bCs/>
        </w:rPr>
        <w:t>Implement an Active Consumer Week – creating a prompt</w:t>
      </w:r>
    </w:p>
    <w:p w14:paraId="50B3DBB4" w14:textId="77777777" w:rsidR="00332AC0" w:rsidRPr="00332AC0" w:rsidRDefault="00332AC0" w:rsidP="00332AC0">
      <w:pPr>
        <w:spacing w:before="0" w:after="0" w:line="240" w:lineRule="auto"/>
        <w:rPr>
          <w:rFonts w:cs="Arial"/>
          <w:b/>
          <w:bCs/>
        </w:rPr>
      </w:pPr>
    </w:p>
    <w:p w14:paraId="50E7AAA2" w14:textId="1F006EBF" w:rsidR="002100F4" w:rsidRDefault="002100F4" w:rsidP="00332AC0">
      <w:pPr>
        <w:spacing w:before="0" w:after="0" w:line="240" w:lineRule="auto"/>
        <w:rPr>
          <w:rFonts w:cs="Arial"/>
        </w:rPr>
      </w:pPr>
      <w:r w:rsidRPr="00332AC0">
        <w:rPr>
          <w:rFonts w:cs="Arial" w:hint="cs"/>
        </w:rPr>
        <w:t>The Social Market Foundation notes that evidence consistently suggests a significant proportion of the UK population are not motivated to engage with achieving better value in many consumer markets.</w:t>
      </w:r>
      <w:r w:rsidR="00E132A7" w:rsidRPr="00332AC0">
        <w:rPr>
          <w:rStyle w:val="FootnoteReference"/>
          <w:rFonts w:cs="Arial" w:hint="cs"/>
          <w:b/>
          <w:bCs/>
        </w:rPr>
        <w:footnoteReference w:id="26"/>
      </w:r>
      <w:r w:rsidRPr="00332AC0">
        <w:rPr>
          <w:rFonts w:cs="Arial" w:hint="cs"/>
        </w:rPr>
        <w:t xml:space="preserve"> </w:t>
      </w:r>
    </w:p>
    <w:p w14:paraId="6EA54D81" w14:textId="77777777" w:rsidR="00332AC0" w:rsidRPr="00332AC0" w:rsidRDefault="00332AC0" w:rsidP="00332AC0">
      <w:pPr>
        <w:spacing w:before="0" w:after="0" w:line="240" w:lineRule="auto"/>
        <w:rPr>
          <w:rFonts w:cs="Arial"/>
        </w:rPr>
      </w:pPr>
    </w:p>
    <w:p w14:paraId="6289F75E" w14:textId="569B4FF0" w:rsidR="002100F4" w:rsidRDefault="002100F4" w:rsidP="00332AC0">
      <w:pPr>
        <w:spacing w:before="0" w:after="0" w:line="240" w:lineRule="auto"/>
        <w:rPr>
          <w:rFonts w:cs="Arial"/>
        </w:rPr>
      </w:pPr>
      <w:r w:rsidRPr="00332AC0">
        <w:rPr>
          <w:rFonts w:cs="Arial" w:hint="cs"/>
        </w:rPr>
        <w:t>It believes that there “would be considerable benefits to a policy that could overcome some of the motivational barriers to consumer engagement.”</w:t>
      </w:r>
    </w:p>
    <w:p w14:paraId="1F56909E" w14:textId="77777777" w:rsidR="00332AC0" w:rsidRPr="00332AC0" w:rsidRDefault="00332AC0" w:rsidP="00332AC0">
      <w:pPr>
        <w:spacing w:before="0" w:after="0" w:line="240" w:lineRule="auto"/>
        <w:rPr>
          <w:rFonts w:cs="Arial"/>
        </w:rPr>
      </w:pPr>
    </w:p>
    <w:p w14:paraId="61E3CE47" w14:textId="56F6BC7D" w:rsidR="002100F4" w:rsidRDefault="002100F4" w:rsidP="00332AC0">
      <w:pPr>
        <w:spacing w:before="0" w:after="0" w:line="240" w:lineRule="auto"/>
        <w:rPr>
          <w:rFonts w:cs="Arial"/>
        </w:rPr>
      </w:pPr>
      <w:r w:rsidRPr="00332AC0">
        <w:rPr>
          <w:rFonts w:cs="Arial" w:hint="cs"/>
        </w:rPr>
        <w:t xml:space="preserve"> The SMF proposes that stakeholders hold a national Active Consumer Week (ACW) once a year. An ACW could involve coordination between regulators and industry around encouraging consumers to look around for the best deal. A benefit of the ACW is that consumers engaged </w:t>
      </w:r>
      <w:r w:rsidRPr="00332AC0">
        <w:rPr>
          <w:rFonts w:cs="Arial"/>
        </w:rPr>
        <w:t>by</w:t>
      </w:r>
      <w:r w:rsidRPr="00332AC0">
        <w:rPr>
          <w:rFonts w:cs="Arial" w:hint="cs"/>
        </w:rPr>
        <w:t xml:space="preserve"> this week would have the mental load of ‘shopping around’ limited to a shorter time period rather than leaving it open for the whole year and susceptible to falling behind day-to-day life.</w:t>
      </w:r>
    </w:p>
    <w:p w14:paraId="52A9DF00" w14:textId="77777777" w:rsidR="00332AC0" w:rsidRPr="00332AC0" w:rsidRDefault="00332AC0" w:rsidP="00332AC0">
      <w:pPr>
        <w:spacing w:before="0" w:after="0" w:line="240" w:lineRule="auto"/>
        <w:rPr>
          <w:rFonts w:cs="Arial"/>
        </w:rPr>
      </w:pPr>
    </w:p>
    <w:p w14:paraId="0B023F68" w14:textId="77777777" w:rsidR="00332AC0" w:rsidRDefault="002100F4" w:rsidP="00332AC0">
      <w:pPr>
        <w:spacing w:before="0" w:after="0" w:line="240" w:lineRule="auto"/>
        <w:rPr>
          <w:rFonts w:cs="Arial"/>
        </w:rPr>
      </w:pPr>
      <w:r w:rsidRPr="00332AC0">
        <w:rPr>
          <w:rFonts w:cs="Arial" w:hint="cs"/>
        </w:rPr>
        <w:t>The concept of an awareness week is not unfamiliar to the Government with the Australian Government currently running the following awareness weeks:</w:t>
      </w:r>
    </w:p>
    <w:p w14:paraId="7B6D60AB" w14:textId="59DCE9CD" w:rsidR="002100F4" w:rsidRPr="00332AC0" w:rsidRDefault="002100F4" w:rsidP="00332AC0">
      <w:pPr>
        <w:spacing w:before="0" w:after="0" w:line="240" w:lineRule="auto"/>
        <w:rPr>
          <w:rFonts w:cs="Arial"/>
        </w:rPr>
      </w:pPr>
      <w:r w:rsidRPr="00332AC0">
        <w:rPr>
          <w:rFonts w:cs="Arial" w:hint="cs"/>
        </w:rPr>
        <w:fldChar w:fldCharType="begin"/>
      </w:r>
      <w:r w:rsidRPr="00332AC0">
        <w:rPr>
          <w:rFonts w:cs="Arial" w:hint="cs"/>
        </w:rPr>
        <w:instrText xml:space="preserve"> HYPERLINK "https://www.staysmartonline.gov.au/get-involved/stay-smart-online-week" </w:instrText>
      </w:r>
      <w:r w:rsidRPr="00332AC0">
        <w:rPr>
          <w:rFonts w:cs="Arial" w:hint="cs"/>
        </w:rPr>
        <w:fldChar w:fldCharType="separate"/>
      </w:r>
    </w:p>
    <w:p w14:paraId="2E226906" w14:textId="77777777" w:rsidR="002100F4" w:rsidRPr="00332AC0" w:rsidRDefault="002100F4" w:rsidP="00332AC0">
      <w:pPr>
        <w:pStyle w:val="Heading3"/>
        <w:numPr>
          <w:ilvl w:val="0"/>
          <w:numId w:val="51"/>
        </w:numPr>
        <w:spacing w:before="0" w:after="0" w:line="240" w:lineRule="auto"/>
        <w:rPr>
          <w:rFonts w:eastAsiaTheme="minorHAnsi" w:cs="Arial"/>
          <w:b w:val="0"/>
          <w:bCs/>
          <w:color w:val="001B31" w:themeColor="text2"/>
          <w:sz w:val="20"/>
          <w:szCs w:val="20"/>
        </w:rPr>
      </w:pPr>
      <w:r w:rsidRPr="00332AC0">
        <w:rPr>
          <w:rFonts w:eastAsiaTheme="minorHAnsi" w:cs="Arial" w:hint="cs"/>
          <w:b w:val="0"/>
          <w:bCs/>
          <w:color w:val="001B31" w:themeColor="text2"/>
          <w:sz w:val="20"/>
          <w:szCs w:val="20"/>
        </w:rPr>
        <w:t>Stay Smart Online Week (ACSC) - an annual event focused on empowering people, businesses and the community to protect themselves online.</w:t>
      </w:r>
    </w:p>
    <w:p w14:paraId="7923CA0B" w14:textId="77777777" w:rsidR="002100F4" w:rsidRPr="00332AC0" w:rsidRDefault="002100F4" w:rsidP="00332AC0">
      <w:pPr>
        <w:pStyle w:val="ListParagraph"/>
        <w:numPr>
          <w:ilvl w:val="0"/>
          <w:numId w:val="51"/>
        </w:numPr>
        <w:spacing w:before="0" w:after="0" w:line="240" w:lineRule="auto"/>
        <w:rPr>
          <w:rFonts w:cs="Arial"/>
        </w:rPr>
      </w:pPr>
      <w:r w:rsidRPr="00332AC0">
        <w:rPr>
          <w:rFonts w:cs="Arial" w:hint="cs"/>
        </w:rPr>
        <w:fldChar w:fldCharType="end"/>
      </w:r>
      <w:r w:rsidRPr="00332AC0">
        <w:rPr>
          <w:rFonts w:cs="Arial" w:hint="cs"/>
        </w:rPr>
        <w:t>Privacy Awareness Week (OAIC) - an annual event that highlights the importance of protecting personal information and helps organisations, agencies and the public navigate the privacy landscape.</w:t>
      </w:r>
    </w:p>
    <w:p w14:paraId="6D0AF10B" w14:textId="77777777" w:rsidR="002100F4" w:rsidRPr="00332AC0" w:rsidRDefault="002100F4" w:rsidP="00332AC0">
      <w:pPr>
        <w:pStyle w:val="ListParagraph"/>
        <w:numPr>
          <w:ilvl w:val="0"/>
          <w:numId w:val="51"/>
        </w:numPr>
        <w:spacing w:before="0" w:after="0" w:line="240" w:lineRule="auto"/>
        <w:rPr>
          <w:rFonts w:cs="Arial"/>
        </w:rPr>
      </w:pPr>
      <w:r w:rsidRPr="00332AC0">
        <w:rPr>
          <w:rFonts w:cs="Arial" w:hint="cs"/>
        </w:rPr>
        <w:t>Scam Awareness Week (ACCC) - an annual awareness-raising week which aims to minimise the impact of scams on the community by raising awareness and promoting education about ways to detect and avoid scams.</w:t>
      </w:r>
    </w:p>
    <w:sectPr w:rsidR="002100F4" w:rsidRPr="00332AC0" w:rsidSect="00434EFA">
      <w:headerReference w:type="default" r:id="rId30"/>
      <w:footerReference w:type="default" r:id="rId31"/>
      <w:headerReference w:type="first" r:id="rId32"/>
      <w:footerReference w:type="first" r:id="rId33"/>
      <w:pgSz w:w="11906" w:h="16838" w:code="9"/>
      <w:pgMar w:top="1418" w:right="1274" w:bottom="1701" w:left="1559" w:header="687"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90CD" w14:textId="77777777" w:rsidR="00CE2F2F" w:rsidRDefault="00CE2F2F" w:rsidP="00133F49">
      <w:pPr>
        <w:spacing w:before="0" w:after="0" w:line="240" w:lineRule="auto"/>
      </w:pPr>
      <w:r>
        <w:separator/>
      </w:r>
    </w:p>
  </w:endnote>
  <w:endnote w:type="continuationSeparator" w:id="0">
    <w:p w14:paraId="760EFE75" w14:textId="77777777" w:rsidR="00CE2F2F" w:rsidRDefault="00CE2F2F" w:rsidP="00133F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LT Pro">
    <w:altName w:val="Arial"/>
    <w:panose1 w:val="00000000000000000000"/>
    <w:charset w:val="00"/>
    <w:family w:val="swiss"/>
    <w:notTrueType/>
    <w:pitch w:val="variable"/>
    <w:sig w:usb0="A00002AF" w:usb1="5000204A"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1185" w14:textId="77777777" w:rsidR="00066E06" w:rsidRPr="008B782F" w:rsidRDefault="00066E06" w:rsidP="004B593A">
    <w:pPr>
      <w:pStyle w:val="Footer"/>
      <w:rPr>
        <w:color w:val="808080" w:themeColor="background1" w:themeShade="80"/>
        <w:sz w:val="11"/>
        <w:szCs w:val="11"/>
      </w:rPr>
    </w:pPr>
    <w:r w:rsidRPr="008B782F">
      <w:rPr>
        <w:color w:val="808080" w:themeColor="background1" w:themeShade="80"/>
        <w:sz w:val="11"/>
        <w:szCs w:val="11"/>
      </w:rPr>
      <w:t>Customer Owned Banking Association Limited ABN 98 137 780 897</w:t>
    </w:r>
    <w:r>
      <w:rPr>
        <w:color w:val="808080" w:themeColor="background1" w:themeShade="80"/>
        <w:sz w:val="11"/>
        <w:szCs w:val="11"/>
      </w:rPr>
      <w:tab/>
    </w:r>
    <w:r>
      <w:rPr>
        <w:color w:val="808080" w:themeColor="background1" w:themeShade="80"/>
        <w:sz w:val="11"/>
        <w:szCs w:val="11"/>
      </w:rPr>
      <w:tab/>
    </w:r>
    <w:r w:rsidRPr="002A10CF">
      <w:rPr>
        <w:color w:val="808080" w:themeColor="background1" w:themeShade="80"/>
        <w:sz w:val="11"/>
        <w:szCs w:val="11"/>
      </w:rPr>
      <w:fldChar w:fldCharType="begin"/>
    </w:r>
    <w:r w:rsidRPr="002A10CF">
      <w:rPr>
        <w:color w:val="808080" w:themeColor="background1" w:themeShade="80"/>
        <w:sz w:val="11"/>
        <w:szCs w:val="11"/>
      </w:rPr>
      <w:instrText xml:space="preserve"> PAGE   \* MERGEFORMAT </w:instrText>
    </w:r>
    <w:r w:rsidRPr="002A10CF">
      <w:rPr>
        <w:color w:val="808080" w:themeColor="background1" w:themeShade="80"/>
        <w:sz w:val="11"/>
        <w:szCs w:val="11"/>
      </w:rPr>
      <w:fldChar w:fldCharType="separate"/>
    </w:r>
    <w:r w:rsidRPr="002A10CF">
      <w:rPr>
        <w:noProof/>
        <w:color w:val="808080" w:themeColor="background1" w:themeShade="80"/>
        <w:sz w:val="11"/>
        <w:szCs w:val="11"/>
      </w:rPr>
      <w:t>1</w:t>
    </w:r>
    <w:r w:rsidRPr="002A10CF">
      <w:rPr>
        <w:noProof/>
        <w:color w:val="808080" w:themeColor="background1" w:themeShade="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F047" w14:textId="77777777" w:rsidR="00066E06" w:rsidRPr="00BE57AC" w:rsidRDefault="00066E06">
    <w:pPr>
      <w:pStyle w:val="Footer"/>
      <w:rPr>
        <w:color w:val="808080" w:themeColor="background1" w:themeShade="80"/>
        <w:sz w:val="11"/>
        <w:szCs w:val="11"/>
      </w:rPr>
    </w:pPr>
    <w:r w:rsidRPr="008B782F">
      <w:rPr>
        <w:noProof/>
        <w:color w:val="808080" w:themeColor="background1" w:themeShade="80"/>
        <w:sz w:val="11"/>
        <w:szCs w:val="11"/>
      </w:rPr>
      <mc:AlternateContent>
        <mc:Choice Requires="wps">
          <w:drawing>
            <wp:anchor distT="0" distB="0" distL="114300" distR="114300" simplePos="0" relativeHeight="251658240" behindDoc="1" locked="0" layoutInCell="1" allowOverlap="1" wp14:anchorId="1026301F" wp14:editId="2410D913">
              <wp:simplePos x="0" y="0"/>
              <wp:positionH relativeFrom="page">
                <wp:posOffset>5200650</wp:posOffset>
              </wp:positionH>
              <wp:positionV relativeFrom="page">
                <wp:posOffset>9677400</wp:posOffset>
              </wp:positionV>
              <wp:extent cx="2371725"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71725" cy="1143000"/>
                      </a:xfrm>
                      <a:prstGeom prst="rect">
                        <a:avLst/>
                      </a:prstGeom>
                      <a:noFill/>
                      <a:ln w="6350">
                        <a:noFill/>
                      </a:ln>
                    </wps:spPr>
                    <wps:txbx>
                      <w:txbxContent>
                        <w:p w14:paraId="35647024" w14:textId="77777777" w:rsidR="00066E06" w:rsidRDefault="00066E06" w:rsidP="00BE57AC">
                          <w:pPr>
                            <w:spacing w:before="0" w:after="0" w:line="180" w:lineRule="exact"/>
                            <w:rPr>
                              <w:sz w:val="14"/>
                              <w:szCs w:val="14"/>
                            </w:rPr>
                          </w:pPr>
                          <w:r w:rsidRPr="004B593A">
                            <w:rPr>
                              <w:sz w:val="14"/>
                              <w:szCs w:val="14"/>
                            </w:rPr>
                            <w:t>Suite 403, Level 4, 151 Castlereagh Street,</w:t>
                          </w:r>
                          <w:r w:rsidRPr="004B593A">
                            <w:rPr>
                              <w:sz w:val="14"/>
                              <w:szCs w:val="14"/>
                            </w:rPr>
                            <w:br/>
                            <w:t>Sydney NSW 2000</w:t>
                          </w:r>
                        </w:p>
                        <w:p w14:paraId="692EDE6E" w14:textId="77777777" w:rsidR="00066E06" w:rsidRPr="004B593A" w:rsidRDefault="00066E06" w:rsidP="00BE57AC">
                          <w:pPr>
                            <w:spacing w:before="100" w:after="0" w:line="180" w:lineRule="exact"/>
                            <w:rPr>
                              <w:sz w:val="14"/>
                              <w:szCs w:val="14"/>
                            </w:rPr>
                          </w:pPr>
                          <w:r>
                            <w:rPr>
                              <w:sz w:val="14"/>
                              <w:szCs w:val="14"/>
                            </w:rPr>
                            <w:t>Suite 4C, 16 National Circuit,</w:t>
                          </w:r>
                          <w:r>
                            <w:rPr>
                              <w:sz w:val="14"/>
                              <w:szCs w:val="14"/>
                            </w:rPr>
                            <w:br/>
                            <w:t>Barton ACT 2600</w:t>
                          </w:r>
                        </w:p>
                        <w:p w14:paraId="46181B7F" w14:textId="77777777" w:rsidR="00066E06" w:rsidRPr="004B593A" w:rsidRDefault="00066E06" w:rsidP="00BE57AC">
                          <w:pPr>
                            <w:spacing w:before="100" w:after="0" w:line="180" w:lineRule="exact"/>
                            <w:rPr>
                              <w:b/>
                              <w:color w:val="006182" w:themeColor="accent1"/>
                              <w:sz w:val="14"/>
                              <w:szCs w:val="14"/>
                            </w:rPr>
                          </w:pPr>
                          <w:r w:rsidRPr="004B593A">
                            <w:rPr>
                              <w:b/>
                              <w:color w:val="006182" w:themeColor="accent1"/>
                              <w:sz w:val="14"/>
                              <w:szCs w:val="14"/>
                            </w:rPr>
                            <w:t>Customerownedbanking.asn.au</w:t>
                          </w:r>
                        </w:p>
                      </w:txbxContent>
                    </wps:txbx>
                    <wps:bodyPr rot="0" spcFirstLastPara="0" vertOverflow="overflow" horzOverflow="overflow" vert="horz" wrap="square" lIns="0" tIns="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6301F" id="_x0000_t202" coordsize="21600,21600" o:spt="202" path="m,l,21600r21600,l21600,xe">
              <v:stroke joinstyle="miter"/>
              <v:path gradientshapeok="t" o:connecttype="rect"/>
            </v:shapetype>
            <v:shape id="Text Box 3" o:spid="_x0000_s1027" type="#_x0000_t202" style="position:absolute;margin-left:409.5pt;margin-top:762pt;width:186.75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" filled="f" stroked="f" strokeweight=".5pt">
              <v:textbox inset="0,0,12mm,12mm">
                <w:txbxContent>
                  <w:p w14:paraId="35647024" w14:textId="77777777" w:rsidR="00066E06" w:rsidRDefault="00066E06" w:rsidP="00BE57AC">
                    <w:pPr>
                      <w:spacing w:before="0" w:after="0" w:line="180" w:lineRule="exact"/>
                      <w:rPr>
                        <w:sz w:val="14"/>
                        <w:szCs w:val="14"/>
                      </w:rPr>
                    </w:pPr>
                    <w:r w:rsidRPr="004B593A">
                      <w:rPr>
                        <w:sz w:val="14"/>
                        <w:szCs w:val="14"/>
                      </w:rPr>
                      <w:t>Suite 403, Level 4, 151 Castlereagh Street,</w:t>
                    </w:r>
                    <w:r w:rsidRPr="004B593A">
                      <w:rPr>
                        <w:sz w:val="14"/>
                        <w:szCs w:val="14"/>
                      </w:rPr>
                      <w:br/>
                      <w:t>Sydney NSW 2000</w:t>
                    </w:r>
                  </w:p>
                  <w:p w14:paraId="692EDE6E" w14:textId="77777777" w:rsidR="00066E06" w:rsidRPr="004B593A" w:rsidRDefault="00066E06" w:rsidP="00BE57AC">
                    <w:pPr>
                      <w:spacing w:before="100" w:after="0" w:line="180" w:lineRule="exact"/>
                      <w:rPr>
                        <w:sz w:val="14"/>
                        <w:szCs w:val="14"/>
                      </w:rPr>
                    </w:pPr>
                    <w:r>
                      <w:rPr>
                        <w:sz w:val="14"/>
                        <w:szCs w:val="14"/>
                      </w:rPr>
                      <w:t>Suite 4C, 16 National Circuit,</w:t>
                    </w:r>
                    <w:r>
                      <w:rPr>
                        <w:sz w:val="14"/>
                        <w:szCs w:val="14"/>
                      </w:rPr>
                      <w:br/>
                      <w:t>Barton ACT 2600</w:t>
                    </w:r>
                  </w:p>
                  <w:p w14:paraId="46181B7F" w14:textId="77777777" w:rsidR="00066E06" w:rsidRPr="004B593A" w:rsidRDefault="00066E06" w:rsidP="00BE57AC">
                    <w:pPr>
                      <w:spacing w:before="100" w:after="0" w:line="180" w:lineRule="exact"/>
                      <w:rPr>
                        <w:b/>
                        <w:color w:val="006182" w:themeColor="accent1"/>
                        <w:sz w:val="14"/>
                        <w:szCs w:val="14"/>
                      </w:rPr>
                    </w:pPr>
                    <w:r w:rsidRPr="004B593A">
                      <w:rPr>
                        <w:b/>
                        <w:color w:val="006182" w:themeColor="accent1"/>
                        <w:sz w:val="14"/>
                        <w:szCs w:val="14"/>
                      </w:rPr>
                      <w:t>Customerownedbanking.asn.au</w:t>
                    </w:r>
                  </w:p>
                </w:txbxContent>
              </v:textbox>
              <w10:wrap anchorx="page" anchory="page"/>
            </v:shape>
          </w:pict>
        </mc:Fallback>
      </mc:AlternateContent>
    </w:r>
    <w:r w:rsidRPr="008B782F">
      <w:rPr>
        <w:color w:val="808080" w:themeColor="background1" w:themeShade="80"/>
        <w:sz w:val="11"/>
        <w:szCs w:val="11"/>
      </w:rPr>
      <w:t>Customer Owned Banking Association Limited ABN 98 137 780 897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FB75" w14:textId="77777777" w:rsidR="00CE2F2F" w:rsidRDefault="00CE2F2F" w:rsidP="00133F49">
      <w:pPr>
        <w:spacing w:before="0" w:after="0" w:line="240" w:lineRule="auto"/>
      </w:pPr>
      <w:r>
        <w:separator/>
      </w:r>
    </w:p>
  </w:footnote>
  <w:footnote w:type="continuationSeparator" w:id="0">
    <w:p w14:paraId="25C10D18" w14:textId="77777777" w:rsidR="00CE2F2F" w:rsidRDefault="00CE2F2F" w:rsidP="00133F49">
      <w:pPr>
        <w:spacing w:before="0" w:after="0" w:line="240" w:lineRule="auto"/>
      </w:pPr>
      <w:r>
        <w:continuationSeparator/>
      </w:r>
    </w:p>
  </w:footnote>
  <w:footnote w:id="1">
    <w:p w14:paraId="1E654C6C" w14:textId="05EB9E0E" w:rsidR="00066E06" w:rsidRPr="00DC1475" w:rsidRDefault="00066E06" w:rsidP="00434EFA">
      <w:pPr>
        <w:pStyle w:val="Footnote"/>
        <w:rPr>
          <w:lang w:val="en-US"/>
        </w:rPr>
      </w:pPr>
      <w:r>
        <w:rPr>
          <w:rStyle w:val="FootnoteReference"/>
        </w:rPr>
        <w:footnoteRef/>
      </w:r>
      <w:r>
        <w:t xml:space="preserve"> </w:t>
      </w:r>
      <w:r>
        <w:rPr>
          <w:lang w:val="en-US"/>
        </w:rPr>
        <w:t>ACCC appearance before House of Representatives Economics Committee, 18 September 2019</w:t>
      </w:r>
    </w:p>
  </w:footnote>
  <w:footnote w:id="2">
    <w:p w14:paraId="1A203197" w14:textId="3E3C3A66" w:rsidR="00066E06" w:rsidRPr="00DC1475" w:rsidRDefault="00066E06" w:rsidP="00434EFA">
      <w:pPr>
        <w:pStyle w:val="Footnote"/>
        <w:rPr>
          <w:lang w:val="en-US"/>
        </w:rPr>
      </w:pPr>
      <w:r>
        <w:rPr>
          <w:rStyle w:val="FootnoteReference"/>
        </w:rPr>
        <w:footnoteRef/>
      </w:r>
      <w:r>
        <w:t xml:space="preserve"> </w:t>
      </w:r>
      <w:r>
        <w:rPr>
          <w:lang w:val="en-US"/>
        </w:rPr>
        <w:t xml:space="preserve">Productivity Commission 2018, </w:t>
      </w:r>
      <w:r>
        <w:t xml:space="preserve">Competition in the Australian Financial System Inquiry Report, </w:t>
      </w:r>
      <w:r>
        <w:rPr>
          <w:lang w:val="en-US"/>
        </w:rPr>
        <w:t xml:space="preserve">page 7, </w:t>
      </w:r>
      <w:r>
        <w:t xml:space="preserve">available </w:t>
      </w:r>
      <w:hyperlink r:id="rId1" w:history="1">
        <w:r w:rsidRPr="00A75805">
          <w:rPr>
            <w:rStyle w:val="Hyperlink"/>
          </w:rPr>
          <w:t>online</w:t>
        </w:r>
      </w:hyperlink>
      <w:r>
        <w:t xml:space="preserve">. </w:t>
      </w:r>
      <w:r>
        <w:rPr>
          <w:lang w:val="en-US"/>
        </w:rPr>
        <w:t xml:space="preserve"> </w:t>
      </w:r>
    </w:p>
  </w:footnote>
  <w:footnote w:id="3">
    <w:p w14:paraId="6196F831" w14:textId="2237658E" w:rsidR="00066E06" w:rsidRPr="00DC1475" w:rsidRDefault="00066E06" w:rsidP="00434EFA">
      <w:pPr>
        <w:pStyle w:val="Footnote"/>
        <w:rPr>
          <w:lang w:val="en-US"/>
        </w:rPr>
      </w:pPr>
      <w:r>
        <w:rPr>
          <w:rStyle w:val="FootnoteReference"/>
        </w:rPr>
        <w:footnoteRef/>
      </w:r>
      <w:r>
        <w:t xml:space="preserve"> </w:t>
      </w:r>
      <w:r>
        <w:rPr>
          <w:lang w:val="en-US"/>
        </w:rPr>
        <w:t xml:space="preserve">APRA Chair Wayne Byres - Speech to COBA 2019 Convention, 11 November 2019, available </w:t>
      </w:r>
      <w:hyperlink r:id="rId2" w:history="1">
        <w:r w:rsidRPr="009C3489">
          <w:rPr>
            <w:rStyle w:val="Hyperlink"/>
            <w:lang w:val="en-US"/>
          </w:rPr>
          <w:t>online</w:t>
        </w:r>
      </w:hyperlink>
      <w:r>
        <w:rPr>
          <w:lang w:val="en-US"/>
        </w:rPr>
        <w:t>.</w:t>
      </w:r>
    </w:p>
  </w:footnote>
  <w:footnote w:id="4">
    <w:p w14:paraId="219EF32E" w14:textId="74947014" w:rsidR="00066E06" w:rsidRPr="00434EFA" w:rsidRDefault="00066E06" w:rsidP="00434EFA">
      <w:pPr>
        <w:pStyle w:val="Footnote"/>
        <w:rPr>
          <w:lang w:val="en-US"/>
        </w:rPr>
      </w:pPr>
      <w:r w:rsidRPr="00434EFA">
        <w:rPr>
          <w:rStyle w:val="FootnoteReference"/>
        </w:rPr>
        <w:footnoteRef/>
      </w:r>
      <w:r w:rsidRPr="00434EFA">
        <w:t xml:space="preserve"> Forbes article: When Customers Don't Care: Lessons from 'Consumer Inertia' and Gas Prices, 20 June 2019, available </w:t>
      </w:r>
      <w:hyperlink r:id="rId3" w:anchor="d9d8c0940bff" w:history="1">
        <w:r w:rsidRPr="00434EFA">
          <w:rPr>
            <w:rStyle w:val="Hyperlink"/>
          </w:rPr>
          <w:t>online</w:t>
        </w:r>
      </w:hyperlink>
      <w:r w:rsidRPr="00434EFA">
        <w:t xml:space="preserve">. </w:t>
      </w:r>
    </w:p>
  </w:footnote>
  <w:footnote w:id="5">
    <w:p w14:paraId="39633EE6" w14:textId="36518745" w:rsidR="00066E06" w:rsidRPr="00434EFA" w:rsidRDefault="00066E06" w:rsidP="00434EFA">
      <w:pPr>
        <w:pStyle w:val="Footnote"/>
        <w:rPr>
          <w:lang w:val="en-US"/>
        </w:rPr>
      </w:pPr>
      <w:r w:rsidRPr="00434EFA">
        <w:rPr>
          <w:rStyle w:val="FootnoteReference"/>
        </w:rPr>
        <w:footnoteRef/>
      </w:r>
      <w:r w:rsidRPr="00434EFA">
        <w:t xml:space="preserve"> ACCC 2018, </w:t>
      </w:r>
      <w:r w:rsidRPr="00434EFA">
        <w:rPr>
          <w:rFonts w:cs="Arial"/>
        </w:rPr>
        <w:t>Residential Mortgage Products Price Inquiry</w:t>
      </w:r>
      <w:r w:rsidRPr="00434EFA">
        <w:t xml:space="preserve"> Final Report, page 8, available </w:t>
      </w:r>
      <w:hyperlink r:id="rId4" w:history="1">
        <w:r w:rsidRPr="00434EFA">
          <w:rPr>
            <w:rStyle w:val="Hyperlink"/>
          </w:rPr>
          <w:t>online</w:t>
        </w:r>
      </w:hyperlink>
      <w:r w:rsidRPr="00434EFA">
        <w:t>.</w:t>
      </w:r>
    </w:p>
  </w:footnote>
  <w:footnote w:id="6">
    <w:p w14:paraId="68873829" w14:textId="0907AD79" w:rsidR="00066E06" w:rsidRPr="00434EFA" w:rsidRDefault="00066E06" w:rsidP="00434EFA">
      <w:pPr>
        <w:pStyle w:val="Footnote"/>
        <w:rPr>
          <w:lang w:val="en-US"/>
        </w:rPr>
      </w:pPr>
      <w:r w:rsidRPr="00434EFA">
        <w:rPr>
          <w:rStyle w:val="FootnoteReference"/>
        </w:rPr>
        <w:footnoteRef/>
      </w:r>
      <w:r w:rsidRPr="00434EFA">
        <w:t xml:space="preserve"> Based on costs in ASIC </w:t>
      </w:r>
      <w:proofErr w:type="spellStart"/>
      <w:r w:rsidRPr="00434EFA">
        <w:t>Money</w:t>
      </w:r>
      <w:r w:rsidR="005E2367">
        <w:t>S</w:t>
      </w:r>
      <w:r w:rsidRPr="00434EFA">
        <w:t>mart</w:t>
      </w:r>
      <w:proofErr w:type="spellEnd"/>
      <w:r w:rsidRPr="00434EFA">
        <w:t xml:space="preserve">: Australian Spending Habits, available </w:t>
      </w:r>
      <w:hyperlink r:id="rId5" w:history="1">
        <w:r w:rsidRPr="00434EFA">
          <w:rPr>
            <w:rStyle w:val="Hyperlink"/>
          </w:rPr>
          <w:t>online</w:t>
        </w:r>
      </w:hyperlink>
      <w:r w:rsidRPr="00434EFA">
        <w:t>.</w:t>
      </w:r>
    </w:p>
  </w:footnote>
  <w:footnote w:id="7">
    <w:p w14:paraId="3DDCDA90" w14:textId="29DBC607" w:rsidR="00066E06" w:rsidRPr="00434EFA" w:rsidRDefault="00066E06" w:rsidP="00434EFA">
      <w:pPr>
        <w:pStyle w:val="Footnote"/>
        <w:rPr>
          <w:lang w:val="en-US"/>
        </w:rPr>
      </w:pPr>
      <w:r w:rsidRPr="00434EFA">
        <w:rPr>
          <w:rStyle w:val="FootnoteReference"/>
        </w:rPr>
        <w:footnoteRef/>
      </w:r>
      <w:r w:rsidRPr="00434EFA">
        <w:t xml:space="preserve"> ACCC 2018, </w:t>
      </w:r>
      <w:r w:rsidRPr="00434EFA">
        <w:rPr>
          <w:rFonts w:cs="Arial"/>
        </w:rPr>
        <w:t>Residential Mortgage Products Price Inquiry</w:t>
      </w:r>
      <w:r w:rsidRPr="00434EFA">
        <w:t xml:space="preserve"> Final Report, page 7, available </w:t>
      </w:r>
      <w:hyperlink r:id="rId6" w:history="1">
        <w:r w:rsidRPr="00434EFA">
          <w:rPr>
            <w:rStyle w:val="Hyperlink"/>
          </w:rPr>
          <w:t>online</w:t>
        </w:r>
      </w:hyperlink>
      <w:r w:rsidRPr="00434EFA">
        <w:rPr>
          <w:rStyle w:val="Hyperlink"/>
        </w:rPr>
        <w:t>.</w:t>
      </w:r>
    </w:p>
  </w:footnote>
  <w:footnote w:id="8">
    <w:p w14:paraId="33E9CB39" w14:textId="27AB74F5" w:rsidR="00066E06" w:rsidRPr="00434EFA" w:rsidRDefault="00066E06" w:rsidP="00434EFA">
      <w:pPr>
        <w:pStyle w:val="Footnote"/>
        <w:rPr>
          <w:lang w:val="en-US"/>
        </w:rPr>
      </w:pPr>
      <w:r w:rsidRPr="00434EFA">
        <w:rPr>
          <w:rStyle w:val="FootnoteReference"/>
        </w:rPr>
        <w:footnoteRef/>
      </w:r>
      <w:r w:rsidRPr="00434EFA">
        <w:t xml:space="preserve"> RBA 2019, Statement on Monetary Policy, November 2019, page 59, available </w:t>
      </w:r>
      <w:hyperlink r:id="rId7" w:history="1">
        <w:r w:rsidRPr="00434EFA">
          <w:rPr>
            <w:rStyle w:val="Hyperlink"/>
          </w:rPr>
          <w:t>online</w:t>
        </w:r>
      </w:hyperlink>
      <w:r w:rsidRPr="00434EFA">
        <w:t xml:space="preserve">. </w:t>
      </w:r>
    </w:p>
  </w:footnote>
  <w:footnote w:id="9">
    <w:p w14:paraId="59C7F02C" w14:textId="68DC130C" w:rsidR="00066E06" w:rsidRPr="00434EFA" w:rsidRDefault="00066E06" w:rsidP="00434EFA">
      <w:pPr>
        <w:pStyle w:val="Footnote"/>
        <w:rPr>
          <w:lang w:val="en-US"/>
        </w:rPr>
      </w:pPr>
      <w:r w:rsidRPr="00434EFA">
        <w:rPr>
          <w:rStyle w:val="FootnoteReference"/>
        </w:rPr>
        <w:footnoteRef/>
      </w:r>
      <w:r w:rsidRPr="00434EFA">
        <w:t xml:space="preserve"> Uno Home Loans 2019 Household financial Waste Report, available </w:t>
      </w:r>
      <w:hyperlink r:id="rId8" w:history="1">
        <w:r w:rsidRPr="00434EFA">
          <w:rPr>
            <w:rStyle w:val="Hyperlink"/>
          </w:rPr>
          <w:t>online</w:t>
        </w:r>
      </w:hyperlink>
      <w:r w:rsidRPr="00434EFA">
        <w:t xml:space="preserve">.  </w:t>
      </w:r>
    </w:p>
  </w:footnote>
  <w:footnote w:id="10">
    <w:p w14:paraId="01B93432" w14:textId="2DE0A1CD" w:rsidR="00066E06" w:rsidRPr="003D3725" w:rsidRDefault="00066E06" w:rsidP="00434EFA">
      <w:pPr>
        <w:pStyle w:val="Footnote"/>
        <w:rPr>
          <w:lang w:val="en-US"/>
        </w:rPr>
      </w:pPr>
      <w:r w:rsidRPr="00434EFA">
        <w:rPr>
          <w:rStyle w:val="FootnoteReference"/>
        </w:rPr>
        <w:footnoteRef/>
      </w:r>
      <w:r w:rsidRPr="00434EFA">
        <w:t xml:space="preserve"> AFR 2019, Bank Loyalty Tax has doubled to 6 billion since June, 11, available </w:t>
      </w:r>
      <w:hyperlink r:id="rId9" w:history="1">
        <w:r w:rsidRPr="00434EFA">
          <w:rPr>
            <w:rStyle w:val="Hyperlink"/>
          </w:rPr>
          <w:t>online</w:t>
        </w:r>
      </w:hyperlink>
      <w:r w:rsidRPr="00434EFA">
        <w:t>.</w:t>
      </w:r>
      <w:r>
        <w:t xml:space="preserve"> </w:t>
      </w:r>
    </w:p>
  </w:footnote>
  <w:footnote w:id="11">
    <w:p w14:paraId="4898CC02" w14:textId="0D99D71D" w:rsidR="00066E06" w:rsidRPr="00434EFA" w:rsidRDefault="00066E06" w:rsidP="00434EFA">
      <w:pPr>
        <w:pStyle w:val="Footnote"/>
        <w:rPr>
          <w:lang w:val="en-US"/>
        </w:rPr>
      </w:pPr>
      <w:r w:rsidRPr="00434EFA">
        <w:rPr>
          <w:rStyle w:val="FootnoteReference"/>
        </w:rPr>
        <w:footnoteRef/>
      </w:r>
      <w:r w:rsidRPr="00434EFA">
        <w:t xml:space="preserve"> AFR 2019, Bank Loyalty Tax has doubled to 6 billion since June, available </w:t>
      </w:r>
      <w:hyperlink r:id="rId10" w:history="1">
        <w:r w:rsidRPr="00434EFA">
          <w:rPr>
            <w:rStyle w:val="Hyperlink"/>
          </w:rPr>
          <w:t>online</w:t>
        </w:r>
      </w:hyperlink>
      <w:r w:rsidRPr="00434EFA">
        <w:rPr>
          <w:rStyle w:val="Hyperlink"/>
        </w:rPr>
        <w:t>.</w:t>
      </w:r>
    </w:p>
  </w:footnote>
  <w:footnote w:id="12">
    <w:p w14:paraId="1D0A0C2D" w14:textId="361FA064" w:rsidR="00066E06" w:rsidRPr="00434EFA" w:rsidRDefault="00066E06" w:rsidP="00434EFA">
      <w:pPr>
        <w:pStyle w:val="Footnote"/>
      </w:pPr>
      <w:r w:rsidRPr="00434EFA">
        <w:rPr>
          <w:rStyle w:val="FootnoteReference"/>
        </w:rPr>
        <w:footnoteRef/>
      </w:r>
      <w:r w:rsidRPr="00434EFA">
        <w:t xml:space="preserve"> ASIC 2017, Submission to the Productivity Commission Inquiry into competition in the Australian financial system, page 57, available </w:t>
      </w:r>
      <w:hyperlink r:id="rId11" w:history="1">
        <w:r w:rsidRPr="00434EFA">
          <w:rPr>
            <w:rStyle w:val="Hyperlink"/>
          </w:rPr>
          <w:t>online</w:t>
        </w:r>
      </w:hyperlink>
      <w:r w:rsidRPr="00434EFA">
        <w:t xml:space="preserve">. </w:t>
      </w:r>
    </w:p>
  </w:footnote>
  <w:footnote w:id="13">
    <w:p w14:paraId="2F078B16" w14:textId="61DE26B6" w:rsidR="00066E06" w:rsidRPr="00434EFA" w:rsidRDefault="00066E06" w:rsidP="00434EFA">
      <w:pPr>
        <w:pStyle w:val="Footnote"/>
        <w:rPr>
          <w:lang w:val="en-US"/>
        </w:rPr>
      </w:pPr>
      <w:r w:rsidRPr="00434EFA">
        <w:rPr>
          <w:rStyle w:val="FootnoteReference"/>
        </w:rPr>
        <w:footnoteRef/>
      </w:r>
      <w:r w:rsidRPr="00434EFA">
        <w:t xml:space="preserve"> ACCC 2018, Retail Electricity Pricing Inquiry Final Report, p</w:t>
      </w:r>
      <w:r w:rsidRPr="00434EFA">
        <w:rPr>
          <w:lang w:val="en-US"/>
        </w:rPr>
        <w:t>age 143,</w:t>
      </w:r>
      <w:r w:rsidRPr="00434EFA">
        <w:t xml:space="preserve"> available </w:t>
      </w:r>
      <w:hyperlink r:id="rId12" w:history="1">
        <w:r w:rsidRPr="00434EFA">
          <w:rPr>
            <w:rStyle w:val="Hyperlink"/>
          </w:rPr>
          <w:t>online</w:t>
        </w:r>
      </w:hyperlink>
      <w:r w:rsidRPr="00434EFA">
        <w:rPr>
          <w:rStyle w:val="Hyperlink"/>
        </w:rPr>
        <w:t>.</w:t>
      </w:r>
      <w:r w:rsidRPr="00434EFA">
        <w:rPr>
          <w:lang w:val="en-US"/>
        </w:rPr>
        <w:t xml:space="preserve"> </w:t>
      </w:r>
    </w:p>
  </w:footnote>
  <w:footnote w:id="14">
    <w:p w14:paraId="229B5E82" w14:textId="70515762" w:rsidR="00066E06" w:rsidRPr="0078207D" w:rsidRDefault="00066E06" w:rsidP="00434EFA">
      <w:pPr>
        <w:pStyle w:val="Footnote"/>
        <w:rPr>
          <w:lang w:val="en-US"/>
        </w:rPr>
      </w:pPr>
      <w:r w:rsidRPr="00434EFA">
        <w:rPr>
          <w:rStyle w:val="FootnoteReference"/>
        </w:rPr>
        <w:footnoteRef/>
      </w:r>
      <w:r w:rsidRPr="00434EFA">
        <w:t xml:space="preserve"> ACCC 2018, </w:t>
      </w:r>
      <w:r w:rsidRPr="00434EFA">
        <w:rPr>
          <w:rFonts w:cs="Arial"/>
        </w:rPr>
        <w:t>Residential Mortgage Products Price Inquiry</w:t>
      </w:r>
      <w:r w:rsidRPr="00434EFA">
        <w:t xml:space="preserve"> Final Report, page 8, available </w:t>
      </w:r>
      <w:hyperlink r:id="rId13" w:history="1">
        <w:r w:rsidRPr="00434EFA">
          <w:rPr>
            <w:rStyle w:val="Hyperlink"/>
          </w:rPr>
          <w:t>online</w:t>
        </w:r>
      </w:hyperlink>
      <w:r w:rsidRPr="00434EFA">
        <w:rPr>
          <w:rStyle w:val="Hyperlink"/>
        </w:rPr>
        <w:t>.</w:t>
      </w:r>
    </w:p>
  </w:footnote>
  <w:footnote w:id="15">
    <w:p w14:paraId="6569F817" w14:textId="207336C4" w:rsidR="00066E06" w:rsidRPr="00DC1475" w:rsidRDefault="00066E06" w:rsidP="00434EFA">
      <w:pPr>
        <w:pStyle w:val="Footnote"/>
        <w:rPr>
          <w:lang w:val="en-US"/>
        </w:rPr>
      </w:pPr>
      <w:r>
        <w:rPr>
          <w:rStyle w:val="FootnoteReference"/>
        </w:rPr>
        <w:footnoteRef/>
      </w:r>
      <w:r>
        <w:t xml:space="preserve"> Deloitte</w:t>
      </w:r>
      <w:r>
        <w:rPr>
          <w:i/>
          <w:iCs/>
        </w:rPr>
        <w:t xml:space="preserve"> </w:t>
      </w:r>
      <w:r w:rsidRPr="00000B4B">
        <w:t>2019, Open banking: switch or stick? Insights into customer switching behaviour and trust</w:t>
      </w:r>
      <w:r w:rsidRPr="00E35E05">
        <w:t>,</w:t>
      </w:r>
      <w:r>
        <w:t xml:space="preserve"> pages 36 &amp; 44, available </w:t>
      </w:r>
      <w:hyperlink r:id="rId14" w:history="1">
        <w:r w:rsidRPr="00E35E05">
          <w:rPr>
            <w:rStyle w:val="Hyperlink"/>
          </w:rPr>
          <w:t>online</w:t>
        </w:r>
      </w:hyperlink>
      <w:r>
        <w:t>.</w:t>
      </w:r>
    </w:p>
  </w:footnote>
  <w:footnote w:id="16">
    <w:p w14:paraId="75210911" w14:textId="28B59278" w:rsidR="00066E06" w:rsidRPr="00DC1475" w:rsidRDefault="00066E06" w:rsidP="00434EFA">
      <w:pPr>
        <w:pStyle w:val="Footnote"/>
        <w:rPr>
          <w:lang w:val="en-US"/>
        </w:rPr>
      </w:pPr>
      <w:r>
        <w:rPr>
          <w:rStyle w:val="FootnoteReference"/>
        </w:rPr>
        <w:footnoteRef/>
      </w:r>
      <w:r>
        <w:t xml:space="preserve"> </w:t>
      </w:r>
      <w:r w:rsidRPr="002F396F">
        <w:rPr>
          <w:lang w:val="en-US"/>
        </w:rPr>
        <w:t>Social Market Foundation</w:t>
      </w:r>
      <w:r>
        <w:rPr>
          <w:lang w:val="en-US"/>
        </w:rPr>
        <w:t xml:space="preserve"> 2015, Should switch, don’t switch: Overcoming consumer inertia,</w:t>
      </w:r>
      <w:r w:rsidRPr="002F396F">
        <w:rPr>
          <w:lang w:val="en-US"/>
        </w:rPr>
        <w:t xml:space="preserve"> </w:t>
      </w:r>
      <w:r>
        <w:rPr>
          <w:lang w:val="en-US"/>
        </w:rPr>
        <w:t xml:space="preserve">page 8, available </w:t>
      </w:r>
      <w:hyperlink r:id="rId15" w:history="1">
        <w:r w:rsidRPr="002F396F">
          <w:rPr>
            <w:rStyle w:val="Hyperlink"/>
            <w:lang w:val="en-US"/>
          </w:rPr>
          <w:t>online</w:t>
        </w:r>
      </w:hyperlink>
      <w:r>
        <w:rPr>
          <w:lang w:val="en-US"/>
        </w:rPr>
        <w:t>.</w:t>
      </w:r>
    </w:p>
  </w:footnote>
  <w:footnote w:id="17">
    <w:p w14:paraId="5CDC5C91" w14:textId="4397B3B9" w:rsidR="00066E06" w:rsidRPr="00655A2E" w:rsidRDefault="00066E06" w:rsidP="00434EFA">
      <w:pPr>
        <w:pStyle w:val="Footnote"/>
        <w:rPr>
          <w:lang w:val="en-US"/>
        </w:rPr>
      </w:pPr>
      <w:r>
        <w:rPr>
          <w:rStyle w:val="FootnoteReference"/>
        </w:rPr>
        <w:footnoteRef/>
      </w:r>
      <w:r>
        <w:t xml:space="preserve"> </w:t>
      </w:r>
      <w:r>
        <w:rPr>
          <w:lang w:val="en-US"/>
        </w:rPr>
        <w:t xml:space="preserve">PC 2018, </w:t>
      </w:r>
      <w:r>
        <w:t xml:space="preserve">Competition in the Australian Financial System Inquiry Report, </w:t>
      </w:r>
      <w:r>
        <w:rPr>
          <w:lang w:val="en-US"/>
        </w:rPr>
        <w:t xml:space="preserve">page 146, </w:t>
      </w:r>
      <w:r>
        <w:t xml:space="preserve">available </w:t>
      </w:r>
      <w:hyperlink r:id="rId16" w:history="1">
        <w:r w:rsidRPr="00A75805">
          <w:rPr>
            <w:rStyle w:val="Hyperlink"/>
          </w:rPr>
          <w:t>online</w:t>
        </w:r>
      </w:hyperlink>
      <w:r>
        <w:t xml:space="preserve">. </w:t>
      </w:r>
      <w:r>
        <w:rPr>
          <w:lang w:val="en-US"/>
        </w:rPr>
        <w:t xml:space="preserve"> </w:t>
      </w:r>
    </w:p>
  </w:footnote>
  <w:footnote w:id="18">
    <w:p w14:paraId="3B3D6AAF" w14:textId="427D1A13" w:rsidR="00066E06" w:rsidRPr="00000B4B" w:rsidRDefault="00066E06" w:rsidP="00434EFA">
      <w:pPr>
        <w:pStyle w:val="Footnote"/>
      </w:pPr>
      <w:r>
        <w:rPr>
          <w:rStyle w:val="FootnoteReference"/>
        </w:rPr>
        <w:footnoteRef/>
      </w:r>
      <w:r>
        <w:t xml:space="preserve"> ASIC 2017, Submission to the Productivity Commission Inquiry into competition in the Australian financial system, page 71,  available </w:t>
      </w:r>
      <w:hyperlink r:id="rId17" w:history="1">
        <w:r w:rsidRPr="00A75805">
          <w:rPr>
            <w:rStyle w:val="Hyperlink"/>
          </w:rPr>
          <w:t>online</w:t>
        </w:r>
      </w:hyperlink>
      <w:r>
        <w:t>.</w:t>
      </w:r>
    </w:p>
  </w:footnote>
  <w:footnote w:id="19">
    <w:p w14:paraId="13EBB9D0" w14:textId="18FD718E" w:rsidR="00066E06" w:rsidRPr="00E77841" w:rsidRDefault="00066E06" w:rsidP="00434EFA">
      <w:pPr>
        <w:pStyle w:val="Footnote"/>
        <w:rPr>
          <w:lang w:val="en-US"/>
        </w:rPr>
      </w:pPr>
      <w:r>
        <w:rPr>
          <w:rStyle w:val="FootnoteReference"/>
        </w:rPr>
        <w:footnoteRef/>
      </w:r>
      <w:r>
        <w:t xml:space="preserve"> </w:t>
      </w:r>
      <w:r>
        <w:rPr>
          <w:lang w:val="en-US"/>
        </w:rPr>
        <w:t>SMF 2015, Should switch, don’t switch: Overcoming consumer inertia,</w:t>
      </w:r>
      <w:r w:rsidRPr="002F396F">
        <w:rPr>
          <w:lang w:val="en-US"/>
        </w:rPr>
        <w:t xml:space="preserve"> </w:t>
      </w:r>
      <w:r>
        <w:rPr>
          <w:lang w:val="en-US"/>
        </w:rPr>
        <w:t xml:space="preserve">page 8, available </w:t>
      </w:r>
      <w:hyperlink r:id="rId18" w:history="1">
        <w:r w:rsidRPr="002F396F">
          <w:rPr>
            <w:rStyle w:val="Hyperlink"/>
            <w:lang w:val="en-US"/>
          </w:rPr>
          <w:t>online</w:t>
        </w:r>
      </w:hyperlink>
      <w:r>
        <w:rPr>
          <w:lang w:val="en-US"/>
        </w:rPr>
        <w:t>.</w:t>
      </w:r>
    </w:p>
  </w:footnote>
  <w:footnote w:id="20">
    <w:p w14:paraId="1924E833" w14:textId="2882459E" w:rsidR="00066E06" w:rsidRPr="00E77841" w:rsidRDefault="00066E06" w:rsidP="00434EFA">
      <w:pPr>
        <w:pStyle w:val="Footnote"/>
        <w:rPr>
          <w:lang w:val="en-US"/>
        </w:rPr>
      </w:pPr>
      <w:r>
        <w:rPr>
          <w:rStyle w:val="FootnoteReference"/>
        </w:rPr>
        <w:footnoteRef/>
      </w:r>
      <w:r>
        <w:rPr>
          <w:lang w:val="en-US"/>
        </w:rPr>
        <w:t xml:space="preserve"> PC 2018, </w:t>
      </w:r>
      <w:r>
        <w:t xml:space="preserve">Competition in the Australian Financial System Inquiry Report, </w:t>
      </w:r>
      <w:r>
        <w:rPr>
          <w:lang w:val="en-US"/>
        </w:rPr>
        <w:t xml:space="preserve">page 146, </w:t>
      </w:r>
      <w:r>
        <w:t xml:space="preserve">available </w:t>
      </w:r>
      <w:hyperlink r:id="rId19" w:history="1">
        <w:r w:rsidRPr="00A75805">
          <w:rPr>
            <w:rStyle w:val="Hyperlink"/>
          </w:rPr>
          <w:t>online</w:t>
        </w:r>
      </w:hyperlink>
      <w:r>
        <w:t xml:space="preserve">. </w:t>
      </w:r>
      <w:r>
        <w:rPr>
          <w:lang w:val="en-US"/>
        </w:rPr>
        <w:t xml:space="preserve"> </w:t>
      </w:r>
    </w:p>
  </w:footnote>
  <w:footnote w:id="21">
    <w:p w14:paraId="0F8B54D8" w14:textId="628E17B5" w:rsidR="00066E06" w:rsidRPr="00981C23" w:rsidRDefault="00066E06" w:rsidP="00434EFA">
      <w:pPr>
        <w:pStyle w:val="Footnote"/>
        <w:rPr>
          <w:lang w:val="en-US"/>
        </w:rPr>
      </w:pPr>
      <w:r>
        <w:rPr>
          <w:rStyle w:val="FootnoteReference"/>
        </w:rPr>
        <w:footnoteRef/>
      </w:r>
      <w:r>
        <w:t xml:space="preserve"> ASIC 2019, ASIC Corporate Plan 2019-23: Focus 2019-20, available </w:t>
      </w:r>
      <w:hyperlink r:id="rId20" w:history="1">
        <w:r w:rsidRPr="007F51B3">
          <w:rPr>
            <w:rStyle w:val="Hyperlink"/>
          </w:rPr>
          <w:t>online</w:t>
        </w:r>
      </w:hyperlink>
      <w:r>
        <w:t>, page 14.</w:t>
      </w:r>
      <w:r w:rsidRPr="00981C23">
        <w:rPr>
          <w:lang w:val="en-US"/>
        </w:rPr>
        <w:t xml:space="preserve"> </w:t>
      </w:r>
    </w:p>
  </w:footnote>
  <w:footnote w:id="22">
    <w:p w14:paraId="25F9EEDF" w14:textId="77777777" w:rsidR="00E132A7" w:rsidRPr="00581706" w:rsidRDefault="00E132A7" w:rsidP="00434EFA">
      <w:pPr>
        <w:pStyle w:val="Footnote"/>
        <w:rPr>
          <w:lang w:val="en-US"/>
        </w:rPr>
      </w:pPr>
      <w:r>
        <w:rPr>
          <w:rStyle w:val="FootnoteReference"/>
        </w:rPr>
        <w:footnoteRef/>
      </w:r>
      <w:r>
        <w:t xml:space="preserve"> Ofgem</w:t>
      </w:r>
      <w:r w:rsidRPr="005159F5">
        <w:t xml:space="preserve"> </w:t>
      </w:r>
      <w:r>
        <w:t xml:space="preserve">2017, </w:t>
      </w:r>
      <w:r w:rsidRPr="005159F5">
        <w:t>Results from the Cheaper Market Offers Letter Trial</w:t>
      </w:r>
      <w:r>
        <w:t xml:space="preserve">, available </w:t>
      </w:r>
      <w:hyperlink r:id="rId21" w:history="1">
        <w:r w:rsidRPr="005159F5">
          <w:rPr>
            <w:rStyle w:val="Hyperlink"/>
          </w:rPr>
          <w:t>online</w:t>
        </w:r>
      </w:hyperlink>
      <w:r>
        <w:t xml:space="preserve">. </w:t>
      </w:r>
    </w:p>
  </w:footnote>
  <w:footnote w:id="23">
    <w:p w14:paraId="4809A9D0" w14:textId="77777777" w:rsidR="00E132A7" w:rsidRPr="00581706" w:rsidRDefault="00E132A7" w:rsidP="00434EFA">
      <w:pPr>
        <w:pStyle w:val="Footnote"/>
        <w:rPr>
          <w:lang w:val="en-US"/>
        </w:rPr>
      </w:pPr>
      <w:r>
        <w:rPr>
          <w:rStyle w:val="FootnoteReference"/>
        </w:rPr>
        <w:footnoteRef/>
      </w:r>
      <w:r>
        <w:t xml:space="preserve"> Ofgem</w:t>
      </w:r>
      <w:r w:rsidRPr="005159F5">
        <w:t xml:space="preserve"> </w:t>
      </w:r>
      <w:r>
        <w:t xml:space="preserve">2018, </w:t>
      </w:r>
      <w:r w:rsidRPr="005159F5">
        <w:t>Active Choice Collective Switch Trial: Final results</w:t>
      </w:r>
      <w:r>
        <w:t xml:space="preserve">, available </w:t>
      </w:r>
      <w:hyperlink r:id="rId22" w:history="1">
        <w:r w:rsidRPr="005159F5">
          <w:rPr>
            <w:rStyle w:val="Hyperlink"/>
          </w:rPr>
          <w:t>online</w:t>
        </w:r>
      </w:hyperlink>
      <w:r>
        <w:t xml:space="preserve">.  </w:t>
      </w:r>
    </w:p>
  </w:footnote>
  <w:footnote w:id="24">
    <w:p w14:paraId="733D9A9C" w14:textId="29A573D4" w:rsidR="00066E06" w:rsidRPr="00214A24" w:rsidRDefault="00066E06" w:rsidP="00434EFA">
      <w:pPr>
        <w:pStyle w:val="Footnote"/>
        <w:rPr>
          <w:lang w:val="en-US"/>
        </w:rPr>
      </w:pPr>
      <w:r>
        <w:rPr>
          <w:rStyle w:val="FootnoteReference"/>
        </w:rPr>
        <w:footnoteRef/>
      </w:r>
      <w:r>
        <w:t xml:space="preserve"> Victoria State government 2018, Treasurer’s Speech, 1 May 2018, available </w:t>
      </w:r>
      <w:hyperlink r:id="rId23" w:history="1">
        <w:r w:rsidRPr="00066E06">
          <w:rPr>
            <w:rStyle w:val="Hyperlink"/>
          </w:rPr>
          <w:t>online</w:t>
        </w:r>
      </w:hyperlink>
      <w:r>
        <w:t xml:space="preserve">. </w:t>
      </w:r>
    </w:p>
  </w:footnote>
  <w:footnote w:id="25">
    <w:p w14:paraId="1D613D13" w14:textId="6787EEB6" w:rsidR="00066E06" w:rsidRPr="00214A24" w:rsidRDefault="00066E06" w:rsidP="00434EFA">
      <w:pPr>
        <w:pStyle w:val="Footnote"/>
        <w:rPr>
          <w:lang w:val="en-US"/>
        </w:rPr>
      </w:pPr>
      <w:r>
        <w:rPr>
          <w:rStyle w:val="FootnoteReference"/>
        </w:rPr>
        <w:footnoteRef/>
      </w:r>
      <w:r>
        <w:t xml:space="preserve"> </w:t>
      </w:r>
      <w:r w:rsidR="00E71794">
        <w:t>ABC 2018,</w:t>
      </w:r>
      <w:r w:rsidR="00E71794" w:rsidRPr="00E71794">
        <w:t xml:space="preserve"> Victorians missing power savings because of 'complicated' comparison website: consumer groups</w:t>
      </w:r>
      <w:r w:rsidR="00E71794">
        <w:t xml:space="preserve">, available </w:t>
      </w:r>
      <w:hyperlink r:id="rId24" w:history="1">
        <w:r w:rsidR="00E71794" w:rsidRPr="00E71794">
          <w:rPr>
            <w:rStyle w:val="Hyperlink"/>
          </w:rPr>
          <w:t>online</w:t>
        </w:r>
      </w:hyperlink>
      <w:r w:rsidR="00E71794">
        <w:t>.</w:t>
      </w:r>
      <w:r w:rsidR="00E71794" w:rsidRPr="00214A24">
        <w:rPr>
          <w:lang w:val="en-US"/>
        </w:rPr>
        <w:t xml:space="preserve"> </w:t>
      </w:r>
    </w:p>
  </w:footnote>
  <w:footnote w:id="26">
    <w:p w14:paraId="7BDE05C2" w14:textId="77777777" w:rsidR="00E132A7" w:rsidRPr="004663C3" w:rsidRDefault="00E132A7" w:rsidP="00434EFA">
      <w:pPr>
        <w:pStyle w:val="Footnote"/>
        <w:rPr>
          <w:lang w:val="en-US"/>
        </w:rPr>
      </w:pPr>
      <w:r>
        <w:rPr>
          <w:rStyle w:val="FootnoteReference"/>
        </w:rPr>
        <w:footnoteRef/>
      </w:r>
      <w:r>
        <w:t xml:space="preserve"> </w:t>
      </w:r>
      <w:r>
        <w:rPr>
          <w:lang w:val="en-US"/>
        </w:rPr>
        <w:t>SMF 2015, Should switch, don’t switch: Overcoming consumer inertia,</w:t>
      </w:r>
      <w:r w:rsidRPr="002F396F">
        <w:rPr>
          <w:lang w:val="en-US"/>
        </w:rPr>
        <w:t xml:space="preserve"> </w:t>
      </w:r>
      <w:r>
        <w:rPr>
          <w:lang w:val="en-US"/>
        </w:rPr>
        <w:t xml:space="preserve">page 43, available </w:t>
      </w:r>
      <w:hyperlink r:id="rId25" w:history="1">
        <w:r w:rsidRPr="002F396F">
          <w:rPr>
            <w:rStyle w:val="Hyperlink"/>
            <w:lang w:val="en-US"/>
          </w:rPr>
          <w:t>online</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BF82" w14:textId="5DAC66DC" w:rsidR="00066E06" w:rsidRPr="00916B4A" w:rsidRDefault="00066E06" w:rsidP="00916B4A">
    <w:pPr>
      <w:pStyle w:val="Header"/>
    </w:pPr>
    <w:r>
      <w:rPr>
        <w:rFonts w:ascii="Arial" w:hAnsi="Arial"/>
        <w:lang w:val="en-AU"/>
      </w:rPr>
      <w:t>2020-21 Pre-Budget Submission</w:t>
    </w:r>
    <w:r w:rsidR="00434EFA">
      <w:rPr>
        <w:rFonts w:ascii="Arial" w:hAnsi="Arial"/>
        <w:lang w:val="en-AU"/>
      </w:rPr>
      <w:t xml:space="preserve"> – Customer Owned Banking Association (COBA)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C8DF" w14:textId="3D32B809" w:rsidR="00066E06" w:rsidRDefault="00066E06" w:rsidP="00133F49">
    <w:pPr>
      <w:pStyle w:val="Header"/>
    </w:pPr>
    <w:r>
      <w:rPr>
        <w:noProof/>
        <w:sz w:val="18"/>
        <w:szCs w:val="18"/>
      </w:rPr>
      <w:drawing>
        <wp:anchor distT="0" distB="0" distL="114300" distR="114300" simplePos="0" relativeHeight="251657216" behindDoc="0" locked="1" layoutInCell="1" allowOverlap="1" wp14:anchorId="2D0C1CE3" wp14:editId="44BD04C2">
          <wp:simplePos x="0" y="0"/>
          <wp:positionH relativeFrom="margin">
            <wp:align>right</wp:align>
          </wp:positionH>
          <wp:positionV relativeFrom="page">
            <wp:posOffset>521970</wp:posOffset>
          </wp:positionV>
          <wp:extent cx="1763395" cy="72707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A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2707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mc:AlternateContent>
        <mc:Choice Requires="wps">
          <w:drawing>
            <wp:anchor distT="0" distB="0" distL="114300" distR="114300" simplePos="0" relativeHeight="251656192" behindDoc="1" locked="0" layoutInCell="1" allowOverlap="1" wp14:anchorId="226C6D94" wp14:editId="34B49E35">
              <wp:simplePos x="0" y="0"/>
              <wp:positionH relativeFrom="page">
                <wp:posOffset>0</wp:posOffset>
              </wp:positionH>
              <wp:positionV relativeFrom="page">
                <wp:posOffset>609600</wp:posOffset>
              </wp:positionV>
              <wp:extent cx="7558405" cy="612000"/>
              <wp:effectExtent l="0" t="0" r="0" b="0"/>
              <wp:wrapTopAndBottom/>
              <wp:docPr id="148" name="Rectangle 148"/>
              <wp:cNvGraphicFramePr/>
              <a:graphic xmlns:a="http://schemas.openxmlformats.org/drawingml/2006/main">
                <a:graphicData uri="http://schemas.microsoft.com/office/word/2010/wordprocessingShape">
                  <wps:wsp>
                    <wps:cNvSpPr/>
                    <wps:spPr>
                      <a:xfrm>
                        <a:off x="0" y="0"/>
                        <a:ext cx="7558405"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B201" id="Rectangle 148" o:spid="_x0000_s1026" style="position:absolute;margin-left:0;margin-top:48pt;width:595.15pt;height:4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" filled="f" stroked="f" strokeweight="1pt">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D839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EAA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841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4A45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D40C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10E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90E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CA6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48C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F6E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14E3"/>
    <w:multiLevelType w:val="hybridMultilevel"/>
    <w:tmpl w:val="D470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8E1C02"/>
    <w:multiLevelType w:val="hybridMultilevel"/>
    <w:tmpl w:val="681A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1B31" w:themeColor="text2"/>
      </w:rPr>
    </w:lvl>
    <w:lvl w:ilvl="2">
      <w:start w:val="1"/>
      <w:numFmt w:val="bullet"/>
      <w:lvlText w:val="»"/>
      <w:lvlJc w:val="left"/>
      <w:pPr>
        <w:ind w:left="852" w:hanging="284"/>
      </w:pPr>
      <w:rPr>
        <w:rFonts w:ascii="Arial" w:hAnsi="Arial" w:hint="default"/>
        <w:color w:val="001B31"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8842593"/>
    <w:multiLevelType w:val="hybridMultilevel"/>
    <w:tmpl w:val="04628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6182"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A312FA"/>
    <w:multiLevelType w:val="hybridMultilevel"/>
    <w:tmpl w:val="817A8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036CE7"/>
    <w:multiLevelType w:val="hybridMultilevel"/>
    <w:tmpl w:val="6890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6182"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745CAB"/>
    <w:multiLevelType w:val="hybridMultilevel"/>
    <w:tmpl w:val="F23A2BF6"/>
    <w:lvl w:ilvl="0" w:tplc="E6AA970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632A9"/>
    <w:multiLevelType w:val="multilevel"/>
    <w:tmpl w:val="99524306"/>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A74DEA"/>
    <w:multiLevelType w:val="hybridMultilevel"/>
    <w:tmpl w:val="BE46F9C8"/>
    <w:lvl w:ilvl="0" w:tplc="38E6393C">
      <w:start w:val="1"/>
      <w:numFmt w:val="bullet"/>
      <w:lvlText w:val="•"/>
      <w:lvlJc w:val="left"/>
      <w:pPr>
        <w:tabs>
          <w:tab w:val="num" w:pos="720"/>
        </w:tabs>
        <w:ind w:left="720" w:hanging="360"/>
      </w:pPr>
      <w:rPr>
        <w:rFonts w:ascii="Times New Roman" w:hAnsi="Times New Roman" w:hint="default"/>
      </w:rPr>
    </w:lvl>
    <w:lvl w:ilvl="1" w:tplc="2862A09C" w:tentative="1">
      <w:start w:val="1"/>
      <w:numFmt w:val="bullet"/>
      <w:lvlText w:val="•"/>
      <w:lvlJc w:val="left"/>
      <w:pPr>
        <w:tabs>
          <w:tab w:val="num" w:pos="1440"/>
        </w:tabs>
        <w:ind w:left="1440" w:hanging="360"/>
      </w:pPr>
      <w:rPr>
        <w:rFonts w:ascii="Times New Roman" w:hAnsi="Times New Roman" w:hint="default"/>
      </w:rPr>
    </w:lvl>
    <w:lvl w:ilvl="2" w:tplc="0F5C885A" w:tentative="1">
      <w:start w:val="1"/>
      <w:numFmt w:val="bullet"/>
      <w:lvlText w:val="•"/>
      <w:lvlJc w:val="left"/>
      <w:pPr>
        <w:tabs>
          <w:tab w:val="num" w:pos="2160"/>
        </w:tabs>
        <w:ind w:left="2160" w:hanging="360"/>
      </w:pPr>
      <w:rPr>
        <w:rFonts w:ascii="Times New Roman" w:hAnsi="Times New Roman" w:hint="default"/>
      </w:rPr>
    </w:lvl>
    <w:lvl w:ilvl="3" w:tplc="6298C2CC" w:tentative="1">
      <w:start w:val="1"/>
      <w:numFmt w:val="bullet"/>
      <w:lvlText w:val="•"/>
      <w:lvlJc w:val="left"/>
      <w:pPr>
        <w:tabs>
          <w:tab w:val="num" w:pos="2880"/>
        </w:tabs>
        <w:ind w:left="2880" w:hanging="360"/>
      </w:pPr>
      <w:rPr>
        <w:rFonts w:ascii="Times New Roman" w:hAnsi="Times New Roman" w:hint="default"/>
      </w:rPr>
    </w:lvl>
    <w:lvl w:ilvl="4" w:tplc="AAC24B8E" w:tentative="1">
      <w:start w:val="1"/>
      <w:numFmt w:val="bullet"/>
      <w:lvlText w:val="•"/>
      <w:lvlJc w:val="left"/>
      <w:pPr>
        <w:tabs>
          <w:tab w:val="num" w:pos="3600"/>
        </w:tabs>
        <w:ind w:left="3600" w:hanging="360"/>
      </w:pPr>
      <w:rPr>
        <w:rFonts w:ascii="Times New Roman" w:hAnsi="Times New Roman" w:hint="default"/>
      </w:rPr>
    </w:lvl>
    <w:lvl w:ilvl="5" w:tplc="1D1AE50C" w:tentative="1">
      <w:start w:val="1"/>
      <w:numFmt w:val="bullet"/>
      <w:lvlText w:val="•"/>
      <w:lvlJc w:val="left"/>
      <w:pPr>
        <w:tabs>
          <w:tab w:val="num" w:pos="4320"/>
        </w:tabs>
        <w:ind w:left="4320" w:hanging="360"/>
      </w:pPr>
      <w:rPr>
        <w:rFonts w:ascii="Times New Roman" w:hAnsi="Times New Roman" w:hint="default"/>
      </w:rPr>
    </w:lvl>
    <w:lvl w:ilvl="6" w:tplc="BBE83444" w:tentative="1">
      <w:start w:val="1"/>
      <w:numFmt w:val="bullet"/>
      <w:lvlText w:val="•"/>
      <w:lvlJc w:val="left"/>
      <w:pPr>
        <w:tabs>
          <w:tab w:val="num" w:pos="5040"/>
        </w:tabs>
        <w:ind w:left="5040" w:hanging="360"/>
      </w:pPr>
      <w:rPr>
        <w:rFonts w:ascii="Times New Roman" w:hAnsi="Times New Roman" w:hint="default"/>
      </w:rPr>
    </w:lvl>
    <w:lvl w:ilvl="7" w:tplc="6172AA24" w:tentative="1">
      <w:start w:val="1"/>
      <w:numFmt w:val="bullet"/>
      <w:lvlText w:val="•"/>
      <w:lvlJc w:val="left"/>
      <w:pPr>
        <w:tabs>
          <w:tab w:val="num" w:pos="5760"/>
        </w:tabs>
        <w:ind w:left="5760" w:hanging="360"/>
      </w:pPr>
      <w:rPr>
        <w:rFonts w:ascii="Times New Roman" w:hAnsi="Times New Roman" w:hint="default"/>
      </w:rPr>
    </w:lvl>
    <w:lvl w:ilvl="8" w:tplc="D3DAD5B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815ACB"/>
    <w:multiLevelType w:val="hybridMultilevel"/>
    <w:tmpl w:val="EFE6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2D42CF"/>
    <w:multiLevelType w:val="hybridMultilevel"/>
    <w:tmpl w:val="8558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1B31" w:themeColor="text2"/>
      </w:rPr>
    </w:lvl>
    <w:lvl w:ilvl="3">
      <w:start w:val="1"/>
      <w:numFmt w:val="bullet"/>
      <w:lvlText w:val="»"/>
      <w:lvlJc w:val="left"/>
      <w:pPr>
        <w:ind w:left="794" w:hanging="510"/>
      </w:pPr>
      <w:rPr>
        <w:rFonts w:ascii="Arial" w:hAnsi="Arial" w:hint="default"/>
        <w:color w:val="001B31"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484A0B3D"/>
    <w:multiLevelType w:val="hybridMultilevel"/>
    <w:tmpl w:val="98F0A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5246B2"/>
    <w:multiLevelType w:val="hybridMultilevel"/>
    <w:tmpl w:val="A24E0F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517343"/>
    <w:multiLevelType w:val="multilevel"/>
    <w:tmpl w:val="131EEC6C"/>
    <w:numStyleLink w:val="TableNumbers"/>
  </w:abstractNum>
  <w:abstractNum w:abstractNumId="29" w15:restartNumberingAfterBreak="0">
    <w:nsid w:val="50E12008"/>
    <w:multiLevelType w:val="multilevel"/>
    <w:tmpl w:val="07629034"/>
    <w:numStyleLink w:val="KCBullets"/>
  </w:abstractNum>
  <w:abstractNum w:abstractNumId="3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63048B"/>
    <w:multiLevelType w:val="multilevel"/>
    <w:tmpl w:val="C284D0B0"/>
    <w:numStyleLink w:val="FigureNumbers"/>
  </w:abstractNum>
  <w:abstractNum w:abstractNumId="32" w15:restartNumberingAfterBreak="0">
    <w:nsid w:val="56D91496"/>
    <w:multiLevelType w:val="hybridMultilevel"/>
    <w:tmpl w:val="FCEC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615703"/>
    <w:multiLevelType w:val="multilevel"/>
    <w:tmpl w:val="803CF862"/>
    <w:numStyleLink w:val="List1Numbered"/>
  </w:abstractNum>
  <w:abstractNum w:abstractNumId="35" w15:restartNumberingAfterBreak="0">
    <w:nsid w:val="5BF51665"/>
    <w:multiLevelType w:val="multilevel"/>
    <w:tmpl w:val="D9B6D91E"/>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300F90"/>
    <w:multiLevelType w:val="hybridMultilevel"/>
    <w:tmpl w:val="96DA9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B70AF0"/>
    <w:multiLevelType w:val="hybridMultilevel"/>
    <w:tmpl w:val="84C4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F423B"/>
    <w:multiLevelType w:val="multilevel"/>
    <w:tmpl w:val="3A1CA15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6F624ACE"/>
    <w:multiLevelType w:val="multilevel"/>
    <w:tmpl w:val="0F84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624A4"/>
    <w:multiLevelType w:val="hybridMultilevel"/>
    <w:tmpl w:val="A540FD68"/>
    <w:lvl w:ilvl="0" w:tplc="A2D8C2BE">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90B67C4"/>
    <w:multiLevelType w:val="multilevel"/>
    <w:tmpl w:val="6EA66300"/>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1B31" w:themeColor="text2"/>
      </w:rPr>
    </w:lvl>
    <w:lvl w:ilvl="3">
      <w:start w:val="1"/>
      <w:numFmt w:val="bullet"/>
      <w:lvlText w:val="»"/>
      <w:lvlJc w:val="left"/>
      <w:pPr>
        <w:ind w:left="794" w:hanging="510"/>
      </w:pPr>
      <w:rPr>
        <w:rFonts w:ascii="Arial" w:hAnsi="Arial" w:hint="default"/>
        <w:color w:val="001B31"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3" w15:restartNumberingAfterBreak="0">
    <w:nsid w:val="7DC53CAB"/>
    <w:multiLevelType w:val="hybridMultilevel"/>
    <w:tmpl w:val="6DC6B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E44065"/>
    <w:multiLevelType w:val="multilevel"/>
    <w:tmpl w:val="A41689A2"/>
    <w:numStyleLink w:val="AppendixNumbers"/>
  </w:abstractNum>
  <w:num w:numId="1">
    <w:abstractNumId w:val="20"/>
  </w:num>
  <w:num w:numId="2">
    <w:abstractNumId w:val="30"/>
  </w:num>
  <w:num w:numId="3">
    <w:abstractNumId w:val="42"/>
  </w:num>
  <w:num w:numId="4">
    <w:abstractNumId w:val="42"/>
  </w:num>
  <w:num w:numId="5">
    <w:abstractNumId w:val="25"/>
  </w:num>
  <w:num w:numId="6">
    <w:abstractNumId w:val="38"/>
  </w:num>
  <w:num w:numId="7">
    <w:abstractNumId w:val="38"/>
  </w:num>
  <w:num w:numId="8">
    <w:abstractNumId w:val="38"/>
  </w:num>
  <w:num w:numId="9">
    <w:abstractNumId w:val="41"/>
  </w:num>
  <w:num w:numId="10">
    <w:abstractNumId w:val="15"/>
  </w:num>
  <w:num w:numId="11">
    <w:abstractNumId w:val="31"/>
  </w:num>
  <w:num w:numId="12">
    <w:abstractNumId w:val="35"/>
  </w:num>
  <w:num w:numId="13">
    <w:abstractNumId w:val="35"/>
  </w:num>
  <w:num w:numId="14">
    <w:abstractNumId w:val="35"/>
  </w:num>
  <w:num w:numId="15">
    <w:abstractNumId w:val="35"/>
  </w:num>
  <w:num w:numId="16">
    <w:abstractNumId w:val="12"/>
  </w:num>
  <w:num w:numId="17">
    <w:abstractNumId w:val="14"/>
  </w:num>
  <w:num w:numId="18">
    <w:abstractNumId w:val="34"/>
  </w:num>
  <w:num w:numId="19">
    <w:abstractNumId w:val="34"/>
  </w:num>
  <w:num w:numId="20">
    <w:abstractNumId w:val="34"/>
  </w:num>
  <w:num w:numId="21">
    <w:abstractNumId w:val="33"/>
  </w:num>
  <w:num w:numId="22">
    <w:abstractNumId w:val="22"/>
  </w:num>
  <w:num w:numId="23">
    <w:abstractNumId w:val="18"/>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4"/>
  </w:num>
  <w:num w:numId="37">
    <w:abstractNumId w:val="19"/>
  </w:num>
  <w:num w:numId="38">
    <w:abstractNumId w:val="23"/>
  </w:num>
  <w:num w:numId="39">
    <w:abstractNumId w:val="27"/>
  </w:num>
  <w:num w:numId="40">
    <w:abstractNumId w:val="43"/>
  </w:num>
  <w:num w:numId="41">
    <w:abstractNumId w:val="40"/>
  </w:num>
  <w:num w:numId="42">
    <w:abstractNumId w:val="44"/>
  </w:num>
  <w:num w:numId="43">
    <w:abstractNumId w:val="29"/>
  </w:num>
  <w:num w:numId="44">
    <w:abstractNumId w:val="11"/>
  </w:num>
  <w:num w:numId="45">
    <w:abstractNumId w:val="26"/>
  </w:num>
  <w:num w:numId="46">
    <w:abstractNumId w:val="13"/>
  </w:num>
  <w:num w:numId="47">
    <w:abstractNumId w:val="39"/>
  </w:num>
  <w:num w:numId="48">
    <w:abstractNumId w:val="37"/>
  </w:num>
  <w:num w:numId="49">
    <w:abstractNumId w:val="32"/>
  </w:num>
  <w:num w:numId="50">
    <w:abstractNumId w:val="36"/>
  </w:num>
  <w:num w:numId="51">
    <w:abstractNumId w:val="17"/>
  </w:num>
  <w:num w:numId="52">
    <w:abstractNumId w:val="10"/>
  </w:num>
  <w:num w:numId="53">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89"/>
    <w:rsid w:val="00000B4B"/>
    <w:rsid w:val="0000585B"/>
    <w:rsid w:val="00022FF5"/>
    <w:rsid w:val="00031E00"/>
    <w:rsid w:val="000405E5"/>
    <w:rsid w:val="0004128F"/>
    <w:rsid w:val="00041D9C"/>
    <w:rsid w:val="000422F8"/>
    <w:rsid w:val="00043B8D"/>
    <w:rsid w:val="00045877"/>
    <w:rsid w:val="00054A8E"/>
    <w:rsid w:val="00056034"/>
    <w:rsid w:val="000641E4"/>
    <w:rsid w:val="00066E06"/>
    <w:rsid w:val="000713CE"/>
    <w:rsid w:val="000713FC"/>
    <w:rsid w:val="00073510"/>
    <w:rsid w:val="00076789"/>
    <w:rsid w:val="00090C1C"/>
    <w:rsid w:val="00094936"/>
    <w:rsid w:val="0009544E"/>
    <w:rsid w:val="000A45F8"/>
    <w:rsid w:val="000A678C"/>
    <w:rsid w:val="000B54F1"/>
    <w:rsid w:val="000B7F5F"/>
    <w:rsid w:val="000C0A0B"/>
    <w:rsid w:val="000C178F"/>
    <w:rsid w:val="000C2456"/>
    <w:rsid w:val="000C52F1"/>
    <w:rsid w:val="000C6871"/>
    <w:rsid w:val="000D0007"/>
    <w:rsid w:val="000D238C"/>
    <w:rsid w:val="000D4DAC"/>
    <w:rsid w:val="000E1B03"/>
    <w:rsid w:val="000E7C58"/>
    <w:rsid w:val="00100543"/>
    <w:rsid w:val="00103CB9"/>
    <w:rsid w:val="00113A79"/>
    <w:rsid w:val="00113C04"/>
    <w:rsid w:val="001168B2"/>
    <w:rsid w:val="00117FAC"/>
    <w:rsid w:val="00120294"/>
    <w:rsid w:val="00120CEB"/>
    <w:rsid w:val="00133E32"/>
    <w:rsid w:val="00133F46"/>
    <w:rsid w:val="00133F49"/>
    <w:rsid w:val="00142A5D"/>
    <w:rsid w:val="00146E8F"/>
    <w:rsid w:val="00151781"/>
    <w:rsid w:val="00151F89"/>
    <w:rsid w:val="00153B9C"/>
    <w:rsid w:val="00154CC3"/>
    <w:rsid w:val="00157B4E"/>
    <w:rsid w:val="00165632"/>
    <w:rsid w:val="00167580"/>
    <w:rsid w:val="0018172E"/>
    <w:rsid w:val="00183A0C"/>
    <w:rsid w:val="00195EB5"/>
    <w:rsid w:val="001A15CD"/>
    <w:rsid w:val="001A2503"/>
    <w:rsid w:val="001A5799"/>
    <w:rsid w:val="001C0248"/>
    <w:rsid w:val="001C053A"/>
    <w:rsid w:val="001D365D"/>
    <w:rsid w:val="001D4580"/>
    <w:rsid w:val="001D6D5C"/>
    <w:rsid w:val="001E388C"/>
    <w:rsid w:val="001F009D"/>
    <w:rsid w:val="001F48F1"/>
    <w:rsid w:val="00203724"/>
    <w:rsid w:val="00205C73"/>
    <w:rsid w:val="00207049"/>
    <w:rsid w:val="002100F4"/>
    <w:rsid w:val="00210F19"/>
    <w:rsid w:val="00211C00"/>
    <w:rsid w:val="002128AB"/>
    <w:rsid w:val="0021399C"/>
    <w:rsid w:val="002162C3"/>
    <w:rsid w:val="00221DF1"/>
    <w:rsid w:val="0022780E"/>
    <w:rsid w:val="00231FCC"/>
    <w:rsid w:val="002360CA"/>
    <w:rsid w:val="0024391D"/>
    <w:rsid w:val="0025011B"/>
    <w:rsid w:val="00250C73"/>
    <w:rsid w:val="002525F3"/>
    <w:rsid w:val="00253149"/>
    <w:rsid w:val="00257B7D"/>
    <w:rsid w:val="00266ECA"/>
    <w:rsid w:val="0028501A"/>
    <w:rsid w:val="00286898"/>
    <w:rsid w:val="00296AB6"/>
    <w:rsid w:val="002A10CF"/>
    <w:rsid w:val="002A16D9"/>
    <w:rsid w:val="002B10BF"/>
    <w:rsid w:val="002C1320"/>
    <w:rsid w:val="002E31D8"/>
    <w:rsid w:val="002E67D4"/>
    <w:rsid w:val="002F396F"/>
    <w:rsid w:val="002F4735"/>
    <w:rsid w:val="003023A1"/>
    <w:rsid w:val="00312D1A"/>
    <w:rsid w:val="00320B91"/>
    <w:rsid w:val="00324AB8"/>
    <w:rsid w:val="00326077"/>
    <w:rsid w:val="003263DC"/>
    <w:rsid w:val="00332AC0"/>
    <w:rsid w:val="003402D4"/>
    <w:rsid w:val="00341580"/>
    <w:rsid w:val="00346B5A"/>
    <w:rsid w:val="00363C2A"/>
    <w:rsid w:val="00370CBF"/>
    <w:rsid w:val="003724B1"/>
    <w:rsid w:val="00385FF4"/>
    <w:rsid w:val="00386D10"/>
    <w:rsid w:val="00387C4A"/>
    <w:rsid w:val="00391E00"/>
    <w:rsid w:val="00397202"/>
    <w:rsid w:val="00397437"/>
    <w:rsid w:val="00397867"/>
    <w:rsid w:val="003A0138"/>
    <w:rsid w:val="003B50A1"/>
    <w:rsid w:val="003C76F4"/>
    <w:rsid w:val="003C7A32"/>
    <w:rsid w:val="003D2C6A"/>
    <w:rsid w:val="003D3725"/>
    <w:rsid w:val="003D47EB"/>
    <w:rsid w:val="003D4EAC"/>
    <w:rsid w:val="003E568C"/>
    <w:rsid w:val="003E5A1A"/>
    <w:rsid w:val="003F68CA"/>
    <w:rsid w:val="0040365A"/>
    <w:rsid w:val="004138ED"/>
    <w:rsid w:val="0042699B"/>
    <w:rsid w:val="004325F9"/>
    <w:rsid w:val="00432D68"/>
    <w:rsid w:val="00433D42"/>
    <w:rsid w:val="00434EFA"/>
    <w:rsid w:val="0044446A"/>
    <w:rsid w:val="00447E53"/>
    <w:rsid w:val="004513FB"/>
    <w:rsid w:val="00451BBB"/>
    <w:rsid w:val="00452551"/>
    <w:rsid w:val="00456B6D"/>
    <w:rsid w:val="0046183D"/>
    <w:rsid w:val="00482130"/>
    <w:rsid w:val="00491B2F"/>
    <w:rsid w:val="004929EB"/>
    <w:rsid w:val="00494F1B"/>
    <w:rsid w:val="00495262"/>
    <w:rsid w:val="004A1FCD"/>
    <w:rsid w:val="004A6600"/>
    <w:rsid w:val="004A6FD0"/>
    <w:rsid w:val="004A7F25"/>
    <w:rsid w:val="004B1397"/>
    <w:rsid w:val="004B519B"/>
    <w:rsid w:val="004B558E"/>
    <w:rsid w:val="004B593A"/>
    <w:rsid w:val="004B6003"/>
    <w:rsid w:val="004C02F2"/>
    <w:rsid w:val="004C379D"/>
    <w:rsid w:val="004D76AA"/>
    <w:rsid w:val="004E26DB"/>
    <w:rsid w:val="004F118B"/>
    <w:rsid w:val="004F33C4"/>
    <w:rsid w:val="00503F77"/>
    <w:rsid w:val="00511CDD"/>
    <w:rsid w:val="00512073"/>
    <w:rsid w:val="005134E3"/>
    <w:rsid w:val="00514CD5"/>
    <w:rsid w:val="005159F5"/>
    <w:rsid w:val="005219BF"/>
    <w:rsid w:val="005225A9"/>
    <w:rsid w:val="00525A55"/>
    <w:rsid w:val="0052752F"/>
    <w:rsid w:val="0053058D"/>
    <w:rsid w:val="00531EBF"/>
    <w:rsid w:val="00534394"/>
    <w:rsid w:val="00542858"/>
    <w:rsid w:val="0054334B"/>
    <w:rsid w:val="0057304C"/>
    <w:rsid w:val="00582B3B"/>
    <w:rsid w:val="005855D2"/>
    <w:rsid w:val="00587EFE"/>
    <w:rsid w:val="005A037E"/>
    <w:rsid w:val="005C52E3"/>
    <w:rsid w:val="005D675B"/>
    <w:rsid w:val="005E2367"/>
    <w:rsid w:val="005F0F4D"/>
    <w:rsid w:val="005F40CB"/>
    <w:rsid w:val="005F42C8"/>
    <w:rsid w:val="006002FB"/>
    <w:rsid w:val="00605647"/>
    <w:rsid w:val="00610FF7"/>
    <w:rsid w:val="00616CD4"/>
    <w:rsid w:val="00620BC3"/>
    <w:rsid w:val="006218B0"/>
    <w:rsid w:val="006244D4"/>
    <w:rsid w:val="00624A38"/>
    <w:rsid w:val="006275B3"/>
    <w:rsid w:val="00633F1E"/>
    <w:rsid w:val="00633FB4"/>
    <w:rsid w:val="00643F50"/>
    <w:rsid w:val="0065106D"/>
    <w:rsid w:val="00655A2E"/>
    <w:rsid w:val="00672107"/>
    <w:rsid w:val="006736A5"/>
    <w:rsid w:val="0067738B"/>
    <w:rsid w:val="006806B2"/>
    <w:rsid w:val="0069077C"/>
    <w:rsid w:val="006A0834"/>
    <w:rsid w:val="006A0BA0"/>
    <w:rsid w:val="006A7316"/>
    <w:rsid w:val="006B139E"/>
    <w:rsid w:val="006B53EE"/>
    <w:rsid w:val="006C2297"/>
    <w:rsid w:val="006C5A9F"/>
    <w:rsid w:val="006C7834"/>
    <w:rsid w:val="006D5D80"/>
    <w:rsid w:val="006F3817"/>
    <w:rsid w:val="006F6B02"/>
    <w:rsid w:val="006F73B8"/>
    <w:rsid w:val="00703358"/>
    <w:rsid w:val="00704AC4"/>
    <w:rsid w:val="00707523"/>
    <w:rsid w:val="00707EC4"/>
    <w:rsid w:val="00712CE3"/>
    <w:rsid w:val="00714F35"/>
    <w:rsid w:val="00716156"/>
    <w:rsid w:val="00722264"/>
    <w:rsid w:val="00727ED4"/>
    <w:rsid w:val="0073220C"/>
    <w:rsid w:val="0073431E"/>
    <w:rsid w:val="00734DF0"/>
    <w:rsid w:val="00747DA3"/>
    <w:rsid w:val="0075496D"/>
    <w:rsid w:val="007552A0"/>
    <w:rsid w:val="0076314C"/>
    <w:rsid w:val="0077189E"/>
    <w:rsid w:val="00777D33"/>
    <w:rsid w:val="00780F8B"/>
    <w:rsid w:val="0078207D"/>
    <w:rsid w:val="0079029E"/>
    <w:rsid w:val="007A752A"/>
    <w:rsid w:val="007B2902"/>
    <w:rsid w:val="007B52E7"/>
    <w:rsid w:val="007D2F34"/>
    <w:rsid w:val="007D318C"/>
    <w:rsid w:val="007E027F"/>
    <w:rsid w:val="007E3CCF"/>
    <w:rsid w:val="007E4E07"/>
    <w:rsid w:val="007F3DFC"/>
    <w:rsid w:val="007F51B3"/>
    <w:rsid w:val="008129BF"/>
    <w:rsid w:val="008164C8"/>
    <w:rsid w:val="0082105F"/>
    <w:rsid w:val="008238CC"/>
    <w:rsid w:val="00825044"/>
    <w:rsid w:val="008276DA"/>
    <w:rsid w:val="00830E71"/>
    <w:rsid w:val="008414B9"/>
    <w:rsid w:val="008440BE"/>
    <w:rsid w:val="0084543B"/>
    <w:rsid w:val="00845C3C"/>
    <w:rsid w:val="00860483"/>
    <w:rsid w:val="0087073E"/>
    <w:rsid w:val="008868EC"/>
    <w:rsid w:val="0089657D"/>
    <w:rsid w:val="0089777C"/>
    <w:rsid w:val="008B782F"/>
    <w:rsid w:val="008C2E6E"/>
    <w:rsid w:val="008C7EFF"/>
    <w:rsid w:val="008E064D"/>
    <w:rsid w:val="008E434C"/>
    <w:rsid w:val="008E7689"/>
    <w:rsid w:val="00901587"/>
    <w:rsid w:val="00902F35"/>
    <w:rsid w:val="00910BCF"/>
    <w:rsid w:val="00911E11"/>
    <w:rsid w:val="009147F1"/>
    <w:rsid w:val="00915DEF"/>
    <w:rsid w:val="00916B4A"/>
    <w:rsid w:val="0091761D"/>
    <w:rsid w:val="00921A5C"/>
    <w:rsid w:val="00934288"/>
    <w:rsid w:val="0094734F"/>
    <w:rsid w:val="00955A26"/>
    <w:rsid w:val="00972A98"/>
    <w:rsid w:val="009747C4"/>
    <w:rsid w:val="00975DA7"/>
    <w:rsid w:val="00981C23"/>
    <w:rsid w:val="009A0A47"/>
    <w:rsid w:val="009A51B6"/>
    <w:rsid w:val="009A584E"/>
    <w:rsid w:val="009A58F8"/>
    <w:rsid w:val="009A7586"/>
    <w:rsid w:val="009C1FA8"/>
    <w:rsid w:val="009C3489"/>
    <w:rsid w:val="009C5823"/>
    <w:rsid w:val="009D2610"/>
    <w:rsid w:val="009D56E5"/>
    <w:rsid w:val="009D7967"/>
    <w:rsid w:val="009E1BEB"/>
    <w:rsid w:val="009F5E80"/>
    <w:rsid w:val="00A046E8"/>
    <w:rsid w:val="00A1437A"/>
    <w:rsid w:val="00A22108"/>
    <w:rsid w:val="00A323BD"/>
    <w:rsid w:val="00A3759C"/>
    <w:rsid w:val="00A4242F"/>
    <w:rsid w:val="00A4631E"/>
    <w:rsid w:val="00A50B8B"/>
    <w:rsid w:val="00A540BF"/>
    <w:rsid w:val="00A5605C"/>
    <w:rsid w:val="00A61AA2"/>
    <w:rsid w:val="00A7267F"/>
    <w:rsid w:val="00A75805"/>
    <w:rsid w:val="00A8086E"/>
    <w:rsid w:val="00A85E2B"/>
    <w:rsid w:val="00A972A8"/>
    <w:rsid w:val="00AB1130"/>
    <w:rsid w:val="00AC72CE"/>
    <w:rsid w:val="00AE1675"/>
    <w:rsid w:val="00AE6880"/>
    <w:rsid w:val="00AE75B4"/>
    <w:rsid w:val="00AF667A"/>
    <w:rsid w:val="00B1051F"/>
    <w:rsid w:val="00B10BAF"/>
    <w:rsid w:val="00B115A2"/>
    <w:rsid w:val="00B1197E"/>
    <w:rsid w:val="00B14EE9"/>
    <w:rsid w:val="00B14FFC"/>
    <w:rsid w:val="00B23F2E"/>
    <w:rsid w:val="00B26475"/>
    <w:rsid w:val="00B279B5"/>
    <w:rsid w:val="00B41AED"/>
    <w:rsid w:val="00B46489"/>
    <w:rsid w:val="00B504F8"/>
    <w:rsid w:val="00B6417E"/>
    <w:rsid w:val="00B67957"/>
    <w:rsid w:val="00B70295"/>
    <w:rsid w:val="00B74AEF"/>
    <w:rsid w:val="00B752F5"/>
    <w:rsid w:val="00B81339"/>
    <w:rsid w:val="00B87510"/>
    <w:rsid w:val="00B87D9A"/>
    <w:rsid w:val="00B942C7"/>
    <w:rsid w:val="00B95794"/>
    <w:rsid w:val="00BA7CAF"/>
    <w:rsid w:val="00BC4182"/>
    <w:rsid w:val="00BC5E7D"/>
    <w:rsid w:val="00BC7393"/>
    <w:rsid w:val="00BE0468"/>
    <w:rsid w:val="00BE26D9"/>
    <w:rsid w:val="00BE57AC"/>
    <w:rsid w:val="00BF3D05"/>
    <w:rsid w:val="00BF470F"/>
    <w:rsid w:val="00C27BC8"/>
    <w:rsid w:val="00C313BB"/>
    <w:rsid w:val="00C32747"/>
    <w:rsid w:val="00C443A7"/>
    <w:rsid w:val="00C53A5C"/>
    <w:rsid w:val="00C75CCD"/>
    <w:rsid w:val="00C8166B"/>
    <w:rsid w:val="00C82902"/>
    <w:rsid w:val="00C9091F"/>
    <w:rsid w:val="00C91E07"/>
    <w:rsid w:val="00C973DE"/>
    <w:rsid w:val="00CA4E62"/>
    <w:rsid w:val="00CB04EB"/>
    <w:rsid w:val="00CB3523"/>
    <w:rsid w:val="00CC406D"/>
    <w:rsid w:val="00CC4A37"/>
    <w:rsid w:val="00CD208F"/>
    <w:rsid w:val="00CD3193"/>
    <w:rsid w:val="00CE12D9"/>
    <w:rsid w:val="00CE2F2F"/>
    <w:rsid w:val="00CE4EED"/>
    <w:rsid w:val="00CF3239"/>
    <w:rsid w:val="00CF5C09"/>
    <w:rsid w:val="00D071C1"/>
    <w:rsid w:val="00D10764"/>
    <w:rsid w:val="00D14A73"/>
    <w:rsid w:val="00D1654E"/>
    <w:rsid w:val="00D2044E"/>
    <w:rsid w:val="00D33380"/>
    <w:rsid w:val="00D33B95"/>
    <w:rsid w:val="00D33EAB"/>
    <w:rsid w:val="00D35168"/>
    <w:rsid w:val="00D36038"/>
    <w:rsid w:val="00D360F9"/>
    <w:rsid w:val="00D41AC4"/>
    <w:rsid w:val="00D44D23"/>
    <w:rsid w:val="00D455BA"/>
    <w:rsid w:val="00D57C26"/>
    <w:rsid w:val="00D74A5F"/>
    <w:rsid w:val="00D82D02"/>
    <w:rsid w:val="00D84224"/>
    <w:rsid w:val="00D8479B"/>
    <w:rsid w:val="00D9162B"/>
    <w:rsid w:val="00DA150C"/>
    <w:rsid w:val="00DA1DC9"/>
    <w:rsid w:val="00DB17CA"/>
    <w:rsid w:val="00DB66C0"/>
    <w:rsid w:val="00DC1475"/>
    <w:rsid w:val="00DC5C92"/>
    <w:rsid w:val="00DE016B"/>
    <w:rsid w:val="00DE0260"/>
    <w:rsid w:val="00DE1618"/>
    <w:rsid w:val="00DE4F07"/>
    <w:rsid w:val="00DF0B41"/>
    <w:rsid w:val="00DF4D27"/>
    <w:rsid w:val="00E01F38"/>
    <w:rsid w:val="00E10740"/>
    <w:rsid w:val="00E11849"/>
    <w:rsid w:val="00E11CF1"/>
    <w:rsid w:val="00E1243D"/>
    <w:rsid w:val="00E1276A"/>
    <w:rsid w:val="00E132A7"/>
    <w:rsid w:val="00E14A0F"/>
    <w:rsid w:val="00E17E72"/>
    <w:rsid w:val="00E23310"/>
    <w:rsid w:val="00E35E05"/>
    <w:rsid w:val="00E35F07"/>
    <w:rsid w:val="00E41E5E"/>
    <w:rsid w:val="00E446AF"/>
    <w:rsid w:val="00E53F0B"/>
    <w:rsid w:val="00E57370"/>
    <w:rsid w:val="00E57E30"/>
    <w:rsid w:val="00E60031"/>
    <w:rsid w:val="00E61907"/>
    <w:rsid w:val="00E64A5B"/>
    <w:rsid w:val="00E674AA"/>
    <w:rsid w:val="00E676D1"/>
    <w:rsid w:val="00E71794"/>
    <w:rsid w:val="00E73A6B"/>
    <w:rsid w:val="00E763E5"/>
    <w:rsid w:val="00E77841"/>
    <w:rsid w:val="00E90A8F"/>
    <w:rsid w:val="00E90FC8"/>
    <w:rsid w:val="00E92E05"/>
    <w:rsid w:val="00EB278E"/>
    <w:rsid w:val="00EB2BB8"/>
    <w:rsid w:val="00EB436D"/>
    <w:rsid w:val="00EB4848"/>
    <w:rsid w:val="00EE3044"/>
    <w:rsid w:val="00EE5648"/>
    <w:rsid w:val="00EE68A6"/>
    <w:rsid w:val="00EE6CBA"/>
    <w:rsid w:val="00EE7755"/>
    <w:rsid w:val="00EF1D75"/>
    <w:rsid w:val="00EF3CD4"/>
    <w:rsid w:val="00F141D4"/>
    <w:rsid w:val="00F14D0F"/>
    <w:rsid w:val="00F15AF1"/>
    <w:rsid w:val="00F17786"/>
    <w:rsid w:val="00F27C9C"/>
    <w:rsid w:val="00F35EE2"/>
    <w:rsid w:val="00F4286C"/>
    <w:rsid w:val="00F47F14"/>
    <w:rsid w:val="00F54D2D"/>
    <w:rsid w:val="00F6374C"/>
    <w:rsid w:val="00F72B5C"/>
    <w:rsid w:val="00F7352B"/>
    <w:rsid w:val="00F73E31"/>
    <w:rsid w:val="00F85F39"/>
    <w:rsid w:val="00F863FA"/>
    <w:rsid w:val="00F9773E"/>
    <w:rsid w:val="00FA0C47"/>
    <w:rsid w:val="00FA514B"/>
    <w:rsid w:val="00FB3DA7"/>
    <w:rsid w:val="00FB62CB"/>
    <w:rsid w:val="00FE0505"/>
    <w:rsid w:val="00FE19EA"/>
    <w:rsid w:val="00FE2AD9"/>
    <w:rsid w:val="00FE32E3"/>
    <w:rsid w:val="00FE594B"/>
    <w:rsid w:val="00FE620C"/>
    <w:rsid w:val="00FF74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C39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1B31" w:themeColor="text2"/>
        <w:lang w:val="en-GB" w:eastAsia="zh-CN" w:bidi="ar-SA"/>
      </w:rPr>
    </w:rPrDefault>
    <w:pPrDefault>
      <w:pPr>
        <w:spacing w:before="180"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F7"/>
    <w:pPr>
      <w:spacing w:before="240"/>
    </w:pPr>
    <w:rPr>
      <w:rFonts w:ascii="Arial" w:hAnsi="Arial"/>
    </w:rPr>
  </w:style>
  <w:style w:type="paragraph" w:styleId="Heading1">
    <w:name w:val="heading 1"/>
    <w:basedOn w:val="Normal"/>
    <w:next w:val="Normal"/>
    <w:link w:val="Heading1Char"/>
    <w:uiPriority w:val="9"/>
    <w:qFormat/>
    <w:rsid w:val="00B87D9A"/>
    <w:pPr>
      <w:keepNext/>
      <w:keepLines/>
      <w:pageBreakBefore/>
      <w:spacing w:before="0" w:after="480" w:line="560" w:lineRule="atLeast"/>
      <w:outlineLvl w:val="0"/>
    </w:pPr>
    <w:rPr>
      <w:rFonts w:eastAsiaTheme="majorEastAsia" w:cstheme="majorBidi"/>
      <w:color w:val="006182" w:themeColor="accent1"/>
      <w:spacing w:val="-6"/>
      <w:sz w:val="48"/>
      <w:szCs w:val="32"/>
    </w:rPr>
  </w:style>
  <w:style w:type="paragraph" w:styleId="Heading2">
    <w:name w:val="heading 2"/>
    <w:basedOn w:val="Normal"/>
    <w:next w:val="Normal"/>
    <w:link w:val="Heading2Char"/>
    <w:uiPriority w:val="9"/>
    <w:qFormat/>
    <w:rsid w:val="00B87D9A"/>
    <w:pPr>
      <w:keepNext/>
      <w:keepLines/>
      <w:spacing w:before="360" w:line="360" w:lineRule="atLeast"/>
      <w:outlineLvl w:val="1"/>
    </w:pPr>
    <w:rPr>
      <w:rFonts w:eastAsiaTheme="majorEastAsia" w:cstheme="majorBidi"/>
      <w:b/>
      <w:color w:val="006182" w:themeColor="accent1"/>
      <w:sz w:val="30"/>
      <w:szCs w:val="26"/>
    </w:rPr>
  </w:style>
  <w:style w:type="paragraph" w:styleId="Heading3">
    <w:name w:val="heading 3"/>
    <w:basedOn w:val="Normal"/>
    <w:next w:val="Normal"/>
    <w:link w:val="Heading3Char"/>
    <w:uiPriority w:val="9"/>
    <w:qFormat/>
    <w:rsid w:val="00B87D9A"/>
    <w:pPr>
      <w:keepNext/>
      <w:keepLines/>
      <w:spacing w:before="360" w:line="280" w:lineRule="atLeast"/>
      <w:outlineLvl w:val="2"/>
    </w:pPr>
    <w:rPr>
      <w:rFonts w:eastAsiaTheme="majorEastAsia" w:cstheme="majorBidi"/>
      <w:b/>
      <w:color w:val="006182" w:themeColor="accent1"/>
      <w:sz w:val="24"/>
      <w:szCs w:val="24"/>
    </w:rPr>
  </w:style>
  <w:style w:type="paragraph" w:styleId="Heading4">
    <w:name w:val="heading 4"/>
    <w:basedOn w:val="Normal"/>
    <w:next w:val="Normal"/>
    <w:link w:val="Heading4Char"/>
    <w:uiPriority w:val="9"/>
    <w:unhideWhenUsed/>
    <w:qFormat/>
    <w:rsid w:val="00133F49"/>
    <w:pPr>
      <w:keepNext/>
      <w:keepLines/>
      <w:outlineLvl w:val="3"/>
    </w:pPr>
    <w:rPr>
      <w:rFonts w:eastAsiaTheme="majorEastAsia" w:cstheme="majorBidi"/>
      <w:iCs/>
      <w:color w:val="22B7C4" w:themeColor="accent2"/>
      <w:sz w:val="24"/>
    </w:rPr>
  </w:style>
  <w:style w:type="paragraph" w:styleId="Heading5">
    <w:name w:val="heading 5"/>
    <w:basedOn w:val="Normal"/>
    <w:next w:val="Normal"/>
    <w:link w:val="Heading5Char"/>
    <w:uiPriority w:val="9"/>
    <w:semiHidden/>
    <w:unhideWhenUsed/>
    <w:qFormat/>
    <w:rsid w:val="00B87D9A"/>
    <w:pPr>
      <w:keepNext/>
      <w:keepLines/>
      <w:spacing w:before="40" w:after="0"/>
      <w:outlineLvl w:val="4"/>
    </w:pPr>
    <w:rPr>
      <w:rFonts w:eastAsiaTheme="majorEastAsia" w:cstheme="majorBidi"/>
      <w:color w:val="0048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F49"/>
    <w:pPr>
      <w:tabs>
        <w:tab w:val="center" w:pos="4513"/>
        <w:tab w:val="right" w:pos="9026"/>
      </w:tabs>
      <w:spacing w:before="0" w:after="0" w:line="180" w:lineRule="atLeast"/>
    </w:pPr>
    <w:rPr>
      <w:rFonts w:asciiTheme="majorHAnsi" w:hAnsiTheme="majorHAnsi"/>
      <w:color w:val="006182" w:themeColor="accent1"/>
      <w:sz w:val="14"/>
    </w:rPr>
  </w:style>
  <w:style w:type="character" w:customStyle="1" w:styleId="HeaderChar">
    <w:name w:val="Header Char"/>
    <w:basedOn w:val="DefaultParagraphFont"/>
    <w:link w:val="Header"/>
    <w:uiPriority w:val="99"/>
    <w:rsid w:val="00133F49"/>
    <w:rPr>
      <w:rFonts w:asciiTheme="majorHAnsi" w:hAnsiTheme="majorHAnsi"/>
      <w:color w:val="006182" w:themeColor="accent1"/>
      <w:sz w:val="14"/>
    </w:rPr>
  </w:style>
  <w:style w:type="paragraph" w:styleId="Footer">
    <w:name w:val="footer"/>
    <w:basedOn w:val="Normal"/>
    <w:link w:val="FooterChar"/>
    <w:uiPriority w:val="99"/>
    <w:rsid w:val="00643F50"/>
    <w:pPr>
      <w:tabs>
        <w:tab w:val="center" w:pos="4513"/>
        <w:tab w:val="right" w:pos="9026"/>
      </w:tabs>
      <w:spacing w:before="0" w:after="0" w:line="180" w:lineRule="atLeast"/>
    </w:pPr>
    <w:rPr>
      <w:sz w:val="16"/>
    </w:rPr>
  </w:style>
  <w:style w:type="character" w:customStyle="1" w:styleId="FooterChar">
    <w:name w:val="Footer Char"/>
    <w:basedOn w:val="DefaultParagraphFont"/>
    <w:link w:val="Footer"/>
    <w:uiPriority w:val="99"/>
    <w:rsid w:val="00643F50"/>
    <w:rPr>
      <w:rFonts w:ascii="Arial" w:hAnsi="Arial"/>
      <w:sz w:val="16"/>
    </w:rPr>
  </w:style>
  <w:style w:type="character" w:customStyle="1" w:styleId="Heading2Char">
    <w:name w:val="Heading 2 Char"/>
    <w:basedOn w:val="DefaultParagraphFont"/>
    <w:link w:val="Heading2"/>
    <w:uiPriority w:val="9"/>
    <w:rsid w:val="00B87D9A"/>
    <w:rPr>
      <w:rFonts w:ascii="Arial" w:eastAsiaTheme="majorEastAsia" w:hAnsi="Arial" w:cstheme="majorBidi"/>
      <w:b/>
      <w:color w:val="006182" w:themeColor="accent1"/>
      <w:sz w:val="30"/>
      <w:szCs w:val="26"/>
    </w:rPr>
  </w:style>
  <w:style w:type="paragraph" w:customStyle="1" w:styleId="AppendixNumbered">
    <w:name w:val="Appendix Numbered"/>
    <w:basedOn w:val="Heading2"/>
    <w:uiPriority w:val="11"/>
    <w:qFormat/>
    <w:rsid w:val="00B87D9A"/>
    <w:pPr>
      <w:pageBreakBefore/>
      <w:numPr>
        <w:numId w:val="2"/>
      </w:numPr>
    </w:pPr>
  </w:style>
  <w:style w:type="numbering" w:customStyle="1" w:styleId="AppendixNumbers">
    <w:name w:val="Appendix Numbers"/>
    <w:uiPriority w:val="99"/>
    <w:rsid w:val="00133F49"/>
    <w:pPr>
      <w:numPr>
        <w:numId w:val="2"/>
      </w:numPr>
    </w:pPr>
  </w:style>
  <w:style w:type="paragraph" w:customStyle="1" w:styleId="Boxed1Text">
    <w:name w:val="Boxed 1 Text"/>
    <w:basedOn w:val="Normal"/>
    <w:uiPriority w:val="29"/>
    <w:qFormat/>
    <w:rsid w:val="0087073E"/>
    <w:pPr>
      <w:pBdr>
        <w:top w:val="single" w:sz="4" w:space="14" w:color="9FE7EE" w:themeColor="accent2" w:themeTint="66"/>
        <w:left w:val="single" w:sz="4" w:space="14" w:color="9FE7EE" w:themeColor="accent2" w:themeTint="66"/>
        <w:bottom w:val="single" w:sz="4" w:space="14" w:color="9FE7EE" w:themeColor="accent2" w:themeTint="66"/>
        <w:right w:val="single" w:sz="4" w:space="14" w:color="9FE7EE" w:themeColor="accent2" w:themeTint="66"/>
      </w:pBdr>
      <w:shd w:val="clear" w:color="auto" w:fill="9FE7EE" w:themeFill="accent2" w:themeFillTint="66"/>
      <w:spacing w:after="60"/>
      <w:ind w:left="284" w:right="284"/>
    </w:pPr>
  </w:style>
  <w:style w:type="paragraph" w:customStyle="1" w:styleId="Boxed1Bullet">
    <w:name w:val="Boxed 1 Bullet"/>
    <w:basedOn w:val="Boxed1Text"/>
    <w:uiPriority w:val="30"/>
    <w:qFormat/>
    <w:rsid w:val="00133F49"/>
    <w:pPr>
      <w:numPr>
        <w:numId w:val="5"/>
      </w:numPr>
    </w:pPr>
  </w:style>
  <w:style w:type="paragraph" w:customStyle="1" w:styleId="Boxed1Heading">
    <w:name w:val="Boxed 1 Heading"/>
    <w:basedOn w:val="Boxed1Text"/>
    <w:uiPriority w:val="29"/>
    <w:qFormat/>
    <w:rsid w:val="0087073E"/>
    <w:pPr>
      <w:keepNext/>
    </w:pPr>
    <w:rPr>
      <w:b/>
      <w:sz w:val="22"/>
    </w:rPr>
  </w:style>
  <w:style w:type="paragraph" w:customStyle="1" w:styleId="Boxed2Text">
    <w:name w:val="Boxed 2 Text"/>
    <w:basedOn w:val="Boxed1Text"/>
    <w:uiPriority w:val="31"/>
    <w:qFormat/>
    <w:rsid w:val="00133F49"/>
    <w:pPr>
      <w:pBdr>
        <w:top w:val="single" w:sz="4" w:space="14" w:color="006182" w:themeColor="accent1"/>
        <w:left w:val="single" w:sz="4" w:space="14" w:color="006182" w:themeColor="accent1"/>
        <w:bottom w:val="single" w:sz="4" w:space="14" w:color="006182" w:themeColor="accent1"/>
        <w:right w:val="single" w:sz="4" w:space="14" w:color="006182" w:themeColor="accent1"/>
      </w:pBdr>
      <w:shd w:val="clear" w:color="auto" w:fill="auto"/>
    </w:pPr>
  </w:style>
  <w:style w:type="paragraph" w:customStyle="1" w:styleId="Boxed2Bullet">
    <w:name w:val="Boxed 2 Bullet"/>
    <w:basedOn w:val="Boxed2Text"/>
    <w:uiPriority w:val="32"/>
    <w:qFormat/>
    <w:rsid w:val="00133F49"/>
    <w:pPr>
      <w:numPr>
        <w:ilvl w:val="1"/>
        <w:numId w:val="5"/>
      </w:numPr>
    </w:pPr>
  </w:style>
  <w:style w:type="paragraph" w:customStyle="1" w:styleId="Boxed2Heading">
    <w:name w:val="Boxed 2 Heading"/>
    <w:basedOn w:val="Boxed2Text"/>
    <w:uiPriority w:val="31"/>
    <w:qFormat/>
    <w:rsid w:val="00133F49"/>
    <w:pPr>
      <w:keepNext/>
    </w:pPr>
    <w:rPr>
      <w:b/>
      <w:sz w:val="22"/>
    </w:rPr>
  </w:style>
  <w:style w:type="numbering" w:customStyle="1" w:styleId="BoxedBullets">
    <w:name w:val="Boxed Bullets"/>
    <w:uiPriority w:val="99"/>
    <w:rsid w:val="00133F49"/>
    <w:pPr>
      <w:numPr>
        <w:numId w:val="5"/>
      </w:numPr>
    </w:pPr>
  </w:style>
  <w:style w:type="paragraph" w:customStyle="1" w:styleId="Bullet1">
    <w:name w:val="Bullet 1"/>
    <w:basedOn w:val="Normal"/>
    <w:uiPriority w:val="2"/>
    <w:qFormat/>
    <w:rsid w:val="00643F50"/>
    <w:pPr>
      <w:numPr>
        <w:numId w:val="9"/>
      </w:numPr>
      <w:spacing w:before="80" w:after="80" w:line="240" w:lineRule="auto"/>
      <w:contextualSpacing/>
    </w:pPr>
  </w:style>
  <w:style w:type="paragraph" w:customStyle="1" w:styleId="Bullet2">
    <w:name w:val="Bullet 2"/>
    <w:basedOn w:val="Normal"/>
    <w:uiPriority w:val="2"/>
    <w:qFormat/>
    <w:rsid w:val="00133F49"/>
    <w:pPr>
      <w:numPr>
        <w:ilvl w:val="1"/>
        <w:numId w:val="9"/>
      </w:numPr>
    </w:pPr>
  </w:style>
  <w:style w:type="paragraph" w:customStyle="1" w:styleId="Bullet3">
    <w:name w:val="Bullet 3"/>
    <w:basedOn w:val="Normal"/>
    <w:uiPriority w:val="2"/>
    <w:qFormat/>
    <w:rsid w:val="00133F49"/>
    <w:pPr>
      <w:numPr>
        <w:ilvl w:val="2"/>
        <w:numId w:val="9"/>
      </w:numPr>
    </w:pPr>
  </w:style>
  <w:style w:type="paragraph" w:styleId="Caption">
    <w:name w:val="caption"/>
    <w:basedOn w:val="Normal"/>
    <w:next w:val="Normal"/>
    <w:uiPriority w:val="19"/>
    <w:qFormat/>
    <w:rsid w:val="00133F49"/>
    <w:pPr>
      <w:spacing w:before="0" w:after="200"/>
    </w:pPr>
    <w:rPr>
      <w:rFonts w:asciiTheme="majorHAnsi" w:hAnsiTheme="majorHAnsi"/>
      <w:iCs/>
      <w:caps/>
      <w:szCs w:val="18"/>
    </w:rPr>
  </w:style>
  <w:style w:type="numbering" w:customStyle="1" w:styleId="DefaultBullets">
    <w:name w:val="Default Bullets"/>
    <w:uiPriority w:val="99"/>
    <w:rsid w:val="00133F49"/>
    <w:pPr>
      <w:numPr>
        <w:numId w:val="9"/>
      </w:numPr>
    </w:pPr>
  </w:style>
  <w:style w:type="table" w:customStyle="1" w:styleId="DefaultTable1">
    <w:name w:val="Default Table 1"/>
    <w:basedOn w:val="GridTable5Dark-Accent1"/>
    <w:uiPriority w:val="99"/>
    <w:rsid w:val="004325F9"/>
    <w:pPr>
      <w:spacing w:before="60" w:after="60"/>
    </w:pPr>
    <w:rPr>
      <w:rFonts w:eastAsiaTheme="minorHAnsi"/>
      <w:color w:val="auto"/>
      <w:sz w:val="18"/>
      <w:lang w:val="en-AU" w:eastAsia="en-US"/>
    </w:rPr>
    <w:tblPr>
      <w:tblBorders>
        <w:top w:val="single" w:sz="4" w:space="0" w:color="001B31" w:themeColor="text2"/>
        <w:left w:val="single" w:sz="4" w:space="0" w:color="001B31" w:themeColor="text2"/>
        <w:bottom w:val="single" w:sz="4" w:space="0" w:color="001B31" w:themeColor="text2"/>
        <w:right w:val="single" w:sz="4" w:space="0" w:color="001B31" w:themeColor="text2"/>
        <w:insideH w:val="single" w:sz="4" w:space="0" w:color="001B31" w:themeColor="text2"/>
        <w:insideV w:val="single" w:sz="4" w:space="0" w:color="001B31" w:themeColor="text2"/>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cPr>
        <w:tcBorders>
          <w:top w:val="single" w:sz="4" w:space="0" w:color="001B31" w:themeColor="text2"/>
          <w:left w:val="single" w:sz="4" w:space="0" w:color="001B31" w:themeColor="text2"/>
          <w:bottom w:val="single" w:sz="4" w:space="0" w:color="001B31" w:themeColor="text2"/>
          <w:right w:val="single" w:sz="4" w:space="0" w:color="001B31" w:themeColor="text2"/>
          <w:insideH w:val="single" w:sz="4" w:space="0" w:color="001B31" w:themeColor="text2"/>
          <w:insideV w:val="single" w:sz="4" w:space="0" w:color="001B31" w:themeColor="text2"/>
        </w:tcBorders>
        <w:shd w:val="clear" w:color="auto" w:fill="006182" w:themeFill="accent1"/>
      </w:tcPr>
    </w:tblStylePr>
    <w:tblStylePr w:type="lastRow">
      <w:rPr>
        <w:b/>
        <w:bCs/>
        <w:color w:val="000000" w:themeColor="text1"/>
      </w:rPr>
      <w:tblPr/>
      <w:tcPr>
        <w:tcBorders>
          <w:top w:val="single" w:sz="4" w:space="0" w:color="001B31" w:themeColor="text2"/>
          <w:left w:val="single" w:sz="4" w:space="0" w:color="001B31" w:themeColor="text2"/>
          <w:bottom w:val="single" w:sz="4" w:space="0" w:color="001B31" w:themeColor="text2"/>
          <w:right w:val="single" w:sz="4" w:space="0" w:color="001B31" w:themeColor="text2"/>
          <w:insideH w:val="single" w:sz="4" w:space="0" w:color="001B31" w:themeColor="text2"/>
          <w:insideV w:val="single" w:sz="4" w:space="0" w:color="001B31" w:themeColor="text2"/>
        </w:tcBorders>
        <w:shd w:val="clear" w:color="auto" w:fill="BFBFBF" w:themeFill="background1" w:themeFillShade="BF"/>
      </w:tcPr>
    </w:tblStylePr>
    <w:tblStylePr w:type="firstCol">
      <w:rPr>
        <w:b/>
        <w:bCs/>
        <w:color w:val="FFFFFF" w:themeColor="background1"/>
      </w:rPr>
      <w:tblPr/>
      <w:tcPr>
        <w:tcBorders>
          <w:top w:val="single" w:sz="4" w:space="0" w:color="001B31" w:themeColor="text2"/>
          <w:left w:val="single" w:sz="4" w:space="0" w:color="001B31" w:themeColor="text2"/>
          <w:bottom w:val="single" w:sz="4" w:space="0" w:color="001B31" w:themeColor="text2"/>
          <w:right w:val="single" w:sz="4" w:space="0" w:color="001B31" w:themeColor="text2"/>
          <w:insideH w:val="single" w:sz="4" w:space="0" w:color="001B31" w:themeColor="text2"/>
          <w:insideV w:val="single" w:sz="4" w:space="0" w:color="001B31" w:themeColor="text2"/>
        </w:tcBorders>
        <w:shd w:val="clear" w:color="auto" w:fill="006182" w:themeFill="accent1"/>
      </w:tcPr>
    </w:tblStylePr>
    <w:tblStylePr w:type="lastCol">
      <w:pPr>
        <w:jc w:val="right"/>
      </w:pPr>
      <w:rPr>
        <w:b/>
        <w:bCs/>
        <w:color w:val="000000" w:themeColor="text1"/>
      </w:rPr>
      <w:tblPr/>
      <w:tcPr>
        <w:tcBorders>
          <w:top w:val="single" w:sz="4" w:space="0" w:color="001B31" w:themeColor="text2"/>
          <w:left w:val="single" w:sz="4" w:space="0" w:color="001B31" w:themeColor="text2"/>
          <w:bottom w:val="single" w:sz="4" w:space="0" w:color="001B31" w:themeColor="text2"/>
          <w:right w:val="single" w:sz="4" w:space="0" w:color="001B31" w:themeColor="text2"/>
          <w:insideH w:val="single" w:sz="4" w:space="0" w:color="001B31" w:themeColor="text2"/>
          <w:insideV w:val="single" w:sz="4" w:space="0" w:color="001B31" w:themeColor="text2"/>
        </w:tcBorders>
        <w:shd w:val="clear" w:color="auto" w:fill="BFBFBF" w:themeFill="background1" w:themeFillShade="BF"/>
      </w:tcPr>
    </w:tblStylePr>
    <w:tblStylePr w:type="band1Vert">
      <w:tblPr/>
      <w:tcPr>
        <w:shd w:val="clear" w:color="auto" w:fill="B3EBFF" w:themeFill="accent1" w:themeFillTint="33"/>
      </w:tcPr>
    </w:tblStylePr>
    <w:tblStylePr w:type="band2Vert">
      <w:tblPr/>
      <w:tcPr>
        <w:shd w:val="clear" w:color="auto" w:fill="67D8FF" w:themeFill="accent1" w:themeFillTint="66"/>
      </w:tcPr>
    </w:tblStylePr>
    <w:tblStylePr w:type="band1Horz">
      <w:tblPr/>
      <w:tcPr>
        <w:shd w:val="clear" w:color="auto" w:fill="B3EBFF" w:themeFill="accent1" w:themeFillTint="33"/>
      </w:tcPr>
    </w:tblStylePr>
    <w:tblStylePr w:type="band2Horz">
      <w:tblPr/>
      <w:tcPr>
        <w:shd w:val="clear" w:color="auto" w:fill="67D8FF" w:themeFill="accent1" w:themeFillTint="66"/>
      </w:tcPr>
    </w:tblStylePr>
  </w:style>
  <w:style w:type="table" w:styleId="GridTable5Dark-Accent1">
    <w:name w:val="Grid Table 5 Dark Accent 1"/>
    <w:basedOn w:val="TableNormal"/>
    <w:uiPriority w:val="50"/>
    <w:rsid w:val="00133F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82" w:themeFill="accent1"/>
      </w:tcPr>
    </w:tblStylePr>
    <w:tblStylePr w:type="band1Vert">
      <w:tblPr/>
      <w:tcPr>
        <w:shd w:val="clear" w:color="auto" w:fill="67D8FF" w:themeFill="accent1" w:themeFillTint="66"/>
      </w:tcPr>
    </w:tblStylePr>
    <w:tblStylePr w:type="band1Horz">
      <w:tblPr/>
      <w:tcPr>
        <w:shd w:val="clear" w:color="auto" w:fill="67D8FF" w:themeFill="accent1" w:themeFillTint="66"/>
      </w:tcPr>
    </w:tblStylePr>
  </w:style>
  <w:style w:type="table" w:customStyle="1" w:styleId="DefaultTable2">
    <w:name w:val="Default Table 2"/>
    <w:basedOn w:val="TableNormal"/>
    <w:uiPriority w:val="99"/>
    <w:rsid w:val="00133F49"/>
    <w:pPr>
      <w:spacing w:after="0"/>
    </w:pPr>
    <w:rPr>
      <w:rFonts w:eastAsiaTheme="minorHAnsi"/>
      <w:lang w:val="en-AU" w:eastAsia="en-US"/>
    </w:rPr>
    <w:tblPr>
      <w:tblStyleRowBandSize w:val="1"/>
      <w:tblStyleColBandSize w:val="1"/>
      <w:tblBorders>
        <w:top w:val="single" w:sz="4" w:space="0" w:color="22B7C4" w:themeColor="accent2"/>
        <w:left w:val="single" w:sz="4" w:space="0" w:color="22B7C4" w:themeColor="accent2"/>
        <w:bottom w:val="single" w:sz="4" w:space="0" w:color="22B7C4" w:themeColor="accent2"/>
        <w:right w:val="single" w:sz="4" w:space="0" w:color="22B7C4" w:themeColor="accent2"/>
        <w:insideH w:val="single" w:sz="4" w:space="0" w:color="22B7C4" w:themeColor="accent2"/>
        <w:insideV w:val="single" w:sz="4" w:space="0" w:color="22B7C4" w:themeColor="accent2"/>
      </w:tblBorders>
      <w:tblCellMar>
        <w:top w:w="28" w:type="dxa"/>
        <w:left w:w="57" w:type="dxa"/>
        <w:bottom w:w="28" w:type="dxa"/>
        <w:right w:w="57" w:type="dxa"/>
      </w:tblCellMar>
    </w:tblPr>
    <w:tblStylePr w:type="firstRow">
      <w:rPr>
        <w:b/>
      </w:rPr>
      <w:tblPr/>
      <w:tcPr>
        <w:shd w:val="clear" w:color="auto" w:fill="22B7C4" w:themeFill="accent2"/>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lastCol">
      <w:rPr>
        <w:b/>
      </w:rPr>
      <w:tblPr/>
      <w:tcPr>
        <w:shd w:val="clear" w:color="auto" w:fill="D9D9D9" w:themeFill="background1" w:themeFillShade="D9"/>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133F49"/>
    <w:rPr>
      <w:i/>
      <w:iCs/>
    </w:rPr>
  </w:style>
  <w:style w:type="numbering" w:customStyle="1" w:styleId="FigureNumbers">
    <w:name w:val="Figure Numbers"/>
    <w:uiPriority w:val="99"/>
    <w:rsid w:val="00133F49"/>
    <w:pPr>
      <w:numPr>
        <w:numId w:val="10"/>
      </w:numPr>
    </w:pPr>
  </w:style>
  <w:style w:type="paragraph" w:customStyle="1" w:styleId="FigureTitle">
    <w:name w:val="Figure Title"/>
    <w:basedOn w:val="Normal"/>
    <w:uiPriority w:val="12"/>
    <w:qFormat/>
    <w:rsid w:val="00133F49"/>
    <w:pPr>
      <w:keepNext/>
    </w:pPr>
    <w:rPr>
      <w:rFonts w:asciiTheme="majorHAnsi" w:hAnsiTheme="majorHAnsi"/>
    </w:rPr>
  </w:style>
  <w:style w:type="character" w:styleId="FollowedHyperlink">
    <w:name w:val="FollowedHyperlink"/>
    <w:basedOn w:val="DefaultParagraphFont"/>
    <w:uiPriority w:val="99"/>
    <w:rsid w:val="00133F49"/>
    <w:rPr>
      <w:color w:val="0070C0"/>
      <w:u w:val="single"/>
    </w:rPr>
  </w:style>
  <w:style w:type="character" w:styleId="FootnoteReference">
    <w:name w:val="footnote reference"/>
    <w:basedOn w:val="DefaultParagraphFont"/>
    <w:uiPriority w:val="99"/>
    <w:rsid w:val="00133F49"/>
    <w:rPr>
      <w:vertAlign w:val="superscript"/>
    </w:rPr>
  </w:style>
  <w:style w:type="paragraph" w:styleId="FootnoteText">
    <w:name w:val="footnote text"/>
    <w:basedOn w:val="Normal"/>
    <w:link w:val="FootnoteTextChar"/>
    <w:uiPriority w:val="99"/>
    <w:rsid w:val="00133F49"/>
    <w:pPr>
      <w:spacing w:before="60" w:after="60"/>
    </w:pPr>
    <w:rPr>
      <w:sz w:val="18"/>
    </w:rPr>
  </w:style>
  <w:style w:type="character" w:customStyle="1" w:styleId="FootnoteTextChar">
    <w:name w:val="Footnote Text Char"/>
    <w:basedOn w:val="DefaultParagraphFont"/>
    <w:link w:val="FootnoteText"/>
    <w:uiPriority w:val="99"/>
    <w:rsid w:val="00133F49"/>
    <w:rPr>
      <w:rFonts w:eastAsiaTheme="minorHAnsi"/>
      <w:color w:val="001B31" w:themeColor="text2"/>
      <w:sz w:val="18"/>
      <w:szCs w:val="16"/>
      <w:lang w:val="en-AU" w:eastAsia="en-US"/>
    </w:rPr>
  </w:style>
  <w:style w:type="character" w:customStyle="1" w:styleId="Heading1Char">
    <w:name w:val="Heading 1 Char"/>
    <w:basedOn w:val="DefaultParagraphFont"/>
    <w:link w:val="Heading1"/>
    <w:uiPriority w:val="9"/>
    <w:rsid w:val="00B87D9A"/>
    <w:rPr>
      <w:rFonts w:ascii="Arial" w:eastAsiaTheme="majorEastAsia" w:hAnsi="Arial" w:cstheme="majorBidi"/>
      <w:color w:val="006182" w:themeColor="accent1"/>
      <w:spacing w:val="-6"/>
      <w:sz w:val="48"/>
      <w:szCs w:val="32"/>
    </w:rPr>
  </w:style>
  <w:style w:type="paragraph" w:customStyle="1" w:styleId="Heading1Numbered">
    <w:name w:val="Heading 1 Numbered"/>
    <w:basedOn w:val="Heading1"/>
    <w:uiPriority w:val="10"/>
    <w:qFormat/>
    <w:rsid w:val="00133F49"/>
    <w:pPr>
      <w:numPr>
        <w:numId w:val="21"/>
      </w:numPr>
    </w:pPr>
  </w:style>
  <w:style w:type="paragraph" w:customStyle="1" w:styleId="Heading2Numbered">
    <w:name w:val="Heading 2 Numbered"/>
    <w:basedOn w:val="Heading2"/>
    <w:uiPriority w:val="10"/>
    <w:qFormat/>
    <w:rsid w:val="00133F49"/>
    <w:pPr>
      <w:numPr>
        <w:ilvl w:val="1"/>
        <w:numId w:val="21"/>
      </w:numPr>
    </w:pPr>
  </w:style>
  <w:style w:type="character" w:customStyle="1" w:styleId="Heading3Char">
    <w:name w:val="Heading 3 Char"/>
    <w:basedOn w:val="DefaultParagraphFont"/>
    <w:link w:val="Heading3"/>
    <w:uiPriority w:val="9"/>
    <w:rsid w:val="00B87D9A"/>
    <w:rPr>
      <w:rFonts w:ascii="Arial" w:eastAsiaTheme="majorEastAsia" w:hAnsi="Arial" w:cstheme="majorBidi"/>
      <w:b/>
      <w:color w:val="006182" w:themeColor="accent1"/>
      <w:sz w:val="24"/>
      <w:szCs w:val="24"/>
    </w:rPr>
  </w:style>
  <w:style w:type="paragraph" w:customStyle="1" w:styleId="Heading3Numbered">
    <w:name w:val="Heading 3 Numbered"/>
    <w:basedOn w:val="Heading3"/>
    <w:uiPriority w:val="10"/>
    <w:qFormat/>
    <w:rsid w:val="00133F49"/>
    <w:pPr>
      <w:numPr>
        <w:ilvl w:val="2"/>
        <w:numId w:val="21"/>
      </w:numPr>
    </w:pPr>
  </w:style>
  <w:style w:type="character" w:customStyle="1" w:styleId="Heading4Char">
    <w:name w:val="Heading 4 Char"/>
    <w:basedOn w:val="DefaultParagraphFont"/>
    <w:link w:val="Heading4"/>
    <w:uiPriority w:val="9"/>
    <w:rsid w:val="00133F49"/>
    <w:rPr>
      <w:rFonts w:eastAsiaTheme="majorEastAsia" w:cstheme="majorBidi"/>
      <w:iCs/>
      <w:color w:val="22B7C4" w:themeColor="accent2"/>
      <w:sz w:val="24"/>
      <w:szCs w:val="16"/>
      <w:lang w:val="en-AU" w:eastAsia="en-US"/>
    </w:rPr>
  </w:style>
  <w:style w:type="paragraph" w:customStyle="1" w:styleId="Heading4Numbered">
    <w:name w:val="Heading 4 Numbered"/>
    <w:basedOn w:val="Heading4"/>
    <w:uiPriority w:val="10"/>
    <w:unhideWhenUsed/>
    <w:qFormat/>
    <w:rsid w:val="00133F49"/>
    <w:pPr>
      <w:numPr>
        <w:ilvl w:val="3"/>
        <w:numId w:val="21"/>
      </w:numPr>
    </w:pPr>
  </w:style>
  <w:style w:type="character" w:styleId="Hyperlink">
    <w:name w:val="Hyperlink"/>
    <w:basedOn w:val="DefaultParagraphFont"/>
    <w:uiPriority w:val="99"/>
    <w:unhideWhenUsed/>
    <w:rsid w:val="00133F49"/>
    <w:rPr>
      <w:color w:val="0070C0"/>
      <w:u w:val="single"/>
    </w:rPr>
  </w:style>
  <w:style w:type="character" w:styleId="IntenseEmphasis">
    <w:name w:val="Intense Emphasis"/>
    <w:basedOn w:val="DefaultParagraphFont"/>
    <w:uiPriority w:val="33"/>
    <w:qFormat/>
    <w:rsid w:val="0087073E"/>
    <w:rPr>
      <w:rFonts w:ascii="Arial" w:hAnsi="Arial"/>
      <w:b/>
      <w:i/>
      <w:iCs/>
      <w:color w:val="001B31" w:themeColor="text2"/>
      <w:sz w:val="20"/>
    </w:rPr>
  </w:style>
  <w:style w:type="paragraph" w:customStyle="1" w:styleId="IntroPara">
    <w:name w:val="Intro Para"/>
    <w:basedOn w:val="Normal"/>
    <w:uiPriority w:val="1"/>
    <w:qFormat/>
    <w:rsid w:val="00643F50"/>
    <w:pPr>
      <w:spacing w:after="240" w:line="400" w:lineRule="atLeast"/>
      <w:contextualSpacing/>
    </w:pPr>
    <w:rPr>
      <w:color w:val="22B7C4" w:themeColor="accent2"/>
      <w:sz w:val="28"/>
    </w:rPr>
  </w:style>
  <w:style w:type="numbering" w:customStyle="1" w:styleId="KCBullets">
    <w:name w:val="KC Bullets"/>
    <w:uiPriority w:val="99"/>
    <w:rsid w:val="00133F49"/>
    <w:pPr>
      <w:numPr>
        <w:numId w:val="16"/>
      </w:numPr>
    </w:pPr>
  </w:style>
  <w:style w:type="numbering" w:customStyle="1" w:styleId="List1Numbered">
    <w:name w:val="List 1 Numbered"/>
    <w:uiPriority w:val="99"/>
    <w:rsid w:val="00133F49"/>
    <w:pPr>
      <w:numPr>
        <w:numId w:val="17"/>
      </w:numPr>
    </w:pPr>
  </w:style>
  <w:style w:type="paragraph" w:customStyle="1" w:styleId="List1Numbered1">
    <w:name w:val="List 1 Numbered 1"/>
    <w:basedOn w:val="Normal"/>
    <w:uiPriority w:val="2"/>
    <w:qFormat/>
    <w:rsid w:val="00133F49"/>
    <w:pPr>
      <w:numPr>
        <w:numId w:val="20"/>
      </w:numPr>
    </w:pPr>
  </w:style>
  <w:style w:type="paragraph" w:customStyle="1" w:styleId="List1Numbered2">
    <w:name w:val="List 1 Numbered 2"/>
    <w:basedOn w:val="Normal"/>
    <w:uiPriority w:val="2"/>
    <w:qFormat/>
    <w:rsid w:val="00133F49"/>
    <w:pPr>
      <w:numPr>
        <w:ilvl w:val="1"/>
        <w:numId w:val="20"/>
      </w:numPr>
    </w:pPr>
  </w:style>
  <w:style w:type="paragraph" w:customStyle="1" w:styleId="List1Numbered3">
    <w:name w:val="List 1 Numbered 3"/>
    <w:basedOn w:val="Normal"/>
    <w:uiPriority w:val="2"/>
    <w:qFormat/>
    <w:rsid w:val="00133F49"/>
    <w:pPr>
      <w:ind w:left="851"/>
    </w:pPr>
  </w:style>
  <w:style w:type="paragraph" w:styleId="NoSpacing">
    <w:name w:val="No Spacing"/>
    <w:uiPriority w:val="1"/>
    <w:qFormat/>
    <w:rsid w:val="00643F50"/>
    <w:pPr>
      <w:contextualSpacing/>
    </w:pPr>
    <w:rPr>
      <w:rFonts w:ascii="Arial" w:eastAsiaTheme="minorHAnsi" w:hAnsi="Arial"/>
      <w:lang w:val="en-AU" w:eastAsia="en-US"/>
    </w:rPr>
  </w:style>
  <w:style w:type="paragraph" w:customStyle="1" w:styleId="NormalIndent5mm">
    <w:name w:val="Normal Indent 5mm"/>
    <w:basedOn w:val="Normal"/>
    <w:qFormat/>
    <w:rsid w:val="00133F49"/>
    <w:pPr>
      <w:ind w:left="284"/>
    </w:pPr>
  </w:style>
  <w:style w:type="numbering" w:customStyle="1" w:styleId="NumberedHeadings">
    <w:name w:val="Numbered Headings"/>
    <w:uiPriority w:val="99"/>
    <w:rsid w:val="00133F49"/>
    <w:pPr>
      <w:numPr>
        <w:numId w:val="21"/>
      </w:numPr>
    </w:pPr>
  </w:style>
  <w:style w:type="paragraph" w:customStyle="1" w:styleId="PullOut">
    <w:name w:val="Pull Out"/>
    <w:basedOn w:val="Normal"/>
    <w:uiPriority w:val="22"/>
    <w:qFormat/>
    <w:rsid w:val="00133F49"/>
    <w:pPr>
      <w:spacing w:line="340" w:lineRule="atLeast"/>
      <w:ind w:left="567" w:right="567"/>
    </w:pPr>
    <w:rPr>
      <w:color w:val="22B7C4" w:themeColor="accent2"/>
      <w:sz w:val="24"/>
    </w:rPr>
  </w:style>
  <w:style w:type="paragraph" w:customStyle="1" w:styleId="SourceNotes">
    <w:name w:val="Source Notes"/>
    <w:basedOn w:val="Normal"/>
    <w:uiPriority w:val="21"/>
    <w:qFormat/>
    <w:rsid w:val="00133F49"/>
    <w:pPr>
      <w:spacing w:before="60" w:after="60"/>
    </w:pPr>
  </w:style>
  <w:style w:type="paragraph" w:customStyle="1" w:styleId="SourceNotesHeading">
    <w:name w:val="Source Notes Heading"/>
    <w:basedOn w:val="SourceNotes"/>
    <w:uiPriority w:val="20"/>
    <w:qFormat/>
    <w:rsid w:val="00133F49"/>
    <w:rPr>
      <w:rFonts w:asciiTheme="majorHAnsi" w:hAnsiTheme="majorHAnsi"/>
      <w:b/>
    </w:rPr>
  </w:style>
  <w:style w:type="paragraph" w:customStyle="1" w:styleId="SourceNotesNumbered">
    <w:name w:val="Source Notes Numbered"/>
    <w:basedOn w:val="SourceNotes"/>
    <w:uiPriority w:val="21"/>
    <w:qFormat/>
    <w:rsid w:val="00133F49"/>
    <w:pPr>
      <w:numPr>
        <w:numId w:val="22"/>
      </w:numPr>
    </w:pPr>
  </w:style>
  <w:style w:type="character" w:styleId="Strong">
    <w:name w:val="Strong"/>
    <w:basedOn w:val="DefaultParagraphFont"/>
    <w:uiPriority w:val="33"/>
    <w:qFormat/>
    <w:rsid w:val="0087073E"/>
    <w:rPr>
      <w:rFonts w:ascii="Arial" w:hAnsi="Arial"/>
      <w:b/>
      <w:bCs/>
      <w:color w:val="001B31" w:themeColor="text2"/>
      <w:sz w:val="20"/>
    </w:rPr>
  </w:style>
  <w:style w:type="paragraph" w:styleId="Subtitle">
    <w:name w:val="Subtitle"/>
    <w:basedOn w:val="Normal"/>
    <w:next w:val="Normal"/>
    <w:link w:val="SubtitleChar"/>
    <w:uiPriority w:val="23"/>
    <w:qFormat/>
    <w:rsid w:val="00133F49"/>
    <w:pPr>
      <w:keepLines/>
      <w:numPr>
        <w:ilvl w:val="1"/>
      </w:numPr>
      <w:spacing w:before="360" w:after="360" w:line="400" w:lineRule="atLeast"/>
      <w:contextualSpacing/>
    </w:pPr>
    <w:rPr>
      <w:color w:val="E6E7E8" w:themeColor="background2"/>
      <w:sz w:val="36"/>
      <w:szCs w:val="22"/>
    </w:rPr>
  </w:style>
  <w:style w:type="character" w:customStyle="1" w:styleId="SubtitleChar">
    <w:name w:val="Subtitle Char"/>
    <w:basedOn w:val="DefaultParagraphFont"/>
    <w:link w:val="Subtitle"/>
    <w:uiPriority w:val="23"/>
    <w:rsid w:val="00133F49"/>
    <w:rPr>
      <w:color w:val="E6E7E8" w:themeColor="background2"/>
      <w:sz w:val="36"/>
      <w:lang w:val="en-AU" w:eastAsia="en-US"/>
    </w:rPr>
  </w:style>
  <w:style w:type="table" w:styleId="TableGrid">
    <w:name w:val="Table Grid"/>
    <w:basedOn w:val="TableNormal"/>
    <w:uiPriority w:val="39"/>
    <w:rsid w:val="00133F49"/>
    <w:pPr>
      <w:spacing w:after="0"/>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133F49"/>
    <w:pPr>
      <w:numPr>
        <w:numId w:val="23"/>
      </w:numPr>
    </w:pPr>
  </w:style>
  <w:style w:type="paragraph" w:customStyle="1" w:styleId="TableTitle">
    <w:name w:val="Table Title"/>
    <w:basedOn w:val="FigureTitle"/>
    <w:uiPriority w:val="12"/>
    <w:qFormat/>
    <w:rsid w:val="00133F49"/>
    <w:pPr>
      <w:numPr>
        <w:numId w:val="24"/>
      </w:numPr>
    </w:pPr>
  </w:style>
  <w:style w:type="paragraph" w:styleId="Title">
    <w:name w:val="Title"/>
    <w:basedOn w:val="Normal"/>
    <w:next w:val="Normal"/>
    <w:link w:val="TitleChar"/>
    <w:uiPriority w:val="22"/>
    <w:qFormat/>
    <w:rsid w:val="00610FF7"/>
    <w:pPr>
      <w:keepLines/>
      <w:spacing w:before="0" w:after="0" w:line="240" w:lineRule="auto"/>
      <w:contextualSpacing/>
      <w:outlineLvl w:val="0"/>
    </w:pPr>
    <w:rPr>
      <w:rFonts w:eastAsiaTheme="majorEastAsia" w:cstheme="majorBidi"/>
      <w:kern w:val="28"/>
      <w:sz w:val="32"/>
      <w:szCs w:val="56"/>
    </w:rPr>
  </w:style>
  <w:style w:type="character" w:customStyle="1" w:styleId="TitleChar">
    <w:name w:val="Title Char"/>
    <w:basedOn w:val="DefaultParagraphFont"/>
    <w:link w:val="Title"/>
    <w:uiPriority w:val="22"/>
    <w:rsid w:val="00610FF7"/>
    <w:rPr>
      <w:rFonts w:ascii="Arial" w:eastAsiaTheme="majorEastAsia" w:hAnsi="Arial" w:cstheme="majorBidi"/>
      <w:kern w:val="28"/>
      <w:sz w:val="32"/>
      <w:szCs w:val="56"/>
    </w:rPr>
  </w:style>
  <w:style w:type="paragraph" w:styleId="TOC1">
    <w:name w:val="toc 1"/>
    <w:basedOn w:val="Normal"/>
    <w:next w:val="Normal"/>
    <w:autoRedefine/>
    <w:uiPriority w:val="39"/>
    <w:rsid w:val="00133F49"/>
    <w:pPr>
      <w:keepNext/>
      <w:tabs>
        <w:tab w:val="right" w:pos="9628"/>
      </w:tabs>
      <w:spacing w:line="340" w:lineRule="atLeast"/>
    </w:pPr>
    <w:rPr>
      <w:rFonts w:asciiTheme="majorHAnsi" w:hAnsiTheme="majorHAnsi"/>
      <w:b/>
      <w:u w:val="single" w:color="22B7C4" w:themeColor="accent2"/>
    </w:rPr>
  </w:style>
  <w:style w:type="paragraph" w:styleId="TOC2">
    <w:name w:val="toc 2"/>
    <w:basedOn w:val="Normal"/>
    <w:next w:val="Normal"/>
    <w:autoRedefine/>
    <w:uiPriority w:val="39"/>
    <w:rsid w:val="00133F49"/>
    <w:pPr>
      <w:tabs>
        <w:tab w:val="right" w:pos="9628"/>
      </w:tabs>
      <w:spacing w:before="60" w:after="60"/>
      <w:ind w:left="567" w:hanging="567"/>
    </w:pPr>
    <w:rPr>
      <w:rFonts w:asciiTheme="majorHAnsi" w:hAnsiTheme="majorHAnsi"/>
      <w:b/>
    </w:rPr>
  </w:style>
  <w:style w:type="paragraph" w:styleId="TOC3">
    <w:name w:val="toc 3"/>
    <w:basedOn w:val="Normal"/>
    <w:next w:val="Normal"/>
    <w:autoRedefine/>
    <w:uiPriority w:val="39"/>
    <w:rsid w:val="00133F49"/>
    <w:pPr>
      <w:tabs>
        <w:tab w:val="right" w:pos="9628"/>
      </w:tabs>
      <w:spacing w:before="60" w:after="60"/>
      <w:ind w:left="1134" w:hanging="567"/>
    </w:pPr>
  </w:style>
  <w:style w:type="paragraph" w:styleId="TOC4">
    <w:name w:val="toc 4"/>
    <w:basedOn w:val="Normal"/>
    <w:next w:val="Normal"/>
    <w:autoRedefine/>
    <w:uiPriority w:val="39"/>
    <w:rsid w:val="00133F49"/>
    <w:pPr>
      <w:tabs>
        <w:tab w:val="right" w:pos="9628"/>
      </w:tabs>
      <w:spacing w:before="60" w:after="60"/>
      <w:ind w:left="1135" w:hanging="851"/>
    </w:pPr>
  </w:style>
  <w:style w:type="paragraph" w:styleId="TOCHeading">
    <w:name w:val="TOC Heading"/>
    <w:basedOn w:val="Heading1"/>
    <w:next w:val="Normal"/>
    <w:uiPriority w:val="39"/>
    <w:qFormat/>
    <w:rsid w:val="00133F49"/>
    <w:pPr>
      <w:outlineLvl w:val="9"/>
    </w:pPr>
  </w:style>
  <w:style w:type="paragraph" w:customStyle="1" w:styleId="Address">
    <w:name w:val="Address"/>
    <w:basedOn w:val="Normal"/>
    <w:qFormat/>
    <w:rsid w:val="00B87D9A"/>
    <w:pPr>
      <w:spacing w:before="720" w:after="720" w:line="280" w:lineRule="atLeast"/>
      <w:contextualSpacing/>
    </w:pPr>
    <w:rPr>
      <w:lang w:val="en-AU"/>
    </w:rPr>
  </w:style>
  <w:style w:type="paragraph" w:customStyle="1" w:styleId="IncreasedSpace">
    <w:name w:val="Increased Space"/>
    <w:basedOn w:val="Normal"/>
    <w:qFormat/>
    <w:rsid w:val="00A540BF"/>
    <w:pPr>
      <w:spacing w:before="320" w:after="320"/>
    </w:pPr>
    <w:rPr>
      <w:lang w:val="en-AU"/>
    </w:rPr>
  </w:style>
  <w:style w:type="paragraph" w:styleId="BalloonText">
    <w:name w:val="Balloon Text"/>
    <w:basedOn w:val="Normal"/>
    <w:link w:val="BalloonTextChar"/>
    <w:uiPriority w:val="99"/>
    <w:semiHidden/>
    <w:unhideWhenUsed/>
    <w:rsid w:val="00E676D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D1"/>
    <w:rPr>
      <w:rFonts w:ascii="Segoe UI" w:hAnsi="Segoe UI" w:cs="Segoe UI"/>
      <w:sz w:val="18"/>
      <w:szCs w:val="18"/>
    </w:rPr>
  </w:style>
  <w:style w:type="paragraph" w:styleId="Date">
    <w:name w:val="Date"/>
    <w:basedOn w:val="Normal"/>
    <w:next w:val="Normal"/>
    <w:link w:val="DateChar"/>
    <w:uiPriority w:val="99"/>
    <w:unhideWhenUsed/>
    <w:rsid w:val="008B782F"/>
    <w:pPr>
      <w:spacing w:before="0" w:after="900"/>
    </w:pPr>
  </w:style>
  <w:style w:type="character" w:customStyle="1" w:styleId="DateChar">
    <w:name w:val="Date Char"/>
    <w:basedOn w:val="DefaultParagraphFont"/>
    <w:link w:val="Date"/>
    <w:uiPriority w:val="99"/>
    <w:rsid w:val="008B782F"/>
  </w:style>
  <w:style w:type="paragraph" w:styleId="ListParagraph">
    <w:name w:val="List Paragraph"/>
    <w:basedOn w:val="Normal"/>
    <w:uiPriority w:val="34"/>
    <w:qFormat/>
    <w:rsid w:val="00643F50"/>
    <w:pPr>
      <w:ind w:left="720"/>
      <w:contextualSpacing/>
    </w:pPr>
  </w:style>
  <w:style w:type="paragraph" w:customStyle="1" w:styleId="Footnote">
    <w:name w:val="Footnote"/>
    <w:basedOn w:val="FootnoteText"/>
    <w:link w:val="FootnoteChar"/>
    <w:qFormat/>
    <w:rsid w:val="00B87D9A"/>
    <w:rPr>
      <w:sz w:val="16"/>
      <w:szCs w:val="16"/>
    </w:rPr>
  </w:style>
  <w:style w:type="character" w:customStyle="1" w:styleId="Heading5Char">
    <w:name w:val="Heading 5 Char"/>
    <w:basedOn w:val="DefaultParagraphFont"/>
    <w:link w:val="Heading5"/>
    <w:uiPriority w:val="9"/>
    <w:semiHidden/>
    <w:rsid w:val="00B87D9A"/>
    <w:rPr>
      <w:rFonts w:ascii="Arial" w:eastAsiaTheme="majorEastAsia" w:hAnsi="Arial" w:cstheme="majorBidi"/>
      <w:color w:val="004861" w:themeColor="accent1" w:themeShade="BF"/>
    </w:rPr>
  </w:style>
  <w:style w:type="character" w:customStyle="1" w:styleId="FootnoteChar">
    <w:name w:val="Footnote Char"/>
    <w:basedOn w:val="FootnoteTextChar"/>
    <w:link w:val="Footnote"/>
    <w:rsid w:val="00B87D9A"/>
    <w:rPr>
      <w:rFonts w:ascii="Arial" w:eastAsiaTheme="minorHAnsi" w:hAnsi="Arial"/>
      <w:color w:val="001B31" w:themeColor="text2"/>
      <w:sz w:val="16"/>
      <w:szCs w:val="16"/>
      <w:lang w:val="en-AU" w:eastAsia="en-US"/>
    </w:rPr>
  </w:style>
  <w:style w:type="paragraph" w:customStyle="1" w:styleId="Headertext">
    <w:name w:val="Header text"/>
    <w:basedOn w:val="Header"/>
    <w:link w:val="HeadertextChar"/>
    <w:qFormat/>
    <w:rsid w:val="008276DA"/>
    <w:rPr>
      <w:rFonts w:ascii="Arial" w:hAnsi="Arial"/>
    </w:rPr>
  </w:style>
  <w:style w:type="character" w:customStyle="1" w:styleId="HeadertextChar">
    <w:name w:val="Header text Char"/>
    <w:basedOn w:val="HeaderChar"/>
    <w:link w:val="Headertext"/>
    <w:rsid w:val="008276DA"/>
    <w:rPr>
      <w:rFonts w:ascii="Arial" w:hAnsi="Arial"/>
      <w:color w:val="006182" w:themeColor="accent1"/>
      <w:sz w:val="14"/>
    </w:rPr>
  </w:style>
  <w:style w:type="character" w:styleId="UnresolvedMention">
    <w:name w:val="Unresolved Mention"/>
    <w:basedOn w:val="DefaultParagraphFont"/>
    <w:uiPriority w:val="99"/>
    <w:semiHidden/>
    <w:unhideWhenUsed/>
    <w:rsid w:val="00C9091F"/>
    <w:rPr>
      <w:color w:val="605E5C"/>
      <w:shd w:val="clear" w:color="auto" w:fill="E1DFDD"/>
    </w:rPr>
  </w:style>
  <w:style w:type="character" w:styleId="CommentReference">
    <w:name w:val="annotation reference"/>
    <w:basedOn w:val="DefaultParagraphFont"/>
    <w:uiPriority w:val="99"/>
    <w:semiHidden/>
    <w:unhideWhenUsed/>
    <w:rsid w:val="00B279B5"/>
    <w:rPr>
      <w:sz w:val="16"/>
      <w:szCs w:val="16"/>
    </w:rPr>
  </w:style>
  <w:style w:type="paragraph" w:styleId="CommentText">
    <w:name w:val="annotation text"/>
    <w:basedOn w:val="Normal"/>
    <w:link w:val="CommentTextChar"/>
    <w:uiPriority w:val="99"/>
    <w:semiHidden/>
    <w:unhideWhenUsed/>
    <w:rsid w:val="00B279B5"/>
    <w:pPr>
      <w:spacing w:line="240" w:lineRule="auto"/>
    </w:pPr>
  </w:style>
  <w:style w:type="character" w:customStyle="1" w:styleId="CommentTextChar">
    <w:name w:val="Comment Text Char"/>
    <w:basedOn w:val="DefaultParagraphFont"/>
    <w:link w:val="CommentText"/>
    <w:uiPriority w:val="99"/>
    <w:semiHidden/>
    <w:rsid w:val="00B279B5"/>
    <w:rPr>
      <w:rFonts w:ascii="Arial" w:hAnsi="Arial"/>
    </w:rPr>
  </w:style>
  <w:style w:type="paragraph" w:styleId="CommentSubject">
    <w:name w:val="annotation subject"/>
    <w:basedOn w:val="CommentText"/>
    <w:next w:val="CommentText"/>
    <w:link w:val="CommentSubjectChar"/>
    <w:uiPriority w:val="99"/>
    <w:semiHidden/>
    <w:unhideWhenUsed/>
    <w:rsid w:val="00B279B5"/>
    <w:rPr>
      <w:b/>
      <w:bCs/>
    </w:rPr>
  </w:style>
  <w:style w:type="character" w:customStyle="1" w:styleId="CommentSubjectChar">
    <w:name w:val="Comment Subject Char"/>
    <w:basedOn w:val="CommentTextChar"/>
    <w:link w:val="CommentSubject"/>
    <w:uiPriority w:val="99"/>
    <w:semiHidden/>
    <w:rsid w:val="00B279B5"/>
    <w:rPr>
      <w:rFonts w:ascii="Arial" w:hAnsi="Arial"/>
      <w:b/>
      <w:bCs/>
    </w:rPr>
  </w:style>
  <w:style w:type="paragraph" w:styleId="NormalWeb">
    <w:name w:val="Normal (Web)"/>
    <w:basedOn w:val="Normal"/>
    <w:uiPriority w:val="99"/>
    <w:unhideWhenUsed/>
    <w:rsid w:val="004F118B"/>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Default">
    <w:name w:val="Default"/>
    <w:rsid w:val="001D365D"/>
    <w:pPr>
      <w:autoSpaceDE w:val="0"/>
      <w:autoSpaceDN w:val="0"/>
      <w:adjustRightInd w:val="0"/>
      <w:spacing w:before="0" w:after="0" w:line="240" w:lineRule="auto"/>
    </w:pPr>
    <w:rPr>
      <w:rFonts w:ascii="Helvetica LT Std" w:hAnsi="Helvetica LT Std" w:cs="Helvetica LT Std"/>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6">
      <w:bodyDiv w:val="1"/>
      <w:marLeft w:val="0"/>
      <w:marRight w:val="0"/>
      <w:marTop w:val="0"/>
      <w:marBottom w:val="0"/>
      <w:divBdr>
        <w:top w:val="none" w:sz="0" w:space="0" w:color="auto"/>
        <w:left w:val="none" w:sz="0" w:space="0" w:color="auto"/>
        <w:bottom w:val="none" w:sz="0" w:space="0" w:color="auto"/>
        <w:right w:val="none" w:sz="0" w:space="0" w:color="auto"/>
      </w:divBdr>
    </w:div>
    <w:div w:id="71898257">
      <w:bodyDiv w:val="1"/>
      <w:marLeft w:val="0"/>
      <w:marRight w:val="0"/>
      <w:marTop w:val="0"/>
      <w:marBottom w:val="0"/>
      <w:divBdr>
        <w:top w:val="none" w:sz="0" w:space="0" w:color="auto"/>
        <w:left w:val="none" w:sz="0" w:space="0" w:color="auto"/>
        <w:bottom w:val="none" w:sz="0" w:space="0" w:color="auto"/>
        <w:right w:val="none" w:sz="0" w:space="0" w:color="auto"/>
      </w:divBdr>
    </w:div>
    <w:div w:id="119617522">
      <w:bodyDiv w:val="1"/>
      <w:marLeft w:val="0"/>
      <w:marRight w:val="0"/>
      <w:marTop w:val="0"/>
      <w:marBottom w:val="0"/>
      <w:divBdr>
        <w:top w:val="none" w:sz="0" w:space="0" w:color="auto"/>
        <w:left w:val="none" w:sz="0" w:space="0" w:color="auto"/>
        <w:bottom w:val="none" w:sz="0" w:space="0" w:color="auto"/>
        <w:right w:val="none" w:sz="0" w:space="0" w:color="auto"/>
      </w:divBdr>
    </w:div>
    <w:div w:id="404686192">
      <w:bodyDiv w:val="1"/>
      <w:marLeft w:val="0"/>
      <w:marRight w:val="0"/>
      <w:marTop w:val="0"/>
      <w:marBottom w:val="0"/>
      <w:divBdr>
        <w:top w:val="none" w:sz="0" w:space="0" w:color="auto"/>
        <w:left w:val="none" w:sz="0" w:space="0" w:color="auto"/>
        <w:bottom w:val="none" w:sz="0" w:space="0" w:color="auto"/>
        <w:right w:val="none" w:sz="0" w:space="0" w:color="auto"/>
      </w:divBdr>
    </w:div>
    <w:div w:id="415591196">
      <w:bodyDiv w:val="1"/>
      <w:marLeft w:val="0"/>
      <w:marRight w:val="0"/>
      <w:marTop w:val="0"/>
      <w:marBottom w:val="0"/>
      <w:divBdr>
        <w:top w:val="none" w:sz="0" w:space="0" w:color="auto"/>
        <w:left w:val="none" w:sz="0" w:space="0" w:color="auto"/>
        <w:bottom w:val="none" w:sz="0" w:space="0" w:color="auto"/>
        <w:right w:val="none" w:sz="0" w:space="0" w:color="auto"/>
      </w:divBdr>
    </w:div>
    <w:div w:id="419722784">
      <w:bodyDiv w:val="1"/>
      <w:marLeft w:val="0"/>
      <w:marRight w:val="0"/>
      <w:marTop w:val="0"/>
      <w:marBottom w:val="0"/>
      <w:divBdr>
        <w:top w:val="none" w:sz="0" w:space="0" w:color="auto"/>
        <w:left w:val="none" w:sz="0" w:space="0" w:color="auto"/>
        <w:bottom w:val="none" w:sz="0" w:space="0" w:color="auto"/>
        <w:right w:val="none" w:sz="0" w:space="0" w:color="auto"/>
      </w:divBdr>
    </w:div>
    <w:div w:id="438720628">
      <w:bodyDiv w:val="1"/>
      <w:marLeft w:val="0"/>
      <w:marRight w:val="0"/>
      <w:marTop w:val="0"/>
      <w:marBottom w:val="0"/>
      <w:divBdr>
        <w:top w:val="none" w:sz="0" w:space="0" w:color="auto"/>
        <w:left w:val="none" w:sz="0" w:space="0" w:color="auto"/>
        <w:bottom w:val="none" w:sz="0" w:space="0" w:color="auto"/>
        <w:right w:val="none" w:sz="0" w:space="0" w:color="auto"/>
      </w:divBdr>
    </w:div>
    <w:div w:id="501048834">
      <w:bodyDiv w:val="1"/>
      <w:marLeft w:val="0"/>
      <w:marRight w:val="0"/>
      <w:marTop w:val="0"/>
      <w:marBottom w:val="0"/>
      <w:divBdr>
        <w:top w:val="none" w:sz="0" w:space="0" w:color="auto"/>
        <w:left w:val="none" w:sz="0" w:space="0" w:color="auto"/>
        <w:bottom w:val="none" w:sz="0" w:space="0" w:color="auto"/>
        <w:right w:val="none" w:sz="0" w:space="0" w:color="auto"/>
      </w:divBdr>
    </w:div>
    <w:div w:id="994914343">
      <w:bodyDiv w:val="1"/>
      <w:marLeft w:val="0"/>
      <w:marRight w:val="0"/>
      <w:marTop w:val="0"/>
      <w:marBottom w:val="0"/>
      <w:divBdr>
        <w:top w:val="none" w:sz="0" w:space="0" w:color="auto"/>
        <w:left w:val="none" w:sz="0" w:space="0" w:color="auto"/>
        <w:bottom w:val="none" w:sz="0" w:space="0" w:color="auto"/>
        <w:right w:val="none" w:sz="0" w:space="0" w:color="auto"/>
      </w:divBdr>
    </w:div>
    <w:div w:id="1092362534">
      <w:bodyDiv w:val="1"/>
      <w:marLeft w:val="0"/>
      <w:marRight w:val="0"/>
      <w:marTop w:val="0"/>
      <w:marBottom w:val="0"/>
      <w:divBdr>
        <w:top w:val="none" w:sz="0" w:space="0" w:color="auto"/>
        <w:left w:val="none" w:sz="0" w:space="0" w:color="auto"/>
        <w:bottom w:val="none" w:sz="0" w:space="0" w:color="auto"/>
        <w:right w:val="none" w:sz="0" w:space="0" w:color="auto"/>
      </w:divBdr>
    </w:div>
    <w:div w:id="1288241652">
      <w:bodyDiv w:val="1"/>
      <w:marLeft w:val="0"/>
      <w:marRight w:val="0"/>
      <w:marTop w:val="0"/>
      <w:marBottom w:val="0"/>
      <w:divBdr>
        <w:top w:val="none" w:sz="0" w:space="0" w:color="auto"/>
        <w:left w:val="none" w:sz="0" w:space="0" w:color="auto"/>
        <w:bottom w:val="none" w:sz="0" w:space="0" w:color="auto"/>
        <w:right w:val="none" w:sz="0" w:space="0" w:color="auto"/>
      </w:divBdr>
    </w:div>
    <w:div w:id="1381126976">
      <w:bodyDiv w:val="1"/>
      <w:marLeft w:val="0"/>
      <w:marRight w:val="0"/>
      <w:marTop w:val="0"/>
      <w:marBottom w:val="0"/>
      <w:divBdr>
        <w:top w:val="none" w:sz="0" w:space="0" w:color="auto"/>
        <w:left w:val="none" w:sz="0" w:space="0" w:color="auto"/>
        <w:bottom w:val="none" w:sz="0" w:space="0" w:color="auto"/>
        <w:right w:val="none" w:sz="0" w:space="0" w:color="auto"/>
      </w:divBdr>
      <w:divsChild>
        <w:div w:id="1944141397">
          <w:marLeft w:val="547"/>
          <w:marRight w:val="0"/>
          <w:marTop w:val="0"/>
          <w:marBottom w:val="0"/>
          <w:divBdr>
            <w:top w:val="none" w:sz="0" w:space="0" w:color="auto"/>
            <w:left w:val="none" w:sz="0" w:space="0" w:color="auto"/>
            <w:bottom w:val="none" w:sz="0" w:space="0" w:color="auto"/>
            <w:right w:val="none" w:sz="0" w:space="0" w:color="auto"/>
          </w:divBdr>
        </w:div>
      </w:divsChild>
    </w:div>
    <w:div w:id="2138797359">
      <w:bodyDiv w:val="1"/>
      <w:marLeft w:val="0"/>
      <w:marRight w:val="0"/>
      <w:marTop w:val="0"/>
      <w:marBottom w:val="0"/>
      <w:divBdr>
        <w:top w:val="none" w:sz="0" w:space="0" w:color="auto"/>
        <w:left w:val="none" w:sz="0" w:space="0" w:color="auto"/>
        <w:bottom w:val="none" w:sz="0" w:space="0" w:color="auto"/>
        <w:right w:val="none" w:sz="0" w:space="0" w:color="auto"/>
      </w:divBdr>
      <w:divsChild>
        <w:div w:id="964387033">
          <w:blockQuote w:val="1"/>
          <w:marLeft w:val="0"/>
          <w:marRight w:val="0"/>
          <w:marTop w:val="0"/>
          <w:marBottom w:val="0"/>
          <w:divBdr>
            <w:top w:val="none" w:sz="0" w:space="0" w:color="auto"/>
            <w:left w:val="single" w:sz="12" w:space="0" w:color="0A417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www.apra.gov.au/news-and-publications/apra-chair-wayne-byres-speech-to-2019-banking-and-finance-oath-conference)" TargetMode="External"/><Relationship Id="rId26" Type="http://schemas.openxmlformats.org/officeDocument/2006/relationships/diagramQuickStyle" Target="diagrams/quickStyle3.xml"/><Relationship Id="rId39" Type="http://schemas.openxmlformats.org/officeDocument/2006/relationships/customXml" Target="../customXml/item5.xml"/><Relationship Id="rId21" Type="http://schemas.openxmlformats.org/officeDocument/2006/relationships/diagramQuickStyle" Target="diagrams/quickStyle2.xml"/><Relationship Id="rId34"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fr.com/companies/financial-services/banks-face-heat-on-home-loan-gaps-20191006-p52y2j" TargetMode="External"/><Relationship Id="rId20" Type="http://schemas.openxmlformats.org/officeDocument/2006/relationships/diagramLayout" Target="diagrams/layout2.xml"/><Relationship Id="rId29" Type="http://schemas.openxmlformats.org/officeDocument/2006/relationships/hyperlink" Target="https://compare.energy.vic.gov.au/" TargetMode="External"/><Relationship Id="rId41"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header" Target="header2.xml"/><Relationship Id="rId37" Type="http://schemas.openxmlformats.org/officeDocument/2006/relationships/customXml" Target="../customXml/item3.xml"/><Relationship Id="rId40"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accc.gov.au/media-release/lack-of-transparency-stifles-mortgage-price-competition" TargetMode="Externa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customXml" Target="../customXml/item2.xml"/><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prebudgetsubs@treasury.gov.au"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ministers.treasury.gov.au/ministers/josh-frydenberg-2018/transcripts/interview-leigh-sales-730-abc" TargetMode="External"/><Relationship Id="rId25" Type="http://schemas.openxmlformats.org/officeDocument/2006/relationships/diagramLayout" Target="diagrams/layout3.xml"/><Relationship Id="rId33" Type="http://schemas.openxmlformats.org/officeDocument/2006/relationships/footer" Target="footer2.xml"/><Relationship Id="rId38"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unohomeloans.com.au/why-uno-is-helping-australians-fight-home-loan-waste/" TargetMode="External"/><Relationship Id="rId13" Type="http://schemas.openxmlformats.org/officeDocument/2006/relationships/hyperlink" Target="https://www.accc.gov.au/focus-areas/inquiries-finalised/residential-mortgage-products-price-inquiry" TargetMode="External"/><Relationship Id="rId18" Type="http://schemas.openxmlformats.org/officeDocument/2006/relationships/hyperlink" Target="http://www.smf.co.uk/wp-content/uploads/2015/10/Social-Market-Foundation-Social-Market-Foundation-Publication-Should-switch-dont-switch-Overcoming-consumer-interia-WEB-011015.pdf" TargetMode="External"/><Relationship Id="rId3" Type="http://schemas.openxmlformats.org/officeDocument/2006/relationships/hyperlink" Target="https://www.forbes.com/sites/hbsworkingknowledge/2019/06/20/when-customers-dont-care-lessons-from-consumer-inertia-and-gas-prices/" TargetMode="External"/><Relationship Id="rId21" Type="http://schemas.openxmlformats.org/officeDocument/2006/relationships/hyperlink" Target="https://www.ofgem.gov.uk/publications-and-updates/results-cheaper-market-offers-letter-trial" TargetMode="External"/><Relationship Id="rId7" Type="http://schemas.openxmlformats.org/officeDocument/2006/relationships/hyperlink" Target="https://www.rba.gov.au/publications/smp/2019/nov/pdf/statement-on-monetary-policy-2019-11.pdf" TargetMode="External"/><Relationship Id="rId12" Type="http://schemas.openxmlformats.org/officeDocument/2006/relationships/hyperlink" Target="https://www.accc.gov.au/system/files/Retail%20Electricity%20Pricing%20Inquiry%E2%80%94Final%20Report%20June%202018_0.pdf" TargetMode="External"/><Relationship Id="rId17" Type="http://schemas.openxmlformats.org/officeDocument/2006/relationships/hyperlink" Target="https://www.pc.gov.au/__data/assets/pdf_file/0014/222170/sub040-financial-system.pdf" TargetMode="External"/><Relationship Id="rId25" Type="http://schemas.openxmlformats.org/officeDocument/2006/relationships/hyperlink" Target="http://www.smf.co.uk/wp-content/uploads/2015/10/Social-Market-Foundation-Social-Market-Foundation-Publication-Should-switch-dont-switch-Overcoming-consumer-interia-WEB-011015.pdf" TargetMode="External"/><Relationship Id="rId2" Type="http://schemas.openxmlformats.org/officeDocument/2006/relationships/hyperlink" Target="https://www.apra.gov.au/news-and-publications/apra-chair-wayne-byres-speech-to-coba-2019-customer-owned-banking-convention" TargetMode="External"/><Relationship Id="rId16" Type="http://schemas.openxmlformats.org/officeDocument/2006/relationships/hyperlink" Target="https://www.pc.gov.au/inquiries/completed/financial-system/report/financial-system.pdf" TargetMode="External"/><Relationship Id="rId20" Type="http://schemas.openxmlformats.org/officeDocument/2006/relationships/hyperlink" Target="https://download.asic.gov.au/media/5248811/corporate-plan-2019-23-published-28-august-2019.pdf" TargetMode="External"/><Relationship Id="rId1" Type="http://schemas.openxmlformats.org/officeDocument/2006/relationships/hyperlink" Target="https://www.pc.gov.au/inquiries/completed/financial-system/report/financial-system.pdf" TargetMode="External"/><Relationship Id="rId6" Type="http://schemas.openxmlformats.org/officeDocument/2006/relationships/hyperlink" Target="https://www.accc.gov.au/focus-areas/inquiries-finalised/residential-mortgage-products-price-inquiry" TargetMode="External"/><Relationship Id="rId11" Type="http://schemas.openxmlformats.org/officeDocument/2006/relationships/hyperlink" Target="https://www.pc.gov.au/__data/assets/pdf_file/0014/222170/sub040-financial-system.pdf" TargetMode="External"/><Relationship Id="rId24" Type="http://schemas.openxmlformats.org/officeDocument/2006/relationships/hyperlink" Target="ttps://www.abc.net.au/news/2018-07-22/victorians-may-be-missing-power-bill-savings-consumer-group-says/10022816" TargetMode="External"/><Relationship Id="rId5" Type="http://schemas.openxmlformats.org/officeDocument/2006/relationships/hyperlink" Target="https://www.moneysmart.gov.au/managing-your-money/budgeting/australian-spending-habits" TargetMode="External"/><Relationship Id="rId15" Type="http://schemas.openxmlformats.org/officeDocument/2006/relationships/hyperlink" Target="http://www.smf.co.uk/wp-content/uploads/2015/10/Social-Market-Foundation-Social-Market-Foundation-Publication-Should-switch-dont-switch-Overcoming-consumer-interia-WEB-011015.pdf" TargetMode="External"/><Relationship Id="rId23" Type="http://schemas.openxmlformats.org/officeDocument/2006/relationships/hyperlink" Target="https://www.dtf.vic.gov.au/sites/default/files/2018-05/Treasurer%27s%20Speech%202018-19_0.pdf" TargetMode="External"/><Relationship Id="rId10" Type="http://schemas.openxmlformats.org/officeDocument/2006/relationships/hyperlink" Target="file:///C:/Users/llawler/AppData/Local/Microsoft/Windows/INetCache/Content.Outlook/3XMVVX17/)https:/www.afr.com/companies/financial-services/bank-loyalty-tax-has-doubled-to-6b-since-june-20191028-p534v6" TargetMode="External"/><Relationship Id="rId19" Type="http://schemas.openxmlformats.org/officeDocument/2006/relationships/hyperlink" Target="https://www.pc.gov.au/inquiries/completed/financial-system/report/financial-system.pdf" TargetMode="External"/><Relationship Id="rId4" Type="http://schemas.openxmlformats.org/officeDocument/2006/relationships/hyperlink" Target="https://www.accc.gov.au/focus-areas/inquiries-finalised/residential-mortgage-products-price-inquiry" TargetMode="External"/><Relationship Id="rId9" Type="http://schemas.openxmlformats.org/officeDocument/2006/relationships/hyperlink" Target="file:///C:/Users/llawler/AppData/Local/Microsoft/Windows/INetCache/Content.Outlook/3XMVVX17/)https:/www.afr.com/companies/financial-services/bank-loyalty-tax-has-doubled-to-6b-since-june-20191028-p534v6" TargetMode="External"/><Relationship Id="rId14" Type="http://schemas.openxmlformats.org/officeDocument/2006/relationships/hyperlink" Target="https://www2.deloitte.com/au/en/pages/financial-services/articles/open-banking-survey-2019.html" TargetMode="External"/><Relationship Id="rId22" Type="http://schemas.openxmlformats.org/officeDocument/2006/relationships/hyperlink" Target="https://www.ofgem.gov.uk/publications-and-updates/active-choice-collective-switch-trial-final-resul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B5868F-6FAC-4533-8ABC-81244C62436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3942A7A1-8A91-4108-A5F8-BACF24985C95}">
      <dgm:prSet phldrT="[Text]"/>
      <dgm:spPr/>
      <dgm:t>
        <a:bodyPr/>
        <a:lstStyle/>
        <a:p>
          <a:r>
            <a:rPr lang="en-AU" b="1"/>
            <a:t>ACCC</a:t>
          </a:r>
        </a:p>
      </dgm:t>
    </dgm:pt>
    <dgm:pt modelId="{7223463E-2CA3-47B8-B69D-3EB5BC115A39}" type="parTrans" cxnId="{140DC530-7344-4EEA-9378-297DEC19C3C0}">
      <dgm:prSet/>
      <dgm:spPr/>
      <dgm:t>
        <a:bodyPr/>
        <a:lstStyle/>
        <a:p>
          <a:endParaRPr lang="en-AU"/>
        </a:p>
      </dgm:t>
    </dgm:pt>
    <dgm:pt modelId="{099A8E2B-97B2-4E08-BA0C-D40724BD044E}" type="sibTrans" cxnId="{140DC530-7344-4EEA-9378-297DEC19C3C0}">
      <dgm:prSet/>
      <dgm:spPr/>
      <dgm:t>
        <a:bodyPr/>
        <a:lstStyle/>
        <a:p>
          <a:endParaRPr lang="en-AU"/>
        </a:p>
      </dgm:t>
    </dgm:pt>
    <dgm:pt modelId="{1B7CA933-611D-49E6-8CF5-2E97BC6D98F2}">
      <dgm:prSet phldrT="[Text]" custT="1"/>
      <dgm:spPr/>
      <dgm:t>
        <a:bodyPr/>
        <a:lstStyle/>
        <a:p>
          <a:r>
            <a:rPr lang="en-AU" sz="1200"/>
            <a:t>Competition Regulator</a:t>
          </a:r>
        </a:p>
      </dgm:t>
    </dgm:pt>
    <dgm:pt modelId="{B4C5DB72-9ABE-449C-B28A-E27E5745A790}" type="parTrans" cxnId="{C8807B6D-597F-47E4-8A17-8396F8F0D809}">
      <dgm:prSet/>
      <dgm:spPr/>
      <dgm:t>
        <a:bodyPr/>
        <a:lstStyle/>
        <a:p>
          <a:endParaRPr lang="en-AU"/>
        </a:p>
      </dgm:t>
    </dgm:pt>
    <dgm:pt modelId="{DBD55490-B0F6-4A7F-A30D-294670C16327}" type="sibTrans" cxnId="{C8807B6D-597F-47E4-8A17-8396F8F0D809}">
      <dgm:prSet/>
      <dgm:spPr/>
      <dgm:t>
        <a:bodyPr/>
        <a:lstStyle/>
        <a:p>
          <a:endParaRPr lang="en-AU"/>
        </a:p>
      </dgm:t>
    </dgm:pt>
    <dgm:pt modelId="{EFB77684-0704-4967-8688-6E6EF2B3AADA}">
      <dgm:prSet phldrT="[Text]"/>
      <dgm:spPr/>
      <dgm:t>
        <a:bodyPr/>
        <a:lstStyle/>
        <a:p>
          <a:r>
            <a:rPr lang="en-AU" b="1"/>
            <a:t>ASIC</a:t>
          </a:r>
        </a:p>
      </dgm:t>
    </dgm:pt>
    <dgm:pt modelId="{F59B9FBB-EBBC-4AB8-85CF-C225E59E6FB3}" type="parTrans" cxnId="{1CD59EC4-4194-4318-8E6F-354EF3AC3206}">
      <dgm:prSet/>
      <dgm:spPr/>
      <dgm:t>
        <a:bodyPr/>
        <a:lstStyle/>
        <a:p>
          <a:endParaRPr lang="en-AU"/>
        </a:p>
      </dgm:t>
    </dgm:pt>
    <dgm:pt modelId="{ECCE4A50-85A7-410E-AB9E-B3EAA116D382}" type="sibTrans" cxnId="{1CD59EC4-4194-4318-8E6F-354EF3AC3206}">
      <dgm:prSet/>
      <dgm:spPr/>
      <dgm:t>
        <a:bodyPr/>
        <a:lstStyle/>
        <a:p>
          <a:endParaRPr lang="en-AU"/>
        </a:p>
      </dgm:t>
    </dgm:pt>
    <dgm:pt modelId="{51806782-33AA-4EFD-AAD3-7BB703330E6F}">
      <dgm:prSet phldrT="[Text]" custT="1"/>
      <dgm:spPr/>
      <dgm:t>
        <a:bodyPr/>
        <a:lstStyle/>
        <a:p>
          <a:r>
            <a:rPr lang="en-GB" sz="1200" b="0"/>
            <a:t>Financial services consumer protection &amp; capability lead </a:t>
          </a:r>
          <a:endParaRPr lang="en-AU" sz="1200" b="0"/>
        </a:p>
      </dgm:t>
    </dgm:pt>
    <dgm:pt modelId="{D715AF2C-2BEB-481A-A616-EE7B37EFCD79}" type="parTrans" cxnId="{95B9A59F-C8E8-4B83-8FB8-16DE00CDB6E6}">
      <dgm:prSet/>
      <dgm:spPr/>
      <dgm:t>
        <a:bodyPr/>
        <a:lstStyle/>
        <a:p>
          <a:endParaRPr lang="en-AU"/>
        </a:p>
      </dgm:t>
    </dgm:pt>
    <dgm:pt modelId="{1BE10DFF-BDB9-4500-8344-C6EB664007E2}" type="sibTrans" cxnId="{95B9A59F-C8E8-4B83-8FB8-16DE00CDB6E6}">
      <dgm:prSet/>
      <dgm:spPr/>
      <dgm:t>
        <a:bodyPr/>
        <a:lstStyle/>
        <a:p>
          <a:endParaRPr lang="en-AU"/>
        </a:p>
      </dgm:t>
    </dgm:pt>
    <dgm:pt modelId="{54CE9922-85E3-41CA-957E-8A7776BC5B59}">
      <dgm:prSet phldrT="[Text]"/>
      <dgm:spPr/>
      <dgm:t>
        <a:bodyPr/>
        <a:lstStyle/>
        <a:p>
          <a:r>
            <a:rPr lang="en-AU" b="1"/>
            <a:t>Fintech industry associations</a:t>
          </a:r>
        </a:p>
      </dgm:t>
    </dgm:pt>
    <dgm:pt modelId="{23A7921F-8440-4F6E-A59A-B44A46D960F0}" type="parTrans" cxnId="{F02F90FE-D381-4727-BCD5-50B9350F70D4}">
      <dgm:prSet/>
      <dgm:spPr/>
      <dgm:t>
        <a:bodyPr/>
        <a:lstStyle/>
        <a:p>
          <a:endParaRPr lang="en-AU"/>
        </a:p>
      </dgm:t>
    </dgm:pt>
    <dgm:pt modelId="{E7B2934A-6C11-4D3D-B8D1-EA9AAF8FF60C}" type="sibTrans" cxnId="{F02F90FE-D381-4727-BCD5-50B9350F70D4}">
      <dgm:prSet/>
      <dgm:spPr/>
      <dgm:t>
        <a:bodyPr/>
        <a:lstStyle/>
        <a:p>
          <a:endParaRPr lang="en-AU"/>
        </a:p>
      </dgm:t>
    </dgm:pt>
    <dgm:pt modelId="{63F9CBAC-7736-4E69-A0D1-415B99B8888D}">
      <dgm:prSet phldrT="[Text]" custT="1"/>
      <dgm:spPr/>
      <dgm:t>
        <a:bodyPr/>
        <a:lstStyle/>
        <a:p>
          <a:r>
            <a:rPr lang="en-AU" sz="1200"/>
            <a:t>Industry Experts</a:t>
          </a:r>
        </a:p>
      </dgm:t>
    </dgm:pt>
    <dgm:pt modelId="{16BB940A-A893-455A-BA14-A61E748BCA4B}" type="parTrans" cxnId="{16143F17-BB84-4EF9-9582-62B80A300BAB}">
      <dgm:prSet/>
      <dgm:spPr/>
      <dgm:t>
        <a:bodyPr/>
        <a:lstStyle/>
        <a:p>
          <a:endParaRPr lang="en-AU"/>
        </a:p>
      </dgm:t>
    </dgm:pt>
    <dgm:pt modelId="{BD14BDFF-83AD-447A-B6E3-96FFEE687089}" type="sibTrans" cxnId="{16143F17-BB84-4EF9-9582-62B80A300BAB}">
      <dgm:prSet/>
      <dgm:spPr/>
      <dgm:t>
        <a:bodyPr/>
        <a:lstStyle/>
        <a:p>
          <a:endParaRPr lang="en-AU"/>
        </a:p>
      </dgm:t>
    </dgm:pt>
    <dgm:pt modelId="{3F35B550-C870-402B-8F57-0F8F1E19EF0E}">
      <dgm:prSet/>
      <dgm:spPr/>
      <dgm:t>
        <a:bodyPr/>
        <a:lstStyle/>
        <a:p>
          <a:r>
            <a:rPr lang="en-AU" b="1"/>
            <a:t>Treasury</a:t>
          </a:r>
        </a:p>
      </dgm:t>
    </dgm:pt>
    <dgm:pt modelId="{52277B3B-0B28-41DF-8C19-16DB5619405F}" type="parTrans" cxnId="{81B28E4F-4535-4D6E-AA27-0C5A81AE29DB}">
      <dgm:prSet/>
      <dgm:spPr/>
      <dgm:t>
        <a:bodyPr/>
        <a:lstStyle/>
        <a:p>
          <a:endParaRPr lang="en-AU"/>
        </a:p>
      </dgm:t>
    </dgm:pt>
    <dgm:pt modelId="{7B7AEE8C-4565-4900-8103-C612DC2BA807}" type="sibTrans" cxnId="{81B28E4F-4535-4D6E-AA27-0C5A81AE29DB}">
      <dgm:prSet/>
      <dgm:spPr/>
      <dgm:t>
        <a:bodyPr/>
        <a:lstStyle/>
        <a:p>
          <a:endParaRPr lang="en-AU"/>
        </a:p>
      </dgm:t>
    </dgm:pt>
    <dgm:pt modelId="{962B420F-09CB-45B4-9C30-584E182E0CAA}">
      <dgm:prSet/>
      <dgm:spPr/>
      <dgm:t>
        <a:bodyPr/>
        <a:lstStyle/>
        <a:p>
          <a:r>
            <a:rPr lang="en-AU" b="1"/>
            <a:t>P&amp;MC</a:t>
          </a:r>
        </a:p>
      </dgm:t>
    </dgm:pt>
    <dgm:pt modelId="{A63D9747-2D0D-4073-94EF-92032D413ED5}" type="parTrans" cxnId="{6B476F6D-B063-4B66-BCFF-4840314EA1BB}">
      <dgm:prSet/>
      <dgm:spPr/>
      <dgm:t>
        <a:bodyPr/>
        <a:lstStyle/>
        <a:p>
          <a:endParaRPr lang="en-AU"/>
        </a:p>
      </dgm:t>
    </dgm:pt>
    <dgm:pt modelId="{4E99E4AD-7A28-4A57-95C4-DE025E85B3EF}" type="sibTrans" cxnId="{6B476F6D-B063-4B66-BCFF-4840314EA1BB}">
      <dgm:prSet/>
      <dgm:spPr/>
      <dgm:t>
        <a:bodyPr/>
        <a:lstStyle/>
        <a:p>
          <a:endParaRPr lang="en-AU"/>
        </a:p>
      </dgm:t>
    </dgm:pt>
    <dgm:pt modelId="{6B4FA5F0-020E-4751-8CA0-1F71D19FACB2}">
      <dgm:prSet custT="1"/>
      <dgm:spPr/>
      <dgm:t>
        <a:bodyPr/>
        <a:lstStyle/>
        <a:p>
          <a:r>
            <a:rPr lang="en-AU" sz="1200"/>
            <a:t>Economic policy maker</a:t>
          </a:r>
        </a:p>
      </dgm:t>
    </dgm:pt>
    <dgm:pt modelId="{733B51E0-DB70-4B0B-A3FA-24C5D56A2367}" type="parTrans" cxnId="{F7BF9F98-2148-447A-A79F-F47BC7FC211F}">
      <dgm:prSet/>
      <dgm:spPr/>
      <dgm:t>
        <a:bodyPr/>
        <a:lstStyle/>
        <a:p>
          <a:endParaRPr lang="en-AU"/>
        </a:p>
      </dgm:t>
    </dgm:pt>
    <dgm:pt modelId="{52818FC5-CE2A-41CD-831F-80CA4F50BEE4}" type="sibTrans" cxnId="{F7BF9F98-2148-447A-A79F-F47BC7FC211F}">
      <dgm:prSet/>
      <dgm:spPr/>
      <dgm:t>
        <a:bodyPr/>
        <a:lstStyle/>
        <a:p>
          <a:endParaRPr lang="en-AU"/>
        </a:p>
      </dgm:t>
    </dgm:pt>
    <dgm:pt modelId="{C3AFAA9D-F49F-483D-9259-96B6E63D5AC9}">
      <dgm:prSet custT="1"/>
      <dgm:spPr/>
      <dgm:t>
        <a:bodyPr/>
        <a:lstStyle/>
        <a:p>
          <a:r>
            <a:rPr lang="en-AU" sz="1200"/>
            <a:t>Behavioural economists</a:t>
          </a:r>
        </a:p>
      </dgm:t>
    </dgm:pt>
    <dgm:pt modelId="{6ECCF647-43B4-46E4-A0F9-B6CDA12E5B6F}" type="parTrans" cxnId="{2F4EB2A2-FB27-4759-AB54-D38EF550CDB1}">
      <dgm:prSet/>
      <dgm:spPr/>
      <dgm:t>
        <a:bodyPr/>
        <a:lstStyle/>
        <a:p>
          <a:endParaRPr lang="en-AU"/>
        </a:p>
      </dgm:t>
    </dgm:pt>
    <dgm:pt modelId="{B0629A87-780A-4619-892C-9C2128322712}" type="sibTrans" cxnId="{2F4EB2A2-FB27-4759-AB54-D38EF550CDB1}">
      <dgm:prSet/>
      <dgm:spPr/>
      <dgm:t>
        <a:bodyPr/>
        <a:lstStyle/>
        <a:p>
          <a:endParaRPr lang="en-AU"/>
        </a:p>
      </dgm:t>
    </dgm:pt>
    <dgm:pt modelId="{9B7E5E7F-B1D1-4701-90BE-D0C133B669FF}">
      <dgm:prSet/>
      <dgm:spPr/>
      <dgm:t>
        <a:bodyPr/>
        <a:lstStyle/>
        <a:p>
          <a:r>
            <a:rPr lang="en-AU" b="1"/>
            <a:t>Consumer associations</a:t>
          </a:r>
        </a:p>
      </dgm:t>
    </dgm:pt>
    <dgm:pt modelId="{68AA84AC-5B19-4C37-AD82-D2B2FABD206D}" type="parTrans" cxnId="{70C7B6BC-DF3E-4F5B-BAAC-4C1A610E4BD9}">
      <dgm:prSet/>
      <dgm:spPr/>
      <dgm:t>
        <a:bodyPr/>
        <a:lstStyle/>
        <a:p>
          <a:endParaRPr lang="en-AU"/>
        </a:p>
      </dgm:t>
    </dgm:pt>
    <dgm:pt modelId="{3C14CF7B-0535-42FB-954C-3F02312084CE}" type="sibTrans" cxnId="{70C7B6BC-DF3E-4F5B-BAAC-4C1A610E4BD9}">
      <dgm:prSet/>
      <dgm:spPr/>
      <dgm:t>
        <a:bodyPr/>
        <a:lstStyle/>
        <a:p>
          <a:endParaRPr lang="en-AU"/>
        </a:p>
      </dgm:t>
    </dgm:pt>
    <dgm:pt modelId="{4CA9442A-D8F5-4069-B8A4-1C2152DC3EDE}">
      <dgm:prSet/>
      <dgm:spPr/>
      <dgm:t>
        <a:bodyPr/>
        <a:lstStyle/>
        <a:p>
          <a:r>
            <a:rPr lang="en-AU" b="1"/>
            <a:t>Banking industry associations</a:t>
          </a:r>
        </a:p>
      </dgm:t>
    </dgm:pt>
    <dgm:pt modelId="{92EBA99F-8AB9-4859-96AB-96B803BA16BB}" type="parTrans" cxnId="{62514C36-E348-4533-B1D9-8266EF60149C}">
      <dgm:prSet/>
      <dgm:spPr/>
      <dgm:t>
        <a:bodyPr/>
        <a:lstStyle/>
        <a:p>
          <a:endParaRPr lang="en-AU"/>
        </a:p>
      </dgm:t>
    </dgm:pt>
    <dgm:pt modelId="{97E54B71-C328-49C8-8724-573E084A3278}" type="sibTrans" cxnId="{62514C36-E348-4533-B1D9-8266EF60149C}">
      <dgm:prSet/>
      <dgm:spPr/>
      <dgm:t>
        <a:bodyPr/>
        <a:lstStyle/>
        <a:p>
          <a:endParaRPr lang="en-AU"/>
        </a:p>
      </dgm:t>
    </dgm:pt>
    <dgm:pt modelId="{20DAAD63-616B-46D3-B46B-58D3821CD482}">
      <dgm:prSet custT="1"/>
      <dgm:spPr/>
      <dgm:t>
        <a:bodyPr/>
        <a:lstStyle/>
        <a:p>
          <a:r>
            <a:rPr lang="en-AU" sz="1200"/>
            <a:t>Consumer advocates</a:t>
          </a:r>
        </a:p>
      </dgm:t>
    </dgm:pt>
    <dgm:pt modelId="{7E3F242D-242A-4E24-980A-66E5A31ED4A6}" type="parTrans" cxnId="{5FE342EB-A960-4D3B-8DF4-A135F5488219}">
      <dgm:prSet/>
      <dgm:spPr/>
      <dgm:t>
        <a:bodyPr/>
        <a:lstStyle/>
        <a:p>
          <a:endParaRPr lang="en-AU"/>
        </a:p>
      </dgm:t>
    </dgm:pt>
    <dgm:pt modelId="{05C59F05-B0A0-4E04-8575-E0C0212DEA8F}" type="sibTrans" cxnId="{5FE342EB-A960-4D3B-8DF4-A135F5488219}">
      <dgm:prSet/>
      <dgm:spPr/>
      <dgm:t>
        <a:bodyPr/>
        <a:lstStyle/>
        <a:p>
          <a:endParaRPr lang="en-AU"/>
        </a:p>
      </dgm:t>
    </dgm:pt>
    <dgm:pt modelId="{41211B26-2777-4BA1-AB96-583A6BB09612}">
      <dgm:prSet custT="1"/>
      <dgm:spPr/>
      <dgm:t>
        <a:bodyPr/>
        <a:lstStyle/>
        <a:p>
          <a:r>
            <a:rPr lang="en-AU" sz="1200"/>
            <a:t>Industry Experts</a:t>
          </a:r>
        </a:p>
      </dgm:t>
    </dgm:pt>
    <dgm:pt modelId="{3201406A-B9DD-4A21-8865-7F6B58D6F92C}" type="parTrans" cxnId="{50C5DD42-F901-4102-B62D-140EA14F2DF1}">
      <dgm:prSet/>
      <dgm:spPr/>
      <dgm:t>
        <a:bodyPr/>
        <a:lstStyle/>
        <a:p>
          <a:endParaRPr lang="en-AU"/>
        </a:p>
      </dgm:t>
    </dgm:pt>
    <dgm:pt modelId="{62112264-7B70-4BE4-ABA9-3E532A801013}" type="sibTrans" cxnId="{50C5DD42-F901-4102-B62D-140EA14F2DF1}">
      <dgm:prSet/>
      <dgm:spPr/>
      <dgm:t>
        <a:bodyPr/>
        <a:lstStyle/>
        <a:p>
          <a:endParaRPr lang="en-AU"/>
        </a:p>
      </dgm:t>
    </dgm:pt>
    <dgm:pt modelId="{4C5616B8-0A93-4EC9-86DE-509D281C685B}" type="pres">
      <dgm:prSet presAssocID="{21B5868F-6FAC-4533-8ABC-81244C624360}" presName="Name0" presStyleCnt="0">
        <dgm:presLayoutVars>
          <dgm:dir/>
          <dgm:animLvl val="lvl"/>
          <dgm:resizeHandles val="exact"/>
        </dgm:presLayoutVars>
      </dgm:prSet>
      <dgm:spPr/>
    </dgm:pt>
    <dgm:pt modelId="{7E1C758D-3BD2-4961-9218-80E928890EC6}" type="pres">
      <dgm:prSet presAssocID="{3942A7A1-8A91-4108-A5F8-BACF24985C95}" presName="linNode" presStyleCnt="0"/>
      <dgm:spPr/>
    </dgm:pt>
    <dgm:pt modelId="{30544F36-663A-4C29-A10A-D93B95824BC0}" type="pres">
      <dgm:prSet presAssocID="{3942A7A1-8A91-4108-A5F8-BACF24985C95}" presName="parentText" presStyleLbl="node1" presStyleIdx="0" presStyleCnt="7">
        <dgm:presLayoutVars>
          <dgm:chMax val="1"/>
          <dgm:bulletEnabled val="1"/>
        </dgm:presLayoutVars>
      </dgm:prSet>
      <dgm:spPr/>
    </dgm:pt>
    <dgm:pt modelId="{C0AE07BA-BDBD-4563-9C1A-164B60782F3D}" type="pres">
      <dgm:prSet presAssocID="{3942A7A1-8A91-4108-A5F8-BACF24985C95}" presName="descendantText" presStyleLbl="alignAccFollowNode1" presStyleIdx="0" presStyleCnt="7">
        <dgm:presLayoutVars>
          <dgm:bulletEnabled val="1"/>
        </dgm:presLayoutVars>
      </dgm:prSet>
      <dgm:spPr/>
    </dgm:pt>
    <dgm:pt modelId="{763AF6F9-9D2B-4674-AFB7-725365EA5384}" type="pres">
      <dgm:prSet presAssocID="{099A8E2B-97B2-4E08-BA0C-D40724BD044E}" presName="sp" presStyleCnt="0"/>
      <dgm:spPr/>
    </dgm:pt>
    <dgm:pt modelId="{B63BCFB3-9C27-4B3D-A6CF-1B6B67E5776A}" type="pres">
      <dgm:prSet presAssocID="{EFB77684-0704-4967-8688-6E6EF2B3AADA}" presName="linNode" presStyleCnt="0"/>
      <dgm:spPr/>
    </dgm:pt>
    <dgm:pt modelId="{476CC023-A8C8-4AC9-AC65-8D2279A0E2C4}" type="pres">
      <dgm:prSet presAssocID="{EFB77684-0704-4967-8688-6E6EF2B3AADA}" presName="parentText" presStyleLbl="node1" presStyleIdx="1" presStyleCnt="7">
        <dgm:presLayoutVars>
          <dgm:chMax val="1"/>
          <dgm:bulletEnabled val="1"/>
        </dgm:presLayoutVars>
      </dgm:prSet>
      <dgm:spPr/>
    </dgm:pt>
    <dgm:pt modelId="{075861ED-CB8F-4A26-82E8-981430E2F753}" type="pres">
      <dgm:prSet presAssocID="{EFB77684-0704-4967-8688-6E6EF2B3AADA}" presName="descendantText" presStyleLbl="alignAccFollowNode1" presStyleIdx="1" presStyleCnt="7">
        <dgm:presLayoutVars>
          <dgm:bulletEnabled val="1"/>
        </dgm:presLayoutVars>
      </dgm:prSet>
      <dgm:spPr/>
    </dgm:pt>
    <dgm:pt modelId="{58153582-82CC-4FBF-A7C5-FEC6D620DFBB}" type="pres">
      <dgm:prSet presAssocID="{ECCE4A50-85A7-410E-AB9E-B3EAA116D382}" presName="sp" presStyleCnt="0"/>
      <dgm:spPr/>
    </dgm:pt>
    <dgm:pt modelId="{CEB31561-B876-46BE-B5DC-D7618A4557CC}" type="pres">
      <dgm:prSet presAssocID="{3F35B550-C870-402B-8F57-0F8F1E19EF0E}" presName="linNode" presStyleCnt="0"/>
      <dgm:spPr/>
    </dgm:pt>
    <dgm:pt modelId="{1D688B9A-415F-433A-A2E4-7D3A29A8EEF4}" type="pres">
      <dgm:prSet presAssocID="{3F35B550-C870-402B-8F57-0F8F1E19EF0E}" presName="parentText" presStyleLbl="node1" presStyleIdx="2" presStyleCnt="7">
        <dgm:presLayoutVars>
          <dgm:chMax val="1"/>
          <dgm:bulletEnabled val="1"/>
        </dgm:presLayoutVars>
      </dgm:prSet>
      <dgm:spPr/>
    </dgm:pt>
    <dgm:pt modelId="{78EAACF7-BF87-4C2B-A96F-4CFD6A04BE16}" type="pres">
      <dgm:prSet presAssocID="{3F35B550-C870-402B-8F57-0F8F1E19EF0E}" presName="descendantText" presStyleLbl="alignAccFollowNode1" presStyleIdx="2" presStyleCnt="7">
        <dgm:presLayoutVars>
          <dgm:bulletEnabled val="1"/>
        </dgm:presLayoutVars>
      </dgm:prSet>
      <dgm:spPr/>
    </dgm:pt>
    <dgm:pt modelId="{5174A39B-3786-4402-8BBA-FA5AAE76D5D8}" type="pres">
      <dgm:prSet presAssocID="{7B7AEE8C-4565-4900-8103-C612DC2BA807}" presName="sp" presStyleCnt="0"/>
      <dgm:spPr/>
    </dgm:pt>
    <dgm:pt modelId="{F2D9D8DF-91AC-4278-BEF6-852C82E9B1F0}" type="pres">
      <dgm:prSet presAssocID="{962B420F-09CB-45B4-9C30-584E182E0CAA}" presName="linNode" presStyleCnt="0"/>
      <dgm:spPr/>
    </dgm:pt>
    <dgm:pt modelId="{EC664A31-F124-4DA5-9422-27493BD52B0A}" type="pres">
      <dgm:prSet presAssocID="{962B420F-09CB-45B4-9C30-584E182E0CAA}" presName="parentText" presStyleLbl="node1" presStyleIdx="3" presStyleCnt="7">
        <dgm:presLayoutVars>
          <dgm:chMax val="1"/>
          <dgm:bulletEnabled val="1"/>
        </dgm:presLayoutVars>
      </dgm:prSet>
      <dgm:spPr/>
    </dgm:pt>
    <dgm:pt modelId="{C855262C-9894-4A73-AE51-4284E1AB87B8}" type="pres">
      <dgm:prSet presAssocID="{962B420F-09CB-45B4-9C30-584E182E0CAA}" presName="descendantText" presStyleLbl="alignAccFollowNode1" presStyleIdx="3" presStyleCnt="7">
        <dgm:presLayoutVars>
          <dgm:bulletEnabled val="1"/>
        </dgm:presLayoutVars>
      </dgm:prSet>
      <dgm:spPr/>
    </dgm:pt>
    <dgm:pt modelId="{15E03B2E-A673-442E-89EE-8D00A5F9F91B}" type="pres">
      <dgm:prSet presAssocID="{4E99E4AD-7A28-4A57-95C4-DE025E85B3EF}" presName="sp" presStyleCnt="0"/>
      <dgm:spPr/>
    </dgm:pt>
    <dgm:pt modelId="{DF87AF30-DE06-4FE8-9DDF-4E1DE61314DA}" type="pres">
      <dgm:prSet presAssocID="{9B7E5E7F-B1D1-4701-90BE-D0C133B669FF}" presName="linNode" presStyleCnt="0"/>
      <dgm:spPr/>
    </dgm:pt>
    <dgm:pt modelId="{B3D091C5-4BDD-4416-8AAD-9BE03C610FDE}" type="pres">
      <dgm:prSet presAssocID="{9B7E5E7F-B1D1-4701-90BE-D0C133B669FF}" presName="parentText" presStyleLbl="node1" presStyleIdx="4" presStyleCnt="7">
        <dgm:presLayoutVars>
          <dgm:chMax val="1"/>
          <dgm:bulletEnabled val="1"/>
        </dgm:presLayoutVars>
      </dgm:prSet>
      <dgm:spPr/>
    </dgm:pt>
    <dgm:pt modelId="{0701D741-BDB1-4BE6-9BE5-5D92ADC250E7}" type="pres">
      <dgm:prSet presAssocID="{9B7E5E7F-B1D1-4701-90BE-D0C133B669FF}" presName="descendantText" presStyleLbl="alignAccFollowNode1" presStyleIdx="4" presStyleCnt="7">
        <dgm:presLayoutVars>
          <dgm:bulletEnabled val="1"/>
        </dgm:presLayoutVars>
      </dgm:prSet>
      <dgm:spPr/>
    </dgm:pt>
    <dgm:pt modelId="{678D79DC-5EFF-40AE-9351-861832D10E28}" type="pres">
      <dgm:prSet presAssocID="{3C14CF7B-0535-42FB-954C-3F02312084CE}" presName="sp" presStyleCnt="0"/>
      <dgm:spPr/>
    </dgm:pt>
    <dgm:pt modelId="{EC2FE15A-8D25-40C8-9658-B16802E3B9C7}" type="pres">
      <dgm:prSet presAssocID="{54CE9922-85E3-41CA-957E-8A7776BC5B59}" presName="linNode" presStyleCnt="0"/>
      <dgm:spPr/>
    </dgm:pt>
    <dgm:pt modelId="{1F24C523-0C1F-41F1-A7AD-13C1B6E16EE5}" type="pres">
      <dgm:prSet presAssocID="{54CE9922-85E3-41CA-957E-8A7776BC5B59}" presName="parentText" presStyleLbl="node1" presStyleIdx="5" presStyleCnt="7">
        <dgm:presLayoutVars>
          <dgm:chMax val="1"/>
          <dgm:bulletEnabled val="1"/>
        </dgm:presLayoutVars>
      </dgm:prSet>
      <dgm:spPr/>
    </dgm:pt>
    <dgm:pt modelId="{E2B1DD6B-8CDB-4018-A772-08AF354A2A64}" type="pres">
      <dgm:prSet presAssocID="{54CE9922-85E3-41CA-957E-8A7776BC5B59}" presName="descendantText" presStyleLbl="alignAccFollowNode1" presStyleIdx="5" presStyleCnt="7">
        <dgm:presLayoutVars>
          <dgm:bulletEnabled val="1"/>
        </dgm:presLayoutVars>
      </dgm:prSet>
      <dgm:spPr/>
    </dgm:pt>
    <dgm:pt modelId="{B5CF0746-DA93-48EA-8144-C521A6EADCE0}" type="pres">
      <dgm:prSet presAssocID="{E7B2934A-6C11-4D3D-B8D1-EA9AAF8FF60C}" presName="sp" presStyleCnt="0"/>
      <dgm:spPr/>
    </dgm:pt>
    <dgm:pt modelId="{9342B383-DEC7-4F3F-99E0-9887097C9526}" type="pres">
      <dgm:prSet presAssocID="{4CA9442A-D8F5-4069-B8A4-1C2152DC3EDE}" presName="linNode" presStyleCnt="0"/>
      <dgm:spPr/>
    </dgm:pt>
    <dgm:pt modelId="{294624D7-E500-4903-9361-432376C8C726}" type="pres">
      <dgm:prSet presAssocID="{4CA9442A-D8F5-4069-B8A4-1C2152DC3EDE}" presName="parentText" presStyleLbl="node1" presStyleIdx="6" presStyleCnt="7">
        <dgm:presLayoutVars>
          <dgm:chMax val="1"/>
          <dgm:bulletEnabled val="1"/>
        </dgm:presLayoutVars>
      </dgm:prSet>
      <dgm:spPr/>
    </dgm:pt>
    <dgm:pt modelId="{AA709C17-0F90-4F37-B9DC-CBE30A4C2095}" type="pres">
      <dgm:prSet presAssocID="{4CA9442A-D8F5-4069-B8A4-1C2152DC3EDE}" presName="descendantText" presStyleLbl="alignAccFollowNode1" presStyleIdx="6" presStyleCnt="7">
        <dgm:presLayoutVars>
          <dgm:bulletEnabled val="1"/>
        </dgm:presLayoutVars>
      </dgm:prSet>
      <dgm:spPr/>
    </dgm:pt>
  </dgm:ptLst>
  <dgm:cxnLst>
    <dgm:cxn modelId="{2532BC01-4CAE-40F0-8F4E-4703E4DCF7F7}" type="presOf" srcId="{54CE9922-85E3-41CA-957E-8A7776BC5B59}" destId="{1F24C523-0C1F-41F1-A7AD-13C1B6E16EE5}" srcOrd="0" destOrd="0" presId="urn:microsoft.com/office/officeart/2005/8/layout/vList5"/>
    <dgm:cxn modelId="{C1230307-8A40-45A9-ACD4-132188CB7E65}" type="presOf" srcId="{4CA9442A-D8F5-4069-B8A4-1C2152DC3EDE}" destId="{294624D7-E500-4903-9361-432376C8C726}" srcOrd="0" destOrd="0" presId="urn:microsoft.com/office/officeart/2005/8/layout/vList5"/>
    <dgm:cxn modelId="{60EDA516-3146-4926-B5CF-774E654729B5}" type="presOf" srcId="{EFB77684-0704-4967-8688-6E6EF2B3AADA}" destId="{476CC023-A8C8-4AC9-AC65-8D2279A0E2C4}" srcOrd="0" destOrd="0" presId="urn:microsoft.com/office/officeart/2005/8/layout/vList5"/>
    <dgm:cxn modelId="{16143F17-BB84-4EF9-9582-62B80A300BAB}" srcId="{54CE9922-85E3-41CA-957E-8A7776BC5B59}" destId="{63F9CBAC-7736-4E69-A0D1-415B99B8888D}" srcOrd="0" destOrd="0" parTransId="{16BB940A-A893-455A-BA14-A61E748BCA4B}" sibTransId="{BD14BDFF-83AD-447A-B6E3-96FFEE687089}"/>
    <dgm:cxn modelId="{E7D22722-D5B7-421D-B183-9451EDF1C6D0}" type="presOf" srcId="{21B5868F-6FAC-4533-8ABC-81244C624360}" destId="{4C5616B8-0A93-4EC9-86DE-509D281C685B}" srcOrd="0" destOrd="0" presId="urn:microsoft.com/office/officeart/2005/8/layout/vList5"/>
    <dgm:cxn modelId="{89854526-8B70-451B-BF48-8EC00A3E8C20}" type="presOf" srcId="{20DAAD63-616B-46D3-B46B-58D3821CD482}" destId="{0701D741-BDB1-4BE6-9BE5-5D92ADC250E7}" srcOrd="0" destOrd="0" presId="urn:microsoft.com/office/officeart/2005/8/layout/vList5"/>
    <dgm:cxn modelId="{3E71D626-9ACC-4872-9229-6E4BF2235507}" type="presOf" srcId="{63F9CBAC-7736-4E69-A0D1-415B99B8888D}" destId="{E2B1DD6B-8CDB-4018-A772-08AF354A2A64}" srcOrd="0" destOrd="0" presId="urn:microsoft.com/office/officeart/2005/8/layout/vList5"/>
    <dgm:cxn modelId="{E860A72F-BEF0-41A1-A785-732F10714862}" type="presOf" srcId="{3942A7A1-8A91-4108-A5F8-BACF24985C95}" destId="{30544F36-663A-4C29-A10A-D93B95824BC0}" srcOrd="0" destOrd="0" presId="urn:microsoft.com/office/officeart/2005/8/layout/vList5"/>
    <dgm:cxn modelId="{140DC530-7344-4EEA-9378-297DEC19C3C0}" srcId="{21B5868F-6FAC-4533-8ABC-81244C624360}" destId="{3942A7A1-8A91-4108-A5F8-BACF24985C95}" srcOrd="0" destOrd="0" parTransId="{7223463E-2CA3-47B8-B69D-3EB5BC115A39}" sibTransId="{099A8E2B-97B2-4E08-BA0C-D40724BD044E}"/>
    <dgm:cxn modelId="{B87BE030-9A4C-4F02-AE43-85C0190943FF}" type="presOf" srcId="{51806782-33AA-4EFD-AAD3-7BB703330E6F}" destId="{075861ED-CB8F-4A26-82E8-981430E2F753}" srcOrd="0" destOrd="0" presId="urn:microsoft.com/office/officeart/2005/8/layout/vList5"/>
    <dgm:cxn modelId="{62514C36-E348-4533-B1D9-8266EF60149C}" srcId="{21B5868F-6FAC-4533-8ABC-81244C624360}" destId="{4CA9442A-D8F5-4069-B8A4-1C2152DC3EDE}" srcOrd="6" destOrd="0" parTransId="{92EBA99F-8AB9-4859-96AB-96B803BA16BB}" sibTransId="{97E54B71-C328-49C8-8724-573E084A3278}"/>
    <dgm:cxn modelId="{1357E95D-FFB1-4148-97DB-07210EBCAEF5}" type="presOf" srcId="{6B4FA5F0-020E-4751-8CA0-1F71D19FACB2}" destId="{78EAACF7-BF87-4C2B-A96F-4CFD6A04BE16}" srcOrd="0" destOrd="0" presId="urn:microsoft.com/office/officeart/2005/8/layout/vList5"/>
    <dgm:cxn modelId="{50C5DD42-F901-4102-B62D-140EA14F2DF1}" srcId="{4CA9442A-D8F5-4069-B8A4-1C2152DC3EDE}" destId="{41211B26-2777-4BA1-AB96-583A6BB09612}" srcOrd="0" destOrd="0" parTransId="{3201406A-B9DD-4A21-8865-7F6B58D6F92C}" sibTransId="{62112264-7B70-4BE4-ABA9-3E532A801013}"/>
    <dgm:cxn modelId="{BF86B16C-2BFE-4977-AF2E-3D0484CD3D38}" type="presOf" srcId="{1B7CA933-611D-49E6-8CF5-2E97BC6D98F2}" destId="{C0AE07BA-BDBD-4563-9C1A-164B60782F3D}" srcOrd="0" destOrd="0" presId="urn:microsoft.com/office/officeart/2005/8/layout/vList5"/>
    <dgm:cxn modelId="{6B476F6D-B063-4B66-BCFF-4840314EA1BB}" srcId="{21B5868F-6FAC-4533-8ABC-81244C624360}" destId="{962B420F-09CB-45B4-9C30-584E182E0CAA}" srcOrd="3" destOrd="0" parTransId="{A63D9747-2D0D-4073-94EF-92032D413ED5}" sibTransId="{4E99E4AD-7A28-4A57-95C4-DE025E85B3EF}"/>
    <dgm:cxn modelId="{C8807B6D-597F-47E4-8A17-8396F8F0D809}" srcId="{3942A7A1-8A91-4108-A5F8-BACF24985C95}" destId="{1B7CA933-611D-49E6-8CF5-2E97BC6D98F2}" srcOrd="0" destOrd="0" parTransId="{B4C5DB72-9ABE-449C-B28A-E27E5745A790}" sibTransId="{DBD55490-B0F6-4A7F-A30D-294670C16327}"/>
    <dgm:cxn modelId="{4A66196F-F49F-4078-8944-DE792DB54F98}" type="presOf" srcId="{962B420F-09CB-45B4-9C30-584E182E0CAA}" destId="{EC664A31-F124-4DA5-9422-27493BD52B0A}" srcOrd="0" destOrd="0" presId="urn:microsoft.com/office/officeart/2005/8/layout/vList5"/>
    <dgm:cxn modelId="{81B28E4F-4535-4D6E-AA27-0C5A81AE29DB}" srcId="{21B5868F-6FAC-4533-8ABC-81244C624360}" destId="{3F35B550-C870-402B-8F57-0F8F1E19EF0E}" srcOrd="2" destOrd="0" parTransId="{52277B3B-0B28-41DF-8C19-16DB5619405F}" sibTransId="{7B7AEE8C-4565-4900-8103-C612DC2BA807}"/>
    <dgm:cxn modelId="{F4734993-9AA3-43E9-968C-F438DAEE79D3}" type="presOf" srcId="{3F35B550-C870-402B-8F57-0F8F1E19EF0E}" destId="{1D688B9A-415F-433A-A2E4-7D3A29A8EEF4}" srcOrd="0" destOrd="0" presId="urn:microsoft.com/office/officeart/2005/8/layout/vList5"/>
    <dgm:cxn modelId="{F7BF9F98-2148-447A-A79F-F47BC7FC211F}" srcId="{3F35B550-C870-402B-8F57-0F8F1E19EF0E}" destId="{6B4FA5F0-020E-4751-8CA0-1F71D19FACB2}" srcOrd="0" destOrd="0" parTransId="{733B51E0-DB70-4B0B-A3FA-24C5D56A2367}" sibTransId="{52818FC5-CE2A-41CD-831F-80CA4F50BEE4}"/>
    <dgm:cxn modelId="{95B9A59F-C8E8-4B83-8FB8-16DE00CDB6E6}" srcId="{EFB77684-0704-4967-8688-6E6EF2B3AADA}" destId="{51806782-33AA-4EFD-AAD3-7BB703330E6F}" srcOrd="0" destOrd="0" parTransId="{D715AF2C-2BEB-481A-A616-EE7B37EFCD79}" sibTransId="{1BE10DFF-BDB9-4500-8344-C6EB664007E2}"/>
    <dgm:cxn modelId="{2F4EB2A2-FB27-4759-AB54-D38EF550CDB1}" srcId="{962B420F-09CB-45B4-9C30-584E182E0CAA}" destId="{C3AFAA9D-F49F-483D-9259-96B6E63D5AC9}" srcOrd="0" destOrd="0" parTransId="{6ECCF647-43B4-46E4-A0F9-B6CDA12E5B6F}" sibTransId="{B0629A87-780A-4619-892C-9C2128322712}"/>
    <dgm:cxn modelId="{E62042B5-36C7-4256-9AD8-5F49CEB61AEA}" type="presOf" srcId="{C3AFAA9D-F49F-483D-9259-96B6E63D5AC9}" destId="{C855262C-9894-4A73-AE51-4284E1AB87B8}" srcOrd="0" destOrd="0" presId="urn:microsoft.com/office/officeart/2005/8/layout/vList5"/>
    <dgm:cxn modelId="{70C7B6BC-DF3E-4F5B-BAAC-4C1A610E4BD9}" srcId="{21B5868F-6FAC-4533-8ABC-81244C624360}" destId="{9B7E5E7F-B1D1-4701-90BE-D0C133B669FF}" srcOrd="4" destOrd="0" parTransId="{68AA84AC-5B19-4C37-AD82-D2B2FABD206D}" sibTransId="{3C14CF7B-0535-42FB-954C-3F02312084CE}"/>
    <dgm:cxn modelId="{44F2ECBC-E53A-4444-B100-108E28D65D5C}" type="presOf" srcId="{9B7E5E7F-B1D1-4701-90BE-D0C133B669FF}" destId="{B3D091C5-4BDD-4416-8AAD-9BE03C610FDE}" srcOrd="0" destOrd="0" presId="urn:microsoft.com/office/officeart/2005/8/layout/vList5"/>
    <dgm:cxn modelId="{1CD59EC4-4194-4318-8E6F-354EF3AC3206}" srcId="{21B5868F-6FAC-4533-8ABC-81244C624360}" destId="{EFB77684-0704-4967-8688-6E6EF2B3AADA}" srcOrd="1" destOrd="0" parTransId="{F59B9FBB-EBBC-4AB8-85CF-C225E59E6FB3}" sibTransId="{ECCE4A50-85A7-410E-AB9E-B3EAA116D382}"/>
    <dgm:cxn modelId="{5D0323E1-7D22-4D06-AF75-044B82766FF0}" type="presOf" srcId="{41211B26-2777-4BA1-AB96-583A6BB09612}" destId="{AA709C17-0F90-4F37-B9DC-CBE30A4C2095}" srcOrd="0" destOrd="0" presId="urn:microsoft.com/office/officeart/2005/8/layout/vList5"/>
    <dgm:cxn modelId="{5FE342EB-A960-4D3B-8DF4-A135F5488219}" srcId="{9B7E5E7F-B1D1-4701-90BE-D0C133B669FF}" destId="{20DAAD63-616B-46D3-B46B-58D3821CD482}" srcOrd="0" destOrd="0" parTransId="{7E3F242D-242A-4E24-980A-66E5A31ED4A6}" sibTransId="{05C59F05-B0A0-4E04-8575-E0C0212DEA8F}"/>
    <dgm:cxn modelId="{F02F90FE-D381-4727-BCD5-50B9350F70D4}" srcId="{21B5868F-6FAC-4533-8ABC-81244C624360}" destId="{54CE9922-85E3-41CA-957E-8A7776BC5B59}" srcOrd="5" destOrd="0" parTransId="{23A7921F-8440-4F6E-A59A-B44A46D960F0}" sibTransId="{E7B2934A-6C11-4D3D-B8D1-EA9AAF8FF60C}"/>
    <dgm:cxn modelId="{F012CD7A-230B-4B51-87EA-6DFCBC1D13BB}" type="presParOf" srcId="{4C5616B8-0A93-4EC9-86DE-509D281C685B}" destId="{7E1C758D-3BD2-4961-9218-80E928890EC6}" srcOrd="0" destOrd="0" presId="urn:microsoft.com/office/officeart/2005/8/layout/vList5"/>
    <dgm:cxn modelId="{89FF3F2A-9732-4D9D-8506-276112F4B4C9}" type="presParOf" srcId="{7E1C758D-3BD2-4961-9218-80E928890EC6}" destId="{30544F36-663A-4C29-A10A-D93B95824BC0}" srcOrd="0" destOrd="0" presId="urn:microsoft.com/office/officeart/2005/8/layout/vList5"/>
    <dgm:cxn modelId="{4CE99BF4-14F5-4110-B3FF-176E553C2D9D}" type="presParOf" srcId="{7E1C758D-3BD2-4961-9218-80E928890EC6}" destId="{C0AE07BA-BDBD-4563-9C1A-164B60782F3D}" srcOrd="1" destOrd="0" presId="urn:microsoft.com/office/officeart/2005/8/layout/vList5"/>
    <dgm:cxn modelId="{0EE6B525-2626-49E1-A426-7577AB1D14ED}" type="presParOf" srcId="{4C5616B8-0A93-4EC9-86DE-509D281C685B}" destId="{763AF6F9-9D2B-4674-AFB7-725365EA5384}" srcOrd="1" destOrd="0" presId="urn:microsoft.com/office/officeart/2005/8/layout/vList5"/>
    <dgm:cxn modelId="{8A5790C9-D1B3-430C-BFC5-502B25D8CF76}" type="presParOf" srcId="{4C5616B8-0A93-4EC9-86DE-509D281C685B}" destId="{B63BCFB3-9C27-4B3D-A6CF-1B6B67E5776A}" srcOrd="2" destOrd="0" presId="urn:microsoft.com/office/officeart/2005/8/layout/vList5"/>
    <dgm:cxn modelId="{15C937CF-F1D0-4D1D-89A2-5ABA27370FB8}" type="presParOf" srcId="{B63BCFB3-9C27-4B3D-A6CF-1B6B67E5776A}" destId="{476CC023-A8C8-4AC9-AC65-8D2279A0E2C4}" srcOrd="0" destOrd="0" presId="urn:microsoft.com/office/officeart/2005/8/layout/vList5"/>
    <dgm:cxn modelId="{CCDD89CB-5ABB-43A9-909C-15C4602D13D0}" type="presParOf" srcId="{B63BCFB3-9C27-4B3D-A6CF-1B6B67E5776A}" destId="{075861ED-CB8F-4A26-82E8-981430E2F753}" srcOrd="1" destOrd="0" presId="urn:microsoft.com/office/officeart/2005/8/layout/vList5"/>
    <dgm:cxn modelId="{502FD34B-54C3-4C93-B45B-A6D47D785D10}" type="presParOf" srcId="{4C5616B8-0A93-4EC9-86DE-509D281C685B}" destId="{58153582-82CC-4FBF-A7C5-FEC6D620DFBB}" srcOrd="3" destOrd="0" presId="urn:microsoft.com/office/officeart/2005/8/layout/vList5"/>
    <dgm:cxn modelId="{6B151182-56E4-467E-A356-67BDA06070F7}" type="presParOf" srcId="{4C5616B8-0A93-4EC9-86DE-509D281C685B}" destId="{CEB31561-B876-46BE-B5DC-D7618A4557CC}" srcOrd="4" destOrd="0" presId="urn:microsoft.com/office/officeart/2005/8/layout/vList5"/>
    <dgm:cxn modelId="{AC89D7C1-3E10-4F77-8792-D6B6C1E94954}" type="presParOf" srcId="{CEB31561-B876-46BE-B5DC-D7618A4557CC}" destId="{1D688B9A-415F-433A-A2E4-7D3A29A8EEF4}" srcOrd="0" destOrd="0" presId="urn:microsoft.com/office/officeart/2005/8/layout/vList5"/>
    <dgm:cxn modelId="{8CEBB7AC-2402-4A79-B6A9-5895B9B7ACAF}" type="presParOf" srcId="{CEB31561-B876-46BE-B5DC-D7618A4557CC}" destId="{78EAACF7-BF87-4C2B-A96F-4CFD6A04BE16}" srcOrd="1" destOrd="0" presId="urn:microsoft.com/office/officeart/2005/8/layout/vList5"/>
    <dgm:cxn modelId="{05F47BE4-F62B-4753-855D-8B7649AF011E}" type="presParOf" srcId="{4C5616B8-0A93-4EC9-86DE-509D281C685B}" destId="{5174A39B-3786-4402-8BBA-FA5AAE76D5D8}" srcOrd="5" destOrd="0" presId="urn:microsoft.com/office/officeart/2005/8/layout/vList5"/>
    <dgm:cxn modelId="{9215F39D-519A-4C77-B3F6-2B7498A9252B}" type="presParOf" srcId="{4C5616B8-0A93-4EC9-86DE-509D281C685B}" destId="{F2D9D8DF-91AC-4278-BEF6-852C82E9B1F0}" srcOrd="6" destOrd="0" presId="urn:microsoft.com/office/officeart/2005/8/layout/vList5"/>
    <dgm:cxn modelId="{B8D7D6CE-7D62-42C1-9AC4-E9866160B031}" type="presParOf" srcId="{F2D9D8DF-91AC-4278-BEF6-852C82E9B1F0}" destId="{EC664A31-F124-4DA5-9422-27493BD52B0A}" srcOrd="0" destOrd="0" presId="urn:microsoft.com/office/officeart/2005/8/layout/vList5"/>
    <dgm:cxn modelId="{4ECD4C85-92F7-44A0-B9C5-D209984BD3CE}" type="presParOf" srcId="{F2D9D8DF-91AC-4278-BEF6-852C82E9B1F0}" destId="{C855262C-9894-4A73-AE51-4284E1AB87B8}" srcOrd="1" destOrd="0" presId="urn:microsoft.com/office/officeart/2005/8/layout/vList5"/>
    <dgm:cxn modelId="{3310BFA1-779C-4F8A-9394-4A2C4D7B0338}" type="presParOf" srcId="{4C5616B8-0A93-4EC9-86DE-509D281C685B}" destId="{15E03B2E-A673-442E-89EE-8D00A5F9F91B}" srcOrd="7" destOrd="0" presId="urn:microsoft.com/office/officeart/2005/8/layout/vList5"/>
    <dgm:cxn modelId="{8ADFC333-862A-4ECA-AEBE-B0D996AA130B}" type="presParOf" srcId="{4C5616B8-0A93-4EC9-86DE-509D281C685B}" destId="{DF87AF30-DE06-4FE8-9DDF-4E1DE61314DA}" srcOrd="8" destOrd="0" presId="urn:microsoft.com/office/officeart/2005/8/layout/vList5"/>
    <dgm:cxn modelId="{F1F43B3C-0153-4EF0-A73B-31AE1F5AAA8F}" type="presParOf" srcId="{DF87AF30-DE06-4FE8-9DDF-4E1DE61314DA}" destId="{B3D091C5-4BDD-4416-8AAD-9BE03C610FDE}" srcOrd="0" destOrd="0" presId="urn:microsoft.com/office/officeart/2005/8/layout/vList5"/>
    <dgm:cxn modelId="{4894B32E-A634-46A2-AB75-A631F4E9D5A5}" type="presParOf" srcId="{DF87AF30-DE06-4FE8-9DDF-4E1DE61314DA}" destId="{0701D741-BDB1-4BE6-9BE5-5D92ADC250E7}" srcOrd="1" destOrd="0" presId="urn:microsoft.com/office/officeart/2005/8/layout/vList5"/>
    <dgm:cxn modelId="{B62BCEB9-2C54-4864-A5F7-C34FC3309AAE}" type="presParOf" srcId="{4C5616B8-0A93-4EC9-86DE-509D281C685B}" destId="{678D79DC-5EFF-40AE-9351-861832D10E28}" srcOrd="9" destOrd="0" presId="urn:microsoft.com/office/officeart/2005/8/layout/vList5"/>
    <dgm:cxn modelId="{896D5DA4-12A5-48FC-AB64-097A7E1BD60B}" type="presParOf" srcId="{4C5616B8-0A93-4EC9-86DE-509D281C685B}" destId="{EC2FE15A-8D25-40C8-9658-B16802E3B9C7}" srcOrd="10" destOrd="0" presId="urn:microsoft.com/office/officeart/2005/8/layout/vList5"/>
    <dgm:cxn modelId="{61B30D09-ABBC-4976-9FF9-9833428724ED}" type="presParOf" srcId="{EC2FE15A-8D25-40C8-9658-B16802E3B9C7}" destId="{1F24C523-0C1F-41F1-A7AD-13C1B6E16EE5}" srcOrd="0" destOrd="0" presId="urn:microsoft.com/office/officeart/2005/8/layout/vList5"/>
    <dgm:cxn modelId="{E716B27D-58F2-4061-B1FA-E5778E2E1946}" type="presParOf" srcId="{EC2FE15A-8D25-40C8-9658-B16802E3B9C7}" destId="{E2B1DD6B-8CDB-4018-A772-08AF354A2A64}" srcOrd="1" destOrd="0" presId="urn:microsoft.com/office/officeart/2005/8/layout/vList5"/>
    <dgm:cxn modelId="{BE5768DF-715C-47CD-BBB8-E4ADE4C4326C}" type="presParOf" srcId="{4C5616B8-0A93-4EC9-86DE-509D281C685B}" destId="{B5CF0746-DA93-48EA-8144-C521A6EADCE0}" srcOrd="11" destOrd="0" presId="urn:microsoft.com/office/officeart/2005/8/layout/vList5"/>
    <dgm:cxn modelId="{BBF44581-2BDB-4268-BF3C-3C4502A3B132}" type="presParOf" srcId="{4C5616B8-0A93-4EC9-86DE-509D281C685B}" destId="{9342B383-DEC7-4F3F-99E0-9887097C9526}" srcOrd="12" destOrd="0" presId="urn:microsoft.com/office/officeart/2005/8/layout/vList5"/>
    <dgm:cxn modelId="{41BB248E-A237-48E5-B331-9FD78DE384DE}" type="presParOf" srcId="{9342B383-DEC7-4F3F-99E0-9887097C9526}" destId="{294624D7-E500-4903-9361-432376C8C726}" srcOrd="0" destOrd="0" presId="urn:microsoft.com/office/officeart/2005/8/layout/vList5"/>
    <dgm:cxn modelId="{CEDA7EBC-1310-45BF-BBCD-C1EDB72F94EA}" type="presParOf" srcId="{9342B383-DEC7-4F3F-99E0-9887097C9526}" destId="{AA709C17-0F90-4F37-B9DC-CBE30A4C2095}"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53E40A-0A15-4C69-8C1F-8A1D2105E177}"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AU"/>
        </a:p>
      </dgm:t>
    </dgm:pt>
    <dgm:pt modelId="{1B92E9D0-4A6F-4936-B389-FCCBABB063B8}">
      <dgm:prSet phldrT="[Text]"/>
      <dgm:spPr/>
      <dgm:t>
        <a:bodyPr/>
        <a:lstStyle/>
        <a:p>
          <a:r>
            <a:rPr lang="en-GB" b="1"/>
            <a:t>Motivate</a:t>
          </a:r>
          <a:endParaRPr lang="en-AU" b="1"/>
        </a:p>
      </dgm:t>
    </dgm:pt>
    <dgm:pt modelId="{AA9FF144-BCE1-449D-97E0-BBC7161A54BC}" type="parTrans" cxnId="{0B3F2706-F1D6-4E48-986F-7F8C3365D777}">
      <dgm:prSet/>
      <dgm:spPr/>
      <dgm:t>
        <a:bodyPr/>
        <a:lstStyle/>
        <a:p>
          <a:endParaRPr lang="en-AU"/>
        </a:p>
      </dgm:t>
    </dgm:pt>
    <dgm:pt modelId="{4C72ED3F-97C7-41F0-95C1-F7ECFA1EB138}" type="sibTrans" cxnId="{0B3F2706-F1D6-4E48-986F-7F8C3365D777}">
      <dgm:prSet/>
      <dgm:spPr/>
      <dgm:t>
        <a:bodyPr/>
        <a:lstStyle/>
        <a:p>
          <a:endParaRPr lang="en-AU"/>
        </a:p>
      </dgm:t>
    </dgm:pt>
    <dgm:pt modelId="{71E1A3FC-C580-4675-8F80-3BCE79EA73CF}">
      <dgm:prSet phldrT="[Text]"/>
      <dgm:spPr/>
      <dgm:t>
        <a:bodyPr/>
        <a:lstStyle/>
        <a:p>
          <a:r>
            <a:rPr lang="en-AU"/>
            <a:t>Consumers must be motivated to search for their best value tariff and provider.</a:t>
          </a:r>
        </a:p>
      </dgm:t>
    </dgm:pt>
    <dgm:pt modelId="{226708AB-83FD-4391-8BCB-4E53D114B5C5}" type="parTrans" cxnId="{BA91D0C7-1297-4D0F-A1CD-BDF2BFFE310C}">
      <dgm:prSet/>
      <dgm:spPr/>
      <dgm:t>
        <a:bodyPr/>
        <a:lstStyle/>
        <a:p>
          <a:endParaRPr lang="en-AU"/>
        </a:p>
      </dgm:t>
    </dgm:pt>
    <dgm:pt modelId="{E40F30F6-70A4-4607-800C-FBBB27AA0D3F}" type="sibTrans" cxnId="{BA91D0C7-1297-4D0F-A1CD-BDF2BFFE310C}">
      <dgm:prSet/>
      <dgm:spPr/>
      <dgm:t>
        <a:bodyPr/>
        <a:lstStyle/>
        <a:p>
          <a:endParaRPr lang="en-AU"/>
        </a:p>
      </dgm:t>
    </dgm:pt>
    <dgm:pt modelId="{0381EB59-12C6-4376-8E9D-6BBC1AAC118E}">
      <dgm:prSet phldrT="[Text]"/>
      <dgm:spPr/>
      <dgm:t>
        <a:bodyPr/>
        <a:lstStyle/>
        <a:p>
          <a:r>
            <a:rPr lang="en-GB" b="1"/>
            <a:t>Access</a:t>
          </a:r>
          <a:endParaRPr lang="en-AU" b="1"/>
        </a:p>
      </dgm:t>
    </dgm:pt>
    <dgm:pt modelId="{D7B2F27F-8268-4C53-9C23-5E7A8B39A0DE}" type="parTrans" cxnId="{4B0FC54D-BEF9-4321-9C0C-CA1BCD8B1629}">
      <dgm:prSet/>
      <dgm:spPr/>
      <dgm:t>
        <a:bodyPr/>
        <a:lstStyle/>
        <a:p>
          <a:endParaRPr lang="en-AU"/>
        </a:p>
      </dgm:t>
    </dgm:pt>
    <dgm:pt modelId="{C920A395-DBEF-4700-BDC2-7622A50FC1A9}" type="sibTrans" cxnId="{4B0FC54D-BEF9-4321-9C0C-CA1BCD8B1629}">
      <dgm:prSet/>
      <dgm:spPr/>
      <dgm:t>
        <a:bodyPr/>
        <a:lstStyle/>
        <a:p>
          <a:endParaRPr lang="en-AU"/>
        </a:p>
      </dgm:t>
    </dgm:pt>
    <dgm:pt modelId="{2DFEDECA-3DB6-4DDD-88B3-E51497AC9F8E}">
      <dgm:prSet phldrT="[Text]"/>
      <dgm:spPr/>
      <dgm:t>
        <a:bodyPr/>
        <a:lstStyle/>
        <a:p>
          <a:r>
            <a:rPr lang="en-AU"/>
            <a:t>Consumers must be able to access information about the various offers available in the market</a:t>
          </a:r>
        </a:p>
      </dgm:t>
    </dgm:pt>
    <dgm:pt modelId="{77FCBC7D-1467-4C41-9CAA-3DAE98EB954C}" type="parTrans" cxnId="{F1AF43F9-F913-4737-BBAD-D635A66CF277}">
      <dgm:prSet/>
      <dgm:spPr/>
      <dgm:t>
        <a:bodyPr/>
        <a:lstStyle/>
        <a:p>
          <a:endParaRPr lang="en-AU"/>
        </a:p>
      </dgm:t>
    </dgm:pt>
    <dgm:pt modelId="{92B4BB11-26F3-4A3E-80CD-4555969E3767}" type="sibTrans" cxnId="{F1AF43F9-F913-4737-BBAD-D635A66CF277}">
      <dgm:prSet/>
      <dgm:spPr/>
      <dgm:t>
        <a:bodyPr/>
        <a:lstStyle/>
        <a:p>
          <a:endParaRPr lang="en-AU"/>
        </a:p>
      </dgm:t>
    </dgm:pt>
    <dgm:pt modelId="{25D2A33C-50A1-4215-9DC8-04900C7ED374}">
      <dgm:prSet phldrT="[Text]"/>
      <dgm:spPr/>
      <dgm:t>
        <a:bodyPr/>
        <a:lstStyle/>
        <a:p>
          <a:r>
            <a:rPr lang="en-GB" b="1"/>
            <a:t>Assess</a:t>
          </a:r>
          <a:endParaRPr lang="en-AU" b="1"/>
        </a:p>
      </dgm:t>
    </dgm:pt>
    <dgm:pt modelId="{08BD9AE4-F958-4963-95D5-781081F3062B}" type="parTrans" cxnId="{3C907D07-D34A-4B5F-B4D1-6D49F774FEAD}">
      <dgm:prSet/>
      <dgm:spPr/>
      <dgm:t>
        <a:bodyPr/>
        <a:lstStyle/>
        <a:p>
          <a:endParaRPr lang="en-AU"/>
        </a:p>
      </dgm:t>
    </dgm:pt>
    <dgm:pt modelId="{8C36CC24-755B-4665-ACA1-77386A9EDB5B}" type="sibTrans" cxnId="{3C907D07-D34A-4B5F-B4D1-6D49F774FEAD}">
      <dgm:prSet/>
      <dgm:spPr/>
      <dgm:t>
        <a:bodyPr/>
        <a:lstStyle/>
        <a:p>
          <a:endParaRPr lang="en-AU"/>
        </a:p>
      </dgm:t>
    </dgm:pt>
    <dgm:pt modelId="{DBBC7E4E-065D-49AE-A5AA-F298030FEE53}">
      <dgm:prSet phldrT="[Text]"/>
      <dgm:spPr/>
      <dgm:t>
        <a:bodyPr/>
        <a:lstStyle/>
        <a:p>
          <a:r>
            <a:rPr lang="en-AU"/>
            <a:t>Consumers must be able to assess these offers in a well-reasoned way</a:t>
          </a:r>
        </a:p>
      </dgm:t>
    </dgm:pt>
    <dgm:pt modelId="{A64F2CAB-A20E-45B4-AFF9-3FD534CCC293}" type="parTrans" cxnId="{CB43139F-660D-4FCE-894F-E45061141C91}">
      <dgm:prSet/>
      <dgm:spPr/>
      <dgm:t>
        <a:bodyPr/>
        <a:lstStyle/>
        <a:p>
          <a:endParaRPr lang="en-AU"/>
        </a:p>
      </dgm:t>
    </dgm:pt>
    <dgm:pt modelId="{F17678F8-985C-4AD3-952C-DCF1AC6DA1A0}" type="sibTrans" cxnId="{CB43139F-660D-4FCE-894F-E45061141C91}">
      <dgm:prSet/>
      <dgm:spPr/>
      <dgm:t>
        <a:bodyPr/>
        <a:lstStyle/>
        <a:p>
          <a:endParaRPr lang="en-AU"/>
        </a:p>
      </dgm:t>
    </dgm:pt>
    <dgm:pt modelId="{53C353FB-D8CF-4C9F-A7AE-FAED041257E5}">
      <dgm:prSet/>
      <dgm:spPr/>
      <dgm:t>
        <a:bodyPr/>
        <a:lstStyle/>
        <a:p>
          <a:r>
            <a:rPr lang="en-AU" b="1"/>
            <a:t>Act</a:t>
          </a:r>
        </a:p>
      </dgm:t>
    </dgm:pt>
    <dgm:pt modelId="{4CC3A290-33A4-427D-A9EE-8AE3FFCA38EC}" type="parTrans" cxnId="{26C0045D-FA47-4B12-880C-C384BECD48A2}">
      <dgm:prSet/>
      <dgm:spPr/>
      <dgm:t>
        <a:bodyPr/>
        <a:lstStyle/>
        <a:p>
          <a:endParaRPr lang="en-AU"/>
        </a:p>
      </dgm:t>
    </dgm:pt>
    <dgm:pt modelId="{017CB805-AA4F-4168-9416-441BADBF532B}" type="sibTrans" cxnId="{26C0045D-FA47-4B12-880C-C384BECD48A2}">
      <dgm:prSet/>
      <dgm:spPr/>
      <dgm:t>
        <a:bodyPr/>
        <a:lstStyle/>
        <a:p>
          <a:endParaRPr lang="en-AU"/>
        </a:p>
      </dgm:t>
    </dgm:pt>
    <dgm:pt modelId="{38E9B4AF-6722-4596-AE6C-3012B5CB8F50}">
      <dgm:prSet/>
      <dgm:spPr/>
      <dgm:t>
        <a:bodyPr/>
        <a:lstStyle/>
        <a:p>
          <a:r>
            <a:rPr lang="en-AU"/>
            <a:t>Consumers must be able to act on this information and analysis by purchasing the good or service that offers the best value to the customer</a:t>
          </a:r>
        </a:p>
      </dgm:t>
    </dgm:pt>
    <dgm:pt modelId="{83D976D8-AC34-4249-9CA3-0C3EDC0ADC1B}" type="parTrans" cxnId="{F38742A1-101E-4906-BCDB-876B5812D09D}">
      <dgm:prSet/>
      <dgm:spPr/>
      <dgm:t>
        <a:bodyPr/>
        <a:lstStyle/>
        <a:p>
          <a:endParaRPr lang="en-AU"/>
        </a:p>
      </dgm:t>
    </dgm:pt>
    <dgm:pt modelId="{83ED0BF8-A41A-4109-9271-4687701E7ED9}" type="sibTrans" cxnId="{F38742A1-101E-4906-BCDB-876B5812D09D}">
      <dgm:prSet/>
      <dgm:spPr/>
      <dgm:t>
        <a:bodyPr/>
        <a:lstStyle/>
        <a:p>
          <a:endParaRPr lang="en-AU"/>
        </a:p>
      </dgm:t>
    </dgm:pt>
    <dgm:pt modelId="{856158D6-B56F-4C13-8E95-DDD6D209FF7A}" type="pres">
      <dgm:prSet presAssocID="{0B53E40A-0A15-4C69-8C1F-8A1D2105E177}" presName="Name0" presStyleCnt="0">
        <dgm:presLayoutVars>
          <dgm:dir/>
          <dgm:animLvl val="lvl"/>
          <dgm:resizeHandles val="exact"/>
        </dgm:presLayoutVars>
      </dgm:prSet>
      <dgm:spPr/>
    </dgm:pt>
    <dgm:pt modelId="{496EC7A8-8E80-4905-890C-F36CE44CCDD6}" type="pres">
      <dgm:prSet presAssocID="{53C353FB-D8CF-4C9F-A7AE-FAED041257E5}" presName="boxAndChildren" presStyleCnt="0"/>
      <dgm:spPr/>
    </dgm:pt>
    <dgm:pt modelId="{FC6AC0B7-391B-436E-82D1-6627AA883391}" type="pres">
      <dgm:prSet presAssocID="{53C353FB-D8CF-4C9F-A7AE-FAED041257E5}" presName="parentTextBox" presStyleLbl="node1" presStyleIdx="0" presStyleCnt="4"/>
      <dgm:spPr/>
    </dgm:pt>
    <dgm:pt modelId="{8EDCEB92-1223-45C1-B267-087F4B868702}" type="pres">
      <dgm:prSet presAssocID="{53C353FB-D8CF-4C9F-A7AE-FAED041257E5}" presName="entireBox" presStyleLbl="node1" presStyleIdx="0" presStyleCnt="4"/>
      <dgm:spPr/>
    </dgm:pt>
    <dgm:pt modelId="{B79A2B69-4E0E-4FF0-AA29-53445A727EC9}" type="pres">
      <dgm:prSet presAssocID="{53C353FB-D8CF-4C9F-A7AE-FAED041257E5}" presName="descendantBox" presStyleCnt="0"/>
      <dgm:spPr/>
    </dgm:pt>
    <dgm:pt modelId="{F16BB1B8-FA24-42E3-B27E-94FD229CB963}" type="pres">
      <dgm:prSet presAssocID="{38E9B4AF-6722-4596-AE6C-3012B5CB8F50}" presName="childTextBox" presStyleLbl="fgAccFollowNode1" presStyleIdx="0" presStyleCnt="4">
        <dgm:presLayoutVars>
          <dgm:bulletEnabled val="1"/>
        </dgm:presLayoutVars>
      </dgm:prSet>
      <dgm:spPr/>
    </dgm:pt>
    <dgm:pt modelId="{E83B38DB-23E6-48BB-AB72-E7790AC8EDC8}" type="pres">
      <dgm:prSet presAssocID="{8C36CC24-755B-4665-ACA1-77386A9EDB5B}" presName="sp" presStyleCnt="0"/>
      <dgm:spPr/>
    </dgm:pt>
    <dgm:pt modelId="{FC539EFE-5D84-4096-A04C-AF7CCDBFCF46}" type="pres">
      <dgm:prSet presAssocID="{25D2A33C-50A1-4215-9DC8-04900C7ED374}" presName="arrowAndChildren" presStyleCnt="0"/>
      <dgm:spPr/>
    </dgm:pt>
    <dgm:pt modelId="{545D4C66-9AA3-4278-BEBE-6368B071F74D}" type="pres">
      <dgm:prSet presAssocID="{25D2A33C-50A1-4215-9DC8-04900C7ED374}" presName="parentTextArrow" presStyleLbl="node1" presStyleIdx="0" presStyleCnt="4"/>
      <dgm:spPr/>
    </dgm:pt>
    <dgm:pt modelId="{069D53F5-F5D6-4C92-AFB6-2578C527BED5}" type="pres">
      <dgm:prSet presAssocID="{25D2A33C-50A1-4215-9DC8-04900C7ED374}" presName="arrow" presStyleLbl="node1" presStyleIdx="1" presStyleCnt="4"/>
      <dgm:spPr/>
    </dgm:pt>
    <dgm:pt modelId="{773CA7DE-BE77-48B0-A423-01DB28B9F608}" type="pres">
      <dgm:prSet presAssocID="{25D2A33C-50A1-4215-9DC8-04900C7ED374}" presName="descendantArrow" presStyleCnt="0"/>
      <dgm:spPr/>
    </dgm:pt>
    <dgm:pt modelId="{0245E8D0-5CD8-4AD1-AED9-6351FDBDA8A5}" type="pres">
      <dgm:prSet presAssocID="{DBBC7E4E-065D-49AE-A5AA-F298030FEE53}" presName="childTextArrow" presStyleLbl="fgAccFollowNode1" presStyleIdx="1" presStyleCnt="4">
        <dgm:presLayoutVars>
          <dgm:bulletEnabled val="1"/>
        </dgm:presLayoutVars>
      </dgm:prSet>
      <dgm:spPr/>
    </dgm:pt>
    <dgm:pt modelId="{7354C063-4943-4BAC-B272-F821D14ACE61}" type="pres">
      <dgm:prSet presAssocID="{C920A395-DBEF-4700-BDC2-7622A50FC1A9}" presName="sp" presStyleCnt="0"/>
      <dgm:spPr/>
    </dgm:pt>
    <dgm:pt modelId="{3C627157-F971-458A-83CD-7B2DD894137F}" type="pres">
      <dgm:prSet presAssocID="{0381EB59-12C6-4376-8E9D-6BBC1AAC118E}" presName="arrowAndChildren" presStyleCnt="0"/>
      <dgm:spPr/>
    </dgm:pt>
    <dgm:pt modelId="{8C0132EB-4D3E-4C10-984F-F4317695BD7F}" type="pres">
      <dgm:prSet presAssocID="{0381EB59-12C6-4376-8E9D-6BBC1AAC118E}" presName="parentTextArrow" presStyleLbl="node1" presStyleIdx="1" presStyleCnt="4"/>
      <dgm:spPr/>
    </dgm:pt>
    <dgm:pt modelId="{0DB6B577-709D-412C-832B-B085EC670A8B}" type="pres">
      <dgm:prSet presAssocID="{0381EB59-12C6-4376-8E9D-6BBC1AAC118E}" presName="arrow" presStyleLbl="node1" presStyleIdx="2" presStyleCnt="4"/>
      <dgm:spPr/>
    </dgm:pt>
    <dgm:pt modelId="{F14DDFDD-2992-4910-8613-988ADE7C14D6}" type="pres">
      <dgm:prSet presAssocID="{0381EB59-12C6-4376-8E9D-6BBC1AAC118E}" presName="descendantArrow" presStyleCnt="0"/>
      <dgm:spPr/>
    </dgm:pt>
    <dgm:pt modelId="{32162EE9-BBB3-43B3-9440-AE2836ADB8CF}" type="pres">
      <dgm:prSet presAssocID="{2DFEDECA-3DB6-4DDD-88B3-E51497AC9F8E}" presName="childTextArrow" presStyleLbl="fgAccFollowNode1" presStyleIdx="2" presStyleCnt="4">
        <dgm:presLayoutVars>
          <dgm:bulletEnabled val="1"/>
        </dgm:presLayoutVars>
      </dgm:prSet>
      <dgm:spPr/>
    </dgm:pt>
    <dgm:pt modelId="{B0152E8E-2759-4473-BD3C-83C314512AE8}" type="pres">
      <dgm:prSet presAssocID="{4C72ED3F-97C7-41F0-95C1-F7ECFA1EB138}" presName="sp" presStyleCnt="0"/>
      <dgm:spPr/>
    </dgm:pt>
    <dgm:pt modelId="{76A2DC16-592D-4217-AC37-D6B1CA686D09}" type="pres">
      <dgm:prSet presAssocID="{1B92E9D0-4A6F-4936-B389-FCCBABB063B8}" presName="arrowAndChildren" presStyleCnt="0"/>
      <dgm:spPr/>
    </dgm:pt>
    <dgm:pt modelId="{DE735E3B-50D0-450E-8A52-71E67AB9EC47}" type="pres">
      <dgm:prSet presAssocID="{1B92E9D0-4A6F-4936-B389-FCCBABB063B8}" presName="parentTextArrow" presStyleLbl="node1" presStyleIdx="2" presStyleCnt="4"/>
      <dgm:spPr/>
    </dgm:pt>
    <dgm:pt modelId="{D6599E90-B9D9-40D5-A733-D91A3123E62A}" type="pres">
      <dgm:prSet presAssocID="{1B92E9D0-4A6F-4936-B389-FCCBABB063B8}" presName="arrow" presStyleLbl="node1" presStyleIdx="3" presStyleCnt="4"/>
      <dgm:spPr/>
    </dgm:pt>
    <dgm:pt modelId="{FBE63E88-144E-4919-9893-90842F1EE794}" type="pres">
      <dgm:prSet presAssocID="{1B92E9D0-4A6F-4936-B389-FCCBABB063B8}" presName="descendantArrow" presStyleCnt="0"/>
      <dgm:spPr/>
    </dgm:pt>
    <dgm:pt modelId="{6EF357E8-59DF-4A61-AD6F-CB59D004818A}" type="pres">
      <dgm:prSet presAssocID="{71E1A3FC-C580-4675-8F80-3BCE79EA73CF}" presName="childTextArrow" presStyleLbl="fgAccFollowNode1" presStyleIdx="3" presStyleCnt="4">
        <dgm:presLayoutVars>
          <dgm:bulletEnabled val="1"/>
        </dgm:presLayoutVars>
      </dgm:prSet>
      <dgm:spPr/>
    </dgm:pt>
  </dgm:ptLst>
  <dgm:cxnLst>
    <dgm:cxn modelId="{0B3F2706-F1D6-4E48-986F-7F8C3365D777}" srcId="{0B53E40A-0A15-4C69-8C1F-8A1D2105E177}" destId="{1B92E9D0-4A6F-4936-B389-FCCBABB063B8}" srcOrd="0" destOrd="0" parTransId="{AA9FF144-BCE1-449D-97E0-BBC7161A54BC}" sibTransId="{4C72ED3F-97C7-41F0-95C1-F7ECFA1EB138}"/>
    <dgm:cxn modelId="{3C907D07-D34A-4B5F-B4D1-6D49F774FEAD}" srcId="{0B53E40A-0A15-4C69-8C1F-8A1D2105E177}" destId="{25D2A33C-50A1-4215-9DC8-04900C7ED374}" srcOrd="2" destOrd="0" parTransId="{08BD9AE4-F958-4963-95D5-781081F3062B}" sibTransId="{8C36CC24-755B-4665-ACA1-77386A9EDB5B}"/>
    <dgm:cxn modelId="{4BE9A30C-A556-4FDD-8513-E500C96717CB}" type="presOf" srcId="{1B92E9D0-4A6F-4936-B389-FCCBABB063B8}" destId="{D6599E90-B9D9-40D5-A733-D91A3123E62A}" srcOrd="1" destOrd="0" presId="urn:microsoft.com/office/officeart/2005/8/layout/process4"/>
    <dgm:cxn modelId="{52F1321A-BDCE-447E-B565-A8049D71124C}" type="presOf" srcId="{53C353FB-D8CF-4C9F-A7AE-FAED041257E5}" destId="{FC6AC0B7-391B-436E-82D1-6627AA883391}" srcOrd="0" destOrd="0" presId="urn:microsoft.com/office/officeart/2005/8/layout/process4"/>
    <dgm:cxn modelId="{1B94441B-3DE7-4E57-85B8-38CFE407B1D2}" type="presOf" srcId="{2DFEDECA-3DB6-4DDD-88B3-E51497AC9F8E}" destId="{32162EE9-BBB3-43B3-9440-AE2836ADB8CF}" srcOrd="0" destOrd="0" presId="urn:microsoft.com/office/officeart/2005/8/layout/process4"/>
    <dgm:cxn modelId="{75762022-AA00-433D-B195-89A1BD14BD0C}" type="presOf" srcId="{53C353FB-D8CF-4C9F-A7AE-FAED041257E5}" destId="{8EDCEB92-1223-45C1-B267-087F4B868702}" srcOrd="1" destOrd="0" presId="urn:microsoft.com/office/officeart/2005/8/layout/process4"/>
    <dgm:cxn modelId="{CE207526-901B-4ABC-B4DD-A6D18DFBC158}" type="presOf" srcId="{71E1A3FC-C580-4675-8F80-3BCE79EA73CF}" destId="{6EF357E8-59DF-4A61-AD6F-CB59D004818A}" srcOrd="0" destOrd="0" presId="urn:microsoft.com/office/officeart/2005/8/layout/process4"/>
    <dgm:cxn modelId="{46CF8F3F-10A1-4E3B-9849-5A625B660C1F}" type="presOf" srcId="{0B53E40A-0A15-4C69-8C1F-8A1D2105E177}" destId="{856158D6-B56F-4C13-8E95-DDD6D209FF7A}" srcOrd="0" destOrd="0" presId="urn:microsoft.com/office/officeart/2005/8/layout/process4"/>
    <dgm:cxn modelId="{384AD55B-3B85-4BCE-BE64-397D67454BC4}" type="presOf" srcId="{0381EB59-12C6-4376-8E9D-6BBC1AAC118E}" destId="{0DB6B577-709D-412C-832B-B085EC670A8B}" srcOrd="1" destOrd="0" presId="urn:microsoft.com/office/officeart/2005/8/layout/process4"/>
    <dgm:cxn modelId="{26C0045D-FA47-4B12-880C-C384BECD48A2}" srcId="{0B53E40A-0A15-4C69-8C1F-8A1D2105E177}" destId="{53C353FB-D8CF-4C9F-A7AE-FAED041257E5}" srcOrd="3" destOrd="0" parTransId="{4CC3A290-33A4-427D-A9EE-8AE3FFCA38EC}" sibTransId="{017CB805-AA4F-4168-9416-441BADBF532B}"/>
    <dgm:cxn modelId="{4B0FC54D-BEF9-4321-9C0C-CA1BCD8B1629}" srcId="{0B53E40A-0A15-4C69-8C1F-8A1D2105E177}" destId="{0381EB59-12C6-4376-8E9D-6BBC1AAC118E}" srcOrd="1" destOrd="0" parTransId="{D7B2F27F-8268-4C53-9C23-5E7A8B39A0DE}" sibTransId="{C920A395-DBEF-4700-BDC2-7622A50FC1A9}"/>
    <dgm:cxn modelId="{1B0A407D-D2A7-4E9A-B0D0-D4BD98F733DC}" type="presOf" srcId="{DBBC7E4E-065D-49AE-A5AA-F298030FEE53}" destId="{0245E8D0-5CD8-4AD1-AED9-6351FDBDA8A5}" srcOrd="0" destOrd="0" presId="urn:microsoft.com/office/officeart/2005/8/layout/process4"/>
    <dgm:cxn modelId="{CB43139F-660D-4FCE-894F-E45061141C91}" srcId="{25D2A33C-50A1-4215-9DC8-04900C7ED374}" destId="{DBBC7E4E-065D-49AE-A5AA-F298030FEE53}" srcOrd="0" destOrd="0" parTransId="{A64F2CAB-A20E-45B4-AFF9-3FD534CCC293}" sibTransId="{F17678F8-985C-4AD3-952C-DCF1AC6DA1A0}"/>
    <dgm:cxn modelId="{F38742A1-101E-4906-BCDB-876B5812D09D}" srcId="{53C353FB-D8CF-4C9F-A7AE-FAED041257E5}" destId="{38E9B4AF-6722-4596-AE6C-3012B5CB8F50}" srcOrd="0" destOrd="0" parTransId="{83D976D8-AC34-4249-9CA3-0C3EDC0ADC1B}" sibTransId="{83ED0BF8-A41A-4109-9271-4687701E7ED9}"/>
    <dgm:cxn modelId="{7E1602B2-AC38-4C26-8CDF-BF58FF19E2BA}" type="presOf" srcId="{25D2A33C-50A1-4215-9DC8-04900C7ED374}" destId="{545D4C66-9AA3-4278-BEBE-6368B071F74D}" srcOrd="0" destOrd="0" presId="urn:microsoft.com/office/officeart/2005/8/layout/process4"/>
    <dgm:cxn modelId="{74EE75B2-E490-4D3D-88D7-9BEDEA210F99}" type="presOf" srcId="{0381EB59-12C6-4376-8E9D-6BBC1AAC118E}" destId="{8C0132EB-4D3E-4C10-984F-F4317695BD7F}" srcOrd="0" destOrd="0" presId="urn:microsoft.com/office/officeart/2005/8/layout/process4"/>
    <dgm:cxn modelId="{60878DC3-5450-4355-9290-7B1FE3110967}" type="presOf" srcId="{25D2A33C-50A1-4215-9DC8-04900C7ED374}" destId="{069D53F5-F5D6-4C92-AFB6-2578C527BED5}" srcOrd="1" destOrd="0" presId="urn:microsoft.com/office/officeart/2005/8/layout/process4"/>
    <dgm:cxn modelId="{BA91D0C7-1297-4D0F-A1CD-BDF2BFFE310C}" srcId="{1B92E9D0-4A6F-4936-B389-FCCBABB063B8}" destId="{71E1A3FC-C580-4675-8F80-3BCE79EA73CF}" srcOrd="0" destOrd="0" parTransId="{226708AB-83FD-4391-8BCB-4E53D114B5C5}" sibTransId="{E40F30F6-70A4-4607-800C-FBBB27AA0D3F}"/>
    <dgm:cxn modelId="{2F96D9DE-A292-4D96-B5FC-3568161C1B36}" type="presOf" srcId="{1B92E9D0-4A6F-4936-B389-FCCBABB063B8}" destId="{DE735E3B-50D0-450E-8A52-71E67AB9EC47}" srcOrd="0" destOrd="0" presId="urn:microsoft.com/office/officeart/2005/8/layout/process4"/>
    <dgm:cxn modelId="{C6B7C9E9-B9BD-4DCB-A336-3A496A1E8BBB}" type="presOf" srcId="{38E9B4AF-6722-4596-AE6C-3012B5CB8F50}" destId="{F16BB1B8-FA24-42E3-B27E-94FD229CB963}" srcOrd="0" destOrd="0" presId="urn:microsoft.com/office/officeart/2005/8/layout/process4"/>
    <dgm:cxn modelId="{F1AF43F9-F913-4737-BBAD-D635A66CF277}" srcId="{0381EB59-12C6-4376-8E9D-6BBC1AAC118E}" destId="{2DFEDECA-3DB6-4DDD-88B3-E51497AC9F8E}" srcOrd="0" destOrd="0" parTransId="{77FCBC7D-1467-4C41-9CAA-3DAE98EB954C}" sibTransId="{92B4BB11-26F3-4A3E-80CD-4555969E3767}"/>
    <dgm:cxn modelId="{95AD52E6-055F-4F51-9420-3ADDAE98A41B}" type="presParOf" srcId="{856158D6-B56F-4C13-8E95-DDD6D209FF7A}" destId="{496EC7A8-8E80-4905-890C-F36CE44CCDD6}" srcOrd="0" destOrd="0" presId="urn:microsoft.com/office/officeart/2005/8/layout/process4"/>
    <dgm:cxn modelId="{496CFF6D-1A63-4C3F-BC45-DAD855950048}" type="presParOf" srcId="{496EC7A8-8E80-4905-890C-F36CE44CCDD6}" destId="{FC6AC0B7-391B-436E-82D1-6627AA883391}" srcOrd="0" destOrd="0" presId="urn:microsoft.com/office/officeart/2005/8/layout/process4"/>
    <dgm:cxn modelId="{5810AF52-346B-427D-8814-8051434B9BE5}" type="presParOf" srcId="{496EC7A8-8E80-4905-890C-F36CE44CCDD6}" destId="{8EDCEB92-1223-45C1-B267-087F4B868702}" srcOrd="1" destOrd="0" presId="urn:microsoft.com/office/officeart/2005/8/layout/process4"/>
    <dgm:cxn modelId="{0B6ED44B-C8CD-4688-B056-2961D4E54842}" type="presParOf" srcId="{496EC7A8-8E80-4905-890C-F36CE44CCDD6}" destId="{B79A2B69-4E0E-4FF0-AA29-53445A727EC9}" srcOrd="2" destOrd="0" presId="urn:microsoft.com/office/officeart/2005/8/layout/process4"/>
    <dgm:cxn modelId="{5A37A770-9AF3-4ADC-8579-01799B08C91D}" type="presParOf" srcId="{B79A2B69-4E0E-4FF0-AA29-53445A727EC9}" destId="{F16BB1B8-FA24-42E3-B27E-94FD229CB963}" srcOrd="0" destOrd="0" presId="urn:microsoft.com/office/officeart/2005/8/layout/process4"/>
    <dgm:cxn modelId="{46D7C9E7-2FF8-4E5E-AF0D-8200278B6FA2}" type="presParOf" srcId="{856158D6-B56F-4C13-8E95-DDD6D209FF7A}" destId="{E83B38DB-23E6-48BB-AB72-E7790AC8EDC8}" srcOrd="1" destOrd="0" presId="urn:microsoft.com/office/officeart/2005/8/layout/process4"/>
    <dgm:cxn modelId="{5A1E2A7D-DB21-460B-B7B3-9D76C6027EF0}" type="presParOf" srcId="{856158D6-B56F-4C13-8E95-DDD6D209FF7A}" destId="{FC539EFE-5D84-4096-A04C-AF7CCDBFCF46}" srcOrd="2" destOrd="0" presId="urn:microsoft.com/office/officeart/2005/8/layout/process4"/>
    <dgm:cxn modelId="{B4005409-0F66-48A4-B997-C1CD0E379C6B}" type="presParOf" srcId="{FC539EFE-5D84-4096-A04C-AF7CCDBFCF46}" destId="{545D4C66-9AA3-4278-BEBE-6368B071F74D}" srcOrd="0" destOrd="0" presId="urn:microsoft.com/office/officeart/2005/8/layout/process4"/>
    <dgm:cxn modelId="{DA2D7E57-60E0-4D8B-B0BC-8EF66D006BC0}" type="presParOf" srcId="{FC539EFE-5D84-4096-A04C-AF7CCDBFCF46}" destId="{069D53F5-F5D6-4C92-AFB6-2578C527BED5}" srcOrd="1" destOrd="0" presId="urn:microsoft.com/office/officeart/2005/8/layout/process4"/>
    <dgm:cxn modelId="{667EE1F8-18D6-43B8-A69E-B212BA74D2C4}" type="presParOf" srcId="{FC539EFE-5D84-4096-A04C-AF7CCDBFCF46}" destId="{773CA7DE-BE77-48B0-A423-01DB28B9F608}" srcOrd="2" destOrd="0" presId="urn:microsoft.com/office/officeart/2005/8/layout/process4"/>
    <dgm:cxn modelId="{832D345D-6E8A-44FD-93D6-3CA2BBDF7A57}" type="presParOf" srcId="{773CA7DE-BE77-48B0-A423-01DB28B9F608}" destId="{0245E8D0-5CD8-4AD1-AED9-6351FDBDA8A5}" srcOrd="0" destOrd="0" presId="urn:microsoft.com/office/officeart/2005/8/layout/process4"/>
    <dgm:cxn modelId="{939F0A4A-B6E3-4167-93D0-FFD09DE551CD}" type="presParOf" srcId="{856158D6-B56F-4C13-8E95-DDD6D209FF7A}" destId="{7354C063-4943-4BAC-B272-F821D14ACE61}" srcOrd="3" destOrd="0" presId="urn:microsoft.com/office/officeart/2005/8/layout/process4"/>
    <dgm:cxn modelId="{8FEECA39-2161-44BD-979A-FDDC763A16AE}" type="presParOf" srcId="{856158D6-B56F-4C13-8E95-DDD6D209FF7A}" destId="{3C627157-F971-458A-83CD-7B2DD894137F}" srcOrd="4" destOrd="0" presId="urn:microsoft.com/office/officeart/2005/8/layout/process4"/>
    <dgm:cxn modelId="{1F2B896C-BBF6-4D22-BCD6-7D8239DEA761}" type="presParOf" srcId="{3C627157-F971-458A-83CD-7B2DD894137F}" destId="{8C0132EB-4D3E-4C10-984F-F4317695BD7F}" srcOrd="0" destOrd="0" presId="urn:microsoft.com/office/officeart/2005/8/layout/process4"/>
    <dgm:cxn modelId="{95090E19-2044-4AFB-B3F1-8B885D49A2D6}" type="presParOf" srcId="{3C627157-F971-458A-83CD-7B2DD894137F}" destId="{0DB6B577-709D-412C-832B-B085EC670A8B}" srcOrd="1" destOrd="0" presId="urn:microsoft.com/office/officeart/2005/8/layout/process4"/>
    <dgm:cxn modelId="{39DAE5DD-49EF-49DC-AC27-2E5318DFDEF3}" type="presParOf" srcId="{3C627157-F971-458A-83CD-7B2DD894137F}" destId="{F14DDFDD-2992-4910-8613-988ADE7C14D6}" srcOrd="2" destOrd="0" presId="urn:microsoft.com/office/officeart/2005/8/layout/process4"/>
    <dgm:cxn modelId="{EB1BE4AC-3FF7-448D-B4F9-0830956EA0DC}" type="presParOf" srcId="{F14DDFDD-2992-4910-8613-988ADE7C14D6}" destId="{32162EE9-BBB3-43B3-9440-AE2836ADB8CF}" srcOrd="0" destOrd="0" presId="urn:microsoft.com/office/officeart/2005/8/layout/process4"/>
    <dgm:cxn modelId="{CEF70A8A-D2C3-4C0B-93EA-F7D00559A943}" type="presParOf" srcId="{856158D6-B56F-4C13-8E95-DDD6D209FF7A}" destId="{B0152E8E-2759-4473-BD3C-83C314512AE8}" srcOrd="5" destOrd="0" presId="urn:microsoft.com/office/officeart/2005/8/layout/process4"/>
    <dgm:cxn modelId="{B9C30724-AC0F-4D89-A427-4FCD3F9E536E}" type="presParOf" srcId="{856158D6-B56F-4C13-8E95-DDD6D209FF7A}" destId="{76A2DC16-592D-4217-AC37-D6B1CA686D09}" srcOrd="6" destOrd="0" presId="urn:microsoft.com/office/officeart/2005/8/layout/process4"/>
    <dgm:cxn modelId="{EFB89A99-5047-42BF-B04C-835844FDE511}" type="presParOf" srcId="{76A2DC16-592D-4217-AC37-D6B1CA686D09}" destId="{DE735E3B-50D0-450E-8A52-71E67AB9EC47}" srcOrd="0" destOrd="0" presId="urn:microsoft.com/office/officeart/2005/8/layout/process4"/>
    <dgm:cxn modelId="{C007F83A-CF0D-47CD-89A7-9D369A98FFCE}" type="presParOf" srcId="{76A2DC16-592D-4217-AC37-D6B1CA686D09}" destId="{D6599E90-B9D9-40D5-A733-D91A3123E62A}" srcOrd="1" destOrd="0" presId="urn:microsoft.com/office/officeart/2005/8/layout/process4"/>
    <dgm:cxn modelId="{3C28C081-02E0-494E-964D-5A9FBEFDCBF2}" type="presParOf" srcId="{76A2DC16-592D-4217-AC37-D6B1CA686D09}" destId="{FBE63E88-144E-4919-9893-90842F1EE794}" srcOrd="2" destOrd="0" presId="urn:microsoft.com/office/officeart/2005/8/layout/process4"/>
    <dgm:cxn modelId="{052927AD-015D-413D-9F57-3119214F5429}" type="presParOf" srcId="{FBE63E88-144E-4919-9893-90842F1EE794}" destId="{6EF357E8-59DF-4A61-AD6F-CB59D004818A}"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2BC2301-22A3-4A24-B1DF-E48B6B2D4AE9}" type="doc">
      <dgm:prSet loTypeId="urn:microsoft.com/office/officeart/2005/8/layout/default" loCatId="list" qsTypeId="urn:microsoft.com/office/officeart/2005/8/quickstyle/simple1" qsCatId="simple" csTypeId="urn:microsoft.com/office/officeart/2005/8/colors/accent1_4" csCatId="accent1" phldr="1"/>
      <dgm:spPr/>
      <dgm:t>
        <a:bodyPr/>
        <a:lstStyle/>
        <a:p>
          <a:endParaRPr lang="en-AU"/>
        </a:p>
      </dgm:t>
    </dgm:pt>
    <dgm:pt modelId="{6F6EF8B0-CCC4-4A5C-B2E9-67F84876348F}">
      <dgm:prSet phldrT="[Text]"/>
      <dgm:spPr/>
      <dgm:t>
        <a:bodyPr/>
        <a:lstStyle/>
        <a:p>
          <a:r>
            <a:rPr lang="en-US" dirty="0"/>
            <a:t>Open Banking</a:t>
          </a:r>
          <a:endParaRPr lang="en-AU" dirty="0"/>
        </a:p>
      </dgm:t>
    </dgm:pt>
    <dgm:pt modelId="{E2B26A84-FC99-44F2-8304-9F1EDF1BB73E}" type="parTrans" cxnId="{78C49F98-06CC-45EF-A640-39C025C11A5B}">
      <dgm:prSet/>
      <dgm:spPr/>
      <dgm:t>
        <a:bodyPr/>
        <a:lstStyle/>
        <a:p>
          <a:endParaRPr lang="en-AU"/>
        </a:p>
      </dgm:t>
    </dgm:pt>
    <dgm:pt modelId="{B10E0BC7-870E-4F36-B707-700B722669EB}" type="sibTrans" cxnId="{78C49F98-06CC-45EF-A640-39C025C11A5B}">
      <dgm:prSet/>
      <dgm:spPr/>
      <dgm:t>
        <a:bodyPr/>
        <a:lstStyle/>
        <a:p>
          <a:endParaRPr lang="en-AU"/>
        </a:p>
      </dgm:t>
    </dgm:pt>
    <dgm:pt modelId="{B88370B1-9446-48FE-8581-A84767FF1887}">
      <dgm:prSet phldrT="[Text]"/>
      <dgm:spPr/>
      <dgm:t>
        <a:bodyPr/>
        <a:lstStyle/>
        <a:p>
          <a:r>
            <a:rPr lang="en-US" dirty="0"/>
            <a:t>ACCC Competition Unit</a:t>
          </a:r>
          <a:endParaRPr lang="en-AU" dirty="0"/>
        </a:p>
      </dgm:t>
    </dgm:pt>
    <dgm:pt modelId="{BDE4A2EF-9A65-4B07-B965-1EADBD59419A}" type="parTrans" cxnId="{EA806450-4313-4AB3-8CC3-A58374707CAF}">
      <dgm:prSet/>
      <dgm:spPr/>
      <dgm:t>
        <a:bodyPr/>
        <a:lstStyle/>
        <a:p>
          <a:endParaRPr lang="en-AU"/>
        </a:p>
      </dgm:t>
    </dgm:pt>
    <dgm:pt modelId="{22A36276-ED59-4A58-95FF-9B19D8EBE9C3}" type="sibTrans" cxnId="{EA806450-4313-4AB3-8CC3-A58374707CAF}">
      <dgm:prSet/>
      <dgm:spPr/>
      <dgm:t>
        <a:bodyPr/>
        <a:lstStyle/>
        <a:p>
          <a:endParaRPr lang="en-AU"/>
        </a:p>
      </dgm:t>
    </dgm:pt>
    <dgm:pt modelId="{41473661-C4F5-44F3-A8BC-52D3053C5FB5}">
      <dgm:prSet phldrT="[Text]"/>
      <dgm:spPr/>
      <dgm:t>
        <a:bodyPr/>
        <a:lstStyle/>
        <a:p>
          <a:r>
            <a:rPr lang="en-US" dirty="0"/>
            <a:t>Pro-fintech measures</a:t>
          </a:r>
          <a:endParaRPr lang="en-AU" dirty="0"/>
        </a:p>
      </dgm:t>
    </dgm:pt>
    <dgm:pt modelId="{8D3FF9F5-B6B2-4967-817D-2423F9132633}" type="parTrans" cxnId="{18AEB0F8-562C-4157-AFF9-182F83EEEAE4}">
      <dgm:prSet/>
      <dgm:spPr/>
      <dgm:t>
        <a:bodyPr/>
        <a:lstStyle/>
        <a:p>
          <a:endParaRPr lang="en-AU"/>
        </a:p>
      </dgm:t>
    </dgm:pt>
    <dgm:pt modelId="{D64FD169-D6EF-433F-BA4F-8228504D3346}" type="sibTrans" cxnId="{18AEB0F8-562C-4157-AFF9-182F83EEEAE4}">
      <dgm:prSet/>
      <dgm:spPr/>
      <dgm:t>
        <a:bodyPr/>
        <a:lstStyle/>
        <a:p>
          <a:endParaRPr lang="en-AU"/>
        </a:p>
      </dgm:t>
    </dgm:pt>
    <dgm:pt modelId="{8723F2C1-68FF-4509-8603-62FB60C7AD6F}">
      <dgm:prSet phldrT="[Text]"/>
      <dgm:spPr/>
      <dgm:t>
        <a:bodyPr/>
        <a:lstStyle/>
        <a:p>
          <a:r>
            <a:rPr lang="en-US" dirty="0"/>
            <a:t>Proportionate regulation</a:t>
          </a:r>
          <a:endParaRPr lang="en-AU" dirty="0"/>
        </a:p>
      </dgm:t>
    </dgm:pt>
    <dgm:pt modelId="{255249C5-B488-44FE-82D9-9337BA0E9D17}" type="parTrans" cxnId="{1B621086-BB84-423E-B305-D0C0D6FDE159}">
      <dgm:prSet/>
      <dgm:spPr/>
      <dgm:t>
        <a:bodyPr/>
        <a:lstStyle/>
        <a:p>
          <a:endParaRPr lang="en-AU"/>
        </a:p>
      </dgm:t>
    </dgm:pt>
    <dgm:pt modelId="{098071F0-2D6F-4611-89AB-055C60383506}" type="sibTrans" cxnId="{1B621086-BB84-423E-B305-D0C0D6FDE159}">
      <dgm:prSet/>
      <dgm:spPr/>
      <dgm:t>
        <a:bodyPr/>
        <a:lstStyle/>
        <a:p>
          <a:endParaRPr lang="en-AU"/>
        </a:p>
      </dgm:t>
    </dgm:pt>
    <dgm:pt modelId="{922A2D3B-4C82-4643-8232-477C434ECCB6}">
      <dgm:prSet/>
      <dgm:spPr/>
      <dgm:t>
        <a:bodyPr/>
        <a:lstStyle/>
        <a:p>
          <a:r>
            <a:rPr lang="en-US" dirty="0"/>
            <a:t>Mortgage Comparison Calculator</a:t>
          </a:r>
          <a:endParaRPr lang="en-AU" dirty="0"/>
        </a:p>
      </dgm:t>
    </dgm:pt>
    <dgm:pt modelId="{6A71B979-BE4C-40EC-A99C-A1560EBCCA12}" type="parTrans" cxnId="{7AF3037A-68EC-4F35-BDD7-CDA87E8B0E41}">
      <dgm:prSet/>
      <dgm:spPr/>
      <dgm:t>
        <a:bodyPr/>
        <a:lstStyle/>
        <a:p>
          <a:endParaRPr lang="en-AU"/>
        </a:p>
      </dgm:t>
    </dgm:pt>
    <dgm:pt modelId="{4B49F6A1-F4D4-4428-A4C2-AF02B9154567}" type="sibTrans" cxnId="{7AF3037A-68EC-4F35-BDD7-CDA87E8B0E41}">
      <dgm:prSet/>
      <dgm:spPr/>
      <dgm:t>
        <a:bodyPr/>
        <a:lstStyle/>
        <a:p>
          <a:endParaRPr lang="en-AU"/>
        </a:p>
      </dgm:t>
    </dgm:pt>
    <dgm:pt modelId="{B7FCFE7B-E623-489E-8B20-1EA6F85200B8}">
      <dgm:prSet/>
      <dgm:spPr/>
      <dgm:t>
        <a:bodyPr/>
        <a:lstStyle/>
        <a:p>
          <a:r>
            <a:rPr lang="en-US" dirty="0"/>
            <a:t>APRA &amp; ASIC ‘competition’ mandates</a:t>
          </a:r>
          <a:endParaRPr lang="en-AU" dirty="0"/>
        </a:p>
      </dgm:t>
    </dgm:pt>
    <dgm:pt modelId="{D24F615D-4A10-4EC6-9190-4F0F5AE4C854}" type="parTrans" cxnId="{5CE0BCD8-FB69-448D-97A4-B7252B2B7A03}">
      <dgm:prSet/>
      <dgm:spPr/>
      <dgm:t>
        <a:bodyPr/>
        <a:lstStyle/>
        <a:p>
          <a:endParaRPr lang="en-AU"/>
        </a:p>
      </dgm:t>
    </dgm:pt>
    <dgm:pt modelId="{A34A3B38-ABCD-46D5-A86B-1F226D0D4C64}" type="sibTrans" cxnId="{5CE0BCD8-FB69-448D-97A4-B7252B2B7A03}">
      <dgm:prSet/>
      <dgm:spPr/>
      <dgm:t>
        <a:bodyPr/>
        <a:lstStyle/>
        <a:p>
          <a:endParaRPr lang="en-AU"/>
        </a:p>
      </dgm:t>
    </dgm:pt>
    <dgm:pt modelId="{25549A9F-C6B2-4509-8C52-B5C80E470164}">
      <dgm:prSet/>
      <dgm:spPr/>
      <dgm:t>
        <a:bodyPr/>
        <a:lstStyle/>
        <a:p>
          <a:r>
            <a:rPr lang="en-US" dirty="0"/>
            <a:t>Narrowing the capital gap</a:t>
          </a:r>
          <a:endParaRPr lang="en-AU" dirty="0"/>
        </a:p>
      </dgm:t>
    </dgm:pt>
    <dgm:pt modelId="{71A69217-8D78-4274-852F-FB9E1ED62F21}" type="parTrans" cxnId="{188CF3D0-2BA1-41E7-8F6C-40C351692978}">
      <dgm:prSet/>
      <dgm:spPr/>
      <dgm:t>
        <a:bodyPr/>
        <a:lstStyle/>
        <a:p>
          <a:endParaRPr lang="en-AU"/>
        </a:p>
      </dgm:t>
    </dgm:pt>
    <dgm:pt modelId="{08C01F27-DD04-40E2-9901-8F1B0ABE2470}" type="sibTrans" cxnId="{188CF3D0-2BA1-41E7-8F6C-40C351692978}">
      <dgm:prSet/>
      <dgm:spPr/>
      <dgm:t>
        <a:bodyPr/>
        <a:lstStyle/>
        <a:p>
          <a:endParaRPr lang="en-AU"/>
        </a:p>
      </dgm:t>
    </dgm:pt>
    <dgm:pt modelId="{337DB8BF-811F-4DF1-8900-44A6F04CDF8B}">
      <dgm:prSet/>
      <dgm:spPr/>
      <dgm:t>
        <a:bodyPr/>
        <a:lstStyle/>
        <a:p>
          <a:r>
            <a:rPr lang="en-US" dirty="0"/>
            <a:t>Major bank levy</a:t>
          </a:r>
          <a:endParaRPr lang="en-AU" dirty="0"/>
        </a:p>
      </dgm:t>
    </dgm:pt>
    <dgm:pt modelId="{4CC571A9-C9C8-4483-A943-A807FDDE01BF}" type="parTrans" cxnId="{083BC858-77D2-46DC-8674-C8A906C29A65}">
      <dgm:prSet/>
      <dgm:spPr/>
      <dgm:t>
        <a:bodyPr/>
        <a:lstStyle/>
        <a:p>
          <a:endParaRPr lang="en-AU"/>
        </a:p>
      </dgm:t>
    </dgm:pt>
    <dgm:pt modelId="{758F60EA-BB1F-4895-8EAC-D6A1022D4928}" type="sibTrans" cxnId="{083BC858-77D2-46DC-8674-C8A906C29A65}">
      <dgm:prSet/>
      <dgm:spPr/>
      <dgm:t>
        <a:bodyPr/>
        <a:lstStyle/>
        <a:p>
          <a:endParaRPr lang="en-AU"/>
        </a:p>
      </dgm:t>
    </dgm:pt>
    <dgm:pt modelId="{AB090BD9-3EF9-4EF2-8F38-5EB144D90193}">
      <dgm:prSet/>
      <dgm:spPr/>
      <dgm:t>
        <a:bodyPr/>
        <a:lstStyle/>
        <a:p>
          <a:r>
            <a:rPr lang="en-AU"/>
            <a:t>Total loss absorbing capacity</a:t>
          </a:r>
        </a:p>
      </dgm:t>
    </dgm:pt>
    <dgm:pt modelId="{37913F06-FADB-4301-BFC6-64669EAF420D}" type="parTrans" cxnId="{260E676F-C72B-4A47-AEC5-0855CB1EDFEA}">
      <dgm:prSet/>
      <dgm:spPr/>
      <dgm:t>
        <a:bodyPr/>
        <a:lstStyle/>
        <a:p>
          <a:endParaRPr lang="en-AU"/>
        </a:p>
      </dgm:t>
    </dgm:pt>
    <dgm:pt modelId="{27260C79-24B2-4A57-A142-660CB50271A2}" type="sibTrans" cxnId="{260E676F-C72B-4A47-AEC5-0855CB1EDFEA}">
      <dgm:prSet/>
      <dgm:spPr/>
      <dgm:t>
        <a:bodyPr/>
        <a:lstStyle/>
        <a:p>
          <a:endParaRPr lang="en-AU"/>
        </a:p>
      </dgm:t>
    </dgm:pt>
    <dgm:pt modelId="{E2905701-23BB-40B3-A094-66C0F1091EE9}">
      <dgm:prSet/>
      <dgm:spPr/>
      <dgm:t>
        <a:bodyPr/>
        <a:lstStyle/>
        <a:p>
          <a:r>
            <a:rPr lang="en-AU"/>
            <a:t>RG 209 Mortgage Prisoners</a:t>
          </a:r>
        </a:p>
      </dgm:t>
    </dgm:pt>
    <dgm:pt modelId="{AE6217E0-EE91-4629-8370-96725942F6C2}" type="parTrans" cxnId="{D56EE941-1DB3-4FE1-845F-BBDD20C4CF5F}">
      <dgm:prSet/>
      <dgm:spPr/>
      <dgm:t>
        <a:bodyPr/>
        <a:lstStyle/>
        <a:p>
          <a:endParaRPr lang="en-AU"/>
        </a:p>
      </dgm:t>
    </dgm:pt>
    <dgm:pt modelId="{9235271F-5A5C-4827-89A4-39BCFC717D7F}" type="sibTrans" cxnId="{D56EE941-1DB3-4FE1-845F-BBDD20C4CF5F}">
      <dgm:prSet/>
      <dgm:spPr/>
      <dgm:t>
        <a:bodyPr/>
        <a:lstStyle/>
        <a:p>
          <a:endParaRPr lang="en-AU"/>
        </a:p>
      </dgm:t>
    </dgm:pt>
    <dgm:pt modelId="{E56E4226-6284-4B4C-B64F-F05FA11FA638}">
      <dgm:prSet/>
      <dgm:spPr/>
      <dgm:t>
        <a:bodyPr/>
        <a:lstStyle/>
        <a:p>
          <a:r>
            <a:rPr lang="en-AU"/>
            <a:t>Use of bank</a:t>
          </a:r>
        </a:p>
      </dgm:t>
    </dgm:pt>
    <dgm:pt modelId="{2C61D72A-92B7-4BD1-8796-67F10EBB651B}" type="parTrans" cxnId="{CEEA2879-AB49-4D95-9D0C-5D102FA80072}">
      <dgm:prSet/>
      <dgm:spPr/>
      <dgm:t>
        <a:bodyPr/>
        <a:lstStyle/>
        <a:p>
          <a:endParaRPr lang="en-AU"/>
        </a:p>
      </dgm:t>
    </dgm:pt>
    <dgm:pt modelId="{3F896718-9C4B-4E4F-9ADE-859294969529}" type="sibTrans" cxnId="{CEEA2879-AB49-4D95-9D0C-5D102FA80072}">
      <dgm:prSet/>
      <dgm:spPr/>
      <dgm:t>
        <a:bodyPr/>
        <a:lstStyle/>
        <a:p>
          <a:endParaRPr lang="en-AU"/>
        </a:p>
      </dgm:t>
    </dgm:pt>
    <dgm:pt modelId="{B4AC0DFF-D7E6-4728-A079-280E88ED59E3}">
      <dgm:prSet/>
      <dgm:spPr/>
      <dgm:t>
        <a:bodyPr/>
        <a:lstStyle/>
        <a:p>
          <a:r>
            <a:rPr lang="en-AU"/>
            <a:t>ADI Licensing Framework</a:t>
          </a:r>
        </a:p>
      </dgm:t>
    </dgm:pt>
    <dgm:pt modelId="{A3ADE0ED-11F6-4FD5-AE46-7E2ABEF3C59F}" type="parTrans" cxnId="{35743077-0809-4765-8EAA-90B8F9B3C733}">
      <dgm:prSet/>
      <dgm:spPr/>
      <dgm:t>
        <a:bodyPr/>
        <a:lstStyle/>
        <a:p>
          <a:endParaRPr lang="en-AU"/>
        </a:p>
      </dgm:t>
    </dgm:pt>
    <dgm:pt modelId="{05A639F5-7A3A-4ADC-97FF-1D13787503CF}" type="sibTrans" cxnId="{35743077-0809-4765-8EAA-90B8F9B3C733}">
      <dgm:prSet/>
      <dgm:spPr/>
      <dgm:t>
        <a:bodyPr/>
        <a:lstStyle/>
        <a:p>
          <a:endParaRPr lang="en-AU"/>
        </a:p>
      </dgm:t>
    </dgm:pt>
    <dgm:pt modelId="{7FFAED6B-EA44-495E-A0B5-6AF3F057B1C4}" type="pres">
      <dgm:prSet presAssocID="{52BC2301-22A3-4A24-B1DF-E48B6B2D4AE9}" presName="diagram" presStyleCnt="0">
        <dgm:presLayoutVars>
          <dgm:dir/>
          <dgm:resizeHandles val="exact"/>
        </dgm:presLayoutVars>
      </dgm:prSet>
      <dgm:spPr/>
    </dgm:pt>
    <dgm:pt modelId="{C196C69A-EDDE-4FBC-870F-B104D41887DB}" type="pres">
      <dgm:prSet presAssocID="{6F6EF8B0-CCC4-4A5C-B2E9-67F84876348F}" presName="node" presStyleLbl="node1" presStyleIdx="0" presStyleCnt="12">
        <dgm:presLayoutVars>
          <dgm:bulletEnabled val="1"/>
        </dgm:presLayoutVars>
      </dgm:prSet>
      <dgm:spPr/>
    </dgm:pt>
    <dgm:pt modelId="{D6665DE5-9495-4DA7-8842-15321BF2512E}" type="pres">
      <dgm:prSet presAssocID="{B10E0BC7-870E-4F36-B707-700B722669EB}" presName="sibTrans" presStyleCnt="0"/>
      <dgm:spPr/>
    </dgm:pt>
    <dgm:pt modelId="{D6D9B119-556C-4E85-919C-FF854387D693}" type="pres">
      <dgm:prSet presAssocID="{B88370B1-9446-48FE-8581-A84767FF1887}" presName="node" presStyleLbl="node1" presStyleIdx="1" presStyleCnt="12">
        <dgm:presLayoutVars>
          <dgm:bulletEnabled val="1"/>
        </dgm:presLayoutVars>
      </dgm:prSet>
      <dgm:spPr/>
    </dgm:pt>
    <dgm:pt modelId="{54F0A04C-37BA-4BEC-9587-B20704DCD64A}" type="pres">
      <dgm:prSet presAssocID="{22A36276-ED59-4A58-95FF-9B19D8EBE9C3}" presName="sibTrans" presStyleCnt="0"/>
      <dgm:spPr/>
    </dgm:pt>
    <dgm:pt modelId="{79F17CB3-DD02-49EF-AD89-BDE60B66F321}" type="pres">
      <dgm:prSet presAssocID="{922A2D3B-4C82-4643-8232-477C434ECCB6}" presName="node" presStyleLbl="node1" presStyleIdx="2" presStyleCnt="12">
        <dgm:presLayoutVars>
          <dgm:bulletEnabled val="1"/>
        </dgm:presLayoutVars>
      </dgm:prSet>
      <dgm:spPr/>
    </dgm:pt>
    <dgm:pt modelId="{47A29F89-F86D-4D35-BFD7-B1AFE371EA8E}" type="pres">
      <dgm:prSet presAssocID="{4B49F6A1-F4D4-4428-A4C2-AF02B9154567}" presName="sibTrans" presStyleCnt="0"/>
      <dgm:spPr/>
    </dgm:pt>
    <dgm:pt modelId="{10CB0371-A5D4-4735-BEA9-9370617E55C9}" type="pres">
      <dgm:prSet presAssocID="{41473661-C4F5-44F3-A8BC-52D3053C5FB5}" presName="node" presStyleLbl="node1" presStyleIdx="3" presStyleCnt="12">
        <dgm:presLayoutVars>
          <dgm:bulletEnabled val="1"/>
        </dgm:presLayoutVars>
      </dgm:prSet>
      <dgm:spPr/>
    </dgm:pt>
    <dgm:pt modelId="{5002CEC9-7045-4852-9651-7F5C835F7BAD}" type="pres">
      <dgm:prSet presAssocID="{D64FD169-D6EF-433F-BA4F-8228504D3346}" presName="sibTrans" presStyleCnt="0"/>
      <dgm:spPr/>
    </dgm:pt>
    <dgm:pt modelId="{0FF39B7B-7F95-4E77-90EF-EEC3F9107379}" type="pres">
      <dgm:prSet presAssocID="{8723F2C1-68FF-4509-8603-62FB60C7AD6F}" presName="node" presStyleLbl="node1" presStyleIdx="4" presStyleCnt="12">
        <dgm:presLayoutVars>
          <dgm:bulletEnabled val="1"/>
        </dgm:presLayoutVars>
      </dgm:prSet>
      <dgm:spPr/>
    </dgm:pt>
    <dgm:pt modelId="{919198C3-C3CD-4068-94CC-5037FFF9CD39}" type="pres">
      <dgm:prSet presAssocID="{098071F0-2D6F-4611-89AB-055C60383506}" presName="sibTrans" presStyleCnt="0"/>
      <dgm:spPr/>
    </dgm:pt>
    <dgm:pt modelId="{5CE3A26F-98E4-4409-A6BD-8DD4B4C3D03D}" type="pres">
      <dgm:prSet presAssocID="{B7FCFE7B-E623-489E-8B20-1EA6F85200B8}" presName="node" presStyleLbl="node1" presStyleIdx="5" presStyleCnt="12">
        <dgm:presLayoutVars>
          <dgm:bulletEnabled val="1"/>
        </dgm:presLayoutVars>
      </dgm:prSet>
      <dgm:spPr/>
    </dgm:pt>
    <dgm:pt modelId="{90246C54-E59B-4925-9A91-41E770DF9362}" type="pres">
      <dgm:prSet presAssocID="{A34A3B38-ABCD-46D5-A86B-1F226D0D4C64}" presName="sibTrans" presStyleCnt="0"/>
      <dgm:spPr/>
    </dgm:pt>
    <dgm:pt modelId="{154C3C8F-0483-4832-8FB0-55EB07925959}" type="pres">
      <dgm:prSet presAssocID="{25549A9F-C6B2-4509-8C52-B5C80E470164}" presName="node" presStyleLbl="node1" presStyleIdx="6" presStyleCnt="12">
        <dgm:presLayoutVars>
          <dgm:bulletEnabled val="1"/>
        </dgm:presLayoutVars>
      </dgm:prSet>
      <dgm:spPr/>
    </dgm:pt>
    <dgm:pt modelId="{9520676C-38FE-499C-9B21-4DA562206043}" type="pres">
      <dgm:prSet presAssocID="{08C01F27-DD04-40E2-9901-8F1B0ABE2470}" presName="sibTrans" presStyleCnt="0"/>
      <dgm:spPr/>
    </dgm:pt>
    <dgm:pt modelId="{9AEA7235-397D-408E-ADC2-5868D83842BB}" type="pres">
      <dgm:prSet presAssocID="{337DB8BF-811F-4DF1-8900-44A6F04CDF8B}" presName="node" presStyleLbl="node1" presStyleIdx="7" presStyleCnt="12">
        <dgm:presLayoutVars>
          <dgm:bulletEnabled val="1"/>
        </dgm:presLayoutVars>
      </dgm:prSet>
      <dgm:spPr/>
    </dgm:pt>
    <dgm:pt modelId="{3B0EF7BF-6B02-4F36-8D4D-16D1FD1E64F8}" type="pres">
      <dgm:prSet presAssocID="{758F60EA-BB1F-4895-8EAC-D6A1022D4928}" presName="sibTrans" presStyleCnt="0"/>
      <dgm:spPr/>
    </dgm:pt>
    <dgm:pt modelId="{19D1732F-BC88-4CCE-862D-10BB1D689F96}" type="pres">
      <dgm:prSet presAssocID="{E2905701-23BB-40B3-A094-66C0F1091EE9}" presName="node" presStyleLbl="node1" presStyleIdx="8" presStyleCnt="12">
        <dgm:presLayoutVars>
          <dgm:bulletEnabled val="1"/>
        </dgm:presLayoutVars>
      </dgm:prSet>
      <dgm:spPr/>
    </dgm:pt>
    <dgm:pt modelId="{80759A42-92A3-4BB6-8AC8-E9B13ABC070C}" type="pres">
      <dgm:prSet presAssocID="{9235271F-5A5C-4827-89A4-39BCFC717D7F}" presName="sibTrans" presStyleCnt="0"/>
      <dgm:spPr/>
    </dgm:pt>
    <dgm:pt modelId="{80ED94DB-035F-4317-9AB0-AFBCC717A88A}" type="pres">
      <dgm:prSet presAssocID="{AB090BD9-3EF9-4EF2-8F38-5EB144D90193}" presName="node" presStyleLbl="node1" presStyleIdx="9" presStyleCnt="12">
        <dgm:presLayoutVars>
          <dgm:bulletEnabled val="1"/>
        </dgm:presLayoutVars>
      </dgm:prSet>
      <dgm:spPr/>
    </dgm:pt>
    <dgm:pt modelId="{EFD72EB7-B573-4048-955C-8CBDF3B39D03}" type="pres">
      <dgm:prSet presAssocID="{27260C79-24B2-4A57-A142-660CB50271A2}" presName="sibTrans" presStyleCnt="0"/>
      <dgm:spPr/>
    </dgm:pt>
    <dgm:pt modelId="{44F329EB-6A32-48E0-AA5E-56FE7B29E773}" type="pres">
      <dgm:prSet presAssocID="{E56E4226-6284-4B4C-B64F-F05FA11FA638}" presName="node" presStyleLbl="node1" presStyleIdx="10" presStyleCnt="12">
        <dgm:presLayoutVars>
          <dgm:bulletEnabled val="1"/>
        </dgm:presLayoutVars>
      </dgm:prSet>
      <dgm:spPr/>
    </dgm:pt>
    <dgm:pt modelId="{4E77E6CF-71BF-431B-8FF5-370C4EA7CE24}" type="pres">
      <dgm:prSet presAssocID="{3F896718-9C4B-4E4F-9ADE-859294969529}" presName="sibTrans" presStyleCnt="0"/>
      <dgm:spPr/>
    </dgm:pt>
    <dgm:pt modelId="{FC6A8235-0E49-48FC-AE43-61D17E9F7311}" type="pres">
      <dgm:prSet presAssocID="{B4AC0DFF-D7E6-4728-A079-280E88ED59E3}" presName="node" presStyleLbl="node1" presStyleIdx="11" presStyleCnt="12">
        <dgm:presLayoutVars>
          <dgm:bulletEnabled val="1"/>
        </dgm:presLayoutVars>
      </dgm:prSet>
      <dgm:spPr/>
    </dgm:pt>
  </dgm:ptLst>
  <dgm:cxnLst>
    <dgm:cxn modelId="{C0B5A52E-1DD0-4E10-8EA3-E121929E1F84}" type="presOf" srcId="{52BC2301-22A3-4A24-B1DF-E48B6B2D4AE9}" destId="{7FFAED6B-EA44-495E-A0B5-6AF3F057B1C4}" srcOrd="0" destOrd="0" presId="urn:microsoft.com/office/officeart/2005/8/layout/default"/>
    <dgm:cxn modelId="{D56EE941-1DB3-4FE1-845F-BBDD20C4CF5F}" srcId="{52BC2301-22A3-4A24-B1DF-E48B6B2D4AE9}" destId="{E2905701-23BB-40B3-A094-66C0F1091EE9}" srcOrd="8" destOrd="0" parTransId="{AE6217E0-EE91-4629-8370-96725942F6C2}" sibTransId="{9235271F-5A5C-4827-89A4-39BCFC717D7F}"/>
    <dgm:cxn modelId="{260E676F-C72B-4A47-AEC5-0855CB1EDFEA}" srcId="{52BC2301-22A3-4A24-B1DF-E48B6B2D4AE9}" destId="{AB090BD9-3EF9-4EF2-8F38-5EB144D90193}" srcOrd="9" destOrd="0" parTransId="{37913F06-FADB-4301-BFC6-64669EAF420D}" sibTransId="{27260C79-24B2-4A57-A142-660CB50271A2}"/>
    <dgm:cxn modelId="{EA806450-4313-4AB3-8CC3-A58374707CAF}" srcId="{52BC2301-22A3-4A24-B1DF-E48B6B2D4AE9}" destId="{B88370B1-9446-48FE-8581-A84767FF1887}" srcOrd="1" destOrd="0" parTransId="{BDE4A2EF-9A65-4B07-B965-1EADBD59419A}" sibTransId="{22A36276-ED59-4A58-95FF-9B19D8EBE9C3}"/>
    <dgm:cxn modelId="{35743077-0809-4765-8EAA-90B8F9B3C733}" srcId="{52BC2301-22A3-4A24-B1DF-E48B6B2D4AE9}" destId="{B4AC0DFF-D7E6-4728-A079-280E88ED59E3}" srcOrd="11" destOrd="0" parTransId="{A3ADE0ED-11F6-4FD5-AE46-7E2ABEF3C59F}" sibTransId="{05A639F5-7A3A-4ADC-97FF-1D13787503CF}"/>
    <dgm:cxn modelId="{083BC858-77D2-46DC-8674-C8A906C29A65}" srcId="{52BC2301-22A3-4A24-B1DF-E48B6B2D4AE9}" destId="{337DB8BF-811F-4DF1-8900-44A6F04CDF8B}" srcOrd="7" destOrd="0" parTransId="{4CC571A9-C9C8-4483-A943-A807FDDE01BF}" sibTransId="{758F60EA-BB1F-4895-8EAC-D6A1022D4928}"/>
    <dgm:cxn modelId="{CEEA2879-AB49-4D95-9D0C-5D102FA80072}" srcId="{52BC2301-22A3-4A24-B1DF-E48B6B2D4AE9}" destId="{E56E4226-6284-4B4C-B64F-F05FA11FA638}" srcOrd="10" destOrd="0" parTransId="{2C61D72A-92B7-4BD1-8796-67F10EBB651B}" sibTransId="{3F896718-9C4B-4E4F-9ADE-859294969529}"/>
    <dgm:cxn modelId="{7AF3037A-68EC-4F35-BDD7-CDA87E8B0E41}" srcId="{52BC2301-22A3-4A24-B1DF-E48B6B2D4AE9}" destId="{922A2D3B-4C82-4643-8232-477C434ECCB6}" srcOrd="2" destOrd="0" parTransId="{6A71B979-BE4C-40EC-A99C-A1560EBCCA12}" sibTransId="{4B49F6A1-F4D4-4428-A4C2-AF02B9154567}"/>
    <dgm:cxn modelId="{DB162E85-3F4F-4D60-AED0-CE5402894FA6}" type="presOf" srcId="{B88370B1-9446-48FE-8581-A84767FF1887}" destId="{D6D9B119-556C-4E85-919C-FF854387D693}" srcOrd="0" destOrd="0" presId="urn:microsoft.com/office/officeart/2005/8/layout/default"/>
    <dgm:cxn modelId="{1B621086-BB84-423E-B305-D0C0D6FDE159}" srcId="{52BC2301-22A3-4A24-B1DF-E48B6B2D4AE9}" destId="{8723F2C1-68FF-4509-8603-62FB60C7AD6F}" srcOrd="4" destOrd="0" parTransId="{255249C5-B488-44FE-82D9-9337BA0E9D17}" sibTransId="{098071F0-2D6F-4611-89AB-055C60383506}"/>
    <dgm:cxn modelId="{CD7A7A86-7D47-4302-9151-A8AAEC6EB2F9}" type="presOf" srcId="{B4AC0DFF-D7E6-4728-A079-280E88ED59E3}" destId="{FC6A8235-0E49-48FC-AE43-61D17E9F7311}" srcOrd="0" destOrd="0" presId="urn:microsoft.com/office/officeart/2005/8/layout/default"/>
    <dgm:cxn modelId="{05940A8B-CDDD-44E4-B459-7F18A75B7717}" type="presOf" srcId="{337DB8BF-811F-4DF1-8900-44A6F04CDF8B}" destId="{9AEA7235-397D-408E-ADC2-5868D83842BB}" srcOrd="0" destOrd="0" presId="urn:microsoft.com/office/officeart/2005/8/layout/default"/>
    <dgm:cxn modelId="{78C49F98-06CC-45EF-A640-39C025C11A5B}" srcId="{52BC2301-22A3-4A24-B1DF-E48B6B2D4AE9}" destId="{6F6EF8B0-CCC4-4A5C-B2E9-67F84876348F}" srcOrd="0" destOrd="0" parTransId="{E2B26A84-FC99-44F2-8304-9F1EDF1BB73E}" sibTransId="{B10E0BC7-870E-4F36-B707-700B722669EB}"/>
    <dgm:cxn modelId="{0000C099-D015-4BBB-860C-4EDEB04C9971}" type="presOf" srcId="{E2905701-23BB-40B3-A094-66C0F1091EE9}" destId="{19D1732F-BC88-4CCE-862D-10BB1D689F96}" srcOrd="0" destOrd="0" presId="urn:microsoft.com/office/officeart/2005/8/layout/default"/>
    <dgm:cxn modelId="{601C45A0-D7EE-4FB3-A928-E66D83F8626D}" type="presOf" srcId="{922A2D3B-4C82-4643-8232-477C434ECCB6}" destId="{79F17CB3-DD02-49EF-AD89-BDE60B66F321}" srcOrd="0" destOrd="0" presId="urn:microsoft.com/office/officeart/2005/8/layout/default"/>
    <dgm:cxn modelId="{EC54F8A3-F577-4A81-9F7E-C819A3537D77}" type="presOf" srcId="{E56E4226-6284-4B4C-B64F-F05FA11FA638}" destId="{44F329EB-6A32-48E0-AA5E-56FE7B29E773}" srcOrd="0" destOrd="0" presId="urn:microsoft.com/office/officeart/2005/8/layout/default"/>
    <dgm:cxn modelId="{E3BB13AC-7E83-445F-A64A-CEA4C58E3CBE}" type="presOf" srcId="{8723F2C1-68FF-4509-8603-62FB60C7AD6F}" destId="{0FF39B7B-7F95-4E77-90EF-EEC3F9107379}" srcOrd="0" destOrd="0" presId="urn:microsoft.com/office/officeart/2005/8/layout/default"/>
    <dgm:cxn modelId="{95F4A1B7-84D8-4827-8C59-766A6214ED04}" type="presOf" srcId="{B7FCFE7B-E623-489E-8B20-1EA6F85200B8}" destId="{5CE3A26F-98E4-4409-A6BD-8DD4B4C3D03D}" srcOrd="0" destOrd="0" presId="urn:microsoft.com/office/officeart/2005/8/layout/default"/>
    <dgm:cxn modelId="{A30FFCC3-BB66-4CB2-B2E0-6A8ACE3B6AE6}" type="presOf" srcId="{25549A9F-C6B2-4509-8C52-B5C80E470164}" destId="{154C3C8F-0483-4832-8FB0-55EB07925959}" srcOrd="0" destOrd="0" presId="urn:microsoft.com/office/officeart/2005/8/layout/default"/>
    <dgm:cxn modelId="{C37F39CA-1EB6-495E-BCDB-2FFF34302F81}" type="presOf" srcId="{6F6EF8B0-CCC4-4A5C-B2E9-67F84876348F}" destId="{C196C69A-EDDE-4FBC-870F-B104D41887DB}" srcOrd="0" destOrd="0" presId="urn:microsoft.com/office/officeart/2005/8/layout/default"/>
    <dgm:cxn modelId="{188CF3D0-2BA1-41E7-8F6C-40C351692978}" srcId="{52BC2301-22A3-4A24-B1DF-E48B6B2D4AE9}" destId="{25549A9F-C6B2-4509-8C52-B5C80E470164}" srcOrd="6" destOrd="0" parTransId="{71A69217-8D78-4274-852F-FB9E1ED62F21}" sibTransId="{08C01F27-DD04-40E2-9901-8F1B0ABE2470}"/>
    <dgm:cxn modelId="{164BDCD6-D0EF-4E90-A4FB-AA74631CFC7F}" type="presOf" srcId="{41473661-C4F5-44F3-A8BC-52D3053C5FB5}" destId="{10CB0371-A5D4-4735-BEA9-9370617E55C9}" srcOrd="0" destOrd="0" presId="urn:microsoft.com/office/officeart/2005/8/layout/default"/>
    <dgm:cxn modelId="{5CE0BCD8-FB69-448D-97A4-B7252B2B7A03}" srcId="{52BC2301-22A3-4A24-B1DF-E48B6B2D4AE9}" destId="{B7FCFE7B-E623-489E-8B20-1EA6F85200B8}" srcOrd="5" destOrd="0" parTransId="{D24F615D-4A10-4EC6-9190-4F0F5AE4C854}" sibTransId="{A34A3B38-ABCD-46D5-A86B-1F226D0D4C64}"/>
    <dgm:cxn modelId="{18AEB0F8-562C-4157-AFF9-182F83EEEAE4}" srcId="{52BC2301-22A3-4A24-B1DF-E48B6B2D4AE9}" destId="{41473661-C4F5-44F3-A8BC-52D3053C5FB5}" srcOrd="3" destOrd="0" parTransId="{8D3FF9F5-B6B2-4967-817D-2423F9132633}" sibTransId="{D64FD169-D6EF-433F-BA4F-8228504D3346}"/>
    <dgm:cxn modelId="{71D516FA-3BEC-4141-8F31-5E36BB794ECB}" type="presOf" srcId="{AB090BD9-3EF9-4EF2-8F38-5EB144D90193}" destId="{80ED94DB-035F-4317-9AB0-AFBCC717A88A}" srcOrd="0" destOrd="0" presId="urn:microsoft.com/office/officeart/2005/8/layout/default"/>
    <dgm:cxn modelId="{3A3AC293-53DB-4BAE-BA1E-3F694C2EC757}" type="presParOf" srcId="{7FFAED6B-EA44-495E-A0B5-6AF3F057B1C4}" destId="{C196C69A-EDDE-4FBC-870F-B104D41887DB}" srcOrd="0" destOrd="0" presId="urn:microsoft.com/office/officeart/2005/8/layout/default"/>
    <dgm:cxn modelId="{D463C0D2-D3D9-44BF-AC9C-BF731600DE64}" type="presParOf" srcId="{7FFAED6B-EA44-495E-A0B5-6AF3F057B1C4}" destId="{D6665DE5-9495-4DA7-8842-15321BF2512E}" srcOrd="1" destOrd="0" presId="urn:microsoft.com/office/officeart/2005/8/layout/default"/>
    <dgm:cxn modelId="{88941BDE-9FC5-48F7-95BC-7A63041F989E}" type="presParOf" srcId="{7FFAED6B-EA44-495E-A0B5-6AF3F057B1C4}" destId="{D6D9B119-556C-4E85-919C-FF854387D693}" srcOrd="2" destOrd="0" presId="urn:microsoft.com/office/officeart/2005/8/layout/default"/>
    <dgm:cxn modelId="{85016D69-86C5-40CF-9DF4-C7A3F7430CB0}" type="presParOf" srcId="{7FFAED6B-EA44-495E-A0B5-6AF3F057B1C4}" destId="{54F0A04C-37BA-4BEC-9587-B20704DCD64A}" srcOrd="3" destOrd="0" presId="urn:microsoft.com/office/officeart/2005/8/layout/default"/>
    <dgm:cxn modelId="{3F2544D4-F87C-4EDB-A935-C625C8A163F3}" type="presParOf" srcId="{7FFAED6B-EA44-495E-A0B5-6AF3F057B1C4}" destId="{79F17CB3-DD02-49EF-AD89-BDE60B66F321}" srcOrd="4" destOrd="0" presId="urn:microsoft.com/office/officeart/2005/8/layout/default"/>
    <dgm:cxn modelId="{F465687A-EEB7-459E-AE07-8B95C82D6F29}" type="presParOf" srcId="{7FFAED6B-EA44-495E-A0B5-6AF3F057B1C4}" destId="{47A29F89-F86D-4D35-BFD7-B1AFE371EA8E}" srcOrd="5" destOrd="0" presId="urn:microsoft.com/office/officeart/2005/8/layout/default"/>
    <dgm:cxn modelId="{E43DF77B-C837-4C2B-9743-06FD05249455}" type="presParOf" srcId="{7FFAED6B-EA44-495E-A0B5-6AF3F057B1C4}" destId="{10CB0371-A5D4-4735-BEA9-9370617E55C9}" srcOrd="6" destOrd="0" presId="urn:microsoft.com/office/officeart/2005/8/layout/default"/>
    <dgm:cxn modelId="{E2004ADC-4A19-4B91-BC1C-4D6A19D28ECE}" type="presParOf" srcId="{7FFAED6B-EA44-495E-A0B5-6AF3F057B1C4}" destId="{5002CEC9-7045-4852-9651-7F5C835F7BAD}" srcOrd="7" destOrd="0" presId="urn:microsoft.com/office/officeart/2005/8/layout/default"/>
    <dgm:cxn modelId="{2BCB88C8-FB72-40C8-9A57-9644683E55CA}" type="presParOf" srcId="{7FFAED6B-EA44-495E-A0B5-6AF3F057B1C4}" destId="{0FF39B7B-7F95-4E77-90EF-EEC3F9107379}" srcOrd="8" destOrd="0" presId="urn:microsoft.com/office/officeart/2005/8/layout/default"/>
    <dgm:cxn modelId="{B41AC21D-7CF0-44FE-B1C6-5FAD8928E154}" type="presParOf" srcId="{7FFAED6B-EA44-495E-A0B5-6AF3F057B1C4}" destId="{919198C3-C3CD-4068-94CC-5037FFF9CD39}" srcOrd="9" destOrd="0" presId="urn:microsoft.com/office/officeart/2005/8/layout/default"/>
    <dgm:cxn modelId="{52B88895-7B08-4215-A46E-B12841F20485}" type="presParOf" srcId="{7FFAED6B-EA44-495E-A0B5-6AF3F057B1C4}" destId="{5CE3A26F-98E4-4409-A6BD-8DD4B4C3D03D}" srcOrd="10" destOrd="0" presId="urn:microsoft.com/office/officeart/2005/8/layout/default"/>
    <dgm:cxn modelId="{94A11082-1BAD-4923-9138-C8CDCAE3E823}" type="presParOf" srcId="{7FFAED6B-EA44-495E-A0B5-6AF3F057B1C4}" destId="{90246C54-E59B-4925-9A91-41E770DF9362}" srcOrd="11" destOrd="0" presId="urn:microsoft.com/office/officeart/2005/8/layout/default"/>
    <dgm:cxn modelId="{6D4723C0-F70B-4CBC-AF6A-9BA98FBD9C5B}" type="presParOf" srcId="{7FFAED6B-EA44-495E-A0B5-6AF3F057B1C4}" destId="{154C3C8F-0483-4832-8FB0-55EB07925959}" srcOrd="12" destOrd="0" presId="urn:microsoft.com/office/officeart/2005/8/layout/default"/>
    <dgm:cxn modelId="{E334D80C-D1C5-4509-A539-9F0F18D9A7AF}" type="presParOf" srcId="{7FFAED6B-EA44-495E-A0B5-6AF3F057B1C4}" destId="{9520676C-38FE-499C-9B21-4DA562206043}" srcOrd="13" destOrd="0" presId="urn:microsoft.com/office/officeart/2005/8/layout/default"/>
    <dgm:cxn modelId="{F1A1A750-D7F0-4661-A513-C2F1C7A67B2B}" type="presParOf" srcId="{7FFAED6B-EA44-495E-A0B5-6AF3F057B1C4}" destId="{9AEA7235-397D-408E-ADC2-5868D83842BB}" srcOrd="14" destOrd="0" presId="urn:microsoft.com/office/officeart/2005/8/layout/default"/>
    <dgm:cxn modelId="{33308FB8-E1D4-4E0D-A187-80875723994C}" type="presParOf" srcId="{7FFAED6B-EA44-495E-A0B5-6AF3F057B1C4}" destId="{3B0EF7BF-6B02-4F36-8D4D-16D1FD1E64F8}" srcOrd="15" destOrd="0" presId="urn:microsoft.com/office/officeart/2005/8/layout/default"/>
    <dgm:cxn modelId="{12E8126B-6EA2-4776-9E10-BD3693435370}" type="presParOf" srcId="{7FFAED6B-EA44-495E-A0B5-6AF3F057B1C4}" destId="{19D1732F-BC88-4CCE-862D-10BB1D689F96}" srcOrd="16" destOrd="0" presId="urn:microsoft.com/office/officeart/2005/8/layout/default"/>
    <dgm:cxn modelId="{6B2DD446-8C44-4918-B455-5E8F3D356021}" type="presParOf" srcId="{7FFAED6B-EA44-495E-A0B5-6AF3F057B1C4}" destId="{80759A42-92A3-4BB6-8AC8-E9B13ABC070C}" srcOrd="17" destOrd="0" presId="urn:microsoft.com/office/officeart/2005/8/layout/default"/>
    <dgm:cxn modelId="{06CFFE56-7D55-4754-B730-F7B4EF4395EA}" type="presParOf" srcId="{7FFAED6B-EA44-495E-A0B5-6AF3F057B1C4}" destId="{80ED94DB-035F-4317-9AB0-AFBCC717A88A}" srcOrd="18" destOrd="0" presId="urn:microsoft.com/office/officeart/2005/8/layout/default"/>
    <dgm:cxn modelId="{1BE87D89-8826-43A3-9704-070B2B55082A}" type="presParOf" srcId="{7FFAED6B-EA44-495E-A0B5-6AF3F057B1C4}" destId="{EFD72EB7-B573-4048-955C-8CBDF3B39D03}" srcOrd="19" destOrd="0" presId="urn:microsoft.com/office/officeart/2005/8/layout/default"/>
    <dgm:cxn modelId="{AE214BAD-93FD-42C7-9AFE-2A7377069989}" type="presParOf" srcId="{7FFAED6B-EA44-495E-A0B5-6AF3F057B1C4}" destId="{44F329EB-6A32-48E0-AA5E-56FE7B29E773}" srcOrd="20" destOrd="0" presId="urn:microsoft.com/office/officeart/2005/8/layout/default"/>
    <dgm:cxn modelId="{91E76912-309E-413E-9EE6-2EF1CB241E04}" type="presParOf" srcId="{7FFAED6B-EA44-495E-A0B5-6AF3F057B1C4}" destId="{4E77E6CF-71BF-431B-8FF5-370C4EA7CE24}" srcOrd="21" destOrd="0" presId="urn:microsoft.com/office/officeart/2005/8/layout/default"/>
    <dgm:cxn modelId="{8B865CA6-97A7-4FD5-B5A6-879FEABC9D26}" type="presParOf" srcId="{7FFAED6B-EA44-495E-A0B5-6AF3F057B1C4}" destId="{FC6A8235-0E49-48FC-AE43-61D17E9F7311}" srcOrd="22"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AE07BA-BDBD-4563-9C1A-164B60782F3D}">
      <dsp:nvSpPr>
        <dsp:cNvPr id="0" name=""/>
        <dsp:cNvSpPr/>
      </dsp:nvSpPr>
      <dsp:spPr>
        <a:xfrm rot="5400000">
          <a:off x="3550175" y="-1529645"/>
          <a:ext cx="36115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Competition Regulator</a:t>
          </a:r>
        </a:p>
      </dsp:txBody>
      <dsp:txXfrm rot="-5400000">
        <a:off x="1975104" y="63056"/>
        <a:ext cx="3493666" cy="325893"/>
      </dsp:txXfrm>
    </dsp:sp>
    <dsp:sp modelId="{30544F36-663A-4C29-A10A-D93B95824BC0}">
      <dsp:nvSpPr>
        <dsp:cNvPr id="0" name=""/>
        <dsp:cNvSpPr/>
      </dsp:nvSpPr>
      <dsp:spPr>
        <a:xfrm>
          <a:off x="0" y="281"/>
          <a:ext cx="1975104" cy="4514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AU" sz="1300" b="1" kern="1200"/>
            <a:t>ACCC</a:t>
          </a:r>
        </a:p>
      </dsp:txBody>
      <dsp:txXfrm>
        <a:off x="22038" y="22319"/>
        <a:ext cx="1931028" cy="407366"/>
      </dsp:txXfrm>
    </dsp:sp>
    <dsp:sp modelId="{075861ED-CB8F-4A26-82E8-981430E2F753}">
      <dsp:nvSpPr>
        <dsp:cNvPr id="0" name=""/>
        <dsp:cNvSpPr/>
      </dsp:nvSpPr>
      <dsp:spPr>
        <a:xfrm rot="5400000">
          <a:off x="3550175" y="-1055630"/>
          <a:ext cx="36115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b="0" kern="1200"/>
            <a:t>Financial services consumer protection &amp; capability lead </a:t>
          </a:r>
          <a:endParaRPr lang="en-AU" sz="1200" b="0" kern="1200"/>
        </a:p>
      </dsp:txBody>
      <dsp:txXfrm rot="-5400000">
        <a:off x="1975104" y="537071"/>
        <a:ext cx="3493666" cy="325893"/>
      </dsp:txXfrm>
    </dsp:sp>
    <dsp:sp modelId="{476CC023-A8C8-4AC9-AC65-8D2279A0E2C4}">
      <dsp:nvSpPr>
        <dsp:cNvPr id="0" name=""/>
        <dsp:cNvSpPr/>
      </dsp:nvSpPr>
      <dsp:spPr>
        <a:xfrm>
          <a:off x="0" y="474296"/>
          <a:ext cx="1975104" cy="4514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AU" sz="1300" b="1" kern="1200"/>
            <a:t>ASIC</a:t>
          </a:r>
        </a:p>
      </dsp:txBody>
      <dsp:txXfrm>
        <a:off x="22038" y="496334"/>
        <a:ext cx="1931028" cy="407366"/>
      </dsp:txXfrm>
    </dsp:sp>
    <dsp:sp modelId="{78EAACF7-BF87-4C2B-A96F-4CFD6A04BE16}">
      <dsp:nvSpPr>
        <dsp:cNvPr id="0" name=""/>
        <dsp:cNvSpPr/>
      </dsp:nvSpPr>
      <dsp:spPr>
        <a:xfrm rot="5400000">
          <a:off x="3550175" y="-581616"/>
          <a:ext cx="36115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Economic policy maker</a:t>
          </a:r>
        </a:p>
      </dsp:txBody>
      <dsp:txXfrm rot="-5400000">
        <a:off x="1975104" y="1011085"/>
        <a:ext cx="3493666" cy="325893"/>
      </dsp:txXfrm>
    </dsp:sp>
    <dsp:sp modelId="{1D688B9A-415F-433A-A2E4-7D3A29A8EEF4}">
      <dsp:nvSpPr>
        <dsp:cNvPr id="0" name=""/>
        <dsp:cNvSpPr/>
      </dsp:nvSpPr>
      <dsp:spPr>
        <a:xfrm>
          <a:off x="0" y="948310"/>
          <a:ext cx="1975104" cy="4514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AU" sz="1300" b="1" kern="1200"/>
            <a:t>Treasury</a:t>
          </a:r>
        </a:p>
      </dsp:txBody>
      <dsp:txXfrm>
        <a:off x="22038" y="970348"/>
        <a:ext cx="1931028" cy="407366"/>
      </dsp:txXfrm>
    </dsp:sp>
    <dsp:sp modelId="{C855262C-9894-4A73-AE51-4284E1AB87B8}">
      <dsp:nvSpPr>
        <dsp:cNvPr id="0" name=""/>
        <dsp:cNvSpPr/>
      </dsp:nvSpPr>
      <dsp:spPr>
        <a:xfrm rot="5400000">
          <a:off x="3550175" y="-107601"/>
          <a:ext cx="36115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Behavioural economists</a:t>
          </a:r>
        </a:p>
      </dsp:txBody>
      <dsp:txXfrm rot="-5400000">
        <a:off x="1975104" y="1485100"/>
        <a:ext cx="3493666" cy="325893"/>
      </dsp:txXfrm>
    </dsp:sp>
    <dsp:sp modelId="{EC664A31-F124-4DA5-9422-27493BD52B0A}">
      <dsp:nvSpPr>
        <dsp:cNvPr id="0" name=""/>
        <dsp:cNvSpPr/>
      </dsp:nvSpPr>
      <dsp:spPr>
        <a:xfrm>
          <a:off x="0" y="1422325"/>
          <a:ext cx="1975104" cy="4514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AU" sz="1300" b="1" kern="1200"/>
            <a:t>P&amp;MC</a:t>
          </a:r>
        </a:p>
      </dsp:txBody>
      <dsp:txXfrm>
        <a:off x="22038" y="1444363"/>
        <a:ext cx="1931028" cy="407366"/>
      </dsp:txXfrm>
    </dsp:sp>
    <dsp:sp modelId="{0701D741-BDB1-4BE6-9BE5-5D92ADC250E7}">
      <dsp:nvSpPr>
        <dsp:cNvPr id="0" name=""/>
        <dsp:cNvSpPr/>
      </dsp:nvSpPr>
      <dsp:spPr>
        <a:xfrm rot="5400000">
          <a:off x="3550175" y="366413"/>
          <a:ext cx="36115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Consumer advocates</a:t>
          </a:r>
        </a:p>
      </dsp:txBody>
      <dsp:txXfrm rot="-5400000">
        <a:off x="1975104" y="1959114"/>
        <a:ext cx="3493666" cy="325893"/>
      </dsp:txXfrm>
    </dsp:sp>
    <dsp:sp modelId="{B3D091C5-4BDD-4416-8AAD-9BE03C610FDE}">
      <dsp:nvSpPr>
        <dsp:cNvPr id="0" name=""/>
        <dsp:cNvSpPr/>
      </dsp:nvSpPr>
      <dsp:spPr>
        <a:xfrm>
          <a:off x="0" y="1896339"/>
          <a:ext cx="1975104" cy="4514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AU" sz="1300" b="1" kern="1200"/>
            <a:t>Consumer associations</a:t>
          </a:r>
        </a:p>
      </dsp:txBody>
      <dsp:txXfrm>
        <a:off x="22038" y="1918377"/>
        <a:ext cx="1931028" cy="407366"/>
      </dsp:txXfrm>
    </dsp:sp>
    <dsp:sp modelId="{E2B1DD6B-8CDB-4018-A772-08AF354A2A64}">
      <dsp:nvSpPr>
        <dsp:cNvPr id="0" name=""/>
        <dsp:cNvSpPr/>
      </dsp:nvSpPr>
      <dsp:spPr>
        <a:xfrm rot="5400000">
          <a:off x="3550175" y="840427"/>
          <a:ext cx="36115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Industry Experts</a:t>
          </a:r>
        </a:p>
      </dsp:txBody>
      <dsp:txXfrm rot="-5400000">
        <a:off x="1975104" y="2433128"/>
        <a:ext cx="3493666" cy="325893"/>
      </dsp:txXfrm>
    </dsp:sp>
    <dsp:sp modelId="{1F24C523-0C1F-41F1-A7AD-13C1B6E16EE5}">
      <dsp:nvSpPr>
        <dsp:cNvPr id="0" name=""/>
        <dsp:cNvSpPr/>
      </dsp:nvSpPr>
      <dsp:spPr>
        <a:xfrm>
          <a:off x="0" y="2370354"/>
          <a:ext cx="1975104" cy="4514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AU" sz="1300" b="1" kern="1200"/>
            <a:t>Fintech industry associations</a:t>
          </a:r>
        </a:p>
      </dsp:txBody>
      <dsp:txXfrm>
        <a:off x="22038" y="2392392"/>
        <a:ext cx="1931028" cy="407366"/>
      </dsp:txXfrm>
    </dsp:sp>
    <dsp:sp modelId="{AA709C17-0F90-4F37-B9DC-CBE30A4C2095}">
      <dsp:nvSpPr>
        <dsp:cNvPr id="0" name=""/>
        <dsp:cNvSpPr/>
      </dsp:nvSpPr>
      <dsp:spPr>
        <a:xfrm rot="5400000">
          <a:off x="3550175" y="1314442"/>
          <a:ext cx="36115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AU" sz="1200" kern="1200"/>
            <a:t>Industry Experts</a:t>
          </a:r>
        </a:p>
      </dsp:txBody>
      <dsp:txXfrm rot="-5400000">
        <a:off x="1975104" y="2907143"/>
        <a:ext cx="3493666" cy="325893"/>
      </dsp:txXfrm>
    </dsp:sp>
    <dsp:sp modelId="{294624D7-E500-4903-9361-432376C8C726}">
      <dsp:nvSpPr>
        <dsp:cNvPr id="0" name=""/>
        <dsp:cNvSpPr/>
      </dsp:nvSpPr>
      <dsp:spPr>
        <a:xfrm>
          <a:off x="0" y="2844368"/>
          <a:ext cx="1975104" cy="4514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AU" sz="1300" b="1" kern="1200"/>
            <a:t>Banking industry associations</a:t>
          </a:r>
        </a:p>
      </dsp:txBody>
      <dsp:txXfrm>
        <a:off x="22038" y="2866406"/>
        <a:ext cx="1931028" cy="4073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CEB92-1223-45C1-B267-087F4B868702}">
      <dsp:nvSpPr>
        <dsp:cNvPr id="0" name=""/>
        <dsp:cNvSpPr/>
      </dsp:nvSpPr>
      <dsp:spPr>
        <a:xfrm>
          <a:off x="0" y="3854682"/>
          <a:ext cx="5486400" cy="8433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b="1" kern="1200"/>
            <a:t>Act</a:t>
          </a:r>
        </a:p>
      </dsp:txBody>
      <dsp:txXfrm>
        <a:off x="0" y="3854682"/>
        <a:ext cx="5486400" cy="455387"/>
      </dsp:txXfrm>
    </dsp:sp>
    <dsp:sp modelId="{F16BB1B8-FA24-42E3-B27E-94FD229CB963}">
      <dsp:nvSpPr>
        <dsp:cNvPr id="0" name=""/>
        <dsp:cNvSpPr/>
      </dsp:nvSpPr>
      <dsp:spPr>
        <a:xfrm>
          <a:off x="0" y="4293204"/>
          <a:ext cx="5486400" cy="38792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AU" sz="1300" kern="1200"/>
            <a:t>Consumers must be able to act on this information and analysis by purchasing the good or service that offers the best value to the customer</a:t>
          </a:r>
        </a:p>
      </dsp:txBody>
      <dsp:txXfrm>
        <a:off x="0" y="4293204"/>
        <a:ext cx="5486400" cy="387922"/>
      </dsp:txXfrm>
    </dsp:sp>
    <dsp:sp modelId="{069D53F5-F5D6-4C92-AFB6-2578C527BED5}">
      <dsp:nvSpPr>
        <dsp:cNvPr id="0" name=""/>
        <dsp:cNvSpPr/>
      </dsp:nvSpPr>
      <dsp:spPr>
        <a:xfrm rot="10800000">
          <a:off x="0" y="2570321"/>
          <a:ext cx="5486400" cy="129701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Assess</a:t>
          </a:r>
          <a:endParaRPr lang="en-AU" sz="1600" b="1" kern="1200"/>
        </a:p>
      </dsp:txBody>
      <dsp:txXfrm rot="-10800000">
        <a:off x="0" y="2570321"/>
        <a:ext cx="5486400" cy="455250"/>
      </dsp:txXfrm>
    </dsp:sp>
    <dsp:sp modelId="{0245E8D0-5CD8-4AD1-AED9-6351FDBDA8A5}">
      <dsp:nvSpPr>
        <dsp:cNvPr id="0" name=""/>
        <dsp:cNvSpPr/>
      </dsp:nvSpPr>
      <dsp:spPr>
        <a:xfrm>
          <a:off x="0" y="3025572"/>
          <a:ext cx="5486400" cy="38780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AU" sz="1300" kern="1200"/>
            <a:t>Consumers must be able to assess these offers in a well-reasoned way</a:t>
          </a:r>
        </a:p>
      </dsp:txBody>
      <dsp:txXfrm>
        <a:off x="0" y="3025572"/>
        <a:ext cx="5486400" cy="387806"/>
      </dsp:txXfrm>
    </dsp:sp>
    <dsp:sp modelId="{0DB6B577-709D-412C-832B-B085EC670A8B}">
      <dsp:nvSpPr>
        <dsp:cNvPr id="0" name=""/>
        <dsp:cNvSpPr/>
      </dsp:nvSpPr>
      <dsp:spPr>
        <a:xfrm rot="10800000">
          <a:off x="0" y="1285959"/>
          <a:ext cx="5486400" cy="129701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Access</a:t>
          </a:r>
          <a:endParaRPr lang="en-AU" sz="1600" b="1" kern="1200"/>
        </a:p>
      </dsp:txBody>
      <dsp:txXfrm rot="-10800000">
        <a:off x="0" y="1285959"/>
        <a:ext cx="5486400" cy="455250"/>
      </dsp:txXfrm>
    </dsp:sp>
    <dsp:sp modelId="{32162EE9-BBB3-43B3-9440-AE2836ADB8CF}">
      <dsp:nvSpPr>
        <dsp:cNvPr id="0" name=""/>
        <dsp:cNvSpPr/>
      </dsp:nvSpPr>
      <dsp:spPr>
        <a:xfrm>
          <a:off x="0" y="1741210"/>
          <a:ext cx="5486400" cy="38780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AU" sz="1300" kern="1200"/>
            <a:t>Consumers must be able to access information about the various offers available in the market</a:t>
          </a:r>
        </a:p>
      </dsp:txBody>
      <dsp:txXfrm>
        <a:off x="0" y="1741210"/>
        <a:ext cx="5486400" cy="387806"/>
      </dsp:txXfrm>
    </dsp:sp>
    <dsp:sp modelId="{D6599E90-B9D9-40D5-A733-D91A3123E62A}">
      <dsp:nvSpPr>
        <dsp:cNvPr id="0" name=""/>
        <dsp:cNvSpPr/>
      </dsp:nvSpPr>
      <dsp:spPr>
        <a:xfrm rot="10800000">
          <a:off x="0" y="1597"/>
          <a:ext cx="5486400" cy="129701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Motivate</a:t>
          </a:r>
          <a:endParaRPr lang="en-AU" sz="1600" b="1" kern="1200"/>
        </a:p>
      </dsp:txBody>
      <dsp:txXfrm rot="-10800000">
        <a:off x="0" y="1597"/>
        <a:ext cx="5486400" cy="455250"/>
      </dsp:txXfrm>
    </dsp:sp>
    <dsp:sp modelId="{6EF357E8-59DF-4A61-AD6F-CB59D004818A}">
      <dsp:nvSpPr>
        <dsp:cNvPr id="0" name=""/>
        <dsp:cNvSpPr/>
      </dsp:nvSpPr>
      <dsp:spPr>
        <a:xfrm>
          <a:off x="0" y="456848"/>
          <a:ext cx="5486400" cy="38780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AU" sz="1300" kern="1200"/>
            <a:t>Consumers must be motivated to search for their best value tariff and provider.</a:t>
          </a:r>
        </a:p>
      </dsp:txBody>
      <dsp:txXfrm>
        <a:off x="0" y="456848"/>
        <a:ext cx="5486400" cy="3878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6C69A-EDDE-4FBC-870F-B104D41887DB}">
      <dsp:nvSpPr>
        <dsp:cNvPr id="0" name=""/>
        <dsp:cNvSpPr/>
      </dsp:nvSpPr>
      <dsp:spPr>
        <a:xfrm>
          <a:off x="492857" y="244"/>
          <a:ext cx="986863" cy="592117"/>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Open Banking</a:t>
          </a:r>
          <a:endParaRPr lang="en-AU" sz="1100" kern="1200" dirty="0"/>
        </a:p>
      </dsp:txBody>
      <dsp:txXfrm>
        <a:off x="492857" y="244"/>
        <a:ext cx="986863" cy="592117"/>
      </dsp:txXfrm>
    </dsp:sp>
    <dsp:sp modelId="{D6D9B119-556C-4E85-919C-FF854387D693}">
      <dsp:nvSpPr>
        <dsp:cNvPr id="0" name=""/>
        <dsp:cNvSpPr/>
      </dsp:nvSpPr>
      <dsp:spPr>
        <a:xfrm>
          <a:off x="1578406" y="244"/>
          <a:ext cx="986863" cy="592117"/>
        </a:xfrm>
        <a:prstGeom prst="rect">
          <a:avLst/>
        </a:prstGeom>
        <a:solidFill>
          <a:schemeClr val="accent1">
            <a:shade val="50000"/>
            <a:hueOff val="110237"/>
            <a:satOff val="-14089"/>
            <a:lumOff val="928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ACCC Competition Unit</a:t>
          </a:r>
          <a:endParaRPr lang="en-AU" sz="1100" kern="1200" dirty="0"/>
        </a:p>
      </dsp:txBody>
      <dsp:txXfrm>
        <a:off x="1578406" y="244"/>
        <a:ext cx="986863" cy="592117"/>
      </dsp:txXfrm>
    </dsp:sp>
    <dsp:sp modelId="{79F17CB3-DD02-49EF-AD89-BDE60B66F321}">
      <dsp:nvSpPr>
        <dsp:cNvPr id="0" name=""/>
        <dsp:cNvSpPr/>
      </dsp:nvSpPr>
      <dsp:spPr>
        <a:xfrm>
          <a:off x="2663955" y="244"/>
          <a:ext cx="986863" cy="592117"/>
        </a:xfrm>
        <a:prstGeom prst="rect">
          <a:avLst/>
        </a:prstGeom>
        <a:solidFill>
          <a:schemeClr val="accent1">
            <a:shade val="50000"/>
            <a:hueOff val="220475"/>
            <a:satOff val="-28178"/>
            <a:lumOff val="185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Mortgage Comparison Calculator</a:t>
          </a:r>
          <a:endParaRPr lang="en-AU" sz="1100" kern="1200" dirty="0"/>
        </a:p>
      </dsp:txBody>
      <dsp:txXfrm>
        <a:off x="2663955" y="244"/>
        <a:ext cx="986863" cy="592117"/>
      </dsp:txXfrm>
    </dsp:sp>
    <dsp:sp modelId="{10CB0371-A5D4-4735-BEA9-9370617E55C9}">
      <dsp:nvSpPr>
        <dsp:cNvPr id="0" name=""/>
        <dsp:cNvSpPr/>
      </dsp:nvSpPr>
      <dsp:spPr>
        <a:xfrm>
          <a:off x="3749504" y="244"/>
          <a:ext cx="986863" cy="592117"/>
        </a:xfrm>
        <a:prstGeom prst="rect">
          <a:avLst/>
        </a:prstGeom>
        <a:solidFill>
          <a:schemeClr val="accent1">
            <a:shade val="50000"/>
            <a:hueOff val="330712"/>
            <a:satOff val="-42267"/>
            <a:lumOff val="2786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Pro-fintech measures</a:t>
          </a:r>
          <a:endParaRPr lang="en-AU" sz="1100" kern="1200" dirty="0"/>
        </a:p>
      </dsp:txBody>
      <dsp:txXfrm>
        <a:off x="3749504" y="244"/>
        <a:ext cx="986863" cy="592117"/>
      </dsp:txXfrm>
    </dsp:sp>
    <dsp:sp modelId="{0FF39B7B-7F95-4E77-90EF-EEC3F9107379}">
      <dsp:nvSpPr>
        <dsp:cNvPr id="0" name=""/>
        <dsp:cNvSpPr/>
      </dsp:nvSpPr>
      <dsp:spPr>
        <a:xfrm>
          <a:off x="492857" y="691048"/>
          <a:ext cx="986863" cy="592117"/>
        </a:xfrm>
        <a:prstGeom prst="rect">
          <a:avLst/>
        </a:prstGeom>
        <a:solidFill>
          <a:schemeClr val="accent1">
            <a:shade val="50000"/>
            <a:hueOff val="440950"/>
            <a:satOff val="-56356"/>
            <a:lumOff val="37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Proportionate regulation</a:t>
          </a:r>
          <a:endParaRPr lang="en-AU" sz="1100" kern="1200" dirty="0"/>
        </a:p>
      </dsp:txBody>
      <dsp:txXfrm>
        <a:off x="492857" y="691048"/>
        <a:ext cx="986863" cy="592117"/>
      </dsp:txXfrm>
    </dsp:sp>
    <dsp:sp modelId="{5CE3A26F-98E4-4409-A6BD-8DD4B4C3D03D}">
      <dsp:nvSpPr>
        <dsp:cNvPr id="0" name=""/>
        <dsp:cNvSpPr/>
      </dsp:nvSpPr>
      <dsp:spPr>
        <a:xfrm>
          <a:off x="1578406" y="691048"/>
          <a:ext cx="986863" cy="592117"/>
        </a:xfrm>
        <a:prstGeom prst="rect">
          <a:avLst/>
        </a:prstGeom>
        <a:solidFill>
          <a:schemeClr val="accent1">
            <a:shade val="50000"/>
            <a:hueOff val="551187"/>
            <a:satOff val="-70445"/>
            <a:lumOff val="464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APRA &amp; ASIC ‘competition’ mandates</a:t>
          </a:r>
          <a:endParaRPr lang="en-AU" sz="1100" kern="1200" dirty="0"/>
        </a:p>
      </dsp:txBody>
      <dsp:txXfrm>
        <a:off x="1578406" y="691048"/>
        <a:ext cx="986863" cy="592117"/>
      </dsp:txXfrm>
    </dsp:sp>
    <dsp:sp modelId="{154C3C8F-0483-4832-8FB0-55EB07925959}">
      <dsp:nvSpPr>
        <dsp:cNvPr id="0" name=""/>
        <dsp:cNvSpPr/>
      </dsp:nvSpPr>
      <dsp:spPr>
        <a:xfrm>
          <a:off x="2663955" y="691048"/>
          <a:ext cx="986863" cy="592117"/>
        </a:xfrm>
        <a:prstGeom prst="rect">
          <a:avLst/>
        </a:prstGeom>
        <a:solidFill>
          <a:schemeClr val="accent1">
            <a:shade val="50000"/>
            <a:hueOff val="661425"/>
            <a:satOff val="-84534"/>
            <a:lumOff val="557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Narrowing the capital gap</a:t>
          </a:r>
          <a:endParaRPr lang="en-AU" sz="1100" kern="1200" dirty="0"/>
        </a:p>
      </dsp:txBody>
      <dsp:txXfrm>
        <a:off x="2663955" y="691048"/>
        <a:ext cx="986863" cy="592117"/>
      </dsp:txXfrm>
    </dsp:sp>
    <dsp:sp modelId="{9AEA7235-397D-408E-ADC2-5868D83842BB}">
      <dsp:nvSpPr>
        <dsp:cNvPr id="0" name=""/>
        <dsp:cNvSpPr/>
      </dsp:nvSpPr>
      <dsp:spPr>
        <a:xfrm>
          <a:off x="3749504" y="691048"/>
          <a:ext cx="986863" cy="592117"/>
        </a:xfrm>
        <a:prstGeom prst="rect">
          <a:avLst/>
        </a:prstGeom>
        <a:solidFill>
          <a:schemeClr val="accent1">
            <a:shade val="50000"/>
            <a:hueOff val="551187"/>
            <a:satOff val="-70445"/>
            <a:lumOff val="464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Major bank levy</a:t>
          </a:r>
          <a:endParaRPr lang="en-AU" sz="1100" kern="1200" dirty="0"/>
        </a:p>
      </dsp:txBody>
      <dsp:txXfrm>
        <a:off x="3749504" y="691048"/>
        <a:ext cx="986863" cy="592117"/>
      </dsp:txXfrm>
    </dsp:sp>
    <dsp:sp modelId="{19D1732F-BC88-4CCE-862D-10BB1D689F96}">
      <dsp:nvSpPr>
        <dsp:cNvPr id="0" name=""/>
        <dsp:cNvSpPr/>
      </dsp:nvSpPr>
      <dsp:spPr>
        <a:xfrm>
          <a:off x="492857" y="1381852"/>
          <a:ext cx="986863" cy="592117"/>
        </a:xfrm>
        <a:prstGeom prst="rect">
          <a:avLst/>
        </a:prstGeom>
        <a:solidFill>
          <a:schemeClr val="accent1">
            <a:shade val="50000"/>
            <a:hueOff val="440950"/>
            <a:satOff val="-56356"/>
            <a:lumOff val="37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RG 209 Mortgage Prisoners</a:t>
          </a:r>
        </a:p>
      </dsp:txBody>
      <dsp:txXfrm>
        <a:off x="492857" y="1381852"/>
        <a:ext cx="986863" cy="592117"/>
      </dsp:txXfrm>
    </dsp:sp>
    <dsp:sp modelId="{80ED94DB-035F-4317-9AB0-AFBCC717A88A}">
      <dsp:nvSpPr>
        <dsp:cNvPr id="0" name=""/>
        <dsp:cNvSpPr/>
      </dsp:nvSpPr>
      <dsp:spPr>
        <a:xfrm>
          <a:off x="1578406" y="1381852"/>
          <a:ext cx="986863" cy="592117"/>
        </a:xfrm>
        <a:prstGeom prst="rect">
          <a:avLst/>
        </a:prstGeom>
        <a:solidFill>
          <a:schemeClr val="accent1">
            <a:shade val="50000"/>
            <a:hueOff val="330712"/>
            <a:satOff val="-42267"/>
            <a:lumOff val="2786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Total loss absorbing capacity</a:t>
          </a:r>
        </a:p>
      </dsp:txBody>
      <dsp:txXfrm>
        <a:off x="1578406" y="1381852"/>
        <a:ext cx="986863" cy="592117"/>
      </dsp:txXfrm>
    </dsp:sp>
    <dsp:sp modelId="{44F329EB-6A32-48E0-AA5E-56FE7B29E773}">
      <dsp:nvSpPr>
        <dsp:cNvPr id="0" name=""/>
        <dsp:cNvSpPr/>
      </dsp:nvSpPr>
      <dsp:spPr>
        <a:xfrm>
          <a:off x="2663955" y="1381852"/>
          <a:ext cx="986863" cy="592117"/>
        </a:xfrm>
        <a:prstGeom prst="rect">
          <a:avLst/>
        </a:prstGeom>
        <a:solidFill>
          <a:schemeClr val="accent1">
            <a:shade val="50000"/>
            <a:hueOff val="220475"/>
            <a:satOff val="-28178"/>
            <a:lumOff val="185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Use of bank</a:t>
          </a:r>
        </a:p>
      </dsp:txBody>
      <dsp:txXfrm>
        <a:off x="2663955" y="1381852"/>
        <a:ext cx="986863" cy="592117"/>
      </dsp:txXfrm>
    </dsp:sp>
    <dsp:sp modelId="{FC6A8235-0E49-48FC-AE43-61D17E9F7311}">
      <dsp:nvSpPr>
        <dsp:cNvPr id="0" name=""/>
        <dsp:cNvSpPr/>
      </dsp:nvSpPr>
      <dsp:spPr>
        <a:xfrm>
          <a:off x="3749504" y="1381852"/>
          <a:ext cx="986863" cy="592117"/>
        </a:xfrm>
        <a:prstGeom prst="rect">
          <a:avLst/>
        </a:prstGeom>
        <a:solidFill>
          <a:schemeClr val="accent1">
            <a:shade val="50000"/>
            <a:hueOff val="110237"/>
            <a:satOff val="-14089"/>
            <a:lumOff val="928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ADI Licensing Framework</a:t>
          </a:r>
        </a:p>
      </dsp:txBody>
      <dsp:txXfrm>
        <a:off x="3749504" y="1381852"/>
        <a:ext cx="986863" cy="5921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BA 2019">
      <a:dk1>
        <a:sysClr val="windowText" lastClr="000000"/>
      </a:dk1>
      <a:lt1>
        <a:sysClr val="window" lastClr="FFFFFF"/>
      </a:lt1>
      <a:dk2>
        <a:srgbClr val="001B31"/>
      </a:dk2>
      <a:lt2>
        <a:srgbClr val="E6E7E8"/>
      </a:lt2>
      <a:accent1>
        <a:srgbClr val="006182"/>
      </a:accent1>
      <a:accent2>
        <a:srgbClr val="22B7C4"/>
      </a:accent2>
      <a:accent3>
        <a:srgbClr val="E88B1C"/>
      </a:accent3>
      <a:accent4>
        <a:srgbClr val="EEC711"/>
      </a:accent4>
      <a:accent5>
        <a:srgbClr val="9E1F63"/>
      </a:accent5>
      <a:accent6>
        <a:srgbClr val="E12E44"/>
      </a:accent6>
      <a:hlink>
        <a:srgbClr val="006182"/>
      </a:hlink>
      <a:folHlink>
        <a:srgbClr val="006182"/>
      </a:folHlink>
    </a:clrScheme>
    <a:fontScheme name="COBA 2019">
      <a:majorFont>
        <a:latin typeface="Helvetica LT Pro"/>
        <a:ea typeface=""/>
        <a:cs typeface=""/>
      </a:majorFont>
      <a:minorFont>
        <a:latin typeface="Helvetica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2019FG-108-8325</_dlc_DocId>
    <_dlc_DocIdUrl xmlns="0f563589-9cf9-4143-b1eb-fb0534803d38">
      <Url>http://tweb/sites/fg/bpd/_layouts/15/DocIdRedir.aspx?ID=2019FG-108-8325</Url>
      <Description>2019FG-108-8325</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1B6DA85B-731D-4A21-890B-21703A1AFD83}">
  <ds:schemaRefs>
    <ds:schemaRef ds:uri="http://schemas.openxmlformats.org/officeDocument/2006/bibliography"/>
  </ds:schemaRefs>
</ds:datastoreItem>
</file>

<file path=customXml/itemProps2.xml><?xml version="1.0" encoding="utf-8"?>
<ds:datastoreItem xmlns:ds="http://schemas.openxmlformats.org/officeDocument/2006/customXml" ds:itemID="{84AA7140-0256-4FAD-9FE0-3361399C0311}"/>
</file>

<file path=customXml/itemProps3.xml><?xml version="1.0" encoding="utf-8"?>
<ds:datastoreItem xmlns:ds="http://schemas.openxmlformats.org/officeDocument/2006/customXml" ds:itemID="{09F8A73C-0526-463D-BDF0-CA2950BAC934}"/>
</file>

<file path=customXml/itemProps4.xml><?xml version="1.0" encoding="utf-8"?>
<ds:datastoreItem xmlns:ds="http://schemas.openxmlformats.org/officeDocument/2006/customXml" ds:itemID="{9274B0FE-CC13-4EF7-8B6C-BE9AEAABC71B}"/>
</file>

<file path=customXml/itemProps5.xml><?xml version="1.0" encoding="utf-8"?>
<ds:datastoreItem xmlns:ds="http://schemas.openxmlformats.org/officeDocument/2006/customXml" ds:itemID="{4D076170-8D16-47F3-9119-C88FB492E76C}"/>
</file>

<file path=customXml/itemProps6.xml><?xml version="1.0" encoding="utf-8"?>
<ds:datastoreItem xmlns:ds="http://schemas.openxmlformats.org/officeDocument/2006/customXml" ds:itemID="{15442189-F7A2-4DA4-9BAC-06FDA9073660}"/>
</file>

<file path=customXml/itemProps7.xml><?xml version="1.0" encoding="utf-8"?>
<ds:datastoreItem xmlns:ds="http://schemas.openxmlformats.org/officeDocument/2006/customXml" ds:itemID="{E51FC6B4-7DD0-4662-BFA8-79011380C7DF}"/>
</file>

<file path=docProps/app.xml><?xml version="1.0" encoding="utf-8"?>
<Properties xmlns="http://schemas.openxmlformats.org/officeDocument/2006/extended-properties" xmlns:vt="http://schemas.openxmlformats.org/officeDocument/2006/docPropsVTypes">
  <Template>Normal</Template>
  <TotalTime>0</TotalTime>
  <Pages>13</Pages>
  <Words>4935</Words>
  <Characters>28136</Characters>
  <Application>Microsoft Office Word</Application>
  <DocSecurity>0</DocSecurity>
  <Lines>234</Lines>
  <Paragraphs>66</Paragraphs>
  <ScaleCrop>false</ScaleCrop>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2019-12-20T05:11:00Z</dcterms:created>
  <dcterms:modified xsi:type="dcterms:W3CDTF">2019-12-20T05:12:00Z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1d963840-b2f1-42ba-b9c6-65434c9e18d1</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{1d963840-b2f1-42ba-b9c6-65434c9e18d1}</vt:lpwstr>
  </property>
  <property fmtid="{D5CDD505-2E9C-101B-9397-08002B2CF9AE}" pid="9" name="RecordPoint_ActiveItemWebId">
    <vt:lpwstr>{2af1fd9f-9360-4de3-abf2-ccd65f89a90c}</vt:lpwstr>
  </property>
  <property fmtid="{D5CDD505-2E9C-101B-9397-08002B2CF9AE}" pid="10" name="RecordPoint_RecordNumberSubmitted">
    <vt:lpwstr>R0002182716</vt:lpwstr>
  </property>
  <property fmtid="{D5CDD505-2E9C-101B-9397-08002B2CF9AE}" pid="11" name="RecordPoint_SubmissionCompleted">
    <vt:lpwstr>2020-02-21T18:29:04.0313732+11:00</vt:lpwstr>
  </property>
</Properties>
</file>